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7"/>
        <w:rPr>
          <w:rFonts w:ascii="Times New Roman" w:hAnsi="Times New Roman" w:cs="Times New Roman" w:eastAsia="Times New Roman" w:hint="default"/>
          <w:sz w:val="6"/>
          <w:szCs w:val="6"/>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3pt;height:.75pt;mso-position-horizontal-relative:char;mso-position-vertical-relative:line" coordorigin="0,0" coordsize="8906,15">
            <v:group style="position:absolute;left:7;top:7;width:8891;height:2" coordorigin="7,7" coordsize="8891,2">
              <v:shape style="position:absolute;left:7;top:7;width:8891;height:2" coordorigin="7,7" coordsize="8891,0" path="m7,7l8898,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0"/>
          <w:szCs w:val="20"/>
        </w:rPr>
      </w:pPr>
    </w:p>
    <w:p>
      <w:pPr>
        <w:pStyle w:val="BodyText"/>
        <w:tabs>
          <w:tab w:pos="6600" w:val="left" w:leader="none"/>
        </w:tabs>
        <w:spacing w:line="240" w:lineRule="auto" w:before="26"/>
        <w:ind w:left="0" w:right="86"/>
        <w:jc w:val="center"/>
      </w:pPr>
      <w:r>
        <w:rPr>
          <w:spacing w:val="-1"/>
        </w:rPr>
        <w:t>公司代码：</w:t>
      </w:r>
      <w:r>
        <w:rPr>
          <w:rFonts w:ascii="宋体" w:hAnsi="宋体" w:cs="宋体" w:eastAsia="宋体" w:hint="default"/>
          <w:spacing w:val="-1"/>
        </w:rPr>
        <w:t>600100</w:t>
        <w:tab/>
      </w:r>
      <w:r>
        <w:rPr/>
        <w:t>公司简称：同方股份</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33"/>
          <w:szCs w:val="33"/>
        </w:rPr>
      </w:pPr>
    </w:p>
    <w:p>
      <w:pPr>
        <w:spacing w:line="572" w:lineRule="exact" w:before="0"/>
        <w:ind w:left="2857" w:right="2872"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同方股份有限公司</w:t>
      </w:r>
      <w:r>
        <w:rPr>
          <w:rFonts w:ascii="黑体" w:hAnsi="黑体" w:cs="黑体" w:eastAsia="黑体" w:hint="default"/>
          <w:b/>
          <w:bCs/>
          <w:color w:val="FF0000"/>
          <w:spacing w:val="-43"/>
          <w:w w:val="95"/>
          <w:sz w:val="44"/>
          <w:szCs w:val="44"/>
        </w:rPr>
        <w:t> </w:t>
      </w:r>
      <w:r>
        <w:rPr>
          <w:rFonts w:ascii="黑体" w:hAnsi="黑体" w:cs="黑体" w:eastAsia="黑体" w:hint="default"/>
          <w:b/>
          <w:bCs/>
          <w:color w:val="FF0000"/>
          <w:sz w:val="44"/>
          <w:szCs w:val="44"/>
        </w:rPr>
        <w:t>2018</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72" w:lineRule="exact"/>
        <w:jc w:val="center"/>
        <w:rPr>
          <w:rFonts w:ascii="黑体" w:hAnsi="黑体" w:cs="黑体" w:eastAsia="黑体" w:hint="default"/>
          <w:sz w:val="44"/>
          <w:szCs w:val="44"/>
        </w:rPr>
        <w:sectPr>
          <w:type w:val="continuous"/>
          <w:pgSz w:w="11910" w:h="16840"/>
          <w:pgMar w:top="1000" w:bottom="280" w:left="1660" w:right="1120"/>
        </w:sectPr>
      </w:pPr>
    </w:p>
    <w:p>
      <w:pPr>
        <w:spacing w:before="25"/>
        <w:ind w:left="120" w:right="232"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14"/>
        <w:ind w:left="120" w:right="217"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6"/>
        <w:rPr>
          <w:rFonts w:ascii="黑体" w:hAnsi="黑体" w:cs="黑体" w:eastAsia="黑体" w:hint="default"/>
          <w:b/>
          <w:bCs/>
          <w:sz w:val="25"/>
          <w:szCs w:val="25"/>
        </w:rPr>
      </w:pPr>
    </w:p>
    <w:p>
      <w:pPr>
        <w:pStyle w:val="Heading2"/>
        <w:spacing w:line="276" w:lineRule="auto"/>
        <w:ind w:left="560" w:right="97" w:hanging="423"/>
        <w:jc w:val="left"/>
        <w:rPr>
          <w:b w:val="0"/>
          <w:bCs w:val="0"/>
        </w:rPr>
      </w:pPr>
      <w:r>
        <w:rPr>
          <w:spacing w:val="2"/>
          <w:sz w:val="21"/>
          <w:szCs w:val="21"/>
        </w:rPr>
        <w:t>一、</w:t>
      </w:r>
      <w:r>
        <w:rPr>
          <w:spacing w:val="2"/>
        </w:rPr>
        <w:t>本公司董事会、监事会及董事、监事、高级管理人员保证年度报告内容的真实、</w:t>
      </w:r>
      <w:r>
        <w:rPr>
          <w:spacing w:val="-119"/>
        </w:rPr>
        <w:t> </w:t>
      </w:r>
      <w:r>
        <w:rPr>
          <w:spacing w:val="-119"/>
        </w:rPr>
      </w:r>
      <w:r>
        <w:rPr/>
        <w:t>准确、完整，不存在虚假记载、误导性陈述或重大遗漏，并承担个别和连带的法</w:t>
      </w:r>
      <w:r>
        <w:rPr>
          <w:w w:val="99"/>
        </w:rPr>
        <w:t> </w:t>
      </w:r>
      <w:r>
        <w:rPr/>
        <w:t>律责任。</w:t>
      </w:r>
      <w:r>
        <w:rPr>
          <w:b w:val="0"/>
          <w:bCs w:val="0"/>
        </w:rPr>
      </w:r>
    </w:p>
    <w:p>
      <w:pPr>
        <w:spacing w:line="240" w:lineRule="auto" w:before="4"/>
        <w:rPr>
          <w:rFonts w:ascii="宋体" w:hAnsi="宋体" w:cs="宋体" w:eastAsia="宋体" w:hint="default"/>
          <w:b/>
          <w:bCs/>
          <w:sz w:val="28"/>
          <w:szCs w:val="28"/>
        </w:rPr>
      </w:pPr>
    </w:p>
    <w:p>
      <w:pPr>
        <w:pStyle w:val="Heading2"/>
        <w:spacing w:line="240" w:lineRule="auto"/>
        <w:ind w:right="97"/>
        <w:jc w:val="left"/>
        <w:rPr>
          <w:b w:val="0"/>
          <w:bCs w:val="0"/>
        </w:rPr>
      </w:pPr>
      <w:r>
        <w:rPr>
          <w:sz w:val="21"/>
          <w:szCs w:val="21"/>
        </w:rPr>
        <w:t>二、</w:t>
      </w:r>
      <w:r>
        <w:rPr/>
        <w:t>公司全体董事出席董事会会议。</w:t>
      </w:r>
      <w:r>
        <w:rPr>
          <w:b w:val="0"/>
          <w:bCs w:val="0"/>
        </w:rPr>
      </w:r>
    </w:p>
    <w:p>
      <w:pPr>
        <w:spacing w:line="240" w:lineRule="auto" w:before="1"/>
        <w:rPr>
          <w:rFonts w:ascii="宋体" w:hAnsi="宋体" w:cs="宋体" w:eastAsia="宋体" w:hint="default"/>
          <w:b/>
          <w:bCs/>
          <w:sz w:val="31"/>
          <w:szCs w:val="31"/>
        </w:rPr>
      </w:pPr>
    </w:p>
    <w:p>
      <w:pPr>
        <w:pStyle w:val="Heading2"/>
        <w:spacing w:line="276" w:lineRule="auto"/>
        <w:ind w:left="560" w:right="97" w:hanging="423"/>
        <w:jc w:val="left"/>
        <w:rPr>
          <w:b w:val="0"/>
          <w:bCs w:val="0"/>
        </w:rPr>
      </w:pPr>
      <w:r>
        <w:rPr>
          <w:w w:val="95"/>
          <w:sz w:val="21"/>
          <w:szCs w:val="21"/>
        </w:rPr>
        <w:t>三、</w:t>
      </w:r>
      <w:r>
        <w:rPr>
          <w:w w:val="95"/>
        </w:rPr>
        <w:t>信永中和会计师事务所（特殊普通合伙）为本公司出具了标准无保留意见的审计</w:t>
      </w:r>
      <w:r>
        <w:rPr>
          <w:spacing w:val="71"/>
          <w:w w:val="95"/>
        </w:rPr>
        <w:t> </w:t>
      </w:r>
      <w:r>
        <w:rPr>
          <w:spacing w:val="71"/>
          <w:w w:val="95"/>
        </w:rPr>
      </w:r>
      <w:r>
        <w:rPr/>
        <w:t>报告。</w:t>
      </w:r>
      <w:r>
        <w:rPr>
          <w:b w:val="0"/>
          <w:bCs w:val="0"/>
        </w:rPr>
      </w:r>
    </w:p>
    <w:p>
      <w:pPr>
        <w:spacing w:line="240" w:lineRule="auto" w:before="4"/>
        <w:rPr>
          <w:rFonts w:ascii="宋体" w:hAnsi="宋体" w:cs="宋体" w:eastAsia="宋体" w:hint="default"/>
          <w:b/>
          <w:bCs/>
          <w:sz w:val="28"/>
          <w:szCs w:val="28"/>
        </w:rPr>
      </w:pPr>
    </w:p>
    <w:p>
      <w:pPr>
        <w:pStyle w:val="Heading2"/>
        <w:spacing w:line="276" w:lineRule="auto"/>
        <w:ind w:left="560" w:right="97" w:hanging="423"/>
        <w:jc w:val="left"/>
        <w:rPr>
          <w:b w:val="0"/>
          <w:bCs w:val="0"/>
        </w:rPr>
      </w:pPr>
      <w:r>
        <w:rPr>
          <w:sz w:val="21"/>
          <w:szCs w:val="21"/>
        </w:rPr>
        <w:t>四、</w:t>
      </w:r>
      <w:r>
        <w:rPr/>
        <w:t>公司负责人董事长周立业先生、主管会计工作负责人周海英先生及会计机构负责</w:t>
      </w:r>
      <w:r>
        <w:rPr>
          <w:w w:val="99"/>
        </w:rPr>
        <w:t> </w:t>
      </w:r>
      <w:r>
        <w:rPr>
          <w:spacing w:val="3"/>
          <w:w w:val="95"/>
        </w:rPr>
        <w:t>人（会计主管人员）周海英先生声明：保证年度报告中财务报告的真实、准确、</w:t>
      </w:r>
      <w:r>
        <w:rPr>
          <w:w w:val="99"/>
        </w:rPr>
        <w:t> </w:t>
      </w:r>
      <w:r>
        <w:rPr/>
        <w:t>完整。</w:t>
      </w:r>
      <w:r>
        <w:rPr>
          <w:b w:val="0"/>
          <w:bCs w:val="0"/>
        </w:rPr>
      </w:r>
    </w:p>
    <w:p>
      <w:pPr>
        <w:spacing w:line="240" w:lineRule="auto" w:before="4"/>
        <w:rPr>
          <w:rFonts w:ascii="宋体" w:hAnsi="宋体" w:cs="宋体" w:eastAsia="宋体" w:hint="default"/>
          <w:b/>
          <w:bCs/>
          <w:sz w:val="28"/>
          <w:szCs w:val="28"/>
        </w:rPr>
      </w:pPr>
    </w:p>
    <w:p>
      <w:pPr>
        <w:spacing w:line="276" w:lineRule="auto" w:before="0"/>
        <w:ind w:left="507" w:right="1719" w:hanging="370"/>
        <w:jc w:val="left"/>
        <w:rPr>
          <w:rFonts w:ascii="宋体" w:hAnsi="宋体" w:cs="宋体" w:eastAsia="宋体" w:hint="default"/>
          <w:sz w:val="24"/>
          <w:szCs w:val="24"/>
        </w:rPr>
      </w:pPr>
      <w:r>
        <w:rPr>
          <w:rFonts w:ascii="宋体" w:hAnsi="宋体" w:cs="宋体" w:eastAsia="宋体" w:hint="default"/>
          <w:b/>
          <w:bCs/>
          <w:sz w:val="21"/>
          <w:szCs w:val="21"/>
        </w:rPr>
        <w:t>五、</w:t>
      </w:r>
      <w:r>
        <w:rPr>
          <w:rFonts w:ascii="宋体" w:hAnsi="宋体" w:cs="宋体" w:eastAsia="宋体" w:hint="default"/>
          <w:b/>
          <w:bCs/>
          <w:sz w:val="24"/>
          <w:szCs w:val="24"/>
        </w:rPr>
        <w:t>经董事会审议的报告期利润分配预案或公积金转增股本预案</w:t>
      </w:r>
      <w:r>
        <w:rPr>
          <w:rFonts w:ascii="宋体" w:hAnsi="宋体" w:cs="宋体" w:eastAsia="宋体" w:hint="default"/>
          <w:b/>
          <w:bCs/>
          <w:w w:val="99"/>
          <w:sz w:val="24"/>
          <w:szCs w:val="24"/>
        </w:rPr>
        <w:t> </w:t>
      </w:r>
      <w:r>
        <w:rPr>
          <w:rFonts w:ascii="宋体" w:hAnsi="宋体" w:cs="宋体" w:eastAsia="宋体" w:hint="default"/>
          <w:sz w:val="24"/>
          <w:szCs w:val="24"/>
        </w:rPr>
        <w:t>公司</w:t>
      </w:r>
      <w:r>
        <w:rPr>
          <w:rFonts w:ascii="宋体" w:hAnsi="宋体" w:cs="宋体" w:eastAsia="宋体" w:hint="default"/>
          <w:sz w:val="24"/>
          <w:szCs w:val="24"/>
        </w:rPr>
        <w:t>2018</w:t>
      </w:r>
      <w:r>
        <w:rPr>
          <w:rFonts w:ascii="宋体" w:hAnsi="宋体" w:cs="宋体" w:eastAsia="宋体" w:hint="default"/>
          <w:sz w:val="24"/>
          <w:szCs w:val="24"/>
        </w:rPr>
        <w:t>年度不派发现金红利，不送红股，不以公积金转增股本。</w:t>
      </w:r>
    </w:p>
    <w:p>
      <w:pPr>
        <w:spacing w:line="240" w:lineRule="auto" w:before="4"/>
        <w:rPr>
          <w:rFonts w:ascii="宋体" w:hAnsi="宋体" w:cs="宋体" w:eastAsia="宋体" w:hint="default"/>
          <w:sz w:val="28"/>
          <w:szCs w:val="28"/>
        </w:rPr>
      </w:pPr>
    </w:p>
    <w:p>
      <w:pPr>
        <w:pStyle w:val="Heading2"/>
        <w:spacing w:line="240" w:lineRule="auto"/>
        <w:ind w:right="97"/>
        <w:jc w:val="left"/>
        <w:rPr>
          <w:b w:val="0"/>
          <w:bCs w:val="0"/>
        </w:rPr>
      </w:pPr>
      <w:r>
        <w:rPr>
          <w:sz w:val="21"/>
          <w:szCs w:val="21"/>
        </w:rPr>
        <w:t>六、</w:t>
      </w:r>
      <w:r>
        <w:rPr/>
        <w:t>前瞻性陈述的风险声明</w:t>
      </w:r>
      <w:r>
        <w:rPr>
          <w:b w:val="0"/>
          <w:bCs w:val="0"/>
        </w:rPr>
      </w:r>
    </w:p>
    <w:p>
      <w:pPr>
        <w:pStyle w:val="BodyText"/>
        <w:spacing w:line="240" w:lineRule="auto" w:before="46"/>
        <w:ind w:right="97"/>
        <w:jc w:val="left"/>
      </w:pPr>
      <w:r>
        <w:rPr/>
        <w:t>√适用</w:t>
      </w:r>
      <w:r>
        <w:rPr>
          <w:spacing w:val="-1"/>
        </w:rPr>
        <w:t> </w:t>
      </w:r>
      <w:r>
        <w:rPr/>
        <w:t>□不适用</w:t>
      </w:r>
    </w:p>
    <w:p>
      <w:pPr>
        <w:pStyle w:val="BodyText"/>
        <w:spacing w:line="276" w:lineRule="auto" w:before="46"/>
        <w:ind w:right="97" w:firstLine="369"/>
        <w:jc w:val="left"/>
      </w:pPr>
      <w:r>
        <w:rPr/>
        <w:t>本公司</w:t>
      </w:r>
      <w:r>
        <w:rPr>
          <w:rFonts w:ascii="宋体" w:hAnsi="宋体" w:cs="宋体" w:eastAsia="宋体" w:hint="default"/>
        </w:rPr>
        <w:t>2018</w:t>
      </w:r>
      <w:r>
        <w:rPr/>
        <w:t>年年度报告涉及的公司未来计划等内容不构成公司对投资者的实质承 诺，请投资者注意投资风险</w:t>
      </w:r>
    </w:p>
    <w:p>
      <w:pPr>
        <w:spacing w:line="240" w:lineRule="auto" w:before="4"/>
        <w:rPr>
          <w:rFonts w:ascii="宋体" w:hAnsi="宋体" w:cs="宋体" w:eastAsia="宋体" w:hint="default"/>
          <w:sz w:val="28"/>
          <w:szCs w:val="28"/>
        </w:rPr>
      </w:pPr>
    </w:p>
    <w:p>
      <w:pPr>
        <w:pStyle w:val="Heading2"/>
        <w:spacing w:line="276" w:lineRule="auto"/>
        <w:ind w:left="507" w:right="2845" w:hanging="370"/>
        <w:jc w:val="left"/>
        <w:rPr>
          <w:rFonts w:ascii="宋体" w:hAnsi="宋体" w:cs="宋体" w:eastAsia="宋体" w:hint="default"/>
          <w:b w:val="0"/>
          <w:bCs w:val="0"/>
        </w:rPr>
      </w:pPr>
      <w:r>
        <w:rPr>
          <w:sz w:val="21"/>
          <w:szCs w:val="21"/>
        </w:rPr>
        <w:t>七、</w:t>
      </w:r>
      <w:r>
        <w:rPr/>
        <w:t>是否存在被控股股东及其关联方非经营性占用资金情况</w:t>
      </w:r>
      <w:r>
        <w:rPr>
          <w:w w:val="99"/>
        </w:rPr>
        <w:t> </w:t>
      </w:r>
      <w:r>
        <w:rPr>
          <w:rFonts w:ascii="宋体" w:hAnsi="宋体" w:cs="宋体" w:eastAsia="宋体" w:hint="default"/>
          <w:b w:val="0"/>
          <w:bCs w:val="0"/>
        </w:rPr>
        <w:t>否</w:t>
      </w:r>
    </w:p>
    <w:p>
      <w:pPr>
        <w:spacing w:line="240" w:lineRule="auto" w:before="4"/>
        <w:rPr>
          <w:rFonts w:ascii="宋体" w:hAnsi="宋体" w:cs="宋体" w:eastAsia="宋体" w:hint="default"/>
          <w:sz w:val="28"/>
          <w:szCs w:val="28"/>
        </w:rPr>
      </w:pPr>
    </w:p>
    <w:p>
      <w:pPr>
        <w:pStyle w:val="Heading2"/>
        <w:spacing w:line="276" w:lineRule="auto"/>
        <w:ind w:left="507" w:right="3327" w:hanging="370"/>
        <w:jc w:val="left"/>
        <w:rPr>
          <w:rFonts w:ascii="宋体" w:hAnsi="宋体" w:cs="宋体" w:eastAsia="宋体" w:hint="default"/>
          <w:b w:val="0"/>
          <w:bCs w:val="0"/>
        </w:rPr>
      </w:pPr>
      <w:r>
        <w:rPr>
          <w:sz w:val="21"/>
          <w:szCs w:val="21"/>
        </w:rPr>
        <w:t>八、</w:t>
      </w:r>
      <w:r>
        <w:rPr/>
        <w:t>是否存在违反规定决策程序对外提供担保的情况？</w:t>
      </w:r>
      <w:r>
        <w:rPr>
          <w:w w:val="99"/>
        </w:rPr>
        <w:t> </w:t>
      </w:r>
      <w:r>
        <w:rPr>
          <w:rFonts w:ascii="宋体" w:hAnsi="宋体" w:cs="宋体" w:eastAsia="宋体" w:hint="default"/>
          <w:b w:val="0"/>
          <w:bCs w:val="0"/>
        </w:rPr>
        <w:t>否</w:t>
      </w:r>
    </w:p>
    <w:p>
      <w:pPr>
        <w:spacing w:line="240" w:lineRule="auto" w:before="4"/>
        <w:rPr>
          <w:rFonts w:ascii="宋体" w:hAnsi="宋体" w:cs="宋体" w:eastAsia="宋体" w:hint="default"/>
          <w:sz w:val="28"/>
          <w:szCs w:val="28"/>
        </w:rPr>
      </w:pPr>
    </w:p>
    <w:p>
      <w:pPr>
        <w:spacing w:line="276" w:lineRule="auto" w:before="0"/>
        <w:ind w:left="505" w:right="97" w:hanging="368"/>
        <w:jc w:val="left"/>
        <w:rPr>
          <w:rFonts w:ascii="宋体" w:hAnsi="宋体" w:cs="宋体" w:eastAsia="宋体" w:hint="default"/>
          <w:sz w:val="24"/>
          <w:szCs w:val="24"/>
        </w:rPr>
      </w:pPr>
      <w:r>
        <w:rPr>
          <w:rFonts w:ascii="宋体" w:hAnsi="宋体" w:cs="宋体" w:eastAsia="宋体" w:hint="default"/>
          <w:b/>
          <w:bCs/>
          <w:sz w:val="21"/>
          <w:szCs w:val="21"/>
        </w:rPr>
        <w:t>九、</w:t>
      </w:r>
      <w:r>
        <w:rPr>
          <w:rFonts w:ascii="宋体" w:hAnsi="宋体" w:cs="宋体" w:eastAsia="宋体" w:hint="default"/>
          <w:b/>
          <w:bCs/>
          <w:sz w:val="24"/>
          <w:szCs w:val="24"/>
        </w:rPr>
        <w:t>重大风险提示</w:t>
      </w:r>
      <w:r>
        <w:rPr>
          <w:rFonts w:ascii="宋体" w:hAnsi="宋体" w:cs="宋体" w:eastAsia="宋体" w:hint="default"/>
          <w:b/>
          <w:bCs/>
          <w:w w:val="99"/>
          <w:sz w:val="24"/>
          <w:szCs w:val="24"/>
        </w:rPr>
        <w:t> </w:t>
      </w:r>
      <w:r>
        <w:rPr>
          <w:rFonts w:ascii="宋体" w:hAnsi="宋体" w:cs="宋体" w:eastAsia="宋体" w:hint="default"/>
          <w:sz w:val="24"/>
          <w:szCs w:val="24"/>
        </w:rPr>
        <w:t>本公司已在本报告中详细描述可能存在的相关风险，敬请查阅第四章经营情况讨</w:t>
      </w:r>
    </w:p>
    <w:p>
      <w:pPr>
        <w:pStyle w:val="BodyText"/>
        <w:spacing w:line="240" w:lineRule="auto" w:before="10"/>
        <w:ind w:right="97"/>
        <w:jc w:val="left"/>
      </w:pPr>
      <w:r>
        <w:rPr/>
        <w:t>论与分析中关于公司未来发展的讨论与分析中可能面对的风险因素的内容。</w:t>
      </w:r>
    </w:p>
    <w:p>
      <w:pPr>
        <w:spacing w:line="240" w:lineRule="auto" w:before="0"/>
        <w:rPr>
          <w:rFonts w:ascii="宋体" w:hAnsi="宋体" w:cs="宋体" w:eastAsia="宋体" w:hint="default"/>
          <w:sz w:val="31"/>
          <w:szCs w:val="31"/>
        </w:rPr>
      </w:pPr>
    </w:p>
    <w:p>
      <w:pPr>
        <w:spacing w:before="0"/>
        <w:ind w:left="138" w:right="97"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46"/>
        <w:ind w:right="97"/>
        <w:jc w:val="left"/>
      </w:pPr>
      <w:r>
        <w:rPr/>
        <w:t>□适用</w:t>
      </w:r>
      <w:r>
        <w:rPr>
          <w:spacing w:val="-1"/>
        </w:rPr>
        <w:t> </w:t>
      </w:r>
      <w:r>
        <w:rPr/>
        <w:t>√不适用</w:t>
      </w:r>
    </w:p>
    <w:p>
      <w:pPr>
        <w:spacing w:after="0" w:line="240" w:lineRule="auto"/>
        <w:jc w:val="left"/>
        <w:sectPr>
          <w:footerReference w:type="default" r:id="rId5"/>
          <w:pgSz w:w="11910" w:h="16840"/>
          <w:pgMar w:footer="1193" w:header="0" w:top="780" w:bottom="1380" w:left="1660" w:right="1040"/>
          <w:pgNumType w:start="1"/>
        </w:sectPr>
      </w:pPr>
    </w:p>
    <w:p>
      <w:pPr>
        <w:spacing w:before="25"/>
        <w:ind w:left="3044" w:right="3056"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5"/>
          <w:szCs w:val="25"/>
        </w:rPr>
      </w:pPr>
    </w:p>
    <w:p>
      <w:pPr>
        <w:spacing w:before="7"/>
        <w:ind w:left="3058" w:right="3056" w:firstLine="0"/>
        <w:jc w:val="center"/>
        <w:rPr>
          <w:rFonts w:ascii="黑体" w:hAnsi="黑体" w:cs="黑体" w:eastAsia="黑体" w:hint="default"/>
          <w:sz w:val="30"/>
          <w:szCs w:val="30"/>
        </w:rPr>
      </w:pPr>
      <w:r>
        <w:rPr>
          <w:rFonts w:ascii="黑体" w:hAnsi="黑体" w:cs="黑体" w:eastAsia="黑体" w:hint="default"/>
          <w:b/>
          <w:bCs/>
          <w:sz w:val="30"/>
          <w:szCs w:val="30"/>
        </w:rPr>
        <w:t>目</w:t>
      </w:r>
      <w:r>
        <w:rPr>
          <w:rFonts w:ascii="黑体" w:hAnsi="黑体" w:cs="黑体" w:eastAsia="黑体" w:hint="default"/>
          <w:b/>
          <w:bCs/>
          <w:spacing w:val="-1"/>
          <w:sz w:val="30"/>
          <w:szCs w:val="30"/>
        </w:rPr>
        <w:t> </w:t>
      </w:r>
      <w:r>
        <w:rPr>
          <w:rFonts w:ascii="黑体" w:hAnsi="黑体" w:cs="黑体" w:eastAsia="黑体" w:hint="default"/>
          <w:b/>
          <w:bCs/>
          <w:sz w:val="30"/>
          <w:szCs w:val="30"/>
        </w:rPr>
        <w:t>录</w:t>
      </w:r>
      <w:r>
        <w:rPr>
          <w:rFonts w:ascii="黑体" w:hAnsi="黑体" w:cs="黑体" w:eastAsia="黑体" w:hint="default"/>
          <w:sz w:val="30"/>
          <w:szCs w:val="30"/>
        </w:rPr>
      </w:r>
    </w:p>
    <w:sdt>
      <w:sdtPr>
        <w:docPartObj>
          <w:docPartGallery w:val="Table of Contents"/>
          <w:docPartUnique/>
        </w:docPartObj>
      </w:sdtPr>
      <w:sdtEndPr/>
      <w:sdtContent>
        <w:p>
          <w:pPr>
            <w:pStyle w:val="TOC1"/>
            <w:tabs>
              <w:tab w:pos="8961" w:val="right" w:leader="dot"/>
            </w:tabs>
            <w:spacing w:line="240" w:lineRule="auto" w:before="397"/>
            <w:ind w:right="0"/>
            <w:jc w:val="left"/>
            <w:rPr>
              <w:rFonts w:ascii="Times New Roman" w:hAnsi="Times New Roman" w:cs="Times New Roman" w:eastAsia="Times New Roman" w:hint="default"/>
            </w:rPr>
          </w:pPr>
          <w:hyperlink w:history="true" w:anchor="_TOC_250010">
            <w:r>
              <w:rPr/>
              <w:t>第一节</w:t>
            </w:r>
            <w:r>
              <w:rPr>
                <w:spacing w:val="-1"/>
              </w:rPr>
              <w:t> </w:t>
            </w:r>
            <w:r>
              <w:rPr/>
              <w:t>释义</w:t>
            </w:r>
            <w:r>
              <w:rPr>
                <w:rFonts w:ascii="Times New Roman" w:hAnsi="Times New Roman" w:cs="Times New Roman" w:eastAsia="Times New Roman" w:hint="default"/>
              </w:rPr>
              <w:tab/>
              <w:t>3</w:t>
            </w:r>
          </w:hyperlink>
        </w:p>
        <w:p>
          <w:pPr>
            <w:pStyle w:val="TOC1"/>
            <w:tabs>
              <w:tab w:pos="8961" w:val="right" w:leader="dot"/>
            </w:tabs>
            <w:spacing w:line="240" w:lineRule="auto"/>
            <w:ind w:right="0"/>
            <w:jc w:val="left"/>
            <w:rPr>
              <w:rFonts w:ascii="Times New Roman" w:hAnsi="Times New Roman" w:cs="Times New Roman" w:eastAsia="Times New Roman" w:hint="default"/>
            </w:rPr>
          </w:pPr>
          <w:hyperlink w:history="true" w:anchor="_TOC_250009">
            <w:r>
              <w:rPr/>
              <w:t>第二节</w:t>
            </w:r>
            <w:r>
              <w:rPr>
                <w:spacing w:val="-1"/>
              </w:rPr>
              <w:t> </w:t>
            </w:r>
            <w:r>
              <w:rPr/>
              <w:t>公司简介和主要财务指标</w:t>
            </w:r>
            <w:r>
              <w:rPr>
                <w:rFonts w:ascii="Times New Roman" w:hAnsi="Times New Roman" w:cs="Times New Roman" w:eastAsia="Times New Roman" w:hint="default"/>
              </w:rPr>
              <w:tab/>
              <w:t>4</w:t>
            </w:r>
          </w:hyperlink>
        </w:p>
        <w:p>
          <w:pPr>
            <w:pStyle w:val="TOC1"/>
            <w:tabs>
              <w:tab w:pos="8961" w:val="right" w:leader="dot"/>
            </w:tabs>
            <w:spacing w:line="240" w:lineRule="auto" w:before="135"/>
            <w:ind w:right="0"/>
            <w:jc w:val="left"/>
            <w:rPr>
              <w:rFonts w:ascii="Times New Roman" w:hAnsi="Times New Roman" w:cs="Times New Roman" w:eastAsia="Times New Roman" w:hint="default"/>
            </w:rPr>
          </w:pPr>
          <w:hyperlink w:history="true" w:anchor="_TOC_250008">
            <w:r>
              <w:rPr/>
              <w:t>第三节</w:t>
            </w:r>
            <w:r>
              <w:rPr>
                <w:spacing w:val="-1"/>
              </w:rPr>
              <w:t> </w:t>
            </w:r>
            <w:r>
              <w:rPr/>
              <w:t>公司业务概要</w:t>
            </w:r>
            <w:r>
              <w:rPr>
                <w:rFonts w:ascii="Times New Roman" w:hAnsi="Times New Roman" w:cs="Times New Roman" w:eastAsia="Times New Roman" w:hint="default"/>
              </w:rPr>
              <w:tab/>
              <w:t>8</w:t>
            </w:r>
          </w:hyperlink>
        </w:p>
        <w:p>
          <w:pPr>
            <w:pStyle w:val="TOC1"/>
            <w:tabs>
              <w:tab w:pos="8961" w:val="right" w:leader="dot"/>
            </w:tabs>
            <w:spacing w:line="240" w:lineRule="auto"/>
            <w:ind w:right="0"/>
            <w:jc w:val="left"/>
            <w:rPr>
              <w:rFonts w:ascii="Times New Roman" w:hAnsi="Times New Roman" w:cs="Times New Roman" w:eastAsia="Times New Roman" w:hint="default"/>
            </w:rPr>
          </w:pPr>
          <w:hyperlink w:history="true" w:anchor="_TOC_250007">
            <w:r>
              <w:rPr/>
              <w:t>第四节</w:t>
            </w:r>
            <w:r>
              <w:rPr>
                <w:spacing w:val="-1"/>
              </w:rPr>
              <w:t> </w:t>
            </w:r>
            <w:r>
              <w:rPr/>
              <w:t>经营情况讨论与分析</w:t>
            </w:r>
            <w:r>
              <w:rPr>
                <w:rFonts w:ascii="Times New Roman" w:hAnsi="Times New Roman" w:cs="Times New Roman" w:eastAsia="Times New Roman" w:hint="default"/>
              </w:rPr>
              <w:tab/>
              <w:t>12</w:t>
            </w:r>
          </w:hyperlink>
        </w:p>
        <w:p>
          <w:pPr>
            <w:pStyle w:val="TOC1"/>
            <w:tabs>
              <w:tab w:pos="8961" w:val="right" w:leader="dot"/>
            </w:tabs>
            <w:spacing w:line="240" w:lineRule="auto" w:before="135"/>
            <w:ind w:right="0"/>
            <w:jc w:val="left"/>
            <w:rPr>
              <w:rFonts w:ascii="Times New Roman" w:hAnsi="Times New Roman" w:cs="Times New Roman" w:eastAsia="Times New Roman" w:hint="default"/>
            </w:rPr>
          </w:pPr>
          <w:hyperlink w:history="true" w:anchor="_TOC_250006">
            <w:r>
              <w:rPr/>
              <w:t>第五节</w:t>
            </w:r>
            <w:r>
              <w:rPr>
                <w:spacing w:val="-1"/>
              </w:rPr>
              <w:t> </w:t>
            </w:r>
            <w:r>
              <w:rPr/>
              <w:t>重要事项</w:t>
            </w:r>
            <w:r>
              <w:rPr>
                <w:rFonts w:ascii="Times New Roman" w:hAnsi="Times New Roman" w:cs="Times New Roman" w:eastAsia="Times New Roman" w:hint="default"/>
              </w:rPr>
              <w:tab/>
              <w:t>39</w:t>
            </w:r>
          </w:hyperlink>
        </w:p>
        <w:p>
          <w:pPr>
            <w:pStyle w:val="TOC1"/>
            <w:tabs>
              <w:tab w:pos="8961" w:val="right" w:leader="dot"/>
            </w:tabs>
            <w:spacing w:line="240" w:lineRule="auto"/>
            <w:ind w:right="0"/>
            <w:jc w:val="left"/>
            <w:rPr>
              <w:rFonts w:ascii="Times New Roman" w:hAnsi="Times New Roman" w:cs="Times New Roman" w:eastAsia="Times New Roman" w:hint="default"/>
            </w:rPr>
          </w:pPr>
          <w:hyperlink w:history="true" w:anchor="_TOC_250005">
            <w:r>
              <w:rPr/>
              <w:t>第六节</w:t>
            </w:r>
            <w:r>
              <w:rPr>
                <w:spacing w:val="-1"/>
              </w:rPr>
              <w:t> </w:t>
            </w:r>
            <w:r>
              <w:rPr/>
              <w:t>普通股股份变动及股东情况</w:t>
            </w:r>
            <w:r>
              <w:rPr>
                <w:rFonts w:ascii="Times New Roman" w:hAnsi="Times New Roman" w:cs="Times New Roman" w:eastAsia="Times New Roman" w:hint="default"/>
              </w:rPr>
              <w:tab/>
              <w:t>55</w:t>
            </w:r>
          </w:hyperlink>
        </w:p>
        <w:p>
          <w:pPr>
            <w:pStyle w:val="TOC1"/>
            <w:tabs>
              <w:tab w:pos="8961" w:val="right" w:leader="dot"/>
            </w:tabs>
            <w:spacing w:line="240" w:lineRule="auto" w:before="136"/>
            <w:ind w:right="0"/>
            <w:jc w:val="left"/>
            <w:rPr>
              <w:rFonts w:ascii="Times New Roman" w:hAnsi="Times New Roman" w:cs="Times New Roman" w:eastAsia="Times New Roman" w:hint="default"/>
            </w:rPr>
          </w:pPr>
          <w:hyperlink w:history="true" w:anchor="_TOC_250004">
            <w:r>
              <w:rPr/>
              <w:t>第七节</w:t>
            </w:r>
            <w:r>
              <w:rPr>
                <w:spacing w:val="-1"/>
              </w:rPr>
              <w:t> </w:t>
            </w:r>
            <w:r>
              <w:rPr/>
              <w:t>优先股相关情况</w:t>
            </w:r>
            <w:r>
              <w:rPr>
                <w:rFonts w:ascii="Times New Roman" w:hAnsi="Times New Roman" w:cs="Times New Roman" w:eastAsia="Times New Roman" w:hint="default"/>
              </w:rPr>
              <w:tab/>
              <w:t>62</w:t>
            </w:r>
          </w:hyperlink>
        </w:p>
        <w:p>
          <w:pPr>
            <w:pStyle w:val="TOC1"/>
            <w:tabs>
              <w:tab w:pos="8961" w:val="right" w:leader="dot"/>
            </w:tabs>
            <w:spacing w:line="240" w:lineRule="auto"/>
            <w:ind w:right="0"/>
            <w:jc w:val="left"/>
            <w:rPr>
              <w:rFonts w:ascii="Times New Roman" w:hAnsi="Times New Roman" w:cs="Times New Roman" w:eastAsia="Times New Roman" w:hint="default"/>
            </w:rPr>
          </w:pPr>
          <w:hyperlink w:history="true" w:anchor="_TOC_250003">
            <w:r>
              <w:rPr/>
              <w:t>第八节</w:t>
            </w:r>
            <w:r>
              <w:rPr>
                <w:spacing w:val="-1"/>
              </w:rPr>
              <w:t> </w:t>
            </w:r>
            <w:r>
              <w:rPr/>
              <w:t>董事、监事、高级管理人员和员工情况</w:t>
            </w:r>
            <w:r>
              <w:rPr>
                <w:rFonts w:ascii="Times New Roman" w:hAnsi="Times New Roman" w:cs="Times New Roman" w:eastAsia="Times New Roman" w:hint="default"/>
              </w:rPr>
              <w:tab/>
              <w:t>63</w:t>
            </w:r>
          </w:hyperlink>
        </w:p>
        <w:p>
          <w:pPr>
            <w:pStyle w:val="TOC1"/>
            <w:tabs>
              <w:tab w:pos="8961" w:val="right" w:leader="dot"/>
            </w:tabs>
            <w:spacing w:line="240" w:lineRule="auto" w:before="135"/>
            <w:ind w:right="0"/>
            <w:jc w:val="left"/>
            <w:rPr>
              <w:rFonts w:ascii="Times New Roman" w:hAnsi="Times New Roman" w:cs="Times New Roman" w:eastAsia="Times New Roman" w:hint="default"/>
            </w:rPr>
          </w:pPr>
          <w:hyperlink w:history="true" w:anchor="_TOC_250002">
            <w:r>
              <w:rPr/>
              <w:t>第九节</w:t>
            </w:r>
            <w:r>
              <w:rPr>
                <w:spacing w:val="-1"/>
              </w:rPr>
              <w:t> </w:t>
            </w:r>
            <w:r>
              <w:rPr/>
              <w:t>公司治理</w:t>
            </w:r>
            <w:r>
              <w:rPr>
                <w:rFonts w:ascii="Times New Roman" w:hAnsi="Times New Roman" w:cs="Times New Roman" w:eastAsia="Times New Roman" w:hint="default"/>
              </w:rPr>
              <w:tab/>
              <w:t>71</w:t>
            </w:r>
          </w:hyperlink>
        </w:p>
        <w:p>
          <w:pPr>
            <w:pStyle w:val="TOC1"/>
            <w:tabs>
              <w:tab w:pos="8961" w:val="right" w:leader="dot"/>
            </w:tabs>
            <w:spacing w:line="240" w:lineRule="auto"/>
            <w:ind w:right="0"/>
            <w:jc w:val="left"/>
            <w:rPr>
              <w:rFonts w:ascii="Times New Roman" w:hAnsi="Times New Roman" w:cs="Times New Roman" w:eastAsia="Times New Roman" w:hint="default"/>
            </w:rPr>
          </w:pPr>
          <w:hyperlink w:history="true" w:anchor="_TOC_250001">
            <w:r>
              <w:rPr/>
              <w:t>第十节</w:t>
            </w:r>
            <w:r>
              <w:rPr>
                <w:spacing w:val="-1"/>
              </w:rPr>
              <w:t> </w:t>
            </w:r>
            <w:r>
              <w:rPr/>
              <w:t>公司债券相关情况</w:t>
            </w:r>
            <w:r>
              <w:rPr>
                <w:rFonts w:ascii="Times New Roman" w:hAnsi="Times New Roman" w:cs="Times New Roman" w:eastAsia="Times New Roman" w:hint="default"/>
              </w:rPr>
              <w:tab/>
              <w:t>76</w:t>
            </w:r>
          </w:hyperlink>
        </w:p>
        <w:p>
          <w:pPr>
            <w:pStyle w:val="TOC1"/>
            <w:tabs>
              <w:tab w:pos="8961" w:val="right" w:leader="dot"/>
            </w:tabs>
            <w:spacing w:line="240" w:lineRule="auto" w:before="135"/>
            <w:ind w:right="0"/>
            <w:jc w:val="left"/>
            <w:rPr>
              <w:rFonts w:ascii="Times New Roman" w:hAnsi="Times New Roman" w:cs="Times New Roman" w:eastAsia="Times New Roman" w:hint="default"/>
            </w:rPr>
          </w:pPr>
          <w:r>
            <w:rPr/>
            <w:t>第十一节</w:t>
          </w:r>
          <w:r>
            <w:rPr>
              <w:spacing w:val="-1"/>
            </w:rPr>
            <w:t> </w:t>
          </w:r>
          <w:r>
            <w:rPr/>
            <w:t>财务报告</w:t>
          </w:r>
          <w:r>
            <w:rPr>
              <w:rFonts w:ascii="Times New Roman" w:hAnsi="Times New Roman" w:cs="Times New Roman" w:eastAsia="Times New Roman" w:hint="default"/>
            </w:rPr>
            <w:tab/>
            <w:t>77</w:t>
          </w:r>
        </w:p>
        <w:p>
          <w:pPr>
            <w:pStyle w:val="TOC1"/>
            <w:tabs>
              <w:tab w:pos="8961" w:val="right" w:leader="dot"/>
            </w:tabs>
            <w:spacing w:line="240" w:lineRule="auto"/>
            <w:ind w:right="0"/>
            <w:jc w:val="left"/>
            <w:rPr>
              <w:rFonts w:ascii="Times New Roman" w:hAnsi="Times New Roman" w:cs="Times New Roman" w:eastAsia="Times New Roman" w:hint="default"/>
            </w:rPr>
          </w:pPr>
          <w:hyperlink w:history="true" w:anchor="_TOC_250000">
            <w:r>
              <w:rPr/>
              <w:t>第十二节</w:t>
            </w:r>
            <w:r>
              <w:rPr>
                <w:spacing w:val="-1"/>
              </w:rPr>
              <w:t> </w:t>
            </w:r>
            <w:r>
              <w:rPr/>
              <w:t>备查文件</w:t>
            </w:r>
            <w:r>
              <w:rPr>
                <w:rFonts w:ascii="Times New Roman" w:hAnsi="Times New Roman" w:cs="Times New Roman" w:eastAsia="Times New Roman" w:hint="default"/>
              </w:rPr>
              <w:tab/>
              <w:t>190</w:t>
            </w:r>
          </w:hyperlink>
        </w:p>
      </w:sdtContent>
    </w:sdt>
    <w:p>
      <w:pPr>
        <w:spacing w:after="0" w:line="240" w:lineRule="auto"/>
        <w:jc w:val="left"/>
        <w:rPr>
          <w:rFonts w:ascii="Times New Roman" w:hAnsi="Times New Roman" w:cs="Times New Roman" w:eastAsia="Times New Roman" w:hint="default"/>
        </w:rPr>
        <w:sectPr>
          <w:pgSz w:w="11910" w:h="16840"/>
          <w:pgMar w:header="0" w:footer="1193" w:top="780" w:bottom="1380" w:left="1660" w:right="1140"/>
        </w:sectPr>
      </w:pPr>
    </w:p>
    <w:p>
      <w:pPr>
        <w:spacing w:before="25"/>
        <w:ind w:left="4036" w:right="4068" w:firstLine="0"/>
        <w:jc w:val="center"/>
        <w:rPr>
          <w:rFonts w:ascii="宋体" w:hAnsi="宋体" w:cs="宋体" w:eastAsia="宋体" w:hint="default"/>
          <w:sz w:val="18"/>
          <w:szCs w:val="18"/>
        </w:rPr>
      </w:pPr>
      <w:r>
        <w:rPr/>
        <w:pict>
          <v:group style="position:absolute;margin-left:88.463997pt;margin-top:15.841731pt;width:443.6pt;height:.1pt;mso-position-horizontal-relative:page;mso-position-vertical-relative:paragraph;z-index:1096" coordorigin="1769,317" coordsize="8872,2">
            <v:shape style="position:absolute;left:1769;top:317;width:8872;height:2" coordorigin="1769,317" coordsize="8872,0" path="m1769,317l10641,317e" filled="false" stroked="true" strokeweight=".72pt" strokecolor="#000000">
              <v:path arrowok="t"/>
            </v:shape>
            <w10:wrap type="none"/>
          </v:group>
        </w:pict>
      </w: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pStyle w:val="Heading1"/>
        <w:spacing w:line="240" w:lineRule="auto" w:before="476"/>
        <w:ind w:left="4373" w:right="3968"/>
        <w:jc w:val="center"/>
        <w:rPr>
          <w:b w:val="0"/>
          <w:bCs w:val="0"/>
        </w:rPr>
      </w:pPr>
      <w:bookmarkStart w:name="_TOC_250010" w:id="1"/>
      <w:r>
        <w:rPr/>
        <w:t>第一节</w:t>
      </w:r>
      <w:r>
        <w:rPr>
          <w:spacing w:val="-2"/>
        </w:rPr>
        <w:t> </w:t>
      </w:r>
      <w:r>
        <w:rPr/>
        <w:t>释义</w:t>
      </w:r>
      <w:bookmarkEnd w:id="1"/>
      <w:r>
        <w:rPr>
          <w:b w:val="0"/>
          <w:bCs w:val="0"/>
        </w:rPr>
      </w:r>
    </w:p>
    <w:p>
      <w:pPr>
        <w:pStyle w:val="BodyText"/>
        <w:spacing w:line="321" w:lineRule="auto" w:before="294"/>
        <w:ind w:left="638" w:right="2988"/>
        <w:jc w:val="left"/>
      </w:pPr>
      <w:r>
        <w:rPr/>
        <w:pict>
          <v:shape style="position:absolute;margin-left:63.360001pt;margin-top:53.315624pt;width:495pt;height:588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37"/>
                    <w:gridCol w:w="456"/>
                    <w:gridCol w:w="7492"/>
                  </w:tblGrid>
                  <w:tr>
                    <w:trPr>
                      <w:trHeight w:val="322"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同方股份、公司</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74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同方股份有限公司</w:t>
                        </w:r>
                      </w:p>
                    </w:tc>
                  </w:tr>
                  <w:tr>
                    <w:trPr>
                      <w:trHeight w:val="322"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报告期</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74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日至</w:t>
                        </w:r>
                        <w:r>
                          <w:rPr>
                            <w:rFonts w:ascii="宋体" w:hAnsi="宋体" w:cs="宋体" w:eastAsia="宋体" w:hint="default"/>
                            <w:spacing w:val="-60"/>
                            <w:sz w:val="24"/>
                            <w:szCs w:val="24"/>
                          </w:rPr>
                          <w:t> </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22"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交易所或上交所</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74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上海证券交易所</w:t>
                        </w:r>
                      </w:p>
                    </w:tc>
                  </w:tr>
                  <w:tr>
                    <w:trPr>
                      <w:trHeight w:val="322"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清华控股</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74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清华控股有限公司</w:t>
                        </w:r>
                      </w:p>
                    </w:tc>
                  </w:tr>
                  <w:tr>
                    <w:trPr>
                      <w:trHeight w:val="632"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同方泰德</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74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20"/>
                          <w:jc w:val="left"/>
                          <w:rPr>
                            <w:rFonts w:ascii="宋体" w:hAnsi="宋体" w:cs="宋体" w:eastAsia="宋体" w:hint="default"/>
                            <w:sz w:val="24"/>
                            <w:szCs w:val="24"/>
                          </w:rPr>
                        </w:pPr>
                        <w:r>
                          <w:rPr>
                            <w:rFonts w:ascii="宋体" w:hAnsi="宋体" w:cs="宋体" w:eastAsia="宋体" w:hint="default"/>
                            <w:sz w:val="24"/>
                            <w:szCs w:val="24"/>
                          </w:rPr>
                          <w:t>Technovator</w:t>
                        </w:r>
                        <w:r>
                          <w:rPr>
                            <w:rFonts w:ascii="宋体" w:hAnsi="宋体" w:cs="宋体" w:eastAsia="宋体" w:hint="default"/>
                            <w:spacing w:val="-82"/>
                            <w:sz w:val="24"/>
                            <w:szCs w:val="24"/>
                          </w:rPr>
                          <w:t> </w:t>
                        </w:r>
                        <w:r>
                          <w:rPr>
                            <w:rFonts w:ascii="宋体" w:hAnsi="宋体" w:cs="宋体" w:eastAsia="宋体" w:hint="default"/>
                            <w:sz w:val="24"/>
                            <w:szCs w:val="24"/>
                          </w:rPr>
                          <w:t>International</w:t>
                        </w:r>
                        <w:r>
                          <w:rPr>
                            <w:rFonts w:ascii="宋体" w:hAnsi="宋体" w:cs="宋体" w:eastAsia="宋体" w:hint="default"/>
                            <w:spacing w:val="-82"/>
                            <w:sz w:val="24"/>
                            <w:szCs w:val="24"/>
                          </w:rPr>
                          <w:t> </w:t>
                        </w:r>
                        <w:r>
                          <w:rPr>
                            <w:rFonts w:ascii="宋体" w:hAnsi="宋体" w:cs="宋体" w:eastAsia="宋体" w:hint="default"/>
                            <w:sz w:val="24"/>
                            <w:szCs w:val="24"/>
                          </w:rPr>
                          <w:t>Limited</w:t>
                        </w:r>
                        <w:r>
                          <w:rPr>
                            <w:rFonts w:ascii="宋体" w:hAnsi="宋体" w:cs="宋体" w:eastAsia="宋体" w:hint="default"/>
                            <w:sz w:val="24"/>
                            <w:szCs w:val="24"/>
                          </w:rPr>
                          <w:t>，股票代码：</w:t>
                        </w:r>
                        <w:r>
                          <w:rPr>
                            <w:rFonts w:ascii="宋体" w:hAnsi="宋体" w:cs="宋体" w:eastAsia="宋体" w:hint="default"/>
                            <w:sz w:val="24"/>
                            <w:szCs w:val="24"/>
                          </w:rPr>
                          <w:t>HK1206</w:t>
                        </w:r>
                        <w:r>
                          <w:rPr>
                            <w:rFonts w:ascii="宋体" w:hAnsi="宋体" w:cs="宋体" w:eastAsia="宋体" w:hint="default"/>
                            <w:sz w:val="24"/>
                            <w:szCs w:val="24"/>
                          </w:rPr>
                          <w:t>，股票简称：</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同方泰德</w:t>
                        </w:r>
                      </w:p>
                    </w:tc>
                  </w:tr>
                  <w:tr>
                    <w:trPr>
                      <w:trHeight w:val="63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同方友友</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74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Neo-Neon Holdings Limited</w:t>
                        </w:r>
                        <w:r>
                          <w:rPr>
                            <w:rFonts w:ascii="宋体" w:hAnsi="宋体" w:cs="宋体" w:eastAsia="宋体" w:hint="default"/>
                            <w:sz w:val="24"/>
                            <w:szCs w:val="24"/>
                          </w:rPr>
                          <w:t>，原中文名称“真明丽控股有限公司”，</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股票代码：</w:t>
                        </w:r>
                        <w:r>
                          <w:rPr>
                            <w:rFonts w:ascii="宋体" w:hAnsi="宋体" w:cs="宋体" w:eastAsia="宋体" w:hint="default"/>
                            <w:sz w:val="24"/>
                            <w:szCs w:val="24"/>
                          </w:rPr>
                          <w:t>HK1868</w:t>
                        </w:r>
                        <w:r>
                          <w:rPr>
                            <w:rFonts w:ascii="宋体" w:hAnsi="宋体" w:cs="宋体" w:eastAsia="宋体" w:hint="default"/>
                            <w:sz w:val="24"/>
                            <w:szCs w:val="24"/>
                          </w:rPr>
                          <w:t>，股票简称：同方友友</w:t>
                        </w:r>
                      </w:p>
                    </w:tc>
                  </w:tr>
                  <w:tr>
                    <w:trPr>
                      <w:trHeight w:val="631"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华控赛格</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74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深圳华控赛格股份有限公司，股票代码：</w:t>
                        </w:r>
                        <w:r>
                          <w:rPr>
                            <w:rFonts w:ascii="宋体" w:hAnsi="宋体" w:cs="宋体" w:eastAsia="宋体" w:hint="default"/>
                            <w:sz w:val="24"/>
                            <w:szCs w:val="24"/>
                          </w:rPr>
                          <w:t>000068</w:t>
                        </w:r>
                        <w:r>
                          <w:rPr>
                            <w:rFonts w:ascii="宋体" w:hAnsi="宋体" w:cs="宋体" w:eastAsia="宋体" w:hint="default"/>
                            <w:sz w:val="24"/>
                            <w:szCs w:val="24"/>
                          </w:rPr>
                          <w:t>，股票简称：华控赛</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格</w:t>
                        </w:r>
                      </w:p>
                    </w:tc>
                  </w:tr>
                  <w:tr>
                    <w:trPr>
                      <w:trHeight w:val="63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同方康泰</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74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同方康泰产业集团有限公司，股票代码：</w:t>
                        </w:r>
                        <w:r>
                          <w:rPr>
                            <w:rFonts w:ascii="宋体" w:hAnsi="宋体" w:cs="宋体" w:eastAsia="宋体" w:hint="default"/>
                            <w:sz w:val="24"/>
                            <w:szCs w:val="24"/>
                          </w:rPr>
                          <w:t>HK1312</w:t>
                        </w:r>
                        <w:r>
                          <w:rPr>
                            <w:rFonts w:ascii="宋体" w:hAnsi="宋体" w:cs="宋体" w:eastAsia="宋体" w:hint="default"/>
                            <w:sz w:val="24"/>
                            <w:szCs w:val="24"/>
                          </w:rPr>
                          <w:t>，股票简称：同方康</w:t>
                        </w:r>
                      </w:p>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泰</w:t>
                        </w:r>
                      </w:p>
                    </w:tc>
                  </w:tr>
                  <w:tr>
                    <w:trPr>
                      <w:trHeight w:val="322"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中国医疗网络</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74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20"/>
                          <w:jc w:val="left"/>
                          <w:rPr>
                            <w:rFonts w:ascii="宋体" w:hAnsi="宋体" w:cs="宋体" w:eastAsia="宋体" w:hint="default"/>
                            <w:sz w:val="24"/>
                            <w:szCs w:val="24"/>
                          </w:rPr>
                        </w:pPr>
                        <w:r>
                          <w:rPr>
                            <w:rFonts w:ascii="宋体" w:hAnsi="宋体" w:cs="宋体" w:eastAsia="宋体" w:hint="default"/>
                            <w:spacing w:val="-9"/>
                            <w:sz w:val="24"/>
                            <w:szCs w:val="24"/>
                          </w:rPr>
                          <w:t>中国医疗网络有限公司（股票简称：中国医疗网络，股票代码：</w:t>
                        </w:r>
                        <w:r>
                          <w:rPr>
                            <w:rFonts w:ascii="宋体" w:hAnsi="宋体" w:cs="宋体" w:eastAsia="宋体" w:hint="default"/>
                            <w:spacing w:val="-9"/>
                            <w:sz w:val="24"/>
                            <w:szCs w:val="24"/>
                          </w:rPr>
                          <w:t>HK.383</w:t>
                        </w:r>
                        <w:r>
                          <w:rPr>
                            <w:rFonts w:ascii="宋体" w:hAnsi="宋体" w:cs="宋体" w:eastAsia="宋体" w:hint="default"/>
                            <w:spacing w:val="-9"/>
                            <w:sz w:val="24"/>
                            <w:szCs w:val="24"/>
                          </w:rPr>
                          <w:t>）</w:t>
                        </w:r>
                      </w:p>
                    </w:tc>
                  </w:tr>
                  <w:tr>
                    <w:trPr>
                      <w:trHeight w:val="322"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同方金控</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74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同方金融控股（深圳）有限公司</w:t>
                        </w:r>
                      </w:p>
                    </w:tc>
                  </w:tr>
                  <w:tr>
                    <w:trPr>
                      <w:trHeight w:val="322"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同方国信</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74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同方国信投资控股有限公司，原名称“重庆国信投资控股有限公司”</w:t>
                        </w:r>
                      </w:p>
                    </w:tc>
                  </w:tr>
                  <w:tr>
                    <w:trPr>
                      <w:trHeight w:val="319"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华融泰</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74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深圳市华融泰资产管理有限公司</w:t>
                        </w:r>
                      </w:p>
                    </w:tc>
                  </w:tr>
                  <w:tr>
                    <w:trPr>
                      <w:trHeight w:val="322"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创客天使投资</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749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hAnsi="宋体" w:cs="宋体" w:eastAsia="宋体" w:hint="default"/>
                            <w:sz w:val="24"/>
                            <w:szCs w:val="24"/>
                          </w:rPr>
                          <w:t>苏州市创客天使投资管理有限公司</w:t>
                        </w:r>
                      </w:p>
                    </w:tc>
                  </w:tr>
                  <w:tr>
                    <w:trPr>
                      <w:trHeight w:val="322"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环创基金</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74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苏州清弘环创 投资合伙企业（有限合伙）</w:t>
                        </w:r>
                      </w:p>
                    </w:tc>
                  </w:tr>
                  <w:tr>
                    <w:trPr>
                      <w:trHeight w:val="322"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E</w:t>
                        </w:r>
                        <w:r>
                          <w:rPr>
                            <w:rFonts w:ascii="宋体" w:hAnsi="宋体" w:cs="宋体" w:eastAsia="宋体" w:hint="default"/>
                            <w:spacing w:val="-60"/>
                            <w:sz w:val="24"/>
                            <w:szCs w:val="24"/>
                          </w:rPr>
                          <w:t> </w:t>
                        </w:r>
                        <w:r>
                          <w:rPr>
                            <w:rFonts w:ascii="宋体" w:hAnsi="宋体" w:cs="宋体" w:eastAsia="宋体" w:hint="default"/>
                            <w:sz w:val="24"/>
                            <w:szCs w:val="24"/>
                          </w:rPr>
                          <w:t>人</w:t>
                        </w:r>
                        <w:r>
                          <w:rPr>
                            <w:rFonts w:ascii="宋体" w:hAnsi="宋体" w:cs="宋体" w:eastAsia="宋体" w:hint="default"/>
                            <w:spacing w:val="-60"/>
                            <w:sz w:val="24"/>
                            <w:szCs w:val="24"/>
                          </w:rPr>
                          <w:t> </w:t>
                        </w:r>
                        <w:r>
                          <w:rPr>
                            <w:rFonts w:ascii="宋体" w:hAnsi="宋体" w:cs="宋体" w:eastAsia="宋体" w:hint="default"/>
                            <w:sz w:val="24"/>
                            <w:szCs w:val="24"/>
                          </w:rPr>
                          <w:t>E</w:t>
                        </w:r>
                        <w:r>
                          <w:rPr>
                            <w:rFonts w:ascii="宋体" w:hAnsi="宋体" w:cs="宋体" w:eastAsia="宋体" w:hint="default"/>
                            <w:spacing w:val="-61"/>
                            <w:sz w:val="24"/>
                            <w:szCs w:val="24"/>
                          </w:rPr>
                          <w:t> </w:t>
                        </w:r>
                        <w:r>
                          <w:rPr>
                            <w:rFonts w:ascii="宋体" w:hAnsi="宋体" w:cs="宋体" w:eastAsia="宋体" w:hint="default"/>
                            <w:sz w:val="24"/>
                            <w:szCs w:val="24"/>
                          </w:rPr>
                          <w:t>本</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74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北京壹人壹本信息科技有限公司自有的商用平板电脑等产品</w:t>
                        </w:r>
                      </w:p>
                    </w:tc>
                  </w:tr>
                  <w:tr>
                    <w:trPr>
                      <w:trHeight w:val="322"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CNKI</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74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hyperlink r:id="rId6">
                          <w:r>
                            <w:rPr>
                              <w:rFonts w:ascii="宋体" w:hAnsi="宋体" w:cs="宋体" w:eastAsia="宋体" w:hint="default"/>
                              <w:sz w:val="24"/>
                              <w:szCs w:val="24"/>
                            </w:rPr>
                            <w:t>www.cnki.net</w:t>
                          </w:r>
                        </w:hyperlink>
                        <w:r>
                          <w:rPr>
                            <w:rFonts w:ascii="宋体" w:hAnsi="宋体" w:cs="宋体" w:eastAsia="宋体" w:hint="default"/>
                            <w:sz w:val="24"/>
                            <w:szCs w:val="24"/>
                          </w:rPr>
                          <w:t>，中国知网的门户网站</w:t>
                        </w:r>
                      </w:p>
                    </w:tc>
                  </w:tr>
                  <w:tr>
                    <w:trPr>
                      <w:trHeight w:val="1255"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BOT</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74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pacing w:val="2"/>
                            <w:sz w:val="24"/>
                            <w:szCs w:val="24"/>
                          </w:rPr>
                          <w:t>建设</w:t>
                        </w:r>
                        <w:r>
                          <w:rPr>
                            <w:rFonts w:ascii="宋体" w:hAnsi="宋体" w:cs="宋体" w:eastAsia="宋体" w:hint="default"/>
                            <w:spacing w:val="2"/>
                            <w:sz w:val="24"/>
                            <w:szCs w:val="24"/>
                          </w:rPr>
                          <w:t>-</w:t>
                        </w:r>
                        <w:r>
                          <w:rPr>
                            <w:rFonts w:ascii="宋体" w:hAnsi="宋体" w:cs="宋体" w:eastAsia="宋体" w:hint="default"/>
                            <w:spacing w:val="2"/>
                            <w:sz w:val="24"/>
                            <w:szCs w:val="24"/>
                          </w:rPr>
                          <w:t>运营</w:t>
                        </w:r>
                        <w:r>
                          <w:rPr>
                            <w:rFonts w:ascii="宋体" w:hAnsi="宋体" w:cs="宋体" w:eastAsia="宋体" w:hint="default"/>
                            <w:spacing w:val="2"/>
                            <w:sz w:val="24"/>
                            <w:szCs w:val="24"/>
                          </w:rPr>
                          <w:t>-</w:t>
                        </w:r>
                        <w:r>
                          <w:rPr>
                            <w:rFonts w:ascii="宋体" w:hAnsi="宋体" w:cs="宋体" w:eastAsia="宋体" w:hint="default"/>
                            <w:spacing w:val="2"/>
                            <w:sz w:val="24"/>
                            <w:szCs w:val="24"/>
                          </w:rPr>
                          <w:t>移交的过程，即政府通过特许权协议，授权签约企业承担</w:t>
                        </w:r>
                      </w:p>
                      <w:p>
                        <w:pPr>
                          <w:pStyle w:val="TableParagraph"/>
                          <w:spacing w:line="237" w:lineRule="auto" w:before="1"/>
                          <w:ind w:left="103" w:right="100"/>
                          <w:jc w:val="both"/>
                          <w:rPr>
                            <w:rFonts w:ascii="宋体" w:hAnsi="宋体" w:cs="宋体" w:eastAsia="宋体" w:hint="default"/>
                            <w:sz w:val="24"/>
                            <w:szCs w:val="24"/>
                          </w:rPr>
                        </w:pPr>
                        <w:r>
                          <w:rPr>
                            <w:rFonts w:ascii="宋体" w:hAnsi="宋体" w:cs="宋体" w:eastAsia="宋体" w:hint="default"/>
                            <w:spacing w:val="2"/>
                            <w:sz w:val="24"/>
                            <w:szCs w:val="24"/>
                          </w:rPr>
                          <w:t>项目</w:t>
                        </w:r>
                        <w:r>
                          <w:rPr>
                            <w:rFonts w:ascii="宋体" w:hAnsi="宋体" w:cs="宋体" w:eastAsia="宋体" w:hint="default"/>
                            <w:spacing w:val="2"/>
                            <w:sz w:val="24"/>
                            <w:szCs w:val="24"/>
                          </w:rPr>
                          <w:t>(</w:t>
                        </w:r>
                        <w:r>
                          <w:rPr>
                            <w:rFonts w:ascii="宋体" w:hAnsi="宋体" w:cs="宋体" w:eastAsia="宋体" w:hint="default"/>
                            <w:spacing w:val="2"/>
                            <w:sz w:val="24"/>
                            <w:szCs w:val="24"/>
                          </w:rPr>
                          <w:t>主要是基础设施项目</w:t>
                        </w:r>
                        <w:r>
                          <w:rPr>
                            <w:rFonts w:ascii="宋体" w:hAnsi="宋体" w:cs="宋体" w:eastAsia="宋体" w:hint="default"/>
                            <w:spacing w:val="2"/>
                            <w:sz w:val="24"/>
                            <w:szCs w:val="24"/>
                          </w:rPr>
                          <w:t>)</w:t>
                        </w:r>
                        <w:r>
                          <w:rPr>
                            <w:rFonts w:ascii="宋体" w:hAnsi="宋体" w:cs="宋体" w:eastAsia="宋体" w:hint="default"/>
                            <w:spacing w:val="2"/>
                            <w:sz w:val="24"/>
                            <w:szCs w:val="24"/>
                          </w:rPr>
                          <w:t>的融资、设计、建造、运营和维护，在规 定的特许期内向该项目的使用者收取费用，由此回收项目的投资、运</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营和维护等成本，并获得合理的回报，特许期满后将项目交回政府。</w:t>
                        </w:r>
                      </w:p>
                    </w:tc>
                  </w:tr>
                  <w:tr>
                    <w:trPr>
                      <w:trHeight w:val="631"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sz w:val="24"/>
                          </w:rPr>
                          <w:t>EMC</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74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z w:val="24"/>
                            <w:szCs w:val="24"/>
                          </w:rPr>
                          <w:t>合同能源管理</w:t>
                        </w:r>
                        <w:r>
                          <w:rPr>
                            <w:rFonts w:ascii="宋体" w:hAnsi="宋体" w:cs="宋体" w:eastAsia="宋体" w:hint="default"/>
                            <w:sz w:val="24"/>
                            <w:szCs w:val="24"/>
                          </w:rPr>
                          <w:t>(Energy Management</w:t>
                        </w:r>
                        <w:r>
                          <w:rPr>
                            <w:rFonts w:ascii="宋体" w:hAnsi="宋体" w:cs="宋体" w:eastAsia="宋体" w:hint="default"/>
                            <w:spacing w:val="-43"/>
                            <w:sz w:val="24"/>
                            <w:szCs w:val="24"/>
                          </w:rPr>
                          <w:t> </w:t>
                        </w:r>
                        <w:r>
                          <w:rPr>
                            <w:rFonts w:ascii="宋体" w:hAnsi="宋体" w:cs="宋体" w:eastAsia="宋体" w:hint="default"/>
                            <w:sz w:val="24"/>
                            <w:szCs w:val="24"/>
                          </w:rPr>
                          <w:t>Contracting)</w:t>
                        </w:r>
                        <w:r>
                          <w:rPr>
                            <w:rFonts w:ascii="宋体" w:hAnsi="宋体" w:cs="宋体" w:eastAsia="宋体" w:hint="default"/>
                            <w:sz w:val="24"/>
                            <w:szCs w:val="24"/>
                          </w:rPr>
                          <w:t>，是一种以减少的能</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源费用来支付节能项目全部投入并获得投资收益的节能投资方式。</w:t>
                        </w:r>
                      </w:p>
                    </w:tc>
                  </w:tr>
                  <w:tr>
                    <w:trPr>
                      <w:trHeight w:val="944"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热泵</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74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4"/>
                            <w:szCs w:val="24"/>
                          </w:rPr>
                        </w:pPr>
                        <w:r>
                          <w:rPr>
                            <w:rFonts w:ascii="宋体" w:hAnsi="宋体" w:cs="宋体" w:eastAsia="宋体" w:hint="default"/>
                            <w:spacing w:val="2"/>
                            <w:sz w:val="24"/>
                            <w:szCs w:val="24"/>
                          </w:rPr>
                          <w:t>一种装置，通过电力做功，从自然界的空气、各类水体、地层结构或</w:t>
                        </w:r>
                        <w:r>
                          <w:rPr>
                            <w:rFonts w:ascii="宋体" w:hAnsi="宋体" w:cs="宋体" w:eastAsia="宋体" w:hint="default"/>
                            <w:sz w:val="24"/>
                            <w:szCs w:val="24"/>
                          </w:rPr>
                        </w:r>
                      </w:p>
                      <w:p>
                        <w:pPr>
                          <w:pStyle w:val="TableParagraph"/>
                          <w:spacing w:line="312" w:lineRule="exact" w:before="29"/>
                          <w:ind w:left="103" w:right="105"/>
                          <w:jc w:val="left"/>
                          <w:rPr>
                            <w:rFonts w:ascii="宋体" w:hAnsi="宋体" w:cs="宋体" w:eastAsia="宋体" w:hint="default"/>
                            <w:sz w:val="24"/>
                            <w:szCs w:val="24"/>
                          </w:rPr>
                        </w:pPr>
                        <w:r>
                          <w:rPr>
                            <w:rFonts w:ascii="宋体" w:hAnsi="宋体" w:cs="宋体" w:eastAsia="宋体" w:hint="default"/>
                            <w:spacing w:val="2"/>
                            <w:sz w:val="24"/>
                            <w:szCs w:val="24"/>
                          </w:rPr>
                          <w:t>其他介质中捕获低品位热能，转移并提升至可供人们生产、生活利用</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的高品位热源。</w:t>
                        </w:r>
                      </w:p>
                    </w:tc>
                  </w:tr>
                  <w:tr>
                    <w:trPr>
                      <w:trHeight w:val="322"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工银瑞信</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749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工银瑞信基金管理有限公司</w:t>
                        </w:r>
                      </w:p>
                    </w:tc>
                  </w:tr>
                  <w:tr>
                    <w:trPr>
                      <w:trHeight w:val="322"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博时基金</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74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博时基金管理有限公司公司</w:t>
                        </w:r>
                      </w:p>
                    </w:tc>
                  </w:tr>
                  <w:tr>
                    <w:trPr>
                      <w:trHeight w:val="1567"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sz w:val="24"/>
                          </w:rPr>
                          <w:t>PPP</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74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both"/>
                          <w:rPr>
                            <w:rFonts w:ascii="宋体" w:hAnsi="宋体" w:cs="宋体" w:eastAsia="宋体" w:hint="default"/>
                            <w:sz w:val="24"/>
                            <w:szCs w:val="24"/>
                          </w:rPr>
                        </w:pPr>
                        <w:r>
                          <w:rPr>
                            <w:rFonts w:ascii="宋体" w:hAnsi="宋体" w:cs="宋体" w:eastAsia="宋体" w:hint="default"/>
                            <w:sz w:val="24"/>
                            <w:szCs w:val="24"/>
                          </w:rPr>
                          <w:t>公私合营模式</w:t>
                        </w:r>
                        <w:r>
                          <w:rPr>
                            <w:rFonts w:ascii="宋体" w:hAnsi="宋体" w:cs="宋体" w:eastAsia="宋体" w:hint="default"/>
                            <w:sz w:val="24"/>
                            <w:szCs w:val="24"/>
                          </w:rPr>
                          <w:t>(Public</w:t>
                        </w:r>
                        <w:r>
                          <w:rPr>
                            <w:rFonts w:ascii="宋体" w:hAnsi="宋体" w:cs="宋体" w:eastAsia="宋体" w:hint="default"/>
                            <w:sz w:val="24"/>
                            <w:szCs w:val="24"/>
                          </w:rPr>
                          <w:t>—</w:t>
                        </w:r>
                        <w:r>
                          <w:rPr>
                            <w:rFonts w:ascii="宋体" w:hAnsi="宋体" w:cs="宋体" w:eastAsia="宋体" w:hint="default"/>
                            <w:sz w:val="24"/>
                            <w:szCs w:val="24"/>
                          </w:rPr>
                          <w:t>Private</w:t>
                        </w:r>
                        <w:r>
                          <w:rPr>
                            <w:rFonts w:ascii="宋体" w:hAnsi="宋体" w:cs="宋体" w:eastAsia="宋体" w:hint="default"/>
                            <w:sz w:val="24"/>
                            <w:szCs w:val="24"/>
                          </w:rPr>
                          <w:t>—</w:t>
                        </w:r>
                        <w:r>
                          <w:rPr>
                            <w:rFonts w:ascii="宋体" w:hAnsi="宋体" w:cs="宋体" w:eastAsia="宋体" w:hint="default"/>
                            <w:sz w:val="24"/>
                            <w:szCs w:val="24"/>
                          </w:rPr>
                          <w:t>Partnership)</w:t>
                        </w:r>
                        <w:r>
                          <w:rPr>
                            <w:rFonts w:ascii="宋体" w:hAnsi="宋体" w:cs="宋体" w:eastAsia="宋体" w:hint="default"/>
                            <w:sz w:val="24"/>
                            <w:szCs w:val="24"/>
                          </w:rPr>
                          <w:t>，是指政府与私人组</w:t>
                        </w:r>
                      </w:p>
                      <w:p>
                        <w:pPr>
                          <w:pStyle w:val="TableParagraph"/>
                          <w:spacing w:line="237" w:lineRule="auto" w:before="1"/>
                          <w:ind w:left="103" w:right="100"/>
                          <w:jc w:val="both"/>
                          <w:rPr>
                            <w:rFonts w:ascii="宋体" w:hAnsi="宋体" w:cs="宋体" w:eastAsia="宋体" w:hint="default"/>
                            <w:sz w:val="24"/>
                            <w:szCs w:val="24"/>
                          </w:rPr>
                        </w:pPr>
                        <w:r>
                          <w:rPr>
                            <w:rFonts w:ascii="宋体" w:hAnsi="宋体" w:cs="宋体" w:eastAsia="宋体" w:hint="default"/>
                            <w:spacing w:val="2"/>
                            <w:sz w:val="24"/>
                            <w:szCs w:val="24"/>
                          </w:rPr>
                          <w:t>织之间，为了合作建设城市基础设施项目，或是为了提供某种公共物</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品和服务，以特许权协议为基础，彼此之间形成一种伙伴式的合作关</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系，并通过签署合同来明确双方的权利和义务，以确保合作的顺利完</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成，最终使合作各方达到比预期单独行动更为有利的结果。</w:t>
                        </w:r>
                      </w:p>
                    </w:tc>
                  </w:tr>
                  <w:tr>
                    <w:trPr>
                      <w:trHeight w:val="322" w:hRule="exact"/>
                    </w:trPr>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万元</w:t>
                        </w:r>
                        <w:r>
                          <w:rPr>
                            <w:rFonts w:ascii="宋体" w:hAnsi="宋体" w:cs="宋体" w:eastAsia="宋体" w:hint="default"/>
                            <w:sz w:val="24"/>
                            <w:szCs w:val="24"/>
                          </w:rPr>
                          <w:t>/</w:t>
                        </w:r>
                        <w:r>
                          <w:rPr>
                            <w:rFonts w:ascii="宋体" w:hAnsi="宋体" w:cs="宋体" w:eastAsia="宋体" w:hint="default"/>
                            <w:sz w:val="24"/>
                            <w:szCs w:val="24"/>
                          </w:rPr>
                          <w:t>亿元</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指</w:t>
                        </w:r>
                      </w:p>
                    </w:tc>
                    <w:tc>
                      <w:tcPr>
                        <w:tcW w:w="74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人民币元</w:t>
                        </w:r>
                        <w:r>
                          <w:rPr>
                            <w:rFonts w:ascii="宋体" w:hAnsi="宋体" w:cs="宋体" w:eastAsia="宋体" w:hint="default"/>
                            <w:sz w:val="24"/>
                            <w:szCs w:val="24"/>
                          </w:rPr>
                          <w:t>/</w:t>
                        </w:r>
                        <w:r>
                          <w:rPr>
                            <w:rFonts w:ascii="宋体" w:hAnsi="宋体" w:cs="宋体" w:eastAsia="宋体" w:hint="default"/>
                            <w:sz w:val="24"/>
                            <w:szCs w:val="24"/>
                          </w:rPr>
                          <w:t>万元</w:t>
                        </w:r>
                        <w:r>
                          <w:rPr>
                            <w:rFonts w:ascii="宋体" w:hAnsi="宋体" w:cs="宋体" w:eastAsia="宋体" w:hint="default"/>
                            <w:sz w:val="24"/>
                            <w:szCs w:val="24"/>
                          </w:rPr>
                          <w:t>/</w:t>
                        </w:r>
                        <w:r>
                          <w:rPr>
                            <w:rFonts w:ascii="宋体" w:hAnsi="宋体" w:cs="宋体" w:eastAsia="宋体" w:hint="default"/>
                            <w:sz w:val="24"/>
                            <w:szCs w:val="24"/>
                          </w:rPr>
                          <w:t>亿元</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16"/>
        </w:rPr>
        <w:t> </w:t>
      </w:r>
      <w:r>
        <w:rPr>
          <w:rFonts w:ascii="宋体" w:hAnsi="宋体" w:cs="宋体" w:eastAsia="宋体" w:hint="default"/>
          <w:b/>
          <w:bCs/>
        </w:rPr>
        <w:t>释义</w:t>
      </w:r>
      <w:r>
        <w:rPr>
          <w:rFonts w:ascii="宋体" w:hAnsi="宋体" w:cs="宋体" w:eastAsia="宋体" w:hint="default"/>
          <w:b/>
          <w:bCs/>
          <w:spacing w:val="-119"/>
        </w:rPr>
        <w:t> </w:t>
      </w:r>
      <w:r>
        <w:rPr>
          <w:rFonts w:ascii="宋体" w:hAnsi="宋体" w:cs="宋体" w:eastAsia="宋体" w:hint="default"/>
          <w:b/>
          <w:bCs/>
          <w:spacing w:val="-119"/>
        </w:rPr>
      </w:r>
      <w:r>
        <w:rPr/>
        <w:t>在本报告书中，除非文义另有所指，下列词语具有如下含义：</w:t>
      </w:r>
    </w:p>
    <w:p>
      <w:pPr>
        <w:spacing w:after="0" w:line="321" w:lineRule="auto"/>
        <w:jc w:val="left"/>
        <w:sectPr>
          <w:pgSz w:w="11910" w:h="16840"/>
          <w:pgMar w:header="0" w:footer="1193" w:top="780" w:bottom="1380" w:left="1160" w:right="620"/>
        </w:sectPr>
      </w:pPr>
    </w:p>
    <w:p>
      <w:pPr>
        <w:spacing w:before="25"/>
        <w:ind w:left="4713" w:right="472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94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5"/>
          <w:szCs w:val="25"/>
        </w:rPr>
      </w:pPr>
    </w:p>
    <w:p>
      <w:pPr>
        <w:pStyle w:val="Heading1"/>
        <w:spacing w:line="240" w:lineRule="auto"/>
        <w:ind w:left="3354" w:right="0"/>
        <w:jc w:val="left"/>
        <w:rPr>
          <w:b w:val="0"/>
          <w:bCs w:val="0"/>
        </w:rPr>
      </w:pPr>
      <w:bookmarkStart w:name="_TOC_250009" w:id="2"/>
      <w:r>
        <w:rPr/>
        <w:t>第二节</w:t>
      </w:r>
      <w:r>
        <w:rPr>
          <w:spacing w:val="-1"/>
        </w:rPr>
        <w:t> </w:t>
      </w:r>
      <w:r>
        <w:rPr/>
        <w:t>公司简介和主要财务指标</w:t>
      </w:r>
      <w:bookmarkEnd w:id="2"/>
      <w:r>
        <w:rPr>
          <w:b w:val="0"/>
          <w:bCs w:val="0"/>
        </w:rPr>
      </w:r>
    </w:p>
    <w:p>
      <w:pPr>
        <w:spacing w:line="240" w:lineRule="auto" w:before="7"/>
        <w:rPr>
          <w:rFonts w:ascii="黑体" w:hAnsi="黑体" w:cs="黑体" w:eastAsia="黑体" w:hint="default"/>
          <w:b/>
          <w:bCs/>
          <w:sz w:val="20"/>
          <w:szCs w:val="20"/>
        </w:rPr>
      </w:pPr>
    </w:p>
    <w:p>
      <w:pPr>
        <w:pStyle w:val="Heading2"/>
        <w:spacing w:line="240" w:lineRule="auto" w:before="26"/>
        <w:ind w:left="978" w:right="0"/>
        <w:jc w:val="left"/>
        <w:rPr>
          <w:b w:val="0"/>
          <w:bCs w:val="0"/>
        </w:rPr>
      </w:pPr>
      <w:r>
        <w:rPr/>
        <w:t>一、</w:t>
      </w:r>
      <w:r>
        <w:rPr>
          <w:spacing w:val="-35"/>
        </w:rPr>
        <w:t> </w:t>
      </w:r>
      <w:r>
        <w:rPr/>
        <w:t>公司信息</w:t>
      </w:r>
      <w:r>
        <w:rPr>
          <w:b w:val="0"/>
          <w:bCs w:val="0"/>
        </w:rPr>
      </w:r>
    </w:p>
    <w:p>
      <w:pPr>
        <w:spacing w:line="240" w:lineRule="auto" w:before="7"/>
        <w:rPr>
          <w:rFonts w:ascii="宋体" w:hAnsi="宋体" w:cs="宋体" w:eastAsia="宋体" w:hint="default"/>
          <w:b/>
          <w:bCs/>
          <w:sz w:val="7"/>
          <w:szCs w:val="7"/>
        </w:rPr>
      </w:pPr>
    </w:p>
    <w:tbl>
      <w:tblPr>
        <w:tblW w:w="0" w:type="auto"/>
        <w:jc w:val="left"/>
        <w:tblInd w:w="120" w:type="dxa"/>
        <w:tblLayout w:type="fixed"/>
        <w:tblCellMar>
          <w:top w:w="0" w:type="dxa"/>
          <w:left w:w="0" w:type="dxa"/>
          <w:bottom w:w="0" w:type="dxa"/>
          <w:right w:w="0" w:type="dxa"/>
        </w:tblCellMar>
        <w:tblLook w:val="01E0"/>
      </w:tblPr>
      <w:tblGrid>
        <w:gridCol w:w="4681"/>
        <w:gridCol w:w="5809"/>
      </w:tblGrid>
      <w:tr>
        <w:trPr>
          <w:trHeight w:val="322"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公司的中文名称</w:t>
            </w:r>
          </w:p>
        </w:tc>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同方股份有限公司</w:t>
            </w:r>
          </w:p>
        </w:tc>
      </w:tr>
      <w:tr>
        <w:trPr>
          <w:trHeight w:val="322"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公司的中文简称</w:t>
            </w:r>
          </w:p>
        </w:tc>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同方股份</w:t>
            </w:r>
          </w:p>
        </w:tc>
      </w:tr>
      <w:tr>
        <w:trPr>
          <w:trHeight w:val="322"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公司的外文名称</w:t>
            </w:r>
          </w:p>
        </w:tc>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TSINGHUA TONGFANG CO.,LTD.</w:t>
            </w:r>
          </w:p>
        </w:tc>
      </w:tr>
      <w:tr>
        <w:trPr>
          <w:trHeight w:val="322"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公司的外文名称缩写</w:t>
            </w:r>
          </w:p>
        </w:tc>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THTF</w:t>
            </w:r>
          </w:p>
        </w:tc>
      </w:tr>
      <w:tr>
        <w:trPr>
          <w:trHeight w:val="322"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公司的法定代表人</w:t>
            </w:r>
          </w:p>
        </w:tc>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周立业</w:t>
            </w:r>
          </w:p>
        </w:tc>
      </w:tr>
    </w:tbl>
    <w:p>
      <w:pPr>
        <w:spacing w:line="240" w:lineRule="auto" w:before="3"/>
        <w:rPr>
          <w:rFonts w:ascii="宋体" w:hAnsi="宋体" w:cs="宋体" w:eastAsia="宋体" w:hint="default"/>
          <w:b/>
          <w:bCs/>
          <w:sz w:val="20"/>
          <w:szCs w:val="20"/>
        </w:rPr>
      </w:pPr>
    </w:p>
    <w:p>
      <w:pPr>
        <w:pStyle w:val="Heading2"/>
        <w:spacing w:line="240" w:lineRule="auto" w:before="26"/>
        <w:ind w:left="978" w:right="0"/>
        <w:jc w:val="left"/>
        <w:rPr>
          <w:b w:val="0"/>
          <w:bCs w:val="0"/>
        </w:rPr>
      </w:pPr>
      <w:r>
        <w:rPr/>
        <w:t>二、</w:t>
      </w:r>
      <w:r>
        <w:rPr>
          <w:spacing w:val="-37"/>
        </w:rPr>
        <w:t> </w:t>
      </w:r>
      <w:r>
        <w:rPr/>
        <w:t>联系人和联系方式</w:t>
      </w:r>
      <w:r>
        <w:rPr>
          <w:b w:val="0"/>
          <w:bCs w:val="0"/>
        </w:rPr>
      </w:r>
    </w:p>
    <w:p>
      <w:pPr>
        <w:spacing w:line="240" w:lineRule="auto" w:before="7"/>
        <w:rPr>
          <w:rFonts w:ascii="宋体" w:hAnsi="宋体" w:cs="宋体" w:eastAsia="宋体" w:hint="default"/>
          <w:b/>
          <w:bCs/>
          <w:sz w:val="7"/>
          <w:szCs w:val="7"/>
        </w:rPr>
      </w:pPr>
    </w:p>
    <w:tbl>
      <w:tblPr>
        <w:tblW w:w="0" w:type="auto"/>
        <w:jc w:val="left"/>
        <w:tblInd w:w="113" w:type="dxa"/>
        <w:tblLayout w:type="fixed"/>
        <w:tblCellMar>
          <w:top w:w="0" w:type="dxa"/>
          <w:left w:w="0" w:type="dxa"/>
          <w:bottom w:w="0" w:type="dxa"/>
          <w:right w:w="0" w:type="dxa"/>
        </w:tblCellMar>
        <w:tblLook w:val="01E0"/>
      </w:tblPr>
      <w:tblGrid>
        <w:gridCol w:w="3003"/>
        <w:gridCol w:w="3912"/>
        <w:gridCol w:w="3637"/>
      </w:tblGrid>
      <w:tr>
        <w:trPr>
          <w:trHeight w:val="322" w:hRule="exact"/>
        </w:trPr>
        <w:tc>
          <w:tcPr>
            <w:tcW w:w="3003" w:type="dxa"/>
            <w:tcBorders>
              <w:top w:val="single" w:sz="4" w:space="0" w:color="000000"/>
              <w:left w:val="single" w:sz="4" w:space="0" w:color="000000"/>
              <w:bottom w:val="single" w:sz="4" w:space="0" w:color="000000"/>
              <w:right w:val="single" w:sz="4" w:space="0" w:color="000000"/>
            </w:tcBorders>
          </w:tcPr>
          <w:p>
            <w:pPr/>
          </w:p>
        </w:tc>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322"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39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张园园</w:t>
            </w:r>
          </w:p>
        </w:tc>
        <w:tc>
          <w:tcPr>
            <w:tcW w:w="36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王鹏</w:t>
            </w:r>
          </w:p>
        </w:tc>
      </w:tr>
      <w:tr>
        <w:trPr>
          <w:trHeight w:val="322"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联系地址</w:t>
            </w:r>
          </w:p>
        </w:tc>
        <w:tc>
          <w:tcPr>
            <w:tcW w:w="7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北京海淀区清华同方科技大厦</w:t>
            </w:r>
            <w:r>
              <w:rPr>
                <w:rFonts w:ascii="宋体" w:hAnsi="宋体" w:cs="宋体" w:eastAsia="宋体" w:hint="default"/>
                <w:sz w:val="24"/>
                <w:szCs w:val="24"/>
              </w:rPr>
              <w:t>A</w:t>
            </w:r>
            <w:r>
              <w:rPr>
                <w:rFonts w:ascii="宋体" w:hAnsi="宋体" w:cs="宋体" w:eastAsia="宋体" w:hint="default"/>
                <w:sz w:val="24"/>
                <w:szCs w:val="24"/>
              </w:rPr>
              <w:t>座</w:t>
            </w:r>
            <w:r>
              <w:rPr>
                <w:rFonts w:ascii="宋体" w:hAnsi="宋体" w:cs="宋体" w:eastAsia="宋体" w:hint="default"/>
                <w:sz w:val="24"/>
                <w:szCs w:val="24"/>
              </w:rPr>
              <w:t>29</w:t>
            </w:r>
            <w:r>
              <w:rPr>
                <w:rFonts w:ascii="宋体" w:hAnsi="宋体" w:cs="宋体" w:eastAsia="宋体" w:hint="default"/>
                <w:sz w:val="24"/>
                <w:szCs w:val="24"/>
              </w:rPr>
              <w:t>层</w:t>
            </w:r>
          </w:p>
        </w:tc>
      </w:tr>
      <w:tr>
        <w:trPr>
          <w:trHeight w:val="319"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电话</w:t>
            </w:r>
          </w:p>
        </w:tc>
        <w:tc>
          <w:tcPr>
            <w:tcW w:w="7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010</w:t>
            </w:r>
            <w:r>
              <w:rPr>
                <w:rFonts w:ascii="宋体" w:hAnsi="宋体" w:cs="宋体" w:eastAsia="宋体" w:hint="default"/>
                <w:sz w:val="24"/>
                <w:szCs w:val="24"/>
              </w:rPr>
              <w:t>－</w:t>
            </w:r>
            <w:r>
              <w:rPr>
                <w:rFonts w:ascii="宋体" w:hAnsi="宋体" w:cs="宋体" w:eastAsia="宋体" w:hint="default"/>
                <w:sz w:val="24"/>
                <w:szCs w:val="24"/>
              </w:rPr>
              <w:t>82399888</w:t>
            </w:r>
          </w:p>
        </w:tc>
      </w:tr>
      <w:tr>
        <w:trPr>
          <w:trHeight w:val="322"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传真</w:t>
            </w:r>
          </w:p>
        </w:tc>
        <w:tc>
          <w:tcPr>
            <w:tcW w:w="7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010</w:t>
            </w:r>
            <w:r>
              <w:rPr>
                <w:rFonts w:ascii="宋体" w:hAnsi="宋体" w:cs="宋体" w:eastAsia="宋体" w:hint="default"/>
                <w:sz w:val="24"/>
                <w:szCs w:val="24"/>
              </w:rPr>
              <w:t>－</w:t>
            </w:r>
            <w:r>
              <w:rPr>
                <w:rFonts w:ascii="宋体" w:hAnsi="宋体" w:cs="宋体" w:eastAsia="宋体" w:hint="default"/>
                <w:sz w:val="24"/>
                <w:szCs w:val="24"/>
              </w:rPr>
              <w:t>82399765</w:t>
            </w:r>
          </w:p>
        </w:tc>
      </w:tr>
      <w:tr>
        <w:trPr>
          <w:trHeight w:val="322" w:hRule="exact"/>
        </w:trPr>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7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hyperlink r:id="rId7">
              <w:r>
                <w:rPr>
                  <w:rFonts w:ascii="宋体"/>
                  <w:sz w:val="24"/>
                </w:rPr>
                <w:t>600100@thtf.com.cn</w:t>
              </w:r>
            </w:hyperlink>
          </w:p>
        </w:tc>
      </w:tr>
    </w:tbl>
    <w:p>
      <w:pPr>
        <w:spacing w:line="240" w:lineRule="auto" w:before="6"/>
        <w:rPr>
          <w:rFonts w:ascii="宋体" w:hAnsi="宋体" w:cs="宋体" w:eastAsia="宋体" w:hint="default"/>
          <w:b/>
          <w:bCs/>
          <w:sz w:val="20"/>
          <w:szCs w:val="20"/>
        </w:rPr>
      </w:pPr>
    </w:p>
    <w:p>
      <w:pPr>
        <w:pStyle w:val="Heading2"/>
        <w:spacing w:line="240" w:lineRule="auto" w:before="26"/>
        <w:ind w:left="978" w:right="0"/>
        <w:jc w:val="left"/>
        <w:rPr>
          <w:b w:val="0"/>
          <w:bCs w:val="0"/>
        </w:rPr>
      </w:pPr>
      <w:r>
        <w:rPr/>
        <w:t>三、</w:t>
      </w:r>
      <w:r>
        <w:rPr>
          <w:spacing w:val="-37"/>
        </w:rPr>
        <w:t> </w:t>
      </w:r>
      <w:r>
        <w:rPr/>
        <w:t>基本情况简介</w:t>
      </w:r>
      <w:r>
        <w:rPr>
          <w:b w:val="0"/>
          <w:bCs w:val="0"/>
        </w:rPr>
      </w:r>
    </w:p>
    <w:p>
      <w:pPr>
        <w:spacing w:line="240" w:lineRule="auto" w:before="4"/>
        <w:rPr>
          <w:rFonts w:ascii="宋体" w:hAnsi="宋体" w:cs="宋体" w:eastAsia="宋体" w:hint="default"/>
          <w:b/>
          <w:bCs/>
          <w:sz w:val="7"/>
          <w:szCs w:val="7"/>
        </w:rPr>
      </w:pPr>
    </w:p>
    <w:tbl>
      <w:tblPr>
        <w:tblW w:w="0" w:type="auto"/>
        <w:jc w:val="left"/>
        <w:tblInd w:w="120" w:type="dxa"/>
        <w:tblLayout w:type="fixed"/>
        <w:tblCellMar>
          <w:top w:w="0" w:type="dxa"/>
          <w:left w:w="0" w:type="dxa"/>
          <w:bottom w:w="0" w:type="dxa"/>
          <w:right w:w="0" w:type="dxa"/>
        </w:tblCellMar>
        <w:tblLook w:val="01E0"/>
      </w:tblPr>
      <w:tblGrid>
        <w:gridCol w:w="4683"/>
        <w:gridCol w:w="5809"/>
      </w:tblGrid>
      <w:tr>
        <w:trPr>
          <w:trHeight w:val="322" w:hRule="exact"/>
        </w:trPr>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公司注册地址</w:t>
            </w:r>
          </w:p>
        </w:tc>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4" w:right="0"/>
              <w:jc w:val="left"/>
              <w:rPr>
                <w:rFonts w:ascii="宋体" w:hAnsi="宋体" w:cs="宋体" w:eastAsia="宋体" w:hint="default"/>
                <w:sz w:val="24"/>
                <w:szCs w:val="24"/>
              </w:rPr>
            </w:pPr>
            <w:r>
              <w:rPr>
                <w:rFonts w:ascii="宋体" w:hAnsi="宋体" w:cs="宋体" w:eastAsia="宋体" w:hint="default"/>
                <w:sz w:val="24"/>
                <w:szCs w:val="24"/>
              </w:rPr>
              <w:t>北京海淀区王庄路</w:t>
            </w:r>
            <w:r>
              <w:rPr>
                <w:rFonts w:ascii="宋体" w:hAnsi="宋体" w:cs="宋体" w:eastAsia="宋体" w:hint="default"/>
                <w:sz w:val="24"/>
                <w:szCs w:val="24"/>
              </w:rPr>
              <w:t>1</w:t>
            </w:r>
            <w:r>
              <w:rPr>
                <w:rFonts w:ascii="宋体" w:hAnsi="宋体" w:cs="宋体" w:eastAsia="宋体" w:hint="default"/>
                <w:sz w:val="24"/>
                <w:szCs w:val="24"/>
              </w:rPr>
              <w:t>号清华同方科技大厦</w:t>
            </w:r>
            <w:r>
              <w:rPr>
                <w:rFonts w:ascii="宋体" w:hAnsi="宋体" w:cs="宋体" w:eastAsia="宋体" w:hint="default"/>
                <w:sz w:val="24"/>
                <w:szCs w:val="24"/>
              </w:rPr>
              <w:t>A</w:t>
            </w:r>
            <w:r>
              <w:rPr>
                <w:rFonts w:ascii="宋体" w:hAnsi="宋体" w:cs="宋体" w:eastAsia="宋体" w:hint="default"/>
                <w:sz w:val="24"/>
                <w:szCs w:val="24"/>
              </w:rPr>
              <w:t>座</w:t>
            </w:r>
            <w:r>
              <w:rPr>
                <w:rFonts w:ascii="宋体" w:hAnsi="宋体" w:cs="宋体" w:eastAsia="宋体" w:hint="default"/>
                <w:sz w:val="24"/>
                <w:szCs w:val="24"/>
              </w:rPr>
              <w:t>30</w:t>
            </w:r>
            <w:r>
              <w:rPr>
                <w:rFonts w:ascii="宋体" w:hAnsi="宋体" w:cs="宋体" w:eastAsia="宋体" w:hint="default"/>
                <w:sz w:val="24"/>
                <w:szCs w:val="24"/>
              </w:rPr>
              <w:t>层</w:t>
            </w:r>
          </w:p>
        </w:tc>
      </w:tr>
      <w:tr>
        <w:trPr>
          <w:trHeight w:val="322" w:hRule="exact"/>
        </w:trPr>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公司注册地址的邮政编码</w:t>
            </w:r>
          </w:p>
        </w:tc>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100083</w:t>
            </w:r>
          </w:p>
        </w:tc>
      </w:tr>
      <w:tr>
        <w:trPr>
          <w:trHeight w:val="322" w:hRule="exact"/>
        </w:trPr>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公司办公地址</w:t>
            </w:r>
          </w:p>
        </w:tc>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北京海淀区清华同方科技大厦</w:t>
            </w:r>
            <w:r>
              <w:rPr>
                <w:rFonts w:ascii="宋体" w:hAnsi="宋体" w:cs="宋体" w:eastAsia="宋体" w:hint="default"/>
                <w:sz w:val="24"/>
                <w:szCs w:val="24"/>
              </w:rPr>
              <w:t>A</w:t>
            </w:r>
            <w:r>
              <w:rPr>
                <w:rFonts w:ascii="宋体" w:hAnsi="宋体" w:cs="宋体" w:eastAsia="宋体" w:hint="default"/>
                <w:sz w:val="24"/>
                <w:szCs w:val="24"/>
              </w:rPr>
              <w:t>座</w:t>
            </w:r>
            <w:r>
              <w:rPr>
                <w:rFonts w:ascii="宋体" w:hAnsi="宋体" w:cs="宋体" w:eastAsia="宋体" w:hint="default"/>
                <w:sz w:val="24"/>
                <w:szCs w:val="24"/>
              </w:rPr>
              <w:t>29</w:t>
            </w:r>
            <w:r>
              <w:rPr>
                <w:rFonts w:ascii="宋体" w:hAnsi="宋体" w:cs="宋体" w:eastAsia="宋体" w:hint="default"/>
                <w:sz w:val="24"/>
                <w:szCs w:val="24"/>
              </w:rPr>
              <w:t>层</w:t>
            </w:r>
          </w:p>
        </w:tc>
      </w:tr>
      <w:tr>
        <w:trPr>
          <w:trHeight w:val="322" w:hRule="exact"/>
        </w:trPr>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公司办公地址的邮政编码</w:t>
            </w:r>
          </w:p>
        </w:tc>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sz w:val="24"/>
              </w:rPr>
              <w:t>100083</w:t>
            </w:r>
          </w:p>
        </w:tc>
      </w:tr>
      <w:tr>
        <w:trPr>
          <w:trHeight w:val="322" w:hRule="exact"/>
        </w:trPr>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公司网址</w:t>
            </w:r>
          </w:p>
        </w:tc>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hyperlink r:id="rId8">
              <w:r>
                <w:rPr>
                  <w:rFonts w:ascii="宋体"/>
                  <w:sz w:val="24"/>
                </w:rPr>
                <w:t>http://www.thtf.com.cn</w:t>
              </w:r>
            </w:hyperlink>
          </w:p>
        </w:tc>
      </w:tr>
      <w:tr>
        <w:trPr>
          <w:trHeight w:val="322" w:hRule="exact"/>
        </w:trPr>
        <w:tc>
          <w:tcPr>
            <w:tcW w:w="46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58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4" w:right="0"/>
              <w:jc w:val="left"/>
              <w:rPr>
                <w:rFonts w:ascii="宋体" w:hAnsi="宋体" w:cs="宋体" w:eastAsia="宋体" w:hint="default"/>
                <w:sz w:val="24"/>
                <w:szCs w:val="24"/>
              </w:rPr>
            </w:pPr>
            <w:hyperlink r:id="rId7">
              <w:r>
                <w:rPr>
                  <w:rFonts w:ascii="宋体"/>
                  <w:sz w:val="24"/>
                </w:rPr>
                <w:t>600100@thtf.com.cn</w:t>
              </w:r>
            </w:hyperlink>
          </w:p>
        </w:tc>
      </w:tr>
    </w:tbl>
    <w:p>
      <w:pPr>
        <w:spacing w:line="240" w:lineRule="auto" w:before="3"/>
        <w:rPr>
          <w:rFonts w:ascii="宋体" w:hAnsi="宋体" w:cs="宋体" w:eastAsia="宋体" w:hint="default"/>
          <w:b/>
          <w:bCs/>
          <w:sz w:val="20"/>
          <w:szCs w:val="20"/>
        </w:rPr>
      </w:pPr>
    </w:p>
    <w:p>
      <w:pPr>
        <w:pStyle w:val="Heading2"/>
        <w:spacing w:line="240" w:lineRule="auto" w:before="26"/>
        <w:ind w:left="978" w:right="0"/>
        <w:jc w:val="left"/>
        <w:rPr>
          <w:b w:val="0"/>
          <w:bCs w:val="0"/>
        </w:rPr>
      </w:pPr>
      <w:r>
        <w:rPr/>
        <w:t>四、</w:t>
      </w:r>
      <w:r>
        <w:rPr>
          <w:spacing w:val="-36"/>
        </w:rPr>
        <w:t> </w:t>
      </w:r>
      <w:r>
        <w:rPr/>
        <w:t>信息披露及备置地点</w:t>
      </w:r>
      <w:r>
        <w:rPr>
          <w:b w:val="0"/>
          <w:bCs w:val="0"/>
        </w:rPr>
      </w:r>
    </w:p>
    <w:p>
      <w:pPr>
        <w:spacing w:line="240" w:lineRule="auto" w:before="7"/>
        <w:rPr>
          <w:rFonts w:ascii="宋体" w:hAnsi="宋体" w:cs="宋体" w:eastAsia="宋体" w:hint="default"/>
          <w:b/>
          <w:bCs/>
          <w:sz w:val="7"/>
          <w:szCs w:val="7"/>
        </w:rPr>
      </w:pPr>
    </w:p>
    <w:tbl>
      <w:tblPr>
        <w:tblW w:w="0" w:type="auto"/>
        <w:jc w:val="left"/>
        <w:tblInd w:w="147" w:type="dxa"/>
        <w:tblLayout w:type="fixed"/>
        <w:tblCellMar>
          <w:top w:w="0" w:type="dxa"/>
          <w:left w:w="0" w:type="dxa"/>
          <w:bottom w:w="0" w:type="dxa"/>
          <w:right w:w="0" w:type="dxa"/>
        </w:tblCellMar>
        <w:tblLook w:val="01E0"/>
      </w:tblPr>
      <w:tblGrid>
        <w:gridCol w:w="4979"/>
        <w:gridCol w:w="5507"/>
      </w:tblGrid>
      <w:tr>
        <w:trPr>
          <w:trHeight w:val="322"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公司选定的信息披露媒体名称</w:t>
            </w:r>
          </w:p>
        </w:tc>
        <w:tc>
          <w:tcPr>
            <w:tcW w:w="5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《中国证券报》、《上海证券报》、《证券时报》</w:t>
            </w:r>
          </w:p>
        </w:tc>
      </w:tr>
      <w:tr>
        <w:trPr>
          <w:trHeight w:val="322"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登载年度报告的中国证监会指定网站的网址</w:t>
            </w:r>
          </w:p>
        </w:tc>
        <w:tc>
          <w:tcPr>
            <w:tcW w:w="5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hyperlink r:id="rId9">
              <w:r>
                <w:rPr>
                  <w:rFonts w:ascii="宋体"/>
                  <w:sz w:val="24"/>
                </w:rPr>
                <w:t>http://www.sse.com.cn</w:t>
              </w:r>
            </w:hyperlink>
          </w:p>
        </w:tc>
      </w:tr>
      <w:tr>
        <w:trPr>
          <w:trHeight w:val="322" w:hRule="exact"/>
        </w:trPr>
        <w:tc>
          <w:tcPr>
            <w:tcW w:w="49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公司年度报告备置地点</w:t>
            </w:r>
          </w:p>
        </w:tc>
        <w:tc>
          <w:tcPr>
            <w:tcW w:w="55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hAnsi="宋体" w:cs="宋体" w:eastAsia="宋体" w:hint="default"/>
                <w:sz w:val="24"/>
                <w:szCs w:val="24"/>
              </w:rPr>
              <w:t>北京海淀区清华同方科技大厦</w:t>
            </w:r>
            <w:r>
              <w:rPr>
                <w:rFonts w:ascii="宋体" w:hAnsi="宋体" w:cs="宋体" w:eastAsia="宋体" w:hint="default"/>
                <w:sz w:val="24"/>
                <w:szCs w:val="24"/>
              </w:rPr>
              <w:t>A</w:t>
            </w:r>
            <w:r>
              <w:rPr>
                <w:rFonts w:ascii="宋体" w:hAnsi="宋体" w:cs="宋体" w:eastAsia="宋体" w:hint="default"/>
                <w:sz w:val="24"/>
                <w:szCs w:val="24"/>
              </w:rPr>
              <w:t>座</w:t>
            </w:r>
            <w:r>
              <w:rPr>
                <w:rFonts w:ascii="宋体" w:hAnsi="宋体" w:cs="宋体" w:eastAsia="宋体" w:hint="default"/>
                <w:sz w:val="24"/>
                <w:szCs w:val="24"/>
              </w:rPr>
              <w:t>29</w:t>
            </w:r>
            <w:r>
              <w:rPr>
                <w:rFonts w:ascii="宋体" w:hAnsi="宋体" w:cs="宋体" w:eastAsia="宋体" w:hint="default"/>
                <w:sz w:val="24"/>
                <w:szCs w:val="24"/>
              </w:rPr>
              <w:t>层办公室</w:t>
            </w:r>
          </w:p>
        </w:tc>
      </w:tr>
    </w:tbl>
    <w:p>
      <w:pPr>
        <w:spacing w:line="240" w:lineRule="auto" w:before="4"/>
        <w:rPr>
          <w:rFonts w:ascii="宋体" w:hAnsi="宋体" w:cs="宋体" w:eastAsia="宋体" w:hint="default"/>
          <w:b/>
          <w:bCs/>
          <w:sz w:val="20"/>
          <w:szCs w:val="20"/>
        </w:rPr>
      </w:pPr>
    </w:p>
    <w:p>
      <w:pPr>
        <w:pStyle w:val="Heading2"/>
        <w:spacing w:line="240" w:lineRule="auto" w:before="26"/>
        <w:ind w:left="978" w:right="0"/>
        <w:jc w:val="left"/>
        <w:rPr>
          <w:b w:val="0"/>
          <w:bCs w:val="0"/>
        </w:rPr>
      </w:pPr>
      <w:r>
        <w:rPr/>
        <w:t>五、</w:t>
      </w:r>
      <w:r>
        <w:rPr>
          <w:spacing w:val="-37"/>
        </w:rPr>
        <w:t> </w:t>
      </w:r>
      <w:r>
        <w:rPr/>
        <w:t>公司股票简况</w:t>
      </w:r>
      <w:r>
        <w:rPr>
          <w:b w:val="0"/>
          <w:bCs w:val="0"/>
        </w:rPr>
      </w:r>
    </w:p>
    <w:p>
      <w:pPr>
        <w:spacing w:line="240" w:lineRule="auto" w:before="7"/>
        <w:rPr>
          <w:rFonts w:ascii="宋体" w:hAnsi="宋体" w:cs="宋体" w:eastAsia="宋体" w:hint="default"/>
          <w:b/>
          <w:bCs/>
          <w:sz w:val="7"/>
          <w:szCs w:val="7"/>
        </w:rPr>
      </w:pPr>
    </w:p>
    <w:tbl>
      <w:tblPr>
        <w:tblW w:w="0" w:type="auto"/>
        <w:jc w:val="left"/>
        <w:tblInd w:w="120" w:type="dxa"/>
        <w:tblLayout w:type="fixed"/>
        <w:tblCellMar>
          <w:top w:w="0" w:type="dxa"/>
          <w:left w:w="0" w:type="dxa"/>
          <w:bottom w:w="0" w:type="dxa"/>
          <w:right w:w="0" w:type="dxa"/>
        </w:tblCellMar>
        <w:tblLook w:val="01E0"/>
      </w:tblPr>
      <w:tblGrid>
        <w:gridCol w:w="2602"/>
        <w:gridCol w:w="1777"/>
        <w:gridCol w:w="1779"/>
        <w:gridCol w:w="1781"/>
        <w:gridCol w:w="2554"/>
      </w:tblGrid>
      <w:tr>
        <w:trPr>
          <w:trHeight w:val="322" w:hRule="exact"/>
        </w:trPr>
        <w:tc>
          <w:tcPr>
            <w:tcW w:w="104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公司股票简况</w:t>
            </w:r>
          </w:p>
        </w:tc>
      </w:tr>
      <w:tr>
        <w:trPr>
          <w:trHeight w:val="319"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股票种类</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center"/>
              <w:rPr>
                <w:rFonts w:ascii="宋体" w:hAnsi="宋体" w:cs="宋体" w:eastAsia="宋体" w:hint="default"/>
                <w:sz w:val="24"/>
                <w:szCs w:val="24"/>
              </w:rPr>
            </w:pPr>
            <w:r>
              <w:rPr>
                <w:rFonts w:ascii="宋体" w:hAnsi="宋体" w:cs="宋体" w:eastAsia="宋体" w:hint="default"/>
                <w:sz w:val="24"/>
                <w:szCs w:val="24"/>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股票代码</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变更前股票简称</w:t>
            </w:r>
          </w:p>
        </w:tc>
      </w:tr>
      <w:tr>
        <w:trPr>
          <w:trHeight w:val="324" w:hRule="exact"/>
        </w:trPr>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A</w:t>
            </w:r>
            <w:r>
              <w:rPr>
                <w:rFonts w:ascii="宋体" w:hAnsi="宋体" w:cs="宋体" w:eastAsia="宋体" w:hint="default"/>
                <w:sz w:val="24"/>
                <w:szCs w:val="24"/>
              </w:rPr>
              <w:t>股</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3"/>
              <w:jc w:val="center"/>
              <w:rPr>
                <w:rFonts w:ascii="宋体" w:hAnsi="宋体" w:cs="宋体" w:eastAsia="宋体" w:hint="default"/>
                <w:sz w:val="24"/>
                <w:szCs w:val="24"/>
              </w:rPr>
            </w:pPr>
            <w:r>
              <w:rPr>
                <w:rFonts w:ascii="宋体" w:hAnsi="宋体" w:cs="宋体" w:eastAsia="宋体" w:hint="default"/>
                <w:sz w:val="24"/>
                <w:szCs w:val="24"/>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同方股份</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600100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清华同方</w:t>
            </w:r>
          </w:p>
        </w:tc>
      </w:tr>
    </w:tbl>
    <w:p>
      <w:pPr>
        <w:spacing w:line="240" w:lineRule="auto" w:before="3"/>
        <w:rPr>
          <w:rFonts w:ascii="宋体" w:hAnsi="宋体" w:cs="宋体" w:eastAsia="宋体" w:hint="default"/>
          <w:b/>
          <w:bCs/>
          <w:sz w:val="20"/>
          <w:szCs w:val="20"/>
        </w:rPr>
      </w:pPr>
    </w:p>
    <w:p>
      <w:pPr>
        <w:pStyle w:val="Heading2"/>
        <w:spacing w:line="240" w:lineRule="auto" w:before="26"/>
        <w:ind w:left="978" w:right="0"/>
        <w:jc w:val="left"/>
        <w:rPr>
          <w:b w:val="0"/>
          <w:bCs w:val="0"/>
        </w:rPr>
      </w:pPr>
      <w:r>
        <w:rPr/>
        <w:t>六、</w:t>
      </w:r>
      <w:r>
        <w:rPr>
          <w:spacing w:val="-37"/>
        </w:rPr>
        <w:t> </w:t>
      </w:r>
      <w:r>
        <w:rPr/>
        <w:t>其他相关资料</w:t>
      </w:r>
      <w:r>
        <w:rPr>
          <w:b w:val="0"/>
          <w:bCs w:val="0"/>
        </w:rPr>
      </w:r>
    </w:p>
    <w:p>
      <w:pPr>
        <w:spacing w:line="240" w:lineRule="auto" w:before="7"/>
        <w:rPr>
          <w:rFonts w:ascii="宋体" w:hAnsi="宋体" w:cs="宋体" w:eastAsia="宋体" w:hint="default"/>
          <w:b/>
          <w:bCs/>
          <w:sz w:val="7"/>
          <w:szCs w:val="7"/>
        </w:rPr>
      </w:pPr>
    </w:p>
    <w:tbl>
      <w:tblPr>
        <w:tblW w:w="0" w:type="auto"/>
        <w:jc w:val="left"/>
        <w:tblInd w:w="135" w:type="dxa"/>
        <w:tblLayout w:type="fixed"/>
        <w:tblCellMar>
          <w:top w:w="0" w:type="dxa"/>
          <w:left w:w="0" w:type="dxa"/>
          <w:bottom w:w="0" w:type="dxa"/>
          <w:right w:w="0" w:type="dxa"/>
        </w:tblCellMar>
        <w:tblLook w:val="01E0"/>
      </w:tblPr>
      <w:tblGrid>
        <w:gridCol w:w="3687"/>
        <w:gridCol w:w="2002"/>
        <w:gridCol w:w="4823"/>
      </w:tblGrid>
      <w:tr>
        <w:trPr>
          <w:trHeight w:val="322" w:hRule="exact"/>
        </w:trPr>
        <w:tc>
          <w:tcPr>
            <w:tcW w:w="368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103" w:right="-16"/>
              <w:jc w:val="left"/>
              <w:rPr>
                <w:rFonts w:ascii="宋体" w:hAnsi="宋体" w:cs="宋体" w:eastAsia="宋体" w:hint="default"/>
                <w:sz w:val="24"/>
                <w:szCs w:val="24"/>
              </w:rPr>
            </w:pPr>
            <w:r>
              <w:rPr>
                <w:rFonts w:ascii="宋体" w:hAnsi="宋体" w:cs="宋体" w:eastAsia="宋体" w:hint="default"/>
                <w:spacing w:val="-1"/>
                <w:sz w:val="24"/>
                <w:szCs w:val="24"/>
              </w:rPr>
              <w:t>公司聘请的会计师事务所（境内）</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48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信永中和会计师事务所</w:t>
            </w:r>
            <w:r>
              <w:rPr>
                <w:rFonts w:ascii="宋体" w:hAnsi="宋体" w:cs="宋体" w:eastAsia="宋体" w:hint="default"/>
                <w:sz w:val="24"/>
                <w:szCs w:val="24"/>
              </w:rPr>
              <w:t>(</w:t>
            </w:r>
            <w:r>
              <w:rPr>
                <w:rFonts w:ascii="宋体" w:hAnsi="宋体" w:cs="宋体" w:eastAsia="宋体" w:hint="default"/>
                <w:sz w:val="24"/>
                <w:szCs w:val="24"/>
              </w:rPr>
              <w:t>特殊普通合伙</w:t>
            </w:r>
            <w:r>
              <w:rPr>
                <w:rFonts w:ascii="宋体" w:hAnsi="宋体" w:cs="宋体" w:eastAsia="宋体" w:hint="default"/>
                <w:sz w:val="24"/>
                <w:szCs w:val="24"/>
              </w:rPr>
              <w:t>)</w:t>
            </w:r>
          </w:p>
        </w:tc>
      </w:tr>
      <w:tr>
        <w:trPr>
          <w:trHeight w:val="319" w:hRule="exact"/>
        </w:trPr>
        <w:tc>
          <w:tcPr>
            <w:tcW w:w="3687" w:type="dxa"/>
            <w:vMerge/>
            <w:tcBorders>
              <w:left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48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北京市朝阳门北大街</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号富华大厦</w:t>
            </w:r>
            <w:r>
              <w:rPr>
                <w:rFonts w:ascii="宋体" w:hAnsi="宋体" w:cs="宋体" w:eastAsia="宋体" w:hint="default"/>
                <w:spacing w:val="-60"/>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322" w:hRule="exact"/>
        </w:trPr>
        <w:tc>
          <w:tcPr>
            <w:tcW w:w="3687" w:type="dxa"/>
            <w:vMerge/>
            <w:tcBorders>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签字会计师姓名</w:t>
            </w:r>
          </w:p>
        </w:tc>
        <w:tc>
          <w:tcPr>
            <w:tcW w:w="482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张克东、陈军</w:t>
            </w:r>
          </w:p>
        </w:tc>
      </w:tr>
    </w:tbl>
    <w:p>
      <w:pPr>
        <w:spacing w:after="0" w:line="276" w:lineRule="exact"/>
        <w:jc w:val="left"/>
        <w:rPr>
          <w:rFonts w:ascii="宋体" w:hAnsi="宋体" w:cs="宋体" w:eastAsia="宋体" w:hint="default"/>
          <w:sz w:val="24"/>
          <w:szCs w:val="24"/>
        </w:rPr>
        <w:sectPr>
          <w:pgSz w:w="11910" w:h="16840"/>
          <w:pgMar w:header="0" w:footer="1193" w:top="780" w:bottom="1380" w:left="820" w:right="300"/>
        </w:sectPr>
      </w:pPr>
    </w:p>
    <w:p>
      <w:pPr>
        <w:spacing w:before="25"/>
        <w:ind w:left="4593" w:right="460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82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0" w:footer="1193" w:top="780" w:bottom="1380" w:left="940" w:right="420"/>
        </w:sectPr>
      </w:pPr>
    </w:p>
    <w:p>
      <w:pPr>
        <w:pStyle w:val="Heading2"/>
        <w:tabs>
          <w:tab w:pos="1697" w:val="left" w:leader="none"/>
        </w:tabs>
        <w:spacing w:line="321" w:lineRule="auto" w:before="26"/>
        <w:ind w:left="858" w:right="0"/>
        <w:jc w:val="left"/>
        <w:rPr>
          <w:b w:val="0"/>
          <w:bCs w:val="0"/>
        </w:rPr>
      </w:pPr>
      <w:r>
        <w:rPr/>
        <w:t>七、</w:t>
      </w:r>
      <w:r>
        <w:rPr>
          <w:spacing w:val="-37"/>
        </w:rPr>
        <w:t> </w:t>
      </w:r>
      <w:r>
        <w:rPr/>
        <w:t>近三年主要会计数据和财务指标</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主要会计数据</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pStyle w:val="BodyText"/>
        <w:tabs>
          <w:tab w:pos="2058" w:val="left" w:leader="none"/>
        </w:tabs>
        <w:spacing w:line="240" w:lineRule="auto" w:before="190"/>
        <w:ind w:left="858" w:right="0"/>
        <w:jc w:val="left"/>
      </w:pPr>
      <w:r>
        <w:rPr/>
        <w:t>单位：元</w:t>
        <w:tab/>
        <w:t>币种：人民币</w:t>
      </w:r>
    </w:p>
    <w:p>
      <w:pPr>
        <w:spacing w:after="0" w:line="240" w:lineRule="auto"/>
        <w:jc w:val="left"/>
        <w:sectPr>
          <w:type w:val="continuous"/>
          <w:pgSz w:w="11910" w:h="16840"/>
          <w:pgMar w:top="1000" w:bottom="280" w:left="940" w:right="420"/>
          <w:cols w:num="2" w:equalWidth="0">
            <w:col w:w="4800" w:space="1393"/>
            <w:col w:w="4357"/>
          </w:cols>
        </w:sectPr>
      </w:pPr>
    </w:p>
    <w:p>
      <w:pPr>
        <w:spacing w:line="240" w:lineRule="auto" w:before="12"/>
        <w:rPr>
          <w:rFonts w:ascii="宋体" w:hAnsi="宋体" w:cs="宋体" w:eastAsia="宋体" w:hint="default"/>
          <w:sz w:val="2"/>
          <w:szCs w:val="2"/>
        </w:rPr>
      </w:pPr>
    </w:p>
    <w:tbl>
      <w:tblPr>
        <w:tblW w:w="0" w:type="auto"/>
        <w:jc w:val="left"/>
        <w:tblInd w:w="168" w:type="dxa"/>
        <w:tblLayout w:type="fixed"/>
        <w:tblCellMar>
          <w:top w:w="0" w:type="dxa"/>
          <w:left w:w="0" w:type="dxa"/>
          <w:bottom w:w="0" w:type="dxa"/>
          <w:right w:w="0" w:type="dxa"/>
        </w:tblCellMar>
        <w:tblLook w:val="01E0"/>
      </w:tblPr>
      <w:tblGrid>
        <w:gridCol w:w="2547"/>
        <w:gridCol w:w="2127"/>
        <w:gridCol w:w="2127"/>
        <w:gridCol w:w="1282"/>
        <w:gridCol w:w="2119"/>
      </w:tblGrid>
      <w:tr>
        <w:trPr>
          <w:trHeight w:val="828"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36" w:right="0"/>
              <w:jc w:val="left"/>
              <w:rPr>
                <w:rFonts w:ascii="宋体" w:hAnsi="宋体" w:cs="宋体" w:eastAsia="宋体" w:hint="default"/>
                <w:sz w:val="21"/>
                <w:szCs w:val="21"/>
              </w:rPr>
            </w:pPr>
            <w:r>
              <w:rPr>
                <w:rFonts w:ascii="宋体" w:hAnsi="宋体" w:cs="宋体" w:eastAsia="宋体" w:hint="default"/>
                <w:b/>
                <w:bCs/>
                <w:sz w:val="21"/>
                <w:szCs w:val="21"/>
              </w:rPr>
              <w:t>主要会计数据</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z w:val="21"/>
                <w:szCs w:val="21"/>
              </w:rPr>
              <w:t>年</w:t>
            </w:r>
            <w:r>
              <w:rPr>
                <w:rFonts w:ascii="宋体" w:hAnsi="宋体" w:cs="宋体" w:eastAsia="宋体" w:hint="default"/>
                <w:sz w:val="21"/>
                <w:szCs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本期比上年</w:t>
            </w:r>
            <w:r>
              <w:rPr>
                <w:rFonts w:ascii="宋体" w:hAnsi="宋体" w:cs="宋体" w:eastAsia="宋体" w:hint="default"/>
                <w:sz w:val="21"/>
                <w:szCs w:val="21"/>
              </w:rPr>
            </w:r>
          </w:p>
          <w:p>
            <w:pPr>
              <w:pStyle w:val="TableParagraph"/>
              <w:spacing w:line="272" w:lineRule="exact" w:before="27"/>
              <w:ind w:left="213" w:right="212"/>
              <w:jc w:val="center"/>
              <w:rPr>
                <w:rFonts w:ascii="宋体" w:hAnsi="宋体" w:cs="宋体" w:eastAsia="宋体" w:hint="default"/>
                <w:sz w:val="21"/>
                <w:szCs w:val="21"/>
              </w:rPr>
            </w:pPr>
            <w:r>
              <w:rPr>
                <w:rFonts w:ascii="宋体" w:hAnsi="宋体" w:cs="宋体" w:eastAsia="宋体" w:hint="default"/>
                <w:b/>
                <w:bCs/>
                <w:sz w:val="21"/>
                <w:szCs w:val="21"/>
              </w:rPr>
              <w:t>同期增减</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sz w:val="21"/>
                <w:szCs w:val="21"/>
              </w:rPr>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295"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0"/>
              <w:jc w:val="right"/>
              <w:rPr>
                <w:rFonts w:ascii="宋体" w:hAnsi="宋体" w:cs="宋体" w:eastAsia="宋体" w:hint="default"/>
                <w:sz w:val="21"/>
                <w:szCs w:val="21"/>
              </w:rPr>
            </w:pPr>
            <w:r>
              <w:rPr>
                <w:rFonts w:ascii="宋体"/>
                <w:spacing w:val="-1"/>
                <w:sz w:val="21"/>
              </w:rPr>
              <w:t>24,832,976,037.59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pacing w:val="-1"/>
                <w:sz w:val="21"/>
              </w:rPr>
              <w:t>25,989,387,338.80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9"/>
              <w:jc w:val="right"/>
              <w:rPr>
                <w:rFonts w:ascii="宋体" w:hAnsi="宋体" w:cs="宋体" w:eastAsia="宋体" w:hint="default"/>
                <w:sz w:val="21"/>
                <w:szCs w:val="21"/>
              </w:rPr>
            </w:pPr>
            <w:r>
              <w:rPr>
                <w:rFonts w:ascii="宋体"/>
                <w:sz w:val="21"/>
              </w:rPr>
              <w:t>-4.45</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0"/>
              <w:jc w:val="right"/>
              <w:rPr>
                <w:rFonts w:ascii="宋体" w:hAnsi="宋体" w:cs="宋体" w:eastAsia="宋体" w:hint="default"/>
                <w:sz w:val="21"/>
                <w:szCs w:val="21"/>
              </w:rPr>
            </w:pPr>
            <w:r>
              <w:rPr>
                <w:rFonts w:ascii="宋体"/>
                <w:spacing w:val="-1"/>
                <w:sz w:val="21"/>
              </w:rPr>
              <w:t>27,174,336,861.87</w:t>
            </w:r>
          </w:p>
        </w:tc>
      </w:tr>
      <w:tr>
        <w:trPr>
          <w:trHeight w:val="55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-3,879,776,932.07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103,639,266.92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-3,843.54</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4,302,329,273.65</w:t>
            </w:r>
          </w:p>
        </w:tc>
      </w:tr>
      <w:tr>
        <w:trPr>
          <w:trHeight w:val="555"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除非经常性损益的净利润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-4,211,667,211.90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-34,101,499.34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hAnsi="宋体" w:cs="宋体" w:eastAsia="宋体" w:hint="default"/>
                <w:sz w:val="21"/>
                <w:szCs w:val="21"/>
              </w:rPr>
              <w:t>不适用</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-135,017,713.89</w:t>
            </w:r>
          </w:p>
        </w:tc>
      </w:tr>
      <w:tr>
        <w:trPr>
          <w:trHeight w:val="55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-525,453,478.46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453,445,936.52</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-215.88</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宋体" w:hAnsi="宋体" w:cs="宋体" w:eastAsia="宋体" w:hint="default"/>
                <w:sz w:val="21"/>
                <w:szCs w:val="21"/>
              </w:rPr>
            </w:pPr>
            <w:r>
              <w:rPr>
                <w:rFonts w:ascii="宋体"/>
                <w:spacing w:val="-1"/>
                <w:sz w:val="21"/>
              </w:rPr>
              <w:t>-2,105,126,322.43</w:t>
            </w:r>
          </w:p>
        </w:tc>
      </w:tr>
      <w:tr>
        <w:trPr>
          <w:trHeight w:val="828" w:hRule="exact"/>
        </w:trPr>
        <w:tc>
          <w:tcPr>
            <w:tcW w:w="254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36"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年末</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36"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z w:val="21"/>
                <w:szCs w:val="21"/>
              </w:rPr>
              <w:t>年末</w:t>
            </w:r>
            <w:r>
              <w:rPr>
                <w:rFonts w:ascii="宋体" w:hAnsi="宋体" w:cs="宋体" w:eastAsia="宋体" w:hint="default"/>
                <w:sz w:val="21"/>
                <w:szCs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本期末比上</w:t>
            </w:r>
            <w:r>
              <w:rPr>
                <w:rFonts w:ascii="宋体" w:hAnsi="宋体" w:cs="宋体" w:eastAsia="宋体" w:hint="default"/>
                <w:sz w:val="21"/>
                <w:szCs w:val="21"/>
              </w:rPr>
            </w:r>
          </w:p>
          <w:p>
            <w:pPr>
              <w:pStyle w:val="TableParagraph"/>
              <w:spacing w:line="272" w:lineRule="exact" w:before="27"/>
              <w:ind w:left="266" w:right="106" w:hanging="159"/>
              <w:jc w:val="left"/>
              <w:rPr>
                <w:rFonts w:ascii="宋体" w:hAnsi="宋体" w:cs="宋体" w:eastAsia="宋体" w:hint="default"/>
                <w:sz w:val="21"/>
                <w:szCs w:val="21"/>
              </w:rPr>
            </w:pPr>
            <w:r>
              <w:rPr>
                <w:rFonts w:ascii="宋体" w:hAnsi="宋体" w:cs="宋体" w:eastAsia="宋体" w:hint="default"/>
                <w:b/>
                <w:bCs/>
                <w:sz w:val="21"/>
                <w:szCs w:val="21"/>
              </w:rPr>
              <w:t>年同期末增</w:t>
            </w:r>
            <w:r>
              <w:rPr>
                <w:rFonts w:ascii="宋体" w:hAnsi="宋体" w:cs="宋体" w:eastAsia="宋体" w:hint="default"/>
                <w:b/>
                <w:bCs/>
                <w:w w:val="100"/>
                <w:sz w:val="21"/>
                <w:szCs w:val="21"/>
              </w:rPr>
              <w:t> </w:t>
            </w:r>
            <w:r>
              <w:rPr>
                <w:rFonts w:ascii="宋体" w:hAnsi="宋体" w:cs="宋体" w:eastAsia="宋体" w:hint="default"/>
                <w:b/>
                <w:bCs/>
                <w:sz w:val="21"/>
                <w:szCs w:val="21"/>
              </w:rPr>
              <w:t>减（</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31" w:right="0"/>
              <w:jc w:val="left"/>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554"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15,991,391,375.25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21,270,550,605.00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宋体" w:hAnsi="宋体" w:cs="宋体" w:eastAsia="宋体" w:hint="default"/>
                <w:sz w:val="21"/>
                <w:szCs w:val="21"/>
              </w:rPr>
            </w:pPr>
            <w:r>
              <w:rPr>
                <w:rFonts w:ascii="宋体"/>
                <w:sz w:val="21"/>
              </w:rPr>
              <w:t>-24.82</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pacing w:val="-1"/>
                <w:sz w:val="21"/>
              </w:rPr>
              <w:t>21,789,997,089.39</w:t>
            </w:r>
          </w:p>
        </w:tc>
      </w:tr>
      <w:tr>
        <w:trPr>
          <w:trHeight w:val="295" w:hRule="exact"/>
        </w:trPr>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63,609,640,361.55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63,595,045,565.70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z w:val="21"/>
              </w:rPr>
              <w:t>0.02</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57,612,291,152.56</w:t>
            </w:r>
          </w:p>
        </w:tc>
      </w:tr>
    </w:tbl>
    <w:p>
      <w:pPr>
        <w:spacing w:line="240" w:lineRule="auto" w:before="2"/>
        <w:rPr>
          <w:rFonts w:ascii="宋体" w:hAnsi="宋体" w:cs="宋体" w:eastAsia="宋体" w:hint="default"/>
          <w:sz w:val="23"/>
          <w:szCs w:val="23"/>
        </w:rPr>
      </w:pPr>
    </w:p>
    <w:p>
      <w:pPr>
        <w:pStyle w:val="Heading2"/>
        <w:tabs>
          <w:tab w:pos="1697" w:val="left" w:leader="none"/>
        </w:tabs>
        <w:spacing w:line="240" w:lineRule="auto" w:before="26"/>
        <w:ind w:left="858" w:right="599"/>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7"/>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4940"/>
        <w:gridCol w:w="1311"/>
        <w:gridCol w:w="1308"/>
        <w:gridCol w:w="1599"/>
        <w:gridCol w:w="1164"/>
      </w:tblGrid>
      <w:tr>
        <w:trPr>
          <w:trHeight w:val="555"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b/>
                <w:bCs/>
                <w:sz w:val="21"/>
                <w:szCs w:val="21"/>
              </w:rPr>
              <w:t>主要财务指标</w:t>
            </w:r>
            <w:r>
              <w:rPr>
                <w:rFonts w:ascii="宋体" w:hAnsi="宋体" w:cs="宋体" w:eastAsia="宋体" w:hint="default"/>
                <w:sz w:val="21"/>
                <w:szCs w:val="21"/>
              </w:rPr>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31"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w:t>
            </w:r>
            <w:r>
              <w:rPr>
                <w:rFonts w:ascii="宋体" w:hAnsi="宋体" w:cs="宋体" w:eastAsia="宋体" w:hint="default"/>
                <w:sz w:val="21"/>
                <w:szCs w:val="21"/>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31"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z w:val="21"/>
                <w:szCs w:val="21"/>
              </w:rPr>
              <w:t>年</w:t>
            </w:r>
            <w:r>
              <w:rPr>
                <w:rFonts w:ascii="宋体" w:hAnsi="宋体" w:cs="宋体" w:eastAsia="宋体" w:hint="default"/>
                <w:sz w:val="21"/>
                <w:szCs w:val="21"/>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本期比上年同</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期增减</w:t>
            </w:r>
            <w:r>
              <w:rPr>
                <w:rFonts w:ascii="宋体" w:hAnsi="宋体" w:cs="宋体" w:eastAsia="宋体" w:hint="default"/>
                <w:b/>
                <w:bCs/>
                <w:sz w:val="21"/>
                <w:szCs w:val="21"/>
              </w:rPr>
              <w:t>(%)</w:t>
            </w:r>
            <w:r>
              <w:rPr>
                <w:rFonts w:ascii="宋体" w:hAnsi="宋体" w:cs="宋体" w:eastAsia="宋体" w:hint="default"/>
                <w:sz w:val="21"/>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59" w:right="0"/>
              <w:jc w:val="left"/>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-1.3090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0.0350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1.4516</w:t>
            </w:r>
          </w:p>
        </w:tc>
      </w:tr>
      <w:tr>
        <w:trPr>
          <w:trHeight w:val="283"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-1.3090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0.0350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1.4516</w:t>
            </w:r>
          </w:p>
        </w:tc>
      </w:tr>
      <w:tr>
        <w:trPr>
          <w:trHeight w:val="281"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扣除非经常性损益后的基本每股收益（元／股）</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-1.4210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-0.0115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-0.0456</w:t>
            </w:r>
          </w:p>
        </w:tc>
      </w:tr>
      <w:tr>
        <w:trPr>
          <w:trHeight w:val="554"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-20.82</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0.48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降低</w:t>
            </w:r>
            <w:r>
              <w:rPr>
                <w:rFonts w:ascii="宋体" w:hAnsi="宋体" w:cs="宋体" w:eastAsia="宋体" w:hint="default"/>
                <w:spacing w:val="-1"/>
                <w:sz w:val="21"/>
                <w:szCs w:val="21"/>
              </w:rPr>
              <w:t>21.30</w:t>
            </w:r>
            <w:r>
              <w:rPr>
                <w:rFonts w:ascii="宋体" w:hAnsi="宋体" w:cs="宋体" w:eastAsia="宋体" w:hint="default"/>
                <w:spacing w:val="-1"/>
                <w:sz w:val="21"/>
                <w:szCs w:val="21"/>
              </w:rPr>
              <w:t>个百</w:t>
            </w:r>
          </w:p>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分点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19.99</w:t>
            </w:r>
          </w:p>
        </w:tc>
      </w:tr>
      <w:tr>
        <w:trPr>
          <w:trHeight w:val="557"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-22.60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-0.16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降低</w:t>
            </w:r>
            <w:r>
              <w:rPr>
                <w:rFonts w:ascii="宋体" w:hAnsi="宋体" w:cs="宋体" w:eastAsia="宋体" w:hint="default"/>
                <w:spacing w:val="-1"/>
                <w:sz w:val="21"/>
                <w:szCs w:val="21"/>
              </w:rPr>
              <w:t>22.44</w:t>
            </w:r>
            <w:r>
              <w:rPr>
                <w:rFonts w:ascii="宋体" w:hAnsi="宋体" w:cs="宋体" w:eastAsia="宋体" w:hint="default"/>
                <w:spacing w:val="-1"/>
                <w:sz w:val="21"/>
                <w:szCs w:val="21"/>
              </w:rPr>
              <w:t>个百</w:t>
            </w:r>
          </w:p>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z w:val="21"/>
                <w:szCs w:val="21"/>
              </w:rPr>
              <w:t>分点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-0.63</w:t>
            </w:r>
          </w:p>
        </w:tc>
      </w:tr>
    </w:tbl>
    <w:p>
      <w:pPr>
        <w:spacing w:line="240" w:lineRule="auto" w:before="9"/>
        <w:rPr>
          <w:rFonts w:ascii="宋体" w:hAnsi="宋体" w:cs="宋体" w:eastAsia="宋体" w:hint="default"/>
          <w:b/>
          <w:bCs/>
          <w:sz w:val="15"/>
          <w:szCs w:val="15"/>
        </w:rPr>
      </w:pPr>
    </w:p>
    <w:p>
      <w:pPr>
        <w:pStyle w:val="BodyText"/>
        <w:spacing w:line="313" w:lineRule="exact" w:before="26"/>
        <w:ind w:left="858" w:right="599"/>
        <w:jc w:val="left"/>
      </w:pPr>
      <w:r>
        <w:rPr/>
        <w:t>报告期末公司前三年主要会计数据和财务指标的说明</w:t>
      </w:r>
    </w:p>
    <w:p>
      <w:pPr>
        <w:pStyle w:val="BodyText"/>
        <w:spacing w:line="311" w:lineRule="exact"/>
        <w:ind w:left="858" w:right="599"/>
        <w:jc w:val="left"/>
      </w:pPr>
      <w:r>
        <w:rPr/>
        <w:t>√适用</w:t>
      </w:r>
      <w:r>
        <w:rPr>
          <w:spacing w:val="-1"/>
        </w:rPr>
        <w:t> </w:t>
      </w:r>
      <w:r>
        <w:rPr/>
        <w:t>□不适用</w:t>
      </w:r>
    </w:p>
    <w:p>
      <w:pPr>
        <w:pStyle w:val="BodyText"/>
        <w:spacing w:line="237" w:lineRule="auto" w:before="1"/>
        <w:ind w:left="858" w:right="599" w:firstLine="419"/>
        <w:jc w:val="left"/>
      </w:pPr>
      <w:r>
        <w:rPr>
          <w:spacing w:val="-2"/>
        </w:rPr>
        <w:t>公司本年度出现了大幅度的亏损，实现归属于上市公司股东的净利润</w:t>
      </w:r>
      <w:r>
        <w:rPr>
          <w:rFonts w:ascii="宋体" w:hAnsi="宋体" w:cs="宋体" w:eastAsia="宋体" w:hint="default"/>
          <w:spacing w:val="-2"/>
        </w:rPr>
        <w:t>-38.80</w:t>
      </w:r>
      <w:r>
        <w:rPr>
          <w:rFonts w:ascii="宋体" w:hAnsi="宋体" w:cs="宋体" w:eastAsia="宋体" w:hint="default"/>
          <w:spacing w:val="-38"/>
        </w:rPr>
        <w:t> </w:t>
      </w:r>
      <w:r>
        <w:rPr/>
        <w:t>亿元。 主要原因有：公司下属的壹人壹本因市场竞争加剧、新产品投放效果不理想，业务进 入了下行拐点，出现了收入下滑和亏损，这使得公司对其在期末计提了大额商誉和无 形资产减值；公司投资的深圳华融泰、中国医疗网络、广电信息、同方康泰等长期股 权投资和可供出售金融资产，由于其自身或其持有的上市公司股票价格的波动，使得 其公允价值发生了大幅下跌，并使得公司期末计提了大额长期股权投资和可供出售金 融资产减值；由于公司当期和未来调整产业布局战略的不断推进，也使得公司部分老 旧业务的存货出现了减值迹象，并使得公司期末计提了大额的存货减值。此外，部分 </w:t>
      </w:r>
      <w:r>
        <w:rPr>
          <w:spacing w:val="4"/>
        </w:rPr>
        <w:t>老旧产业成本上升、财务费用支出加大、部分联营企业影响等因素叠加使得公司在</w:t>
      </w:r>
      <w:r>
        <w:rPr>
          <w:spacing w:val="-98"/>
        </w:rPr>
        <w:t> </w:t>
      </w:r>
      <w:r>
        <w:rPr>
          <w:spacing w:val="-98"/>
        </w:rPr>
      </w:r>
      <w:r>
        <w:rPr>
          <w:rFonts w:ascii="宋体" w:hAnsi="宋体" w:cs="宋体" w:eastAsia="宋体" w:hint="default"/>
        </w:rPr>
        <w:t>2018</w:t>
      </w:r>
      <w:r>
        <w:rPr>
          <w:rFonts w:ascii="宋体" w:hAnsi="宋体" w:cs="宋体" w:eastAsia="宋体" w:hint="default"/>
          <w:spacing w:val="-61"/>
        </w:rPr>
        <w:t> </w:t>
      </w:r>
      <w:r>
        <w:rPr/>
        <w:t>年出现了大幅度的亏损。</w:t>
      </w:r>
    </w:p>
    <w:p>
      <w:pPr>
        <w:spacing w:after="0" w:line="237" w:lineRule="auto"/>
        <w:jc w:val="left"/>
        <w:sectPr>
          <w:type w:val="continuous"/>
          <w:pgSz w:w="11910" w:h="16840"/>
          <w:pgMar w:top="1000" w:bottom="280" w:left="940" w:right="420"/>
        </w:sectPr>
      </w:pPr>
    </w:p>
    <w:p>
      <w:pPr>
        <w:spacing w:before="25"/>
        <w:ind w:left="4533" w:right="456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76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Heading2"/>
        <w:spacing w:line="240" w:lineRule="auto" w:before="26"/>
        <w:ind w:left="798" w:right="814"/>
        <w:jc w:val="left"/>
        <w:rPr>
          <w:b w:val="0"/>
          <w:bCs w:val="0"/>
        </w:rPr>
      </w:pPr>
      <w:r>
        <w:rPr/>
        <w:t>八、</w:t>
      </w:r>
      <w:r>
        <w:rPr>
          <w:spacing w:val="-37"/>
        </w:rPr>
        <w:t> </w:t>
      </w:r>
      <w:r>
        <w:rPr/>
        <w:t>境内外会计准则下会计数据差异</w:t>
      </w:r>
      <w:r>
        <w:rPr>
          <w:b w:val="0"/>
          <w:bCs w:val="0"/>
        </w:rPr>
      </w:r>
    </w:p>
    <w:p>
      <w:pPr>
        <w:pStyle w:val="Heading2"/>
        <w:tabs>
          <w:tab w:pos="1637" w:val="left" w:leader="none"/>
        </w:tabs>
        <w:spacing w:line="276" w:lineRule="auto" w:before="106"/>
        <w:ind w:left="1218" w:right="814" w:hanging="42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同时按照国际会计准则与按中国会计准则披露的财务报告中净利润和归属于</w:t>
      </w:r>
      <w:r>
        <w:rPr>
          <w:spacing w:val="-93"/>
        </w:rPr>
        <w:t> </w:t>
      </w:r>
      <w:r>
        <w:rPr>
          <w:spacing w:val="-93"/>
        </w:rPr>
      </w:r>
      <w:r>
        <w:rPr/>
        <w:t>上市公司股东的净资产差异情况</w:t>
      </w:r>
      <w:r>
        <w:rPr>
          <w:b w:val="0"/>
          <w:bCs w:val="0"/>
        </w:rPr>
      </w:r>
    </w:p>
    <w:p>
      <w:pPr>
        <w:pStyle w:val="BodyText"/>
        <w:spacing w:line="240" w:lineRule="auto" w:before="70"/>
        <w:ind w:left="798" w:right="814"/>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tabs>
          <w:tab w:pos="1637" w:val="left" w:leader="none"/>
        </w:tabs>
        <w:spacing w:line="276" w:lineRule="auto"/>
        <w:ind w:left="1220" w:right="814" w:hanging="423"/>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同时按照境外会计准则与按中国会计准则披露的财务报告中净利润和归属于</w:t>
      </w:r>
      <w:r>
        <w:rPr>
          <w:spacing w:val="-92"/>
        </w:rPr>
        <w:t> </w:t>
      </w:r>
      <w:r>
        <w:rPr>
          <w:spacing w:val="-92"/>
        </w:rPr>
      </w:r>
      <w:r>
        <w:rPr/>
        <w:t>上市公司股东的净资产差异情况</w:t>
      </w:r>
      <w:r>
        <w:rPr>
          <w:b w:val="0"/>
          <w:bCs w:val="0"/>
        </w:rPr>
      </w:r>
    </w:p>
    <w:p>
      <w:pPr>
        <w:pStyle w:val="BodyText"/>
        <w:spacing w:line="240" w:lineRule="auto" w:before="70"/>
        <w:ind w:left="798" w:right="814"/>
        <w:jc w:val="left"/>
      </w:pPr>
      <w:r>
        <w:rPr/>
        <w:t>□适用</w:t>
      </w:r>
      <w:r>
        <w:rPr>
          <w:spacing w:val="-1"/>
        </w:rPr>
        <w:t> </w:t>
      </w:r>
      <w:r>
        <w:rPr/>
        <w:t>√不适用</w:t>
      </w:r>
    </w:p>
    <w:p>
      <w:pPr>
        <w:spacing w:line="240" w:lineRule="auto" w:before="9"/>
        <w:rPr>
          <w:rFonts w:ascii="宋体" w:hAnsi="宋体" w:cs="宋体" w:eastAsia="宋体" w:hint="default"/>
          <w:sz w:val="35"/>
          <w:szCs w:val="35"/>
        </w:rPr>
      </w:pPr>
    </w:p>
    <w:p>
      <w:pPr>
        <w:pStyle w:val="Heading2"/>
        <w:tabs>
          <w:tab w:pos="1637" w:val="left" w:leader="none"/>
        </w:tabs>
        <w:spacing w:line="240" w:lineRule="auto"/>
        <w:ind w:left="798" w:right="814"/>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境内外会计准则差异的说明：</w:t>
      </w:r>
      <w:r>
        <w:rPr>
          <w:b w:val="0"/>
          <w:bCs w:val="0"/>
        </w:rPr>
      </w:r>
    </w:p>
    <w:p>
      <w:pPr>
        <w:pStyle w:val="BodyText"/>
        <w:spacing w:line="240" w:lineRule="auto" w:before="106"/>
        <w:ind w:left="798" w:right="814"/>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204"/>
        <w:ind w:left="798" w:right="814"/>
        <w:jc w:val="left"/>
        <w:rPr>
          <w:b w:val="0"/>
          <w:bCs w:val="0"/>
        </w:rPr>
      </w:pPr>
      <w:r>
        <w:rPr/>
        <w:t>九、 </w:t>
      </w:r>
      <w:r>
        <w:rPr>
          <w:rFonts w:ascii="宋体" w:hAnsi="宋体" w:cs="宋体" w:eastAsia="宋体" w:hint="default"/>
        </w:rPr>
        <w:t>2018</w:t>
      </w:r>
      <w:r>
        <w:rPr>
          <w:rFonts w:ascii="宋体" w:hAnsi="宋体" w:cs="宋体" w:eastAsia="宋体" w:hint="default"/>
          <w:spacing w:val="-100"/>
        </w:rPr>
        <w:t> </w:t>
      </w:r>
      <w:r>
        <w:rPr/>
        <w:t>年分季度主要财务数据</w:t>
      </w:r>
      <w:r>
        <w:rPr>
          <w:b w:val="0"/>
          <w:bCs w:val="0"/>
        </w:rPr>
      </w:r>
    </w:p>
    <w:p>
      <w:pPr>
        <w:pStyle w:val="BodyText"/>
        <w:tabs>
          <w:tab w:pos="1200" w:val="left" w:leader="none"/>
        </w:tabs>
        <w:spacing w:line="240" w:lineRule="auto" w:before="58"/>
        <w:ind w:left="0" w:right="81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129"/>
        <w:gridCol w:w="2074"/>
        <w:gridCol w:w="1901"/>
        <w:gridCol w:w="1985"/>
        <w:gridCol w:w="2126"/>
      </w:tblGrid>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第一季度</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1-3</w:t>
            </w:r>
            <w:r>
              <w:rPr>
                <w:rFonts w:ascii="宋体" w:hAnsi="宋体" w:cs="宋体" w:eastAsia="宋体" w:hint="default"/>
                <w:b/>
                <w:bCs/>
                <w:spacing w:val="-54"/>
                <w:sz w:val="21"/>
                <w:szCs w:val="21"/>
              </w:rPr>
              <w:t> </w:t>
            </w:r>
            <w:r>
              <w:rPr>
                <w:rFonts w:ascii="宋体" w:hAnsi="宋体" w:cs="宋体" w:eastAsia="宋体" w:hint="default"/>
                <w:b/>
                <w:bCs/>
                <w:sz w:val="21"/>
                <w:szCs w:val="21"/>
              </w:rPr>
              <w:t>月份）</w:t>
            </w:r>
            <w:r>
              <w:rPr>
                <w:rFonts w:ascii="宋体" w:hAnsi="宋体" w:cs="宋体" w:eastAsia="宋体" w:hint="default"/>
                <w:sz w:val="21"/>
                <w:szCs w:val="21"/>
              </w:rPr>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第二季度</w:t>
            </w:r>
            <w:r>
              <w:rPr>
                <w:rFonts w:ascii="宋体" w:hAnsi="宋体" w:cs="宋体" w:eastAsia="宋体" w:hint="default"/>
                <w:sz w:val="21"/>
                <w:szCs w:val="21"/>
              </w:rPr>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4-6</w:t>
            </w:r>
            <w:r>
              <w:rPr>
                <w:rFonts w:ascii="宋体" w:hAnsi="宋体" w:cs="宋体" w:eastAsia="宋体" w:hint="default"/>
                <w:b/>
                <w:bCs/>
                <w:spacing w:val="-54"/>
                <w:sz w:val="21"/>
                <w:szCs w:val="21"/>
              </w:rPr>
              <w:t> </w:t>
            </w:r>
            <w:r>
              <w:rPr>
                <w:rFonts w:ascii="宋体" w:hAnsi="宋体" w:cs="宋体" w:eastAsia="宋体" w:hint="default"/>
                <w:b/>
                <w:bCs/>
                <w:sz w:val="21"/>
                <w:szCs w:val="21"/>
              </w:rPr>
              <w:t>月份）</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b/>
                <w:bCs/>
                <w:sz w:val="21"/>
                <w:szCs w:val="21"/>
              </w:rPr>
              <w:t>第三季度</w:t>
            </w:r>
            <w:r>
              <w:rPr>
                <w:rFonts w:ascii="宋体" w:hAnsi="宋体" w:cs="宋体" w:eastAsia="宋体" w:hint="default"/>
                <w:sz w:val="21"/>
                <w:szCs w:val="21"/>
              </w:rPr>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7-9</w:t>
            </w:r>
            <w:r>
              <w:rPr>
                <w:rFonts w:ascii="宋体" w:hAnsi="宋体" w:cs="宋体" w:eastAsia="宋体" w:hint="default"/>
                <w:b/>
                <w:bCs/>
                <w:spacing w:val="-54"/>
                <w:sz w:val="21"/>
                <w:szCs w:val="21"/>
              </w:rPr>
              <w:t> </w:t>
            </w:r>
            <w:r>
              <w:rPr>
                <w:rFonts w:ascii="宋体" w:hAnsi="宋体" w:cs="宋体" w:eastAsia="宋体" w:hint="default"/>
                <w:b/>
                <w:bCs/>
                <w:sz w:val="21"/>
                <w:szCs w:val="21"/>
              </w:rPr>
              <w:t>月份）</w:t>
            </w:r>
            <w:r>
              <w:rPr>
                <w:rFonts w:ascii="宋体" w:hAnsi="宋体" w:cs="宋体" w:eastAsia="宋体" w:hint="default"/>
                <w:sz w:val="21"/>
                <w:szCs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b/>
                <w:bCs/>
                <w:sz w:val="21"/>
                <w:szCs w:val="21"/>
              </w:rPr>
              <w:t>第四季度</w:t>
            </w:r>
            <w:r>
              <w:rPr>
                <w:rFonts w:ascii="宋体" w:hAnsi="宋体" w:cs="宋体" w:eastAsia="宋体" w:hint="default"/>
                <w:sz w:val="21"/>
                <w:szCs w:val="21"/>
              </w:rPr>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10-12</w:t>
            </w:r>
            <w:r>
              <w:rPr>
                <w:rFonts w:ascii="宋体" w:hAnsi="宋体" w:cs="宋体" w:eastAsia="宋体" w:hint="default"/>
                <w:b/>
                <w:bCs/>
                <w:spacing w:val="-54"/>
                <w:sz w:val="21"/>
                <w:szCs w:val="21"/>
              </w:rPr>
              <w:t> </w:t>
            </w:r>
            <w:r>
              <w:rPr>
                <w:rFonts w:ascii="宋体" w:hAnsi="宋体" w:cs="宋体" w:eastAsia="宋体" w:hint="default"/>
                <w:b/>
                <w:bCs/>
                <w:sz w:val="21"/>
                <w:szCs w:val="21"/>
              </w:rPr>
              <w:t>月份）</w:t>
            </w:r>
            <w:r>
              <w:rPr>
                <w:rFonts w:ascii="宋体" w:hAnsi="宋体" w:cs="宋体" w:eastAsia="宋体" w:hint="default"/>
                <w:sz w:val="21"/>
                <w:szCs w:val="21"/>
              </w:rPr>
            </w:r>
          </w:p>
        </w:tc>
      </w:tr>
      <w:tr>
        <w:trPr>
          <w:trHeight w:val="559"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4,504,697,223.67</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6,006,252,673.57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6,048,592,169.43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8,273,433,970.92</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宋体" w:hAnsi="宋体" w:cs="宋体" w:eastAsia="宋体" w:hint="default"/>
                <w:sz w:val="21"/>
                <w:szCs w:val="21"/>
              </w:rPr>
            </w:pPr>
            <w:r>
              <w:rPr>
                <w:rFonts w:ascii="宋体"/>
                <w:spacing w:val="-1"/>
                <w:sz w:val="21"/>
              </w:rPr>
              <w:t>-223,968,218.80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-111,024,150.02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-237,441,004.98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-3,307,343,558.27</w:t>
            </w:r>
          </w:p>
        </w:tc>
      </w:tr>
      <w:tr>
        <w:trPr>
          <w:trHeight w:val="82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的扣除非经常性损益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后的净利润</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-258,119,566.19</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-193,030,804.61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-250,691,199.22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-3,509,825,641.88</w:t>
            </w:r>
          </w:p>
        </w:tc>
      </w:tr>
      <w:tr>
        <w:trPr>
          <w:trHeight w:val="559"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宋体"/>
                <w:spacing w:val="-1"/>
                <w:sz w:val="21"/>
              </w:rPr>
              <w:t>-2,244,609,467.51</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-968,041,250.85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-402,330,390.39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3,089,527,630.29</w:t>
            </w:r>
          </w:p>
        </w:tc>
      </w:tr>
    </w:tbl>
    <w:p>
      <w:pPr>
        <w:spacing w:line="240" w:lineRule="auto" w:before="6"/>
        <w:rPr>
          <w:rFonts w:ascii="宋体" w:hAnsi="宋体" w:cs="宋体" w:eastAsia="宋体" w:hint="default"/>
          <w:sz w:val="22"/>
          <w:szCs w:val="22"/>
        </w:rPr>
      </w:pPr>
    </w:p>
    <w:p>
      <w:pPr>
        <w:pStyle w:val="BodyText"/>
        <w:spacing w:line="240" w:lineRule="auto" w:before="26"/>
        <w:ind w:left="798" w:right="814"/>
        <w:jc w:val="left"/>
      </w:pPr>
      <w:r>
        <w:rPr/>
        <w:t>季度数据与已披露定期报告数据差异说明</w:t>
      </w:r>
    </w:p>
    <w:p>
      <w:pPr>
        <w:pStyle w:val="BodyText"/>
        <w:tabs>
          <w:tab w:pos="1757" w:val="left" w:leader="none"/>
        </w:tabs>
        <w:spacing w:line="240" w:lineRule="auto" w:before="46"/>
        <w:ind w:left="798" w:right="814"/>
        <w:jc w:val="left"/>
      </w:pPr>
      <w:r>
        <w:rPr>
          <w:spacing w:val="-1"/>
        </w:rPr>
        <w:t>□适用</w:t>
        <w:tab/>
      </w:r>
      <w:r>
        <w:rPr/>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3" w:top="780" w:bottom="1380" w:left="1000" w:right="460"/>
        </w:sectPr>
      </w:pPr>
    </w:p>
    <w:p>
      <w:pPr>
        <w:pStyle w:val="Heading2"/>
        <w:spacing w:line="240" w:lineRule="auto" w:before="205"/>
        <w:ind w:left="798" w:right="-18"/>
        <w:jc w:val="left"/>
        <w:rPr>
          <w:b w:val="0"/>
          <w:bCs w:val="0"/>
        </w:rPr>
      </w:pPr>
      <w:r>
        <w:rPr/>
        <w:t>十、</w:t>
      </w:r>
      <w:r>
        <w:rPr>
          <w:spacing w:val="-38"/>
        </w:rPr>
        <w:t> </w:t>
      </w:r>
      <w:r>
        <w:rPr/>
        <w:t>非经常性损益项目和金额</w:t>
      </w:r>
      <w:r>
        <w:rPr>
          <w:b w:val="0"/>
          <w:bCs w:val="0"/>
        </w:rPr>
      </w:r>
    </w:p>
    <w:p>
      <w:pPr>
        <w:pStyle w:val="BodyText"/>
        <w:spacing w:line="240" w:lineRule="auto" w:before="58"/>
        <w:ind w:left="79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9"/>
          <w:szCs w:val="19"/>
        </w:rPr>
      </w:pPr>
    </w:p>
    <w:p>
      <w:pPr>
        <w:pStyle w:val="BodyText"/>
        <w:tabs>
          <w:tab w:pos="1878" w:val="left" w:leader="none"/>
        </w:tabs>
        <w:spacing w:line="240" w:lineRule="auto"/>
        <w:ind w:left="79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00" w:bottom="280" w:left="1000" w:right="460"/>
          <w:cols w:num="2" w:equalWidth="0">
            <w:col w:w="4016" w:space="2417"/>
            <w:col w:w="4017"/>
          </w:cols>
        </w:sectPr>
      </w:pPr>
    </w:p>
    <w:p>
      <w:pPr>
        <w:spacing w:line="240" w:lineRule="auto" w:before="10"/>
        <w:rPr>
          <w:rFonts w:ascii="宋体" w:hAnsi="宋体" w:cs="宋体" w:eastAsia="宋体" w:hint="default"/>
          <w:sz w:val="2"/>
          <w:szCs w:val="2"/>
        </w:rPr>
      </w:pPr>
    </w:p>
    <w:tbl>
      <w:tblPr>
        <w:tblW w:w="0" w:type="auto"/>
        <w:jc w:val="left"/>
        <w:tblInd w:w="486" w:type="dxa"/>
        <w:tblLayout w:type="fixed"/>
        <w:tblCellMar>
          <w:top w:w="0" w:type="dxa"/>
          <w:left w:w="0" w:type="dxa"/>
          <w:bottom w:w="0" w:type="dxa"/>
          <w:right w:w="0" w:type="dxa"/>
        </w:tblCellMar>
        <w:tblLook w:val="01E0"/>
      </w:tblPr>
      <w:tblGrid>
        <w:gridCol w:w="3610"/>
        <w:gridCol w:w="1913"/>
        <w:gridCol w:w="1889"/>
        <w:gridCol w:w="2035"/>
      </w:tblGrid>
      <w:tr>
        <w:trPr>
          <w:trHeight w:val="283"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55" w:right="0"/>
              <w:jc w:val="left"/>
              <w:rPr>
                <w:rFonts w:ascii="宋体" w:hAnsi="宋体" w:cs="宋体" w:eastAsia="宋体" w:hint="default"/>
                <w:sz w:val="21"/>
                <w:szCs w:val="21"/>
              </w:rPr>
            </w:pPr>
            <w:r>
              <w:rPr>
                <w:rFonts w:ascii="宋体" w:hAnsi="宋体" w:cs="宋体" w:eastAsia="宋体" w:hint="default"/>
                <w:b/>
                <w:bCs/>
                <w:sz w:val="21"/>
                <w:szCs w:val="21"/>
              </w:rPr>
              <w:t>非经常性损益项目</w:t>
            </w:r>
            <w:r>
              <w:rPr>
                <w:rFonts w:ascii="宋体" w:hAnsi="宋体" w:cs="宋体" w:eastAsia="宋体"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4"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4"/>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5" w:right="0"/>
              <w:jc w:val="left"/>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pacing w:val="-54"/>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r>
      <w:tr>
        <w:trPr>
          <w:trHeight w:val="283"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195,989,326.37</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39,212,370.54</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5,434,612,362.79</w:t>
            </w:r>
          </w:p>
        </w:tc>
      </w:tr>
      <w:tr>
        <w:trPr>
          <w:trHeight w:val="1099"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计入当期损益的政府补助，但与公司</w:t>
            </w:r>
          </w:p>
          <w:p>
            <w:pPr>
              <w:pStyle w:val="TableParagraph"/>
              <w:spacing w:line="237" w:lineRule="auto"/>
              <w:ind w:left="103" w:right="130"/>
              <w:jc w:val="both"/>
              <w:rPr>
                <w:rFonts w:ascii="宋体" w:hAnsi="宋体" w:cs="宋体" w:eastAsia="宋体" w:hint="default"/>
                <w:sz w:val="21"/>
                <w:szCs w:val="21"/>
              </w:rPr>
            </w:pPr>
            <w:r>
              <w:rPr>
                <w:rFonts w:ascii="宋体" w:hAnsi="宋体" w:cs="宋体" w:eastAsia="宋体" w:hint="default"/>
                <w:spacing w:val="-2"/>
                <w:sz w:val="21"/>
                <w:szCs w:val="21"/>
              </w:rPr>
              <w:t>正常经营业务密切相关，符合国家政</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策规定、按照一定标准定额或定量持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续享受的政府补助除外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195,575,585.15</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151,341,630.22</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156,387,316.80</w:t>
            </w:r>
          </w:p>
        </w:tc>
      </w:tr>
      <w:tr>
        <w:trPr>
          <w:trHeight w:val="281"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-1,558,906.91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0.00</w:t>
            </w:r>
          </w:p>
        </w:tc>
        <w:tc>
          <w:tcPr>
            <w:tcW w:w="2035"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5"/>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w:t>
            </w: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pacing w:val="-6"/>
                <w:sz w:val="21"/>
                <w:szCs w:val="21"/>
              </w:rPr>
              <w:t>期保值业务外，持有交易性金融资产、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交易性金融负债产生的公允价值变动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99,883,051.61</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38,790,023.20</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-366,356,400.42</w:t>
            </w:r>
          </w:p>
        </w:tc>
      </w:tr>
    </w:tbl>
    <w:p>
      <w:pPr>
        <w:spacing w:after="0" w:line="240" w:lineRule="auto"/>
        <w:jc w:val="right"/>
        <w:rPr>
          <w:rFonts w:ascii="宋体" w:hAnsi="宋体" w:cs="宋体" w:eastAsia="宋体" w:hint="default"/>
          <w:sz w:val="21"/>
          <w:szCs w:val="21"/>
        </w:rPr>
        <w:sectPr>
          <w:type w:val="continuous"/>
          <w:pgSz w:w="11910" w:h="16840"/>
          <w:pgMar w:top="1000" w:bottom="280" w:left="1000" w:right="460"/>
        </w:sectPr>
      </w:pPr>
    </w:p>
    <w:p>
      <w:pPr>
        <w:spacing w:before="25"/>
        <w:ind w:left="4253" w:right="426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4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206" w:type="dxa"/>
        <w:tblLayout w:type="fixed"/>
        <w:tblCellMar>
          <w:top w:w="0" w:type="dxa"/>
          <w:left w:w="0" w:type="dxa"/>
          <w:bottom w:w="0" w:type="dxa"/>
          <w:right w:w="0" w:type="dxa"/>
        </w:tblCellMar>
        <w:tblLook w:val="01E0"/>
      </w:tblPr>
      <w:tblGrid>
        <w:gridCol w:w="3610"/>
        <w:gridCol w:w="1913"/>
        <w:gridCol w:w="1889"/>
        <w:gridCol w:w="2035"/>
      </w:tblGrid>
      <w:tr>
        <w:trPr>
          <w:trHeight w:val="828"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损益，以及处置交易性金融资产、交</w:t>
            </w:r>
          </w:p>
          <w:p>
            <w:pPr>
              <w:pStyle w:val="TableParagraph"/>
              <w:spacing w:line="240"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易性金融负债和可供出售金融资产取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得的投资收益</w:t>
            </w:r>
          </w:p>
        </w:tc>
        <w:tc>
          <w:tcPr>
            <w:tcW w:w="1913"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20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资性房地产公允价值变动产生的损益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-7,771,994.23</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0.00</w:t>
            </w:r>
          </w:p>
        </w:tc>
        <w:tc>
          <w:tcPr>
            <w:tcW w:w="203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支出</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-4,534,749.34</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宋体" w:hAnsi="宋体" w:cs="宋体" w:eastAsia="宋体" w:hint="default"/>
                <w:sz w:val="21"/>
                <w:szCs w:val="21"/>
              </w:rPr>
            </w:pPr>
            <w:r>
              <w:rPr>
                <w:rFonts w:ascii="宋体"/>
                <w:spacing w:val="-1"/>
                <w:sz w:val="21"/>
              </w:rPr>
              <w:t>-23,082,957.45</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-8,020,232.98</w:t>
            </w:r>
          </w:p>
        </w:tc>
      </w:tr>
      <w:tr>
        <w:trPr>
          <w:trHeight w:val="554"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0.00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0.00</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-101,446,633.36</w:t>
            </w:r>
          </w:p>
        </w:tc>
      </w:tr>
      <w:tr>
        <w:trPr>
          <w:trHeight w:val="283"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-103,985,406.32</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-43,071,502.94</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-34,016,842.39</w:t>
            </w:r>
          </w:p>
        </w:tc>
      </w:tr>
      <w:tr>
        <w:trPr>
          <w:trHeight w:val="283"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-41,706,626.50</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-25,448,797.31</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-643,812,582.90</w:t>
            </w:r>
          </w:p>
        </w:tc>
      </w:tr>
      <w:tr>
        <w:trPr>
          <w:trHeight w:val="281" w:hRule="exact"/>
        </w:trPr>
        <w:tc>
          <w:tcPr>
            <w:tcW w:w="3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331,890,279.83</w:t>
            </w:r>
            <w:r>
              <w:rPr>
                <w:rFonts w:ascii="宋体"/>
                <w:sz w:val="21"/>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b/>
                <w:w w:val="95"/>
                <w:sz w:val="21"/>
              </w:rPr>
              <w:t>137,740,766.26</w:t>
            </w:r>
            <w:r>
              <w:rPr>
                <w:rFonts w:ascii="宋体"/>
                <w:sz w:val="21"/>
              </w:rPr>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b/>
                <w:sz w:val="21"/>
              </w:rPr>
              <w:t>4,437,346,987.54</w:t>
            </w:r>
            <w:r>
              <w:rPr>
                <w:rFonts w:ascii="宋体"/>
                <w:sz w:val="21"/>
              </w:rPr>
            </w:r>
          </w:p>
        </w:tc>
      </w:tr>
    </w:tbl>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193" w:top="780" w:bottom="1380" w:left="1280" w:right="760"/>
        </w:sectPr>
      </w:pPr>
    </w:p>
    <w:p>
      <w:pPr>
        <w:pStyle w:val="Heading2"/>
        <w:spacing w:line="240" w:lineRule="auto" w:before="26"/>
        <w:ind w:left="518" w:right="-18"/>
        <w:jc w:val="left"/>
        <w:rPr>
          <w:b w:val="0"/>
          <w:bCs w:val="0"/>
        </w:rPr>
      </w:pPr>
      <w:r>
        <w:rPr/>
        <w:t>十一、</w:t>
      </w:r>
      <w:r>
        <w:rPr>
          <w:spacing w:val="-8"/>
        </w:rPr>
        <w:t> </w:t>
      </w:r>
      <w:r>
        <w:rPr/>
        <w:t>采用公允价值计量的项目</w:t>
      </w:r>
      <w:r>
        <w:rPr>
          <w:b w:val="0"/>
          <w:bCs w:val="0"/>
        </w:rPr>
      </w:r>
    </w:p>
    <w:p>
      <w:pPr>
        <w:pStyle w:val="BodyText"/>
        <w:spacing w:line="240" w:lineRule="auto" w:before="58"/>
        <w:ind w:left="5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3"/>
        <w:rPr>
          <w:rFonts w:ascii="宋体" w:hAnsi="宋体" w:cs="宋体" w:eastAsia="宋体" w:hint="default"/>
          <w:sz w:val="30"/>
          <w:szCs w:val="30"/>
        </w:rPr>
      </w:pPr>
    </w:p>
    <w:p>
      <w:pPr>
        <w:pStyle w:val="BodyText"/>
        <w:tabs>
          <w:tab w:pos="1718" w:val="left" w:leader="none"/>
        </w:tabs>
        <w:spacing w:line="240" w:lineRule="auto"/>
        <w:ind w:left="518" w:right="0"/>
        <w:jc w:val="left"/>
      </w:pPr>
      <w:r>
        <w:rPr/>
        <w:t>单位：元</w:t>
        <w:tab/>
        <w:t>币种：人民币</w:t>
      </w:r>
    </w:p>
    <w:p>
      <w:pPr>
        <w:spacing w:after="0" w:line="240" w:lineRule="auto"/>
        <w:jc w:val="left"/>
        <w:sectPr>
          <w:type w:val="continuous"/>
          <w:pgSz w:w="11910" w:h="16840"/>
          <w:pgMar w:top="1000" w:bottom="280" w:left="1280" w:right="760"/>
          <w:cols w:num="2" w:equalWidth="0">
            <w:col w:w="4007" w:space="2186"/>
            <w:col w:w="3677"/>
          </w:cols>
        </w:sectPr>
      </w:pPr>
    </w:p>
    <w:p>
      <w:pPr>
        <w:spacing w:line="240" w:lineRule="auto" w:before="10"/>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975"/>
        <w:gridCol w:w="1911"/>
        <w:gridCol w:w="1911"/>
        <w:gridCol w:w="2014"/>
        <w:gridCol w:w="1829"/>
      </w:tblGrid>
      <w:tr>
        <w:trPr>
          <w:trHeight w:val="554"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9"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8"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8"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80" w:right="0"/>
              <w:jc w:val="left"/>
              <w:rPr>
                <w:rFonts w:ascii="宋体" w:hAnsi="宋体" w:cs="宋体" w:eastAsia="宋体" w:hint="default"/>
                <w:sz w:val="21"/>
                <w:szCs w:val="21"/>
              </w:rPr>
            </w:pPr>
            <w:r>
              <w:rPr>
                <w:rFonts w:ascii="宋体" w:hAnsi="宋体" w:cs="宋体" w:eastAsia="宋体" w:hint="default"/>
                <w:b/>
                <w:bCs/>
                <w:sz w:val="21"/>
                <w:szCs w:val="21"/>
              </w:rPr>
              <w:t>当期变动</w:t>
            </w:r>
            <w:r>
              <w:rPr>
                <w:rFonts w:ascii="宋体" w:hAnsi="宋体" w:cs="宋体" w:eastAsia="宋体" w:hint="default"/>
                <w:sz w:val="21"/>
                <w:szCs w:val="21"/>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对当期利润的影</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响金额</w:t>
            </w:r>
            <w:r>
              <w:rPr>
                <w:rFonts w:ascii="宋体" w:hAnsi="宋体" w:cs="宋体" w:eastAsia="宋体" w:hint="default"/>
                <w:sz w:val="21"/>
                <w:szCs w:val="21"/>
              </w:rPr>
            </w:r>
          </w:p>
        </w:tc>
      </w:tr>
      <w:tr>
        <w:trPr>
          <w:trHeight w:val="828"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以公允价值计量且</w:t>
            </w:r>
          </w:p>
          <w:p>
            <w:pPr>
              <w:pStyle w:val="TableParagraph"/>
              <w:spacing w:line="240" w:lineRule="auto"/>
              <w:ind w:left="100" w:right="180"/>
              <w:jc w:val="left"/>
              <w:rPr>
                <w:rFonts w:ascii="宋体" w:hAnsi="宋体" w:cs="宋体" w:eastAsia="宋体" w:hint="default"/>
                <w:sz w:val="21"/>
                <w:szCs w:val="21"/>
              </w:rPr>
            </w:pPr>
            <w:r>
              <w:rPr>
                <w:rFonts w:ascii="宋体" w:hAnsi="宋体" w:cs="宋体" w:eastAsia="宋体" w:hint="default"/>
                <w:sz w:val="21"/>
                <w:szCs w:val="21"/>
              </w:rPr>
              <w:t>其变动计入当期损</w:t>
            </w:r>
            <w:r>
              <w:rPr>
                <w:rFonts w:ascii="宋体" w:hAnsi="宋体" w:cs="宋体" w:eastAsia="宋体" w:hint="default"/>
                <w:w w:val="100"/>
                <w:sz w:val="21"/>
                <w:szCs w:val="21"/>
              </w:rPr>
              <w:t> </w:t>
            </w:r>
            <w:r>
              <w:rPr>
                <w:rFonts w:ascii="宋体" w:hAnsi="宋体" w:cs="宋体" w:eastAsia="宋体" w:hint="default"/>
                <w:sz w:val="21"/>
                <w:szCs w:val="21"/>
              </w:rPr>
              <w:t>益的金融资产</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581,867,988.06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513,614,483.77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-68,253,504.29</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-100,945,582.93</w:t>
            </w:r>
          </w:p>
        </w:tc>
      </w:tr>
      <w:tr>
        <w:trPr>
          <w:trHeight w:val="283"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4,865,643,545.96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3,369,954,307.01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-1,495,689,238.95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-240,604,169.17</w:t>
            </w:r>
          </w:p>
        </w:tc>
      </w:tr>
      <w:tr>
        <w:trPr>
          <w:trHeight w:val="281"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14,200,000.00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772,964,600.00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758,764,600.00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-7,771,994.23</w:t>
            </w:r>
          </w:p>
        </w:tc>
      </w:tr>
      <w:tr>
        <w:trPr>
          <w:trHeight w:val="283"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595,177,942.16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653,872,538.98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58,694,596.82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20,297,122.72</w:t>
            </w:r>
          </w:p>
        </w:tc>
      </w:tr>
      <w:tr>
        <w:trPr>
          <w:trHeight w:val="283" w:hRule="exact"/>
        </w:trPr>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b/>
                <w:sz w:val="21"/>
              </w:rPr>
              <w:t>6,056,889,476.18</w:t>
            </w:r>
            <w:r>
              <w:rPr>
                <w:rFonts w:ascii="宋体"/>
                <w:sz w:val="21"/>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b/>
                <w:sz w:val="21"/>
              </w:rPr>
              <w:t>5,310,405,929.76</w:t>
            </w:r>
            <w:r>
              <w:rPr>
                <w:rFonts w:ascii="宋体"/>
                <w:sz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b/>
                <w:w w:val="95"/>
                <w:sz w:val="21"/>
              </w:rPr>
              <w:t>-746,483,546.42</w:t>
            </w:r>
            <w:r>
              <w:rPr>
                <w:rFonts w:ascii="宋体"/>
                <w:sz w:val="21"/>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-329,024,623.61</w:t>
            </w:r>
            <w:r>
              <w:rPr>
                <w:rFonts w:ascii="宋体"/>
                <w:sz w:val="21"/>
              </w:rPr>
            </w:r>
          </w:p>
        </w:tc>
      </w:tr>
    </w:tbl>
    <w:p>
      <w:pPr>
        <w:spacing w:line="240" w:lineRule="auto" w:before="11"/>
        <w:rPr>
          <w:rFonts w:ascii="宋体" w:hAnsi="宋体" w:cs="宋体" w:eastAsia="宋体" w:hint="default"/>
          <w:sz w:val="26"/>
          <w:szCs w:val="26"/>
        </w:rPr>
      </w:pPr>
    </w:p>
    <w:p>
      <w:pPr>
        <w:pStyle w:val="Heading2"/>
        <w:spacing w:line="240" w:lineRule="auto" w:before="26"/>
        <w:ind w:left="518" w:right="0"/>
        <w:jc w:val="left"/>
        <w:rPr>
          <w:b w:val="0"/>
          <w:bCs w:val="0"/>
        </w:rPr>
      </w:pPr>
      <w:r>
        <w:rPr/>
        <w:t>十二、</w:t>
      </w:r>
      <w:r>
        <w:rPr>
          <w:spacing w:val="-3"/>
        </w:rPr>
        <w:t> </w:t>
      </w:r>
      <w:r>
        <w:rPr/>
        <w:t>其他</w:t>
      </w:r>
      <w:r>
        <w:rPr>
          <w:b w:val="0"/>
          <w:bCs w:val="0"/>
        </w:rPr>
      </w:r>
    </w:p>
    <w:p>
      <w:pPr>
        <w:pStyle w:val="BodyText"/>
        <w:spacing w:line="240" w:lineRule="auto" w:before="106"/>
        <w:ind w:left="518" w:right="0"/>
        <w:jc w:val="left"/>
      </w:pPr>
      <w:r>
        <w:rPr/>
        <w:t>□适用</w:t>
      </w:r>
      <w:r>
        <w:rPr>
          <w:spacing w:val="-1"/>
        </w:rPr>
        <w:t> </w:t>
      </w:r>
      <w:r>
        <w:rPr/>
        <w:t>√不适用</w:t>
      </w:r>
    </w:p>
    <w:p>
      <w:pPr>
        <w:spacing w:after="0" w:line="240" w:lineRule="auto"/>
        <w:jc w:val="left"/>
        <w:sectPr>
          <w:type w:val="continuous"/>
          <w:pgSz w:w="11910" w:h="16840"/>
          <w:pgMar w:top="1000" w:bottom="280" w:left="1280" w:right="760"/>
        </w:sectPr>
      </w:pPr>
    </w:p>
    <w:p>
      <w:pPr>
        <w:spacing w:before="25"/>
        <w:ind w:left="3044" w:right="3056"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5"/>
          <w:szCs w:val="25"/>
        </w:rPr>
      </w:pPr>
    </w:p>
    <w:p>
      <w:pPr>
        <w:pStyle w:val="Heading1"/>
        <w:spacing w:line="240" w:lineRule="auto"/>
        <w:ind w:left="3056" w:right="3056"/>
        <w:jc w:val="center"/>
        <w:rPr>
          <w:b w:val="0"/>
          <w:bCs w:val="0"/>
        </w:rPr>
      </w:pPr>
      <w:bookmarkStart w:name="_TOC_250008" w:id="3"/>
      <w:r>
        <w:rPr/>
        <w:t>第三节</w:t>
      </w:r>
      <w:r>
        <w:rPr>
          <w:spacing w:val="-1"/>
        </w:rPr>
        <w:t> </w:t>
      </w:r>
      <w:r>
        <w:rPr/>
        <w:t>公司业务概要</w:t>
      </w:r>
      <w:bookmarkEnd w:id="3"/>
      <w:r>
        <w:rPr>
          <w:b w:val="0"/>
          <w:bCs w:val="0"/>
        </w:rPr>
      </w:r>
    </w:p>
    <w:p>
      <w:pPr>
        <w:spacing w:line="240" w:lineRule="auto" w:before="7"/>
        <w:rPr>
          <w:rFonts w:ascii="黑体" w:hAnsi="黑体" w:cs="黑体" w:eastAsia="黑体" w:hint="default"/>
          <w:b/>
          <w:bCs/>
          <w:sz w:val="22"/>
          <w:szCs w:val="22"/>
        </w:rPr>
      </w:pPr>
    </w:p>
    <w:p>
      <w:pPr>
        <w:pStyle w:val="Heading2"/>
        <w:tabs>
          <w:tab w:pos="977" w:val="left" w:leader="none"/>
        </w:tabs>
        <w:spacing w:line="240" w:lineRule="auto"/>
        <w:ind w:right="0"/>
        <w:jc w:val="left"/>
        <w:rPr>
          <w:b w:val="0"/>
          <w:bCs w:val="0"/>
        </w:rPr>
      </w:pPr>
      <w:r>
        <w:rPr/>
        <w:t>一、</w:t>
        <w:tab/>
        <w:t>报告期内公司所从事的主要业务、经营模式及行业情况说明</w:t>
      </w:r>
      <w:r>
        <w:rPr>
          <w:b w:val="0"/>
          <w:bCs w:val="0"/>
        </w:rPr>
      </w:r>
    </w:p>
    <w:p>
      <w:pPr>
        <w:spacing w:line="240" w:lineRule="auto" w:before="0"/>
        <w:rPr>
          <w:rFonts w:ascii="宋体" w:hAnsi="宋体" w:cs="宋体" w:eastAsia="宋体" w:hint="default"/>
          <w:b/>
          <w:bCs/>
          <w:sz w:val="24"/>
          <w:szCs w:val="24"/>
        </w:rPr>
      </w:pPr>
    </w:p>
    <w:p>
      <w:pPr>
        <w:pStyle w:val="Heading2"/>
        <w:spacing w:line="240" w:lineRule="auto" w:before="212"/>
        <w:ind w:right="0"/>
        <w:jc w:val="left"/>
        <w:rPr>
          <w:b w:val="0"/>
          <w:bCs w:val="0"/>
        </w:rPr>
      </w:pPr>
      <w:r>
        <w:rPr/>
        <w:t>（一）主要业务</w:t>
      </w:r>
      <w:r>
        <w:rPr>
          <w:b w:val="0"/>
          <w:bCs w:val="0"/>
        </w:rPr>
      </w:r>
    </w:p>
    <w:p>
      <w:pPr>
        <w:spacing w:line="240" w:lineRule="auto" w:before="8"/>
        <w:rPr>
          <w:rFonts w:ascii="宋体" w:hAnsi="宋体" w:cs="宋体" w:eastAsia="宋体" w:hint="default"/>
          <w:b/>
          <w:bCs/>
          <w:sz w:val="35"/>
          <w:szCs w:val="35"/>
        </w:rPr>
      </w:pPr>
    </w:p>
    <w:p>
      <w:pPr>
        <w:pStyle w:val="BodyText"/>
        <w:spacing w:line="276" w:lineRule="auto"/>
        <w:ind w:right="132" w:firstLine="479"/>
        <w:jc w:val="both"/>
      </w:pPr>
      <w:r>
        <w:rPr/>
        <w:t>公司自设立以来，一直坚持“技术</w:t>
      </w:r>
      <w:r>
        <w:rPr>
          <w:rFonts w:ascii="宋体" w:hAnsi="宋体" w:cs="宋体" w:eastAsia="宋体" w:hint="default"/>
        </w:rPr>
        <w:t>+</w:t>
      </w:r>
      <w:r>
        <w:rPr/>
        <w:t>资本”的发展战略，主要立足于信息技术和 </w:t>
      </w:r>
      <w:r>
        <w:rPr>
          <w:spacing w:val="-2"/>
        </w:rPr>
        <w:t>节能环保两大主营业务领域，并逐步形成和打造了互联网服务与终端、公共安全、云</w:t>
      </w:r>
      <w:r>
        <w:rPr>
          <w:spacing w:val="-94"/>
        </w:rPr>
        <w:t> </w:t>
      </w:r>
      <w:r>
        <w:rPr>
          <w:spacing w:val="-94"/>
        </w:rPr>
      </w:r>
      <w:r>
        <w:rPr/>
        <w:t>计算与大数据、节能环保四大板块业务。</w:t>
      </w:r>
    </w:p>
    <w:p>
      <w:pPr>
        <w:spacing w:line="240" w:lineRule="auto" w:before="4"/>
        <w:rPr>
          <w:rFonts w:ascii="宋体" w:hAnsi="宋体" w:cs="宋体" w:eastAsia="宋体" w:hint="default"/>
          <w:sz w:val="28"/>
          <w:szCs w:val="28"/>
        </w:rPr>
      </w:pPr>
    </w:p>
    <w:p>
      <w:pPr>
        <w:pStyle w:val="BodyText"/>
        <w:spacing w:line="276" w:lineRule="auto"/>
        <w:ind w:right="130" w:firstLine="479"/>
        <w:jc w:val="both"/>
      </w:pPr>
      <w:r>
        <w:rPr>
          <w:rFonts w:ascii="宋体" w:hAnsi="宋体" w:cs="宋体" w:eastAsia="宋体" w:hint="default"/>
        </w:rPr>
        <w:t>2018</w:t>
      </w:r>
      <w:r>
        <w:rPr>
          <w:rFonts w:ascii="宋体" w:hAnsi="宋体" w:cs="宋体" w:eastAsia="宋体" w:hint="default"/>
          <w:spacing w:val="-39"/>
        </w:rPr>
        <w:t> </w:t>
      </w:r>
      <w:r>
        <w:rPr>
          <w:spacing w:val="-4"/>
        </w:rPr>
        <w:t>年以来，公司依托在产学研一体化发展道路上已经具备的产业基础和市场化</w:t>
      </w:r>
      <w:r>
        <w:rPr/>
        <w:t> </w:t>
      </w:r>
      <w:r>
        <w:rPr>
          <w:spacing w:val="-2"/>
        </w:rPr>
        <w:t>运营经验，通过优化和调整产业布局，进一步聚焦具有核心技术、符合国家创新发展</w:t>
      </w:r>
      <w:r>
        <w:rPr>
          <w:spacing w:val="-93"/>
        </w:rPr>
        <w:t> </w:t>
      </w:r>
      <w:r>
        <w:rPr>
          <w:spacing w:val="-93"/>
        </w:rPr>
      </w:r>
      <w:r>
        <w:rPr>
          <w:spacing w:val="-2"/>
        </w:rPr>
        <w:t>战略的主干产业，持续推进与清华大学及各院系所的互动合作，探索新机制，打造开</w:t>
      </w:r>
      <w:r>
        <w:rPr>
          <w:spacing w:val="-95"/>
        </w:rPr>
        <w:t> </w:t>
      </w:r>
      <w:r>
        <w:rPr>
          <w:spacing w:val="-95"/>
        </w:rPr>
      </w:r>
      <w:r>
        <w:rPr/>
        <w:t>放型、生态化、全国性的产学研用一体化的产业平台。</w:t>
      </w:r>
    </w:p>
    <w:p>
      <w:pPr>
        <w:spacing w:line="6289" w:lineRule="exact"/>
        <w:ind w:left="139" w:right="0" w:firstLine="0"/>
        <w:rPr>
          <w:rFonts w:ascii="宋体" w:hAnsi="宋体" w:cs="宋体" w:eastAsia="宋体" w:hint="default"/>
          <w:sz w:val="20"/>
          <w:szCs w:val="20"/>
        </w:rPr>
      </w:pPr>
      <w:r>
        <w:rPr>
          <w:rFonts w:ascii="宋体" w:hAnsi="宋体" w:cs="宋体" w:eastAsia="宋体" w:hint="default"/>
          <w:position w:val="-125"/>
          <w:sz w:val="20"/>
          <w:szCs w:val="20"/>
        </w:rPr>
        <w:drawing>
          <wp:inline distT="0" distB="0" distL="0" distR="0">
            <wp:extent cx="5651242" cy="399402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0" cstate="print"/>
                    <a:stretch>
                      <a:fillRect/>
                    </a:stretch>
                  </pic:blipFill>
                  <pic:spPr>
                    <a:xfrm>
                      <a:off x="0" y="0"/>
                      <a:ext cx="5651242" cy="3994023"/>
                    </a:xfrm>
                    <a:prstGeom prst="rect">
                      <a:avLst/>
                    </a:prstGeom>
                  </pic:spPr>
                </pic:pic>
              </a:graphicData>
            </a:graphic>
          </wp:inline>
        </w:drawing>
      </w:r>
      <w:r>
        <w:rPr>
          <w:rFonts w:ascii="宋体" w:hAnsi="宋体" w:cs="宋体" w:eastAsia="宋体" w:hint="default"/>
          <w:position w:val="-125"/>
          <w:sz w:val="20"/>
          <w:szCs w:val="20"/>
        </w:rPr>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r>
        <w:rPr/>
        <w:t>（二）主要产品及其用途和经营模式</w:t>
      </w:r>
      <w:r>
        <w:rPr>
          <w:b w:val="0"/>
          <w:bCs w:val="0"/>
        </w:rPr>
      </w:r>
    </w:p>
    <w:p>
      <w:pPr>
        <w:spacing w:line="240" w:lineRule="auto" w:before="8"/>
        <w:rPr>
          <w:rFonts w:ascii="宋体" w:hAnsi="宋体" w:cs="宋体" w:eastAsia="宋体" w:hint="default"/>
          <w:b/>
          <w:bCs/>
          <w:sz w:val="35"/>
          <w:szCs w:val="35"/>
        </w:rPr>
      </w:pPr>
    </w:p>
    <w:p>
      <w:pPr>
        <w:pStyle w:val="BodyText"/>
        <w:spacing w:line="276" w:lineRule="auto"/>
        <w:ind w:right="130" w:firstLine="479"/>
        <w:jc w:val="both"/>
      </w:pPr>
      <w:r>
        <w:rPr/>
        <w:t>公司主要产品包括了</w:t>
      </w:r>
      <w:r>
        <w:rPr>
          <w:spacing w:val="-60"/>
        </w:rPr>
        <w:t> </w:t>
      </w:r>
      <w:r>
        <w:rPr>
          <w:rFonts w:ascii="宋体" w:hAnsi="宋体" w:cs="宋体" w:eastAsia="宋体" w:hint="default"/>
        </w:rPr>
        <w:t>CNKI</w:t>
      </w:r>
      <w:r>
        <w:rPr>
          <w:rFonts w:ascii="宋体" w:hAnsi="宋体" w:cs="宋体" w:eastAsia="宋体" w:hint="default"/>
          <w:spacing w:val="-60"/>
        </w:rPr>
        <w:t> </w:t>
      </w:r>
      <w:r>
        <w:rPr>
          <w:spacing w:val="-7"/>
        </w:rPr>
        <w:t>知识数据产品、安防安检设备、军用装备、城市节能、</w:t>
      </w:r>
      <w:r>
        <w:rPr/>
        <w:t> 工业节能、大数据及云计算软硬件、照明等，还包括计算机、电视机、</w:t>
      </w:r>
      <w:r>
        <w:rPr>
          <w:rFonts w:ascii="宋体" w:hAnsi="宋体" w:cs="宋体" w:eastAsia="宋体" w:hint="default"/>
        </w:rPr>
        <w:t>E</w:t>
      </w:r>
      <w:r>
        <w:rPr>
          <w:rFonts w:ascii="宋体" w:hAnsi="宋体" w:cs="宋体" w:eastAsia="宋体" w:hint="default"/>
          <w:spacing w:val="-56"/>
        </w:rPr>
        <w:t> </w:t>
      </w:r>
      <w:r>
        <w:rPr/>
        <w:t>人</w:t>
      </w:r>
      <w:r>
        <w:rPr>
          <w:spacing w:val="-56"/>
        </w:rPr>
        <w:t> </w:t>
      </w:r>
      <w:r>
        <w:rPr>
          <w:rFonts w:ascii="宋体" w:hAnsi="宋体" w:cs="宋体" w:eastAsia="宋体" w:hint="default"/>
        </w:rPr>
        <w:t>E</w:t>
      </w:r>
      <w:r>
        <w:rPr>
          <w:rFonts w:ascii="宋体" w:hAnsi="宋体" w:cs="宋体" w:eastAsia="宋体" w:hint="default"/>
          <w:spacing w:val="-56"/>
        </w:rPr>
        <w:t> </w:t>
      </w:r>
      <w:r>
        <w:rPr/>
        <w:t>本等商</w:t>
      </w:r>
    </w:p>
    <w:p>
      <w:pPr>
        <w:spacing w:after="0" w:line="276" w:lineRule="auto"/>
        <w:jc w:val="both"/>
        <w:sectPr>
          <w:pgSz w:w="11910" w:h="16840"/>
          <w:pgMar w:header="0" w:footer="1193" w:top="780" w:bottom="1380" w:left="1660" w:right="1140"/>
        </w:sectPr>
      </w:pPr>
    </w:p>
    <w:p>
      <w:pPr>
        <w:spacing w:before="25"/>
        <w:ind w:left="120" w:right="232"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BodyText"/>
        <w:spacing w:line="276" w:lineRule="auto" w:before="26"/>
        <w:ind w:right="97"/>
        <w:jc w:val="left"/>
      </w:pPr>
      <w:r>
        <w:rPr>
          <w:spacing w:val="-5"/>
        </w:rPr>
        <w:t>用和消费类电子设备等相关产品。在经营过程中，公司以拥有自主技术的产品为核心，</w:t>
      </w:r>
      <w:r>
        <w:rPr>
          <w:spacing w:val="-98"/>
        </w:rPr>
        <w:t> </w:t>
      </w:r>
      <w:r>
        <w:rPr>
          <w:spacing w:val="-98"/>
        </w:rPr>
      </w:r>
      <w:r>
        <w:rPr/>
        <w:t>通过产品销售、工程实施和技术服务经营模式等具体实施。</w:t>
      </w:r>
    </w:p>
    <w:p>
      <w:pPr>
        <w:spacing w:line="240" w:lineRule="auto" w:before="4"/>
        <w:rPr>
          <w:rFonts w:ascii="宋体" w:hAnsi="宋体" w:cs="宋体" w:eastAsia="宋体" w:hint="default"/>
          <w:sz w:val="28"/>
          <w:szCs w:val="28"/>
        </w:rPr>
      </w:pPr>
    </w:p>
    <w:p>
      <w:pPr>
        <w:pStyle w:val="BodyText"/>
        <w:spacing w:line="276" w:lineRule="auto"/>
        <w:ind w:right="230" w:firstLine="479"/>
        <w:jc w:val="both"/>
      </w:pPr>
      <w:r>
        <w:rPr/>
        <w:pict>
          <v:shape style="position:absolute;margin-left:89.974998pt;margin-top:157.27562pt;width:441.4pt;height:297.720pt;mso-position-horizontal-relative:page;mso-position-vertical-relative:paragraph;z-index:-1229032" type="#_x0000_t75" stroked="false">
            <v:imagedata r:id="rId11" o:title=""/>
          </v:shape>
        </w:pict>
      </w:r>
      <w:r>
        <w:rPr>
          <w:spacing w:val="-2"/>
        </w:rPr>
        <w:t>公司在各产业领域采用了“集团化管理</w:t>
      </w:r>
      <w:r>
        <w:rPr>
          <w:rFonts w:ascii="宋体" w:hAnsi="宋体" w:cs="宋体" w:eastAsia="宋体" w:hint="default"/>
          <w:spacing w:val="-2"/>
        </w:rPr>
        <w:t>+</w:t>
      </w:r>
      <w:r>
        <w:rPr>
          <w:spacing w:val="-2"/>
        </w:rPr>
        <w:t>核心子公司</w:t>
      </w:r>
      <w:r>
        <w:rPr>
          <w:rFonts w:ascii="宋体" w:hAnsi="宋体" w:cs="宋体" w:eastAsia="宋体" w:hint="default"/>
          <w:spacing w:val="-2"/>
        </w:rPr>
        <w:t>+</w:t>
      </w:r>
      <w:r>
        <w:rPr>
          <w:spacing w:val="-2"/>
        </w:rPr>
        <w:t>产业基地”的组织架构实施</w:t>
      </w:r>
      <w:r>
        <w:rPr/>
        <w:t> </w:t>
      </w:r>
      <w:r>
        <w:rPr>
          <w:spacing w:val="-2"/>
        </w:rPr>
        <w:t>经营，其经营模式归纳分属产品类、工程类与技术服务类三大类。产品类业务采取以</w:t>
      </w:r>
      <w:r>
        <w:rPr>
          <w:spacing w:val="-94"/>
        </w:rPr>
        <w:t> </w:t>
      </w:r>
      <w:r>
        <w:rPr>
          <w:spacing w:val="-94"/>
        </w:rPr>
      </w:r>
      <w:r>
        <w:rPr>
          <w:spacing w:val="-2"/>
        </w:rPr>
        <w:t>销定产的经营模式；工程类业务具有典型的承包类业务特征，公司通过总承包或分包</w:t>
      </w:r>
      <w:r>
        <w:rPr>
          <w:spacing w:val="-94"/>
        </w:rPr>
        <w:t> </w:t>
      </w:r>
      <w:r>
        <w:rPr>
          <w:spacing w:val="-94"/>
        </w:rPr>
      </w:r>
      <w:r>
        <w:rPr>
          <w:spacing w:val="-2"/>
        </w:rPr>
        <w:t>方式承揽项目后，围绕自主知识产权及核心技术形成“工程</w:t>
      </w:r>
      <w:r>
        <w:rPr>
          <w:rFonts w:ascii="宋体" w:hAnsi="宋体" w:cs="宋体" w:eastAsia="宋体" w:hint="default"/>
          <w:spacing w:val="-2"/>
        </w:rPr>
        <w:t>+</w:t>
      </w:r>
      <w:r>
        <w:rPr>
          <w:spacing w:val="-2"/>
        </w:rPr>
        <w:t>产品</w:t>
      </w:r>
      <w:r>
        <w:rPr>
          <w:rFonts w:ascii="宋体" w:hAnsi="宋体" w:cs="宋体" w:eastAsia="宋体" w:hint="default"/>
          <w:spacing w:val="-2"/>
        </w:rPr>
        <w:t>+</w:t>
      </w:r>
      <w:r>
        <w:rPr>
          <w:spacing w:val="-2"/>
        </w:rPr>
        <w:t>服务”三位一体的</w:t>
      </w:r>
      <w:r>
        <w:rPr>
          <w:spacing w:val="-92"/>
        </w:rPr>
        <w:t> </w:t>
      </w:r>
      <w:r>
        <w:rPr>
          <w:spacing w:val="-2"/>
        </w:rPr>
        <w:t>业务模式，并为客户提供全面解决方案，获取产业链中的最大收益；服务类业务依托</w:t>
      </w:r>
      <w:r>
        <w:rPr>
          <w:spacing w:val="-94"/>
        </w:rPr>
        <w:t> </w:t>
      </w:r>
      <w:r>
        <w:rPr>
          <w:spacing w:val="-94"/>
        </w:rPr>
      </w:r>
      <w:r>
        <w:rPr>
          <w:spacing w:val="-8"/>
        </w:rPr>
        <w:t>公司核心竞争优势为专业客户提供专业服务。近年来，公司也在不断探索以</w:t>
      </w:r>
      <w:r>
        <w:rPr>
          <w:spacing w:val="-29"/>
        </w:rPr>
        <w:t> </w:t>
      </w:r>
      <w:r>
        <w:rPr>
          <w:rFonts w:ascii="宋体" w:hAnsi="宋体" w:cs="宋体" w:eastAsia="宋体" w:hint="default"/>
          <w:spacing w:val="-15"/>
        </w:rPr>
        <w:t>BOT</w:t>
      </w:r>
      <w:r>
        <w:rPr>
          <w:spacing w:val="-15"/>
        </w:rPr>
        <w:t>、</w:t>
      </w:r>
      <w:r>
        <w:rPr>
          <w:rFonts w:ascii="宋体" w:hAnsi="宋体" w:cs="宋体" w:eastAsia="宋体" w:hint="default"/>
          <w:spacing w:val="-15"/>
        </w:rPr>
        <w:t>TOT</w:t>
      </w:r>
      <w:r>
        <w:rPr>
          <w:spacing w:val="-15"/>
        </w:rPr>
        <w:t>、</w:t>
      </w:r>
      <w:r>
        <w:rPr>
          <w:spacing w:val="-116"/>
        </w:rPr>
        <w:t> </w:t>
      </w:r>
      <w:r>
        <w:rPr>
          <w:rFonts w:ascii="宋体" w:hAnsi="宋体" w:cs="宋体" w:eastAsia="宋体" w:hint="default"/>
        </w:rPr>
        <w:t>PPP</w:t>
      </w:r>
      <w:r>
        <w:rPr>
          <w:rFonts w:ascii="宋体" w:hAnsi="宋体" w:cs="宋体" w:eastAsia="宋体" w:hint="default"/>
          <w:spacing w:val="-49"/>
        </w:rPr>
        <w:t> </w:t>
      </w:r>
      <w:r>
        <w:rPr/>
        <w:t>等模式开展“方案设计、产品、工程和运营服务”一体化的整体解决方案模式。 公司总体上经营模式如下图所示：</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4"/>
          <w:szCs w:val="34"/>
        </w:rPr>
      </w:pPr>
    </w:p>
    <w:p>
      <w:pPr>
        <w:pStyle w:val="BodyText"/>
        <w:spacing w:line="780" w:lineRule="atLeast"/>
        <w:ind w:left="618" w:right="97" w:hanging="480"/>
        <w:jc w:val="left"/>
      </w:pPr>
      <w:r>
        <w:rPr>
          <w:rFonts w:ascii="宋体" w:hAnsi="宋体" w:cs="宋体" w:eastAsia="宋体" w:hint="default"/>
          <w:b/>
          <w:bCs/>
        </w:rPr>
        <w:t>（三）行业情况</w:t>
      </w:r>
      <w:r>
        <w:rPr>
          <w:rFonts w:ascii="宋体" w:hAnsi="宋体" w:cs="宋体" w:eastAsia="宋体" w:hint="default"/>
          <w:b/>
          <w:bCs/>
          <w:w w:val="99"/>
        </w:rPr>
        <w:t> </w:t>
      </w:r>
      <w:r>
        <w:rPr>
          <w:spacing w:val="-2"/>
        </w:rPr>
        <w:t>公司主营业务归属于信息产业与节能环保产业，涉及互联网服务与终端、云计算</w:t>
      </w:r>
    </w:p>
    <w:p>
      <w:pPr>
        <w:pStyle w:val="BodyText"/>
        <w:spacing w:line="276" w:lineRule="auto" w:before="46"/>
        <w:ind w:right="231"/>
        <w:jc w:val="both"/>
      </w:pPr>
      <w:r>
        <w:rPr>
          <w:spacing w:val="-2"/>
        </w:rPr>
        <w:t>与大数据、公共安全、节能环保等产业领域。按照所处行业及经营模式可分为制造业</w:t>
      </w:r>
      <w:r>
        <w:rPr>
          <w:spacing w:val="-93"/>
        </w:rPr>
        <w:t> </w:t>
      </w:r>
      <w:r>
        <w:rPr>
          <w:spacing w:val="-93"/>
        </w:rPr>
      </w:r>
      <w:r>
        <w:rPr>
          <w:spacing w:val="-2"/>
        </w:rPr>
        <w:t>和软件与信息技术服务业，其中制造业又以包括商用与消费电子设备、安防系统等多</w:t>
      </w:r>
      <w:r>
        <w:rPr>
          <w:spacing w:val="-94"/>
        </w:rPr>
        <w:t> </w:t>
      </w:r>
      <w:r>
        <w:rPr>
          <w:spacing w:val="-94"/>
        </w:rPr>
      </w:r>
      <w:r>
        <w:rPr/>
        <w:t>个产业领域在内的电子信息制造业为核心。</w:t>
      </w:r>
    </w:p>
    <w:p>
      <w:pPr>
        <w:spacing w:line="240" w:lineRule="auto" w:before="4"/>
        <w:rPr>
          <w:rFonts w:ascii="宋体" w:hAnsi="宋体" w:cs="宋体" w:eastAsia="宋体" w:hint="default"/>
          <w:sz w:val="28"/>
          <w:szCs w:val="28"/>
        </w:rPr>
      </w:pPr>
    </w:p>
    <w:p>
      <w:pPr>
        <w:pStyle w:val="BodyText"/>
        <w:spacing w:line="276" w:lineRule="auto"/>
        <w:ind w:right="230" w:firstLine="479"/>
        <w:jc w:val="both"/>
      </w:pPr>
      <w:r>
        <w:rPr>
          <w:rFonts w:ascii="宋体" w:hAnsi="宋体" w:cs="宋体" w:eastAsia="宋体" w:hint="default"/>
        </w:rPr>
        <w:t>2018</w:t>
      </w:r>
      <w:r>
        <w:rPr>
          <w:rFonts w:ascii="宋体" w:hAnsi="宋体" w:cs="宋体" w:eastAsia="宋体" w:hint="default"/>
          <w:spacing w:val="-56"/>
        </w:rPr>
        <w:t> </w:t>
      </w:r>
      <w:r>
        <w:rPr/>
        <w:t>年是全面贯彻党的十九大精神的开局之年，是改革开放</w:t>
      </w:r>
      <w:r>
        <w:rPr>
          <w:spacing w:val="-55"/>
        </w:rPr>
        <w:t> </w:t>
      </w:r>
      <w:r>
        <w:rPr>
          <w:rFonts w:ascii="宋体" w:hAnsi="宋体" w:cs="宋体" w:eastAsia="宋体" w:hint="default"/>
        </w:rPr>
        <w:t>40</w:t>
      </w:r>
      <w:r>
        <w:rPr>
          <w:rFonts w:ascii="宋体" w:hAnsi="宋体" w:cs="宋体" w:eastAsia="宋体" w:hint="default"/>
          <w:spacing w:val="-55"/>
        </w:rPr>
        <w:t> </w:t>
      </w:r>
      <w:r>
        <w:rPr/>
        <w:t>周年，是决胜全 </w:t>
      </w:r>
      <w:r>
        <w:rPr>
          <w:spacing w:val="-2"/>
        </w:rPr>
        <w:t>面建成小康社会、实施“十三五”规划承上启下的关键一年。政府工作报告中明确指</w:t>
      </w:r>
    </w:p>
    <w:p>
      <w:pPr>
        <w:spacing w:after="0" w:line="276" w:lineRule="auto"/>
        <w:jc w:val="both"/>
        <w:sectPr>
          <w:pgSz w:w="11910" w:h="16840"/>
          <w:pgMar w:header="0" w:footer="1193" w:top="780" w:bottom="1380" w:left="1660" w:right="1040"/>
        </w:sectPr>
      </w:pPr>
    </w:p>
    <w:p>
      <w:pPr>
        <w:spacing w:before="25"/>
        <w:ind w:left="4233" w:right="424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46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BodyText"/>
        <w:spacing w:line="276" w:lineRule="auto" w:before="26"/>
        <w:ind w:left="498" w:right="491"/>
        <w:jc w:val="both"/>
      </w:pPr>
      <w:r>
        <w:rPr>
          <w:spacing w:val="-2"/>
        </w:rPr>
        <w:t>出，政府将坚持创新引领发展。推动传统产业改造提升，打造工业互联网平台，拓展</w:t>
      </w:r>
      <w:r>
        <w:rPr>
          <w:spacing w:val="-95"/>
        </w:rPr>
        <w:t> </w:t>
      </w:r>
      <w:r>
        <w:rPr>
          <w:spacing w:val="-95"/>
        </w:rPr>
      </w:r>
      <w:r>
        <w:rPr/>
        <w:t>“智能+”，为制造业转型升级赋能；促进新兴产业加快发展。深化大数据、人工智</w:t>
      </w:r>
      <w:r>
        <w:rPr>
          <w:spacing w:val="-54"/>
        </w:rPr>
        <w:t> </w:t>
      </w:r>
      <w:r>
        <w:rPr>
          <w:spacing w:val="-54"/>
        </w:rPr>
      </w:r>
      <w:r>
        <w:rPr/>
        <w:t>能等研发应用，加快在各行业各领域推进“互联网+”与此同时，加强污染防治和生</w:t>
      </w:r>
      <w:r>
        <w:rPr>
          <w:spacing w:val="-56"/>
        </w:rPr>
        <w:t> </w:t>
      </w:r>
      <w:r>
        <w:rPr>
          <w:spacing w:val="-56"/>
        </w:rPr>
      </w:r>
      <w:r>
        <w:rPr>
          <w:spacing w:val="-2"/>
        </w:rPr>
        <w:t>态建设，大力推动绿色发展。为此，公司所处的信息产业和节能环保产业将迎来更好</w:t>
      </w:r>
      <w:r>
        <w:rPr>
          <w:spacing w:val="-93"/>
        </w:rPr>
        <w:t> </w:t>
      </w:r>
      <w:r>
        <w:rPr>
          <w:spacing w:val="-93"/>
        </w:rPr>
      </w:r>
      <w:r>
        <w:rPr/>
        <w:t>的发展机遇。</w:t>
      </w:r>
    </w:p>
    <w:p>
      <w:pPr>
        <w:spacing w:line="240" w:lineRule="auto" w:before="4"/>
        <w:rPr>
          <w:rFonts w:ascii="宋体" w:hAnsi="宋体" w:cs="宋体" w:eastAsia="宋体" w:hint="default"/>
          <w:sz w:val="28"/>
          <w:szCs w:val="28"/>
        </w:rPr>
      </w:pPr>
    </w:p>
    <w:p>
      <w:pPr>
        <w:pStyle w:val="BodyText"/>
        <w:spacing w:line="276" w:lineRule="auto"/>
        <w:ind w:left="498" w:right="490" w:firstLine="479"/>
        <w:jc w:val="both"/>
      </w:pPr>
      <w:r>
        <w:rPr/>
        <w:t>公司自设立以来，一直坚持“技术</w:t>
      </w:r>
      <w:r>
        <w:rPr>
          <w:rFonts w:ascii="宋体" w:hAnsi="宋体" w:cs="宋体" w:eastAsia="宋体" w:hint="default"/>
        </w:rPr>
        <w:t>+</w:t>
      </w:r>
      <w:r>
        <w:rPr/>
        <w:t>资本”、“发展与合作”的发展战略，并依 </w:t>
      </w:r>
      <w:r>
        <w:rPr>
          <w:spacing w:val="-2"/>
        </w:rPr>
        <w:t>托清华大学和自主研发的各项技术成果，培育了公共安全、知识内容与服务、节能产</w:t>
      </w:r>
      <w:r>
        <w:rPr>
          <w:spacing w:val="-96"/>
        </w:rPr>
        <w:t> </w:t>
      </w:r>
      <w:r>
        <w:rPr>
          <w:spacing w:val="-96"/>
        </w:rPr>
      </w:r>
      <w:r>
        <w:rPr>
          <w:spacing w:val="-2"/>
        </w:rPr>
        <w:t>业、商用和消费电子设备等众多具有核心竞争力的业务，打造了大型集装箱检查系统</w:t>
      </w:r>
      <w:r>
        <w:rPr>
          <w:spacing w:val="-94"/>
        </w:rPr>
        <w:t> </w:t>
      </w:r>
      <w:r>
        <w:rPr>
          <w:spacing w:val="-94"/>
        </w:rPr>
      </w:r>
      <w:r>
        <w:rPr>
          <w:spacing w:val="-2"/>
        </w:rPr>
        <w:t>全球市场份额第一、全球最大的学术期刊数据库、智能楼宇工程量全国领先等市场领</w:t>
      </w:r>
      <w:r>
        <w:rPr>
          <w:spacing w:val="-94"/>
        </w:rPr>
        <w:t> </w:t>
      </w:r>
      <w:r>
        <w:rPr>
          <w:spacing w:val="-94"/>
        </w:rPr>
      </w:r>
      <w:r>
        <w:rPr>
          <w:spacing w:val="-2"/>
        </w:rPr>
        <w:t>先地位。公司还承接了“核高基”等一大批国家级和省市级科研项目，并已拥有了千</w:t>
      </w:r>
      <w:r>
        <w:rPr>
          <w:spacing w:val="-94"/>
        </w:rPr>
        <w:t> </w:t>
      </w:r>
      <w:r>
        <w:rPr>
          <w:spacing w:val="-94"/>
        </w:rPr>
      </w:r>
      <w:r>
        <w:rPr/>
        <w:t>余项专利技术，在多个技术领域处于国内甚至国际领先水平。</w:t>
      </w:r>
    </w:p>
    <w:p>
      <w:pPr>
        <w:spacing w:line="240" w:lineRule="auto" w:before="4"/>
        <w:rPr>
          <w:rFonts w:ascii="宋体" w:hAnsi="宋体" w:cs="宋体" w:eastAsia="宋体" w:hint="default"/>
          <w:sz w:val="28"/>
          <w:szCs w:val="28"/>
        </w:rPr>
      </w:pPr>
    </w:p>
    <w:p>
      <w:pPr>
        <w:pStyle w:val="BodyText"/>
        <w:spacing w:line="276" w:lineRule="auto"/>
        <w:ind w:left="498" w:right="492" w:firstLine="479"/>
        <w:jc w:val="both"/>
      </w:pPr>
      <w:r>
        <w:rPr/>
        <w:t>报告期内，公司在“2018 年强国知识产权论坛”上，被授予“2018</w:t>
      </w:r>
      <w:r>
        <w:rPr>
          <w:spacing w:val="-48"/>
        </w:rPr>
        <w:t> </w:t>
      </w:r>
      <w:r>
        <w:rPr/>
        <w:t>年度知识产</w:t>
      </w:r>
      <w:r>
        <w:rPr/>
        <w:t> </w:t>
      </w:r>
      <w:r>
        <w:rPr>
          <w:spacing w:val="-2"/>
        </w:rPr>
        <w:t>权智能制造产业行业领先企业”的荣誉称号；并在第十四届中国·企业社会责任国际</w:t>
      </w:r>
      <w:r>
        <w:rPr>
          <w:spacing w:val="-94"/>
        </w:rPr>
        <w:t> </w:t>
      </w:r>
      <w:r>
        <w:rPr>
          <w:spacing w:val="-94"/>
        </w:rPr>
      </w:r>
      <w:r>
        <w:rPr>
          <w:spacing w:val="-4"/>
        </w:rPr>
        <w:t>论坛上获得“</w:t>
      </w:r>
      <w:r>
        <w:rPr>
          <w:rFonts w:ascii="宋体" w:hAnsi="宋体" w:cs="宋体" w:eastAsia="宋体" w:hint="default"/>
          <w:spacing w:val="-4"/>
        </w:rPr>
        <w:t>2018</w:t>
      </w:r>
      <w:r>
        <w:rPr>
          <w:rFonts w:ascii="宋体" w:hAnsi="宋体" w:cs="宋体" w:eastAsia="宋体" w:hint="default"/>
          <w:spacing w:val="-45"/>
        </w:rPr>
        <w:t> </w:t>
      </w:r>
      <w:r>
        <w:rPr>
          <w:spacing w:val="-3"/>
        </w:rPr>
        <w:t>年度责任企业”。截至本报告披露日，公司还连续三年荣登工信部</w:t>
      </w:r>
      <w:r>
        <w:rPr>
          <w:spacing w:val="-118"/>
        </w:rPr>
        <w:t> </w:t>
      </w:r>
      <w:r>
        <w:rPr>
          <w:spacing w:val="-118"/>
        </w:rPr>
      </w:r>
      <w:r>
        <w:rPr/>
        <w:t>发布的中国软件和信息技术服务综合竞争力百强企业榜单前五十强。</w:t>
      </w:r>
    </w:p>
    <w:p>
      <w:pPr>
        <w:spacing w:line="240" w:lineRule="auto" w:before="12"/>
        <w:rPr>
          <w:rFonts w:ascii="宋体" w:hAnsi="宋体" w:cs="宋体" w:eastAsia="宋体" w:hint="default"/>
          <w:sz w:val="32"/>
          <w:szCs w:val="32"/>
        </w:rPr>
      </w:pPr>
    </w:p>
    <w:p>
      <w:pPr>
        <w:pStyle w:val="Heading2"/>
        <w:spacing w:line="240" w:lineRule="auto"/>
        <w:ind w:left="498" w:right="0"/>
        <w:jc w:val="both"/>
        <w:rPr>
          <w:b w:val="0"/>
          <w:bCs w:val="0"/>
        </w:rPr>
      </w:pPr>
      <w:r>
        <w:rPr/>
        <w:t>二、 </w:t>
      </w:r>
      <w:r>
        <w:rPr>
          <w:spacing w:val="111"/>
        </w:rPr>
        <w:t> </w:t>
      </w:r>
      <w:r>
        <w:rPr/>
        <w:t>报告期内公司主要资产发生重大变化情况的说明</w:t>
      </w:r>
      <w:r>
        <w:rPr>
          <w:b w:val="0"/>
          <w:bCs w:val="0"/>
        </w:rPr>
      </w:r>
    </w:p>
    <w:p>
      <w:pPr>
        <w:pStyle w:val="BodyText"/>
        <w:spacing w:line="240" w:lineRule="auto" w:before="106"/>
        <w:ind w:left="498" w:right="0"/>
        <w:jc w:val="both"/>
      </w:pPr>
      <w:r>
        <w:rPr/>
        <w:t>√适用</w:t>
      </w:r>
      <w:r>
        <w:rPr>
          <w:spacing w:val="-1"/>
        </w:rPr>
        <w:t> </w:t>
      </w:r>
      <w:r>
        <w:rPr/>
        <w:t>□不适用</w:t>
      </w:r>
    </w:p>
    <w:p>
      <w:pPr>
        <w:pStyle w:val="BodyText"/>
        <w:spacing w:line="276" w:lineRule="auto" w:before="46"/>
        <w:ind w:left="498" w:right="490" w:firstLine="479"/>
        <w:jc w:val="both"/>
      </w:pPr>
      <w:r>
        <w:rPr/>
        <w:t>报告期末，公司总资产为 </w:t>
      </w:r>
      <w:r>
        <w:rPr>
          <w:rFonts w:ascii="宋体" w:hAnsi="宋体" w:cs="宋体" w:eastAsia="宋体" w:hint="default"/>
        </w:rPr>
        <w:t>636.10</w:t>
      </w:r>
      <w:r>
        <w:rPr>
          <w:rFonts w:ascii="宋体" w:hAnsi="宋体" w:cs="宋体" w:eastAsia="宋体" w:hint="default"/>
          <w:spacing w:val="-48"/>
        </w:rPr>
        <w:t> </w:t>
      </w:r>
      <w:r>
        <w:rPr/>
        <w:t>亿元，与上年期末变动不大。报告期内，变动 较大的主要资产项目为可供出售金融资产，与上年期末相比变动了</w:t>
      </w:r>
      <w:r>
        <w:rPr>
          <w:rFonts w:ascii="宋体" w:hAnsi="宋体" w:cs="宋体" w:eastAsia="宋体" w:hint="default"/>
        </w:rPr>
        <w:t>-29.52%</w:t>
      </w:r>
      <w:r>
        <w:rPr/>
        <w:t>，变动原</w:t>
      </w:r>
      <w:r>
        <w:rPr>
          <w:spacing w:val="-59"/>
        </w:rPr>
        <w:t> </w:t>
      </w:r>
      <w:r>
        <w:rPr/>
        <w:t>因主要为相关金融资产市场价格波动以及公司对所持有的广电网络（</w:t>
      </w:r>
      <w:r>
        <w:rPr>
          <w:rFonts w:ascii="宋体" w:hAnsi="宋体" w:cs="宋体" w:eastAsia="宋体" w:hint="default"/>
        </w:rPr>
        <w:t>600831.SH</w:t>
      </w:r>
      <w:r>
        <w:rPr/>
        <w:t>）、</w:t>
      </w:r>
      <w:r>
        <w:rPr>
          <w:spacing w:val="-58"/>
        </w:rPr>
        <w:t> </w:t>
      </w:r>
      <w:r>
        <w:rPr/>
        <w:t>同方康泰（</w:t>
      </w:r>
      <w:r>
        <w:rPr>
          <w:rFonts w:ascii="宋体" w:hAnsi="宋体" w:cs="宋体" w:eastAsia="宋体" w:hint="default"/>
        </w:rPr>
        <w:t>1312.HK</w:t>
      </w:r>
      <w:r>
        <w:rPr/>
        <w:t>）股票等可供出售金融资产计提了减值准备。</w:t>
      </w:r>
    </w:p>
    <w:tbl>
      <w:tblPr>
        <w:tblW w:w="0" w:type="auto"/>
        <w:jc w:val="left"/>
        <w:tblInd w:w="114" w:type="dxa"/>
        <w:tblLayout w:type="fixed"/>
        <w:tblCellMar>
          <w:top w:w="0" w:type="dxa"/>
          <w:left w:w="0" w:type="dxa"/>
          <w:bottom w:w="0" w:type="dxa"/>
          <w:right w:w="0" w:type="dxa"/>
        </w:tblCellMar>
        <w:tblLook w:val="01E0"/>
      </w:tblPr>
      <w:tblGrid>
        <w:gridCol w:w="2179"/>
        <w:gridCol w:w="2120"/>
        <w:gridCol w:w="1061"/>
        <w:gridCol w:w="2125"/>
        <w:gridCol w:w="948"/>
        <w:gridCol w:w="1159"/>
      </w:tblGrid>
      <w:tr>
        <w:trPr>
          <w:trHeight w:val="137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0" w:right="0"/>
              <w:jc w:val="left"/>
              <w:rPr>
                <w:rFonts w:ascii="宋体" w:hAnsi="宋体" w:cs="宋体" w:eastAsia="宋体" w:hint="default"/>
                <w:sz w:val="21"/>
                <w:szCs w:val="21"/>
              </w:rPr>
            </w:pPr>
            <w:r>
              <w:rPr>
                <w:rFonts w:ascii="宋体" w:hAnsi="宋体" w:cs="宋体" w:eastAsia="宋体" w:hint="default"/>
                <w:b/>
                <w:bCs/>
                <w:sz w:val="21"/>
                <w:szCs w:val="21"/>
              </w:rPr>
              <w:t>项目（单位：元）</w:t>
            </w:r>
            <w:r>
              <w:rPr>
                <w:rFonts w:ascii="宋体" w:hAnsi="宋体" w:cs="宋体" w:eastAsia="宋体" w:hint="default"/>
                <w:sz w:val="21"/>
                <w:szCs w:val="21"/>
              </w:rPr>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6" w:right="0"/>
              <w:jc w:val="left"/>
              <w:rPr>
                <w:rFonts w:ascii="宋体" w:hAnsi="宋体" w:cs="宋体" w:eastAsia="宋体" w:hint="default"/>
                <w:sz w:val="21"/>
                <w:szCs w:val="21"/>
              </w:rPr>
            </w:pPr>
            <w:r>
              <w:rPr>
                <w:rFonts w:ascii="宋体" w:hAnsi="宋体" w:cs="宋体" w:eastAsia="宋体" w:hint="default"/>
                <w:b/>
                <w:bCs/>
                <w:sz w:val="21"/>
                <w:szCs w:val="21"/>
              </w:rPr>
              <w:t>本期期末数</w:t>
            </w:r>
            <w:r>
              <w:rPr>
                <w:rFonts w:ascii="宋体" w:hAnsi="宋体" w:cs="宋体" w:eastAsia="宋体" w:hint="default"/>
                <w:sz w:val="21"/>
                <w:szCs w:val="21"/>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05"/>
              <w:jc w:val="both"/>
              <w:rPr>
                <w:rFonts w:ascii="宋体" w:hAnsi="宋体" w:cs="宋体" w:eastAsia="宋体" w:hint="default"/>
                <w:sz w:val="21"/>
                <w:szCs w:val="21"/>
              </w:rPr>
            </w:pPr>
            <w:r>
              <w:rPr>
                <w:rFonts w:ascii="宋体" w:hAnsi="宋体" w:cs="宋体" w:eastAsia="宋体" w:hint="default"/>
                <w:b/>
                <w:bCs/>
                <w:sz w:val="21"/>
                <w:szCs w:val="21"/>
              </w:rPr>
              <w:t>本期期末</w:t>
            </w:r>
            <w:r>
              <w:rPr>
                <w:rFonts w:ascii="宋体" w:hAnsi="宋体" w:cs="宋体" w:eastAsia="宋体" w:hint="default"/>
                <w:b/>
                <w:bCs/>
                <w:w w:val="100"/>
                <w:sz w:val="21"/>
                <w:szCs w:val="21"/>
              </w:rPr>
              <w:t> </w:t>
            </w:r>
            <w:r>
              <w:rPr>
                <w:rFonts w:ascii="宋体" w:hAnsi="宋体" w:cs="宋体" w:eastAsia="宋体" w:hint="default"/>
                <w:b/>
                <w:bCs/>
                <w:sz w:val="21"/>
                <w:szCs w:val="21"/>
              </w:rPr>
              <w:t>数占总资</w:t>
            </w:r>
            <w:r>
              <w:rPr>
                <w:rFonts w:ascii="宋体" w:hAnsi="宋体" w:cs="宋体" w:eastAsia="宋体" w:hint="default"/>
                <w:b/>
                <w:bCs/>
                <w:w w:val="100"/>
                <w:sz w:val="21"/>
                <w:szCs w:val="21"/>
              </w:rPr>
              <w:t> </w:t>
            </w:r>
            <w:r>
              <w:rPr>
                <w:rFonts w:ascii="宋体" w:hAnsi="宋体" w:cs="宋体" w:eastAsia="宋体" w:hint="default"/>
                <w:b/>
                <w:bCs/>
                <w:sz w:val="21"/>
                <w:szCs w:val="21"/>
              </w:rPr>
              <w:t>产的比例</w:t>
            </w:r>
            <w:r>
              <w:rPr>
                <w:rFonts w:ascii="宋体" w:hAnsi="宋体" w:cs="宋体" w:eastAsia="宋体" w:hint="default"/>
                <w:sz w:val="21"/>
                <w:szCs w:val="21"/>
              </w:rPr>
            </w:r>
          </w:p>
          <w:p>
            <w:pPr>
              <w:pStyle w:val="TableParagraph"/>
              <w:spacing w:line="274"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7" w:right="0"/>
              <w:jc w:val="left"/>
              <w:rPr>
                <w:rFonts w:ascii="宋体" w:hAnsi="宋体" w:cs="宋体" w:eastAsia="宋体" w:hint="default"/>
                <w:sz w:val="21"/>
                <w:szCs w:val="21"/>
              </w:rPr>
            </w:pPr>
            <w:r>
              <w:rPr>
                <w:rFonts w:ascii="宋体" w:hAnsi="宋体" w:cs="宋体" w:eastAsia="宋体" w:hint="default"/>
                <w:b/>
                <w:bCs/>
                <w:sz w:val="21"/>
                <w:szCs w:val="21"/>
              </w:rPr>
              <w:t>上期期末数</w:t>
            </w:r>
            <w:r>
              <w:rPr>
                <w:rFonts w:ascii="宋体" w:hAnsi="宋体" w:cs="宋体" w:eastAsia="宋体" w:hint="default"/>
                <w:sz w:val="21"/>
                <w:szCs w:val="21"/>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both"/>
              <w:rPr>
                <w:rFonts w:ascii="宋体" w:hAnsi="宋体" w:cs="宋体" w:eastAsia="宋体" w:hint="default"/>
                <w:sz w:val="21"/>
                <w:szCs w:val="21"/>
              </w:rPr>
            </w:pPr>
            <w:r>
              <w:rPr>
                <w:rFonts w:ascii="宋体" w:hAnsi="宋体" w:cs="宋体" w:eastAsia="宋体" w:hint="default"/>
                <w:b/>
                <w:bCs/>
                <w:sz w:val="21"/>
                <w:szCs w:val="21"/>
              </w:rPr>
              <w:t>上期期</w:t>
            </w:r>
            <w:r>
              <w:rPr>
                <w:rFonts w:ascii="宋体" w:hAnsi="宋体" w:cs="宋体" w:eastAsia="宋体" w:hint="default"/>
                <w:sz w:val="21"/>
                <w:szCs w:val="21"/>
              </w:rPr>
            </w:r>
          </w:p>
          <w:p>
            <w:pPr>
              <w:pStyle w:val="TableParagraph"/>
              <w:spacing w:line="237" w:lineRule="auto"/>
              <w:ind w:left="151" w:right="151"/>
              <w:jc w:val="both"/>
              <w:rPr>
                <w:rFonts w:ascii="宋体" w:hAnsi="宋体" w:cs="宋体" w:eastAsia="宋体" w:hint="default"/>
                <w:sz w:val="21"/>
                <w:szCs w:val="21"/>
              </w:rPr>
            </w:pPr>
            <w:r>
              <w:rPr>
                <w:rFonts w:ascii="宋体" w:hAnsi="宋体" w:cs="宋体" w:eastAsia="宋体" w:hint="default"/>
                <w:b/>
                <w:bCs/>
                <w:sz w:val="21"/>
                <w:szCs w:val="21"/>
              </w:rPr>
              <w:t>末数占</w:t>
            </w:r>
            <w:r>
              <w:rPr>
                <w:rFonts w:ascii="宋体" w:hAnsi="宋体" w:cs="宋体" w:eastAsia="宋体" w:hint="default"/>
                <w:b/>
                <w:bCs/>
                <w:w w:val="100"/>
                <w:sz w:val="21"/>
                <w:szCs w:val="21"/>
              </w:rPr>
              <w:t> </w:t>
            </w:r>
            <w:r>
              <w:rPr>
                <w:rFonts w:ascii="宋体" w:hAnsi="宋体" w:cs="宋体" w:eastAsia="宋体" w:hint="default"/>
                <w:b/>
                <w:bCs/>
                <w:sz w:val="21"/>
                <w:szCs w:val="21"/>
              </w:rPr>
              <w:t>总资产</w:t>
            </w:r>
            <w:r>
              <w:rPr>
                <w:rFonts w:ascii="宋体" w:hAnsi="宋体" w:cs="宋体" w:eastAsia="宋体" w:hint="default"/>
                <w:b/>
                <w:bCs/>
                <w:w w:val="100"/>
                <w:sz w:val="21"/>
                <w:szCs w:val="21"/>
              </w:rPr>
              <w:t> </w:t>
            </w:r>
            <w:r>
              <w:rPr>
                <w:rFonts w:ascii="宋体" w:hAnsi="宋体" w:cs="宋体" w:eastAsia="宋体" w:hint="default"/>
                <w:b/>
                <w:bCs/>
                <w:sz w:val="21"/>
                <w:szCs w:val="21"/>
              </w:rPr>
              <w:t>的比例</w:t>
            </w:r>
            <w:r>
              <w:rPr>
                <w:rFonts w:ascii="宋体" w:hAnsi="宋体" w:cs="宋体" w:eastAsia="宋体" w:hint="default"/>
                <w:sz w:val="21"/>
                <w:szCs w:val="21"/>
              </w:rPr>
            </w:r>
          </w:p>
          <w:p>
            <w:pPr>
              <w:pStyle w:val="TableParagraph"/>
              <w:spacing w:line="272" w:lineRule="exact"/>
              <w:ind w:left="203" w:right="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both"/>
              <w:rPr>
                <w:rFonts w:ascii="宋体" w:hAnsi="宋体" w:cs="宋体" w:eastAsia="宋体" w:hint="default"/>
                <w:sz w:val="21"/>
                <w:szCs w:val="21"/>
              </w:rPr>
            </w:pPr>
            <w:r>
              <w:rPr>
                <w:rFonts w:ascii="宋体" w:hAnsi="宋体" w:cs="宋体" w:eastAsia="宋体" w:hint="default"/>
                <w:b/>
                <w:bCs/>
                <w:sz w:val="21"/>
                <w:szCs w:val="21"/>
              </w:rPr>
              <w:t>本期期末</w:t>
            </w:r>
            <w:r>
              <w:rPr>
                <w:rFonts w:ascii="宋体" w:hAnsi="宋体" w:cs="宋体" w:eastAsia="宋体" w:hint="default"/>
                <w:sz w:val="21"/>
                <w:szCs w:val="21"/>
              </w:rPr>
            </w:r>
          </w:p>
          <w:p>
            <w:pPr>
              <w:pStyle w:val="TableParagraph"/>
              <w:spacing w:line="237" w:lineRule="auto"/>
              <w:ind w:left="153" w:right="149"/>
              <w:jc w:val="both"/>
              <w:rPr>
                <w:rFonts w:ascii="宋体" w:hAnsi="宋体" w:cs="宋体" w:eastAsia="宋体" w:hint="default"/>
                <w:sz w:val="21"/>
                <w:szCs w:val="21"/>
              </w:rPr>
            </w:pPr>
            <w:r>
              <w:rPr>
                <w:rFonts w:ascii="宋体" w:hAnsi="宋体" w:cs="宋体" w:eastAsia="宋体" w:hint="default"/>
                <w:b/>
                <w:bCs/>
                <w:sz w:val="21"/>
                <w:szCs w:val="21"/>
              </w:rPr>
              <w:t>金额较上</w:t>
            </w:r>
            <w:r>
              <w:rPr>
                <w:rFonts w:ascii="宋体" w:hAnsi="宋体" w:cs="宋体" w:eastAsia="宋体" w:hint="default"/>
                <w:b/>
                <w:bCs/>
                <w:w w:val="100"/>
                <w:sz w:val="21"/>
                <w:szCs w:val="21"/>
              </w:rPr>
              <w:t> </w:t>
            </w:r>
            <w:r>
              <w:rPr>
                <w:rFonts w:ascii="宋体" w:hAnsi="宋体" w:cs="宋体" w:eastAsia="宋体" w:hint="default"/>
                <w:b/>
                <w:bCs/>
                <w:sz w:val="21"/>
                <w:szCs w:val="21"/>
              </w:rPr>
              <w:t>期期末变</w:t>
            </w:r>
            <w:r>
              <w:rPr>
                <w:rFonts w:ascii="宋体" w:hAnsi="宋体" w:cs="宋体" w:eastAsia="宋体" w:hint="default"/>
                <w:b/>
                <w:bCs/>
                <w:w w:val="100"/>
                <w:sz w:val="21"/>
                <w:szCs w:val="21"/>
              </w:rPr>
              <w:t> </w:t>
            </w:r>
            <w:r>
              <w:rPr>
                <w:rFonts w:ascii="宋体" w:hAnsi="宋体" w:cs="宋体" w:eastAsia="宋体" w:hint="default"/>
                <w:b/>
                <w:bCs/>
                <w:sz w:val="21"/>
                <w:szCs w:val="21"/>
              </w:rPr>
              <w:t>动比例</w:t>
            </w:r>
            <w:r>
              <w:rPr>
                <w:rFonts w:ascii="宋体" w:hAnsi="宋体" w:cs="宋体" w:eastAsia="宋体" w:hint="default"/>
                <w:sz w:val="21"/>
                <w:szCs w:val="21"/>
              </w:rPr>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83"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3,559,853,165.78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5,050,744,183.01</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-29.52</w:t>
            </w:r>
          </w:p>
        </w:tc>
      </w:tr>
      <w:tr>
        <w:trPr>
          <w:trHeight w:val="281"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b/>
                <w:sz w:val="21"/>
              </w:rPr>
              <w:t>63,609,640,361.55</w:t>
            </w:r>
            <w:r>
              <w:rPr>
                <w:rFonts w:ascii="宋体"/>
                <w:sz w:val="21"/>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b/>
                <w:sz w:val="21"/>
              </w:rPr>
              <w:t>63,595,045,565.70</w:t>
            </w:r>
            <w:r>
              <w:rPr>
                <w:rFonts w:ascii="宋体"/>
                <w:sz w:val="21"/>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0.02</w:t>
            </w:r>
          </w:p>
        </w:tc>
      </w:tr>
    </w:tbl>
    <w:p>
      <w:pPr>
        <w:spacing w:line="240" w:lineRule="auto" w:before="8"/>
        <w:rPr>
          <w:rFonts w:ascii="宋体" w:hAnsi="宋体" w:cs="宋体" w:eastAsia="宋体" w:hint="default"/>
          <w:sz w:val="22"/>
          <w:szCs w:val="22"/>
        </w:rPr>
      </w:pPr>
    </w:p>
    <w:p>
      <w:pPr>
        <w:pStyle w:val="BodyText"/>
        <w:tabs>
          <w:tab w:pos="6138" w:val="left" w:leader="none"/>
        </w:tabs>
        <w:spacing w:line="276" w:lineRule="auto" w:before="26"/>
        <w:ind w:left="498" w:right="565" w:firstLine="419"/>
        <w:jc w:val="left"/>
      </w:pPr>
      <w:r>
        <w:rPr/>
        <w:t>其中：境外资产</w:t>
      </w:r>
      <w:r>
        <w:rPr>
          <w:spacing w:val="-60"/>
        </w:rPr>
        <w:t> </w:t>
      </w:r>
      <w:r>
        <w:rPr>
          <w:rFonts w:ascii="宋体" w:hAnsi="宋体" w:cs="宋体" w:eastAsia="宋体" w:hint="default"/>
        </w:rPr>
        <w:t>10,625,489,367.34</w:t>
      </w:r>
      <w:r>
        <w:rPr/>
        <w:t>（单位：元</w:t>
        <w:tab/>
        <w:t>币种：人民币），占总资产的 比例为</w:t>
      </w:r>
      <w:r>
        <w:rPr>
          <w:spacing w:val="-61"/>
        </w:rPr>
        <w:t> </w:t>
      </w:r>
      <w:r>
        <w:rPr>
          <w:rFonts w:ascii="宋体" w:hAnsi="宋体" w:cs="宋体" w:eastAsia="宋体" w:hint="default"/>
        </w:rPr>
        <w:t>18.44%</w:t>
      </w:r>
      <w:r>
        <w:rPr/>
        <w:t>。</w:t>
      </w:r>
    </w:p>
    <w:p>
      <w:pPr>
        <w:spacing w:line="240" w:lineRule="auto" w:before="11"/>
        <w:rPr>
          <w:rFonts w:ascii="宋体" w:hAnsi="宋体" w:cs="宋体" w:eastAsia="宋体" w:hint="default"/>
          <w:sz w:val="32"/>
          <w:szCs w:val="32"/>
        </w:rPr>
      </w:pPr>
    </w:p>
    <w:p>
      <w:pPr>
        <w:pStyle w:val="Heading2"/>
        <w:tabs>
          <w:tab w:pos="1337" w:val="left" w:leader="none"/>
        </w:tabs>
        <w:spacing w:line="240" w:lineRule="auto"/>
        <w:ind w:left="498" w:right="565"/>
        <w:jc w:val="left"/>
        <w:rPr>
          <w:b w:val="0"/>
          <w:bCs w:val="0"/>
        </w:rPr>
      </w:pPr>
      <w:r>
        <w:rPr/>
        <w:t>三、</w:t>
        <w:tab/>
        <w:t>报告期内核心竞争力分析</w:t>
      </w:r>
      <w:r>
        <w:rPr>
          <w:b w:val="0"/>
          <w:bCs w:val="0"/>
        </w:rPr>
      </w:r>
    </w:p>
    <w:p>
      <w:pPr>
        <w:pStyle w:val="BodyText"/>
        <w:spacing w:line="240" w:lineRule="auto" w:before="106"/>
        <w:ind w:left="498" w:right="565"/>
        <w:jc w:val="left"/>
      </w:pPr>
      <w:r>
        <w:rPr/>
        <w:t>√适用</w:t>
      </w:r>
      <w:r>
        <w:rPr>
          <w:spacing w:val="-1"/>
        </w:rPr>
        <w:t> </w:t>
      </w:r>
      <w:r>
        <w:rPr/>
        <w:t>□不适用</w:t>
      </w:r>
    </w:p>
    <w:p>
      <w:pPr>
        <w:spacing w:after="0" w:line="240" w:lineRule="auto"/>
        <w:jc w:val="left"/>
        <w:sectPr>
          <w:pgSz w:w="11910" w:h="16840"/>
          <w:pgMar w:header="0" w:footer="1193" w:top="780" w:bottom="1380" w:left="1300" w:right="780"/>
        </w:sectPr>
      </w:pPr>
    </w:p>
    <w:p>
      <w:pPr>
        <w:spacing w:before="25"/>
        <w:ind w:left="3044" w:right="3056"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BodyText"/>
        <w:spacing w:line="276" w:lineRule="auto" w:before="26"/>
        <w:ind w:right="131" w:firstLine="419"/>
        <w:jc w:val="both"/>
      </w:pPr>
      <w:r>
        <w:rPr/>
        <w:t>公司以清华大学计算机科学与工程系、电子系、工程物理系、热能工程系、建筑 </w:t>
      </w:r>
      <w:r>
        <w:rPr>
          <w:spacing w:val="-2"/>
        </w:rPr>
        <w:t>技术科学系、环境学院、材料科学与工程系、自动化系、微电子学研究所等院系为依</w:t>
      </w:r>
      <w:r>
        <w:rPr>
          <w:spacing w:val="-94"/>
        </w:rPr>
        <w:t> </w:t>
      </w:r>
      <w:r>
        <w:rPr>
          <w:spacing w:val="-94"/>
        </w:rPr>
      </w:r>
      <w:r>
        <w:rPr>
          <w:spacing w:val="-2"/>
        </w:rPr>
        <w:t>托，积极开展各项技术的创新及科研成果的孵化。本报告期内，公司持续实施研发投</w:t>
      </w:r>
      <w:r>
        <w:rPr>
          <w:spacing w:val="-93"/>
        </w:rPr>
        <w:t> </w:t>
      </w:r>
      <w:r>
        <w:rPr>
          <w:spacing w:val="-93"/>
        </w:rPr>
      </w:r>
      <w:r>
        <w:rPr>
          <w:spacing w:val="-2"/>
        </w:rPr>
        <w:t>入和技术成果产业化，核心竞争力未发生明显变化。</w:t>
      </w:r>
      <w:r>
        <w:rPr>
          <w:rFonts w:ascii="宋体" w:hAnsi="宋体" w:cs="宋体" w:eastAsia="宋体" w:hint="default"/>
          <w:spacing w:val="-2"/>
        </w:rPr>
        <w:t>2018</w:t>
      </w:r>
      <w:r>
        <w:rPr>
          <w:rFonts w:ascii="宋体" w:hAnsi="宋体" w:cs="宋体" w:eastAsia="宋体" w:hint="default"/>
          <w:spacing w:val="-54"/>
        </w:rPr>
        <w:t> </w:t>
      </w:r>
      <w:r>
        <w:rPr>
          <w:spacing w:val="-5"/>
        </w:rPr>
        <w:t>年，按照公司研发战略、产</w:t>
      </w:r>
      <w:r>
        <w:rPr/>
        <w:t> </w:t>
      </w:r>
      <w:r>
        <w:rPr>
          <w:spacing w:val="-2"/>
        </w:rPr>
        <w:t>业布局和长期发展规划，围绕核心业务领域，公司继续开展了卓有成效的技术研发工</w:t>
      </w:r>
      <w:r>
        <w:rPr>
          <w:spacing w:val="-94"/>
        </w:rPr>
        <w:t> </w:t>
      </w:r>
      <w:r>
        <w:rPr>
          <w:spacing w:val="-94"/>
        </w:rPr>
      </w:r>
      <w:r>
        <w:rPr/>
        <w:t>作。报告期内，公司正在进行中的研发项目共计</w:t>
      </w:r>
      <w:r>
        <w:rPr>
          <w:spacing w:val="-83"/>
        </w:rPr>
        <w:t> </w:t>
      </w:r>
      <w:r>
        <w:rPr>
          <w:rFonts w:ascii="宋体" w:hAnsi="宋体" w:cs="宋体" w:eastAsia="宋体" w:hint="default"/>
        </w:rPr>
        <w:t>170</w:t>
      </w:r>
      <w:r>
        <w:rPr>
          <w:rFonts w:ascii="宋体" w:hAnsi="宋体" w:cs="宋体" w:eastAsia="宋体" w:hint="default"/>
          <w:spacing w:val="-84"/>
        </w:rPr>
        <w:t> </w:t>
      </w:r>
      <w:r>
        <w:rPr/>
        <w:t>余项，其中列入国家级和省部级</w:t>
      </w:r>
    </w:p>
    <w:p>
      <w:pPr>
        <w:pStyle w:val="BodyText"/>
        <w:spacing w:line="240" w:lineRule="auto" w:before="10"/>
        <w:ind w:right="0"/>
        <w:jc w:val="left"/>
      </w:pPr>
      <w:r>
        <w:rPr/>
        <w:t>科技计划的项目为</w:t>
      </w:r>
      <w:r>
        <w:rPr>
          <w:spacing w:val="-61"/>
        </w:rPr>
        <w:t> </w:t>
      </w:r>
      <w:r>
        <w:rPr>
          <w:rFonts w:ascii="宋体" w:hAnsi="宋体" w:cs="宋体" w:eastAsia="宋体" w:hint="default"/>
        </w:rPr>
        <w:t>41</w:t>
      </w:r>
      <w:r>
        <w:rPr>
          <w:rFonts w:ascii="宋体" w:hAnsi="宋体" w:cs="宋体" w:eastAsia="宋体" w:hint="default"/>
          <w:spacing w:val="-60"/>
        </w:rPr>
        <w:t> </w:t>
      </w:r>
      <w:r>
        <w:rPr/>
        <w:t>项。</w:t>
      </w:r>
    </w:p>
    <w:p>
      <w:pPr>
        <w:spacing w:line="240" w:lineRule="auto" w:before="0"/>
        <w:rPr>
          <w:rFonts w:ascii="宋体" w:hAnsi="宋体" w:cs="宋体" w:eastAsia="宋体" w:hint="default"/>
          <w:sz w:val="31"/>
          <w:szCs w:val="31"/>
        </w:rPr>
      </w:pPr>
    </w:p>
    <w:p>
      <w:pPr>
        <w:pStyle w:val="BodyText"/>
        <w:spacing w:line="276" w:lineRule="auto"/>
        <w:ind w:right="130" w:firstLine="419"/>
        <w:jc w:val="both"/>
      </w:pPr>
      <w:r>
        <w:rPr/>
        <w:t>目前正在执行的重大科技计划项目主要有：地铁环控系统高效节能设备研发、能 耗数据采集信息系统及综合监管平台开发等国家十三五课题；</w:t>
      </w:r>
      <w:r>
        <w:rPr>
          <w:rFonts w:ascii="宋体" w:hAnsi="宋体" w:cs="宋体" w:eastAsia="宋体" w:hint="default"/>
        </w:rPr>
        <w:t>X</w:t>
      </w:r>
      <w:r>
        <w:rPr>
          <w:rFonts w:ascii="宋体" w:hAnsi="宋体" w:cs="宋体" w:eastAsia="宋体" w:hint="default"/>
          <w:spacing w:val="-48"/>
        </w:rPr>
        <w:t> </w:t>
      </w:r>
      <w:r>
        <w:rPr/>
        <w:t>波段高稳定性小型化 </w:t>
      </w:r>
      <w:r>
        <w:rPr>
          <w:spacing w:val="-2"/>
        </w:rPr>
        <w:t>放射源模块、毫米波成像探测仪研制及产业化示范等国家重大科技专项项目；面向数</w:t>
      </w:r>
      <w:r>
        <w:rPr>
          <w:spacing w:val="-94"/>
        </w:rPr>
        <w:t> </w:t>
      </w:r>
      <w:r>
        <w:rPr>
          <w:spacing w:val="-94"/>
        </w:rPr>
      </w:r>
      <w:r>
        <w:rPr>
          <w:spacing w:val="-3"/>
        </w:rPr>
        <w:t>据中心（云平台）与集群计算的智能计算单元、双界面</w:t>
      </w:r>
      <w:r>
        <w:rPr>
          <w:spacing w:val="-53"/>
        </w:rPr>
        <w:t> </w:t>
      </w:r>
      <w:r>
        <w:rPr>
          <w:rFonts w:ascii="宋体" w:hAnsi="宋体" w:cs="宋体" w:eastAsia="宋体" w:hint="default"/>
        </w:rPr>
        <w:t>POS</w:t>
      </w:r>
      <w:r>
        <w:rPr>
          <w:rFonts w:ascii="宋体" w:hAnsi="宋体" w:cs="宋体" w:eastAsia="宋体" w:hint="default"/>
          <w:spacing w:val="-54"/>
        </w:rPr>
        <w:t> </w:t>
      </w:r>
      <w:r>
        <w:rPr/>
        <w:t>机</w:t>
      </w:r>
      <w:r>
        <w:rPr>
          <w:spacing w:val="-54"/>
        </w:rPr>
        <w:t> </w:t>
      </w:r>
      <w:r>
        <w:rPr>
          <w:rFonts w:ascii="宋体" w:hAnsi="宋体" w:cs="宋体" w:eastAsia="宋体" w:hint="default"/>
        </w:rPr>
        <w:t>SOC</w:t>
      </w:r>
      <w:r>
        <w:rPr>
          <w:rFonts w:ascii="宋体" w:hAnsi="宋体" w:cs="宋体" w:eastAsia="宋体" w:hint="default"/>
          <w:spacing w:val="-54"/>
        </w:rPr>
        <w:t> </w:t>
      </w:r>
      <w:r>
        <w:rPr/>
        <w:t>芯片研发与产业化 </w:t>
      </w:r>
      <w:r>
        <w:rPr>
          <w:spacing w:val="-2"/>
        </w:rPr>
        <w:t>等核高基项目；云计算数据中心容灾备份服务、先进特异物质检测技术产业化等国家</w:t>
      </w:r>
      <w:r>
        <w:rPr>
          <w:spacing w:val="-94"/>
        </w:rPr>
        <w:t> </w:t>
      </w:r>
      <w:r>
        <w:rPr>
          <w:spacing w:val="-94"/>
        </w:rPr>
      </w:r>
      <w:r>
        <w:rPr>
          <w:spacing w:val="-2"/>
        </w:rPr>
        <w:t>发改委专项；中国网络信息安全中心服务器项目；以及省部级重大项目：出入境特殊</w:t>
      </w:r>
      <w:r>
        <w:rPr>
          <w:spacing w:val="-96"/>
        </w:rPr>
        <w:t> </w:t>
      </w:r>
      <w:r>
        <w:rPr>
          <w:spacing w:val="-96"/>
        </w:rPr>
      </w:r>
      <w:r>
        <w:rPr>
          <w:spacing w:val="-2"/>
        </w:rPr>
        <w:t>物品和生物材料全流程监管体系的建立与研究、动植食产品快速通关查验设备—“电</w:t>
      </w:r>
      <w:r>
        <w:rPr>
          <w:spacing w:val="-93"/>
        </w:rPr>
        <w:t> </w:t>
      </w:r>
      <w:r>
        <w:rPr>
          <w:spacing w:val="-93"/>
        </w:rPr>
      </w:r>
      <w:r>
        <w:rPr/>
        <w:t>子鼻”研制与应用、城市地下水和地表水中</w:t>
      </w:r>
      <w:r>
        <w:rPr>
          <w:spacing w:val="-83"/>
        </w:rPr>
        <w:t> </w:t>
      </w:r>
      <w:r>
        <w:rPr>
          <w:rFonts w:ascii="宋体" w:hAnsi="宋体" w:cs="宋体" w:eastAsia="宋体" w:hint="default"/>
        </w:rPr>
        <w:t>PPCPs</w:t>
      </w:r>
      <w:r>
        <w:rPr>
          <w:rFonts w:ascii="宋体" w:hAnsi="宋体" w:cs="宋体" w:eastAsia="宋体" w:hint="default"/>
          <w:spacing w:val="-83"/>
        </w:rPr>
        <w:t> </w:t>
      </w:r>
      <w:r>
        <w:rPr/>
        <w:t>微污染物新型检测技术、降解工艺 </w:t>
      </w:r>
      <w:r>
        <w:rPr>
          <w:spacing w:val="-2"/>
        </w:rPr>
        <w:t>及专项设备的研发、基于离子迁移原理的便携式化学侦察仪研制、集装箱／车辆安检</w:t>
      </w:r>
      <w:r>
        <w:rPr>
          <w:spacing w:val="-94"/>
        </w:rPr>
        <w:t> </w:t>
      </w:r>
      <w:r>
        <w:rPr>
          <w:spacing w:val="-94"/>
        </w:rPr>
      </w:r>
      <w:r>
        <w:rPr>
          <w:spacing w:val="-2"/>
        </w:rPr>
        <w:t>图像中危爆物品智能识别方法研究、高效脱硫及协同除尘技术的研究与开发、湿式静</w:t>
      </w:r>
      <w:r>
        <w:rPr>
          <w:spacing w:val="-94"/>
        </w:rPr>
        <w:t> </w:t>
      </w:r>
      <w:r>
        <w:rPr>
          <w:spacing w:val="-94"/>
        </w:rPr>
      </w:r>
      <w:r>
        <w:rPr>
          <w:spacing w:val="-2"/>
        </w:rPr>
        <w:t>电除尘器技术的研究与开发、市政污水深度处理技术的研究与开发、智慧交通大数据</w:t>
      </w:r>
      <w:r>
        <w:rPr>
          <w:spacing w:val="-94"/>
        </w:rPr>
        <w:t> </w:t>
      </w:r>
      <w:r>
        <w:rPr>
          <w:spacing w:val="-94"/>
        </w:rPr>
      </w:r>
      <w:r>
        <w:rPr/>
        <w:t>中心、移动信息服务系统</w:t>
      </w:r>
      <w:r>
        <w:rPr>
          <w:spacing w:val="-83"/>
        </w:rPr>
        <w:t> </w:t>
      </w:r>
      <w:r>
        <w:rPr>
          <w:rFonts w:ascii="宋体" w:hAnsi="宋体" w:cs="宋体" w:eastAsia="宋体" w:hint="default"/>
        </w:rPr>
        <w:t>V2.0</w:t>
      </w:r>
      <w:r>
        <w:rPr/>
        <w:t>、大数据接入与管理平台、</w:t>
      </w:r>
      <w:r>
        <w:rPr>
          <w:rFonts w:ascii="宋体" w:hAnsi="宋体" w:cs="宋体" w:eastAsia="宋体" w:hint="default"/>
        </w:rPr>
        <w:t>DT</w:t>
      </w:r>
      <w:r>
        <w:rPr>
          <w:rFonts w:ascii="宋体" w:hAnsi="宋体" w:cs="宋体" w:eastAsia="宋体" w:hint="default"/>
          <w:spacing w:val="-83"/>
        </w:rPr>
        <w:t> </w:t>
      </w:r>
      <w:r>
        <w:rPr/>
        <w:t>时代城市大脑</w:t>
      </w:r>
      <w:r>
        <w:rPr>
          <w:rFonts w:ascii="宋体" w:hAnsi="宋体" w:cs="宋体" w:eastAsia="宋体" w:hint="default"/>
        </w:rPr>
        <w:t>-</w:t>
      </w:r>
      <w:r>
        <w:rPr/>
        <w:t>智慧决策 </w:t>
      </w:r>
      <w:r>
        <w:rPr>
          <w:spacing w:val="-2"/>
        </w:rPr>
        <w:t>支持系统、群体性突发事件检测系统、智慧交通视频分析系统、军民一体智能化技术</w:t>
      </w:r>
      <w:r>
        <w:rPr>
          <w:spacing w:val="-94"/>
        </w:rPr>
        <w:t> </w:t>
      </w:r>
      <w:r>
        <w:rPr>
          <w:spacing w:val="-94"/>
        </w:rPr>
      </w:r>
      <w:r>
        <w:rPr>
          <w:spacing w:val="8"/>
        </w:rPr>
        <w:t>保障服务平台研发、基于互联网的 </w:t>
      </w:r>
      <w:r>
        <w:rPr>
          <w:rFonts w:ascii="宋体" w:hAnsi="宋体" w:cs="宋体" w:eastAsia="宋体" w:hint="default"/>
        </w:rPr>
        <w:t>P2C</w:t>
      </w:r>
      <w:r>
        <w:rPr>
          <w:rFonts w:ascii="宋体" w:hAnsi="宋体" w:cs="宋体" w:eastAsia="宋体" w:hint="default"/>
          <w:spacing w:val="23"/>
        </w:rPr>
        <w:t> </w:t>
      </w:r>
      <w:r>
        <w:rPr>
          <w:spacing w:val="8"/>
        </w:rPr>
        <w:t>流动平台示范应用、商用人体成分分析仪</w:t>
      </w:r>
      <w:r>
        <w:rPr/>
        <w:t> </w:t>
      </w:r>
      <w:r>
        <w:rPr>
          <w:rFonts w:ascii="宋体" w:hAnsi="宋体" w:cs="宋体" w:eastAsia="宋体" w:hint="default"/>
        </w:rPr>
        <w:t>BCA-1D</w:t>
      </w:r>
      <w:r>
        <w:rPr/>
        <w:t>、一体化移动办公企业平台、</w:t>
      </w:r>
      <w:r>
        <w:rPr>
          <w:rFonts w:ascii="宋体" w:hAnsi="宋体" w:cs="宋体" w:eastAsia="宋体" w:hint="default"/>
        </w:rPr>
        <w:t>E</w:t>
      </w:r>
      <w:r>
        <w:rPr>
          <w:rFonts w:ascii="宋体" w:hAnsi="宋体" w:cs="宋体" w:eastAsia="宋体" w:hint="default"/>
          <w:spacing w:val="-74"/>
        </w:rPr>
        <w:t> </w:t>
      </w:r>
      <w:r>
        <w:rPr/>
        <w:t>本安全系统研发及产品化</w:t>
      </w:r>
      <w:r>
        <w:rPr>
          <w:rFonts w:ascii="宋体" w:hAnsi="宋体" w:cs="宋体" w:eastAsia="宋体" w:hint="default"/>
        </w:rPr>
        <w:t>-SEA</w:t>
      </w:r>
      <w:r>
        <w:rPr>
          <w:rFonts w:ascii="宋体" w:hAnsi="宋体" w:cs="宋体" w:eastAsia="宋体" w:hint="default"/>
          <w:spacing w:val="-74"/>
        </w:rPr>
        <w:t> </w:t>
      </w:r>
      <w:r>
        <w:rPr>
          <w:spacing w:val="-3"/>
        </w:rPr>
        <w:t>安全架构、红黑</w:t>
      </w:r>
      <w:r>
        <w:rPr/>
        <w:t> 隔离高安全系统开发项目、高安全服务平台软件项目等。</w:t>
      </w:r>
    </w:p>
    <w:p>
      <w:pPr>
        <w:spacing w:line="240" w:lineRule="auto" w:before="4"/>
        <w:rPr>
          <w:rFonts w:ascii="宋体" w:hAnsi="宋体" w:cs="宋体" w:eastAsia="宋体" w:hint="default"/>
          <w:sz w:val="28"/>
          <w:szCs w:val="28"/>
        </w:rPr>
      </w:pPr>
    </w:p>
    <w:p>
      <w:pPr>
        <w:pStyle w:val="BodyText"/>
        <w:spacing w:line="240" w:lineRule="auto"/>
        <w:ind w:left="558" w:right="0"/>
        <w:jc w:val="left"/>
      </w:pPr>
      <w:r>
        <w:rPr/>
        <w:t>在知识产权方面，截至</w:t>
      </w:r>
      <w:r>
        <w:rPr>
          <w:spacing w:val="-57"/>
        </w:rPr>
        <w:t> </w:t>
      </w:r>
      <w:r>
        <w:rPr>
          <w:rFonts w:ascii="宋体" w:hAnsi="宋体" w:cs="宋体" w:eastAsia="宋体" w:hint="default"/>
        </w:rPr>
        <w:t>2018</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月底，公司共获得中国专利权</w:t>
      </w:r>
      <w:r>
        <w:rPr>
          <w:spacing w:val="-57"/>
        </w:rPr>
        <w:t> </w:t>
      </w:r>
      <w:r>
        <w:rPr>
          <w:rFonts w:ascii="宋体" w:hAnsi="宋体" w:cs="宋体" w:eastAsia="宋体" w:hint="default"/>
        </w:rPr>
        <w:t>3,580</w:t>
      </w:r>
      <w:r>
        <w:rPr>
          <w:rFonts w:ascii="宋体" w:hAnsi="宋体" w:cs="宋体" w:eastAsia="宋体" w:hint="default"/>
          <w:spacing w:val="-58"/>
        </w:rPr>
        <w:t> </w:t>
      </w:r>
      <w:r>
        <w:rPr/>
        <w:t>项，计算</w:t>
      </w:r>
    </w:p>
    <w:p>
      <w:pPr>
        <w:pStyle w:val="BodyText"/>
        <w:spacing w:line="240" w:lineRule="auto" w:before="46"/>
        <w:ind w:right="0"/>
        <w:jc w:val="left"/>
      </w:pPr>
      <w:r>
        <w:rPr/>
        <w:t>机软件登记</w:t>
      </w:r>
      <w:r>
        <w:rPr>
          <w:spacing w:val="-61"/>
        </w:rPr>
        <w:t> </w:t>
      </w:r>
      <w:r>
        <w:rPr>
          <w:rFonts w:ascii="宋体" w:hAnsi="宋体" w:cs="宋体" w:eastAsia="宋体" w:hint="default"/>
        </w:rPr>
        <w:t>668</w:t>
      </w:r>
      <w:r>
        <w:rPr>
          <w:rFonts w:ascii="宋体" w:hAnsi="宋体" w:cs="宋体" w:eastAsia="宋体" w:hint="default"/>
          <w:spacing w:val="-60"/>
        </w:rPr>
        <w:t> </w:t>
      </w:r>
      <w:r>
        <w:rPr/>
        <w:t>项，获得外国发明专利权</w:t>
      </w:r>
      <w:r>
        <w:rPr>
          <w:spacing w:val="-60"/>
        </w:rPr>
        <w:t> </w:t>
      </w:r>
      <w:r>
        <w:rPr>
          <w:rFonts w:ascii="宋体" w:hAnsi="宋体" w:cs="宋体" w:eastAsia="宋体" w:hint="default"/>
        </w:rPr>
        <w:t>870</w:t>
      </w:r>
      <w:r>
        <w:rPr>
          <w:rFonts w:ascii="宋体" w:hAnsi="宋体" w:cs="宋体" w:eastAsia="宋体" w:hint="default"/>
          <w:spacing w:val="-60"/>
        </w:rPr>
        <w:t> </w:t>
      </w:r>
      <w:r>
        <w:rPr/>
        <w:t>项。</w:t>
      </w:r>
    </w:p>
    <w:p>
      <w:pPr>
        <w:spacing w:after="0" w:line="240" w:lineRule="auto"/>
        <w:jc w:val="left"/>
        <w:sectPr>
          <w:pgSz w:w="11910" w:h="16840"/>
          <w:pgMar w:header="0" w:footer="1193" w:top="780" w:bottom="1380" w:left="1660" w:right="1140"/>
        </w:sectPr>
      </w:pPr>
    </w:p>
    <w:p>
      <w:pPr>
        <w:spacing w:before="25"/>
        <w:ind w:left="120" w:right="232"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5"/>
          <w:szCs w:val="25"/>
        </w:rPr>
      </w:pPr>
    </w:p>
    <w:p>
      <w:pPr>
        <w:pStyle w:val="Heading1"/>
        <w:spacing w:line="240" w:lineRule="auto"/>
        <w:ind w:left="2795" w:right="97"/>
        <w:jc w:val="left"/>
        <w:rPr>
          <w:b w:val="0"/>
          <w:bCs w:val="0"/>
        </w:rPr>
      </w:pPr>
      <w:bookmarkStart w:name="_TOC_250007" w:id="4"/>
      <w:r>
        <w:rPr/>
        <w:t>第四节 经营情况讨论与分析</w:t>
      </w:r>
      <w:bookmarkEnd w:id="4"/>
      <w:r>
        <w:rPr>
          <w:b w:val="0"/>
          <w:bCs w:val="0"/>
        </w:rPr>
      </w:r>
    </w:p>
    <w:p>
      <w:pPr>
        <w:spacing w:line="240" w:lineRule="auto" w:before="7"/>
        <w:rPr>
          <w:rFonts w:ascii="黑体" w:hAnsi="黑体" w:cs="黑体" w:eastAsia="黑体" w:hint="default"/>
          <w:b/>
          <w:bCs/>
          <w:sz w:val="20"/>
          <w:szCs w:val="20"/>
        </w:rPr>
      </w:pPr>
    </w:p>
    <w:p>
      <w:pPr>
        <w:pStyle w:val="Heading2"/>
        <w:spacing w:line="240" w:lineRule="auto" w:before="26"/>
        <w:ind w:right="97"/>
        <w:jc w:val="left"/>
        <w:rPr>
          <w:b w:val="0"/>
          <w:bCs w:val="0"/>
        </w:rPr>
      </w:pPr>
      <w:r>
        <w:rPr/>
        <w:t>一、经营情况讨论与分析</w:t>
      </w:r>
      <w:r>
        <w:rPr>
          <w:b w:val="0"/>
          <w:bCs w:val="0"/>
        </w:rPr>
      </w:r>
    </w:p>
    <w:p>
      <w:pPr>
        <w:spacing w:line="240" w:lineRule="auto" w:before="0"/>
        <w:rPr>
          <w:rFonts w:ascii="宋体" w:hAnsi="宋体" w:cs="宋体" w:eastAsia="宋体" w:hint="default"/>
          <w:b/>
          <w:bCs/>
          <w:sz w:val="29"/>
          <w:szCs w:val="29"/>
        </w:rPr>
      </w:pPr>
    </w:p>
    <w:p>
      <w:pPr>
        <w:pStyle w:val="BodyText"/>
        <w:spacing w:line="276" w:lineRule="auto"/>
        <w:ind w:right="231" w:firstLine="479"/>
        <w:jc w:val="both"/>
      </w:pPr>
      <w:r>
        <w:rPr>
          <w:rFonts w:ascii="宋体" w:hAnsi="宋体" w:cs="宋体" w:eastAsia="宋体" w:hint="default"/>
        </w:rPr>
        <w:t>2018</w:t>
      </w:r>
      <w:r>
        <w:rPr>
          <w:rFonts w:ascii="宋体" w:hAnsi="宋体" w:cs="宋体" w:eastAsia="宋体" w:hint="default"/>
          <w:spacing w:val="-56"/>
        </w:rPr>
        <w:t> </w:t>
      </w:r>
      <w:r>
        <w:rPr/>
        <w:t>年，全球经济基本延续了</w:t>
      </w:r>
      <w:r>
        <w:rPr>
          <w:spacing w:val="-55"/>
        </w:rPr>
        <w:t> </w:t>
      </w:r>
      <w:r>
        <w:rPr>
          <w:rFonts w:ascii="宋体" w:hAnsi="宋体" w:cs="宋体" w:eastAsia="宋体" w:hint="default"/>
        </w:rPr>
        <w:t>2017</w:t>
      </w:r>
      <w:r>
        <w:rPr>
          <w:rFonts w:ascii="宋体" w:hAnsi="宋体" w:cs="宋体" w:eastAsia="宋体" w:hint="default"/>
          <w:spacing w:val="-56"/>
        </w:rPr>
        <w:t> </w:t>
      </w:r>
      <w:r>
        <w:rPr/>
        <w:t>年以来的复苏态势，但随着全球贸易摩擦加 </w:t>
      </w:r>
      <w:r>
        <w:rPr>
          <w:spacing w:val="-2"/>
        </w:rPr>
        <w:t>剧、国际金融市场震荡、原油市场波动等风险因素进一步累积叠加，全球经济扩张的</w:t>
      </w:r>
      <w:r>
        <w:rPr>
          <w:spacing w:val="-94"/>
        </w:rPr>
        <w:t> </w:t>
      </w:r>
      <w:r>
        <w:rPr>
          <w:spacing w:val="-94"/>
        </w:rPr>
      </w:r>
      <w:r>
        <w:rPr>
          <w:spacing w:val="-2"/>
        </w:rPr>
        <w:t>均衡性开始下降，下行风险逐渐上升。从宏观经济形势来看，全球经济遇到的风险和</w:t>
      </w:r>
      <w:r>
        <w:rPr>
          <w:spacing w:val="-94"/>
        </w:rPr>
        <w:t> </w:t>
      </w:r>
      <w:r>
        <w:rPr>
          <w:spacing w:val="-94"/>
        </w:rPr>
      </w:r>
      <w:r>
        <w:rPr>
          <w:spacing w:val="-8"/>
        </w:rPr>
        <w:t>困难逐步增多，主要经济体增长放缓、通胀上升，与此同时，贸易保护主义政治抬头，</w:t>
      </w:r>
    </w:p>
    <w:p>
      <w:pPr>
        <w:pStyle w:val="BodyText"/>
        <w:spacing w:line="276" w:lineRule="auto" w:before="10"/>
        <w:ind w:right="97"/>
        <w:jc w:val="left"/>
      </w:pPr>
      <w:r>
        <w:rPr/>
        <w:t>这使得我国面临的外部环境不利因素增多。国内经济在供给侧结构性改革深入实施、</w:t>
      </w:r>
      <w:r>
        <w:rPr>
          <w:spacing w:val="-57"/>
        </w:rPr>
        <w:t> </w:t>
      </w:r>
      <w:r>
        <w:rPr>
          <w:spacing w:val="-57"/>
        </w:rPr>
      </w:r>
      <w:r>
        <w:rPr/>
        <w:t>创新驱动发展战略加快推进的背景下，国民经济运行保持在合理区间，稳中向好态势</w:t>
      </w:r>
      <w:r>
        <w:rPr/>
        <w:t> </w:t>
      </w:r>
      <w:r>
        <w:rPr>
          <w:spacing w:val="-3"/>
        </w:rPr>
        <w:t>趋于明显，经济发展的稳定性、协调性和可持续性增强。</w:t>
      </w:r>
      <w:r>
        <w:rPr>
          <w:rFonts w:ascii="宋体" w:hAnsi="宋体" w:cs="宋体" w:eastAsia="宋体" w:hint="default"/>
          <w:spacing w:val="-3"/>
        </w:rPr>
        <w:t>2018</w:t>
      </w:r>
      <w:r>
        <w:rPr>
          <w:rFonts w:ascii="宋体" w:hAnsi="宋体" w:cs="宋体" w:eastAsia="宋体" w:hint="default"/>
          <w:spacing w:val="-57"/>
        </w:rPr>
        <w:t> </w:t>
      </w:r>
      <w:r>
        <w:rPr>
          <w:spacing w:val="-3"/>
        </w:rPr>
        <w:t>年，我国国内生产总值</w:t>
      </w:r>
      <w:r>
        <w:rPr>
          <w:spacing w:val="-114"/>
        </w:rPr>
        <w:t> </w:t>
      </w:r>
      <w:r>
        <w:rPr>
          <w:spacing w:val="-114"/>
        </w:rPr>
      </w:r>
      <w:r>
        <w:rPr/>
        <w:t>增长</w:t>
      </w:r>
      <w:r>
        <w:rPr>
          <w:spacing w:val="-56"/>
        </w:rPr>
        <w:t> </w:t>
      </w:r>
      <w:r>
        <w:rPr>
          <w:rFonts w:ascii="宋体" w:hAnsi="宋体" w:cs="宋体" w:eastAsia="宋体" w:hint="default"/>
        </w:rPr>
        <w:t>6.6%</w:t>
      </w:r>
      <w:r>
        <w:rPr/>
        <w:t>，总量突破</w:t>
      </w:r>
      <w:r>
        <w:rPr>
          <w:spacing w:val="-55"/>
        </w:rPr>
        <w:t> </w:t>
      </w:r>
      <w:r>
        <w:rPr>
          <w:rFonts w:ascii="宋体" w:hAnsi="宋体" w:cs="宋体" w:eastAsia="宋体" w:hint="default"/>
        </w:rPr>
        <w:t>90</w:t>
      </w:r>
      <w:r>
        <w:rPr>
          <w:rFonts w:ascii="宋体" w:hAnsi="宋体" w:cs="宋体" w:eastAsia="宋体" w:hint="default"/>
          <w:spacing w:val="-56"/>
        </w:rPr>
        <w:t> </w:t>
      </w:r>
      <w:r>
        <w:rPr/>
        <w:t>万亿元。对企业而言，一方面，国家积极推进供给侧结构性 改革，深化创新驱动发展，加快新旧动能转换，促进经济转型升级，为相关产业的发 展提供了机遇。另一方面，宏观经济下行压力加大、中美贸易摩擦加剧和国内整体货 币和信用环境紧缩、中国股市震荡下行也对实体企业带来一定的影响。</w:t>
      </w:r>
    </w:p>
    <w:p>
      <w:pPr>
        <w:spacing w:line="240" w:lineRule="auto" w:before="4"/>
        <w:rPr>
          <w:rFonts w:ascii="宋体" w:hAnsi="宋体" w:cs="宋体" w:eastAsia="宋体" w:hint="default"/>
          <w:sz w:val="28"/>
          <w:szCs w:val="28"/>
        </w:rPr>
      </w:pPr>
    </w:p>
    <w:p>
      <w:pPr>
        <w:pStyle w:val="BodyText"/>
        <w:spacing w:line="276" w:lineRule="auto"/>
        <w:ind w:right="97" w:firstLine="479"/>
        <w:jc w:val="left"/>
      </w:pPr>
      <w:r>
        <w:rPr>
          <w:rFonts w:ascii="宋体" w:hAnsi="宋体" w:cs="宋体" w:eastAsia="宋体" w:hint="default"/>
        </w:rPr>
        <w:t>2018</w:t>
      </w:r>
      <w:r>
        <w:rPr>
          <w:rFonts w:ascii="宋体" w:hAnsi="宋体" w:cs="宋体" w:eastAsia="宋体" w:hint="default"/>
          <w:spacing w:val="-48"/>
        </w:rPr>
        <w:t> </w:t>
      </w:r>
      <w:r>
        <w:rPr/>
        <w:t>年，公司调整发展战略，聚焦科技实业，通过调整、收缩、控制竞争力差、 盈利能力弱、业务形态老旧的部分产业规模，优化整体的产业结构。受到公司实施战 略调整，收缩部分业务规模的影响，</w:t>
      </w:r>
      <w:r>
        <w:rPr>
          <w:rFonts w:ascii="宋体" w:hAnsi="宋体" w:cs="宋体" w:eastAsia="宋体" w:hint="default"/>
        </w:rPr>
        <w:t>2018</w:t>
      </w:r>
      <w:r>
        <w:rPr>
          <w:rFonts w:ascii="宋体" w:hAnsi="宋体" w:cs="宋体" w:eastAsia="宋体" w:hint="default"/>
          <w:spacing w:val="-56"/>
        </w:rPr>
        <w:t> </w:t>
      </w:r>
      <w:r>
        <w:rPr/>
        <w:t>年公司实现营业收入</w:t>
      </w:r>
      <w:r>
        <w:rPr>
          <w:spacing w:val="-55"/>
        </w:rPr>
        <w:t> </w:t>
      </w:r>
      <w:r>
        <w:rPr>
          <w:rFonts w:ascii="宋体" w:hAnsi="宋体" w:cs="宋体" w:eastAsia="宋体" w:hint="default"/>
        </w:rPr>
        <w:t>248.33</w:t>
      </w:r>
      <w:r>
        <w:rPr>
          <w:rFonts w:ascii="宋体" w:hAnsi="宋体" w:cs="宋体" w:eastAsia="宋体" w:hint="default"/>
          <w:spacing w:val="-55"/>
        </w:rPr>
        <w:t> </w:t>
      </w:r>
      <w:r>
        <w:rPr/>
        <w:t>亿元，同比出 现了小幅下滑。</w:t>
      </w:r>
    </w:p>
    <w:p>
      <w:pPr>
        <w:spacing w:line="240" w:lineRule="auto" w:before="4"/>
        <w:rPr>
          <w:rFonts w:ascii="宋体" w:hAnsi="宋体" w:cs="宋体" w:eastAsia="宋体" w:hint="default"/>
          <w:sz w:val="28"/>
          <w:szCs w:val="28"/>
        </w:rPr>
      </w:pPr>
    </w:p>
    <w:p>
      <w:pPr>
        <w:pStyle w:val="BodyText"/>
        <w:spacing w:line="276" w:lineRule="auto"/>
        <w:ind w:right="233" w:firstLine="479"/>
        <w:jc w:val="both"/>
      </w:pPr>
      <w:r>
        <w:rPr>
          <w:rFonts w:ascii="宋体" w:hAnsi="宋体" w:cs="宋体" w:eastAsia="宋体" w:hint="default"/>
        </w:rPr>
        <w:t>2018</w:t>
      </w:r>
      <w:r>
        <w:rPr>
          <w:rFonts w:ascii="宋体" w:hAnsi="宋体" w:cs="宋体" w:eastAsia="宋体" w:hint="default"/>
          <w:spacing w:val="-37"/>
        </w:rPr>
        <w:t> </w:t>
      </w:r>
      <w:r>
        <w:rPr>
          <w:spacing w:val="-4"/>
        </w:rPr>
        <w:t>年，国内外市场环境的巨大变化也对公司经营造成了巨大压力和挑战。本年</w:t>
      </w:r>
      <w:r>
        <w:rPr/>
        <w:t> </w:t>
      </w:r>
      <w:r>
        <w:rPr>
          <w:spacing w:val="-2"/>
        </w:rPr>
        <w:t>度，公司下属的壹人壹本因市场竞争加剧、新产品投放效果不理想，业务进入了下行</w:t>
      </w:r>
      <w:r>
        <w:rPr>
          <w:spacing w:val="-94"/>
        </w:rPr>
        <w:t> </w:t>
      </w:r>
      <w:r>
        <w:rPr>
          <w:spacing w:val="-94"/>
        </w:rPr>
      </w:r>
      <w:r>
        <w:rPr>
          <w:spacing w:val="-2"/>
        </w:rPr>
        <w:t>拐点，出现了收入下滑和亏损，这使得公司对其在期末计提了大额商誉和无形资产减</w:t>
      </w:r>
      <w:r>
        <w:rPr>
          <w:spacing w:val="-94"/>
        </w:rPr>
        <w:t> </w:t>
      </w:r>
      <w:r>
        <w:rPr>
          <w:spacing w:val="-94"/>
        </w:rPr>
      </w:r>
      <w:r>
        <w:rPr>
          <w:spacing w:val="-2"/>
        </w:rPr>
        <w:t>值；公司投资的深圳华融泰、中国医疗网络、广电信息、同方康泰等长期股权投资和</w:t>
      </w:r>
      <w:r>
        <w:rPr>
          <w:spacing w:val="-94"/>
        </w:rPr>
        <w:t> </w:t>
      </w:r>
      <w:r>
        <w:rPr>
          <w:spacing w:val="-94"/>
        </w:rPr>
      </w:r>
      <w:r>
        <w:rPr>
          <w:spacing w:val="-2"/>
        </w:rPr>
        <w:t>可供出售金融资产，由于其自身或其持有的上市公司股票价格的波动，使得其公允价</w:t>
      </w:r>
      <w:r>
        <w:rPr>
          <w:spacing w:val="-94"/>
        </w:rPr>
        <w:t> </w:t>
      </w:r>
      <w:r>
        <w:rPr>
          <w:spacing w:val="-94"/>
        </w:rPr>
      </w:r>
      <w:r>
        <w:rPr>
          <w:spacing w:val="-2"/>
        </w:rPr>
        <w:t>值发生了大幅下跌，并使得公司期末计提了大额长期股权投资和可供出售金融资产减</w:t>
      </w:r>
      <w:r>
        <w:rPr>
          <w:spacing w:val="-94"/>
        </w:rPr>
        <w:t> </w:t>
      </w:r>
      <w:r>
        <w:rPr>
          <w:spacing w:val="-94"/>
        </w:rPr>
      </w:r>
      <w:r>
        <w:rPr>
          <w:spacing w:val="-2"/>
        </w:rPr>
        <w:t>值；由于公司当期和未来调整产业布局战略的不断推进，也使得公司部分老旧业务的</w:t>
      </w:r>
      <w:r>
        <w:rPr>
          <w:spacing w:val="-94"/>
        </w:rPr>
        <w:t> </w:t>
      </w:r>
      <w:r>
        <w:rPr>
          <w:spacing w:val="-94"/>
        </w:rPr>
      </w:r>
      <w:r>
        <w:rPr>
          <w:spacing w:val="-2"/>
        </w:rPr>
        <w:t>存货出现了减值迹象，并使得公司期末计提了大额的存货减值。此外，部分老旧产业</w:t>
      </w:r>
      <w:r>
        <w:rPr>
          <w:spacing w:val="-95"/>
        </w:rPr>
        <w:t> </w:t>
      </w:r>
      <w:r>
        <w:rPr>
          <w:spacing w:val="-95"/>
        </w:rPr>
      </w:r>
      <w:r>
        <w:rPr/>
        <w:t>成本上升、财务费用支出加大、部分联营企业影响等因素叠加使得公司在 </w:t>
      </w:r>
      <w:r>
        <w:rPr>
          <w:rFonts w:ascii="宋体" w:hAnsi="宋体" w:cs="宋体" w:eastAsia="宋体" w:hint="default"/>
        </w:rPr>
        <w:t>2018</w:t>
      </w:r>
      <w:r>
        <w:rPr>
          <w:rFonts w:ascii="宋体" w:hAnsi="宋体" w:cs="宋体" w:eastAsia="宋体" w:hint="default"/>
          <w:spacing w:val="-47"/>
        </w:rPr>
        <w:t> </w:t>
      </w:r>
      <w:r>
        <w:rPr/>
        <w:t>年出 现了大幅度的亏损，实现归属于上市公司股东的净利润</w:t>
      </w:r>
      <w:r>
        <w:rPr>
          <w:rFonts w:ascii="宋体" w:hAnsi="宋体" w:cs="宋体" w:eastAsia="宋体" w:hint="default"/>
        </w:rPr>
        <w:t>-38.80</w:t>
      </w:r>
      <w:r>
        <w:rPr>
          <w:rFonts w:ascii="宋体" w:hAnsi="宋体" w:cs="宋体" w:eastAsia="宋体" w:hint="default"/>
          <w:spacing w:val="-60"/>
        </w:rPr>
        <w:t> </w:t>
      </w:r>
      <w:r>
        <w:rPr/>
        <w:t>亿元。</w:t>
      </w:r>
    </w:p>
    <w:p>
      <w:pPr>
        <w:spacing w:line="240" w:lineRule="auto" w:before="4"/>
        <w:rPr>
          <w:rFonts w:ascii="宋体" w:hAnsi="宋体" w:cs="宋体" w:eastAsia="宋体" w:hint="default"/>
          <w:sz w:val="28"/>
          <w:szCs w:val="28"/>
        </w:rPr>
      </w:pPr>
    </w:p>
    <w:p>
      <w:pPr>
        <w:pStyle w:val="BodyText"/>
        <w:spacing w:line="276" w:lineRule="auto"/>
        <w:ind w:right="97" w:firstLine="479"/>
        <w:jc w:val="left"/>
      </w:pPr>
      <w:r>
        <w:rPr/>
        <w:t>公司管理层深刻反思了造成公司业绩大额亏损的原因及公司管理中存在的问题，</w:t>
      </w:r>
      <w:r>
        <w:rPr>
          <w:spacing w:val="2"/>
        </w:rPr>
        <w:t> </w:t>
      </w:r>
      <w:r>
        <w:rPr/>
        <w:t>上述公司业绩变化一方面固然有外部市场环境变化影响的因素，如股票市场波动，导</w:t>
      </w:r>
      <w:r>
        <w:rPr/>
        <w:t> 致的公司持有的部分资产价值下跌；另一方面也有公司对外部市场环境变化趋势把握</w:t>
      </w:r>
    </w:p>
    <w:p>
      <w:pPr>
        <w:pStyle w:val="BodyText"/>
        <w:spacing w:line="276" w:lineRule="auto" w:before="10"/>
        <w:ind w:right="97"/>
        <w:jc w:val="left"/>
      </w:pPr>
      <w:r>
        <w:rPr/>
        <w:t>不准确、对外投资过程中存在前期论证时对投资风险考虑不充分，过于乐观的原因；</w:t>
      </w:r>
      <w:r>
        <w:rPr>
          <w:spacing w:val="-57"/>
        </w:rPr>
        <w:t> </w:t>
      </w:r>
      <w:r>
        <w:rPr>
          <w:spacing w:val="-57"/>
        </w:rPr>
      </w:r>
      <w:r>
        <w:rPr/>
        <w:t>此外，还反映出公司对于自主核心竞争力的培养还需进一步加强，对于产业的升级换</w:t>
      </w:r>
      <w:r>
        <w:rPr/>
        <w:t> 代力度还需加大，对于市场环境变化的反应应对机制还需完善。</w:t>
      </w:r>
    </w:p>
    <w:p>
      <w:pPr>
        <w:spacing w:after="0" w:line="276" w:lineRule="auto"/>
        <w:jc w:val="left"/>
        <w:sectPr>
          <w:pgSz w:w="11910" w:h="16840"/>
          <w:pgMar w:header="0" w:footer="1193" w:top="780" w:bottom="1380" w:left="1660" w:right="1040"/>
        </w:sectPr>
      </w:pPr>
    </w:p>
    <w:p>
      <w:pPr>
        <w:spacing w:before="25"/>
        <w:ind w:left="4253" w:right="426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4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BodyText"/>
        <w:spacing w:line="276" w:lineRule="auto" w:before="26"/>
        <w:ind w:left="518" w:right="512" w:firstLine="479"/>
        <w:jc w:val="both"/>
      </w:pPr>
      <w:r>
        <w:rPr>
          <w:rFonts w:ascii="宋体" w:hAnsi="宋体" w:cs="宋体" w:eastAsia="宋体" w:hint="default"/>
        </w:rPr>
        <w:t>2018</w:t>
      </w:r>
      <w:r>
        <w:rPr>
          <w:rFonts w:ascii="宋体" w:hAnsi="宋体" w:cs="宋体" w:eastAsia="宋体" w:hint="default"/>
          <w:spacing w:val="-40"/>
        </w:rPr>
        <w:t> </w:t>
      </w:r>
      <w:r>
        <w:rPr>
          <w:spacing w:val="-4"/>
        </w:rPr>
        <w:t>年，公司也实施了一系列积极的举措，持续推动科技成果转化应用，布局新</w:t>
      </w:r>
      <w:r>
        <w:rPr/>
        <w:t> </w:t>
      </w:r>
      <w:r>
        <w:rPr>
          <w:spacing w:val="-2"/>
        </w:rPr>
        <w:t>兴区域和符合国家创新发展战略的产业方向，实施整体产业的转型、升级、换代。报</w:t>
      </w:r>
      <w:r>
        <w:rPr>
          <w:spacing w:val="-94"/>
        </w:rPr>
        <w:t> </w:t>
      </w:r>
      <w:r>
        <w:rPr>
          <w:spacing w:val="-94"/>
        </w:rPr>
      </w:r>
      <w:r>
        <w:rPr>
          <w:spacing w:val="-2"/>
        </w:rPr>
        <w:t>告期内，公司积极助力区域经济的创新发展和提质增效，与贵州联合打造了国内首个</w:t>
      </w:r>
      <w:r>
        <w:rPr>
          <w:spacing w:val="-94"/>
        </w:rPr>
        <w:t> </w:t>
      </w:r>
      <w:r>
        <w:rPr>
          <w:spacing w:val="-94"/>
        </w:rPr>
      </w:r>
      <w:r>
        <w:rPr>
          <w:spacing w:val="-2"/>
        </w:rPr>
        <w:t>人工智能大数据决策平台、携手四川简阳建设智慧农业生态系统、与陕西西咸新区合</w:t>
      </w:r>
      <w:r>
        <w:rPr>
          <w:spacing w:val="-94"/>
        </w:rPr>
        <w:t> </w:t>
      </w:r>
      <w:r>
        <w:rPr>
          <w:spacing w:val="-94"/>
        </w:rPr>
      </w:r>
      <w:r>
        <w:rPr>
          <w:spacing w:val="-2"/>
        </w:rPr>
        <w:t>作推进国家创新城市体系建设、与内蒙古和林格尔新区达成超算产业战略合作。公司</w:t>
      </w:r>
      <w:r>
        <w:rPr>
          <w:spacing w:val="-94"/>
        </w:rPr>
        <w:t> </w:t>
      </w:r>
      <w:r>
        <w:rPr>
          <w:spacing w:val="-94"/>
        </w:rPr>
      </w:r>
      <w:r>
        <w:rPr>
          <w:spacing w:val="-2"/>
        </w:rPr>
        <w:t>还持续大力推进与清华大学及各院系所的互动合作，与计算机系、工程物理系、建筑</w:t>
      </w:r>
      <w:r>
        <w:rPr>
          <w:spacing w:val="-95"/>
        </w:rPr>
        <w:t> </w:t>
      </w:r>
      <w:r>
        <w:rPr>
          <w:spacing w:val="-95"/>
        </w:rPr>
      </w:r>
      <w:r>
        <w:rPr/>
        <w:t>学院、软件学院、环境学院、材料学院等新增各类产学研合作项目 </w:t>
      </w:r>
      <w:r>
        <w:rPr>
          <w:rFonts w:ascii="宋体" w:hAnsi="宋体" w:cs="宋体" w:eastAsia="宋体" w:hint="default"/>
        </w:rPr>
        <w:t>80</w:t>
      </w:r>
      <w:r>
        <w:rPr>
          <w:rFonts w:ascii="宋体" w:hAnsi="宋体" w:cs="宋体" w:eastAsia="宋体" w:hint="default"/>
          <w:spacing w:val="-48"/>
        </w:rPr>
        <w:t> </w:t>
      </w:r>
      <w:r>
        <w:rPr/>
        <w:t>余项，覆盖人 </w:t>
      </w:r>
      <w:r>
        <w:rPr>
          <w:spacing w:val="-2"/>
        </w:rPr>
        <w:t>机交互、计算机视觉应用、建筑智能化与节能、地铁节能研究、辐射成像、城市建筑</w:t>
      </w:r>
      <w:r>
        <w:rPr>
          <w:spacing w:val="-96"/>
        </w:rPr>
        <w:t> </w:t>
      </w:r>
      <w:r>
        <w:rPr>
          <w:spacing w:val="-96"/>
        </w:rPr>
      </w:r>
      <w:r>
        <w:rPr>
          <w:spacing w:val="-2"/>
        </w:rPr>
        <w:t>规划设计等诸多技术领域。在此基础上，公司下属成熟的核心企业如同方威视、中国</w:t>
      </w:r>
      <w:r>
        <w:rPr>
          <w:spacing w:val="-95"/>
        </w:rPr>
        <w:t> </w:t>
      </w:r>
      <w:r>
        <w:rPr>
          <w:spacing w:val="-95"/>
        </w:rPr>
      </w:r>
      <w:r>
        <w:rPr>
          <w:spacing w:val="-2"/>
        </w:rPr>
        <w:t>知网、同方泰德的收入及利润规模均保持了稳定的增长；公司从事的计算机产品业务</w:t>
      </w:r>
      <w:r>
        <w:rPr>
          <w:spacing w:val="-94"/>
        </w:rPr>
        <w:t> </w:t>
      </w:r>
      <w:r>
        <w:rPr>
          <w:spacing w:val="-94"/>
        </w:rPr>
      </w:r>
      <w:r>
        <w:rPr>
          <w:spacing w:val="-2"/>
        </w:rPr>
        <w:t>在国家信息安全要求不断提升的背景下，迎来了新的发展机遇，相关全国产化计算机</w:t>
      </w:r>
    </w:p>
    <w:p>
      <w:pPr>
        <w:pStyle w:val="BodyText"/>
        <w:spacing w:line="276" w:lineRule="auto" w:before="10"/>
        <w:ind w:left="518" w:right="0"/>
        <w:jc w:val="left"/>
      </w:pPr>
      <w:r>
        <w:rPr/>
        <w:t>系列产品已经被列入中央政府采购目录、全军自主可控名录和涉密信息产品目录等；</w:t>
      </w:r>
      <w:r>
        <w:rPr>
          <w:spacing w:val="-57"/>
        </w:rPr>
        <w:t> </w:t>
      </w:r>
      <w:r>
        <w:rPr>
          <w:spacing w:val="-57"/>
        </w:rPr>
      </w:r>
      <w:r>
        <w:rPr/>
        <w:t>公司一直积极培育的军民融合业务也在军用船舶、激光技术军民应用等领域实现了技</w:t>
      </w:r>
      <w:r>
        <w:rPr/>
        <w:t> 术突破和产业布局。</w:t>
      </w:r>
    </w:p>
    <w:p>
      <w:pPr>
        <w:spacing w:line="240" w:lineRule="auto" w:before="4"/>
        <w:rPr>
          <w:rFonts w:ascii="宋体" w:hAnsi="宋体" w:cs="宋体" w:eastAsia="宋体" w:hint="default"/>
          <w:sz w:val="28"/>
          <w:szCs w:val="28"/>
        </w:rPr>
      </w:pPr>
    </w:p>
    <w:p>
      <w:pPr>
        <w:pStyle w:val="BodyText"/>
        <w:spacing w:line="276" w:lineRule="auto"/>
        <w:ind w:left="518" w:right="511" w:firstLine="479"/>
        <w:jc w:val="both"/>
      </w:pPr>
      <w:r>
        <w:rPr>
          <w:rFonts w:ascii="宋体" w:hAnsi="宋体" w:cs="宋体" w:eastAsia="宋体" w:hint="default"/>
        </w:rPr>
        <w:t>2019</w:t>
      </w:r>
      <w:r>
        <w:rPr>
          <w:rFonts w:ascii="宋体" w:hAnsi="宋体" w:cs="宋体" w:eastAsia="宋体" w:hint="default"/>
          <w:spacing w:val="-40"/>
        </w:rPr>
        <w:t> </w:t>
      </w:r>
      <w:r>
        <w:rPr>
          <w:spacing w:val="-4"/>
        </w:rPr>
        <w:t>年，公司的工作重心将放在聚焦核心业务、完善优化产业布局及架构上。公</w:t>
      </w:r>
      <w:r>
        <w:rPr/>
        <w:t> </w:t>
      </w:r>
      <w:r>
        <w:rPr>
          <w:spacing w:val="-2"/>
        </w:rPr>
        <w:t>司将进一步推动实施“清理、整顿、瘦身”工作，剥离或处置低效业务资产以及与公</w:t>
      </w:r>
      <w:r>
        <w:rPr>
          <w:spacing w:val="-93"/>
        </w:rPr>
        <w:t> </w:t>
      </w:r>
      <w:r>
        <w:rPr>
          <w:spacing w:val="-93"/>
        </w:rPr>
      </w:r>
      <w:r>
        <w:rPr>
          <w:spacing w:val="-2"/>
        </w:rPr>
        <w:t>司主业关联度小或已经不符合公司整体战略发展的产业及业务，回收资金，将资源进</w:t>
      </w:r>
      <w:r>
        <w:rPr>
          <w:spacing w:val="-94"/>
        </w:rPr>
        <w:t> </w:t>
      </w:r>
      <w:r>
        <w:rPr>
          <w:spacing w:val="-94"/>
        </w:rPr>
      </w:r>
      <w:r>
        <w:rPr>
          <w:spacing w:val="-2"/>
        </w:rPr>
        <w:t>一步聚焦在符合国家创新驱动战略、市场前景良好、具有核心竞争力的主干产业，如</w:t>
      </w:r>
      <w:r>
        <w:rPr>
          <w:spacing w:val="-94"/>
        </w:rPr>
        <w:t> </w:t>
      </w:r>
      <w:r>
        <w:rPr>
          <w:spacing w:val="-94"/>
        </w:rPr>
      </w:r>
      <w:r>
        <w:rPr>
          <w:spacing w:val="-2"/>
        </w:rPr>
        <w:t>大安防、军民融合、自主可控计算机系列产品、智慧节能等方向，提升主干产业的核</w:t>
      </w:r>
      <w:r>
        <w:rPr>
          <w:spacing w:val="-94"/>
        </w:rPr>
        <w:t> </w:t>
      </w:r>
      <w:r>
        <w:rPr>
          <w:spacing w:val="-94"/>
        </w:rPr>
      </w:r>
      <w:r>
        <w:rPr/>
        <w:t>心竞争力。</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3" w:top="780" w:bottom="1380" w:left="1280" w:right="760"/>
        </w:sectPr>
      </w:pPr>
    </w:p>
    <w:p>
      <w:pPr>
        <w:pStyle w:val="Heading2"/>
        <w:tabs>
          <w:tab w:pos="1357" w:val="left" w:leader="none"/>
        </w:tabs>
        <w:spacing w:line="321" w:lineRule="auto" w:before="168"/>
        <w:ind w:left="518" w:right="1862"/>
        <w:jc w:val="left"/>
        <w:rPr>
          <w:b w:val="0"/>
          <w:bCs w:val="0"/>
        </w:rPr>
      </w:pPr>
      <w:r>
        <w:rPr/>
        <w:t>二、报告期内主要经营情况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pStyle w:val="Heading2"/>
        <w:spacing w:line="240" w:lineRule="auto" w:before="24"/>
        <w:ind w:left="518" w:right="-18"/>
        <w:jc w:val="left"/>
        <w:rPr>
          <w:b w:val="0"/>
          <w:bCs w:val="0"/>
        </w:rPr>
      </w:pPr>
      <w:r>
        <w:rPr>
          <w:rFonts w:ascii="宋体" w:hAnsi="宋体" w:cs="宋体" w:eastAsia="宋体" w:hint="default"/>
        </w:rPr>
        <w:t>1.</w:t>
      </w:r>
      <w:r>
        <w:rPr>
          <w:rFonts w:ascii="宋体" w:hAnsi="宋体" w:cs="宋体" w:eastAsia="宋体" w:hint="default"/>
          <w:spacing w:val="53"/>
        </w:rPr>
        <w:t> </w:t>
      </w:r>
      <w:r>
        <w:rPr/>
        <w:t>利润表及现金流量表相关科目变动分析表</w:t>
      </w:r>
      <w:r>
        <w:rPr>
          <w:b w:val="0"/>
          <w:bCs w:val="0"/>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6"/>
        <w:rPr>
          <w:rFonts w:ascii="宋体" w:hAnsi="宋体" w:cs="宋体" w:eastAsia="宋体" w:hint="default"/>
          <w:b/>
          <w:bCs/>
          <w:sz w:val="33"/>
          <w:szCs w:val="33"/>
        </w:rPr>
      </w:pPr>
    </w:p>
    <w:p>
      <w:pPr>
        <w:pStyle w:val="BodyText"/>
        <w:tabs>
          <w:tab w:pos="1598" w:val="left" w:leader="none"/>
        </w:tabs>
        <w:spacing w:line="240" w:lineRule="auto"/>
        <w:ind w:left="5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000" w:bottom="280" w:left="1280" w:right="760"/>
          <w:cols w:num="2" w:equalWidth="0">
            <w:col w:w="5274" w:space="1159"/>
            <w:col w:w="3437"/>
          </w:cols>
        </w:sectPr>
      </w:pPr>
    </w:p>
    <w:p>
      <w:pPr>
        <w:spacing w:line="240" w:lineRule="auto" w:before="12"/>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3788"/>
        <w:gridCol w:w="2052"/>
        <w:gridCol w:w="2053"/>
        <w:gridCol w:w="1745"/>
      </w:tblGrid>
      <w:tr>
        <w:trPr>
          <w:trHeight w:val="283"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科目</w:t>
            </w:r>
            <w:r>
              <w:rPr>
                <w:rFonts w:ascii="宋体" w:hAnsi="宋体" w:cs="宋体" w:eastAsia="宋体" w:hint="default"/>
                <w:sz w:val="21"/>
                <w:szCs w:val="21"/>
              </w:rPr>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本期数</w:t>
            </w:r>
            <w:r>
              <w:rPr>
                <w:rFonts w:ascii="宋体" w:hAnsi="宋体" w:cs="宋体" w:eastAsia="宋体" w:hint="default"/>
                <w:sz w:val="21"/>
                <w:szCs w:val="21"/>
              </w:rPr>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b/>
                <w:bCs/>
                <w:sz w:val="21"/>
                <w:szCs w:val="21"/>
              </w:rPr>
              <w:t>上年同期数</w:t>
            </w:r>
            <w:r>
              <w:rPr>
                <w:rFonts w:ascii="宋体" w:hAnsi="宋体" w:cs="宋体" w:eastAsia="宋体"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b/>
                <w:bCs/>
                <w:sz w:val="21"/>
                <w:szCs w:val="21"/>
              </w:rPr>
              <w:t>变动比例（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81"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24,832,976,037.59</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25,989,387,338.80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-4.45%</w:t>
            </w:r>
          </w:p>
        </w:tc>
      </w:tr>
      <w:tr>
        <w:trPr>
          <w:trHeight w:val="283"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19,726,782,878.61</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20,449,533,777.22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-3.53%</w:t>
            </w:r>
          </w:p>
        </w:tc>
      </w:tr>
      <w:tr>
        <w:trPr>
          <w:trHeight w:val="283"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160,720,047.58</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186,356,820.76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-13.76%</w:t>
            </w:r>
          </w:p>
        </w:tc>
      </w:tr>
      <w:tr>
        <w:trPr>
          <w:trHeight w:val="281"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2,136,479,026.43</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2,054,769,196.60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3.98%</w:t>
            </w:r>
          </w:p>
        </w:tc>
      </w:tr>
      <w:tr>
        <w:trPr>
          <w:trHeight w:val="283"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1,659,737,661.96</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1,596,414,529.07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3.97%</w:t>
            </w:r>
          </w:p>
        </w:tc>
      </w:tr>
      <w:tr>
        <w:trPr>
          <w:trHeight w:val="283"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863,650,909.48</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692,765,781.30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24.67%</w:t>
            </w:r>
          </w:p>
        </w:tc>
      </w:tr>
      <w:tr>
        <w:trPr>
          <w:trHeight w:val="281"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1,172,325,085.62</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783,171,371.63</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49.69%</w:t>
            </w:r>
          </w:p>
        </w:tc>
      </w:tr>
      <w:tr>
        <w:trPr>
          <w:trHeight w:val="283"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3,595,366,972.46</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751,382,021.51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378.50%</w:t>
            </w:r>
          </w:p>
        </w:tc>
      </w:tr>
      <w:tr>
        <w:trPr>
          <w:trHeight w:val="283"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-131,967,809.27</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-255,216,515.38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-48.29%</w:t>
            </w:r>
          </w:p>
        </w:tc>
      </w:tr>
      <w:tr>
        <w:trPr>
          <w:trHeight w:val="281"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641,441,357.54</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1,159,896,929.85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-44.70%</w:t>
            </w:r>
          </w:p>
        </w:tc>
      </w:tr>
      <w:tr>
        <w:trPr>
          <w:trHeight w:val="283"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资产处置收益</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198,200,922.74</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11,822,704.21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1576.44%</w:t>
            </w:r>
          </w:p>
        </w:tc>
      </w:tr>
      <w:tr>
        <w:trPr>
          <w:trHeight w:val="281"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314,387,831.26</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274,059,954.62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14.71%</w:t>
            </w:r>
          </w:p>
        </w:tc>
      </w:tr>
      <w:tr>
        <w:trPr>
          <w:trHeight w:val="283"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42,282,843.60</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57,290,747.57</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-26.20%</w:t>
            </w:r>
          </w:p>
        </w:tc>
      </w:tr>
      <w:tr>
        <w:trPr>
          <w:trHeight w:val="283"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24,620,383.98</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37,078,695.71</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-33.60%</w:t>
            </w:r>
          </w:p>
        </w:tc>
      </w:tr>
    </w:tbl>
    <w:p>
      <w:pPr>
        <w:spacing w:after="0" w:line="241" w:lineRule="exact"/>
        <w:jc w:val="right"/>
        <w:rPr>
          <w:rFonts w:ascii="宋体" w:hAnsi="宋体" w:cs="宋体" w:eastAsia="宋体" w:hint="default"/>
          <w:sz w:val="21"/>
          <w:szCs w:val="21"/>
        </w:rPr>
        <w:sectPr>
          <w:type w:val="continuous"/>
          <w:pgSz w:w="11910" w:h="16840"/>
          <w:pgMar w:top="1000" w:bottom="280" w:left="1280" w:right="760"/>
        </w:sectPr>
      </w:pPr>
    </w:p>
    <w:p>
      <w:pPr>
        <w:spacing w:before="25"/>
        <w:ind w:left="4493" w:right="450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72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352" w:type="dxa"/>
        <w:tblLayout w:type="fixed"/>
        <w:tblCellMar>
          <w:top w:w="0" w:type="dxa"/>
          <w:left w:w="0" w:type="dxa"/>
          <w:bottom w:w="0" w:type="dxa"/>
          <w:right w:w="0" w:type="dxa"/>
        </w:tblCellMar>
        <w:tblLook w:val="01E0"/>
      </w:tblPr>
      <w:tblGrid>
        <w:gridCol w:w="3788"/>
        <w:gridCol w:w="2052"/>
        <w:gridCol w:w="2053"/>
        <w:gridCol w:w="1745"/>
      </w:tblGrid>
      <w:tr>
        <w:trPr>
          <w:trHeight w:val="284"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53,581,128.54</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156,176,189.55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-65.69%</w:t>
            </w:r>
          </w:p>
        </w:tc>
      </w:tr>
      <w:tr>
        <w:trPr>
          <w:trHeight w:val="283"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其他综合收益税后净额</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-1,391,078,752.34</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223,109,021.00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-723.50%</w:t>
            </w:r>
          </w:p>
        </w:tc>
      </w:tr>
      <w:tr>
        <w:trPr>
          <w:trHeight w:val="281"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-525,453,478.46</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453,445,936.52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-215.88%</w:t>
            </w:r>
          </w:p>
        </w:tc>
      </w:tr>
      <w:tr>
        <w:trPr>
          <w:trHeight w:val="283"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-1,966,130,687.57</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-6,194,006,144.74</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-68.26%</w:t>
            </w:r>
          </w:p>
        </w:tc>
      </w:tr>
      <w:tr>
        <w:trPr>
          <w:trHeight w:val="283"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2,056,046,703.65</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4,572,621,841.46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-55.04%</w:t>
            </w:r>
          </w:p>
        </w:tc>
      </w:tr>
      <w:tr>
        <w:trPr>
          <w:trHeight w:val="281"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汇率变动对现金及现金等价物的影响</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88,404,994.75</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-98,407,994.46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-189.84%</w:t>
            </w:r>
          </w:p>
        </w:tc>
      </w:tr>
      <w:tr>
        <w:trPr>
          <w:trHeight w:val="283" w:hRule="exact"/>
        </w:trPr>
        <w:tc>
          <w:tcPr>
            <w:tcW w:w="3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1,418,932,360.04</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1,388,745,406.60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2.17%</w:t>
            </w:r>
          </w:p>
        </w:tc>
      </w:tr>
    </w:tbl>
    <w:p>
      <w:pPr>
        <w:spacing w:line="240" w:lineRule="auto" w:before="1"/>
        <w:rPr>
          <w:rFonts w:ascii="宋体" w:hAnsi="宋体" w:cs="宋体" w:eastAsia="宋体" w:hint="default"/>
          <w:sz w:val="24"/>
          <w:szCs w:val="24"/>
        </w:rPr>
      </w:pPr>
    </w:p>
    <w:p>
      <w:pPr>
        <w:pStyle w:val="Heading2"/>
        <w:spacing w:line="240" w:lineRule="auto" w:before="26"/>
        <w:ind w:left="758" w:right="2068"/>
        <w:jc w:val="left"/>
        <w:rPr>
          <w:b w:val="0"/>
          <w:bCs w:val="0"/>
        </w:rPr>
      </w:pPr>
      <w:r>
        <w:rPr>
          <w:rFonts w:ascii="宋体" w:hAnsi="宋体" w:cs="宋体" w:eastAsia="宋体" w:hint="default"/>
        </w:rPr>
        <w:t>2.</w:t>
      </w:r>
      <w:r>
        <w:rPr>
          <w:rFonts w:ascii="宋体" w:hAnsi="宋体" w:cs="宋体" w:eastAsia="宋体" w:hint="default"/>
          <w:spacing w:val="55"/>
        </w:rPr>
        <w:t> </w:t>
      </w:r>
      <w:r>
        <w:rPr/>
        <w:t>收入和成本分析</w:t>
      </w:r>
      <w:r>
        <w:rPr>
          <w:b w:val="0"/>
          <w:bCs w:val="0"/>
        </w:rPr>
      </w:r>
    </w:p>
    <w:p>
      <w:pPr>
        <w:pStyle w:val="BodyText"/>
        <w:spacing w:line="276" w:lineRule="auto" w:before="106"/>
        <w:ind w:left="1178" w:right="2068" w:hanging="420"/>
        <w:jc w:val="left"/>
      </w:pPr>
      <w:r>
        <w:rPr/>
        <w:t>√适用</w:t>
      </w:r>
      <w:r>
        <w:rPr>
          <w:spacing w:val="-1"/>
        </w:rPr>
        <w:t> </w:t>
      </w:r>
      <w:r>
        <w:rPr/>
        <w:t>□不适用</w:t>
      </w:r>
      <w:r>
        <w:rPr/>
        <w:t> </w:t>
      </w:r>
      <w:r>
        <w:rPr>
          <w:rFonts w:ascii="宋体" w:hAnsi="宋体" w:cs="宋体" w:eastAsia="宋体" w:hint="default"/>
        </w:rPr>
        <w:t>1</w:t>
      </w:r>
      <w:r>
        <w:rPr/>
        <w:t>、财务费用较上年变动较大，主要是公司负息债务规模增加所致；</w:t>
      </w:r>
    </w:p>
    <w:p>
      <w:pPr>
        <w:pStyle w:val="BodyText"/>
        <w:spacing w:line="276" w:lineRule="auto" w:before="10"/>
        <w:ind w:left="758" w:right="753" w:firstLine="419"/>
        <w:jc w:val="both"/>
      </w:pPr>
      <w:r>
        <w:rPr>
          <w:rFonts w:ascii="宋体" w:hAnsi="宋体" w:cs="宋体" w:eastAsia="宋体" w:hint="default"/>
          <w:spacing w:val="-3"/>
        </w:rPr>
        <w:t>2</w:t>
      </w:r>
      <w:r>
        <w:rPr>
          <w:spacing w:val="-3"/>
        </w:rPr>
        <w:t>、资产减值损失较上年变动较大，主要是公司及子公司对长期股权投资及商誉计</w:t>
      </w:r>
      <w:r>
        <w:rPr/>
        <w:t> 提减值准备较上年增加所致；</w:t>
      </w:r>
    </w:p>
    <w:p>
      <w:pPr>
        <w:pStyle w:val="BodyText"/>
        <w:spacing w:line="276" w:lineRule="auto" w:before="10"/>
        <w:ind w:left="758" w:right="753" w:firstLine="419"/>
        <w:jc w:val="both"/>
      </w:pPr>
      <w:r>
        <w:rPr>
          <w:rFonts w:ascii="宋体" w:hAnsi="宋体" w:cs="宋体" w:eastAsia="宋体" w:hint="default"/>
          <w:spacing w:val="-3"/>
        </w:rPr>
        <w:t>3</w:t>
      </w:r>
      <w:r>
        <w:rPr>
          <w:spacing w:val="-3"/>
        </w:rPr>
        <w:t>、公允价值变动收益较上年变动较大，主要是公司持有的以公允价值计量且其变</w:t>
      </w:r>
      <w:r>
        <w:rPr/>
        <w:t> 动计入当期损益的金融资产公允价值波动较上年波动幅度变化所致；</w:t>
      </w:r>
    </w:p>
    <w:p>
      <w:pPr>
        <w:pStyle w:val="BodyText"/>
        <w:spacing w:line="276" w:lineRule="auto" w:before="10"/>
        <w:ind w:left="758" w:right="753" w:firstLine="419"/>
        <w:jc w:val="both"/>
      </w:pPr>
      <w:r>
        <w:rPr>
          <w:rFonts w:ascii="宋体" w:hAnsi="宋体" w:cs="宋体" w:eastAsia="宋体" w:hint="default"/>
          <w:spacing w:val="-3"/>
        </w:rPr>
        <w:t>4</w:t>
      </w:r>
      <w:r>
        <w:rPr>
          <w:spacing w:val="-3"/>
        </w:rPr>
        <w:t>、投资收益较上年变动较大，主要是公司按权益法确认的合营联营公司损益调整</w:t>
      </w:r>
      <w:r>
        <w:rPr/>
        <w:t> 份额减少所致；</w:t>
      </w:r>
    </w:p>
    <w:p>
      <w:pPr>
        <w:pStyle w:val="BodyText"/>
        <w:spacing w:line="276" w:lineRule="auto" w:before="10"/>
        <w:ind w:left="758" w:right="753" w:firstLine="419"/>
        <w:jc w:val="both"/>
      </w:pPr>
      <w:r>
        <w:rPr>
          <w:rFonts w:ascii="宋体" w:hAnsi="宋体" w:cs="宋体" w:eastAsia="宋体" w:hint="default"/>
          <w:spacing w:val="-3"/>
        </w:rPr>
        <w:t>5</w:t>
      </w:r>
      <w:r>
        <w:rPr>
          <w:spacing w:val="-3"/>
        </w:rPr>
        <w:t>、资产处置收益较上年变动较大，主要是公司之控股子公司同方友友控股有限公</w:t>
      </w:r>
      <w:r>
        <w:rPr/>
        <w:t> </w:t>
      </w:r>
      <w:r>
        <w:rPr>
          <w:spacing w:val="4"/>
        </w:rPr>
        <w:t>司本年因对原生产用地及厂房进行“三旧”改造将收到的政府拆迁补偿与固定资产</w:t>
      </w:r>
      <w:r>
        <w:rPr>
          <w:spacing w:val="-99"/>
        </w:rPr>
        <w:t> </w:t>
      </w:r>
      <w:r>
        <w:rPr>
          <w:spacing w:val="-99"/>
        </w:rPr>
      </w:r>
      <w:r>
        <w:rPr/>
        <w:t>净值差异计入资产处置收益所致；</w:t>
      </w:r>
    </w:p>
    <w:p>
      <w:pPr>
        <w:pStyle w:val="BodyText"/>
        <w:spacing w:line="276" w:lineRule="auto" w:before="10"/>
        <w:ind w:left="758" w:right="753" w:firstLine="419"/>
        <w:jc w:val="both"/>
      </w:pPr>
      <w:r>
        <w:rPr>
          <w:rFonts w:ascii="宋体" w:hAnsi="宋体" w:cs="宋体" w:eastAsia="宋体" w:hint="default"/>
          <w:spacing w:val="-3"/>
        </w:rPr>
        <w:t>6</w:t>
      </w:r>
      <w:r>
        <w:rPr>
          <w:spacing w:val="-3"/>
        </w:rPr>
        <w:t>、营业外支出较上年同期变动较大，主要是公司上年支付税收滞纳金金额较大所</w:t>
      </w:r>
      <w:r>
        <w:rPr/>
        <w:t> 致；</w:t>
      </w:r>
    </w:p>
    <w:p>
      <w:pPr>
        <w:pStyle w:val="BodyText"/>
        <w:spacing w:line="240" w:lineRule="auto" w:before="10"/>
        <w:ind w:left="1178" w:right="2068"/>
        <w:jc w:val="left"/>
      </w:pPr>
      <w:r>
        <w:rPr>
          <w:rFonts w:ascii="宋体" w:hAnsi="宋体" w:cs="宋体" w:eastAsia="宋体" w:hint="default"/>
        </w:rPr>
        <w:t>7</w:t>
      </w:r>
      <w:r>
        <w:rPr/>
        <w:t>、所得税费用较上年变动较大，主要是公司应税所得减少所致；</w:t>
      </w:r>
    </w:p>
    <w:p>
      <w:pPr>
        <w:pStyle w:val="BodyText"/>
        <w:spacing w:line="276" w:lineRule="auto" w:before="46"/>
        <w:ind w:left="758" w:right="753" w:firstLine="419"/>
        <w:jc w:val="both"/>
      </w:pPr>
      <w:r>
        <w:rPr>
          <w:rFonts w:ascii="宋体" w:hAnsi="宋体" w:cs="宋体" w:eastAsia="宋体" w:hint="default"/>
          <w:spacing w:val="-3"/>
        </w:rPr>
        <w:t>8</w:t>
      </w:r>
      <w:r>
        <w:rPr>
          <w:spacing w:val="-3"/>
        </w:rPr>
        <w:t>、其他综合收益的税后净额较上年变动较大，主要是公司持有的可供出售金融资</w:t>
      </w:r>
      <w:r>
        <w:rPr/>
        <w:t> 产公允价值波动幅度较上年变动所致；</w:t>
      </w:r>
    </w:p>
    <w:p>
      <w:pPr>
        <w:pStyle w:val="BodyText"/>
        <w:spacing w:line="276" w:lineRule="auto" w:before="10"/>
        <w:ind w:left="758" w:right="753" w:firstLine="419"/>
        <w:jc w:val="both"/>
      </w:pPr>
      <w:r>
        <w:rPr>
          <w:rFonts w:ascii="宋体" w:hAnsi="宋体" w:cs="宋体" w:eastAsia="宋体" w:hint="default"/>
          <w:spacing w:val="-3"/>
        </w:rPr>
        <w:t>9</w:t>
      </w:r>
      <w:r>
        <w:rPr>
          <w:spacing w:val="-3"/>
        </w:rPr>
        <w:t>、经营活动产生的现金流量较上年变动较大，主要是公司安防、知识网络、节能</w:t>
      </w:r>
      <w:r>
        <w:rPr/>
        <w:t> 等业务的人工等付现成本较上年增加所致；</w:t>
      </w:r>
    </w:p>
    <w:p>
      <w:pPr>
        <w:pStyle w:val="BodyText"/>
        <w:spacing w:line="276" w:lineRule="auto" w:before="10"/>
        <w:ind w:left="758" w:right="755" w:firstLine="419"/>
        <w:jc w:val="both"/>
      </w:pPr>
      <w:r>
        <w:rPr>
          <w:rFonts w:ascii="宋体" w:hAnsi="宋体" w:cs="宋体" w:eastAsia="宋体" w:hint="default"/>
        </w:rPr>
        <w:t>10</w:t>
      </w:r>
      <w:r>
        <w:rPr/>
        <w:t>、投资活动产生的现金流量较上年变动较大，主要是上年公司对外权益投资规 模较大所致；</w:t>
      </w:r>
    </w:p>
    <w:p>
      <w:pPr>
        <w:pStyle w:val="BodyText"/>
        <w:spacing w:line="276" w:lineRule="auto" w:before="10"/>
        <w:ind w:left="758" w:right="754" w:firstLine="419"/>
        <w:jc w:val="both"/>
      </w:pPr>
      <w:r>
        <w:rPr>
          <w:rFonts w:ascii="宋体" w:hAnsi="宋体" w:cs="宋体" w:eastAsia="宋体" w:hint="default"/>
        </w:rPr>
        <w:t>11</w:t>
      </w:r>
      <w:r>
        <w:rPr/>
        <w:t>、筹资活动产生的现金流量较上年变动较大，主要是公司本年负息债务融资规 模较上年减少所致；</w:t>
      </w:r>
    </w:p>
    <w:p>
      <w:pPr>
        <w:pStyle w:val="BodyText"/>
        <w:spacing w:line="276" w:lineRule="auto" w:before="10"/>
        <w:ind w:left="758" w:right="755" w:firstLine="419"/>
        <w:jc w:val="both"/>
      </w:pPr>
      <w:r>
        <w:rPr>
          <w:rFonts w:ascii="宋体" w:hAnsi="宋体" w:cs="宋体" w:eastAsia="宋体" w:hint="default"/>
        </w:rPr>
        <w:t>12</w:t>
      </w:r>
      <w:r>
        <w:rPr/>
        <w:t>、汇率变动对现金及现金等价物的影响较上年变动较大，主要是汇率波动趋势 及幅度变动所致。</w:t>
      </w:r>
    </w:p>
    <w:p>
      <w:pPr>
        <w:spacing w:line="240" w:lineRule="auto" w:before="0"/>
        <w:rPr>
          <w:rFonts w:ascii="宋体" w:hAnsi="宋体" w:cs="宋体" w:eastAsia="宋体" w:hint="default"/>
          <w:sz w:val="20"/>
          <w:szCs w:val="20"/>
        </w:rPr>
      </w:pPr>
    </w:p>
    <w:p>
      <w:pPr>
        <w:pStyle w:val="Heading2"/>
        <w:spacing w:line="240" w:lineRule="auto" w:before="168"/>
        <w:ind w:left="758" w:right="2068"/>
        <w:jc w:val="left"/>
        <w:rPr>
          <w:b w:val="0"/>
          <w:bCs w:val="0"/>
        </w:rPr>
      </w:pPr>
      <w:r>
        <w:rPr>
          <w:rFonts w:ascii="宋体" w:hAnsi="宋体" w:cs="宋体" w:eastAsia="宋体" w:hint="default"/>
        </w:rPr>
        <w:t>(1).</w:t>
      </w:r>
      <w:r>
        <w:rPr>
          <w:rFonts w:ascii="宋体" w:hAnsi="宋体" w:cs="宋体" w:eastAsia="宋体" w:hint="default"/>
          <w:spacing w:val="-41"/>
        </w:rPr>
        <w:t> </w:t>
      </w:r>
      <w:r>
        <w:rPr/>
        <w:t>主营业务分行业、分产品、分地区情况</w:t>
      </w:r>
      <w:r>
        <w:rPr>
          <w:b w:val="0"/>
          <w:bCs w:val="0"/>
        </w:rPr>
      </w:r>
    </w:p>
    <w:p>
      <w:pPr>
        <w:pStyle w:val="BodyText"/>
        <w:tabs>
          <w:tab w:pos="1320" w:val="left" w:leader="none"/>
        </w:tabs>
        <w:spacing w:line="240" w:lineRule="auto" w:before="58"/>
        <w:ind w:left="0" w:right="752"/>
        <w:jc w:val="right"/>
      </w:pPr>
      <w:r>
        <w:rPr/>
        <w:t>单位</w:t>
      </w:r>
      <w:r>
        <w:rPr>
          <w:rFonts w:ascii="宋体" w:hAnsi="宋体" w:cs="宋体" w:eastAsia="宋体" w:hint="default"/>
        </w:rPr>
        <w:t>:</w:t>
      </w:r>
      <w:r>
        <w:rPr/>
        <w:t>万元</w:t>
        <w:tab/>
        <w:t>币种</w:t>
      </w:r>
      <w:r>
        <w:rPr>
          <w:rFonts w:ascii="宋体" w:hAnsi="宋体" w:cs="宋体" w:eastAsia="宋体" w:hint="default"/>
        </w:rPr>
        <w:t>:</w:t>
      </w:r>
      <w:r>
        <w:rPr/>
        <w:t>人民币</w:t>
      </w: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261"/>
        <w:gridCol w:w="1527"/>
        <w:gridCol w:w="1524"/>
        <w:gridCol w:w="1200"/>
        <w:gridCol w:w="1198"/>
        <w:gridCol w:w="1198"/>
        <w:gridCol w:w="1198"/>
      </w:tblGrid>
      <w:tr>
        <w:trPr>
          <w:trHeight w:val="828"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03" w:right="0"/>
              <w:jc w:val="left"/>
              <w:rPr>
                <w:rFonts w:ascii="宋体" w:hAnsi="宋体" w:cs="宋体" w:eastAsia="宋体" w:hint="default"/>
                <w:sz w:val="21"/>
                <w:szCs w:val="21"/>
              </w:rPr>
            </w:pPr>
            <w:r>
              <w:rPr>
                <w:rFonts w:ascii="宋体" w:hAnsi="宋体" w:cs="宋体" w:eastAsia="宋体" w:hint="default"/>
                <w:b/>
                <w:bCs/>
                <w:sz w:val="21"/>
                <w:szCs w:val="21"/>
              </w:rPr>
              <w:t>产业板块</w:t>
            </w:r>
            <w:r>
              <w:rPr>
                <w:rFonts w:ascii="宋体" w:hAnsi="宋体" w:cs="宋体" w:eastAsia="宋体" w:hint="default"/>
                <w:sz w:val="21"/>
                <w:szCs w:val="21"/>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b/>
                <w:bCs/>
                <w:sz w:val="21"/>
                <w:szCs w:val="21"/>
              </w:rPr>
              <w:t>主营业务收入</w:t>
            </w:r>
            <w:r>
              <w:rPr>
                <w:rFonts w:ascii="宋体" w:hAnsi="宋体" w:cs="宋体" w:eastAsia="宋体" w:hint="default"/>
                <w:sz w:val="21"/>
                <w:szCs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0"/>
              <w:jc w:val="right"/>
              <w:rPr>
                <w:rFonts w:ascii="宋体" w:hAnsi="宋体" w:cs="宋体" w:eastAsia="宋体" w:hint="default"/>
                <w:sz w:val="21"/>
                <w:szCs w:val="21"/>
              </w:rPr>
            </w:pPr>
            <w:r>
              <w:rPr>
                <w:rFonts w:ascii="宋体" w:hAnsi="宋体" w:cs="宋体" w:eastAsia="宋体" w:hint="default"/>
                <w:b/>
                <w:bCs/>
                <w:sz w:val="21"/>
                <w:szCs w:val="21"/>
              </w:rPr>
              <w:t>主营业务成本</w:t>
            </w:r>
            <w:r>
              <w:rPr>
                <w:rFonts w:ascii="宋体" w:hAnsi="宋体" w:cs="宋体" w:eastAsia="宋体" w:hint="default"/>
                <w:sz w:val="21"/>
                <w:szCs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b/>
                <w:bCs/>
                <w:spacing w:val="-12"/>
                <w:sz w:val="21"/>
                <w:szCs w:val="21"/>
              </w:rPr>
              <w:t>毛利率（</w:t>
            </w:r>
            <w:r>
              <w:rPr>
                <w:rFonts w:ascii="宋体" w:hAnsi="宋体" w:cs="宋体" w:eastAsia="宋体" w:hint="default"/>
                <w:b/>
                <w:bCs/>
                <w:spacing w:val="-12"/>
                <w:sz w:val="21"/>
                <w:szCs w:val="21"/>
              </w:rPr>
              <w:t>%</w:t>
            </w:r>
            <w:r>
              <w:rPr>
                <w:rFonts w:ascii="宋体" w:hAnsi="宋体" w:cs="宋体" w:eastAsia="宋体" w:hint="default"/>
                <w:b/>
                <w:bCs/>
                <w:spacing w:val="-12"/>
                <w:sz w:val="21"/>
                <w:szCs w:val="21"/>
              </w:rPr>
              <w:t>）</w:t>
            </w:r>
            <w:r>
              <w:rPr>
                <w:rFonts w:ascii="宋体" w:hAnsi="宋体" w:cs="宋体" w:eastAsia="宋体" w:hint="default"/>
                <w:spacing w:val="-12"/>
                <w:sz w:val="21"/>
                <w:szCs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p>
            <w:pPr>
              <w:pStyle w:val="TableParagraph"/>
              <w:spacing w:line="272" w:lineRule="exact" w:before="27"/>
              <w:ind w:left="100" w:right="-3" w:firstLine="69"/>
              <w:jc w:val="left"/>
              <w:rPr>
                <w:rFonts w:ascii="宋体" w:hAnsi="宋体" w:cs="宋体" w:eastAsia="宋体" w:hint="default"/>
                <w:sz w:val="21"/>
                <w:szCs w:val="21"/>
              </w:rPr>
            </w:pPr>
            <w:r>
              <w:rPr>
                <w:rFonts w:ascii="宋体" w:hAnsi="宋体" w:cs="宋体" w:eastAsia="宋体" w:hint="default"/>
                <w:b/>
                <w:bCs/>
                <w:sz w:val="21"/>
                <w:szCs w:val="21"/>
              </w:rPr>
              <w:t>收入比上</w:t>
            </w:r>
            <w:r>
              <w:rPr>
                <w:rFonts w:ascii="宋体" w:hAnsi="宋体" w:cs="宋体" w:eastAsia="宋体" w:hint="default"/>
                <w:b/>
                <w:bCs/>
                <w:w w:val="100"/>
                <w:sz w:val="21"/>
                <w:szCs w:val="21"/>
              </w:rPr>
              <w:t> </w:t>
            </w:r>
            <w:r>
              <w:rPr>
                <w:rFonts w:ascii="宋体" w:hAnsi="宋体" w:cs="宋体" w:eastAsia="宋体" w:hint="default"/>
                <w:b/>
                <w:bCs/>
                <w:spacing w:val="-12"/>
                <w:sz w:val="21"/>
                <w:szCs w:val="21"/>
              </w:rPr>
              <w:t>年增减（</w:t>
            </w:r>
            <w:r>
              <w:rPr>
                <w:rFonts w:ascii="宋体" w:hAnsi="宋体" w:cs="宋体" w:eastAsia="宋体" w:hint="default"/>
                <w:b/>
                <w:bCs/>
                <w:spacing w:val="-12"/>
                <w:sz w:val="21"/>
                <w:szCs w:val="21"/>
              </w:rPr>
              <w:t>%</w:t>
            </w:r>
            <w:r>
              <w:rPr>
                <w:rFonts w:ascii="宋体" w:hAnsi="宋体" w:cs="宋体" w:eastAsia="宋体" w:hint="default"/>
                <w:b/>
                <w:bCs/>
                <w:spacing w:val="-12"/>
                <w:sz w:val="21"/>
                <w:szCs w:val="21"/>
              </w:rPr>
              <w:t>）</w:t>
            </w:r>
            <w:r>
              <w:rPr>
                <w:rFonts w:ascii="宋体" w:hAnsi="宋体" w:cs="宋体" w:eastAsia="宋体" w:hint="default"/>
                <w:spacing w:val="-12"/>
                <w:sz w:val="21"/>
                <w:szCs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3" w:right="0"/>
              <w:jc w:val="left"/>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p>
            <w:pPr>
              <w:pStyle w:val="TableParagraph"/>
              <w:spacing w:line="272" w:lineRule="exact" w:before="27"/>
              <w:ind w:left="103" w:right="-5" w:firstLine="69"/>
              <w:jc w:val="left"/>
              <w:rPr>
                <w:rFonts w:ascii="宋体" w:hAnsi="宋体" w:cs="宋体" w:eastAsia="宋体" w:hint="default"/>
                <w:sz w:val="21"/>
                <w:szCs w:val="21"/>
              </w:rPr>
            </w:pPr>
            <w:r>
              <w:rPr>
                <w:rFonts w:ascii="宋体" w:hAnsi="宋体" w:cs="宋体" w:eastAsia="宋体" w:hint="default"/>
                <w:b/>
                <w:bCs/>
                <w:sz w:val="21"/>
                <w:szCs w:val="21"/>
              </w:rPr>
              <w:t>成本比上</w:t>
            </w:r>
            <w:r>
              <w:rPr>
                <w:rFonts w:ascii="宋体" w:hAnsi="宋体" w:cs="宋体" w:eastAsia="宋体" w:hint="default"/>
                <w:b/>
                <w:bCs/>
                <w:w w:val="100"/>
                <w:sz w:val="21"/>
                <w:szCs w:val="21"/>
              </w:rPr>
              <w:t> </w:t>
            </w:r>
            <w:r>
              <w:rPr>
                <w:rFonts w:ascii="宋体" w:hAnsi="宋体" w:cs="宋体" w:eastAsia="宋体" w:hint="default"/>
                <w:b/>
                <w:bCs/>
                <w:spacing w:val="-12"/>
                <w:sz w:val="21"/>
                <w:szCs w:val="21"/>
              </w:rPr>
              <w:t>年增减（</w:t>
            </w:r>
            <w:r>
              <w:rPr>
                <w:rFonts w:ascii="宋体" w:hAnsi="宋体" w:cs="宋体" w:eastAsia="宋体" w:hint="default"/>
                <w:b/>
                <w:bCs/>
                <w:spacing w:val="-12"/>
                <w:sz w:val="21"/>
                <w:szCs w:val="21"/>
              </w:rPr>
              <w:t>%</w:t>
            </w:r>
            <w:r>
              <w:rPr>
                <w:rFonts w:ascii="宋体" w:hAnsi="宋体" w:cs="宋体" w:eastAsia="宋体" w:hint="default"/>
                <w:b/>
                <w:bCs/>
                <w:spacing w:val="-12"/>
                <w:sz w:val="21"/>
                <w:szCs w:val="21"/>
              </w:rPr>
              <w:t>）</w:t>
            </w:r>
            <w:r>
              <w:rPr>
                <w:rFonts w:ascii="宋体" w:hAnsi="宋体" w:cs="宋体" w:eastAsia="宋体" w:hint="default"/>
                <w:spacing w:val="-12"/>
                <w:sz w:val="21"/>
                <w:szCs w:val="21"/>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毛利率比</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上年增减</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8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互联网服务与终端</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1,130,436.57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975,583.47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13.70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sz w:val="21"/>
              </w:rPr>
              <w:t>-15.50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4" w:right="0"/>
              <w:jc w:val="left"/>
              <w:rPr>
                <w:rFonts w:ascii="宋体" w:hAnsi="宋体" w:cs="宋体" w:eastAsia="宋体" w:hint="default"/>
                <w:sz w:val="21"/>
                <w:szCs w:val="21"/>
              </w:rPr>
            </w:pPr>
            <w:r>
              <w:rPr>
                <w:rFonts w:ascii="宋体"/>
                <w:sz w:val="21"/>
              </w:rPr>
              <w:t>-14.66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sz w:val="21"/>
              </w:rPr>
              <w:t>-0.85</w:t>
            </w:r>
          </w:p>
        </w:tc>
      </w:tr>
    </w:tbl>
    <w:p>
      <w:pPr>
        <w:spacing w:after="0" w:line="241" w:lineRule="exact"/>
        <w:jc w:val="left"/>
        <w:rPr>
          <w:rFonts w:ascii="宋体" w:hAnsi="宋体" w:cs="宋体" w:eastAsia="宋体" w:hint="default"/>
          <w:sz w:val="21"/>
          <w:szCs w:val="21"/>
        </w:rPr>
        <w:sectPr>
          <w:pgSz w:w="11910" w:h="16840"/>
          <w:pgMar w:header="0" w:footer="1193" w:top="780" w:bottom="1380" w:left="1040" w:right="520"/>
        </w:sectPr>
      </w:pPr>
    </w:p>
    <w:p>
      <w:pPr>
        <w:spacing w:before="25"/>
        <w:ind w:left="4493" w:right="450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72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2261"/>
        <w:gridCol w:w="1527"/>
        <w:gridCol w:w="1524"/>
        <w:gridCol w:w="1200"/>
        <w:gridCol w:w="1198"/>
        <w:gridCol w:w="1198"/>
        <w:gridCol w:w="1198"/>
      </w:tblGrid>
      <w:tr>
        <w:trPr>
          <w:trHeight w:val="28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云计算和大数据</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189,776.62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190,681.17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-0.48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16.33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43.49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-19.02</w:t>
            </w:r>
          </w:p>
        </w:tc>
      </w:tr>
      <w:tr>
        <w:trPr>
          <w:trHeight w:val="28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公共安全</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637,515.27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407,010.94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36.16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2.47</w:t>
            </w:r>
          </w:p>
        </w:tc>
      </w:tr>
      <w:tr>
        <w:trPr>
          <w:trHeight w:val="28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节能环保</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482,197.74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370,811.67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23.10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10.32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-0.78</w:t>
            </w:r>
          </w:p>
        </w:tc>
      </w:tr>
      <w:tr>
        <w:trPr>
          <w:trHeight w:val="28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科技园区</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43,313.54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26,864.70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37.98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-45.76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-54.82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12.43</w:t>
            </w:r>
          </w:p>
        </w:tc>
      </w:tr>
      <w:tr>
        <w:trPr>
          <w:trHeight w:val="28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总部与投资</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1,003.31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352.08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64.91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-30.89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8.82</w:t>
            </w:r>
          </w:p>
        </w:tc>
      </w:tr>
      <w:tr>
        <w:trPr>
          <w:trHeight w:val="28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2,484,243.04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1,971,304.03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28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减：业务板块间抵消</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-30,023.82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-26,222.55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28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b/>
                <w:w w:val="95"/>
                <w:sz w:val="21"/>
              </w:rPr>
              <w:t>2,454,219.22</w:t>
            </w:r>
            <w:r>
              <w:rPr>
                <w:rFonts w:ascii="宋体"/>
                <w:sz w:val="21"/>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1,945,081.48</w:t>
            </w:r>
            <w:r>
              <w:rPr>
                <w:rFonts w:ascii="宋体"/>
                <w:sz w:val="21"/>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20.75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-0.42</w:t>
            </w:r>
          </w:p>
        </w:tc>
      </w:tr>
    </w:tbl>
    <w:p>
      <w:pPr>
        <w:spacing w:line="240" w:lineRule="auto" w:before="7"/>
        <w:rPr>
          <w:rFonts w:ascii="宋体" w:hAnsi="宋体" w:cs="宋体" w:eastAsia="宋体" w:hint="default"/>
          <w:sz w:val="27"/>
          <w:szCs w:val="27"/>
        </w:rPr>
      </w:pPr>
    </w:p>
    <w:tbl>
      <w:tblPr>
        <w:tblW w:w="0" w:type="auto"/>
        <w:jc w:val="left"/>
        <w:tblInd w:w="400" w:type="dxa"/>
        <w:tblLayout w:type="fixed"/>
        <w:tblCellMar>
          <w:top w:w="0" w:type="dxa"/>
          <w:left w:w="0" w:type="dxa"/>
          <w:bottom w:w="0" w:type="dxa"/>
          <w:right w:w="0" w:type="dxa"/>
        </w:tblCellMar>
        <w:tblLook w:val="01E0"/>
      </w:tblPr>
      <w:tblGrid>
        <w:gridCol w:w="1702"/>
        <w:gridCol w:w="1839"/>
        <w:gridCol w:w="1282"/>
        <w:gridCol w:w="1700"/>
        <w:gridCol w:w="1561"/>
        <w:gridCol w:w="1457"/>
      </w:tblGrid>
      <w:tr>
        <w:trPr>
          <w:trHeight w:val="370" w:hRule="exact"/>
        </w:trPr>
        <w:tc>
          <w:tcPr>
            <w:tcW w:w="1702" w:type="dxa"/>
            <w:vMerge w:val="restart"/>
            <w:tcBorders>
              <w:top w:val="single" w:sz="4" w:space="0" w:color="000000"/>
              <w:left w:val="single" w:sz="4" w:space="0" w:color="000000"/>
              <w:right w:val="single" w:sz="4" w:space="0" w:color="000000"/>
            </w:tcBorders>
          </w:tcPr>
          <w:p>
            <w:pPr>
              <w:pStyle w:val="TableParagraph"/>
              <w:spacing w:line="273" w:lineRule="exact" w:before="59"/>
              <w:ind w:right="0"/>
              <w:jc w:val="center"/>
              <w:rPr>
                <w:rFonts w:ascii="宋体" w:hAnsi="宋体" w:cs="宋体" w:eastAsia="宋体" w:hint="default"/>
                <w:sz w:val="21"/>
                <w:szCs w:val="21"/>
              </w:rPr>
            </w:pPr>
            <w:r>
              <w:rPr>
                <w:rFonts w:ascii="宋体" w:hAnsi="宋体" w:cs="宋体" w:eastAsia="宋体" w:hint="default"/>
                <w:b/>
                <w:bCs/>
                <w:sz w:val="21"/>
                <w:szCs w:val="21"/>
              </w:rPr>
              <w:t>地区</w:t>
            </w:r>
            <w:r>
              <w:rPr>
                <w:rFonts w:ascii="宋体" w:hAnsi="宋体" w:cs="宋体" w:eastAsia="宋体" w:hint="default"/>
                <w:sz w:val="21"/>
                <w:szCs w:val="21"/>
              </w:rPr>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（单位：万元）</w:t>
            </w:r>
            <w:r>
              <w:rPr>
                <w:rFonts w:ascii="宋体" w:hAnsi="宋体" w:cs="宋体" w:eastAsia="宋体" w:hint="default"/>
                <w:sz w:val="21"/>
                <w:szCs w:val="21"/>
              </w:rPr>
            </w:r>
          </w:p>
        </w:tc>
        <w:tc>
          <w:tcPr>
            <w:tcW w:w="31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78"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2"/>
                <w:sz w:val="21"/>
                <w:szCs w:val="21"/>
              </w:rPr>
              <w:t> </w:t>
            </w:r>
            <w:r>
              <w:rPr>
                <w:rFonts w:ascii="宋体" w:hAnsi="宋体" w:cs="宋体" w:eastAsia="宋体" w:hint="default"/>
                <w:b/>
                <w:bCs/>
                <w:sz w:val="21"/>
                <w:szCs w:val="21"/>
              </w:rPr>
              <w:t>年主营业务收入</w:t>
            </w:r>
            <w:r>
              <w:rPr>
                <w:rFonts w:ascii="宋体" w:hAnsi="宋体" w:cs="宋体" w:eastAsia="宋体" w:hint="default"/>
                <w:sz w:val="21"/>
                <w:szCs w:val="21"/>
              </w:rPr>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45"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3"/>
                <w:sz w:val="21"/>
                <w:szCs w:val="21"/>
              </w:rPr>
              <w:t> </w:t>
            </w:r>
            <w:r>
              <w:rPr>
                <w:rFonts w:ascii="宋体" w:hAnsi="宋体" w:cs="宋体" w:eastAsia="宋体" w:hint="default"/>
                <w:b/>
                <w:bCs/>
                <w:sz w:val="21"/>
                <w:szCs w:val="21"/>
              </w:rPr>
              <w:t>年主营业务收入</w:t>
            </w:r>
            <w:r>
              <w:rPr>
                <w:rFonts w:ascii="宋体" w:hAnsi="宋体" w:cs="宋体" w:eastAsia="宋体" w:hint="default"/>
                <w:sz w:val="21"/>
                <w:szCs w:val="21"/>
              </w:rPr>
            </w:r>
          </w:p>
        </w:tc>
        <w:tc>
          <w:tcPr>
            <w:tcW w:w="1457" w:type="dxa"/>
            <w:vMerge w:val="restart"/>
            <w:tcBorders>
              <w:top w:val="single" w:sz="4" w:space="0" w:color="000000"/>
              <w:left w:val="single" w:sz="4" w:space="0" w:color="000000"/>
              <w:right w:val="single" w:sz="4" w:space="0" w:color="000000"/>
            </w:tcBorders>
          </w:tcPr>
          <w:p>
            <w:pPr>
              <w:pStyle w:val="TableParagraph"/>
              <w:spacing w:line="272" w:lineRule="exact" w:before="87"/>
              <w:ind w:left="103" w:right="-5" w:firstLine="93"/>
              <w:jc w:val="left"/>
              <w:rPr>
                <w:rFonts w:ascii="宋体" w:hAnsi="宋体" w:cs="宋体" w:eastAsia="宋体" w:hint="default"/>
                <w:sz w:val="21"/>
                <w:szCs w:val="21"/>
              </w:rPr>
            </w:pPr>
            <w:r>
              <w:rPr>
                <w:rFonts w:ascii="宋体" w:hAnsi="宋体" w:cs="宋体" w:eastAsia="宋体" w:hint="default"/>
                <w:b/>
                <w:bCs/>
                <w:sz w:val="21"/>
                <w:szCs w:val="21"/>
              </w:rPr>
              <w:t>主营业务比</w:t>
            </w:r>
            <w:r>
              <w:rPr>
                <w:rFonts w:ascii="宋体" w:hAnsi="宋体" w:cs="宋体" w:eastAsia="宋体" w:hint="default"/>
                <w:b/>
                <w:bCs/>
                <w:w w:val="100"/>
                <w:sz w:val="21"/>
                <w:szCs w:val="21"/>
              </w:rPr>
              <w:t> </w:t>
            </w:r>
            <w:r>
              <w:rPr>
                <w:rFonts w:ascii="宋体" w:hAnsi="宋体" w:cs="宋体" w:eastAsia="宋体" w:hint="default"/>
                <w:b/>
                <w:bCs/>
                <w:spacing w:val="-4"/>
                <w:sz w:val="21"/>
                <w:szCs w:val="21"/>
              </w:rPr>
              <w:t>上年增减（</w:t>
            </w:r>
            <w:r>
              <w:rPr>
                <w:rFonts w:ascii="宋体" w:hAnsi="宋体" w:cs="宋体" w:eastAsia="宋体" w:hint="default"/>
                <w:b/>
                <w:bCs/>
                <w:spacing w:val="-4"/>
                <w:sz w:val="21"/>
                <w:szCs w:val="21"/>
              </w:rPr>
              <w:t>%</w:t>
            </w:r>
            <w:r>
              <w:rPr>
                <w:rFonts w:ascii="宋体" w:hAnsi="宋体" w:cs="宋体" w:eastAsia="宋体" w:hint="default"/>
                <w:b/>
                <w:bCs/>
                <w:spacing w:val="-4"/>
                <w:sz w:val="21"/>
                <w:szCs w:val="21"/>
              </w:rPr>
              <w:t>）</w:t>
            </w:r>
            <w:r>
              <w:rPr>
                <w:rFonts w:ascii="宋体" w:hAnsi="宋体" w:cs="宋体" w:eastAsia="宋体" w:hint="default"/>
                <w:spacing w:val="-4"/>
                <w:sz w:val="21"/>
                <w:szCs w:val="21"/>
              </w:rPr>
            </w:r>
          </w:p>
        </w:tc>
      </w:tr>
      <w:tr>
        <w:trPr>
          <w:trHeight w:val="370" w:hRule="exact"/>
        </w:trPr>
        <w:tc>
          <w:tcPr>
            <w:tcW w:w="1702" w:type="dxa"/>
            <w:vMerge/>
            <w:tcBorders>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61"/>
              <w:jc w:val="right"/>
              <w:rPr>
                <w:rFonts w:ascii="宋体" w:hAnsi="宋体" w:cs="宋体" w:eastAsia="宋体" w:hint="default"/>
                <w:sz w:val="21"/>
                <w:szCs w:val="21"/>
              </w:rPr>
            </w:pPr>
            <w:r>
              <w:rPr>
                <w:rFonts w:ascii="宋体" w:hAnsi="宋体" w:cs="宋体" w:eastAsia="宋体" w:hint="default"/>
                <w:b/>
                <w:bCs/>
                <w:sz w:val="21"/>
                <w:szCs w:val="21"/>
              </w:rPr>
              <w:t>比重（</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99" w:right="0"/>
              <w:jc w:val="left"/>
              <w:rPr>
                <w:rFonts w:ascii="宋体" w:hAnsi="宋体" w:cs="宋体" w:eastAsia="宋体" w:hint="default"/>
                <w:sz w:val="21"/>
                <w:szCs w:val="21"/>
              </w:rPr>
            </w:pPr>
            <w:r>
              <w:rPr>
                <w:rFonts w:ascii="宋体" w:hAnsi="宋体" w:cs="宋体" w:eastAsia="宋体" w:hint="default"/>
                <w:b/>
                <w:bCs/>
                <w:sz w:val="21"/>
                <w:szCs w:val="21"/>
              </w:rPr>
              <w:t>比重（</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57" w:type="dxa"/>
            <w:vMerge/>
            <w:tcBorders>
              <w:left w:val="single" w:sz="4" w:space="0" w:color="000000"/>
              <w:bottom w:val="single" w:sz="4" w:space="0" w:color="000000"/>
              <w:right w:val="single" w:sz="4" w:space="0" w:color="000000"/>
            </w:tcBorders>
          </w:tcPr>
          <w:p>
            <w:pPr/>
          </w:p>
        </w:tc>
      </w:tr>
      <w:tr>
        <w:trPr>
          <w:trHeight w:val="3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国内市场</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宋体" w:hAnsi="宋体" w:cs="宋体" w:eastAsia="宋体" w:hint="default"/>
                <w:sz w:val="21"/>
                <w:szCs w:val="21"/>
              </w:rPr>
            </w:pPr>
            <w:r>
              <w:rPr>
                <w:rFonts w:ascii="宋体"/>
                <w:spacing w:val="-1"/>
                <w:sz w:val="21"/>
              </w:rPr>
              <w:t>1,594,116.11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z w:val="21"/>
              </w:rPr>
              <w:t>64.95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1,543,389.24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z w:val="21"/>
              </w:rPr>
              <w:t>59.56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z w:val="21"/>
              </w:rPr>
              <w:t>3.29</w:t>
            </w:r>
          </w:p>
        </w:tc>
      </w:tr>
      <w:tr>
        <w:trPr>
          <w:trHeight w:val="37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国际市场</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pacing w:val="-1"/>
                <w:sz w:val="21"/>
              </w:rPr>
              <w:t>860,103.11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z w:val="21"/>
              </w:rPr>
              <w:t>35.05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pacing w:val="-1"/>
                <w:sz w:val="21"/>
              </w:rPr>
              <w:t>1,047,772.14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40.44</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-17.91</w:t>
            </w:r>
          </w:p>
        </w:tc>
      </w:tr>
      <w:tr>
        <w:trPr>
          <w:trHeight w:val="37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宋体" w:hAnsi="宋体" w:cs="宋体" w:eastAsia="宋体" w:hint="default"/>
                <w:sz w:val="21"/>
                <w:szCs w:val="21"/>
              </w:rPr>
            </w:pPr>
            <w:r>
              <w:rPr>
                <w:rFonts w:ascii="宋体"/>
                <w:b/>
                <w:w w:val="95"/>
                <w:sz w:val="21"/>
              </w:rPr>
              <w:t>2,454,219.22</w:t>
            </w:r>
            <w:r>
              <w:rPr>
                <w:rFonts w:ascii="宋体"/>
                <w:sz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21"/>
                <w:szCs w:val="21"/>
              </w:rPr>
            </w:pPr>
            <w:r>
              <w:rPr>
                <w:rFonts w:ascii="宋体"/>
                <w:b/>
                <w:sz w:val="21"/>
              </w:rPr>
              <w:t>100.00</w:t>
            </w:r>
            <w:r>
              <w:rPr>
                <w:rFonts w:ascii="宋体"/>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b/>
                <w:w w:val="95"/>
                <w:sz w:val="21"/>
              </w:rPr>
              <w:t>2,591,161.38</w:t>
            </w:r>
            <w:r>
              <w:rPr>
                <w:rFonts w:ascii="宋体"/>
                <w:sz w:val="21"/>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21"/>
                <w:szCs w:val="21"/>
              </w:rPr>
            </w:pPr>
            <w:r>
              <w:rPr>
                <w:rFonts w:ascii="宋体"/>
                <w:b/>
                <w:sz w:val="21"/>
              </w:rPr>
              <w:t>100.00</w:t>
            </w:r>
            <w:r>
              <w:rPr>
                <w:rFonts w:ascii="宋体"/>
                <w:sz w:val="21"/>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b/>
                <w:w w:val="95"/>
                <w:sz w:val="21"/>
              </w:rPr>
              <w:t>-5.28</w:t>
            </w:r>
            <w:r>
              <w:rPr>
                <w:rFonts w:ascii="宋体"/>
                <w:sz w:val="21"/>
              </w:rPr>
            </w:r>
          </w:p>
        </w:tc>
      </w:tr>
    </w:tbl>
    <w:p>
      <w:pPr>
        <w:spacing w:line="240" w:lineRule="auto" w:before="2"/>
        <w:rPr>
          <w:rFonts w:ascii="宋体" w:hAnsi="宋体" w:cs="宋体" w:eastAsia="宋体" w:hint="default"/>
          <w:sz w:val="26"/>
          <w:szCs w:val="26"/>
        </w:rPr>
      </w:pPr>
    </w:p>
    <w:p>
      <w:pPr>
        <w:pStyle w:val="BodyText"/>
        <w:spacing w:line="240" w:lineRule="auto" w:before="26"/>
        <w:ind w:left="758" w:right="2068"/>
        <w:jc w:val="left"/>
      </w:pPr>
      <w:r>
        <w:rPr/>
        <w:t>主营业务分行业、分产品、分地区情况的说明</w:t>
      </w:r>
    </w:p>
    <w:p>
      <w:pPr>
        <w:pStyle w:val="BodyText"/>
        <w:spacing w:line="276" w:lineRule="auto" w:before="46"/>
        <w:ind w:left="1238" w:right="0" w:hanging="480"/>
        <w:jc w:val="left"/>
      </w:pPr>
      <w:r>
        <w:rPr/>
        <w:t>√适用 □不适用 </w:t>
      </w:r>
      <w:r>
        <w:rPr>
          <w:spacing w:val="-2"/>
        </w:rPr>
        <w:t>公司主要实施商用和消费电子设备、知识内容与服务、云计算和大数据、公共安</w:t>
      </w:r>
    </w:p>
    <w:p>
      <w:pPr>
        <w:pStyle w:val="BodyText"/>
        <w:spacing w:line="276" w:lineRule="auto" w:before="10"/>
        <w:ind w:left="758" w:right="0"/>
        <w:jc w:val="left"/>
      </w:pPr>
      <w:r>
        <w:rPr>
          <w:spacing w:val="-2"/>
        </w:rPr>
        <w:t>全、军工与装备、节能产业、照明产业等核心业务，归属于互联网服务与终端、云计</w:t>
      </w:r>
      <w:r>
        <w:rPr>
          <w:spacing w:val="-96"/>
        </w:rPr>
        <w:t> </w:t>
      </w:r>
      <w:r>
        <w:rPr>
          <w:spacing w:val="-96"/>
        </w:rPr>
      </w:r>
      <w:r>
        <w:rPr/>
        <w:t>算和大数据、公共安全和节能环保四个业务分部。</w:t>
      </w:r>
    </w:p>
    <w:p>
      <w:pPr>
        <w:spacing w:line="240" w:lineRule="auto" w:before="4"/>
        <w:rPr>
          <w:rFonts w:ascii="宋体" w:hAnsi="宋体" w:cs="宋体" w:eastAsia="宋体" w:hint="default"/>
          <w:sz w:val="28"/>
          <w:szCs w:val="28"/>
        </w:rPr>
      </w:pPr>
    </w:p>
    <w:p>
      <w:pPr>
        <w:pStyle w:val="Heading2"/>
        <w:tabs>
          <w:tab w:pos="1597" w:val="left" w:leader="none"/>
        </w:tabs>
        <w:spacing w:line="240" w:lineRule="auto"/>
        <w:ind w:left="758" w:right="2068"/>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互联网服务与终端</w:t>
      </w:r>
      <w:r>
        <w:rPr>
          <w:b w:val="0"/>
          <w:bCs w:val="0"/>
        </w:rPr>
      </w:r>
    </w:p>
    <w:p>
      <w:pPr>
        <w:spacing w:line="240" w:lineRule="auto" w:before="0"/>
        <w:rPr>
          <w:rFonts w:ascii="宋体" w:hAnsi="宋体" w:cs="宋体" w:eastAsia="宋体" w:hint="default"/>
          <w:b/>
          <w:bCs/>
          <w:sz w:val="31"/>
          <w:szCs w:val="31"/>
        </w:rPr>
      </w:pPr>
    </w:p>
    <w:p>
      <w:pPr>
        <w:pStyle w:val="BodyText"/>
        <w:spacing w:line="276" w:lineRule="auto"/>
        <w:ind w:left="758" w:right="748" w:firstLine="479"/>
        <w:jc w:val="both"/>
      </w:pPr>
      <w:r>
        <w:rPr>
          <w:rFonts w:ascii="宋体" w:hAnsi="宋体" w:cs="宋体" w:eastAsia="宋体" w:hint="default"/>
        </w:rPr>
        <w:t>2018</w:t>
      </w:r>
      <w:r>
        <w:rPr>
          <w:rFonts w:ascii="宋体" w:hAnsi="宋体" w:cs="宋体" w:eastAsia="宋体" w:hint="default"/>
          <w:spacing w:val="-48"/>
        </w:rPr>
        <w:t> </w:t>
      </w:r>
      <w:r>
        <w:rPr/>
        <w:t>年，面对错综复杂的国内外形势</w:t>
      </w:r>
      <w:r>
        <w:rPr>
          <w:rFonts w:ascii="宋体" w:hAnsi="宋体" w:cs="宋体" w:eastAsia="宋体" w:hint="default"/>
        </w:rPr>
        <w:t>,</w:t>
      </w:r>
      <w:r>
        <w:rPr/>
        <w:t>中国电子信息行业在困难挑战超出预期的 </w:t>
      </w:r>
      <w:r>
        <w:rPr>
          <w:spacing w:val="-4"/>
        </w:rPr>
        <w:t>情况下，迎难而上、奋发作为，根据中国电子信息行业联合会发布的《</w:t>
      </w:r>
      <w:r>
        <w:rPr>
          <w:rFonts w:ascii="宋体" w:hAnsi="宋体" w:cs="宋体" w:eastAsia="宋体" w:hint="default"/>
          <w:spacing w:val="-4"/>
        </w:rPr>
        <w:t>2018</w:t>
      </w:r>
      <w:r>
        <w:rPr>
          <w:rFonts w:ascii="宋体" w:hAnsi="宋体" w:cs="宋体" w:eastAsia="宋体" w:hint="default"/>
          <w:spacing w:val="-33"/>
        </w:rPr>
        <w:t> </w:t>
      </w:r>
      <w:r>
        <w:rPr/>
        <w:t>年电子信</w:t>
      </w:r>
      <w:r>
        <w:rPr>
          <w:spacing w:val="-115"/>
        </w:rPr>
        <w:t> </w:t>
      </w:r>
      <w:r>
        <w:rPr/>
        <w:t>息行业发展情况》， </w:t>
      </w:r>
      <w:r>
        <w:rPr>
          <w:rFonts w:ascii="宋体" w:hAnsi="宋体" w:cs="宋体" w:eastAsia="宋体" w:hint="default"/>
        </w:rPr>
        <w:t>2018 </w:t>
      </w:r>
      <w:r>
        <w:rPr/>
        <w:t>年，我国规模以上电子信息制造业增加值增长</w:t>
      </w:r>
      <w:r>
        <w:rPr>
          <w:spacing w:val="-47"/>
        </w:rPr>
        <w:t> </w:t>
      </w:r>
      <w:r>
        <w:rPr>
          <w:rFonts w:ascii="宋体" w:hAnsi="宋体" w:cs="宋体" w:eastAsia="宋体" w:hint="default"/>
        </w:rPr>
        <w:t>13.1%</w:t>
      </w:r>
      <w:r>
        <w:rPr/>
        <w:t>，高 于全国工业平均水平</w:t>
      </w:r>
      <w:r>
        <w:rPr>
          <w:spacing w:val="-41"/>
        </w:rPr>
        <w:t> </w:t>
      </w:r>
      <w:r>
        <w:rPr>
          <w:rFonts w:ascii="宋体" w:hAnsi="宋体" w:cs="宋体" w:eastAsia="宋体" w:hint="default"/>
        </w:rPr>
        <w:t>6.9</w:t>
      </w:r>
      <w:r>
        <w:rPr>
          <w:rFonts w:ascii="宋体" w:hAnsi="宋体" w:cs="宋体" w:eastAsia="宋体" w:hint="default"/>
          <w:spacing w:val="-41"/>
        </w:rPr>
        <w:t> </w:t>
      </w:r>
      <w:r>
        <w:rPr/>
        <w:t>个百分点。电子制造业与软件业收入规模合计超过</w:t>
      </w:r>
      <w:r>
        <w:rPr>
          <w:spacing w:val="-40"/>
        </w:rPr>
        <w:t> </w:t>
      </w:r>
      <w:r>
        <w:rPr>
          <w:rFonts w:ascii="宋体" w:hAnsi="宋体" w:cs="宋体" w:eastAsia="宋体" w:hint="default"/>
        </w:rPr>
        <w:t>16</w:t>
      </w:r>
      <w:r>
        <w:rPr>
          <w:rFonts w:ascii="宋体" w:hAnsi="宋体" w:cs="宋体" w:eastAsia="宋体" w:hint="default"/>
          <w:spacing w:val="-41"/>
        </w:rPr>
        <w:t> </w:t>
      </w:r>
      <w:r>
        <w:rPr/>
        <w:t>万亿 </w:t>
      </w:r>
      <w:r>
        <w:rPr>
          <w:spacing w:val="-5"/>
        </w:rPr>
        <w:t>元。总体来看，</w:t>
      </w:r>
      <w:r>
        <w:rPr>
          <w:rFonts w:ascii="宋体" w:hAnsi="宋体" w:cs="宋体" w:eastAsia="宋体" w:hint="default"/>
          <w:spacing w:val="-5"/>
        </w:rPr>
        <w:t>2018</w:t>
      </w:r>
      <w:r>
        <w:rPr>
          <w:rFonts w:ascii="宋体" w:hAnsi="宋体" w:cs="宋体" w:eastAsia="宋体" w:hint="default"/>
          <w:spacing w:val="-38"/>
        </w:rPr>
        <w:t> </w:t>
      </w:r>
      <w:r>
        <w:rPr>
          <w:spacing w:val="-3"/>
        </w:rPr>
        <w:t>年我国电子信息行业整体运行呈现“稳中有进”态势，行业增速</w:t>
      </w:r>
      <w:r>
        <w:rPr>
          <w:spacing w:val="-115"/>
        </w:rPr>
        <w:t> </w:t>
      </w:r>
      <w:r>
        <w:rPr>
          <w:spacing w:val="-115"/>
        </w:rPr>
      </w:r>
      <w:r>
        <w:rPr>
          <w:spacing w:val="-2"/>
        </w:rPr>
        <w:t>保持领先，核心技术加快突破，专利和标准化成果丰硕，质量效益进一步提高，在经</w:t>
      </w:r>
      <w:r>
        <w:rPr>
          <w:spacing w:val="-94"/>
        </w:rPr>
        <w:t> </w:t>
      </w:r>
      <w:r>
        <w:rPr>
          <w:spacing w:val="-94"/>
        </w:rPr>
      </w:r>
      <w:r>
        <w:rPr/>
        <w:t>济社会发展中发挥了重要的支撑引领作用。</w:t>
      </w:r>
    </w:p>
    <w:p>
      <w:pPr>
        <w:spacing w:line="240" w:lineRule="auto" w:before="4"/>
        <w:rPr>
          <w:rFonts w:ascii="宋体" w:hAnsi="宋体" w:cs="宋体" w:eastAsia="宋体" w:hint="default"/>
          <w:sz w:val="28"/>
          <w:szCs w:val="28"/>
        </w:rPr>
      </w:pPr>
    </w:p>
    <w:p>
      <w:pPr>
        <w:pStyle w:val="BodyText"/>
        <w:spacing w:line="276" w:lineRule="auto"/>
        <w:ind w:left="758" w:right="0" w:firstLine="479"/>
        <w:jc w:val="left"/>
      </w:pPr>
      <w:r>
        <w:rPr/>
        <w:t>本报告期内，公司在互联网服务与终端领域，凭借在教育行业、政府采购、大企 业等行业建立的深厚客户基础和良好的市场品牌影响力，坚持立足于自主可控、信息 </w:t>
      </w:r>
      <w:r>
        <w:rPr>
          <w:spacing w:val="-2"/>
        </w:rPr>
        <w:t>安全的业务发展方向，在商用和消费电子设备及知识服务领域大力发展自主核心技术，</w:t>
      </w:r>
      <w:r>
        <w:rPr>
          <w:spacing w:val="-92"/>
        </w:rPr>
        <w:t> </w:t>
      </w:r>
      <w:r>
        <w:rPr>
          <w:spacing w:val="-92"/>
        </w:rPr>
      </w:r>
      <w:r>
        <w:rPr/>
        <w:t>不断丰富和完善自主可控的技术体系，发挥国产化的优势，打造安全、可靠的从硬件</w:t>
      </w:r>
      <w:r>
        <w:rPr/>
        <w:t> 产品、基础软件、行业应用软件乃至行业解决方案的完整产业链。</w:t>
      </w:r>
    </w:p>
    <w:p>
      <w:pPr>
        <w:spacing w:line="240" w:lineRule="auto" w:before="4"/>
        <w:rPr>
          <w:rFonts w:ascii="宋体" w:hAnsi="宋体" w:cs="宋体" w:eastAsia="宋体" w:hint="default"/>
          <w:sz w:val="28"/>
          <w:szCs w:val="28"/>
        </w:rPr>
      </w:pPr>
    </w:p>
    <w:p>
      <w:pPr>
        <w:pStyle w:val="BodyText"/>
        <w:spacing w:line="276" w:lineRule="auto"/>
        <w:ind w:left="758" w:right="616" w:firstLine="479"/>
        <w:jc w:val="left"/>
      </w:pPr>
      <w:r>
        <w:rPr/>
        <w:t>公司不断推出一系列高品质、高兼容性、高稳定性的产品和服务，更基于</w:t>
      </w:r>
      <w:r>
        <w:rPr>
          <w:spacing w:val="-47"/>
        </w:rPr>
        <w:t> </w:t>
      </w:r>
      <w:r>
        <w:rPr>
          <w:rFonts w:ascii="宋体" w:hAnsi="宋体" w:cs="宋体" w:eastAsia="宋体" w:hint="default"/>
        </w:rPr>
        <w:t>IaaS</w:t>
      </w:r>
      <w:r>
        <w:rPr/>
        <w:t>、 </w:t>
      </w:r>
      <w:r>
        <w:rPr>
          <w:rFonts w:ascii="宋体" w:hAnsi="宋体" w:cs="宋体" w:eastAsia="宋体" w:hint="default"/>
          <w:spacing w:val="-6"/>
        </w:rPr>
        <w:t>PaaS</w:t>
      </w:r>
      <w:r>
        <w:rPr>
          <w:spacing w:val="-6"/>
        </w:rPr>
        <w:t>、</w:t>
      </w:r>
      <w:r>
        <w:rPr>
          <w:rFonts w:ascii="宋体" w:hAnsi="宋体" w:cs="宋体" w:eastAsia="宋体" w:hint="default"/>
          <w:spacing w:val="-6"/>
        </w:rPr>
        <w:t>SaaS</w:t>
      </w:r>
      <w:r>
        <w:rPr>
          <w:rFonts w:ascii="宋体" w:hAnsi="宋体" w:cs="宋体" w:eastAsia="宋体" w:hint="default"/>
          <w:spacing w:val="-49"/>
        </w:rPr>
        <w:t> </w:t>
      </w:r>
      <w:r>
        <w:rPr/>
        <w:t>的</w:t>
      </w:r>
      <w:r>
        <w:rPr>
          <w:spacing w:val="-49"/>
        </w:rPr>
        <w:t> </w:t>
      </w:r>
      <w:r>
        <w:rPr>
          <w:rFonts w:ascii="宋体" w:hAnsi="宋体" w:cs="宋体" w:eastAsia="宋体" w:hint="default"/>
        </w:rPr>
        <w:t>IT</w:t>
      </w:r>
      <w:r>
        <w:rPr>
          <w:rFonts w:ascii="宋体" w:hAnsi="宋体" w:cs="宋体" w:eastAsia="宋体" w:hint="default"/>
          <w:spacing w:val="-49"/>
        </w:rPr>
        <w:t> </w:t>
      </w:r>
      <w:r>
        <w:rPr>
          <w:spacing w:val="-7"/>
        </w:rPr>
        <w:t>基础架构，提供分布式数据管理和共享服务，为政府、金融、教育、</w:t>
      </w:r>
    </w:p>
    <w:p>
      <w:pPr>
        <w:spacing w:after="0" w:line="276" w:lineRule="auto"/>
        <w:jc w:val="left"/>
        <w:sectPr>
          <w:pgSz w:w="11910" w:h="16840"/>
          <w:pgMar w:header="0" w:footer="1193" w:top="780" w:bottom="1380" w:left="1040" w:right="520"/>
        </w:sectPr>
      </w:pPr>
    </w:p>
    <w:p>
      <w:pPr>
        <w:spacing w:before="25"/>
        <w:ind w:left="120" w:right="232"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BodyText"/>
        <w:spacing w:line="276" w:lineRule="auto" w:before="26"/>
        <w:ind w:right="97"/>
        <w:jc w:val="left"/>
      </w:pPr>
      <w:r>
        <w:rPr>
          <w:spacing w:val="-2"/>
        </w:rPr>
        <w:t>大中型企业、军队等行业领域定制从云端到终端的自主、安全、可信的解决方案，以</w:t>
      </w:r>
      <w:r>
        <w:rPr>
          <w:spacing w:val="-94"/>
        </w:rPr>
        <w:t> </w:t>
      </w:r>
      <w:r>
        <w:rPr>
          <w:spacing w:val="-94"/>
        </w:rPr>
      </w:r>
      <w:r>
        <w:rPr/>
        <w:t>顺应国家对信息安全、网络安全的趋势。</w:t>
      </w:r>
    </w:p>
    <w:p>
      <w:pPr>
        <w:pStyle w:val="BodyText"/>
        <w:spacing w:line="276" w:lineRule="auto" w:before="10"/>
        <w:ind w:right="96" w:firstLine="479"/>
        <w:jc w:val="left"/>
      </w:pPr>
      <w:r>
        <w:rPr>
          <w:spacing w:val="-10"/>
        </w:rPr>
        <w:t>报告期内，公司由工信部授予“</w:t>
      </w:r>
      <w:r>
        <w:rPr>
          <w:rFonts w:ascii="宋体" w:hAnsi="宋体" w:cs="宋体" w:eastAsia="宋体" w:hint="default"/>
          <w:spacing w:val="-10"/>
        </w:rPr>
        <w:t>2018</w:t>
      </w:r>
      <w:r>
        <w:rPr>
          <w:rFonts w:ascii="宋体" w:hAnsi="宋体" w:cs="宋体" w:eastAsia="宋体" w:hint="default"/>
          <w:spacing w:val="-57"/>
        </w:rPr>
        <w:t> </w:t>
      </w:r>
      <w:r>
        <w:rPr>
          <w:spacing w:val="-9"/>
        </w:rPr>
        <w:t>年中国电子信息百强企业”称号、由工信部、</w:t>
      </w:r>
      <w:r>
        <w:rPr/>
        <w:t> 中国电子信息行业联合会授予“</w:t>
      </w:r>
      <w:r>
        <w:rPr>
          <w:rFonts w:ascii="宋体" w:hAnsi="宋体" w:cs="宋体" w:eastAsia="宋体" w:hint="default"/>
        </w:rPr>
        <w:t>2018</w:t>
      </w:r>
      <w:r>
        <w:rPr>
          <w:rFonts w:ascii="宋体" w:hAnsi="宋体" w:cs="宋体" w:eastAsia="宋体" w:hint="default"/>
          <w:spacing w:val="-48"/>
        </w:rPr>
        <w:t> </w:t>
      </w:r>
      <w:r>
        <w:rPr/>
        <w:t>中国软件和信息技术服务综合竞争力百强企业” 称号。</w:t>
      </w:r>
    </w:p>
    <w:p>
      <w:pPr>
        <w:spacing w:line="720" w:lineRule="exact" w:before="74"/>
        <w:ind w:left="618" w:right="97" w:hanging="48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pacing w:val="55"/>
          <w:sz w:val="24"/>
          <w:szCs w:val="24"/>
        </w:rPr>
        <w:t> </w:t>
      </w:r>
      <w:r>
        <w:rPr>
          <w:rFonts w:ascii="宋体" w:hAnsi="宋体" w:cs="宋体" w:eastAsia="宋体" w:hint="default"/>
          <w:b/>
          <w:bCs/>
          <w:sz w:val="24"/>
          <w:szCs w:val="24"/>
        </w:rPr>
        <w:t>商用和消费电子设备产业</w:t>
      </w:r>
      <w:r>
        <w:rPr>
          <w:rFonts w:ascii="宋体" w:hAnsi="宋体" w:cs="宋体" w:eastAsia="宋体" w:hint="default"/>
          <w:b/>
          <w:bCs/>
          <w:w w:val="99"/>
          <w:sz w:val="24"/>
          <w:szCs w:val="24"/>
        </w:rPr>
        <w:t> </w:t>
      </w:r>
      <w:r>
        <w:rPr>
          <w:rFonts w:ascii="宋体" w:hAnsi="宋体" w:cs="宋体" w:eastAsia="宋体" w:hint="default"/>
          <w:spacing w:val="-2"/>
          <w:sz w:val="24"/>
          <w:szCs w:val="24"/>
        </w:rPr>
        <w:t>在计算机产品方面，公司进一步加强全国产化产品的开发设计能力及自有服务器</w:t>
      </w:r>
    </w:p>
    <w:p>
      <w:pPr>
        <w:pStyle w:val="BodyText"/>
        <w:spacing w:line="250" w:lineRule="exact"/>
        <w:ind w:right="97"/>
        <w:jc w:val="left"/>
      </w:pPr>
      <w:r>
        <w:rPr/>
        <w:t>研发能力，扩大全国产产品及服务器产品的业务规模，同时在云服务、计算机集成业</w:t>
      </w:r>
    </w:p>
    <w:p>
      <w:pPr>
        <w:pStyle w:val="BodyText"/>
        <w:spacing w:line="276" w:lineRule="auto" w:before="46"/>
        <w:ind w:right="97"/>
        <w:jc w:val="left"/>
      </w:pPr>
      <w:r>
        <w:rPr/>
        <w:t>务领域整合资源，积累经验，通过集成项目业务为传统的 </w:t>
      </w:r>
      <w:r>
        <w:rPr>
          <w:rFonts w:ascii="宋体" w:hAnsi="宋体" w:cs="宋体" w:eastAsia="宋体" w:hint="default"/>
        </w:rPr>
        <w:t>IT</w:t>
      </w:r>
      <w:r>
        <w:rPr>
          <w:rFonts w:ascii="宋体" w:hAnsi="宋体" w:cs="宋体" w:eastAsia="宋体" w:hint="default"/>
          <w:spacing w:val="-48"/>
        </w:rPr>
        <w:t> </w:t>
      </w:r>
      <w:r>
        <w:rPr/>
        <w:t>设备等产品提供巨大的 市场机会。公司是“国家安全可靠计算机信息系统集成重点企业”，通过采用中国自 主加密算法的高速加密芯片、</w:t>
      </w:r>
      <w:r>
        <w:rPr>
          <w:rFonts w:ascii="宋体" w:hAnsi="宋体" w:cs="宋体" w:eastAsia="宋体" w:hint="default"/>
        </w:rPr>
        <w:t>TST</w:t>
      </w:r>
      <w:r>
        <w:rPr>
          <w:rFonts w:ascii="宋体" w:hAnsi="宋体" w:cs="宋体" w:eastAsia="宋体" w:hint="default"/>
          <w:spacing w:val="-48"/>
        </w:rPr>
        <w:t> </w:t>
      </w:r>
      <w:r>
        <w:rPr/>
        <w:t>安全技术平台为基础，提供全国产可信计算硬件设 备，并为政府、军队、能源、航天、金融等高安全行业定制安全可靠的信息化集成解 </w:t>
      </w:r>
      <w:r>
        <w:rPr>
          <w:spacing w:val="-7"/>
        </w:rPr>
        <w:t>决方案。目前，公司作为最早加入安可联盟的企业，与龙芯、兆芯、飞腾、神威等</w:t>
      </w:r>
      <w:r>
        <w:rPr>
          <w:spacing w:val="-52"/>
        </w:rPr>
        <w:t> </w:t>
      </w:r>
      <w:r>
        <w:rPr>
          <w:rFonts w:ascii="宋体" w:hAnsi="宋体" w:cs="宋体" w:eastAsia="宋体" w:hint="default"/>
        </w:rPr>
        <w:t>CPU</w:t>
      </w:r>
      <w:r>
        <w:rPr>
          <w:rFonts w:ascii="宋体" w:hAnsi="宋体" w:cs="宋体" w:eastAsia="宋体" w:hint="default"/>
          <w:spacing w:val="-105"/>
        </w:rPr>
        <w:t> </w:t>
      </w:r>
      <w:r>
        <w:rPr/>
        <w:t>厂商密切合作，陆续推出了“超锐系列国产兆芯笔记本、超翔系列国产龙芯台式机、</w:t>
      </w:r>
      <w:r>
        <w:rPr>
          <w:spacing w:val="-55"/>
        </w:rPr>
        <w:t> </w:t>
      </w:r>
      <w:r>
        <w:rPr>
          <w:spacing w:val="-55"/>
        </w:rPr>
      </w:r>
      <w:r>
        <w:rPr/>
        <w:t>超翔系列国产兆芯台式机、超强系列国产龙芯机架式服务器和超强系列国产飞腾服务</w:t>
      </w:r>
      <w:r>
        <w:rPr/>
        <w:t> 器”等国产化产品，且相关国产化产品已入围“涉密专用信息设备产品二期目录”和 “党政机关安全可靠应用信息类产品目录”，在自主可控产品领域具备领先优势。报 告期内，公司还在 </w:t>
      </w:r>
      <w:r>
        <w:rPr>
          <w:rFonts w:ascii="宋体" w:hAnsi="宋体" w:cs="宋体" w:eastAsia="宋体" w:hint="default"/>
        </w:rPr>
        <w:t>2018</w:t>
      </w:r>
      <w:r>
        <w:rPr>
          <w:rFonts w:ascii="宋体" w:hAnsi="宋体" w:cs="宋体" w:eastAsia="宋体" w:hint="default"/>
          <w:spacing w:val="-48"/>
        </w:rPr>
        <w:t> </w:t>
      </w:r>
      <w:r>
        <w:rPr/>
        <w:t>海关总署瘦客户机采购项目中拿下瘦客户终端订单。该项目 是上半年单次规模最大的瘦客户机应用项目，也是政府行业单次应用超万个瘦客户机 的重要项目，并在服务上提出了海关行业专属服务方案。</w:t>
      </w:r>
    </w:p>
    <w:p>
      <w:pPr>
        <w:spacing w:line="240" w:lineRule="auto" w:before="4"/>
        <w:rPr>
          <w:rFonts w:ascii="宋体" w:hAnsi="宋体" w:cs="宋体" w:eastAsia="宋体" w:hint="default"/>
          <w:sz w:val="28"/>
          <w:szCs w:val="28"/>
        </w:rPr>
      </w:pPr>
    </w:p>
    <w:p>
      <w:pPr>
        <w:pStyle w:val="BodyText"/>
        <w:spacing w:line="276" w:lineRule="auto"/>
        <w:ind w:right="232" w:firstLine="479"/>
        <w:jc w:val="both"/>
      </w:pPr>
      <w:r>
        <w:rPr>
          <w:spacing w:val="-2"/>
        </w:rPr>
        <w:t>在多媒体产品方面，公司持续推行国际化战略，并积极响应国家“一带一路”政</w:t>
      </w:r>
      <w:r>
        <w:rPr/>
        <w:t> </w:t>
      </w:r>
      <w:r>
        <w:rPr>
          <w:spacing w:val="-2"/>
        </w:rPr>
        <w:t>策，积极服务沿线地区，探索家庭物联网的全套解决方案，努力实现从高清显示设备</w:t>
      </w:r>
      <w:r>
        <w:rPr>
          <w:spacing w:val="-94"/>
        </w:rPr>
        <w:t> </w:t>
      </w:r>
      <w:r>
        <w:rPr>
          <w:spacing w:val="-94"/>
        </w:rPr>
      </w:r>
      <w:r>
        <w:rPr>
          <w:spacing w:val="-2"/>
        </w:rPr>
        <w:t>供应商向家庭物联网解决方案提供商转型。报告期内，公司针对北美和其它发达国家</w:t>
      </w:r>
      <w:r>
        <w:rPr>
          <w:spacing w:val="-94"/>
        </w:rPr>
        <w:t> </w:t>
      </w:r>
      <w:r>
        <w:rPr>
          <w:spacing w:val="-94"/>
        </w:rPr>
      </w:r>
      <w:r>
        <w:rPr>
          <w:spacing w:val="-2"/>
        </w:rPr>
        <w:t>和地区率先推出智能流媒体电视通用平台。至此，公司在智能电视机产品方面，是国</w:t>
      </w:r>
      <w:r>
        <w:rPr>
          <w:spacing w:val="-96"/>
        </w:rPr>
        <w:t> </w:t>
      </w:r>
      <w:r>
        <w:rPr>
          <w:spacing w:val="-96"/>
        </w:rPr>
      </w:r>
      <w:r>
        <w:rPr>
          <w:spacing w:val="-2"/>
        </w:rPr>
        <w:t>内唯一同时拥有美国三大主流智能电视平台的电视机制造厂商。随着智能物联网产品</w:t>
      </w:r>
      <w:r>
        <w:rPr>
          <w:spacing w:val="-94"/>
        </w:rPr>
        <w:t> </w:t>
      </w:r>
      <w:r>
        <w:rPr>
          <w:spacing w:val="-94"/>
        </w:rPr>
      </w:r>
      <w:r>
        <w:rPr>
          <w:spacing w:val="-2"/>
        </w:rPr>
        <w:t>市场开始崛起，公司也在此领域进行积极的探索。面向欧美等国家和地区，公司推出</w:t>
      </w:r>
      <w:r>
        <w:rPr>
          <w:spacing w:val="-96"/>
        </w:rPr>
        <w:t> </w:t>
      </w:r>
      <w:r>
        <w:rPr>
          <w:spacing w:val="-96"/>
        </w:rPr>
      </w:r>
      <w:r>
        <w:rPr/>
        <w:t>一系列的产品及系统服务，包括多种类的智能家居产品，产品控制平台</w:t>
      </w:r>
      <w:r>
        <w:rPr>
          <w:spacing w:val="-73"/>
        </w:rPr>
        <w:t> </w:t>
      </w:r>
      <w:r>
        <w:rPr>
          <w:rFonts w:ascii="宋体" w:hAnsi="宋体" w:cs="宋体" w:eastAsia="宋体" w:hint="default"/>
        </w:rPr>
        <w:t>APP</w:t>
      </w:r>
      <w:r>
        <w:rPr>
          <w:rFonts w:ascii="宋体" w:hAnsi="宋体" w:cs="宋体" w:eastAsia="宋体" w:hint="default"/>
          <w:spacing w:val="-74"/>
        </w:rPr>
        <w:t> </w:t>
      </w:r>
      <w:r>
        <w:rPr>
          <w:spacing w:val="-5"/>
        </w:rPr>
        <w:t>应用，及</w:t>
      </w:r>
      <w:r>
        <w:rPr/>
        <w:t> 后台连接、控制及数据服务器。</w:t>
      </w:r>
    </w:p>
    <w:p>
      <w:pPr>
        <w:spacing w:line="240" w:lineRule="auto" w:before="4"/>
        <w:rPr>
          <w:rFonts w:ascii="宋体" w:hAnsi="宋体" w:cs="宋体" w:eastAsia="宋体" w:hint="default"/>
          <w:sz w:val="28"/>
          <w:szCs w:val="28"/>
        </w:rPr>
      </w:pPr>
    </w:p>
    <w:p>
      <w:pPr>
        <w:pStyle w:val="BodyText"/>
        <w:spacing w:line="276" w:lineRule="auto"/>
        <w:ind w:right="230" w:firstLine="479"/>
        <w:jc w:val="both"/>
      </w:pPr>
      <w:r>
        <w:rPr/>
        <w:t>在</w:t>
      </w:r>
      <w:r>
        <w:rPr>
          <w:spacing w:val="-72"/>
        </w:rPr>
        <w:t> </w:t>
      </w:r>
      <w:r>
        <w:rPr>
          <w:rFonts w:ascii="宋体" w:hAnsi="宋体" w:cs="宋体" w:eastAsia="宋体" w:hint="default"/>
        </w:rPr>
        <w:t>E</w:t>
      </w:r>
      <w:r>
        <w:rPr>
          <w:rFonts w:ascii="宋体" w:hAnsi="宋体" w:cs="宋体" w:eastAsia="宋体" w:hint="default"/>
          <w:spacing w:val="-72"/>
        </w:rPr>
        <w:t> </w:t>
      </w:r>
      <w:r>
        <w:rPr/>
        <w:t>人</w:t>
      </w:r>
      <w:r>
        <w:rPr>
          <w:spacing w:val="-72"/>
        </w:rPr>
        <w:t> </w:t>
      </w:r>
      <w:r>
        <w:rPr>
          <w:rFonts w:ascii="宋体" w:hAnsi="宋体" w:cs="宋体" w:eastAsia="宋体" w:hint="default"/>
        </w:rPr>
        <w:t>E</w:t>
      </w:r>
      <w:r>
        <w:rPr>
          <w:rFonts w:ascii="宋体" w:hAnsi="宋体" w:cs="宋体" w:eastAsia="宋体" w:hint="default"/>
          <w:spacing w:val="-72"/>
        </w:rPr>
        <w:t> </w:t>
      </w:r>
      <w:r>
        <w:rPr/>
        <w:t>本平板电脑方面，公司聚焦核心行业客户，坚持打造具有高质量、差异 化、信息安全的移动终端产品。报告期内，</w:t>
      </w:r>
      <w:r>
        <w:rPr>
          <w:rFonts w:ascii="宋体" w:hAnsi="宋体" w:cs="宋体" w:eastAsia="宋体" w:hint="default"/>
        </w:rPr>
        <w:t>E</w:t>
      </w:r>
      <w:r>
        <w:rPr>
          <w:rFonts w:ascii="宋体" w:hAnsi="宋体" w:cs="宋体" w:eastAsia="宋体" w:hint="default"/>
          <w:spacing w:val="-56"/>
        </w:rPr>
        <w:t> </w:t>
      </w:r>
      <w:r>
        <w:rPr/>
        <w:t>人</w:t>
      </w:r>
      <w:r>
        <w:rPr>
          <w:spacing w:val="-56"/>
        </w:rPr>
        <w:t> </w:t>
      </w:r>
      <w:r>
        <w:rPr>
          <w:rFonts w:ascii="宋体" w:hAnsi="宋体" w:cs="宋体" w:eastAsia="宋体" w:hint="default"/>
        </w:rPr>
        <w:t>E</w:t>
      </w:r>
      <w:r>
        <w:rPr>
          <w:rFonts w:ascii="宋体" w:hAnsi="宋体" w:cs="宋体" w:eastAsia="宋体" w:hint="default"/>
          <w:spacing w:val="-56"/>
        </w:rPr>
        <w:t> </w:t>
      </w:r>
      <w:r>
        <w:rPr/>
        <w:t>本成为业内首家同时入驻“军队采 购网”与“全军武器装备采购网”的安全平板设备及解决方案供应商，这标志着</w:t>
      </w:r>
      <w:r>
        <w:rPr>
          <w:spacing w:val="-82"/>
        </w:rPr>
        <w:t> </w:t>
      </w:r>
      <w:r>
        <w:rPr>
          <w:rFonts w:ascii="宋体" w:hAnsi="宋体" w:cs="宋体" w:eastAsia="宋体" w:hint="default"/>
        </w:rPr>
        <w:t>E</w:t>
      </w:r>
      <w:r>
        <w:rPr>
          <w:rFonts w:ascii="宋体" w:hAnsi="宋体" w:cs="宋体" w:eastAsia="宋体" w:hint="default"/>
          <w:spacing w:val="-83"/>
        </w:rPr>
        <w:t> </w:t>
      </w:r>
      <w:r>
        <w:rPr/>
        <w:t>人 </w:t>
      </w:r>
      <w:r>
        <w:rPr>
          <w:rFonts w:ascii="宋体" w:hAnsi="宋体" w:cs="宋体" w:eastAsia="宋体" w:hint="default"/>
        </w:rPr>
        <w:t>E</w:t>
      </w:r>
      <w:r>
        <w:rPr>
          <w:rFonts w:ascii="宋体" w:hAnsi="宋体" w:cs="宋体" w:eastAsia="宋体" w:hint="default"/>
          <w:spacing w:val="-48"/>
        </w:rPr>
        <w:t> </w:t>
      </w:r>
      <w:r>
        <w:rPr/>
        <w:t>本已正式获得全军采购资格认证，正式被列入全军采购目录表，正式被纳入全军采 </w:t>
      </w:r>
      <w:r>
        <w:rPr>
          <w:spacing w:val="-4"/>
        </w:rPr>
        <w:t>购一揽子计划，其在“军工</w:t>
      </w:r>
      <w:r>
        <w:rPr>
          <w:rFonts w:ascii="宋体" w:hAnsi="宋体" w:cs="宋体" w:eastAsia="宋体" w:hint="default"/>
          <w:spacing w:val="-4"/>
        </w:rPr>
        <w:t>+</w:t>
      </w:r>
      <w:r>
        <w:rPr>
          <w:spacing w:val="-4"/>
        </w:rPr>
        <w:t>涉密”领域的领先地位进一步得到稳固。</w:t>
      </w:r>
      <w:r>
        <w:rPr>
          <w:rFonts w:ascii="宋体" w:hAnsi="宋体" w:cs="宋体" w:eastAsia="宋体" w:hint="default"/>
          <w:spacing w:val="-4"/>
        </w:rPr>
        <w:t>E</w:t>
      </w:r>
      <w:r>
        <w:rPr>
          <w:rFonts w:ascii="宋体" w:hAnsi="宋体" w:cs="宋体" w:eastAsia="宋体" w:hint="default"/>
          <w:spacing w:val="-53"/>
        </w:rPr>
        <w:t> </w:t>
      </w:r>
      <w:r>
        <w:rPr/>
        <w:t>人</w:t>
      </w:r>
      <w:r>
        <w:rPr>
          <w:spacing w:val="-53"/>
        </w:rPr>
        <w:t> </w:t>
      </w:r>
      <w:r>
        <w:rPr>
          <w:rFonts w:ascii="宋体" w:hAnsi="宋体" w:cs="宋体" w:eastAsia="宋体" w:hint="default"/>
        </w:rPr>
        <w:t>E</w:t>
      </w:r>
      <w:r>
        <w:rPr>
          <w:rFonts w:ascii="宋体" w:hAnsi="宋体" w:cs="宋体" w:eastAsia="宋体" w:hint="default"/>
          <w:spacing w:val="-53"/>
        </w:rPr>
        <w:t> </w:t>
      </w:r>
      <w:r>
        <w:rPr/>
        <w:t>本现已为</w:t>
      </w:r>
    </w:p>
    <w:p>
      <w:pPr>
        <w:spacing w:after="0" w:line="276" w:lineRule="auto"/>
        <w:jc w:val="both"/>
        <w:sectPr>
          <w:pgSz w:w="11910" w:h="16840"/>
          <w:pgMar w:header="0" w:footer="1193" w:top="780" w:bottom="1380" w:left="1660" w:right="1040"/>
        </w:sectPr>
      </w:pPr>
    </w:p>
    <w:p>
      <w:pPr>
        <w:spacing w:before="25"/>
        <w:ind w:left="120" w:right="232"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BodyText"/>
        <w:spacing w:line="276" w:lineRule="auto" w:before="26"/>
        <w:ind w:right="97"/>
        <w:jc w:val="left"/>
      </w:pPr>
      <w:r>
        <w:rPr>
          <w:spacing w:val="-2"/>
        </w:rPr>
        <w:t>党、政、军工、执法、教育、党建、金融等多个领域提供了移动信息化解决方案，在</w:t>
      </w:r>
      <w:r>
        <w:rPr>
          <w:spacing w:val="-99"/>
        </w:rPr>
        <w:t> </w:t>
      </w:r>
      <w:r>
        <w:rPr>
          <w:spacing w:val="-99"/>
        </w:rPr>
      </w:r>
      <w:r>
        <w:rPr/>
        <w:t>行业定制与移动政务方面积累了丰富的经验。</w:t>
      </w:r>
    </w:p>
    <w:p>
      <w:pPr>
        <w:spacing w:line="720" w:lineRule="exact" w:before="74"/>
        <w:ind w:left="618" w:right="97" w:hanging="48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pacing w:val="56"/>
          <w:sz w:val="24"/>
          <w:szCs w:val="24"/>
        </w:rPr>
        <w:t> </w:t>
      </w:r>
      <w:r>
        <w:rPr>
          <w:rFonts w:ascii="宋体" w:hAnsi="宋体" w:cs="宋体" w:eastAsia="宋体" w:hint="default"/>
          <w:b/>
          <w:bCs/>
          <w:sz w:val="24"/>
          <w:szCs w:val="24"/>
        </w:rPr>
        <w:t>知识内容与服务</w:t>
      </w:r>
      <w:r>
        <w:rPr>
          <w:rFonts w:ascii="宋体" w:hAnsi="宋体" w:cs="宋体" w:eastAsia="宋体" w:hint="default"/>
          <w:b/>
          <w:bCs/>
          <w:w w:val="99"/>
          <w:sz w:val="24"/>
          <w:szCs w:val="24"/>
        </w:rPr>
        <w:t> </w:t>
      </w:r>
      <w:r>
        <w:rPr>
          <w:rFonts w:ascii="宋体" w:hAnsi="宋体" w:cs="宋体" w:eastAsia="宋体" w:hint="default"/>
          <w:spacing w:val="-2"/>
          <w:sz w:val="24"/>
          <w:szCs w:val="24"/>
        </w:rPr>
        <w:t>在知识内容领域，公司持续深耕于大规模集成化数字出版、超大型中外知识资源</w:t>
      </w:r>
    </w:p>
    <w:p>
      <w:pPr>
        <w:pStyle w:val="BodyText"/>
        <w:spacing w:line="250" w:lineRule="exact"/>
        <w:ind w:right="97"/>
        <w:jc w:val="left"/>
      </w:pPr>
      <w:r>
        <w:rPr/>
        <w:t>数据库建设、海内外信息与知识服务，以及数字出版与知识管理技术的研发。报告期</w:t>
      </w:r>
    </w:p>
    <w:p>
      <w:pPr>
        <w:pStyle w:val="BodyText"/>
        <w:spacing w:line="276" w:lineRule="auto" w:before="46"/>
        <w:ind w:right="228"/>
        <w:jc w:val="both"/>
      </w:pPr>
      <w:r>
        <w:rPr>
          <w:spacing w:val="-2"/>
        </w:rPr>
        <w:t>内，公司推出了《高校科研成果统计分析与评价数据库》，为科研评估和学科发展规</w:t>
      </w:r>
      <w:r>
        <w:rPr>
          <w:spacing w:val="-94"/>
        </w:rPr>
        <w:t> </w:t>
      </w:r>
      <w:r>
        <w:rPr>
          <w:spacing w:val="-94"/>
        </w:rPr>
      </w:r>
      <w:r>
        <w:rPr>
          <w:spacing w:val="-2"/>
        </w:rPr>
        <w:t>划提供客观的数据参考和决策依据，进一步满足高校科研处、教育管理部门、高校科</w:t>
      </w:r>
      <w:r>
        <w:rPr>
          <w:spacing w:val="-96"/>
        </w:rPr>
        <w:t> </w:t>
      </w:r>
      <w:r>
        <w:rPr>
          <w:spacing w:val="-96"/>
        </w:rPr>
      </w:r>
      <w:r>
        <w:rPr>
          <w:spacing w:val="-2"/>
        </w:rPr>
        <w:t>研人员等的需要。与此同时，针对检察院决策、办案、研究、人才培养等核心业务的</w:t>
      </w:r>
      <w:r>
        <w:rPr>
          <w:spacing w:val="-96"/>
        </w:rPr>
        <w:t> </w:t>
      </w:r>
      <w:r>
        <w:rPr>
          <w:spacing w:val="-96"/>
        </w:rPr>
      </w:r>
      <w:r>
        <w:rPr>
          <w:spacing w:val="-2"/>
        </w:rPr>
        <w:t>最新需求，公司全面升级检察知识大数据建设和智慧应用解决方案，推出了《新一代</w:t>
      </w:r>
      <w:r>
        <w:rPr>
          <w:spacing w:val="-96"/>
        </w:rPr>
        <w:t> </w:t>
      </w:r>
      <w:r>
        <w:rPr>
          <w:spacing w:val="-96"/>
        </w:rPr>
      </w:r>
      <w:r>
        <w:rPr>
          <w:spacing w:val="-2"/>
        </w:rPr>
        <w:t>检察知识大数据融合应用平台》，该平台通过有效融合内外部知识、深度挖掘业务数</w:t>
      </w:r>
      <w:r>
        <w:rPr>
          <w:spacing w:val="-93"/>
        </w:rPr>
        <w:t> </w:t>
      </w:r>
      <w:r>
        <w:rPr>
          <w:spacing w:val="-93"/>
        </w:rPr>
      </w:r>
      <w:r>
        <w:rPr>
          <w:spacing w:val="-2"/>
        </w:rPr>
        <w:t>据的价值、建立知识图谱和决策模型来发现问题、分析问题和解决问题，能为检察系</w:t>
      </w:r>
      <w:r>
        <w:rPr>
          <w:spacing w:val="-97"/>
        </w:rPr>
        <w:t> </w:t>
      </w:r>
      <w:r>
        <w:rPr>
          <w:spacing w:val="-97"/>
        </w:rPr>
      </w:r>
      <w:r>
        <w:rPr>
          <w:spacing w:val="-2"/>
        </w:rPr>
        <w:t>统提质、增效、减负。报告期内，全国基层党建研究中心、北京先锋城市基层党建研</w:t>
      </w:r>
      <w:r>
        <w:rPr>
          <w:spacing w:val="-96"/>
        </w:rPr>
        <w:t> </w:t>
      </w:r>
      <w:r>
        <w:rPr>
          <w:spacing w:val="-96"/>
        </w:rPr>
      </w:r>
      <w:r>
        <w:rPr/>
        <w:t>究中心、新时代基层党建智库专家委员会与公司联合建设“党建智库共建单位”</w:t>
      </w:r>
      <w:r>
        <w:rPr>
          <w:rFonts w:ascii="宋体" w:hAnsi="宋体" w:cs="宋体" w:eastAsia="宋体" w:hint="default"/>
        </w:rPr>
        <w:t>,</w:t>
      </w:r>
      <w:r>
        <w:rPr/>
        <w:t>旨</w:t>
      </w:r>
      <w:r>
        <w:rPr>
          <w:spacing w:val="-56"/>
        </w:rPr>
        <w:t> </w:t>
      </w:r>
      <w:r>
        <w:rPr>
          <w:spacing w:val="-2"/>
        </w:rPr>
        <w:t>在建设党的高端智库，全面贯彻落实习近平新时代中国特色社会主义思想，助力党的</w:t>
      </w:r>
      <w:r>
        <w:rPr>
          <w:spacing w:val="-94"/>
        </w:rPr>
        <w:t> </w:t>
      </w:r>
      <w:r>
        <w:rPr>
          <w:spacing w:val="-94"/>
        </w:rPr>
      </w:r>
      <w:r>
        <w:rPr/>
        <w:t>事业更上一层楼。</w:t>
      </w:r>
    </w:p>
    <w:p>
      <w:pPr>
        <w:spacing w:line="240" w:lineRule="auto" w:before="4"/>
        <w:rPr>
          <w:rFonts w:ascii="宋体" w:hAnsi="宋体" w:cs="宋体" w:eastAsia="宋体" w:hint="default"/>
          <w:sz w:val="28"/>
          <w:szCs w:val="28"/>
        </w:rPr>
      </w:pPr>
    </w:p>
    <w:p>
      <w:pPr>
        <w:pStyle w:val="BodyText"/>
        <w:spacing w:line="276" w:lineRule="auto"/>
        <w:ind w:right="233" w:firstLine="479"/>
        <w:jc w:val="both"/>
      </w:pPr>
      <w:r>
        <w:rPr/>
        <w:t>在知识服务领域，公司将“互联网</w:t>
      </w:r>
      <w:r>
        <w:rPr>
          <w:rFonts w:ascii="宋体" w:hAnsi="宋体" w:cs="宋体" w:eastAsia="宋体" w:hint="default"/>
        </w:rPr>
        <w:t>+</w:t>
      </w:r>
      <w:r>
        <w:rPr/>
        <w:t>”机制引入创新驱动，打破传统创新管理机 </w:t>
      </w:r>
      <w:r>
        <w:rPr>
          <w:spacing w:val="-2"/>
        </w:rPr>
        <w:t>制与研究方式对创新水平和效率的制约，以知识大数据为支撑，以问题导向和目标导</w:t>
      </w:r>
      <w:r>
        <w:rPr>
          <w:spacing w:val="-94"/>
        </w:rPr>
        <w:t> </w:t>
      </w:r>
      <w:r>
        <w:rPr>
          <w:spacing w:val="-94"/>
        </w:rPr>
      </w:r>
      <w:r>
        <w:rPr>
          <w:spacing w:val="-2"/>
        </w:rPr>
        <w:t>向相结合，将外部知识与内脑智慧在协同创新过程中进行深度耦合，积极构建各类组</w:t>
      </w:r>
    </w:p>
    <w:p>
      <w:pPr>
        <w:pStyle w:val="BodyText"/>
        <w:spacing w:line="276" w:lineRule="auto" w:before="10"/>
        <w:ind w:right="97"/>
        <w:jc w:val="left"/>
      </w:pPr>
      <w:r>
        <w:rPr/>
        <w:t>织机构的网络化知识基础设施。自“一带一路”倡议提出以来，党政政策研究部门、</w:t>
      </w:r>
      <w:r>
        <w:rPr>
          <w:spacing w:val="-57"/>
        </w:rPr>
        <w:t> </w:t>
      </w:r>
      <w:r>
        <w:rPr>
          <w:spacing w:val="-57"/>
        </w:rPr>
      </w:r>
      <w:r>
        <w:rPr/>
        <w:t>党校、高校、社科院等机构先后成立了“一带一路”研究中心，围绕“一带一路”展</w:t>
      </w:r>
      <w:r>
        <w:rPr/>
        <w:t> 开综合调研和专题研究，为“一带一路”建设建言献策</w:t>
      </w:r>
      <w:r>
        <w:rPr>
          <w:rFonts w:ascii="宋体" w:hAnsi="宋体" w:cs="宋体" w:eastAsia="宋体" w:hint="default"/>
        </w:rPr>
        <w:t>,</w:t>
      </w:r>
      <w:r>
        <w:rPr>
          <w:rFonts w:ascii="宋体" w:hAnsi="宋体" w:cs="宋体" w:eastAsia="宋体" w:hint="default"/>
          <w:spacing w:val="-24"/>
        </w:rPr>
        <w:t> </w:t>
      </w:r>
      <w:r>
        <w:rPr/>
        <w:t>为满足国内“一带一路”研 究需求，公司紧密结合“一带一路”发展趋势和研究热点，在报告期内推出“中国知 网一带一路基础知识资源库”，构建中外文立体知识网络，全面助力“一带一路”知 识资源建设。报告期内，公司还与重庆市渝北区人民检察院签署了战略合作协议</w:t>
      </w:r>
      <w:r>
        <w:rPr>
          <w:rFonts w:ascii="宋体" w:hAnsi="宋体" w:cs="宋体" w:eastAsia="宋体" w:hint="default"/>
        </w:rPr>
        <w:t>,</w:t>
      </w:r>
      <w:r>
        <w:rPr>
          <w:rFonts w:ascii="宋体" w:hAnsi="宋体" w:cs="宋体" w:eastAsia="宋体" w:hint="default"/>
          <w:spacing w:val="-23"/>
        </w:rPr>
        <w:t> </w:t>
      </w:r>
      <w:r>
        <w:rPr/>
        <w:t>公 司将与渝北区人民检察院共同打造“重庆市渝北区人民检察院数字图书馆”，通过整</w:t>
      </w:r>
    </w:p>
    <w:p>
      <w:pPr>
        <w:pStyle w:val="BodyText"/>
        <w:spacing w:line="276" w:lineRule="auto" w:before="10"/>
        <w:ind w:right="97"/>
        <w:jc w:val="left"/>
      </w:pPr>
      <w:r>
        <w:rPr/>
        <w:t>合各种形式的各级检察院产出的权威法律信息、资源数据、互联网信息，利用整合、</w:t>
      </w:r>
      <w:r>
        <w:rPr>
          <w:spacing w:val="-57"/>
        </w:rPr>
        <w:t> </w:t>
      </w:r>
      <w:r>
        <w:rPr>
          <w:spacing w:val="-57"/>
        </w:rPr>
      </w:r>
      <w:r>
        <w:rPr/>
        <w:t>碎片化、数据挖掘等信息技术，打造检察院大数据中心，助力检察院信息化建设。</w:t>
      </w:r>
    </w:p>
    <w:p>
      <w:pPr>
        <w:spacing w:line="240" w:lineRule="auto" w:before="4"/>
        <w:rPr>
          <w:rFonts w:ascii="宋体" w:hAnsi="宋体" w:cs="宋体" w:eastAsia="宋体" w:hint="default"/>
          <w:sz w:val="28"/>
          <w:szCs w:val="28"/>
        </w:rPr>
      </w:pPr>
    </w:p>
    <w:p>
      <w:pPr>
        <w:pStyle w:val="Heading2"/>
        <w:tabs>
          <w:tab w:pos="977" w:val="left" w:leader="none"/>
        </w:tabs>
        <w:spacing w:line="240" w:lineRule="auto"/>
        <w:ind w:right="97"/>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云计算与大数据</w:t>
      </w:r>
      <w:r>
        <w:rPr>
          <w:b w:val="0"/>
          <w:bCs w:val="0"/>
        </w:rPr>
      </w:r>
    </w:p>
    <w:p>
      <w:pPr>
        <w:spacing w:line="240" w:lineRule="auto" w:before="0"/>
        <w:rPr>
          <w:rFonts w:ascii="宋体" w:hAnsi="宋体" w:cs="宋体" w:eastAsia="宋体" w:hint="default"/>
          <w:b/>
          <w:bCs/>
          <w:sz w:val="31"/>
          <w:szCs w:val="31"/>
        </w:rPr>
      </w:pPr>
    </w:p>
    <w:p>
      <w:pPr>
        <w:pStyle w:val="BodyText"/>
        <w:spacing w:line="276" w:lineRule="auto"/>
        <w:ind w:right="232" w:firstLine="479"/>
        <w:jc w:val="both"/>
      </w:pPr>
      <w:r>
        <w:rPr>
          <w:rFonts w:ascii="宋体" w:hAnsi="宋体" w:cs="宋体" w:eastAsia="宋体" w:hint="default"/>
        </w:rPr>
        <w:t>2018</w:t>
      </w:r>
      <w:r>
        <w:rPr>
          <w:rFonts w:ascii="宋体" w:hAnsi="宋体" w:cs="宋体" w:eastAsia="宋体" w:hint="default"/>
          <w:spacing w:val="-48"/>
        </w:rPr>
        <w:t> </w:t>
      </w:r>
      <w:r>
        <w:rPr/>
        <w:t>年，我国积极进一步深化供给侧结构性改革，全面推进“互联网</w:t>
      </w:r>
      <w:r>
        <w:rPr>
          <w:rFonts w:ascii="宋体" w:hAnsi="宋体" w:cs="宋体" w:eastAsia="宋体" w:hint="default"/>
        </w:rPr>
        <w:t>+</w:t>
      </w:r>
      <w:r>
        <w:rPr/>
        <w:t>”，运用 </w:t>
      </w:r>
      <w:r>
        <w:rPr>
          <w:spacing w:val="-2"/>
        </w:rPr>
        <w:t>新技术新模式改造传统产业，建设公平普惠、便捷高效的民生服务体系，也为大数据</w:t>
      </w:r>
      <w:r>
        <w:rPr>
          <w:spacing w:val="-95"/>
        </w:rPr>
        <w:t> </w:t>
      </w:r>
      <w:r>
        <w:rPr>
          <w:spacing w:val="-95"/>
        </w:rPr>
      </w:r>
      <w:r>
        <w:rPr/>
        <w:t>产业创造了广阔的市场空间。习近平总书记在中央政治局就实施网络强国第 </w:t>
      </w:r>
      <w:r>
        <w:rPr>
          <w:rFonts w:ascii="宋体" w:hAnsi="宋体" w:cs="宋体" w:eastAsia="宋体" w:hint="default"/>
        </w:rPr>
        <w:t>36</w:t>
      </w:r>
      <w:r>
        <w:rPr>
          <w:rFonts w:ascii="宋体" w:hAnsi="宋体" w:cs="宋体" w:eastAsia="宋体" w:hint="default"/>
          <w:spacing w:val="-47"/>
        </w:rPr>
        <w:t> </w:t>
      </w:r>
      <w:r>
        <w:rPr/>
        <w:t>次集 </w:t>
      </w:r>
      <w:r>
        <w:rPr>
          <w:spacing w:val="-2"/>
        </w:rPr>
        <w:t>体学习时的讲话中强调：“要深刻认识互联网在国家管理和社会治理中的作用，以推</w:t>
      </w:r>
      <w:r>
        <w:rPr>
          <w:spacing w:val="-95"/>
        </w:rPr>
        <w:t> </w:t>
      </w:r>
      <w:r>
        <w:rPr>
          <w:spacing w:val="-95"/>
        </w:rPr>
      </w:r>
      <w:r>
        <w:rPr>
          <w:spacing w:val="-2"/>
        </w:rPr>
        <w:t>行电子政务、建设新型智慧城市等为抓手，以数据集中和共享为途径，建设全国一体</w:t>
      </w:r>
    </w:p>
    <w:p>
      <w:pPr>
        <w:spacing w:after="0" w:line="276" w:lineRule="auto"/>
        <w:jc w:val="both"/>
        <w:sectPr>
          <w:pgSz w:w="11910" w:h="16840"/>
          <w:pgMar w:header="0" w:footer="1193" w:top="780" w:bottom="1380" w:left="1660" w:right="1040"/>
        </w:sectPr>
      </w:pPr>
    </w:p>
    <w:p>
      <w:pPr>
        <w:spacing w:before="25"/>
        <w:ind w:left="120" w:right="232"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BodyText"/>
        <w:spacing w:line="276" w:lineRule="auto" w:before="26"/>
        <w:ind w:right="97"/>
        <w:jc w:val="left"/>
      </w:pPr>
      <w:r>
        <w:rPr/>
        <w:t>化的国家大数据中心，推进技术融合、业务融合、数据融合，实现跨层级、跨地域、</w:t>
      </w:r>
      <w:r>
        <w:rPr>
          <w:spacing w:val="-57"/>
        </w:rPr>
        <w:t> </w:t>
      </w:r>
      <w:r>
        <w:rPr>
          <w:spacing w:val="-57"/>
        </w:rPr>
      </w:r>
      <w:r>
        <w:rPr/>
        <w:t>跨系统、跨部门、跨业务的协同管理和服务”。工信部发布的《大数据产业发展规划</w:t>
      </w:r>
    </w:p>
    <w:p>
      <w:pPr>
        <w:pStyle w:val="BodyText"/>
        <w:spacing w:line="276" w:lineRule="auto" w:before="10"/>
        <w:ind w:right="234"/>
        <w:jc w:val="both"/>
      </w:pPr>
      <w:r>
        <w:rPr>
          <w:spacing w:val="-1"/>
        </w:rPr>
        <w:t>（</w:t>
      </w:r>
      <w:r>
        <w:rPr>
          <w:rFonts w:ascii="宋体" w:hAnsi="宋体" w:cs="宋体" w:eastAsia="宋体" w:hint="default"/>
          <w:spacing w:val="-1"/>
        </w:rPr>
        <w:t>2016</w:t>
      </w:r>
      <w:r>
        <w:rPr>
          <w:spacing w:val="-1"/>
        </w:rPr>
        <w:t>－</w:t>
      </w:r>
      <w:r>
        <w:rPr>
          <w:rFonts w:ascii="宋体" w:hAnsi="宋体" w:cs="宋体" w:eastAsia="宋体" w:hint="default"/>
          <w:spacing w:val="-1"/>
        </w:rPr>
        <w:t>2020</w:t>
      </w:r>
      <w:r>
        <w:rPr>
          <w:rFonts w:ascii="宋体" w:hAnsi="宋体" w:cs="宋体" w:eastAsia="宋体" w:hint="default"/>
          <w:spacing w:val="-52"/>
        </w:rPr>
        <w:t> </w:t>
      </w:r>
      <w:r>
        <w:rPr>
          <w:spacing w:val="-11"/>
        </w:rPr>
        <w:t>年）》，也进一步明确了大数据成为塑造国家竞争力的战略制高点之一，</w:t>
      </w:r>
      <w:r>
        <w:rPr/>
        <w:t> </w:t>
      </w:r>
      <w:r>
        <w:rPr>
          <w:spacing w:val="-2"/>
        </w:rPr>
        <w:t>大数据驱动信息产业格局加速变革，创新发展面临难得机遇。大数据、云计算、人工</w:t>
      </w:r>
      <w:r>
        <w:rPr>
          <w:spacing w:val="-94"/>
        </w:rPr>
        <w:t> </w:t>
      </w:r>
      <w:r>
        <w:rPr>
          <w:spacing w:val="-94"/>
        </w:rPr>
      </w:r>
      <w:r>
        <w:rPr/>
        <w:t>智能等新经济代表产业也正在以核心底层技术的角色融入各个行业。</w:t>
      </w:r>
    </w:p>
    <w:p>
      <w:pPr>
        <w:spacing w:line="240" w:lineRule="auto" w:before="4"/>
        <w:rPr>
          <w:rFonts w:ascii="宋体" w:hAnsi="宋体" w:cs="宋体" w:eastAsia="宋体" w:hint="default"/>
          <w:sz w:val="28"/>
          <w:szCs w:val="28"/>
        </w:rPr>
      </w:pPr>
    </w:p>
    <w:p>
      <w:pPr>
        <w:pStyle w:val="BodyText"/>
        <w:spacing w:line="276" w:lineRule="auto"/>
        <w:ind w:right="233" w:firstLine="479"/>
        <w:jc w:val="both"/>
      </w:pPr>
      <w:r>
        <w:rPr>
          <w:spacing w:val="-2"/>
        </w:rPr>
        <w:t>在云计算产业方面，公司致力于面向教育、政府、金融、军工等行业市场提供安</w:t>
      </w:r>
      <w:r>
        <w:rPr/>
        <w:t> </w:t>
      </w:r>
      <w:r>
        <w:rPr>
          <w:spacing w:val="-2"/>
        </w:rPr>
        <w:t>全、自主可控的云计算综合解决方案，成为面向行业市场的安全云计算综合解决方案</w:t>
      </w:r>
      <w:r>
        <w:rPr>
          <w:spacing w:val="-94"/>
        </w:rPr>
        <w:t> </w:t>
      </w:r>
      <w:r>
        <w:rPr>
          <w:spacing w:val="-94"/>
        </w:rPr>
      </w:r>
      <w:r>
        <w:rPr/>
        <w:t>与服务提供商。目前，同方云计算系列产品和解决方案，覆盖 </w:t>
      </w:r>
      <w:r>
        <w:rPr>
          <w:rFonts w:ascii="宋体" w:hAnsi="宋体" w:cs="宋体" w:eastAsia="宋体" w:hint="default"/>
        </w:rPr>
        <w:t>IT</w:t>
      </w:r>
      <w:r>
        <w:rPr>
          <w:rFonts w:ascii="宋体" w:hAnsi="宋体" w:cs="宋体" w:eastAsia="宋体" w:hint="default"/>
          <w:spacing w:val="-48"/>
        </w:rPr>
        <w:t> </w:t>
      </w:r>
      <w:r>
        <w:rPr/>
        <w:t>建设全栈，从基础</w:t>
      </w:r>
    </w:p>
    <w:p>
      <w:pPr>
        <w:pStyle w:val="BodyText"/>
        <w:spacing w:line="276" w:lineRule="auto" w:before="10"/>
        <w:ind w:right="97"/>
        <w:jc w:val="left"/>
      </w:pPr>
      <w:r>
        <w:rPr/>
        <w:t>环境建设、硬件设备，到云平台操作系统，再到存储、大数据、云安全产品与方案，</w:t>
      </w:r>
      <w:r>
        <w:rPr>
          <w:spacing w:val="-57"/>
        </w:rPr>
        <w:t> </w:t>
      </w:r>
      <w:r>
        <w:rPr>
          <w:spacing w:val="-57"/>
        </w:rPr>
      </w:r>
      <w:r>
        <w:rPr/>
        <w:t>直至深入到各个行业的行业云和应用，提供端到端的云计算解决方案一站式服务。报</w:t>
      </w:r>
      <w:r>
        <w:rPr/>
        <w:t> </w:t>
      </w:r>
      <w:r>
        <w:rPr>
          <w:spacing w:val="-8"/>
        </w:rPr>
        <w:t>告期内，同方有云通过了工信部多项严格的资质审查及考核，获得了工信部颁布的《中</w:t>
      </w:r>
      <w:r>
        <w:rPr>
          <w:spacing w:val="-104"/>
        </w:rPr>
        <w:t> </w:t>
      </w:r>
      <w:r>
        <w:rPr>
          <w:spacing w:val="-104"/>
        </w:rPr>
      </w:r>
      <w:r>
        <w:rPr/>
        <w:t>华人民共和国增值电信业务经营许可证》。与此同时，同方有云被 </w:t>
      </w:r>
      <w:r>
        <w:rPr>
          <w:rFonts w:ascii="宋体" w:hAnsi="宋体" w:cs="宋体" w:eastAsia="宋体" w:hint="default"/>
        </w:rPr>
        <w:t>CMMI</w:t>
      </w:r>
      <w:r>
        <w:rPr>
          <w:rFonts w:ascii="宋体" w:hAnsi="宋体" w:cs="宋体" w:eastAsia="宋体" w:hint="default"/>
          <w:spacing w:val="-48"/>
        </w:rPr>
        <w:t> </w:t>
      </w:r>
      <w:r>
        <w:rPr/>
        <w:t>权威认证团 队授予国际软件行业最高标准的</w:t>
      </w:r>
      <w:r>
        <w:rPr>
          <w:spacing w:val="-60"/>
        </w:rPr>
        <w:t> </w:t>
      </w:r>
      <w:r>
        <w:rPr>
          <w:rFonts w:ascii="宋体" w:hAnsi="宋体" w:cs="宋体" w:eastAsia="宋体" w:hint="default"/>
        </w:rPr>
        <w:t>CMMI</w:t>
      </w:r>
      <w:r>
        <w:rPr>
          <w:rFonts w:ascii="宋体" w:hAnsi="宋体" w:cs="宋体" w:eastAsia="宋体" w:hint="default"/>
          <w:spacing w:val="-60"/>
        </w:rPr>
        <w:t> </w:t>
      </w:r>
      <w:r>
        <w:rPr/>
        <w:t>证书。</w:t>
      </w:r>
    </w:p>
    <w:p>
      <w:pPr>
        <w:spacing w:line="240" w:lineRule="auto" w:before="4"/>
        <w:rPr>
          <w:rFonts w:ascii="宋体" w:hAnsi="宋体" w:cs="宋体" w:eastAsia="宋体" w:hint="default"/>
          <w:sz w:val="28"/>
          <w:szCs w:val="28"/>
        </w:rPr>
      </w:pPr>
    </w:p>
    <w:p>
      <w:pPr>
        <w:pStyle w:val="BodyText"/>
        <w:spacing w:line="276" w:lineRule="auto"/>
        <w:ind w:right="231" w:firstLine="479"/>
        <w:jc w:val="both"/>
      </w:pPr>
      <w:r>
        <w:rPr>
          <w:spacing w:val="-2"/>
        </w:rPr>
        <w:t>在大数据产业方面，公司积极响应国家政策号召，以打造“适应多目标科学决策</w:t>
      </w:r>
      <w:r>
        <w:rPr/>
        <w:t> </w:t>
      </w:r>
      <w:r>
        <w:rPr>
          <w:spacing w:val="-2"/>
        </w:rPr>
        <w:t>需要的社会管理形态数据资源”的大数据为发展战略，立足公司现有产品体系，融合</w:t>
      </w:r>
      <w:r>
        <w:rPr>
          <w:spacing w:val="-96"/>
        </w:rPr>
        <w:t> </w:t>
      </w:r>
      <w:r>
        <w:rPr>
          <w:spacing w:val="-96"/>
        </w:rPr>
      </w:r>
      <w:r>
        <w:rPr>
          <w:spacing w:val="-2"/>
        </w:rPr>
        <w:t>人工智能、知识图谱、机器学习等新技术，不断丰富完善同方大数据产品体系，提高</w:t>
      </w:r>
      <w:r>
        <w:rPr>
          <w:spacing w:val="-94"/>
        </w:rPr>
        <w:t> </w:t>
      </w:r>
      <w:r>
        <w:rPr>
          <w:spacing w:val="-94"/>
        </w:rPr>
      </w:r>
      <w:r>
        <w:rPr>
          <w:spacing w:val="-2"/>
        </w:rPr>
        <w:t>分析服务能力。报告期内，公司作为唯一参与国家四经普试点工作的软件企业，中标</w:t>
      </w:r>
      <w:r>
        <w:rPr>
          <w:spacing w:val="-96"/>
        </w:rPr>
        <w:t> </w:t>
      </w:r>
      <w:r>
        <w:rPr>
          <w:spacing w:val="-96"/>
        </w:rPr>
      </w:r>
      <w:r>
        <w:rPr>
          <w:spacing w:val="-2"/>
        </w:rPr>
        <w:t>国家统计局“四经普”手持移动端数据采集软件开发服务项目。公司提出了“数据工</w:t>
      </w:r>
      <w:r>
        <w:rPr>
          <w:spacing w:val="-95"/>
        </w:rPr>
        <w:t> </w:t>
      </w:r>
      <w:r>
        <w:rPr>
          <w:spacing w:val="-95"/>
        </w:rPr>
      </w:r>
      <w:r>
        <w:rPr>
          <w:spacing w:val="-2"/>
        </w:rPr>
        <w:t>厂化”的概念，并开发出特有的“移动终端数据采集软件生产平台”，将移动终端应</w:t>
      </w:r>
      <w:r>
        <w:rPr>
          <w:spacing w:val="-96"/>
        </w:rPr>
        <w:t> </w:t>
      </w:r>
      <w:r>
        <w:rPr>
          <w:spacing w:val="-96"/>
        </w:rPr>
      </w:r>
      <w:r>
        <w:rPr>
          <w:spacing w:val="-2"/>
        </w:rPr>
        <w:t>用的开发向“自动化、流水线化”的工业化方向进行转变，高速构建“四经普”数据</w:t>
      </w:r>
      <w:r>
        <w:rPr>
          <w:spacing w:val="-97"/>
        </w:rPr>
        <w:t> </w:t>
      </w:r>
      <w:r>
        <w:rPr>
          <w:spacing w:val="-97"/>
        </w:rPr>
      </w:r>
      <w:r>
        <w:rPr>
          <w:spacing w:val="-2"/>
        </w:rPr>
        <w:t>清查和数据普查软件，保障移动终端数据采集的顺利实施。报告期内，公司还与山东</w:t>
      </w:r>
      <w:r>
        <w:rPr>
          <w:spacing w:val="-96"/>
        </w:rPr>
        <w:t> </w:t>
      </w:r>
      <w:r>
        <w:rPr>
          <w:spacing w:val="-96"/>
        </w:rPr>
      </w:r>
      <w:r>
        <w:rPr>
          <w:spacing w:val="-2"/>
        </w:rPr>
        <w:t>省发改委信息中心签署了战略合作协议，公司将利用自身“三位一体”科学决策体系</w:t>
      </w:r>
      <w:r>
        <w:rPr>
          <w:spacing w:val="-96"/>
        </w:rPr>
        <w:t> </w:t>
      </w:r>
      <w:r>
        <w:rPr>
          <w:spacing w:val="-96"/>
        </w:rPr>
      </w:r>
      <w:r>
        <w:rPr>
          <w:spacing w:val="-5"/>
        </w:rPr>
        <w:t>理念先进、产品体系完善的优势，完善山东省发改委信息中心科学决策支撑服务能力</w:t>
      </w:r>
      <w:r>
        <w:rPr>
          <w:rFonts w:ascii="宋体" w:hAnsi="宋体" w:cs="宋体" w:eastAsia="宋体" w:hint="default"/>
          <w:spacing w:val="-5"/>
        </w:rPr>
        <w:t>,</w:t>
      </w:r>
      <w:r>
        <w:rPr>
          <w:rFonts w:ascii="宋体" w:hAnsi="宋体" w:cs="宋体" w:eastAsia="宋体" w:hint="default"/>
          <w:spacing w:val="-97"/>
        </w:rPr>
        <w:t> </w:t>
      </w:r>
      <w:r>
        <w:rPr/>
        <w:t>促进山东省发改委科学决策水平的提升。</w:t>
      </w:r>
    </w:p>
    <w:p>
      <w:pPr>
        <w:spacing w:line="240" w:lineRule="auto" w:before="4"/>
        <w:rPr>
          <w:rFonts w:ascii="宋体" w:hAnsi="宋体" w:cs="宋体" w:eastAsia="宋体" w:hint="default"/>
          <w:sz w:val="28"/>
          <w:szCs w:val="28"/>
        </w:rPr>
      </w:pPr>
    </w:p>
    <w:p>
      <w:pPr>
        <w:pStyle w:val="Heading2"/>
        <w:tabs>
          <w:tab w:pos="977" w:val="left" w:leader="none"/>
        </w:tabs>
        <w:spacing w:line="240" w:lineRule="auto"/>
        <w:ind w:right="97"/>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公共安全</w:t>
      </w:r>
      <w:r>
        <w:rPr>
          <w:b w:val="0"/>
          <w:bCs w:val="0"/>
        </w:rPr>
      </w:r>
    </w:p>
    <w:p>
      <w:pPr>
        <w:spacing w:line="240" w:lineRule="auto" w:before="0"/>
        <w:rPr>
          <w:rFonts w:ascii="宋体" w:hAnsi="宋体" w:cs="宋体" w:eastAsia="宋体" w:hint="default"/>
          <w:b/>
          <w:bCs/>
          <w:sz w:val="31"/>
          <w:szCs w:val="31"/>
        </w:rPr>
      </w:pPr>
    </w:p>
    <w:p>
      <w:pPr>
        <w:pStyle w:val="BodyText"/>
        <w:spacing w:line="276" w:lineRule="auto"/>
        <w:ind w:right="232" w:firstLine="479"/>
        <w:jc w:val="both"/>
      </w:pPr>
      <w:r>
        <w:rPr>
          <w:rFonts w:ascii="宋体" w:hAnsi="宋体" w:cs="宋体" w:eastAsia="宋体" w:hint="default"/>
        </w:rPr>
        <w:t>2018</w:t>
      </w:r>
      <w:r>
        <w:rPr>
          <w:rFonts w:ascii="宋体" w:hAnsi="宋体" w:cs="宋体" w:eastAsia="宋体" w:hint="default"/>
          <w:spacing w:val="-40"/>
        </w:rPr>
        <w:t> </w:t>
      </w:r>
      <w:r>
        <w:rPr>
          <w:spacing w:val="-4"/>
        </w:rPr>
        <w:t>年，世界正在发生前所未有的深刻变革，目前全球安全形势复杂多变，非传</w:t>
      </w:r>
      <w:r>
        <w:rPr/>
        <w:t> </w:t>
      </w:r>
      <w:r>
        <w:rPr>
          <w:spacing w:val="-2"/>
        </w:rPr>
        <w:t>统安全威胁和全球性挑战持续蔓延。面临诸多难题和共同挑战，公司把握国际严峻的</w:t>
      </w:r>
      <w:r>
        <w:rPr>
          <w:spacing w:val="-94"/>
        </w:rPr>
        <w:t> </w:t>
      </w:r>
      <w:r>
        <w:rPr>
          <w:spacing w:val="-94"/>
        </w:rPr>
      </w:r>
      <w:r>
        <w:rPr>
          <w:spacing w:val="-2"/>
        </w:rPr>
        <w:t>反恐形势为安防产业带来的超常规发展机遇，立足安防系统和军工及装备两大业务领</w:t>
      </w:r>
      <w:r>
        <w:rPr>
          <w:spacing w:val="-94"/>
        </w:rPr>
        <w:t> </w:t>
      </w:r>
      <w:r>
        <w:rPr>
          <w:spacing w:val="-94"/>
        </w:rPr>
      </w:r>
      <w:r>
        <w:rPr>
          <w:spacing w:val="-8"/>
        </w:rPr>
        <w:t>域，依托关键器件制造和相关软件的自主可控核心技术，不断打造“大安全”产业链。</w:t>
      </w:r>
    </w:p>
    <w:p>
      <w:pPr>
        <w:spacing w:line="240" w:lineRule="auto" w:before="4"/>
        <w:rPr>
          <w:rFonts w:ascii="宋体" w:hAnsi="宋体" w:cs="宋体" w:eastAsia="宋体" w:hint="default"/>
          <w:sz w:val="28"/>
          <w:szCs w:val="28"/>
        </w:rPr>
      </w:pPr>
    </w:p>
    <w:p>
      <w:pPr>
        <w:pStyle w:val="Heading2"/>
        <w:spacing w:line="240" w:lineRule="auto"/>
        <w:ind w:right="97"/>
        <w:jc w:val="left"/>
        <w:rPr>
          <w:b w:val="0"/>
          <w:bCs w:val="0"/>
        </w:rPr>
      </w:pPr>
      <w:r>
        <w:rPr>
          <w:rFonts w:ascii="宋体" w:hAnsi="宋体" w:cs="宋体" w:eastAsia="宋体" w:hint="default"/>
        </w:rPr>
        <w:t>1)</w:t>
      </w:r>
      <w:r>
        <w:rPr>
          <w:rFonts w:ascii="宋体" w:hAnsi="宋体" w:cs="宋体" w:eastAsia="宋体" w:hint="default"/>
          <w:spacing w:val="56"/>
        </w:rPr>
        <w:t> </w:t>
      </w:r>
      <w:r>
        <w:rPr/>
        <w:t>安防系统</w:t>
      </w:r>
      <w:r>
        <w:rPr>
          <w:b w:val="0"/>
          <w:bCs w:val="0"/>
        </w:rPr>
      </w:r>
    </w:p>
    <w:p>
      <w:pPr>
        <w:spacing w:line="240" w:lineRule="auto" w:before="1"/>
        <w:rPr>
          <w:rFonts w:ascii="宋体" w:hAnsi="宋体" w:cs="宋体" w:eastAsia="宋体" w:hint="default"/>
          <w:b/>
          <w:bCs/>
          <w:sz w:val="31"/>
          <w:szCs w:val="31"/>
        </w:rPr>
      </w:pPr>
    </w:p>
    <w:p>
      <w:pPr>
        <w:pStyle w:val="BodyText"/>
        <w:spacing w:line="276" w:lineRule="auto"/>
        <w:ind w:right="232" w:firstLine="479"/>
        <w:jc w:val="both"/>
      </w:pPr>
      <w:r>
        <w:rPr>
          <w:spacing w:val="-2"/>
        </w:rPr>
        <w:t>在安防系统领域，公司积极把握行业机遇，坚持创新驱动，在安全智能化领域持</w:t>
      </w:r>
      <w:r>
        <w:rPr/>
        <w:t> </w:t>
      </w:r>
      <w:r>
        <w:rPr>
          <w:spacing w:val="-2"/>
        </w:rPr>
        <w:t>续进行研发投入，实现了行业市场份额的进一步增长。报告期内，公司推出了定位于</w:t>
      </w:r>
    </w:p>
    <w:p>
      <w:pPr>
        <w:spacing w:after="0" w:line="276" w:lineRule="auto"/>
        <w:jc w:val="both"/>
        <w:sectPr>
          <w:footerReference w:type="default" r:id="rId12"/>
          <w:pgSz w:w="11910" w:h="16840"/>
          <w:pgMar w:footer="1193" w:header="0" w:top="780" w:bottom="1380" w:left="1660" w:right="1040"/>
          <w:pgNumType w:start="18"/>
        </w:sectPr>
      </w:pPr>
    </w:p>
    <w:p>
      <w:pPr>
        <w:spacing w:before="25"/>
        <w:ind w:left="120" w:right="232"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BodyText"/>
        <w:spacing w:line="276" w:lineRule="auto" w:before="26"/>
        <w:ind w:right="230"/>
        <w:jc w:val="both"/>
        <w:rPr>
          <w:rFonts w:ascii="宋体" w:hAnsi="宋体" w:cs="宋体" w:eastAsia="宋体" w:hint="default"/>
        </w:rPr>
      </w:pPr>
      <w:r>
        <w:rPr>
          <w:spacing w:val="-2"/>
        </w:rPr>
        <w:t>高端民航旅检通道的全新人体安检门——毫米波全息成像人体安全检查仪，并获得中</w:t>
      </w:r>
      <w:r>
        <w:rPr>
          <w:spacing w:val="-94"/>
        </w:rPr>
        <w:t> </w:t>
      </w:r>
      <w:r>
        <w:rPr>
          <w:spacing w:val="-94"/>
        </w:rPr>
      </w:r>
      <w:r>
        <w:rPr/>
        <w:t>国民航局</w:t>
      </w:r>
      <w:r>
        <w:rPr>
          <w:spacing w:val="-47"/>
        </w:rPr>
        <w:t> </w:t>
      </w:r>
      <w:r>
        <w:rPr>
          <w:rFonts w:ascii="宋体" w:hAnsi="宋体" w:cs="宋体" w:eastAsia="宋体" w:hint="default"/>
        </w:rPr>
        <w:t>A</w:t>
      </w:r>
      <w:r>
        <w:rPr>
          <w:rFonts w:ascii="宋体" w:hAnsi="宋体" w:cs="宋体" w:eastAsia="宋体" w:hint="default"/>
          <w:spacing w:val="-46"/>
        </w:rPr>
        <w:t> </w:t>
      </w:r>
      <w:r>
        <w:rPr>
          <w:spacing w:val="-6"/>
        </w:rPr>
        <w:t>级许可证书。这种新型安检方式将改变传统的“只查金属</w:t>
      </w:r>
      <w:r>
        <w:rPr>
          <w:rFonts w:ascii="宋体" w:hAnsi="宋体" w:cs="宋体" w:eastAsia="宋体" w:hint="default"/>
          <w:spacing w:val="-6"/>
        </w:rPr>
        <w:t>+</w:t>
      </w:r>
      <w:r>
        <w:rPr>
          <w:spacing w:val="-6"/>
        </w:rPr>
        <w:t>全面人工搜身”</w:t>
      </w:r>
      <w:r>
        <w:rPr>
          <w:spacing w:val="-118"/>
        </w:rPr>
        <w:t> </w:t>
      </w:r>
      <w:r>
        <w:rPr>
          <w:spacing w:val="-4"/>
        </w:rPr>
        <w:t>的人体安检模式，一步跨越到“全面查验</w:t>
      </w:r>
      <w:r>
        <w:rPr>
          <w:rFonts w:ascii="宋体" w:hAnsi="宋体" w:cs="宋体" w:eastAsia="宋体" w:hint="default"/>
          <w:spacing w:val="-4"/>
        </w:rPr>
        <w:t>+</w:t>
      </w:r>
      <w:r>
        <w:rPr>
          <w:spacing w:val="-4"/>
        </w:rPr>
        <w:t>自动报警辅助搜身”的人体安检</w:t>
      </w:r>
      <w:r>
        <w:rPr>
          <w:spacing w:val="-79"/>
        </w:rPr>
        <w:t> </w:t>
      </w:r>
      <w:r>
        <w:rPr>
          <w:rFonts w:ascii="宋体" w:hAnsi="宋体" w:cs="宋体" w:eastAsia="宋体" w:hint="default"/>
        </w:rPr>
        <w:t>2.0</w:t>
      </w:r>
      <w:r>
        <w:rPr>
          <w:rFonts w:ascii="宋体" w:hAnsi="宋体" w:cs="宋体" w:eastAsia="宋体" w:hint="default"/>
          <w:spacing w:val="-79"/>
        </w:rPr>
        <w:t> </w:t>
      </w:r>
      <w:r>
        <w:rPr/>
        <w:t>时代。 </w:t>
      </w:r>
      <w:r>
        <w:rPr>
          <w:spacing w:val="-2"/>
        </w:rPr>
        <w:t>这一产品已通过欧洲民航委员会人体安检仪的最高标准认证。目前，全球范围内仅有</w:t>
      </w:r>
      <w:r>
        <w:rPr>
          <w:spacing w:val="-94"/>
        </w:rPr>
        <w:t> </w:t>
      </w:r>
      <w:r>
        <w:rPr>
          <w:spacing w:val="-94"/>
        </w:rPr>
      </w:r>
      <w:r>
        <w:rPr>
          <w:rFonts w:ascii="宋体" w:hAnsi="宋体" w:cs="宋体" w:eastAsia="宋体" w:hint="default"/>
        </w:rPr>
        <w:t>4</w:t>
      </w:r>
      <w:r>
        <w:rPr>
          <w:rFonts w:ascii="宋体" w:hAnsi="宋体" w:cs="宋体" w:eastAsia="宋体" w:hint="default"/>
          <w:spacing w:val="-51"/>
        </w:rPr>
        <w:t> </w:t>
      </w:r>
      <w:r>
        <w:rPr>
          <w:spacing w:val="-6"/>
        </w:rPr>
        <w:t>家企业通过了该项难度极大的专业认证，也是中国唯一通过该权威认证的产品。</w:t>
      </w:r>
      <w:r>
        <w:rPr>
          <w:rFonts w:ascii="宋体" w:hAnsi="宋体" w:cs="宋体" w:eastAsia="宋体" w:hint="default"/>
          <w:spacing w:val="-6"/>
        </w:rPr>
        <w:t>2018</w:t>
      </w:r>
    </w:p>
    <w:p>
      <w:pPr>
        <w:pStyle w:val="BodyText"/>
        <w:spacing w:line="276" w:lineRule="auto" w:before="10"/>
        <w:ind w:right="230"/>
        <w:jc w:val="both"/>
      </w:pPr>
      <w:r>
        <w:rPr/>
        <w:t>年</w:t>
      </w:r>
      <w:r>
        <w:rPr>
          <w:spacing w:val="-73"/>
        </w:rPr>
        <w:t> </w:t>
      </w:r>
      <w:r>
        <w:rPr>
          <w:rFonts w:ascii="宋体" w:hAnsi="宋体" w:cs="宋体" w:eastAsia="宋体" w:hint="default"/>
        </w:rPr>
        <w:t>10</w:t>
      </w:r>
      <w:r>
        <w:rPr>
          <w:rFonts w:ascii="宋体" w:hAnsi="宋体" w:cs="宋体" w:eastAsia="宋体" w:hint="default"/>
          <w:spacing w:val="-72"/>
        </w:rPr>
        <w:t> </w:t>
      </w:r>
      <w:r>
        <w:rPr/>
        <w:t>月，被称为“世纪工程”的港珠澳大桥在历经</w:t>
      </w:r>
      <w:r>
        <w:rPr>
          <w:spacing w:val="-71"/>
        </w:rPr>
        <w:t> </w:t>
      </w:r>
      <w:r>
        <w:rPr>
          <w:rFonts w:ascii="宋体" w:hAnsi="宋体" w:cs="宋体" w:eastAsia="宋体" w:hint="default"/>
        </w:rPr>
        <w:t>14</w:t>
      </w:r>
      <w:r>
        <w:rPr>
          <w:rFonts w:ascii="宋体" w:hAnsi="宋体" w:cs="宋体" w:eastAsia="宋体" w:hint="default"/>
          <w:spacing w:val="-72"/>
        </w:rPr>
        <w:t> </w:t>
      </w:r>
      <w:r>
        <w:rPr/>
        <w:t>年的设计、建设后正式通车运 </w:t>
      </w:r>
      <w:r>
        <w:rPr>
          <w:spacing w:val="-2"/>
        </w:rPr>
        <w:t>营。在港珠澳大桥项目中，公司携手珠海拱北海关，开发智慧旅检新模式，为港珠澳</w:t>
      </w:r>
      <w:r>
        <w:rPr>
          <w:spacing w:val="-94"/>
        </w:rPr>
        <w:t> </w:t>
      </w:r>
      <w:r>
        <w:rPr>
          <w:spacing w:val="-94"/>
        </w:rPr>
      </w:r>
      <w:r>
        <w:rPr>
          <w:spacing w:val="-2"/>
        </w:rPr>
        <w:t>大桥专门设计了陆路口岸整体解决方案。通过一年多的研究开发，公司提供了与大桥</w:t>
      </w:r>
      <w:r>
        <w:rPr>
          <w:spacing w:val="-94"/>
        </w:rPr>
        <w:t> </w:t>
      </w:r>
      <w:r>
        <w:rPr>
          <w:spacing w:val="-94"/>
        </w:rPr>
      </w:r>
      <w:r>
        <w:rPr>
          <w:spacing w:val="-2"/>
        </w:rPr>
        <w:t>配套的“智能化”旅检整体解决方案，以高新技术和智能设备应用为支撑，成功打造</w:t>
      </w:r>
      <w:r>
        <w:rPr>
          <w:spacing w:val="-94"/>
        </w:rPr>
        <w:t> </w:t>
      </w:r>
      <w:r>
        <w:rPr>
          <w:spacing w:val="-94"/>
        </w:rPr>
      </w:r>
      <w:r>
        <w:rPr>
          <w:spacing w:val="-2"/>
        </w:rPr>
        <w:t>了以“隐蔽式”“非侵入”和“顺势监管”为主要特征的新型查验机制，探索建立海</w:t>
      </w:r>
      <w:r>
        <w:rPr>
          <w:spacing w:val="-97"/>
        </w:rPr>
        <w:t> </w:t>
      </w:r>
      <w:r>
        <w:rPr>
          <w:spacing w:val="-97"/>
        </w:rPr>
      </w:r>
      <w:r>
        <w:rPr>
          <w:spacing w:val="-2"/>
        </w:rPr>
        <w:t>关监管更加严密高效、现场作业更加规范智能、旅客通关更加安全便利的智能旅检监</w:t>
      </w:r>
      <w:r>
        <w:rPr>
          <w:spacing w:val="-94"/>
        </w:rPr>
        <w:t> </w:t>
      </w:r>
      <w:r>
        <w:rPr>
          <w:spacing w:val="-94"/>
        </w:rPr>
      </w:r>
      <w:r>
        <w:rPr>
          <w:spacing w:val="-2"/>
        </w:rPr>
        <w:t>管新模式，得到海关总署及拱北海关的高度认可。报告期内，公司提供的安检设备和</w:t>
      </w:r>
      <w:r>
        <w:rPr>
          <w:spacing w:val="-92"/>
        </w:rPr>
        <w:t> </w:t>
      </w:r>
      <w:r>
        <w:rPr>
          <w:spacing w:val="-92"/>
        </w:rPr>
      </w:r>
      <w:r>
        <w:rPr>
          <w:spacing w:val="-2"/>
        </w:rPr>
        <w:t>方案还顺利完成了全国“两会”、博鳌亚洲论坛、南海海上阅兵、上合组织峰会、</w:t>
      </w:r>
      <w:r>
        <w:rPr>
          <w:rFonts w:ascii="宋体" w:hAnsi="宋体" w:cs="宋体" w:eastAsia="宋体" w:hint="default"/>
          <w:spacing w:val="-2"/>
        </w:rPr>
        <w:t>G7</w:t>
      </w:r>
      <w:r>
        <w:rPr>
          <w:rFonts w:ascii="宋体" w:hAnsi="宋体" w:cs="宋体" w:eastAsia="宋体" w:hint="default"/>
          <w:spacing w:val="-93"/>
        </w:rPr>
        <w:t> </w:t>
      </w:r>
      <w:r>
        <w:rPr/>
        <w:t>首脑峰会、中非合作论坛及美洲峰会等重大活动的保驾护航。</w:t>
      </w:r>
    </w:p>
    <w:p>
      <w:pPr>
        <w:spacing w:line="720" w:lineRule="exact" w:before="74"/>
        <w:ind w:left="618" w:right="97" w:hanging="48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pacing w:val="56"/>
          <w:sz w:val="24"/>
          <w:szCs w:val="24"/>
        </w:rPr>
        <w:t> </w:t>
      </w:r>
      <w:r>
        <w:rPr>
          <w:rFonts w:ascii="宋体" w:hAnsi="宋体" w:cs="宋体" w:eastAsia="宋体" w:hint="default"/>
          <w:b/>
          <w:bCs/>
          <w:sz w:val="24"/>
          <w:szCs w:val="24"/>
        </w:rPr>
        <w:t>军工及装备</w:t>
      </w:r>
      <w:r>
        <w:rPr>
          <w:rFonts w:ascii="宋体" w:hAnsi="宋体" w:cs="宋体" w:eastAsia="宋体" w:hint="default"/>
          <w:b/>
          <w:bCs/>
          <w:w w:val="99"/>
          <w:sz w:val="24"/>
          <w:szCs w:val="24"/>
        </w:rPr>
        <w:t> </w:t>
      </w:r>
      <w:r>
        <w:rPr>
          <w:rFonts w:ascii="宋体" w:hAnsi="宋体" w:cs="宋体" w:eastAsia="宋体" w:hint="default"/>
          <w:spacing w:val="-2"/>
          <w:sz w:val="24"/>
          <w:szCs w:val="24"/>
        </w:rPr>
        <w:t>党的十九大以来，推动新时代深度军民融合已上升为一项国家战略，我国政府积</w:t>
      </w:r>
    </w:p>
    <w:p>
      <w:pPr>
        <w:pStyle w:val="BodyText"/>
        <w:spacing w:line="250" w:lineRule="exact"/>
        <w:ind w:right="0"/>
        <w:jc w:val="both"/>
      </w:pPr>
      <w:r>
        <w:rPr/>
        <w:t>极推进全方位、多领域、深层次的军民融合，加快构建一体化国家战略体系和能力，</w:t>
      </w:r>
    </w:p>
    <w:p>
      <w:pPr>
        <w:pStyle w:val="BodyText"/>
        <w:spacing w:line="276" w:lineRule="auto" w:before="46"/>
        <w:ind w:right="232"/>
        <w:jc w:val="both"/>
      </w:pPr>
      <w:r>
        <w:rPr>
          <w:spacing w:val="-2"/>
        </w:rPr>
        <w:t>面对军民融合进一步深化带来的黄金发展期，公司坚持以自主核心技术为基础的新型</w:t>
      </w:r>
      <w:r>
        <w:rPr>
          <w:spacing w:val="-94"/>
        </w:rPr>
        <w:t> </w:t>
      </w:r>
      <w:r>
        <w:rPr>
          <w:spacing w:val="-94"/>
        </w:rPr>
      </w:r>
      <w:r>
        <w:rPr>
          <w:spacing w:val="-2"/>
        </w:rPr>
        <w:t>军工产业发展策略，以高端通信装备、指控装备与军民融合、卫星通信导航与地面应</w:t>
      </w:r>
      <w:r>
        <w:rPr>
          <w:spacing w:val="-94"/>
        </w:rPr>
        <w:t> </w:t>
      </w:r>
      <w:r>
        <w:rPr>
          <w:spacing w:val="-94"/>
        </w:rPr>
      </w:r>
      <w:r>
        <w:rPr>
          <w:spacing w:val="-2"/>
        </w:rPr>
        <w:t>用、船舶制造等主要业务板块为核心。与此同时，公司积极贯彻国家军民融合发展战</w:t>
      </w:r>
      <w:r>
        <w:rPr>
          <w:spacing w:val="-94"/>
        </w:rPr>
        <w:t> </w:t>
      </w:r>
      <w:r>
        <w:rPr>
          <w:spacing w:val="-94"/>
        </w:rPr>
      </w:r>
      <w:r>
        <w:rPr>
          <w:spacing w:val="-2"/>
        </w:rPr>
        <w:t>略，围绕军用和民用两个市场，立足清华大学等学校和科研机构的先进激光技术，以</w:t>
      </w:r>
      <w:r>
        <w:rPr>
          <w:spacing w:val="-96"/>
        </w:rPr>
        <w:t> </w:t>
      </w:r>
      <w:r>
        <w:rPr>
          <w:spacing w:val="-96"/>
        </w:rPr>
      </w:r>
      <w:r>
        <w:rPr>
          <w:spacing w:val="-2"/>
        </w:rPr>
        <w:t>自主可控的核心技术，提供高功率激光器及其应用整机产品，并坚持创新驱动，努力</w:t>
      </w:r>
      <w:r>
        <w:rPr>
          <w:spacing w:val="-96"/>
        </w:rPr>
        <w:t> </w:t>
      </w:r>
      <w:r>
        <w:rPr>
          <w:spacing w:val="-96"/>
        </w:rPr>
      </w:r>
      <w:r>
        <w:rPr/>
        <w:t>探索各类先进激光器及其应用整机的研发。</w:t>
      </w:r>
    </w:p>
    <w:p>
      <w:pPr>
        <w:spacing w:line="240" w:lineRule="auto" w:before="4"/>
        <w:rPr>
          <w:rFonts w:ascii="宋体" w:hAnsi="宋体" w:cs="宋体" w:eastAsia="宋体" w:hint="default"/>
          <w:sz w:val="28"/>
          <w:szCs w:val="28"/>
        </w:rPr>
      </w:pPr>
    </w:p>
    <w:p>
      <w:pPr>
        <w:pStyle w:val="BodyText"/>
        <w:spacing w:line="276" w:lineRule="auto"/>
        <w:ind w:right="98" w:firstLine="479"/>
        <w:jc w:val="left"/>
      </w:pPr>
      <w:r>
        <w:rPr>
          <w:rFonts w:ascii="宋体" w:hAnsi="宋体" w:cs="宋体" w:eastAsia="宋体" w:hint="default"/>
        </w:rPr>
        <w:t>2018</w:t>
      </w:r>
      <w:r>
        <w:rPr>
          <w:rFonts w:ascii="宋体" w:hAnsi="宋体" w:cs="宋体" w:eastAsia="宋体" w:hint="default"/>
          <w:spacing w:val="-52"/>
        </w:rPr>
        <w:t> </w:t>
      </w:r>
      <w:r>
        <w:rPr>
          <w:spacing w:val="-4"/>
        </w:rPr>
        <w:t>年，随着我国经济快速发展和对外开放不断扩大，国家战略利益和战略空间</w:t>
      </w:r>
      <w:r>
        <w:rPr/>
        <w:t> </w:t>
      </w:r>
      <w:r>
        <w:rPr>
          <w:spacing w:val="-5"/>
        </w:rPr>
        <w:t>不断向海洋拓展和延伸，习近平总书记在党的十九大报告中明确要求“坚持陆海统筹，</w:t>
      </w:r>
      <w:r>
        <w:rPr>
          <w:spacing w:val="-98"/>
        </w:rPr>
        <w:t> </w:t>
      </w:r>
      <w:r>
        <w:rPr>
          <w:spacing w:val="-98"/>
        </w:rPr>
      </w:r>
      <w:r>
        <w:rPr/>
        <w:t>加快建设海洋强国”，公司紧跟国家战略需求，抓住海洋强国战略契机，深入推进海</w:t>
      </w:r>
      <w:r>
        <w:rPr/>
        <w:t> 洋防务产业布局，以“实业为本、创新驱动”为发展战略，积极推动“三海”（船舶 工业、海军装备、海洋开发）领域的技术、产品研发和项目合作。报告期内，公司建 造的千吨级海洋工程试验母船</w:t>
      </w:r>
      <w:r>
        <w:rPr>
          <w:spacing w:val="-52"/>
        </w:rPr>
        <w:t> </w:t>
      </w:r>
      <w:r>
        <w:rPr/>
        <w:t>“清研海试</w:t>
      </w:r>
      <w:r>
        <w:rPr>
          <w:spacing w:val="-60"/>
        </w:rPr>
        <w:t> </w:t>
      </w:r>
      <w:r>
        <w:rPr>
          <w:spacing w:val="-3"/>
        </w:rPr>
        <w:t>1”号船成功建造并完工交付，填补了我国</w:t>
      </w:r>
      <w:r>
        <w:rPr/>
        <w:t> 目前深海海洋工程装备海上试验的空白。报告期内，由公司为长江电力股份有限公司 </w:t>
      </w:r>
      <w:r>
        <w:rPr>
          <w:spacing w:val="-14"/>
        </w:rPr>
        <w:t>建造的“长电工程船</w:t>
      </w:r>
      <w:r>
        <w:rPr>
          <w:spacing w:val="-82"/>
        </w:rPr>
        <w:t> </w:t>
      </w:r>
      <w:r>
        <w:rPr>
          <w:rFonts w:ascii="宋体" w:hAnsi="宋体" w:cs="宋体" w:eastAsia="宋体" w:hint="default"/>
        </w:rPr>
        <w:t>1</w:t>
      </w:r>
      <w:r>
        <w:rPr>
          <w:rFonts w:ascii="宋体" w:hAnsi="宋体" w:cs="宋体" w:eastAsia="宋体" w:hint="default"/>
          <w:spacing w:val="-82"/>
        </w:rPr>
        <w:t> </w:t>
      </w:r>
      <w:r>
        <w:rPr/>
        <w:t>号”在湖北宜昌长江电力检修厂正式交付并顺利通过最终验收， 填补了公司在电力工程船建造领域的空白，为公司产品结构调整和特色船舶经营再添 “新丁”。</w:t>
      </w:r>
    </w:p>
    <w:p>
      <w:pPr>
        <w:spacing w:after="0" w:line="276" w:lineRule="auto"/>
        <w:jc w:val="left"/>
        <w:sectPr>
          <w:pgSz w:w="11910" w:h="16840"/>
          <w:pgMar w:header="0" w:footer="1193" w:top="780" w:bottom="1380" w:left="1660" w:right="1040"/>
        </w:sectPr>
      </w:pPr>
    </w:p>
    <w:p>
      <w:pPr>
        <w:spacing w:before="25"/>
        <w:ind w:left="3793" w:right="402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Heading2"/>
        <w:spacing w:line="240" w:lineRule="auto" w:before="26"/>
        <w:ind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13"/>
        </w:rPr>
        <w:t> </w:t>
      </w:r>
      <w:r>
        <w:rPr/>
        <w:t>节能环保</w:t>
      </w:r>
      <w:r>
        <w:rPr>
          <w:b w:val="0"/>
          <w:bCs w:val="0"/>
        </w:rPr>
      </w:r>
    </w:p>
    <w:p>
      <w:pPr>
        <w:spacing w:line="240" w:lineRule="auto" w:before="0"/>
        <w:rPr>
          <w:rFonts w:ascii="宋体" w:hAnsi="宋体" w:cs="宋体" w:eastAsia="宋体" w:hint="default"/>
          <w:b/>
          <w:bCs/>
          <w:sz w:val="31"/>
          <w:szCs w:val="31"/>
        </w:rPr>
      </w:pPr>
    </w:p>
    <w:p>
      <w:pPr>
        <w:pStyle w:val="BodyText"/>
        <w:spacing w:line="276" w:lineRule="auto"/>
        <w:ind w:right="348" w:firstLine="479"/>
        <w:jc w:val="both"/>
      </w:pPr>
      <w:r>
        <w:rPr>
          <w:spacing w:val="-2"/>
        </w:rPr>
        <w:t>在十九大“构建市场导向的绿色技术创新体系，发展绿色金融，壮大节能环保产</w:t>
      </w:r>
      <w:r>
        <w:rPr/>
        <w:t> </w:t>
      </w:r>
      <w:r>
        <w:rPr>
          <w:spacing w:val="-5"/>
        </w:rPr>
        <w:t>业、清洁生产产业、清洁能源产业”的指引下，</w:t>
      </w:r>
      <w:r>
        <w:rPr>
          <w:rFonts w:ascii="宋体" w:hAnsi="宋体" w:cs="宋体" w:eastAsia="宋体" w:hint="default"/>
          <w:spacing w:val="-5"/>
        </w:rPr>
        <w:t>2018</w:t>
      </w:r>
      <w:r>
        <w:rPr>
          <w:rFonts w:ascii="宋体" w:hAnsi="宋体" w:cs="宋体" w:eastAsia="宋体" w:hint="default"/>
          <w:spacing w:val="-45"/>
        </w:rPr>
        <w:t> </w:t>
      </w:r>
      <w:r>
        <w:rPr/>
        <w:t>年我国生态文明建设取得明显成</w:t>
      </w:r>
      <w:r>
        <w:rPr>
          <w:spacing w:val="-118"/>
        </w:rPr>
        <w:t> </w:t>
      </w:r>
      <w:r>
        <w:rPr>
          <w:spacing w:val="-2"/>
        </w:rPr>
        <w:t>效的同时，政府再次强调要加强污染防治和生态建设，大力推动绿色发展，持续推进</w:t>
      </w:r>
      <w:r>
        <w:rPr>
          <w:spacing w:val="-95"/>
        </w:rPr>
        <w:t> </w:t>
      </w:r>
      <w:r>
        <w:rPr>
          <w:spacing w:val="-95"/>
        </w:rPr>
      </w:r>
      <w:r>
        <w:rPr>
          <w:spacing w:val="-2"/>
        </w:rPr>
        <w:t>污染防治、壮大绿色环保产业，加强生态系统保护修复，节能环保产业已从国家战略</w:t>
      </w:r>
      <w:r>
        <w:rPr>
          <w:spacing w:val="-94"/>
        </w:rPr>
        <w:t> </w:t>
      </w:r>
      <w:r>
        <w:rPr>
          <w:spacing w:val="-94"/>
        </w:rPr>
      </w:r>
      <w:r>
        <w:rPr>
          <w:spacing w:val="-2"/>
        </w:rPr>
        <w:t>性新兴产业上升到国民经济新的支柱体。公司面临的发展机遇前所未有，挑战也前所</w:t>
      </w:r>
      <w:r>
        <w:rPr>
          <w:spacing w:val="-94"/>
        </w:rPr>
        <w:t> </w:t>
      </w:r>
      <w:r>
        <w:rPr>
          <w:spacing w:val="-94"/>
        </w:rPr>
      </w:r>
      <w:r>
        <w:rPr>
          <w:spacing w:val="-2"/>
        </w:rPr>
        <w:t>未有。为此，公司充分把握政策利好，致力于城市能源管理、智慧节能服务，持续加</w:t>
      </w:r>
      <w:r>
        <w:rPr>
          <w:spacing w:val="-96"/>
        </w:rPr>
        <w:t> </w:t>
      </w:r>
      <w:r>
        <w:rPr>
          <w:spacing w:val="-96"/>
        </w:rPr>
      </w:r>
      <w:r>
        <w:rPr/>
        <w:t>速城市综合节能服务与技术创新，以“互联网</w:t>
      </w:r>
      <w:r>
        <w:rPr>
          <w:rFonts w:ascii="宋体" w:hAnsi="宋体" w:cs="宋体" w:eastAsia="宋体" w:hint="default"/>
        </w:rPr>
        <w:t>+</w:t>
      </w:r>
      <w:r>
        <w:rPr/>
        <w:t>能源”为技术手段，结合云平台，通</w:t>
      </w:r>
      <w:r>
        <w:rPr>
          <w:spacing w:val="-57"/>
        </w:rPr>
        <w:t> </w:t>
      </w:r>
      <w:r>
        <w:rPr>
          <w:spacing w:val="-57"/>
        </w:rPr>
      </w:r>
      <w:r>
        <w:rPr/>
        <w:t>过开展</w:t>
      </w:r>
      <w:r>
        <w:rPr>
          <w:spacing w:val="-83"/>
        </w:rPr>
        <w:t> </w:t>
      </w:r>
      <w:r>
        <w:rPr>
          <w:rFonts w:ascii="宋体" w:hAnsi="宋体" w:cs="宋体" w:eastAsia="宋体" w:hint="default"/>
        </w:rPr>
        <w:t>EMC\BOT</w:t>
      </w:r>
      <w:r>
        <w:rPr>
          <w:rFonts w:ascii="宋体" w:hAnsi="宋体" w:cs="宋体" w:eastAsia="宋体" w:hint="default"/>
          <w:spacing w:val="-82"/>
        </w:rPr>
        <w:t> </w:t>
      </w:r>
      <w:r>
        <w:rPr/>
        <w:t>投资合作业务</w:t>
      </w:r>
      <w:r>
        <w:rPr>
          <w:rFonts w:ascii="宋体" w:hAnsi="宋体" w:cs="宋体" w:eastAsia="宋体" w:hint="default"/>
        </w:rPr>
        <w:t>,</w:t>
      </w:r>
      <w:r>
        <w:rPr/>
        <w:t>在“供热节能”与“制冷节能”两方面</w:t>
      </w:r>
      <w:r>
        <w:rPr>
          <w:rFonts w:ascii="宋体" w:hAnsi="宋体" w:cs="宋体" w:eastAsia="宋体" w:hint="default"/>
        </w:rPr>
        <w:t>,</w:t>
      </w:r>
      <w:r>
        <w:rPr/>
        <w:t>为城市提供城 市能源管控、综合清洁能源等专业化的解决方案。并依托以</w:t>
      </w:r>
      <w:r>
        <w:rPr>
          <w:spacing w:val="-82"/>
        </w:rPr>
        <w:t> </w:t>
      </w:r>
      <w:r>
        <w:rPr>
          <w:rFonts w:ascii="宋体" w:hAnsi="宋体" w:cs="宋体" w:eastAsia="宋体" w:hint="default"/>
        </w:rPr>
        <w:t>LED</w:t>
      </w:r>
      <w:r>
        <w:rPr>
          <w:rFonts w:ascii="宋体" w:hAnsi="宋体" w:cs="宋体" w:eastAsia="宋体" w:hint="default"/>
          <w:spacing w:val="-82"/>
        </w:rPr>
        <w:t> </w:t>
      </w:r>
      <w:r>
        <w:rPr/>
        <w:t>装饰灯为主体的城市 </w:t>
      </w:r>
      <w:r>
        <w:rPr>
          <w:spacing w:val="-2"/>
        </w:rPr>
        <w:t>景观亮化、节日庆典装饰等方面的解决方案，坚持为客户提供更多专业化、订制化的</w:t>
      </w:r>
      <w:r>
        <w:rPr>
          <w:spacing w:val="-96"/>
        </w:rPr>
        <w:t> </w:t>
      </w:r>
      <w:r>
        <w:rPr>
          <w:spacing w:val="-96"/>
        </w:rPr>
      </w:r>
      <w:r>
        <w:rPr/>
        <w:t>节能优化策略，运营管理方案和综合服务。</w:t>
      </w:r>
    </w:p>
    <w:p>
      <w:pPr>
        <w:spacing w:line="720" w:lineRule="exact" w:before="74"/>
        <w:ind w:left="618" w:right="216" w:hanging="480"/>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pacing w:val="55"/>
          <w:sz w:val="24"/>
          <w:szCs w:val="24"/>
        </w:rPr>
        <w:t> </w:t>
      </w:r>
      <w:r>
        <w:rPr>
          <w:rFonts w:ascii="宋体" w:hAnsi="宋体" w:cs="宋体" w:eastAsia="宋体" w:hint="default"/>
          <w:b/>
          <w:bCs/>
          <w:sz w:val="24"/>
          <w:szCs w:val="24"/>
        </w:rPr>
        <w:t>城市节能及智慧化</w:t>
      </w:r>
      <w:r>
        <w:rPr>
          <w:rFonts w:ascii="宋体" w:hAnsi="宋体" w:cs="宋体" w:eastAsia="宋体" w:hint="default"/>
          <w:b/>
          <w:bCs/>
          <w:w w:val="99"/>
          <w:sz w:val="24"/>
          <w:szCs w:val="24"/>
        </w:rPr>
        <w:t> </w:t>
      </w:r>
      <w:r>
        <w:rPr>
          <w:rFonts w:ascii="宋体" w:hAnsi="宋体" w:cs="宋体" w:eastAsia="宋体" w:hint="default"/>
          <w:spacing w:val="-2"/>
          <w:sz w:val="24"/>
          <w:szCs w:val="24"/>
        </w:rPr>
        <w:t>当前，随着中国经济的快速发展，我国城镇化建设已大踏步迈入“智能化”的新</w:t>
      </w:r>
    </w:p>
    <w:p>
      <w:pPr>
        <w:pStyle w:val="BodyText"/>
        <w:spacing w:line="250" w:lineRule="exact"/>
        <w:ind w:right="0"/>
        <w:jc w:val="both"/>
      </w:pPr>
      <w:r>
        <w:rPr/>
        <w:t>时代，城市节能领域亦呈现出科技化、智能化、生态化的高速发展趋势，这为建筑节</w:t>
      </w:r>
    </w:p>
    <w:p>
      <w:pPr>
        <w:pStyle w:val="BodyText"/>
        <w:spacing w:line="276" w:lineRule="auto" w:before="46"/>
        <w:ind w:right="351"/>
        <w:jc w:val="both"/>
      </w:pPr>
      <w:r>
        <w:rPr>
          <w:spacing w:val="-2"/>
        </w:rPr>
        <w:t>能及智慧化服务创造了巨大的市场利好环境。“十三五”规划指出，绿色低碳的生态</w:t>
      </w:r>
      <w:r>
        <w:rPr>
          <w:spacing w:val="-94"/>
        </w:rPr>
        <w:t> </w:t>
      </w:r>
      <w:r>
        <w:rPr>
          <w:spacing w:val="-94"/>
        </w:rPr>
      </w:r>
      <w:r>
        <w:rPr>
          <w:spacing w:val="-2"/>
        </w:rPr>
        <w:t>型城市是中国城市的发展方向，要大力发展高效节能产业，支持节能服务产业做大做</w:t>
      </w:r>
      <w:r>
        <w:rPr>
          <w:spacing w:val="-94"/>
        </w:rPr>
        <w:t> </w:t>
      </w:r>
      <w:r>
        <w:rPr>
          <w:spacing w:val="-94"/>
        </w:rPr>
      </w:r>
      <w:r>
        <w:rPr>
          <w:spacing w:val="-2"/>
        </w:rPr>
        <w:t>强，公司把握市场机遇，专注城市大型公共建筑节能运行技术、产品应用研究和节能</w:t>
      </w:r>
      <w:r>
        <w:rPr>
          <w:spacing w:val="-94"/>
        </w:rPr>
        <w:t> </w:t>
      </w:r>
      <w:r>
        <w:rPr>
          <w:spacing w:val="-94"/>
        </w:rPr>
      </w:r>
      <w:r>
        <w:rPr>
          <w:spacing w:val="-2"/>
        </w:rPr>
        <w:t>改造实施，利用自身在建筑节能方面的大数据优势，以“绿色、开放、可持续”作为</w:t>
      </w:r>
      <w:r>
        <w:rPr>
          <w:spacing w:val="-97"/>
        </w:rPr>
        <w:t> </w:t>
      </w:r>
      <w:r>
        <w:rPr>
          <w:spacing w:val="-97"/>
        </w:rPr>
      </w:r>
      <w:r>
        <w:rPr>
          <w:spacing w:val="-2"/>
        </w:rPr>
        <w:t>高性能绿色建筑新标准，从整体设计、运营维护和行为节能三个维度综合考量，为客</w:t>
      </w:r>
      <w:r>
        <w:rPr>
          <w:spacing w:val="-95"/>
        </w:rPr>
        <w:t> </w:t>
      </w:r>
      <w:r>
        <w:rPr>
          <w:spacing w:val="-95"/>
        </w:rPr>
      </w:r>
      <w:r>
        <w:rPr/>
        <w:t>户提供建筑节能的整体服务，实现合理、高效、舒适、节能的目标。</w:t>
      </w:r>
    </w:p>
    <w:p>
      <w:pPr>
        <w:spacing w:line="240" w:lineRule="auto" w:before="4"/>
        <w:rPr>
          <w:rFonts w:ascii="宋体" w:hAnsi="宋体" w:cs="宋体" w:eastAsia="宋体" w:hint="default"/>
          <w:sz w:val="28"/>
          <w:szCs w:val="28"/>
        </w:rPr>
      </w:pPr>
    </w:p>
    <w:p>
      <w:pPr>
        <w:pStyle w:val="BodyText"/>
        <w:spacing w:line="276" w:lineRule="auto"/>
        <w:ind w:right="216" w:firstLine="479"/>
        <w:jc w:val="left"/>
      </w:pPr>
      <w:r>
        <w:rPr/>
        <w:t>在智能建筑领域，公司以引领行业发展为己任，多年来技术与服务稳步提升，多 领域解决方案能力不断增强，树立了多个行业经典工程。公司依托全自主知识产权的 </w:t>
      </w:r>
      <w:r>
        <w:rPr>
          <w:rFonts w:ascii="宋体" w:hAnsi="宋体" w:cs="宋体" w:eastAsia="宋体" w:hint="default"/>
        </w:rPr>
        <w:t>E</w:t>
      </w:r>
      <w:r>
        <w:rPr>
          <w:rFonts w:ascii="宋体" w:hAnsi="宋体" w:cs="宋体" w:eastAsia="宋体" w:hint="default"/>
          <w:spacing w:val="-48"/>
        </w:rPr>
        <w:t> </w:t>
      </w:r>
      <w:r>
        <w:rPr/>
        <w:t>系列节能产品，以互联网思维整合传统节能设备、系统与服务，为客户提供绿色建 </w:t>
      </w:r>
      <w:r>
        <w:rPr>
          <w:spacing w:val="-5"/>
        </w:rPr>
        <w:t>筑全生命周期能源管理解决方案，让管理者切实掌控建筑能耗及运营状况。报告期内，</w:t>
      </w:r>
      <w:r>
        <w:rPr>
          <w:spacing w:val="-99"/>
        </w:rPr>
        <w:t> </w:t>
      </w:r>
      <w:r>
        <w:rPr>
          <w:spacing w:val="-99"/>
        </w:rPr>
      </w:r>
      <w:r>
        <w:rPr/>
        <w:t>公司签约京东集团，联手打造西安智慧化物流总部智能化项目，将为西安京东物流总</w:t>
      </w:r>
      <w:r>
        <w:rPr/>
        <w:t> 部提供的解决方案，助力其减少能源消耗及运营成本，提高管理效率。公司还先后签 约重庆奥园城市天地项目、重庆市第七人民医院医疗环境智慧化项目、青岛市红岛国 际展览中心项目及厦门工业中心集成化管理项目等多个工程项目。</w:t>
      </w:r>
    </w:p>
    <w:p>
      <w:pPr>
        <w:spacing w:line="240" w:lineRule="auto" w:before="4"/>
        <w:rPr>
          <w:rFonts w:ascii="宋体" w:hAnsi="宋体" w:cs="宋体" w:eastAsia="宋体" w:hint="default"/>
          <w:sz w:val="28"/>
          <w:szCs w:val="28"/>
        </w:rPr>
      </w:pPr>
    </w:p>
    <w:p>
      <w:pPr>
        <w:pStyle w:val="BodyText"/>
        <w:spacing w:line="276" w:lineRule="auto"/>
        <w:ind w:right="0" w:firstLine="479"/>
        <w:jc w:val="left"/>
        <w:rPr>
          <w:rFonts w:ascii="宋体" w:hAnsi="宋体" w:cs="宋体" w:eastAsia="宋体" w:hint="default"/>
        </w:rPr>
      </w:pPr>
      <w:r>
        <w:rPr>
          <w:spacing w:val="-2"/>
        </w:rPr>
        <w:t>在轨道交通智能化领域，公司依托在轨道交通智能化领域的雄厚技术及项目积累，</w:t>
      </w:r>
      <w:r>
        <w:rPr/>
        <w:t> 推出了“控制创新</w:t>
      </w:r>
      <w:r>
        <w:rPr>
          <w:rFonts w:ascii="宋体" w:hAnsi="宋体" w:cs="宋体" w:eastAsia="宋体" w:hint="default"/>
        </w:rPr>
        <w:t>+</w:t>
      </w:r>
      <w:r>
        <w:rPr/>
        <w:t>管理创新</w:t>
      </w:r>
      <w:r>
        <w:rPr>
          <w:rFonts w:ascii="宋体" w:hAnsi="宋体" w:cs="宋体" w:eastAsia="宋体" w:hint="default"/>
        </w:rPr>
        <w:t>+</w:t>
      </w:r>
      <w:r>
        <w:rPr/>
        <w:t>设备创新</w:t>
      </w:r>
      <w:r>
        <w:rPr>
          <w:rFonts w:ascii="宋体" w:hAnsi="宋体" w:cs="宋体" w:eastAsia="宋体" w:hint="default"/>
        </w:rPr>
        <w:t>+</w:t>
      </w:r>
      <w:r>
        <w:rPr/>
        <w:t>服务创新”的全周期地铁节能解决方案，助</w:t>
      </w:r>
      <w:r>
        <w:rPr>
          <w:spacing w:val="-58"/>
        </w:rPr>
        <w:t> </w:t>
      </w:r>
      <w:r>
        <w:rPr>
          <w:spacing w:val="-58"/>
        </w:rPr>
      </w:r>
      <w:r>
        <w:rPr>
          <w:spacing w:val="-5"/>
        </w:rPr>
        <w:t>力城市轨道交通行业应用从传统自动化、信息化向网络化、智能化和智慧化全面推进。</w:t>
      </w:r>
      <w:r>
        <w:rPr>
          <w:spacing w:val="-98"/>
        </w:rPr>
        <w:t> </w:t>
      </w:r>
      <w:r>
        <w:rPr>
          <w:spacing w:val="-98"/>
        </w:rPr>
      </w:r>
      <w:r>
        <w:rPr/>
        <w:t>报告期内，公司凭借在轨道交通综合监控行业的创新技术和经验积累，在青岛地铁</w:t>
      </w:r>
      <w:r>
        <w:rPr>
          <w:spacing w:val="-48"/>
        </w:rPr>
        <w:t> </w:t>
      </w:r>
      <w:r>
        <w:rPr>
          <w:rFonts w:ascii="宋体" w:hAnsi="宋体" w:cs="宋体" w:eastAsia="宋体" w:hint="default"/>
        </w:rPr>
        <w:t>3</w:t>
      </w:r>
    </w:p>
    <w:p>
      <w:pPr>
        <w:spacing w:after="0" w:line="276" w:lineRule="auto"/>
        <w:jc w:val="left"/>
        <w:rPr>
          <w:rFonts w:ascii="宋体" w:hAnsi="宋体" w:cs="宋体" w:eastAsia="宋体" w:hint="default"/>
        </w:rPr>
        <w:sectPr>
          <w:pgSz w:w="11910" w:h="16840"/>
          <w:pgMar w:header="0" w:footer="1193" w:top="780" w:bottom="1380" w:left="1660" w:right="920"/>
        </w:sectPr>
      </w:pPr>
    </w:p>
    <w:p>
      <w:pPr>
        <w:spacing w:before="25"/>
        <w:ind w:left="3793" w:right="402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BodyText"/>
        <w:spacing w:line="276" w:lineRule="auto" w:before="26"/>
        <w:ind w:right="351"/>
        <w:jc w:val="both"/>
      </w:pPr>
      <w:r>
        <w:rPr>
          <w:spacing w:val="-2"/>
        </w:rPr>
        <w:t>号线（一期）智能化工程中，根据青岛市轨道交通的实际情况，实施了适用于青岛市</w:t>
      </w:r>
      <w:r>
        <w:rPr>
          <w:spacing w:val="-94"/>
        </w:rPr>
        <w:t> </w:t>
      </w:r>
      <w:r>
        <w:rPr>
          <w:spacing w:val="-94"/>
        </w:rPr>
      </w:r>
      <w:r>
        <w:rPr>
          <w:spacing w:val="-2"/>
        </w:rPr>
        <w:t>轨道交通新建、改建、扩建线路的综合监控人机界面设计，在图元设计、整体布局设</w:t>
      </w:r>
      <w:r>
        <w:rPr>
          <w:spacing w:val="-94"/>
        </w:rPr>
        <w:t> </w:t>
      </w:r>
      <w:r>
        <w:rPr>
          <w:spacing w:val="-94"/>
        </w:rPr>
      </w:r>
      <w:r>
        <w:rPr>
          <w:spacing w:val="-2"/>
        </w:rPr>
        <w:t>计和单系统多画面切换上取得了技术突破，助力其综合监控系统实现人机界面设计的</w:t>
      </w:r>
      <w:r>
        <w:rPr>
          <w:spacing w:val="-94"/>
        </w:rPr>
        <w:t> </w:t>
      </w:r>
      <w:r>
        <w:rPr>
          <w:spacing w:val="-94"/>
        </w:rPr>
      </w:r>
      <w:r>
        <w:rPr>
          <w:spacing w:val="-2"/>
        </w:rPr>
        <w:t>规范化和标准化，以科技赋能青岛轨道交通可持续发展。报告期内，公司还成功中标</w:t>
      </w:r>
      <w:r>
        <w:rPr>
          <w:spacing w:val="-92"/>
        </w:rPr>
        <w:t> </w:t>
      </w:r>
      <w:r>
        <w:rPr>
          <w:spacing w:val="-92"/>
        </w:rPr>
      </w:r>
      <w:r>
        <w:rPr/>
        <w:t>呼和浩特城市轨道交通</w:t>
      </w:r>
      <w:r>
        <w:rPr>
          <w:spacing w:val="-83"/>
        </w:rPr>
        <w:t> </w:t>
      </w:r>
      <w:r>
        <w:rPr>
          <w:rFonts w:ascii="宋体" w:hAnsi="宋体" w:cs="宋体" w:eastAsia="宋体" w:hint="default"/>
        </w:rPr>
        <w:t>2</w:t>
      </w:r>
      <w:r>
        <w:rPr>
          <w:rFonts w:ascii="宋体" w:hAnsi="宋体" w:cs="宋体" w:eastAsia="宋体" w:hint="default"/>
          <w:spacing w:val="-83"/>
        </w:rPr>
        <w:t> </w:t>
      </w:r>
      <w:r>
        <w:rPr/>
        <w:t>号线设备采购项目，在北方地区交通地铁领域又开辟出一片 全新的市场。</w:t>
      </w:r>
    </w:p>
    <w:p>
      <w:pPr>
        <w:spacing w:line="240" w:lineRule="auto" w:before="4"/>
        <w:rPr>
          <w:rFonts w:ascii="宋体" w:hAnsi="宋体" w:cs="宋体" w:eastAsia="宋体" w:hint="default"/>
          <w:sz w:val="28"/>
          <w:szCs w:val="28"/>
        </w:rPr>
      </w:pPr>
    </w:p>
    <w:p>
      <w:pPr>
        <w:pStyle w:val="BodyText"/>
        <w:spacing w:line="276" w:lineRule="auto"/>
        <w:ind w:right="350" w:firstLine="479"/>
        <w:jc w:val="both"/>
      </w:pPr>
      <w:r>
        <w:rPr>
          <w:spacing w:val="-2"/>
        </w:rPr>
        <w:t>在城市热网领域，公司整合技术、方案及行业优势，打通产业链上下游，并融合</w:t>
      </w:r>
      <w:r>
        <w:rPr/>
        <w:t> </w:t>
      </w:r>
      <w:r>
        <w:rPr>
          <w:spacing w:val="-2"/>
        </w:rPr>
        <w:t>区域能源规划、机器学习、人工智能等核心底层技术，打造云端管控的智慧供热管理</w:t>
      </w:r>
      <w:r>
        <w:rPr>
          <w:spacing w:val="-94"/>
        </w:rPr>
        <w:t> </w:t>
      </w:r>
      <w:r>
        <w:rPr>
          <w:spacing w:val="-94"/>
        </w:rPr>
      </w:r>
      <w:r>
        <w:rPr>
          <w:spacing w:val="-5"/>
        </w:rPr>
        <w:t>平台，大幅提升热力公司的生产管理水平和信息化水平。完善的“云服务体系”+“互</w:t>
      </w:r>
      <w:r>
        <w:rPr>
          <w:spacing w:val="-96"/>
        </w:rPr>
        <w:t> </w:t>
      </w:r>
      <w:r>
        <w:rPr>
          <w:spacing w:val="-96"/>
        </w:rPr>
      </w:r>
      <w:r>
        <w:rPr>
          <w:spacing w:val="-2"/>
        </w:rPr>
        <w:t>联网思维”，帮助城市能源管理者洞悉城市能源现状，统筹城市能源规划，引领我国</w:t>
      </w:r>
      <w:r>
        <w:rPr>
          <w:spacing w:val="-97"/>
        </w:rPr>
        <w:t> </w:t>
      </w:r>
      <w:r>
        <w:rPr>
          <w:spacing w:val="-97"/>
        </w:rPr>
      </w:r>
      <w:r>
        <w:rPr>
          <w:spacing w:val="-2"/>
        </w:rPr>
        <w:t>供热行业智慧化发展。近年来，公司特许经营模式在多地展开，大幅提升了热力公司</w:t>
      </w:r>
      <w:r>
        <w:rPr>
          <w:spacing w:val="-93"/>
        </w:rPr>
        <w:t> </w:t>
      </w:r>
      <w:r>
        <w:rPr>
          <w:spacing w:val="-93"/>
        </w:rPr>
      </w:r>
      <w:r>
        <w:rPr/>
        <w:t>的生产管理水平，实现了企业效益和社会效益双赢局面。</w:t>
      </w:r>
    </w:p>
    <w:p>
      <w:pPr>
        <w:spacing w:line="240" w:lineRule="auto" w:before="4"/>
        <w:rPr>
          <w:rFonts w:ascii="宋体" w:hAnsi="宋体" w:cs="宋体" w:eastAsia="宋体" w:hint="default"/>
          <w:sz w:val="28"/>
          <w:szCs w:val="28"/>
        </w:rPr>
      </w:pPr>
    </w:p>
    <w:p>
      <w:pPr>
        <w:pStyle w:val="Heading2"/>
        <w:spacing w:line="240" w:lineRule="auto"/>
        <w:ind w:right="216"/>
        <w:jc w:val="left"/>
        <w:rPr>
          <w:b w:val="0"/>
          <w:bCs w:val="0"/>
        </w:rPr>
      </w:pPr>
      <w:r>
        <w:rPr>
          <w:rFonts w:ascii="宋体" w:hAnsi="宋体" w:cs="宋体" w:eastAsia="宋体" w:hint="default"/>
        </w:rPr>
        <w:t>2)</w:t>
      </w:r>
      <w:r>
        <w:rPr>
          <w:rFonts w:ascii="宋体" w:hAnsi="宋体" w:cs="宋体" w:eastAsia="宋体" w:hint="default"/>
          <w:spacing w:val="56"/>
        </w:rPr>
        <w:t> </w:t>
      </w:r>
      <w:r>
        <w:rPr/>
        <w:t>工业节能</w:t>
      </w:r>
      <w:r>
        <w:rPr>
          <w:b w:val="0"/>
          <w:bCs w:val="0"/>
        </w:rPr>
      </w:r>
    </w:p>
    <w:p>
      <w:pPr>
        <w:spacing w:line="240" w:lineRule="auto" w:before="0"/>
        <w:rPr>
          <w:rFonts w:ascii="宋体" w:hAnsi="宋体" w:cs="宋体" w:eastAsia="宋体" w:hint="default"/>
          <w:b/>
          <w:bCs/>
          <w:sz w:val="31"/>
          <w:szCs w:val="31"/>
        </w:rPr>
      </w:pPr>
    </w:p>
    <w:p>
      <w:pPr>
        <w:pStyle w:val="BodyText"/>
        <w:spacing w:line="276" w:lineRule="auto"/>
        <w:ind w:right="216" w:firstLine="479"/>
        <w:jc w:val="left"/>
      </w:pPr>
      <w:r>
        <w:rPr/>
        <w:t>随着国家节能减排事业的推进，“十三五”规划中，国家进一步明确了清洁能源 替代传统燃煤的工作计划和目标。</w:t>
      </w:r>
      <w:r>
        <w:rPr>
          <w:rFonts w:ascii="宋体" w:hAnsi="宋体" w:cs="宋体" w:eastAsia="宋体" w:hint="default"/>
        </w:rPr>
        <w:t>2018</w:t>
      </w:r>
      <w:r>
        <w:rPr>
          <w:rFonts w:ascii="宋体" w:hAnsi="宋体" w:cs="宋体" w:eastAsia="宋体" w:hint="default"/>
          <w:spacing w:val="-48"/>
        </w:rPr>
        <w:t> </w:t>
      </w:r>
      <w:r>
        <w:rPr/>
        <w:t>年，我国全面开展蓝天、碧水、净土保卫战， 稳妥推进北方地区“煤改气”、“煤改电”。公司顺应国家节能减排政策和清洁能源 替代传统燃煤的工作目标，不断进行热泵节能的研究和创新，深耕城镇化采暖、“煤 改电”、清洁能源利用及其它热泵节能领域，并继续扩充吸收式热泵的应用领域，围</w:t>
      </w:r>
    </w:p>
    <w:p>
      <w:pPr>
        <w:pStyle w:val="BodyText"/>
        <w:spacing w:line="276" w:lineRule="auto" w:before="10"/>
        <w:ind w:right="0"/>
        <w:jc w:val="left"/>
      </w:pPr>
      <w:r>
        <w:rPr/>
        <w:t>绕城市余热，推广区域供暖</w:t>
      </w:r>
      <w:r>
        <w:rPr>
          <w:rFonts w:ascii="宋体" w:hAnsi="宋体" w:cs="宋体" w:eastAsia="宋体" w:hint="default"/>
        </w:rPr>
        <w:t>+</w:t>
      </w:r>
      <w:r>
        <w:rPr/>
        <w:t>分布式制冷的联合解决方案。报告期内，公司凭借完整</w:t>
      </w:r>
      <w:r>
        <w:rPr>
          <w:spacing w:val="-52"/>
        </w:rPr>
        <w:t> </w:t>
      </w:r>
      <w:r>
        <w:rPr>
          <w:spacing w:val="-52"/>
        </w:rPr>
      </w:r>
      <w:r>
        <w:rPr/>
        <w:t>的节能一体化产业链及完善的服务，利用空气源热泵采暖技术，成功接连实施内蒙古</w:t>
      </w:r>
      <w:r>
        <w:rPr/>
        <w:t> </w:t>
      </w:r>
      <w:r>
        <w:rPr>
          <w:spacing w:val="-2"/>
        </w:rPr>
        <w:t>乌拉特中旗巴音乌兰苏木与忽勒斯太苏木，以及呼和浩特市第一医院空气源热泵项目。</w:t>
      </w:r>
    </w:p>
    <w:p>
      <w:pPr>
        <w:spacing w:line="240" w:lineRule="auto" w:before="4"/>
        <w:rPr>
          <w:rFonts w:ascii="宋体" w:hAnsi="宋体" w:cs="宋体" w:eastAsia="宋体" w:hint="default"/>
          <w:sz w:val="28"/>
          <w:szCs w:val="28"/>
        </w:rPr>
      </w:pPr>
    </w:p>
    <w:p>
      <w:pPr>
        <w:pStyle w:val="Heading2"/>
        <w:spacing w:line="240" w:lineRule="auto"/>
        <w:ind w:right="216"/>
        <w:jc w:val="left"/>
        <w:rPr>
          <w:b w:val="0"/>
          <w:bCs w:val="0"/>
        </w:rPr>
      </w:pPr>
      <w:r>
        <w:rPr>
          <w:rFonts w:ascii="宋体" w:hAnsi="宋体" w:cs="宋体" w:eastAsia="宋体" w:hint="default"/>
        </w:rPr>
        <w:t>3)</w:t>
      </w:r>
      <w:r>
        <w:rPr>
          <w:rFonts w:ascii="宋体" w:hAnsi="宋体" w:cs="宋体" w:eastAsia="宋体" w:hint="default"/>
          <w:spacing w:val="56"/>
        </w:rPr>
        <w:t> </w:t>
      </w:r>
      <w:r>
        <w:rPr/>
        <w:t>照明产业</w:t>
      </w:r>
      <w:r>
        <w:rPr>
          <w:b w:val="0"/>
          <w:bCs w:val="0"/>
        </w:rPr>
      </w:r>
    </w:p>
    <w:p>
      <w:pPr>
        <w:spacing w:line="240" w:lineRule="auto" w:before="1"/>
        <w:rPr>
          <w:rFonts w:ascii="宋体" w:hAnsi="宋体" w:cs="宋体" w:eastAsia="宋体" w:hint="default"/>
          <w:b/>
          <w:bCs/>
          <w:sz w:val="31"/>
          <w:szCs w:val="31"/>
        </w:rPr>
      </w:pPr>
    </w:p>
    <w:p>
      <w:pPr>
        <w:pStyle w:val="BodyText"/>
        <w:spacing w:line="240" w:lineRule="auto"/>
        <w:ind w:left="618" w:right="216"/>
        <w:jc w:val="left"/>
      </w:pPr>
      <w:r>
        <w:rPr/>
        <w:t>在照明产业领域，公司依靠雄厚的管理优势、技术优势和综合服务能力，承揽了</w:t>
      </w:r>
    </w:p>
    <w:p>
      <w:pPr>
        <w:pStyle w:val="BodyText"/>
        <w:spacing w:line="276" w:lineRule="auto" w:before="46"/>
        <w:ind w:right="216"/>
        <w:jc w:val="left"/>
      </w:pPr>
      <w:r>
        <w:rPr/>
        <w:t>大量的“高、大、精、尖”国家和地方重点项目。公司拥有包括城市照明规划设计、</w:t>
      </w:r>
      <w:r>
        <w:rPr>
          <w:spacing w:val="-57"/>
        </w:rPr>
        <w:t> </w:t>
      </w:r>
      <w:r>
        <w:rPr>
          <w:spacing w:val="-57"/>
        </w:rPr>
      </w:r>
      <w:r>
        <w:rPr>
          <w:spacing w:val="-8"/>
        </w:rPr>
        <w:t>灯具制造，以及城市景观、水景艺术工程设计及实施的完整</w:t>
      </w:r>
      <w:r>
        <w:rPr>
          <w:spacing w:val="-56"/>
        </w:rPr>
        <w:t> </w:t>
      </w:r>
      <w:r>
        <w:rPr>
          <w:rFonts w:ascii="宋体" w:hAnsi="宋体" w:cs="宋体" w:eastAsia="宋体" w:hint="default"/>
        </w:rPr>
        <w:t>LED</w:t>
      </w:r>
      <w:r>
        <w:rPr>
          <w:rFonts w:ascii="宋体" w:hAnsi="宋体" w:cs="宋体" w:eastAsia="宋体" w:hint="default"/>
          <w:spacing w:val="-56"/>
        </w:rPr>
        <w:t> </w:t>
      </w:r>
      <w:r>
        <w:rPr>
          <w:spacing w:val="-10"/>
        </w:rPr>
        <w:t>产业链，为商业建筑、</w:t>
      </w:r>
      <w:r>
        <w:rPr>
          <w:spacing w:val="-110"/>
        </w:rPr>
        <w:t> </w:t>
      </w:r>
      <w:r>
        <w:rPr>
          <w:spacing w:val="-110"/>
        </w:rPr>
      </w:r>
      <w:r>
        <w:rPr/>
        <w:t>工矿企业、市政设施、户外道路、城市景观、水景艺术工程等提供</w:t>
      </w:r>
      <w:r>
        <w:rPr>
          <w:spacing w:val="-72"/>
        </w:rPr>
        <w:t> </w:t>
      </w:r>
      <w:r>
        <w:rPr>
          <w:rFonts w:ascii="宋体" w:hAnsi="宋体" w:cs="宋体" w:eastAsia="宋体" w:hint="default"/>
        </w:rPr>
        <w:t>LED</w:t>
      </w:r>
      <w:r>
        <w:rPr>
          <w:rFonts w:ascii="宋体" w:hAnsi="宋体" w:cs="宋体" w:eastAsia="宋体" w:hint="default"/>
          <w:spacing w:val="-72"/>
        </w:rPr>
        <w:t> </w:t>
      </w:r>
      <w:r>
        <w:rPr/>
        <w:t>照明灯具产品 和高光效、低能耗、低成本的照明解决方案。</w:t>
      </w:r>
    </w:p>
    <w:p>
      <w:pPr>
        <w:spacing w:line="240" w:lineRule="auto" w:before="4"/>
        <w:rPr>
          <w:rFonts w:ascii="宋体" w:hAnsi="宋体" w:cs="宋体" w:eastAsia="宋体" w:hint="default"/>
          <w:sz w:val="28"/>
          <w:szCs w:val="28"/>
        </w:rPr>
      </w:pPr>
    </w:p>
    <w:p>
      <w:pPr>
        <w:pStyle w:val="BodyText"/>
        <w:spacing w:line="240" w:lineRule="auto"/>
        <w:ind w:left="618" w:right="216"/>
        <w:jc w:val="left"/>
      </w:pPr>
      <w:r>
        <w:rPr/>
        <w:t>报告期内，公司为上海合作组织青岛峰会成功打造主题灯光焰火艺术表演，针对</w:t>
      </w:r>
    </w:p>
    <w:p>
      <w:pPr>
        <w:pStyle w:val="BodyText"/>
        <w:spacing w:line="276" w:lineRule="auto" w:before="46"/>
        <w:ind w:right="216"/>
        <w:jc w:val="left"/>
      </w:pPr>
      <w:r>
        <w:rPr/>
        <w:t>本项目开发集成的智能照明管理平台，可以实现指挥中心“一键式”集中联动控制。</w:t>
      </w:r>
      <w:r>
        <w:rPr>
          <w:spacing w:val="-57"/>
        </w:rPr>
        <w:t> </w:t>
      </w:r>
      <w:r>
        <w:rPr>
          <w:spacing w:val="-57"/>
        </w:rPr>
      </w:r>
      <w:r>
        <w:rPr/>
        <w:t>同时各管理模块可自动采集、分析照明设备运行状态的大数据，实现自动报警、远程</w:t>
      </w:r>
      <w:r>
        <w:rPr/>
        <w:t> 升级维护等功能，大大节省了后期运营人工成本，用智慧化手段提升工作效率。公司 于年初承接了“美丽青岛行动”重要道路沿线亮化提升工程核心区亮化提升工程总承</w:t>
      </w:r>
    </w:p>
    <w:p>
      <w:pPr>
        <w:spacing w:after="0" w:line="276" w:lineRule="auto"/>
        <w:jc w:val="left"/>
        <w:sectPr>
          <w:footerReference w:type="default" r:id="rId13"/>
          <w:pgSz w:w="11910" w:h="16840"/>
          <w:pgMar w:footer="1193" w:header="0" w:top="780" w:bottom="1380" w:left="1660" w:right="920"/>
          <w:pgNumType w:start="21"/>
        </w:sectPr>
      </w:pPr>
    </w:p>
    <w:p>
      <w:pPr>
        <w:spacing w:before="25"/>
        <w:ind w:left="4033" w:right="404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26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BodyText"/>
        <w:spacing w:line="276" w:lineRule="auto" w:before="26"/>
        <w:ind w:left="298" w:right="291"/>
        <w:jc w:val="both"/>
      </w:pPr>
      <w:r>
        <w:rPr>
          <w:spacing w:val="-2"/>
        </w:rPr>
        <w:t>包三标段及整个浮山湾片区的总体控制系统工程，并凭此工程被授予“上合组织青岛</w:t>
      </w:r>
      <w:r>
        <w:rPr>
          <w:spacing w:val="-94"/>
        </w:rPr>
        <w:t> </w:t>
      </w:r>
      <w:r>
        <w:rPr>
          <w:spacing w:val="-94"/>
        </w:rPr>
      </w:r>
      <w:r>
        <w:rPr>
          <w:spacing w:val="-2"/>
        </w:rPr>
        <w:t>峰会照明建设杰出贡献奖”。报告期内，公司还成功中标北京世界园艺博览会园区公</w:t>
      </w:r>
      <w:r>
        <w:rPr>
          <w:spacing w:val="-95"/>
        </w:rPr>
        <w:t> </w:t>
      </w:r>
      <w:r>
        <w:rPr>
          <w:spacing w:val="-95"/>
        </w:rPr>
      </w:r>
      <w:r>
        <w:rPr/>
        <w:t>共绿化景观一期喷泉采购及安装工程、青岛新机场夜间照明工程</w:t>
      </w:r>
      <w:r>
        <w:rPr>
          <w:spacing w:val="-70"/>
        </w:rPr>
        <w:t> </w:t>
      </w:r>
      <w:r>
        <w:rPr>
          <w:rFonts w:ascii="宋体" w:hAnsi="宋体" w:cs="宋体" w:eastAsia="宋体" w:hint="default"/>
        </w:rPr>
        <w:t>EPC</w:t>
      </w:r>
      <w:r>
        <w:rPr>
          <w:rFonts w:ascii="宋体" w:hAnsi="宋体" w:cs="宋体" w:eastAsia="宋体" w:hint="default"/>
          <w:spacing w:val="-70"/>
        </w:rPr>
        <w:t> </w:t>
      </w:r>
      <w:r>
        <w:rPr>
          <w:spacing w:val="-4"/>
        </w:rPr>
        <w:t>总承包项目、秦</w:t>
      </w:r>
      <w:r>
        <w:rPr/>
        <w:t> </w:t>
      </w:r>
      <w:r>
        <w:rPr>
          <w:spacing w:val="-2"/>
        </w:rPr>
        <w:t>文明广场中轴景观带旅游基础设施项目、中央喷泉工程施工、“梦廊坊”文化产业园</w:t>
      </w:r>
      <w:r>
        <w:rPr>
          <w:spacing w:val="-94"/>
        </w:rPr>
        <w:t> </w:t>
      </w:r>
      <w:r>
        <w:rPr>
          <w:spacing w:val="-94"/>
        </w:rPr>
      </w:r>
      <w:r>
        <w:rPr>
          <w:spacing w:val="-2"/>
        </w:rPr>
        <w:t>丝绸之路国际文化交流中心、杭州夜景灯光工程等多个项目。公司打造了数百项国家</w:t>
      </w:r>
      <w:r>
        <w:rPr>
          <w:spacing w:val="-94"/>
        </w:rPr>
        <w:t> </w:t>
      </w:r>
      <w:r>
        <w:rPr>
          <w:spacing w:val="-94"/>
        </w:rPr>
      </w:r>
      <w:r>
        <w:rPr>
          <w:spacing w:val="-2"/>
        </w:rPr>
        <w:t>级重大工程，并多次荣获“中国建筑工程鲁班奖”“中照照明奖”“中国照明工程百</w:t>
      </w:r>
      <w:r>
        <w:rPr>
          <w:spacing w:val="-95"/>
        </w:rPr>
        <w:t> </w:t>
      </w:r>
      <w:r>
        <w:rPr>
          <w:spacing w:val="-95"/>
        </w:rPr>
      </w:r>
      <w:r>
        <w:rPr/>
        <w:t>强企业第一名”等行业殊荣。</w:t>
      </w:r>
    </w:p>
    <w:p>
      <w:pPr>
        <w:spacing w:line="240" w:lineRule="auto" w:before="11"/>
        <w:rPr>
          <w:rFonts w:ascii="宋体" w:hAnsi="宋体" w:cs="宋体" w:eastAsia="宋体" w:hint="default"/>
          <w:sz w:val="32"/>
          <w:szCs w:val="32"/>
        </w:rPr>
      </w:pPr>
    </w:p>
    <w:p>
      <w:pPr>
        <w:pStyle w:val="Heading2"/>
        <w:spacing w:line="240" w:lineRule="auto"/>
        <w:ind w:left="298" w:right="0"/>
        <w:jc w:val="both"/>
        <w:rPr>
          <w:b w:val="0"/>
          <w:bCs w:val="0"/>
        </w:rPr>
      </w:pPr>
      <w:r>
        <w:rPr>
          <w:rFonts w:ascii="宋体" w:hAnsi="宋体" w:cs="宋体" w:eastAsia="宋体" w:hint="default"/>
        </w:rPr>
        <w:t>(2).</w:t>
      </w:r>
      <w:r>
        <w:rPr>
          <w:rFonts w:ascii="宋体" w:hAnsi="宋体" w:cs="宋体" w:eastAsia="宋体" w:hint="default"/>
          <w:spacing w:val="-41"/>
        </w:rPr>
        <w:t> </w:t>
      </w:r>
      <w:r>
        <w:rPr/>
        <w:t>产销量情况分析表</w:t>
      </w:r>
      <w:r>
        <w:rPr>
          <w:b w:val="0"/>
          <w:bCs w:val="0"/>
        </w:rPr>
      </w:r>
    </w:p>
    <w:p>
      <w:pPr>
        <w:pStyle w:val="BodyText"/>
        <w:spacing w:line="240" w:lineRule="auto" w:before="106"/>
        <w:ind w:left="298"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2"/>
        <w:spacing w:line="240" w:lineRule="auto" w:before="204"/>
        <w:ind w:left="298" w:right="275"/>
        <w:jc w:val="left"/>
        <w:rPr>
          <w:b w:val="0"/>
          <w:bCs w:val="0"/>
        </w:rPr>
      </w:pPr>
      <w:r>
        <w:rPr>
          <w:rFonts w:ascii="宋体" w:hAnsi="宋体" w:cs="宋体" w:eastAsia="宋体" w:hint="default"/>
        </w:rPr>
        <w:t>(3).</w:t>
      </w:r>
      <w:r>
        <w:rPr>
          <w:rFonts w:ascii="宋体" w:hAnsi="宋体" w:cs="宋体" w:eastAsia="宋体" w:hint="default"/>
          <w:spacing w:val="-40"/>
        </w:rPr>
        <w:t> </w:t>
      </w:r>
      <w:r>
        <w:rPr/>
        <w:t>成本分析表</w:t>
      </w:r>
      <w:r>
        <w:rPr>
          <w:b w:val="0"/>
          <w:bCs w:val="0"/>
        </w:rPr>
      </w:r>
    </w:p>
    <w:p>
      <w:pPr>
        <w:pStyle w:val="BodyText"/>
        <w:spacing w:line="240" w:lineRule="auto" w:before="58"/>
        <w:ind w:left="0" w:right="292"/>
        <w:jc w:val="right"/>
      </w:pPr>
      <w:r>
        <w:rPr/>
        <w:t>单位：万元</w:t>
      </w:r>
    </w:p>
    <w:p>
      <w:pPr>
        <w:spacing w:line="240" w:lineRule="auto" w:before="12"/>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209"/>
        <w:gridCol w:w="1634"/>
        <w:gridCol w:w="1440"/>
        <w:gridCol w:w="1632"/>
        <w:gridCol w:w="1049"/>
        <w:gridCol w:w="1236"/>
      </w:tblGrid>
      <w:tr>
        <w:trPr>
          <w:trHeight w:val="1099"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b/>
                <w:bCs/>
                <w:sz w:val="21"/>
                <w:szCs w:val="21"/>
              </w:rPr>
              <w:t>产业板块</w:t>
            </w:r>
            <w:r>
              <w:rPr>
                <w:rFonts w:ascii="宋体" w:hAnsi="宋体" w:cs="宋体" w:eastAsia="宋体" w:hint="default"/>
                <w:sz w:val="21"/>
                <w:szCs w:val="21"/>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b/>
                <w:bCs/>
                <w:sz w:val="21"/>
                <w:szCs w:val="21"/>
              </w:rPr>
              <w:t>主营业务成本</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39" w:right="185" w:hanging="53"/>
              <w:jc w:val="left"/>
              <w:rPr>
                <w:rFonts w:ascii="宋体" w:hAnsi="宋体" w:cs="宋体" w:eastAsia="宋体" w:hint="default"/>
                <w:sz w:val="21"/>
                <w:szCs w:val="21"/>
              </w:rPr>
            </w:pPr>
            <w:r>
              <w:rPr>
                <w:rFonts w:ascii="宋体" w:hAnsi="宋体" w:cs="宋体" w:eastAsia="宋体" w:hint="default"/>
                <w:b/>
                <w:bCs/>
                <w:sz w:val="21"/>
                <w:szCs w:val="21"/>
              </w:rPr>
              <w:t>本期占总成</w:t>
            </w:r>
            <w:r>
              <w:rPr>
                <w:rFonts w:ascii="宋体" w:hAnsi="宋体" w:cs="宋体" w:eastAsia="宋体" w:hint="default"/>
                <w:b/>
                <w:bCs/>
                <w:w w:val="100"/>
                <w:sz w:val="21"/>
                <w:szCs w:val="21"/>
              </w:rPr>
              <w:t> </w:t>
            </w:r>
            <w:r>
              <w:rPr>
                <w:rFonts w:ascii="宋体" w:hAnsi="宋体" w:cs="宋体" w:eastAsia="宋体" w:hint="default"/>
                <w:b/>
                <w:bCs/>
                <w:sz w:val="21"/>
                <w:szCs w:val="21"/>
              </w:rPr>
              <w:t>本比例</w:t>
            </w:r>
            <w:r>
              <w:rPr>
                <w:rFonts w:ascii="宋体" w:hAnsi="宋体" w:cs="宋体" w:eastAsia="宋体" w:hint="default"/>
                <w:b/>
                <w:bCs/>
                <w:sz w:val="21"/>
                <w:szCs w:val="21"/>
              </w:rPr>
              <w:t>(%)</w:t>
            </w:r>
            <w:r>
              <w:rPr>
                <w:rFonts w:ascii="宋体" w:hAnsi="宋体" w:cs="宋体" w:eastAsia="宋体" w:hint="default"/>
                <w:sz w:val="21"/>
                <w:szCs w:val="21"/>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b/>
                <w:bCs/>
                <w:sz w:val="21"/>
                <w:szCs w:val="21"/>
              </w:rPr>
              <w:t>上年同期金额</w:t>
            </w:r>
            <w:r>
              <w:rPr>
                <w:rFonts w:ascii="宋体" w:hAnsi="宋体" w:cs="宋体" w:eastAsia="宋体" w:hint="default"/>
                <w:sz w:val="21"/>
                <w:szCs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both"/>
              <w:rPr>
                <w:rFonts w:ascii="宋体" w:hAnsi="宋体" w:cs="宋体" w:eastAsia="宋体" w:hint="default"/>
                <w:sz w:val="21"/>
                <w:szCs w:val="21"/>
              </w:rPr>
            </w:pPr>
            <w:r>
              <w:rPr>
                <w:rFonts w:ascii="宋体" w:hAnsi="宋体" w:cs="宋体" w:eastAsia="宋体" w:hint="default"/>
                <w:b/>
                <w:bCs/>
                <w:sz w:val="21"/>
                <w:szCs w:val="21"/>
              </w:rPr>
              <w:t>上年同</w:t>
            </w:r>
            <w:r>
              <w:rPr>
                <w:rFonts w:ascii="宋体" w:hAnsi="宋体" w:cs="宋体" w:eastAsia="宋体" w:hint="default"/>
                <w:sz w:val="21"/>
                <w:szCs w:val="21"/>
              </w:rPr>
            </w:r>
          </w:p>
          <w:p>
            <w:pPr>
              <w:pStyle w:val="TableParagraph"/>
              <w:spacing w:line="237" w:lineRule="auto" w:before="2"/>
              <w:ind w:left="201" w:right="202"/>
              <w:jc w:val="both"/>
              <w:rPr>
                <w:rFonts w:ascii="宋体" w:hAnsi="宋体" w:cs="宋体" w:eastAsia="宋体" w:hint="default"/>
                <w:sz w:val="21"/>
                <w:szCs w:val="21"/>
              </w:rPr>
            </w:pPr>
            <w:r>
              <w:rPr>
                <w:rFonts w:ascii="宋体" w:hAnsi="宋体" w:cs="宋体" w:eastAsia="宋体" w:hint="default"/>
                <w:b/>
                <w:bCs/>
                <w:sz w:val="21"/>
                <w:szCs w:val="21"/>
              </w:rPr>
              <w:t>期占总</w:t>
            </w:r>
            <w:r>
              <w:rPr>
                <w:rFonts w:ascii="宋体" w:hAnsi="宋体" w:cs="宋体" w:eastAsia="宋体" w:hint="default"/>
                <w:b/>
                <w:bCs/>
                <w:w w:val="100"/>
                <w:sz w:val="21"/>
                <w:szCs w:val="21"/>
              </w:rPr>
              <w:t> </w:t>
            </w:r>
            <w:r>
              <w:rPr>
                <w:rFonts w:ascii="宋体" w:hAnsi="宋体" w:cs="宋体" w:eastAsia="宋体" w:hint="default"/>
                <w:b/>
                <w:bCs/>
                <w:sz w:val="21"/>
                <w:szCs w:val="21"/>
              </w:rPr>
              <w:t>成本比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宋体" w:hAnsi="宋体" w:cs="宋体" w:eastAsia="宋体" w:hint="default"/>
                <w:b/>
                <w:bCs/>
                <w:sz w:val="21"/>
                <w:szCs w:val="21"/>
              </w:rPr>
              <w:t>(%)</w:t>
            </w:r>
            <w:r>
              <w:rPr>
                <w:rFonts w:ascii="宋体" w:hAnsi="宋体" w:cs="宋体" w:eastAsia="宋体" w:hint="default"/>
                <w:sz w:val="21"/>
                <w:szCs w:val="21"/>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p>
            <w:pPr>
              <w:pStyle w:val="TableParagraph"/>
              <w:spacing w:line="237" w:lineRule="auto" w:before="2"/>
              <w:ind w:left="189" w:right="191"/>
              <w:jc w:val="center"/>
              <w:rPr>
                <w:rFonts w:ascii="宋体" w:hAnsi="宋体" w:cs="宋体" w:eastAsia="宋体" w:hint="default"/>
                <w:sz w:val="21"/>
                <w:szCs w:val="21"/>
              </w:rPr>
            </w:pPr>
            <w:r>
              <w:rPr>
                <w:rFonts w:ascii="宋体" w:hAnsi="宋体" w:cs="宋体" w:eastAsia="宋体" w:hint="default"/>
                <w:b/>
                <w:bCs/>
                <w:sz w:val="21"/>
                <w:szCs w:val="21"/>
              </w:rPr>
              <w:t>较上年同</w:t>
            </w:r>
            <w:r>
              <w:rPr>
                <w:rFonts w:ascii="宋体" w:hAnsi="宋体" w:cs="宋体" w:eastAsia="宋体" w:hint="default"/>
                <w:b/>
                <w:bCs/>
                <w:w w:val="100"/>
                <w:sz w:val="21"/>
                <w:szCs w:val="21"/>
              </w:rPr>
              <w:t> </w:t>
            </w:r>
            <w:r>
              <w:rPr>
                <w:rFonts w:ascii="宋体" w:hAnsi="宋体" w:cs="宋体" w:eastAsia="宋体" w:hint="default"/>
                <w:b/>
                <w:bCs/>
                <w:sz w:val="21"/>
                <w:szCs w:val="21"/>
              </w:rPr>
              <w:t>期变动比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83"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互联网服务与终端</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975,583.47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50.16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1,143,161.62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55.97</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-14.66</w:t>
            </w:r>
          </w:p>
        </w:tc>
      </w:tr>
      <w:tr>
        <w:trPr>
          <w:trHeight w:val="281"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云计算和大数据</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190,681.17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132,887.94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6.51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43.49</w:t>
            </w:r>
          </w:p>
        </w:tc>
      </w:tr>
      <w:tr>
        <w:trPr>
          <w:trHeight w:val="284"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公共安全</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407,010.94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z w:val="21"/>
              </w:rPr>
              <w:t>20.93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402,810.79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19.72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z w:val="21"/>
              </w:rPr>
              <w:t>1.04</w:t>
            </w:r>
          </w:p>
        </w:tc>
      </w:tr>
      <w:tr>
        <w:trPr>
          <w:trHeight w:val="283"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节能环保</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370,811.67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19.06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332,748.43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16.29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11.44</w:t>
            </w:r>
          </w:p>
        </w:tc>
      </w:tr>
      <w:tr>
        <w:trPr>
          <w:trHeight w:val="281"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科技园区</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26,864.70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59,460.21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2.91</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-54.82</w:t>
            </w:r>
          </w:p>
        </w:tc>
      </w:tr>
      <w:tr>
        <w:trPr>
          <w:trHeight w:val="283"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总部与投资</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352.08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509.42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0.02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-30.89</w:t>
            </w:r>
          </w:p>
        </w:tc>
      </w:tr>
      <w:tr>
        <w:trPr>
          <w:trHeight w:val="283"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1,971,304.03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2,071,578.40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281"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减：业务板块间抵消</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-26,222.55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-28,943.13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w:t>
            </w:r>
          </w:p>
        </w:tc>
      </w:tr>
      <w:tr>
        <w:trPr>
          <w:trHeight w:val="283" w:hRule="exact"/>
        </w:trPr>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1,945,081.48</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b/>
                <w:w w:val="95"/>
                <w:sz w:val="21"/>
              </w:rPr>
              <w:t>2,042,635.27</w:t>
            </w:r>
            <w:r>
              <w:rPr>
                <w:rFonts w:ascii="宋体"/>
                <w:sz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-4.78</w:t>
            </w:r>
          </w:p>
        </w:tc>
      </w:tr>
    </w:tbl>
    <w:p>
      <w:pPr>
        <w:spacing w:line="240" w:lineRule="auto" w:before="6"/>
        <w:rPr>
          <w:rFonts w:ascii="宋体" w:hAnsi="宋体" w:cs="宋体" w:eastAsia="宋体" w:hint="default"/>
          <w:sz w:val="22"/>
          <w:szCs w:val="22"/>
        </w:rPr>
      </w:pPr>
    </w:p>
    <w:p>
      <w:pPr>
        <w:pStyle w:val="BodyText"/>
        <w:spacing w:line="240" w:lineRule="auto" w:before="26"/>
        <w:ind w:left="298" w:right="275"/>
        <w:jc w:val="left"/>
      </w:pPr>
      <w:r>
        <w:rPr/>
        <w:t>成本分析其他情况说明</w:t>
      </w:r>
    </w:p>
    <w:p>
      <w:pPr>
        <w:pStyle w:val="BodyText"/>
        <w:spacing w:line="240" w:lineRule="auto" w:before="46"/>
        <w:ind w:left="298" w:right="275"/>
        <w:jc w:val="left"/>
      </w:pPr>
      <w:r>
        <w:rPr/>
        <w:t>□适用</w:t>
      </w:r>
      <w:r>
        <w:rPr>
          <w:spacing w:val="-1"/>
        </w:rPr>
        <w:t> </w:t>
      </w:r>
      <w:r>
        <w:rPr/>
        <w:t>√不适用</w:t>
      </w:r>
    </w:p>
    <w:p>
      <w:pPr>
        <w:spacing w:line="240" w:lineRule="auto" w:before="9"/>
        <w:rPr>
          <w:rFonts w:ascii="宋体" w:hAnsi="宋体" w:cs="宋体" w:eastAsia="宋体" w:hint="default"/>
          <w:sz w:val="35"/>
          <w:szCs w:val="35"/>
        </w:rPr>
      </w:pPr>
    </w:p>
    <w:p>
      <w:pPr>
        <w:pStyle w:val="Heading2"/>
        <w:spacing w:line="240" w:lineRule="auto"/>
        <w:ind w:left="298" w:right="275"/>
        <w:jc w:val="left"/>
        <w:rPr>
          <w:b w:val="0"/>
          <w:bCs w:val="0"/>
        </w:rPr>
      </w:pPr>
      <w:r>
        <w:rPr>
          <w:rFonts w:ascii="宋体" w:hAnsi="宋体" w:cs="宋体" w:eastAsia="宋体" w:hint="default"/>
        </w:rPr>
        <w:t>(4).</w:t>
      </w:r>
      <w:r>
        <w:rPr>
          <w:rFonts w:ascii="宋体" w:hAnsi="宋体" w:cs="宋体" w:eastAsia="宋体" w:hint="default"/>
          <w:spacing w:val="-40"/>
        </w:rPr>
        <w:t> </w:t>
      </w:r>
      <w:r>
        <w:rPr/>
        <w:t>主要销售客户及主要供应商情况</w:t>
      </w:r>
      <w:r>
        <w:rPr>
          <w:b w:val="0"/>
          <w:bCs w:val="0"/>
        </w:rPr>
      </w:r>
    </w:p>
    <w:p>
      <w:pPr>
        <w:pStyle w:val="BodyText"/>
        <w:spacing w:line="240" w:lineRule="auto" w:before="106"/>
        <w:ind w:left="298" w:right="275"/>
        <w:jc w:val="left"/>
      </w:pPr>
      <w:r>
        <w:rPr/>
        <w:t>√适用</w:t>
      </w:r>
      <w:r>
        <w:rPr>
          <w:spacing w:val="-1"/>
        </w:rPr>
        <w:t> </w:t>
      </w:r>
      <w:r>
        <w:rPr/>
        <w:t>□不适用</w:t>
      </w:r>
    </w:p>
    <w:p>
      <w:pPr>
        <w:spacing w:line="240" w:lineRule="auto" w:before="0"/>
        <w:rPr>
          <w:rFonts w:ascii="宋体" w:hAnsi="宋体" w:cs="宋体" w:eastAsia="宋体" w:hint="default"/>
          <w:sz w:val="31"/>
          <w:szCs w:val="31"/>
        </w:rPr>
      </w:pPr>
    </w:p>
    <w:p>
      <w:pPr>
        <w:pStyle w:val="BodyText"/>
        <w:spacing w:line="276" w:lineRule="auto"/>
        <w:ind w:left="298" w:right="275" w:firstLine="479"/>
        <w:jc w:val="left"/>
      </w:pPr>
      <w:r>
        <w:rPr/>
        <w:t>前五名客户销售额</w:t>
      </w:r>
      <w:r>
        <w:rPr>
          <w:spacing w:val="-55"/>
        </w:rPr>
        <w:t> </w:t>
      </w:r>
      <w:r>
        <w:rPr>
          <w:rFonts w:ascii="宋体" w:hAnsi="宋体" w:cs="宋体" w:eastAsia="宋体" w:hint="default"/>
        </w:rPr>
        <w:t>451,265.87</w:t>
      </w:r>
      <w:r>
        <w:rPr>
          <w:rFonts w:ascii="宋体" w:hAnsi="宋体" w:cs="宋体" w:eastAsia="宋体" w:hint="default"/>
          <w:spacing w:val="-56"/>
        </w:rPr>
        <w:t> </w:t>
      </w:r>
      <w:r>
        <w:rPr/>
        <w:t>万元，占年度销售总额</w:t>
      </w:r>
      <w:r>
        <w:rPr>
          <w:spacing w:val="-55"/>
        </w:rPr>
        <w:t> </w:t>
      </w:r>
      <w:r>
        <w:rPr>
          <w:rFonts w:ascii="宋体" w:hAnsi="宋体" w:cs="宋体" w:eastAsia="宋体" w:hint="default"/>
        </w:rPr>
        <w:t>18.17%</w:t>
      </w:r>
      <w:r>
        <w:rPr/>
        <w:t>；其中前五名客户 销售额中关联方销售额</w:t>
      </w:r>
      <w:r>
        <w:rPr>
          <w:spacing w:val="-60"/>
        </w:rPr>
        <w:t> </w:t>
      </w:r>
      <w:r>
        <w:rPr>
          <w:rFonts w:ascii="宋体" w:hAnsi="宋体" w:cs="宋体" w:eastAsia="宋体" w:hint="default"/>
        </w:rPr>
        <w:t>0</w:t>
      </w:r>
      <w:r>
        <w:rPr>
          <w:rFonts w:ascii="宋体" w:hAnsi="宋体" w:cs="宋体" w:eastAsia="宋体" w:hint="default"/>
          <w:spacing w:val="-60"/>
        </w:rPr>
        <w:t> </w:t>
      </w:r>
      <w:r>
        <w:rPr/>
        <w:t>万元。</w:t>
      </w:r>
    </w:p>
    <w:p>
      <w:pPr>
        <w:pStyle w:val="BodyText"/>
        <w:spacing w:line="276" w:lineRule="auto" w:before="10"/>
        <w:ind w:left="298" w:right="275" w:firstLine="479"/>
        <w:jc w:val="left"/>
      </w:pPr>
      <w:r>
        <w:rPr/>
        <w:t>前五名供应商采购额</w:t>
      </w:r>
      <w:r>
        <w:rPr>
          <w:spacing w:val="-55"/>
        </w:rPr>
        <w:t> </w:t>
      </w:r>
      <w:r>
        <w:rPr>
          <w:rFonts w:ascii="宋体" w:hAnsi="宋体" w:cs="宋体" w:eastAsia="宋体" w:hint="default"/>
        </w:rPr>
        <w:t>321,123.20</w:t>
      </w:r>
      <w:r>
        <w:rPr>
          <w:rFonts w:ascii="宋体" w:hAnsi="宋体" w:cs="宋体" w:eastAsia="宋体" w:hint="default"/>
          <w:spacing w:val="-56"/>
        </w:rPr>
        <w:t> </w:t>
      </w:r>
      <w:r>
        <w:rPr/>
        <w:t>万元，占年度采购总额</w:t>
      </w:r>
      <w:r>
        <w:rPr>
          <w:spacing w:val="-55"/>
        </w:rPr>
        <w:t> </w:t>
      </w:r>
      <w:r>
        <w:rPr>
          <w:rFonts w:ascii="宋体" w:hAnsi="宋体" w:cs="宋体" w:eastAsia="宋体" w:hint="default"/>
        </w:rPr>
        <w:t>16.44%</w:t>
      </w:r>
      <w:r>
        <w:rPr/>
        <w:t>；其中前五名供 应商采购额中关联方采购额</w:t>
      </w:r>
      <w:r>
        <w:rPr>
          <w:spacing w:val="-60"/>
        </w:rPr>
        <w:t> </w:t>
      </w:r>
      <w:r>
        <w:rPr>
          <w:rFonts w:ascii="宋体" w:hAnsi="宋体" w:cs="宋体" w:eastAsia="宋体" w:hint="default"/>
        </w:rPr>
        <w:t>0</w:t>
      </w:r>
      <w:r>
        <w:rPr>
          <w:rFonts w:ascii="宋体" w:hAnsi="宋体" w:cs="宋体" w:eastAsia="宋体" w:hint="default"/>
          <w:spacing w:val="-60"/>
        </w:rPr>
        <w:t> </w:t>
      </w:r>
      <w:r>
        <w:rPr/>
        <w:t>万元。</w:t>
      </w:r>
    </w:p>
    <w:p>
      <w:pPr>
        <w:spacing w:line="240" w:lineRule="auto" w:before="4"/>
        <w:rPr>
          <w:rFonts w:ascii="宋体" w:hAnsi="宋体" w:cs="宋体" w:eastAsia="宋体" w:hint="default"/>
          <w:sz w:val="28"/>
          <w:szCs w:val="28"/>
        </w:rPr>
      </w:pPr>
    </w:p>
    <w:p>
      <w:pPr>
        <w:pStyle w:val="Heading2"/>
        <w:spacing w:line="276" w:lineRule="auto"/>
        <w:ind w:left="718" w:right="8144" w:hanging="420"/>
        <w:jc w:val="left"/>
        <w:rPr>
          <w:rFonts w:ascii="宋体" w:hAnsi="宋体" w:cs="宋体" w:eastAsia="宋体" w:hint="default"/>
          <w:b w:val="0"/>
          <w:bCs w:val="0"/>
        </w:rPr>
      </w:pPr>
      <w:r>
        <w:rPr/>
        <w:t>其他说明</w:t>
      </w:r>
      <w:r>
        <w:rPr>
          <w:w w:val="99"/>
        </w:rPr>
        <w:t> </w:t>
      </w:r>
      <w:r>
        <w:rPr>
          <w:rFonts w:ascii="宋体" w:hAnsi="宋体" w:cs="宋体" w:eastAsia="宋体" w:hint="default"/>
          <w:b w:val="0"/>
          <w:bCs w:val="0"/>
        </w:rPr>
        <w:t>无</w:t>
      </w:r>
    </w:p>
    <w:p>
      <w:pPr>
        <w:spacing w:after="0" w:line="276" w:lineRule="auto"/>
        <w:jc w:val="left"/>
        <w:rPr>
          <w:rFonts w:ascii="宋体" w:hAnsi="宋体" w:cs="宋体" w:eastAsia="宋体" w:hint="default"/>
        </w:rPr>
        <w:sectPr>
          <w:pgSz w:w="11910" w:h="16840"/>
          <w:pgMar w:header="0" w:footer="1193" w:top="780" w:bottom="1380" w:left="1500" w:right="980"/>
        </w:sectPr>
      </w:pPr>
    </w:p>
    <w:p>
      <w:pPr>
        <w:spacing w:before="25"/>
        <w:ind w:left="4493" w:right="452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72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Heading2"/>
        <w:spacing w:line="240" w:lineRule="auto" w:before="26"/>
        <w:ind w:left="758" w:right="769"/>
        <w:jc w:val="left"/>
        <w:rPr>
          <w:b w:val="0"/>
          <w:bCs w:val="0"/>
        </w:rPr>
      </w:pPr>
      <w:r>
        <w:rPr>
          <w:rFonts w:ascii="宋体" w:hAnsi="宋体" w:cs="宋体" w:eastAsia="宋体" w:hint="default"/>
        </w:rPr>
        <w:t>3.</w:t>
      </w:r>
      <w:r>
        <w:rPr>
          <w:rFonts w:ascii="宋体" w:hAnsi="宋体" w:cs="宋体" w:eastAsia="宋体" w:hint="default"/>
          <w:spacing w:val="58"/>
        </w:rPr>
        <w:t> </w:t>
      </w:r>
      <w:r>
        <w:rPr/>
        <w:t>费用</w:t>
      </w:r>
      <w:r>
        <w:rPr>
          <w:b w:val="0"/>
          <w:bCs w:val="0"/>
        </w:rPr>
      </w:r>
    </w:p>
    <w:p>
      <w:pPr>
        <w:pStyle w:val="BodyText"/>
        <w:spacing w:line="240" w:lineRule="auto" w:before="106"/>
        <w:ind w:left="758" w:right="769"/>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196"/>
        <w:gridCol w:w="2552"/>
        <w:gridCol w:w="2218"/>
        <w:gridCol w:w="1961"/>
        <w:gridCol w:w="2201"/>
      </w:tblGrid>
      <w:tr>
        <w:trPr>
          <w:trHeight w:val="37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b/>
                <w:bCs/>
                <w:sz w:val="21"/>
                <w:szCs w:val="21"/>
              </w:rPr>
              <w:t>科目</w:t>
            </w:r>
            <w:r>
              <w:rPr>
                <w:rFonts w:ascii="宋体" w:hAnsi="宋体" w:cs="宋体" w:eastAsia="宋体" w:hint="default"/>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b/>
                <w:bCs/>
                <w:sz w:val="21"/>
                <w:szCs w:val="21"/>
              </w:rPr>
              <w:t>本年数</w:t>
            </w:r>
            <w:r>
              <w:rPr>
                <w:rFonts w:ascii="宋体" w:hAnsi="宋体" w:cs="宋体" w:eastAsia="宋体" w:hint="default"/>
                <w:sz w:val="21"/>
                <w:szCs w:val="21"/>
              </w:rPr>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3" w:right="0"/>
              <w:jc w:val="left"/>
              <w:rPr>
                <w:rFonts w:ascii="宋体" w:hAnsi="宋体" w:cs="宋体" w:eastAsia="宋体" w:hint="default"/>
                <w:sz w:val="21"/>
                <w:szCs w:val="21"/>
              </w:rPr>
            </w:pPr>
            <w:r>
              <w:rPr>
                <w:rFonts w:ascii="宋体" w:hAnsi="宋体" w:cs="宋体" w:eastAsia="宋体" w:hint="default"/>
                <w:b/>
                <w:bCs/>
                <w:sz w:val="21"/>
                <w:szCs w:val="21"/>
              </w:rPr>
              <w:t>本年占营业收入比重</w:t>
            </w:r>
            <w:r>
              <w:rPr>
                <w:rFonts w:ascii="宋体" w:hAnsi="宋体" w:cs="宋体" w:eastAsia="宋体" w:hint="default"/>
                <w:sz w:val="21"/>
                <w:szCs w:val="21"/>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48" w:right="0"/>
              <w:jc w:val="left"/>
              <w:rPr>
                <w:rFonts w:ascii="宋体" w:hAnsi="宋体" w:cs="宋体" w:eastAsia="宋体" w:hint="default"/>
                <w:sz w:val="21"/>
                <w:szCs w:val="21"/>
              </w:rPr>
            </w:pPr>
            <w:r>
              <w:rPr>
                <w:rFonts w:ascii="宋体" w:hAnsi="宋体" w:cs="宋体" w:eastAsia="宋体" w:hint="default"/>
                <w:b/>
                <w:bCs/>
                <w:sz w:val="21"/>
                <w:szCs w:val="21"/>
              </w:rPr>
              <w:t>上年同期数</w:t>
            </w:r>
            <w:r>
              <w:rPr>
                <w:rFonts w:ascii="宋体" w:hAnsi="宋体" w:cs="宋体" w:eastAsia="宋体" w:hint="default"/>
                <w:sz w:val="21"/>
                <w:szCs w:val="21"/>
              </w:rPr>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44"/>
              <w:jc w:val="right"/>
              <w:rPr>
                <w:rFonts w:ascii="宋体" w:hAnsi="宋体" w:cs="宋体" w:eastAsia="宋体" w:hint="default"/>
                <w:sz w:val="21"/>
                <w:szCs w:val="21"/>
              </w:rPr>
            </w:pPr>
            <w:r>
              <w:rPr>
                <w:rFonts w:ascii="宋体" w:hAnsi="宋体" w:cs="宋体" w:eastAsia="宋体" w:hint="default"/>
                <w:b/>
                <w:bCs/>
                <w:sz w:val="21"/>
                <w:szCs w:val="21"/>
              </w:rPr>
              <w:t>上年占营业收入比重</w:t>
            </w:r>
            <w:r>
              <w:rPr>
                <w:rFonts w:ascii="宋体" w:hAnsi="宋体" w:cs="宋体" w:eastAsia="宋体" w:hint="default"/>
                <w:sz w:val="21"/>
                <w:szCs w:val="21"/>
              </w:rPr>
            </w:r>
          </w:p>
        </w:tc>
      </w:tr>
      <w:tr>
        <w:trPr>
          <w:trHeight w:val="37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5"/>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1"/>
                <w:szCs w:val="21"/>
              </w:rPr>
            </w:pPr>
            <w:r>
              <w:rPr>
                <w:rFonts w:ascii="宋体"/>
                <w:spacing w:val="-1"/>
                <w:sz w:val="21"/>
              </w:rPr>
              <w:t>2,136,479,026.43</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z w:val="21"/>
              </w:rPr>
              <w:t>8.60%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2,054,769,196.60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z w:val="21"/>
              </w:rPr>
              <w:t>7.91%</w:t>
            </w:r>
          </w:p>
        </w:tc>
      </w:tr>
      <w:tr>
        <w:trPr>
          <w:trHeight w:val="37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5"/>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宋体" w:hAnsi="宋体" w:cs="宋体" w:eastAsia="宋体" w:hint="default"/>
                <w:sz w:val="21"/>
                <w:szCs w:val="21"/>
              </w:rPr>
            </w:pPr>
            <w:r>
              <w:rPr>
                <w:rFonts w:ascii="宋体"/>
                <w:spacing w:val="-1"/>
                <w:sz w:val="21"/>
              </w:rPr>
              <w:t>1,659,737,661.96</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z w:val="21"/>
              </w:rPr>
              <w:t>6.68%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1,596,414,529.07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z w:val="21"/>
              </w:rPr>
              <w:t>6.14%</w:t>
            </w:r>
          </w:p>
        </w:tc>
      </w:tr>
      <w:tr>
        <w:trPr>
          <w:trHeight w:val="37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5"/>
              <w:jc w:val="center"/>
              <w:rPr>
                <w:rFonts w:ascii="宋体" w:hAnsi="宋体" w:cs="宋体" w:eastAsia="宋体" w:hint="default"/>
                <w:sz w:val="21"/>
                <w:szCs w:val="21"/>
              </w:rPr>
            </w:pPr>
            <w:r>
              <w:rPr>
                <w:rFonts w:ascii="宋体" w:hAnsi="宋体" w:cs="宋体" w:eastAsia="宋体" w:hint="default"/>
                <w:sz w:val="21"/>
                <w:szCs w:val="21"/>
              </w:rPr>
              <w:t>研发费用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863,650,909.48</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z w:val="21"/>
              </w:rPr>
              <w:t>3.48%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692,765,781.30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z w:val="21"/>
              </w:rPr>
              <w:t>2.67%</w:t>
            </w:r>
          </w:p>
        </w:tc>
      </w:tr>
      <w:tr>
        <w:trPr>
          <w:trHeight w:val="37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5"/>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21"/>
                <w:szCs w:val="21"/>
              </w:rPr>
            </w:pPr>
            <w:r>
              <w:rPr>
                <w:rFonts w:ascii="宋体"/>
                <w:spacing w:val="-1"/>
                <w:sz w:val="21"/>
              </w:rPr>
              <w:t>1,172,325,085.62</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4.72%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pacing w:val="-1"/>
                <w:sz w:val="21"/>
              </w:rPr>
              <w:t>783,171,371.63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z w:val="21"/>
              </w:rPr>
              <w:t>3.01%</w:t>
            </w:r>
          </w:p>
        </w:tc>
      </w:tr>
      <w:tr>
        <w:trPr>
          <w:trHeight w:val="37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4"/>
              <w:jc w:val="right"/>
              <w:rPr>
                <w:rFonts w:ascii="宋体" w:hAnsi="宋体" w:cs="宋体" w:eastAsia="宋体" w:hint="default"/>
                <w:sz w:val="21"/>
                <w:szCs w:val="21"/>
              </w:rPr>
            </w:pPr>
            <w:r>
              <w:rPr>
                <w:rFonts w:ascii="宋体"/>
                <w:b/>
                <w:sz w:val="21"/>
              </w:rPr>
              <w:t>5,832,192,683.49</w:t>
            </w:r>
            <w:r>
              <w:rPr>
                <w:rFonts w:ascii="宋体"/>
                <w:sz w:val="21"/>
              </w:rPr>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b/>
                <w:sz w:val="21"/>
              </w:rPr>
              <w:t>23.49%</w:t>
            </w:r>
            <w:r>
              <w:rPr>
                <w:rFonts w:ascii="宋体"/>
                <w:sz w:val="21"/>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21"/>
                <w:szCs w:val="21"/>
              </w:rPr>
            </w:pPr>
            <w:r>
              <w:rPr>
                <w:rFonts w:ascii="宋体"/>
                <w:b/>
                <w:sz w:val="21"/>
              </w:rPr>
              <w:t>5,127,120,878.60</w:t>
            </w:r>
            <w:r>
              <w:rPr>
                <w:rFonts w:ascii="宋体"/>
                <w:sz w:val="21"/>
              </w:rPr>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3"/>
              <w:jc w:val="right"/>
              <w:rPr>
                <w:rFonts w:ascii="宋体" w:hAnsi="宋体" w:cs="宋体" w:eastAsia="宋体" w:hint="default"/>
                <w:sz w:val="21"/>
                <w:szCs w:val="21"/>
              </w:rPr>
            </w:pPr>
            <w:r>
              <w:rPr>
                <w:rFonts w:ascii="宋体"/>
                <w:b/>
                <w:sz w:val="21"/>
              </w:rPr>
              <w:t>19.73%</w:t>
            </w:r>
            <w:r>
              <w:rPr>
                <w:rFonts w:ascii="宋体"/>
                <w:sz w:val="21"/>
              </w:rPr>
            </w:r>
          </w:p>
        </w:tc>
      </w:tr>
    </w:tbl>
    <w:p>
      <w:pPr>
        <w:pStyle w:val="BodyText"/>
        <w:spacing w:line="276" w:lineRule="auto" w:before="7"/>
        <w:ind w:left="758" w:right="769" w:firstLine="419"/>
        <w:jc w:val="left"/>
      </w:pPr>
      <w:r>
        <w:rPr/>
        <w:t>本年度，公司财务费用较上年同期相比增幅较大，主要是由于公司负息债务规模 增加所致。</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3" w:top="780" w:bottom="1380" w:left="1040" w:right="500"/>
        </w:sectPr>
      </w:pPr>
    </w:p>
    <w:p>
      <w:pPr>
        <w:pStyle w:val="Heading2"/>
        <w:spacing w:line="240" w:lineRule="auto" w:before="168"/>
        <w:ind w:left="758" w:right="-19"/>
        <w:jc w:val="left"/>
        <w:rPr>
          <w:b w:val="0"/>
          <w:bCs w:val="0"/>
        </w:rPr>
      </w:pPr>
      <w:r>
        <w:rPr>
          <w:rFonts w:ascii="宋体" w:hAnsi="宋体" w:cs="宋体" w:eastAsia="宋体" w:hint="default"/>
        </w:rPr>
        <w:t>4.</w:t>
      </w:r>
      <w:r>
        <w:rPr>
          <w:rFonts w:ascii="宋体" w:hAnsi="宋体" w:cs="宋体" w:eastAsia="宋体" w:hint="default"/>
          <w:spacing w:val="56"/>
        </w:rPr>
        <w:t> </w:t>
      </w:r>
      <w:r>
        <w:rPr/>
        <w:t>研发投入</w:t>
      </w:r>
      <w:r>
        <w:rPr>
          <w:b w:val="0"/>
          <w:bCs w:val="0"/>
        </w:rPr>
      </w:r>
    </w:p>
    <w:p>
      <w:pPr>
        <w:pStyle w:val="Heading2"/>
        <w:spacing w:line="240" w:lineRule="auto" w:before="106"/>
        <w:ind w:left="758" w:right="-19"/>
        <w:jc w:val="left"/>
        <w:rPr>
          <w:b w:val="0"/>
          <w:bCs w:val="0"/>
        </w:rPr>
      </w:pPr>
      <w:r>
        <w:rPr/>
        <w:t>研发投入情况表</w:t>
      </w:r>
      <w:r>
        <w:rPr>
          <w:b w:val="0"/>
          <w:bCs w:val="0"/>
        </w:rPr>
      </w:r>
    </w:p>
    <w:p>
      <w:pPr>
        <w:pStyle w:val="BodyText"/>
        <w:tabs>
          <w:tab w:pos="1717" w:val="left" w:leader="none"/>
        </w:tabs>
        <w:spacing w:line="240" w:lineRule="auto" w:before="106"/>
        <w:ind w:left="758" w:right="-19"/>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8"/>
          <w:szCs w:val="28"/>
        </w:rPr>
      </w:pPr>
    </w:p>
    <w:p>
      <w:pPr>
        <w:pStyle w:val="BodyText"/>
        <w:spacing w:line="240" w:lineRule="auto"/>
        <w:ind w:left="758" w:right="0"/>
        <w:jc w:val="left"/>
      </w:pPr>
      <w:r>
        <w:rPr/>
        <w:t>单位：元</w:t>
      </w:r>
    </w:p>
    <w:p>
      <w:pPr>
        <w:spacing w:after="0" w:line="240" w:lineRule="auto"/>
        <w:jc w:val="left"/>
        <w:sectPr>
          <w:type w:val="continuous"/>
          <w:pgSz w:w="11910" w:h="16840"/>
          <w:pgMar w:top="1000" w:bottom="280" w:left="1040" w:right="500"/>
          <w:cols w:num="2" w:equalWidth="0">
            <w:col w:w="2679" w:space="5195"/>
            <w:col w:w="2496"/>
          </w:cols>
        </w:sectPr>
      </w:pPr>
    </w:p>
    <w:p>
      <w:pPr>
        <w:spacing w:line="240" w:lineRule="auto" w:before="10"/>
        <w:rPr>
          <w:rFonts w:ascii="宋体" w:hAnsi="宋体" w:cs="宋体" w:eastAsia="宋体" w:hint="default"/>
          <w:sz w:val="2"/>
          <w:szCs w:val="2"/>
        </w:rPr>
      </w:pPr>
    </w:p>
    <w:tbl>
      <w:tblPr>
        <w:tblW w:w="0" w:type="auto"/>
        <w:jc w:val="left"/>
        <w:tblInd w:w="520" w:type="dxa"/>
        <w:tblLayout w:type="fixed"/>
        <w:tblCellMar>
          <w:top w:w="0" w:type="dxa"/>
          <w:left w:w="0" w:type="dxa"/>
          <w:bottom w:w="0" w:type="dxa"/>
          <w:right w:w="0" w:type="dxa"/>
        </w:tblCellMar>
        <w:tblLook w:val="01E0"/>
      </w:tblPr>
      <w:tblGrid>
        <w:gridCol w:w="3262"/>
        <w:gridCol w:w="1896"/>
        <w:gridCol w:w="1896"/>
        <w:gridCol w:w="2247"/>
      </w:tblGrid>
      <w:tr>
        <w:trPr>
          <w:trHeight w:val="37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91"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91"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0"/>
              <w:jc w:val="right"/>
              <w:rPr>
                <w:rFonts w:ascii="宋体" w:hAnsi="宋体" w:cs="宋体" w:eastAsia="宋体" w:hint="default"/>
                <w:sz w:val="21"/>
                <w:szCs w:val="21"/>
              </w:rPr>
            </w:pPr>
            <w:r>
              <w:rPr>
                <w:rFonts w:ascii="宋体" w:hAnsi="宋体" w:cs="宋体" w:eastAsia="宋体" w:hint="default"/>
                <w:b/>
                <w:bCs/>
                <w:sz w:val="21"/>
                <w:szCs w:val="21"/>
              </w:rPr>
              <w:t>本期与上期同比增幅</w:t>
            </w:r>
            <w:r>
              <w:rPr>
                <w:rFonts w:ascii="宋体" w:hAnsi="宋体" w:cs="宋体" w:eastAsia="宋体" w:hint="default"/>
                <w:sz w:val="21"/>
                <w:szCs w:val="21"/>
              </w:rPr>
            </w:r>
          </w:p>
        </w:tc>
      </w:tr>
      <w:tr>
        <w:trPr>
          <w:trHeight w:val="37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pacing w:val="-1"/>
                <w:sz w:val="21"/>
              </w:rPr>
              <w:t>621,151,084.34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pacing w:val="-1"/>
                <w:sz w:val="21"/>
              </w:rPr>
              <w:t>579,250,044.55</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z w:val="21"/>
              </w:rPr>
              <w:t>7.23%</w:t>
            </w:r>
          </w:p>
        </w:tc>
      </w:tr>
      <w:tr>
        <w:trPr>
          <w:trHeight w:val="37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797,781,275.70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809,495,362.05</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z w:val="21"/>
              </w:rPr>
              <w:t>-1.45%</w:t>
            </w:r>
          </w:p>
        </w:tc>
      </w:tr>
      <w:tr>
        <w:trPr>
          <w:trHeight w:val="37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1,418,932,360.04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0"/>
              <w:jc w:val="right"/>
              <w:rPr>
                <w:rFonts w:ascii="宋体" w:hAnsi="宋体" w:cs="宋体" w:eastAsia="宋体" w:hint="default"/>
                <w:sz w:val="21"/>
                <w:szCs w:val="21"/>
              </w:rPr>
            </w:pPr>
            <w:r>
              <w:rPr>
                <w:rFonts w:ascii="宋体"/>
                <w:spacing w:val="-1"/>
                <w:sz w:val="21"/>
              </w:rPr>
              <w:t>1,388,745,406.60</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z w:val="21"/>
              </w:rPr>
              <w:t>2.17%</w:t>
            </w:r>
          </w:p>
        </w:tc>
      </w:tr>
      <w:tr>
        <w:trPr>
          <w:trHeight w:val="37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z w:val="21"/>
              </w:rPr>
              <w:t>5.71%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z w:val="21"/>
              </w:rPr>
              <w:t>5.34%</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z w:val="21"/>
              </w:rPr>
              <w:t>0.37%</w:t>
            </w:r>
          </w:p>
        </w:tc>
      </w:tr>
      <w:tr>
        <w:trPr>
          <w:trHeight w:val="37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z w:val="21"/>
              </w:rPr>
              <w:t>56.22%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z w:val="21"/>
              </w:rPr>
              <w:t>58.29%</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z w:val="21"/>
              </w:rPr>
              <w:t>-2.07%</w:t>
            </w:r>
          </w:p>
        </w:tc>
      </w:tr>
    </w:tbl>
    <w:p>
      <w:pPr>
        <w:spacing w:line="240" w:lineRule="auto" w:before="0"/>
        <w:rPr>
          <w:rFonts w:ascii="宋体" w:hAnsi="宋体" w:cs="宋体" w:eastAsia="宋体" w:hint="default"/>
          <w:sz w:val="27"/>
          <w:szCs w:val="27"/>
        </w:rPr>
      </w:pPr>
    </w:p>
    <w:p>
      <w:pPr>
        <w:pStyle w:val="Heading2"/>
        <w:spacing w:line="240" w:lineRule="auto" w:before="26"/>
        <w:ind w:left="758" w:right="769"/>
        <w:jc w:val="left"/>
        <w:rPr>
          <w:b w:val="0"/>
          <w:bCs w:val="0"/>
        </w:rPr>
      </w:pPr>
      <w:r>
        <w:rPr/>
        <w:t>情况说明</w:t>
      </w:r>
      <w:r>
        <w:rPr>
          <w:b w:val="0"/>
          <w:bCs w:val="0"/>
        </w:rPr>
      </w:r>
    </w:p>
    <w:p>
      <w:pPr>
        <w:pStyle w:val="BodyText"/>
        <w:spacing w:line="321" w:lineRule="auto" w:before="106"/>
        <w:ind w:left="1178" w:right="3168" w:hanging="420"/>
        <w:jc w:val="left"/>
      </w:pPr>
      <w:r>
        <w:rPr/>
        <w:t>√适用</w:t>
      </w:r>
      <w:r>
        <w:rPr>
          <w:spacing w:val="-1"/>
        </w:rPr>
        <w:t> </w:t>
      </w:r>
      <w:r>
        <w:rPr/>
        <w:t>□不适用</w:t>
      </w:r>
      <w:r>
        <w:rPr/>
        <w:t> 本年度，公司研发支出与上年相比变动不大，略有上升。</w:t>
      </w:r>
    </w:p>
    <w:p>
      <w:pPr>
        <w:spacing w:line="240" w:lineRule="auto" w:before="5"/>
        <w:rPr>
          <w:rFonts w:ascii="宋体" w:hAnsi="宋体" w:cs="宋体" w:eastAsia="宋体" w:hint="default"/>
          <w:sz w:val="29"/>
          <w:szCs w:val="29"/>
        </w:rPr>
      </w:pPr>
    </w:p>
    <w:p>
      <w:pPr>
        <w:pStyle w:val="Heading2"/>
        <w:spacing w:line="240" w:lineRule="auto"/>
        <w:ind w:left="758" w:right="769"/>
        <w:jc w:val="left"/>
        <w:rPr>
          <w:b w:val="0"/>
          <w:bCs w:val="0"/>
        </w:rPr>
      </w:pPr>
      <w:r>
        <w:rPr>
          <w:rFonts w:ascii="宋体" w:hAnsi="宋体" w:cs="宋体" w:eastAsia="宋体" w:hint="default"/>
        </w:rPr>
        <w:t>5.</w:t>
      </w:r>
      <w:r>
        <w:rPr>
          <w:rFonts w:ascii="宋体" w:hAnsi="宋体" w:cs="宋体" w:eastAsia="宋体" w:hint="default"/>
          <w:spacing w:val="55"/>
        </w:rPr>
        <w:t> </w:t>
      </w:r>
      <w:r>
        <w:rPr/>
        <w:t>现金流</w:t>
      </w:r>
      <w:r>
        <w:rPr>
          <w:b w:val="0"/>
          <w:bCs w:val="0"/>
        </w:rPr>
      </w:r>
    </w:p>
    <w:p>
      <w:pPr>
        <w:pStyle w:val="BodyText"/>
        <w:spacing w:line="240" w:lineRule="auto" w:before="106"/>
        <w:ind w:left="758" w:right="769"/>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383" w:type="dxa"/>
        <w:tblLayout w:type="fixed"/>
        <w:tblCellMar>
          <w:top w:w="0" w:type="dxa"/>
          <w:left w:w="0" w:type="dxa"/>
          <w:bottom w:w="0" w:type="dxa"/>
          <w:right w:w="0" w:type="dxa"/>
        </w:tblCellMar>
        <w:tblLook w:val="01E0"/>
      </w:tblPr>
      <w:tblGrid>
        <w:gridCol w:w="3231"/>
        <w:gridCol w:w="2340"/>
        <w:gridCol w:w="2000"/>
        <w:gridCol w:w="2002"/>
      </w:tblGrid>
      <w:tr>
        <w:trPr>
          <w:trHeight w:val="37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76" w:right="0"/>
              <w:jc w:val="left"/>
              <w:rPr>
                <w:rFonts w:ascii="宋体" w:hAnsi="宋体" w:cs="宋体" w:eastAsia="宋体" w:hint="default"/>
                <w:sz w:val="21"/>
                <w:szCs w:val="21"/>
              </w:rPr>
            </w:pPr>
            <w:r>
              <w:rPr>
                <w:rFonts w:ascii="宋体" w:hAnsi="宋体" w:cs="宋体" w:eastAsia="宋体" w:hint="default"/>
                <w:b/>
                <w:bCs/>
                <w:sz w:val="21"/>
                <w:szCs w:val="21"/>
              </w:rPr>
              <w:t>主要财务指标</w:t>
            </w:r>
            <w:r>
              <w:rPr>
                <w:rFonts w:ascii="宋体" w:hAnsi="宋体" w:cs="宋体" w:eastAsia="宋体" w:hint="default"/>
                <w:sz w:val="21"/>
                <w:szCs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12"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44"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73" w:right="0"/>
              <w:jc w:val="left"/>
              <w:rPr>
                <w:rFonts w:ascii="宋体" w:hAnsi="宋体" w:cs="宋体" w:eastAsia="宋体" w:hint="default"/>
                <w:sz w:val="21"/>
                <w:szCs w:val="21"/>
              </w:rPr>
            </w:pPr>
            <w:r>
              <w:rPr>
                <w:rFonts w:ascii="宋体" w:hAnsi="宋体" w:cs="宋体" w:eastAsia="宋体" w:hint="default"/>
                <w:b/>
                <w:bCs/>
                <w:sz w:val="21"/>
                <w:szCs w:val="21"/>
              </w:rPr>
              <w:t>变动金额</w:t>
            </w:r>
            <w:r>
              <w:rPr>
                <w:rFonts w:ascii="宋体" w:hAnsi="宋体" w:cs="宋体" w:eastAsia="宋体" w:hint="default"/>
                <w:sz w:val="21"/>
                <w:szCs w:val="21"/>
              </w:rPr>
            </w:r>
          </w:p>
        </w:tc>
      </w:tr>
      <w:tr>
        <w:trPr>
          <w:trHeight w:val="37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经营性现金流净额</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pacing w:val="-1"/>
                <w:sz w:val="21"/>
              </w:rPr>
              <w:t>-525,453,478.46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pacing w:val="-1"/>
                <w:sz w:val="21"/>
              </w:rPr>
              <w:t>453,445,936.52</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-978,899,414.98</w:t>
            </w:r>
          </w:p>
        </w:tc>
      </w:tr>
      <w:tr>
        <w:trPr>
          <w:trHeight w:val="372"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投资性现金流净额</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pacing w:val="-1"/>
                <w:sz w:val="21"/>
              </w:rPr>
              <w:t>-1,966,130,687.57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pacing w:val="-1"/>
                <w:sz w:val="21"/>
              </w:rPr>
              <w:t>-6,194,006,144.74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4,227,875,457.17</w:t>
            </w:r>
          </w:p>
        </w:tc>
      </w:tr>
      <w:tr>
        <w:trPr>
          <w:trHeight w:val="37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筹资性现金流净额</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2,056,046,703.65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4,572,621,841.46</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-2,516,575,137.81</w:t>
            </w:r>
          </w:p>
        </w:tc>
      </w:tr>
      <w:tr>
        <w:trPr>
          <w:trHeight w:val="37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其中：长短期借款净增加额</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pacing w:val="-1"/>
                <w:sz w:val="21"/>
              </w:rPr>
              <w:t>3,438,585,466.98</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pacing w:val="-1"/>
                <w:sz w:val="21"/>
              </w:rPr>
              <w:t>6,122,061,095.59</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-2,683,475,628.61</w:t>
            </w:r>
          </w:p>
        </w:tc>
      </w:tr>
      <w:tr>
        <w:trPr>
          <w:trHeight w:val="370" w:hRule="exact"/>
        </w:trPr>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经营性现金流净额与流动负债比</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21"/>
                <w:szCs w:val="21"/>
              </w:rPr>
            </w:pPr>
            <w:r>
              <w:rPr>
                <w:rFonts w:ascii="宋体"/>
                <w:sz w:val="21"/>
              </w:rPr>
              <w:t>-0.02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9"/>
              <w:jc w:val="right"/>
              <w:rPr>
                <w:rFonts w:ascii="宋体" w:hAnsi="宋体" w:cs="宋体" w:eastAsia="宋体" w:hint="default"/>
                <w:sz w:val="21"/>
                <w:szCs w:val="21"/>
              </w:rPr>
            </w:pPr>
            <w:r>
              <w:rPr>
                <w:rFonts w:ascii="宋体"/>
                <w:sz w:val="21"/>
              </w:rPr>
              <w:t>0.01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z w:val="21"/>
              </w:rPr>
              <w:t>-0.03</w:t>
            </w:r>
          </w:p>
        </w:tc>
      </w:tr>
    </w:tbl>
    <w:p>
      <w:pPr>
        <w:spacing w:after="0" w:line="240" w:lineRule="auto"/>
        <w:jc w:val="right"/>
        <w:rPr>
          <w:rFonts w:ascii="宋体" w:hAnsi="宋体" w:cs="宋体" w:eastAsia="宋体" w:hint="default"/>
          <w:sz w:val="21"/>
          <w:szCs w:val="21"/>
        </w:rPr>
        <w:sectPr>
          <w:type w:val="continuous"/>
          <w:pgSz w:w="11910" w:h="16840"/>
          <w:pgMar w:top="1000" w:bottom="280" w:left="1040" w:right="500"/>
        </w:sectPr>
      </w:pPr>
    </w:p>
    <w:p>
      <w:pPr>
        <w:spacing w:before="25"/>
        <w:ind w:left="4413" w:right="442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64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BodyText"/>
        <w:spacing w:line="276" w:lineRule="auto" w:before="26"/>
        <w:ind w:left="678" w:right="674" w:firstLine="419"/>
        <w:jc w:val="both"/>
      </w:pPr>
      <w:r>
        <w:rPr/>
        <w:t>本年度，公司经营活动产生的现金流量较上年变动较大，主要是公司安防、知识 </w:t>
      </w:r>
      <w:r>
        <w:rPr>
          <w:spacing w:val="-2"/>
        </w:rPr>
        <w:t>网络、节能等业务的人工等付现成本较上年增加；公司投资活动产生的现金流量较上</w:t>
      </w:r>
      <w:r>
        <w:rPr>
          <w:spacing w:val="-94"/>
        </w:rPr>
        <w:t> </w:t>
      </w:r>
      <w:r>
        <w:rPr>
          <w:spacing w:val="-94"/>
        </w:rPr>
      </w:r>
      <w:r>
        <w:rPr>
          <w:spacing w:val="-2"/>
        </w:rPr>
        <w:t>年变动较大，主要是上年公司对外权益投资规模较大所致；筹资活动产生的现金流量</w:t>
      </w:r>
      <w:r>
        <w:rPr>
          <w:spacing w:val="-94"/>
        </w:rPr>
        <w:t> </w:t>
      </w:r>
      <w:r>
        <w:rPr>
          <w:spacing w:val="-94"/>
        </w:rPr>
      </w:r>
      <w:r>
        <w:rPr/>
        <w:t>较上年变动较大，主要是公司本年负息债务融资规模较上年减少所致。</w:t>
      </w:r>
    </w:p>
    <w:p>
      <w:pPr>
        <w:spacing w:line="240" w:lineRule="auto" w:before="11"/>
        <w:rPr>
          <w:rFonts w:ascii="宋体" w:hAnsi="宋体" w:cs="宋体" w:eastAsia="宋体" w:hint="default"/>
          <w:sz w:val="32"/>
          <w:szCs w:val="32"/>
        </w:rPr>
      </w:pPr>
    </w:p>
    <w:p>
      <w:pPr>
        <w:pStyle w:val="Heading2"/>
        <w:tabs>
          <w:tab w:pos="1517" w:val="left" w:leader="none"/>
        </w:tabs>
        <w:spacing w:line="240" w:lineRule="auto"/>
        <w:ind w:left="678" w:right="419"/>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非主营业务导致利润重大变化的说明</w:t>
      </w:r>
      <w:r>
        <w:rPr>
          <w:b w:val="0"/>
          <w:bCs w:val="0"/>
        </w:rPr>
      </w:r>
    </w:p>
    <w:p>
      <w:pPr>
        <w:pStyle w:val="BodyText"/>
        <w:spacing w:line="240" w:lineRule="auto" w:before="106"/>
        <w:ind w:left="678" w:right="419"/>
        <w:jc w:val="left"/>
      </w:pPr>
      <w:r>
        <w:rPr/>
        <w:t>√适用</w:t>
      </w:r>
      <w:r>
        <w:rPr>
          <w:spacing w:val="-1"/>
        </w:rPr>
        <w:t> </w:t>
      </w:r>
      <w:r>
        <w:rPr/>
        <w:t>□不适用</w:t>
      </w:r>
    </w:p>
    <w:p>
      <w:pPr>
        <w:pStyle w:val="BodyText"/>
        <w:spacing w:line="276" w:lineRule="auto" w:before="46"/>
        <w:ind w:left="678" w:right="419" w:firstLine="419"/>
        <w:jc w:val="left"/>
      </w:pPr>
      <w:r>
        <w:rPr>
          <w:spacing w:val="-2"/>
        </w:rPr>
        <w:t>公司本年度出现了大幅度的亏损，实现归属于上市公司股东的净利润</w:t>
      </w:r>
      <w:r>
        <w:rPr>
          <w:rFonts w:ascii="宋体" w:hAnsi="宋体" w:cs="宋体" w:eastAsia="宋体" w:hint="default"/>
          <w:spacing w:val="-2"/>
        </w:rPr>
        <w:t>-38.80</w:t>
      </w:r>
      <w:r>
        <w:rPr>
          <w:rFonts w:ascii="宋体" w:hAnsi="宋体" w:cs="宋体" w:eastAsia="宋体" w:hint="default"/>
          <w:spacing w:val="-38"/>
        </w:rPr>
        <w:t> </w:t>
      </w:r>
      <w:r>
        <w:rPr/>
        <w:t>亿元。 主要原因有：公司下属的壹人壹本因市场竞争加剧、新产品投放效果不理想，业务进 入了下行拐点，出现了收入下滑和亏损，这使得公司对其在期末计提了大额商誉和无 形资产减值；公司投资的深圳华融泰、中国医疗网络、广电信息、同方康泰等长期股 权投资和可供出售金融资产，由于其自身或其持有的上市公司股票价格的波动，使得 其公允价值发生了大幅下跌，并使得公司期末计提了大额长期股权投资和可供出售金 融资产减值；由于公司当期和未来调整产业布局战略的不断推进，也使得公司部分老 旧业务的存货出现了减值迹象，并使得公司期末计提了大额的存货减值。此外，部分 </w:t>
      </w:r>
      <w:r>
        <w:rPr>
          <w:spacing w:val="4"/>
        </w:rPr>
        <w:t>老旧产业成本上升、财务费用支出加大、部分联营企业影响等因素叠加使得公司在</w:t>
      </w:r>
      <w:r>
        <w:rPr>
          <w:spacing w:val="-98"/>
        </w:rPr>
        <w:t> </w:t>
      </w:r>
      <w:r>
        <w:rPr>
          <w:spacing w:val="-98"/>
        </w:rPr>
      </w:r>
      <w:r>
        <w:rPr>
          <w:rFonts w:ascii="宋体" w:hAnsi="宋体" w:cs="宋体" w:eastAsia="宋体" w:hint="default"/>
        </w:rPr>
        <w:t>2018</w:t>
      </w:r>
      <w:r>
        <w:rPr>
          <w:rFonts w:ascii="宋体" w:hAnsi="宋体" w:cs="宋体" w:eastAsia="宋体" w:hint="default"/>
          <w:spacing w:val="-61"/>
        </w:rPr>
        <w:t> </w:t>
      </w:r>
      <w:r>
        <w:rPr/>
        <w:t>年出现了大幅度的亏损。</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3" w:top="780" w:bottom="1380" w:left="1120" w:right="600"/>
        </w:sectPr>
      </w:pPr>
    </w:p>
    <w:p>
      <w:pPr>
        <w:pStyle w:val="Heading2"/>
        <w:tabs>
          <w:tab w:pos="1517" w:val="left" w:leader="none"/>
        </w:tabs>
        <w:spacing w:line="240" w:lineRule="auto" w:before="168"/>
        <w:ind w:left="678" w:right="-19"/>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tabs>
          <w:tab w:pos="1637" w:val="left" w:leader="none"/>
        </w:tabs>
        <w:spacing w:line="321" w:lineRule="auto" w:before="106"/>
        <w:ind w:left="678" w:right="894" w:firstLine="0"/>
        <w:jc w:val="left"/>
        <w:rPr>
          <w:rFonts w:ascii="宋体" w:hAnsi="宋体" w:cs="宋体" w:eastAsia="宋体" w:hint="default"/>
          <w:sz w:val="24"/>
          <w:szCs w:val="24"/>
        </w:rPr>
      </w:pPr>
      <w:r>
        <w:rPr>
          <w:rFonts w:ascii="宋体" w:hAnsi="宋体" w:cs="宋体" w:eastAsia="宋体" w:hint="default"/>
          <w:spacing w:val="-1"/>
          <w:sz w:val="24"/>
          <w:szCs w:val="24"/>
        </w:rPr>
        <w:t>√适用</w:t>
        <w:tab/>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pacing w:val="60"/>
          <w:sz w:val="24"/>
          <w:szCs w:val="24"/>
        </w:rPr>
        <w:t> </w:t>
      </w:r>
      <w:r>
        <w:rPr>
          <w:rFonts w:ascii="宋体" w:hAnsi="宋体" w:cs="宋体" w:eastAsia="宋体" w:hint="default"/>
          <w:b/>
          <w:bCs/>
          <w:sz w:val="24"/>
          <w:szCs w:val="24"/>
        </w:rPr>
        <w:t>资产及负债状况</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33"/>
          <w:szCs w:val="33"/>
        </w:rPr>
      </w:pPr>
    </w:p>
    <w:p>
      <w:pPr>
        <w:pStyle w:val="BodyText"/>
        <w:spacing w:line="240" w:lineRule="auto"/>
        <w:ind w:left="678" w:right="0"/>
        <w:jc w:val="left"/>
      </w:pPr>
      <w:r>
        <w:rPr/>
        <w:t>单位：元</w:t>
      </w:r>
    </w:p>
    <w:p>
      <w:pPr>
        <w:spacing w:after="0" w:line="240" w:lineRule="auto"/>
        <w:jc w:val="left"/>
        <w:sectPr>
          <w:type w:val="continuous"/>
          <w:pgSz w:w="11910" w:h="16840"/>
          <w:pgMar w:top="1000" w:bottom="280" w:left="1120" w:right="600"/>
          <w:cols w:num="2" w:equalWidth="0">
            <w:col w:w="3687" w:space="4186"/>
            <w:col w:w="2317"/>
          </w:cols>
        </w:sectPr>
      </w:pPr>
    </w:p>
    <w:p>
      <w:pPr>
        <w:spacing w:line="240" w:lineRule="auto" w:before="12"/>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720"/>
        <w:gridCol w:w="2002"/>
        <w:gridCol w:w="1102"/>
        <w:gridCol w:w="2000"/>
        <w:gridCol w:w="967"/>
        <w:gridCol w:w="1162"/>
      </w:tblGrid>
      <w:tr>
        <w:trPr>
          <w:trHeight w:val="137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67" w:right="0"/>
              <w:jc w:val="left"/>
              <w:rPr>
                <w:rFonts w:ascii="宋体" w:hAnsi="宋体" w:cs="宋体" w:eastAsia="宋体" w:hint="default"/>
                <w:sz w:val="21"/>
                <w:szCs w:val="21"/>
              </w:rPr>
            </w:pPr>
            <w:r>
              <w:rPr>
                <w:rFonts w:ascii="宋体" w:hAnsi="宋体" w:cs="宋体" w:eastAsia="宋体" w:hint="default"/>
                <w:b/>
                <w:bCs/>
                <w:sz w:val="21"/>
                <w:szCs w:val="21"/>
              </w:rPr>
              <w:t>本期期末数</w:t>
            </w:r>
            <w:r>
              <w:rPr>
                <w:rFonts w:ascii="宋体" w:hAnsi="宋体" w:cs="宋体" w:eastAsia="宋体" w:hint="default"/>
                <w:sz w:val="21"/>
                <w:szCs w:val="21"/>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4" w:right="120"/>
              <w:jc w:val="both"/>
              <w:rPr>
                <w:rFonts w:ascii="宋体" w:hAnsi="宋体" w:cs="宋体" w:eastAsia="宋体" w:hint="default"/>
                <w:sz w:val="21"/>
                <w:szCs w:val="21"/>
              </w:rPr>
            </w:pPr>
            <w:r>
              <w:rPr>
                <w:rFonts w:ascii="宋体" w:hAnsi="宋体" w:cs="宋体" w:eastAsia="宋体" w:hint="default"/>
                <w:b/>
                <w:bCs/>
                <w:sz w:val="21"/>
                <w:szCs w:val="21"/>
              </w:rPr>
              <w:t>本期期末</w:t>
            </w:r>
            <w:r>
              <w:rPr>
                <w:rFonts w:ascii="宋体" w:hAnsi="宋体" w:cs="宋体" w:eastAsia="宋体" w:hint="default"/>
                <w:b/>
                <w:bCs/>
                <w:w w:val="100"/>
                <w:sz w:val="21"/>
                <w:szCs w:val="21"/>
              </w:rPr>
              <w:t> </w:t>
            </w:r>
            <w:r>
              <w:rPr>
                <w:rFonts w:ascii="宋体" w:hAnsi="宋体" w:cs="宋体" w:eastAsia="宋体" w:hint="default"/>
                <w:b/>
                <w:bCs/>
                <w:sz w:val="21"/>
                <w:szCs w:val="21"/>
              </w:rPr>
              <w:t>数占总资</w:t>
            </w:r>
            <w:r>
              <w:rPr>
                <w:rFonts w:ascii="宋体" w:hAnsi="宋体" w:cs="宋体" w:eastAsia="宋体" w:hint="default"/>
                <w:b/>
                <w:bCs/>
                <w:w w:val="100"/>
                <w:sz w:val="21"/>
                <w:szCs w:val="21"/>
              </w:rPr>
              <w:t> </w:t>
            </w:r>
            <w:r>
              <w:rPr>
                <w:rFonts w:ascii="宋体" w:hAnsi="宋体" w:cs="宋体" w:eastAsia="宋体" w:hint="default"/>
                <w:b/>
                <w:bCs/>
                <w:sz w:val="21"/>
                <w:szCs w:val="21"/>
              </w:rPr>
              <w:t>产的比例</w:t>
            </w:r>
            <w:r>
              <w:rPr>
                <w:rFonts w:ascii="宋体" w:hAnsi="宋体" w:cs="宋体" w:eastAsia="宋体" w:hint="default"/>
                <w:sz w:val="21"/>
                <w:szCs w:val="21"/>
              </w:rPr>
            </w:r>
          </w:p>
          <w:p>
            <w:pPr>
              <w:pStyle w:val="TableParagraph"/>
              <w:spacing w:line="271"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b/>
                <w:bCs/>
                <w:sz w:val="21"/>
                <w:szCs w:val="21"/>
              </w:rPr>
              <w:t>上期期末数</w:t>
            </w:r>
            <w:r>
              <w:rPr>
                <w:rFonts w:ascii="宋体" w:hAnsi="宋体" w:cs="宋体" w:eastAsia="宋体" w:hint="default"/>
                <w:sz w:val="21"/>
                <w:szCs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both"/>
              <w:rPr>
                <w:rFonts w:ascii="宋体" w:hAnsi="宋体" w:cs="宋体" w:eastAsia="宋体" w:hint="default"/>
                <w:sz w:val="21"/>
                <w:szCs w:val="21"/>
              </w:rPr>
            </w:pPr>
            <w:r>
              <w:rPr>
                <w:rFonts w:ascii="宋体" w:hAnsi="宋体" w:cs="宋体" w:eastAsia="宋体" w:hint="default"/>
                <w:b/>
                <w:bCs/>
                <w:sz w:val="21"/>
                <w:szCs w:val="21"/>
              </w:rPr>
              <w:t>上期期</w:t>
            </w:r>
            <w:r>
              <w:rPr>
                <w:rFonts w:ascii="宋体" w:hAnsi="宋体" w:cs="宋体" w:eastAsia="宋体" w:hint="default"/>
                <w:sz w:val="21"/>
                <w:szCs w:val="21"/>
              </w:rPr>
            </w:r>
          </w:p>
          <w:p>
            <w:pPr>
              <w:pStyle w:val="TableParagraph"/>
              <w:spacing w:line="237" w:lineRule="auto" w:before="2"/>
              <w:ind w:left="160" w:right="161"/>
              <w:jc w:val="both"/>
              <w:rPr>
                <w:rFonts w:ascii="宋体" w:hAnsi="宋体" w:cs="宋体" w:eastAsia="宋体" w:hint="default"/>
                <w:sz w:val="21"/>
                <w:szCs w:val="21"/>
              </w:rPr>
            </w:pPr>
            <w:r>
              <w:rPr>
                <w:rFonts w:ascii="宋体" w:hAnsi="宋体" w:cs="宋体" w:eastAsia="宋体" w:hint="default"/>
                <w:b/>
                <w:bCs/>
                <w:sz w:val="21"/>
                <w:szCs w:val="21"/>
              </w:rPr>
              <w:t>末数占</w:t>
            </w:r>
            <w:r>
              <w:rPr>
                <w:rFonts w:ascii="宋体" w:hAnsi="宋体" w:cs="宋体" w:eastAsia="宋体" w:hint="default"/>
                <w:b/>
                <w:bCs/>
                <w:w w:val="100"/>
                <w:sz w:val="21"/>
                <w:szCs w:val="21"/>
              </w:rPr>
              <w:t> </w:t>
            </w:r>
            <w:r>
              <w:rPr>
                <w:rFonts w:ascii="宋体" w:hAnsi="宋体" w:cs="宋体" w:eastAsia="宋体" w:hint="default"/>
                <w:b/>
                <w:bCs/>
                <w:sz w:val="21"/>
                <w:szCs w:val="21"/>
              </w:rPr>
              <w:t>总资产</w:t>
            </w:r>
            <w:r>
              <w:rPr>
                <w:rFonts w:ascii="宋体" w:hAnsi="宋体" w:cs="宋体" w:eastAsia="宋体" w:hint="default"/>
                <w:b/>
                <w:bCs/>
                <w:w w:val="100"/>
                <w:sz w:val="21"/>
                <w:szCs w:val="21"/>
              </w:rPr>
              <w:t> </w:t>
            </w:r>
            <w:r>
              <w:rPr>
                <w:rFonts w:ascii="宋体" w:hAnsi="宋体" w:cs="宋体" w:eastAsia="宋体" w:hint="default"/>
                <w:b/>
                <w:bCs/>
                <w:sz w:val="21"/>
                <w:szCs w:val="21"/>
              </w:rPr>
              <w:t>的比例</w:t>
            </w:r>
            <w:r>
              <w:rPr>
                <w:rFonts w:ascii="宋体" w:hAnsi="宋体" w:cs="宋体" w:eastAsia="宋体" w:hint="default"/>
                <w:sz w:val="21"/>
                <w:szCs w:val="21"/>
              </w:rPr>
            </w:r>
          </w:p>
          <w:p>
            <w:pPr>
              <w:pStyle w:val="TableParagraph"/>
              <w:spacing w:line="271" w:lineRule="exact"/>
              <w:ind w:left="213" w:right="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both"/>
              <w:rPr>
                <w:rFonts w:ascii="宋体" w:hAnsi="宋体" w:cs="宋体" w:eastAsia="宋体" w:hint="default"/>
                <w:sz w:val="21"/>
                <w:szCs w:val="21"/>
              </w:rPr>
            </w:pPr>
            <w:r>
              <w:rPr>
                <w:rFonts w:ascii="宋体" w:hAnsi="宋体" w:cs="宋体" w:eastAsia="宋体" w:hint="default"/>
                <w:b/>
                <w:bCs/>
                <w:sz w:val="21"/>
                <w:szCs w:val="21"/>
              </w:rPr>
              <w:t>本期期末</w:t>
            </w:r>
            <w:r>
              <w:rPr>
                <w:rFonts w:ascii="宋体" w:hAnsi="宋体" w:cs="宋体" w:eastAsia="宋体" w:hint="default"/>
                <w:sz w:val="21"/>
                <w:szCs w:val="21"/>
              </w:rPr>
            </w:r>
          </w:p>
          <w:p>
            <w:pPr>
              <w:pStyle w:val="TableParagraph"/>
              <w:spacing w:line="237" w:lineRule="auto" w:before="2"/>
              <w:ind w:left="153" w:right="151"/>
              <w:jc w:val="both"/>
              <w:rPr>
                <w:rFonts w:ascii="宋体" w:hAnsi="宋体" w:cs="宋体" w:eastAsia="宋体" w:hint="default"/>
                <w:sz w:val="21"/>
                <w:szCs w:val="21"/>
              </w:rPr>
            </w:pPr>
            <w:r>
              <w:rPr>
                <w:rFonts w:ascii="宋体" w:hAnsi="宋体" w:cs="宋体" w:eastAsia="宋体" w:hint="default"/>
                <w:b/>
                <w:bCs/>
                <w:sz w:val="21"/>
                <w:szCs w:val="21"/>
              </w:rPr>
              <w:t>金额较上</w:t>
            </w:r>
            <w:r>
              <w:rPr>
                <w:rFonts w:ascii="宋体" w:hAnsi="宋体" w:cs="宋体" w:eastAsia="宋体" w:hint="default"/>
                <w:b/>
                <w:bCs/>
                <w:w w:val="100"/>
                <w:sz w:val="21"/>
                <w:szCs w:val="21"/>
              </w:rPr>
              <w:t> </w:t>
            </w:r>
            <w:r>
              <w:rPr>
                <w:rFonts w:ascii="宋体" w:hAnsi="宋体" w:cs="宋体" w:eastAsia="宋体" w:hint="default"/>
                <w:b/>
                <w:bCs/>
                <w:sz w:val="21"/>
                <w:szCs w:val="21"/>
              </w:rPr>
              <w:t>期期末变</w:t>
            </w:r>
            <w:r>
              <w:rPr>
                <w:rFonts w:ascii="宋体" w:hAnsi="宋体" w:cs="宋体" w:eastAsia="宋体" w:hint="default"/>
                <w:b/>
                <w:bCs/>
                <w:w w:val="100"/>
                <w:sz w:val="21"/>
                <w:szCs w:val="21"/>
              </w:rPr>
              <w:t> </w:t>
            </w:r>
            <w:r>
              <w:rPr>
                <w:rFonts w:ascii="宋体" w:hAnsi="宋体" w:cs="宋体" w:eastAsia="宋体" w:hint="default"/>
                <w:b/>
                <w:bCs/>
                <w:sz w:val="21"/>
                <w:szCs w:val="21"/>
              </w:rPr>
              <w:t>动比例</w:t>
            </w:r>
            <w:r>
              <w:rPr>
                <w:rFonts w:ascii="宋体" w:hAnsi="宋体" w:cs="宋体" w:eastAsia="宋体" w:hint="default"/>
                <w:sz w:val="21"/>
                <w:szCs w:val="21"/>
              </w:rPr>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63,609,640,361.55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63,595,045,565.70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0.02%</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164,348,594.49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117,617,801.49</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39.73%</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1,807,985,241.91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869,951,903.92</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107.83%</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8,231,873.57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90,320,747.81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-90.89%</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3,559,853,165.78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5,050,744,183.01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7.94%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-29.52%</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772,964,600.00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1.22%</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14,200,000.00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5,343.41%</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151,333,226.31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0.24%</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1,174,919,183.63</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-87.12%</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61,233,435.32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47,029,810.30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30.20%</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888,480,206.06</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460,687,142.34</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0.72%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92.86%</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876,178,632.88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1.38%</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657,786,121.16</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33.20%</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604,574,118.57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0.95%</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309,472,311.95</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95.36%</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313,519,484.58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0.49%</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136,295,707.78</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130.03%</w:t>
            </w:r>
          </w:p>
        </w:tc>
      </w:tr>
      <w:tr>
        <w:trPr>
          <w:trHeight w:val="28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52,649,349.88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0.08%</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13,630,961.88</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0.02%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286.25%</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1,510,173,098.98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2.37%</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967,375,100.00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56.11%</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4,044,505,532.78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6,218,579,377.95</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9.78%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-34.96%</w:t>
            </w:r>
          </w:p>
        </w:tc>
      </w:tr>
    </w:tbl>
    <w:p>
      <w:pPr>
        <w:spacing w:after="0" w:line="241" w:lineRule="exact"/>
        <w:jc w:val="right"/>
        <w:rPr>
          <w:rFonts w:ascii="宋体" w:hAnsi="宋体" w:cs="宋体" w:eastAsia="宋体" w:hint="default"/>
          <w:sz w:val="21"/>
          <w:szCs w:val="21"/>
        </w:rPr>
        <w:sectPr>
          <w:type w:val="continuous"/>
          <w:pgSz w:w="11910" w:h="16840"/>
          <w:pgMar w:top="1000" w:bottom="280" w:left="1120" w:right="600"/>
        </w:sectPr>
      </w:pPr>
    </w:p>
    <w:p>
      <w:pPr>
        <w:spacing w:before="25"/>
        <w:ind w:left="4413" w:right="442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64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2720"/>
        <w:gridCol w:w="2002"/>
        <w:gridCol w:w="1102"/>
        <w:gridCol w:w="2000"/>
        <w:gridCol w:w="967"/>
        <w:gridCol w:w="1162"/>
      </w:tblGrid>
      <w:tr>
        <w:trPr>
          <w:trHeight w:val="137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67" w:right="0"/>
              <w:jc w:val="left"/>
              <w:rPr>
                <w:rFonts w:ascii="宋体" w:hAnsi="宋体" w:cs="宋体" w:eastAsia="宋体" w:hint="default"/>
                <w:sz w:val="21"/>
                <w:szCs w:val="21"/>
              </w:rPr>
            </w:pPr>
            <w:r>
              <w:rPr>
                <w:rFonts w:ascii="宋体" w:hAnsi="宋体" w:cs="宋体" w:eastAsia="宋体" w:hint="default"/>
                <w:b/>
                <w:bCs/>
                <w:sz w:val="21"/>
                <w:szCs w:val="21"/>
              </w:rPr>
              <w:t>本期期末数</w:t>
            </w:r>
            <w:r>
              <w:rPr>
                <w:rFonts w:ascii="宋体" w:hAnsi="宋体" w:cs="宋体" w:eastAsia="宋体" w:hint="default"/>
                <w:sz w:val="21"/>
                <w:szCs w:val="21"/>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24" w:right="120"/>
              <w:jc w:val="both"/>
              <w:rPr>
                <w:rFonts w:ascii="宋体" w:hAnsi="宋体" w:cs="宋体" w:eastAsia="宋体" w:hint="default"/>
                <w:sz w:val="21"/>
                <w:szCs w:val="21"/>
              </w:rPr>
            </w:pPr>
            <w:r>
              <w:rPr>
                <w:rFonts w:ascii="宋体" w:hAnsi="宋体" w:cs="宋体" w:eastAsia="宋体" w:hint="default"/>
                <w:b/>
                <w:bCs/>
                <w:sz w:val="21"/>
                <w:szCs w:val="21"/>
              </w:rPr>
              <w:t>本期期末</w:t>
            </w:r>
            <w:r>
              <w:rPr>
                <w:rFonts w:ascii="宋体" w:hAnsi="宋体" w:cs="宋体" w:eastAsia="宋体" w:hint="default"/>
                <w:b/>
                <w:bCs/>
                <w:w w:val="100"/>
                <w:sz w:val="21"/>
                <w:szCs w:val="21"/>
              </w:rPr>
              <w:t> </w:t>
            </w:r>
            <w:r>
              <w:rPr>
                <w:rFonts w:ascii="宋体" w:hAnsi="宋体" w:cs="宋体" w:eastAsia="宋体" w:hint="default"/>
                <w:b/>
                <w:bCs/>
                <w:sz w:val="21"/>
                <w:szCs w:val="21"/>
              </w:rPr>
              <w:t>数占总资</w:t>
            </w:r>
            <w:r>
              <w:rPr>
                <w:rFonts w:ascii="宋体" w:hAnsi="宋体" w:cs="宋体" w:eastAsia="宋体" w:hint="default"/>
                <w:b/>
                <w:bCs/>
                <w:w w:val="100"/>
                <w:sz w:val="21"/>
                <w:szCs w:val="21"/>
              </w:rPr>
              <w:t> </w:t>
            </w:r>
            <w:r>
              <w:rPr>
                <w:rFonts w:ascii="宋体" w:hAnsi="宋体" w:cs="宋体" w:eastAsia="宋体" w:hint="default"/>
                <w:b/>
                <w:bCs/>
                <w:sz w:val="21"/>
                <w:szCs w:val="21"/>
              </w:rPr>
              <w:t>产的比例</w:t>
            </w:r>
            <w:r>
              <w:rPr>
                <w:rFonts w:ascii="宋体" w:hAnsi="宋体" w:cs="宋体" w:eastAsia="宋体" w:hint="default"/>
                <w:sz w:val="21"/>
                <w:szCs w:val="21"/>
              </w:rPr>
            </w:r>
          </w:p>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b/>
                <w:bCs/>
                <w:sz w:val="21"/>
                <w:szCs w:val="21"/>
              </w:rPr>
              <w:t>上期期末数</w:t>
            </w:r>
            <w:r>
              <w:rPr>
                <w:rFonts w:ascii="宋体" w:hAnsi="宋体" w:cs="宋体" w:eastAsia="宋体" w:hint="default"/>
                <w:sz w:val="21"/>
                <w:szCs w:val="21"/>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60" w:right="0"/>
              <w:jc w:val="both"/>
              <w:rPr>
                <w:rFonts w:ascii="宋体" w:hAnsi="宋体" w:cs="宋体" w:eastAsia="宋体" w:hint="default"/>
                <w:sz w:val="21"/>
                <w:szCs w:val="21"/>
              </w:rPr>
            </w:pPr>
            <w:r>
              <w:rPr>
                <w:rFonts w:ascii="宋体" w:hAnsi="宋体" w:cs="宋体" w:eastAsia="宋体" w:hint="default"/>
                <w:b/>
                <w:bCs/>
                <w:sz w:val="21"/>
                <w:szCs w:val="21"/>
              </w:rPr>
              <w:t>上期期</w:t>
            </w:r>
            <w:r>
              <w:rPr>
                <w:rFonts w:ascii="宋体" w:hAnsi="宋体" w:cs="宋体" w:eastAsia="宋体" w:hint="default"/>
                <w:sz w:val="21"/>
                <w:szCs w:val="21"/>
              </w:rPr>
            </w:r>
          </w:p>
          <w:p>
            <w:pPr>
              <w:pStyle w:val="TableParagraph"/>
              <w:spacing w:line="237" w:lineRule="auto"/>
              <w:ind w:left="160" w:right="161"/>
              <w:jc w:val="both"/>
              <w:rPr>
                <w:rFonts w:ascii="宋体" w:hAnsi="宋体" w:cs="宋体" w:eastAsia="宋体" w:hint="default"/>
                <w:sz w:val="21"/>
                <w:szCs w:val="21"/>
              </w:rPr>
            </w:pPr>
            <w:r>
              <w:rPr>
                <w:rFonts w:ascii="宋体" w:hAnsi="宋体" w:cs="宋体" w:eastAsia="宋体" w:hint="default"/>
                <w:b/>
                <w:bCs/>
                <w:sz w:val="21"/>
                <w:szCs w:val="21"/>
              </w:rPr>
              <w:t>末数占</w:t>
            </w:r>
            <w:r>
              <w:rPr>
                <w:rFonts w:ascii="宋体" w:hAnsi="宋体" w:cs="宋体" w:eastAsia="宋体" w:hint="default"/>
                <w:b/>
                <w:bCs/>
                <w:w w:val="100"/>
                <w:sz w:val="21"/>
                <w:szCs w:val="21"/>
              </w:rPr>
              <w:t> </w:t>
            </w:r>
            <w:r>
              <w:rPr>
                <w:rFonts w:ascii="宋体" w:hAnsi="宋体" w:cs="宋体" w:eastAsia="宋体" w:hint="default"/>
                <w:b/>
                <w:bCs/>
                <w:sz w:val="21"/>
                <w:szCs w:val="21"/>
              </w:rPr>
              <w:t>总资产</w:t>
            </w:r>
            <w:r>
              <w:rPr>
                <w:rFonts w:ascii="宋体" w:hAnsi="宋体" w:cs="宋体" w:eastAsia="宋体" w:hint="default"/>
                <w:b/>
                <w:bCs/>
                <w:w w:val="100"/>
                <w:sz w:val="21"/>
                <w:szCs w:val="21"/>
              </w:rPr>
              <w:t> </w:t>
            </w:r>
            <w:r>
              <w:rPr>
                <w:rFonts w:ascii="宋体" w:hAnsi="宋体" w:cs="宋体" w:eastAsia="宋体" w:hint="default"/>
                <w:b/>
                <w:bCs/>
                <w:sz w:val="21"/>
                <w:szCs w:val="21"/>
              </w:rPr>
              <w:t>的比例</w:t>
            </w:r>
            <w:r>
              <w:rPr>
                <w:rFonts w:ascii="宋体" w:hAnsi="宋体" w:cs="宋体" w:eastAsia="宋体" w:hint="default"/>
                <w:sz w:val="21"/>
                <w:szCs w:val="21"/>
              </w:rPr>
            </w:r>
          </w:p>
          <w:p>
            <w:pPr>
              <w:pStyle w:val="TableParagraph"/>
              <w:spacing w:line="271" w:lineRule="exact"/>
              <w:ind w:left="213" w:right="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3" w:right="0"/>
              <w:jc w:val="both"/>
              <w:rPr>
                <w:rFonts w:ascii="宋体" w:hAnsi="宋体" w:cs="宋体" w:eastAsia="宋体" w:hint="default"/>
                <w:sz w:val="21"/>
                <w:szCs w:val="21"/>
              </w:rPr>
            </w:pPr>
            <w:r>
              <w:rPr>
                <w:rFonts w:ascii="宋体" w:hAnsi="宋体" w:cs="宋体" w:eastAsia="宋体" w:hint="default"/>
                <w:b/>
                <w:bCs/>
                <w:sz w:val="21"/>
                <w:szCs w:val="21"/>
              </w:rPr>
              <w:t>本期期末</w:t>
            </w:r>
            <w:r>
              <w:rPr>
                <w:rFonts w:ascii="宋体" w:hAnsi="宋体" w:cs="宋体" w:eastAsia="宋体" w:hint="default"/>
                <w:sz w:val="21"/>
                <w:szCs w:val="21"/>
              </w:rPr>
            </w:r>
          </w:p>
          <w:p>
            <w:pPr>
              <w:pStyle w:val="TableParagraph"/>
              <w:spacing w:line="237" w:lineRule="auto"/>
              <w:ind w:left="153" w:right="151"/>
              <w:jc w:val="both"/>
              <w:rPr>
                <w:rFonts w:ascii="宋体" w:hAnsi="宋体" w:cs="宋体" w:eastAsia="宋体" w:hint="default"/>
                <w:sz w:val="21"/>
                <w:szCs w:val="21"/>
              </w:rPr>
            </w:pPr>
            <w:r>
              <w:rPr>
                <w:rFonts w:ascii="宋体" w:hAnsi="宋体" w:cs="宋体" w:eastAsia="宋体" w:hint="default"/>
                <w:b/>
                <w:bCs/>
                <w:sz w:val="21"/>
                <w:szCs w:val="21"/>
              </w:rPr>
              <w:t>金额较上</w:t>
            </w:r>
            <w:r>
              <w:rPr>
                <w:rFonts w:ascii="宋体" w:hAnsi="宋体" w:cs="宋体" w:eastAsia="宋体" w:hint="default"/>
                <w:b/>
                <w:bCs/>
                <w:w w:val="100"/>
                <w:sz w:val="21"/>
                <w:szCs w:val="21"/>
              </w:rPr>
              <w:t> </w:t>
            </w:r>
            <w:r>
              <w:rPr>
                <w:rFonts w:ascii="宋体" w:hAnsi="宋体" w:cs="宋体" w:eastAsia="宋体" w:hint="default"/>
                <w:b/>
                <w:bCs/>
                <w:sz w:val="21"/>
                <w:szCs w:val="21"/>
              </w:rPr>
              <w:t>期期末变</w:t>
            </w:r>
            <w:r>
              <w:rPr>
                <w:rFonts w:ascii="宋体" w:hAnsi="宋体" w:cs="宋体" w:eastAsia="宋体" w:hint="default"/>
                <w:b/>
                <w:bCs/>
                <w:w w:val="100"/>
                <w:sz w:val="21"/>
                <w:szCs w:val="21"/>
              </w:rPr>
              <w:t> </w:t>
            </w:r>
            <w:r>
              <w:rPr>
                <w:rFonts w:ascii="宋体" w:hAnsi="宋体" w:cs="宋体" w:eastAsia="宋体" w:hint="default"/>
                <w:b/>
                <w:bCs/>
                <w:sz w:val="21"/>
                <w:szCs w:val="21"/>
              </w:rPr>
              <w:t>动比例</w:t>
            </w:r>
            <w:r>
              <w:rPr>
                <w:rFonts w:ascii="宋体" w:hAnsi="宋体" w:cs="宋体" w:eastAsia="宋体" w:hint="default"/>
                <w:sz w:val="21"/>
                <w:szCs w:val="21"/>
              </w:rPr>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8,432,090,572.00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13.26%</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3,500,000,000.00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140.92%</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116,865,065.62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0.18%</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358,631,070.49</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0.56%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-67.41%</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-898,595,031.71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-1.41%</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542,247,786.99</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0.85%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-265.72%</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68.73%</w:t>
            </w:r>
          </w:p>
        </w:tc>
        <w:tc>
          <w:tcPr>
            <w:tcW w:w="1102"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61.05%</w:t>
            </w:r>
          </w:p>
        </w:tc>
        <w:tc>
          <w:tcPr>
            <w:tcW w:w="96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7.67%</w:t>
            </w:r>
          </w:p>
        </w:tc>
      </w:tr>
    </w:tbl>
    <w:p>
      <w:pPr>
        <w:spacing w:line="240" w:lineRule="auto" w:before="8"/>
        <w:rPr>
          <w:rFonts w:ascii="宋体" w:hAnsi="宋体" w:cs="宋体" w:eastAsia="宋体" w:hint="default"/>
          <w:sz w:val="18"/>
          <w:szCs w:val="18"/>
        </w:rPr>
      </w:pPr>
    </w:p>
    <w:p>
      <w:pPr>
        <w:pStyle w:val="BodyText"/>
        <w:spacing w:line="240" w:lineRule="auto" w:before="26"/>
        <w:ind w:left="678" w:right="419"/>
        <w:jc w:val="left"/>
      </w:pPr>
      <w:r>
        <w:rPr/>
        <w:t>其他说明</w:t>
      </w:r>
    </w:p>
    <w:p>
      <w:pPr>
        <w:pStyle w:val="BodyText"/>
        <w:spacing w:line="276" w:lineRule="auto" w:before="46"/>
        <w:ind w:left="678" w:right="669" w:firstLine="479"/>
        <w:jc w:val="both"/>
      </w:pPr>
      <w:r>
        <w:rPr>
          <w:rFonts w:ascii="宋体" w:hAnsi="宋体" w:cs="宋体" w:eastAsia="宋体" w:hint="default"/>
        </w:rPr>
        <w:t>1</w:t>
      </w:r>
      <w:r>
        <w:rPr/>
        <w:t>、应收票据变动较大，主要是公司节能环保产业年末未到期银行承兑汇票余额</w:t>
      </w:r>
      <w:r>
        <w:rPr>
          <w:spacing w:val="2"/>
        </w:rPr>
        <w:t> </w:t>
      </w:r>
      <w:r>
        <w:rPr/>
        <w:t>增加所致；</w:t>
      </w:r>
    </w:p>
    <w:p>
      <w:pPr>
        <w:pStyle w:val="BodyText"/>
        <w:spacing w:line="276" w:lineRule="auto" w:before="10"/>
        <w:ind w:left="678" w:right="669" w:firstLine="479"/>
        <w:jc w:val="both"/>
      </w:pPr>
      <w:r>
        <w:rPr>
          <w:rFonts w:ascii="宋体" w:hAnsi="宋体" w:cs="宋体" w:eastAsia="宋体" w:hint="default"/>
        </w:rPr>
        <w:t>2</w:t>
      </w:r>
      <w:r>
        <w:rPr/>
        <w:t>、其他应收款变动较大，主要是本期公司之控股子公司同方友友控股有限公司</w:t>
      </w:r>
      <w:r>
        <w:rPr>
          <w:spacing w:val="2"/>
        </w:rPr>
        <w:t> </w:t>
      </w:r>
      <w:r>
        <w:rPr/>
        <w:t>之全资子公司同方财务公司对外拆出资金所致；</w:t>
      </w:r>
    </w:p>
    <w:p>
      <w:pPr>
        <w:pStyle w:val="BodyText"/>
        <w:spacing w:line="276" w:lineRule="auto" w:before="10"/>
        <w:ind w:left="678" w:right="669" w:firstLine="479"/>
        <w:jc w:val="both"/>
      </w:pPr>
      <w:r>
        <w:rPr>
          <w:rFonts w:ascii="宋体" w:hAnsi="宋体" w:cs="宋体" w:eastAsia="宋体" w:hint="default"/>
        </w:rPr>
        <w:t>3</w:t>
      </w:r>
      <w:r>
        <w:rPr/>
        <w:t>、一年内到期的非流动资产变动较大，主要是公司之控股子公司同方证券有限</w:t>
      </w:r>
      <w:r>
        <w:rPr>
          <w:spacing w:val="2"/>
        </w:rPr>
        <w:t> </w:t>
      </w:r>
      <w:r>
        <w:rPr/>
        <w:t>公司并入的代客户持有的现金减少所致；</w:t>
      </w:r>
    </w:p>
    <w:p>
      <w:pPr>
        <w:pStyle w:val="BodyText"/>
        <w:spacing w:line="276" w:lineRule="auto" w:before="10"/>
        <w:ind w:left="678" w:right="669" w:firstLine="479"/>
        <w:jc w:val="both"/>
      </w:pPr>
      <w:r>
        <w:rPr>
          <w:rFonts w:ascii="宋体" w:hAnsi="宋体" w:cs="宋体" w:eastAsia="宋体" w:hint="default"/>
        </w:rPr>
        <w:t>4</w:t>
      </w:r>
      <w:r>
        <w:rPr/>
        <w:t>、可供出售金融资产变动较大，主要是相关金融资产市场价格波动以及公司对</w:t>
      </w:r>
      <w:r>
        <w:rPr>
          <w:spacing w:val="2"/>
        </w:rPr>
        <w:t> </w:t>
      </w:r>
      <w:r>
        <w:rPr>
          <w:spacing w:val="-2"/>
        </w:rPr>
        <w:t>所持有的广电网络（</w:t>
      </w:r>
      <w:r>
        <w:rPr>
          <w:rFonts w:ascii="宋体" w:hAnsi="宋体" w:cs="宋体" w:eastAsia="宋体" w:hint="default"/>
          <w:spacing w:val="-2"/>
        </w:rPr>
        <w:t>600831.SH</w:t>
      </w:r>
      <w:r>
        <w:rPr>
          <w:spacing w:val="-2"/>
        </w:rPr>
        <w:t>）、同方康泰（</w:t>
      </w:r>
      <w:r>
        <w:rPr>
          <w:rFonts w:ascii="宋体" w:hAnsi="宋体" w:cs="宋体" w:eastAsia="宋体" w:hint="default"/>
          <w:spacing w:val="-2"/>
        </w:rPr>
        <w:t>1312.HK</w:t>
      </w:r>
      <w:r>
        <w:rPr>
          <w:spacing w:val="-2"/>
        </w:rPr>
        <w:t>）股票等可供出售金融资产计</w:t>
      </w:r>
      <w:r>
        <w:rPr>
          <w:spacing w:val="-80"/>
        </w:rPr>
        <w:t> </w:t>
      </w:r>
      <w:r>
        <w:rPr>
          <w:spacing w:val="-80"/>
        </w:rPr>
      </w:r>
      <w:r>
        <w:rPr/>
        <w:t>提减值准备所致；</w:t>
      </w:r>
    </w:p>
    <w:p>
      <w:pPr>
        <w:pStyle w:val="BodyText"/>
        <w:spacing w:line="276" w:lineRule="auto" w:before="10"/>
        <w:ind w:left="678" w:right="669" w:firstLine="479"/>
        <w:jc w:val="both"/>
      </w:pPr>
      <w:r>
        <w:rPr>
          <w:rFonts w:ascii="宋体" w:hAnsi="宋体" w:cs="宋体" w:eastAsia="宋体" w:hint="default"/>
        </w:rPr>
        <w:t>5</w:t>
      </w:r>
      <w:r>
        <w:rPr/>
        <w:t>、投资性房地产变动较大，主要是公司之控股子公司同方友友控股有限公司将</w:t>
      </w:r>
      <w:r>
        <w:rPr>
          <w:spacing w:val="2"/>
        </w:rPr>
        <w:t> </w:t>
      </w:r>
      <w:r>
        <w:rPr>
          <w:spacing w:val="-2"/>
        </w:rPr>
        <w:t>闲置厂房进行“三旧”改造，补缴土地出让金并将厂房及相应土地转入投资性房地产</w:t>
      </w:r>
      <w:r>
        <w:rPr>
          <w:spacing w:val="-95"/>
        </w:rPr>
        <w:t> </w:t>
      </w:r>
      <w:r>
        <w:rPr>
          <w:spacing w:val="-95"/>
        </w:rPr>
      </w:r>
      <w:r>
        <w:rPr/>
        <w:t>列报所致；</w:t>
      </w:r>
    </w:p>
    <w:p>
      <w:pPr>
        <w:pStyle w:val="BodyText"/>
        <w:spacing w:line="276" w:lineRule="auto" w:before="10"/>
        <w:ind w:left="678" w:right="669" w:firstLine="479"/>
        <w:jc w:val="both"/>
      </w:pPr>
      <w:r>
        <w:rPr>
          <w:rFonts w:ascii="宋体" w:hAnsi="宋体" w:cs="宋体" w:eastAsia="宋体" w:hint="default"/>
        </w:rPr>
        <w:t>6</w:t>
      </w:r>
      <w:r>
        <w:rPr/>
        <w:t>、商誉变动较大，主要是公司对通过非同一控制下企业合并所取得的子公司北</w:t>
      </w:r>
      <w:r>
        <w:rPr>
          <w:spacing w:val="2"/>
        </w:rPr>
        <w:t> </w:t>
      </w:r>
      <w:r>
        <w:rPr>
          <w:spacing w:val="15"/>
        </w:rPr>
        <w:t>京壹人壹本信息科技有限公司、同方友友控股有限公司和 </w:t>
      </w:r>
      <w:r>
        <w:rPr>
          <w:rFonts w:ascii="宋体" w:hAnsi="宋体" w:cs="宋体" w:eastAsia="宋体" w:hint="default"/>
        </w:rPr>
        <w:t>UnitedStack</w:t>
      </w:r>
      <w:r>
        <w:rPr>
          <w:rFonts w:ascii="宋体" w:hAnsi="宋体" w:cs="宋体" w:eastAsia="宋体" w:hint="default"/>
          <w:spacing w:val="23"/>
        </w:rPr>
        <w:t> </w:t>
      </w:r>
      <w:r>
        <w:rPr>
          <w:rFonts w:ascii="宋体" w:hAnsi="宋体" w:cs="宋体" w:eastAsia="宋体" w:hint="default"/>
        </w:rPr>
        <w:t>(China)</w:t>
      </w:r>
      <w:r>
        <w:rPr>
          <w:rFonts w:ascii="宋体" w:hAnsi="宋体" w:cs="宋体" w:eastAsia="宋体" w:hint="default"/>
        </w:rPr>
        <w:t> Corporation</w:t>
      </w:r>
      <w:r>
        <w:rPr>
          <w:rFonts w:ascii="宋体" w:hAnsi="宋体" w:cs="宋体" w:eastAsia="宋体" w:hint="default"/>
          <w:spacing w:val="-61"/>
        </w:rPr>
        <w:t> </w:t>
      </w:r>
      <w:r>
        <w:rPr/>
        <w:t>所形成的商誉计提减值准备所致；</w:t>
      </w:r>
    </w:p>
    <w:p>
      <w:pPr>
        <w:pStyle w:val="BodyText"/>
        <w:spacing w:line="276" w:lineRule="auto" w:before="10"/>
        <w:ind w:left="678" w:right="669" w:firstLine="479"/>
        <w:jc w:val="both"/>
      </w:pPr>
      <w:r>
        <w:rPr>
          <w:rFonts w:ascii="宋体" w:hAnsi="宋体" w:cs="宋体" w:eastAsia="宋体" w:hint="default"/>
        </w:rPr>
        <w:t>7</w:t>
      </w:r>
      <w:r>
        <w:rPr/>
        <w:t>、长期待摊费用变动较大，主要是公司安防产业生产园区改造及装修费增加所</w:t>
      </w:r>
      <w:r>
        <w:rPr>
          <w:spacing w:val="2"/>
        </w:rPr>
        <w:t> </w:t>
      </w:r>
      <w:r>
        <w:rPr/>
        <w:t>致；</w:t>
      </w:r>
    </w:p>
    <w:p>
      <w:pPr>
        <w:pStyle w:val="BodyText"/>
        <w:spacing w:line="276" w:lineRule="auto" w:before="10"/>
        <w:ind w:left="678" w:right="672" w:firstLine="479"/>
        <w:jc w:val="both"/>
      </w:pPr>
      <w:r>
        <w:rPr>
          <w:rFonts w:ascii="宋体" w:hAnsi="宋体" w:cs="宋体" w:eastAsia="宋体" w:hint="default"/>
        </w:rPr>
        <w:t>8</w:t>
      </w:r>
      <w:r>
        <w:rPr/>
        <w:t>、递延所得税资产变动较大，主要是公司本年度因计提金融资产及存货减值准 备、未实现内部销售损益及可抵扣未弥补亏损等可抵扣暂时性差异增加所致；</w:t>
      </w:r>
    </w:p>
    <w:p>
      <w:pPr>
        <w:pStyle w:val="BodyText"/>
        <w:spacing w:line="276" w:lineRule="auto" w:before="10"/>
        <w:ind w:left="678" w:right="669" w:firstLine="479"/>
        <w:jc w:val="both"/>
      </w:pPr>
      <w:r>
        <w:rPr>
          <w:rFonts w:ascii="宋体" w:hAnsi="宋体" w:cs="宋体" w:eastAsia="宋体" w:hint="default"/>
        </w:rPr>
        <w:t>9</w:t>
      </w:r>
      <w:r>
        <w:rPr/>
        <w:t>、其他非流动资产变动较大，主要是公司之子公司同方金融控股（深圳）有限</w:t>
      </w:r>
      <w:r>
        <w:rPr>
          <w:spacing w:val="2"/>
        </w:rPr>
        <w:t> </w:t>
      </w:r>
      <w:r>
        <w:rPr/>
        <w:t>公司和同方友友控股有限公司支付的预付投资款所致；</w:t>
      </w:r>
    </w:p>
    <w:p>
      <w:pPr>
        <w:pStyle w:val="BodyText"/>
        <w:spacing w:line="276" w:lineRule="auto" w:before="10"/>
        <w:ind w:left="678" w:right="674" w:firstLine="479"/>
        <w:jc w:val="both"/>
      </w:pPr>
      <w:r>
        <w:rPr>
          <w:rFonts w:ascii="宋体" w:hAnsi="宋体" w:cs="宋体" w:eastAsia="宋体" w:hint="default"/>
          <w:spacing w:val="-2"/>
        </w:rPr>
        <w:t>10</w:t>
      </w:r>
      <w:r>
        <w:rPr>
          <w:spacing w:val="-2"/>
        </w:rPr>
        <w:t>、应交税费变动较大，主要是本期公司及下属子公司计提的企业所得税、流转</w:t>
      </w:r>
      <w:r>
        <w:rPr/>
        <w:t> 税及附加税费尚未支付所致；</w:t>
      </w:r>
    </w:p>
    <w:p>
      <w:pPr>
        <w:pStyle w:val="BodyText"/>
        <w:spacing w:line="240" w:lineRule="auto" w:before="10"/>
        <w:ind w:left="1158" w:right="419"/>
        <w:jc w:val="left"/>
      </w:pPr>
      <w:r>
        <w:rPr>
          <w:rFonts w:ascii="宋体" w:hAnsi="宋体" w:cs="宋体" w:eastAsia="宋体" w:hint="default"/>
        </w:rPr>
        <w:t>11</w:t>
      </w:r>
      <w:r>
        <w:rPr/>
        <w:t>、应付利息变动较大，主要是公司及下属子公司本年负息债务规模增加所致；</w:t>
      </w:r>
    </w:p>
    <w:p>
      <w:pPr>
        <w:pStyle w:val="BodyText"/>
        <w:spacing w:line="276" w:lineRule="auto" w:before="46"/>
        <w:ind w:left="678" w:right="674" w:firstLine="479"/>
        <w:jc w:val="both"/>
      </w:pPr>
      <w:r>
        <w:rPr>
          <w:rFonts w:ascii="宋体" w:hAnsi="宋体" w:cs="宋体" w:eastAsia="宋体" w:hint="default"/>
          <w:spacing w:val="-2"/>
        </w:rPr>
        <w:t>12</w:t>
      </w:r>
      <w:r>
        <w:rPr>
          <w:spacing w:val="-2"/>
        </w:rPr>
        <w:t>、应付股利变动较大，主要是公司下属子公司计提向公司少数股东应付股利尚</w:t>
      </w:r>
      <w:r>
        <w:rPr/>
        <w:t> 未实际支付所致；</w:t>
      </w:r>
    </w:p>
    <w:p>
      <w:pPr>
        <w:pStyle w:val="BodyText"/>
        <w:spacing w:line="276" w:lineRule="auto" w:before="10"/>
        <w:ind w:left="678" w:right="673" w:firstLine="479"/>
        <w:jc w:val="both"/>
      </w:pPr>
      <w:r>
        <w:rPr>
          <w:rFonts w:ascii="宋体" w:hAnsi="宋体" w:cs="宋体" w:eastAsia="宋体" w:hint="default"/>
          <w:spacing w:val="-2"/>
        </w:rPr>
        <w:t>13</w:t>
      </w:r>
      <w:r>
        <w:rPr>
          <w:spacing w:val="-2"/>
        </w:rPr>
        <w:t>、一年内到期的非流动负债变动较大，主要是公司将一年内到期的长期借款和</w:t>
      </w:r>
      <w:r>
        <w:rPr/>
        <w:t> 中期票据分类至本项目所致；</w:t>
      </w:r>
    </w:p>
    <w:p>
      <w:pPr>
        <w:pStyle w:val="BodyText"/>
        <w:spacing w:line="240" w:lineRule="auto" w:before="10"/>
        <w:ind w:left="1158" w:right="419"/>
        <w:jc w:val="left"/>
      </w:pPr>
      <w:r>
        <w:rPr>
          <w:rFonts w:ascii="宋体" w:hAnsi="宋体" w:cs="宋体" w:eastAsia="宋体" w:hint="default"/>
          <w:spacing w:val="-5"/>
        </w:rPr>
        <w:t>14</w:t>
      </w:r>
      <w:r>
        <w:rPr>
          <w:spacing w:val="-5"/>
        </w:rPr>
        <w:t>、其他流动负债变动较大，主要是公司本年偿还前期发行的超短期融资券所致；</w:t>
      </w:r>
    </w:p>
    <w:p>
      <w:pPr>
        <w:spacing w:after="0" w:line="240" w:lineRule="auto"/>
        <w:jc w:val="left"/>
        <w:sectPr>
          <w:pgSz w:w="11910" w:h="16840"/>
          <w:pgMar w:header="0" w:footer="1193" w:top="780" w:bottom="1380" w:left="1120" w:right="600"/>
        </w:sectPr>
      </w:pPr>
    </w:p>
    <w:p>
      <w:pPr>
        <w:spacing w:before="25"/>
        <w:ind w:left="4853" w:right="488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BodyText"/>
        <w:spacing w:line="276" w:lineRule="auto" w:before="26"/>
        <w:ind w:left="1118" w:right="1134" w:firstLine="479"/>
        <w:jc w:val="both"/>
      </w:pPr>
      <w:r>
        <w:rPr>
          <w:rFonts w:ascii="宋体" w:hAnsi="宋体" w:cs="宋体" w:eastAsia="宋体" w:hint="default"/>
          <w:spacing w:val="-2"/>
        </w:rPr>
        <w:t>15</w:t>
      </w:r>
      <w:r>
        <w:rPr>
          <w:spacing w:val="-2"/>
        </w:rPr>
        <w:t>、应付债券变动较大，主要是公司本年新发行中期票据及在境外新发行美元债</w:t>
      </w:r>
      <w:r>
        <w:rPr/>
        <w:t> 券所致；</w:t>
      </w:r>
    </w:p>
    <w:p>
      <w:pPr>
        <w:pStyle w:val="BodyText"/>
        <w:spacing w:line="276" w:lineRule="auto" w:before="10"/>
        <w:ind w:left="1118" w:right="1134" w:firstLine="479"/>
        <w:jc w:val="both"/>
      </w:pPr>
      <w:r>
        <w:rPr>
          <w:rFonts w:ascii="宋体" w:hAnsi="宋体" w:cs="宋体" w:eastAsia="宋体" w:hint="default"/>
          <w:spacing w:val="-2"/>
        </w:rPr>
        <w:t>16</w:t>
      </w:r>
      <w:r>
        <w:rPr>
          <w:spacing w:val="-2"/>
        </w:rPr>
        <w:t>、递延所得税负债变动较大，主要是金融资产公允价值变动相应确认的递延所</w:t>
      </w:r>
      <w:r>
        <w:rPr/>
        <w:t> 得税费用变动所致；</w:t>
      </w:r>
    </w:p>
    <w:p>
      <w:pPr>
        <w:pStyle w:val="BodyText"/>
        <w:spacing w:line="276" w:lineRule="auto" w:before="10"/>
        <w:ind w:left="1118" w:right="1134" w:firstLine="479"/>
        <w:jc w:val="both"/>
      </w:pPr>
      <w:r>
        <w:rPr>
          <w:rFonts w:ascii="宋体" w:hAnsi="宋体" w:cs="宋体" w:eastAsia="宋体" w:hint="default"/>
          <w:spacing w:val="-2"/>
        </w:rPr>
        <w:t>17</w:t>
      </w:r>
      <w:r>
        <w:rPr>
          <w:spacing w:val="-2"/>
        </w:rPr>
        <w:t>、其他综合收益变动较大，主要是公司按权益法确认的合营联营公司其他综合</w:t>
      </w:r>
      <w:r>
        <w:rPr/>
        <w:t> </w:t>
      </w:r>
      <w:r>
        <w:rPr>
          <w:spacing w:val="-2"/>
        </w:rPr>
        <w:t>收益变动份额减少、持有的可供出售金融资产公允价值波动以及计提可供出售金融资</w:t>
      </w:r>
      <w:r>
        <w:rPr>
          <w:spacing w:val="-94"/>
        </w:rPr>
        <w:t> </w:t>
      </w:r>
      <w:r>
        <w:rPr>
          <w:spacing w:val="-94"/>
        </w:rPr>
      </w:r>
      <w:r>
        <w:rPr/>
        <w:t>产减值准备所致。</w:t>
      </w:r>
    </w:p>
    <w:p>
      <w:pPr>
        <w:spacing w:line="240" w:lineRule="auto" w:before="11"/>
        <w:rPr>
          <w:rFonts w:ascii="宋体" w:hAnsi="宋体" w:cs="宋体" w:eastAsia="宋体" w:hint="default"/>
          <w:sz w:val="32"/>
          <w:szCs w:val="32"/>
        </w:rPr>
      </w:pPr>
    </w:p>
    <w:p>
      <w:pPr>
        <w:pStyle w:val="Heading2"/>
        <w:spacing w:line="240" w:lineRule="auto"/>
        <w:ind w:left="1118" w:right="997"/>
        <w:jc w:val="left"/>
        <w:rPr>
          <w:b w:val="0"/>
          <w:bCs w:val="0"/>
        </w:rPr>
      </w:pPr>
      <w:r>
        <w:rPr>
          <w:rFonts w:ascii="宋体" w:hAnsi="宋体" w:cs="宋体" w:eastAsia="宋体" w:hint="default"/>
        </w:rPr>
        <w:t>2.</w:t>
      </w:r>
      <w:r>
        <w:rPr>
          <w:rFonts w:ascii="宋体" w:hAnsi="宋体" w:cs="宋体" w:eastAsia="宋体" w:hint="default"/>
          <w:spacing w:val="61"/>
        </w:rPr>
        <w:t> </w:t>
      </w:r>
      <w:r>
        <w:rPr/>
        <w:t>截至报告期末主要资产受限情况</w:t>
      </w:r>
      <w:r>
        <w:rPr>
          <w:b w:val="0"/>
          <w:bCs w:val="0"/>
        </w:rPr>
      </w:r>
    </w:p>
    <w:p>
      <w:pPr>
        <w:pStyle w:val="BodyText"/>
        <w:tabs>
          <w:tab w:pos="2077" w:val="left" w:leader="none"/>
        </w:tabs>
        <w:spacing w:line="240" w:lineRule="auto" w:before="106"/>
        <w:ind w:left="1118" w:right="997"/>
        <w:jc w:val="left"/>
      </w:pPr>
      <w:r>
        <w:rPr>
          <w:spacing w:val="-1"/>
        </w:rPr>
        <w:t>□适用</w:t>
        <w:tab/>
      </w:r>
      <w:r>
        <w:rPr/>
        <w:t>√不适用</w:t>
      </w:r>
    </w:p>
    <w:p>
      <w:pPr>
        <w:spacing w:line="240" w:lineRule="auto" w:before="8"/>
        <w:rPr>
          <w:rFonts w:ascii="宋体" w:hAnsi="宋体" w:cs="宋体" w:eastAsia="宋体" w:hint="default"/>
          <w:sz w:val="35"/>
          <w:szCs w:val="35"/>
        </w:rPr>
      </w:pPr>
    </w:p>
    <w:p>
      <w:pPr>
        <w:pStyle w:val="Heading2"/>
        <w:spacing w:line="240" w:lineRule="auto"/>
        <w:ind w:left="1118" w:right="997"/>
        <w:jc w:val="left"/>
        <w:rPr>
          <w:b w:val="0"/>
          <w:bCs w:val="0"/>
        </w:rPr>
      </w:pPr>
      <w:r>
        <w:rPr>
          <w:rFonts w:ascii="宋体" w:hAnsi="宋体" w:cs="宋体" w:eastAsia="宋体" w:hint="default"/>
        </w:rPr>
        <w:t>3.</w:t>
      </w:r>
      <w:r>
        <w:rPr>
          <w:rFonts w:ascii="宋体" w:hAnsi="宋体" w:cs="宋体" w:eastAsia="宋体" w:hint="default"/>
          <w:spacing w:val="61"/>
        </w:rPr>
        <w:t> </w:t>
      </w:r>
      <w:r>
        <w:rPr/>
        <w:t>其他说明</w:t>
      </w:r>
      <w:r>
        <w:rPr>
          <w:b w:val="0"/>
          <w:bCs w:val="0"/>
        </w:rPr>
      </w:r>
    </w:p>
    <w:p>
      <w:pPr>
        <w:pStyle w:val="BodyText"/>
        <w:tabs>
          <w:tab w:pos="2077" w:val="left" w:leader="none"/>
        </w:tabs>
        <w:spacing w:line="240" w:lineRule="auto" w:before="106"/>
        <w:ind w:left="1118" w:right="997"/>
        <w:jc w:val="left"/>
      </w:pPr>
      <w:r>
        <w:rPr>
          <w:spacing w:val="-1"/>
        </w:rPr>
        <w:t>□适用</w:t>
        <w:tab/>
      </w:r>
      <w:r>
        <w:rPr/>
        <w:t>√不适用</w:t>
      </w:r>
    </w:p>
    <w:p>
      <w:pPr>
        <w:spacing w:line="240" w:lineRule="auto" w:before="8"/>
        <w:rPr>
          <w:rFonts w:ascii="宋体" w:hAnsi="宋体" w:cs="宋体" w:eastAsia="宋体" w:hint="default"/>
          <w:sz w:val="35"/>
          <w:szCs w:val="35"/>
        </w:rPr>
      </w:pPr>
    </w:p>
    <w:p>
      <w:pPr>
        <w:pStyle w:val="Heading2"/>
        <w:tabs>
          <w:tab w:pos="1957" w:val="left" w:leader="none"/>
        </w:tabs>
        <w:spacing w:line="240" w:lineRule="auto"/>
        <w:ind w:left="1118" w:right="997"/>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tabs>
          <w:tab w:pos="2077" w:val="left" w:leader="none"/>
        </w:tabs>
        <w:spacing w:line="276" w:lineRule="auto" w:before="106"/>
        <w:ind w:left="1538" w:right="1146" w:hanging="420"/>
        <w:jc w:val="left"/>
      </w:pPr>
      <w:r>
        <w:rPr>
          <w:spacing w:val="-1"/>
        </w:rPr>
        <w:t>√适用</w:t>
        <w:tab/>
      </w:r>
      <w:r>
        <w:rPr/>
        <w:t>□不适用</w:t>
      </w:r>
      <w:r>
        <w:rPr/>
        <w:t> 关于公司行业性经营性信息分析情况，请参见本章之“二、报告期内主要经营情</w:t>
      </w:r>
    </w:p>
    <w:p>
      <w:pPr>
        <w:pStyle w:val="BodyText"/>
        <w:spacing w:line="240" w:lineRule="auto" w:before="10"/>
        <w:ind w:left="1118" w:right="997"/>
        <w:jc w:val="left"/>
      </w:pPr>
      <w:r>
        <w:rPr/>
        <w:t>况”之“</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主营业务分析”部分。</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3" w:top="780" w:bottom="1380" w:left="680" w:right="140"/>
        </w:sectPr>
      </w:pPr>
    </w:p>
    <w:p>
      <w:pPr>
        <w:pStyle w:val="Heading2"/>
        <w:tabs>
          <w:tab w:pos="1957" w:val="left" w:leader="none"/>
        </w:tabs>
        <w:spacing w:line="240" w:lineRule="auto" w:before="204"/>
        <w:ind w:left="1118" w:right="-18"/>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投资状况分析</w:t>
      </w:r>
      <w:r>
        <w:rPr>
          <w:b w:val="0"/>
          <w:bCs w:val="0"/>
        </w:rPr>
      </w:r>
    </w:p>
    <w:p>
      <w:pPr>
        <w:pStyle w:val="Heading2"/>
        <w:spacing w:line="240" w:lineRule="auto" w:before="106"/>
        <w:ind w:left="1118" w:right="-18"/>
        <w:jc w:val="left"/>
        <w:rPr>
          <w:b w:val="0"/>
          <w:bCs w:val="0"/>
        </w:rPr>
      </w:pPr>
      <w:r>
        <w:rPr>
          <w:rFonts w:ascii="宋体" w:hAnsi="宋体" w:cs="宋体" w:eastAsia="宋体" w:hint="default"/>
        </w:rPr>
        <w:t>1</w:t>
      </w:r>
      <w:r>
        <w:rPr/>
        <w:t>、</w:t>
      </w:r>
      <w:r>
        <w:rPr>
          <w:spacing w:val="-66"/>
        </w:rPr>
        <w:t> </w:t>
      </w:r>
      <w:r>
        <w:rPr/>
        <w:t>对外股权投资总体分析</w:t>
      </w:r>
      <w:r>
        <w:rPr>
          <w:b w:val="0"/>
          <w:bCs w:val="0"/>
        </w:rPr>
      </w:r>
    </w:p>
    <w:p>
      <w:pPr>
        <w:pStyle w:val="BodyText"/>
        <w:spacing w:line="240" w:lineRule="auto" w:before="106"/>
        <w:ind w:left="111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1"/>
          <w:szCs w:val="31"/>
        </w:rPr>
      </w:pPr>
    </w:p>
    <w:p>
      <w:pPr>
        <w:pStyle w:val="BodyText"/>
        <w:spacing w:line="240" w:lineRule="auto"/>
        <w:ind w:left="1099" w:right="1113"/>
        <w:jc w:val="center"/>
      </w:pPr>
      <w:r>
        <w:rPr/>
        <w:t>单位：元</w:t>
      </w:r>
    </w:p>
    <w:p>
      <w:pPr>
        <w:spacing w:after="0" w:line="240" w:lineRule="auto"/>
        <w:jc w:val="center"/>
        <w:sectPr>
          <w:type w:val="continuous"/>
          <w:pgSz w:w="11910" w:h="16840"/>
          <w:pgMar w:top="1000" w:bottom="280" w:left="680" w:right="140"/>
          <w:cols w:num="2" w:equalWidth="0">
            <w:col w:w="3947" w:space="3926"/>
            <w:col w:w="3217"/>
          </w:cols>
        </w:sectPr>
      </w:pPr>
    </w:p>
    <w:p>
      <w:pPr>
        <w:spacing w:line="240" w:lineRule="auto" w:before="12"/>
        <w:rPr>
          <w:rFonts w:ascii="宋体" w:hAnsi="宋体" w:cs="宋体" w:eastAsia="宋体" w:hint="default"/>
          <w:sz w:val="2"/>
          <w:szCs w:val="2"/>
        </w:rPr>
      </w:pPr>
    </w:p>
    <w:tbl>
      <w:tblPr>
        <w:tblW w:w="0" w:type="auto"/>
        <w:jc w:val="left"/>
        <w:tblInd w:w="926" w:type="dxa"/>
        <w:tblLayout w:type="fixed"/>
        <w:tblCellMar>
          <w:top w:w="0" w:type="dxa"/>
          <w:left w:w="0" w:type="dxa"/>
          <w:bottom w:w="0" w:type="dxa"/>
          <w:right w:w="0" w:type="dxa"/>
        </w:tblCellMar>
        <w:tblLook w:val="01E0"/>
      </w:tblPr>
      <w:tblGrid>
        <w:gridCol w:w="2204"/>
        <w:gridCol w:w="2328"/>
        <w:gridCol w:w="2268"/>
        <w:gridCol w:w="2410"/>
      </w:tblGrid>
      <w:tr>
        <w:trPr>
          <w:trHeight w:val="283"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b/>
                <w:bCs/>
                <w:sz w:val="21"/>
                <w:szCs w:val="21"/>
              </w:rPr>
              <w:t>报告期内投资额</w:t>
            </w:r>
            <w:r>
              <w:rPr>
                <w:rFonts w:ascii="宋体" w:hAnsi="宋体" w:cs="宋体" w:eastAsia="宋体" w:hint="default"/>
                <w:sz w:val="21"/>
                <w:szCs w:val="21"/>
              </w:rPr>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b/>
                <w:bCs/>
                <w:sz w:val="21"/>
                <w:szCs w:val="21"/>
              </w:rPr>
              <w:t>投资额增减变动数</w:t>
            </w:r>
            <w:r>
              <w:rPr>
                <w:rFonts w:ascii="宋体" w:hAnsi="宋体" w:cs="宋体" w:eastAsia="宋体" w:hint="default"/>
                <w:sz w:val="21"/>
                <w:szCs w:val="21"/>
              </w:rPr>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9" w:right="0"/>
              <w:jc w:val="left"/>
              <w:rPr>
                <w:rFonts w:ascii="宋体" w:hAnsi="宋体" w:cs="宋体" w:eastAsia="宋体" w:hint="default"/>
                <w:sz w:val="21"/>
                <w:szCs w:val="21"/>
              </w:rPr>
            </w:pPr>
            <w:r>
              <w:rPr>
                <w:rFonts w:ascii="宋体" w:hAnsi="宋体" w:cs="宋体" w:eastAsia="宋体" w:hint="default"/>
                <w:b/>
                <w:bCs/>
                <w:sz w:val="21"/>
                <w:szCs w:val="21"/>
              </w:rPr>
              <w:t>上年同期投资额</w:t>
            </w:r>
            <w:r>
              <w:rPr>
                <w:rFonts w:ascii="宋体" w:hAnsi="宋体" w:cs="宋体" w:eastAsia="宋体"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0" w:right="0"/>
              <w:jc w:val="left"/>
              <w:rPr>
                <w:rFonts w:ascii="宋体" w:hAnsi="宋体" w:cs="宋体" w:eastAsia="宋体" w:hint="default"/>
                <w:sz w:val="21"/>
                <w:szCs w:val="21"/>
              </w:rPr>
            </w:pPr>
            <w:r>
              <w:rPr>
                <w:rFonts w:ascii="宋体" w:hAnsi="宋体" w:cs="宋体" w:eastAsia="宋体" w:hint="default"/>
                <w:b/>
                <w:bCs/>
                <w:sz w:val="21"/>
                <w:szCs w:val="21"/>
              </w:rPr>
              <w:t>投资额增减幅度</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83"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9" w:right="0"/>
              <w:jc w:val="left"/>
              <w:rPr>
                <w:rFonts w:ascii="宋体" w:hAnsi="宋体" w:cs="宋体" w:eastAsia="宋体" w:hint="default"/>
                <w:sz w:val="21"/>
                <w:szCs w:val="21"/>
              </w:rPr>
            </w:pPr>
            <w:r>
              <w:rPr>
                <w:rFonts w:ascii="宋体"/>
                <w:sz w:val="21"/>
              </w:rPr>
              <w:t>368,708,346.76</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sz w:val="21"/>
              </w:rPr>
              <w:t>-5,039,933,316.30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sz w:val="21"/>
              </w:rPr>
              <w:t>5,408,641,663.06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-93.18</w:t>
            </w:r>
          </w:p>
        </w:tc>
      </w:tr>
    </w:tbl>
    <w:p>
      <w:pPr>
        <w:spacing w:line="240" w:lineRule="auto" w:before="0"/>
        <w:rPr>
          <w:rFonts w:ascii="宋体" w:hAnsi="宋体" w:cs="宋体" w:eastAsia="宋体" w:hint="default"/>
          <w:sz w:val="20"/>
          <w:szCs w:val="20"/>
        </w:rPr>
      </w:pPr>
    </w:p>
    <w:p>
      <w:pPr>
        <w:pStyle w:val="Heading2"/>
        <w:spacing w:line="240" w:lineRule="auto" w:before="166"/>
        <w:ind w:left="1118" w:right="997"/>
        <w:jc w:val="left"/>
        <w:rPr>
          <w:b w:val="0"/>
          <w:bCs w:val="0"/>
        </w:rPr>
      </w:pPr>
      <w:r>
        <w:rPr>
          <w:rFonts w:ascii="宋体" w:hAnsi="宋体" w:cs="宋体" w:eastAsia="宋体" w:hint="default"/>
        </w:rPr>
        <w:t>(1)</w:t>
      </w:r>
      <w:r>
        <w:rPr>
          <w:rFonts w:ascii="宋体" w:hAnsi="宋体" w:cs="宋体" w:eastAsia="宋体" w:hint="default"/>
          <w:spacing w:val="-66"/>
        </w:rPr>
        <w:t> </w:t>
      </w:r>
      <w:r>
        <w:rPr/>
        <w:t>重大的股权投资</w:t>
      </w:r>
      <w:r>
        <w:rPr>
          <w:b w:val="0"/>
          <w:bCs w:val="0"/>
        </w:rPr>
      </w:r>
    </w:p>
    <w:p>
      <w:pPr>
        <w:pStyle w:val="BodyText"/>
        <w:tabs>
          <w:tab w:pos="2077" w:val="left" w:leader="none"/>
        </w:tabs>
        <w:spacing w:line="276" w:lineRule="auto" w:before="106"/>
        <w:ind w:left="1118" w:right="1806"/>
        <w:jc w:val="left"/>
      </w:pPr>
      <w:r>
        <w:rPr>
          <w:spacing w:val="-1"/>
        </w:rPr>
        <w:t>√适用</w:t>
        <w:tab/>
      </w:r>
      <w:r>
        <w:rPr/>
        <w:t>□不适用</w:t>
      </w:r>
      <w:r>
        <w:rPr/>
        <w:t> 截止报告期末，公司持有的重要一级控参股子公司基本情况及变动情况如下：</w:t>
      </w:r>
    </w:p>
    <w:tbl>
      <w:tblPr>
        <w:tblW w:w="0" w:type="auto"/>
        <w:jc w:val="left"/>
        <w:tblInd w:w="104" w:type="dxa"/>
        <w:tblLayout w:type="fixed"/>
        <w:tblCellMar>
          <w:top w:w="0" w:type="dxa"/>
          <w:left w:w="0" w:type="dxa"/>
          <w:bottom w:w="0" w:type="dxa"/>
          <w:right w:w="0" w:type="dxa"/>
        </w:tblCellMar>
        <w:tblLook w:val="01E0"/>
      </w:tblPr>
      <w:tblGrid>
        <w:gridCol w:w="507"/>
        <w:gridCol w:w="2799"/>
        <w:gridCol w:w="1260"/>
        <w:gridCol w:w="888"/>
        <w:gridCol w:w="699"/>
        <w:gridCol w:w="2329"/>
        <w:gridCol w:w="1404"/>
        <w:gridCol w:w="965"/>
      </w:tblGrid>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hAnsi="宋体" w:cs="宋体" w:eastAsia="宋体" w:hint="default"/>
                <w:b/>
                <w:bCs/>
                <w:w w:val="100"/>
                <w:sz w:val="21"/>
                <w:szCs w:val="21"/>
              </w:rPr>
              <w:t>序</w:t>
            </w:r>
            <w:r>
              <w:rPr>
                <w:rFonts w:ascii="宋体" w:hAnsi="宋体" w:cs="宋体" w:eastAsia="宋体" w:hint="default"/>
                <w:w w:val="100"/>
                <w:sz w:val="21"/>
                <w:szCs w:val="21"/>
              </w:rPr>
            </w:r>
          </w:p>
          <w:p>
            <w:pPr>
              <w:pStyle w:val="TableParagraph"/>
              <w:spacing w:line="273" w:lineRule="exact"/>
              <w:ind w:left="141" w:right="0"/>
              <w:jc w:val="left"/>
              <w:rPr>
                <w:rFonts w:ascii="宋体" w:hAnsi="宋体" w:cs="宋体" w:eastAsia="宋体" w:hint="default"/>
                <w:sz w:val="21"/>
                <w:szCs w:val="21"/>
              </w:rPr>
            </w:pPr>
            <w:r>
              <w:rPr>
                <w:rFonts w:ascii="宋体" w:hAnsi="宋体" w:cs="宋体" w:eastAsia="宋体" w:hint="default"/>
                <w:b/>
                <w:bCs/>
                <w:w w:val="100"/>
                <w:sz w:val="21"/>
                <w:szCs w:val="21"/>
              </w:rPr>
              <w:t>号</w:t>
            </w:r>
            <w:r>
              <w:rPr>
                <w:rFonts w:ascii="宋体" w:hAnsi="宋体" w:cs="宋体" w:eastAsia="宋体" w:hint="default"/>
                <w:w w:val="100"/>
                <w:sz w:val="21"/>
                <w:szCs w:val="21"/>
              </w:rPr>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b/>
                <w:bCs/>
                <w:sz w:val="21"/>
                <w:szCs w:val="21"/>
              </w:rPr>
              <w:t>企业名称</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hAnsi="宋体" w:cs="宋体" w:eastAsia="宋体" w:hint="default"/>
                <w:b/>
                <w:bCs/>
                <w:sz w:val="21"/>
                <w:szCs w:val="21"/>
              </w:rPr>
              <w:t>成立日期</w:t>
            </w:r>
            <w:r>
              <w:rPr>
                <w:rFonts w:ascii="宋体" w:hAnsi="宋体" w:cs="宋体" w:eastAsia="宋体" w:hint="default"/>
                <w:sz w:val="21"/>
                <w:szCs w:val="21"/>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b/>
                <w:bCs/>
                <w:sz w:val="21"/>
                <w:szCs w:val="21"/>
              </w:rPr>
              <w:t>法定代</w:t>
            </w:r>
            <w:r>
              <w:rPr>
                <w:rFonts w:ascii="宋体" w:hAnsi="宋体" w:cs="宋体" w:eastAsia="宋体" w:hint="default"/>
                <w:sz w:val="21"/>
                <w:szCs w:val="21"/>
              </w:rPr>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b/>
                <w:bCs/>
                <w:sz w:val="21"/>
                <w:szCs w:val="21"/>
              </w:rPr>
              <w:t>表人</w:t>
            </w:r>
            <w:r>
              <w:rPr>
                <w:rFonts w:ascii="宋体" w:hAnsi="宋体" w:cs="宋体" w:eastAsia="宋体" w:hint="default"/>
                <w:sz w:val="21"/>
                <w:szCs w:val="21"/>
              </w:rPr>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0" w:right="0"/>
              <w:jc w:val="left"/>
              <w:rPr>
                <w:rFonts w:ascii="宋体" w:hAnsi="宋体" w:cs="宋体" w:eastAsia="宋体" w:hint="default"/>
                <w:sz w:val="21"/>
                <w:szCs w:val="21"/>
              </w:rPr>
            </w:pPr>
            <w:r>
              <w:rPr>
                <w:rFonts w:ascii="宋体" w:hAnsi="宋体" w:cs="宋体" w:eastAsia="宋体" w:hint="default"/>
                <w:b/>
                <w:bCs/>
                <w:sz w:val="21"/>
                <w:szCs w:val="21"/>
              </w:rPr>
              <w:t>注册</w:t>
            </w:r>
            <w:r>
              <w:rPr>
                <w:rFonts w:ascii="宋体" w:hAnsi="宋体" w:cs="宋体" w:eastAsia="宋体" w:hint="default"/>
                <w:sz w:val="21"/>
                <w:szCs w:val="21"/>
              </w:rPr>
            </w:r>
          </w:p>
          <w:p>
            <w:pPr>
              <w:pStyle w:val="TableParagraph"/>
              <w:spacing w:line="273" w:lineRule="exact"/>
              <w:ind w:left="130" w:right="0"/>
              <w:jc w:val="left"/>
              <w:rPr>
                <w:rFonts w:ascii="宋体" w:hAnsi="宋体" w:cs="宋体" w:eastAsia="宋体" w:hint="default"/>
                <w:sz w:val="21"/>
                <w:szCs w:val="21"/>
              </w:rPr>
            </w:pPr>
            <w:r>
              <w:rPr>
                <w:rFonts w:ascii="宋体" w:hAnsi="宋体" w:cs="宋体" w:eastAsia="宋体" w:hint="default"/>
                <w:b/>
                <w:bCs/>
                <w:sz w:val="21"/>
                <w:szCs w:val="21"/>
              </w:rPr>
              <w:t>地址</w:t>
            </w:r>
            <w:r>
              <w:rPr>
                <w:rFonts w:ascii="宋体" w:hAnsi="宋体" w:cs="宋体" w:eastAsia="宋体" w:hint="default"/>
                <w:sz w:val="21"/>
                <w:szCs w:val="21"/>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7" w:right="0" w:hanging="51"/>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b/>
                <w:bCs/>
                <w:sz w:val="21"/>
                <w:szCs w:val="21"/>
              </w:rPr>
              <w:t>(</w:t>
            </w:r>
            <w:r>
              <w:rPr>
                <w:rFonts w:ascii="宋体" w:hAnsi="宋体" w:cs="宋体" w:eastAsia="宋体" w:hint="default"/>
                <w:b/>
                <w:bCs/>
                <w:sz w:val="21"/>
                <w:szCs w:val="21"/>
              </w:rPr>
              <w:t>万</w:t>
            </w:r>
            <w:r>
              <w:rPr>
                <w:rFonts w:ascii="宋体" w:hAnsi="宋体" w:cs="宋体" w:eastAsia="宋体" w:hint="default"/>
                <w:sz w:val="21"/>
                <w:szCs w:val="21"/>
              </w:rPr>
            </w:r>
          </w:p>
          <w:p>
            <w:pPr>
              <w:pStyle w:val="TableParagraph"/>
              <w:spacing w:line="273" w:lineRule="exact"/>
              <w:ind w:left="167" w:right="0"/>
              <w:jc w:val="left"/>
              <w:rPr>
                <w:rFonts w:ascii="宋体" w:hAnsi="宋体" w:cs="宋体" w:eastAsia="宋体" w:hint="default"/>
                <w:sz w:val="21"/>
                <w:szCs w:val="21"/>
              </w:rPr>
            </w:pPr>
            <w:r>
              <w:rPr>
                <w:rFonts w:ascii="宋体" w:hAnsi="宋体" w:cs="宋体" w:eastAsia="宋体" w:hint="default"/>
                <w:b/>
                <w:bCs/>
                <w:sz w:val="21"/>
                <w:szCs w:val="21"/>
              </w:rPr>
              <w:t>元</w:t>
            </w:r>
            <w:r>
              <w:rPr>
                <w:rFonts w:ascii="宋体" w:hAnsi="宋体" w:cs="宋体" w:eastAsia="宋体" w:hint="default"/>
                <w:b/>
                <w:bCs/>
                <w:sz w:val="21"/>
                <w:szCs w:val="21"/>
              </w:rPr>
              <w:t>)/</w:t>
            </w:r>
            <w:r>
              <w:rPr>
                <w:rFonts w:ascii="宋体" w:hAnsi="宋体" w:cs="宋体" w:eastAsia="宋体" w:hint="default"/>
                <w:b/>
                <w:bCs/>
                <w:sz w:val="21"/>
                <w:szCs w:val="21"/>
              </w:rPr>
              <w:t>总股本</w:t>
            </w:r>
            <w:r>
              <w:rPr>
                <w:rFonts w:ascii="宋体" w:hAnsi="宋体" w:cs="宋体" w:eastAsia="宋体" w:hint="default"/>
                <w:sz w:val="21"/>
                <w:szCs w:val="21"/>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4" w:right="0"/>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sz w:val="21"/>
                <w:szCs w:val="21"/>
              </w:rPr>
            </w:r>
          </w:p>
          <w:p>
            <w:pPr>
              <w:pStyle w:val="TableParagraph"/>
              <w:spacing w:line="273" w:lineRule="exact"/>
              <w:ind w:left="264"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826"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1</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581"/>
              <w:jc w:val="left"/>
              <w:rPr>
                <w:rFonts w:ascii="宋体" w:hAnsi="宋体" w:cs="宋体" w:eastAsia="宋体" w:hint="default"/>
                <w:sz w:val="21"/>
                <w:szCs w:val="21"/>
              </w:rPr>
            </w:pPr>
            <w:r>
              <w:rPr>
                <w:rFonts w:ascii="宋体" w:hAnsi="宋体" w:cs="宋体" w:eastAsia="宋体" w:hint="default"/>
                <w:spacing w:val="-2"/>
                <w:sz w:val="21"/>
                <w:szCs w:val="21"/>
              </w:rPr>
              <w:t>泰豪科技股份有限公司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w:t>
            </w:r>
            <w:r>
              <w:rPr>
                <w:rFonts w:ascii="宋体" w:hAnsi="宋体" w:cs="宋体" w:eastAsia="宋体" w:hint="default"/>
                <w:sz w:val="21"/>
                <w:szCs w:val="21"/>
              </w:rPr>
              <w:t>股票代码：</w:t>
            </w:r>
            <w:r>
              <w:rPr>
                <w:rFonts w:ascii="宋体" w:hAnsi="宋体" w:cs="宋体" w:eastAsia="宋体" w:hint="default"/>
                <w:sz w:val="21"/>
                <w:szCs w:val="21"/>
              </w:rPr>
              <w:t>600590)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96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422" w:val="left" w:leader="none"/>
              </w:tabs>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杨</w:t>
              <w:tab/>
              <w:t>剑</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2" w:right="132"/>
              <w:jc w:val="left"/>
              <w:rPr>
                <w:rFonts w:ascii="宋体" w:hAnsi="宋体" w:cs="宋体" w:eastAsia="宋体" w:hint="default"/>
                <w:sz w:val="21"/>
                <w:szCs w:val="21"/>
              </w:rPr>
            </w:pPr>
            <w:r>
              <w:rPr>
                <w:rFonts w:ascii="宋体" w:hAnsi="宋体" w:cs="宋体" w:eastAsia="宋体" w:hint="default"/>
                <w:sz w:val="21"/>
                <w:szCs w:val="21"/>
              </w:rPr>
              <w:t>江西</w:t>
            </w:r>
            <w:r>
              <w:rPr>
                <w:rFonts w:ascii="宋体" w:hAnsi="宋体" w:cs="宋体" w:eastAsia="宋体" w:hint="default"/>
                <w:spacing w:val="-103"/>
                <w:sz w:val="21"/>
                <w:szCs w:val="21"/>
              </w:rPr>
              <w:t> </w:t>
            </w:r>
            <w:r>
              <w:rPr>
                <w:rFonts w:ascii="宋体" w:hAnsi="宋体" w:cs="宋体" w:eastAsia="宋体" w:hint="default"/>
                <w:sz w:val="21"/>
                <w:szCs w:val="21"/>
              </w:rPr>
              <w:t>南昌</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计算机及软件产品、空</w:t>
            </w:r>
          </w:p>
          <w:p>
            <w:pPr>
              <w:pStyle w:val="TableParagraph"/>
              <w:spacing w:line="240" w:lineRule="auto"/>
              <w:ind w:left="100" w:right="113"/>
              <w:jc w:val="left"/>
              <w:rPr>
                <w:rFonts w:ascii="宋体" w:hAnsi="宋体" w:cs="宋体" w:eastAsia="宋体" w:hint="default"/>
                <w:sz w:val="21"/>
                <w:szCs w:val="21"/>
              </w:rPr>
            </w:pPr>
            <w:r>
              <w:rPr>
                <w:rFonts w:ascii="宋体" w:hAnsi="宋体" w:cs="宋体" w:eastAsia="宋体" w:hint="default"/>
                <w:spacing w:val="-2"/>
                <w:sz w:val="21"/>
                <w:szCs w:val="21"/>
              </w:rPr>
              <w:t>调机组、发电机组、输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变电配套设备等。</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36" w:right="0"/>
              <w:jc w:val="left"/>
              <w:rPr>
                <w:rFonts w:ascii="宋体" w:hAnsi="宋体" w:cs="宋体" w:eastAsia="宋体" w:hint="default"/>
                <w:sz w:val="21"/>
                <w:szCs w:val="21"/>
              </w:rPr>
            </w:pPr>
            <w:r>
              <w:rPr>
                <w:rFonts w:ascii="宋体"/>
                <w:sz w:val="21"/>
              </w:rPr>
              <w:t>86,629.8784</w:t>
            </w:r>
          </w:p>
          <w:p>
            <w:pPr>
              <w:pStyle w:val="TableParagraph"/>
              <w:spacing w:line="273" w:lineRule="exact"/>
              <w:ind w:left="871" w:right="0"/>
              <w:jc w:val="left"/>
              <w:rPr>
                <w:rFonts w:ascii="宋体" w:hAnsi="宋体" w:cs="宋体" w:eastAsia="宋体" w:hint="default"/>
                <w:sz w:val="21"/>
                <w:szCs w:val="21"/>
              </w:rPr>
            </w:pPr>
            <w:r>
              <w:rPr>
                <w:rFonts w:ascii="宋体" w:hAnsi="宋体" w:cs="宋体" w:eastAsia="宋体" w:hint="default"/>
                <w:sz w:val="21"/>
                <w:szCs w:val="21"/>
              </w:rPr>
              <w:t>万股</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19.31%</w:t>
            </w: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2</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同方威视技术股份有限公司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00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陈志强</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4" w:lineRule="exact"/>
              <w:ind w:left="132" w:right="0"/>
              <w:jc w:val="left"/>
              <w:rPr>
                <w:rFonts w:ascii="宋体" w:hAnsi="宋体" w:cs="宋体" w:eastAsia="宋体" w:hint="default"/>
                <w:sz w:val="21"/>
                <w:szCs w:val="21"/>
              </w:rPr>
            </w:pPr>
            <w:r>
              <w:rPr>
                <w:rFonts w:ascii="宋体" w:hAnsi="宋体" w:cs="宋体" w:eastAsia="宋体" w:hint="default"/>
                <w:sz w:val="21"/>
                <w:szCs w:val="21"/>
              </w:rPr>
              <w:t>海淀</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基于辐射成像技术的安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全检查产品和应用系统</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18,500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71.25%</w:t>
            </w:r>
          </w:p>
        </w:tc>
      </w:tr>
      <w:tr>
        <w:trPr>
          <w:trHeight w:val="557"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w w:val="100"/>
                <w:sz w:val="21"/>
              </w:rPr>
              <w:t>3</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同方知网数字出版技术股份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99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hAnsi="宋体" w:cs="宋体" w:eastAsia="宋体" w:hint="default"/>
                <w:sz w:val="21"/>
                <w:szCs w:val="21"/>
              </w:rPr>
              <w:t>王明亮</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2"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3" w:lineRule="exact"/>
              <w:ind w:left="132" w:right="0"/>
              <w:jc w:val="left"/>
              <w:rPr>
                <w:rFonts w:ascii="宋体" w:hAnsi="宋体" w:cs="宋体" w:eastAsia="宋体" w:hint="default"/>
                <w:sz w:val="21"/>
                <w:szCs w:val="21"/>
              </w:rPr>
            </w:pPr>
            <w:r>
              <w:rPr>
                <w:rFonts w:ascii="宋体" w:hAnsi="宋体" w:cs="宋体" w:eastAsia="宋体" w:hint="default"/>
                <w:sz w:val="21"/>
                <w:szCs w:val="21"/>
              </w:rPr>
              <w:t>海淀</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知识资源数据库的开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发、研制</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8,000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98.98%</w:t>
            </w:r>
          </w:p>
        </w:tc>
      </w:tr>
      <w:tr>
        <w:trPr>
          <w:trHeight w:val="386"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w w:val="100"/>
                <w:sz w:val="21"/>
              </w:rPr>
              <w:t>4</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sz w:val="21"/>
                <w:szCs w:val="21"/>
              </w:rPr>
              <w:t>同方人工环境有限公司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sz w:val="21"/>
                <w:szCs w:val="21"/>
              </w:rPr>
              <w:t>00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
              <w:jc w:val="center"/>
              <w:rPr>
                <w:rFonts w:ascii="宋体" w:hAnsi="宋体" w:cs="宋体" w:eastAsia="宋体" w:hint="default"/>
                <w:sz w:val="21"/>
                <w:szCs w:val="21"/>
              </w:rPr>
            </w:pPr>
            <w:r>
              <w:rPr>
                <w:rFonts w:ascii="宋体" w:hAnsi="宋体" w:cs="宋体" w:eastAsia="宋体" w:hint="default"/>
                <w:sz w:val="21"/>
                <w:szCs w:val="21"/>
              </w:rPr>
              <w:t>秦绪忠</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32"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2"/>
              <w:jc w:val="center"/>
              <w:rPr>
                <w:rFonts w:ascii="宋体" w:hAnsi="宋体" w:cs="宋体" w:eastAsia="宋体" w:hint="default"/>
                <w:sz w:val="21"/>
                <w:szCs w:val="21"/>
              </w:rPr>
            </w:pPr>
            <w:r>
              <w:rPr>
                <w:rFonts w:ascii="宋体" w:hAnsi="宋体" w:cs="宋体" w:eastAsia="宋体" w:hint="default"/>
                <w:sz w:val="21"/>
                <w:szCs w:val="21"/>
              </w:rPr>
              <w:t>基于热泵技术的节能产</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98"/>
              <w:jc w:val="right"/>
              <w:rPr>
                <w:rFonts w:ascii="宋体" w:hAnsi="宋体" w:cs="宋体" w:eastAsia="宋体" w:hint="default"/>
                <w:sz w:val="21"/>
                <w:szCs w:val="21"/>
              </w:rPr>
            </w:pPr>
            <w:r>
              <w:rPr>
                <w:rFonts w:ascii="宋体"/>
                <w:sz w:val="21"/>
              </w:rPr>
              <w:t>43,358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宋体" w:hAnsi="宋体" w:cs="宋体" w:eastAsia="宋体" w:hint="default"/>
                <w:sz w:val="21"/>
                <w:szCs w:val="21"/>
              </w:rPr>
            </w:pPr>
            <w:r>
              <w:rPr>
                <w:rFonts w:ascii="宋体"/>
                <w:spacing w:val="-1"/>
                <w:sz w:val="21"/>
              </w:rPr>
              <w:t>100.00%</w:t>
            </w:r>
          </w:p>
        </w:tc>
      </w:tr>
    </w:tbl>
    <w:p>
      <w:pPr>
        <w:spacing w:after="0" w:line="240" w:lineRule="auto"/>
        <w:jc w:val="right"/>
        <w:rPr>
          <w:rFonts w:ascii="宋体" w:hAnsi="宋体" w:cs="宋体" w:eastAsia="宋体" w:hint="default"/>
          <w:sz w:val="21"/>
          <w:szCs w:val="21"/>
        </w:rPr>
        <w:sectPr>
          <w:type w:val="continuous"/>
          <w:pgSz w:w="11910" w:h="16840"/>
          <w:pgMar w:top="1000" w:bottom="280" w:left="680" w:right="140"/>
        </w:sectPr>
      </w:pPr>
    </w:p>
    <w:p>
      <w:pPr>
        <w:spacing w:before="25"/>
        <w:ind w:left="4853" w:right="488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507"/>
        <w:gridCol w:w="2799"/>
        <w:gridCol w:w="1260"/>
        <w:gridCol w:w="888"/>
        <w:gridCol w:w="699"/>
        <w:gridCol w:w="2329"/>
        <w:gridCol w:w="1404"/>
        <w:gridCol w:w="965"/>
      </w:tblGrid>
      <w:tr>
        <w:trPr>
          <w:trHeight w:val="557"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1" w:right="0"/>
              <w:jc w:val="left"/>
              <w:rPr>
                <w:rFonts w:ascii="宋体" w:hAnsi="宋体" w:cs="宋体" w:eastAsia="宋体" w:hint="default"/>
                <w:sz w:val="21"/>
                <w:szCs w:val="21"/>
              </w:rPr>
            </w:pPr>
            <w:r>
              <w:rPr>
                <w:rFonts w:ascii="宋体" w:hAnsi="宋体" w:cs="宋体" w:eastAsia="宋体" w:hint="default"/>
                <w:b/>
                <w:bCs/>
                <w:w w:val="100"/>
                <w:sz w:val="21"/>
                <w:szCs w:val="21"/>
              </w:rPr>
              <w:t>序</w:t>
            </w:r>
            <w:r>
              <w:rPr>
                <w:rFonts w:ascii="宋体" w:hAnsi="宋体" w:cs="宋体" w:eastAsia="宋体" w:hint="default"/>
                <w:w w:val="100"/>
                <w:sz w:val="21"/>
                <w:szCs w:val="21"/>
              </w:rPr>
            </w:r>
          </w:p>
          <w:p>
            <w:pPr>
              <w:pStyle w:val="TableParagraph"/>
              <w:spacing w:line="273" w:lineRule="exact"/>
              <w:ind w:left="141" w:right="0"/>
              <w:jc w:val="left"/>
              <w:rPr>
                <w:rFonts w:ascii="宋体" w:hAnsi="宋体" w:cs="宋体" w:eastAsia="宋体" w:hint="default"/>
                <w:sz w:val="21"/>
                <w:szCs w:val="21"/>
              </w:rPr>
            </w:pPr>
            <w:r>
              <w:rPr>
                <w:rFonts w:ascii="宋体" w:hAnsi="宋体" w:cs="宋体" w:eastAsia="宋体" w:hint="default"/>
                <w:b/>
                <w:bCs/>
                <w:w w:val="100"/>
                <w:sz w:val="21"/>
                <w:szCs w:val="21"/>
              </w:rPr>
              <w:t>号</w:t>
            </w:r>
            <w:r>
              <w:rPr>
                <w:rFonts w:ascii="宋体" w:hAnsi="宋体" w:cs="宋体" w:eastAsia="宋体" w:hint="default"/>
                <w:w w:val="100"/>
                <w:sz w:val="21"/>
                <w:szCs w:val="21"/>
              </w:rPr>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b/>
                <w:bCs/>
                <w:sz w:val="21"/>
                <w:szCs w:val="21"/>
              </w:rPr>
              <w:t>企业名称</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b/>
                <w:bCs/>
                <w:sz w:val="21"/>
                <w:szCs w:val="21"/>
              </w:rPr>
              <w:t>成立日期</w:t>
            </w:r>
            <w:r>
              <w:rPr>
                <w:rFonts w:ascii="宋体" w:hAnsi="宋体" w:cs="宋体" w:eastAsia="宋体" w:hint="default"/>
                <w:sz w:val="21"/>
                <w:szCs w:val="21"/>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b/>
                <w:bCs/>
                <w:sz w:val="21"/>
                <w:szCs w:val="21"/>
              </w:rPr>
              <w:t>法定代</w:t>
            </w:r>
            <w:r>
              <w:rPr>
                <w:rFonts w:ascii="宋体" w:hAnsi="宋体" w:cs="宋体" w:eastAsia="宋体" w:hint="default"/>
                <w:sz w:val="21"/>
                <w:szCs w:val="21"/>
              </w:rPr>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b/>
                <w:bCs/>
                <w:sz w:val="21"/>
                <w:szCs w:val="21"/>
              </w:rPr>
              <w:t>表人</w:t>
            </w:r>
            <w:r>
              <w:rPr>
                <w:rFonts w:ascii="宋体" w:hAnsi="宋体" w:cs="宋体" w:eastAsia="宋体" w:hint="default"/>
                <w:sz w:val="21"/>
                <w:szCs w:val="21"/>
              </w:rPr>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0" w:right="0"/>
              <w:jc w:val="left"/>
              <w:rPr>
                <w:rFonts w:ascii="宋体" w:hAnsi="宋体" w:cs="宋体" w:eastAsia="宋体" w:hint="default"/>
                <w:sz w:val="21"/>
                <w:szCs w:val="21"/>
              </w:rPr>
            </w:pPr>
            <w:r>
              <w:rPr>
                <w:rFonts w:ascii="宋体" w:hAnsi="宋体" w:cs="宋体" w:eastAsia="宋体" w:hint="default"/>
                <w:b/>
                <w:bCs/>
                <w:sz w:val="21"/>
                <w:szCs w:val="21"/>
              </w:rPr>
              <w:t>注册</w:t>
            </w:r>
            <w:r>
              <w:rPr>
                <w:rFonts w:ascii="宋体" w:hAnsi="宋体" w:cs="宋体" w:eastAsia="宋体" w:hint="default"/>
                <w:sz w:val="21"/>
                <w:szCs w:val="21"/>
              </w:rPr>
            </w:r>
          </w:p>
          <w:p>
            <w:pPr>
              <w:pStyle w:val="TableParagraph"/>
              <w:spacing w:line="273" w:lineRule="exact"/>
              <w:ind w:left="130" w:right="0"/>
              <w:jc w:val="left"/>
              <w:rPr>
                <w:rFonts w:ascii="宋体" w:hAnsi="宋体" w:cs="宋体" w:eastAsia="宋体" w:hint="default"/>
                <w:sz w:val="21"/>
                <w:szCs w:val="21"/>
              </w:rPr>
            </w:pPr>
            <w:r>
              <w:rPr>
                <w:rFonts w:ascii="宋体" w:hAnsi="宋体" w:cs="宋体" w:eastAsia="宋体" w:hint="default"/>
                <w:b/>
                <w:bCs/>
                <w:sz w:val="21"/>
                <w:szCs w:val="21"/>
              </w:rPr>
              <w:t>地址</w:t>
            </w:r>
            <w:r>
              <w:rPr>
                <w:rFonts w:ascii="宋体" w:hAnsi="宋体" w:cs="宋体" w:eastAsia="宋体" w:hint="default"/>
                <w:sz w:val="21"/>
                <w:szCs w:val="21"/>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36" w:right="0"/>
              <w:jc w:val="left"/>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67" w:right="0" w:hanging="51"/>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b/>
                <w:bCs/>
                <w:sz w:val="21"/>
                <w:szCs w:val="21"/>
              </w:rPr>
              <w:t>(</w:t>
            </w:r>
            <w:r>
              <w:rPr>
                <w:rFonts w:ascii="宋体" w:hAnsi="宋体" w:cs="宋体" w:eastAsia="宋体" w:hint="default"/>
                <w:b/>
                <w:bCs/>
                <w:sz w:val="21"/>
                <w:szCs w:val="21"/>
              </w:rPr>
              <w:t>万</w:t>
            </w:r>
            <w:r>
              <w:rPr>
                <w:rFonts w:ascii="宋体" w:hAnsi="宋体" w:cs="宋体" w:eastAsia="宋体" w:hint="default"/>
                <w:sz w:val="21"/>
                <w:szCs w:val="21"/>
              </w:rPr>
            </w:r>
          </w:p>
          <w:p>
            <w:pPr>
              <w:pStyle w:val="TableParagraph"/>
              <w:spacing w:line="273" w:lineRule="exact"/>
              <w:ind w:left="167" w:right="0"/>
              <w:jc w:val="left"/>
              <w:rPr>
                <w:rFonts w:ascii="宋体" w:hAnsi="宋体" w:cs="宋体" w:eastAsia="宋体" w:hint="default"/>
                <w:sz w:val="21"/>
                <w:szCs w:val="21"/>
              </w:rPr>
            </w:pPr>
            <w:r>
              <w:rPr>
                <w:rFonts w:ascii="宋体" w:hAnsi="宋体" w:cs="宋体" w:eastAsia="宋体" w:hint="default"/>
                <w:b/>
                <w:bCs/>
                <w:sz w:val="21"/>
                <w:szCs w:val="21"/>
              </w:rPr>
              <w:t>元</w:t>
            </w:r>
            <w:r>
              <w:rPr>
                <w:rFonts w:ascii="宋体" w:hAnsi="宋体" w:cs="宋体" w:eastAsia="宋体" w:hint="default"/>
                <w:b/>
                <w:bCs/>
                <w:sz w:val="21"/>
                <w:szCs w:val="21"/>
              </w:rPr>
              <w:t>)/</w:t>
            </w:r>
            <w:r>
              <w:rPr>
                <w:rFonts w:ascii="宋体" w:hAnsi="宋体" w:cs="宋体" w:eastAsia="宋体" w:hint="default"/>
                <w:b/>
                <w:bCs/>
                <w:sz w:val="21"/>
                <w:szCs w:val="21"/>
              </w:rPr>
              <w:t>总股本</w:t>
            </w:r>
            <w:r>
              <w:rPr>
                <w:rFonts w:ascii="宋体" w:hAnsi="宋体" w:cs="宋体" w:eastAsia="宋体" w:hint="default"/>
                <w:sz w:val="21"/>
                <w:szCs w:val="21"/>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4" w:right="0"/>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sz w:val="21"/>
                <w:szCs w:val="21"/>
              </w:rPr>
            </w:r>
          </w:p>
          <w:p>
            <w:pPr>
              <w:pStyle w:val="TableParagraph"/>
              <w:spacing w:line="273" w:lineRule="exact"/>
              <w:ind w:left="264"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
        </w:tc>
        <w:tc>
          <w:tcPr>
            <w:tcW w:w="279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海淀</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品生产和低品位热能转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换利用系统的集成</w:t>
            </w:r>
          </w:p>
        </w:tc>
        <w:tc>
          <w:tcPr>
            <w:tcW w:w="1404"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5</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同方工业有限公司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06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李吉生</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2"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3" w:lineRule="exact"/>
              <w:ind w:left="132" w:right="0"/>
              <w:jc w:val="left"/>
              <w:rPr>
                <w:rFonts w:ascii="宋体" w:hAnsi="宋体" w:cs="宋体" w:eastAsia="宋体" w:hint="default"/>
                <w:sz w:val="21"/>
                <w:szCs w:val="21"/>
              </w:rPr>
            </w:pPr>
            <w:r>
              <w:rPr>
                <w:rFonts w:ascii="宋体" w:hAnsi="宋体" w:cs="宋体" w:eastAsia="宋体" w:hint="default"/>
                <w:sz w:val="21"/>
                <w:szCs w:val="21"/>
              </w:rPr>
              <w:t>海淀</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通信设备、电子产品</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100.00%</w:t>
            </w: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6</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沈阳同方多媒体科技有限公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单步启</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2" w:right="0"/>
              <w:jc w:val="left"/>
              <w:rPr>
                <w:rFonts w:ascii="宋体" w:hAnsi="宋体" w:cs="宋体" w:eastAsia="宋体" w:hint="default"/>
                <w:sz w:val="21"/>
                <w:szCs w:val="21"/>
              </w:rPr>
            </w:pPr>
            <w:r>
              <w:rPr>
                <w:rFonts w:ascii="宋体" w:hAnsi="宋体" w:cs="宋体" w:eastAsia="宋体" w:hint="default"/>
                <w:sz w:val="21"/>
                <w:szCs w:val="21"/>
              </w:rPr>
              <w:t>辽宁</w:t>
            </w:r>
          </w:p>
          <w:p>
            <w:pPr>
              <w:pStyle w:val="TableParagraph"/>
              <w:spacing w:line="273" w:lineRule="exact"/>
              <w:ind w:left="132"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数字平板电视机生产</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187,500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100.00%</w:t>
            </w: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7</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北京同方凌讯科技有限公司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李健航</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4" w:lineRule="exact"/>
              <w:ind w:left="132" w:right="0"/>
              <w:jc w:val="left"/>
              <w:rPr>
                <w:rFonts w:ascii="宋体" w:hAnsi="宋体" w:cs="宋体" w:eastAsia="宋体" w:hint="default"/>
                <w:sz w:val="21"/>
                <w:szCs w:val="21"/>
              </w:rPr>
            </w:pPr>
            <w:r>
              <w:rPr>
                <w:rFonts w:ascii="宋体" w:hAnsi="宋体" w:cs="宋体" w:eastAsia="宋体" w:hint="default"/>
                <w:sz w:val="21"/>
                <w:szCs w:val="21"/>
              </w:rPr>
              <w:t>海淀</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数字电视信号地面无线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传输系统建设与运营</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25,000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94.48%</w:t>
            </w: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8</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山东同方鲁颖电子有限公司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00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高</w:t>
              <w:tab/>
              <w:t>志</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hAnsi="宋体" w:cs="宋体" w:eastAsia="宋体" w:hint="default"/>
                <w:sz w:val="21"/>
                <w:szCs w:val="21"/>
              </w:rPr>
              <w:t>山东</w:t>
            </w:r>
          </w:p>
          <w:p>
            <w:pPr>
              <w:pStyle w:val="TableParagraph"/>
              <w:spacing w:line="274" w:lineRule="exact"/>
              <w:ind w:left="132" w:right="0"/>
              <w:jc w:val="left"/>
              <w:rPr>
                <w:rFonts w:ascii="宋体" w:hAnsi="宋体" w:cs="宋体" w:eastAsia="宋体" w:hint="default"/>
                <w:sz w:val="21"/>
                <w:szCs w:val="21"/>
              </w:rPr>
            </w:pPr>
            <w:r>
              <w:rPr>
                <w:rFonts w:ascii="宋体" w:hAnsi="宋体" w:cs="宋体" w:eastAsia="宋体" w:hint="default"/>
                <w:sz w:val="21"/>
                <w:szCs w:val="21"/>
              </w:rPr>
              <w:t>沂南</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中高压瓷介电容器、片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式电子元器件生产</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97.00%</w:t>
            </w:r>
          </w:p>
        </w:tc>
      </w:tr>
      <w:tr>
        <w:trPr>
          <w:trHeight w:val="555"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w w:val="100"/>
                <w:sz w:val="21"/>
              </w:rPr>
              <w:t>9</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北京同方软件股份有限公司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00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3"/>
              <w:ind w:right="2"/>
              <w:jc w:val="center"/>
              <w:rPr>
                <w:rFonts w:ascii="宋体" w:hAnsi="宋体" w:cs="宋体" w:eastAsia="宋体" w:hint="default"/>
                <w:sz w:val="21"/>
                <w:szCs w:val="21"/>
              </w:rPr>
            </w:pPr>
            <w:r>
              <w:rPr>
                <w:rFonts w:ascii="宋体" w:hAnsi="宋体" w:cs="宋体" w:eastAsia="宋体" w:hint="default"/>
                <w:sz w:val="21"/>
                <w:szCs w:val="21"/>
              </w:rPr>
              <w:t>周</w:t>
              <w:tab/>
              <w:t>侠</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4" w:lineRule="exact"/>
              <w:ind w:left="132" w:right="0"/>
              <w:jc w:val="left"/>
              <w:rPr>
                <w:rFonts w:ascii="宋体" w:hAnsi="宋体" w:cs="宋体" w:eastAsia="宋体" w:hint="default"/>
                <w:sz w:val="21"/>
                <w:szCs w:val="21"/>
              </w:rPr>
            </w:pPr>
            <w:r>
              <w:rPr>
                <w:rFonts w:ascii="宋体" w:hAnsi="宋体" w:cs="宋体" w:eastAsia="宋体" w:hint="default"/>
                <w:sz w:val="21"/>
                <w:szCs w:val="21"/>
              </w:rPr>
              <w:t>海淀</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计算机应用软件和软件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开发平台的开发</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4,100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90.24%</w:t>
            </w: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Technovator</w:t>
            </w:r>
            <w:r>
              <w:rPr>
                <w:rFonts w:ascii="宋体"/>
                <w:spacing w:val="-47"/>
                <w:sz w:val="21"/>
              </w:rPr>
              <w:t> </w:t>
            </w:r>
            <w:r>
              <w:rPr>
                <w:rFonts w:ascii="宋体"/>
                <w:sz w:val="21"/>
              </w:rPr>
              <w:t>International</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Limited(</w:t>
            </w:r>
            <w:r>
              <w:rPr>
                <w:rFonts w:ascii="宋体" w:hAnsi="宋体" w:cs="宋体" w:eastAsia="宋体" w:hint="default"/>
                <w:spacing w:val="-4"/>
                <w:sz w:val="21"/>
                <w:szCs w:val="21"/>
              </w:rPr>
              <w:t>股票代码：</w:t>
            </w:r>
            <w:r>
              <w:rPr>
                <w:rFonts w:ascii="宋体" w:hAnsi="宋体" w:cs="宋体" w:eastAsia="宋体" w:hint="default"/>
                <w:spacing w:val="-4"/>
                <w:sz w:val="21"/>
                <w:szCs w:val="21"/>
              </w:rPr>
              <w:t>HK1206)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05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秦绪忠</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新加</w:t>
            </w:r>
          </w:p>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w w:val="100"/>
                <w:sz w:val="21"/>
                <w:szCs w:val="21"/>
              </w:rPr>
              <w:t>坡</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楼宇自动控制及安防产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品的研发、生产和销售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5" w:right="0"/>
              <w:jc w:val="left"/>
              <w:rPr>
                <w:rFonts w:ascii="宋体" w:hAnsi="宋体" w:cs="宋体" w:eastAsia="宋体" w:hint="default"/>
                <w:sz w:val="21"/>
                <w:szCs w:val="21"/>
              </w:rPr>
            </w:pPr>
            <w:r>
              <w:rPr>
                <w:rFonts w:ascii="宋体"/>
                <w:sz w:val="21"/>
              </w:rPr>
              <w:t>78,219.22</w:t>
            </w:r>
          </w:p>
          <w:p>
            <w:pPr>
              <w:pStyle w:val="TableParagraph"/>
              <w:spacing w:line="274" w:lineRule="exact"/>
              <w:ind w:left="871" w:right="0"/>
              <w:jc w:val="left"/>
              <w:rPr>
                <w:rFonts w:ascii="宋体" w:hAnsi="宋体" w:cs="宋体" w:eastAsia="宋体" w:hint="default"/>
                <w:sz w:val="21"/>
                <w:szCs w:val="21"/>
              </w:rPr>
            </w:pPr>
            <w:r>
              <w:rPr>
                <w:rFonts w:ascii="宋体" w:hAnsi="宋体" w:cs="宋体" w:eastAsia="宋体" w:hint="default"/>
                <w:sz w:val="21"/>
                <w:szCs w:val="21"/>
              </w:rPr>
              <w:t>万股</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11.76%</w:t>
            </w: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11</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同方锐安科技有限公司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06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赵晓波</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3" w:lineRule="exact"/>
              <w:ind w:left="132" w:right="0"/>
              <w:jc w:val="left"/>
              <w:rPr>
                <w:rFonts w:ascii="宋体" w:hAnsi="宋体" w:cs="宋体" w:eastAsia="宋体" w:hint="default"/>
                <w:sz w:val="21"/>
                <w:szCs w:val="21"/>
              </w:rPr>
            </w:pPr>
            <w:r>
              <w:rPr>
                <w:rFonts w:ascii="宋体" w:hAnsi="宋体" w:cs="宋体" w:eastAsia="宋体" w:hint="default"/>
                <w:sz w:val="21"/>
                <w:szCs w:val="21"/>
              </w:rPr>
              <w:t>海淀</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RFID</w:t>
            </w:r>
            <w:r>
              <w:rPr>
                <w:rFonts w:ascii="宋体" w:hAnsi="宋体" w:cs="宋体" w:eastAsia="宋体" w:hint="default"/>
                <w:spacing w:val="-54"/>
                <w:sz w:val="21"/>
                <w:szCs w:val="21"/>
              </w:rPr>
              <w:t> </w:t>
            </w:r>
            <w:r>
              <w:rPr>
                <w:rFonts w:ascii="宋体" w:hAnsi="宋体" w:cs="宋体" w:eastAsia="宋体" w:hint="default"/>
                <w:sz w:val="21"/>
                <w:szCs w:val="21"/>
              </w:rPr>
              <w:t>产品研发、销售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7,058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85.00%</w:t>
            </w:r>
          </w:p>
        </w:tc>
      </w:tr>
      <w:tr>
        <w:trPr>
          <w:trHeight w:val="557"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12</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同方健康科技</w:t>
            </w:r>
            <w:r>
              <w:rPr>
                <w:rFonts w:ascii="宋体" w:hAnsi="宋体" w:cs="宋体" w:eastAsia="宋体" w:hint="default"/>
                <w:spacing w:val="2"/>
                <w:sz w:val="21"/>
                <w:szCs w:val="21"/>
              </w:rPr>
              <w:t>(</w:t>
            </w:r>
            <w:r>
              <w:rPr>
                <w:rFonts w:ascii="宋体" w:hAnsi="宋体" w:cs="宋体" w:eastAsia="宋体" w:hint="default"/>
                <w:spacing w:val="2"/>
                <w:sz w:val="21"/>
                <w:szCs w:val="21"/>
              </w:rPr>
              <w:t>北京</w:t>
            </w:r>
            <w:r>
              <w:rPr>
                <w:rFonts w:ascii="宋体" w:hAnsi="宋体" w:cs="宋体" w:eastAsia="宋体" w:hint="default"/>
                <w:spacing w:val="2"/>
                <w:sz w:val="21"/>
                <w:szCs w:val="21"/>
              </w:rPr>
              <w:t>)</w:t>
            </w:r>
            <w:r>
              <w:rPr>
                <w:rFonts w:ascii="宋体" w:hAnsi="宋体" w:cs="宋体" w:eastAsia="宋体" w:hint="default"/>
                <w:spacing w:val="2"/>
                <w:sz w:val="21"/>
                <w:szCs w:val="21"/>
              </w:rPr>
              <w:t>股份有</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王并举</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3" w:lineRule="exact"/>
              <w:ind w:left="132" w:right="0"/>
              <w:jc w:val="left"/>
              <w:rPr>
                <w:rFonts w:ascii="宋体" w:hAnsi="宋体" w:cs="宋体" w:eastAsia="宋体" w:hint="default"/>
                <w:sz w:val="21"/>
                <w:szCs w:val="21"/>
              </w:rPr>
            </w:pPr>
            <w:r>
              <w:rPr>
                <w:rFonts w:ascii="宋体" w:hAnsi="宋体" w:cs="宋体" w:eastAsia="宋体" w:hint="default"/>
                <w:sz w:val="21"/>
                <w:szCs w:val="21"/>
              </w:rPr>
              <w:t>海淀</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人体体质检查分析产品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开发生产销售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5,280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33.14%</w:t>
            </w:r>
          </w:p>
        </w:tc>
      </w:tr>
      <w:tr>
        <w:trPr>
          <w:trHeight w:val="1100"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13</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同方环境股份有限公司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03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林荣强</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2" w:right="132"/>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海淀</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脱硫、脱销、城市生活</w:t>
            </w:r>
          </w:p>
          <w:p>
            <w:pPr>
              <w:pStyle w:val="TableParagraph"/>
              <w:spacing w:line="237" w:lineRule="auto"/>
              <w:ind w:left="100" w:right="113"/>
              <w:jc w:val="both"/>
              <w:rPr>
                <w:rFonts w:ascii="宋体" w:hAnsi="宋体" w:cs="宋体" w:eastAsia="宋体" w:hint="default"/>
                <w:sz w:val="21"/>
                <w:szCs w:val="21"/>
              </w:rPr>
            </w:pPr>
            <w:r>
              <w:rPr>
                <w:rFonts w:ascii="宋体" w:hAnsi="宋体" w:cs="宋体" w:eastAsia="宋体" w:hint="default"/>
                <w:spacing w:val="-2"/>
                <w:sz w:val="21"/>
                <w:szCs w:val="21"/>
              </w:rPr>
              <w:t>垃圾及危险废弃物无害</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化处理等环保产品和工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程承揽</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sz w:val="21"/>
              </w:rPr>
              <w:t>17,792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31.50%</w:t>
            </w: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14</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同方科技园有限公司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99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黄</w:t>
              <w:tab/>
              <w:t>俞</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2"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3" w:lineRule="exact"/>
              <w:ind w:left="132" w:right="0"/>
              <w:jc w:val="left"/>
              <w:rPr>
                <w:rFonts w:ascii="宋体" w:hAnsi="宋体" w:cs="宋体" w:eastAsia="宋体" w:hint="default"/>
                <w:sz w:val="21"/>
                <w:szCs w:val="21"/>
              </w:rPr>
            </w:pPr>
            <w:r>
              <w:rPr>
                <w:rFonts w:ascii="宋体" w:hAnsi="宋体" w:cs="宋体" w:eastAsia="宋体" w:hint="default"/>
                <w:sz w:val="21"/>
                <w:szCs w:val="21"/>
              </w:rPr>
              <w:t>海淀</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自用办公楼、科技园开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发</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204,694.12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100.00%</w:t>
            </w: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15</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同方计算机有限公司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李健航</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2" w:right="0"/>
              <w:jc w:val="left"/>
              <w:rPr>
                <w:rFonts w:ascii="宋体" w:hAnsi="宋体" w:cs="宋体" w:eastAsia="宋体" w:hint="default"/>
                <w:sz w:val="21"/>
                <w:szCs w:val="21"/>
              </w:rPr>
            </w:pPr>
            <w:r>
              <w:rPr>
                <w:rFonts w:ascii="宋体" w:hAnsi="宋体" w:cs="宋体" w:eastAsia="宋体" w:hint="default"/>
                <w:sz w:val="21"/>
                <w:szCs w:val="21"/>
              </w:rPr>
              <w:t>江苏</w:t>
            </w:r>
          </w:p>
          <w:p>
            <w:pPr>
              <w:pStyle w:val="TableParagraph"/>
              <w:spacing w:line="273" w:lineRule="exact"/>
              <w:ind w:left="132" w:right="0"/>
              <w:jc w:val="left"/>
              <w:rPr>
                <w:rFonts w:ascii="宋体" w:hAnsi="宋体" w:cs="宋体" w:eastAsia="宋体" w:hint="default"/>
                <w:sz w:val="21"/>
                <w:szCs w:val="21"/>
              </w:rPr>
            </w:pPr>
            <w:r>
              <w:rPr>
                <w:rFonts w:ascii="宋体" w:hAnsi="宋体" w:cs="宋体" w:eastAsia="宋体" w:hint="default"/>
                <w:sz w:val="21"/>
                <w:szCs w:val="21"/>
              </w:rPr>
              <w:t>无锡</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5"/>
              <w:jc w:val="left"/>
              <w:rPr>
                <w:rFonts w:ascii="宋体" w:hAnsi="宋体" w:cs="宋体" w:eastAsia="宋体" w:hint="default"/>
                <w:sz w:val="21"/>
                <w:szCs w:val="21"/>
              </w:rPr>
            </w:pPr>
            <w:r>
              <w:rPr>
                <w:rFonts w:ascii="宋体" w:hAnsi="宋体" w:cs="宋体" w:eastAsia="宋体" w:hint="default"/>
                <w:w w:val="100"/>
                <w:sz w:val="21"/>
                <w:szCs w:val="21"/>
              </w:rPr>
              <w:t>计算</w:t>
            </w:r>
            <w:r>
              <w:rPr>
                <w:rFonts w:ascii="宋体" w:hAnsi="宋体" w:cs="宋体" w:eastAsia="宋体" w:hint="default"/>
                <w:spacing w:val="-3"/>
                <w:w w:val="100"/>
                <w:sz w:val="21"/>
                <w:szCs w:val="21"/>
              </w:rPr>
              <w:t>机</w:t>
            </w:r>
            <w:r>
              <w:rPr>
                <w:rFonts w:ascii="宋体" w:hAnsi="宋体" w:cs="宋体" w:eastAsia="宋体" w:hint="default"/>
                <w:w w:val="100"/>
                <w:sz w:val="21"/>
                <w:szCs w:val="21"/>
              </w:rPr>
              <w:t>设</w:t>
            </w:r>
            <w:r>
              <w:rPr>
                <w:rFonts w:ascii="宋体" w:hAnsi="宋体" w:cs="宋体" w:eastAsia="宋体" w:hint="default"/>
                <w:spacing w:val="-3"/>
                <w:w w:val="100"/>
                <w:sz w:val="21"/>
                <w:szCs w:val="21"/>
              </w:rPr>
              <w:t>备</w:t>
            </w:r>
            <w:r>
              <w:rPr>
                <w:rFonts w:ascii="宋体" w:hAnsi="宋体" w:cs="宋体" w:eastAsia="宋体" w:hint="default"/>
                <w:w w:val="100"/>
                <w:sz w:val="21"/>
                <w:szCs w:val="21"/>
              </w:rPr>
              <w:t>研</w:t>
            </w:r>
            <w:r>
              <w:rPr>
                <w:rFonts w:ascii="宋体" w:hAnsi="宋体" w:cs="宋体" w:eastAsia="宋体" w:hint="default"/>
                <w:spacing w:val="-3"/>
                <w:w w:val="100"/>
                <w:sz w:val="21"/>
                <w:szCs w:val="21"/>
              </w:rPr>
              <w:t>制</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开</w:t>
            </w:r>
            <w:r>
              <w:rPr>
                <w:rFonts w:ascii="宋体" w:hAnsi="宋体" w:cs="宋体" w:eastAsia="宋体" w:hint="default"/>
                <w:w w:val="100"/>
                <w:sz w:val="21"/>
                <w:szCs w:val="21"/>
              </w:rPr>
              <w:t>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生产、销售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135,000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100.00%</w:t>
            </w: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16</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Resuccess</w:t>
            </w:r>
            <w:r>
              <w:rPr>
                <w:rFonts w:ascii="宋体"/>
                <w:spacing w:val="1"/>
                <w:sz w:val="21"/>
              </w:rPr>
              <w:t> </w:t>
            </w:r>
            <w:r>
              <w:rPr>
                <w:rFonts w:ascii="宋体"/>
                <w:sz w:val="21"/>
              </w:rPr>
              <w:t>Investments</w:t>
            </w:r>
          </w:p>
          <w:p>
            <w:pPr>
              <w:pStyle w:val="TableParagraph"/>
              <w:spacing w:line="274" w:lineRule="exact"/>
              <w:ind w:left="103" w:right="0"/>
              <w:jc w:val="left"/>
              <w:rPr>
                <w:rFonts w:ascii="宋体" w:hAnsi="宋体" w:cs="宋体" w:eastAsia="宋体" w:hint="default"/>
                <w:sz w:val="21"/>
                <w:szCs w:val="21"/>
              </w:rPr>
            </w:pPr>
            <w:r>
              <w:rPr>
                <w:rFonts w:ascii="宋体"/>
                <w:sz w:val="21"/>
              </w:rPr>
              <w:t>Limited</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黄</w:t>
              <w:tab/>
              <w:t>俞</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hAnsi="宋体" w:cs="宋体" w:eastAsia="宋体" w:hint="default"/>
                <w:sz w:val="21"/>
                <w:szCs w:val="21"/>
              </w:rPr>
              <w:t>英属</w:t>
            </w:r>
          </w:p>
          <w:p>
            <w:pPr>
              <w:pStyle w:val="TableParagraph"/>
              <w:spacing w:line="274" w:lineRule="exact"/>
              <w:ind w:left="132" w:right="0"/>
              <w:jc w:val="left"/>
              <w:rPr>
                <w:rFonts w:ascii="宋体" w:hAnsi="宋体" w:cs="宋体" w:eastAsia="宋体" w:hint="default"/>
                <w:sz w:val="21"/>
                <w:szCs w:val="21"/>
              </w:rPr>
            </w:pPr>
            <w:r>
              <w:rPr>
                <w:rFonts w:ascii="宋体" w:hAnsi="宋体" w:cs="宋体" w:eastAsia="宋体" w:hint="default"/>
                <w:sz w:val="21"/>
                <w:szCs w:val="21"/>
              </w:rPr>
              <w:t>维京</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项目投资</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4" w:right="0"/>
              <w:jc w:val="center"/>
              <w:rPr>
                <w:rFonts w:ascii="宋体" w:hAnsi="宋体" w:cs="宋体" w:eastAsia="宋体" w:hint="default"/>
                <w:sz w:val="21"/>
                <w:szCs w:val="21"/>
              </w:rPr>
            </w:pPr>
            <w:r>
              <w:rPr>
                <w:rFonts w:ascii="宋体"/>
                <w:sz w:val="21"/>
              </w:rPr>
              <w:t>2,000</w:t>
            </w:r>
          </w:p>
          <w:p>
            <w:pPr>
              <w:pStyle w:val="TableParagraph"/>
              <w:spacing w:line="274" w:lineRule="exact"/>
              <w:ind w:left="559" w:right="0"/>
              <w:jc w:val="center"/>
              <w:rPr>
                <w:rFonts w:ascii="宋体" w:hAnsi="宋体" w:cs="宋体" w:eastAsia="宋体" w:hint="default"/>
                <w:sz w:val="21"/>
                <w:szCs w:val="21"/>
              </w:rPr>
            </w:pPr>
            <w:r>
              <w:rPr>
                <w:rFonts w:ascii="宋体" w:hAnsi="宋体" w:cs="宋体" w:eastAsia="宋体" w:hint="default"/>
                <w:sz w:val="21"/>
                <w:szCs w:val="21"/>
              </w:rPr>
              <w:t>万美元</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100.00%</w:t>
            </w: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17</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同方金融控股（深圳）有限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99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黄</w:t>
              <w:tab/>
              <w:t>俞</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hAnsi="宋体" w:cs="宋体" w:eastAsia="宋体" w:hint="default"/>
                <w:sz w:val="21"/>
                <w:szCs w:val="21"/>
              </w:rPr>
              <w:t>广东</w:t>
            </w:r>
          </w:p>
          <w:p>
            <w:pPr>
              <w:pStyle w:val="TableParagraph"/>
              <w:spacing w:line="274" w:lineRule="exact"/>
              <w:ind w:left="132"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高新技术项目投资</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447,014</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100.00%</w:t>
            </w: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18</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同方鼎欣科技股份有限公司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94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涂勤华</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4" w:lineRule="exact"/>
              <w:ind w:left="132" w:right="0"/>
              <w:jc w:val="left"/>
              <w:rPr>
                <w:rFonts w:ascii="宋体" w:hAnsi="宋体" w:cs="宋体" w:eastAsia="宋体" w:hint="default"/>
                <w:sz w:val="21"/>
                <w:szCs w:val="21"/>
              </w:rPr>
            </w:pPr>
            <w:r>
              <w:rPr>
                <w:rFonts w:ascii="宋体" w:hAnsi="宋体" w:cs="宋体" w:eastAsia="宋体" w:hint="default"/>
                <w:sz w:val="21"/>
                <w:szCs w:val="21"/>
              </w:rPr>
              <w:t>海淀</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软件开发，软件外包服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6,250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20.00%</w:t>
            </w:r>
          </w:p>
        </w:tc>
      </w:tr>
      <w:tr>
        <w:trPr>
          <w:trHeight w:val="829"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19</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北京同方吉兆科技有限公司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93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张兴虎</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132"/>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海淀</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数字电视发射机、调频</w:t>
            </w:r>
          </w:p>
          <w:p>
            <w:pPr>
              <w:pStyle w:val="TableParagraph"/>
              <w:spacing w:line="272" w:lineRule="exact" w:before="27"/>
              <w:ind w:left="100" w:right="113"/>
              <w:jc w:val="left"/>
              <w:rPr>
                <w:rFonts w:ascii="宋体" w:hAnsi="宋体" w:cs="宋体" w:eastAsia="宋体" w:hint="default"/>
                <w:sz w:val="21"/>
                <w:szCs w:val="21"/>
              </w:rPr>
            </w:pPr>
            <w:r>
              <w:rPr>
                <w:rFonts w:ascii="宋体" w:hAnsi="宋体" w:cs="宋体" w:eastAsia="宋体" w:hint="default"/>
                <w:spacing w:val="-2"/>
                <w:sz w:val="21"/>
                <w:szCs w:val="21"/>
              </w:rPr>
              <w:t>广播发射机、机顶盒研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发生产</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6,558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100.00%</w:t>
            </w: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淮安同方水务有限公司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华欣远</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hAnsi="宋体" w:cs="宋体" w:eastAsia="宋体" w:hint="default"/>
                <w:sz w:val="21"/>
                <w:szCs w:val="21"/>
              </w:rPr>
              <w:t>江苏</w:t>
            </w:r>
          </w:p>
          <w:p>
            <w:pPr>
              <w:pStyle w:val="TableParagraph"/>
              <w:spacing w:line="274" w:lineRule="exact"/>
              <w:ind w:left="132" w:right="0"/>
              <w:jc w:val="left"/>
              <w:rPr>
                <w:rFonts w:ascii="宋体" w:hAnsi="宋体" w:cs="宋体" w:eastAsia="宋体" w:hint="default"/>
                <w:sz w:val="21"/>
                <w:szCs w:val="21"/>
              </w:rPr>
            </w:pPr>
            <w:r>
              <w:rPr>
                <w:rFonts w:ascii="宋体" w:hAnsi="宋体" w:cs="宋体" w:eastAsia="宋体" w:hint="default"/>
                <w:sz w:val="21"/>
                <w:szCs w:val="21"/>
              </w:rPr>
              <w:t>淮安</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水务投资、水厂建设运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营</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18,600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49.55%</w:t>
            </w: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21</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北京同方光盘股份有限公司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李健航</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4" w:lineRule="exact"/>
              <w:ind w:left="132" w:right="0"/>
              <w:jc w:val="left"/>
              <w:rPr>
                <w:rFonts w:ascii="宋体" w:hAnsi="宋体" w:cs="宋体" w:eastAsia="宋体" w:hint="default"/>
                <w:sz w:val="21"/>
                <w:szCs w:val="21"/>
              </w:rPr>
            </w:pPr>
            <w:r>
              <w:rPr>
                <w:rFonts w:ascii="宋体" w:hAnsi="宋体" w:cs="宋体" w:eastAsia="宋体" w:hint="default"/>
                <w:sz w:val="21"/>
                <w:szCs w:val="21"/>
              </w:rPr>
              <w:t>海淀</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光存储技术研发，光盘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存储设备开发生产</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44.54%</w:t>
            </w: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22</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泰豪创意科技集团股份有限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李</w:t>
            </w:r>
            <w:r>
              <w:rPr>
                <w:rFonts w:ascii="宋体" w:hAnsi="宋体" w:cs="宋体" w:eastAsia="宋体" w:hint="default"/>
                <w:spacing w:val="2"/>
                <w:sz w:val="21"/>
                <w:szCs w:val="21"/>
              </w:rPr>
              <w:t> </w:t>
            </w:r>
            <w:r>
              <w:rPr>
                <w:rFonts w:ascii="宋体" w:hAnsi="宋体" w:cs="宋体" w:eastAsia="宋体" w:hint="default"/>
                <w:sz w:val="21"/>
                <w:szCs w:val="21"/>
              </w:rPr>
              <w:t>华</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hAnsi="宋体" w:cs="宋体" w:eastAsia="宋体" w:hint="default"/>
                <w:sz w:val="21"/>
                <w:szCs w:val="21"/>
              </w:rPr>
              <w:t>江西</w:t>
            </w:r>
          </w:p>
          <w:p>
            <w:pPr>
              <w:pStyle w:val="TableParagraph"/>
              <w:spacing w:line="274" w:lineRule="exact"/>
              <w:ind w:left="132" w:right="0"/>
              <w:jc w:val="left"/>
              <w:rPr>
                <w:rFonts w:ascii="宋体" w:hAnsi="宋体" w:cs="宋体" w:eastAsia="宋体" w:hint="default"/>
                <w:sz w:val="21"/>
                <w:szCs w:val="21"/>
              </w:rPr>
            </w:pPr>
            <w:r>
              <w:rPr>
                <w:rFonts w:ascii="宋体" w:hAnsi="宋体" w:cs="宋体" w:eastAsia="宋体" w:hint="default"/>
                <w:sz w:val="21"/>
                <w:szCs w:val="21"/>
              </w:rPr>
              <w:t>南昌</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动漫产业投资，园区开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发管理</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40.00%</w:t>
            </w: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23</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同方国际有限公司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李健航</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香港</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多媒体产品的销售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4" w:right="0"/>
              <w:jc w:val="center"/>
              <w:rPr>
                <w:rFonts w:ascii="宋体" w:hAnsi="宋体" w:cs="宋体" w:eastAsia="宋体" w:hint="default"/>
                <w:sz w:val="21"/>
                <w:szCs w:val="21"/>
              </w:rPr>
            </w:pPr>
            <w:r>
              <w:rPr>
                <w:rFonts w:ascii="宋体"/>
                <w:sz w:val="21"/>
              </w:rPr>
              <w:t>1,000</w:t>
            </w:r>
          </w:p>
          <w:p>
            <w:pPr>
              <w:pStyle w:val="TableParagraph"/>
              <w:spacing w:line="274" w:lineRule="exact"/>
              <w:ind w:left="559" w:right="0"/>
              <w:jc w:val="center"/>
              <w:rPr>
                <w:rFonts w:ascii="宋体" w:hAnsi="宋体" w:cs="宋体" w:eastAsia="宋体" w:hint="default"/>
                <w:sz w:val="21"/>
                <w:szCs w:val="21"/>
              </w:rPr>
            </w:pPr>
            <w:r>
              <w:rPr>
                <w:rFonts w:ascii="宋体" w:hAnsi="宋体" w:cs="宋体" w:eastAsia="宋体" w:hint="default"/>
                <w:sz w:val="21"/>
                <w:szCs w:val="21"/>
              </w:rPr>
              <w:t>万美元</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100.00%</w:t>
            </w: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24</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同方国际信息技术有限公司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秦建斌</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香港</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计算机产品的销售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w:t>
            </w:r>
          </w:p>
          <w:p>
            <w:pPr>
              <w:pStyle w:val="TableParagraph"/>
              <w:spacing w:line="273" w:lineRule="exact"/>
              <w:ind w:right="98"/>
              <w:jc w:val="right"/>
              <w:rPr>
                <w:rFonts w:ascii="宋体" w:hAnsi="宋体" w:cs="宋体" w:eastAsia="宋体" w:hint="default"/>
                <w:sz w:val="21"/>
                <w:szCs w:val="21"/>
              </w:rPr>
            </w:pPr>
            <w:r>
              <w:rPr>
                <w:rFonts w:ascii="宋体" w:hAnsi="宋体" w:cs="宋体" w:eastAsia="宋体" w:hint="default"/>
                <w:sz w:val="21"/>
                <w:szCs w:val="21"/>
              </w:rPr>
              <w:t>万美元</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100.00%</w:t>
            </w:r>
          </w:p>
        </w:tc>
      </w:tr>
      <w:tr>
        <w:trPr>
          <w:trHeight w:val="557"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25</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北京壹人壹本信息科技有限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3"/>
              <w:ind w:right="2"/>
              <w:jc w:val="center"/>
              <w:rPr>
                <w:rFonts w:ascii="宋体" w:hAnsi="宋体" w:cs="宋体" w:eastAsia="宋体" w:hint="default"/>
                <w:sz w:val="21"/>
                <w:szCs w:val="21"/>
              </w:rPr>
            </w:pPr>
            <w:r>
              <w:rPr>
                <w:rFonts w:ascii="宋体" w:hAnsi="宋体" w:cs="宋体" w:eastAsia="宋体" w:hint="default"/>
                <w:sz w:val="21"/>
                <w:szCs w:val="21"/>
              </w:rPr>
              <w:t>黄</w:t>
              <w:tab/>
              <w:t>俞</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2"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3" w:lineRule="exact"/>
              <w:ind w:left="132" w:right="0"/>
              <w:jc w:val="left"/>
              <w:rPr>
                <w:rFonts w:ascii="宋体" w:hAnsi="宋体" w:cs="宋体" w:eastAsia="宋体" w:hint="default"/>
                <w:sz w:val="21"/>
                <w:szCs w:val="21"/>
              </w:rPr>
            </w:pPr>
            <w:r>
              <w:rPr>
                <w:rFonts w:ascii="宋体" w:hAnsi="宋体" w:cs="宋体" w:eastAsia="宋体" w:hint="default"/>
                <w:sz w:val="21"/>
                <w:szCs w:val="21"/>
              </w:rPr>
              <w:t>通州</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平板电脑产品的研发、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10,000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100.00%</w:t>
            </w:r>
          </w:p>
        </w:tc>
      </w:tr>
    </w:tbl>
    <w:p>
      <w:pPr>
        <w:spacing w:after="0" w:line="240" w:lineRule="auto"/>
        <w:jc w:val="right"/>
        <w:rPr>
          <w:rFonts w:ascii="宋体" w:hAnsi="宋体" w:cs="宋体" w:eastAsia="宋体" w:hint="default"/>
          <w:sz w:val="21"/>
          <w:szCs w:val="21"/>
        </w:rPr>
        <w:sectPr>
          <w:pgSz w:w="11910" w:h="16840"/>
          <w:pgMar w:header="0" w:footer="1193" w:top="780" w:bottom="1380" w:left="680" w:right="140"/>
        </w:sectPr>
      </w:pPr>
    </w:p>
    <w:p>
      <w:pPr>
        <w:spacing w:before="25"/>
        <w:ind w:left="4853" w:right="488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507"/>
        <w:gridCol w:w="2799"/>
        <w:gridCol w:w="1260"/>
        <w:gridCol w:w="888"/>
        <w:gridCol w:w="699"/>
        <w:gridCol w:w="2329"/>
        <w:gridCol w:w="1404"/>
        <w:gridCol w:w="965"/>
      </w:tblGrid>
      <w:tr>
        <w:trPr>
          <w:trHeight w:val="557"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1" w:right="0"/>
              <w:jc w:val="left"/>
              <w:rPr>
                <w:rFonts w:ascii="宋体" w:hAnsi="宋体" w:cs="宋体" w:eastAsia="宋体" w:hint="default"/>
                <w:sz w:val="21"/>
                <w:szCs w:val="21"/>
              </w:rPr>
            </w:pPr>
            <w:r>
              <w:rPr>
                <w:rFonts w:ascii="宋体" w:hAnsi="宋体" w:cs="宋体" w:eastAsia="宋体" w:hint="default"/>
                <w:b/>
                <w:bCs/>
                <w:w w:val="100"/>
                <w:sz w:val="21"/>
                <w:szCs w:val="21"/>
              </w:rPr>
              <w:t>序</w:t>
            </w:r>
            <w:r>
              <w:rPr>
                <w:rFonts w:ascii="宋体" w:hAnsi="宋体" w:cs="宋体" w:eastAsia="宋体" w:hint="default"/>
                <w:w w:val="100"/>
                <w:sz w:val="21"/>
                <w:szCs w:val="21"/>
              </w:rPr>
            </w:r>
          </w:p>
          <w:p>
            <w:pPr>
              <w:pStyle w:val="TableParagraph"/>
              <w:spacing w:line="273" w:lineRule="exact"/>
              <w:ind w:left="141" w:right="0"/>
              <w:jc w:val="left"/>
              <w:rPr>
                <w:rFonts w:ascii="宋体" w:hAnsi="宋体" w:cs="宋体" w:eastAsia="宋体" w:hint="default"/>
                <w:sz w:val="21"/>
                <w:szCs w:val="21"/>
              </w:rPr>
            </w:pPr>
            <w:r>
              <w:rPr>
                <w:rFonts w:ascii="宋体" w:hAnsi="宋体" w:cs="宋体" w:eastAsia="宋体" w:hint="default"/>
                <w:b/>
                <w:bCs/>
                <w:w w:val="100"/>
                <w:sz w:val="21"/>
                <w:szCs w:val="21"/>
              </w:rPr>
              <w:t>号</w:t>
            </w:r>
            <w:r>
              <w:rPr>
                <w:rFonts w:ascii="宋体" w:hAnsi="宋体" w:cs="宋体" w:eastAsia="宋体" w:hint="default"/>
                <w:w w:val="100"/>
                <w:sz w:val="21"/>
                <w:szCs w:val="21"/>
              </w:rPr>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b/>
                <w:bCs/>
                <w:sz w:val="21"/>
                <w:szCs w:val="21"/>
              </w:rPr>
              <w:t>企业名称</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b/>
                <w:bCs/>
                <w:sz w:val="21"/>
                <w:szCs w:val="21"/>
              </w:rPr>
              <w:t>成立日期</w:t>
            </w:r>
            <w:r>
              <w:rPr>
                <w:rFonts w:ascii="宋体" w:hAnsi="宋体" w:cs="宋体" w:eastAsia="宋体" w:hint="default"/>
                <w:sz w:val="21"/>
                <w:szCs w:val="21"/>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1"/>
                <w:szCs w:val="21"/>
              </w:rPr>
            </w:pPr>
            <w:r>
              <w:rPr>
                <w:rFonts w:ascii="宋体" w:hAnsi="宋体" w:cs="宋体" w:eastAsia="宋体" w:hint="default"/>
                <w:b/>
                <w:bCs/>
                <w:sz w:val="21"/>
                <w:szCs w:val="21"/>
              </w:rPr>
              <w:t>法定代</w:t>
            </w:r>
            <w:r>
              <w:rPr>
                <w:rFonts w:ascii="宋体" w:hAnsi="宋体" w:cs="宋体" w:eastAsia="宋体" w:hint="default"/>
                <w:sz w:val="21"/>
                <w:szCs w:val="21"/>
              </w:rPr>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b/>
                <w:bCs/>
                <w:sz w:val="21"/>
                <w:szCs w:val="21"/>
              </w:rPr>
              <w:t>表人</w:t>
            </w:r>
            <w:r>
              <w:rPr>
                <w:rFonts w:ascii="宋体" w:hAnsi="宋体" w:cs="宋体" w:eastAsia="宋体" w:hint="default"/>
                <w:sz w:val="21"/>
                <w:szCs w:val="21"/>
              </w:rPr>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0" w:right="0"/>
              <w:jc w:val="left"/>
              <w:rPr>
                <w:rFonts w:ascii="宋体" w:hAnsi="宋体" w:cs="宋体" w:eastAsia="宋体" w:hint="default"/>
                <w:sz w:val="21"/>
                <w:szCs w:val="21"/>
              </w:rPr>
            </w:pPr>
            <w:r>
              <w:rPr>
                <w:rFonts w:ascii="宋体" w:hAnsi="宋体" w:cs="宋体" w:eastAsia="宋体" w:hint="default"/>
                <w:b/>
                <w:bCs/>
                <w:sz w:val="21"/>
                <w:szCs w:val="21"/>
              </w:rPr>
              <w:t>注册</w:t>
            </w:r>
            <w:r>
              <w:rPr>
                <w:rFonts w:ascii="宋体" w:hAnsi="宋体" w:cs="宋体" w:eastAsia="宋体" w:hint="default"/>
                <w:sz w:val="21"/>
                <w:szCs w:val="21"/>
              </w:rPr>
            </w:r>
          </w:p>
          <w:p>
            <w:pPr>
              <w:pStyle w:val="TableParagraph"/>
              <w:spacing w:line="273" w:lineRule="exact"/>
              <w:ind w:left="130" w:right="0"/>
              <w:jc w:val="left"/>
              <w:rPr>
                <w:rFonts w:ascii="宋体" w:hAnsi="宋体" w:cs="宋体" w:eastAsia="宋体" w:hint="default"/>
                <w:sz w:val="21"/>
                <w:szCs w:val="21"/>
              </w:rPr>
            </w:pPr>
            <w:r>
              <w:rPr>
                <w:rFonts w:ascii="宋体" w:hAnsi="宋体" w:cs="宋体" w:eastAsia="宋体" w:hint="default"/>
                <w:b/>
                <w:bCs/>
                <w:sz w:val="21"/>
                <w:szCs w:val="21"/>
              </w:rPr>
              <w:t>地址</w:t>
            </w:r>
            <w:r>
              <w:rPr>
                <w:rFonts w:ascii="宋体" w:hAnsi="宋体" w:cs="宋体" w:eastAsia="宋体" w:hint="default"/>
                <w:sz w:val="21"/>
                <w:szCs w:val="21"/>
              </w:rPr>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36" w:right="0"/>
              <w:jc w:val="left"/>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67" w:right="0" w:hanging="51"/>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b/>
                <w:bCs/>
                <w:sz w:val="21"/>
                <w:szCs w:val="21"/>
              </w:rPr>
              <w:t>(</w:t>
            </w:r>
            <w:r>
              <w:rPr>
                <w:rFonts w:ascii="宋体" w:hAnsi="宋体" w:cs="宋体" w:eastAsia="宋体" w:hint="default"/>
                <w:b/>
                <w:bCs/>
                <w:sz w:val="21"/>
                <w:szCs w:val="21"/>
              </w:rPr>
              <w:t>万</w:t>
            </w:r>
            <w:r>
              <w:rPr>
                <w:rFonts w:ascii="宋体" w:hAnsi="宋体" w:cs="宋体" w:eastAsia="宋体" w:hint="default"/>
                <w:sz w:val="21"/>
                <w:szCs w:val="21"/>
              </w:rPr>
            </w:r>
          </w:p>
          <w:p>
            <w:pPr>
              <w:pStyle w:val="TableParagraph"/>
              <w:spacing w:line="273" w:lineRule="exact"/>
              <w:ind w:left="167" w:right="0"/>
              <w:jc w:val="left"/>
              <w:rPr>
                <w:rFonts w:ascii="宋体" w:hAnsi="宋体" w:cs="宋体" w:eastAsia="宋体" w:hint="default"/>
                <w:sz w:val="21"/>
                <w:szCs w:val="21"/>
              </w:rPr>
            </w:pPr>
            <w:r>
              <w:rPr>
                <w:rFonts w:ascii="宋体" w:hAnsi="宋体" w:cs="宋体" w:eastAsia="宋体" w:hint="default"/>
                <w:b/>
                <w:bCs/>
                <w:sz w:val="21"/>
                <w:szCs w:val="21"/>
              </w:rPr>
              <w:t>元</w:t>
            </w:r>
            <w:r>
              <w:rPr>
                <w:rFonts w:ascii="宋体" w:hAnsi="宋体" w:cs="宋体" w:eastAsia="宋体" w:hint="default"/>
                <w:b/>
                <w:bCs/>
                <w:sz w:val="21"/>
                <w:szCs w:val="21"/>
              </w:rPr>
              <w:t>)/</w:t>
            </w:r>
            <w:r>
              <w:rPr>
                <w:rFonts w:ascii="宋体" w:hAnsi="宋体" w:cs="宋体" w:eastAsia="宋体" w:hint="default"/>
                <w:b/>
                <w:bCs/>
                <w:sz w:val="21"/>
                <w:szCs w:val="21"/>
              </w:rPr>
              <w:t>总股本</w:t>
            </w:r>
            <w:r>
              <w:rPr>
                <w:rFonts w:ascii="宋体" w:hAnsi="宋体" w:cs="宋体" w:eastAsia="宋体" w:hint="default"/>
                <w:sz w:val="21"/>
                <w:szCs w:val="21"/>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4" w:right="0"/>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sz w:val="21"/>
                <w:szCs w:val="21"/>
              </w:rPr>
            </w:r>
          </w:p>
          <w:p>
            <w:pPr>
              <w:pStyle w:val="TableParagraph"/>
              <w:spacing w:line="273" w:lineRule="exact"/>
              <w:ind w:left="264"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826"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26</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同方全球人寿保险有限公司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03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王</w:t>
            </w:r>
            <w:r>
              <w:rPr>
                <w:rFonts w:ascii="宋体" w:hAnsi="宋体" w:cs="宋体" w:eastAsia="宋体" w:hint="default"/>
                <w:spacing w:val="2"/>
                <w:sz w:val="21"/>
                <w:szCs w:val="21"/>
              </w:rPr>
              <w:t> </w:t>
            </w:r>
            <w:r>
              <w:rPr>
                <w:rFonts w:ascii="宋体" w:hAnsi="宋体" w:cs="宋体" w:eastAsia="宋体" w:hint="default"/>
                <w:sz w:val="21"/>
                <w:szCs w:val="21"/>
              </w:rPr>
              <w:t>林</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2" w:right="132"/>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pacing w:val="-103"/>
                <w:sz w:val="21"/>
                <w:szCs w:val="21"/>
              </w:rPr>
              <w:t> </w:t>
            </w:r>
            <w:r>
              <w:rPr>
                <w:rFonts w:ascii="宋体" w:hAnsi="宋体" w:cs="宋体" w:eastAsia="宋体" w:hint="default"/>
                <w:sz w:val="21"/>
                <w:szCs w:val="21"/>
              </w:rPr>
              <w:t>浦东</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人寿保险、健康保险和</w:t>
            </w:r>
          </w:p>
          <w:p>
            <w:pPr>
              <w:pStyle w:val="TableParagraph"/>
              <w:spacing w:line="240" w:lineRule="auto"/>
              <w:ind w:left="100" w:right="113"/>
              <w:jc w:val="left"/>
              <w:rPr>
                <w:rFonts w:ascii="宋体" w:hAnsi="宋体" w:cs="宋体" w:eastAsia="宋体" w:hint="default"/>
                <w:sz w:val="21"/>
                <w:szCs w:val="21"/>
              </w:rPr>
            </w:pPr>
            <w:r>
              <w:rPr>
                <w:rFonts w:ascii="宋体" w:hAnsi="宋体" w:cs="宋体" w:eastAsia="宋体" w:hint="default"/>
                <w:spacing w:val="-2"/>
                <w:sz w:val="21"/>
                <w:szCs w:val="21"/>
              </w:rPr>
              <w:t>意外伤害保险等保险业</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务，及再保险业务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240,000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50.00%</w:t>
            </w: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27</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同方江新造船有限公司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05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张兴虎</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hAnsi="宋体" w:cs="宋体" w:eastAsia="宋体" w:hint="default"/>
                <w:sz w:val="21"/>
                <w:szCs w:val="21"/>
              </w:rPr>
              <w:t>江西</w:t>
            </w:r>
          </w:p>
          <w:p>
            <w:pPr>
              <w:pStyle w:val="TableParagraph"/>
              <w:spacing w:line="274" w:lineRule="exact"/>
              <w:ind w:left="132" w:right="0"/>
              <w:jc w:val="left"/>
              <w:rPr>
                <w:rFonts w:ascii="宋体" w:hAnsi="宋体" w:cs="宋体" w:eastAsia="宋体" w:hint="default"/>
                <w:sz w:val="21"/>
                <w:szCs w:val="21"/>
              </w:rPr>
            </w:pPr>
            <w:r>
              <w:rPr>
                <w:rFonts w:ascii="宋体" w:hAnsi="宋体" w:cs="宋体" w:eastAsia="宋体" w:hint="default"/>
                <w:sz w:val="21"/>
                <w:szCs w:val="21"/>
              </w:rPr>
              <w:t>湖口</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5"/>
              <w:jc w:val="left"/>
              <w:rPr>
                <w:rFonts w:ascii="宋体" w:hAnsi="宋体" w:cs="宋体" w:eastAsia="宋体" w:hint="default"/>
                <w:sz w:val="21"/>
                <w:szCs w:val="21"/>
              </w:rPr>
            </w:pPr>
            <w:r>
              <w:rPr>
                <w:rFonts w:ascii="宋体" w:hAnsi="宋体" w:cs="宋体" w:eastAsia="宋体" w:hint="default"/>
                <w:spacing w:val="-10"/>
                <w:sz w:val="21"/>
                <w:szCs w:val="21"/>
              </w:rPr>
              <w:t>船舶制造、销售、修理；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钢结构制造</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53,500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62.62%</w:t>
            </w: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28</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北京同方实业有限公司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李吉生</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4" w:lineRule="exact"/>
              <w:ind w:left="132" w:right="0"/>
              <w:jc w:val="left"/>
              <w:rPr>
                <w:rFonts w:ascii="宋体" w:hAnsi="宋体" w:cs="宋体" w:eastAsia="宋体" w:hint="default"/>
                <w:sz w:val="21"/>
                <w:szCs w:val="21"/>
              </w:rPr>
            </w:pPr>
            <w:r>
              <w:rPr>
                <w:rFonts w:ascii="宋体" w:hAnsi="宋体" w:cs="宋体" w:eastAsia="宋体" w:hint="default"/>
                <w:sz w:val="21"/>
                <w:szCs w:val="21"/>
              </w:rPr>
              <w:t>海淀</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电信业务、应用软件服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100.00%</w:t>
            </w: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29</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迁安市华控环境投资有限责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朱明杨</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hAnsi="宋体" w:cs="宋体" w:eastAsia="宋体" w:hint="default"/>
                <w:sz w:val="21"/>
                <w:szCs w:val="21"/>
              </w:rPr>
              <w:t>河北</w:t>
            </w:r>
          </w:p>
          <w:p>
            <w:pPr>
              <w:pStyle w:val="TableParagraph"/>
              <w:spacing w:line="273" w:lineRule="exact"/>
              <w:ind w:left="132" w:right="0"/>
              <w:jc w:val="left"/>
              <w:rPr>
                <w:rFonts w:ascii="宋体" w:hAnsi="宋体" w:cs="宋体" w:eastAsia="宋体" w:hint="default"/>
                <w:sz w:val="21"/>
                <w:szCs w:val="21"/>
              </w:rPr>
            </w:pPr>
            <w:r>
              <w:rPr>
                <w:rFonts w:ascii="宋体" w:hAnsi="宋体" w:cs="宋体" w:eastAsia="宋体" w:hint="default"/>
                <w:sz w:val="21"/>
                <w:szCs w:val="21"/>
              </w:rPr>
              <w:t>迁安</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城市、农村基础设施投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资、建设、运营管理</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33,587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27.20%</w:t>
            </w:r>
          </w:p>
        </w:tc>
      </w:tr>
      <w:tr>
        <w:trPr>
          <w:trHeight w:val="557"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30</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玉溪市华控环境海绵城市建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设有限公司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hAnsi="宋体" w:cs="宋体" w:eastAsia="宋体" w:hint="default"/>
                <w:sz w:val="21"/>
                <w:szCs w:val="21"/>
              </w:rPr>
              <w:t>朱明杨</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2" w:right="0"/>
              <w:jc w:val="left"/>
              <w:rPr>
                <w:rFonts w:ascii="宋体" w:hAnsi="宋体" w:cs="宋体" w:eastAsia="宋体" w:hint="default"/>
                <w:sz w:val="21"/>
                <w:szCs w:val="21"/>
              </w:rPr>
            </w:pPr>
            <w:r>
              <w:rPr>
                <w:rFonts w:ascii="宋体" w:hAnsi="宋体" w:cs="宋体" w:eastAsia="宋体" w:hint="default"/>
                <w:sz w:val="21"/>
                <w:szCs w:val="21"/>
              </w:rPr>
              <w:t>云南</w:t>
            </w:r>
          </w:p>
          <w:p>
            <w:pPr>
              <w:pStyle w:val="TableParagraph"/>
              <w:spacing w:line="273" w:lineRule="exact"/>
              <w:ind w:left="132" w:right="0"/>
              <w:jc w:val="left"/>
              <w:rPr>
                <w:rFonts w:ascii="宋体" w:hAnsi="宋体" w:cs="宋体" w:eastAsia="宋体" w:hint="default"/>
                <w:sz w:val="21"/>
                <w:szCs w:val="21"/>
              </w:rPr>
            </w:pPr>
            <w:r>
              <w:rPr>
                <w:rFonts w:ascii="宋体" w:hAnsi="宋体" w:cs="宋体" w:eastAsia="宋体" w:hint="default"/>
                <w:sz w:val="21"/>
                <w:szCs w:val="21"/>
              </w:rPr>
              <w:t>玉溪</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海绵城市规划、建设、</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运营管理</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42,312</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z w:val="21"/>
              </w:rPr>
              <w:t>39.00%</w:t>
            </w: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31</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南京同方水务有限公司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高</w:t>
              <w:tab/>
              <w:t>志</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2" w:right="0"/>
              <w:jc w:val="left"/>
              <w:rPr>
                <w:rFonts w:ascii="宋体" w:hAnsi="宋体" w:cs="宋体" w:eastAsia="宋体" w:hint="default"/>
                <w:sz w:val="21"/>
                <w:szCs w:val="21"/>
              </w:rPr>
            </w:pPr>
            <w:r>
              <w:rPr>
                <w:rFonts w:ascii="宋体" w:hAnsi="宋体" w:cs="宋体" w:eastAsia="宋体" w:hint="default"/>
                <w:sz w:val="21"/>
                <w:szCs w:val="21"/>
              </w:rPr>
              <w:t>江苏</w:t>
            </w:r>
          </w:p>
          <w:p>
            <w:pPr>
              <w:pStyle w:val="TableParagraph"/>
              <w:spacing w:line="273" w:lineRule="exact"/>
              <w:ind w:left="132"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水务项目运营管理</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43,600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100.00%</w:t>
            </w: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32</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淮安同方控源截污工程有限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华欣远</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2" w:right="0"/>
              <w:jc w:val="left"/>
              <w:rPr>
                <w:rFonts w:ascii="宋体" w:hAnsi="宋体" w:cs="宋体" w:eastAsia="宋体" w:hint="default"/>
                <w:sz w:val="21"/>
                <w:szCs w:val="21"/>
              </w:rPr>
            </w:pPr>
            <w:r>
              <w:rPr>
                <w:rFonts w:ascii="宋体" w:hAnsi="宋体" w:cs="宋体" w:eastAsia="宋体" w:hint="default"/>
                <w:sz w:val="21"/>
                <w:szCs w:val="21"/>
              </w:rPr>
              <w:t>江苏</w:t>
            </w:r>
          </w:p>
          <w:p>
            <w:pPr>
              <w:pStyle w:val="TableParagraph"/>
              <w:spacing w:line="273" w:lineRule="exact"/>
              <w:ind w:left="132" w:right="0"/>
              <w:jc w:val="left"/>
              <w:rPr>
                <w:rFonts w:ascii="宋体" w:hAnsi="宋体" w:cs="宋体" w:eastAsia="宋体" w:hint="default"/>
                <w:sz w:val="21"/>
                <w:szCs w:val="21"/>
              </w:rPr>
            </w:pPr>
            <w:r>
              <w:rPr>
                <w:rFonts w:ascii="宋体" w:hAnsi="宋体" w:cs="宋体" w:eastAsia="宋体" w:hint="default"/>
                <w:sz w:val="21"/>
                <w:szCs w:val="21"/>
              </w:rPr>
              <w:t>淮安</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河道截污工程建设及运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营</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51,927</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5"/>
              <w:jc w:val="right"/>
              <w:rPr>
                <w:rFonts w:ascii="宋体" w:hAnsi="宋体" w:cs="宋体" w:eastAsia="宋体" w:hint="default"/>
                <w:sz w:val="21"/>
                <w:szCs w:val="21"/>
              </w:rPr>
            </w:pPr>
            <w:r>
              <w:rPr>
                <w:rFonts w:ascii="宋体"/>
                <w:spacing w:val="-1"/>
                <w:sz w:val="21"/>
              </w:rPr>
              <w:t>100.00%</w:t>
            </w:r>
            <w:r>
              <w:rPr>
                <w:rFonts w:ascii="宋体"/>
                <w:sz w:val="21"/>
              </w:rPr>
            </w: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33</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北京同方华光系统科技有限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张兴虎</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2"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3" w:lineRule="exact"/>
              <w:ind w:left="132" w:right="0"/>
              <w:jc w:val="left"/>
              <w:rPr>
                <w:rFonts w:ascii="宋体" w:hAnsi="宋体" w:cs="宋体" w:eastAsia="宋体" w:hint="default"/>
                <w:sz w:val="21"/>
                <w:szCs w:val="21"/>
              </w:rPr>
            </w:pPr>
            <w:r>
              <w:rPr>
                <w:rFonts w:ascii="宋体" w:hAnsi="宋体" w:cs="宋体" w:eastAsia="宋体" w:hint="default"/>
                <w:sz w:val="21"/>
                <w:szCs w:val="21"/>
              </w:rPr>
              <w:t>海淀</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激光技术的开发应用及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6,500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51.00%</w:t>
            </w: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34</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同方大健康产业有限公司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黄</w:t>
              <w:tab/>
              <w:t>俞</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4" w:lineRule="exact"/>
              <w:ind w:left="132" w:right="0"/>
              <w:jc w:val="left"/>
              <w:rPr>
                <w:rFonts w:ascii="宋体" w:hAnsi="宋体" w:cs="宋体" w:eastAsia="宋体" w:hint="default"/>
                <w:sz w:val="21"/>
                <w:szCs w:val="21"/>
              </w:rPr>
            </w:pPr>
            <w:r>
              <w:rPr>
                <w:rFonts w:ascii="宋体" w:hAnsi="宋体" w:cs="宋体" w:eastAsia="宋体" w:hint="default"/>
                <w:sz w:val="21"/>
                <w:szCs w:val="21"/>
              </w:rPr>
              <w:t>昌平</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大健康产业运营及管理</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100.00%</w:t>
            </w:r>
          </w:p>
        </w:tc>
      </w:tr>
      <w:tr>
        <w:trPr>
          <w:trHeight w:val="554" w:hRule="exact"/>
        </w:trPr>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35</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河南同盟智慧城市科技有限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李振江</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hAnsi="宋体" w:cs="宋体" w:eastAsia="宋体" w:hint="default"/>
                <w:sz w:val="21"/>
                <w:szCs w:val="21"/>
              </w:rPr>
              <w:t>河南</w:t>
            </w:r>
          </w:p>
          <w:p>
            <w:pPr>
              <w:pStyle w:val="TableParagraph"/>
              <w:spacing w:line="274" w:lineRule="exact"/>
              <w:ind w:left="132" w:right="0"/>
              <w:jc w:val="left"/>
              <w:rPr>
                <w:rFonts w:ascii="宋体" w:hAnsi="宋体" w:cs="宋体" w:eastAsia="宋体" w:hint="default"/>
                <w:sz w:val="21"/>
                <w:szCs w:val="21"/>
              </w:rPr>
            </w:pPr>
            <w:r>
              <w:rPr>
                <w:rFonts w:ascii="宋体" w:hAnsi="宋体" w:cs="宋体" w:eastAsia="宋体" w:hint="default"/>
                <w:sz w:val="21"/>
                <w:szCs w:val="21"/>
              </w:rPr>
              <w:t>新乡</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智慧城市项目运营及管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6,000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5.00%</w:t>
            </w:r>
          </w:p>
        </w:tc>
      </w:tr>
    </w:tbl>
    <w:p>
      <w:pPr>
        <w:spacing w:line="240" w:lineRule="auto" w:before="7"/>
        <w:rPr>
          <w:rFonts w:ascii="宋体" w:hAnsi="宋体" w:cs="宋体" w:eastAsia="宋体" w:hint="default"/>
          <w:sz w:val="19"/>
          <w:szCs w:val="19"/>
        </w:rPr>
      </w:pPr>
    </w:p>
    <w:p>
      <w:pPr>
        <w:pStyle w:val="BodyText"/>
        <w:spacing w:line="240" w:lineRule="auto" w:before="26"/>
        <w:ind w:left="1118" w:right="997"/>
        <w:jc w:val="left"/>
      </w:pPr>
      <w:r>
        <w:rPr/>
        <w:t>截至本报告期末，公司主要控股、参股子公司相关信息变动情况如下：</w:t>
      </w:r>
    </w:p>
    <w:p>
      <w:pPr>
        <w:spacing w:line="240" w:lineRule="auto" w:before="0"/>
        <w:rPr>
          <w:rFonts w:ascii="宋体" w:hAnsi="宋体" w:cs="宋体" w:eastAsia="宋体" w:hint="default"/>
          <w:sz w:val="31"/>
          <w:szCs w:val="31"/>
        </w:rPr>
      </w:pPr>
    </w:p>
    <w:p>
      <w:pPr>
        <w:pStyle w:val="BodyText"/>
        <w:spacing w:line="240" w:lineRule="auto"/>
        <w:ind w:left="1538" w:right="997"/>
        <w:jc w:val="left"/>
      </w:pPr>
      <w:r>
        <w:rPr>
          <w:rFonts w:ascii="宋体" w:hAnsi="宋体" w:cs="宋体" w:eastAsia="宋体" w:hint="default"/>
        </w:rPr>
        <w:t>1.</w:t>
      </w:r>
      <w:r>
        <w:rPr>
          <w:rFonts w:ascii="宋体" w:hAnsi="宋体" w:cs="宋体" w:eastAsia="宋体" w:hint="default"/>
          <w:spacing w:val="-48"/>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月，经公司</w:t>
      </w:r>
      <w:r>
        <w:rPr>
          <w:spacing w:val="-60"/>
        </w:rPr>
        <w:t> </w:t>
      </w:r>
      <w:r>
        <w:rPr>
          <w:rFonts w:ascii="宋体" w:hAnsi="宋体" w:cs="宋体" w:eastAsia="宋体" w:hint="default"/>
        </w:rPr>
        <w:t>2018</w:t>
      </w:r>
      <w:r>
        <w:rPr>
          <w:rFonts w:ascii="宋体" w:hAnsi="宋体" w:cs="宋体" w:eastAsia="宋体" w:hint="default"/>
          <w:spacing w:val="-60"/>
        </w:rPr>
        <w:t> </w:t>
      </w:r>
      <w:r>
        <w:rPr/>
        <w:t>年第八次投资决策委员会审议通过，同意公司下属</w:t>
      </w:r>
    </w:p>
    <w:p>
      <w:pPr>
        <w:pStyle w:val="BodyText"/>
        <w:spacing w:line="276" w:lineRule="auto" w:before="46"/>
        <w:ind w:left="0" w:right="1130"/>
        <w:jc w:val="right"/>
      </w:pPr>
      <w:r>
        <w:rPr/>
        <w:t>控股子公司淮安同方水务有限公司将</w:t>
      </w:r>
      <w:r>
        <w:rPr>
          <w:spacing w:val="-43"/>
        </w:rPr>
        <w:t> </w:t>
      </w:r>
      <w:r>
        <w:rPr>
          <w:rFonts w:ascii="宋体" w:hAnsi="宋体" w:cs="宋体" w:eastAsia="宋体" w:hint="default"/>
        </w:rPr>
        <w:t>2017</w:t>
      </w:r>
      <w:r>
        <w:rPr>
          <w:rFonts w:ascii="宋体" w:hAnsi="宋体" w:cs="宋体" w:eastAsia="宋体" w:hint="default"/>
          <w:spacing w:val="-43"/>
        </w:rPr>
        <w:t> </w:t>
      </w:r>
      <w:r>
        <w:rPr/>
        <w:t>年末未分配利润</w:t>
      </w:r>
      <w:r>
        <w:rPr>
          <w:spacing w:val="-43"/>
        </w:rPr>
        <w:t> </w:t>
      </w:r>
      <w:r>
        <w:rPr>
          <w:rFonts w:ascii="宋体" w:hAnsi="宋体" w:cs="宋体" w:eastAsia="宋体" w:hint="default"/>
        </w:rPr>
        <w:t>7,600</w:t>
      </w:r>
      <w:r>
        <w:rPr>
          <w:rFonts w:ascii="宋体" w:hAnsi="宋体" w:cs="宋体" w:eastAsia="宋体" w:hint="default"/>
          <w:spacing w:val="-43"/>
        </w:rPr>
        <w:t> </w:t>
      </w:r>
      <w:r>
        <w:rPr/>
        <w:t>万元转增为注册资 </w:t>
      </w:r>
      <w:r>
        <w:rPr>
          <w:spacing w:val="-8"/>
        </w:rPr>
        <w:t>本，转增后淮安同方注册资本变更为</w:t>
      </w:r>
      <w:r>
        <w:rPr>
          <w:spacing w:val="-53"/>
        </w:rPr>
        <w:t> </w:t>
      </w:r>
      <w:r>
        <w:rPr>
          <w:rFonts w:ascii="宋体" w:hAnsi="宋体" w:cs="宋体" w:eastAsia="宋体" w:hint="default"/>
        </w:rPr>
        <w:t>18,600</w:t>
      </w:r>
      <w:r>
        <w:rPr>
          <w:rFonts w:ascii="宋体" w:hAnsi="宋体" w:cs="宋体" w:eastAsia="宋体" w:hint="default"/>
          <w:spacing w:val="-53"/>
        </w:rPr>
        <w:t> </w:t>
      </w:r>
      <w:r>
        <w:rPr>
          <w:spacing w:val="-10"/>
        </w:rPr>
        <w:t>万元，公司仍持有淮安同方</w:t>
      </w:r>
      <w:r>
        <w:rPr>
          <w:spacing w:val="-53"/>
        </w:rPr>
        <w:t> </w:t>
      </w:r>
      <w:r>
        <w:rPr>
          <w:rFonts w:ascii="宋体" w:hAnsi="宋体" w:cs="宋体" w:eastAsia="宋体" w:hint="default"/>
        </w:rPr>
        <w:t>49.55%</w:t>
      </w:r>
      <w:r>
        <w:rPr/>
        <w:t>股权。</w:t>
      </w:r>
    </w:p>
    <w:p>
      <w:pPr>
        <w:spacing w:line="240" w:lineRule="auto" w:before="4"/>
        <w:rPr>
          <w:rFonts w:ascii="宋体" w:hAnsi="宋体" w:cs="宋体" w:eastAsia="宋体" w:hint="default"/>
          <w:sz w:val="28"/>
          <w:szCs w:val="28"/>
        </w:rPr>
      </w:pPr>
    </w:p>
    <w:p>
      <w:pPr>
        <w:pStyle w:val="BodyText"/>
        <w:spacing w:line="276" w:lineRule="auto"/>
        <w:ind w:left="1118" w:right="997" w:firstLine="419"/>
        <w:jc w:val="left"/>
      </w:pPr>
      <w:r>
        <w:rPr>
          <w:rFonts w:ascii="宋体" w:hAnsi="宋体" w:cs="宋体" w:eastAsia="宋体" w:hint="default"/>
        </w:rPr>
        <w:t>2. 2018</w:t>
      </w:r>
      <w:r>
        <w:rPr>
          <w:rFonts w:ascii="宋体" w:hAnsi="宋体" w:cs="宋体" w:eastAsia="宋体" w:hint="default"/>
          <w:spacing w:val="-46"/>
        </w:rPr>
        <w:t> </w:t>
      </w:r>
      <w:r>
        <w:rPr/>
        <w:t>年</w:t>
      </w:r>
      <w:r>
        <w:rPr>
          <w:spacing w:val="-46"/>
        </w:rPr>
        <w:t> </w:t>
      </w:r>
      <w:r>
        <w:rPr>
          <w:rFonts w:ascii="宋体" w:hAnsi="宋体" w:cs="宋体" w:eastAsia="宋体" w:hint="default"/>
        </w:rPr>
        <w:t>10</w:t>
      </w:r>
      <w:r>
        <w:rPr>
          <w:rFonts w:ascii="宋体" w:hAnsi="宋体" w:cs="宋体" w:eastAsia="宋体" w:hint="default"/>
          <w:spacing w:val="-46"/>
        </w:rPr>
        <w:t> </w:t>
      </w:r>
      <w:r>
        <w:rPr/>
        <w:t>月，经公司</w:t>
      </w:r>
      <w:r>
        <w:rPr>
          <w:spacing w:val="-45"/>
        </w:rPr>
        <w:t> </w:t>
      </w:r>
      <w:r>
        <w:rPr>
          <w:rFonts w:ascii="宋体" w:hAnsi="宋体" w:cs="宋体" w:eastAsia="宋体" w:hint="default"/>
        </w:rPr>
        <w:t>2018</w:t>
      </w:r>
      <w:r>
        <w:rPr>
          <w:rFonts w:ascii="宋体" w:hAnsi="宋体" w:cs="宋体" w:eastAsia="宋体" w:hint="default"/>
          <w:spacing w:val="-46"/>
        </w:rPr>
        <w:t> </w:t>
      </w:r>
      <w:r>
        <w:rPr/>
        <w:t>年第十三次投资决策委员会审议通过，同意公司 </w:t>
      </w:r>
      <w:r>
        <w:rPr>
          <w:spacing w:val="-7"/>
        </w:rPr>
        <w:t>向下属全资子公司沈阳同方多媒体科技有限公司增资（包括债转股等方式）</w:t>
      </w:r>
      <w:r>
        <w:rPr>
          <w:rFonts w:ascii="宋体" w:hAnsi="宋体" w:cs="宋体" w:eastAsia="宋体" w:hint="default"/>
          <w:spacing w:val="-7"/>
        </w:rPr>
        <w:t>5.57</w:t>
      </w:r>
      <w:r>
        <w:rPr>
          <w:rFonts w:ascii="宋体" w:hAnsi="宋体" w:cs="宋体" w:eastAsia="宋体" w:hint="default"/>
          <w:spacing w:val="-30"/>
        </w:rPr>
        <w:t> </w:t>
      </w:r>
      <w:r>
        <w:rPr/>
        <w:t>亿元，</w:t>
      </w:r>
      <w:r>
        <w:rPr>
          <w:spacing w:val="-117"/>
        </w:rPr>
        <w:t> </w:t>
      </w:r>
      <w:r>
        <w:rPr>
          <w:spacing w:val="-3"/>
        </w:rPr>
        <w:t>增资完成后，沈阳多媒体注册资本增加至</w:t>
      </w:r>
      <w:r>
        <w:rPr>
          <w:spacing w:val="-60"/>
        </w:rPr>
        <w:t> </w:t>
      </w:r>
      <w:r>
        <w:rPr>
          <w:rFonts w:ascii="宋体" w:hAnsi="宋体" w:cs="宋体" w:eastAsia="宋体" w:hint="default"/>
        </w:rPr>
        <w:t>18.75</w:t>
      </w:r>
      <w:r>
        <w:rPr>
          <w:rFonts w:ascii="宋体" w:hAnsi="宋体" w:cs="宋体" w:eastAsia="宋体" w:hint="default"/>
          <w:spacing w:val="-60"/>
        </w:rPr>
        <w:t> </w:t>
      </w:r>
      <w:r>
        <w:rPr>
          <w:spacing w:val="-4"/>
        </w:rPr>
        <w:t>亿元，公司仍持有沈阳多媒体的</w:t>
      </w:r>
      <w:r>
        <w:rPr>
          <w:spacing w:val="-60"/>
        </w:rPr>
        <w:t> </w:t>
      </w:r>
      <w:r>
        <w:rPr>
          <w:rFonts w:ascii="宋体" w:hAnsi="宋体" w:cs="宋体" w:eastAsia="宋体" w:hint="default"/>
        </w:rPr>
        <w:t>100% </w:t>
      </w:r>
      <w:r>
        <w:rPr/>
        <w:t>股权。</w:t>
      </w:r>
    </w:p>
    <w:p>
      <w:pPr>
        <w:spacing w:line="240" w:lineRule="auto" w:before="4"/>
        <w:rPr>
          <w:rFonts w:ascii="宋体" w:hAnsi="宋体" w:cs="宋体" w:eastAsia="宋体" w:hint="default"/>
          <w:sz w:val="28"/>
          <w:szCs w:val="28"/>
        </w:rPr>
      </w:pPr>
    </w:p>
    <w:p>
      <w:pPr>
        <w:pStyle w:val="BodyText"/>
        <w:spacing w:line="240" w:lineRule="auto"/>
        <w:ind w:left="1538" w:right="997"/>
        <w:jc w:val="left"/>
      </w:pPr>
      <w:r>
        <w:rPr>
          <w:rFonts w:ascii="宋体" w:hAnsi="宋体" w:cs="宋体" w:eastAsia="宋体" w:hint="default"/>
        </w:rPr>
        <w:t>3. 2018</w:t>
      </w:r>
      <w:r>
        <w:rPr>
          <w:rFonts w:ascii="宋体" w:hAnsi="宋体" w:cs="宋体" w:eastAsia="宋体" w:hint="default"/>
          <w:spacing w:val="-46"/>
        </w:rPr>
        <w:t> </w:t>
      </w:r>
      <w:r>
        <w:rPr/>
        <w:t>年</w:t>
      </w:r>
      <w:r>
        <w:rPr>
          <w:spacing w:val="-46"/>
        </w:rPr>
        <w:t> </w:t>
      </w:r>
      <w:r>
        <w:rPr>
          <w:rFonts w:ascii="宋体" w:hAnsi="宋体" w:cs="宋体" w:eastAsia="宋体" w:hint="default"/>
        </w:rPr>
        <w:t>11</w:t>
      </w:r>
      <w:r>
        <w:rPr>
          <w:rFonts w:ascii="宋体" w:hAnsi="宋体" w:cs="宋体" w:eastAsia="宋体" w:hint="default"/>
          <w:spacing w:val="-46"/>
        </w:rPr>
        <w:t> </w:t>
      </w:r>
      <w:r>
        <w:rPr/>
        <w:t>月，经公司</w:t>
      </w:r>
      <w:r>
        <w:rPr>
          <w:spacing w:val="-45"/>
        </w:rPr>
        <w:t> </w:t>
      </w:r>
      <w:r>
        <w:rPr>
          <w:rFonts w:ascii="宋体" w:hAnsi="宋体" w:cs="宋体" w:eastAsia="宋体" w:hint="default"/>
        </w:rPr>
        <w:t>2018</w:t>
      </w:r>
      <w:r>
        <w:rPr>
          <w:rFonts w:ascii="宋体" w:hAnsi="宋体" w:cs="宋体" w:eastAsia="宋体" w:hint="default"/>
          <w:spacing w:val="-46"/>
        </w:rPr>
        <w:t> </w:t>
      </w:r>
      <w:r>
        <w:rPr/>
        <w:t>年第十五次投资决策委员会审议通过，同意公司</w:t>
      </w:r>
    </w:p>
    <w:p>
      <w:pPr>
        <w:pStyle w:val="BodyText"/>
        <w:spacing w:line="276" w:lineRule="auto" w:before="46"/>
        <w:ind w:left="1118" w:right="1118"/>
        <w:jc w:val="left"/>
      </w:pPr>
      <w:r>
        <w:rPr/>
        <w:t>向下属全资子公司同方工业有限公司增资</w:t>
      </w:r>
      <w:r>
        <w:rPr>
          <w:spacing w:val="-58"/>
        </w:rPr>
        <w:t> </w:t>
      </w:r>
      <w:r>
        <w:rPr>
          <w:rFonts w:ascii="宋体" w:hAnsi="宋体" w:cs="宋体" w:eastAsia="宋体" w:hint="default"/>
        </w:rPr>
        <w:t>2</w:t>
      </w:r>
      <w:r>
        <w:rPr>
          <w:rFonts w:ascii="宋体" w:hAnsi="宋体" w:cs="宋体" w:eastAsia="宋体" w:hint="default"/>
          <w:spacing w:val="-58"/>
        </w:rPr>
        <w:t> </w:t>
      </w:r>
      <w:r>
        <w:rPr>
          <w:spacing w:val="-3"/>
        </w:rPr>
        <w:t>亿元。增资完成后，同方工业注册资本增</w:t>
      </w:r>
      <w:r>
        <w:rPr/>
        <w:t> 加至</w:t>
      </w:r>
      <w:r>
        <w:rPr>
          <w:spacing w:val="-61"/>
        </w:rPr>
        <w:t> </w:t>
      </w:r>
      <w:r>
        <w:rPr>
          <w:rFonts w:ascii="宋体" w:hAnsi="宋体" w:cs="宋体" w:eastAsia="宋体" w:hint="default"/>
        </w:rPr>
        <w:t>6</w:t>
      </w:r>
      <w:r>
        <w:rPr>
          <w:rFonts w:ascii="宋体" w:hAnsi="宋体" w:cs="宋体" w:eastAsia="宋体" w:hint="default"/>
          <w:spacing w:val="-60"/>
        </w:rPr>
        <w:t> </w:t>
      </w:r>
      <w:r>
        <w:rPr/>
        <w:t>亿元，公司仍持有同方工业</w:t>
      </w:r>
      <w:r>
        <w:rPr>
          <w:spacing w:val="-60"/>
        </w:rPr>
        <w:t> </w:t>
      </w:r>
      <w:r>
        <w:rPr>
          <w:rFonts w:ascii="宋体" w:hAnsi="宋体" w:cs="宋体" w:eastAsia="宋体" w:hint="default"/>
        </w:rPr>
        <w:t>100%</w:t>
      </w:r>
      <w:r>
        <w:rPr/>
        <w:t>股权。</w:t>
      </w:r>
    </w:p>
    <w:p>
      <w:pPr>
        <w:spacing w:line="240" w:lineRule="auto" w:before="11"/>
        <w:rPr>
          <w:rFonts w:ascii="宋体" w:hAnsi="宋体" w:cs="宋体" w:eastAsia="宋体" w:hint="default"/>
          <w:sz w:val="32"/>
          <w:szCs w:val="32"/>
        </w:rPr>
      </w:pPr>
    </w:p>
    <w:p>
      <w:pPr>
        <w:pStyle w:val="Heading2"/>
        <w:spacing w:line="240" w:lineRule="auto"/>
        <w:ind w:left="1118" w:right="997"/>
        <w:jc w:val="left"/>
        <w:rPr>
          <w:b w:val="0"/>
          <w:bCs w:val="0"/>
        </w:rPr>
      </w:pPr>
      <w:r>
        <w:rPr>
          <w:rFonts w:ascii="宋体" w:hAnsi="宋体" w:cs="宋体" w:eastAsia="宋体" w:hint="default"/>
        </w:rPr>
        <w:t>(2)</w:t>
      </w:r>
      <w:r>
        <w:rPr>
          <w:rFonts w:ascii="宋体" w:hAnsi="宋体" w:cs="宋体" w:eastAsia="宋体" w:hint="default"/>
          <w:spacing w:val="-67"/>
        </w:rPr>
        <w:t> </w:t>
      </w:r>
      <w:r>
        <w:rPr/>
        <w:t>重大的非股权投资</w:t>
      </w:r>
      <w:r>
        <w:rPr>
          <w:b w:val="0"/>
          <w:bCs w:val="0"/>
        </w:rPr>
      </w:r>
    </w:p>
    <w:p>
      <w:pPr>
        <w:pStyle w:val="BodyText"/>
        <w:tabs>
          <w:tab w:pos="2077" w:val="left" w:leader="none"/>
        </w:tabs>
        <w:spacing w:line="240" w:lineRule="auto" w:before="106"/>
        <w:ind w:left="1118" w:right="997"/>
        <w:jc w:val="left"/>
      </w:pPr>
      <w:r>
        <w:rPr>
          <w:spacing w:val="-1"/>
        </w:rPr>
        <w:t>□适用</w:t>
        <w:tab/>
      </w:r>
      <w:r>
        <w:rPr/>
        <w:t>√不适用</w:t>
      </w:r>
    </w:p>
    <w:p>
      <w:pPr>
        <w:spacing w:after="0" w:line="240" w:lineRule="auto"/>
        <w:jc w:val="left"/>
        <w:sectPr>
          <w:pgSz w:w="11910" w:h="16840"/>
          <w:pgMar w:header="0" w:footer="1193" w:top="780" w:bottom="1380" w:left="680" w:right="140"/>
        </w:sectPr>
      </w:pPr>
    </w:p>
    <w:p>
      <w:pPr>
        <w:spacing w:before="25"/>
        <w:ind w:left="4733" w:right="474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96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Heading2"/>
        <w:spacing w:line="240" w:lineRule="auto" w:before="26"/>
        <w:ind w:left="998" w:right="0"/>
        <w:jc w:val="left"/>
        <w:rPr>
          <w:b w:val="0"/>
          <w:bCs w:val="0"/>
        </w:rPr>
      </w:pPr>
      <w:r>
        <w:rPr>
          <w:rFonts w:ascii="宋体" w:hAnsi="宋体" w:cs="宋体" w:eastAsia="宋体" w:hint="default"/>
        </w:rPr>
        <w:t>(3)</w:t>
      </w:r>
      <w:r>
        <w:rPr>
          <w:rFonts w:ascii="宋体" w:hAnsi="宋体" w:cs="宋体" w:eastAsia="宋体" w:hint="default"/>
          <w:spacing w:val="-67"/>
        </w:rPr>
        <w:t> </w:t>
      </w:r>
      <w:r>
        <w:rPr/>
        <w:t>以公允价值计量的金融资产</w:t>
      </w:r>
      <w:r>
        <w:rPr>
          <w:b w:val="0"/>
          <w:bCs w:val="0"/>
        </w:rPr>
      </w:r>
    </w:p>
    <w:p>
      <w:pPr>
        <w:pStyle w:val="BodyText"/>
        <w:tabs>
          <w:tab w:pos="1957" w:val="left" w:leader="none"/>
        </w:tabs>
        <w:spacing w:line="240" w:lineRule="auto" w:before="106"/>
        <w:ind w:left="998" w:right="0"/>
        <w:jc w:val="left"/>
      </w:pPr>
      <w:r>
        <w:rPr>
          <w:spacing w:val="-1"/>
        </w:rPr>
        <w:t>√适用</w:t>
        <w:tab/>
      </w:r>
      <w:r>
        <w:rPr/>
        <w:t>□不适用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270"/>
        <w:gridCol w:w="1817"/>
        <w:gridCol w:w="1886"/>
        <w:gridCol w:w="1817"/>
        <w:gridCol w:w="2007"/>
        <w:gridCol w:w="1796"/>
      </w:tblGrid>
      <w:tr>
        <w:trPr>
          <w:trHeight w:val="530"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8" w:right="0"/>
              <w:jc w:val="left"/>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9" w:right="0"/>
              <w:jc w:val="left"/>
              <w:rPr>
                <w:rFonts w:ascii="宋体" w:hAnsi="宋体" w:cs="宋体" w:eastAsia="宋体" w:hint="default"/>
                <w:sz w:val="20"/>
                <w:szCs w:val="20"/>
              </w:rPr>
            </w:pPr>
            <w:r>
              <w:rPr>
                <w:rFonts w:ascii="宋体" w:hAnsi="宋体" w:cs="宋体" w:eastAsia="宋体" w:hint="default"/>
                <w:b/>
                <w:bCs/>
                <w:sz w:val="20"/>
                <w:szCs w:val="20"/>
              </w:rPr>
              <w:t>初始投资成本</w:t>
            </w:r>
            <w:r>
              <w:rPr>
                <w:rFonts w:ascii="宋体" w:hAnsi="宋体" w:cs="宋体" w:eastAsia="宋体" w:hint="default"/>
                <w:sz w:val="20"/>
                <w:szCs w:val="20"/>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35" w:right="0"/>
              <w:jc w:val="left"/>
              <w:rPr>
                <w:rFonts w:ascii="宋体" w:hAnsi="宋体" w:cs="宋体" w:eastAsia="宋体" w:hint="default"/>
                <w:sz w:val="20"/>
                <w:szCs w:val="20"/>
              </w:rPr>
            </w:pPr>
            <w:r>
              <w:rPr>
                <w:rFonts w:ascii="宋体" w:hAnsi="宋体" w:cs="宋体" w:eastAsia="宋体" w:hint="default"/>
                <w:b/>
                <w:bCs/>
                <w:sz w:val="20"/>
                <w:szCs w:val="20"/>
              </w:rPr>
              <w:t>期初余额</w:t>
            </w:r>
            <w:r>
              <w:rPr>
                <w:rFonts w:ascii="宋体" w:hAnsi="宋体" w:cs="宋体" w:eastAsia="宋体" w:hint="default"/>
                <w:sz w:val="20"/>
                <w:szCs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01" w:right="0"/>
              <w:jc w:val="left"/>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95" w:right="0"/>
              <w:jc w:val="left"/>
              <w:rPr>
                <w:rFonts w:ascii="宋体" w:hAnsi="宋体" w:cs="宋体" w:eastAsia="宋体" w:hint="default"/>
                <w:sz w:val="20"/>
                <w:szCs w:val="20"/>
              </w:rPr>
            </w:pPr>
            <w:r>
              <w:rPr>
                <w:rFonts w:ascii="宋体" w:hAnsi="宋体" w:cs="宋体" w:eastAsia="宋体" w:hint="default"/>
                <w:b/>
                <w:bCs/>
                <w:sz w:val="20"/>
                <w:szCs w:val="20"/>
              </w:rPr>
              <w:t>当期变动</w:t>
            </w:r>
            <w:r>
              <w:rPr>
                <w:rFonts w:ascii="宋体" w:hAnsi="宋体" w:cs="宋体" w:eastAsia="宋体" w:hint="default"/>
                <w:sz w:val="20"/>
                <w:szCs w:val="20"/>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4"/>
              <w:jc w:val="center"/>
              <w:rPr>
                <w:rFonts w:ascii="宋体" w:hAnsi="宋体" w:cs="宋体" w:eastAsia="宋体" w:hint="default"/>
                <w:sz w:val="20"/>
                <w:szCs w:val="20"/>
              </w:rPr>
            </w:pPr>
            <w:r>
              <w:rPr>
                <w:rFonts w:ascii="宋体" w:hAnsi="宋体" w:cs="宋体" w:eastAsia="宋体" w:hint="default"/>
                <w:b/>
                <w:bCs/>
                <w:sz w:val="20"/>
                <w:szCs w:val="20"/>
              </w:rPr>
              <w:t>对当期利润的影</w:t>
            </w:r>
            <w:r>
              <w:rPr>
                <w:rFonts w:ascii="宋体" w:hAnsi="宋体" w:cs="宋体" w:eastAsia="宋体" w:hint="default"/>
                <w:sz w:val="20"/>
                <w:szCs w:val="20"/>
              </w:rPr>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b/>
                <w:bCs/>
                <w:spacing w:val="2"/>
                <w:sz w:val="20"/>
                <w:szCs w:val="20"/>
              </w:rPr>
              <w:t>响金额</w:t>
            </w:r>
            <w:r>
              <w:rPr>
                <w:rFonts w:ascii="宋体" w:hAnsi="宋体" w:cs="宋体" w:eastAsia="宋体" w:hint="default"/>
                <w:sz w:val="20"/>
                <w:szCs w:val="20"/>
              </w:rPr>
            </w:r>
          </w:p>
        </w:tc>
      </w:tr>
      <w:tr>
        <w:trPr>
          <w:trHeight w:val="1457"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4"/>
              <w:ind w:left="103" w:right="87"/>
              <w:jc w:val="both"/>
              <w:rPr>
                <w:rFonts w:ascii="宋体" w:hAnsi="宋体" w:cs="宋体" w:eastAsia="宋体" w:hint="default"/>
                <w:sz w:val="20"/>
                <w:szCs w:val="20"/>
              </w:rPr>
            </w:pPr>
            <w:r>
              <w:rPr>
                <w:rFonts w:ascii="宋体" w:hAnsi="宋体" w:cs="宋体" w:eastAsia="宋体" w:hint="default"/>
                <w:spacing w:val="14"/>
                <w:sz w:val="20"/>
                <w:szCs w:val="20"/>
              </w:rPr>
              <w:t>以公允价值</w:t>
            </w:r>
            <w:r>
              <w:rPr>
                <w:rFonts w:ascii="宋体" w:hAnsi="宋体" w:cs="宋体" w:eastAsia="宋体" w:hint="default"/>
                <w:spacing w:val="14"/>
                <w:w w:val="99"/>
                <w:sz w:val="20"/>
                <w:szCs w:val="20"/>
              </w:rPr>
              <w:t> </w:t>
            </w:r>
            <w:r>
              <w:rPr>
                <w:rFonts w:ascii="宋体" w:hAnsi="宋体" w:cs="宋体" w:eastAsia="宋体" w:hint="default"/>
                <w:spacing w:val="14"/>
                <w:sz w:val="20"/>
                <w:szCs w:val="20"/>
              </w:rPr>
              <w:t>计量且其变</w:t>
            </w:r>
            <w:r>
              <w:rPr>
                <w:rFonts w:ascii="宋体" w:hAnsi="宋体" w:cs="宋体" w:eastAsia="宋体" w:hint="default"/>
                <w:spacing w:val="14"/>
                <w:w w:val="99"/>
                <w:sz w:val="20"/>
                <w:szCs w:val="20"/>
              </w:rPr>
              <w:t> </w:t>
            </w:r>
            <w:r>
              <w:rPr>
                <w:rFonts w:ascii="宋体" w:hAnsi="宋体" w:cs="宋体" w:eastAsia="宋体" w:hint="default"/>
                <w:spacing w:val="14"/>
                <w:sz w:val="20"/>
                <w:szCs w:val="20"/>
              </w:rPr>
              <w:t>动计入当期</w:t>
            </w:r>
            <w:r>
              <w:rPr>
                <w:rFonts w:ascii="宋体" w:hAnsi="宋体" w:cs="宋体" w:eastAsia="宋体" w:hint="default"/>
                <w:spacing w:val="14"/>
                <w:w w:val="99"/>
                <w:sz w:val="20"/>
                <w:szCs w:val="20"/>
              </w:rPr>
              <w:t> </w:t>
            </w:r>
            <w:r>
              <w:rPr>
                <w:rFonts w:ascii="宋体" w:hAnsi="宋体" w:cs="宋体" w:eastAsia="宋体" w:hint="default"/>
                <w:spacing w:val="14"/>
                <w:sz w:val="20"/>
                <w:szCs w:val="20"/>
              </w:rPr>
              <w:t>损益的金融</w:t>
            </w:r>
            <w:r>
              <w:rPr>
                <w:rFonts w:ascii="宋体" w:hAnsi="宋体" w:cs="宋体" w:eastAsia="宋体" w:hint="default"/>
                <w:spacing w:val="14"/>
                <w:w w:val="99"/>
                <w:sz w:val="20"/>
                <w:szCs w:val="20"/>
              </w:rPr>
              <w:t> </w:t>
            </w:r>
            <w:r>
              <w:rPr>
                <w:rFonts w:ascii="宋体" w:hAnsi="宋体" w:cs="宋体" w:eastAsia="宋体" w:hint="default"/>
                <w:sz w:val="20"/>
                <w:szCs w:val="20"/>
              </w:rPr>
              <w:t>资产</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4"/>
              <w:jc w:val="right"/>
              <w:rPr>
                <w:rFonts w:ascii="宋体" w:hAnsi="宋体" w:cs="宋体" w:eastAsia="宋体" w:hint="default"/>
                <w:sz w:val="20"/>
                <w:szCs w:val="20"/>
              </w:rPr>
            </w:pPr>
            <w:r>
              <w:rPr>
                <w:rFonts w:ascii="宋体"/>
                <w:w w:val="95"/>
                <w:sz w:val="20"/>
              </w:rPr>
              <w:t>323,117,699.61</w:t>
            </w:r>
            <w:r>
              <w:rPr>
                <w:rFonts w:ascii="宋体"/>
                <w:sz w:val="20"/>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4"/>
              <w:jc w:val="right"/>
              <w:rPr>
                <w:rFonts w:ascii="宋体" w:hAnsi="宋体" w:cs="宋体" w:eastAsia="宋体" w:hint="default"/>
                <w:sz w:val="20"/>
                <w:szCs w:val="20"/>
              </w:rPr>
            </w:pPr>
            <w:r>
              <w:rPr>
                <w:rFonts w:ascii="宋体"/>
                <w:w w:val="95"/>
                <w:sz w:val="20"/>
              </w:rPr>
              <w:t>581,867,988.06</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4"/>
              <w:jc w:val="right"/>
              <w:rPr>
                <w:rFonts w:ascii="宋体" w:hAnsi="宋体" w:cs="宋体" w:eastAsia="宋体" w:hint="default"/>
                <w:sz w:val="20"/>
                <w:szCs w:val="20"/>
              </w:rPr>
            </w:pPr>
            <w:r>
              <w:rPr>
                <w:rFonts w:ascii="宋体"/>
                <w:w w:val="95"/>
                <w:sz w:val="20"/>
              </w:rPr>
              <w:t>513,614,483.77</w:t>
            </w:r>
            <w:r>
              <w:rPr>
                <w:rFonts w:ascii="宋体"/>
                <w:sz w:val="20"/>
              </w:rPr>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4"/>
              <w:jc w:val="right"/>
              <w:rPr>
                <w:rFonts w:ascii="宋体" w:hAnsi="宋体" w:cs="宋体" w:eastAsia="宋体" w:hint="default"/>
                <w:sz w:val="20"/>
                <w:szCs w:val="20"/>
              </w:rPr>
            </w:pPr>
            <w:r>
              <w:rPr>
                <w:rFonts w:ascii="宋体"/>
                <w:w w:val="95"/>
                <w:sz w:val="20"/>
              </w:rPr>
              <w:t>-68,253,504.29</w:t>
            </w:r>
            <w:r>
              <w:rPr>
                <w:rFonts w:ascii="宋体"/>
                <w:sz w:val="20"/>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07"/>
              <w:jc w:val="right"/>
              <w:rPr>
                <w:rFonts w:ascii="宋体" w:hAnsi="宋体" w:cs="宋体" w:eastAsia="宋体" w:hint="default"/>
                <w:sz w:val="20"/>
                <w:szCs w:val="20"/>
              </w:rPr>
            </w:pPr>
            <w:r>
              <w:rPr>
                <w:rFonts w:ascii="宋体"/>
                <w:w w:val="95"/>
                <w:sz w:val="20"/>
              </w:rPr>
              <w:t>-100,945,582.93</w:t>
            </w:r>
            <w:r>
              <w:rPr>
                <w:rFonts w:ascii="宋体"/>
                <w:sz w:val="20"/>
              </w:rPr>
            </w:r>
          </w:p>
        </w:tc>
      </w:tr>
      <w:tr>
        <w:trPr>
          <w:trHeight w:val="531"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可供出售金</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融资产</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宋体" w:hAnsi="宋体" w:cs="宋体" w:eastAsia="宋体" w:hint="default"/>
                <w:sz w:val="20"/>
                <w:szCs w:val="20"/>
              </w:rPr>
            </w:pPr>
            <w:r>
              <w:rPr>
                <w:rFonts w:ascii="宋体"/>
                <w:w w:val="95"/>
                <w:sz w:val="20"/>
              </w:rPr>
              <w:t>3,675,117,237.82</w:t>
            </w:r>
            <w:r>
              <w:rPr>
                <w:rFonts w:ascii="宋体"/>
                <w:sz w:val="20"/>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宋体" w:hAnsi="宋体" w:cs="宋体" w:eastAsia="宋体" w:hint="default"/>
                <w:sz w:val="20"/>
                <w:szCs w:val="20"/>
              </w:rPr>
            </w:pPr>
            <w:r>
              <w:rPr>
                <w:rFonts w:ascii="宋体"/>
                <w:w w:val="95"/>
                <w:sz w:val="20"/>
              </w:rPr>
              <w:t>4,865,643,545.96</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宋体" w:hAnsi="宋体" w:cs="宋体" w:eastAsia="宋体" w:hint="default"/>
                <w:sz w:val="20"/>
                <w:szCs w:val="20"/>
              </w:rPr>
            </w:pPr>
            <w:r>
              <w:rPr>
                <w:rFonts w:ascii="宋体"/>
                <w:w w:val="95"/>
                <w:sz w:val="20"/>
              </w:rPr>
              <w:t>3,369,954,307.01</w:t>
            </w:r>
            <w:r>
              <w:rPr>
                <w:rFonts w:ascii="宋体"/>
                <w:sz w:val="20"/>
              </w:rPr>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5"/>
              <w:jc w:val="right"/>
              <w:rPr>
                <w:rFonts w:ascii="宋体" w:hAnsi="宋体" w:cs="宋体" w:eastAsia="宋体" w:hint="default"/>
                <w:sz w:val="20"/>
                <w:szCs w:val="20"/>
              </w:rPr>
            </w:pPr>
            <w:r>
              <w:rPr>
                <w:rFonts w:ascii="宋体"/>
                <w:w w:val="95"/>
                <w:sz w:val="20"/>
              </w:rPr>
              <w:t>-1,495,689,238.95</w:t>
            </w:r>
            <w:r>
              <w:rPr>
                <w:rFonts w:ascii="宋体"/>
                <w:sz w:val="20"/>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7"/>
              <w:jc w:val="right"/>
              <w:rPr>
                <w:rFonts w:ascii="宋体" w:hAnsi="宋体" w:cs="宋体" w:eastAsia="宋体" w:hint="default"/>
                <w:sz w:val="20"/>
                <w:szCs w:val="20"/>
              </w:rPr>
            </w:pPr>
            <w:r>
              <w:rPr>
                <w:rFonts w:ascii="宋体"/>
                <w:w w:val="95"/>
                <w:sz w:val="20"/>
              </w:rPr>
              <w:t>-240,604,169.17</w:t>
            </w:r>
            <w:r>
              <w:rPr>
                <w:rFonts w:ascii="宋体"/>
                <w:sz w:val="20"/>
              </w:rPr>
            </w:r>
          </w:p>
        </w:tc>
      </w:tr>
      <w:tr>
        <w:trPr>
          <w:trHeight w:val="528"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14"/>
                <w:sz w:val="20"/>
                <w:szCs w:val="20"/>
              </w:rPr>
              <w:t>其他非流动</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资产</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4"/>
              <w:jc w:val="right"/>
              <w:rPr>
                <w:rFonts w:ascii="宋体" w:hAnsi="宋体" w:cs="宋体" w:eastAsia="宋体" w:hint="default"/>
                <w:sz w:val="20"/>
                <w:szCs w:val="20"/>
              </w:rPr>
            </w:pPr>
            <w:r>
              <w:rPr>
                <w:rFonts w:ascii="宋体"/>
                <w:w w:val="95"/>
                <w:sz w:val="20"/>
              </w:rPr>
              <w:t>638,761,427.57</w:t>
            </w:r>
            <w:r>
              <w:rPr>
                <w:rFonts w:ascii="宋体"/>
                <w:sz w:val="20"/>
              </w:rPr>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4"/>
              <w:jc w:val="right"/>
              <w:rPr>
                <w:rFonts w:ascii="宋体" w:hAnsi="宋体" w:cs="宋体" w:eastAsia="宋体" w:hint="default"/>
                <w:sz w:val="20"/>
                <w:szCs w:val="20"/>
              </w:rPr>
            </w:pPr>
            <w:r>
              <w:rPr>
                <w:rFonts w:ascii="宋体"/>
                <w:w w:val="95"/>
                <w:sz w:val="20"/>
              </w:rPr>
              <w:t>595,177,942.16</w:t>
            </w:r>
            <w:r>
              <w:rPr>
                <w:rFonts w:ascii="宋体"/>
                <w:sz w:val="20"/>
              </w:rPr>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4"/>
              <w:jc w:val="right"/>
              <w:rPr>
                <w:rFonts w:ascii="宋体" w:hAnsi="宋体" w:cs="宋体" w:eastAsia="宋体" w:hint="default"/>
                <w:sz w:val="20"/>
                <w:szCs w:val="20"/>
              </w:rPr>
            </w:pPr>
            <w:r>
              <w:rPr>
                <w:rFonts w:ascii="宋体"/>
                <w:w w:val="95"/>
                <w:sz w:val="20"/>
              </w:rPr>
              <w:t>653,872,538.98</w:t>
            </w:r>
            <w:r>
              <w:rPr>
                <w:rFonts w:ascii="宋体"/>
                <w:sz w:val="20"/>
              </w:rPr>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2"/>
              <w:jc w:val="right"/>
              <w:rPr>
                <w:rFonts w:ascii="宋体" w:hAnsi="宋体" w:cs="宋体" w:eastAsia="宋体" w:hint="default"/>
                <w:sz w:val="20"/>
                <w:szCs w:val="20"/>
              </w:rPr>
            </w:pPr>
            <w:r>
              <w:rPr>
                <w:rFonts w:ascii="宋体"/>
                <w:w w:val="95"/>
                <w:sz w:val="20"/>
              </w:rPr>
              <w:t>58,694,596.82</w:t>
            </w:r>
            <w:r>
              <w:rPr>
                <w:rFonts w:ascii="宋体"/>
                <w:sz w:val="20"/>
              </w:rPr>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4"/>
              <w:jc w:val="right"/>
              <w:rPr>
                <w:rFonts w:ascii="宋体" w:hAnsi="宋体" w:cs="宋体" w:eastAsia="宋体" w:hint="default"/>
                <w:sz w:val="20"/>
                <w:szCs w:val="20"/>
              </w:rPr>
            </w:pPr>
            <w:r>
              <w:rPr>
                <w:rFonts w:ascii="宋体"/>
                <w:w w:val="95"/>
                <w:sz w:val="20"/>
              </w:rPr>
              <w:t>20,297,122.72</w:t>
            </w:r>
            <w:r>
              <w:rPr>
                <w:rFonts w:ascii="宋体"/>
                <w:sz w:val="20"/>
              </w:rPr>
            </w:r>
          </w:p>
        </w:tc>
      </w:tr>
    </w:tbl>
    <w:p>
      <w:pPr>
        <w:spacing w:line="240" w:lineRule="auto" w:before="0"/>
        <w:rPr>
          <w:rFonts w:ascii="宋体" w:hAnsi="宋体" w:cs="宋体" w:eastAsia="宋体" w:hint="default"/>
          <w:sz w:val="20"/>
          <w:szCs w:val="20"/>
        </w:rPr>
      </w:pPr>
    </w:p>
    <w:p>
      <w:pPr>
        <w:pStyle w:val="Heading2"/>
        <w:spacing w:line="240" w:lineRule="auto" w:before="166"/>
        <w:ind w:left="998" w:right="0"/>
        <w:jc w:val="both"/>
        <w:rPr>
          <w:b w:val="0"/>
          <w:bCs w:val="0"/>
        </w:rPr>
      </w:pPr>
      <w:r>
        <w:rPr>
          <w:rFonts w:ascii="宋体" w:hAnsi="宋体" w:cs="宋体" w:eastAsia="宋体" w:hint="default"/>
        </w:rPr>
        <w:t>(</w:t>
      </w:r>
      <w:r>
        <w:rPr/>
        <w:t>六</w:t>
      </w:r>
      <w:r>
        <w:rPr>
          <w:rFonts w:ascii="宋体" w:hAnsi="宋体" w:cs="宋体" w:eastAsia="宋体" w:hint="default"/>
        </w:rPr>
        <w:t>) </w:t>
      </w:r>
      <w:r>
        <w:rPr>
          <w:rFonts w:ascii="宋体" w:hAnsi="宋体" w:cs="宋体" w:eastAsia="宋体" w:hint="default"/>
          <w:spacing w:val="112"/>
        </w:rPr>
        <w:t> </w:t>
      </w:r>
      <w:r>
        <w:rPr/>
        <w:t>重大资产和股权出售</w:t>
      </w:r>
      <w:r>
        <w:rPr>
          <w:b w:val="0"/>
          <w:bCs w:val="0"/>
        </w:rPr>
      </w:r>
    </w:p>
    <w:p>
      <w:pPr>
        <w:pStyle w:val="BodyText"/>
        <w:spacing w:line="240" w:lineRule="auto" w:before="106"/>
        <w:ind w:left="998" w:right="0"/>
        <w:jc w:val="both"/>
      </w:pPr>
      <w:r>
        <w:rPr/>
        <w:t>□适用</w:t>
      </w:r>
      <w:r>
        <w:rPr>
          <w:spacing w:val="119"/>
        </w:rPr>
        <w:t> </w:t>
      </w:r>
      <w:r>
        <w:rPr/>
        <w:t>√不适用</w:t>
      </w:r>
    </w:p>
    <w:p>
      <w:pPr>
        <w:spacing w:line="240" w:lineRule="auto" w:before="8"/>
        <w:rPr>
          <w:rFonts w:ascii="宋体" w:hAnsi="宋体" w:cs="宋体" w:eastAsia="宋体" w:hint="default"/>
          <w:sz w:val="35"/>
          <w:szCs w:val="35"/>
        </w:rPr>
      </w:pPr>
    </w:p>
    <w:p>
      <w:pPr>
        <w:pStyle w:val="Heading2"/>
        <w:spacing w:line="240" w:lineRule="auto"/>
        <w:ind w:left="998" w:right="0"/>
        <w:jc w:val="both"/>
        <w:rPr>
          <w:b w:val="0"/>
          <w:bCs w:val="0"/>
        </w:rPr>
      </w:pPr>
      <w:r>
        <w:rPr>
          <w:rFonts w:ascii="宋体" w:hAnsi="宋体" w:cs="宋体" w:eastAsia="宋体" w:hint="default"/>
        </w:rPr>
        <w:t>(</w:t>
      </w:r>
      <w:r>
        <w:rPr/>
        <w:t>七</w:t>
      </w:r>
      <w:r>
        <w:rPr>
          <w:rFonts w:ascii="宋体" w:hAnsi="宋体" w:cs="宋体" w:eastAsia="宋体" w:hint="default"/>
        </w:rPr>
        <w:t>) </w:t>
      </w:r>
      <w:r>
        <w:rPr>
          <w:rFonts w:ascii="宋体" w:hAnsi="宋体" w:cs="宋体" w:eastAsia="宋体" w:hint="default"/>
          <w:spacing w:val="111"/>
        </w:rPr>
        <w:t> </w:t>
      </w:r>
      <w:r>
        <w:rPr/>
        <w:t>主要控股参股公司分析</w:t>
      </w:r>
      <w:r>
        <w:rPr>
          <w:b w:val="0"/>
          <w:bCs w:val="0"/>
        </w:rPr>
      </w:r>
    </w:p>
    <w:p>
      <w:pPr>
        <w:pStyle w:val="BodyText"/>
        <w:spacing w:line="240" w:lineRule="auto" w:before="106"/>
        <w:ind w:left="998" w:right="0"/>
        <w:jc w:val="both"/>
      </w:pPr>
      <w:r>
        <w:rPr/>
        <w:t>√适用</w:t>
      </w:r>
      <w:r>
        <w:rPr>
          <w:spacing w:val="119"/>
        </w:rPr>
        <w:t> </w:t>
      </w:r>
      <w:r>
        <w:rPr/>
        <w:t>□不适用</w:t>
      </w:r>
    </w:p>
    <w:p>
      <w:pPr>
        <w:pStyle w:val="Heading2"/>
        <w:spacing w:line="240" w:lineRule="auto" w:before="46"/>
        <w:ind w:left="998" w:right="0"/>
        <w:jc w:val="both"/>
        <w:rPr>
          <w:b w:val="0"/>
          <w:bCs w:val="0"/>
        </w:rPr>
      </w:pPr>
      <w:r>
        <w:rPr>
          <w:rFonts w:ascii="宋体" w:hAnsi="宋体" w:cs="宋体" w:eastAsia="宋体" w:hint="default"/>
        </w:rPr>
        <w:t>1.</w:t>
      </w:r>
      <w:r>
        <w:rPr>
          <w:rFonts w:ascii="宋体" w:hAnsi="宋体" w:cs="宋体" w:eastAsia="宋体" w:hint="default"/>
          <w:spacing w:val="-8"/>
        </w:rPr>
        <w:t> </w:t>
      </w:r>
      <w:r>
        <w:rPr/>
        <w:t>同方威视技术股份有限公司</w:t>
      </w:r>
      <w:r>
        <w:rPr>
          <w:b w:val="0"/>
          <w:bCs w:val="0"/>
        </w:rPr>
      </w:r>
    </w:p>
    <w:p>
      <w:pPr>
        <w:spacing w:line="240" w:lineRule="auto" w:before="0"/>
        <w:rPr>
          <w:rFonts w:ascii="宋体" w:hAnsi="宋体" w:cs="宋体" w:eastAsia="宋体" w:hint="default"/>
          <w:b/>
          <w:bCs/>
          <w:sz w:val="31"/>
          <w:szCs w:val="31"/>
        </w:rPr>
      </w:pPr>
    </w:p>
    <w:p>
      <w:pPr>
        <w:pStyle w:val="BodyText"/>
        <w:spacing w:line="276" w:lineRule="auto"/>
        <w:ind w:left="998" w:right="991" w:firstLine="479"/>
        <w:jc w:val="both"/>
      </w:pPr>
      <w:r>
        <w:rPr/>
        <w:t>同方威视技术股份有限公司</w:t>
      </w:r>
      <w:r>
        <w:rPr>
          <w:rFonts w:ascii="宋体" w:hAnsi="宋体" w:cs="宋体" w:eastAsia="宋体" w:hint="default"/>
        </w:rPr>
        <w:t>(</w:t>
      </w:r>
      <w:r>
        <w:rPr/>
        <w:t>以下简称“同方威视”)成立于</w:t>
      </w:r>
      <w:r>
        <w:rPr>
          <w:spacing w:val="-89"/>
        </w:rPr>
        <w:t> </w:t>
      </w:r>
      <w:r>
        <w:rPr>
          <w:rFonts w:ascii="宋体" w:hAnsi="宋体" w:cs="宋体" w:eastAsia="宋体" w:hint="default"/>
        </w:rPr>
        <w:t>2000</w:t>
      </w:r>
      <w:r>
        <w:rPr>
          <w:rFonts w:ascii="宋体" w:hAnsi="宋体" w:cs="宋体" w:eastAsia="宋体" w:hint="default"/>
          <w:spacing w:val="-89"/>
        </w:rPr>
        <w:t> </w:t>
      </w:r>
      <w:r>
        <w:rPr/>
        <w:t>年</w:t>
      </w:r>
      <w:r>
        <w:rPr>
          <w:spacing w:val="-87"/>
        </w:rPr>
        <w:t> </w:t>
      </w:r>
      <w:r>
        <w:rPr>
          <w:rFonts w:ascii="宋体" w:hAnsi="宋体" w:cs="宋体" w:eastAsia="宋体" w:hint="default"/>
        </w:rPr>
        <w:t>12</w:t>
      </w:r>
      <w:r>
        <w:rPr>
          <w:rFonts w:ascii="宋体" w:hAnsi="宋体" w:cs="宋体" w:eastAsia="宋体" w:hint="default"/>
          <w:spacing w:val="-89"/>
        </w:rPr>
        <w:t> </w:t>
      </w:r>
      <w:r>
        <w:rPr/>
        <w:t>月</w:t>
      </w:r>
      <w:r>
        <w:rPr>
          <w:spacing w:val="-89"/>
        </w:rPr>
        <w:t> </w:t>
      </w:r>
      <w:r>
        <w:rPr>
          <w:rFonts w:ascii="宋体" w:hAnsi="宋体" w:cs="宋体" w:eastAsia="宋体" w:hint="default"/>
        </w:rPr>
        <w:t>19</w:t>
      </w:r>
      <w:r>
        <w:rPr>
          <w:rFonts w:ascii="宋体" w:hAnsi="宋体" w:cs="宋体" w:eastAsia="宋体" w:hint="default"/>
          <w:spacing w:val="-89"/>
        </w:rPr>
        <w:t> </w:t>
      </w:r>
      <w:r>
        <w:rPr/>
        <w:t>日， 注册资本</w:t>
      </w:r>
      <w:r>
        <w:rPr>
          <w:spacing w:val="-56"/>
        </w:rPr>
        <w:t> </w:t>
      </w:r>
      <w:r>
        <w:rPr>
          <w:rFonts w:ascii="宋体" w:hAnsi="宋体" w:cs="宋体" w:eastAsia="宋体" w:hint="default"/>
        </w:rPr>
        <w:t>18,500</w:t>
      </w:r>
      <w:r>
        <w:rPr>
          <w:rFonts w:ascii="宋体" w:hAnsi="宋体" w:cs="宋体" w:eastAsia="宋体" w:hint="default"/>
          <w:spacing w:val="-56"/>
        </w:rPr>
        <w:t> </w:t>
      </w:r>
      <w:r>
        <w:rPr/>
        <w:t>万元，公司持股</w:t>
      </w:r>
      <w:r>
        <w:rPr>
          <w:spacing w:val="-55"/>
        </w:rPr>
        <w:t> </w:t>
      </w:r>
      <w:r>
        <w:rPr>
          <w:rFonts w:ascii="宋体" w:hAnsi="宋体" w:cs="宋体" w:eastAsia="宋体" w:hint="default"/>
        </w:rPr>
        <w:t>71.25%</w:t>
      </w:r>
      <w:r>
        <w:rPr/>
        <w:t>。同方威视主要生产和销售直线加速器的集 装箱</w:t>
      </w:r>
      <w:r>
        <w:rPr>
          <w:rFonts w:ascii="宋体" w:hAnsi="宋体" w:cs="宋体" w:eastAsia="宋体" w:hint="default"/>
        </w:rPr>
        <w:t>/</w:t>
      </w:r>
      <w:r>
        <w:rPr/>
        <w:t>车辆检查系统、集装货物</w:t>
      </w:r>
      <w:r>
        <w:rPr>
          <w:rFonts w:ascii="宋体" w:hAnsi="宋体" w:cs="宋体" w:eastAsia="宋体" w:hint="default"/>
        </w:rPr>
        <w:t>/</w:t>
      </w:r>
      <w:r>
        <w:rPr/>
        <w:t>车辆检查系统、放射性物质监测系统、</w:t>
      </w:r>
      <w:r>
        <w:rPr>
          <w:rFonts w:ascii="宋体" w:hAnsi="宋体" w:cs="宋体" w:eastAsia="宋体" w:hint="default"/>
        </w:rPr>
        <w:t>X</w:t>
      </w:r>
      <w:r>
        <w:rPr>
          <w:rFonts w:ascii="宋体" w:hAnsi="宋体" w:cs="宋体" w:eastAsia="宋体" w:hint="default"/>
          <w:spacing w:val="-48"/>
        </w:rPr>
        <w:t> </w:t>
      </w:r>
      <w:r>
        <w:rPr/>
        <w:t>射线检查系 </w:t>
      </w:r>
      <w:r>
        <w:rPr>
          <w:spacing w:val="-2"/>
        </w:rPr>
        <w:t>统、邮件电子束灭菌安全系统、铁路车辆检查系统、工业无损检测系统、小型物品检</w:t>
      </w:r>
      <w:r>
        <w:rPr>
          <w:spacing w:val="-94"/>
        </w:rPr>
        <w:t> </w:t>
      </w:r>
      <w:r>
        <w:rPr>
          <w:spacing w:val="-94"/>
        </w:rPr>
      </w:r>
      <w:r>
        <w:rPr/>
        <w:t>查机等系列产品。</w:t>
      </w:r>
    </w:p>
    <w:p>
      <w:pPr>
        <w:spacing w:line="240" w:lineRule="auto" w:before="4"/>
        <w:rPr>
          <w:rFonts w:ascii="宋体" w:hAnsi="宋体" w:cs="宋体" w:eastAsia="宋体" w:hint="default"/>
          <w:sz w:val="28"/>
          <w:szCs w:val="28"/>
        </w:rPr>
      </w:pPr>
    </w:p>
    <w:p>
      <w:pPr>
        <w:pStyle w:val="BodyText"/>
        <w:spacing w:line="276" w:lineRule="auto"/>
        <w:ind w:left="998" w:right="988" w:firstLine="479"/>
        <w:jc w:val="both"/>
      </w:pPr>
      <w:r>
        <w:rPr>
          <w:rFonts w:ascii="宋体" w:hAnsi="宋体" w:cs="宋体" w:eastAsia="宋体" w:hint="default"/>
        </w:rPr>
        <w:t>2018</w:t>
      </w:r>
      <w:r>
        <w:rPr>
          <w:rFonts w:ascii="宋体" w:hAnsi="宋体" w:cs="宋体" w:eastAsia="宋体" w:hint="default"/>
          <w:spacing w:val="-40"/>
        </w:rPr>
        <w:t> </w:t>
      </w:r>
      <w:r>
        <w:rPr>
          <w:spacing w:val="-4"/>
        </w:rPr>
        <w:t>年，同方威视充分把握行业发展机遇，坚持创新驱动，持续加大在安全智能</w:t>
      </w:r>
      <w:r>
        <w:rPr/>
        <w:t> 化领域进行的研发投入，将云计算、大数据、物联网与安检技术和产品深度融合</w:t>
      </w:r>
      <w:r>
        <w:rPr>
          <w:rFonts w:ascii="宋体" w:hAnsi="宋体" w:cs="宋体" w:eastAsia="宋体" w:hint="default"/>
        </w:rPr>
        <w:t>,</w:t>
      </w:r>
      <w:r>
        <w:rPr/>
        <w:t>致</w:t>
      </w:r>
    </w:p>
    <w:p>
      <w:pPr>
        <w:pStyle w:val="BodyText"/>
        <w:spacing w:line="276" w:lineRule="auto" w:before="10"/>
        <w:ind w:left="998" w:right="0"/>
        <w:jc w:val="left"/>
      </w:pPr>
      <w:r>
        <w:rPr/>
        <w:t>力于为客户提供智能查验、互联互通的新一代高科技安全检查解决方案。报告期内，</w:t>
      </w:r>
      <w:r>
        <w:rPr>
          <w:spacing w:val="-57"/>
        </w:rPr>
        <w:t> </w:t>
      </w:r>
      <w:r>
        <w:rPr>
          <w:spacing w:val="-57"/>
        </w:rPr>
      </w:r>
      <w:r>
        <w:rPr/>
        <w:t>公司、北京海关（原北京出入境检验检疫局）、北京市检验检疫科学技术研究院共同</w:t>
      </w:r>
    </w:p>
    <w:p>
      <w:pPr>
        <w:pStyle w:val="BodyText"/>
        <w:spacing w:line="276" w:lineRule="auto" w:before="10"/>
        <w:ind w:left="998" w:right="993"/>
        <w:jc w:val="both"/>
      </w:pPr>
      <w:r>
        <w:rPr>
          <w:spacing w:val="4"/>
        </w:rPr>
        <w:t>承担“动植食产品快速通关查验设备——‘电子鼻’研制与应用”通过北京市科技</w:t>
      </w:r>
      <w:r>
        <w:rPr>
          <w:spacing w:val="-95"/>
        </w:rPr>
        <w:t> </w:t>
      </w:r>
      <w:r>
        <w:rPr>
          <w:spacing w:val="-95"/>
        </w:rPr>
      </w:r>
      <w:r>
        <w:rPr>
          <w:spacing w:val="-2"/>
        </w:rPr>
        <w:t>计划课题组验收，该课题的实施为提高“关检合一”的海关检验检疫口岸查验能力和</w:t>
      </w:r>
      <w:r>
        <w:rPr>
          <w:spacing w:val="-94"/>
        </w:rPr>
        <w:t> </w:t>
      </w:r>
      <w:r>
        <w:rPr>
          <w:spacing w:val="-94"/>
        </w:rPr>
      </w:r>
      <w:r>
        <w:rPr>
          <w:spacing w:val="-2"/>
        </w:rPr>
        <w:t>通关效率提供了新技术和新产品。报告期内，同方威视研发的毫米波人体安检仪成为</w:t>
      </w:r>
      <w:r>
        <w:rPr>
          <w:spacing w:val="-94"/>
        </w:rPr>
        <w:t> </w:t>
      </w:r>
      <w:r>
        <w:rPr>
          <w:spacing w:val="-94"/>
        </w:rPr>
      </w:r>
      <w:r>
        <w:rPr>
          <w:spacing w:val="4"/>
        </w:rPr>
        <w:t>目前国内唯一通过欧洲民航人体仪标准认证和中国民用航空局标准认证的毫米波人</w:t>
      </w:r>
      <w:r>
        <w:rPr>
          <w:spacing w:val="-95"/>
        </w:rPr>
        <w:t> </w:t>
      </w:r>
      <w:r>
        <w:rPr>
          <w:spacing w:val="-95"/>
        </w:rPr>
      </w:r>
      <w:r>
        <w:rPr>
          <w:spacing w:val="-2"/>
        </w:rPr>
        <w:t>体按键成像设备，并在中国国际社会公共安全产品博览会上获得了“社会公共安全产</w:t>
      </w:r>
      <w:r>
        <w:rPr>
          <w:spacing w:val="-94"/>
        </w:rPr>
        <w:t> </w:t>
      </w:r>
      <w:r>
        <w:rPr>
          <w:spacing w:val="-94"/>
        </w:rPr>
      </w:r>
      <w:r>
        <w:rPr/>
        <w:t>品博览会创新产品特等奖”。</w:t>
      </w:r>
    </w:p>
    <w:p>
      <w:pPr>
        <w:pStyle w:val="BodyText"/>
        <w:spacing w:line="240" w:lineRule="auto" w:before="10"/>
        <w:ind w:left="1478" w:right="0"/>
        <w:jc w:val="left"/>
      </w:pPr>
      <w:r>
        <w:rPr/>
        <w:t>截至本报告披露日，同方威视已申请</w:t>
      </w:r>
      <w:r>
        <w:rPr>
          <w:spacing w:val="-60"/>
        </w:rPr>
        <w:t> </w:t>
      </w:r>
      <w:r>
        <w:rPr>
          <w:rFonts w:ascii="宋体" w:hAnsi="宋体" w:cs="宋体" w:eastAsia="宋体" w:hint="default"/>
        </w:rPr>
        <w:t>4000</w:t>
      </w:r>
      <w:r>
        <w:rPr>
          <w:rFonts w:ascii="宋体" w:hAnsi="宋体" w:cs="宋体" w:eastAsia="宋体" w:hint="default"/>
          <w:spacing w:val="-60"/>
        </w:rPr>
        <w:t> </w:t>
      </w:r>
      <w:r>
        <w:rPr/>
        <w:t>余件国内外专利及</w:t>
      </w:r>
      <w:r>
        <w:rPr>
          <w:spacing w:val="-60"/>
        </w:rPr>
        <w:t> </w:t>
      </w:r>
      <w:r>
        <w:rPr>
          <w:rFonts w:ascii="宋体" w:hAnsi="宋体" w:cs="宋体" w:eastAsia="宋体" w:hint="default"/>
        </w:rPr>
        <w:t>140</w:t>
      </w:r>
      <w:r>
        <w:rPr>
          <w:rFonts w:ascii="宋体" w:hAnsi="宋体" w:cs="宋体" w:eastAsia="宋体" w:hint="default"/>
          <w:spacing w:val="-60"/>
        </w:rPr>
        <w:t> </w:t>
      </w:r>
      <w:r>
        <w:rPr/>
        <w:t>余件软件著作</w:t>
      </w:r>
    </w:p>
    <w:p>
      <w:pPr>
        <w:pStyle w:val="BodyText"/>
        <w:spacing w:line="240" w:lineRule="auto" w:before="46"/>
        <w:ind w:left="998" w:right="0"/>
        <w:jc w:val="both"/>
      </w:pPr>
      <w:r>
        <w:rPr/>
        <w:t>权，获得</w:t>
      </w:r>
      <w:r>
        <w:rPr>
          <w:spacing w:val="-61"/>
        </w:rPr>
        <w:t> </w:t>
      </w:r>
      <w:r>
        <w:rPr>
          <w:rFonts w:ascii="宋体" w:hAnsi="宋体" w:cs="宋体" w:eastAsia="宋体" w:hint="default"/>
        </w:rPr>
        <w:t>3</w:t>
      </w:r>
      <w:r>
        <w:rPr>
          <w:rFonts w:ascii="宋体" w:hAnsi="宋体" w:cs="宋体" w:eastAsia="宋体" w:hint="default"/>
          <w:spacing w:val="-60"/>
        </w:rPr>
        <w:t> </w:t>
      </w:r>
      <w:r>
        <w:rPr/>
        <w:t>项中国专利金奖和</w:t>
      </w:r>
      <w:r>
        <w:rPr>
          <w:spacing w:val="-60"/>
        </w:rPr>
        <w:t> </w:t>
      </w:r>
      <w:r>
        <w:rPr>
          <w:rFonts w:ascii="宋体" w:hAnsi="宋体" w:cs="宋体" w:eastAsia="宋体" w:hint="default"/>
        </w:rPr>
        <w:t>5</w:t>
      </w:r>
      <w:r>
        <w:rPr>
          <w:rFonts w:ascii="宋体" w:hAnsi="宋体" w:cs="宋体" w:eastAsia="宋体" w:hint="default"/>
          <w:spacing w:val="-60"/>
        </w:rPr>
        <w:t> </w:t>
      </w:r>
      <w:r>
        <w:rPr/>
        <w:t>项中国专利优秀奖。</w:t>
      </w:r>
    </w:p>
    <w:p>
      <w:pPr>
        <w:spacing w:after="0" w:line="240" w:lineRule="auto"/>
        <w:jc w:val="both"/>
        <w:sectPr>
          <w:pgSz w:w="11910" w:h="16840"/>
          <w:pgMar w:header="0" w:footer="1193" w:top="780" w:bottom="1380" w:left="800" w:right="280"/>
        </w:sectPr>
      </w:pPr>
    </w:p>
    <w:p>
      <w:pPr>
        <w:spacing w:before="25"/>
        <w:ind w:left="120" w:right="232"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Heading2"/>
        <w:spacing w:line="240" w:lineRule="auto" w:before="26"/>
        <w:ind w:right="97"/>
        <w:jc w:val="left"/>
        <w:rPr>
          <w:b w:val="0"/>
          <w:bCs w:val="0"/>
        </w:rPr>
      </w:pPr>
      <w:r>
        <w:rPr>
          <w:rFonts w:ascii="宋体" w:hAnsi="宋体" w:cs="宋体" w:eastAsia="宋体" w:hint="default"/>
        </w:rPr>
        <w:t>2.</w:t>
      </w:r>
      <w:r>
        <w:rPr>
          <w:rFonts w:ascii="宋体" w:hAnsi="宋体" w:cs="宋体" w:eastAsia="宋体" w:hint="default"/>
          <w:spacing w:val="-8"/>
        </w:rPr>
        <w:t> </w:t>
      </w:r>
      <w:r>
        <w:rPr/>
        <w:t>同方工业有限公司</w:t>
      </w:r>
      <w:r>
        <w:rPr>
          <w:b w:val="0"/>
          <w:bCs w:val="0"/>
        </w:rPr>
      </w:r>
    </w:p>
    <w:p>
      <w:pPr>
        <w:spacing w:line="240" w:lineRule="auto" w:before="0"/>
        <w:rPr>
          <w:rFonts w:ascii="宋体" w:hAnsi="宋体" w:cs="宋体" w:eastAsia="宋体" w:hint="default"/>
          <w:b/>
          <w:bCs/>
          <w:sz w:val="31"/>
          <w:szCs w:val="31"/>
        </w:rPr>
      </w:pPr>
    </w:p>
    <w:p>
      <w:pPr>
        <w:pStyle w:val="BodyText"/>
        <w:spacing w:line="276" w:lineRule="auto"/>
        <w:ind w:right="231" w:firstLine="479"/>
        <w:jc w:val="both"/>
      </w:pPr>
      <w:r>
        <w:rPr/>
        <w:t>同方工业有限公司</w:t>
      </w:r>
      <w:r>
        <w:rPr>
          <w:rFonts w:ascii="宋体" w:hAnsi="宋体" w:cs="宋体" w:eastAsia="宋体" w:hint="default"/>
        </w:rPr>
        <w:t>(</w:t>
      </w:r>
      <w:r>
        <w:rPr/>
        <w:t>以下简称“同方工业”</w:t>
      </w:r>
      <w:r>
        <w:rPr>
          <w:rFonts w:ascii="宋体" w:hAnsi="宋体" w:cs="宋体" w:eastAsia="宋体" w:hint="default"/>
        </w:rPr>
        <w:t>)</w:t>
      </w:r>
      <w:r>
        <w:rPr/>
        <w:t>成立于</w:t>
      </w:r>
      <w:r>
        <w:rPr>
          <w:spacing w:val="-65"/>
        </w:rPr>
        <w:t> </w:t>
      </w:r>
      <w:r>
        <w:rPr>
          <w:rFonts w:ascii="宋体" w:hAnsi="宋体" w:cs="宋体" w:eastAsia="宋体" w:hint="default"/>
        </w:rPr>
        <w:t>2006</w:t>
      </w:r>
      <w:r>
        <w:rPr>
          <w:rFonts w:ascii="宋体" w:hAnsi="宋体" w:cs="宋体" w:eastAsia="宋体" w:hint="default"/>
          <w:spacing w:val="-65"/>
        </w:rPr>
        <w:t> </w:t>
      </w:r>
      <w:r>
        <w:rPr/>
        <w:t>年</w:t>
      </w:r>
      <w:r>
        <w:rPr>
          <w:spacing w:val="-65"/>
        </w:rPr>
        <w:t> </w:t>
      </w:r>
      <w:r>
        <w:rPr>
          <w:rFonts w:ascii="宋体" w:hAnsi="宋体" w:cs="宋体" w:eastAsia="宋体" w:hint="default"/>
        </w:rPr>
        <w:t>9</w:t>
      </w:r>
      <w:r>
        <w:rPr>
          <w:rFonts w:ascii="宋体" w:hAnsi="宋体" w:cs="宋体" w:eastAsia="宋体" w:hint="default"/>
          <w:spacing w:val="-65"/>
        </w:rPr>
        <w:t> </w:t>
      </w:r>
      <w:r>
        <w:rPr/>
        <w:t>月</w:t>
      </w:r>
      <w:r>
        <w:rPr>
          <w:spacing w:val="-65"/>
        </w:rPr>
        <w:t> </w:t>
      </w:r>
      <w:r>
        <w:rPr>
          <w:rFonts w:ascii="宋体" w:hAnsi="宋体" w:cs="宋体" w:eastAsia="宋体" w:hint="default"/>
        </w:rPr>
        <w:t>15</w:t>
      </w:r>
      <w:r>
        <w:rPr>
          <w:rFonts w:ascii="宋体" w:hAnsi="宋体" w:cs="宋体" w:eastAsia="宋体" w:hint="default"/>
          <w:spacing w:val="-65"/>
        </w:rPr>
        <w:t> </w:t>
      </w:r>
      <w:r>
        <w:rPr>
          <w:spacing w:val="-3"/>
        </w:rPr>
        <w:t>日，注册资本</w:t>
      </w:r>
      <w:r>
        <w:rPr/>
        <w:t> 为</w:t>
      </w:r>
      <w:r>
        <w:rPr>
          <w:spacing w:val="-58"/>
        </w:rPr>
        <w:t> </w:t>
      </w:r>
      <w:r>
        <w:rPr>
          <w:rFonts w:ascii="宋体" w:hAnsi="宋体" w:cs="宋体" w:eastAsia="宋体" w:hint="default"/>
        </w:rPr>
        <w:t>4</w:t>
      </w:r>
      <w:r>
        <w:rPr>
          <w:rFonts w:ascii="宋体" w:hAnsi="宋体" w:cs="宋体" w:eastAsia="宋体" w:hint="default"/>
          <w:spacing w:val="-57"/>
        </w:rPr>
        <w:t> </w:t>
      </w:r>
      <w:r>
        <w:rPr>
          <w:spacing w:val="-4"/>
        </w:rPr>
        <w:t>亿元，公司持股</w:t>
      </w:r>
      <w:r>
        <w:rPr>
          <w:spacing w:val="-57"/>
        </w:rPr>
        <w:t> </w:t>
      </w:r>
      <w:r>
        <w:rPr>
          <w:rFonts w:ascii="宋体" w:hAnsi="宋体" w:cs="宋体" w:eastAsia="宋体" w:hint="default"/>
          <w:spacing w:val="-3"/>
        </w:rPr>
        <w:t>100%</w:t>
      </w:r>
      <w:r>
        <w:rPr>
          <w:spacing w:val="-3"/>
        </w:rPr>
        <w:t>，系公司全资子公司。同方工业以军民融合发展为战略，主</w:t>
      </w:r>
    </w:p>
    <w:p>
      <w:pPr>
        <w:pStyle w:val="BodyText"/>
        <w:spacing w:line="276" w:lineRule="auto" w:before="10"/>
        <w:ind w:right="97"/>
        <w:jc w:val="left"/>
      </w:pPr>
      <w:r>
        <w:rPr/>
        <w:t>要从事清华大学军民融合项目科技转化，是我国军民一体化技术保障唯一承保单位，</w:t>
      </w:r>
      <w:r>
        <w:rPr>
          <w:spacing w:val="-57"/>
        </w:rPr>
        <w:t> </w:t>
      </w:r>
      <w:r>
        <w:rPr>
          <w:spacing w:val="-57"/>
        </w:rPr>
      </w:r>
      <w:r>
        <w:rPr/>
        <w:t>拥有高端通信装备、海洋装备、高端船舶、核能应用、指控装备、高精度卫星导航系</w:t>
      </w:r>
      <w:r>
        <w:rPr/>
        <w:t> 统、防化设备、军民融合软硬件、军事物流、消防车辆器材等</w:t>
      </w:r>
      <w:r>
        <w:rPr>
          <w:spacing w:val="-60"/>
        </w:rPr>
        <w:t> </w:t>
      </w:r>
      <w:r>
        <w:rPr>
          <w:rFonts w:ascii="宋体" w:hAnsi="宋体" w:cs="宋体" w:eastAsia="宋体" w:hint="default"/>
        </w:rPr>
        <w:t>10</w:t>
      </w:r>
      <w:r>
        <w:rPr>
          <w:rFonts w:ascii="宋体" w:hAnsi="宋体" w:cs="宋体" w:eastAsia="宋体" w:hint="default"/>
          <w:spacing w:val="-60"/>
        </w:rPr>
        <w:t> </w:t>
      </w:r>
      <w:r>
        <w:rPr/>
        <w:t>余个产品系列。</w:t>
      </w:r>
    </w:p>
    <w:p>
      <w:pPr>
        <w:spacing w:line="240" w:lineRule="auto" w:before="4"/>
        <w:rPr>
          <w:rFonts w:ascii="宋体" w:hAnsi="宋体" w:cs="宋体" w:eastAsia="宋体" w:hint="default"/>
          <w:sz w:val="28"/>
          <w:szCs w:val="28"/>
        </w:rPr>
      </w:pPr>
    </w:p>
    <w:p>
      <w:pPr>
        <w:pStyle w:val="BodyText"/>
        <w:spacing w:line="276" w:lineRule="auto"/>
        <w:ind w:right="234" w:firstLine="479"/>
        <w:jc w:val="both"/>
      </w:pPr>
      <w:r>
        <w:rPr>
          <w:rFonts w:ascii="宋体" w:hAnsi="宋体" w:cs="宋体" w:eastAsia="宋体" w:hint="default"/>
        </w:rPr>
        <w:t>2018</w:t>
      </w:r>
      <w:r>
        <w:rPr>
          <w:rFonts w:ascii="宋体" w:hAnsi="宋体" w:cs="宋体" w:eastAsia="宋体" w:hint="default"/>
          <w:spacing w:val="-39"/>
        </w:rPr>
        <w:t> </w:t>
      </w:r>
      <w:r>
        <w:rPr>
          <w:spacing w:val="-4"/>
        </w:rPr>
        <w:t>年，国家大力推进国防科技工业改革、军民融合的深度发展，作为清华大学</w:t>
      </w:r>
      <w:r>
        <w:rPr/>
        <w:t> </w:t>
      </w:r>
      <w:r>
        <w:rPr>
          <w:spacing w:val="-2"/>
        </w:rPr>
        <w:t>军民融合科技成果转化和项目培育的指定平台，同方工业积极响应国家号召，围绕军</w:t>
      </w:r>
      <w:r>
        <w:rPr>
          <w:spacing w:val="-94"/>
        </w:rPr>
        <w:t> </w:t>
      </w:r>
      <w:r>
        <w:rPr>
          <w:spacing w:val="-94"/>
        </w:rPr>
      </w:r>
      <w:r>
        <w:rPr>
          <w:spacing w:val="-2"/>
        </w:rPr>
        <w:t>民深度融合的产业发展主线，针对现有的军工业务体系进行优化整合，依托清华大学</w:t>
      </w:r>
    </w:p>
    <w:p>
      <w:pPr>
        <w:pStyle w:val="BodyText"/>
        <w:spacing w:line="276" w:lineRule="auto" w:before="10"/>
        <w:ind w:right="97"/>
        <w:jc w:val="left"/>
      </w:pPr>
      <w:r>
        <w:rPr/>
        <w:t>科研与人才支撑，在北京、南京、珠海、成都、杭州等地设有研究所，同时与北京、</w:t>
      </w:r>
      <w:r>
        <w:rPr>
          <w:spacing w:val="-57"/>
        </w:rPr>
        <w:t> </w:t>
      </w:r>
      <w:r>
        <w:rPr>
          <w:spacing w:val="-57"/>
        </w:rPr>
      </w:r>
      <w:r>
        <w:rPr/>
        <w:t>郑州、西安、武汉等地的十余所重点大学合作并建立了联合试验室。迄今同方工业已</w:t>
      </w:r>
      <w:r>
        <w:rPr/>
        <w:t> 经拥有</w:t>
      </w:r>
      <w:r>
        <w:rPr>
          <w:spacing w:val="-64"/>
        </w:rPr>
        <w:t> </w:t>
      </w:r>
      <w:r>
        <w:rPr>
          <w:rFonts w:ascii="宋体" w:hAnsi="宋体" w:cs="宋体" w:eastAsia="宋体" w:hint="default"/>
        </w:rPr>
        <w:t>16</w:t>
      </w:r>
      <w:r>
        <w:rPr>
          <w:rFonts w:ascii="宋体" w:hAnsi="宋体" w:cs="宋体" w:eastAsia="宋体" w:hint="default"/>
          <w:spacing w:val="-63"/>
        </w:rPr>
        <w:t> </w:t>
      </w:r>
      <w:r>
        <w:rPr/>
        <w:t>项产品获计算机软件著作权登记证书，</w:t>
      </w:r>
      <w:r>
        <w:rPr>
          <w:rFonts w:ascii="宋体" w:hAnsi="宋体" w:cs="宋体" w:eastAsia="宋体" w:hint="default"/>
        </w:rPr>
        <w:t>4</w:t>
      </w:r>
      <w:r>
        <w:rPr>
          <w:rFonts w:ascii="宋体" w:hAnsi="宋体" w:cs="宋体" w:eastAsia="宋体" w:hint="default"/>
          <w:spacing w:val="-63"/>
        </w:rPr>
        <w:t> </w:t>
      </w:r>
      <w:r>
        <w:rPr>
          <w:spacing w:val="-3"/>
        </w:rPr>
        <w:t>项产品获专利证书，</w:t>
      </w:r>
      <w:r>
        <w:rPr>
          <w:rFonts w:ascii="宋体" w:hAnsi="宋体" w:cs="宋体" w:eastAsia="宋体" w:hint="default"/>
          <w:spacing w:val="-3"/>
        </w:rPr>
        <w:t>4</w:t>
      </w:r>
      <w:r>
        <w:rPr>
          <w:rFonts w:ascii="宋体" w:hAnsi="宋体" w:cs="宋体" w:eastAsia="宋体" w:hint="default"/>
          <w:spacing w:val="-63"/>
        </w:rPr>
        <w:t> </w:t>
      </w:r>
      <w:r>
        <w:rPr/>
        <w:t>项产品获实 用新型专利证书。</w:t>
      </w:r>
    </w:p>
    <w:p>
      <w:pPr>
        <w:spacing w:line="240" w:lineRule="auto" w:before="4"/>
        <w:rPr>
          <w:rFonts w:ascii="宋体" w:hAnsi="宋体" w:cs="宋体" w:eastAsia="宋体" w:hint="default"/>
          <w:sz w:val="28"/>
          <w:szCs w:val="28"/>
        </w:rPr>
      </w:pPr>
    </w:p>
    <w:p>
      <w:pPr>
        <w:pStyle w:val="Heading2"/>
        <w:spacing w:line="240" w:lineRule="auto"/>
        <w:ind w:right="97"/>
        <w:jc w:val="left"/>
        <w:rPr>
          <w:b w:val="0"/>
          <w:bCs w:val="0"/>
        </w:rPr>
      </w:pPr>
      <w:r>
        <w:rPr>
          <w:rFonts w:ascii="宋体" w:hAnsi="宋体" w:cs="宋体" w:eastAsia="宋体" w:hint="default"/>
        </w:rPr>
        <w:t>3.</w:t>
      </w:r>
      <w:r>
        <w:rPr>
          <w:rFonts w:ascii="宋体" w:hAnsi="宋体" w:cs="宋体" w:eastAsia="宋体" w:hint="default"/>
          <w:spacing w:val="-9"/>
        </w:rPr>
        <w:t> </w:t>
      </w:r>
      <w:r>
        <w:rPr/>
        <w:t>同方知网</w:t>
      </w:r>
      <w:r>
        <w:rPr>
          <w:rFonts w:ascii="宋体" w:hAnsi="宋体" w:cs="宋体" w:eastAsia="宋体" w:hint="default"/>
        </w:rPr>
        <w:t>(</w:t>
      </w:r>
      <w:r>
        <w:rPr/>
        <w:t>北京</w:t>
      </w:r>
      <w:r>
        <w:rPr>
          <w:rFonts w:ascii="宋体" w:hAnsi="宋体" w:cs="宋体" w:eastAsia="宋体" w:hint="default"/>
        </w:rPr>
        <w:t>)</w:t>
      </w:r>
      <w:r>
        <w:rPr/>
        <w:t>技术有限公司</w:t>
      </w:r>
      <w:r>
        <w:rPr>
          <w:b w:val="0"/>
          <w:bCs w:val="0"/>
        </w:rPr>
      </w:r>
    </w:p>
    <w:p>
      <w:pPr>
        <w:spacing w:line="240" w:lineRule="auto" w:before="1"/>
        <w:rPr>
          <w:rFonts w:ascii="宋体" w:hAnsi="宋体" w:cs="宋体" w:eastAsia="宋体" w:hint="default"/>
          <w:b/>
          <w:bCs/>
          <w:sz w:val="31"/>
          <w:szCs w:val="31"/>
        </w:rPr>
      </w:pPr>
    </w:p>
    <w:p>
      <w:pPr>
        <w:pStyle w:val="BodyText"/>
        <w:spacing w:line="276" w:lineRule="auto"/>
        <w:ind w:right="233" w:firstLine="479"/>
        <w:jc w:val="both"/>
      </w:pPr>
      <w:r>
        <w:rPr/>
        <w:t>同方知网</w:t>
      </w:r>
      <w:r>
        <w:rPr>
          <w:rFonts w:ascii="宋体" w:hAnsi="宋体" w:cs="宋体" w:eastAsia="宋体" w:hint="default"/>
        </w:rPr>
        <w:t>(</w:t>
      </w:r>
      <w:r>
        <w:rPr/>
        <w:t>北京</w:t>
      </w:r>
      <w:r>
        <w:rPr>
          <w:rFonts w:ascii="宋体" w:hAnsi="宋体" w:cs="宋体" w:eastAsia="宋体" w:hint="default"/>
        </w:rPr>
        <w:t>)</w:t>
      </w:r>
      <w:r>
        <w:rPr/>
        <w:t>技术有限公司</w:t>
      </w:r>
      <w:r>
        <w:rPr>
          <w:rFonts w:ascii="宋体" w:hAnsi="宋体" w:cs="宋体" w:eastAsia="宋体" w:hint="default"/>
        </w:rPr>
        <w:t>(</w:t>
      </w:r>
      <w:r>
        <w:rPr/>
        <w:t>以下简称“同方知网”</w:t>
      </w:r>
      <w:r>
        <w:rPr>
          <w:rFonts w:ascii="宋体" w:hAnsi="宋体" w:cs="宋体" w:eastAsia="宋体" w:hint="default"/>
        </w:rPr>
        <w:t>)</w:t>
      </w:r>
      <w:r>
        <w:rPr/>
        <w:t>注册资本</w:t>
      </w:r>
      <w:r>
        <w:rPr>
          <w:spacing w:val="-74"/>
        </w:rPr>
        <w:t> </w:t>
      </w:r>
      <w:r>
        <w:rPr>
          <w:rFonts w:ascii="宋体" w:hAnsi="宋体" w:cs="宋体" w:eastAsia="宋体" w:hint="default"/>
        </w:rPr>
        <w:t>100</w:t>
      </w:r>
      <w:r>
        <w:rPr>
          <w:rFonts w:ascii="宋体" w:hAnsi="宋体" w:cs="宋体" w:eastAsia="宋体" w:hint="default"/>
          <w:spacing w:val="-74"/>
        </w:rPr>
        <w:t> </w:t>
      </w:r>
      <w:r>
        <w:rPr>
          <w:spacing w:val="-4"/>
        </w:rPr>
        <w:t>万美元，公</w:t>
      </w:r>
      <w:r>
        <w:rPr/>
        <w:t> 司合并持股</w:t>
      </w:r>
      <w:r>
        <w:rPr>
          <w:spacing w:val="-37"/>
        </w:rPr>
        <w:t> </w:t>
      </w:r>
      <w:r>
        <w:rPr>
          <w:rFonts w:ascii="宋体" w:hAnsi="宋体" w:cs="宋体" w:eastAsia="宋体" w:hint="default"/>
          <w:spacing w:val="-4"/>
        </w:rPr>
        <w:t>100%</w:t>
      </w:r>
      <w:r>
        <w:rPr>
          <w:spacing w:val="-4"/>
        </w:rPr>
        <w:t>，同方知网主要从事互联网出版与服务业务，目前已经形成了“中国</w:t>
      </w:r>
      <w:r>
        <w:rPr>
          <w:spacing w:val="-117"/>
        </w:rPr>
        <w:t> </w:t>
      </w:r>
      <w:r>
        <w:rPr>
          <w:spacing w:val="-117"/>
        </w:rPr>
      </w:r>
      <w:r>
        <w:rPr>
          <w:spacing w:val="-13"/>
        </w:rPr>
        <w:t>知网”</w:t>
      </w:r>
      <w:r>
        <w:rPr>
          <w:rFonts w:ascii="宋体" w:hAnsi="宋体" w:cs="宋体" w:eastAsia="宋体" w:hint="default"/>
          <w:spacing w:val="-13"/>
        </w:rPr>
        <w:t>(CNKI)</w:t>
      </w:r>
      <w:r>
        <w:rPr>
          <w:spacing w:val="-13"/>
        </w:rPr>
        <w:t>门户网站，为用户提供《中国知识资源总库》、《中国学术期刊数据库》、</w:t>
      </w:r>
    </w:p>
    <w:p>
      <w:pPr>
        <w:pStyle w:val="BodyText"/>
        <w:spacing w:line="276" w:lineRule="auto" w:before="10"/>
        <w:ind w:right="232"/>
        <w:jc w:val="left"/>
      </w:pPr>
      <w:r>
        <w:rPr>
          <w:spacing w:val="-8"/>
        </w:rPr>
        <w:t>《中国博硕士论文数据库》、《中国年鉴全文数据库》、《中国工具书网络出版总库》</w:t>
      </w:r>
      <w:r>
        <w:rPr>
          <w:spacing w:val="-104"/>
        </w:rPr>
        <w:t> </w:t>
      </w:r>
      <w:r>
        <w:rPr>
          <w:spacing w:val="-104"/>
        </w:rPr>
      </w:r>
      <w:r>
        <w:rPr/>
        <w:t>等一系列产品，以及知识资源互联网搜索、共享和网络出版服务。</w:t>
      </w:r>
    </w:p>
    <w:p>
      <w:pPr>
        <w:spacing w:line="240" w:lineRule="auto" w:before="4"/>
        <w:rPr>
          <w:rFonts w:ascii="宋体" w:hAnsi="宋体" w:cs="宋体" w:eastAsia="宋体" w:hint="default"/>
          <w:sz w:val="28"/>
          <w:szCs w:val="28"/>
        </w:rPr>
      </w:pPr>
    </w:p>
    <w:p>
      <w:pPr>
        <w:pStyle w:val="BodyText"/>
        <w:spacing w:line="276" w:lineRule="auto"/>
        <w:ind w:right="233" w:firstLine="479"/>
        <w:jc w:val="both"/>
      </w:pPr>
      <w:r>
        <w:rPr>
          <w:rFonts w:ascii="宋体" w:hAnsi="宋体" w:cs="宋体" w:eastAsia="宋体" w:hint="default"/>
        </w:rPr>
        <w:t>2018</w:t>
      </w:r>
      <w:r>
        <w:rPr>
          <w:rFonts w:ascii="宋体" w:hAnsi="宋体" w:cs="宋体" w:eastAsia="宋体" w:hint="default"/>
          <w:spacing w:val="-37"/>
        </w:rPr>
        <w:t> </w:t>
      </w:r>
      <w:r>
        <w:rPr>
          <w:spacing w:val="-4"/>
        </w:rPr>
        <w:t>年，同方知网持续致力于大数据的人工智能挖掘工作，努力建设知识资源互</w:t>
      </w:r>
      <w:r>
        <w:rPr/>
        <w:t> </w:t>
      </w:r>
      <w:r>
        <w:rPr>
          <w:spacing w:val="-2"/>
        </w:rPr>
        <w:t>联网传播扩散与增值服务平台、知识资源深度开发利用平台，以期为各行各业提供具</w:t>
      </w:r>
      <w:r>
        <w:rPr>
          <w:spacing w:val="-94"/>
        </w:rPr>
        <w:t> </w:t>
      </w:r>
      <w:r>
        <w:rPr>
          <w:spacing w:val="-94"/>
        </w:rPr>
      </w:r>
      <w:r>
        <w:rPr>
          <w:spacing w:val="-2"/>
        </w:rPr>
        <w:t>有决策支持功能的大数据知识服务。报告期内，同方知网与贵州省大数据发展管理局</w:t>
      </w:r>
      <w:r>
        <w:rPr>
          <w:spacing w:val="-94"/>
        </w:rPr>
        <w:t> </w:t>
      </w:r>
      <w:r>
        <w:rPr>
          <w:spacing w:val="-94"/>
        </w:rPr>
      </w:r>
      <w:r>
        <w:rPr>
          <w:spacing w:val="-2"/>
        </w:rPr>
        <w:t>合作开发了“贵州大数据智库平台”新型大数据智库平台。报告期内，同方知网还将</w:t>
      </w:r>
      <w:r>
        <w:rPr>
          <w:spacing w:val="-95"/>
        </w:rPr>
        <w:t> </w:t>
      </w:r>
      <w:r>
        <w:rPr>
          <w:spacing w:val="-95"/>
        </w:rPr>
      </w:r>
      <w:r>
        <w:rPr/>
        <w:t>负责贵阳市地方志项目的承建，该项目是全国首个地方志云平台大数据项目。</w:t>
      </w:r>
    </w:p>
    <w:p>
      <w:pPr>
        <w:spacing w:line="240" w:lineRule="auto" w:before="4"/>
        <w:rPr>
          <w:rFonts w:ascii="宋体" w:hAnsi="宋体" w:cs="宋体" w:eastAsia="宋体" w:hint="default"/>
          <w:sz w:val="28"/>
          <w:szCs w:val="28"/>
        </w:rPr>
      </w:pPr>
    </w:p>
    <w:p>
      <w:pPr>
        <w:pStyle w:val="BodyText"/>
        <w:spacing w:line="240" w:lineRule="auto"/>
        <w:ind w:left="618" w:right="97"/>
        <w:jc w:val="left"/>
      </w:pPr>
      <w:r>
        <w:rPr/>
        <w:t>报告期内，同方知网在在国家互联网信息办公室、国家发展和改革委员会、工业</w:t>
      </w:r>
    </w:p>
    <w:p>
      <w:pPr>
        <w:pStyle w:val="BodyText"/>
        <w:spacing w:line="276" w:lineRule="auto" w:before="46"/>
        <w:ind w:right="97"/>
        <w:jc w:val="left"/>
      </w:pPr>
      <w:r>
        <w:rPr/>
        <w:t>和信息化部、广西壮族自治区人民政府联合主办的第三届中国—东盟信息港论坛中，</w:t>
      </w:r>
      <w:r>
        <w:rPr>
          <w:spacing w:val="-54"/>
        </w:rPr>
        <w:t> </w:t>
      </w:r>
      <w:r>
        <w:rPr>
          <w:spacing w:val="-54"/>
        </w:rPr>
      </w:r>
      <w:r>
        <w:rPr/>
        <w:t>同方知网的“智慧党建大数据平台”荣获“2017—</w:t>
      </w:r>
      <w:r>
        <w:rPr>
          <w:rFonts w:ascii="宋体" w:hAnsi="宋体" w:cs="宋体" w:eastAsia="宋体" w:hint="default"/>
        </w:rPr>
        <w:t>2018</w:t>
      </w:r>
      <w:r>
        <w:rPr>
          <w:rFonts w:ascii="宋体" w:hAnsi="宋体" w:cs="宋体" w:eastAsia="宋体" w:hint="default"/>
          <w:spacing w:val="38"/>
        </w:rPr>
        <w:t> </w:t>
      </w:r>
      <w:r>
        <w:rPr>
          <w:spacing w:val="2"/>
        </w:rPr>
        <w:t>年度新一代信息技术优秀解</w:t>
      </w:r>
      <w:r>
        <w:rPr/>
      </w:r>
    </w:p>
    <w:p>
      <w:pPr>
        <w:pStyle w:val="BodyText"/>
        <w:spacing w:line="276" w:lineRule="auto" w:before="10"/>
        <w:ind w:right="231"/>
        <w:jc w:val="both"/>
      </w:pPr>
      <w:r>
        <w:rPr>
          <w:spacing w:val="4"/>
        </w:rPr>
        <w:t>决方案”殊荣。截至本报告披露日，同方知网在由中国软件行业协会主办的“</w:t>
      </w:r>
      <w:r>
        <w:rPr>
          <w:rFonts w:ascii="宋体" w:hAnsi="宋体" w:cs="宋体" w:eastAsia="宋体" w:hint="default"/>
          <w:spacing w:val="4"/>
        </w:rPr>
        <w:t>2019</w:t>
      </w:r>
      <w:r>
        <w:rPr>
          <w:rFonts w:ascii="宋体" w:hAnsi="宋体" w:cs="宋体" w:eastAsia="宋体" w:hint="default"/>
          <w:spacing w:val="-105"/>
        </w:rPr>
        <w:t> </w:t>
      </w:r>
      <w:r>
        <w:rPr>
          <w:spacing w:val="-2"/>
        </w:rPr>
        <w:t>年中国软件产业年会”上，凭借在超大型中外知识资源数据库建设、大规模集成化数</w:t>
      </w:r>
      <w:r>
        <w:rPr>
          <w:spacing w:val="-94"/>
        </w:rPr>
        <w:t> </w:t>
      </w:r>
      <w:r>
        <w:rPr>
          <w:spacing w:val="-94"/>
        </w:rPr>
      </w:r>
      <w:r>
        <w:rPr>
          <w:spacing w:val="-2"/>
        </w:rPr>
        <w:t>字出版、海内外信息与知识服务及知识管理工程技术研发方面取得的关键性突破，以</w:t>
      </w:r>
      <w:r>
        <w:rPr>
          <w:spacing w:val="-94"/>
        </w:rPr>
        <w:t> </w:t>
      </w:r>
      <w:r>
        <w:rPr>
          <w:spacing w:val="-94"/>
        </w:rPr>
      </w:r>
      <w:r>
        <w:rPr/>
        <w:t>及掌握的</w:t>
      </w:r>
      <w:r>
        <w:rPr>
          <w:spacing w:val="-53"/>
        </w:rPr>
        <w:t> </w:t>
      </w:r>
      <w:r>
        <w:rPr>
          <w:rFonts w:ascii="宋体" w:hAnsi="宋体" w:cs="宋体" w:eastAsia="宋体" w:hint="default"/>
        </w:rPr>
        <w:t>XML</w:t>
      </w:r>
      <w:r>
        <w:rPr>
          <w:rFonts w:ascii="宋体" w:hAnsi="宋体" w:cs="宋体" w:eastAsia="宋体" w:hint="default"/>
          <w:spacing w:val="-52"/>
        </w:rPr>
        <w:t> </w:t>
      </w:r>
      <w:r>
        <w:rPr>
          <w:spacing w:val="-7"/>
        </w:rPr>
        <w:t>碎片化加工、</w:t>
      </w:r>
      <w:r>
        <w:rPr>
          <w:rFonts w:ascii="宋体" w:hAnsi="宋体" w:cs="宋体" w:eastAsia="宋体" w:hint="default"/>
          <w:spacing w:val="-7"/>
        </w:rPr>
        <w:t>NXD</w:t>
      </w:r>
      <w:r>
        <w:rPr>
          <w:rFonts w:ascii="宋体" w:hAnsi="宋体" w:cs="宋体" w:eastAsia="宋体" w:hint="default"/>
          <w:spacing w:val="-52"/>
        </w:rPr>
        <w:t> </w:t>
      </w:r>
      <w:r>
        <w:rPr>
          <w:spacing w:val="-8"/>
        </w:rPr>
        <w:t>数据库、协同技术、智能检索、语义分析等核心技术，</w:t>
      </w:r>
      <w:r>
        <w:rPr/>
        <w:t> 被评为“2018</w:t>
      </w:r>
      <w:r>
        <w:rPr>
          <w:spacing w:val="-60"/>
        </w:rPr>
        <w:t> </w:t>
      </w:r>
      <w:r>
        <w:rPr/>
        <w:t>年中国软件行业最具影响力企业”。</w:t>
      </w:r>
    </w:p>
    <w:p>
      <w:pPr>
        <w:spacing w:after="0" w:line="276" w:lineRule="auto"/>
        <w:jc w:val="both"/>
        <w:sectPr>
          <w:footerReference w:type="default" r:id="rId14"/>
          <w:pgSz w:w="11910" w:h="16840"/>
          <w:pgMar w:footer="1193" w:header="0" w:top="780" w:bottom="1380" w:left="1660" w:right="1040"/>
          <w:pgNumType w:start="30"/>
        </w:sectPr>
      </w:pPr>
    </w:p>
    <w:p>
      <w:pPr>
        <w:spacing w:before="25"/>
        <w:ind w:left="120" w:right="232"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Heading2"/>
        <w:numPr>
          <w:ilvl w:val="0"/>
          <w:numId w:val="1"/>
        </w:numPr>
        <w:tabs>
          <w:tab w:pos="496" w:val="left" w:leader="none"/>
        </w:tabs>
        <w:spacing w:line="240" w:lineRule="auto" w:before="26" w:after="0"/>
        <w:ind w:left="495" w:right="0" w:hanging="357"/>
        <w:jc w:val="both"/>
        <w:rPr>
          <w:b w:val="0"/>
          <w:bCs w:val="0"/>
        </w:rPr>
      </w:pPr>
      <w:r>
        <w:rPr>
          <w:rFonts w:ascii="宋体" w:hAnsi="宋体" w:cs="宋体" w:eastAsia="宋体" w:hint="default"/>
        </w:rPr>
        <w:t>Neo-Neon Holdings Limited </w:t>
      </w:r>
      <w:r>
        <w:rPr/>
        <w:t>（股票简称：同方友友，股票代码：</w:t>
      </w:r>
      <w:r>
        <w:rPr>
          <w:rFonts w:ascii="宋体" w:hAnsi="宋体" w:cs="宋体" w:eastAsia="宋体" w:hint="default"/>
        </w:rPr>
        <w:t>HK</w:t>
      </w:r>
      <w:r>
        <w:rPr>
          <w:rFonts w:ascii="宋体" w:hAnsi="宋体" w:cs="宋体" w:eastAsia="宋体" w:hint="default"/>
          <w:spacing w:val="-5"/>
        </w:rPr>
        <w:t> </w:t>
      </w:r>
      <w:r>
        <w:rPr>
          <w:rFonts w:ascii="宋体" w:hAnsi="宋体" w:cs="宋体" w:eastAsia="宋体" w:hint="default"/>
        </w:rPr>
        <w:t>1868</w:t>
      </w:r>
      <w:r>
        <w:rPr/>
        <w:t>）</w:t>
      </w:r>
      <w:r>
        <w:rPr>
          <w:b w:val="0"/>
          <w:bCs w:val="0"/>
        </w:rPr>
      </w:r>
    </w:p>
    <w:p>
      <w:pPr>
        <w:spacing w:line="240" w:lineRule="auto" w:before="0"/>
        <w:rPr>
          <w:rFonts w:ascii="宋体" w:hAnsi="宋体" w:cs="宋体" w:eastAsia="宋体" w:hint="default"/>
          <w:b/>
          <w:bCs/>
          <w:sz w:val="31"/>
          <w:szCs w:val="31"/>
        </w:rPr>
      </w:pPr>
    </w:p>
    <w:p>
      <w:pPr>
        <w:pStyle w:val="BodyText"/>
        <w:spacing w:line="276" w:lineRule="auto"/>
        <w:ind w:right="230" w:firstLine="479"/>
        <w:jc w:val="both"/>
      </w:pPr>
      <w:r>
        <w:rPr>
          <w:rFonts w:ascii="宋体" w:hAnsi="宋体" w:cs="宋体" w:eastAsia="宋体" w:hint="default"/>
        </w:rPr>
        <w:t>Neo-Neon Holdings Limited</w:t>
      </w:r>
      <w:r>
        <w:rPr>
          <w:rFonts w:ascii="宋体" w:hAnsi="宋体" w:cs="宋体" w:eastAsia="宋体" w:hint="default"/>
          <w:spacing w:val="16"/>
        </w:rPr>
        <w:t> </w:t>
      </w:r>
      <w:r>
        <w:rPr>
          <w:rFonts w:ascii="宋体" w:hAnsi="宋体" w:cs="宋体" w:eastAsia="宋体" w:hint="default"/>
          <w:spacing w:val="2"/>
        </w:rPr>
        <w:t>(</w:t>
      </w:r>
      <w:r>
        <w:rPr>
          <w:spacing w:val="2"/>
        </w:rPr>
        <w:t>股票简称：同方友友，股票代码：</w:t>
      </w:r>
      <w:r>
        <w:rPr>
          <w:rFonts w:ascii="宋体" w:hAnsi="宋体" w:cs="宋体" w:eastAsia="宋体" w:hint="default"/>
          <w:spacing w:val="2"/>
        </w:rPr>
        <w:t>HK1868</w:t>
      </w:r>
      <w:r>
        <w:rPr>
          <w:spacing w:val="2"/>
        </w:rPr>
        <w:t>，中文 </w:t>
      </w:r>
      <w:r>
        <w:rPr>
          <w:spacing w:val="-8"/>
        </w:rPr>
        <w:t>名称“同方友友控股有限公司”，原中文名称“真明丽控股有限公司”，以下简称“同</w:t>
      </w:r>
      <w:r>
        <w:rPr>
          <w:spacing w:val="-103"/>
        </w:rPr>
        <w:t> </w:t>
      </w:r>
      <w:r>
        <w:rPr>
          <w:spacing w:val="-103"/>
        </w:rPr>
      </w:r>
      <w:r>
        <w:rPr>
          <w:spacing w:val="-5"/>
        </w:rPr>
        <w:t>方友友”</w:t>
      </w:r>
      <w:r>
        <w:rPr>
          <w:rFonts w:ascii="宋体" w:hAnsi="宋体" w:cs="宋体" w:eastAsia="宋体" w:hint="default"/>
          <w:spacing w:val="-5"/>
        </w:rPr>
        <w:t>)</w:t>
      </w:r>
      <w:r>
        <w:rPr>
          <w:spacing w:val="-5"/>
        </w:rPr>
        <w:t>成立于</w:t>
      </w:r>
      <w:r>
        <w:rPr>
          <w:spacing w:val="2"/>
        </w:rPr>
        <w:t> </w:t>
      </w:r>
      <w:r>
        <w:rPr>
          <w:rFonts w:ascii="宋体" w:hAnsi="宋体" w:cs="宋体" w:eastAsia="宋体" w:hint="default"/>
        </w:rPr>
        <w:t>2006</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spacing w:val="-3"/>
        </w:rPr>
        <w:t>月。同方友友是在世界首屈一指的装饰灯制造商之一，从</w:t>
      </w:r>
      <w:r>
        <w:rPr/>
        <w:t> 事研究及开发、制造及分销白炽装饰灯、</w:t>
      </w:r>
      <w:r>
        <w:rPr>
          <w:rFonts w:ascii="宋体" w:hAnsi="宋体" w:cs="宋体" w:eastAsia="宋体" w:hint="default"/>
        </w:rPr>
        <w:t>LED</w:t>
      </w:r>
      <w:r>
        <w:rPr>
          <w:rFonts w:ascii="宋体" w:hAnsi="宋体" w:cs="宋体" w:eastAsia="宋体" w:hint="default"/>
          <w:spacing w:val="-60"/>
        </w:rPr>
        <w:t> </w:t>
      </w:r>
      <w:r>
        <w:rPr/>
        <w:t>装饰灯及舞台灯产品。</w:t>
      </w:r>
    </w:p>
    <w:p>
      <w:pPr>
        <w:spacing w:line="240" w:lineRule="auto" w:before="4"/>
        <w:rPr>
          <w:rFonts w:ascii="宋体" w:hAnsi="宋体" w:cs="宋体" w:eastAsia="宋体" w:hint="default"/>
          <w:sz w:val="28"/>
          <w:szCs w:val="28"/>
        </w:rPr>
      </w:pPr>
    </w:p>
    <w:p>
      <w:pPr>
        <w:pStyle w:val="BodyText"/>
        <w:spacing w:line="276" w:lineRule="auto"/>
        <w:ind w:right="96" w:firstLine="479"/>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3"/>
        </w:rPr>
        <w:t> </w:t>
      </w:r>
      <w:r>
        <w:rPr>
          <w:spacing w:val="-4"/>
        </w:rPr>
        <w:t>年，同方友友的核心产业照明分部审慎抓住机会，开拓海外市场，提高产品</w:t>
      </w:r>
      <w:r>
        <w:rPr/>
        <w:t> </w:t>
      </w:r>
      <w:r>
        <w:rPr>
          <w:spacing w:val="-8"/>
        </w:rPr>
        <w:t>毛利率，改善管理水平，盘活闲置资产，使整体经营业绩获得改善。在技术创新方面，</w:t>
      </w:r>
      <w:r>
        <w:rPr>
          <w:spacing w:val="-104"/>
        </w:rPr>
        <w:t> </w:t>
      </w:r>
      <w:r>
        <w:rPr>
          <w:spacing w:val="-104"/>
        </w:rPr>
      </w:r>
      <w:r>
        <w:rPr/>
        <w:t>同方友友充分发挥 </w:t>
      </w:r>
      <w:r>
        <w:rPr>
          <w:rFonts w:ascii="宋体" w:hAnsi="宋体" w:cs="宋体" w:eastAsia="宋体" w:hint="default"/>
        </w:rPr>
        <w:t>LED</w:t>
      </w:r>
      <w:r>
        <w:rPr>
          <w:rFonts w:ascii="宋体" w:hAnsi="宋体" w:cs="宋体" w:eastAsia="宋体" w:hint="default"/>
          <w:spacing w:val="-48"/>
        </w:rPr>
        <w:t> </w:t>
      </w:r>
      <w:r>
        <w:rPr/>
        <w:t>全产业链的技术和规模优势，前瞻性和系统性生产装饰照明、 </w:t>
      </w:r>
      <w:r>
        <w:rPr>
          <w:spacing w:val="-7"/>
        </w:rPr>
        <w:t>商业照明、工业照明、景观照明等系列产品。截至报告期末，同方友友申请超过</w:t>
      </w:r>
      <w:r>
        <w:rPr>
          <w:spacing w:val="-44"/>
        </w:rPr>
        <w:t> </w:t>
      </w:r>
      <w:r>
        <w:rPr>
          <w:rFonts w:ascii="宋体" w:hAnsi="宋体" w:cs="宋体" w:eastAsia="宋体" w:hint="default"/>
        </w:rPr>
        <w:t>1,000</w:t>
      </w:r>
    </w:p>
    <w:p>
      <w:pPr>
        <w:pStyle w:val="BodyText"/>
        <w:spacing w:line="240" w:lineRule="auto" w:before="10"/>
        <w:ind w:right="0"/>
        <w:jc w:val="both"/>
      </w:pPr>
      <w:r>
        <w:rPr/>
        <w:t>项专利，行销欧美等</w:t>
      </w:r>
      <w:r>
        <w:rPr>
          <w:spacing w:val="-60"/>
        </w:rPr>
        <w:t> </w:t>
      </w:r>
      <w:r>
        <w:rPr>
          <w:rFonts w:ascii="宋体" w:hAnsi="宋体" w:cs="宋体" w:eastAsia="宋体" w:hint="default"/>
        </w:rPr>
        <w:t>50</w:t>
      </w:r>
      <w:r>
        <w:rPr>
          <w:rFonts w:ascii="宋体" w:hAnsi="宋体" w:cs="宋体" w:eastAsia="宋体" w:hint="default"/>
          <w:spacing w:val="-60"/>
        </w:rPr>
        <w:t> </w:t>
      </w:r>
      <w:r>
        <w:rPr/>
        <w:t>余个国家和地区。</w:t>
      </w:r>
    </w:p>
    <w:p>
      <w:pPr>
        <w:spacing w:line="240" w:lineRule="auto" w:before="0"/>
        <w:rPr>
          <w:rFonts w:ascii="宋体" w:hAnsi="宋体" w:cs="宋体" w:eastAsia="宋体" w:hint="default"/>
          <w:sz w:val="31"/>
          <w:szCs w:val="31"/>
        </w:rPr>
      </w:pPr>
    </w:p>
    <w:p>
      <w:pPr>
        <w:pStyle w:val="Heading2"/>
        <w:numPr>
          <w:ilvl w:val="0"/>
          <w:numId w:val="1"/>
        </w:numPr>
        <w:tabs>
          <w:tab w:pos="496" w:val="left" w:leader="none"/>
        </w:tabs>
        <w:spacing w:line="240" w:lineRule="auto" w:before="0" w:after="0"/>
        <w:ind w:left="495" w:right="232" w:hanging="357"/>
        <w:jc w:val="right"/>
        <w:rPr>
          <w:rFonts w:ascii="宋体" w:hAnsi="宋体" w:cs="宋体" w:eastAsia="宋体" w:hint="default"/>
          <w:b w:val="0"/>
          <w:bCs w:val="0"/>
        </w:rPr>
      </w:pPr>
      <w:r>
        <w:rPr>
          <w:rFonts w:ascii="宋体" w:hAnsi="宋体" w:cs="宋体" w:eastAsia="宋体" w:hint="default"/>
        </w:rPr>
        <w:t>Technovator</w:t>
      </w:r>
      <w:r>
        <w:rPr>
          <w:rFonts w:ascii="宋体" w:hAnsi="宋体" w:cs="宋体" w:eastAsia="宋体" w:hint="default"/>
          <w:spacing w:val="-74"/>
        </w:rPr>
        <w:t> </w:t>
      </w:r>
      <w:r>
        <w:rPr>
          <w:rFonts w:ascii="宋体" w:hAnsi="宋体" w:cs="宋体" w:eastAsia="宋体" w:hint="default"/>
        </w:rPr>
        <w:t>International</w:t>
      </w:r>
      <w:r>
        <w:rPr>
          <w:rFonts w:ascii="宋体" w:hAnsi="宋体" w:cs="宋体" w:eastAsia="宋体" w:hint="default"/>
          <w:spacing w:val="-75"/>
        </w:rPr>
        <w:t> </w:t>
      </w:r>
      <w:r>
        <w:rPr>
          <w:rFonts w:ascii="宋体" w:hAnsi="宋体" w:cs="宋体" w:eastAsia="宋体" w:hint="default"/>
        </w:rPr>
        <w:t>Limited(</w:t>
      </w:r>
      <w:r>
        <w:rPr/>
        <w:t>股票简称：同方泰德，股票代码：</w:t>
      </w:r>
      <w:r>
        <w:rPr>
          <w:rFonts w:ascii="宋体" w:hAnsi="宋体" w:cs="宋体" w:eastAsia="宋体" w:hint="default"/>
        </w:rPr>
        <w:t>HK</w:t>
      </w:r>
      <w:r>
        <w:rPr>
          <w:rFonts w:ascii="宋体" w:hAnsi="宋体" w:cs="宋体" w:eastAsia="宋体" w:hint="default"/>
          <w:spacing w:val="-75"/>
        </w:rPr>
        <w:t> </w:t>
      </w:r>
      <w:r>
        <w:rPr>
          <w:rFonts w:ascii="宋体" w:hAnsi="宋体" w:cs="宋体" w:eastAsia="宋体" w:hint="default"/>
        </w:rPr>
        <w:t>1206)</w:t>
      </w:r>
      <w:r>
        <w:rPr>
          <w:rFonts w:ascii="宋体" w:hAnsi="宋体" w:cs="宋体" w:eastAsia="宋体" w:hint="default"/>
          <w:b w:val="0"/>
          <w:bCs w:val="0"/>
        </w:rPr>
      </w:r>
    </w:p>
    <w:p>
      <w:pPr>
        <w:spacing w:line="240" w:lineRule="auto" w:before="0"/>
        <w:rPr>
          <w:rFonts w:ascii="宋体" w:hAnsi="宋体" w:cs="宋体" w:eastAsia="宋体" w:hint="default"/>
          <w:b/>
          <w:bCs/>
          <w:sz w:val="31"/>
          <w:szCs w:val="31"/>
        </w:rPr>
      </w:pPr>
    </w:p>
    <w:p>
      <w:pPr>
        <w:pStyle w:val="BodyText"/>
        <w:spacing w:line="276" w:lineRule="auto"/>
        <w:ind w:right="220" w:firstLine="479"/>
        <w:jc w:val="left"/>
      </w:pPr>
      <w:r>
        <w:rPr>
          <w:rFonts w:ascii="宋体" w:hAnsi="宋体" w:cs="宋体" w:eastAsia="宋体" w:hint="default"/>
        </w:rPr>
        <w:t>Technovator</w:t>
      </w:r>
      <w:r>
        <w:rPr>
          <w:rFonts w:ascii="宋体" w:hAnsi="宋体" w:cs="宋体" w:eastAsia="宋体" w:hint="default"/>
          <w:spacing w:val="-51"/>
        </w:rPr>
        <w:t> </w:t>
      </w:r>
      <w:r>
        <w:rPr>
          <w:rFonts w:ascii="宋体" w:hAnsi="宋体" w:cs="宋体" w:eastAsia="宋体" w:hint="default"/>
        </w:rPr>
        <w:t>International</w:t>
      </w:r>
      <w:r>
        <w:rPr>
          <w:rFonts w:ascii="宋体" w:hAnsi="宋体" w:cs="宋体" w:eastAsia="宋体" w:hint="default"/>
          <w:spacing w:val="-51"/>
        </w:rPr>
        <w:t> </w:t>
      </w:r>
      <w:r>
        <w:rPr>
          <w:rFonts w:ascii="宋体" w:hAnsi="宋体" w:cs="宋体" w:eastAsia="宋体" w:hint="default"/>
          <w:spacing w:val="-7"/>
        </w:rPr>
        <w:t>Limited(</w:t>
      </w:r>
      <w:r>
        <w:rPr>
          <w:spacing w:val="-7"/>
        </w:rPr>
        <w:t>中文名称“同方泰德国际科技有限公司”，</w:t>
      </w:r>
      <w:r>
        <w:rPr/>
        <w:t> </w:t>
      </w:r>
      <w:r>
        <w:rPr>
          <w:spacing w:val="-10"/>
        </w:rPr>
        <w:t>原中文名称“科诺威德国际有限公司”，以下简称“同方泰德”</w:t>
      </w:r>
      <w:r>
        <w:rPr>
          <w:rFonts w:ascii="宋体" w:hAnsi="宋体" w:cs="宋体" w:eastAsia="宋体" w:hint="default"/>
          <w:spacing w:val="-10"/>
        </w:rPr>
        <w:t>)</w:t>
      </w:r>
      <w:r>
        <w:rPr>
          <w:spacing w:val="-10"/>
        </w:rPr>
        <w:t>成立于</w:t>
      </w:r>
      <w:r>
        <w:rPr>
          <w:spacing w:val="-53"/>
        </w:rPr>
        <w:t> </w:t>
      </w:r>
      <w:r>
        <w:rPr>
          <w:rFonts w:ascii="宋体" w:hAnsi="宋体" w:cs="宋体" w:eastAsia="宋体" w:hint="default"/>
        </w:rPr>
        <w:t>2005</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3"/>
        </w:rPr>
        <w:t> </w:t>
      </w:r>
      <w:r>
        <w:rPr/>
        <w:t>月，</w:t>
      </w:r>
    </w:p>
    <w:p>
      <w:pPr>
        <w:pStyle w:val="BodyText"/>
        <w:spacing w:line="276" w:lineRule="auto" w:before="10"/>
        <w:ind w:right="233"/>
        <w:jc w:val="both"/>
      </w:pPr>
      <w:r>
        <w:rPr/>
        <w:t>于</w:t>
      </w:r>
      <w:r>
        <w:rPr>
          <w:spacing w:val="-49"/>
        </w:rPr>
        <w:t> </w:t>
      </w:r>
      <w:r>
        <w:rPr>
          <w:rFonts w:ascii="宋体" w:hAnsi="宋体" w:cs="宋体" w:eastAsia="宋体" w:hint="default"/>
        </w:rPr>
        <w:t>2011</w:t>
      </w:r>
      <w:r>
        <w:rPr>
          <w:rFonts w:ascii="宋体" w:hAnsi="宋体" w:cs="宋体" w:eastAsia="宋体" w:hint="default"/>
          <w:spacing w:val="-48"/>
        </w:rPr>
        <w:t> </w:t>
      </w:r>
      <w:r>
        <w:rPr/>
        <w:t>年</w:t>
      </w:r>
      <w:r>
        <w:rPr>
          <w:spacing w:val="-48"/>
        </w:rPr>
        <w:t> </w:t>
      </w:r>
      <w:r>
        <w:rPr>
          <w:rFonts w:ascii="宋体" w:hAnsi="宋体" w:cs="宋体" w:eastAsia="宋体" w:hint="default"/>
        </w:rPr>
        <w:t>10</w:t>
      </w:r>
      <w:r>
        <w:rPr>
          <w:rFonts w:ascii="宋体" w:hAnsi="宋体" w:cs="宋体" w:eastAsia="宋体" w:hint="default"/>
          <w:spacing w:val="-48"/>
        </w:rPr>
        <w:t> </w:t>
      </w:r>
      <w:r>
        <w:rPr/>
        <w:t>月</w:t>
      </w:r>
      <w:r>
        <w:rPr>
          <w:spacing w:val="-48"/>
        </w:rPr>
        <w:t> </w:t>
      </w:r>
      <w:r>
        <w:rPr>
          <w:rFonts w:ascii="宋体" w:hAnsi="宋体" w:cs="宋体" w:eastAsia="宋体" w:hint="default"/>
        </w:rPr>
        <w:t>27</w:t>
      </w:r>
      <w:r>
        <w:rPr>
          <w:rFonts w:ascii="宋体" w:hAnsi="宋体" w:cs="宋体" w:eastAsia="宋体" w:hint="default"/>
          <w:spacing w:val="-48"/>
        </w:rPr>
        <w:t> </w:t>
      </w:r>
      <w:r>
        <w:rPr/>
        <w:t>日在香港联交所主板上市交易。截至本报告期末，同方泰德总股 本为</w:t>
      </w:r>
      <w:r>
        <w:rPr>
          <w:spacing w:val="-60"/>
        </w:rPr>
        <w:t> </w:t>
      </w:r>
      <w:r>
        <w:rPr>
          <w:rFonts w:ascii="宋体" w:hAnsi="宋体" w:cs="宋体" w:eastAsia="宋体" w:hint="default"/>
        </w:rPr>
        <w:t>782,842,189</w:t>
      </w:r>
      <w:r>
        <w:rPr>
          <w:rFonts w:ascii="宋体" w:hAnsi="宋体" w:cs="宋体" w:eastAsia="宋体" w:hint="default"/>
          <w:spacing w:val="-59"/>
        </w:rPr>
        <w:t> </w:t>
      </w:r>
      <w:r>
        <w:rPr>
          <w:spacing w:val="-5"/>
        </w:rPr>
        <w:t>股，公司合计持股</w:t>
      </w:r>
      <w:r>
        <w:rPr>
          <w:spacing w:val="-59"/>
        </w:rPr>
        <w:t> </w:t>
      </w:r>
      <w:r>
        <w:rPr>
          <w:rFonts w:ascii="宋体" w:hAnsi="宋体" w:cs="宋体" w:eastAsia="宋体" w:hint="default"/>
          <w:spacing w:val="-3"/>
        </w:rPr>
        <w:t>35.58%</w:t>
      </w:r>
      <w:r>
        <w:rPr>
          <w:spacing w:val="-3"/>
        </w:rPr>
        <w:t>，为其第一大股东。同方泰德主要从事楼</w:t>
      </w:r>
      <w:r>
        <w:rPr/>
        <w:t> </w:t>
      </w:r>
      <w:r>
        <w:rPr>
          <w:spacing w:val="-2"/>
        </w:rPr>
        <w:t>宇自动化系统、能源管理系统、安控系统、消防系统产品的开发、制造和销售，并提</w:t>
      </w:r>
      <w:r>
        <w:rPr>
          <w:spacing w:val="-96"/>
        </w:rPr>
        <w:t> </w:t>
      </w:r>
      <w:r>
        <w:rPr>
          <w:spacing w:val="-96"/>
        </w:rPr>
      </w:r>
      <w:r>
        <w:rPr/>
        <w:t>供全方位解决方案和服务。</w:t>
      </w:r>
    </w:p>
    <w:p>
      <w:pPr>
        <w:spacing w:line="240" w:lineRule="auto" w:before="4"/>
        <w:rPr>
          <w:rFonts w:ascii="宋体" w:hAnsi="宋体" w:cs="宋体" w:eastAsia="宋体" w:hint="default"/>
          <w:sz w:val="28"/>
          <w:szCs w:val="28"/>
        </w:rPr>
      </w:pPr>
    </w:p>
    <w:p>
      <w:pPr>
        <w:pStyle w:val="BodyText"/>
        <w:spacing w:line="276" w:lineRule="auto"/>
        <w:ind w:right="97" w:firstLine="479"/>
        <w:jc w:val="left"/>
      </w:pPr>
      <w:r>
        <w:rPr/>
        <w:t>同方泰德作为城市节能综合一体化服务供应商，持续发挥科技创新的引领作用，</w:t>
      </w:r>
      <w:r>
        <w:rPr>
          <w:spacing w:val="2"/>
        </w:rPr>
        <w:t> </w:t>
      </w:r>
      <w:r>
        <w:rPr/>
        <w:t>以云计算、大数据平台为核心，关联上层智慧应用，坚持多维创新，聚焦城市智慧节</w:t>
      </w:r>
      <w:r>
        <w:rPr/>
        <w:t> 能服务，深耕数字化技术应用，深挖数据价值，满足客户更高级别的智能化管控及能 源管理需求。报告期内，同方泰德推出以绿色、开放、可持续为导向的楼宇自控创新 解决方案 </w:t>
      </w:r>
      <w:r>
        <w:rPr>
          <w:rFonts w:ascii="宋体" w:hAnsi="宋体" w:cs="宋体" w:eastAsia="宋体" w:hint="default"/>
        </w:rPr>
        <w:t>IBS4.0</w:t>
      </w:r>
      <w:r>
        <w:rPr>
          <w:rFonts w:ascii="宋体" w:hAnsi="宋体" w:cs="宋体" w:eastAsia="宋体" w:hint="default"/>
          <w:spacing w:val="-49"/>
        </w:rPr>
        <w:t> </w:t>
      </w:r>
      <w:r>
        <w:rPr/>
        <w:t>信息集成平台，并将该技术带入国家电网嘉兴店里公司融通商务中 心，充分发挥 </w:t>
      </w:r>
      <w:r>
        <w:rPr>
          <w:rFonts w:ascii="宋体" w:hAnsi="宋体" w:cs="宋体" w:eastAsia="宋体" w:hint="default"/>
        </w:rPr>
        <w:t>IBS4.0</w:t>
      </w:r>
      <w:r>
        <w:rPr>
          <w:rFonts w:ascii="宋体" w:hAnsi="宋体" w:cs="宋体" w:eastAsia="宋体" w:hint="default"/>
          <w:spacing w:val="-49"/>
        </w:rPr>
        <w:t> </w:t>
      </w:r>
      <w:r>
        <w:rPr/>
        <w:t>在系统集成与能耗监测方面的综合优势，助力融通商务中心实 现节能目标，为国家电网披上“绿色大衣”。报告期内，同方泰德通过了由美国卡内 基梅隆软件工程研究所（</w:t>
      </w:r>
      <w:r>
        <w:rPr>
          <w:rFonts w:ascii="宋体" w:hAnsi="宋体" w:cs="宋体" w:eastAsia="宋体" w:hint="default"/>
        </w:rPr>
        <w:t>SEI</w:t>
      </w:r>
      <w:r>
        <w:rPr/>
        <w:t>）评估的</w:t>
      </w:r>
      <w:r>
        <w:rPr>
          <w:spacing w:val="-72"/>
        </w:rPr>
        <w:t> </w:t>
      </w:r>
      <w:r>
        <w:rPr>
          <w:rFonts w:ascii="宋体" w:hAnsi="宋体" w:cs="宋体" w:eastAsia="宋体" w:hint="default"/>
        </w:rPr>
        <w:t>CMMI</w:t>
      </w:r>
      <w:r>
        <w:rPr>
          <w:rFonts w:ascii="宋体" w:hAnsi="宋体" w:cs="宋体" w:eastAsia="宋体" w:hint="default"/>
          <w:spacing w:val="-72"/>
        </w:rPr>
        <w:t> </w:t>
      </w:r>
      <w:r>
        <w:rPr/>
        <w:t>国际认证并取得资质证书。这标志着同方 </w:t>
      </w:r>
      <w:r>
        <w:rPr>
          <w:spacing w:val="-5"/>
        </w:rPr>
        <w:t>泰德软件研发、质量管理和过程改进水平已跻身世界前沿，研发管理能力与国际接轨。</w:t>
      </w:r>
    </w:p>
    <w:p>
      <w:pPr>
        <w:spacing w:line="240" w:lineRule="auto" w:before="4"/>
        <w:rPr>
          <w:rFonts w:ascii="宋体" w:hAnsi="宋体" w:cs="宋体" w:eastAsia="宋体" w:hint="default"/>
          <w:sz w:val="28"/>
          <w:szCs w:val="28"/>
        </w:rPr>
      </w:pPr>
    </w:p>
    <w:p>
      <w:pPr>
        <w:pStyle w:val="BodyText"/>
        <w:spacing w:line="276" w:lineRule="auto"/>
        <w:ind w:right="97" w:firstLine="479"/>
        <w:jc w:val="left"/>
      </w:pPr>
      <w:r>
        <w:rPr>
          <w:spacing w:val="-2"/>
        </w:rPr>
        <w:t>报告期内，同方泰德荣获了“十大楼宇自控品牌”奖、“中国节能节电产业十大</w:t>
      </w:r>
      <w:r>
        <w:rPr/>
        <w:t> 品牌”奖、“第七届影响中国智能建筑电气行业十大优秀品牌”等行业重要奖项。</w:t>
      </w:r>
    </w:p>
    <w:p>
      <w:pPr>
        <w:spacing w:line="240" w:lineRule="auto" w:before="4"/>
        <w:rPr>
          <w:rFonts w:ascii="宋体" w:hAnsi="宋体" w:cs="宋体" w:eastAsia="宋体" w:hint="default"/>
          <w:sz w:val="28"/>
          <w:szCs w:val="28"/>
        </w:rPr>
      </w:pPr>
    </w:p>
    <w:p>
      <w:pPr>
        <w:pStyle w:val="Heading2"/>
        <w:spacing w:line="240" w:lineRule="auto"/>
        <w:ind w:right="0"/>
        <w:jc w:val="both"/>
        <w:rPr>
          <w:b w:val="0"/>
          <w:bCs w:val="0"/>
        </w:rPr>
      </w:pPr>
      <w:r>
        <w:rPr>
          <w:rFonts w:ascii="宋体" w:hAnsi="宋体" w:cs="宋体" w:eastAsia="宋体" w:hint="default"/>
        </w:rPr>
        <w:t>6.</w:t>
      </w:r>
      <w:r>
        <w:rPr>
          <w:rFonts w:ascii="宋体" w:hAnsi="宋体" w:cs="宋体" w:eastAsia="宋体" w:hint="default"/>
          <w:spacing w:val="-8"/>
        </w:rPr>
        <w:t> </w:t>
      </w:r>
      <w:r>
        <w:rPr/>
        <w:t>北京壹人壹本信息科技有限公司</w:t>
      </w:r>
      <w:r>
        <w:rPr>
          <w:b w:val="0"/>
          <w:bCs w:val="0"/>
        </w:rPr>
      </w:r>
    </w:p>
    <w:p>
      <w:pPr>
        <w:spacing w:after="0" w:line="240" w:lineRule="auto"/>
        <w:jc w:val="both"/>
        <w:sectPr>
          <w:pgSz w:w="11910" w:h="16840"/>
          <w:pgMar w:header="0" w:footer="1193" w:top="780" w:bottom="1380" w:left="1660" w:right="1040"/>
        </w:sectPr>
      </w:pPr>
    </w:p>
    <w:p>
      <w:pPr>
        <w:spacing w:before="25"/>
        <w:ind w:left="4253" w:right="430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4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BodyText"/>
        <w:spacing w:line="240" w:lineRule="auto" w:before="26"/>
        <w:ind w:left="998" w:right="0"/>
        <w:jc w:val="left"/>
      </w:pPr>
      <w:r>
        <w:rPr/>
        <w:t>北京壹人壹本信息科技有限公司</w:t>
      </w:r>
      <w:r>
        <w:rPr>
          <w:rFonts w:ascii="宋体" w:hAnsi="宋体" w:cs="宋体" w:eastAsia="宋体" w:hint="default"/>
        </w:rPr>
        <w:t>(</w:t>
      </w:r>
      <w:r>
        <w:rPr/>
        <w:t>以下简称“壹人壹本”</w:t>
      </w:r>
      <w:r>
        <w:rPr>
          <w:rFonts w:ascii="宋体" w:hAnsi="宋体" w:cs="宋体" w:eastAsia="宋体" w:hint="default"/>
        </w:rPr>
        <w:t>)</w:t>
      </w:r>
      <w:r>
        <w:rPr/>
        <w:t>成立于</w:t>
      </w:r>
      <w:r>
        <w:rPr>
          <w:spacing w:val="-72"/>
        </w:rPr>
        <w:t> </w:t>
      </w:r>
      <w:r>
        <w:rPr>
          <w:rFonts w:ascii="宋体" w:hAnsi="宋体" w:cs="宋体" w:eastAsia="宋体" w:hint="default"/>
        </w:rPr>
        <w:t>2009</w:t>
      </w:r>
      <w:r>
        <w:rPr>
          <w:rFonts w:ascii="宋体" w:hAnsi="宋体" w:cs="宋体" w:eastAsia="宋体" w:hint="default"/>
          <w:spacing w:val="-72"/>
        </w:rPr>
        <w:t> </w:t>
      </w:r>
      <w:r>
        <w:rPr/>
        <w:t>年</w:t>
      </w:r>
      <w:r>
        <w:rPr>
          <w:spacing w:val="-72"/>
        </w:rPr>
        <w:t> </w:t>
      </w:r>
      <w:r>
        <w:rPr>
          <w:rFonts w:ascii="宋体" w:hAnsi="宋体" w:cs="宋体" w:eastAsia="宋体" w:hint="default"/>
        </w:rPr>
        <w:t>7</w:t>
      </w:r>
      <w:r>
        <w:rPr>
          <w:rFonts w:ascii="宋体" w:hAnsi="宋体" w:cs="宋体" w:eastAsia="宋体" w:hint="default"/>
          <w:spacing w:val="-72"/>
        </w:rPr>
        <w:t> </w:t>
      </w:r>
      <w:r>
        <w:rPr/>
        <w:t>月</w:t>
      </w:r>
      <w:r>
        <w:rPr>
          <w:rFonts w:ascii="宋体" w:hAnsi="宋体" w:cs="宋体" w:eastAsia="宋体" w:hint="default"/>
        </w:rPr>
        <w:t>,</w:t>
      </w:r>
      <w:r>
        <w:rPr/>
        <w:t>注</w:t>
      </w:r>
    </w:p>
    <w:p>
      <w:pPr>
        <w:pStyle w:val="BodyText"/>
        <w:spacing w:line="276" w:lineRule="auto" w:before="46"/>
        <w:ind w:left="518" w:right="537"/>
        <w:jc w:val="left"/>
      </w:pPr>
      <w:r>
        <w:rPr/>
        <w:t>册资本为 </w:t>
      </w:r>
      <w:r>
        <w:rPr>
          <w:rFonts w:ascii="宋体" w:hAnsi="宋体" w:cs="宋体" w:eastAsia="宋体" w:hint="default"/>
        </w:rPr>
        <w:t>10,000</w:t>
      </w:r>
      <w:r>
        <w:rPr>
          <w:rFonts w:ascii="宋体" w:hAnsi="宋体" w:cs="宋体" w:eastAsia="宋体" w:hint="default"/>
          <w:spacing w:val="-49"/>
        </w:rPr>
        <w:t> </w:t>
      </w:r>
      <w:r>
        <w:rPr/>
        <w:t>万元，系公司全资子公司，主要从事商务平板、智能手机及行业应 用三大产品线研发和销售。</w:t>
      </w:r>
    </w:p>
    <w:p>
      <w:pPr>
        <w:spacing w:line="240" w:lineRule="auto" w:before="4"/>
        <w:rPr>
          <w:rFonts w:ascii="宋体" w:hAnsi="宋体" w:cs="宋体" w:eastAsia="宋体" w:hint="default"/>
          <w:sz w:val="28"/>
          <w:szCs w:val="28"/>
        </w:rPr>
      </w:pPr>
    </w:p>
    <w:p>
      <w:pPr>
        <w:pStyle w:val="BodyText"/>
        <w:spacing w:line="276" w:lineRule="auto"/>
        <w:ind w:left="518" w:right="551" w:firstLine="479"/>
        <w:jc w:val="both"/>
      </w:pPr>
      <w:r>
        <w:rPr>
          <w:rFonts w:ascii="宋体" w:hAnsi="宋体" w:cs="宋体" w:eastAsia="宋体" w:hint="default"/>
        </w:rPr>
        <w:t>2018</w:t>
      </w:r>
      <w:r>
        <w:rPr>
          <w:rFonts w:ascii="宋体" w:hAnsi="宋体" w:cs="宋体" w:eastAsia="宋体" w:hint="default"/>
          <w:spacing w:val="-58"/>
        </w:rPr>
        <w:t> </w:t>
      </w:r>
      <w:r>
        <w:rPr>
          <w:spacing w:val="-5"/>
        </w:rPr>
        <w:t>年，壹人壹本围绕原笔迹数字书写、手写办公系统和</w:t>
      </w:r>
      <w:r>
        <w:rPr>
          <w:spacing w:val="-57"/>
        </w:rPr>
        <w:t> </w:t>
      </w:r>
      <w:r>
        <w:rPr>
          <w:rFonts w:ascii="宋体" w:hAnsi="宋体" w:cs="宋体" w:eastAsia="宋体" w:hint="default"/>
        </w:rPr>
        <w:t>SEA</w:t>
      </w:r>
      <w:r>
        <w:rPr>
          <w:rFonts w:ascii="宋体" w:hAnsi="宋体" w:cs="宋体" w:eastAsia="宋体" w:hint="default"/>
          <w:spacing w:val="-58"/>
        </w:rPr>
        <w:t> </w:t>
      </w:r>
      <w:r>
        <w:rPr/>
        <w:t>安全增强架构三大 核心技术，积极打造“手写</w:t>
      </w:r>
      <w:r>
        <w:rPr>
          <w:rFonts w:ascii="宋体" w:hAnsi="宋体" w:cs="宋体" w:eastAsia="宋体" w:hint="default"/>
        </w:rPr>
        <w:t>+</w:t>
      </w:r>
      <w:r>
        <w:rPr/>
        <w:t>商务</w:t>
      </w:r>
      <w:r>
        <w:rPr>
          <w:rFonts w:ascii="宋体" w:hAnsi="宋体" w:cs="宋体" w:eastAsia="宋体" w:hint="default"/>
        </w:rPr>
        <w:t>+</w:t>
      </w:r>
      <w:r>
        <w:rPr/>
        <w:t>方案</w:t>
      </w:r>
      <w:r>
        <w:rPr>
          <w:rFonts w:ascii="宋体" w:hAnsi="宋体" w:cs="宋体" w:eastAsia="宋体" w:hint="default"/>
        </w:rPr>
        <w:t>+</w:t>
      </w:r>
      <w:r>
        <w:rPr/>
        <w:t>安全”的一体化解决方案。报告期内，</w:t>
      </w:r>
      <w:r>
        <w:rPr>
          <w:rFonts w:ascii="宋体" w:hAnsi="宋体" w:cs="宋体" w:eastAsia="宋体" w:hint="default"/>
        </w:rPr>
        <w:t>E</w:t>
      </w:r>
      <w:r>
        <w:rPr>
          <w:rFonts w:ascii="宋体" w:hAnsi="宋体" w:cs="宋体" w:eastAsia="宋体" w:hint="default"/>
          <w:spacing w:val="-83"/>
        </w:rPr>
        <w:t> </w:t>
      </w:r>
      <w:r>
        <w:rPr/>
        <w:t>人</w:t>
      </w:r>
      <w:r>
        <w:rPr>
          <w:spacing w:val="-84"/>
        </w:rPr>
        <w:t> </w:t>
      </w:r>
      <w:r>
        <w:rPr>
          <w:rFonts w:ascii="宋体" w:hAnsi="宋体" w:cs="宋体" w:eastAsia="宋体" w:hint="default"/>
        </w:rPr>
        <w:t>E </w:t>
      </w:r>
      <w:r>
        <w:rPr/>
        <w:t>本发布了 </w:t>
      </w:r>
      <w:r>
        <w:rPr>
          <w:rFonts w:ascii="宋体" w:hAnsi="宋体" w:cs="宋体" w:eastAsia="宋体" w:hint="default"/>
        </w:rPr>
        <w:t>EBEN T10</w:t>
      </w:r>
      <w:r>
        <w:rPr>
          <w:rFonts w:ascii="宋体" w:hAnsi="宋体" w:cs="宋体" w:eastAsia="宋体" w:hint="default"/>
          <w:spacing w:val="-49"/>
        </w:rPr>
        <w:t> </w:t>
      </w:r>
      <w:r>
        <w:rPr/>
        <w:t>双系统平板电脑，该产品搭载双系统，工作系统和安全系统同时 </w:t>
      </w:r>
      <w:r>
        <w:rPr>
          <w:spacing w:val="-2"/>
        </w:rPr>
        <w:t>运行，支持一键切换，两个系统中，数据分别存储，应用彼此独立，全方位保障数据</w:t>
      </w:r>
      <w:r>
        <w:rPr>
          <w:spacing w:val="-96"/>
        </w:rPr>
        <w:t> </w:t>
      </w:r>
      <w:r>
        <w:rPr>
          <w:spacing w:val="-96"/>
        </w:rPr>
      </w:r>
      <w:r>
        <w:rPr/>
        <w:t>信息安全。两个系统均支持</w:t>
      </w:r>
      <w:r>
        <w:rPr>
          <w:spacing w:val="-43"/>
        </w:rPr>
        <w:t> </w:t>
      </w:r>
      <w:r>
        <w:rPr>
          <w:rFonts w:ascii="宋体" w:hAnsi="宋体" w:cs="宋体" w:eastAsia="宋体" w:hint="default"/>
        </w:rPr>
        <w:t>U</w:t>
      </w:r>
      <w:r>
        <w:rPr>
          <w:rFonts w:ascii="宋体" w:hAnsi="宋体" w:cs="宋体" w:eastAsia="宋体" w:hint="default"/>
          <w:spacing w:val="-43"/>
        </w:rPr>
        <w:t> </w:t>
      </w:r>
      <w:r>
        <w:rPr/>
        <w:t>盘和</w:t>
      </w:r>
      <w:r>
        <w:rPr>
          <w:spacing w:val="-43"/>
        </w:rPr>
        <w:t> </w:t>
      </w:r>
      <w:r>
        <w:rPr>
          <w:rFonts w:ascii="宋体" w:hAnsi="宋体" w:cs="宋体" w:eastAsia="宋体" w:hint="default"/>
        </w:rPr>
        <w:t>TF</w:t>
      </w:r>
      <w:r>
        <w:rPr>
          <w:rFonts w:ascii="宋体" w:hAnsi="宋体" w:cs="宋体" w:eastAsia="宋体" w:hint="default"/>
          <w:spacing w:val="-43"/>
        </w:rPr>
        <w:t> </w:t>
      </w:r>
      <w:r>
        <w:rPr/>
        <w:t>卡，随时进行数据备份，确保资料安全，充分 满足政商用户、政企及各行业用户安全、高效移动办公的多层次需求。</w:t>
      </w:r>
    </w:p>
    <w:p>
      <w:pPr>
        <w:spacing w:line="240" w:lineRule="auto" w:before="4"/>
        <w:rPr>
          <w:rFonts w:ascii="宋体" w:hAnsi="宋体" w:cs="宋体" w:eastAsia="宋体" w:hint="default"/>
          <w:sz w:val="28"/>
          <w:szCs w:val="28"/>
        </w:rPr>
      </w:pPr>
    </w:p>
    <w:p>
      <w:pPr>
        <w:pStyle w:val="BodyText"/>
        <w:spacing w:line="276" w:lineRule="auto"/>
        <w:ind w:left="518" w:right="550" w:firstLine="479"/>
        <w:jc w:val="both"/>
      </w:pPr>
      <w:r>
        <w:rPr/>
        <w:t>报告期内，在由中国信息协会主办的 </w:t>
      </w:r>
      <w:r>
        <w:rPr>
          <w:rFonts w:ascii="宋体" w:hAnsi="宋体" w:cs="宋体" w:eastAsia="宋体" w:hint="default"/>
        </w:rPr>
        <w:t>2018</w:t>
      </w:r>
      <w:r>
        <w:rPr>
          <w:rFonts w:ascii="宋体" w:hAnsi="宋体" w:cs="宋体" w:eastAsia="宋体" w:hint="default"/>
          <w:spacing w:val="-48"/>
        </w:rPr>
        <w:t> </w:t>
      </w:r>
      <w:r>
        <w:rPr/>
        <w:t>第三届中国信息化融合发展创新大会 </w:t>
      </w:r>
      <w:r>
        <w:rPr>
          <w:spacing w:val="-4"/>
        </w:rPr>
        <w:t>上，</w:t>
      </w:r>
      <w:r>
        <w:rPr>
          <w:rFonts w:ascii="宋体" w:hAnsi="宋体" w:cs="宋体" w:eastAsia="宋体" w:hint="default"/>
          <w:spacing w:val="-4"/>
        </w:rPr>
        <w:t>E</w:t>
      </w:r>
      <w:r>
        <w:rPr>
          <w:rFonts w:ascii="宋体" w:hAnsi="宋体" w:cs="宋体" w:eastAsia="宋体" w:hint="default"/>
          <w:spacing w:val="-70"/>
        </w:rPr>
        <w:t> </w:t>
      </w:r>
      <w:r>
        <w:rPr/>
        <w:t>人</w:t>
      </w:r>
      <w:r>
        <w:rPr>
          <w:spacing w:val="-70"/>
        </w:rPr>
        <w:t> </w:t>
      </w:r>
      <w:r>
        <w:rPr>
          <w:rFonts w:ascii="宋体" w:hAnsi="宋体" w:cs="宋体" w:eastAsia="宋体" w:hint="default"/>
        </w:rPr>
        <w:t>E</w:t>
      </w:r>
      <w:r>
        <w:rPr>
          <w:rFonts w:ascii="宋体" w:hAnsi="宋体" w:cs="宋体" w:eastAsia="宋体" w:hint="default"/>
          <w:spacing w:val="-70"/>
        </w:rPr>
        <w:t> </w:t>
      </w:r>
      <w:r>
        <w:rPr/>
        <w:t>本被授予“2018</w:t>
      </w:r>
      <w:r>
        <w:rPr>
          <w:spacing w:val="-70"/>
        </w:rPr>
        <w:t> </w:t>
      </w:r>
      <w:r>
        <w:rPr/>
        <w:t>中国信息化（智慧公安）最佳实践”奖项。同时，在由中</w:t>
      </w:r>
      <w:r>
        <w:rPr/>
        <w:t> 国信息协会主办的 </w:t>
      </w:r>
      <w:r>
        <w:rPr>
          <w:rFonts w:ascii="宋体" w:hAnsi="宋体" w:cs="宋体" w:eastAsia="宋体" w:hint="default"/>
        </w:rPr>
        <w:t>2018 </w:t>
      </w:r>
      <w:r>
        <w:rPr/>
        <w:t>中国网络信息化与科技创新驱动大会上，</w:t>
      </w:r>
      <w:r>
        <w:rPr>
          <w:rFonts w:ascii="宋体" w:hAnsi="宋体" w:cs="宋体" w:eastAsia="宋体" w:hint="default"/>
        </w:rPr>
        <w:t>E </w:t>
      </w:r>
      <w:r>
        <w:rPr/>
        <w:t>人 </w:t>
      </w:r>
      <w:r>
        <w:rPr>
          <w:rFonts w:ascii="宋体" w:hAnsi="宋体" w:cs="宋体" w:eastAsia="宋体" w:hint="default"/>
        </w:rPr>
        <w:t>E</w:t>
      </w:r>
      <w:r>
        <w:rPr>
          <w:rFonts w:ascii="宋体" w:hAnsi="宋体" w:cs="宋体" w:eastAsia="宋体" w:hint="default"/>
          <w:spacing w:val="58"/>
        </w:rPr>
        <w:t> </w:t>
      </w:r>
      <w:r>
        <w:rPr/>
        <w:t>本被授予</w:t>
      </w:r>
      <w:r>
        <w:rPr>
          <w:spacing w:val="2"/>
        </w:rPr>
        <w:t> </w:t>
      </w:r>
      <w:r>
        <w:rPr/>
        <w:t>“2018</w:t>
      </w:r>
      <w:r>
        <w:rPr>
          <w:spacing w:val="-60"/>
        </w:rPr>
        <w:t> </w:t>
      </w:r>
      <w:r>
        <w:rPr/>
        <w:t>年度中国网信事业（智慧公安）创新驱动示范产品”奖项。</w:t>
      </w:r>
    </w:p>
    <w:p>
      <w:pPr>
        <w:spacing w:line="240" w:lineRule="auto" w:before="4"/>
        <w:rPr>
          <w:rFonts w:ascii="宋体" w:hAnsi="宋体" w:cs="宋体" w:eastAsia="宋体" w:hint="default"/>
          <w:sz w:val="28"/>
          <w:szCs w:val="28"/>
        </w:rPr>
      </w:pPr>
    </w:p>
    <w:p>
      <w:pPr>
        <w:pStyle w:val="Heading2"/>
        <w:spacing w:line="240" w:lineRule="auto"/>
        <w:ind w:left="518" w:right="0"/>
        <w:jc w:val="left"/>
        <w:rPr>
          <w:b w:val="0"/>
          <w:bCs w:val="0"/>
        </w:rPr>
      </w:pPr>
      <w:r>
        <w:rPr>
          <w:rFonts w:ascii="宋体" w:hAnsi="宋体" w:cs="宋体" w:eastAsia="宋体" w:hint="default"/>
        </w:rPr>
        <w:t>7.</w:t>
      </w:r>
      <w:r>
        <w:rPr>
          <w:rFonts w:ascii="宋体" w:hAnsi="宋体" w:cs="宋体" w:eastAsia="宋体" w:hint="default"/>
          <w:spacing w:val="-8"/>
        </w:rPr>
        <w:t> </w:t>
      </w:r>
      <w:r>
        <w:rPr/>
        <w:t>同方国信投资控股有限公司</w:t>
      </w:r>
      <w:r>
        <w:rPr>
          <w:b w:val="0"/>
          <w:bCs w:val="0"/>
        </w:rPr>
      </w:r>
    </w:p>
    <w:p>
      <w:pPr>
        <w:spacing w:line="240" w:lineRule="auto" w:before="1"/>
        <w:rPr>
          <w:rFonts w:ascii="宋体" w:hAnsi="宋体" w:cs="宋体" w:eastAsia="宋体" w:hint="default"/>
          <w:b/>
          <w:bCs/>
          <w:sz w:val="31"/>
          <w:szCs w:val="31"/>
        </w:rPr>
      </w:pPr>
    </w:p>
    <w:p>
      <w:pPr>
        <w:pStyle w:val="BodyText"/>
        <w:spacing w:line="276" w:lineRule="auto"/>
        <w:ind w:left="518" w:right="552" w:firstLine="479"/>
        <w:jc w:val="both"/>
      </w:pPr>
      <w:r>
        <w:rPr/>
        <w:t>同方国信投资控股有限公司</w:t>
      </w:r>
      <w:r>
        <w:rPr>
          <w:rFonts w:ascii="宋体" w:hAnsi="宋体" w:cs="宋体" w:eastAsia="宋体" w:hint="default"/>
        </w:rPr>
        <w:t>(</w:t>
      </w:r>
      <w:r>
        <w:rPr/>
        <w:t>以下简称“同方国信”</w:t>
      </w:r>
      <w:r>
        <w:rPr>
          <w:rFonts w:ascii="宋体" w:hAnsi="宋体" w:cs="宋体" w:eastAsia="宋体" w:hint="default"/>
        </w:rPr>
        <w:t>)</w:t>
      </w:r>
      <w:r>
        <w:rPr/>
        <w:t>成立于</w:t>
      </w:r>
      <w:r>
        <w:rPr>
          <w:spacing w:val="-48"/>
        </w:rPr>
        <w:t> </w:t>
      </w:r>
      <w:r>
        <w:rPr>
          <w:rFonts w:ascii="宋体" w:hAnsi="宋体" w:cs="宋体" w:eastAsia="宋体" w:hint="default"/>
        </w:rPr>
        <w:t>2007</w:t>
      </w:r>
      <w:r>
        <w:rPr>
          <w:rFonts w:ascii="宋体" w:hAnsi="宋体" w:cs="宋体" w:eastAsia="宋体" w:hint="default"/>
          <w:spacing w:val="-48"/>
        </w:rPr>
        <w:t> </w:t>
      </w:r>
      <w:r>
        <w:rPr/>
        <w:t>年</w:t>
      </w:r>
      <w:r>
        <w:rPr>
          <w:spacing w:val="-48"/>
        </w:rPr>
        <w:t> </w:t>
      </w:r>
      <w:r>
        <w:rPr>
          <w:rFonts w:ascii="宋体" w:hAnsi="宋体" w:cs="宋体" w:eastAsia="宋体" w:hint="default"/>
        </w:rPr>
        <w:t>5</w:t>
      </w:r>
      <w:r>
        <w:rPr>
          <w:rFonts w:ascii="宋体" w:hAnsi="宋体" w:cs="宋体" w:eastAsia="宋体" w:hint="default"/>
          <w:spacing w:val="-48"/>
        </w:rPr>
        <w:t> </w:t>
      </w:r>
      <w:r>
        <w:rPr/>
        <w:t>月</w:t>
      </w:r>
      <w:r>
        <w:rPr>
          <w:spacing w:val="-48"/>
        </w:rPr>
        <w:t> </w:t>
      </w:r>
      <w:r>
        <w:rPr>
          <w:rFonts w:ascii="宋体" w:hAnsi="宋体" w:cs="宋体" w:eastAsia="宋体" w:hint="default"/>
        </w:rPr>
        <w:t>23</w:t>
      </w:r>
      <w:r>
        <w:rPr>
          <w:rFonts w:ascii="宋体" w:hAnsi="宋体" w:cs="宋体" w:eastAsia="宋体" w:hint="default"/>
          <w:spacing w:val="-48"/>
        </w:rPr>
        <w:t> </w:t>
      </w:r>
      <w:r>
        <w:rPr/>
        <w:t>日</w:t>
      </w:r>
      <w:r>
        <w:rPr>
          <w:rFonts w:ascii="宋体" w:hAnsi="宋体" w:cs="宋体" w:eastAsia="宋体" w:hint="default"/>
        </w:rPr>
        <w:t>, </w:t>
      </w:r>
      <w:r>
        <w:rPr/>
        <w:t>注册资本为</w:t>
      </w:r>
      <w:r>
        <w:rPr>
          <w:spacing w:val="-66"/>
        </w:rPr>
        <w:t> </w:t>
      </w:r>
      <w:r>
        <w:rPr>
          <w:rFonts w:ascii="宋体" w:hAnsi="宋体" w:cs="宋体" w:eastAsia="宋体" w:hint="default"/>
        </w:rPr>
        <w:t>257,416.25</w:t>
      </w:r>
      <w:r>
        <w:rPr>
          <w:rFonts w:ascii="宋体" w:hAnsi="宋体" w:cs="宋体" w:eastAsia="宋体" w:hint="default"/>
          <w:spacing w:val="-66"/>
        </w:rPr>
        <w:t> </w:t>
      </w:r>
      <w:r>
        <w:rPr>
          <w:spacing w:val="-3"/>
        </w:rPr>
        <w:t>万元，公司合并持股</w:t>
      </w:r>
      <w:r>
        <w:rPr>
          <w:spacing w:val="-11"/>
        </w:rPr>
        <w:t> </w:t>
      </w:r>
      <w:r>
        <w:rPr>
          <w:rFonts w:ascii="宋体" w:hAnsi="宋体" w:cs="宋体" w:eastAsia="宋体" w:hint="default"/>
        </w:rPr>
        <w:t>26.32%</w:t>
      </w:r>
      <w:r>
        <w:rPr/>
        <w:t>。主要从事基础设施投资和股权 投资及经营。</w:t>
      </w:r>
    </w:p>
    <w:p>
      <w:pPr>
        <w:spacing w:line="240" w:lineRule="auto" w:before="4"/>
        <w:rPr>
          <w:rFonts w:ascii="宋体" w:hAnsi="宋体" w:cs="宋体" w:eastAsia="宋体" w:hint="default"/>
          <w:sz w:val="28"/>
          <w:szCs w:val="28"/>
        </w:rPr>
      </w:pPr>
    </w:p>
    <w:p>
      <w:pPr>
        <w:pStyle w:val="BodyText"/>
        <w:spacing w:line="276" w:lineRule="auto"/>
        <w:ind w:left="518" w:right="554" w:firstLine="479"/>
        <w:jc w:val="both"/>
      </w:pPr>
      <w:r>
        <w:rPr>
          <w:spacing w:val="-2"/>
        </w:rPr>
        <w:t>同方国信是一家以实业和投资为主的大型综合控股集团公司，主要从事基础设施</w:t>
      </w:r>
      <w:r>
        <w:rPr/>
        <w:t> </w:t>
      </w:r>
      <w:r>
        <w:rPr>
          <w:spacing w:val="-2"/>
        </w:rPr>
        <w:t>投资和股权投资及经营。基础设施方面，同方国信投资控股了重庆路桥股份有限公司</w:t>
      </w:r>
    </w:p>
    <w:p>
      <w:pPr>
        <w:pStyle w:val="BodyText"/>
        <w:spacing w:line="276" w:lineRule="auto" w:before="10"/>
        <w:ind w:left="518" w:right="0"/>
        <w:jc w:val="left"/>
      </w:pPr>
      <w:r>
        <w:rPr>
          <w:spacing w:val="-2"/>
        </w:rPr>
        <w:t>（股票代码：</w:t>
      </w:r>
      <w:r>
        <w:rPr>
          <w:rFonts w:ascii="宋体" w:hAnsi="宋体" w:cs="宋体" w:eastAsia="宋体" w:hint="default"/>
          <w:spacing w:val="-2"/>
        </w:rPr>
        <w:t>600106</w:t>
      </w:r>
      <w:r>
        <w:rPr>
          <w:spacing w:val="-2"/>
        </w:rPr>
        <w:t>）、重庆渝涪高速有限公司等；股权投资及经营方面，同方国信</w:t>
      </w:r>
      <w:r>
        <w:rPr>
          <w:spacing w:val="-90"/>
        </w:rPr>
        <w:t> </w:t>
      </w:r>
      <w:r>
        <w:rPr>
          <w:spacing w:val="-90"/>
        </w:rPr>
      </w:r>
      <w:r>
        <w:rPr/>
        <w:t>以直接或间接的方式控股或参股了重庆国际信托股份有限公司、重庆三峡银行等。</w:t>
      </w:r>
    </w:p>
    <w:p>
      <w:pPr>
        <w:spacing w:line="240" w:lineRule="auto" w:before="0"/>
        <w:rPr>
          <w:rFonts w:ascii="宋体" w:hAnsi="宋体" w:cs="宋体" w:eastAsia="宋体" w:hint="default"/>
          <w:sz w:val="20"/>
          <w:szCs w:val="20"/>
        </w:rPr>
      </w:pPr>
    </w:p>
    <w:p>
      <w:pPr>
        <w:pStyle w:val="Heading2"/>
        <w:spacing w:line="240" w:lineRule="auto" w:before="200"/>
        <w:ind w:left="518" w:right="0"/>
        <w:jc w:val="left"/>
        <w:rPr>
          <w:b w:val="0"/>
          <w:bCs w:val="0"/>
        </w:rPr>
      </w:pPr>
      <w:r>
        <w:rPr/>
        <w:t>主要控股、参股子公司财务情况</w:t>
      </w:r>
      <w:r>
        <w:rPr>
          <w:b w:val="0"/>
          <w:bCs w:val="0"/>
        </w:rPr>
      </w:r>
    </w:p>
    <w:p>
      <w:pPr>
        <w:pStyle w:val="BodyText"/>
        <w:spacing w:line="240" w:lineRule="auto" w:before="67"/>
        <w:ind w:left="0" w:right="552"/>
        <w:jc w:val="right"/>
      </w:pPr>
      <w:r>
        <w:rPr/>
        <w:t>单位：万元</w:t>
      </w:r>
    </w:p>
    <w:p>
      <w:pPr>
        <w:spacing w:line="240" w:lineRule="auto" w:before="12"/>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488"/>
        <w:gridCol w:w="1565"/>
        <w:gridCol w:w="1162"/>
        <w:gridCol w:w="2182"/>
        <w:gridCol w:w="1544"/>
        <w:gridCol w:w="1733"/>
      </w:tblGrid>
      <w:tr>
        <w:trPr>
          <w:trHeight w:val="554"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2"/>
              <w:jc w:val="right"/>
              <w:rPr>
                <w:rFonts w:ascii="宋体" w:hAnsi="宋体" w:cs="宋体" w:eastAsia="宋体" w:hint="default"/>
                <w:sz w:val="21"/>
                <w:szCs w:val="21"/>
              </w:rPr>
            </w:pPr>
            <w:r>
              <w:rPr>
                <w:rFonts w:ascii="宋体" w:hAnsi="宋体" w:cs="宋体" w:eastAsia="宋体" w:hint="default"/>
                <w:b/>
                <w:bCs/>
                <w:sz w:val="21"/>
                <w:szCs w:val="21"/>
              </w:rPr>
              <w:t>主营业务收入</w:t>
            </w:r>
            <w:r>
              <w:rPr>
                <w:rFonts w:ascii="宋体" w:hAnsi="宋体" w:cs="宋体" w:eastAsia="宋体" w:hint="default"/>
                <w:sz w:val="21"/>
                <w:szCs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归属于母公司股东的</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期末净资产</w:t>
            </w:r>
            <w:r>
              <w:rPr>
                <w:rFonts w:ascii="宋体" w:hAnsi="宋体" w:cs="宋体" w:eastAsia="宋体" w:hint="default"/>
                <w:sz w:val="21"/>
                <w:szCs w:val="21"/>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hAnsi="宋体" w:cs="宋体" w:eastAsia="宋体" w:hint="default"/>
                <w:b/>
                <w:bCs/>
                <w:sz w:val="21"/>
                <w:szCs w:val="21"/>
              </w:rPr>
              <w:t>归属于母公司</w:t>
            </w:r>
            <w:r>
              <w:rPr>
                <w:rFonts w:ascii="宋体" w:hAnsi="宋体" w:cs="宋体" w:eastAsia="宋体" w:hint="default"/>
                <w:sz w:val="21"/>
                <w:szCs w:val="21"/>
              </w:rPr>
            </w:r>
          </w:p>
          <w:p>
            <w:pPr>
              <w:pStyle w:val="TableParagraph"/>
              <w:spacing w:line="273" w:lineRule="exact"/>
              <w:ind w:left="131" w:right="0"/>
              <w:jc w:val="left"/>
              <w:rPr>
                <w:rFonts w:ascii="宋体" w:hAnsi="宋体" w:cs="宋体" w:eastAsia="宋体" w:hint="default"/>
                <w:sz w:val="21"/>
                <w:szCs w:val="21"/>
              </w:rPr>
            </w:pPr>
            <w:r>
              <w:rPr>
                <w:rFonts w:ascii="宋体" w:hAnsi="宋体" w:cs="宋体" w:eastAsia="宋体" w:hint="default"/>
                <w:b/>
                <w:bCs/>
                <w:sz w:val="21"/>
                <w:szCs w:val="21"/>
              </w:rPr>
              <w:t>股东的净利润</w:t>
            </w:r>
            <w:r>
              <w:rPr>
                <w:rFonts w:ascii="宋体" w:hAnsi="宋体" w:cs="宋体" w:eastAsia="宋体" w:hint="default"/>
                <w:sz w:val="21"/>
                <w:szCs w:val="21"/>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44"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24"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同方威视</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537,019.60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38.68%</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369,565.83</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60,389.94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1,178,066.91</w:t>
            </w:r>
          </w:p>
        </w:tc>
      </w:tr>
      <w:tr>
        <w:trPr>
          <w:trHeight w:val="326"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同方工业</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100,199.49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22.72%</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3"/>
              <w:jc w:val="right"/>
              <w:rPr>
                <w:rFonts w:ascii="宋体" w:hAnsi="宋体" w:cs="宋体" w:eastAsia="宋体" w:hint="default"/>
                <w:sz w:val="21"/>
                <w:szCs w:val="21"/>
              </w:rPr>
            </w:pPr>
            <w:r>
              <w:rPr>
                <w:rFonts w:ascii="宋体"/>
                <w:spacing w:val="-1"/>
                <w:sz w:val="21"/>
              </w:rPr>
              <w:t>93,008.59</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4"/>
              <w:jc w:val="right"/>
              <w:rPr>
                <w:rFonts w:ascii="宋体" w:hAnsi="宋体" w:cs="宋体" w:eastAsia="宋体" w:hint="default"/>
                <w:sz w:val="21"/>
                <w:szCs w:val="21"/>
              </w:rPr>
            </w:pPr>
            <w:r>
              <w:rPr>
                <w:rFonts w:ascii="宋体"/>
                <w:spacing w:val="-1"/>
                <w:sz w:val="21"/>
              </w:rPr>
              <w:t>-5,121.77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179,835.11</w:t>
            </w:r>
          </w:p>
        </w:tc>
      </w:tr>
      <w:tr>
        <w:trPr>
          <w:trHeight w:val="310"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同方知网</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4"/>
              <w:jc w:val="right"/>
              <w:rPr>
                <w:rFonts w:ascii="宋体" w:hAnsi="宋体" w:cs="宋体" w:eastAsia="宋体" w:hint="default"/>
                <w:sz w:val="21"/>
                <w:szCs w:val="21"/>
              </w:rPr>
            </w:pPr>
            <w:r>
              <w:rPr>
                <w:rFonts w:ascii="宋体"/>
                <w:spacing w:val="-1"/>
                <w:sz w:val="21"/>
              </w:rPr>
              <w:t>99,929.56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z w:val="21"/>
              </w:rPr>
              <w:t>58.01%</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pacing w:val="-1"/>
                <w:sz w:val="21"/>
              </w:rPr>
              <w:t>160,767.89</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4"/>
              <w:jc w:val="right"/>
              <w:rPr>
                <w:rFonts w:ascii="宋体" w:hAnsi="宋体" w:cs="宋体" w:eastAsia="宋体" w:hint="default"/>
                <w:sz w:val="21"/>
                <w:szCs w:val="21"/>
              </w:rPr>
            </w:pPr>
            <w:r>
              <w:rPr>
                <w:rFonts w:ascii="宋体"/>
                <w:spacing w:val="-1"/>
                <w:sz w:val="21"/>
              </w:rPr>
              <w:t>19,764.49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230,758.19</w:t>
            </w:r>
          </w:p>
        </w:tc>
      </w:tr>
      <w:tr>
        <w:trPr>
          <w:trHeight w:val="310"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同方友友</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4"/>
              <w:jc w:val="right"/>
              <w:rPr>
                <w:rFonts w:ascii="宋体" w:hAnsi="宋体" w:cs="宋体" w:eastAsia="宋体" w:hint="default"/>
                <w:sz w:val="21"/>
                <w:szCs w:val="21"/>
              </w:rPr>
            </w:pPr>
            <w:r>
              <w:rPr>
                <w:rFonts w:ascii="宋体"/>
                <w:spacing w:val="-1"/>
                <w:sz w:val="21"/>
              </w:rPr>
              <w:t>69,255.93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z w:val="21"/>
              </w:rPr>
              <w:t>30.73%</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pacing w:val="-1"/>
                <w:sz w:val="21"/>
              </w:rPr>
              <w:t>169,902.14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4"/>
              <w:jc w:val="right"/>
              <w:rPr>
                <w:rFonts w:ascii="宋体" w:hAnsi="宋体" w:cs="宋体" w:eastAsia="宋体" w:hint="default"/>
                <w:sz w:val="21"/>
                <w:szCs w:val="21"/>
              </w:rPr>
            </w:pPr>
            <w:r>
              <w:rPr>
                <w:rFonts w:ascii="宋体"/>
                <w:spacing w:val="-1"/>
                <w:sz w:val="21"/>
              </w:rPr>
              <w:t>13,960.05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250,286.64</w:t>
            </w:r>
          </w:p>
        </w:tc>
      </w:tr>
      <w:tr>
        <w:trPr>
          <w:trHeight w:val="310"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同方泰德</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pacing w:val="-1"/>
                <w:sz w:val="21"/>
              </w:rPr>
              <w:t>204,576.66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z w:val="21"/>
              </w:rPr>
              <w:t>23.80%</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pacing w:val="-1"/>
                <w:sz w:val="21"/>
              </w:rPr>
              <w:t>262,175.33</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4"/>
              <w:jc w:val="right"/>
              <w:rPr>
                <w:rFonts w:ascii="宋体" w:hAnsi="宋体" w:cs="宋体" w:eastAsia="宋体" w:hint="default"/>
                <w:sz w:val="21"/>
                <w:szCs w:val="21"/>
              </w:rPr>
            </w:pPr>
            <w:r>
              <w:rPr>
                <w:rFonts w:ascii="宋体"/>
                <w:spacing w:val="-1"/>
                <w:sz w:val="21"/>
              </w:rPr>
              <w:t>26,108.71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460,349.99</w:t>
            </w:r>
          </w:p>
        </w:tc>
      </w:tr>
      <w:tr>
        <w:trPr>
          <w:trHeight w:val="310"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壹人壹本</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4"/>
              <w:jc w:val="right"/>
              <w:rPr>
                <w:rFonts w:ascii="宋体" w:hAnsi="宋体" w:cs="宋体" w:eastAsia="宋体" w:hint="default"/>
                <w:sz w:val="21"/>
                <w:szCs w:val="21"/>
              </w:rPr>
            </w:pPr>
            <w:r>
              <w:rPr>
                <w:rFonts w:ascii="宋体"/>
                <w:spacing w:val="-1"/>
                <w:sz w:val="21"/>
              </w:rPr>
              <w:t>83,383.10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z w:val="21"/>
              </w:rPr>
              <w:t>36.47%</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3"/>
              <w:jc w:val="right"/>
              <w:rPr>
                <w:rFonts w:ascii="宋体" w:hAnsi="宋体" w:cs="宋体" w:eastAsia="宋体" w:hint="default"/>
                <w:sz w:val="21"/>
                <w:szCs w:val="21"/>
              </w:rPr>
            </w:pPr>
            <w:r>
              <w:rPr>
                <w:rFonts w:ascii="宋体"/>
                <w:spacing w:val="-1"/>
                <w:sz w:val="21"/>
              </w:rPr>
              <w:t>70,514.52</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pacing w:val="-1"/>
                <w:sz w:val="21"/>
              </w:rPr>
              <w:t>-15,051.25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01"/>
              <w:jc w:val="right"/>
              <w:rPr>
                <w:rFonts w:ascii="宋体" w:hAnsi="宋体" w:cs="宋体" w:eastAsia="宋体" w:hint="default"/>
                <w:sz w:val="21"/>
                <w:szCs w:val="21"/>
              </w:rPr>
            </w:pPr>
            <w:r>
              <w:rPr>
                <w:rFonts w:ascii="宋体"/>
                <w:spacing w:val="-1"/>
                <w:sz w:val="21"/>
              </w:rPr>
              <w:t>97,787.31</w:t>
            </w:r>
          </w:p>
        </w:tc>
      </w:tr>
      <w:tr>
        <w:trPr>
          <w:trHeight w:val="312"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同方国信</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4"/>
              <w:jc w:val="right"/>
              <w:rPr>
                <w:rFonts w:ascii="宋体" w:hAnsi="宋体" w:cs="宋体" w:eastAsia="宋体" w:hint="default"/>
                <w:sz w:val="21"/>
                <w:szCs w:val="21"/>
              </w:rPr>
            </w:pPr>
            <w:r>
              <w:rPr>
                <w:rFonts w:ascii="宋体"/>
                <w:spacing w:val="-1"/>
                <w:sz w:val="21"/>
              </w:rPr>
              <w:t>1,090,030.04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8"/>
              <w:jc w:val="right"/>
              <w:rPr>
                <w:rFonts w:ascii="宋体" w:hAnsi="宋体" w:cs="宋体" w:eastAsia="宋体" w:hint="default"/>
                <w:sz w:val="21"/>
                <w:szCs w:val="21"/>
              </w:rPr>
            </w:pPr>
            <w:r>
              <w:rPr>
                <w:rFonts w:ascii="宋体"/>
                <w:sz w:val="21"/>
              </w:rPr>
              <w:t>44.26%</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1"/>
                <w:szCs w:val="21"/>
              </w:rPr>
            </w:pPr>
            <w:r>
              <w:rPr>
                <w:rFonts w:ascii="宋体"/>
                <w:spacing w:val="-1"/>
                <w:sz w:val="21"/>
              </w:rPr>
              <w:t>2,491,294.59</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1"/>
                <w:szCs w:val="21"/>
              </w:rPr>
            </w:pPr>
            <w:r>
              <w:rPr>
                <w:rFonts w:ascii="宋体"/>
                <w:spacing w:val="-1"/>
                <w:sz w:val="21"/>
              </w:rPr>
              <w:t>227,418.42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1"/>
                <w:szCs w:val="21"/>
              </w:rPr>
            </w:pPr>
            <w:r>
              <w:rPr>
                <w:rFonts w:ascii="宋体"/>
                <w:spacing w:val="-1"/>
                <w:sz w:val="21"/>
              </w:rPr>
              <w:t>27,831,262.33</w:t>
            </w:r>
          </w:p>
        </w:tc>
      </w:tr>
    </w:tbl>
    <w:p>
      <w:pPr>
        <w:spacing w:after="0" w:line="256" w:lineRule="exact"/>
        <w:jc w:val="right"/>
        <w:rPr>
          <w:rFonts w:ascii="宋体" w:hAnsi="宋体" w:cs="宋体" w:eastAsia="宋体" w:hint="default"/>
          <w:sz w:val="21"/>
          <w:szCs w:val="21"/>
        </w:rPr>
        <w:sectPr>
          <w:pgSz w:w="11910" w:h="16840"/>
          <w:pgMar w:header="0" w:footer="1193" w:top="780" w:bottom="1380" w:left="1280" w:right="720"/>
        </w:sectPr>
      </w:pPr>
    </w:p>
    <w:p>
      <w:pPr>
        <w:spacing w:before="25"/>
        <w:ind w:left="120" w:right="232"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Heading2"/>
        <w:spacing w:line="240" w:lineRule="auto" w:before="26"/>
        <w:ind w:right="0"/>
        <w:jc w:val="both"/>
        <w:rPr>
          <w:b w:val="0"/>
          <w:bCs w:val="0"/>
        </w:rPr>
      </w:pPr>
      <w:r>
        <w:rPr>
          <w:rFonts w:ascii="宋体" w:hAnsi="宋体" w:cs="宋体" w:eastAsia="宋体" w:hint="default"/>
        </w:rPr>
        <w:t>(</w:t>
      </w:r>
      <w:r>
        <w:rPr/>
        <w:t>八</w:t>
      </w:r>
      <w:r>
        <w:rPr>
          <w:rFonts w:ascii="宋体" w:hAnsi="宋体" w:cs="宋体" w:eastAsia="宋体" w:hint="default"/>
        </w:rPr>
        <w:t>) </w:t>
      </w:r>
      <w:r>
        <w:rPr>
          <w:rFonts w:ascii="宋体" w:hAnsi="宋体" w:cs="宋体" w:eastAsia="宋体" w:hint="default"/>
          <w:spacing w:val="112"/>
        </w:rPr>
        <w:t> </w:t>
      </w:r>
      <w:r>
        <w:rPr/>
        <w:t>公司控制的结构化主体情况</w:t>
      </w:r>
      <w:r>
        <w:rPr>
          <w:b w:val="0"/>
          <w:bCs w:val="0"/>
        </w:rPr>
      </w:r>
    </w:p>
    <w:p>
      <w:pPr>
        <w:pStyle w:val="BodyText"/>
        <w:spacing w:line="240" w:lineRule="auto" w:before="106"/>
        <w:ind w:right="0"/>
        <w:jc w:val="both"/>
      </w:pPr>
      <w:r>
        <w:rPr/>
        <w:t>□适用</w:t>
      </w:r>
      <w:r>
        <w:rPr>
          <w:spacing w:val="119"/>
        </w:rPr>
        <w:t> </w:t>
      </w:r>
      <w:r>
        <w:rPr/>
        <w:t>√不适用</w:t>
      </w:r>
    </w:p>
    <w:p>
      <w:pPr>
        <w:spacing w:line="240" w:lineRule="auto" w:before="8"/>
        <w:rPr>
          <w:rFonts w:ascii="宋体" w:hAnsi="宋体" w:cs="宋体" w:eastAsia="宋体" w:hint="default"/>
          <w:sz w:val="35"/>
          <w:szCs w:val="35"/>
        </w:rPr>
      </w:pPr>
    </w:p>
    <w:p>
      <w:pPr>
        <w:pStyle w:val="Heading2"/>
        <w:tabs>
          <w:tab w:pos="977" w:val="left" w:leader="none"/>
        </w:tabs>
        <w:spacing w:line="321" w:lineRule="auto"/>
        <w:ind w:right="4730"/>
        <w:jc w:val="left"/>
        <w:rPr>
          <w:b w:val="0"/>
          <w:bCs w:val="0"/>
        </w:rPr>
      </w:pPr>
      <w:r>
        <w:rPr/>
        <w:t>三、公司关于公司未来发展的讨论与分析</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行业格局和趋势</w:t>
      </w:r>
      <w:r>
        <w:rPr>
          <w:b w:val="0"/>
          <w:bCs w:val="0"/>
        </w:rPr>
      </w:r>
    </w:p>
    <w:p>
      <w:pPr>
        <w:pStyle w:val="BodyText"/>
        <w:spacing w:line="240" w:lineRule="auto" w:before="24"/>
        <w:ind w:right="0"/>
        <w:jc w:val="both"/>
      </w:pPr>
      <w:r>
        <w:rPr/>
        <w:t>√适用</w:t>
      </w:r>
      <w:r>
        <w:rPr>
          <w:spacing w:val="119"/>
        </w:rPr>
        <w:t> </w:t>
      </w:r>
      <w:r>
        <w:rPr/>
        <w:t>□不适用</w:t>
      </w:r>
    </w:p>
    <w:p>
      <w:pPr>
        <w:pStyle w:val="BodyText"/>
        <w:spacing w:line="276" w:lineRule="auto" w:before="46"/>
        <w:ind w:right="97" w:firstLine="479"/>
        <w:jc w:val="left"/>
      </w:pPr>
      <w:r>
        <w:rPr/>
        <w:t>回顾 </w:t>
      </w:r>
      <w:r>
        <w:rPr>
          <w:rFonts w:ascii="宋体" w:hAnsi="宋体" w:cs="宋体" w:eastAsia="宋体" w:hint="default"/>
        </w:rPr>
        <w:t>2018</w:t>
      </w:r>
      <w:r>
        <w:rPr>
          <w:rFonts w:ascii="宋体" w:hAnsi="宋体" w:cs="宋体" w:eastAsia="宋体" w:hint="default"/>
          <w:spacing w:val="-48"/>
        </w:rPr>
        <w:t> </w:t>
      </w:r>
      <w:r>
        <w:rPr/>
        <w:t>年，我国全年经济运行保持在合理区间，经济结构不断优化，国内生 产总值增长</w:t>
      </w:r>
      <w:r>
        <w:rPr>
          <w:spacing w:val="-56"/>
        </w:rPr>
        <w:t> </w:t>
      </w:r>
      <w:r>
        <w:rPr>
          <w:rFonts w:ascii="宋体" w:hAnsi="宋体" w:cs="宋体" w:eastAsia="宋体" w:hint="default"/>
        </w:rPr>
        <w:t>6.6%</w:t>
      </w:r>
      <w:r>
        <w:rPr/>
        <w:t>，总量突破</w:t>
      </w:r>
      <w:r>
        <w:rPr>
          <w:spacing w:val="-55"/>
        </w:rPr>
        <w:t> </w:t>
      </w:r>
      <w:r>
        <w:rPr>
          <w:rFonts w:ascii="宋体" w:hAnsi="宋体" w:cs="宋体" w:eastAsia="宋体" w:hint="default"/>
        </w:rPr>
        <w:t>90</w:t>
      </w:r>
      <w:r>
        <w:rPr>
          <w:rFonts w:ascii="宋体" w:hAnsi="宋体" w:cs="宋体" w:eastAsia="宋体" w:hint="default"/>
          <w:spacing w:val="-56"/>
        </w:rPr>
        <w:t> </w:t>
      </w:r>
      <w:r>
        <w:rPr/>
        <w:t>万亿元，经济发展的质量和效益继续提升。然而，面 </w:t>
      </w:r>
      <w:r>
        <w:rPr>
          <w:spacing w:val="-5"/>
        </w:rPr>
        <w:t>对深刻变化的外部环境，我国仍然面对经济转型阵痛凸显的严峻挑战。新老矛盾交织，</w:t>
      </w:r>
      <w:r>
        <w:rPr>
          <w:spacing w:val="-98"/>
        </w:rPr>
        <w:t> </w:t>
      </w:r>
      <w:r>
        <w:rPr>
          <w:spacing w:val="-98"/>
        </w:rPr>
      </w:r>
      <w:r>
        <w:rPr/>
        <w:t>周期性、结构性问题叠加，经济运行稳中有变、变中有忧。</w:t>
      </w:r>
    </w:p>
    <w:p>
      <w:pPr>
        <w:spacing w:line="240" w:lineRule="auto" w:before="4"/>
        <w:rPr>
          <w:rFonts w:ascii="宋体" w:hAnsi="宋体" w:cs="宋体" w:eastAsia="宋体" w:hint="default"/>
          <w:sz w:val="28"/>
          <w:szCs w:val="28"/>
        </w:rPr>
      </w:pPr>
    </w:p>
    <w:p>
      <w:pPr>
        <w:pStyle w:val="BodyText"/>
        <w:spacing w:line="276" w:lineRule="auto"/>
        <w:ind w:right="231" w:firstLine="479"/>
        <w:jc w:val="both"/>
      </w:pPr>
      <w:r>
        <w:rPr>
          <w:rFonts w:ascii="宋体" w:hAnsi="宋体" w:cs="宋体" w:eastAsia="宋体" w:hint="default"/>
        </w:rPr>
        <w:t>2019</w:t>
      </w:r>
      <w:r>
        <w:rPr>
          <w:rFonts w:ascii="宋体" w:hAnsi="宋体" w:cs="宋体" w:eastAsia="宋体" w:hint="default"/>
          <w:spacing w:val="-56"/>
        </w:rPr>
        <w:t> </w:t>
      </w:r>
      <w:r>
        <w:rPr/>
        <w:t>年是新中国成立</w:t>
      </w:r>
      <w:r>
        <w:rPr>
          <w:spacing w:val="-55"/>
        </w:rPr>
        <w:t> </w:t>
      </w:r>
      <w:r>
        <w:rPr>
          <w:rFonts w:ascii="宋体" w:hAnsi="宋体" w:cs="宋体" w:eastAsia="宋体" w:hint="default"/>
        </w:rPr>
        <w:t>70</w:t>
      </w:r>
      <w:r>
        <w:rPr>
          <w:rFonts w:ascii="宋体" w:hAnsi="宋体" w:cs="宋体" w:eastAsia="宋体" w:hint="default"/>
          <w:spacing w:val="-56"/>
        </w:rPr>
        <w:t> </w:t>
      </w:r>
      <w:r>
        <w:rPr/>
        <w:t>周年，是全面建成小康社会第一个百年奋斗目标的关键 </w:t>
      </w:r>
      <w:r>
        <w:rPr>
          <w:spacing w:val="-2"/>
        </w:rPr>
        <w:t>之年。面对错综复杂的国际环境和艰巨繁重的国内改革发展稳定任务，我国政府提出</w:t>
      </w:r>
      <w:r>
        <w:rPr>
          <w:spacing w:val="-94"/>
        </w:rPr>
        <w:t> </w:t>
      </w:r>
      <w:r>
        <w:rPr>
          <w:spacing w:val="-94"/>
        </w:rPr>
      </w:r>
      <w:r>
        <w:rPr>
          <w:spacing w:val="-2"/>
        </w:rPr>
        <w:t>将深化供给侧结构性改革，促进实体经济活力不断释放，同时深入实施创新驱动发展</w:t>
      </w:r>
      <w:r>
        <w:rPr>
          <w:spacing w:val="-94"/>
        </w:rPr>
        <w:t> </w:t>
      </w:r>
      <w:r>
        <w:rPr>
          <w:spacing w:val="-94"/>
        </w:rPr>
      </w:r>
      <w:r>
        <w:rPr/>
        <w:t>战略，进一步提升创新能力和效率，加快在各行业各领域推进“互联网+”，</w:t>
      </w:r>
      <w:r>
        <w:rPr>
          <w:spacing w:val="-45"/>
        </w:rPr>
        <w:t> </w:t>
      </w:r>
      <w:r>
        <w:rPr/>
        <w:t>加大基</w:t>
      </w:r>
      <w:r>
        <w:rPr/>
        <w:t> </w:t>
      </w:r>
      <w:r>
        <w:rPr>
          <w:spacing w:val="-2"/>
        </w:rPr>
        <w:t>础研究和应用基础研究支持力度，强化原始创新，加强关键核心技术攻关，健全以企</w:t>
      </w:r>
      <w:r>
        <w:rPr>
          <w:spacing w:val="-97"/>
        </w:rPr>
        <w:t> </w:t>
      </w:r>
      <w:r>
        <w:rPr>
          <w:spacing w:val="-97"/>
        </w:rPr>
      </w:r>
      <w:r>
        <w:rPr>
          <w:spacing w:val="-2"/>
        </w:rPr>
        <w:t>业为主体的产学研一体化创新机制。同时持续推进污染防治，巩固扩大蓝天保卫战成</w:t>
      </w:r>
      <w:r>
        <w:rPr>
          <w:spacing w:val="-94"/>
        </w:rPr>
        <w:t> </w:t>
      </w:r>
      <w:r>
        <w:rPr>
          <w:spacing w:val="-94"/>
        </w:rPr>
      </w:r>
      <w:r>
        <w:rPr>
          <w:spacing w:val="-2"/>
        </w:rPr>
        <w:t>果，促进资源节约和循环利用，推广绿色建筑。改革完善环境经济政策，加快发展绿</w:t>
      </w:r>
      <w:r>
        <w:rPr>
          <w:spacing w:val="-94"/>
        </w:rPr>
        <w:t> </w:t>
      </w:r>
      <w:r>
        <w:rPr>
          <w:spacing w:val="-94"/>
        </w:rPr>
      </w:r>
      <w:r>
        <w:rPr>
          <w:spacing w:val="-2"/>
        </w:rPr>
        <w:t>色金融，培育一批专业化环保骨干企业，提升绿色发展能力。为此，公司所处的信息</w:t>
      </w:r>
      <w:r>
        <w:rPr>
          <w:spacing w:val="-94"/>
        </w:rPr>
        <w:t> </w:t>
      </w:r>
      <w:r>
        <w:rPr>
          <w:spacing w:val="-94"/>
        </w:rPr>
      </w:r>
      <w:r>
        <w:rPr/>
        <w:t>产业和节能环保产业均将迎来发展机遇。</w:t>
      </w:r>
    </w:p>
    <w:p>
      <w:pPr>
        <w:spacing w:line="240" w:lineRule="auto" w:before="4"/>
        <w:rPr>
          <w:rFonts w:ascii="宋体" w:hAnsi="宋体" w:cs="宋体" w:eastAsia="宋体" w:hint="default"/>
          <w:sz w:val="28"/>
          <w:szCs w:val="28"/>
        </w:rPr>
      </w:pPr>
    </w:p>
    <w:p>
      <w:pPr>
        <w:pStyle w:val="Heading2"/>
        <w:spacing w:line="240" w:lineRule="auto"/>
        <w:ind w:right="0"/>
        <w:jc w:val="both"/>
        <w:rPr>
          <w:b w:val="0"/>
          <w:bCs w:val="0"/>
        </w:rPr>
      </w:pPr>
      <w:r>
        <w:rPr>
          <w:rFonts w:ascii="宋体" w:hAnsi="宋体" w:cs="宋体" w:eastAsia="宋体" w:hint="default"/>
        </w:rPr>
        <w:t>1.</w:t>
      </w:r>
      <w:r>
        <w:rPr>
          <w:rFonts w:ascii="宋体" w:hAnsi="宋体" w:cs="宋体" w:eastAsia="宋体" w:hint="default"/>
          <w:spacing w:val="54"/>
        </w:rPr>
        <w:t> </w:t>
      </w:r>
      <w:r>
        <w:rPr/>
        <w:t>从公司所处的信息产业来看</w:t>
      </w:r>
      <w:r>
        <w:rPr>
          <w:b w:val="0"/>
          <w:bCs w:val="0"/>
        </w:rPr>
      </w:r>
    </w:p>
    <w:p>
      <w:pPr>
        <w:spacing w:line="240" w:lineRule="auto" w:before="0"/>
        <w:rPr>
          <w:rFonts w:ascii="宋体" w:hAnsi="宋体" w:cs="宋体" w:eastAsia="宋体" w:hint="default"/>
          <w:b/>
          <w:bCs/>
          <w:sz w:val="31"/>
          <w:szCs w:val="31"/>
        </w:rPr>
      </w:pPr>
    </w:p>
    <w:p>
      <w:pPr>
        <w:pStyle w:val="BodyText"/>
        <w:spacing w:line="240" w:lineRule="auto"/>
        <w:ind w:left="618" w:right="97"/>
        <w:jc w:val="left"/>
      </w:pPr>
      <w:r>
        <w:rPr>
          <w:rFonts w:ascii="宋体" w:hAnsi="宋体" w:cs="宋体" w:eastAsia="宋体" w:hint="default"/>
        </w:rPr>
        <w:t>2018</w:t>
      </w:r>
      <w:r>
        <w:rPr>
          <w:rFonts w:ascii="宋体" w:hAnsi="宋体" w:cs="宋体" w:eastAsia="宋体" w:hint="default"/>
          <w:spacing w:val="-36"/>
        </w:rPr>
        <w:t> </w:t>
      </w:r>
      <w:r>
        <w:rPr>
          <w:spacing w:val="-4"/>
        </w:rPr>
        <w:t>年，</w:t>
      </w:r>
      <w:hyperlink r:id="rId15">
        <w:r>
          <w:rPr>
            <w:spacing w:val="-4"/>
          </w:rPr>
          <w:t>全球传统消费电子市场</w:t>
        </w:r>
      </w:hyperlink>
      <w:r>
        <w:rPr>
          <w:spacing w:val="-4"/>
        </w:rPr>
        <w:t>疲软不振，产业发展经贸不确定性不断提升，我</w:t>
      </w:r>
    </w:p>
    <w:p>
      <w:pPr>
        <w:pStyle w:val="BodyText"/>
        <w:spacing w:line="276" w:lineRule="auto" w:before="46"/>
        <w:ind w:right="233"/>
        <w:jc w:val="both"/>
      </w:pPr>
      <w:r>
        <w:rPr>
          <w:spacing w:val="-5"/>
        </w:rPr>
        <w:t>国电子信息制造业可谓迎难而上谋发展。展望 </w:t>
      </w:r>
      <w:r>
        <w:rPr>
          <w:rFonts w:ascii="宋体" w:hAnsi="宋体" w:cs="宋体" w:eastAsia="宋体" w:hint="default"/>
        </w:rPr>
        <w:t>2019</w:t>
      </w:r>
      <w:r>
        <w:rPr>
          <w:rFonts w:ascii="宋体" w:hAnsi="宋体" w:cs="宋体" w:eastAsia="宋体" w:hint="default"/>
          <w:spacing w:val="-95"/>
        </w:rPr>
        <w:t> </w:t>
      </w:r>
      <w:r>
        <w:rPr>
          <w:spacing w:val="-6"/>
        </w:rPr>
        <w:t>年，在中美贸易摩擦加剧态势下，</w:t>
      </w:r>
      <w:r>
        <w:rPr/>
        <w:t> </w:t>
      </w:r>
      <w:r>
        <w:rPr>
          <w:spacing w:val="-2"/>
        </w:rPr>
        <w:t>电子信息制造业面临“外患内忧”的瓶颈局面，增长力度将有所减缓，并亟待聚力创</w:t>
      </w:r>
      <w:r>
        <w:rPr>
          <w:spacing w:val="-94"/>
        </w:rPr>
        <w:t> </w:t>
      </w:r>
      <w:r>
        <w:rPr>
          <w:spacing w:val="-94"/>
        </w:rPr>
      </w:r>
      <w:r>
        <w:rPr/>
        <w:t>新，打造差异化竞争体系，走向高质量发展。</w:t>
      </w:r>
    </w:p>
    <w:p>
      <w:pPr>
        <w:spacing w:line="240" w:lineRule="auto" w:before="4"/>
        <w:rPr>
          <w:rFonts w:ascii="宋体" w:hAnsi="宋体" w:cs="宋体" w:eastAsia="宋体" w:hint="default"/>
          <w:sz w:val="28"/>
          <w:szCs w:val="28"/>
        </w:rPr>
      </w:pPr>
    </w:p>
    <w:p>
      <w:pPr>
        <w:pStyle w:val="BodyText"/>
        <w:spacing w:line="276" w:lineRule="auto"/>
        <w:ind w:right="233" w:firstLine="479"/>
        <w:jc w:val="both"/>
      </w:pPr>
      <w:r>
        <w:rPr>
          <w:spacing w:val="-2"/>
        </w:rPr>
        <w:t>我国电子信息制造业正加速结构调整与动能转换。一方面，手机、计算机和彩电</w:t>
      </w:r>
      <w:r>
        <w:rPr/>
        <w:t> </w:t>
      </w:r>
      <w:r>
        <w:rPr>
          <w:spacing w:val="-2"/>
        </w:rPr>
        <w:t>等传统行业继续保持规模优势；另一方面，主要行业和产品的高端化、智能化发展成</w:t>
      </w:r>
      <w:r>
        <w:rPr>
          <w:spacing w:val="-95"/>
        </w:rPr>
        <w:t> </w:t>
      </w:r>
      <w:r>
        <w:rPr>
          <w:spacing w:val="-95"/>
        </w:rPr>
      </w:r>
      <w:r>
        <w:rPr/>
        <w:t>果显著，智能手机、智能电视机市场渗透率超过</w:t>
      </w:r>
      <w:r>
        <w:rPr>
          <w:spacing w:val="-48"/>
        </w:rPr>
        <w:t> </w:t>
      </w:r>
      <w:r>
        <w:rPr>
          <w:rFonts w:ascii="宋体" w:hAnsi="宋体" w:cs="宋体" w:eastAsia="宋体" w:hint="default"/>
        </w:rPr>
        <w:t>80%</w:t>
      </w:r>
      <w:r>
        <w:rPr/>
        <w:t>，智能可穿戴设备、智能家居产 品、虚拟现实设备等新兴产品种类不断丰富。</w:t>
      </w:r>
    </w:p>
    <w:p>
      <w:pPr>
        <w:spacing w:line="240" w:lineRule="auto" w:before="4"/>
        <w:rPr>
          <w:rFonts w:ascii="宋体" w:hAnsi="宋体" w:cs="宋体" w:eastAsia="宋体" w:hint="default"/>
          <w:sz w:val="28"/>
          <w:szCs w:val="28"/>
        </w:rPr>
      </w:pPr>
    </w:p>
    <w:p>
      <w:pPr>
        <w:pStyle w:val="BodyText"/>
        <w:spacing w:line="276" w:lineRule="auto"/>
        <w:ind w:right="234" w:firstLine="479"/>
        <w:jc w:val="both"/>
      </w:pPr>
      <w:r>
        <w:rPr>
          <w:spacing w:val="-2"/>
        </w:rPr>
        <w:t>同时，云计算、大数据、工业互联网、人工智能等新技术加速推广应用；</w:t>
      </w:r>
      <w:r>
        <w:rPr>
          <w:rFonts w:ascii="宋体" w:hAnsi="宋体" w:cs="宋体" w:eastAsia="宋体" w:hint="default"/>
          <w:spacing w:val="-2"/>
        </w:rPr>
        <w:t>5G</w:t>
      </w:r>
      <w:r>
        <w:rPr>
          <w:spacing w:val="-2"/>
        </w:rPr>
        <w:t>、下</w:t>
      </w:r>
      <w:r>
        <w:rPr>
          <w:spacing w:val="-10"/>
        </w:rPr>
        <w:t> </w:t>
      </w:r>
      <w:r>
        <w:rPr>
          <w:spacing w:val="-2"/>
        </w:rPr>
        <w:t>一代互联网、超高速大容量光传输技术、量子通信等前沿技术的研发和商用进程不断</w:t>
      </w:r>
      <w:r>
        <w:rPr>
          <w:spacing w:val="-94"/>
        </w:rPr>
        <w:t> </w:t>
      </w:r>
      <w:r>
        <w:rPr>
          <w:spacing w:val="-94"/>
        </w:rPr>
      </w:r>
      <w:r>
        <w:rPr>
          <w:spacing w:val="-8"/>
        </w:rPr>
        <w:t>加快。电子信息产业与其他领域的产业融合、技术融合、市场融合进一步加速和深化，</w:t>
      </w:r>
      <w:r>
        <w:rPr>
          <w:spacing w:val="-104"/>
        </w:rPr>
        <w:t> </w:t>
      </w:r>
      <w:r>
        <w:rPr>
          <w:spacing w:val="-104"/>
        </w:rPr>
      </w:r>
      <w:r>
        <w:rPr/>
        <w:t>已成为支撑我国制造强国、网络强国建设和我国经济社会创新发展的重要引擎。</w:t>
      </w:r>
    </w:p>
    <w:p>
      <w:pPr>
        <w:spacing w:after="0" w:line="276" w:lineRule="auto"/>
        <w:jc w:val="both"/>
        <w:sectPr>
          <w:pgSz w:w="11910" w:h="16840"/>
          <w:pgMar w:header="0" w:footer="1193" w:top="780" w:bottom="1380" w:left="1660" w:right="1040"/>
        </w:sectPr>
      </w:pPr>
    </w:p>
    <w:p>
      <w:pPr>
        <w:spacing w:before="25"/>
        <w:ind w:left="120" w:right="232"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26"/>
        <w:ind w:left="618" w:right="97"/>
        <w:jc w:val="left"/>
      </w:pPr>
      <w:r>
        <w:rPr/>
        <w:t>我国电子信息制造业新兴领域创新与国际速度显现落差，亟需加速合力凝成协同</w:t>
      </w:r>
    </w:p>
    <w:p>
      <w:pPr>
        <w:pStyle w:val="BodyText"/>
        <w:spacing w:line="276" w:lineRule="auto" w:before="46"/>
        <w:ind w:right="97"/>
        <w:jc w:val="left"/>
      </w:pPr>
      <w:r>
        <w:rPr/>
        <w:t>创新体系。传统领域下降态势尚难被创新势能提振，有待聚力打造差异化竞争体系。</w:t>
      </w:r>
      <w:r>
        <w:rPr>
          <w:spacing w:val="-49"/>
        </w:rPr>
        <w:t> </w:t>
      </w:r>
      <w:r>
        <w:rPr>
          <w:spacing w:val="-49"/>
        </w:rPr>
      </w:r>
      <w:r>
        <w:rPr/>
        <w:t>产业规模和供应链掌控水平尚不协调，亟待构建安全可控的供应链体系。</w:t>
      </w:r>
    </w:p>
    <w:p>
      <w:pPr>
        <w:spacing w:line="720" w:lineRule="exact" w:before="74"/>
        <w:ind w:left="618" w:right="97" w:hanging="48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pacing w:val="55"/>
          <w:sz w:val="24"/>
          <w:szCs w:val="24"/>
        </w:rPr>
        <w:t> </w:t>
      </w:r>
      <w:r>
        <w:rPr>
          <w:rFonts w:ascii="宋体" w:hAnsi="宋体" w:cs="宋体" w:eastAsia="宋体" w:hint="default"/>
          <w:b/>
          <w:bCs/>
          <w:sz w:val="24"/>
          <w:szCs w:val="24"/>
        </w:rPr>
        <w:t>从公司所处的节能环保产业来看</w:t>
      </w:r>
      <w:r>
        <w:rPr>
          <w:rFonts w:ascii="宋体" w:hAnsi="宋体" w:cs="宋体" w:eastAsia="宋体" w:hint="default"/>
          <w:b/>
          <w:bCs/>
          <w:w w:val="99"/>
          <w:sz w:val="24"/>
          <w:szCs w:val="24"/>
        </w:rPr>
        <w:t> </w:t>
      </w:r>
      <w:r>
        <w:rPr>
          <w:rFonts w:ascii="宋体" w:hAnsi="宋体" w:cs="宋体" w:eastAsia="宋体" w:hint="default"/>
          <w:spacing w:val="-2"/>
          <w:sz w:val="24"/>
          <w:szCs w:val="24"/>
        </w:rPr>
        <w:t>国家出台的《“十三五”国家战略性新兴产业发展规划》中，明确提到要加快发</w:t>
      </w:r>
    </w:p>
    <w:p>
      <w:pPr>
        <w:pStyle w:val="BodyText"/>
        <w:spacing w:line="250" w:lineRule="exact"/>
        <w:ind w:right="97"/>
        <w:jc w:val="left"/>
        <w:rPr>
          <w:rFonts w:ascii="宋体" w:hAnsi="宋体" w:cs="宋体" w:eastAsia="宋体" w:hint="default"/>
        </w:rPr>
      </w:pPr>
      <w:r>
        <w:rPr/>
        <w:t>展先进环保产业。《“十三五”节能环保产业发展规划》中，也明确提出，到</w:t>
      </w:r>
      <w:r>
        <w:rPr>
          <w:spacing w:val="62"/>
        </w:rPr>
        <w:t> </w:t>
      </w:r>
      <w:r>
        <w:rPr>
          <w:rFonts w:ascii="宋体" w:hAnsi="宋体" w:cs="宋体" w:eastAsia="宋体" w:hint="default"/>
        </w:rPr>
        <w:t>2020</w:t>
      </w:r>
    </w:p>
    <w:p>
      <w:pPr>
        <w:pStyle w:val="BodyText"/>
        <w:spacing w:line="276" w:lineRule="auto" w:before="46"/>
        <w:ind w:right="232"/>
        <w:jc w:val="both"/>
      </w:pPr>
      <w:r>
        <w:rPr>
          <w:spacing w:val="-2"/>
        </w:rPr>
        <w:t>年，实现节能环保产业快速发展、质量效益显著提升，高效节能环保产品市场占有率</w:t>
      </w:r>
      <w:r>
        <w:rPr>
          <w:spacing w:val="-94"/>
        </w:rPr>
        <w:t> </w:t>
      </w:r>
      <w:r>
        <w:rPr>
          <w:spacing w:val="-94"/>
        </w:rPr>
      </w:r>
      <w:r>
        <w:rPr>
          <w:spacing w:val="-2"/>
        </w:rPr>
        <w:t>明显提高，一批关键核心技术取得突破，有利于节能环保产业发展的制度政策体系基</w:t>
      </w:r>
      <w:r>
        <w:rPr>
          <w:spacing w:val="-94"/>
        </w:rPr>
        <w:t> </w:t>
      </w:r>
      <w:r>
        <w:rPr>
          <w:spacing w:val="-94"/>
        </w:rPr>
      </w:r>
      <w:r>
        <w:rPr/>
        <w:t>本形成，节能环保产业成为国民经济的一大支柱产业。</w:t>
      </w:r>
    </w:p>
    <w:p>
      <w:pPr>
        <w:spacing w:line="240" w:lineRule="auto" w:before="4"/>
        <w:rPr>
          <w:rFonts w:ascii="宋体" w:hAnsi="宋体" w:cs="宋体" w:eastAsia="宋体" w:hint="default"/>
          <w:sz w:val="28"/>
          <w:szCs w:val="28"/>
        </w:rPr>
      </w:pPr>
    </w:p>
    <w:p>
      <w:pPr>
        <w:pStyle w:val="BodyText"/>
        <w:spacing w:line="276" w:lineRule="auto"/>
        <w:ind w:right="232" w:firstLine="479"/>
        <w:jc w:val="both"/>
      </w:pPr>
      <w:r>
        <w:rPr>
          <w:spacing w:val="-2"/>
        </w:rPr>
        <w:t>国内的环保产业已经迈入一个全新的局面，水土固废气的大监管格局已形成。新</w:t>
      </w:r>
      <w:r>
        <w:rPr/>
        <w:t> </w:t>
      </w:r>
      <w:r>
        <w:rPr>
          <w:spacing w:val="-2"/>
        </w:rPr>
        <w:t>的格局下，环保产业已从政策播种时代进入到全面的政策深耕时代。据前瞻产业研究</w:t>
      </w:r>
      <w:r>
        <w:rPr>
          <w:spacing w:val="-93"/>
        </w:rPr>
        <w:t> </w:t>
      </w:r>
      <w:r>
        <w:rPr>
          <w:spacing w:val="-93"/>
        </w:rPr>
      </w:r>
      <w:r>
        <w:rPr/>
        <w:t>院发布的《中国环保行业发展前景与投资预测分析报告》统计数据，预测 </w:t>
      </w:r>
      <w:r>
        <w:rPr>
          <w:rFonts w:ascii="宋体" w:hAnsi="宋体" w:cs="宋体" w:eastAsia="宋体" w:hint="default"/>
        </w:rPr>
        <w:t>2019</w:t>
      </w:r>
      <w:r>
        <w:rPr>
          <w:rFonts w:ascii="宋体" w:hAnsi="宋体" w:cs="宋体" w:eastAsia="宋体" w:hint="default"/>
          <w:spacing w:val="-47"/>
        </w:rPr>
        <w:t> </w:t>
      </w:r>
      <w:r>
        <w:rPr/>
        <w:t>年中</w:t>
      </w:r>
    </w:p>
    <w:p>
      <w:pPr>
        <w:pStyle w:val="BodyText"/>
        <w:spacing w:line="240" w:lineRule="auto" w:before="10"/>
        <w:ind w:right="97"/>
        <w:jc w:val="left"/>
      </w:pPr>
      <w:r>
        <w:rPr>
          <w:spacing w:val="9"/>
        </w:rPr>
        <w:t>国环保行业总产值将达 </w:t>
      </w:r>
      <w:r>
        <w:rPr>
          <w:rFonts w:ascii="宋体" w:hAnsi="宋体" w:cs="宋体" w:eastAsia="宋体" w:hint="default"/>
        </w:rPr>
        <w:t>8.87</w:t>
      </w:r>
      <w:r>
        <w:rPr>
          <w:rFonts w:ascii="宋体" w:hAnsi="宋体" w:cs="宋体" w:eastAsia="宋体" w:hint="default"/>
          <w:spacing w:val="31"/>
        </w:rPr>
        <w:t> </w:t>
      </w:r>
      <w:r>
        <w:rPr>
          <w:spacing w:val="6"/>
        </w:rPr>
        <w:t>万亿元。未来五年</w:t>
      </w:r>
      <w:r>
        <w:rPr>
          <w:rFonts w:ascii="宋体" w:hAnsi="宋体" w:cs="宋体" w:eastAsia="宋体" w:hint="default"/>
          <w:spacing w:val="6"/>
        </w:rPr>
        <w:t>(2019-2023)</w:t>
      </w:r>
      <w:r>
        <w:rPr>
          <w:spacing w:val="6"/>
        </w:rPr>
        <w:t>年均复合增长率约为</w:t>
      </w:r>
    </w:p>
    <w:p>
      <w:pPr>
        <w:pStyle w:val="BodyText"/>
        <w:spacing w:line="240" w:lineRule="auto" w:before="46"/>
        <w:ind w:right="97"/>
        <w:jc w:val="left"/>
      </w:pPr>
      <w:r>
        <w:rPr>
          <w:rFonts w:ascii="宋体" w:hAnsi="宋体" w:cs="宋体" w:eastAsia="宋体" w:hint="default"/>
        </w:rPr>
        <w:t>11.07%</w:t>
      </w:r>
      <w:r>
        <w:rPr/>
        <w:t>，在</w:t>
      </w:r>
      <w:r>
        <w:rPr>
          <w:spacing w:val="-61"/>
        </w:rPr>
        <w:t> </w:t>
      </w:r>
      <w:r>
        <w:rPr>
          <w:rFonts w:ascii="宋体" w:hAnsi="宋体" w:cs="宋体" w:eastAsia="宋体" w:hint="default"/>
        </w:rPr>
        <w:t>2023</w:t>
      </w:r>
      <w:r>
        <w:rPr>
          <w:rFonts w:ascii="宋体" w:hAnsi="宋体" w:cs="宋体" w:eastAsia="宋体" w:hint="default"/>
          <w:spacing w:val="-61"/>
        </w:rPr>
        <w:t> </w:t>
      </w:r>
      <w:r>
        <w:rPr/>
        <w:t>年中国环保行业总产值将接近</w:t>
      </w:r>
      <w:r>
        <w:rPr>
          <w:spacing w:val="-60"/>
        </w:rPr>
        <w:t> </w:t>
      </w:r>
      <w:r>
        <w:rPr>
          <w:rFonts w:ascii="宋体" w:hAnsi="宋体" w:cs="宋体" w:eastAsia="宋体" w:hint="default"/>
        </w:rPr>
        <w:t>14</w:t>
      </w:r>
      <w:r>
        <w:rPr>
          <w:rFonts w:ascii="宋体" w:hAnsi="宋体" w:cs="宋体" w:eastAsia="宋体" w:hint="default"/>
          <w:spacing w:val="-61"/>
        </w:rPr>
        <w:t> </w:t>
      </w:r>
      <w:r>
        <w:rPr/>
        <w:t>万亿元。</w:t>
      </w:r>
    </w:p>
    <w:p>
      <w:pPr>
        <w:spacing w:line="240" w:lineRule="auto" w:before="1"/>
        <w:rPr>
          <w:rFonts w:ascii="宋体" w:hAnsi="宋体" w:cs="宋体" w:eastAsia="宋体" w:hint="default"/>
          <w:sz w:val="31"/>
          <w:szCs w:val="31"/>
        </w:rPr>
      </w:pPr>
    </w:p>
    <w:p>
      <w:pPr>
        <w:pStyle w:val="BodyText"/>
        <w:spacing w:line="276" w:lineRule="auto"/>
        <w:ind w:right="234" w:firstLine="479"/>
        <w:jc w:val="both"/>
      </w:pPr>
      <w:r>
        <w:rPr>
          <w:spacing w:val="-2"/>
        </w:rPr>
        <w:t>目前节能环保上游设备领域是一个接近充分竞争的市场，大量中小型企业围绕价</w:t>
      </w:r>
      <w:r>
        <w:rPr/>
        <w:t> </w:t>
      </w:r>
      <w:r>
        <w:rPr>
          <w:spacing w:val="-2"/>
        </w:rPr>
        <w:t>格、产品和服务质量展开竞争。节能环保常规技术产品已经相对成熟，但在高端技术</w:t>
      </w:r>
      <w:r>
        <w:rPr>
          <w:spacing w:val="-96"/>
        </w:rPr>
        <w:t> </w:t>
      </w:r>
      <w:r>
        <w:rPr>
          <w:spacing w:val="-96"/>
        </w:rPr>
      </w:r>
      <w:r>
        <w:rPr>
          <w:spacing w:val="-2"/>
        </w:rPr>
        <w:t>产品方面仍较为欠缺，企业规模普遍较小，低水平运营现象较为普遍。中游融资能力</w:t>
      </w:r>
      <w:r>
        <w:rPr>
          <w:spacing w:val="-96"/>
        </w:rPr>
        <w:t> </w:t>
      </w:r>
      <w:r>
        <w:rPr>
          <w:spacing w:val="-96"/>
        </w:rPr>
      </w:r>
      <w:r>
        <w:rPr>
          <w:spacing w:val="-2"/>
        </w:rPr>
        <w:t>较弱，产业运营模式有待完善，企业规模、产品结构不合理，一是尚未形成一批大型</w:t>
      </w:r>
      <w:r>
        <w:rPr>
          <w:spacing w:val="-94"/>
        </w:rPr>
        <w:t> </w:t>
      </w:r>
      <w:r>
        <w:rPr>
          <w:spacing w:val="-94"/>
        </w:rPr>
      </w:r>
      <w:r>
        <w:rPr>
          <w:spacing w:val="-8"/>
        </w:rPr>
        <w:t>骨干企业或企业集团，缺乏市场竞争力。二是环保产品结构不合理，环保设备成套化、</w:t>
      </w:r>
      <w:r>
        <w:rPr>
          <w:spacing w:val="-104"/>
        </w:rPr>
        <w:t> </w:t>
      </w:r>
      <w:r>
        <w:rPr>
          <w:spacing w:val="-104"/>
        </w:rPr>
      </w:r>
      <w:r>
        <w:rPr/>
        <w:t>系列化、标准化、国产化水平低，低水平重复建设现象严重。</w:t>
      </w:r>
    </w:p>
    <w:p>
      <w:pPr>
        <w:spacing w:line="240" w:lineRule="auto" w:before="4"/>
        <w:rPr>
          <w:rFonts w:ascii="宋体" w:hAnsi="宋体" w:cs="宋体" w:eastAsia="宋体" w:hint="default"/>
          <w:sz w:val="28"/>
          <w:szCs w:val="28"/>
        </w:rPr>
      </w:pPr>
    </w:p>
    <w:p>
      <w:pPr>
        <w:pStyle w:val="BodyText"/>
        <w:spacing w:line="276" w:lineRule="auto"/>
        <w:ind w:right="233" w:firstLine="479"/>
        <w:jc w:val="both"/>
      </w:pPr>
      <w:r>
        <w:rPr>
          <w:spacing w:val="-2"/>
        </w:rPr>
        <w:t>政府一系列政策支持以及大力发展绿色金融，对环保产业的发展起到快速推动的</w:t>
      </w:r>
      <w:r>
        <w:rPr/>
        <w:t> 作用。环保产业市场环境的不断优化，以</w:t>
      </w:r>
      <w:r>
        <w:rPr>
          <w:spacing w:val="-85"/>
        </w:rPr>
        <w:t> </w:t>
      </w:r>
      <w:r>
        <w:rPr>
          <w:rFonts w:ascii="宋体" w:hAnsi="宋体" w:cs="宋体" w:eastAsia="宋体" w:hint="default"/>
        </w:rPr>
        <w:t>PPP</w:t>
      </w:r>
      <w:r>
        <w:rPr>
          <w:rFonts w:ascii="宋体" w:hAnsi="宋体" w:cs="宋体" w:eastAsia="宋体" w:hint="default"/>
          <w:spacing w:val="-83"/>
        </w:rPr>
        <w:t> </w:t>
      </w:r>
      <w:r>
        <w:rPr/>
        <w:t>为代表的混合所有制及第三方治理，为 我国环保产业的新发展提供了机遇和条件。</w:t>
      </w:r>
    </w:p>
    <w:p>
      <w:pPr>
        <w:spacing w:line="240" w:lineRule="auto" w:before="11"/>
        <w:rPr>
          <w:rFonts w:ascii="宋体" w:hAnsi="宋体" w:cs="宋体" w:eastAsia="宋体" w:hint="default"/>
          <w:sz w:val="32"/>
          <w:szCs w:val="32"/>
        </w:rPr>
      </w:pPr>
    </w:p>
    <w:p>
      <w:pPr>
        <w:pStyle w:val="Heading2"/>
        <w:tabs>
          <w:tab w:pos="977" w:val="left" w:leader="none"/>
        </w:tabs>
        <w:spacing w:line="240" w:lineRule="auto"/>
        <w:ind w:right="97"/>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公司发展战略</w:t>
      </w:r>
      <w:r>
        <w:rPr>
          <w:b w:val="0"/>
          <w:bCs w:val="0"/>
        </w:rPr>
      </w:r>
    </w:p>
    <w:p>
      <w:pPr>
        <w:pStyle w:val="BodyText"/>
        <w:tabs>
          <w:tab w:pos="1097" w:val="left" w:leader="none"/>
        </w:tabs>
        <w:spacing w:line="276" w:lineRule="auto" w:before="106"/>
        <w:ind w:left="618" w:right="232" w:hanging="480"/>
        <w:jc w:val="left"/>
      </w:pPr>
      <w:r>
        <w:rPr>
          <w:spacing w:val="-1"/>
        </w:rPr>
        <w:t>√适用</w:t>
        <w:tab/>
      </w:r>
      <w:r>
        <w:rPr/>
        <w:t>□不适用</w:t>
      </w:r>
      <w:r>
        <w:rPr/>
        <w:t> </w:t>
      </w:r>
      <w:r>
        <w:rPr>
          <w:spacing w:val="-2"/>
        </w:rPr>
        <w:t>公司始终坚持“技术＋资本”的发展战略，探索科技成果产业化的可持续发展之</w:t>
      </w:r>
    </w:p>
    <w:p>
      <w:pPr>
        <w:pStyle w:val="BodyText"/>
        <w:spacing w:line="276" w:lineRule="auto" w:before="10"/>
        <w:ind w:right="97"/>
        <w:jc w:val="left"/>
      </w:pPr>
      <w:r>
        <w:rPr>
          <w:spacing w:val="-2"/>
        </w:rPr>
        <w:t>路，并坚持“以科技为依托，培育核心企业；以投资为纽带，形成产业集群，以资本</w:t>
      </w:r>
      <w:r>
        <w:rPr>
          <w:spacing w:val="-97"/>
        </w:rPr>
        <w:t> </w:t>
      </w:r>
      <w:r>
        <w:rPr>
          <w:spacing w:val="-97"/>
        </w:rPr>
      </w:r>
      <w:r>
        <w:rPr>
          <w:spacing w:val="-2"/>
        </w:rPr>
        <w:t>为平台，提升企业价值”的产业发展模式，在自主创新、科技创新，以及商业模式创</w:t>
      </w:r>
    </w:p>
    <w:p>
      <w:pPr>
        <w:pStyle w:val="BodyText"/>
        <w:spacing w:line="276" w:lineRule="auto" w:before="10"/>
        <w:ind w:right="97"/>
        <w:jc w:val="left"/>
      </w:pPr>
      <w:r>
        <w:rPr/>
        <w:t>新方面坚持更加深入的探索，持续提升能力及企业的核心竞争力，在更广阔的领域，</w:t>
      </w:r>
      <w:r>
        <w:rPr>
          <w:spacing w:val="-57"/>
        </w:rPr>
        <w:t> </w:t>
      </w:r>
      <w:r>
        <w:rPr>
          <w:spacing w:val="-57"/>
        </w:rPr>
      </w:r>
      <w:r>
        <w:rPr/>
        <w:t>在更高的层面上，去探索产学研用一体化新机制，去打造产学研用一体化新平台。</w:t>
      </w:r>
    </w:p>
    <w:p>
      <w:pPr>
        <w:spacing w:after="0" w:line="276" w:lineRule="auto"/>
        <w:jc w:val="left"/>
        <w:sectPr>
          <w:pgSz w:w="11910" w:h="16840"/>
          <w:pgMar w:header="0" w:footer="1193" w:top="780" w:bottom="1380" w:left="1660" w:right="1040"/>
        </w:sectPr>
      </w:pPr>
    </w:p>
    <w:p>
      <w:pPr>
        <w:spacing w:before="25"/>
        <w:ind w:left="120" w:right="232"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Heading2"/>
        <w:tabs>
          <w:tab w:pos="977" w:val="left" w:leader="none"/>
        </w:tabs>
        <w:spacing w:line="240" w:lineRule="auto" w:before="26"/>
        <w:ind w:right="97"/>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经营计划</w:t>
      </w:r>
      <w:r>
        <w:rPr>
          <w:b w:val="0"/>
          <w:bCs w:val="0"/>
        </w:rPr>
      </w:r>
    </w:p>
    <w:p>
      <w:pPr>
        <w:pStyle w:val="BodyText"/>
        <w:tabs>
          <w:tab w:pos="1097" w:val="left" w:leader="none"/>
        </w:tabs>
        <w:spacing w:line="240" w:lineRule="auto" w:before="106"/>
        <w:ind w:right="97"/>
        <w:jc w:val="left"/>
      </w:pPr>
      <w:r>
        <w:rPr>
          <w:spacing w:val="-1"/>
        </w:rPr>
        <w:t>√适用</w:t>
        <w:tab/>
      </w:r>
      <w:r>
        <w:rPr/>
        <w:t>□不适用</w:t>
      </w:r>
    </w:p>
    <w:p>
      <w:pPr>
        <w:pStyle w:val="BodyText"/>
        <w:spacing w:line="276" w:lineRule="auto" w:before="46"/>
        <w:ind w:right="233" w:firstLine="479"/>
        <w:jc w:val="both"/>
      </w:pPr>
      <w:r>
        <w:rPr/>
        <w:t>公司在</w:t>
      </w:r>
      <w:r>
        <w:rPr>
          <w:spacing w:val="-62"/>
        </w:rPr>
        <w:t> </w:t>
      </w:r>
      <w:r>
        <w:rPr>
          <w:rFonts w:ascii="宋体" w:hAnsi="宋体" w:cs="宋体" w:eastAsia="宋体" w:hint="default"/>
        </w:rPr>
        <w:t>2019</w:t>
      </w:r>
      <w:r>
        <w:rPr>
          <w:rFonts w:ascii="宋体" w:hAnsi="宋体" w:cs="宋体" w:eastAsia="宋体" w:hint="default"/>
          <w:spacing w:val="-62"/>
        </w:rPr>
        <w:t> </w:t>
      </w:r>
      <w:r>
        <w:rPr/>
        <w:t>年总体经营目标确定为：在</w:t>
      </w:r>
      <w:r>
        <w:rPr>
          <w:spacing w:val="-61"/>
        </w:rPr>
        <w:t> </w:t>
      </w:r>
      <w:r>
        <w:rPr>
          <w:rFonts w:ascii="宋体" w:hAnsi="宋体" w:cs="宋体" w:eastAsia="宋体" w:hint="default"/>
        </w:rPr>
        <w:t>2018</w:t>
      </w:r>
      <w:r>
        <w:rPr>
          <w:rFonts w:ascii="宋体" w:hAnsi="宋体" w:cs="宋体" w:eastAsia="宋体" w:hint="default"/>
          <w:spacing w:val="-62"/>
        </w:rPr>
        <w:t> </w:t>
      </w:r>
      <w:r>
        <w:rPr>
          <w:spacing w:val="-3"/>
        </w:rPr>
        <w:t>年销售收入基础上，保持平稳，合</w:t>
      </w:r>
      <w:r>
        <w:rPr/>
        <w:t> 理控制费用与成本，力争维持或提升毛利率水平。</w:t>
      </w:r>
    </w:p>
    <w:p>
      <w:pPr>
        <w:spacing w:line="240" w:lineRule="auto" w:before="4"/>
        <w:rPr>
          <w:rFonts w:ascii="宋体" w:hAnsi="宋体" w:cs="宋体" w:eastAsia="宋体" w:hint="default"/>
          <w:sz w:val="28"/>
          <w:szCs w:val="28"/>
        </w:rPr>
      </w:pPr>
    </w:p>
    <w:p>
      <w:pPr>
        <w:pStyle w:val="BodyText"/>
        <w:spacing w:line="276" w:lineRule="auto"/>
        <w:ind w:right="230" w:firstLine="479"/>
        <w:jc w:val="both"/>
      </w:pPr>
      <w:r>
        <w:rPr>
          <w:rFonts w:ascii="宋体" w:hAnsi="宋体" w:cs="宋体" w:eastAsia="宋体" w:hint="default"/>
        </w:rPr>
        <w:t>2019</w:t>
      </w:r>
      <w:r>
        <w:rPr>
          <w:rFonts w:ascii="宋体" w:hAnsi="宋体" w:cs="宋体" w:eastAsia="宋体" w:hint="default"/>
          <w:spacing w:val="-40"/>
        </w:rPr>
        <w:t> </w:t>
      </w:r>
      <w:r>
        <w:rPr>
          <w:spacing w:val="-4"/>
        </w:rPr>
        <w:t>年，将是公司进一步聚焦核心业务、完善优化产业布局及架构的一年。一方</w:t>
      </w:r>
      <w:r>
        <w:rPr/>
        <w:t> </w:t>
      </w:r>
      <w:r>
        <w:rPr>
          <w:spacing w:val="-2"/>
        </w:rPr>
        <w:t>面，公司将进一步推动实施“清理、整顿、瘦身”工作，剥离或处置低效业务资产以</w:t>
      </w:r>
      <w:r>
        <w:rPr>
          <w:spacing w:val="-94"/>
        </w:rPr>
        <w:t> </w:t>
      </w:r>
      <w:r>
        <w:rPr>
          <w:spacing w:val="-94"/>
        </w:rPr>
      </w:r>
      <w:r>
        <w:rPr>
          <w:spacing w:val="-2"/>
        </w:rPr>
        <w:t>及与公司主业关联度小或已经不符合公司整体战略发展的产业及业务，将资源进一步</w:t>
      </w:r>
      <w:r>
        <w:rPr>
          <w:spacing w:val="-94"/>
        </w:rPr>
        <w:t> </w:t>
      </w:r>
      <w:r>
        <w:rPr>
          <w:spacing w:val="-94"/>
        </w:rPr>
      </w:r>
      <w:r>
        <w:rPr>
          <w:spacing w:val="-2"/>
        </w:rPr>
        <w:t>聚焦在符合国家创新驱动战略、市场前景良好、具有核心竞争力主干产业，巩固优势</w:t>
      </w:r>
      <w:r>
        <w:rPr>
          <w:spacing w:val="-96"/>
        </w:rPr>
        <w:t> </w:t>
      </w:r>
      <w:r>
        <w:rPr>
          <w:spacing w:val="-96"/>
        </w:rPr>
      </w:r>
      <w:r>
        <w:rPr>
          <w:spacing w:val="-2"/>
        </w:rPr>
        <w:t>地位。另一方面，公司将加大研发投入，持续推动与清华大学各学科院系以及其他市</w:t>
      </w:r>
      <w:r>
        <w:rPr>
          <w:spacing w:val="-93"/>
        </w:rPr>
        <w:t> </w:t>
      </w:r>
      <w:r>
        <w:rPr>
          <w:spacing w:val="-93"/>
        </w:rPr>
      </w:r>
      <w:r>
        <w:rPr>
          <w:spacing w:val="-2"/>
        </w:rPr>
        <w:t>场合作伙伴的技术研发合作，继续坚持创新孵化模式，提升主干产业核心竞争力。同</w:t>
      </w:r>
      <w:r>
        <w:rPr>
          <w:spacing w:val="-96"/>
        </w:rPr>
        <w:t> </w:t>
      </w:r>
      <w:r>
        <w:rPr>
          <w:spacing w:val="-96"/>
        </w:rPr>
      </w:r>
      <w:r>
        <w:rPr>
          <w:spacing w:val="-2"/>
        </w:rPr>
        <w:t>时，公司还将调整产业布局，根据国家“一带一路”的发展规划，着手打造西部产业</w:t>
      </w:r>
      <w:r>
        <w:rPr>
          <w:spacing w:val="-94"/>
        </w:rPr>
        <w:t> </w:t>
      </w:r>
      <w:r>
        <w:rPr>
          <w:spacing w:val="-94"/>
        </w:rPr>
      </w:r>
      <w:r>
        <w:rPr>
          <w:spacing w:val="-2"/>
        </w:rPr>
        <w:t>中心，发挥公司在大数据、智慧节能、公共安全等方面的产业优势和丰富经验，进一</w:t>
      </w:r>
      <w:r>
        <w:rPr>
          <w:spacing w:val="-94"/>
        </w:rPr>
        <w:t> </w:t>
      </w:r>
      <w:r>
        <w:rPr>
          <w:spacing w:val="-94"/>
        </w:rPr>
      </w:r>
      <w:r>
        <w:rPr>
          <w:spacing w:val="-8"/>
        </w:rPr>
        <w:t>步开拓西部市场，拓展高校之外的创新产业市场机遇，深化“产学研用”一体化战略。</w:t>
      </w:r>
    </w:p>
    <w:p>
      <w:pPr>
        <w:spacing w:line="240" w:lineRule="auto" w:before="11"/>
        <w:rPr>
          <w:rFonts w:ascii="宋体" w:hAnsi="宋体" w:cs="宋体" w:eastAsia="宋体" w:hint="default"/>
          <w:sz w:val="32"/>
          <w:szCs w:val="32"/>
        </w:rPr>
      </w:pPr>
    </w:p>
    <w:p>
      <w:pPr>
        <w:pStyle w:val="Heading2"/>
        <w:tabs>
          <w:tab w:pos="977" w:val="left" w:leader="none"/>
        </w:tabs>
        <w:spacing w:line="240" w:lineRule="auto"/>
        <w:ind w:right="97"/>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可能面对的风险</w:t>
      </w:r>
      <w:r>
        <w:rPr>
          <w:b w:val="0"/>
          <w:bCs w:val="0"/>
        </w:rPr>
      </w:r>
    </w:p>
    <w:p>
      <w:pPr>
        <w:tabs>
          <w:tab w:pos="1097" w:val="left" w:leader="none"/>
        </w:tabs>
        <w:spacing w:line="276" w:lineRule="auto" w:before="106"/>
        <w:ind w:left="138" w:right="7146" w:firstLine="0"/>
        <w:jc w:val="left"/>
        <w:rPr>
          <w:rFonts w:ascii="宋体" w:hAnsi="宋体" w:cs="宋体" w:eastAsia="宋体" w:hint="default"/>
          <w:sz w:val="24"/>
          <w:szCs w:val="24"/>
        </w:rPr>
      </w:pPr>
      <w:r>
        <w:rPr>
          <w:rFonts w:ascii="宋体" w:hAnsi="宋体" w:cs="宋体" w:eastAsia="宋体" w:hint="default"/>
          <w:spacing w:val="-1"/>
          <w:sz w:val="24"/>
          <w:szCs w:val="24"/>
        </w:rPr>
        <w:t>√适用</w:t>
        <w:tab/>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1.</w:t>
      </w:r>
      <w:r>
        <w:rPr>
          <w:rFonts w:ascii="宋体" w:hAnsi="宋体" w:cs="宋体" w:eastAsia="宋体" w:hint="default"/>
          <w:b/>
          <w:bCs/>
          <w:spacing w:val="-4"/>
          <w:sz w:val="24"/>
          <w:szCs w:val="24"/>
        </w:rPr>
        <w:t> </w:t>
      </w:r>
      <w:r>
        <w:rPr>
          <w:rFonts w:ascii="宋体" w:hAnsi="宋体" w:cs="宋体" w:eastAsia="宋体" w:hint="default"/>
          <w:b/>
          <w:bCs/>
          <w:sz w:val="24"/>
          <w:szCs w:val="24"/>
        </w:rPr>
        <w:t>政策风险</w:t>
      </w:r>
      <w:r>
        <w:rPr>
          <w:rFonts w:ascii="宋体" w:hAnsi="宋体" w:cs="宋体" w:eastAsia="宋体" w:hint="default"/>
          <w:sz w:val="24"/>
          <w:szCs w:val="24"/>
        </w:rPr>
      </w:r>
    </w:p>
    <w:p>
      <w:pPr>
        <w:spacing w:line="276" w:lineRule="auto" w:before="10"/>
        <w:ind w:left="618" w:right="97"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）宏观经济政策变动的风险</w:t>
      </w:r>
      <w:r>
        <w:rPr>
          <w:rFonts w:ascii="宋体" w:hAnsi="宋体" w:cs="宋体" w:eastAsia="宋体" w:hint="default"/>
          <w:b/>
          <w:bCs/>
          <w:w w:val="99"/>
          <w:sz w:val="24"/>
          <w:szCs w:val="24"/>
        </w:rPr>
        <w:t> </w:t>
      </w:r>
      <w:r>
        <w:rPr>
          <w:rFonts w:ascii="宋体" w:hAnsi="宋体" w:cs="宋体" w:eastAsia="宋体" w:hint="default"/>
          <w:spacing w:val="-2"/>
          <w:sz w:val="24"/>
          <w:szCs w:val="24"/>
        </w:rPr>
        <w:t>公司众多业务如节能环保业务、云计算与大数据业务等属于新兴业务或扶持业务</w:t>
      </w:r>
    </w:p>
    <w:p>
      <w:pPr>
        <w:pStyle w:val="BodyText"/>
        <w:spacing w:line="276" w:lineRule="auto" w:before="10"/>
        <w:ind w:right="97"/>
        <w:jc w:val="left"/>
      </w:pPr>
      <w:r>
        <w:rPr>
          <w:spacing w:val="-5"/>
        </w:rPr>
        <w:t>领域，目前国家对于相关领域陆续出台了扶持政策和法规，这有利于公司业务的发展。</w:t>
      </w:r>
      <w:r>
        <w:rPr>
          <w:spacing w:val="-97"/>
        </w:rPr>
        <w:t> </w:t>
      </w:r>
      <w:r>
        <w:rPr>
          <w:spacing w:val="-97"/>
        </w:rPr>
      </w:r>
      <w:r>
        <w:rPr/>
        <w:t>若政府未来对上述产业政策进行调整，可能对公司的运营收入和补贴收入产生影响。</w:t>
      </w:r>
    </w:p>
    <w:p>
      <w:pPr>
        <w:spacing w:line="240" w:lineRule="auto" w:before="4"/>
        <w:rPr>
          <w:rFonts w:ascii="宋体" w:hAnsi="宋体" w:cs="宋体" w:eastAsia="宋体" w:hint="default"/>
          <w:sz w:val="28"/>
          <w:szCs w:val="28"/>
        </w:rPr>
      </w:pPr>
    </w:p>
    <w:p>
      <w:pPr>
        <w:spacing w:line="276" w:lineRule="auto" w:before="0"/>
        <w:ind w:left="618" w:right="97"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）税收优惠政策变动风险</w:t>
      </w:r>
      <w:r>
        <w:rPr>
          <w:rFonts w:ascii="宋体" w:hAnsi="宋体" w:cs="宋体" w:eastAsia="宋体" w:hint="default"/>
          <w:b/>
          <w:bCs/>
          <w:w w:val="99"/>
          <w:sz w:val="24"/>
          <w:szCs w:val="24"/>
        </w:rPr>
        <w:t> </w:t>
      </w:r>
      <w:r>
        <w:rPr>
          <w:rFonts w:ascii="宋体" w:hAnsi="宋体" w:cs="宋体" w:eastAsia="宋体" w:hint="default"/>
          <w:spacing w:val="-2"/>
          <w:sz w:val="24"/>
          <w:szCs w:val="24"/>
        </w:rPr>
        <w:t>目前，公司及下属部分子公司作为根据《高新技术企业认定管理办法》（国科发</w:t>
      </w:r>
    </w:p>
    <w:p>
      <w:pPr>
        <w:pStyle w:val="BodyText"/>
        <w:spacing w:line="276" w:lineRule="auto" w:before="10"/>
        <w:ind w:right="232"/>
        <w:jc w:val="both"/>
      </w:pPr>
      <w:r>
        <w:rPr/>
        <w:t>火</w:t>
      </w:r>
      <w:r>
        <w:rPr>
          <w:rFonts w:ascii="宋体" w:hAnsi="宋体" w:cs="宋体" w:eastAsia="宋体" w:hint="default"/>
        </w:rPr>
        <w:t>[2016]32</w:t>
      </w:r>
      <w:r>
        <w:rPr>
          <w:rFonts w:ascii="宋体" w:hAnsi="宋体" w:cs="宋体" w:eastAsia="宋体" w:hint="default"/>
          <w:spacing w:val="-43"/>
        </w:rPr>
        <w:t> </w:t>
      </w:r>
      <w:r>
        <w:rPr>
          <w:spacing w:val="-4"/>
        </w:rPr>
        <w:t>号）获得认定的高新技术企业，已获得“高新技术企业证书”，并在税务</w:t>
      </w:r>
      <w:r>
        <w:rPr>
          <w:spacing w:val="-118"/>
        </w:rPr>
        <w:t> </w:t>
      </w:r>
      <w:r>
        <w:rPr>
          <w:spacing w:val="-118"/>
        </w:rPr>
      </w:r>
      <w:r>
        <w:rPr>
          <w:spacing w:val="-5"/>
        </w:rPr>
        <w:t>部门办理了备案登记，适用</w:t>
      </w:r>
      <w:r>
        <w:rPr>
          <w:spacing w:val="-44"/>
        </w:rPr>
        <w:t> </w:t>
      </w:r>
      <w:r>
        <w:rPr>
          <w:rFonts w:ascii="宋体" w:hAnsi="宋体" w:cs="宋体" w:eastAsia="宋体" w:hint="default"/>
          <w:spacing w:val="-7"/>
        </w:rPr>
        <w:t>15%</w:t>
      </w:r>
      <w:r>
        <w:rPr>
          <w:spacing w:val="-7"/>
        </w:rPr>
        <w:t>的企业所得税率。同时，公司在节能环保、国防军工、</w:t>
      </w:r>
      <w:r>
        <w:rPr>
          <w:spacing w:val="-118"/>
        </w:rPr>
        <w:t> </w:t>
      </w:r>
      <w:r>
        <w:rPr>
          <w:spacing w:val="-118"/>
        </w:rPr>
      </w:r>
      <w:r>
        <w:rPr>
          <w:spacing w:val="-2"/>
        </w:rPr>
        <w:t>产品出口、涉外服贸、“四技”服务等业务领域均享受着一系列流转税减免或返还优</w:t>
      </w:r>
      <w:r>
        <w:rPr>
          <w:spacing w:val="-94"/>
        </w:rPr>
        <w:t> </w:t>
      </w:r>
      <w:r>
        <w:rPr>
          <w:spacing w:val="-94"/>
        </w:rPr>
      </w:r>
      <w:r>
        <w:rPr>
          <w:spacing w:val="-2"/>
        </w:rPr>
        <w:t>惠。此外，公司各类研发业务还享受着包括费用支出加计扣除和技术成果转让所得减</w:t>
      </w:r>
      <w:r>
        <w:rPr>
          <w:spacing w:val="-94"/>
        </w:rPr>
        <w:t> </w:t>
      </w:r>
      <w:r>
        <w:rPr>
          <w:spacing w:val="-94"/>
        </w:rPr>
      </w:r>
      <w:r>
        <w:rPr/>
        <w:t>免等优惠待遇。税收优惠政策的延续性可能会对公司的经营业绩造成影响。</w:t>
      </w:r>
    </w:p>
    <w:p>
      <w:pPr>
        <w:spacing w:line="240" w:lineRule="auto" w:before="4"/>
        <w:rPr>
          <w:rFonts w:ascii="宋体" w:hAnsi="宋体" w:cs="宋体" w:eastAsia="宋体" w:hint="default"/>
          <w:sz w:val="28"/>
          <w:szCs w:val="28"/>
        </w:rPr>
      </w:pPr>
    </w:p>
    <w:p>
      <w:pPr>
        <w:spacing w:line="276" w:lineRule="auto" w:before="0"/>
        <w:ind w:left="618" w:right="97"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）国际贸易政策变动的风险</w:t>
      </w:r>
      <w:r>
        <w:rPr>
          <w:rFonts w:ascii="宋体" w:hAnsi="宋体" w:cs="宋体" w:eastAsia="宋体" w:hint="default"/>
          <w:b/>
          <w:bCs/>
          <w:w w:val="99"/>
          <w:sz w:val="24"/>
          <w:szCs w:val="24"/>
        </w:rPr>
        <w:t> </w:t>
      </w:r>
      <w:r>
        <w:rPr>
          <w:rFonts w:ascii="宋体" w:hAnsi="宋体" w:cs="宋体" w:eastAsia="宋体" w:hint="default"/>
          <w:spacing w:val="-2"/>
          <w:sz w:val="24"/>
          <w:szCs w:val="24"/>
        </w:rPr>
        <w:t>公司由于近几年不断拓展海外市场，公司海外市场实现收入占公司主营业务收入</w:t>
      </w:r>
    </w:p>
    <w:p>
      <w:pPr>
        <w:pStyle w:val="BodyText"/>
        <w:spacing w:line="276" w:lineRule="auto" w:before="10"/>
        <w:ind w:right="217"/>
        <w:jc w:val="left"/>
      </w:pPr>
      <w:r>
        <w:rPr/>
        <w:t>比例较高，</w:t>
      </w:r>
      <w:r>
        <w:rPr>
          <w:rFonts w:ascii="宋体" w:hAnsi="宋体" w:cs="宋体" w:eastAsia="宋体" w:hint="default"/>
        </w:rPr>
        <w:t>2018 </w:t>
      </w:r>
      <w:r>
        <w:rPr/>
        <w:t>年度为</w:t>
      </w:r>
      <w:r>
        <w:rPr>
          <w:spacing w:val="-49"/>
        </w:rPr>
        <w:t> </w:t>
      </w:r>
      <w:r>
        <w:rPr>
          <w:rFonts w:ascii="宋体" w:hAnsi="宋体" w:cs="宋体" w:eastAsia="宋体" w:hint="default"/>
        </w:rPr>
        <w:t>35.05%</w:t>
      </w:r>
      <w:r>
        <w:rPr/>
        <w:t>。公司销往海外市场的产品（尤其是销往欧美市场的 产品）容易受到国际贸易争端导致的政策变动风险。</w:t>
      </w:r>
    </w:p>
    <w:p>
      <w:pPr>
        <w:spacing w:line="240" w:lineRule="auto" w:before="4"/>
        <w:rPr>
          <w:rFonts w:ascii="宋体" w:hAnsi="宋体" w:cs="宋体" w:eastAsia="宋体" w:hint="default"/>
          <w:sz w:val="28"/>
          <w:szCs w:val="28"/>
        </w:rPr>
      </w:pPr>
    </w:p>
    <w:p>
      <w:pPr>
        <w:pStyle w:val="Heading2"/>
        <w:spacing w:line="240" w:lineRule="auto"/>
        <w:ind w:right="97"/>
        <w:jc w:val="left"/>
        <w:rPr>
          <w:b w:val="0"/>
          <w:bCs w:val="0"/>
        </w:rPr>
      </w:pPr>
      <w:r>
        <w:rPr>
          <w:rFonts w:ascii="宋体" w:hAnsi="宋体" w:cs="宋体" w:eastAsia="宋体" w:hint="default"/>
        </w:rPr>
        <w:t>2.</w:t>
      </w:r>
      <w:r>
        <w:rPr>
          <w:rFonts w:ascii="宋体" w:hAnsi="宋体" w:cs="宋体" w:eastAsia="宋体" w:hint="default"/>
          <w:spacing w:val="-6"/>
        </w:rPr>
        <w:t> </w:t>
      </w:r>
      <w:r>
        <w:rPr/>
        <w:t>业务经营风险</w:t>
      </w:r>
      <w:r>
        <w:rPr>
          <w:b w:val="0"/>
          <w:bCs w:val="0"/>
        </w:rPr>
      </w:r>
    </w:p>
    <w:p>
      <w:pPr>
        <w:pStyle w:val="Heading2"/>
        <w:spacing w:line="240" w:lineRule="auto" w:before="46"/>
        <w:ind w:right="97"/>
        <w:jc w:val="left"/>
        <w:rPr>
          <w:b w:val="0"/>
          <w:bCs w:val="0"/>
        </w:rPr>
      </w:pPr>
      <w:r>
        <w:rPr/>
        <w:t>（</w:t>
      </w:r>
      <w:r>
        <w:rPr>
          <w:rFonts w:ascii="宋体" w:hAnsi="宋体" w:cs="宋体" w:eastAsia="宋体" w:hint="default"/>
        </w:rPr>
        <w:t>1</w:t>
      </w:r>
      <w:r>
        <w:rPr/>
        <w:t>）经济周期性波动风险</w:t>
      </w:r>
      <w:r>
        <w:rPr>
          <w:b w:val="0"/>
          <w:bCs w:val="0"/>
        </w:rPr>
      </w:r>
    </w:p>
    <w:p>
      <w:pPr>
        <w:spacing w:after="0" w:line="240" w:lineRule="auto"/>
        <w:jc w:val="left"/>
        <w:sectPr>
          <w:pgSz w:w="11910" w:h="16840"/>
          <w:pgMar w:header="0" w:footer="1193" w:top="780" w:bottom="1380" w:left="1660" w:right="1040"/>
        </w:sectPr>
      </w:pPr>
    </w:p>
    <w:p>
      <w:pPr>
        <w:spacing w:before="25"/>
        <w:ind w:left="120" w:right="232"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BodyText"/>
        <w:spacing w:line="276" w:lineRule="auto" w:before="26"/>
        <w:ind w:right="231" w:firstLine="479"/>
        <w:jc w:val="both"/>
      </w:pPr>
      <w:r>
        <w:rPr>
          <w:spacing w:val="-2"/>
        </w:rPr>
        <w:t>公司业务涉及互联网终端与服务、云计算与大数据（原智慧城市）、公共安全和</w:t>
      </w:r>
      <w:r>
        <w:rPr/>
        <w:t> </w:t>
      </w:r>
      <w:r>
        <w:rPr>
          <w:spacing w:val="-2"/>
        </w:rPr>
        <w:t>节能环保等相关行业，直接受到国民经济运行状况的影响。近年来，随着我国经济发</w:t>
      </w:r>
      <w:r>
        <w:rPr>
          <w:spacing w:val="-93"/>
        </w:rPr>
        <w:t> </w:t>
      </w:r>
      <w:r>
        <w:rPr>
          <w:spacing w:val="-93"/>
        </w:rPr>
      </w:r>
      <w:r>
        <w:rPr>
          <w:spacing w:val="-2"/>
        </w:rPr>
        <w:t>展速度逐步放缓，经济下行压力增大，存在居民消费意愿下降和政府、企业投资开支</w:t>
      </w:r>
      <w:r>
        <w:rPr>
          <w:spacing w:val="-96"/>
        </w:rPr>
        <w:t> </w:t>
      </w:r>
      <w:r>
        <w:rPr>
          <w:spacing w:val="-96"/>
        </w:rPr>
      </w:r>
      <w:r>
        <w:rPr>
          <w:spacing w:val="-2"/>
        </w:rPr>
        <w:t>缩减的可能。经济发展的周期性特征决定公司部分所处行业的市场需求也会具有相关</w:t>
      </w:r>
      <w:r>
        <w:rPr>
          <w:spacing w:val="-94"/>
        </w:rPr>
        <w:t> </w:t>
      </w:r>
      <w:r>
        <w:rPr>
          <w:spacing w:val="-94"/>
        </w:rPr>
      </w:r>
      <w:r>
        <w:rPr/>
        <w:t>的周期性，因此宏观经济周期的变化会影响公司的经营业绩。</w:t>
      </w:r>
    </w:p>
    <w:p>
      <w:pPr>
        <w:spacing w:line="240" w:lineRule="auto" w:before="4"/>
        <w:rPr>
          <w:rFonts w:ascii="宋体" w:hAnsi="宋体" w:cs="宋体" w:eastAsia="宋体" w:hint="default"/>
          <w:sz w:val="28"/>
          <w:szCs w:val="28"/>
        </w:rPr>
      </w:pPr>
    </w:p>
    <w:p>
      <w:pPr>
        <w:spacing w:line="276" w:lineRule="auto" w:before="0"/>
        <w:ind w:left="618" w:right="97"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）市场竞争风险</w:t>
      </w:r>
      <w:r>
        <w:rPr>
          <w:rFonts w:ascii="宋体" w:hAnsi="宋体" w:cs="宋体" w:eastAsia="宋体" w:hint="default"/>
          <w:b/>
          <w:bCs/>
          <w:w w:val="99"/>
          <w:sz w:val="24"/>
          <w:szCs w:val="24"/>
        </w:rPr>
        <w:t> </w:t>
      </w:r>
      <w:r>
        <w:rPr>
          <w:rFonts w:ascii="宋体" w:hAnsi="宋体" w:cs="宋体" w:eastAsia="宋体" w:hint="default"/>
          <w:spacing w:val="-2"/>
          <w:sz w:val="24"/>
          <w:szCs w:val="24"/>
        </w:rPr>
        <w:t>虽然公司在众多产业和业务市场份额中处于领先地位，但商用和消费类电子设备</w:t>
      </w:r>
    </w:p>
    <w:p>
      <w:pPr>
        <w:pStyle w:val="BodyText"/>
        <w:spacing w:line="276" w:lineRule="auto" w:before="10"/>
        <w:ind w:right="232"/>
        <w:jc w:val="both"/>
      </w:pPr>
      <w:r>
        <w:rPr>
          <w:spacing w:val="11"/>
        </w:rPr>
        <w:t>产品等部分业务属于市场激烈竞争的行业。近三年公司的主营业务毛利率分别为</w:t>
      </w:r>
      <w:r>
        <w:rPr>
          <w:spacing w:val="-102"/>
        </w:rPr>
        <w:t> </w:t>
      </w:r>
      <w:r>
        <w:rPr>
          <w:spacing w:val="-102"/>
        </w:rPr>
      </w:r>
      <w:r>
        <w:rPr>
          <w:rFonts w:ascii="宋体" w:hAnsi="宋体" w:cs="宋体" w:eastAsia="宋体" w:hint="default"/>
          <w:spacing w:val="-2"/>
        </w:rPr>
        <w:t>17.64%</w:t>
      </w:r>
      <w:r>
        <w:rPr>
          <w:spacing w:val="-2"/>
        </w:rPr>
        <w:t>、</w:t>
      </w:r>
      <w:r>
        <w:rPr>
          <w:rFonts w:ascii="宋体" w:hAnsi="宋体" w:cs="宋体" w:eastAsia="宋体" w:hint="default"/>
          <w:spacing w:val="-2"/>
        </w:rPr>
        <w:t>21.17%</w:t>
      </w:r>
      <w:r>
        <w:rPr>
          <w:spacing w:val="-2"/>
        </w:rPr>
        <w:t>、</w:t>
      </w:r>
      <w:r>
        <w:rPr>
          <w:rFonts w:ascii="宋体" w:hAnsi="宋体" w:cs="宋体" w:eastAsia="宋体" w:hint="default"/>
          <w:spacing w:val="-2"/>
        </w:rPr>
        <w:t>20.75%</w:t>
      </w:r>
      <w:r>
        <w:rPr>
          <w:spacing w:val="-2"/>
        </w:rPr>
        <w:t>。公司能否把握市场需求导向，保持技术开发速度和产品化</w:t>
      </w:r>
      <w:r>
        <w:rPr>
          <w:spacing w:val="-77"/>
        </w:rPr>
        <w:t> </w:t>
      </w:r>
      <w:r>
        <w:rPr>
          <w:spacing w:val="-77"/>
        </w:rPr>
      </w:r>
      <w:r>
        <w:rPr>
          <w:spacing w:val="-2"/>
        </w:rPr>
        <w:t>进程，不断推出具有竞争力的产品和服务，同时在市场、经营等生产要素管理方式上</w:t>
      </w:r>
      <w:r>
        <w:rPr>
          <w:spacing w:val="-94"/>
        </w:rPr>
        <w:t> </w:t>
      </w:r>
      <w:r>
        <w:rPr>
          <w:spacing w:val="-94"/>
        </w:rPr>
      </w:r>
      <w:r>
        <w:rPr>
          <w:spacing w:val="-2"/>
        </w:rPr>
        <w:t>实现与国内、国际竞争对手具有同等竞争力的经营机制，保持毛利率上升趋势，将对</w:t>
      </w:r>
      <w:r>
        <w:rPr>
          <w:spacing w:val="-96"/>
        </w:rPr>
        <w:t> </w:t>
      </w:r>
      <w:r>
        <w:rPr>
          <w:spacing w:val="-96"/>
        </w:rPr>
      </w:r>
      <w:r>
        <w:rPr/>
        <w:t>公司业务产生影响。</w:t>
      </w:r>
    </w:p>
    <w:p>
      <w:pPr>
        <w:spacing w:line="240" w:lineRule="auto" w:before="4"/>
        <w:rPr>
          <w:rFonts w:ascii="宋体" w:hAnsi="宋体" w:cs="宋体" w:eastAsia="宋体" w:hint="default"/>
          <w:sz w:val="28"/>
          <w:szCs w:val="28"/>
        </w:rPr>
      </w:pPr>
    </w:p>
    <w:p>
      <w:pPr>
        <w:spacing w:line="276" w:lineRule="auto" w:before="0"/>
        <w:ind w:left="618" w:right="97"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3</w:t>
      </w:r>
      <w:r>
        <w:rPr>
          <w:rFonts w:ascii="宋体" w:hAnsi="宋体" w:cs="宋体" w:eastAsia="宋体" w:hint="default"/>
          <w:b/>
          <w:bCs/>
          <w:sz w:val="24"/>
          <w:szCs w:val="24"/>
        </w:rPr>
        <w:t>）产品生命周期快速变化的风险</w:t>
      </w:r>
      <w:r>
        <w:rPr>
          <w:rFonts w:ascii="宋体" w:hAnsi="宋体" w:cs="宋体" w:eastAsia="宋体" w:hint="default"/>
          <w:b/>
          <w:bCs/>
          <w:w w:val="99"/>
          <w:sz w:val="24"/>
          <w:szCs w:val="24"/>
        </w:rPr>
        <w:t> </w:t>
      </w:r>
      <w:r>
        <w:rPr>
          <w:rFonts w:ascii="宋体" w:hAnsi="宋体" w:cs="宋体" w:eastAsia="宋体" w:hint="default"/>
          <w:spacing w:val="-2"/>
          <w:sz w:val="24"/>
          <w:szCs w:val="24"/>
        </w:rPr>
        <w:t>公司一直坚持以自主技术为核心，在技术上拥有较强的优势，但是从科技成果产</w:t>
      </w:r>
    </w:p>
    <w:p>
      <w:pPr>
        <w:pStyle w:val="BodyText"/>
        <w:spacing w:line="276" w:lineRule="auto" w:before="10"/>
        <w:ind w:right="234"/>
        <w:jc w:val="both"/>
      </w:pPr>
      <w:r>
        <w:rPr>
          <w:spacing w:val="-2"/>
        </w:rPr>
        <w:t>业化到确立明显的市场优势需要有一个被市场认同和接受的过程，此过程的期限长短</w:t>
      </w:r>
      <w:r>
        <w:rPr>
          <w:spacing w:val="-95"/>
        </w:rPr>
        <w:t> </w:t>
      </w:r>
      <w:r>
        <w:rPr>
          <w:spacing w:val="-95"/>
        </w:rPr>
      </w:r>
      <w:r>
        <w:rPr>
          <w:spacing w:val="-2"/>
        </w:rPr>
        <w:t>也将形成新技术产品的市场风险。同时，高新技术发展日新月异，产品更新快，技术</w:t>
      </w:r>
      <w:r>
        <w:rPr>
          <w:spacing w:val="-94"/>
        </w:rPr>
        <w:t> </w:t>
      </w:r>
      <w:r>
        <w:rPr>
          <w:spacing w:val="-94"/>
        </w:rPr>
      </w:r>
      <w:r>
        <w:rPr>
          <w:spacing w:val="-2"/>
        </w:rPr>
        <w:t>与产品由导入期至衰退期的时间也相对缩减。因此公司产品的生命周期对公司的经营</w:t>
      </w:r>
      <w:r>
        <w:rPr>
          <w:spacing w:val="-94"/>
        </w:rPr>
        <w:t> </w:t>
      </w:r>
      <w:r>
        <w:rPr>
          <w:spacing w:val="-94"/>
        </w:rPr>
      </w:r>
      <w:r>
        <w:rPr>
          <w:spacing w:val="-2"/>
        </w:rPr>
        <w:t>活动有较大影响。尽管公司保持研发的高投入，但产品生命周期快速变化的特征要求</w:t>
      </w:r>
      <w:r>
        <w:rPr>
          <w:spacing w:val="-94"/>
        </w:rPr>
        <w:t> </w:t>
      </w:r>
      <w:r>
        <w:rPr>
          <w:spacing w:val="-94"/>
        </w:rPr>
      </w:r>
      <w:r>
        <w:rPr>
          <w:spacing w:val="-2"/>
        </w:rPr>
        <w:t>公司必须具备快速运营、快速反应的能力，若不能通过一系列经营管理措施保持创新</w:t>
      </w:r>
      <w:r>
        <w:rPr>
          <w:spacing w:val="-94"/>
        </w:rPr>
        <w:t> </w:t>
      </w:r>
      <w:r>
        <w:rPr>
          <w:spacing w:val="-94"/>
        </w:rPr>
      </w:r>
      <w:r>
        <w:rPr/>
        <w:t>能力，将影响公司经营业绩的稳定增长。</w:t>
      </w:r>
    </w:p>
    <w:p>
      <w:pPr>
        <w:spacing w:line="240" w:lineRule="auto" w:before="4"/>
        <w:rPr>
          <w:rFonts w:ascii="宋体" w:hAnsi="宋体" w:cs="宋体" w:eastAsia="宋体" w:hint="default"/>
          <w:sz w:val="28"/>
          <w:szCs w:val="28"/>
        </w:rPr>
      </w:pPr>
    </w:p>
    <w:p>
      <w:pPr>
        <w:pStyle w:val="Heading2"/>
        <w:spacing w:line="240" w:lineRule="auto"/>
        <w:ind w:right="0"/>
        <w:jc w:val="both"/>
        <w:rPr>
          <w:b w:val="0"/>
          <w:bCs w:val="0"/>
        </w:rPr>
      </w:pPr>
      <w:r>
        <w:rPr/>
        <w:t>（</w:t>
      </w:r>
      <w:r>
        <w:rPr>
          <w:rFonts w:ascii="宋体" w:hAnsi="宋体" w:cs="宋体" w:eastAsia="宋体" w:hint="default"/>
        </w:rPr>
        <w:t>4</w:t>
      </w:r>
      <w:r>
        <w:rPr/>
        <w:t>）人才竞争风险</w:t>
      </w:r>
      <w:r>
        <w:rPr>
          <w:b w:val="0"/>
          <w:bCs w:val="0"/>
        </w:rPr>
      </w:r>
    </w:p>
    <w:p>
      <w:pPr>
        <w:pStyle w:val="BodyText"/>
        <w:spacing w:line="276" w:lineRule="auto" w:before="46"/>
        <w:ind w:right="95" w:firstLine="479"/>
        <w:jc w:val="left"/>
      </w:pPr>
      <w:r>
        <w:rPr/>
        <w:t>截至</w:t>
      </w:r>
      <w:r>
        <w:rPr>
          <w:spacing w:val="-58"/>
        </w:rPr>
        <w:t> </w:t>
      </w:r>
      <w:r>
        <w:rPr>
          <w:rFonts w:ascii="宋体" w:hAnsi="宋体" w:cs="宋体" w:eastAsia="宋体" w:hint="default"/>
        </w:rPr>
        <w:t>2018</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7"/>
        </w:rPr>
        <w:t> </w:t>
      </w:r>
      <w:r>
        <w:rPr/>
        <w:t>月</w:t>
      </w:r>
      <w:r>
        <w:rPr>
          <w:spacing w:val="-58"/>
        </w:rPr>
        <w:t> </w:t>
      </w:r>
      <w:r>
        <w:rPr>
          <w:rFonts w:ascii="宋体" w:hAnsi="宋体" w:cs="宋体" w:eastAsia="宋体" w:hint="default"/>
        </w:rPr>
        <w:t>31</w:t>
      </w:r>
      <w:r>
        <w:rPr>
          <w:rFonts w:ascii="宋体" w:hAnsi="宋体" w:cs="宋体" w:eastAsia="宋体" w:hint="default"/>
          <w:spacing w:val="-60"/>
        </w:rPr>
        <w:t> </w:t>
      </w:r>
      <w:r>
        <w:rPr/>
        <w:t>日，公司研发和工程技术人员占公司员工的比例为</w:t>
      </w:r>
      <w:r>
        <w:rPr>
          <w:spacing w:val="-57"/>
        </w:rPr>
        <w:t> </w:t>
      </w:r>
      <w:r>
        <w:rPr>
          <w:rFonts w:ascii="宋体" w:hAnsi="宋体" w:cs="宋体" w:eastAsia="宋体" w:hint="default"/>
        </w:rPr>
        <w:t>37.9%</w:t>
      </w:r>
      <w:r>
        <w:rPr/>
        <w:t>， 大批优秀人才确保了公司在安防系统、节能环保、知识网络等领域处于国际或国内领 先水平。杰出的科技人才和高素质的技术开发队伍形成的综合技术竞争力是公司的核 心竞争力所在，稳定和壮大科技人才队伍对公司的生存和发展尤为重要。公司产品的 开发、生产、质量保证和更新换代等将主要依赖参与研发的技术开发人员。随着高新 技术国际竞争的加剧和社会对高新技术人才需求的增大，高新技术人才在国际、国内 流动变得较为频繁，企业间竞争已经演变成人力的竞争。若公司无法建立有效的吸引 </w:t>
      </w:r>
      <w:r>
        <w:rPr>
          <w:spacing w:val="-8"/>
        </w:rPr>
        <w:t>人才、稳定人才的管理机制，无股权激励等制度上的保障，将弱化公司持续创新能力，</w:t>
      </w:r>
      <w:r>
        <w:rPr>
          <w:spacing w:val="-104"/>
        </w:rPr>
        <w:t> </w:t>
      </w:r>
      <w:r>
        <w:rPr>
          <w:spacing w:val="-104"/>
        </w:rPr>
      </w:r>
      <w:r>
        <w:rPr/>
        <w:t>难以适应国际化竞争。</w:t>
      </w:r>
    </w:p>
    <w:p>
      <w:pPr>
        <w:spacing w:line="240" w:lineRule="auto" w:before="4"/>
        <w:rPr>
          <w:rFonts w:ascii="宋体" w:hAnsi="宋体" w:cs="宋体" w:eastAsia="宋体" w:hint="default"/>
          <w:sz w:val="28"/>
          <w:szCs w:val="28"/>
        </w:rPr>
      </w:pPr>
    </w:p>
    <w:p>
      <w:pPr>
        <w:spacing w:line="276" w:lineRule="auto" w:before="0"/>
        <w:ind w:left="618" w:right="97"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5</w:t>
      </w:r>
      <w:r>
        <w:rPr>
          <w:rFonts w:ascii="宋体" w:hAnsi="宋体" w:cs="宋体" w:eastAsia="宋体" w:hint="default"/>
          <w:b/>
          <w:bCs/>
          <w:sz w:val="24"/>
          <w:szCs w:val="24"/>
        </w:rPr>
        <w:t>）新技术研制与开发的风险</w:t>
      </w:r>
      <w:r>
        <w:rPr>
          <w:rFonts w:ascii="宋体" w:hAnsi="宋体" w:cs="宋体" w:eastAsia="宋体" w:hint="default"/>
          <w:b/>
          <w:bCs/>
          <w:w w:val="99"/>
          <w:sz w:val="24"/>
          <w:szCs w:val="24"/>
        </w:rPr>
        <w:t> </w:t>
      </w:r>
      <w:r>
        <w:rPr>
          <w:rFonts w:ascii="宋体" w:hAnsi="宋体" w:cs="宋体" w:eastAsia="宋体" w:hint="default"/>
          <w:spacing w:val="-2"/>
          <w:sz w:val="24"/>
          <w:szCs w:val="24"/>
        </w:rPr>
        <w:t>公司四大产业链互联网服务与终端、云计算和大数据、公共安全和节能环保所涉</w:t>
      </w:r>
    </w:p>
    <w:p>
      <w:pPr>
        <w:pStyle w:val="BodyText"/>
        <w:spacing w:line="240" w:lineRule="auto" w:before="10"/>
        <w:ind w:right="0"/>
        <w:jc w:val="both"/>
      </w:pPr>
      <w:r>
        <w:rPr/>
        <w:t>及的技术发展日新月异，公司一直将高新技术推广与产业化作为核心竞争能力和业绩</w:t>
      </w:r>
    </w:p>
    <w:p>
      <w:pPr>
        <w:spacing w:after="0" w:line="240" w:lineRule="auto"/>
        <w:jc w:val="both"/>
        <w:sectPr>
          <w:pgSz w:w="11910" w:h="16840"/>
          <w:pgMar w:header="0" w:footer="1193" w:top="780" w:bottom="1380" w:left="1660" w:right="1040"/>
        </w:sectPr>
      </w:pPr>
    </w:p>
    <w:p>
      <w:pPr>
        <w:spacing w:before="25"/>
        <w:ind w:left="120" w:right="232"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BodyText"/>
        <w:spacing w:line="240" w:lineRule="auto" w:before="26"/>
        <w:ind w:right="0"/>
        <w:jc w:val="both"/>
        <w:rPr>
          <w:rFonts w:ascii="宋体" w:hAnsi="宋体" w:cs="宋体" w:eastAsia="宋体" w:hint="default"/>
        </w:rPr>
      </w:pPr>
      <w:r>
        <w:rPr>
          <w:spacing w:val="-13"/>
        </w:rPr>
        <w:t>增长点。截至</w:t>
      </w:r>
      <w:r>
        <w:rPr>
          <w:spacing w:val="-59"/>
        </w:rPr>
        <w:t> </w:t>
      </w:r>
      <w:r>
        <w:rPr>
          <w:rFonts w:ascii="宋体" w:hAnsi="宋体" w:cs="宋体" w:eastAsia="宋体" w:hint="default"/>
        </w:rPr>
        <w:t>2018</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spacing w:val="-6"/>
        </w:rPr>
        <w:t>月底，公司共获得中国专利权</w:t>
      </w:r>
      <w:r>
        <w:rPr>
          <w:spacing w:val="-59"/>
        </w:rPr>
        <w:t> </w:t>
      </w:r>
      <w:r>
        <w:rPr>
          <w:rFonts w:ascii="宋体" w:hAnsi="宋体" w:cs="宋体" w:eastAsia="宋体" w:hint="default"/>
        </w:rPr>
        <w:t>3,580</w:t>
      </w:r>
      <w:r>
        <w:rPr>
          <w:rFonts w:ascii="宋体" w:hAnsi="宋体" w:cs="宋体" w:eastAsia="宋体" w:hint="default"/>
          <w:spacing w:val="-59"/>
        </w:rPr>
        <w:t> </w:t>
      </w:r>
      <w:r>
        <w:rPr>
          <w:spacing w:val="-9"/>
        </w:rPr>
        <w:t>项，计算机软件登记</w:t>
      </w:r>
      <w:r>
        <w:rPr>
          <w:spacing w:val="-59"/>
        </w:rPr>
        <w:t> </w:t>
      </w:r>
      <w:r>
        <w:rPr>
          <w:rFonts w:ascii="宋体" w:hAnsi="宋体" w:cs="宋体" w:eastAsia="宋体" w:hint="default"/>
        </w:rPr>
        <w:t>668</w:t>
      </w:r>
    </w:p>
    <w:p>
      <w:pPr>
        <w:pStyle w:val="BodyText"/>
        <w:spacing w:line="240" w:lineRule="auto" w:before="46"/>
        <w:ind w:right="0"/>
        <w:jc w:val="both"/>
      </w:pPr>
      <w:r>
        <w:rPr/>
        <w:t>项，获得外国发明专利权</w:t>
      </w:r>
      <w:r>
        <w:rPr>
          <w:spacing w:val="-60"/>
        </w:rPr>
        <w:t> </w:t>
      </w:r>
      <w:r>
        <w:rPr>
          <w:rFonts w:ascii="宋体" w:hAnsi="宋体" w:cs="宋体" w:eastAsia="宋体" w:hint="default"/>
        </w:rPr>
        <w:t>870</w:t>
      </w:r>
      <w:r>
        <w:rPr>
          <w:rFonts w:ascii="宋体" w:hAnsi="宋体" w:cs="宋体" w:eastAsia="宋体" w:hint="default"/>
          <w:spacing w:val="-60"/>
        </w:rPr>
        <w:t> </w:t>
      </w:r>
      <w:r>
        <w:rPr/>
        <w:t>项。</w:t>
      </w:r>
    </w:p>
    <w:p>
      <w:pPr>
        <w:spacing w:line="240" w:lineRule="auto" w:before="0"/>
        <w:rPr>
          <w:rFonts w:ascii="宋体" w:hAnsi="宋体" w:cs="宋体" w:eastAsia="宋体" w:hint="default"/>
          <w:sz w:val="31"/>
          <w:szCs w:val="31"/>
        </w:rPr>
      </w:pPr>
    </w:p>
    <w:p>
      <w:pPr>
        <w:pStyle w:val="BodyText"/>
        <w:spacing w:line="276" w:lineRule="auto"/>
        <w:ind w:right="232" w:firstLine="479"/>
        <w:jc w:val="both"/>
      </w:pPr>
      <w:r>
        <w:rPr>
          <w:spacing w:val="-2"/>
        </w:rPr>
        <w:t>公司把高新技术推广和产业化作为公司的核心竞争能力和业绩增长点，而高新技</w:t>
      </w:r>
      <w:r>
        <w:rPr/>
        <w:t> </w:t>
      </w:r>
      <w:r>
        <w:rPr>
          <w:spacing w:val="-2"/>
        </w:rPr>
        <w:t>术的研制与开发是一种高投入、高风险、高回报的经营活动。尽管公司在高新技术和</w:t>
      </w:r>
      <w:r>
        <w:rPr>
          <w:spacing w:val="-93"/>
        </w:rPr>
        <w:t> </w:t>
      </w:r>
      <w:r>
        <w:rPr>
          <w:spacing w:val="-93"/>
        </w:rPr>
      </w:r>
      <w:r>
        <w:rPr>
          <w:spacing w:val="-2"/>
        </w:rPr>
        <w:t>新产品开发之前，要对资金投入、市场前景、投资回报等因素进行权衡比较之后方可</w:t>
      </w:r>
      <w:r>
        <w:rPr>
          <w:spacing w:val="-93"/>
        </w:rPr>
        <w:t> </w:t>
      </w:r>
      <w:r>
        <w:rPr>
          <w:spacing w:val="-93"/>
        </w:rPr>
      </w:r>
      <w:r>
        <w:rPr>
          <w:spacing w:val="-2"/>
        </w:rPr>
        <w:t>进入开发阶段，但由于技术发展、技术寿命的不确定性，以及未来市场对新技术产品</w:t>
      </w:r>
      <w:r>
        <w:rPr>
          <w:spacing w:val="-94"/>
        </w:rPr>
        <w:t> </w:t>
      </w:r>
      <w:r>
        <w:rPr>
          <w:spacing w:val="-94"/>
        </w:rPr>
      </w:r>
      <w:r>
        <w:rPr>
          <w:spacing w:val="-2"/>
        </w:rPr>
        <w:t>和服务的不确定性，即使公司做了周密的市场调查和预测，仍存在着新产品的开发和</w:t>
      </w:r>
      <w:r>
        <w:rPr>
          <w:spacing w:val="-94"/>
        </w:rPr>
        <w:t> </w:t>
      </w:r>
      <w:r>
        <w:rPr>
          <w:spacing w:val="-94"/>
        </w:rPr>
      </w:r>
      <w:r>
        <w:rPr/>
        <w:t>产业化达不到预期目标的风险。</w:t>
      </w:r>
    </w:p>
    <w:p>
      <w:pPr>
        <w:spacing w:line="240" w:lineRule="auto" w:before="4"/>
        <w:rPr>
          <w:rFonts w:ascii="宋体" w:hAnsi="宋体" w:cs="宋体" w:eastAsia="宋体" w:hint="default"/>
          <w:sz w:val="28"/>
          <w:szCs w:val="28"/>
        </w:rPr>
      </w:pPr>
    </w:p>
    <w:p>
      <w:pPr>
        <w:spacing w:line="276" w:lineRule="auto" w:before="0"/>
        <w:ind w:left="618" w:right="97"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6</w:t>
      </w:r>
      <w:r>
        <w:rPr>
          <w:rFonts w:ascii="宋体" w:hAnsi="宋体" w:cs="宋体" w:eastAsia="宋体" w:hint="default"/>
          <w:b/>
          <w:bCs/>
          <w:sz w:val="24"/>
          <w:szCs w:val="24"/>
        </w:rPr>
        <w:t>）技术时效性风险</w:t>
      </w:r>
      <w:r>
        <w:rPr>
          <w:rFonts w:ascii="宋体" w:hAnsi="宋体" w:cs="宋体" w:eastAsia="宋体" w:hint="default"/>
          <w:b/>
          <w:bCs/>
          <w:w w:val="99"/>
          <w:sz w:val="24"/>
          <w:szCs w:val="24"/>
        </w:rPr>
        <w:t> </w:t>
      </w:r>
      <w:r>
        <w:rPr>
          <w:rFonts w:ascii="宋体" w:hAnsi="宋体" w:cs="宋体" w:eastAsia="宋体" w:hint="default"/>
          <w:spacing w:val="-2"/>
          <w:sz w:val="24"/>
          <w:szCs w:val="24"/>
        </w:rPr>
        <w:t>高新技术中任何创新的时效性都非常显著，一项高新技术如果不能在较短时间实</w:t>
      </w:r>
    </w:p>
    <w:p>
      <w:pPr>
        <w:pStyle w:val="BodyText"/>
        <w:spacing w:line="276" w:lineRule="auto" w:before="10"/>
        <w:ind w:right="232"/>
        <w:jc w:val="both"/>
      </w:pPr>
      <w:r>
        <w:rPr>
          <w:spacing w:val="-2"/>
        </w:rPr>
        <w:t>现产业化、规模化，就面临被淘汰的风险。公司高新技术产品及服务所含的科学技术</w:t>
      </w:r>
      <w:r>
        <w:rPr>
          <w:spacing w:val="-93"/>
        </w:rPr>
        <w:t> </w:t>
      </w:r>
      <w:r>
        <w:rPr>
          <w:spacing w:val="-93"/>
        </w:rPr>
      </w:r>
      <w:r>
        <w:rPr>
          <w:spacing w:val="-2"/>
        </w:rPr>
        <w:t>知识具有一定的垄断性和排他性，然而垄断性往往具有很强的时效性，一旦技术未能</w:t>
      </w:r>
      <w:r>
        <w:rPr>
          <w:spacing w:val="-94"/>
        </w:rPr>
        <w:t> </w:t>
      </w:r>
      <w:r>
        <w:rPr>
          <w:spacing w:val="-94"/>
        </w:rPr>
      </w:r>
      <w:r>
        <w:rPr>
          <w:spacing w:val="-2"/>
        </w:rPr>
        <w:t>在有效期内发挥作用，公司的收益水平将会有所降低，从而增加公司的经营风险。此</w:t>
      </w:r>
      <w:r>
        <w:rPr>
          <w:spacing w:val="-96"/>
        </w:rPr>
        <w:t> </w:t>
      </w:r>
      <w:r>
        <w:rPr>
          <w:spacing w:val="-96"/>
        </w:rPr>
      </w:r>
      <w:r>
        <w:rPr>
          <w:spacing w:val="-2"/>
        </w:rPr>
        <w:t>外，知识产权的保护是保持技术时效性的重要举措，公司每年申请大量的高新技术成</w:t>
      </w:r>
      <w:r>
        <w:rPr>
          <w:spacing w:val="-94"/>
        </w:rPr>
        <w:t> </w:t>
      </w:r>
      <w:r>
        <w:rPr>
          <w:spacing w:val="-94"/>
        </w:rPr>
      </w:r>
      <w:r>
        <w:rPr>
          <w:spacing w:val="-2"/>
        </w:rPr>
        <w:t>果和专利，但由于市场竞争的日趋激烈和个别竞争对手知识产权意识相对淡薄，公司</w:t>
      </w:r>
      <w:r>
        <w:rPr>
          <w:spacing w:val="-94"/>
        </w:rPr>
        <w:t> </w:t>
      </w:r>
      <w:r>
        <w:rPr>
          <w:spacing w:val="-94"/>
        </w:rPr>
      </w:r>
      <w:r>
        <w:rPr>
          <w:spacing w:val="-2"/>
        </w:rPr>
        <w:t>存在着知识产权被侵犯，技术和产品被剽窃的风险，并有可能进而影响本公司的产品</w:t>
      </w:r>
      <w:r>
        <w:rPr>
          <w:spacing w:val="-93"/>
        </w:rPr>
        <w:t> </w:t>
      </w:r>
      <w:r>
        <w:rPr>
          <w:spacing w:val="-93"/>
        </w:rPr>
      </w:r>
      <w:r>
        <w:rPr/>
        <w:t>销售和收益</w:t>
      </w:r>
      <w:r>
        <w:rPr>
          <w:spacing w:val="-1"/>
        </w:rPr>
        <w:t> </w:t>
      </w:r>
      <w:r>
        <w:rPr/>
        <w:t>。</w:t>
      </w:r>
    </w:p>
    <w:p>
      <w:pPr>
        <w:spacing w:line="240" w:lineRule="auto" w:before="4"/>
        <w:rPr>
          <w:rFonts w:ascii="宋体" w:hAnsi="宋体" w:cs="宋体" w:eastAsia="宋体" w:hint="default"/>
          <w:sz w:val="28"/>
          <w:szCs w:val="28"/>
        </w:rPr>
      </w:pPr>
    </w:p>
    <w:p>
      <w:pPr>
        <w:spacing w:line="276" w:lineRule="auto" w:before="0"/>
        <w:ind w:left="618" w:right="97"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7</w:t>
      </w:r>
      <w:r>
        <w:rPr>
          <w:rFonts w:ascii="宋体" w:hAnsi="宋体" w:cs="宋体" w:eastAsia="宋体" w:hint="default"/>
          <w:b/>
          <w:bCs/>
          <w:sz w:val="24"/>
          <w:szCs w:val="24"/>
        </w:rPr>
        <w:t>）多元化经营的风险</w:t>
      </w:r>
      <w:r>
        <w:rPr>
          <w:rFonts w:ascii="宋体" w:hAnsi="宋体" w:cs="宋体" w:eastAsia="宋体" w:hint="default"/>
          <w:b/>
          <w:bCs/>
          <w:w w:val="99"/>
          <w:sz w:val="24"/>
          <w:szCs w:val="24"/>
        </w:rPr>
        <w:t> </w:t>
      </w:r>
      <w:r>
        <w:rPr>
          <w:rFonts w:ascii="宋体" w:hAnsi="宋体" w:cs="宋体" w:eastAsia="宋体" w:hint="default"/>
          <w:spacing w:val="-2"/>
          <w:sz w:val="24"/>
          <w:szCs w:val="24"/>
        </w:rPr>
        <w:t>公司业务板块包括四大产业链和一个科技园区板块，涉及的经营项目较多，如商</w:t>
      </w:r>
    </w:p>
    <w:p>
      <w:pPr>
        <w:pStyle w:val="BodyText"/>
        <w:spacing w:line="276" w:lineRule="auto" w:before="10"/>
        <w:ind w:right="234"/>
        <w:jc w:val="both"/>
      </w:pPr>
      <w:r>
        <w:rPr>
          <w:spacing w:val="-2"/>
        </w:rPr>
        <w:t>用和消费电子设备、知识内容与服务、云计算和大数据、公共安全、军工与装备、节</w:t>
      </w:r>
      <w:r>
        <w:rPr>
          <w:spacing w:val="-96"/>
        </w:rPr>
        <w:t> </w:t>
      </w:r>
      <w:r>
        <w:rPr>
          <w:spacing w:val="-96"/>
        </w:rPr>
      </w:r>
      <w:r>
        <w:rPr>
          <w:spacing w:val="-2"/>
        </w:rPr>
        <w:t>能产业、照明产业以及科技园等行业。未来公司板块所涉及的行业的系统性风险若加</w:t>
      </w:r>
      <w:r>
        <w:rPr>
          <w:spacing w:val="-94"/>
        </w:rPr>
        <w:t> </w:t>
      </w:r>
      <w:r>
        <w:rPr>
          <w:spacing w:val="-94"/>
        </w:rPr>
      </w:r>
      <w:r>
        <w:rPr/>
        <w:t>大会对公司板块造成影响，产生多元化经营的风险。</w:t>
      </w:r>
    </w:p>
    <w:p>
      <w:pPr>
        <w:spacing w:line="240" w:lineRule="auto" w:before="4"/>
        <w:rPr>
          <w:rFonts w:ascii="宋体" w:hAnsi="宋体" w:cs="宋体" w:eastAsia="宋体" w:hint="default"/>
          <w:sz w:val="28"/>
          <w:szCs w:val="28"/>
        </w:rPr>
      </w:pPr>
    </w:p>
    <w:p>
      <w:pPr>
        <w:spacing w:line="276" w:lineRule="auto" w:before="0"/>
        <w:ind w:left="618" w:right="216"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8</w:t>
      </w:r>
      <w:r>
        <w:rPr>
          <w:rFonts w:ascii="宋体" w:hAnsi="宋体" w:cs="宋体" w:eastAsia="宋体" w:hint="default"/>
          <w:b/>
          <w:bCs/>
          <w:sz w:val="24"/>
          <w:szCs w:val="24"/>
        </w:rPr>
        <w:t>）海外业务风险</w:t>
      </w:r>
      <w:r>
        <w:rPr>
          <w:rFonts w:ascii="宋体" w:hAnsi="宋体" w:cs="宋体" w:eastAsia="宋体" w:hint="default"/>
          <w:b/>
          <w:bCs/>
          <w:w w:val="99"/>
          <w:sz w:val="24"/>
          <w:szCs w:val="24"/>
        </w:rPr>
        <w:t> </w:t>
      </w:r>
      <w:r>
        <w:rPr>
          <w:rFonts w:ascii="宋体" w:hAnsi="宋体" w:cs="宋体" w:eastAsia="宋体" w:hint="default"/>
          <w:spacing w:val="-8"/>
          <w:sz w:val="24"/>
          <w:szCs w:val="24"/>
        </w:rPr>
        <w:t>公司现在存在包括计算机产品、多媒体产品、互联网服务、智慧城市、安防系统、</w:t>
      </w:r>
    </w:p>
    <w:p>
      <w:pPr>
        <w:pStyle w:val="BodyText"/>
        <w:spacing w:line="276" w:lineRule="auto" w:before="10"/>
        <w:ind w:right="233"/>
        <w:jc w:val="both"/>
      </w:pPr>
      <w:r>
        <w:rPr>
          <w:spacing w:val="-2"/>
        </w:rPr>
        <w:t>照明产品等众多海外业务，并在香港、美国、澳大利亚、波兰、新加坡等众多国家和</w:t>
      </w:r>
      <w:r>
        <w:rPr>
          <w:spacing w:val="-96"/>
        </w:rPr>
        <w:t> </w:t>
      </w:r>
      <w:r>
        <w:rPr>
          <w:spacing w:val="-96"/>
        </w:rPr>
      </w:r>
      <w:r>
        <w:rPr>
          <w:spacing w:val="-8"/>
        </w:rPr>
        <w:t>地区设立了海外分支机构，海外市场几乎遍布全球。近年来，海外经济形势波动较大，</w:t>
      </w:r>
    </w:p>
    <w:p>
      <w:pPr>
        <w:pStyle w:val="BodyText"/>
        <w:spacing w:line="276" w:lineRule="auto" w:before="10"/>
        <w:ind w:right="97"/>
        <w:jc w:val="left"/>
      </w:pPr>
      <w:r>
        <w:rPr/>
        <w:t>部分海外地区的政治局势不稳定，包括欧洲和美国在内的发达经济体经济增速放缓，</w:t>
      </w:r>
      <w:r>
        <w:rPr>
          <w:spacing w:val="-57"/>
        </w:rPr>
        <w:t> </w:t>
      </w:r>
      <w:r>
        <w:rPr>
          <w:spacing w:val="-57"/>
        </w:rPr>
      </w:r>
      <w:r>
        <w:rPr/>
        <w:t>这对公司海外业务和海外分支机构的经营存在一定不利影响。</w:t>
      </w:r>
    </w:p>
    <w:p>
      <w:pPr>
        <w:spacing w:line="240" w:lineRule="auto" w:before="4"/>
        <w:rPr>
          <w:rFonts w:ascii="宋体" w:hAnsi="宋体" w:cs="宋体" w:eastAsia="宋体" w:hint="default"/>
          <w:sz w:val="28"/>
          <w:szCs w:val="28"/>
        </w:rPr>
      </w:pPr>
    </w:p>
    <w:p>
      <w:pPr>
        <w:pStyle w:val="Heading2"/>
        <w:spacing w:line="240" w:lineRule="auto"/>
        <w:ind w:right="0"/>
        <w:jc w:val="both"/>
        <w:rPr>
          <w:b w:val="0"/>
          <w:bCs w:val="0"/>
        </w:rPr>
      </w:pPr>
      <w:r>
        <w:rPr>
          <w:rFonts w:ascii="宋体" w:hAnsi="宋体" w:cs="宋体" w:eastAsia="宋体" w:hint="default"/>
        </w:rPr>
        <w:t>3.</w:t>
      </w:r>
      <w:r>
        <w:rPr>
          <w:rFonts w:ascii="宋体" w:hAnsi="宋体" w:cs="宋体" w:eastAsia="宋体" w:hint="default"/>
          <w:spacing w:val="-6"/>
        </w:rPr>
        <w:t> </w:t>
      </w:r>
      <w:r>
        <w:rPr/>
        <w:t>管理风险</w:t>
      </w:r>
      <w:r>
        <w:rPr>
          <w:b w:val="0"/>
          <w:bCs w:val="0"/>
        </w:rPr>
      </w:r>
    </w:p>
    <w:p>
      <w:pPr>
        <w:pStyle w:val="BodyText"/>
        <w:spacing w:line="276" w:lineRule="auto" w:before="46"/>
        <w:ind w:right="233" w:firstLine="479"/>
        <w:jc w:val="both"/>
      </w:pPr>
      <w:r>
        <w:rPr>
          <w:spacing w:val="-2"/>
        </w:rPr>
        <w:t>公司拥有数量众多的控股和参股公司，而且由于公司下属多个产业板块不断积极</w:t>
      </w:r>
      <w:r>
        <w:rPr/>
        <w:t> </w:t>
      </w:r>
      <w:r>
        <w:rPr>
          <w:spacing w:val="-2"/>
        </w:rPr>
        <w:t>拓展市场份额和营销渠道，公司资产与经营规模继续扩大，给公司的管理能力和公司</w:t>
      </w:r>
      <w:r>
        <w:rPr>
          <w:spacing w:val="-94"/>
        </w:rPr>
        <w:t> </w:t>
      </w:r>
      <w:r>
        <w:rPr>
          <w:spacing w:val="-94"/>
        </w:rPr>
      </w:r>
      <w:r>
        <w:rPr/>
        <w:t>与子公司协同效应发挥带来了挑战，存在着一定的管理风险。</w:t>
      </w:r>
    </w:p>
    <w:p>
      <w:pPr>
        <w:spacing w:after="0" w:line="276" w:lineRule="auto"/>
        <w:jc w:val="both"/>
        <w:sectPr>
          <w:pgSz w:w="11910" w:h="16840"/>
          <w:pgMar w:header="0" w:footer="1193" w:top="780" w:bottom="1380" w:left="1660" w:right="1040"/>
        </w:sectPr>
      </w:pPr>
    </w:p>
    <w:p>
      <w:pPr>
        <w:spacing w:before="25"/>
        <w:ind w:left="120" w:right="232"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Heading2"/>
        <w:spacing w:line="240" w:lineRule="auto" w:before="26"/>
        <w:ind w:right="0"/>
        <w:jc w:val="both"/>
        <w:rPr>
          <w:b w:val="0"/>
          <w:bCs w:val="0"/>
        </w:rPr>
      </w:pPr>
      <w:r>
        <w:rPr>
          <w:rFonts w:ascii="宋体" w:hAnsi="宋体" w:cs="宋体" w:eastAsia="宋体" w:hint="default"/>
        </w:rPr>
        <w:t>4.</w:t>
      </w:r>
      <w:r>
        <w:rPr>
          <w:rFonts w:ascii="宋体" w:hAnsi="宋体" w:cs="宋体" w:eastAsia="宋体" w:hint="default"/>
          <w:spacing w:val="-6"/>
        </w:rPr>
        <w:t> </w:t>
      </w:r>
      <w:r>
        <w:rPr/>
        <w:t>财务风险</w:t>
      </w:r>
      <w:r>
        <w:rPr>
          <w:b w:val="0"/>
          <w:bCs w:val="0"/>
        </w:rPr>
      </w:r>
    </w:p>
    <w:p>
      <w:pPr>
        <w:spacing w:line="276" w:lineRule="auto" w:before="46"/>
        <w:ind w:left="618" w:right="97"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1</w:t>
      </w:r>
      <w:r>
        <w:rPr>
          <w:rFonts w:ascii="宋体" w:hAnsi="宋体" w:cs="宋体" w:eastAsia="宋体" w:hint="default"/>
          <w:b/>
          <w:bCs/>
          <w:sz w:val="24"/>
          <w:szCs w:val="24"/>
        </w:rPr>
        <w:t>）汇率变动风险</w:t>
      </w:r>
      <w:r>
        <w:rPr>
          <w:rFonts w:ascii="宋体" w:hAnsi="宋体" w:cs="宋体" w:eastAsia="宋体" w:hint="default"/>
          <w:b/>
          <w:bCs/>
          <w:w w:val="99"/>
          <w:sz w:val="24"/>
          <w:szCs w:val="24"/>
        </w:rPr>
        <w:t> </w:t>
      </w:r>
      <w:r>
        <w:rPr>
          <w:rFonts w:ascii="宋体" w:hAnsi="宋体" w:cs="宋体" w:eastAsia="宋体" w:hint="default"/>
          <w:spacing w:val="-2"/>
          <w:sz w:val="24"/>
          <w:szCs w:val="24"/>
        </w:rPr>
        <w:t>近三年来，公司加大了海外市场的拓展力度，海外市场收入占主营收入的比重较</w:t>
      </w:r>
    </w:p>
    <w:p>
      <w:pPr>
        <w:pStyle w:val="BodyText"/>
        <w:spacing w:line="276" w:lineRule="auto" w:before="10"/>
        <w:ind w:right="231"/>
        <w:jc w:val="both"/>
      </w:pPr>
      <w:r>
        <w:rPr/>
        <w:t>大，分别为 </w:t>
      </w:r>
      <w:r>
        <w:rPr>
          <w:rFonts w:ascii="宋体" w:hAnsi="宋体" w:cs="宋体" w:eastAsia="宋体" w:hint="default"/>
        </w:rPr>
        <w:t>39.46%</w:t>
      </w:r>
      <w:r>
        <w:rPr/>
        <w:t>、</w:t>
      </w:r>
      <w:r>
        <w:rPr>
          <w:rFonts w:ascii="宋体" w:hAnsi="宋体" w:cs="宋体" w:eastAsia="宋体" w:hint="default"/>
        </w:rPr>
        <w:t>40.44%</w:t>
      </w:r>
      <w:r>
        <w:rPr/>
        <w:t>和</w:t>
      </w:r>
      <w:r>
        <w:rPr>
          <w:spacing w:val="-49"/>
        </w:rPr>
        <w:t> </w:t>
      </w:r>
      <w:r>
        <w:rPr>
          <w:rFonts w:ascii="宋体" w:hAnsi="宋体" w:cs="宋体" w:eastAsia="宋体" w:hint="default"/>
        </w:rPr>
        <w:t>35.05%</w:t>
      </w:r>
      <w:r>
        <w:rPr/>
        <w:t>，因此人民币汇率变动会对公司的经营业绩产 </w:t>
      </w:r>
      <w:r>
        <w:rPr>
          <w:spacing w:val="-2"/>
        </w:rPr>
        <w:t>生一定影响。由于海外市场收入已成为本公司主营业务收入的重要组成部分，同时本</w:t>
      </w:r>
      <w:r>
        <w:rPr>
          <w:spacing w:val="-94"/>
        </w:rPr>
        <w:t> </w:t>
      </w:r>
      <w:r>
        <w:rPr>
          <w:spacing w:val="-94"/>
        </w:rPr>
      </w:r>
      <w:r>
        <w:rPr>
          <w:spacing w:val="-2"/>
        </w:rPr>
        <w:t>公司将继续大力拓展海外市场，承接国外项目，开展更加广泛的国际合作，因此如果</w:t>
      </w:r>
      <w:r>
        <w:rPr>
          <w:spacing w:val="-96"/>
        </w:rPr>
        <w:t> </w:t>
      </w:r>
      <w:r>
        <w:rPr>
          <w:spacing w:val="-96"/>
        </w:rPr>
      </w:r>
      <w:r>
        <w:rPr>
          <w:spacing w:val="-2"/>
        </w:rPr>
        <w:t>国家的外汇政策发生变化，或人民币汇率水平发生较大波动，将会在一定程度上影响</w:t>
      </w:r>
      <w:r>
        <w:rPr>
          <w:spacing w:val="-94"/>
        </w:rPr>
        <w:t> </w:t>
      </w:r>
      <w:r>
        <w:rPr>
          <w:spacing w:val="-94"/>
        </w:rPr>
      </w:r>
      <w:r>
        <w:rPr>
          <w:spacing w:val="-2"/>
        </w:rPr>
        <w:t>公司的出口业务和经营业绩。为此，公司已经并将继续加大海外直接采购、代工与组</w:t>
      </w:r>
      <w:r>
        <w:rPr>
          <w:spacing w:val="-95"/>
        </w:rPr>
        <w:t> </w:t>
      </w:r>
      <w:r>
        <w:rPr>
          <w:spacing w:val="-95"/>
        </w:rPr>
      </w:r>
      <w:r>
        <w:rPr>
          <w:spacing w:val="-2"/>
        </w:rPr>
        <w:t>货力度，同时，为海外购销业务匹配境外银行贷款和贸易融资，以期最大限度地对冲</w:t>
      </w:r>
      <w:r>
        <w:rPr>
          <w:spacing w:val="-92"/>
        </w:rPr>
        <w:t> </w:t>
      </w:r>
      <w:r>
        <w:rPr>
          <w:spacing w:val="-92"/>
        </w:rPr>
      </w:r>
      <w:r>
        <w:rPr/>
        <w:t>或消化汇率变动风险。</w:t>
      </w:r>
    </w:p>
    <w:p>
      <w:pPr>
        <w:spacing w:line="240" w:lineRule="auto" w:before="4"/>
        <w:rPr>
          <w:rFonts w:ascii="宋体" w:hAnsi="宋体" w:cs="宋体" w:eastAsia="宋体" w:hint="default"/>
          <w:sz w:val="28"/>
          <w:szCs w:val="28"/>
        </w:rPr>
      </w:pPr>
    </w:p>
    <w:p>
      <w:pPr>
        <w:spacing w:line="276" w:lineRule="auto" w:before="0"/>
        <w:ind w:left="618" w:right="112"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2</w:t>
      </w:r>
      <w:r>
        <w:rPr>
          <w:rFonts w:ascii="宋体" w:hAnsi="宋体" w:cs="宋体" w:eastAsia="宋体" w:hint="default"/>
          <w:b/>
          <w:bCs/>
          <w:sz w:val="24"/>
          <w:szCs w:val="24"/>
        </w:rPr>
        <w:t>）以公允价值计量且其变动计入当期损益的金融资产公允价值变动风险</w:t>
      </w:r>
      <w:r>
        <w:rPr>
          <w:rFonts w:ascii="宋体" w:hAnsi="宋体" w:cs="宋体" w:eastAsia="宋体" w:hint="default"/>
          <w:b/>
          <w:bCs/>
          <w:w w:val="99"/>
          <w:sz w:val="24"/>
          <w:szCs w:val="24"/>
        </w:rPr>
        <w:t> </w:t>
      </w:r>
      <w:r>
        <w:rPr>
          <w:rFonts w:ascii="宋体" w:hAnsi="宋体" w:cs="宋体" w:eastAsia="宋体" w:hint="default"/>
          <w:sz w:val="24"/>
          <w:szCs w:val="24"/>
        </w:rPr>
        <w:t>近三年公司确认的公允价值变动损益分别为</w:t>
      </w:r>
      <w:r>
        <w:rPr>
          <w:rFonts w:ascii="宋体" w:hAnsi="宋体" w:cs="宋体" w:eastAsia="宋体" w:hint="default"/>
          <w:sz w:val="24"/>
          <w:szCs w:val="24"/>
        </w:rPr>
        <w:t>-3.71</w:t>
      </w:r>
      <w:r>
        <w:rPr>
          <w:rFonts w:ascii="宋体" w:hAnsi="宋体" w:cs="宋体" w:eastAsia="宋体" w:hint="default"/>
          <w:spacing w:val="-56"/>
          <w:sz w:val="24"/>
          <w:szCs w:val="24"/>
        </w:rPr>
        <w:t> </w:t>
      </w:r>
      <w:r>
        <w:rPr>
          <w:rFonts w:ascii="宋体" w:hAnsi="宋体" w:cs="宋体" w:eastAsia="宋体" w:hint="default"/>
          <w:spacing w:val="-15"/>
          <w:sz w:val="24"/>
          <w:szCs w:val="24"/>
        </w:rPr>
        <w:t>亿元、</w:t>
      </w:r>
      <w:r>
        <w:rPr>
          <w:rFonts w:ascii="宋体" w:hAnsi="宋体" w:cs="宋体" w:eastAsia="宋体" w:hint="default"/>
          <w:spacing w:val="-15"/>
          <w:sz w:val="24"/>
          <w:szCs w:val="24"/>
        </w:rPr>
        <w:t>-2.55</w:t>
      </w:r>
      <w:r>
        <w:rPr>
          <w:rFonts w:ascii="宋体" w:hAnsi="宋体" w:cs="宋体" w:eastAsia="宋体" w:hint="default"/>
          <w:spacing w:val="-56"/>
          <w:sz w:val="24"/>
          <w:szCs w:val="24"/>
        </w:rPr>
        <w:t> </w:t>
      </w:r>
      <w:r>
        <w:rPr>
          <w:rFonts w:ascii="宋体" w:hAnsi="宋体" w:cs="宋体" w:eastAsia="宋体" w:hint="default"/>
          <w:spacing w:val="-15"/>
          <w:sz w:val="24"/>
          <w:szCs w:val="24"/>
        </w:rPr>
        <w:t>亿元、</w:t>
      </w:r>
      <w:r>
        <w:rPr>
          <w:rFonts w:ascii="宋体" w:hAnsi="宋体" w:cs="宋体" w:eastAsia="宋体" w:hint="default"/>
          <w:spacing w:val="-15"/>
          <w:sz w:val="24"/>
          <w:szCs w:val="24"/>
        </w:rPr>
        <w:t>-1.01</w:t>
      </w:r>
      <w:r>
        <w:rPr>
          <w:rFonts w:ascii="宋体" w:hAnsi="宋体" w:cs="宋体" w:eastAsia="宋体" w:hint="default"/>
          <w:spacing w:val="-56"/>
          <w:sz w:val="24"/>
          <w:szCs w:val="24"/>
        </w:rPr>
        <w:t> </w:t>
      </w:r>
      <w:r>
        <w:rPr>
          <w:rFonts w:ascii="宋体" w:hAnsi="宋体" w:cs="宋体" w:eastAsia="宋体" w:hint="default"/>
          <w:sz w:val="24"/>
          <w:szCs w:val="24"/>
        </w:rPr>
        <w:t>亿元。</w:t>
      </w:r>
    </w:p>
    <w:p>
      <w:pPr>
        <w:pStyle w:val="BodyText"/>
        <w:spacing w:line="276" w:lineRule="auto" w:before="10"/>
        <w:ind w:right="234"/>
        <w:jc w:val="both"/>
      </w:pPr>
      <w:r>
        <w:rPr>
          <w:spacing w:val="-2"/>
        </w:rPr>
        <w:t>公司公允价值变动损益，主要是公司处置所持有的金融资产以及所持有的以公允价值</w:t>
      </w:r>
      <w:r>
        <w:rPr>
          <w:spacing w:val="-94"/>
        </w:rPr>
        <w:t> </w:t>
      </w:r>
      <w:r>
        <w:rPr>
          <w:spacing w:val="-94"/>
        </w:rPr>
      </w:r>
      <w:r>
        <w:rPr>
          <w:spacing w:val="-2"/>
        </w:rPr>
        <w:t>计量且其变动计入当期损益的金融资产市场价格波动所致。公司上述以公允价值计量</w:t>
      </w:r>
      <w:r>
        <w:rPr>
          <w:spacing w:val="-94"/>
        </w:rPr>
        <w:t> </w:t>
      </w:r>
      <w:r>
        <w:rPr>
          <w:spacing w:val="-94"/>
        </w:rPr>
      </w:r>
      <w:r>
        <w:rPr>
          <w:spacing w:val="-2"/>
        </w:rPr>
        <w:t>且其变动计入当期损益的金融资产的公允价值变动以及公司对其可能的处置，都将对</w:t>
      </w:r>
      <w:r>
        <w:rPr>
          <w:spacing w:val="-94"/>
        </w:rPr>
        <w:t> </w:t>
      </w:r>
      <w:r>
        <w:rPr>
          <w:spacing w:val="-94"/>
        </w:rPr>
      </w:r>
      <w:r>
        <w:rPr/>
        <w:t>公司未来净利润产生一定影响。</w:t>
      </w:r>
    </w:p>
    <w:p>
      <w:pPr>
        <w:spacing w:line="240" w:lineRule="auto" w:before="12"/>
        <w:rPr>
          <w:rFonts w:ascii="宋体" w:hAnsi="宋体" w:cs="宋体" w:eastAsia="宋体" w:hint="default"/>
          <w:sz w:val="32"/>
          <w:szCs w:val="32"/>
        </w:rPr>
      </w:pPr>
    </w:p>
    <w:p>
      <w:pPr>
        <w:pStyle w:val="Heading2"/>
        <w:spacing w:line="240" w:lineRule="auto"/>
        <w:ind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115"/>
        </w:rPr>
        <w:t> </w:t>
      </w:r>
      <w:r>
        <w:rPr/>
        <w:t>其他</w:t>
      </w:r>
      <w:r>
        <w:rPr>
          <w:b w:val="0"/>
          <w:bCs w:val="0"/>
        </w:rPr>
      </w:r>
    </w:p>
    <w:p>
      <w:pPr>
        <w:pStyle w:val="BodyText"/>
        <w:spacing w:line="240" w:lineRule="auto" w:before="106"/>
        <w:ind w:right="0"/>
        <w:jc w:val="both"/>
      </w:pPr>
      <w:r>
        <w:rPr/>
        <w:t>□适用</w:t>
      </w:r>
      <w:r>
        <w:rPr>
          <w:spacing w:val="119"/>
        </w:rPr>
        <w:t> </w:t>
      </w:r>
      <w:r>
        <w:rPr/>
        <w:t>√不适用</w:t>
      </w:r>
    </w:p>
    <w:p>
      <w:pPr>
        <w:spacing w:line="240" w:lineRule="auto" w:before="8"/>
        <w:rPr>
          <w:rFonts w:ascii="宋体" w:hAnsi="宋体" w:cs="宋体" w:eastAsia="宋体" w:hint="default"/>
          <w:sz w:val="35"/>
          <w:szCs w:val="35"/>
        </w:rPr>
      </w:pPr>
    </w:p>
    <w:p>
      <w:pPr>
        <w:pStyle w:val="Heading2"/>
        <w:spacing w:line="276" w:lineRule="auto"/>
        <w:ind w:left="558" w:right="97" w:hanging="420"/>
        <w:jc w:val="left"/>
        <w:rPr>
          <w:b w:val="0"/>
          <w:bCs w:val="0"/>
        </w:rPr>
      </w:pPr>
      <w:r>
        <w:rPr>
          <w:spacing w:val="-2"/>
          <w:w w:val="95"/>
        </w:rPr>
        <w:t>四、公司因不适用准则规定或国家秘密、商业秘密等特殊原因，未按准则披露的情况</w:t>
      </w:r>
      <w:r>
        <w:rPr>
          <w:spacing w:val="87"/>
          <w:w w:val="95"/>
        </w:rPr>
        <w:t> </w:t>
      </w:r>
      <w:r>
        <w:rPr>
          <w:spacing w:val="87"/>
          <w:w w:val="95"/>
        </w:rPr>
      </w:r>
      <w:r>
        <w:rPr/>
        <w:t>和原因说明</w:t>
      </w:r>
      <w:r>
        <w:rPr>
          <w:b w:val="0"/>
          <w:bCs w:val="0"/>
        </w:rPr>
      </w:r>
    </w:p>
    <w:p>
      <w:pPr>
        <w:pStyle w:val="BodyText"/>
        <w:spacing w:line="240" w:lineRule="auto" w:before="70"/>
        <w:ind w:right="0"/>
        <w:jc w:val="both"/>
      </w:pPr>
      <w:r>
        <w:rPr/>
        <w:t>□适用</w:t>
      </w:r>
      <w:r>
        <w:rPr>
          <w:spacing w:val="119"/>
        </w:rPr>
        <w:t> </w:t>
      </w:r>
      <w:r>
        <w:rPr/>
        <w:t>√不适用</w:t>
      </w:r>
    </w:p>
    <w:p>
      <w:pPr>
        <w:spacing w:after="0" w:line="240" w:lineRule="auto"/>
        <w:jc w:val="both"/>
        <w:sectPr>
          <w:pgSz w:w="11910" w:h="16840"/>
          <w:pgMar w:header="0" w:footer="1193" w:top="780" w:bottom="1380" w:left="1660" w:right="1040"/>
        </w:sectPr>
      </w:pPr>
    </w:p>
    <w:p>
      <w:pPr>
        <w:spacing w:before="25"/>
        <w:ind w:left="4133" w:right="422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36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5"/>
          <w:szCs w:val="25"/>
        </w:rPr>
      </w:pPr>
    </w:p>
    <w:p>
      <w:pPr>
        <w:pStyle w:val="Heading1"/>
        <w:spacing w:line="240" w:lineRule="auto"/>
        <w:ind w:left="3761" w:right="0"/>
        <w:jc w:val="left"/>
        <w:rPr>
          <w:b w:val="0"/>
          <w:bCs w:val="0"/>
        </w:rPr>
      </w:pPr>
      <w:bookmarkStart w:name="_TOC_250006" w:id="5"/>
      <w:r>
        <w:rPr/>
        <w:t>第五节</w:t>
      </w:r>
      <w:r>
        <w:rPr>
          <w:spacing w:val="-3"/>
        </w:rPr>
        <w:t> </w:t>
      </w:r>
      <w:r>
        <w:rPr/>
        <w:t>重要事项</w:t>
      </w:r>
      <w:bookmarkEnd w:id="5"/>
      <w:r>
        <w:rPr>
          <w:b w:val="0"/>
          <w:bCs w:val="0"/>
        </w:rPr>
      </w:r>
    </w:p>
    <w:p>
      <w:pPr>
        <w:spacing w:line="240" w:lineRule="auto" w:before="7"/>
        <w:rPr>
          <w:rFonts w:ascii="黑体" w:hAnsi="黑体" w:cs="黑体" w:eastAsia="黑体" w:hint="default"/>
          <w:b/>
          <w:bCs/>
          <w:sz w:val="22"/>
          <w:szCs w:val="22"/>
        </w:rPr>
      </w:pPr>
    </w:p>
    <w:p>
      <w:pPr>
        <w:pStyle w:val="Heading2"/>
        <w:tabs>
          <w:tab w:pos="1237" w:val="left" w:leader="none"/>
        </w:tabs>
        <w:spacing w:line="321" w:lineRule="auto"/>
        <w:ind w:left="398" w:right="4371"/>
        <w:jc w:val="left"/>
        <w:rPr>
          <w:b w:val="0"/>
          <w:bCs w:val="0"/>
        </w:rPr>
      </w:pPr>
      <w:r>
        <w:rPr/>
        <w:t>一、普通股利润分配或资本公积金转增预案</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现金分红政策的制定、执行或调整情况</w:t>
      </w:r>
      <w:r>
        <w:rPr>
          <w:b w:val="0"/>
          <w:bCs w:val="0"/>
        </w:rPr>
      </w:r>
    </w:p>
    <w:p>
      <w:pPr>
        <w:pStyle w:val="BodyText"/>
        <w:spacing w:line="240" w:lineRule="auto" w:before="24"/>
        <w:ind w:left="398" w:right="0"/>
        <w:jc w:val="both"/>
      </w:pPr>
      <w:r>
        <w:rPr/>
        <w:t>√适用</w:t>
      </w:r>
      <w:r>
        <w:rPr>
          <w:spacing w:val="119"/>
        </w:rPr>
        <w:t> </w:t>
      </w:r>
      <w:r>
        <w:rPr/>
        <w:t>□不适用</w:t>
      </w:r>
    </w:p>
    <w:p>
      <w:pPr>
        <w:pStyle w:val="BodyText"/>
        <w:spacing w:line="240" w:lineRule="auto" w:before="46"/>
        <w:ind w:left="818" w:right="0"/>
        <w:jc w:val="left"/>
      </w:pPr>
      <w:r>
        <w:rPr>
          <w:spacing w:val="-8"/>
        </w:rPr>
        <w:t>本年度，公司未对分红政策进行调整。</w:t>
      </w:r>
      <w:r>
        <w:rPr>
          <w:rFonts w:ascii="宋体" w:hAnsi="宋体" w:cs="宋体" w:eastAsia="宋体" w:hint="default"/>
          <w:spacing w:val="-8"/>
        </w:rPr>
        <w:t>2018</w:t>
      </w:r>
      <w:r>
        <w:rPr>
          <w:rFonts w:ascii="宋体" w:hAnsi="宋体" w:cs="宋体" w:eastAsia="宋体" w:hint="default"/>
          <w:spacing w:val="-60"/>
        </w:rPr>
        <w:t> </w:t>
      </w:r>
      <w:r>
        <w:rPr/>
        <w:t>年度内公司分红政策的执行情况如下：</w:t>
      </w:r>
    </w:p>
    <w:p>
      <w:pPr>
        <w:spacing w:line="240" w:lineRule="auto" w:before="0"/>
        <w:rPr>
          <w:rFonts w:ascii="宋体" w:hAnsi="宋体" w:cs="宋体" w:eastAsia="宋体" w:hint="default"/>
          <w:sz w:val="31"/>
          <w:szCs w:val="31"/>
        </w:rPr>
      </w:pPr>
    </w:p>
    <w:p>
      <w:pPr>
        <w:pStyle w:val="BodyText"/>
        <w:spacing w:line="240" w:lineRule="auto"/>
        <w:ind w:left="818" w:right="0"/>
        <w:jc w:val="left"/>
      </w:pP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5"/>
        </w:rPr>
        <w:t>日，公司披露了《关于</w:t>
      </w:r>
      <w:r>
        <w:rPr>
          <w:spacing w:val="-60"/>
        </w:rPr>
        <w:t> </w:t>
      </w:r>
      <w:r>
        <w:rPr>
          <w:rFonts w:ascii="宋体" w:hAnsi="宋体" w:cs="宋体" w:eastAsia="宋体" w:hint="default"/>
        </w:rPr>
        <w:t>2017</w:t>
      </w:r>
      <w:r>
        <w:rPr>
          <w:rFonts w:ascii="宋体" w:hAnsi="宋体" w:cs="宋体" w:eastAsia="宋体" w:hint="default"/>
          <w:spacing w:val="-60"/>
        </w:rPr>
        <w:t> </w:t>
      </w:r>
      <w:r>
        <w:rPr/>
        <w:t>年度利润分配实施方案征求股东及投</w:t>
      </w:r>
    </w:p>
    <w:p>
      <w:pPr>
        <w:pStyle w:val="BodyText"/>
        <w:spacing w:line="276" w:lineRule="auto" w:before="46"/>
        <w:ind w:left="398" w:right="470"/>
        <w:jc w:val="both"/>
      </w:pPr>
      <w:r>
        <w:rPr/>
        <w:t>资者意见的公告》，就公司 </w:t>
      </w:r>
      <w:r>
        <w:rPr>
          <w:rFonts w:ascii="宋体" w:hAnsi="宋体" w:cs="宋体" w:eastAsia="宋体" w:hint="default"/>
        </w:rPr>
        <w:t>2017</w:t>
      </w:r>
      <w:r>
        <w:rPr>
          <w:rFonts w:ascii="宋体" w:hAnsi="宋体" w:cs="宋体" w:eastAsia="宋体" w:hint="default"/>
          <w:spacing w:val="-48"/>
        </w:rPr>
        <w:t> </w:t>
      </w:r>
      <w:r>
        <w:rPr/>
        <w:t>年度利润分配方案征求了中小股东的意见，为中小 </w:t>
      </w:r>
      <w:r>
        <w:rPr>
          <w:spacing w:val="-2"/>
        </w:rPr>
        <w:t>股东充分表达意见和诉求提供了机会和平台，充分维护了中小股东的合法权益。在征</w:t>
      </w:r>
      <w:r>
        <w:rPr>
          <w:spacing w:val="-94"/>
        </w:rPr>
        <w:t> </w:t>
      </w:r>
      <w:r>
        <w:rPr>
          <w:spacing w:val="-94"/>
        </w:rPr>
      </w:r>
      <w:r>
        <w:rPr/>
        <w:t>求意见期间，公司共收到中小股东以电子邮件和书面方式发来的意见 </w:t>
      </w:r>
      <w:r>
        <w:rPr>
          <w:rFonts w:ascii="宋体" w:hAnsi="宋体" w:cs="宋体" w:eastAsia="宋体" w:hint="default"/>
        </w:rPr>
        <w:t>57</w:t>
      </w:r>
      <w:r>
        <w:rPr>
          <w:rFonts w:ascii="宋体" w:hAnsi="宋体" w:cs="宋体" w:eastAsia="宋体" w:hint="default"/>
          <w:spacing w:val="-47"/>
        </w:rPr>
        <w:t> </w:t>
      </w:r>
      <w:r>
        <w:rPr/>
        <w:t>份。在征求 </w:t>
      </w:r>
      <w:r>
        <w:rPr>
          <w:spacing w:val="-2"/>
        </w:rPr>
        <w:t>中小股东意见后，并充分考虑到公司所处阶段和经营规划，在符合公司现金分红政策</w:t>
      </w:r>
      <w:r>
        <w:rPr>
          <w:spacing w:val="-94"/>
        </w:rPr>
        <w:t> </w:t>
      </w:r>
      <w:r>
        <w:rPr>
          <w:spacing w:val="-94"/>
        </w:rPr>
      </w:r>
      <w:r>
        <w:rPr/>
        <w:t>规定的前提下，公司初步拟定了公司 </w:t>
      </w:r>
      <w:r>
        <w:rPr>
          <w:rFonts w:ascii="宋体" w:hAnsi="宋体" w:cs="宋体" w:eastAsia="宋体" w:hint="default"/>
        </w:rPr>
        <w:t>2017</w:t>
      </w:r>
      <w:r>
        <w:rPr>
          <w:rFonts w:ascii="宋体" w:hAnsi="宋体" w:cs="宋体" w:eastAsia="宋体" w:hint="default"/>
          <w:spacing w:val="-48"/>
        </w:rPr>
        <w:t> </w:t>
      </w:r>
      <w:r>
        <w:rPr/>
        <w:t>年度利润分配和资本公积不转增股本的方 </w:t>
      </w:r>
      <w:r>
        <w:rPr>
          <w:spacing w:val="-2"/>
        </w:rPr>
        <w:t>案，并提交第七届董事会第二十七次会议予以了审议，独立董事就公司董事会拟定的</w:t>
      </w:r>
      <w:r>
        <w:rPr>
          <w:spacing w:val="-93"/>
        </w:rPr>
        <w:t> </w:t>
      </w:r>
      <w:r>
        <w:rPr>
          <w:spacing w:val="-93"/>
        </w:rPr>
      </w:r>
      <w:r>
        <w:rPr>
          <w:rFonts w:ascii="宋体" w:hAnsi="宋体" w:cs="宋体" w:eastAsia="宋体" w:hint="default"/>
        </w:rPr>
        <w:t>2017</w:t>
      </w:r>
      <w:r>
        <w:rPr>
          <w:rFonts w:ascii="宋体" w:hAnsi="宋体" w:cs="宋体" w:eastAsia="宋体" w:hint="default"/>
          <w:spacing w:val="-56"/>
        </w:rPr>
        <w:t> </w:t>
      </w:r>
      <w:r>
        <w:rPr/>
        <w:t>年度利润分配和资本公积金不转增股本预案发表了独立意见。公司</w:t>
      </w:r>
      <w:r>
        <w:rPr>
          <w:spacing w:val="-54"/>
        </w:rPr>
        <w:t> </w:t>
      </w:r>
      <w:r>
        <w:rPr>
          <w:rFonts w:ascii="宋体" w:hAnsi="宋体" w:cs="宋体" w:eastAsia="宋体" w:hint="default"/>
        </w:rPr>
        <w:t>2017</w:t>
      </w:r>
      <w:r>
        <w:rPr>
          <w:rFonts w:ascii="宋体" w:hAnsi="宋体" w:cs="宋体" w:eastAsia="宋体" w:hint="default"/>
          <w:spacing w:val="-56"/>
        </w:rPr>
        <w:t> </w:t>
      </w:r>
      <w:r>
        <w:rPr/>
        <w:t>年度利</w:t>
      </w:r>
    </w:p>
    <w:p>
      <w:pPr>
        <w:pStyle w:val="BodyText"/>
        <w:spacing w:line="240" w:lineRule="auto" w:before="10"/>
        <w:ind w:left="398" w:right="0"/>
        <w:jc w:val="both"/>
      </w:pPr>
      <w:r>
        <w:rPr/>
        <w:t>润分配方案最终经公司</w:t>
      </w:r>
      <w:r>
        <w:rPr>
          <w:spacing w:val="-60"/>
        </w:rPr>
        <w:t> </w:t>
      </w:r>
      <w:r>
        <w:rPr>
          <w:rFonts w:ascii="宋体" w:hAnsi="宋体" w:cs="宋体" w:eastAsia="宋体" w:hint="default"/>
        </w:rPr>
        <w:t>2017</w:t>
      </w:r>
      <w:r>
        <w:rPr>
          <w:rFonts w:ascii="宋体" w:hAnsi="宋体" w:cs="宋体" w:eastAsia="宋体" w:hint="default"/>
          <w:spacing w:val="-60"/>
        </w:rPr>
        <w:t> </w:t>
      </w:r>
      <w:r>
        <w:rPr/>
        <w:t>年年度股东大会审议批准。</w:t>
      </w:r>
    </w:p>
    <w:p>
      <w:pPr>
        <w:spacing w:line="240" w:lineRule="auto" w:before="0"/>
        <w:rPr>
          <w:rFonts w:ascii="宋体" w:hAnsi="宋体" w:cs="宋体" w:eastAsia="宋体" w:hint="default"/>
          <w:sz w:val="31"/>
          <w:szCs w:val="31"/>
        </w:rPr>
      </w:pPr>
    </w:p>
    <w:p>
      <w:pPr>
        <w:pStyle w:val="BodyText"/>
        <w:spacing w:line="240" w:lineRule="auto"/>
        <w:ind w:left="818" w:right="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67"/>
        </w:rPr>
        <w:t> </w:t>
      </w:r>
      <w:r>
        <w:rPr/>
        <w:t>年</w:t>
      </w:r>
      <w:r>
        <w:rPr>
          <w:spacing w:val="-67"/>
        </w:rPr>
        <w:t> </w:t>
      </w:r>
      <w:r>
        <w:rPr>
          <w:rFonts w:ascii="宋体" w:hAnsi="宋体" w:cs="宋体" w:eastAsia="宋体" w:hint="default"/>
        </w:rPr>
        <w:t>6</w:t>
      </w:r>
      <w:r>
        <w:rPr>
          <w:rFonts w:ascii="宋体" w:hAnsi="宋体" w:cs="宋体" w:eastAsia="宋体" w:hint="default"/>
          <w:spacing w:val="-67"/>
        </w:rPr>
        <w:t> </w:t>
      </w:r>
      <w:r>
        <w:rPr/>
        <w:t>月</w:t>
      </w:r>
      <w:r>
        <w:rPr>
          <w:spacing w:val="-67"/>
        </w:rPr>
        <w:t> </w:t>
      </w:r>
      <w:r>
        <w:rPr>
          <w:rFonts w:ascii="宋体" w:hAnsi="宋体" w:cs="宋体" w:eastAsia="宋体" w:hint="default"/>
        </w:rPr>
        <w:t>27</w:t>
      </w:r>
      <w:r>
        <w:rPr>
          <w:rFonts w:ascii="宋体" w:hAnsi="宋体" w:cs="宋体" w:eastAsia="宋体" w:hint="default"/>
          <w:spacing w:val="-67"/>
        </w:rPr>
        <w:t> </w:t>
      </w:r>
      <w:r>
        <w:rPr/>
        <w:t>日，公司披露了《</w:t>
      </w:r>
      <w:r>
        <w:rPr>
          <w:rFonts w:ascii="宋体" w:hAnsi="宋体" w:cs="宋体" w:eastAsia="宋体" w:hint="default"/>
        </w:rPr>
        <w:t>2017</w:t>
      </w:r>
      <w:r>
        <w:rPr>
          <w:rFonts w:ascii="宋体" w:hAnsi="宋体" w:cs="宋体" w:eastAsia="宋体" w:hint="default"/>
          <w:spacing w:val="-67"/>
        </w:rPr>
        <w:t> </w:t>
      </w:r>
      <w:r>
        <w:rPr/>
        <w:t>年年度权益分派实施公告》，实施了</w:t>
      </w:r>
      <w:r>
        <w:rPr>
          <w:spacing w:val="-66"/>
        </w:rPr>
        <w:t> </w:t>
      </w:r>
      <w:r>
        <w:rPr>
          <w:rFonts w:ascii="宋体" w:hAnsi="宋体" w:cs="宋体" w:eastAsia="宋体" w:hint="default"/>
        </w:rPr>
        <w:t>2017</w:t>
      </w:r>
    </w:p>
    <w:p>
      <w:pPr>
        <w:pStyle w:val="BodyText"/>
        <w:spacing w:line="240" w:lineRule="auto" w:before="46"/>
        <w:ind w:left="398" w:right="0"/>
        <w:jc w:val="both"/>
      </w:pPr>
      <w:r>
        <w:rPr/>
        <w:t>年度利润分配方案，以方案实施前的公司总股本</w:t>
      </w:r>
      <w:r>
        <w:rPr>
          <w:spacing w:val="-71"/>
        </w:rPr>
        <w:t> </w:t>
      </w:r>
      <w:r>
        <w:rPr>
          <w:rFonts w:ascii="宋体" w:hAnsi="宋体" w:cs="宋体" w:eastAsia="宋体" w:hint="default"/>
        </w:rPr>
        <w:t>2,963,898,951</w:t>
      </w:r>
      <w:r>
        <w:rPr>
          <w:rFonts w:ascii="宋体" w:hAnsi="宋体" w:cs="宋体" w:eastAsia="宋体" w:hint="default"/>
          <w:spacing w:val="-71"/>
        </w:rPr>
        <w:t> </w:t>
      </w:r>
      <w:r>
        <w:rPr>
          <w:spacing w:val="-3"/>
        </w:rPr>
        <w:t>股为基数，每股派发</w:t>
      </w:r>
    </w:p>
    <w:p>
      <w:pPr>
        <w:pStyle w:val="BodyText"/>
        <w:spacing w:line="240" w:lineRule="auto" w:before="46"/>
        <w:ind w:left="398" w:right="0"/>
        <w:jc w:val="both"/>
      </w:pPr>
      <w:r>
        <w:rPr/>
        <w:t>现金红利</w:t>
      </w:r>
      <w:r>
        <w:rPr>
          <w:spacing w:val="-61"/>
        </w:rPr>
        <w:t> </w:t>
      </w:r>
      <w:r>
        <w:rPr>
          <w:rFonts w:ascii="宋体" w:hAnsi="宋体" w:cs="宋体" w:eastAsia="宋体" w:hint="default"/>
        </w:rPr>
        <w:t>0.015</w:t>
      </w:r>
      <w:r>
        <w:rPr>
          <w:rFonts w:ascii="宋体" w:hAnsi="宋体" w:cs="宋体" w:eastAsia="宋体" w:hint="default"/>
          <w:spacing w:val="-60"/>
        </w:rPr>
        <w:t> </w:t>
      </w:r>
      <w:r>
        <w:rPr/>
        <w:t>元（含税），共计派发现金红利</w:t>
      </w:r>
      <w:r>
        <w:rPr>
          <w:spacing w:val="-60"/>
        </w:rPr>
        <w:t> </w:t>
      </w:r>
      <w:r>
        <w:rPr>
          <w:rFonts w:ascii="宋体" w:hAnsi="宋体" w:cs="宋体" w:eastAsia="宋体" w:hint="default"/>
        </w:rPr>
        <w:t>44,458,484.27</w:t>
      </w:r>
      <w:r>
        <w:rPr>
          <w:rFonts w:ascii="宋体" w:hAnsi="宋体" w:cs="宋体" w:eastAsia="宋体" w:hint="default"/>
          <w:spacing w:val="-60"/>
        </w:rPr>
        <w:t> </w:t>
      </w:r>
      <w:r>
        <w:rPr/>
        <w:t>元。</w:t>
      </w:r>
    </w:p>
    <w:p>
      <w:pPr>
        <w:spacing w:line="240" w:lineRule="auto" w:before="0"/>
        <w:rPr>
          <w:rFonts w:ascii="宋体" w:hAnsi="宋体" w:cs="宋体" w:eastAsia="宋体" w:hint="default"/>
          <w:sz w:val="31"/>
          <w:szCs w:val="31"/>
        </w:rPr>
      </w:pPr>
    </w:p>
    <w:p>
      <w:pPr>
        <w:pStyle w:val="BodyText"/>
        <w:spacing w:line="276" w:lineRule="auto"/>
        <w:ind w:left="398" w:right="471" w:firstLine="419"/>
        <w:jc w:val="both"/>
      </w:pPr>
      <w:r>
        <w:rPr/>
        <w:t>公司</w:t>
      </w:r>
      <w:r>
        <w:rPr>
          <w:spacing w:val="-57"/>
        </w:rPr>
        <w:t> </w:t>
      </w:r>
      <w:r>
        <w:rPr>
          <w:rFonts w:ascii="宋体" w:hAnsi="宋体" w:cs="宋体" w:eastAsia="宋体" w:hint="default"/>
          <w:spacing w:val="-8"/>
        </w:rPr>
        <w:t>2015</w:t>
      </w:r>
      <w:r>
        <w:rPr>
          <w:spacing w:val="-8"/>
        </w:rPr>
        <w:t>、</w:t>
      </w:r>
      <w:r>
        <w:rPr>
          <w:rFonts w:ascii="宋体" w:hAnsi="宋体" w:cs="宋体" w:eastAsia="宋体" w:hint="default"/>
          <w:spacing w:val="-8"/>
        </w:rPr>
        <w:t>2016</w:t>
      </w:r>
      <w:r>
        <w:rPr>
          <w:spacing w:val="-8"/>
        </w:rPr>
        <w:t>、</w:t>
      </w:r>
      <w:r>
        <w:rPr>
          <w:rFonts w:ascii="宋体" w:hAnsi="宋体" w:cs="宋体" w:eastAsia="宋体" w:hint="default"/>
          <w:spacing w:val="-8"/>
        </w:rPr>
        <w:t>2017</w:t>
      </w:r>
      <w:r>
        <w:rPr>
          <w:rFonts w:ascii="宋体" w:hAnsi="宋体" w:cs="宋体" w:eastAsia="宋体" w:hint="default"/>
          <w:spacing w:val="-57"/>
        </w:rPr>
        <w:t> </w:t>
      </w:r>
      <w:r>
        <w:rPr>
          <w:spacing w:val="-4"/>
        </w:rPr>
        <w:t>年度均实施了现金分红方案，累计分红</w:t>
      </w:r>
      <w:r>
        <w:rPr>
          <w:spacing w:val="-57"/>
        </w:rPr>
        <w:t> </w:t>
      </w:r>
      <w:r>
        <w:rPr>
          <w:rFonts w:ascii="宋体" w:hAnsi="宋体" w:cs="宋体" w:eastAsia="宋体" w:hint="default"/>
        </w:rPr>
        <w:t>1,170,740,085.65 </w:t>
      </w:r>
      <w:r>
        <w:rPr>
          <w:spacing w:val="-2"/>
        </w:rPr>
        <w:t>元。公司利润分配方案均经董事会审议通过后，提交股东大会决策后实施，相关决策</w:t>
      </w:r>
      <w:r>
        <w:rPr>
          <w:spacing w:val="-96"/>
        </w:rPr>
        <w:t> </w:t>
      </w:r>
      <w:r>
        <w:rPr>
          <w:spacing w:val="-96"/>
        </w:rPr>
      </w:r>
      <w:r>
        <w:rPr>
          <w:spacing w:val="-2"/>
        </w:rPr>
        <w:t>及实施程序合法有效，现金分红政策的执行符合公司章程的规定及公司股东大会决议</w:t>
      </w:r>
      <w:r>
        <w:rPr>
          <w:spacing w:val="-94"/>
        </w:rPr>
        <w:t> </w:t>
      </w:r>
      <w:r>
        <w:rPr>
          <w:spacing w:val="-94"/>
        </w:rPr>
      </w:r>
      <w:r>
        <w:rPr/>
        <w:t>的要求。</w:t>
      </w:r>
    </w:p>
    <w:p>
      <w:pPr>
        <w:spacing w:line="240" w:lineRule="auto" w:before="11"/>
        <w:rPr>
          <w:rFonts w:ascii="宋体" w:hAnsi="宋体" w:cs="宋体" w:eastAsia="宋体" w:hint="default"/>
          <w:sz w:val="32"/>
          <w:szCs w:val="32"/>
        </w:rPr>
      </w:pPr>
    </w:p>
    <w:p>
      <w:pPr>
        <w:pStyle w:val="Heading2"/>
        <w:tabs>
          <w:tab w:pos="1237" w:val="left" w:leader="none"/>
        </w:tabs>
        <w:spacing w:line="276" w:lineRule="auto"/>
        <w:ind w:left="818" w:right="474" w:hanging="42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公司近三年（含报告期）的普通股股利分配方案或预案、资本公积金转增股</w:t>
      </w:r>
      <w:r>
        <w:rPr>
          <w:spacing w:val="-93"/>
        </w:rPr>
        <w:t> </w:t>
      </w:r>
      <w:r>
        <w:rPr>
          <w:spacing w:val="-93"/>
        </w:rPr>
      </w:r>
      <w:r>
        <w:rPr/>
        <w:t>本方案或预案</w:t>
      </w:r>
      <w:r>
        <w:rPr>
          <w:b w:val="0"/>
          <w:bCs w:val="0"/>
        </w:rPr>
      </w:r>
    </w:p>
    <w:p>
      <w:pPr>
        <w:pStyle w:val="BodyText"/>
        <w:tabs>
          <w:tab w:pos="1200" w:val="left" w:leader="none"/>
        </w:tabs>
        <w:spacing w:line="240" w:lineRule="auto" w:before="22"/>
        <w:ind w:left="0" w:right="472"/>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015"/>
        <w:gridCol w:w="1042"/>
        <w:gridCol w:w="910"/>
        <w:gridCol w:w="1018"/>
        <w:gridCol w:w="1688"/>
        <w:gridCol w:w="2429"/>
        <w:gridCol w:w="1361"/>
      </w:tblGrid>
      <w:tr>
        <w:trPr>
          <w:trHeight w:val="1644"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7" w:right="293"/>
              <w:jc w:val="left"/>
              <w:rPr>
                <w:rFonts w:ascii="宋体" w:hAnsi="宋体" w:cs="宋体" w:eastAsia="宋体" w:hint="default"/>
                <w:sz w:val="21"/>
                <w:szCs w:val="21"/>
              </w:rPr>
            </w:pPr>
            <w:r>
              <w:rPr>
                <w:rFonts w:ascii="宋体" w:hAnsi="宋体" w:cs="宋体" w:eastAsia="宋体" w:hint="default"/>
                <w:b/>
                <w:bCs/>
                <w:sz w:val="21"/>
                <w:szCs w:val="21"/>
              </w:rPr>
              <w:t>分红</w:t>
            </w:r>
            <w:r>
              <w:rPr>
                <w:rFonts w:ascii="宋体" w:hAnsi="宋体" w:cs="宋体" w:eastAsia="宋体" w:hint="default"/>
                <w:b/>
                <w:bCs/>
                <w:w w:val="100"/>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84" w:firstLine="43"/>
              <w:jc w:val="both"/>
              <w:rPr>
                <w:rFonts w:ascii="宋体" w:hAnsi="宋体" w:cs="宋体" w:eastAsia="宋体" w:hint="default"/>
                <w:sz w:val="21"/>
                <w:szCs w:val="21"/>
              </w:rPr>
            </w:pPr>
            <w:r>
              <w:rPr>
                <w:rFonts w:ascii="宋体" w:hAnsi="宋体" w:cs="宋体" w:eastAsia="宋体" w:hint="default"/>
                <w:b/>
                <w:bCs/>
                <w:sz w:val="21"/>
                <w:szCs w:val="21"/>
              </w:rPr>
              <w:t>每</w:t>
            </w:r>
            <w:r>
              <w:rPr>
                <w:rFonts w:ascii="宋体" w:hAnsi="宋体" w:cs="宋体" w:eastAsia="宋体" w:hint="default"/>
                <w:b/>
                <w:bCs/>
                <w:spacing w:val="-54"/>
                <w:sz w:val="21"/>
                <w:szCs w:val="21"/>
              </w:rPr>
              <w:t> </w:t>
            </w:r>
            <w:r>
              <w:rPr>
                <w:rFonts w:ascii="宋体" w:hAnsi="宋体" w:cs="宋体" w:eastAsia="宋体" w:hint="default"/>
                <w:b/>
                <w:bCs/>
                <w:sz w:val="21"/>
                <w:szCs w:val="21"/>
              </w:rPr>
              <w:t>10</w:t>
            </w:r>
            <w:r>
              <w:rPr>
                <w:rFonts w:ascii="宋体" w:hAnsi="宋体" w:cs="宋体" w:eastAsia="宋体" w:hint="default"/>
                <w:b/>
                <w:bCs/>
                <w:spacing w:val="-54"/>
                <w:sz w:val="21"/>
                <w:szCs w:val="21"/>
              </w:rPr>
              <w:t> </w:t>
            </w:r>
            <w:r>
              <w:rPr>
                <w:rFonts w:ascii="宋体" w:hAnsi="宋体" w:cs="宋体" w:eastAsia="宋体" w:hint="default"/>
                <w:b/>
                <w:bCs/>
                <w:sz w:val="21"/>
                <w:szCs w:val="21"/>
              </w:rPr>
              <w:t>股</w:t>
            </w:r>
            <w:r>
              <w:rPr>
                <w:rFonts w:ascii="宋体" w:hAnsi="宋体" w:cs="宋体" w:eastAsia="宋体" w:hint="default"/>
                <w:b/>
                <w:bCs/>
                <w:w w:val="100"/>
                <w:sz w:val="21"/>
                <w:szCs w:val="21"/>
              </w:rPr>
              <w:t> </w:t>
            </w:r>
            <w:r>
              <w:rPr>
                <w:rFonts w:ascii="宋体" w:hAnsi="宋体" w:cs="宋体" w:eastAsia="宋体" w:hint="default"/>
                <w:b/>
                <w:bCs/>
                <w:sz w:val="21"/>
                <w:szCs w:val="21"/>
              </w:rPr>
              <w:t>送红股</w:t>
            </w:r>
            <w:r>
              <w:rPr>
                <w:rFonts w:ascii="宋体" w:hAnsi="宋体" w:cs="宋体" w:eastAsia="宋体" w:hint="default"/>
                <w:b/>
                <w:bCs/>
                <w:w w:val="100"/>
                <w:sz w:val="21"/>
                <w:szCs w:val="21"/>
              </w:rPr>
              <w:t> </w:t>
            </w:r>
            <w:r>
              <w:rPr>
                <w:rFonts w:ascii="宋体" w:hAnsi="宋体" w:cs="宋体" w:eastAsia="宋体" w:hint="default"/>
                <w:b/>
                <w:bCs/>
                <w:sz w:val="21"/>
                <w:szCs w:val="21"/>
              </w:rPr>
              <w:t>数（股）</w:t>
            </w:r>
            <w:r>
              <w:rPr>
                <w:rFonts w:ascii="宋体" w:hAnsi="宋体" w:cs="宋体" w:eastAsia="宋体" w:hint="default"/>
                <w:sz w:val="21"/>
                <w:szCs w:val="21"/>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1" w:right="98" w:hanging="29"/>
              <w:jc w:val="both"/>
              <w:rPr>
                <w:rFonts w:ascii="宋体" w:hAnsi="宋体" w:cs="宋体" w:eastAsia="宋体" w:hint="default"/>
                <w:sz w:val="21"/>
                <w:szCs w:val="21"/>
              </w:rPr>
            </w:pPr>
            <w:r>
              <w:rPr>
                <w:rFonts w:ascii="宋体" w:hAnsi="宋体" w:cs="宋体" w:eastAsia="宋体" w:hint="default"/>
                <w:b/>
                <w:bCs/>
                <w:sz w:val="21"/>
                <w:szCs w:val="21"/>
              </w:rPr>
              <w:t>每</w:t>
            </w:r>
            <w:r>
              <w:rPr>
                <w:rFonts w:ascii="宋体" w:hAnsi="宋体" w:cs="宋体" w:eastAsia="宋体" w:hint="default"/>
                <w:b/>
                <w:bCs/>
                <w:spacing w:val="-75"/>
                <w:sz w:val="21"/>
                <w:szCs w:val="21"/>
              </w:rPr>
              <w:t> </w:t>
            </w:r>
            <w:r>
              <w:rPr>
                <w:rFonts w:ascii="宋体" w:hAnsi="宋体" w:cs="宋体" w:eastAsia="宋体" w:hint="default"/>
                <w:b/>
                <w:bCs/>
                <w:sz w:val="21"/>
                <w:szCs w:val="21"/>
              </w:rPr>
              <w:t>10</w:t>
            </w:r>
            <w:r>
              <w:rPr>
                <w:rFonts w:ascii="宋体" w:hAnsi="宋体" w:cs="宋体" w:eastAsia="宋体" w:hint="default"/>
                <w:b/>
                <w:bCs/>
                <w:spacing w:val="-75"/>
                <w:sz w:val="21"/>
                <w:szCs w:val="21"/>
              </w:rPr>
              <w:t> </w:t>
            </w:r>
            <w:r>
              <w:rPr>
                <w:rFonts w:ascii="宋体" w:hAnsi="宋体" w:cs="宋体" w:eastAsia="宋体" w:hint="default"/>
                <w:b/>
                <w:bCs/>
                <w:sz w:val="21"/>
                <w:szCs w:val="21"/>
              </w:rPr>
              <w:t>股</w:t>
            </w:r>
            <w:r>
              <w:rPr>
                <w:rFonts w:ascii="宋体" w:hAnsi="宋体" w:cs="宋体" w:eastAsia="宋体" w:hint="default"/>
                <w:b/>
                <w:bCs/>
                <w:w w:val="100"/>
                <w:sz w:val="21"/>
                <w:szCs w:val="21"/>
              </w:rPr>
              <w:t> </w:t>
            </w:r>
            <w:r>
              <w:rPr>
                <w:rFonts w:ascii="宋体" w:hAnsi="宋体" w:cs="宋体" w:eastAsia="宋体" w:hint="default"/>
                <w:b/>
                <w:bCs/>
                <w:sz w:val="21"/>
                <w:szCs w:val="21"/>
              </w:rPr>
              <w:t>派息数</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元</w:t>
            </w:r>
            <w:r>
              <w:rPr>
                <w:rFonts w:ascii="宋体" w:hAnsi="宋体" w:cs="宋体" w:eastAsia="宋体" w:hint="default"/>
                <w:b/>
                <w:bCs/>
                <w:sz w:val="21"/>
                <w:szCs w:val="21"/>
              </w:rPr>
              <w:t>)</w:t>
            </w:r>
            <w:r>
              <w:rPr>
                <w:rFonts w:ascii="宋体" w:hAnsi="宋体" w:cs="宋体" w:eastAsia="宋体" w:hint="default"/>
                <w:sz w:val="21"/>
                <w:szCs w:val="21"/>
              </w:rPr>
            </w:r>
          </w:p>
          <w:p>
            <w:pPr>
              <w:pStyle w:val="TableParagraph"/>
              <w:spacing w:line="274" w:lineRule="exact" w:before="22"/>
              <w:ind w:left="238" w:right="239"/>
              <w:jc w:val="left"/>
              <w:rPr>
                <w:rFonts w:ascii="宋体" w:hAnsi="宋体" w:cs="宋体" w:eastAsia="宋体" w:hint="default"/>
                <w:sz w:val="21"/>
                <w:szCs w:val="21"/>
              </w:rPr>
            </w:pPr>
            <w:r>
              <w:rPr>
                <w:rFonts w:ascii="宋体" w:hAnsi="宋体" w:cs="宋体" w:eastAsia="宋体" w:hint="default"/>
                <w:b/>
                <w:bCs/>
                <w:sz w:val="21"/>
                <w:szCs w:val="21"/>
              </w:rPr>
              <w:t>（含</w:t>
            </w:r>
            <w:r>
              <w:rPr>
                <w:rFonts w:ascii="宋体" w:hAnsi="宋体" w:cs="宋体" w:eastAsia="宋体" w:hint="default"/>
                <w:b/>
                <w:bCs/>
                <w:w w:val="100"/>
                <w:sz w:val="21"/>
                <w:szCs w:val="21"/>
              </w:rPr>
              <w:t> </w:t>
            </w:r>
            <w:r>
              <w:rPr>
                <w:rFonts w:ascii="宋体" w:hAnsi="宋体" w:cs="宋体" w:eastAsia="宋体" w:hint="default"/>
                <w:b/>
                <w:bCs/>
                <w:sz w:val="21"/>
                <w:szCs w:val="21"/>
              </w:rPr>
              <w:t>税）</w:t>
            </w:r>
            <w:r>
              <w:rPr>
                <w:rFonts w:ascii="宋体" w:hAnsi="宋体" w:cs="宋体" w:eastAsia="宋体" w:hint="default"/>
                <w:sz w:val="21"/>
                <w:szCs w:val="21"/>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7" w:right="132" w:hanging="53"/>
              <w:jc w:val="left"/>
              <w:rPr>
                <w:rFonts w:ascii="宋体" w:hAnsi="宋体" w:cs="宋体" w:eastAsia="宋体" w:hint="default"/>
                <w:sz w:val="21"/>
                <w:szCs w:val="21"/>
              </w:rPr>
            </w:pPr>
            <w:r>
              <w:rPr>
                <w:rFonts w:ascii="宋体" w:hAnsi="宋体" w:cs="宋体" w:eastAsia="宋体" w:hint="default"/>
                <w:b/>
                <w:bCs/>
                <w:sz w:val="21"/>
                <w:szCs w:val="21"/>
              </w:rPr>
              <w:t>每</w:t>
            </w:r>
            <w:r>
              <w:rPr>
                <w:rFonts w:ascii="宋体" w:hAnsi="宋体" w:cs="宋体" w:eastAsia="宋体" w:hint="default"/>
                <w:b/>
                <w:bCs/>
                <w:spacing w:val="-54"/>
                <w:sz w:val="21"/>
                <w:szCs w:val="21"/>
              </w:rPr>
              <w:t> </w:t>
            </w:r>
            <w:r>
              <w:rPr>
                <w:rFonts w:ascii="宋体" w:hAnsi="宋体" w:cs="宋体" w:eastAsia="宋体" w:hint="default"/>
                <w:b/>
                <w:bCs/>
                <w:sz w:val="21"/>
                <w:szCs w:val="21"/>
              </w:rPr>
              <w:t>10</w:t>
            </w:r>
            <w:r>
              <w:rPr>
                <w:rFonts w:ascii="宋体" w:hAnsi="宋体" w:cs="宋体" w:eastAsia="宋体" w:hint="default"/>
                <w:b/>
                <w:bCs/>
                <w:spacing w:val="-54"/>
                <w:sz w:val="21"/>
                <w:szCs w:val="21"/>
              </w:rPr>
              <w:t> </w:t>
            </w:r>
            <w:r>
              <w:rPr>
                <w:rFonts w:ascii="宋体" w:hAnsi="宋体" w:cs="宋体" w:eastAsia="宋体" w:hint="default"/>
                <w:b/>
                <w:bCs/>
                <w:sz w:val="21"/>
                <w:szCs w:val="21"/>
              </w:rPr>
              <w:t>股</w:t>
            </w:r>
            <w:r>
              <w:rPr>
                <w:rFonts w:ascii="宋体" w:hAnsi="宋体" w:cs="宋体" w:eastAsia="宋体" w:hint="default"/>
                <w:b/>
                <w:bCs/>
                <w:w w:val="100"/>
                <w:sz w:val="21"/>
                <w:szCs w:val="21"/>
              </w:rPr>
              <w:t> </w:t>
            </w:r>
            <w:r>
              <w:rPr>
                <w:rFonts w:ascii="宋体" w:hAnsi="宋体" w:cs="宋体" w:eastAsia="宋体" w:hint="default"/>
                <w:b/>
                <w:bCs/>
                <w:sz w:val="21"/>
                <w:szCs w:val="21"/>
              </w:rPr>
              <w:t>转增数</w:t>
            </w:r>
            <w:r>
              <w:rPr>
                <w:rFonts w:ascii="宋体" w:hAnsi="宋体" w:cs="宋体" w:eastAsia="宋体" w:hint="default"/>
                <w:sz w:val="21"/>
                <w:szCs w:val="21"/>
              </w:rPr>
            </w:r>
          </w:p>
          <w:p>
            <w:pPr>
              <w:pStyle w:val="TableParagraph"/>
              <w:spacing w:line="271" w:lineRule="exact"/>
              <w:ind w:left="187" w:right="0"/>
              <w:jc w:val="left"/>
              <w:rPr>
                <w:rFonts w:ascii="宋体" w:hAnsi="宋体" w:cs="宋体" w:eastAsia="宋体" w:hint="default"/>
                <w:sz w:val="21"/>
                <w:szCs w:val="21"/>
              </w:rPr>
            </w:pPr>
            <w:r>
              <w:rPr>
                <w:rFonts w:ascii="宋体" w:hAnsi="宋体" w:cs="宋体" w:eastAsia="宋体" w:hint="default"/>
                <w:b/>
                <w:bCs/>
                <w:sz w:val="21"/>
                <w:szCs w:val="21"/>
              </w:rPr>
              <w:t>（股）</w:t>
            </w:r>
            <w:r>
              <w:rPr>
                <w:rFonts w:ascii="宋体" w:hAnsi="宋体" w:cs="宋体" w:eastAsia="宋体"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6" w:right="202"/>
              <w:jc w:val="center"/>
              <w:rPr>
                <w:rFonts w:ascii="宋体" w:hAnsi="宋体" w:cs="宋体" w:eastAsia="宋体" w:hint="default"/>
                <w:sz w:val="21"/>
                <w:szCs w:val="21"/>
              </w:rPr>
            </w:pPr>
            <w:r>
              <w:rPr>
                <w:rFonts w:ascii="宋体" w:hAnsi="宋体" w:cs="宋体" w:eastAsia="宋体" w:hint="default"/>
                <w:b/>
                <w:bCs/>
                <w:sz w:val="21"/>
                <w:szCs w:val="21"/>
              </w:rPr>
              <w:t>现金分红的数</w:t>
            </w:r>
            <w:r>
              <w:rPr>
                <w:rFonts w:ascii="宋体" w:hAnsi="宋体" w:cs="宋体" w:eastAsia="宋体" w:hint="default"/>
                <w:b/>
                <w:bCs/>
                <w:w w:val="100"/>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（含税）</w:t>
            </w:r>
            <w:r>
              <w:rPr>
                <w:rFonts w:ascii="宋体" w:hAnsi="宋体" w:cs="宋体" w:eastAsia="宋体" w:hint="default"/>
                <w:sz w:val="21"/>
                <w:szCs w:val="21"/>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55" w:right="151" w:hanging="1"/>
              <w:jc w:val="center"/>
              <w:rPr>
                <w:rFonts w:ascii="宋体" w:hAnsi="宋体" w:cs="宋体" w:eastAsia="宋体" w:hint="default"/>
                <w:sz w:val="21"/>
                <w:szCs w:val="21"/>
              </w:rPr>
            </w:pPr>
            <w:r>
              <w:rPr>
                <w:rFonts w:ascii="宋体" w:hAnsi="宋体" w:cs="宋体" w:eastAsia="宋体" w:hint="default"/>
                <w:b/>
                <w:bCs/>
                <w:sz w:val="21"/>
                <w:szCs w:val="21"/>
              </w:rPr>
              <w:t>分红年度合并报表中归</w:t>
            </w:r>
            <w:r>
              <w:rPr>
                <w:rFonts w:ascii="宋体" w:hAnsi="宋体" w:cs="宋体" w:eastAsia="宋体" w:hint="default"/>
                <w:b/>
                <w:bCs/>
                <w:w w:val="100"/>
                <w:sz w:val="21"/>
                <w:szCs w:val="21"/>
              </w:rPr>
              <w:t> </w:t>
            </w:r>
            <w:r>
              <w:rPr>
                <w:rFonts w:ascii="宋体" w:hAnsi="宋体" w:cs="宋体" w:eastAsia="宋体" w:hint="default"/>
                <w:b/>
                <w:bCs/>
                <w:sz w:val="21"/>
                <w:szCs w:val="21"/>
              </w:rPr>
              <w:t>属于上市公司普通股股</w:t>
            </w:r>
            <w:r>
              <w:rPr>
                <w:rFonts w:ascii="宋体" w:hAnsi="宋体" w:cs="宋体" w:eastAsia="宋体" w:hint="default"/>
                <w:b/>
                <w:bCs/>
                <w:w w:val="100"/>
                <w:sz w:val="21"/>
                <w:szCs w:val="21"/>
              </w:rPr>
              <w:t> </w:t>
            </w:r>
            <w:r>
              <w:rPr>
                <w:rFonts w:ascii="宋体" w:hAnsi="宋体" w:cs="宋体" w:eastAsia="宋体" w:hint="default"/>
                <w:b/>
                <w:bCs/>
                <w:sz w:val="21"/>
                <w:szCs w:val="21"/>
              </w:rPr>
              <w:t>东的净利润</w:t>
            </w:r>
            <w:r>
              <w:rPr>
                <w:rFonts w:ascii="宋体" w:hAnsi="宋体" w:cs="宋体" w:eastAsia="宋体" w:hint="default"/>
                <w:sz w:val="21"/>
                <w:szCs w:val="21"/>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占合并报表</w:t>
            </w:r>
            <w:r>
              <w:rPr>
                <w:rFonts w:ascii="宋体" w:hAnsi="宋体" w:cs="宋体" w:eastAsia="宋体" w:hint="default"/>
                <w:sz w:val="21"/>
                <w:szCs w:val="21"/>
              </w:rPr>
            </w:r>
          </w:p>
          <w:p>
            <w:pPr>
              <w:pStyle w:val="TableParagraph"/>
              <w:spacing w:line="237" w:lineRule="auto" w:before="2"/>
              <w:ind w:left="146" w:right="146"/>
              <w:jc w:val="center"/>
              <w:rPr>
                <w:rFonts w:ascii="宋体" w:hAnsi="宋体" w:cs="宋体" w:eastAsia="宋体" w:hint="default"/>
                <w:sz w:val="21"/>
                <w:szCs w:val="21"/>
              </w:rPr>
            </w:pPr>
            <w:r>
              <w:rPr>
                <w:rFonts w:ascii="宋体" w:hAnsi="宋体" w:cs="宋体" w:eastAsia="宋体" w:hint="default"/>
                <w:b/>
                <w:bCs/>
                <w:sz w:val="21"/>
                <w:szCs w:val="21"/>
              </w:rPr>
              <w:t>中归属于上</w:t>
            </w:r>
            <w:r>
              <w:rPr>
                <w:rFonts w:ascii="宋体" w:hAnsi="宋体" w:cs="宋体" w:eastAsia="宋体" w:hint="default"/>
                <w:b/>
                <w:bCs/>
                <w:w w:val="100"/>
                <w:sz w:val="21"/>
                <w:szCs w:val="21"/>
              </w:rPr>
              <w:t> </w:t>
            </w:r>
            <w:r>
              <w:rPr>
                <w:rFonts w:ascii="宋体" w:hAnsi="宋体" w:cs="宋体" w:eastAsia="宋体" w:hint="default"/>
                <w:b/>
                <w:bCs/>
                <w:sz w:val="21"/>
                <w:szCs w:val="21"/>
              </w:rPr>
              <w:t>市公司普通</w:t>
            </w:r>
            <w:r>
              <w:rPr>
                <w:rFonts w:ascii="宋体" w:hAnsi="宋体" w:cs="宋体" w:eastAsia="宋体" w:hint="default"/>
                <w:b/>
                <w:bCs/>
                <w:w w:val="100"/>
                <w:sz w:val="21"/>
                <w:szCs w:val="21"/>
              </w:rPr>
              <w:t> </w:t>
            </w:r>
            <w:r>
              <w:rPr>
                <w:rFonts w:ascii="宋体" w:hAnsi="宋体" w:cs="宋体" w:eastAsia="宋体" w:hint="default"/>
                <w:b/>
                <w:bCs/>
                <w:sz w:val="21"/>
                <w:szCs w:val="21"/>
              </w:rPr>
              <w:t>股股东的净</w:t>
            </w:r>
            <w:r>
              <w:rPr>
                <w:rFonts w:ascii="宋体" w:hAnsi="宋体" w:cs="宋体" w:eastAsia="宋体" w:hint="default"/>
                <w:b/>
                <w:bCs/>
                <w:w w:val="100"/>
                <w:sz w:val="21"/>
                <w:szCs w:val="21"/>
              </w:rPr>
              <w:t> </w:t>
            </w:r>
            <w:r>
              <w:rPr>
                <w:rFonts w:ascii="宋体" w:hAnsi="宋体" w:cs="宋体" w:eastAsia="宋体" w:hint="default"/>
                <w:b/>
                <w:bCs/>
                <w:sz w:val="21"/>
                <w:szCs w:val="21"/>
              </w:rPr>
              <w:t>利润的比率</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83"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-3,879,776,932.07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r>
      <w:tr>
        <w:trPr>
          <w:trHeight w:val="281"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0.15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44,458,484.27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103,639,266.92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42.90</w:t>
            </w:r>
          </w:p>
        </w:tc>
      </w:tr>
      <w:tr>
        <w:trPr>
          <w:trHeight w:val="283"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740,974,737.75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4,302,329,273.65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17.22</w:t>
            </w:r>
          </w:p>
        </w:tc>
      </w:tr>
    </w:tbl>
    <w:p>
      <w:pPr>
        <w:pStyle w:val="Heading2"/>
        <w:tabs>
          <w:tab w:pos="1237" w:val="left" w:leader="none"/>
        </w:tabs>
        <w:spacing w:line="240" w:lineRule="auto" w:before="68"/>
        <w:ind w:left="398"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以现金方式要约回购股份计入现金分红的情况</w:t>
      </w:r>
      <w:r>
        <w:rPr>
          <w:b w:val="0"/>
          <w:bCs w:val="0"/>
        </w:rPr>
      </w:r>
    </w:p>
    <w:p>
      <w:pPr>
        <w:pStyle w:val="BodyText"/>
        <w:spacing w:line="240" w:lineRule="auto" w:before="106"/>
        <w:ind w:left="398" w:right="0"/>
        <w:jc w:val="left"/>
      </w:pPr>
      <w:r>
        <w:rPr/>
        <w:t>□适用</w:t>
      </w:r>
      <w:r>
        <w:rPr>
          <w:spacing w:val="-1"/>
        </w:rPr>
        <w:t> </w:t>
      </w:r>
      <w:r>
        <w:rPr/>
        <w:t>√不适用</w:t>
      </w:r>
    </w:p>
    <w:p>
      <w:pPr>
        <w:spacing w:after="0" w:line="240" w:lineRule="auto"/>
        <w:jc w:val="left"/>
        <w:sectPr>
          <w:pgSz w:w="11910" w:h="16840"/>
          <w:pgMar w:header="0" w:footer="1193" w:top="780" w:bottom="1380" w:left="1400" w:right="800"/>
        </w:sectPr>
      </w:pPr>
    </w:p>
    <w:p>
      <w:pPr>
        <w:spacing w:before="25"/>
        <w:ind w:left="4453" w:right="446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6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Heading2"/>
        <w:tabs>
          <w:tab w:pos="1557" w:val="left" w:leader="none"/>
        </w:tabs>
        <w:spacing w:line="276" w:lineRule="auto" w:before="26"/>
        <w:ind w:left="1138" w:right="716" w:hanging="42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报告期内盈利且母公司可供普通股股东分配利润为正，但未提出普通股现金</w:t>
      </w:r>
      <w:r>
        <w:rPr>
          <w:spacing w:val="-93"/>
        </w:rPr>
        <w:t> </w:t>
      </w:r>
      <w:r>
        <w:rPr>
          <w:spacing w:val="-93"/>
        </w:rPr>
      </w:r>
      <w:r>
        <w:rPr>
          <w:w w:val="95"/>
        </w:rPr>
        <w:t>利润分配方案预案的，公司应当详细披露原因以及未分配利润的用途和使用计划</w:t>
      </w:r>
      <w:r>
        <w:rPr>
          <w:b w:val="0"/>
          <w:bCs w:val="0"/>
        </w:rPr>
      </w:r>
    </w:p>
    <w:p>
      <w:pPr>
        <w:pStyle w:val="BodyText"/>
        <w:spacing w:line="240" w:lineRule="auto" w:before="70"/>
        <w:ind w:left="718" w:right="716"/>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spacing w:line="240" w:lineRule="auto"/>
        <w:ind w:left="718" w:right="716"/>
        <w:jc w:val="left"/>
        <w:rPr>
          <w:b w:val="0"/>
          <w:bCs w:val="0"/>
        </w:rPr>
      </w:pPr>
      <w:r>
        <w:rPr/>
        <w:t>二、承诺事项履行情况</w:t>
      </w:r>
      <w:r>
        <w:rPr>
          <w:b w:val="0"/>
          <w:bCs w:val="0"/>
        </w:rPr>
      </w:r>
    </w:p>
    <w:p>
      <w:pPr>
        <w:pStyle w:val="Heading2"/>
        <w:spacing w:line="276" w:lineRule="auto" w:before="106"/>
        <w:ind w:left="1284" w:right="716" w:hanging="567"/>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51"/>
        </w:rPr>
        <w:t> </w:t>
      </w:r>
      <w:r>
        <w:rPr>
          <w:spacing w:val="2"/>
        </w:rPr>
        <w:t>公司实际控制人、股东、关联方、收购人以及公司等承诺相关方在报告期内或</w:t>
      </w:r>
      <w:r>
        <w:rPr>
          <w:w w:val="99"/>
        </w:rPr>
        <w:t> </w:t>
      </w:r>
      <w:r>
        <w:rPr/>
        <w:t>持续到报告期内的承诺事项</w:t>
      </w:r>
      <w:r>
        <w:rPr>
          <w:b w:val="0"/>
          <w:bCs w:val="0"/>
        </w:rPr>
      </w:r>
    </w:p>
    <w:p>
      <w:pPr>
        <w:pStyle w:val="BodyText"/>
        <w:spacing w:line="240" w:lineRule="auto" w:before="70"/>
        <w:ind w:left="718" w:right="716"/>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560"/>
        <w:gridCol w:w="475"/>
        <w:gridCol w:w="1274"/>
        <w:gridCol w:w="3035"/>
        <w:gridCol w:w="1277"/>
        <w:gridCol w:w="708"/>
        <w:gridCol w:w="711"/>
        <w:gridCol w:w="991"/>
        <w:gridCol w:w="994"/>
      </w:tblGrid>
      <w:tr>
        <w:trPr>
          <w:trHeight w:val="1918"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168" w:right="168"/>
              <w:jc w:val="both"/>
              <w:rPr>
                <w:rFonts w:ascii="宋体" w:hAnsi="宋体" w:cs="宋体" w:eastAsia="宋体" w:hint="default"/>
                <w:sz w:val="21"/>
                <w:szCs w:val="21"/>
              </w:rPr>
            </w:pPr>
            <w:r>
              <w:rPr>
                <w:rFonts w:ascii="宋体" w:hAnsi="宋体" w:cs="宋体" w:eastAsia="宋体" w:hint="default"/>
                <w:b/>
                <w:bCs/>
                <w:sz w:val="21"/>
                <w:szCs w:val="21"/>
              </w:rPr>
              <w:t>承</w:t>
            </w:r>
            <w:r>
              <w:rPr>
                <w:rFonts w:ascii="宋体" w:hAnsi="宋体" w:cs="宋体" w:eastAsia="宋体" w:hint="default"/>
                <w:b/>
                <w:bCs/>
                <w:w w:val="100"/>
                <w:sz w:val="21"/>
                <w:szCs w:val="21"/>
              </w:rPr>
              <w:t> </w:t>
            </w:r>
            <w:r>
              <w:rPr>
                <w:rFonts w:ascii="宋体" w:hAnsi="宋体" w:cs="宋体" w:eastAsia="宋体" w:hint="default"/>
                <w:b/>
                <w:bCs/>
                <w:sz w:val="21"/>
                <w:szCs w:val="21"/>
              </w:rPr>
              <w:t>诺</w:t>
            </w:r>
            <w:r>
              <w:rPr>
                <w:rFonts w:ascii="宋体" w:hAnsi="宋体" w:cs="宋体" w:eastAsia="宋体" w:hint="default"/>
                <w:b/>
                <w:bCs/>
                <w:w w:val="100"/>
                <w:sz w:val="21"/>
                <w:szCs w:val="21"/>
              </w:rPr>
              <w:t> </w:t>
            </w:r>
            <w:r>
              <w:rPr>
                <w:rFonts w:ascii="宋体" w:hAnsi="宋体" w:cs="宋体" w:eastAsia="宋体" w:hint="default"/>
                <w:b/>
                <w:bCs/>
                <w:sz w:val="21"/>
                <w:szCs w:val="21"/>
              </w:rPr>
              <w:t>背</w:t>
            </w:r>
            <w:r>
              <w:rPr>
                <w:rFonts w:ascii="宋体" w:hAnsi="宋体" w:cs="宋体" w:eastAsia="宋体" w:hint="default"/>
                <w:b/>
                <w:bCs/>
                <w:w w:val="100"/>
                <w:sz w:val="21"/>
                <w:szCs w:val="21"/>
              </w:rPr>
              <w:t> </w:t>
            </w:r>
            <w:r>
              <w:rPr>
                <w:rFonts w:ascii="宋体" w:hAnsi="宋体" w:cs="宋体" w:eastAsia="宋体" w:hint="default"/>
                <w:b/>
                <w:bCs/>
                <w:sz w:val="21"/>
                <w:szCs w:val="21"/>
              </w:rPr>
              <w:t>景</w:t>
            </w:r>
            <w:r>
              <w:rPr>
                <w:rFonts w:ascii="宋体" w:hAnsi="宋体" w:cs="宋体" w:eastAsia="宋体" w:hint="default"/>
                <w:sz w:val="21"/>
                <w:szCs w:val="21"/>
              </w:rPr>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127" w:right="125"/>
              <w:jc w:val="both"/>
              <w:rPr>
                <w:rFonts w:ascii="宋体" w:hAnsi="宋体" w:cs="宋体" w:eastAsia="宋体" w:hint="default"/>
                <w:sz w:val="21"/>
                <w:szCs w:val="21"/>
              </w:rPr>
            </w:pPr>
            <w:r>
              <w:rPr>
                <w:rFonts w:ascii="宋体" w:hAnsi="宋体" w:cs="宋体" w:eastAsia="宋体" w:hint="default"/>
                <w:b/>
                <w:bCs/>
                <w:sz w:val="21"/>
                <w:szCs w:val="21"/>
              </w:rPr>
              <w:t>承</w:t>
            </w:r>
            <w:r>
              <w:rPr>
                <w:rFonts w:ascii="宋体" w:hAnsi="宋体" w:cs="宋体" w:eastAsia="宋体" w:hint="default"/>
                <w:b/>
                <w:bCs/>
                <w:w w:val="100"/>
                <w:sz w:val="21"/>
                <w:szCs w:val="21"/>
              </w:rPr>
              <w:t> </w:t>
            </w:r>
            <w:r>
              <w:rPr>
                <w:rFonts w:ascii="宋体" w:hAnsi="宋体" w:cs="宋体" w:eastAsia="宋体" w:hint="default"/>
                <w:b/>
                <w:bCs/>
                <w:sz w:val="21"/>
                <w:szCs w:val="21"/>
              </w:rPr>
              <w:t>诺</w:t>
            </w:r>
            <w:r>
              <w:rPr>
                <w:rFonts w:ascii="宋体" w:hAnsi="宋体" w:cs="宋体" w:eastAsia="宋体" w:hint="default"/>
                <w:b/>
                <w:bCs/>
                <w:w w:val="100"/>
                <w:sz w:val="21"/>
                <w:szCs w:val="21"/>
              </w:rPr>
              <w:t> </w:t>
            </w:r>
            <w:r>
              <w:rPr>
                <w:rFonts w:ascii="宋体" w:hAnsi="宋体" w:cs="宋体" w:eastAsia="宋体" w:hint="default"/>
                <w:b/>
                <w:bCs/>
                <w:sz w:val="21"/>
                <w:szCs w:val="21"/>
              </w:rPr>
              <w:t>类</w:t>
            </w:r>
            <w:r>
              <w:rPr>
                <w:rFonts w:ascii="宋体" w:hAnsi="宋体" w:cs="宋体" w:eastAsia="宋体" w:hint="default"/>
                <w:b/>
                <w:bCs/>
                <w:w w:val="100"/>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b/>
                <w:bCs/>
                <w:sz w:val="21"/>
                <w:szCs w:val="21"/>
              </w:rPr>
              <w:t>承诺方</w:t>
            </w:r>
            <w:r>
              <w:rPr>
                <w:rFonts w:ascii="宋体" w:hAnsi="宋体" w:cs="宋体" w:eastAsia="宋体" w:hint="default"/>
                <w:sz w:val="21"/>
                <w:szCs w:val="21"/>
              </w:rPr>
            </w:r>
          </w:p>
        </w:tc>
        <w:tc>
          <w:tcPr>
            <w:tcW w:w="3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301" w:right="1299"/>
              <w:jc w:val="center"/>
              <w:rPr>
                <w:rFonts w:ascii="宋体" w:hAnsi="宋体" w:cs="宋体" w:eastAsia="宋体" w:hint="default"/>
                <w:sz w:val="21"/>
                <w:szCs w:val="21"/>
              </w:rPr>
            </w:pPr>
            <w:r>
              <w:rPr>
                <w:rFonts w:ascii="宋体" w:hAnsi="宋体" w:cs="宋体" w:eastAsia="宋体" w:hint="default"/>
                <w:b/>
                <w:bCs/>
                <w:sz w:val="21"/>
                <w:szCs w:val="21"/>
              </w:rPr>
              <w:t>承诺</w:t>
            </w:r>
            <w:r>
              <w:rPr>
                <w:rFonts w:ascii="宋体" w:hAnsi="宋体" w:cs="宋体" w:eastAsia="宋体" w:hint="default"/>
                <w:b/>
                <w:bCs/>
                <w:w w:val="100"/>
                <w:sz w:val="21"/>
                <w:szCs w:val="21"/>
              </w:rPr>
              <w:t> </w:t>
            </w:r>
            <w:r>
              <w:rPr>
                <w:rFonts w:ascii="宋体" w:hAnsi="宋体" w:cs="宋体" w:eastAsia="宋体" w:hint="default"/>
                <w:b/>
                <w:bCs/>
                <w:sz w:val="21"/>
                <w:szCs w:val="21"/>
              </w:rPr>
              <w:t>内容</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422" w:right="103" w:hanging="317"/>
              <w:jc w:val="left"/>
              <w:rPr>
                <w:rFonts w:ascii="宋体" w:hAnsi="宋体" w:cs="宋体" w:eastAsia="宋体" w:hint="default"/>
                <w:sz w:val="21"/>
                <w:szCs w:val="21"/>
              </w:rPr>
            </w:pPr>
            <w:r>
              <w:rPr>
                <w:rFonts w:ascii="宋体" w:hAnsi="宋体" w:cs="宋体" w:eastAsia="宋体" w:hint="default"/>
                <w:b/>
                <w:bCs/>
                <w:sz w:val="21"/>
                <w:szCs w:val="21"/>
              </w:rPr>
              <w:t>承诺时间及</w:t>
            </w:r>
            <w:r>
              <w:rPr>
                <w:rFonts w:ascii="宋体" w:hAnsi="宋体" w:cs="宋体" w:eastAsia="宋体" w:hint="default"/>
                <w:b/>
                <w:bCs/>
                <w:w w:val="100"/>
                <w:sz w:val="21"/>
                <w:szCs w:val="21"/>
              </w:rPr>
              <w:t> </w:t>
            </w:r>
            <w:r>
              <w:rPr>
                <w:rFonts w:ascii="宋体" w:hAnsi="宋体" w:cs="宋体" w:eastAsia="宋体" w:hint="default"/>
                <w:b/>
                <w:bCs/>
                <w:sz w:val="21"/>
                <w:szCs w:val="21"/>
              </w:rPr>
              <w:t>期限</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136" w:right="137"/>
              <w:jc w:val="both"/>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b/>
                <w:bCs/>
                <w:w w:val="100"/>
                <w:sz w:val="21"/>
                <w:szCs w:val="21"/>
              </w:rPr>
              <w:t> </w:t>
            </w:r>
            <w:r>
              <w:rPr>
                <w:rFonts w:ascii="宋体" w:hAnsi="宋体" w:cs="宋体" w:eastAsia="宋体" w:hint="default"/>
                <w:b/>
                <w:bCs/>
                <w:sz w:val="21"/>
                <w:szCs w:val="21"/>
              </w:rPr>
              <w:t>有履</w:t>
            </w:r>
            <w:r>
              <w:rPr>
                <w:rFonts w:ascii="宋体" w:hAnsi="宋体" w:cs="宋体" w:eastAsia="宋体" w:hint="default"/>
                <w:b/>
                <w:bCs/>
                <w:w w:val="100"/>
                <w:sz w:val="21"/>
                <w:szCs w:val="21"/>
              </w:rPr>
              <w:t> </w:t>
            </w:r>
            <w:r>
              <w:rPr>
                <w:rFonts w:ascii="宋体" w:hAnsi="宋体" w:cs="宋体" w:eastAsia="宋体" w:hint="default"/>
                <w:b/>
                <w:bCs/>
                <w:sz w:val="21"/>
                <w:szCs w:val="21"/>
              </w:rPr>
              <w:t>行期</w:t>
            </w:r>
            <w:r>
              <w:rPr>
                <w:rFonts w:ascii="宋体" w:hAnsi="宋体" w:cs="宋体" w:eastAsia="宋体" w:hint="default"/>
                <w:b/>
                <w:bCs/>
                <w:w w:val="100"/>
                <w:sz w:val="21"/>
                <w:szCs w:val="21"/>
              </w:rPr>
              <w:t> </w:t>
            </w:r>
            <w:r>
              <w:rPr>
                <w:rFonts w:ascii="宋体" w:hAnsi="宋体" w:cs="宋体" w:eastAsia="宋体" w:hint="default"/>
                <w:b/>
                <w:bCs/>
                <w:sz w:val="21"/>
                <w:szCs w:val="21"/>
              </w:rPr>
              <w:t>限</w:t>
            </w:r>
            <w:r>
              <w:rPr>
                <w:rFonts w:ascii="宋体" w:hAnsi="宋体" w:cs="宋体" w:eastAsia="宋体" w:hint="default"/>
                <w:sz w:val="21"/>
                <w:szCs w:val="21"/>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136" w:right="140"/>
              <w:jc w:val="both"/>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b/>
                <w:bCs/>
                <w:w w:val="100"/>
                <w:sz w:val="21"/>
                <w:szCs w:val="21"/>
              </w:rPr>
              <w:t> </w:t>
            </w:r>
            <w:r>
              <w:rPr>
                <w:rFonts w:ascii="宋体" w:hAnsi="宋体" w:cs="宋体" w:eastAsia="宋体" w:hint="default"/>
                <w:b/>
                <w:bCs/>
                <w:sz w:val="21"/>
                <w:szCs w:val="21"/>
              </w:rPr>
              <w:t>及时</w:t>
            </w:r>
            <w:r>
              <w:rPr>
                <w:rFonts w:ascii="宋体" w:hAnsi="宋体" w:cs="宋体" w:eastAsia="宋体" w:hint="default"/>
                <w:b/>
                <w:bCs/>
                <w:w w:val="100"/>
                <w:sz w:val="21"/>
                <w:szCs w:val="21"/>
              </w:rPr>
              <w:t> </w:t>
            </w:r>
            <w:r>
              <w:rPr>
                <w:rFonts w:ascii="宋体" w:hAnsi="宋体" w:cs="宋体" w:eastAsia="宋体" w:hint="default"/>
                <w:b/>
                <w:bCs/>
                <w:sz w:val="21"/>
                <w:szCs w:val="21"/>
              </w:rPr>
              <w:t>严格</w:t>
            </w:r>
            <w:r>
              <w:rPr>
                <w:rFonts w:ascii="宋体" w:hAnsi="宋体" w:cs="宋体" w:eastAsia="宋体" w:hint="default"/>
                <w:b/>
                <w:bCs/>
                <w:w w:val="100"/>
                <w:sz w:val="21"/>
                <w:szCs w:val="21"/>
              </w:rPr>
              <w:t> </w:t>
            </w:r>
            <w:r>
              <w:rPr>
                <w:rFonts w:ascii="宋体" w:hAnsi="宋体" w:cs="宋体" w:eastAsia="宋体" w:hint="default"/>
                <w:b/>
                <w:bCs/>
                <w:sz w:val="21"/>
                <w:szCs w:val="21"/>
              </w:rPr>
              <w:t>履行</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2" w:right="0"/>
              <w:jc w:val="both"/>
              <w:rPr>
                <w:rFonts w:ascii="宋体" w:hAnsi="宋体" w:cs="宋体" w:eastAsia="宋体" w:hint="default"/>
                <w:sz w:val="21"/>
                <w:szCs w:val="21"/>
              </w:rPr>
            </w:pPr>
            <w:r>
              <w:rPr>
                <w:rFonts w:ascii="宋体" w:hAnsi="宋体" w:cs="宋体" w:eastAsia="宋体" w:hint="default"/>
                <w:b/>
                <w:bCs/>
                <w:sz w:val="21"/>
                <w:szCs w:val="21"/>
              </w:rPr>
              <w:t>如未能</w:t>
            </w:r>
            <w:r>
              <w:rPr>
                <w:rFonts w:ascii="宋体" w:hAnsi="宋体" w:cs="宋体" w:eastAsia="宋体" w:hint="default"/>
                <w:sz w:val="21"/>
                <w:szCs w:val="21"/>
              </w:rPr>
            </w:r>
          </w:p>
          <w:p>
            <w:pPr>
              <w:pStyle w:val="TableParagraph"/>
              <w:spacing w:line="237" w:lineRule="auto" w:before="1"/>
              <w:ind w:left="172" w:right="173"/>
              <w:jc w:val="both"/>
              <w:rPr>
                <w:rFonts w:ascii="宋体" w:hAnsi="宋体" w:cs="宋体" w:eastAsia="宋体" w:hint="default"/>
                <w:sz w:val="21"/>
                <w:szCs w:val="21"/>
              </w:rPr>
            </w:pPr>
            <w:r>
              <w:rPr>
                <w:rFonts w:ascii="宋体" w:hAnsi="宋体" w:cs="宋体" w:eastAsia="宋体" w:hint="default"/>
                <w:b/>
                <w:bCs/>
                <w:sz w:val="21"/>
                <w:szCs w:val="21"/>
              </w:rPr>
              <w:t>及时履</w:t>
            </w:r>
            <w:r>
              <w:rPr>
                <w:rFonts w:ascii="宋体" w:hAnsi="宋体" w:cs="宋体" w:eastAsia="宋体" w:hint="default"/>
                <w:b/>
                <w:bCs/>
                <w:w w:val="100"/>
                <w:sz w:val="21"/>
                <w:szCs w:val="21"/>
              </w:rPr>
              <w:t> </w:t>
            </w:r>
            <w:r>
              <w:rPr>
                <w:rFonts w:ascii="宋体" w:hAnsi="宋体" w:cs="宋体" w:eastAsia="宋体" w:hint="default"/>
                <w:b/>
                <w:bCs/>
                <w:sz w:val="21"/>
                <w:szCs w:val="21"/>
              </w:rPr>
              <w:t>行应说</w:t>
            </w:r>
            <w:r>
              <w:rPr>
                <w:rFonts w:ascii="宋体" w:hAnsi="宋体" w:cs="宋体" w:eastAsia="宋体" w:hint="default"/>
                <w:b/>
                <w:bCs/>
                <w:w w:val="100"/>
                <w:sz w:val="21"/>
                <w:szCs w:val="21"/>
              </w:rPr>
              <w:t> </w:t>
            </w:r>
            <w:r>
              <w:rPr>
                <w:rFonts w:ascii="宋体" w:hAnsi="宋体" w:cs="宋体" w:eastAsia="宋体" w:hint="default"/>
                <w:b/>
                <w:bCs/>
                <w:sz w:val="21"/>
                <w:szCs w:val="21"/>
              </w:rPr>
              <w:t>明未完</w:t>
            </w:r>
            <w:r>
              <w:rPr>
                <w:rFonts w:ascii="宋体" w:hAnsi="宋体" w:cs="宋体" w:eastAsia="宋体" w:hint="default"/>
                <w:b/>
                <w:bCs/>
                <w:w w:val="100"/>
                <w:sz w:val="21"/>
                <w:szCs w:val="21"/>
              </w:rPr>
              <w:t> </w:t>
            </w:r>
            <w:r>
              <w:rPr>
                <w:rFonts w:ascii="宋体" w:hAnsi="宋体" w:cs="宋体" w:eastAsia="宋体" w:hint="default"/>
                <w:b/>
                <w:bCs/>
                <w:sz w:val="21"/>
                <w:szCs w:val="21"/>
              </w:rPr>
              <w:t>成履行</w:t>
            </w:r>
            <w:r>
              <w:rPr>
                <w:rFonts w:ascii="宋体" w:hAnsi="宋体" w:cs="宋体" w:eastAsia="宋体" w:hint="default"/>
                <w:b/>
                <w:bCs/>
                <w:w w:val="100"/>
                <w:sz w:val="21"/>
                <w:szCs w:val="21"/>
              </w:rPr>
              <w:t> </w:t>
            </w:r>
            <w:r>
              <w:rPr>
                <w:rFonts w:ascii="宋体" w:hAnsi="宋体" w:cs="宋体" w:eastAsia="宋体" w:hint="default"/>
                <w:b/>
                <w:bCs/>
                <w:sz w:val="21"/>
                <w:szCs w:val="21"/>
              </w:rPr>
              <w:t>的具体</w:t>
            </w:r>
            <w:r>
              <w:rPr>
                <w:rFonts w:ascii="宋体" w:hAnsi="宋体" w:cs="宋体" w:eastAsia="宋体" w:hint="default"/>
                <w:b/>
                <w:bCs/>
                <w:w w:val="100"/>
                <w:sz w:val="21"/>
                <w:szCs w:val="21"/>
              </w:rPr>
              <w:t> </w:t>
            </w:r>
            <w:r>
              <w:rPr>
                <w:rFonts w:ascii="宋体" w:hAnsi="宋体" w:cs="宋体" w:eastAsia="宋体" w:hint="default"/>
                <w:b/>
                <w:bCs/>
                <w:sz w:val="21"/>
                <w:szCs w:val="21"/>
              </w:rPr>
              <w:t>原因</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72" w:right="175"/>
              <w:jc w:val="both"/>
              <w:rPr>
                <w:rFonts w:ascii="宋体" w:hAnsi="宋体" w:cs="宋体" w:eastAsia="宋体" w:hint="default"/>
                <w:sz w:val="21"/>
                <w:szCs w:val="21"/>
              </w:rPr>
            </w:pPr>
            <w:r>
              <w:rPr>
                <w:rFonts w:ascii="宋体" w:hAnsi="宋体" w:cs="宋体" w:eastAsia="宋体" w:hint="default"/>
                <w:b/>
                <w:bCs/>
                <w:sz w:val="21"/>
                <w:szCs w:val="21"/>
              </w:rPr>
              <w:t>如未能</w:t>
            </w:r>
            <w:r>
              <w:rPr>
                <w:rFonts w:ascii="宋体" w:hAnsi="宋体" w:cs="宋体" w:eastAsia="宋体" w:hint="default"/>
                <w:b/>
                <w:bCs/>
                <w:w w:val="100"/>
                <w:sz w:val="21"/>
                <w:szCs w:val="21"/>
              </w:rPr>
              <w:t> </w:t>
            </w:r>
            <w:r>
              <w:rPr>
                <w:rFonts w:ascii="宋体" w:hAnsi="宋体" w:cs="宋体" w:eastAsia="宋体" w:hint="default"/>
                <w:b/>
                <w:bCs/>
                <w:sz w:val="21"/>
                <w:szCs w:val="21"/>
              </w:rPr>
              <w:t>及时履</w:t>
            </w:r>
            <w:r>
              <w:rPr>
                <w:rFonts w:ascii="宋体" w:hAnsi="宋体" w:cs="宋体" w:eastAsia="宋体" w:hint="default"/>
                <w:b/>
                <w:bCs/>
                <w:w w:val="100"/>
                <w:sz w:val="21"/>
                <w:szCs w:val="21"/>
              </w:rPr>
              <w:t> </w:t>
            </w:r>
            <w:r>
              <w:rPr>
                <w:rFonts w:ascii="宋体" w:hAnsi="宋体" w:cs="宋体" w:eastAsia="宋体" w:hint="default"/>
                <w:b/>
                <w:bCs/>
                <w:sz w:val="21"/>
                <w:szCs w:val="21"/>
              </w:rPr>
              <w:t>行应说</w:t>
            </w:r>
            <w:r>
              <w:rPr>
                <w:rFonts w:ascii="宋体" w:hAnsi="宋体" w:cs="宋体" w:eastAsia="宋体" w:hint="default"/>
                <w:b/>
                <w:bCs/>
                <w:w w:val="100"/>
                <w:sz w:val="21"/>
                <w:szCs w:val="21"/>
              </w:rPr>
              <w:t> </w:t>
            </w:r>
            <w:r>
              <w:rPr>
                <w:rFonts w:ascii="宋体" w:hAnsi="宋体" w:cs="宋体" w:eastAsia="宋体" w:hint="default"/>
                <w:b/>
                <w:bCs/>
                <w:sz w:val="21"/>
                <w:szCs w:val="21"/>
              </w:rPr>
              <w:t>明下一</w:t>
            </w:r>
            <w:r>
              <w:rPr>
                <w:rFonts w:ascii="宋体" w:hAnsi="宋体" w:cs="宋体" w:eastAsia="宋体" w:hint="default"/>
                <w:b/>
                <w:bCs/>
                <w:w w:val="100"/>
                <w:sz w:val="21"/>
                <w:szCs w:val="21"/>
              </w:rPr>
              <w:t> </w:t>
            </w:r>
            <w:r>
              <w:rPr>
                <w:rFonts w:ascii="宋体" w:hAnsi="宋体" w:cs="宋体" w:eastAsia="宋体" w:hint="default"/>
                <w:b/>
                <w:bCs/>
                <w:sz w:val="21"/>
                <w:szCs w:val="21"/>
              </w:rPr>
              <w:t>步计划</w:t>
            </w:r>
            <w:r>
              <w:rPr>
                <w:rFonts w:ascii="宋体" w:hAnsi="宋体" w:cs="宋体" w:eastAsia="宋体" w:hint="default"/>
                <w:sz w:val="21"/>
                <w:szCs w:val="21"/>
              </w:rPr>
            </w:r>
          </w:p>
        </w:tc>
      </w:tr>
      <w:tr>
        <w:trPr>
          <w:trHeight w:val="3005"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233"/>
              <w:jc w:val="both"/>
              <w:rPr>
                <w:rFonts w:ascii="宋体" w:hAnsi="宋体" w:cs="宋体" w:eastAsia="宋体" w:hint="default"/>
                <w:sz w:val="21"/>
                <w:szCs w:val="21"/>
              </w:rPr>
            </w:pP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再</w:t>
            </w:r>
            <w:r>
              <w:rPr>
                <w:rFonts w:ascii="宋体" w:hAnsi="宋体" w:cs="宋体" w:eastAsia="宋体" w:hint="default"/>
                <w:w w:val="100"/>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股</w:t>
            </w:r>
          </w:p>
          <w:p>
            <w:pPr>
              <w:pStyle w:val="TableParagraph"/>
              <w:spacing w:line="237" w:lineRule="auto" w:before="2"/>
              <w:ind w:left="103" w:right="149"/>
              <w:jc w:val="both"/>
              <w:rPr>
                <w:rFonts w:ascii="宋体" w:hAnsi="宋体" w:cs="宋体" w:eastAsia="宋体" w:hint="default"/>
                <w:sz w:val="21"/>
                <w:szCs w:val="21"/>
              </w:rPr>
            </w:pP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清华控股有</w:t>
            </w:r>
          </w:p>
          <w:p>
            <w:pPr>
              <w:pStyle w:val="TableParagraph"/>
              <w:spacing w:line="237" w:lineRule="auto" w:before="2"/>
              <w:ind w:left="103" w:right="105"/>
              <w:jc w:val="both"/>
              <w:rPr>
                <w:rFonts w:ascii="宋体" w:hAnsi="宋体" w:cs="宋体" w:eastAsia="宋体" w:hint="default"/>
                <w:sz w:val="21"/>
                <w:szCs w:val="21"/>
              </w:rPr>
            </w:pPr>
            <w:r>
              <w:rPr>
                <w:rFonts w:ascii="宋体" w:hAnsi="宋体" w:cs="宋体" w:eastAsia="宋体" w:hint="default"/>
                <w:sz w:val="21"/>
                <w:szCs w:val="21"/>
              </w:rPr>
              <w:t>限公司、紫</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光集团有限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公司、工银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瑞信基金管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理有限公司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和博时基金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管理有限公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3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年，公司实施了向清华控</w:t>
            </w:r>
          </w:p>
          <w:p>
            <w:pPr>
              <w:pStyle w:val="TableParagraph"/>
              <w:spacing w:line="237" w:lineRule="auto" w:before="2"/>
              <w:ind w:left="103" w:right="100"/>
              <w:jc w:val="left"/>
              <w:rPr>
                <w:rFonts w:ascii="宋体" w:hAnsi="宋体" w:cs="宋体" w:eastAsia="宋体" w:hint="default"/>
                <w:sz w:val="21"/>
                <w:szCs w:val="21"/>
              </w:rPr>
            </w:pPr>
            <w:r>
              <w:rPr>
                <w:rFonts w:ascii="宋体" w:hAnsi="宋体" w:cs="宋体" w:eastAsia="宋体" w:hint="default"/>
                <w:sz w:val="21"/>
                <w:szCs w:val="21"/>
              </w:rPr>
              <w:t>股、紫光集团、工银瑞信和博</w:t>
            </w:r>
            <w:r>
              <w:rPr>
                <w:rFonts w:ascii="宋体" w:hAnsi="宋体" w:cs="宋体" w:eastAsia="宋体" w:hint="default"/>
                <w:w w:val="100"/>
                <w:sz w:val="21"/>
                <w:szCs w:val="21"/>
              </w:rPr>
              <w:t> </w:t>
            </w:r>
            <w:r>
              <w:rPr>
                <w:rFonts w:ascii="宋体" w:hAnsi="宋体" w:cs="宋体" w:eastAsia="宋体" w:hint="default"/>
                <w:sz w:val="21"/>
                <w:szCs w:val="21"/>
              </w:rPr>
              <w:t>时基金非公开发行股份的方</w:t>
            </w:r>
            <w:r>
              <w:rPr>
                <w:rFonts w:ascii="宋体" w:hAnsi="宋体" w:cs="宋体" w:eastAsia="宋体" w:hint="default"/>
                <w:w w:val="100"/>
                <w:sz w:val="21"/>
                <w:szCs w:val="21"/>
              </w:rPr>
              <w:t> </w:t>
            </w:r>
            <w:r>
              <w:rPr>
                <w:rFonts w:ascii="宋体" w:hAnsi="宋体" w:cs="宋体" w:eastAsia="宋体" w:hint="default"/>
                <w:sz w:val="21"/>
                <w:szCs w:val="21"/>
              </w:rPr>
              <w:t>案。本次发行完成后，公司向</w:t>
            </w:r>
            <w:r>
              <w:rPr>
                <w:rFonts w:ascii="宋体" w:hAnsi="宋体" w:cs="宋体" w:eastAsia="宋体" w:hint="default"/>
                <w:w w:val="100"/>
                <w:sz w:val="21"/>
                <w:szCs w:val="21"/>
              </w:rPr>
              <w:t> </w:t>
            </w:r>
            <w:r>
              <w:rPr>
                <w:rFonts w:ascii="宋体" w:hAnsi="宋体" w:cs="宋体" w:eastAsia="宋体" w:hint="default"/>
                <w:sz w:val="21"/>
                <w:szCs w:val="21"/>
              </w:rPr>
              <w:t>四名发行对象发行股份</w:t>
            </w:r>
            <w:r>
              <w:rPr>
                <w:rFonts w:ascii="宋体" w:hAnsi="宋体" w:cs="宋体" w:eastAsia="宋体" w:hint="default"/>
                <w:w w:val="100"/>
                <w:sz w:val="21"/>
                <w:szCs w:val="21"/>
              </w:rPr>
              <w:t> </w:t>
            </w:r>
            <w:r>
              <w:rPr>
                <w:rFonts w:ascii="宋体" w:hAnsi="宋体" w:cs="宋体" w:eastAsia="宋体" w:hint="default"/>
                <w:sz w:val="21"/>
                <w:szCs w:val="21"/>
              </w:rPr>
              <w:t>766,016,713</w:t>
            </w:r>
            <w:r>
              <w:rPr>
                <w:rFonts w:ascii="宋体" w:hAnsi="宋体" w:cs="宋体" w:eastAsia="宋体" w:hint="default"/>
                <w:spacing w:val="-40"/>
                <w:sz w:val="21"/>
                <w:szCs w:val="21"/>
              </w:rPr>
              <w:t> </w:t>
            </w:r>
            <w:r>
              <w:rPr>
                <w:rFonts w:ascii="宋体" w:hAnsi="宋体" w:cs="宋体" w:eastAsia="宋体" w:hint="default"/>
                <w:spacing w:val="-11"/>
                <w:sz w:val="21"/>
                <w:szCs w:val="21"/>
              </w:rPr>
              <w:t>股，募集资金总额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为不超过</w:t>
            </w:r>
            <w:r>
              <w:rPr>
                <w:rFonts w:ascii="宋体" w:hAnsi="宋体" w:cs="宋体" w:eastAsia="宋体" w:hint="default"/>
                <w:spacing w:val="-52"/>
                <w:sz w:val="21"/>
                <w:szCs w:val="21"/>
              </w:rPr>
              <w:t> </w:t>
            </w:r>
            <w:r>
              <w:rPr>
                <w:rFonts w:ascii="宋体" w:hAnsi="宋体" w:cs="宋体" w:eastAsia="宋体" w:hint="default"/>
                <w:sz w:val="21"/>
                <w:szCs w:val="21"/>
              </w:rPr>
              <w:t>550,000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pacing w:val="-19"/>
                <w:sz w:val="21"/>
                <w:szCs w:val="21"/>
              </w:rPr>
              <w:t> </w:t>
            </w:r>
            <w:r>
              <w:rPr>
                <w:rFonts w:ascii="宋体" w:hAnsi="宋体" w:cs="宋体" w:eastAsia="宋体" w:hint="default"/>
                <w:sz w:val="21"/>
                <w:szCs w:val="21"/>
              </w:rPr>
              <w:t>根据</w:t>
            </w:r>
            <w:r>
              <w:rPr>
                <w:rFonts w:ascii="宋体" w:hAnsi="宋体" w:cs="宋体" w:eastAsia="宋体" w:hint="default"/>
                <w:w w:val="100"/>
                <w:sz w:val="21"/>
                <w:szCs w:val="21"/>
              </w:rPr>
              <w:t> </w:t>
            </w:r>
            <w:r>
              <w:rPr>
                <w:rFonts w:ascii="宋体" w:hAnsi="宋体" w:cs="宋体" w:eastAsia="宋体" w:hint="default"/>
                <w:sz w:val="21"/>
                <w:szCs w:val="21"/>
              </w:rPr>
              <w:t>非公开发行股票方案，四名交</w:t>
            </w:r>
            <w:r>
              <w:rPr>
                <w:rFonts w:ascii="宋体" w:hAnsi="宋体" w:cs="宋体" w:eastAsia="宋体" w:hint="default"/>
                <w:w w:val="100"/>
                <w:sz w:val="21"/>
                <w:szCs w:val="21"/>
              </w:rPr>
              <w:t> </w:t>
            </w:r>
            <w:r>
              <w:rPr>
                <w:rFonts w:ascii="宋体" w:hAnsi="宋体" w:cs="宋体" w:eastAsia="宋体" w:hint="default"/>
                <w:sz w:val="21"/>
                <w:szCs w:val="21"/>
              </w:rPr>
              <w:t>易对象承诺其本次非公开发行</w:t>
            </w:r>
            <w:r>
              <w:rPr>
                <w:rFonts w:ascii="宋体" w:hAnsi="宋体" w:cs="宋体" w:eastAsia="宋体" w:hint="default"/>
                <w:w w:val="100"/>
                <w:sz w:val="21"/>
                <w:szCs w:val="21"/>
              </w:rPr>
              <w:t> </w:t>
            </w:r>
            <w:r>
              <w:rPr>
                <w:rFonts w:ascii="宋体" w:hAnsi="宋体" w:cs="宋体" w:eastAsia="宋体" w:hint="default"/>
                <w:sz w:val="21"/>
                <w:szCs w:val="21"/>
              </w:rPr>
              <w:t>获得的公司股份限售期为自本</w:t>
            </w:r>
            <w:r>
              <w:rPr>
                <w:rFonts w:ascii="宋体" w:hAnsi="宋体" w:cs="宋体" w:eastAsia="宋体" w:hint="default"/>
                <w:w w:val="100"/>
                <w:sz w:val="21"/>
                <w:szCs w:val="21"/>
              </w:rPr>
              <w:t> </w:t>
            </w:r>
            <w:r>
              <w:rPr>
                <w:rFonts w:ascii="宋体" w:hAnsi="宋体" w:cs="宋体" w:eastAsia="宋体" w:hint="default"/>
                <w:sz w:val="21"/>
                <w:szCs w:val="21"/>
              </w:rPr>
              <w:t>次发行结束之日起</w:t>
            </w:r>
            <w:r>
              <w:rPr>
                <w:rFonts w:ascii="宋体" w:hAnsi="宋体" w:cs="宋体" w:eastAsia="宋体" w:hint="default"/>
                <w:spacing w:val="-51"/>
                <w:sz w:val="21"/>
                <w:szCs w:val="21"/>
              </w:rPr>
              <w:t> </w:t>
            </w:r>
            <w:r>
              <w:rPr>
                <w:rFonts w:ascii="宋体" w:hAnsi="宋体" w:cs="宋体" w:eastAsia="宋体" w:hint="default"/>
                <w:sz w:val="21"/>
                <w:szCs w:val="21"/>
              </w:rPr>
              <w:t>36</w:t>
            </w:r>
            <w:r>
              <w:rPr>
                <w:rFonts w:ascii="宋体" w:hAnsi="宋体" w:cs="宋体" w:eastAsia="宋体" w:hint="default"/>
                <w:spacing w:val="-52"/>
                <w:sz w:val="21"/>
                <w:szCs w:val="21"/>
              </w:rPr>
              <w:t> </w:t>
            </w:r>
            <w:r>
              <w:rPr>
                <w:rFonts w:ascii="宋体" w:hAnsi="宋体" w:cs="宋体" w:eastAsia="宋体" w:hint="default"/>
                <w:spacing w:val="-3"/>
                <w:sz w:val="21"/>
                <w:szCs w:val="21"/>
              </w:rPr>
              <w:t>个月。</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承诺做出的</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时间为</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2</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2" w:lineRule="exact" w:before="27"/>
              <w:ind w:left="103" w:right="98"/>
              <w:jc w:val="both"/>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47"/>
                <w:sz w:val="21"/>
                <w:szCs w:val="21"/>
              </w:rPr>
              <w:t> </w:t>
            </w:r>
            <w:r>
              <w:rPr>
                <w:rFonts w:ascii="宋体" w:hAnsi="宋体" w:cs="宋体" w:eastAsia="宋体" w:hint="default"/>
                <w:spacing w:val="-12"/>
                <w:sz w:val="21"/>
                <w:szCs w:val="21"/>
              </w:rPr>
              <w:t>日，应完</w:t>
            </w:r>
            <w:r>
              <w:rPr>
                <w:rFonts w:ascii="宋体" w:hAnsi="宋体" w:cs="宋体" w:eastAsia="宋体" w:hint="default"/>
                <w:w w:val="100"/>
                <w:sz w:val="21"/>
                <w:szCs w:val="21"/>
              </w:rPr>
              <w:t> </w:t>
            </w:r>
            <w:r>
              <w:rPr>
                <w:rFonts w:ascii="宋体" w:hAnsi="宋体" w:cs="宋体" w:eastAsia="宋体" w:hint="default"/>
                <w:sz w:val="21"/>
                <w:szCs w:val="21"/>
              </w:rPr>
              <w:t>成的时间为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2018</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2</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49" w:lineRule="exact"/>
              <w:ind w:left="103" w:right="0"/>
              <w:jc w:val="both"/>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0"/>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1646" w:hRule="exact"/>
        </w:trPr>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233"/>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清华控股有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0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清华控股计划自</w:t>
            </w:r>
            <w:r>
              <w:rPr>
                <w:rFonts w:ascii="宋体" w:hAnsi="宋体" w:cs="宋体" w:eastAsia="宋体" w:hint="default"/>
                <w:spacing w:val="-68"/>
                <w:sz w:val="21"/>
                <w:szCs w:val="21"/>
              </w:rPr>
              <w:t> </w:t>
            </w:r>
            <w:r>
              <w:rPr>
                <w:rFonts w:ascii="宋体" w:hAnsi="宋体" w:cs="宋体" w:eastAsia="宋体" w:hint="default"/>
                <w:sz w:val="21"/>
                <w:szCs w:val="21"/>
              </w:rPr>
              <w:t>2018</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6</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21</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日起</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个月内增持公司股票，</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累计增持股票数量不低于</w:t>
            </w:r>
            <w:r>
              <w:rPr>
                <w:rFonts w:ascii="宋体" w:hAnsi="宋体" w:cs="宋体" w:eastAsia="宋体" w:hint="default"/>
                <w:spacing w:val="-55"/>
                <w:sz w:val="21"/>
                <w:szCs w:val="21"/>
              </w:rPr>
              <w:t> </w:t>
            </w:r>
            <w:r>
              <w:rPr>
                <w:rFonts w:ascii="宋体" w:hAnsi="宋体" w:cs="宋体" w:eastAsia="宋体" w:hint="default"/>
                <w:sz w:val="21"/>
                <w:szCs w:val="21"/>
              </w:rPr>
              <w:t>1000</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万股、不超过 </w:t>
            </w:r>
            <w:r>
              <w:rPr>
                <w:rFonts w:ascii="宋体" w:hAnsi="宋体" w:cs="宋体" w:eastAsia="宋体" w:hint="default"/>
                <w:sz w:val="21"/>
                <w:szCs w:val="21"/>
              </w:rPr>
              <w:t>3500</w:t>
            </w:r>
            <w:r>
              <w:rPr>
                <w:rFonts w:ascii="宋体" w:hAnsi="宋体" w:cs="宋体" w:eastAsia="宋体" w:hint="default"/>
                <w:spacing w:val="-84"/>
                <w:sz w:val="21"/>
                <w:szCs w:val="21"/>
              </w:rPr>
              <w:t> </w:t>
            </w:r>
            <w:r>
              <w:rPr>
                <w:rFonts w:ascii="宋体" w:hAnsi="宋体" w:cs="宋体" w:eastAsia="宋体" w:hint="default"/>
                <w:spacing w:val="-4"/>
                <w:sz w:val="21"/>
                <w:szCs w:val="21"/>
              </w:rPr>
              <w:t>万股，并在</w:t>
            </w:r>
          </w:p>
          <w:p>
            <w:pPr>
              <w:pStyle w:val="TableParagraph"/>
              <w:spacing w:line="240" w:lineRule="auto"/>
              <w:ind w:left="103" w:right="185"/>
              <w:jc w:val="left"/>
              <w:rPr>
                <w:rFonts w:ascii="宋体" w:hAnsi="宋体" w:cs="宋体" w:eastAsia="宋体" w:hint="default"/>
                <w:sz w:val="21"/>
                <w:szCs w:val="21"/>
              </w:rPr>
            </w:pPr>
            <w:r>
              <w:rPr>
                <w:rFonts w:ascii="宋体" w:hAnsi="宋体" w:cs="宋体" w:eastAsia="宋体" w:hint="default"/>
                <w:sz w:val="21"/>
                <w:szCs w:val="21"/>
              </w:rPr>
              <w:t>增持行为完成后的</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个月内，</w:t>
            </w:r>
            <w:r>
              <w:rPr>
                <w:rFonts w:ascii="宋体" w:hAnsi="宋体" w:cs="宋体" w:eastAsia="宋体" w:hint="default"/>
                <w:w w:val="100"/>
                <w:sz w:val="21"/>
                <w:szCs w:val="21"/>
              </w:rPr>
              <w:t> </w:t>
            </w:r>
            <w:r>
              <w:rPr>
                <w:rFonts w:ascii="宋体" w:hAnsi="宋体" w:cs="宋体" w:eastAsia="宋体" w:hint="default"/>
                <w:spacing w:val="-2"/>
                <w:sz w:val="21"/>
                <w:szCs w:val="21"/>
              </w:rPr>
              <w:t>不转让增持部分的公司股票。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清华控股增</w:t>
            </w:r>
          </w:p>
          <w:p>
            <w:pPr>
              <w:pStyle w:val="TableParagraph"/>
              <w:spacing w:line="237" w:lineRule="auto" w:before="2"/>
              <w:ind w:left="103" w:right="108"/>
              <w:jc w:val="both"/>
              <w:rPr>
                <w:rFonts w:ascii="宋体" w:hAnsi="宋体" w:cs="宋体" w:eastAsia="宋体" w:hint="default"/>
                <w:sz w:val="21"/>
                <w:szCs w:val="21"/>
              </w:rPr>
            </w:pPr>
            <w:r>
              <w:rPr>
                <w:rFonts w:ascii="宋体" w:hAnsi="宋体" w:cs="宋体" w:eastAsia="宋体" w:hint="default"/>
                <w:sz w:val="21"/>
                <w:szCs w:val="21"/>
              </w:rPr>
              <w:t>持行为完成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后的</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个月</w:t>
            </w:r>
            <w:r>
              <w:rPr>
                <w:rFonts w:ascii="宋体" w:hAnsi="宋体" w:cs="宋体" w:eastAsia="宋体" w:hint="default"/>
                <w:w w:val="100"/>
                <w:sz w:val="21"/>
                <w:szCs w:val="21"/>
              </w:rPr>
              <w:t> </w:t>
            </w:r>
            <w:r>
              <w:rPr>
                <w:rFonts w:ascii="宋体" w:hAnsi="宋体" w:cs="宋体" w:eastAsia="宋体" w:hint="default"/>
                <w:sz w:val="21"/>
                <w:szCs w:val="21"/>
              </w:rPr>
              <w:t>内。</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2"/>
        <w:rPr>
          <w:rFonts w:ascii="宋体" w:hAnsi="宋体" w:cs="宋体" w:eastAsia="宋体" w:hint="default"/>
          <w:sz w:val="26"/>
          <w:szCs w:val="26"/>
        </w:rPr>
      </w:pPr>
    </w:p>
    <w:p>
      <w:pPr>
        <w:pStyle w:val="Heading2"/>
        <w:spacing w:line="276" w:lineRule="auto" w:before="26"/>
        <w:ind w:left="1284" w:right="716" w:hanging="567"/>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51"/>
        </w:rPr>
        <w:t> </w:t>
      </w:r>
      <w:r>
        <w:rPr>
          <w:spacing w:val="2"/>
        </w:rPr>
        <w:t>公司资产或项目存在盈利预测，且报告期仍处在盈利预测期间，公司就资产或</w:t>
      </w:r>
      <w:r>
        <w:rPr>
          <w:w w:val="99"/>
        </w:rPr>
        <w:t> </w:t>
      </w:r>
      <w:r>
        <w:rPr/>
        <w:t>项目是否达到原盈利预测及其原因作出说明</w:t>
      </w:r>
      <w:r>
        <w:rPr>
          <w:b w:val="0"/>
          <w:bCs w:val="0"/>
        </w:rPr>
      </w:r>
    </w:p>
    <w:p>
      <w:pPr>
        <w:pStyle w:val="BodyText"/>
        <w:spacing w:line="240" w:lineRule="auto" w:before="70"/>
        <w:ind w:left="718" w:right="716"/>
        <w:jc w:val="left"/>
      </w:pPr>
      <w:r>
        <w:rPr/>
        <w:t>□已达到 □未达到</w:t>
      </w:r>
      <w:r>
        <w:rPr>
          <w:spacing w:val="-1"/>
        </w:rPr>
        <w:t> </w:t>
      </w:r>
      <w:r>
        <w:rPr/>
        <w:t>√不适用</w:t>
      </w:r>
    </w:p>
    <w:p>
      <w:pPr>
        <w:spacing w:line="240" w:lineRule="auto" w:before="8"/>
        <w:rPr>
          <w:rFonts w:ascii="宋体" w:hAnsi="宋体" w:cs="宋体" w:eastAsia="宋体" w:hint="default"/>
          <w:sz w:val="35"/>
          <w:szCs w:val="35"/>
        </w:rPr>
      </w:pPr>
    </w:p>
    <w:p>
      <w:pPr>
        <w:pStyle w:val="Heading2"/>
        <w:spacing w:line="240" w:lineRule="auto"/>
        <w:ind w:left="718" w:right="716"/>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3"/>
        </w:rPr>
        <w:t> </w:t>
      </w:r>
      <w:r>
        <w:rPr/>
        <w:t>业绩承诺的完成情况及其对商誉减值测试的影响</w:t>
      </w:r>
      <w:r>
        <w:rPr>
          <w:b w:val="0"/>
          <w:bCs w:val="0"/>
        </w:rPr>
      </w:r>
    </w:p>
    <w:p>
      <w:pPr>
        <w:pStyle w:val="BodyText"/>
        <w:spacing w:line="240" w:lineRule="auto" w:before="106"/>
        <w:ind w:left="718" w:right="716"/>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spacing w:line="240" w:lineRule="auto"/>
        <w:ind w:left="718" w:right="716"/>
        <w:jc w:val="left"/>
        <w:rPr>
          <w:b w:val="0"/>
          <w:bCs w:val="0"/>
        </w:rPr>
      </w:pPr>
      <w:r>
        <w:rPr/>
        <w:t>三、报告期内资金被占用情况及清欠进展情况</w:t>
      </w:r>
      <w:r>
        <w:rPr>
          <w:b w:val="0"/>
          <w:bCs w:val="0"/>
        </w:rPr>
      </w:r>
    </w:p>
    <w:p>
      <w:pPr>
        <w:pStyle w:val="BodyText"/>
        <w:spacing w:line="240" w:lineRule="auto" w:before="106"/>
        <w:ind w:left="718" w:right="716"/>
        <w:jc w:val="left"/>
      </w:pPr>
      <w:r>
        <w:rPr/>
        <w:t>□适用</w:t>
      </w:r>
      <w:r>
        <w:rPr>
          <w:spacing w:val="-1"/>
        </w:rPr>
        <w:t> </w:t>
      </w:r>
      <w:r>
        <w:rPr/>
        <w:t>√不适用</w:t>
      </w:r>
    </w:p>
    <w:p>
      <w:pPr>
        <w:spacing w:after="0" w:line="240" w:lineRule="auto"/>
        <w:jc w:val="left"/>
        <w:sectPr>
          <w:pgSz w:w="11910" w:h="16840"/>
          <w:pgMar w:header="0" w:footer="1193" w:top="780" w:bottom="1380" w:left="1080" w:right="560"/>
        </w:sectPr>
      </w:pPr>
    </w:p>
    <w:p>
      <w:pPr>
        <w:spacing w:before="25"/>
        <w:ind w:left="3044" w:right="3056"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Heading2"/>
        <w:spacing w:line="240" w:lineRule="auto" w:before="26"/>
        <w:ind w:right="0"/>
        <w:jc w:val="left"/>
        <w:rPr>
          <w:b w:val="0"/>
          <w:bCs w:val="0"/>
        </w:rPr>
      </w:pPr>
      <w:r>
        <w:rPr/>
        <w:t>四、公司对会计师事务所“非标准意见审计报告”的说明</w:t>
      </w:r>
      <w:r>
        <w:rPr>
          <w:b w:val="0"/>
          <w:bCs w:val="0"/>
        </w:rPr>
      </w:r>
    </w:p>
    <w:p>
      <w:pPr>
        <w:pStyle w:val="BodyText"/>
        <w:spacing w:line="240" w:lineRule="auto" w:before="106"/>
        <w:ind w:right="0"/>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spacing w:line="240" w:lineRule="auto"/>
        <w:ind w:right="0"/>
        <w:jc w:val="left"/>
        <w:rPr>
          <w:b w:val="0"/>
          <w:bCs w:val="0"/>
        </w:rPr>
      </w:pPr>
      <w:r>
        <w:rPr/>
        <w:t>五、公司对会计政策、会计估计变更或重大会计差错更正原因和影响的分析说明</w:t>
      </w:r>
      <w:r>
        <w:rPr>
          <w:b w:val="0"/>
          <w:bCs w:val="0"/>
        </w:rPr>
      </w:r>
    </w:p>
    <w:p>
      <w:pPr>
        <w:pStyle w:val="Heading2"/>
        <w:spacing w:line="240" w:lineRule="auto" w:before="106"/>
        <w:ind w:right="0"/>
        <w:jc w:val="left"/>
        <w:rPr>
          <w:b w:val="0"/>
          <w:bCs w:val="0"/>
        </w:rPr>
      </w:pPr>
      <w:r>
        <w:rPr/>
        <w:t>（一）</w:t>
      </w:r>
      <w:r>
        <w:rPr>
          <w:spacing w:val="-8"/>
        </w:rPr>
        <w:t> </w:t>
      </w:r>
      <w:r>
        <w:rPr/>
        <w:t>公司对会计政策、会计估计变更原因及影响的分析说明</w:t>
      </w:r>
      <w:r>
        <w:rPr>
          <w:b w:val="0"/>
          <w:bCs w:val="0"/>
        </w:rPr>
      </w:r>
    </w:p>
    <w:p>
      <w:pPr>
        <w:pStyle w:val="BodyText"/>
        <w:tabs>
          <w:tab w:pos="1097" w:val="left" w:leader="none"/>
        </w:tabs>
        <w:spacing w:line="240" w:lineRule="auto" w:before="106"/>
        <w:ind w:right="0"/>
        <w:jc w:val="left"/>
      </w:pPr>
      <w:r>
        <w:rPr>
          <w:spacing w:val="-1"/>
        </w:rPr>
        <w:t>□适用</w:t>
        <w:tab/>
      </w:r>
      <w:r>
        <w:rPr/>
        <w:t>√不适用</w:t>
      </w:r>
    </w:p>
    <w:p>
      <w:pPr>
        <w:spacing w:line="240" w:lineRule="auto" w:before="8"/>
        <w:rPr>
          <w:rFonts w:ascii="宋体" w:hAnsi="宋体" w:cs="宋体" w:eastAsia="宋体" w:hint="default"/>
          <w:sz w:val="35"/>
          <w:szCs w:val="35"/>
        </w:rPr>
      </w:pPr>
    </w:p>
    <w:p>
      <w:pPr>
        <w:pStyle w:val="Heading2"/>
        <w:spacing w:line="240" w:lineRule="auto"/>
        <w:ind w:right="0"/>
        <w:jc w:val="left"/>
        <w:rPr>
          <w:b w:val="0"/>
          <w:bCs w:val="0"/>
        </w:rPr>
      </w:pPr>
      <w:r>
        <w:rPr/>
        <w:t>（二）</w:t>
      </w:r>
      <w:r>
        <w:rPr>
          <w:spacing w:val="-8"/>
        </w:rPr>
        <w:t> </w:t>
      </w:r>
      <w:r>
        <w:rPr/>
        <w:t>公司对重大会计差错更正原因及影响的分析说明</w:t>
      </w:r>
      <w:r>
        <w:rPr>
          <w:b w:val="0"/>
          <w:bCs w:val="0"/>
        </w:rPr>
      </w:r>
    </w:p>
    <w:p>
      <w:pPr>
        <w:pStyle w:val="BodyText"/>
        <w:tabs>
          <w:tab w:pos="1097" w:val="left" w:leader="none"/>
        </w:tabs>
        <w:spacing w:line="240" w:lineRule="auto" w:before="106"/>
        <w:ind w:right="0"/>
        <w:jc w:val="left"/>
      </w:pPr>
      <w:r>
        <w:rPr>
          <w:spacing w:val="-1"/>
        </w:rPr>
        <w:t>□适用</w:t>
        <w:tab/>
      </w:r>
      <w:r>
        <w:rPr/>
        <w:t>√不适用</w:t>
      </w:r>
    </w:p>
    <w:p>
      <w:pPr>
        <w:spacing w:line="240" w:lineRule="auto" w:before="8"/>
        <w:rPr>
          <w:rFonts w:ascii="宋体" w:hAnsi="宋体" w:cs="宋体" w:eastAsia="宋体" w:hint="default"/>
          <w:sz w:val="35"/>
          <w:szCs w:val="35"/>
        </w:rPr>
      </w:pPr>
    </w:p>
    <w:p>
      <w:pPr>
        <w:pStyle w:val="Heading2"/>
        <w:spacing w:line="240" w:lineRule="auto"/>
        <w:ind w:right="0"/>
        <w:jc w:val="left"/>
        <w:rPr>
          <w:b w:val="0"/>
          <w:bCs w:val="0"/>
        </w:rPr>
      </w:pPr>
      <w:r>
        <w:rPr/>
        <w:t>（三）</w:t>
      </w:r>
      <w:r>
        <w:rPr>
          <w:spacing w:val="-8"/>
        </w:rPr>
        <w:t> </w:t>
      </w:r>
      <w:r>
        <w:rPr/>
        <w:t>与前任会计师事务所进行的沟通情况</w:t>
      </w:r>
      <w:r>
        <w:rPr>
          <w:b w:val="0"/>
          <w:bCs w:val="0"/>
        </w:rPr>
      </w:r>
    </w:p>
    <w:p>
      <w:pPr>
        <w:pStyle w:val="BodyText"/>
        <w:tabs>
          <w:tab w:pos="1097" w:val="left" w:leader="none"/>
        </w:tabs>
        <w:spacing w:line="240" w:lineRule="auto" w:before="106"/>
        <w:ind w:right="0"/>
        <w:jc w:val="left"/>
      </w:pPr>
      <w:r>
        <w:rPr>
          <w:spacing w:val="-1"/>
        </w:rPr>
        <w:t>□适用</w:t>
        <w:tab/>
      </w:r>
      <w:r>
        <w:rPr/>
        <w:t>√不适用</w:t>
      </w:r>
    </w:p>
    <w:p>
      <w:pPr>
        <w:spacing w:line="240" w:lineRule="auto" w:before="8"/>
        <w:rPr>
          <w:rFonts w:ascii="宋体" w:hAnsi="宋体" w:cs="宋体" w:eastAsia="宋体" w:hint="default"/>
          <w:sz w:val="35"/>
          <w:szCs w:val="35"/>
        </w:rPr>
      </w:pPr>
    </w:p>
    <w:p>
      <w:pPr>
        <w:pStyle w:val="Heading2"/>
        <w:spacing w:line="240" w:lineRule="auto"/>
        <w:ind w:right="0"/>
        <w:jc w:val="left"/>
        <w:rPr>
          <w:b w:val="0"/>
          <w:bCs w:val="0"/>
        </w:rPr>
      </w:pPr>
      <w:r>
        <w:rPr/>
        <w:t>（四）</w:t>
      </w:r>
      <w:r>
        <w:rPr>
          <w:spacing w:val="-5"/>
        </w:rPr>
        <w:t> </w:t>
      </w:r>
      <w:r>
        <w:rPr/>
        <w:t>其他说明</w:t>
      </w:r>
      <w:r>
        <w:rPr>
          <w:b w:val="0"/>
          <w:bCs w:val="0"/>
        </w:rPr>
      </w:r>
    </w:p>
    <w:p>
      <w:pPr>
        <w:pStyle w:val="BodyText"/>
        <w:tabs>
          <w:tab w:pos="1097" w:val="left" w:leader="none"/>
        </w:tabs>
        <w:spacing w:line="240" w:lineRule="auto" w:before="106"/>
        <w:ind w:right="0"/>
        <w:jc w:val="left"/>
      </w:pPr>
      <w:r>
        <w:rPr>
          <w:spacing w:val="-1"/>
        </w:rPr>
        <w:t>□适用</w:t>
        <w:tab/>
      </w:r>
      <w:r>
        <w:rPr/>
        <w:t>√不适用</w:t>
      </w:r>
    </w:p>
    <w:p>
      <w:pPr>
        <w:spacing w:line="240" w:lineRule="auto" w:before="0"/>
        <w:rPr>
          <w:rFonts w:ascii="宋体" w:hAnsi="宋体" w:cs="宋体" w:eastAsia="宋体" w:hint="default"/>
          <w:sz w:val="20"/>
          <w:szCs w:val="20"/>
        </w:rPr>
      </w:pPr>
    </w:p>
    <w:p>
      <w:pPr>
        <w:pStyle w:val="Heading2"/>
        <w:spacing w:line="240" w:lineRule="auto" w:before="204"/>
        <w:ind w:right="0"/>
        <w:jc w:val="left"/>
        <w:rPr>
          <w:b w:val="0"/>
          <w:bCs w:val="0"/>
        </w:rPr>
      </w:pPr>
      <w:r>
        <w:rPr/>
        <w:t>六、聘任、解聘会计师事务所情况</w:t>
      </w:r>
      <w:r>
        <w:rPr>
          <w:b w:val="0"/>
          <w:bCs w:val="0"/>
        </w:rPr>
      </w:r>
    </w:p>
    <w:p>
      <w:pPr>
        <w:pStyle w:val="BodyText"/>
        <w:tabs>
          <w:tab w:pos="1200" w:val="left" w:leader="none"/>
        </w:tabs>
        <w:spacing w:line="240" w:lineRule="auto" w:before="58"/>
        <w:ind w:left="0" w:right="341"/>
        <w:jc w:val="right"/>
      </w:pPr>
      <w:r>
        <w:rPr/>
        <w:t>单位：元</w:t>
        <w:tab/>
        <w:t>币种：人民币</w:t>
      </w:r>
    </w:p>
    <w:p>
      <w:pPr>
        <w:spacing w:line="240" w:lineRule="auto" w:before="12"/>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409"/>
        <w:gridCol w:w="4415"/>
      </w:tblGrid>
      <w:tr>
        <w:trPr>
          <w:trHeight w:val="283" w:hRule="exact"/>
        </w:trPr>
        <w:tc>
          <w:tcPr>
            <w:tcW w:w="4409" w:type="dxa"/>
            <w:tcBorders>
              <w:top w:val="single" w:sz="4" w:space="0" w:color="000000"/>
              <w:left w:val="single" w:sz="4" w:space="0" w:color="000000"/>
              <w:bottom w:val="single" w:sz="4" w:space="0" w:color="000000"/>
              <w:right w:val="single" w:sz="4" w:space="0" w:color="000000"/>
            </w:tcBorders>
          </w:tcPr>
          <w:p>
            <w:pP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1"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283"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380</w:t>
            </w:r>
            <w:r>
              <w:rPr>
                <w:rFonts w:ascii="宋体" w:hAnsi="宋体" w:cs="宋体" w:eastAsia="宋体" w:hint="default"/>
                <w:spacing w:val="-48"/>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283"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十八年</w:t>
            </w:r>
          </w:p>
        </w:tc>
      </w:tr>
    </w:tbl>
    <w:p>
      <w:pPr>
        <w:pStyle w:val="BodyText"/>
        <w:spacing w:line="273" w:lineRule="exact"/>
        <w:ind w:right="0"/>
        <w:jc w:val="both"/>
      </w:pPr>
      <w:r>
        <w:rPr>
          <w:spacing w:val="-8"/>
        </w:rPr>
        <w:t>注：同方泰德国际科技有限公司、同方知网数字出版技术股份有限公司和同方知网（北</w:t>
      </w:r>
    </w:p>
    <w:p>
      <w:pPr>
        <w:pStyle w:val="BodyText"/>
        <w:spacing w:line="237" w:lineRule="auto" w:before="1"/>
        <w:ind w:right="132"/>
        <w:jc w:val="both"/>
      </w:pPr>
      <w:r>
        <w:rPr>
          <w:spacing w:val="-2"/>
        </w:rPr>
        <w:t>京）技术有限公司另外聘请毕马威会计师事务所为其审计机构；同方友友控股有限公</w:t>
      </w:r>
      <w:r>
        <w:rPr>
          <w:spacing w:val="-94"/>
        </w:rPr>
        <w:t> </w:t>
      </w:r>
      <w:r>
        <w:rPr>
          <w:spacing w:val="-94"/>
        </w:rPr>
      </w:r>
      <w:r>
        <w:rPr>
          <w:spacing w:val="-2"/>
        </w:rPr>
        <w:t>司另外聘请安永会计师事务所为其审计机构；同方光电（香港）有限公司、</w:t>
      </w:r>
      <w:r>
        <w:rPr>
          <w:rFonts w:ascii="宋体" w:hAnsi="宋体" w:cs="宋体" w:eastAsia="宋体" w:hint="default"/>
          <w:spacing w:val="-2"/>
        </w:rPr>
        <w:t>Tongfang</w:t>
      </w:r>
      <w:r>
        <w:rPr>
          <w:rFonts w:ascii="宋体" w:hAnsi="宋体" w:cs="宋体" w:eastAsia="宋体" w:hint="default"/>
          <w:spacing w:val="-86"/>
        </w:rPr>
        <w:t> </w:t>
      </w:r>
      <w:r>
        <w:rPr>
          <w:rFonts w:ascii="宋体" w:hAnsi="宋体" w:cs="宋体" w:eastAsia="宋体" w:hint="default"/>
        </w:rPr>
        <w:t>HongKong</w:t>
      </w:r>
      <w:r>
        <w:rPr>
          <w:rFonts w:ascii="宋体" w:hAnsi="宋体" w:cs="宋体" w:eastAsia="宋体" w:hint="default"/>
          <w:spacing w:val="-36"/>
        </w:rPr>
        <w:t> </w:t>
      </w:r>
      <w:r>
        <w:rPr>
          <w:rFonts w:ascii="宋体" w:hAnsi="宋体" w:cs="宋体" w:eastAsia="宋体" w:hint="default"/>
        </w:rPr>
        <w:t>Limited</w:t>
      </w:r>
      <w:r>
        <w:rPr>
          <w:rFonts w:ascii="宋体" w:hAnsi="宋体" w:cs="宋体" w:eastAsia="宋体" w:hint="default"/>
          <w:spacing w:val="-61"/>
        </w:rPr>
        <w:t> </w:t>
      </w:r>
      <w:r>
        <w:rPr/>
        <w:t>和</w:t>
      </w:r>
      <w:r>
        <w:rPr>
          <w:spacing w:val="-60"/>
        </w:rPr>
        <w:t> </w:t>
      </w:r>
      <w:r>
        <w:rPr>
          <w:rFonts w:ascii="宋体" w:hAnsi="宋体" w:cs="宋体" w:eastAsia="宋体" w:hint="default"/>
        </w:rPr>
        <w:t>TongFang</w:t>
      </w:r>
      <w:r>
        <w:rPr>
          <w:rFonts w:ascii="宋体" w:hAnsi="宋体" w:cs="宋体" w:eastAsia="宋体" w:hint="default"/>
          <w:spacing w:val="-36"/>
        </w:rPr>
        <w:t> </w:t>
      </w:r>
      <w:r>
        <w:rPr>
          <w:rFonts w:ascii="宋体" w:hAnsi="宋体" w:cs="宋体" w:eastAsia="宋体" w:hint="default"/>
        </w:rPr>
        <w:t>Global</w:t>
      </w:r>
      <w:r>
        <w:rPr>
          <w:rFonts w:ascii="宋体" w:hAnsi="宋体" w:cs="宋体" w:eastAsia="宋体" w:hint="default"/>
          <w:spacing w:val="-36"/>
        </w:rPr>
        <w:t> </w:t>
      </w:r>
      <w:r>
        <w:rPr>
          <w:rFonts w:ascii="宋体" w:hAnsi="宋体" w:cs="宋体" w:eastAsia="宋体" w:hint="default"/>
        </w:rPr>
        <w:t>Limited</w:t>
      </w:r>
      <w:r>
        <w:rPr>
          <w:rFonts w:ascii="宋体" w:hAnsi="宋体" w:cs="宋体" w:eastAsia="宋体" w:hint="default"/>
          <w:spacing w:val="-60"/>
        </w:rPr>
        <w:t> </w:t>
      </w:r>
      <w:r>
        <w:rPr/>
        <w:t>另外聘请香港康元会计师事务所为其 审计机构。</w:t>
      </w:r>
    </w:p>
    <w:p>
      <w:pPr>
        <w:spacing w:line="240" w:lineRule="auto" w:before="9"/>
        <w:rPr>
          <w:rFonts w:ascii="宋体" w:hAnsi="宋体" w:cs="宋体" w:eastAsia="宋体" w:hint="default"/>
          <w:sz w:val="26"/>
          <w:szCs w:val="26"/>
        </w:rPr>
      </w:pPr>
    </w:p>
    <w:tbl>
      <w:tblPr>
        <w:tblW w:w="0" w:type="auto"/>
        <w:jc w:val="left"/>
        <w:tblInd w:w="138" w:type="dxa"/>
        <w:tblLayout w:type="fixed"/>
        <w:tblCellMar>
          <w:top w:w="0" w:type="dxa"/>
          <w:left w:w="0" w:type="dxa"/>
          <w:bottom w:w="0" w:type="dxa"/>
          <w:right w:w="0" w:type="dxa"/>
        </w:tblCellMar>
        <w:tblLook w:val="01E0"/>
      </w:tblPr>
      <w:tblGrid>
        <w:gridCol w:w="3229"/>
        <w:gridCol w:w="2655"/>
        <w:gridCol w:w="2941"/>
      </w:tblGrid>
      <w:tr>
        <w:trPr>
          <w:trHeight w:val="283" w:hRule="exact"/>
        </w:trPr>
        <w:tc>
          <w:tcPr>
            <w:tcW w:w="322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名称</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281"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信永中和会计师事务所</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60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40" w:lineRule="auto" w:before="6"/>
        <w:rPr>
          <w:rFonts w:ascii="宋体" w:hAnsi="宋体" w:cs="宋体" w:eastAsia="宋体" w:hint="default"/>
          <w:sz w:val="22"/>
          <w:szCs w:val="22"/>
        </w:rPr>
      </w:pPr>
    </w:p>
    <w:p>
      <w:pPr>
        <w:pStyle w:val="BodyText"/>
        <w:spacing w:line="240" w:lineRule="auto" w:before="26"/>
        <w:ind w:right="0"/>
        <w:jc w:val="left"/>
      </w:pPr>
      <w:r>
        <w:rPr/>
        <w:t>聘任、解聘会计师事务所的情况说明</w:t>
      </w:r>
    </w:p>
    <w:p>
      <w:pPr>
        <w:pStyle w:val="BodyText"/>
        <w:spacing w:line="240" w:lineRule="auto" w:before="46"/>
        <w:ind w:right="0"/>
        <w:jc w:val="left"/>
      </w:pPr>
      <w:r>
        <w:rPr/>
        <w:t>√适用</w:t>
      </w:r>
      <w:r>
        <w:rPr>
          <w:spacing w:val="-1"/>
        </w:rPr>
        <w:t> </w:t>
      </w:r>
      <w:r>
        <w:rPr/>
        <w:t>□不适用</w:t>
      </w:r>
    </w:p>
    <w:p>
      <w:pPr>
        <w:pStyle w:val="BodyText"/>
        <w:spacing w:line="240" w:lineRule="auto" w:before="46"/>
        <w:ind w:left="618" w:right="0"/>
        <w:jc w:val="left"/>
      </w:pPr>
      <w:r>
        <w:rPr/>
        <w:t>经于</w:t>
      </w:r>
      <w:r>
        <w:rPr>
          <w:spacing w:val="-52"/>
        </w:rPr>
        <w:t> </w:t>
      </w:r>
      <w:r>
        <w:rPr>
          <w:rFonts w:ascii="宋体" w:hAnsi="宋体" w:cs="宋体" w:eastAsia="宋体" w:hint="default"/>
        </w:rPr>
        <w:t>2018</w:t>
      </w:r>
      <w:r>
        <w:rPr>
          <w:rFonts w:ascii="宋体" w:hAnsi="宋体" w:cs="宋体" w:eastAsia="宋体" w:hint="default"/>
          <w:spacing w:val="-52"/>
        </w:rPr>
        <w:t> </w:t>
      </w:r>
      <w:r>
        <w:rPr/>
        <w:t>年</w:t>
      </w:r>
      <w:r>
        <w:rPr>
          <w:spacing w:val="-52"/>
        </w:rPr>
        <w:t> </w:t>
      </w:r>
      <w:r>
        <w:rPr>
          <w:rFonts w:ascii="宋体" w:hAnsi="宋体" w:cs="宋体" w:eastAsia="宋体" w:hint="default"/>
        </w:rPr>
        <w:t>5</w:t>
      </w:r>
      <w:r>
        <w:rPr>
          <w:rFonts w:ascii="宋体" w:hAnsi="宋体" w:cs="宋体" w:eastAsia="宋体" w:hint="default"/>
          <w:spacing w:val="-51"/>
        </w:rPr>
        <w:t> </w:t>
      </w:r>
      <w:r>
        <w:rPr/>
        <w:t>月</w:t>
      </w:r>
      <w:r>
        <w:rPr>
          <w:spacing w:val="-52"/>
        </w:rPr>
        <w:t> </w:t>
      </w:r>
      <w:r>
        <w:rPr>
          <w:rFonts w:ascii="宋体" w:hAnsi="宋体" w:cs="宋体" w:eastAsia="宋体" w:hint="default"/>
        </w:rPr>
        <w:t>15</w:t>
      </w:r>
      <w:r>
        <w:rPr>
          <w:rFonts w:ascii="宋体" w:hAnsi="宋体" w:cs="宋体" w:eastAsia="宋体" w:hint="default"/>
          <w:spacing w:val="-52"/>
        </w:rPr>
        <w:t> </w:t>
      </w:r>
      <w:r>
        <w:rPr/>
        <w:t>日召开的</w:t>
      </w:r>
      <w:r>
        <w:rPr>
          <w:spacing w:val="-52"/>
        </w:rPr>
        <w:t> </w:t>
      </w:r>
      <w:r>
        <w:rPr>
          <w:rFonts w:ascii="宋体" w:hAnsi="宋体" w:cs="宋体" w:eastAsia="宋体" w:hint="default"/>
        </w:rPr>
        <w:t>2017</w:t>
      </w:r>
      <w:r>
        <w:rPr>
          <w:rFonts w:ascii="宋体" w:hAnsi="宋体" w:cs="宋体" w:eastAsia="宋体" w:hint="default"/>
          <w:spacing w:val="-52"/>
        </w:rPr>
        <w:t> </w:t>
      </w:r>
      <w:r>
        <w:rPr/>
        <w:t>年年度股东大会审议，通过了《关于续聘信</w:t>
      </w:r>
    </w:p>
    <w:p>
      <w:pPr>
        <w:pStyle w:val="BodyText"/>
        <w:spacing w:line="240" w:lineRule="auto" w:before="46"/>
        <w:ind w:right="0"/>
        <w:jc w:val="left"/>
      </w:pPr>
      <w:r>
        <w:rPr>
          <w:spacing w:val="4"/>
        </w:rPr>
        <w:t>永中和会计师事务所作为 </w:t>
      </w:r>
      <w:r>
        <w:rPr>
          <w:rFonts w:ascii="宋体" w:hAnsi="宋体" w:cs="宋体" w:eastAsia="宋体" w:hint="default"/>
        </w:rPr>
        <w:t>2018</w:t>
      </w:r>
      <w:r>
        <w:rPr>
          <w:rFonts w:ascii="宋体" w:hAnsi="宋体" w:cs="宋体" w:eastAsia="宋体" w:hint="default"/>
          <w:spacing w:val="27"/>
        </w:rPr>
        <w:t> </w:t>
      </w:r>
      <w:r>
        <w:rPr>
          <w:spacing w:val="4"/>
        </w:rPr>
        <w:t>年财务报告审计机构和内部控制审计机构及支付其</w:t>
      </w:r>
    </w:p>
    <w:p>
      <w:pPr>
        <w:pStyle w:val="BodyText"/>
        <w:spacing w:line="276" w:lineRule="auto" w:before="46"/>
        <w:ind w:right="117"/>
        <w:jc w:val="left"/>
      </w:pPr>
      <w:r>
        <w:rPr>
          <w:rFonts w:ascii="宋体" w:hAnsi="宋体" w:cs="宋体" w:eastAsia="宋体" w:hint="default"/>
        </w:rPr>
        <w:t>2017</w:t>
      </w:r>
      <w:r>
        <w:rPr>
          <w:rFonts w:ascii="宋体" w:hAnsi="宋体" w:cs="宋体" w:eastAsia="宋体" w:hint="default"/>
          <w:spacing w:val="-57"/>
        </w:rPr>
        <w:t> </w:t>
      </w:r>
      <w:r>
        <w:rPr/>
        <w:t>年审计费用的议案》，公司继续聘任信永中和会计师事务所作为公司</w:t>
      </w:r>
      <w:r>
        <w:rPr>
          <w:spacing w:val="-55"/>
        </w:rPr>
        <w:t> </w:t>
      </w:r>
      <w:r>
        <w:rPr>
          <w:rFonts w:ascii="宋体" w:hAnsi="宋体" w:cs="宋体" w:eastAsia="宋体" w:hint="default"/>
        </w:rPr>
        <w:t>2018</w:t>
      </w:r>
      <w:r>
        <w:rPr>
          <w:rFonts w:ascii="宋体" w:hAnsi="宋体" w:cs="宋体" w:eastAsia="宋体" w:hint="default"/>
          <w:spacing w:val="-57"/>
        </w:rPr>
        <w:t> </w:t>
      </w:r>
      <w:r>
        <w:rPr/>
        <w:t>年度 审计机构。</w:t>
      </w:r>
    </w:p>
    <w:p>
      <w:pPr>
        <w:spacing w:after="0" w:line="276" w:lineRule="auto"/>
        <w:jc w:val="left"/>
        <w:sectPr>
          <w:pgSz w:w="11910" w:h="16840"/>
          <w:pgMar w:header="0" w:footer="1193" w:top="780" w:bottom="1380" w:left="1660" w:right="1140"/>
        </w:sectPr>
      </w:pPr>
    </w:p>
    <w:p>
      <w:pPr>
        <w:spacing w:before="25"/>
        <w:ind w:left="3044" w:right="3056"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BodyText"/>
        <w:spacing w:line="240" w:lineRule="auto" w:before="26"/>
        <w:ind w:right="0"/>
        <w:jc w:val="left"/>
      </w:pPr>
      <w:r>
        <w:rPr/>
        <w:t>审计期间改聘会计师事务所的情况说明</w:t>
      </w:r>
    </w:p>
    <w:p>
      <w:pPr>
        <w:pStyle w:val="BodyText"/>
        <w:tabs>
          <w:tab w:pos="1097" w:val="left" w:leader="none"/>
        </w:tabs>
        <w:spacing w:line="240" w:lineRule="auto" w:before="46"/>
        <w:ind w:right="0"/>
        <w:jc w:val="left"/>
      </w:pPr>
      <w:r>
        <w:rPr>
          <w:spacing w:val="-1"/>
        </w:rPr>
        <w:t>□适用</w:t>
        <w:tab/>
      </w:r>
      <w:r>
        <w:rPr/>
        <w:t>√不适用</w:t>
      </w:r>
    </w:p>
    <w:p>
      <w:pPr>
        <w:spacing w:line="240" w:lineRule="auto" w:before="8"/>
        <w:rPr>
          <w:rFonts w:ascii="宋体" w:hAnsi="宋体" w:cs="宋体" w:eastAsia="宋体" w:hint="default"/>
          <w:sz w:val="35"/>
          <w:szCs w:val="35"/>
        </w:rPr>
      </w:pPr>
    </w:p>
    <w:p>
      <w:pPr>
        <w:pStyle w:val="Heading2"/>
        <w:tabs>
          <w:tab w:pos="977" w:val="left" w:leader="none"/>
        </w:tabs>
        <w:spacing w:line="321" w:lineRule="auto"/>
        <w:ind w:right="5835"/>
        <w:jc w:val="left"/>
        <w:rPr>
          <w:b w:val="0"/>
          <w:bCs w:val="0"/>
        </w:rPr>
      </w:pPr>
      <w:r>
        <w:rPr/>
        <w:t>七、面临暂停上市风险的情况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导致暂停上市的原因</w:t>
      </w:r>
      <w:r>
        <w:rPr>
          <w:b w:val="0"/>
          <w:bCs w:val="0"/>
        </w:rPr>
      </w:r>
    </w:p>
    <w:p>
      <w:pPr>
        <w:pStyle w:val="BodyText"/>
        <w:tabs>
          <w:tab w:pos="1097" w:val="left" w:leader="none"/>
        </w:tabs>
        <w:spacing w:line="240" w:lineRule="auto" w:before="24"/>
        <w:ind w:right="0"/>
        <w:jc w:val="left"/>
      </w:pPr>
      <w:r>
        <w:rPr>
          <w:spacing w:val="-1"/>
        </w:rPr>
        <w:t>□适用</w:t>
        <w:tab/>
      </w:r>
      <w:r>
        <w:rPr/>
        <w:t>√不适用</w:t>
      </w:r>
    </w:p>
    <w:p>
      <w:pPr>
        <w:spacing w:line="240" w:lineRule="auto" w:before="8"/>
        <w:rPr>
          <w:rFonts w:ascii="宋体" w:hAnsi="宋体" w:cs="宋体" w:eastAsia="宋体" w:hint="default"/>
          <w:sz w:val="35"/>
          <w:szCs w:val="35"/>
        </w:rPr>
      </w:pPr>
    </w:p>
    <w:p>
      <w:pPr>
        <w:pStyle w:val="Heading2"/>
        <w:tabs>
          <w:tab w:pos="977" w:val="left" w:leader="none"/>
        </w:tabs>
        <w:spacing w:line="240" w:lineRule="auto"/>
        <w:ind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公司拟采取的应对措施</w:t>
      </w:r>
      <w:r>
        <w:rPr>
          <w:b w:val="0"/>
          <w:bCs w:val="0"/>
        </w:rPr>
      </w:r>
    </w:p>
    <w:p>
      <w:pPr>
        <w:pStyle w:val="BodyText"/>
        <w:spacing w:line="240" w:lineRule="auto" w:before="106"/>
        <w:ind w:right="0"/>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spacing w:line="240" w:lineRule="auto"/>
        <w:ind w:right="0"/>
        <w:jc w:val="left"/>
        <w:rPr>
          <w:b w:val="0"/>
          <w:bCs w:val="0"/>
        </w:rPr>
      </w:pPr>
      <w:r>
        <w:rPr/>
        <w:t>八、面临终止上市的情况和原因</w:t>
      </w:r>
      <w:r>
        <w:rPr>
          <w:b w:val="0"/>
          <w:bCs w:val="0"/>
        </w:rPr>
      </w:r>
    </w:p>
    <w:p>
      <w:pPr>
        <w:pStyle w:val="BodyText"/>
        <w:tabs>
          <w:tab w:pos="1097" w:val="left" w:leader="none"/>
        </w:tabs>
        <w:spacing w:line="240" w:lineRule="auto" w:before="106"/>
        <w:ind w:right="0"/>
        <w:jc w:val="left"/>
      </w:pPr>
      <w:r>
        <w:rPr>
          <w:spacing w:val="-1"/>
        </w:rPr>
        <w:t>□适用</w:t>
        <w:tab/>
      </w:r>
      <w:r>
        <w:rPr/>
        <w:t>√不适用</w:t>
      </w:r>
    </w:p>
    <w:p>
      <w:pPr>
        <w:spacing w:line="240" w:lineRule="auto" w:before="8"/>
        <w:rPr>
          <w:rFonts w:ascii="宋体" w:hAnsi="宋体" w:cs="宋体" w:eastAsia="宋体" w:hint="default"/>
          <w:sz w:val="35"/>
          <w:szCs w:val="35"/>
        </w:rPr>
      </w:pPr>
    </w:p>
    <w:p>
      <w:pPr>
        <w:pStyle w:val="Heading2"/>
        <w:spacing w:line="240" w:lineRule="auto"/>
        <w:ind w:right="0"/>
        <w:jc w:val="left"/>
        <w:rPr>
          <w:b w:val="0"/>
          <w:bCs w:val="0"/>
        </w:rPr>
      </w:pPr>
      <w:r>
        <w:rPr/>
        <w:t>九、破产重整相关事项</w:t>
      </w:r>
      <w:r>
        <w:rPr>
          <w:b w:val="0"/>
          <w:bCs w:val="0"/>
        </w:rPr>
      </w:r>
    </w:p>
    <w:p>
      <w:pPr>
        <w:pStyle w:val="BodyText"/>
        <w:spacing w:line="240" w:lineRule="auto" w:before="106"/>
        <w:ind w:right="0"/>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spacing w:line="240" w:lineRule="auto"/>
        <w:ind w:right="0"/>
        <w:jc w:val="left"/>
        <w:rPr>
          <w:b w:val="0"/>
          <w:bCs w:val="0"/>
        </w:rPr>
      </w:pPr>
      <w:r>
        <w:rPr/>
        <w:t>十、重大诉讼、仲裁事项</w:t>
      </w:r>
      <w:r>
        <w:rPr>
          <w:b w:val="0"/>
          <w:bCs w:val="0"/>
        </w:rPr>
      </w:r>
    </w:p>
    <w:p>
      <w:pPr>
        <w:pStyle w:val="BodyText"/>
        <w:spacing w:line="240" w:lineRule="auto" w:before="106"/>
        <w:ind w:right="0"/>
        <w:jc w:val="left"/>
      </w:pPr>
      <w:r>
        <w:rPr/>
        <w:t>□本年度公司有重大诉讼、仲裁事项</w:t>
      </w:r>
      <w:r>
        <w:rPr>
          <w:spacing w:val="-1"/>
        </w:rPr>
        <w:t> </w:t>
      </w:r>
      <w:r>
        <w:rPr/>
        <w:t>√本年度公司无重大诉讼、仲裁事项</w:t>
      </w:r>
    </w:p>
    <w:p>
      <w:pPr>
        <w:spacing w:line="240" w:lineRule="auto" w:before="8"/>
        <w:rPr>
          <w:rFonts w:ascii="宋体" w:hAnsi="宋体" w:cs="宋体" w:eastAsia="宋体" w:hint="default"/>
          <w:sz w:val="35"/>
          <w:szCs w:val="35"/>
        </w:rPr>
      </w:pPr>
    </w:p>
    <w:p>
      <w:pPr>
        <w:pStyle w:val="Heading2"/>
        <w:spacing w:line="276" w:lineRule="auto"/>
        <w:ind w:left="558" w:right="0" w:hanging="420"/>
        <w:jc w:val="left"/>
        <w:rPr>
          <w:b w:val="0"/>
          <w:bCs w:val="0"/>
        </w:rPr>
      </w:pPr>
      <w:r>
        <w:rPr>
          <w:spacing w:val="-2"/>
          <w:w w:val="95"/>
        </w:rPr>
        <w:t>十一、上市公司及其董事、监事、高级管理人员、控股股东、实际控制人、收购人处</w:t>
      </w:r>
      <w:r>
        <w:rPr>
          <w:spacing w:val="88"/>
          <w:w w:val="95"/>
        </w:rPr>
        <w:t> </w:t>
      </w:r>
      <w:r>
        <w:rPr>
          <w:spacing w:val="88"/>
          <w:w w:val="95"/>
        </w:rPr>
      </w:r>
      <w:r>
        <w:rPr/>
        <w:t>罚及整改情况</w:t>
      </w:r>
      <w:r>
        <w:rPr>
          <w:b w:val="0"/>
          <w:bCs w:val="0"/>
        </w:rPr>
      </w:r>
    </w:p>
    <w:p>
      <w:pPr>
        <w:pStyle w:val="BodyText"/>
        <w:spacing w:line="240" w:lineRule="auto" w:before="70"/>
        <w:ind w:right="0"/>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spacing w:line="240" w:lineRule="auto"/>
        <w:ind w:right="0"/>
        <w:jc w:val="left"/>
        <w:rPr>
          <w:b w:val="0"/>
          <w:bCs w:val="0"/>
        </w:rPr>
      </w:pPr>
      <w:r>
        <w:rPr/>
        <w:t>十二、报告期内公司及其控股股东、实际控制人诚信状况的说明</w:t>
      </w:r>
      <w:r>
        <w:rPr>
          <w:b w:val="0"/>
          <w:bCs w:val="0"/>
        </w:rPr>
      </w:r>
    </w:p>
    <w:p>
      <w:pPr>
        <w:pStyle w:val="BodyText"/>
        <w:tabs>
          <w:tab w:pos="1097" w:val="left" w:leader="none"/>
        </w:tabs>
        <w:spacing w:line="276" w:lineRule="auto" w:before="106"/>
        <w:ind w:left="618" w:right="132" w:hanging="480"/>
        <w:jc w:val="left"/>
      </w:pPr>
      <w:r>
        <w:rPr>
          <w:spacing w:val="-1"/>
        </w:rPr>
        <w:t>√适用</w:t>
        <w:tab/>
      </w:r>
      <w:r>
        <w:rPr/>
        <w:t>□不适用</w:t>
      </w:r>
      <w:r>
        <w:rPr/>
        <w:t> </w:t>
      </w:r>
      <w:r>
        <w:rPr>
          <w:spacing w:val="-2"/>
        </w:rPr>
        <w:t>报告期内，公司及控股股东、实际控制人诚信状况良好，不存在未履行法院生效</w:t>
      </w:r>
    </w:p>
    <w:p>
      <w:pPr>
        <w:pStyle w:val="BodyText"/>
        <w:spacing w:line="240" w:lineRule="auto" w:before="10"/>
        <w:ind w:right="0"/>
        <w:jc w:val="left"/>
      </w:pPr>
      <w:r>
        <w:rPr/>
        <w:t>判决、所负数额较大的债务到期未清偿的情况。</w:t>
      </w:r>
    </w:p>
    <w:p>
      <w:pPr>
        <w:spacing w:line="240" w:lineRule="auto" w:before="8"/>
        <w:rPr>
          <w:rFonts w:ascii="宋体" w:hAnsi="宋体" w:cs="宋体" w:eastAsia="宋体" w:hint="default"/>
          <w:sz w:val="35"/>
          <w:szCs w:val="35"/>
        </w:rPr>
      </w:pPr>
    </w:p>
    <w:p>
      <w:pPr>
        <w:pStyle w:val="Heading2"/>
        <w:spacing w:line="321" w:lineRule="auto"/>
        <w:ind w:right="723"/>
        <w:jc w:val="left"/>
        <w:rPr>
          <w:b w:val="0"/>
          <w:bCs w:val="0"/>
        </w:rPr>
      </w:pPr>
      <w:r>
        <w:rPr>
          <w:w w:val="95"/>
        </w:rPr>
        <w:t>十三、公司股权激励计划、员工持股计划或其他员工激励措施的情况及其影响  </w:t>
      </w:r>
      <w:r>
        <w:rPr>
          <w:spacing w:val="58"/>
          <w:w w:val="95"/>
        </w:rPr>
        <w:t> </w:t>
      </w:r>
      <w:r>
        <w:rPr>
          <w:spacing w:val="58"/>
          <w:w w:val="95"/>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4"/>
        </w:rPr>
        <w:t> </w:t>
      </w:r>
      <w:r>
        <w:rPr/>
        <w:t>相关激励事项已在临时公告披露且后续实施无进展或变化的</w:t>
      </w:r>
      <w:r>
        <w:rPr>
          <w:b w:val="0"/>
          <w:bCs w:val="0"/>
        </w:rPr>
      </w:r>
    </w:p>
    <w:p>
      <w:pPr>
        <w:pStyle w:val="BodyText"/>
        <w:spacing w:line="240" w:lineRule="auto" w:before="24"/>
        <w:ind w:right="0"/>
        <w:jc w:val="left"/>
      </w:pPr>
      <w:r>
        <w:rPr/>
        <w:t>□适用</w:t>
      </w:r>
      <w:r>
        <w:rPr>
          <w:spacing w:val="-1"/>
        </w:rPr>
        <w:t> </w:t>
      </w:r>
      <w:r>
        <w:rPr/>
        <w:t>√不适用</w:t>
      </w:r>
    </w:p>
    <w:p>
      <w:pPr>
        <w:spacing w:line="240" w:lineRule="auto" w:before="8"/>
        <w:rPr>
          <w:rFonts w:ascii="宋体" w:hAnsi="宋体" w:cs="宋体" w:eastAsia="宋体" w:hint="default"/>
          <w:sz w:val="35"/>
          <w:szCs w:val="35"/>
        </w:rPr>
      </w:pPr>
    </w:p>
    <w:p>
      <w:pPr>
        <w:spacing w:line="321" w:lineRule="auto" w:before="0"/>
        <w:ind w:left="138" w:right="404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二</w:t>
      </w:r>
      <w:r>
        <w:rPr>
          <w:rFonts w:ascii="宋体" w:hAnsi="宋体" w:cs="宋体" w:eastAsia="宋体" w:hint="default"/>
          <w:b/>
          <w:bCs/>
          <w:sz w:val="24"/>
          <w:szCs w:val="24"/>
        </w:rPr>
        <w:t>)</w:t>
      </w:r>
      <w:r>
        <w:rPr>
          <w:rFonts w:ascii="宋体" w:hAnsi="宋体" w:cs="宋体" w:eastAsia="宋体" w:hint="default"/>
          <w:b/>
          <w:bCs/>
          <w:spacing w:val="-42"/>
          <w:sz w:val="24"/>
          <w:szCs w:val="24"/>
        </w:rPr>
        <w:t> </w:t>
      </w:r>
      <w:r>
        <w:rPr>
          <w:rFonts w:ascii="宋体" w:hAnsi="宋体" w:cs="宋体" w:eastAsia="宋体" w:hint="default"/>
          <w:b/>
          <w:bCs/>
          <w:sz w:val="24"/>
          <w:szCs w:val="24"/>
        </w:rPr>
        <w:t>临时公告未披露或有后续进展的激励情况</w:t>
      </w:r>
      <w:r>
        <w:rPr>
          <w:rFonts w:ascii="宋体" w:hAnsi="宋体" w:cs="宋体" w:eastAsia="宋体" w:hint="default"/>
          <w:b/>
          <w:bCs/>
          <w:w w:val="99"/>
          <w:sz w:val="24"/>
          <w:szCs w:val="24"/>
        </w:rPr>
        <w:t> </w:t>
      </w:r>
      <w:r>
        <w:rPr>
          <w:rFonts w:ascii="宋体" w:hAnsi="宋体" w:cs="宋体" w:eastAsia="宋体" w:hint="default"/>
          <w:sz w:val="24"/>
          <w:szCs w:val="24"/>
        </w:rPr>
        <w:t>股权激励情况</w:t>
      </w:r>
    </w:p>
    <w:p>
      <w:pPr>
        <w:pStyle w:val="BodyText"/>
        <w:spacing w:line="278" w:lineRule="exact"/>
        <w:ind w:right="0"/>
        <w:jc w:val="left"/>
      </w:pPr>
      <w:r>
        <w:rPr/>
        <w:t>□适用</w:t>
      </w:r>
      <w:r>
        <w:rPr>
          <w:spacing w:val="-1"/>
        </w:rPr>
        <w:t> </w:t>
      </w:r>
      <w:r>
        <w:rPr/>
        <w:t>√不适用</w:t>
      </w:r>
    </w:p>
    <w:p>
      <w:pPr>
        <w:spacing w:after="0" w:line="278" w:lineRule="exact"/>
        <w:jc w:val="left"/>
        <w:sectPr>
          <w:pgSz w:w="11910" w:h="16840"/>
          <w:pgMar w:header="0" w:footer="1193" w:top="780" w:bottom="1380" w:left="1660" w:right="1140"/>
        </w:sectPr>
      </w:pPr>
    </w:p>
    <w:p>
      <w:pPr>
        <w:spacing w:before="25"/>
        <w:ind w:left="3873" w:right="394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BodyText"/>
        <w:spacing w:line="240" w:lineRule="auto" w:before="26"/>
        <w:ind w:left="218" w:right="216"/>
        <w:jc w:val="left"/>
      </w:pPr>
      <w:r>
        <w:rPr/>
        <w:t>其他说明</w:t>
      </w:r>
    </w:p>
    <w:p>
      <w:pPr>
        <w:pStyle w:val="BodyText"/>
        <w:tabs>
          <w:tab w:pos="1177" w:val="left" w:leader="none"/>
        </w:tabs>
        <w:spacing w:line="240" w:lineRule="auto" w:before="46"/>
        <w:ind w:left="218" w:right="216"/>
        <w:jc w:val="left"/>
      </w:pPr>
      <w:r>
        <w:rPr>
          <w:spacing w:val="-1"/>
        </w:rPr>
        <w:t>□适用</w:t>
        <w:tab/>
      </w:r>
      <w:r>
        <w:rPr/>
        <w:t>√不适用</w:t>
      </w:r>
    </w:p>
    <w:p>
      <w:pPr>
        <w:spacing w:line="240" w:lineRule="auto" w:before="0"/>
        <w:rPr>
          <w:rFonts w:ascii="宋体" w:hAnsi="宋体" w:cs="宋体" w:eastAsia="宋体" w:hint="default"/>
          <w:sz w:val="31"/>
          <w:szCs w:val="31"/>
        </w:rPr>
      </w:pPr>
    </w:p>
    <w:p>
      <w:pPr>
        <w:pStyle w:val="BodyText"/>
        <w:spacing w:line="240" w:lineRule="auto"/>
        <w:ind w:left="218" w:right="216"/>
        <w:jc w:val="left"/>
      </w:pPr>
      <w:r>
        <w:rPr/>
        <w:t>员工持股计划情况</w:t>
      </w:r>
    </w:p>
    <w:p>
      <w:pPr>
        <w:pStyle w:val="BodyText"/>
        <w:tabs>
          <w:tab w:pos="1177" w:val="left" w:leader="none"/>
        </w:tabs>
        <w:spacing w:line="240" w:lineRule="auto" w:before="46"/>
        <w:ind w:left="218" w:right="216"/>
        <w:jc w:val="left"/>
      </w:pPr>
      <w:r>
        <w:rPr>
          <w:spacing w:val="-1"/>
        </w:rPr>
        <w:t>□适用</w:t>
        <w:tab/>
      </w:r>
      <w:r>
        <w:rPr/>
        <w:t>√不适用</w:t>
      </w:r>
    </w:p>
    <w:p>
      <w:pPr>
        <w:spacing w:line="240" w:lineRule="auto" w:before="0"/>
        <w:rPr>
          <w:rFonts w:ascii="宋体" w:hAnsi="宋体" w:cs="宋体" w:eastAsia="宋体" w:hint="default"/>
          <w:sz w:val="31"/>
          <w:szCs w:val="31"/>
        </w:rPr>
      </w:pPr>
    </w:p>
    <w:p>
      <w:pPr>
        <w:pStyle w:val="BodyText"/>
        <w:spacing w:line="240" w:lineRule="auto"/>
        <w:ind w:left="218" w:right="216"/>
        <w:jc w:val="left"/>
      </w:pPr>
      <w:r>
        <w:rPr/>
        <w:t>其他激励措施</w:t>
      </w:r>
    </w:p>
    <w:p>
      <w:pPr>
        <w:pStyle w:val="BodyText"/>
        <w:spacing w:line="240" w:lineRule="auto" w:before="46"/>
        <w:ind w:left="218" w:right="216"/>
        <w:jc w:val="left"/>
      </w:pPr>
      <w:r>
        <w:rPr/>
        <w:t>□适用</w:t>
      </w:r>
      <w:r>
        <w:rPr>
          <w:spacing w:val="-1"/>
        </w:rPr>
        <w:t> </w:t>
      </w:r>
      <w:r>
        <w:rPr/>
        <w:t>√不适用</w:t>
      </w:r>
    </w:p>
    <w:p>
      <w:pPr>
        <w:spacing w:line="240" w:lineRule="auto" w:before="9"/>
        <w:rPr>
          <w:rFonts w:ascii="宋体" w:hAnsi="宋体" w:cs="宋体" w:eastAsia="宋体" w:hint="default"/>
          <w:sz w:val="35"/>
          <w:szCs w:val="35"/>
        </w:rPr>
      </w:pPr>
    </w:p>
    <w:p>
      <w:pPr>
        <w:pStyle w:val="Heading2"/>
        <w:spacing w:line="240" w:lineRule="auto"/>
        <w:ind w:left="218" w:right="216"/>
        <w:jc w:val="left"/>
        <w:rPr>
          <w:b w:val="0"/>
          <w:bCs w:val="0"/>
        </w:rPr>
      </w:pPr>
      <w:r>
        <w:rPr/>
        <w:t>十四、重大关联交易</w:t>
      </w:r>
      <w:r>
        <w:rPr>
          <w:b w:val="0"/>
          <w:bCs w:val="0"/>
        </w:rPr>
      </w:r>
    </w:p>
    <w:p>
      <w:pPr>
        <w:pStyle w:val="Heading2"/>
        <w:tabs>
          <w:tab w:pos="1057" w:val="left" w:leader="none"/>
        </w:tabs>
        <w:spacing w:line="240" w:lineRule="auto" w:before="106"/>
        <w:ind w:left="218" w:right="216"/>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与日常经营相关的关联交易</w:t>
      </w:r>
      <w:r>
        <w:rPr>
          <w:b w:val="0"/>
          <w:bCs w:val="0"/>
        </w:rPr>
      </w:r>
    </w:p>
    <w:p>
      <w:pPr>
        <w:pStyle w:val="Heading2"/>
        <w:spacing w:line="240" w:lineRule="auto" w:before="106"/>
        <w:ind w:left="218" w:right="216"/>
        <w:jc w:val="left"/>
        <w:rPr>
          <w:b w:val="0"/>
          <w:bCs w:val="0"/>
        </w:rPr>
      </w:pPr>
      <w:r>
        <w:rPr>
          <w:rFonts w:ascii="宋体" w:hAnsi="宋体" w:cs="宋体" w:eastAsia="宋体" w:hint="default"/>
        </w:rPr>
        <w:t>1</w:t>
      </w:r>
      <w:r>
        <w:rPr/>
        <w:t>、</w:t>
      </w:r>
      <w:r>
        <w:rPr>
          <w:spacing w:val="-67"/>
        </w:rPr>
        <w:t> </w:t>
      </w:r>
      <w:r>
        <w:rPr/>
        <w:t>已在临时公告披露且后续实施无进展或变化的事项</w:t>
      </w:r>
      <w:r>
        <w:rPr>
          <w:b w:val="0"/>
          <w:bCs w:val="0"/>
        </w:rPr>
      </w:r>
    </w:p>
    <w:p>
      <w:pPr>
        <w:pStyle w:val="BodyText"/>
        <w:spacing w:line="240" w:lineRule="auto" w:before="106"/>
        <w:ind w:left="218" w:right="216"/>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spacing w:line="240" w:lineRule="auto"/>
        <w:ind w:left="218" w:right="216"/>
        <w:jc w:val="left"/>
        <w:rPr>
          <w:b w:val="0"/>
          <w:bCs w:val="0"/>
        </w:rPr>
      </w:pPr>
      <w:r>
        <w:rPr>
          <w:rFonts w:ascii="宋体" w:hAnsi="宋体" w:cs="宋体" w:eastAsia="宋体" w:hint="default"/>
        </w:rPr>
        <w:t>2</w:t>
      </w:r>
      <w:r>
        <w:rPr/>
        <w:t>、</w:t>
      </w:r>
      <w:r>
        <w:rPr>
          <w:spacing w:val="-67"/>
        </w:rPr>
        <w:t> </w:t>
      </w:r>
      <w:r>
        <w:rPr/>
        <w:t>已在临时公告披露，但有后续实施的进展或变化的事项</w:t>
      </w:r>
      <w:r>
        <w:rPr>
          <w:b w:val="0"/>
          <w:bCs w:val="0"/>
        </w:rPr>
      </w:r>
    </w:p>
    <w:p>
      <w:pPr>
        <w:pStyle w:val="BodyText"/>
        <w:tabs>
          <w:tab w:pos="1177" w:val="left" w:leader="none"/>
        </w:tabs>
        <w:spacing w:line="276" w:lineRule="auto" w:before="106"/>
        <w:ind w:left="638" w:right="272" w:hanging="420"/>
        <w:jc w:val="left"/>
        <w:rPr>
          <w:rFonts w:ascii="宋体" w:hAnsi="宋体" w:cs="宋体" w:eastAsia="宋体" w:hint="default"/>
        </w:rPr>
      </w:pPr>
      <w:r>
        <w:rPr>
          <w:spacing w:val="-1"/>
        </w:rPr>
        <w:t>√适用</w:t>
        <w:tab/>
      </w:r>
      <w:r>
        <w:rPr/>
        <w:t>□不适用</w:t>
      </w:r>
      <w:r>
        <w:rPr/>
        <w:t> </w:t>
      </w:r>
      <w:r>
        <w:rPr>
          <w:spacing w:val="-2"/>
        </w:rPr>
        <w:t>公司本年度因实际经营需要与清华大学、清华控股有限公司及其他关联方从</w:t>
      </w:r>
      <w:r>
        <w:rPr>
          <w:spacing w:val="-41"/>
        </w:rPr>
        <w:t> </w:t>
      </w:r>
      <w:r>
        <w:rPr>
          <w:rFonts w:ascii="宋体" w:hAnsi="宋体" w:cs="宋体" w:eastAsia="宋体" w:hint="default"/>
        </w:rPr>
        <w:t>2018</w:t>
      </w:r>
    </w:p>
    <w:p>
      <w:pPr>
        <w:pStyle w:val="BodyText"/>
        <w:spacing w:line="240" w:lineRule="auto" w:before="10"/>
        <w:ind w:left="218" w:right="216"/>
        <w:jc w:val="left"/>
      </w:pPr>
      <w:r>
        <w:rPr/>
        <w:t>年</w:t>
      </w:r>
      <w:r>
        <w:rPr>
          <w:spacing w:val="-61"/>
        </w:rPr>
        <w:t> </w:t>
      </w:r>
      <w:r>
        <w:rPr>
          <w:rFonts w:ascii="宋体" w:hAnsi="宋体" w:cs="宋体" w:eastAsia="宋体" w:hint="default"/>
        </w:rPr>
        <w:t>1</w:t>
      </w:r>
      <w:r>
        <w:rPr>
          <w:rFonts w:ascii="宋体" w:hAnsi="宋体" w:cs="宋体" w:eastAsia="宋体" w:hint="default"/>
          <w:spacing w:val="-60"/>
        </w:rPr>
        <w:t> </w:t>
      </w:r>
      <w:r>
        <w:rPr/>
        <w:t>月至</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月发生了以下日常关联交易：</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60"/>
        <w:gridCol w:w="2170"/>
        <w:gridCol w:w="1430"/>
        <w:gridCol w:w="1433"/>
        <w:gridCol w:w="1382"/>
        <w:gridCol w:w="2017"/>
      </w:tblGrid>
      <w:tr>
        <w:trPr>
          <w:trHeight w:val="343" w:hRule="exact"/>
        </w:trPr>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58"/>
              <w:ind w:left="124"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655" w:right="0"/>
              <w:jc w:val="left"/>
              <w:rPr>
                <w:rFonts w:ascii="宋体" w:hAnsi="宋体" w:cs="宋体" w:eastAsia="宋体" w:hint="default"/>
                <w:sz w:val="21"/>
                <w:szCs w:val="21"/>
              </w:rPr>
            </w:pPr>
            <w:r>
              <w:rPr>
                <w:rFonts w:ascii="宋体" w:hAnsi="宋体" w:cs="宋体" w:eastAsia="宋体" w:hint="default"/>
                <w:b/>
                <w:bCs/>
                <w:sz w:val="21"/>
                <w:szCs w:val="21"/>
              </w:rPr>
              <w:t>交易事项</w:t>
            </w:r>
            <w:r>
              <w:rPr>
                <w:rFonts w:ascii="宋体" w:hAnsi="宋体" w:cs="宋体" w:eastAsia="宋体" w:hint="default"/>
                <w:sz w:val="21"/>
                <w:szCs w:val="21"/>
              </w:rPr>
            </w:r>
          </w:p>
        </w:tc>
        <w:tc>
          <w:tcPr>
            <w:tcW w:w="1430" w:type="dxa"/>
            <w:vMerge w:val="restart"/>
            <w:tcBorders>
              <w:top w:val="single" w:sz="4" w:space="0" w:color="000000"/>
              <w:left w:val="single" w:sz="4" w:space="0" w:color="000000"/>
              <w:right w:val="single" w:sz="4" w:space="0" w:color="000000"/>
            </w:tcBorders>
          </w:tcPr>
          <w:p>
            <w:pPr>
              <w:pStyle w:val="TableParagraph"/>
              <w:spacing w:line="240" w:lineRule="auto" w:before="21"/>
              <w:ind w:left="393" w:right="155" w:hanging="238"/>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年实际</w:t>
            </w:r>
            <w:r>
              <w:rPr>
                <w:rFonts w:ascii="宋体" w:hAnsi="宋体" w:cs="宋体" w:eastAsia="宋体" w:hint="default"/>
                <w:b/>
                <w:bCs/>
                <w:w w:val="100"/>
                <w:sz w:val="21"/>
                <w:szCs w:val="21"/>
              </w:rPr>
              <w:t> </w:t>
            </w:r>
            <w:r>
              <w:rPr>
                <w:rFonts w:ascii="宋体" w:hAnsi="宋体" w:cs="宋体" w:eastAsia="宋体" w:hint="default"/>
                <w:b/>
                <w:bCs/>
                <w:sz w:val="21"/>
                <w:szCs w:val="21"/>
              </w:rPr>
              <w:t>发生额</w:t>
            </w:r>
            <w:r>
              <w:rPr>
                <w:rFonts w:ascii="宋体" w:hAnsi="宋体" w:cs="宋体" w:eastAsia="宋体" w:hint="default"/>
                <w:sz w:val="21"/>
                <w:szCs w:val="21"/>
              </w:rPr>
            </w:r>
          </w:p>
        </w:tc>
        <w:tc>
          <w:tcPr>
            <w:tcW w:w="1433" w:type="dxa"/>
            <w:vMerge w:val="restart"/>
            <w:tcBorders>
              <w:top w:val="single" w:sz="4" w:space="0" w:color="000000"/>
              <w:left w:val="single" w:sz="4" w:space="0" w:color="000000"/>
              <w:right w:val="single" w:sz="4" w:space="0" w:color="000000"/>
            </w:tcBorders>
          </w:tcPr>
          <w:p>
            <w:pPr>
              <w:pStyle w:val="TableParagraph"/>
              <w:spacing w:line="240" w:lineRule="auto" w:before="21"/>
              <w:ind w:left="393" w:right="156" w:hanging="238"/>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3"/>
                <w:sz w:val="21"/>
                <w:szCs w:val="21"/>
              </w:rPr>
              <w:t> </w:t>
            </w:r>
            <w:r>
              <w:rPr>
                <w:rFonts w:ascii="宋体" w:hAnsi="宋体" w:cs="宋体" w:eastAsia="宋体" w:hint="default"/>
                <w:b/>
                <w:bCs/>
                <w:sz w:val="21"/>
                <w:szCs w:val="21"/>
              </w:rPr>
              <w:t>年预计</w:t>
            </w:r>
            <w:r>
              <w:rPr>
                <w:rFonts w:ascii="宋体" w:hAnsi="宋体" w:cs="宋体" w:eastAsia="宋体" w:hint="default"/>
                <w:b/>
                <w:bCs/>
                <w:w w:val="100"/>
                <w:sz w:val="21"/>
                <w:szCs w:val="21"/>
              </w:rPr>
              <w:t> </w:t>
            </w:r>
            <w:r>
              <w:rPr>
                <w:rFonts w:ascii="宋体" w:hAnsi="宋体" w:cs="宋体" w:eastAsia="宋体" w:hint="default"/>
                <w:b/>
                <w:bCs/>
                <w:sz w:val="21"/>
                <w:szCs w:val="21"/>
              </w:rPr>
              <w:t>发生额</w:t>
            </w:r>
            <w:r>
              <w:rPr>
                <w:rFonts w:ascii="宋体" w:hAnsi="宋体" w:cs="宋体" w:eastAsia="宋体" w:hint="default"/>
                <w:sz w:val="21"/>
                <w:szCs w:val="21"/>
              </w:rPr>
            </w:r>
          </w:p>
        </w:tc>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158"/>
              <w:ind w:left="263" w:right="0"/>
              <w:jc w:val="left"/>
              <w:rPr>
                <w:rFonts w:ascii="宋体" w:hAnsi="宋体" w:cs="宋体" w:eastAsia="宋体" w:hint="default"/>
                <w:sz w:val="21"/>
                <w:szCs w:val="21"/>
              </w:rPr>
            </w:pPr>
            <w:r>
              <w:rPr>
                <w:rFonts w:ascii="宋体" w:hAnsi="宋体" w:cs="宋体" w:eastAsia="宋体" w:hint="default"/>
                <w:b/>
                <w:bCs/>
                <w:sz w:val="21"/>
                <w:szCs w:val="21"/>
              </w:rPr>
              <w:t>差异金额</w:t>
            </w:r>
            <w:r>
              <w:rPr>
                <w:rFonts w:ascii="宋体" w:hAnsi="宋体" w:cs="宋体" w:eastAsia="宋体" w:hint="default"/>
                <w:sz w:val="21"/>
                <w:szCs w:val="21"/>
              </w:rPr>
            </w:r>
          </w:p>
        </w:tc>
        <w:tc>
          <w:tcPr>
            <w:tcW w:w="2017" w:type="dxa"/>
            <w:vMerge w:val="restart"/>
            <w:tcBorders>
              <w:top w:val="single" w:sz="4" w:space="0" w:color="000000"/>
              <w:left w:val="single" w:sz="4" w:space="0" w:color="000000"/>
              <w:right w:val="single" w:sz="4" w:space="0" w:color="000000"/>
            </w:tcBorders>
          </w:tcPr>
          <w:p>
            <w:pPr>
              <w:pStyle w:val="TableParagraph"/>
              <w:spacing w:line="240" w:lineRule="auto" w:before="158"/>
              <w:ind w:left="132"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3"/>
                <w:sz w:val="21"/>
                <w:szCs w:val="21"/>
              </w:rPr>
              <w:t> </w:t>
            </w:r>
            <w:r>
              <w:rPr>
                <w:rFonts w:ascii="宋体" w:hAnsi="宋体" w:cs="宋体" w:eastAsia="宋体" w:hint="default"/>
                <w:b/>
                <w:bCs/>
                <w:sz w:val="21"/>
                <w:szCs w:val="21"/>
              </w:rPr>
              <w:t>年实际发生额</w:t>
            </w:r>
            <w:r>
              <w:rPr>
                <w:rFonts w:ascii="宋体" w:hAnsi="宋体" w:cs="宋体" w:eastAsia="宋体" w:hint="default"/>
                <w:sz w:val="21"/>
                <w:szCs w:val="21"/>
              </w:rPr>
            </w:r>
          </w:p>
        </w:tc>
      </w:tr>
      <w:tr>
        <w:trPr>
          <w:trHeight w:val="322" w:hRule="exact"/>
        </w:trPr>
        <w:tc>
          <w:tcPr>
            <w:tcW w:w="660" w:type="dxa"/>
            <w:vMerge/>
            <w:tcBorders>
              <w:left w:val="single" w:sz="4" w:space="0" w:color="000000"/>
              <w:bottom w:val="single" w:sz="4" w:space="0" w:color="000000"/>
              <w:right w:val="single" w:sz="4" w:space="0" w:color="000000"/>
            </w:tcBorders>
          </w:tcPr>
          <w:p>
            <w:pP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43"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单位：万元</w:t>
            </w:r>
            <w:r>
              <w:rPr>
                <w:rFonts w:ascii="宋体" w:hAnsi="宋体" w:cs="宋体" w:eastAsia="宋体" w:hint="default"/>
                <w:b/>
                <w:bCs/>
                <w:sz w:val="21"/>
                <w:szCs w:val="21"/>
              </w:rPr>
              <w:t>)</w:t>
            </w:r>
            <w:r>
              <w:rPr>
                <w:rFonts w:ascii="宋体" w:hAnsi="宋体" w:cs="宋体" w:eastAsia="宋体" w:hint="default"/>
                <w:sz w:val="21"/>
                <w:szCs w:val="21"/>
              </w:rPr>
            </w:r>
          </w:p>
        </w:tc>
        <w:tc>
          <w:tcPr>
            <w:tcW w:w="1430" w:type="dxa"/>
            <w:vMerge/>
            <w:tcBorders>
              <w:left w:val="single" w:sz="4" w:space="0" w:color="000000"/>
              <w:bottom w:val="single" w:sz="4" w:space="0" w:color="000000"/>
              <w:right w:val="single" w:sz="4" w:space="0" w:color="000000"/>
            </w:tcBorders>
          </w:tcPr>
          <w:p>
            <w:pPr/>
          </w:p>
        </w:tc>
        <w:tc>
          <w:tcPr>
            <w:tcW w:w="1433" w:type="dxa"/>
            <w:vMerge/>
            <w:tcBorders>
              <w:left w:val="single" w:sz="4" w:space="0" w:color="000000"/>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c>
          <w:tcPr>
            <w:tcW w:w="2017" w:type="dxa"/>
            <w:vMerge/>
            <w:tcBorders>
              <w:left w:val="single" w:sz="4" w:space="0" w:color="000000"/>
              <w:bottom w:val="single" w:sz="4" w:space="0" w:color="000000"/>
              <w:right w:val="single" w:sz="4" w:space="0" w:color="000000"/>
            </w:tcBorders>
          </w:tcPr>
          <w:p>
            <w:pPr/>
          </w:p>
        </w:tc>
      </w:tr>
      <w:tr>
        <w:trPr>
          <w:trHeight w:val="32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1"/>
              <w:jc w:val="right"/>
              <w:rPr>
                <w:rFonts w:ascii="宋体" w:hAnsi="宋体" w:cs="宋体" w:eastAsia="宋体" w:hint="default"/>
                <w:sz w:val="21"/>
                <w:szCs w:val="21"/>
              </w:rPr>
            </w:pPr>
            <w:r>
              <w:rPr>
                <w:rFonts w:ascii="宋体"/>
                <w:w w:val="100"/>
                <w:sz w:val="21"/>
              </w:rPr>
              <w:t>1</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17,668.75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-2,331.25</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14,104.26</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71"/>
              <w:jc w:val="right"/>
              <w:rPr>
                <w:rFonts w:ascii="宋体" w:hAnsi="宋体" w:cs="宋体" w:eastAsia="宋体" w:hint="default"/>
                <w:sz w:val="21"/>
                <w:szCs w:val="21"/>
              </w:rPr>
            </w:pPr>
            <w:r>
              <w:rPr>
                <w:rFonts w:ascii="宋体"/>
                <w:w w:val="100"/>
                <w:sz w:val="21"/>
              </w:rPr>
              <w:t>2</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24,781.68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70,000.00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-45,218.32</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26,885.37</w:t>
            </w:r>
          </w:p>
        </w:tc>
      </w:tr>
      <w:tr>
        <w:trPr>
          <w:trHeight w:val="32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1"/>
              <w:jc w:val="right"/>
              <w:rPr>
                <w:rFonts w:ascii="宋体" w:hAnsi="宋体" w:cs="宋体" w:eastAsia="宋体" w:hint="default"/>
                <w:sz w:val="21"/>
                <w:szCs w:val="21"/>
              </w:rPr>
            </w:pPr>
            <w:r>
              <w:rPr>
                <w:rFonts w:ascii="宋体"/>
                <w:w w:val="100"/>
                <w:sz w:val="21"/>
              </w:rPr>
              <w:t>3</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支付许可授权费</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8,461.86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-1,538.14</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8,831.55</w:t>
            </w:r>
          </w:p>
        </w:tc>
      </w:tr>
      <w:tr>
        <w:trPr>
          <w:trHeight w:val="322"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71"/>
              <w:jc w:val="right"/>
              <w:rPr>
                <w:rFonts w:ascii="宋体" w:hAnsi="宋体" w:cs="宋体" w:eastAsia="宋体" w:hint="default"/>
                <w:sz w:val="21"/>
                <w:szCs w:val="21"/>
              </w:rPr>
            </w:pPr>
            <w:r>
              <w:rPr>
                <w:rFonts w:ascii="宋体"/>
                <w:w w:val="100"/>
                <w:sz w:val="21"/>
              </w:rPr>
              <w:t>4</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联合研发</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2,113.01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15,000.00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8"/>
              <w:jc w:val="right"/>
              <w:rPr>
                <w:rFonts w:ascii="宋体" w:hAnsi="宋体" w:cs="宋体" w:eastAsia="宋体" w:hint="default"/>
                <w:sz w:val="21"/>
                <w:szCs w:val="21"/>
              </w:rPr>
            </w:pPr>
            <w:r>
              <w:rPr>
                <w:rFonts w:ascii="宋体"/>
                <w:spacing w:val="-1"/>
                <w:sz w:val="21"/>
              </w:rPr>
              <w:t>-12,886.99</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4,538.83</w:t>
            </w:r>
          </w:p>
        </w:tc>
      </w:tr>
      <w:tr>
        <w:trPr>
          <w:trHeight w:val="324" w:hRule="exact"/>
        </w:trPr>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1"/>
              <w:jc w:val="right"/>
              <w:rPr>
                <w:rFonts w:ascii="宋体" w:hAnsi="宋体" w:cs="宋体" w:eastAsia="宋体" w:hint="default"/>
                <w:sz w:val="21"/>
                <w:szCs w:val="21"/>
              </w:rPr>
            </w:pPr>
            <w:r>
              <w:rPr>
                <w:rFonts w:ascii="宋体"/>
                <w:w w:val="100"/>
                <w:sz w:val="21"/>
              </w:rPr>
              <w:t>5</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80.00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-1,920.00</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290.89</w:t>
            </w:r>
          </w:p>
        </w:tc>
      </w:tr>
      <w:tr>
        <w:trPr>
          <w:trHeight w:val="324" w:hRule="exact"/>
        </w:trPr>
        <w:tc>
          <w:tcPr>
            <w:tcW w:w="2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b/>
                <w:sz w:val="21"/>
              </w:rPr>
              <w:t>53,105.30</w:t>
            </w:r>
            <w:r>
              <w:rPr>
                <w:rFonts w:ascii="宋体"/>
                <w:sz w:val="21"/>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b/>
                <w:w w:val="95"/>
                <w:sz w:val="21"/>
              </w:rPr>
              <w:t>117,000.00</w:t>
            </w:r>
            <w:r>
              <w:rPr>
                <w:rFonts w:ascii="宋体"/>
                <w:sz w:val="21"/>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b/>
                <w:w w:val="95"/>
                <w:sz w:val="21"/>
              </w:rPr>
              <w:t>-63,894.70</w:t>
            </w:r>
            <w:r>
              <w:rPr>
                <w:rFonts w:ascii="宋体"/>
                <w:sz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b/>
                <w:sz w:val="21"/>
              </w:rPr>
              <w:t>54,650.91</w:t>
            </w:r>
            <w:r>
              <w:rPr>
                <w:rFonts w:ascii="宋体"/>
                <w:sz w:val="21"/>
              </w:rPr>
            </w:r>
          </w:p>
        </w:tc>
      </w:tr>
    </w:tbl>
    <w:p>
      <w:pPr>
        <w:spacing w:line="240" w:lineRule="auto" w:before="3"/>
        <w:rPr>
          <w:rFonts w:ascii="宋体" w:hAnsi="宋体" w:cs="宋体" w:eastAsia="宋体" w:hint="default"/>
          <w:sz w:val="23"/>
          <w:szCs w:val="23"/>
        </w:rPr>
      </w:pPr>
    </w:p>
    <w:p>
      <w:pPr>
        <w:pStyle w:val="Heading2"/>
        <w:spacing w:line="240" w:lineRule="auto" w:before="26"/>
        <w:ind w:left="218" w:right="216"/>
        <w:jc w:val="left"/>
        <w:rPr>
          <w:b w:val="0"/>
          <w:bCs w:val="0"/>
        </w:rPr>
      </w:pPr>
      <w:r>
        <w:rPr>
          <w:rFonts w:ascii="宋体" w:hAnsi="宋体" w:cs="宋体" w:eastAsia="宋体" w:hint="default"/>
        </w:rPr>
        <w:t>3</w:t>
      </w:r>
      <w:r>
        <w:rPr/>
        <w:t>、</w:t>
      </w:r>
      <w:r>
        <w:rPr>
          <w:spacing w:val="-66"/>
        </w:rPr>
        <w:t> </w:t>
      </w:r>
      <w:r>
        <w:rPr/>
        <w:t>临时公告未披露的事项</w:t>
      </w:r>
      <w:r>
        <w:rPr>
          <w:b w:val="0"/>
          <w:bCs w:val="0"/>
        </w:rPr>
      </w:r>
    </w:p>
    <w:p>
      <w:pPr>
        <w:pStyle w:val="BodyText"/>
        <w:spacing w:line="240" w:lineRule="auto" w:before="58"/>
        <w:ind w:left="218" w:right="216"/>
        <w:jc w:val="left"/>
      </w:pPr>
      <w:r>
        <w:rPr/>
        <w:t>□适用</w:t>
      </w:r>
      <w:r>
        <w:rPr>
          <w:spacing w:val="-1"/>
        </w:rPr>
        <w:t> </w:t>
      </w:r>
      <w:r>
        <w:rPr/>
        <w:t>√不适用</w:t>
      </w:r>
    </w:p>
    <w:p>
      <w:pPr>
        <w:spacing w:line="240" w:lineRule="auto" w:before="1"/>
        <w:rPr>
          <w:rFonts w:ascii="宋体" w:hAnsi="宋体" w:cs="宋体" w:eastAsia="宋体" w:hint="default"/>
          <w:sz w:val="28"/>
          <w:szCs w:val="28"/>
        </w:rPr>
      </w:pPr>
    </w:p>
    <w:p>
      <w:pPr>
        <w:pStyle w:val="Heading2"/>
        <w:tabs>
          <w:tab w:pos="1057" w:val="left" w:leader="none"/>
        </w:tabs>
        <w:spacing w:line="240" w:lineRule="auto"/>
        <w:ind w:left="218" w:right="216"/>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资产或股权收购、出售发生的关联交易</w:t>
      </w:r>
      <w:r>
        <w:rPr>
          <w:b w:val="0"/>
          <w:bCs w:val="0"/>
        </w:rPr>
      </w:r>
    </w:p>
    <w:p>
      <w:pPr>
        <w:pStyle w:val="Heading2"/>
        <w:spacing w:line="240" w:lineRule="auto" w:before="58"/>
        <w:ind w:left="218" w:right="216"/>
        <w:jc w:val="left"/>
        <w:rPr>
          <w:b w:val="0"/>
          <w:bCs w:val="0"/>
        </w:rPr>
      </w:pPr>
      <w:r>
        <w:rPr>
          <w:rFonts w:ascii="宋体" w:hAnsi="宋体" w:cs="宋体" w:eastAsia="宋体" w:hint="default"/>
        </w:rPr>
        <w:t>1</w:t>
      </w:r>
      <w:r>
        <w:rPr/>
        <w:t>、</w:t>
      </w:r>
      <w:r>
        <w:rPr>
          <w:spacing w:val="-67"/>
        </w:rPr>
        <w:t> </w:t>
      </w:r>
      <w:r>
        <w:rPr/>
        <w:t>已在临时公告披露且后续实施无进展或变化的事项</w:t>
      </w:r>
      <w:r>
        <w:rPr>
          <w:b w:val="0"/>
          <w:bCs w:val="0"/>
        </w:rPr>
      </w:r>
    </w:p>
    <w:p>
      <w:pPr>
        <w:pStyle w:val="BodyText"/>
        <w:spacing w:line="240" w:lineRule="auto" w:before="58"/>
        <w:ind w:left="218" w:right="216"/>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事项概述</w:t>
            </w:r>
            <w:r>
              <w:rPr>
                <w:rFonts w:ascii="宋体" w:hAnsi="宋体" w:cs="宋体" w:eastAsia="宋体" w:hint="default"/>
                <w:sz w:val="21"/>
                <w:szCs w:val="21"/>
              </w:rPr>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查询索引</w:t>
            </w:r>
            <w:r>
              <w:rPr>
                <w:rFonts w:ascii="宋体" w:hAnsi="宋体" w:cs="宋体" w:eastAsia="宋体" w:hint="default"/>
                <w:sz w:val="21"/>
                <w:szCs w:val="21"/>
              </w:rPr>
            </w:r>
          </w:p>
        </w:tc>
      </w:tr>
      <w:tr>
        <w:trPr>
          <w:trHeight w:val="164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36"/>
                <w:sz w:val="21"/>
                <w:szCs w:val="21"/>
              </w:rPr>
              <w:t> </w:t>
            </w:r>
            <w:r>
              <w:rPr>
                <w:rFonts w:ascii="宋体" w:hAnsi="宋体" w:cs="宋体" w:eastAsia="宋体" w:hint="default"/>
                <w:sz w:val="21"/>
                <w:szCs w:val="21"/>
              </w:rPr>
              <w:t>司</w:t>
            </w:r>
            <w:r>
              <w:rPr>
                <w:rFonts w:ascii="宋体" w:hAnsi="宋体" w:cs="宋体" w:eastAsia="宋体" w:hint="default"/>
                <w:spacing w:val="-36"/>
                <w:sz w:val="21"/>
                <w:szCs w:val="21"/>
              </w:rPr>
              <w:t> </w:t>
            </w:r>
            <w:r>
              <w:rPr>
                <w:rFonts w:ascii="宋体" w:hAnsi="宋体" w:cs="宋体" w:eastAsia="宋体" w:hint="default"/>
                <w:sz w:val="21"/>
                <w:szCs w:val="21"/>
              </w:rPr>
              <w:t>下</w:t>
            </w:r>
            <w:r>
              <w:rPr>
                <w:rFonts w:ascii="宋体" w:hAnsi="宋体" w:cs="宋体" w:eastAsia="宋体" w:hint="default"/>
                <w:spacing w:val="-36"/>
                <w:sz w:val="21"/>
                <w:szCs w:val="21"/>
              </w:rPr>
              <w:t> </w:t>
            </w:r>
            <w:r>
              <w:rPr>
                <w:rFonts w:ascii="宋体" w:hAnsi="宋体" w:cs="宋体" w:eastAsia="宋体" w:hint="default"/>
                <w:sz w:val="21"/>
                <w:szCs w:val="21"/>
              </w:rPr>
              <w:t>属</w:t>
            </w:r>
            <w:r>
              <w:rPr>
                <w:rFonts w:ascii="宋体" w:hAnsi="宋体" w:cs="宋体" w:eastAsia="宋体" w:hint="default"/>
                <w:spacing w:val="-36"/>
                <w:sz w:val="21"/>
                <w:szCs w:val="21"/>
              </w:rPr>
              <w:t> </w:t>
            </w:r>
            <w:r>
              <w:rPr>
                <w:rFonts w:ascii="宋体" w:hAnsi="宋体" w:cs="宋体" w:eastAsia="宋体" w:hint="default"/>
                <w:sz w:val="21"/>
                <w:szCs w:val="21"/>
              </w:rPr>
              <w:t>全</w:t>
            </w:r>
            <w:r>
              <w:rPr>
                <w:rFonts w:ascii="宋体" w:hAnsi="宋体" w:cs="宋体" w:eastAsia="宋体" w:hint="default"/>
                <w:spacing w:val="-36"/>
                <w:sz w:val="21"/>
                <w:szCs w:val="21"/>
              </w:rPr>
              <w:t> </w:t>
            </w:r>
            <w:r>
              <w:rPr>
                <w:rFonts w:ascii="宋体" w:hAnsi="宋体" w:cs="宋体" w:eastAsia="宋体" w:hint="default"/>
                <w:sz w:val="21"/>
                <w:szCs w:val="21"/>
              </w:rPr>
              <w:t>资</w:t>
            </w:r>
            <w:r>
              <w:rPr>
                <w:rFonts w:ascii="宋体" w:hAnsi="宋体" w:cs="宋体" w:eastAsia="宋体" w:hint="default"/>
                <w:spacing w:val="-36"/>
                <w:sz w:val="21"/>
                <w:szCs w:val="21"/>
              </w:rPr>
              <w:t> </w:t>
            </w:r>
            <w:r>
              <w:rPr>
                <w:rFonts w:ascii="宋体" w:hAnsi="宋体" w:cs="宋体" w:eastAsia="宋体" w:hint="default"/>
                <w:sz w:val="21"/>
                <w:szCs w:val="21"/>
              </w:rPr>
              <w:t>公</w:t>
            </w:r>
            <w:r>
              <w:rPr>
                <w:rFonts w:ascii="宋体" w:hAnsi="宋体" w:cs="宋体" w:eastAsia="宋体" w:hint="default"/>
                <w:spacing w:val="-39"/>
                <w:sz w:val="21"/>
                <w:szCs w:val="21"/>
              </w:rPr>
              <w:t> </w:t>
            </w:r>
            <w:r>
              <w:rPr>
                <w:rFonts w:ascii="宋体" w:hAnsi="宋体" w:cs="宋体" w:eastAsia="宋体" w:hint="default"/>
                <w:sz w:val="21"/>
                <w:szCs w:val="21"/>
              </w:rPr>
              <w:t>司</w:t>
            </w:r>
            <w:r>
              <w:rPr>
                <w:rFonts w:ascii="宋体" w:hAnsi="宋体" w:cs="宋体" w:eastAsia="宋体" w:hint="default"/>
                <w:spacing w:val="72"/>
                <w:sz w:val="21"/>
                <w:szCs w:val="21"/>
              </w:rPr>
              <w:t> </w:t>
            </w:r>
            <w:r>
              <w:rPr>
                <w:rFonts w:ascii="宋体" w:hAnsi="宋体" w:cs="宋体" w:eastAsia="宋体" w:hint="default"/>
                <w:sz w:val="21"/>
                <w:szCs w:val="21"/>
              </w:rPr>
              <w:t>THTF</w:t>
            </w:r>
            <w:r>
              <w:rPr>
                <w:rFonts w:ascii="宋体" w:hAnsi="宋体" w:cs="宋体" w:eastAsia="宋体" w:hint="default"/>
                <w:spacing w:val="71"/>
                <w:sz w:val="21"/>
                <w:szCs w:val="21"/>
              </w:rPr>
              <w:t> </w:t>
            </w:r>
            <w:r>
              <w:rPr>
                <w:rFonts w:ascii="宋体" w:hAnsi="宋体" w:cs="宋体" w:eastAsia="宋体" w:hint="default"/>
                <w:sz w:val="21"/>
                <w:szCs w:val="21"/>
              </w:rPr>
              <w:t>Energy-Saving</w:t>
            </w:r>
          </w:p>
          <w:p>
            <w:pPr>
              <w:pStyle w:val="TableParagraph"/>
              <w:spacing w:line="237" w:lineRule="auto" w:before="2"/>
              <w:ind w:left="103" w:right="-8"/>
              <w:jc w:val="left"/>
              <w:rPr>
                <w:rFonts w:ascii="宋体" w:hAnsi="宋体" w:cs="宋体" w:eastAsia="宋体" w:hint="default"/>
                <w:sz w:val="21"/>
                <w:szCs w:val="21"/>
              </w:rPr>
            </w:pPr>
            <w:r>
              <w:rPr>
                <w:rFonts w:ascii="宋体" w:hAnsi="宋体" w:cs="宋体" w:eastAsia="宋体" w:hint="default"/>
                <w:sz w:val="21"/>
                <w:szCs w:val="21"/>
              </w:rPr>
              <w:t>Holdings Limited</w:t>
            </w:r>
            <w:r>
              <w:rPr>
                <w:rFonts w:ascii="宋体" w:hAnsi="宋体" w:cs="宋体" w:eastAsia="宋体" w:hint="default"/>
                <w:spacing w:val="-36"/>
                <w:sz w:val="21"/>
                <w:szCs w:val="21"/>
              </w:rPr>
              <w:t> </w:t>
            </w:r>
            <w:r>
              <w:rPr>
                <w:rFonts w:ascii="宋体" w:hAnsi="宋体" w:cs="宋体" w:eastAsia="宋体" w:hint="default"/>
                <w:sz w:val="21"/>
                <w:szCs w:val="21"/>
              </w:rPr>
              <w:t>出资不超过</w:t>
            </w:r>
            <w:r>
              <w:rPr>
                <w:rFonts w:ascii="宋体" w:hAnsi="宋体" w:cs="宋体" w:eastAsia="宋体" w:hint="default"/>
                <w:spacing w:val="-35"/>
                <w:sz w:val="21"/>
                <w:szCs w:val="21"/>
              </w:rPr>
              <w:t> </w:t>
            </w:r>
            <w:r>
              <w:rPr>
                <w:rFonts w:ascii="宋体" w:hAnsi="宋体" w:cs="宋体" w:eastAsia="宋体" w:hint="default"/>
                <w:sz w:val="21"/>
                <w:szCs w:val="21"/>
              </w:rPr>
              <w:t>2</w:t>
            </w:r>
            <w:r>
              <w:rPr>
                <w:rFonts w:ascii="宋体" w:hAnsi="宋体" w:cs="宋体" w:eastAsia="宋体" w:hint="default"/>
                <w:spacing w:val="-36"/>
                <w:sz w:val="21"/>
                <w:szCs w:val="21"/>
              </w:rPr>
              <w:t> </w:t>
            </w:r>
            <w:r>
              <w:rPr>
                <w:rFonts w:ascii="宋体" w:hAnsi="宋体" w:cs="宋体" w:eastAsia="宋体" w:hint="default"/>
                <w:sz w:val="21"/>
                <w:szCs w:val="21"/>
              </w:rPr>
              <w:t>亿元港币认购</w:t>
            </w:r>
            <w:r>
              <w:rPr>
                <w:rFonts w:ascii="宋体" w:hAnsi="宋体" w:cs="宋体" w:eastAsia="宋体" w:hint="default"/>
                <w:w w:val="100"/>
                <w:sz w:val="21"/>
                <w:szCs w:val="21"/>
              </w:rPr>
              <w:t> </w:t>
            </w:r>
            <w:r>
              <w:rPr>
                <w:rFonts w:ascii="宋体" w:hAnsi="宋体" w:cs="宋体" w:eastAsia="宋体" w:hint="default"/>
                <w:spacing w:val="-10"/>
                <w:w w:val="100"/>
                <w:sz w:val="21"/>
                <w:szCs w:val="21"/>
              </w:rPr>
              <w:t>同方康泰产业集团有限公司（股票代码：</w:t>
            </w:r>
            <w:r>
              <w:rPr>
                <w:rFonts w:ascii="宋体" w:hAnsi="宋体" w:cs="宋体" w:eastAsia="宋体" w:hint="default"/>
                <w:spacing w:val="-10"/>
                <w:w w:val="100"/>
                <w:sz w:val="21"/>
                <w:szCs w:val="21"/>
              </w:rPr>
              <w:t>HK1312</w:t>
            </w:r>
            <w:r>
              <w:rPr>
                <w:rFonts w:ascii="宋体" w:hAnsi="宋体" w:cs="宋体" w:eastAsia="宋体" w:hint="default"/>
                <w:spacing w:val="-10"/>
                <w:w w:val="100"/>
                <w:sz w:val="21"/>
                <w:szCs w:val="21"/>
              </w:rPr>
              <w:t>，</w:t>
            </w:r>
            <w:r>
              <w:rPr>
                <w:rFonts w:ascii="宋体" w:hAnsi="宋体" w:cs="宋体" w:eastAsia="宋体" w:hint="default"/>
                <w:spacing w:val="-92"/>
                <w:w w:val="100"/>
                <w:sz w:val="21"/>
                <w:szCs w:val="21"/>
              </w:rPr>
              <w:t> </w:t>
            </w:r>
            <w:r>
              <w:rPr>
                <w:rFonts w:ascii="宋体" w:hAnsi="宋体" w:cs="宋体" w:eastAsia="宋体" w:hint="default"/>
                <w:spacing w:val="-7"/>
                <w:sz w:val="21"/>
                <w:szCs w:val="21"/>
              </w:rPr>
              <w:t>股票简称“同方康泰”）发行的股票，发行价格</w:t>
            </w:r>
          </w:p>
          <w:p>
            <w:pPr>
              <w:pStyle w:val="TableParagraph"/>
              <w:spacing w:line="274" w:lineRule="exact" w:before="22"/>
              <w:ind w:left="103" w:right="92"/>
              <w:jc w:val="left"/>
              <w:rPr>
                <w:rFonts w:ascii="宋体" w:hAnsi="宋体" w:cs="宋体" w:eastAsia="宋体" w:hint="default"/>
                <w:sz w:val="21"/>
                <w:szCs w:val="21"/>
              </w:rPr>
            </w:pPr>
            <w:r>
              <w:rPr>
                <w:rFonts w:ascii="宋体" w:hAnsi="宋体" w:cs="宋体" w:eastAsia="宋体" w:hint="default"/>
                <w:spacing w:val="2"/>
                <w:sz w:val="21"/>
                <w:szCs w:val="21"/>
              </w:rPr>
              <w:t>以公司及同方康泰董事会批准本次交易之日同</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方康泰股票收盘价</w:t>
            </w:r>
            <w:r>
              <w:rPr>
                <w:rFonts w:ascii="宋体" w:hAnsi="宋体" w:cs="宋体" w:eastAsia="宋体" w:hint="default"/>
                <w:spacing w:val="-56"/>
                <w:sz w:val="21"/>
                <w:szCs w:val="21"/>
              </w:rPr>
              <w:t> </w:t>
            </w:r>
            <w:r>
              <w:rPr>
                <w:rFonts w:ascii="宋体" w:hAnsi="宋体" w:cs="宋体" w:eastAsia="宋体" w:hint="default"/>
                <w:sz w:val="21"/>
                <w:szCs w:val="21"/>
              </w:rPr>
              <w:t>0.5</w:t>
            </w:r>
            <w:r>
              <w:rPr>
                <w:rFonts w:ascii="宋体" w:hAnsi="宋体" w:cs="宋体" w:eastAsia="宋体" w:hint="default"/>
                <w:spacing w:val="-55"/>
                <w:sz w:val="21"/>
                <w:szCs w:val="21"/>
              </w:rPr>
              <w:t> </w:t>
            </w:r>
            <w:r>
              <w:rPr>
                <w:rFonts w:ascii="宋体" w:hAnsi="宋体" w:cs="宋体" w:eastAsia="宋体" w:hint="default"/>
                <w:sz w:val="21"/>
                <w:szCs w:val="21"/>
              </w:rPr>
              <w:t>港元</w:t>
            </w:r>
            <w:r>
              <w:rPr>
                <w:rFonts w:ascii="宋体" w:hAnsi="宋体" w:cs="宋体" w:eastAsia="宋体" w:hint="default"/>
                <w:sz w:val="21"/>
                <w:szCs w:val="21"/>
              </w:rPr>
              <w:t>/</w:t>
            </w:r>
            <w:r>
              <w:rPr>
                <w:rFonts w:ascii="宋体" w:hAnsi="宋体" w:cs="宋体" w:eastAsia="宋体" w:hint="default"/>
                <w:sz w:val="21"/>
                <w:szCs w:val="21"/>
              </w:rPr>
              <w:t>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于</w:t>
            </w:r>
            <w:r>
              <w:rPr>
                <w:rFonts w:ascii="宋体" w:hAnsi="宋体" w:cs="宋体" w:eastAsia="宋体" w:hint="default"/>
                <w:spacing w:val="-52"/>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8</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宋体" w:hAnsi="宋体" w:cs="宋体" w:eastAsia="宋体" w:hint="default"/>
                <w:w w:val="100"/>
                <w:sz w:val="21"/>
                <w:szCs w:val="21"/>
              </w:rPr>
              <w:t>24</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刊登</w:t>
            </w:r>
            <w:r>
              <w:rPr>
                <w:rFonts w:ascii="宋体" w:hAnsi="宋体" w:cs="宋体" w:eastAsia="宋体" w:hint="default"/>
                <w:spacing w:val="-3"/>
                <w:w w:val="100"/>
                <w:sz w:val="21"/>
                <w:szCs w:val="21"/>
              </w:rPr>
              <w:t>在</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券报</w:t>
            </w:r>
            <w:r>
              <w:rPr>
                <w:rFonts w:ascii="宋体" w:hAnsi="宋体" w:cs="宋体" w:eastAsia="宋体" w:hint="default"/>
                <w:spacing w:val="-101"/>
                <w:w w:val="100"/>
                <w:sz w:val="21"/>
                <w:szCs w:val="21"/>
              </w:rPr>
              <w:t>、</w:t>
            </w:r>
            <w:r>
              <w:rPr>
                <w:rFonts w:ascii="宋体" w:hAnsi="宋体" w:cs="宋体" w:eastAsia="宋体" w:hint="default"/>
                <w:w w:val="100"/>
                <w:sz w:val="21"/>
                <w:szCs w:val="21"/>
              </w:rPr>
              <w:t>上</w:t>
            </w:r>
          </w:p>
          <w:p>
            <w:pPr>
              <w:pStyle w:val="TableParagraph"/>
              <w:spacing w:line="237" w:lineRule="auto" w:before="2"/>
              <w:ind w:left="103" w:right="92"/>
              <w:jc w:val="both"/>
              <w:rPr>
                <w:rFonts w:ascii="宋体" w:hAnsi="宋体" w:cs="宋体" w:eastAsia="宋体" w:hint="default"/>
                <w:sz w:val="21"/>
                <w:szCs w:val="21"/>
              </w:rPr>
            </w:pPr>
            <w:r>
              <w:rPr>
                <w:rFonts w:ascii="宋体" w:hAnsi="宋体" w:cs="宋体" w:eastAsia="宋体" w:hint="default"/>
                <w:spacing w:val="14"/>
                <w:sz w:val="21"/>
                <w:szCs w:val="21"/>
              </w:rPr>
              <w:t>海证券报、证券时报和上海证券交易所网站</w:t>
            </w:r>
            <w:r>
              <w:rPr>
                <w:rFonts w:ascii="宋体" w:hAnsi="宋体" w:cs="宋体" w:eastAsia="宋体" w:hint="default"/>
                <w:spacing w:val="-62"/>
                <w:sz w:val="21"/>
                <w:szCs w:val="21"/>
              </w:rPr>
              <w:t> </w:t>
            </w:r>
            <w:r>
              <w:rPr>
                <w:rFonts w:ascii="宋体" w:hAnsi="宋体" w:cs="宋体" w:eastAsia="宋体" w:hint="default"/>
                <w:spacing w:val="-62"/>
                <w:sz w:val="21"/>
                <w:szCs w:val="21"/>
              </w:rPr>
            </w:r>
            <w:hyperlink r:id="rId9">
              <w:r>
                <w:rPr>
                  <w:rFonts w:ascii="宋体" w:hAnsi="宋体" w:cs="宋体" w:eastAsia="宋体" w:hint="default"/>
                  <w:sz w:val="21"/>
                  <w:szCs w:val="21"/>
                </w:rPr>
                <w:t>www.sse.com.cn</w:t>
              </w:r>
            </w:hyperlink>
            <w:r>
              <w:rPr>
                <w:rFonts w:ascii="宋体" w:hAnsi="宋体" w:cs="宋体" w:eastAsia="宋体" w:hint="default"/>
                <w:spacing w:val="2"/>
                <w:sz w:val="21"/>
                <w:szCs w:val="21"/>
              </w:rPr>
              <w:t> </w:t>
            </w:r>
            <w:r>
              <w:rPr>
                <w:rFonts w:ascii="宋体" w:hAnsi="宋体" w:cs="宋体" w:eastAsia="宋体" w:hint="default"/>
                <w:sz w:val="21"/>
                <w:szCs w:val="21"/>
              </w:rPr>
              <w:t>上的《关于下属全资公司认购</w:t>
            </w:r>
            <w:r>
              <w:rPr>
                <w:rFonts w:ascii="宋体" w:hAnsi="宋体" w:cs="宋体" w:eastAsia="宋体" w:hint="default"/>
                <w:w w:val="100"/>
                <w:sz w:val="21"/>
                <w:szCs w:val="21"/>
              </w:rPr>
              <w:t> </w:t>
            </w:r>
            <w:r>
              <w:rPr>
                <w:rFonts w:ascii="宋体" w:hAnsi="宋体" w:cs="宋体" w:eastAsia="宋体" w:hint="default"/>
                <w:spacing w:val="2"/>
                <w:sz w:val="21"/>
                <w:szCs w:val="21"/>
              </w:rPr>
              <w:t>同方康泰发行的股票暨关联交易的公告》（临</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2018-005</w:t>
            </w:r>
            <w:r>
              <w:rPr>
                <w:rFonts w:ascii="宋体" w:hAnsi="宋体" w:cs="宋体" w:eastAsia="宋体" w:hint="default"/>
                <w:sz w:val="21"/>
                <w:szCs w:val="21"/>
              </w:rPr>
              <w:t>）。</w:t>
            </w:r>
          </w:p>
        </w:tc>
      </w:tr>
    </w:tbl>
    <w:p>
      <w:pPr>
        <w:spacing w:after="0" w:line="237" w:lineRule="auto"/>
        <w:jc w:val="both"/>
        <w:rPr>
          <w:rFonts w:ascii="宋体" w:hAnsi="宋体" w:cs="宋体" w:eastAsia="宋体" w:hint="default"/>
          <w:sz w:val="21"/>
          <w:szCs w:val="21"/>
        </w:rPr>
        <w:sectPr>
          <w:pgSz w:w="11910" w:h="16840"/>
          <w:pgMar w:header="0" w:footer="1193" w:top="780" w:bottom="1380" w:left="1580" w:right="1000"/>
        </w:sectPr>
      </w:pPr>
    </w:p>
    <w:p>
      <w:pPr>
        <w:spacing w:before="25"/>
        <w:ind w:left="3044" w:right="3056"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Heading2"/>
        <w:spacing w:line="240" w:lineRule="auto" w:before="26"/>
        <w:ind w:right="0"/>
        <w:jc w:val="left"/>
        <w:rPr>
          <w:b w:val="0"/>
          <w:bCs w:val="0"/>
        </w:rPr>
      </w:pPr>
      <w:r>
        <w:rPr>
          <w:rFonts w:ascii="宋体" w:hAnsi="宋体" w:cs="宋体" w:eastAsia="宋体" w:hint="default"/>
        </w:rPr>
        <w:t>2</w:t>
      </w:r>
      <w:r>
        <w:rPr/>
        <w:t>、</w:t>
      </w:r>
      <w:r>
        <w:rPr>
          <w:spacing w:val="-67"/>
        </w:rPr>
        <w:t> </w:t>
      </w:r>
      <w:r>
        <w:rPr/>
        <w:t>已在临时公告披露，但有后续实施的进展或变化的事项</w:t>
      </w:r>
      <w:r>
        <w:rPr>
          <w:b w:val="0"/>
          <w:bCs w:val="0"/>
        </w:rPr>
      </w:r>
    </w:p>
    <w:p>
      <w:pPr>
        <w:pStyle w:val="BodyText"/>
        <w:tabs>
          <w:tab w:pos="1097" w:val="left" w:leader="none"/>
        </w:tabs>
        <w:spacing w:line="240" w:lineRule="auto" w:before="106"/>
        <w:ind w:right="0"/>
        <w:jc w:val="left"/>
      </w:pPr>
      <w:r>
        <w:rPr>
          <w:spacing w:val="-1"/>
        </w:rPr>
        <w:t>□适用</w:t>
        <w:tab/>
      </w:r>
      <w:r>
        <w:rPr/>
        <w:t>√不适用</w:t>
      </w:r>
    </w:p>
    <w:p>
      <w:pPr>
        <w:spacing w:line="240" w:lineRule="auto" w:before="8"/>
        <w:rPr>
          <w:rFonts w:ascii="宋体" w:hAnsi="宋体" w:cs="宋体" w:eastAsia="宋体" w:hint="default"/>
          <w:sz w:val="35"/>
          <w:szCs w:val="35"/>
        </w:rPr>
      </w:pPr>
    </w:p>
    <w:p>
      <w:pPr>
        <w:pStyle w:val="Heading2"/>
        <w:spacing w:line="240" w:lineRule="auto"/>
        <w:ind w:right="0"/>
        <w:jc w:val="left"/>
        <w:rPr>
          <w:b w:val="0"/>
          <w:bCs w:val="0"/>
        </w:rPr>
      </w:pPr>
      <w:r>
        <w:rPr>
          <w:rFonts w:ascii="宋体" w:hAnsi="宋体" w:cs="宋体" w:eastAsia="宋体" w:hint="default"/>
        </w:rPr>
        <w:t>3</w:t>
      </w:r>
      <w:r>
        <w:rPr/>
        <w:t>、</w:t>
      </w:r>
      <w:r>
        <w:rPr>
          <w:spacing w:val="-66"/>
        </w:rPr>
        <w:t> </w:t>
      </w:r>
      <w:r>
        <w:rPr/>
        <w:t>临时公告未披露的事项</w:t>
      </w:r>
      <w:r>
        <w:rPr>
          <w:b w:val="0"/>
          <w:bCs w:val="0"/>
        </w:rPr>
      </w:r>
    </w:p>
    <w:p>
      <w:pPr>
        <w:pStyle w:val="BodyText"/>
        <w:spacing w:line="240" w:lineRule="auto" w:before="106"/>
        <w:ind w:right="0"/>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spacing w:line="240" w:lineRule="auto"/>
        <w:ind w:right="0"/>
        <w:jc w:val="left"/>
        <w:rPr>
          <w:b w:val="0"/>
          <w:bCs w:val="0"/>
        </w:rPr>
      </w:pPr>
      <w:r>
        <w:rPr>
          <w:rFonts w:ascii="宋体" w:hAnsi="宋体" w:cs="宋体" w:eastAsia="宋体" w:hint="default"/>
        </w:rPr>
        <w:t>4</w:t>
      </w:r>
      <w:r>
        <w:rPr/>
        <w:t>、</w:t>
      </w:r>
      <w:r>
        <w:rPr>
          <w:spacing w:val="-68"/>
        </w:rPr>
        <w:t> </w:t>
      </w:r>
      <w:r>
        <w:rPr/>
        <w:t>涉及业绩约定的，应当披露报告期内的业绩实现情况</w:t>
      </w:r>
      <w:r>
        <w:rPr>
          <w:b w:val="0"/>
          <w:bCs w:val="0"/>
        </w:rPr>
      </w:r>
    </w:p>
    <w:p>
      <w:pPr>
        <w:pStyle w:val="BodyText"/>
        <w:tabs>
          <w:tab w:pos="1097" w:val="left" w:leader="none"/>
        </w:tabs>
        <w:spacing w:line="240" w:lineRule="auto" w:before="106"/>
        <w:ind w:right="0"/>
        <w:jc w:val="left"/>
      </w:pPr>
      <w:r>
        <w:rPr>
          <w:spacing w:val="-1"/>
        </w:rPr>
        <w:t>□适用</w:t>
        <w:tab/>
      </w:r>
      <w:r>
        <w:rPr/>
        <w:t>√不适用</w:t>
      </w:r>
    </w:p>
    <w:p>
      <w:pPr>
        <w:spacing w:line="240" w:lineRule="auto" w:before="9"/>
        <w:rPr>
          <w:rFonts w:ascii="宋体" w:hAnsi="宋体" w:cs="宋体" w:eastAsia="宋体" w:hint="default"/>
          <w:sz w:val="35"/>
          <w:szCs w:val="35"/>
        </w:rPr>
      </w:pPr>
    </w:p>
    <w:p>
      <w:pPr>
        <w:pStyle w:val="Heading2"/>
        <w:tabs>
          <w:tab w:pos="977" w:val="left" w:leader="none"/>
        </w:tabs>
        <w:spacing w:line="240" w:lineRule="auto"/>
        <w:ind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共同对外投资的重大关联交易</w:t>
      </w:r>
      <w:r>
        <w:rPr>
          <w:b w:val="0"/>
          <w:bCs w:val="0"/>
        </w:rPr>
      </w:r>
    </w:p>
    <w:p>
      <w:pPr>
        <w:pStyle w:val="Heading2"/>
        <w:spacing w:line="240" w:lineRule="auto" w:before="106"/>
        <w:ind w:right="0"/>
        <w:jc w:val="left"/>
        <w:rPr>
          <w:b w:val="0"/>
          <w:bCs w:val="0"/>
        </w:rPr>
      </w:pPr>
      <w:r>
        <w:rPr>
          <w:rFonts w:ascii="宋体" w:hAnsi="宋体" w:cs="宋体" w:eastAsia="宋体" w:hint="default"/>
        </w:rPr>
        <w:t>1</w:t>
      </w:r>
      <w:r>
        <w:rPr/>
        <w:t>、</w:t>
      </w:r>
      <w:r>
        <w:rPr>
          <w:spacing w:val="-67"/>
        </w:rPr>
        <w:t> </w:t>
      </w:r>
      <w:r>
        <w:rPr/>
        <w:t>已在临时公告披露且后续实施无进展或变化的事项</w:t>
      </w:r>
      <w:r>
        <w:rPr>
          <w:b w:val="0"/>
          <w:bCs w:val="0"/>
        </w:rPr>
      </w:r>
    </w:p>
    <w:p>
      <w:pPr>
        <w:pStyle w:val="BodyText"/>
        <w:spacing w:line="240" w:lineRule="auto" w:before="106"/>
        <w:ind w:right="0"/>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532"/>
        <w:gridCol w:w="4292"/>
      </w:tblGrid>
      <w:tr>
        <w:trPr>
          <w:trHeight w:val="283"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事项概述</w:t>
            </w:r>
            <w:r>
              <w:rPr>
                <w:rFonts w:ascii="宋体" w:hAnsi="宋体" w:cs="宋体" w:eastAsia="宋体" w:hint="default"/>
                <w:sz w:val="21"/>
                <w:szCs w:val="21"/>
              </w:rPr>
            </w:r>
          </w:p>
        </w:tc>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b/>
                <w:bCs/>
                <w:sz w:val="21"/>
                <w:szCs w:val="21"/>
              </w:rPr>
              <w:t>查询索引</w:t>
            </w:r>
            <w:r>
              <w:rPr>
                <w:rFonts w:ascii="宋体" w:hAnsi="宋体" w:cs="宋体" w:eastAsia="宋体" w:hint="default"/>
                <w:sz w:val="21"/>
                <w:szCs w:val="21"/>
              </w:rPr>
            </w:r>
          </w:p>
        </w:tc>
      </w:tr>
      <w:tr>
        <w:trPr>
          <w:trHeight w:val="3008" w:hRule="exact"/>
        </w:trPr>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公司下属全资子公司同方金融控股（深圳）有限</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6"/>
                <w:sz w:val="21"/>
                <w:szCs w:val="21"/>
              </w:rPr>
              <w:t>公司（以下简称“同方金控”）与深圳市前海弘</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6"/>
                <w:w w:val="100"/>
                <w:sz w:val="21"/>
                <w:szCs w:val="21"/>
              </w:rPr>
              <w:t>泰基金管理有限公司、苏州高新创业投资集团中</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6"/>
                <w:w w:val="100"/>
                <w:sz w:val="21"/>
                <w:szCs w:val="21"/>
              </w:rPr>
              <w:t>小企业天使投资有限公司、苏州市创客天使投资</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6"/>
                <w:sz w:val="21"/>
                <w:szCs w:val="21"/>
              </w:rPr>
              <w:t>管理有限公司、中持（北京）环保发展有限公司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6"/>
                <w:w w:val="100"/>
                <w:sz w:val="21"/>
                <w:szCs w:val="21"/>
              </w:rPr>
              <w:t>共同出资设立苏州清弘环创投资合伙企业（有限</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16"/>
                <w:w w:val="100"/>
                <w:sz w:val="21"/>
                <w:szCs w:val="21"/>
              </w:rPr>
              <w:t>合伙）（暂定名，以工商注册为准，以下简称“环</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6"/>
                <w:sz w:val="21"/>
                <w:szCs w:val="21"/>
              </w:rPr>
              <w:t>创基金”、“有限合伙企业”）。环创基金总出</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资额</w:t>
            </w:r>
            <w:r>
              <w:rPr>
                <w:rFonts w:ascii="宋体" w:hAnsi="宋体" w:cs="宋体" w:eastAsia="宋体" w:hint="default"/>
                <w:spacing w:val="-50"/>
                <w:sz w:val="21"/>
                <w:szCs w:val="21"/>
              </w:rPr>
              <w:t> </w:t>
            </w:r>
            <w:r>
              <w:rPr>
                <w:rFonts w:ascii="宋体" w:hAnsi="宋体" w:cs="宋体" w:eastAsia="宋体" w:hint="default"/>
                <w:sz w:val="21"/>
                <w:szCs w:val="21"/>
              </w:rPr>
              <w:t>10,011</w:t>
            </w:r>
            <w:r>
              <w:rPr>
                <w:rFonts w:ascii="宋体" w:hAnsi="宋体" w:cs="宋体" w:eastAsia="宋体" w:hint="default"/>
                <w:spacing w:val="-50"/>
                <w:sz w:val="21"/>
                <w:szCs w:val="21"/>
              </w:rPr>
              <w:t> </w:t>
            </w:r>
            <w:r>
              <w:rPr>
                <w:rFonts w:ascii="宋体" w:hAnsi="宋体" w:cs="宋体" w:eastAsia="宋体" w:hint="default"/>
                <w:sz w:val="21"/>
                <w:szCs w:val="21"/>
              </w:rPr>
              <w:t>万元，其中，同方金控作为有限合</w:t>
            </w:r>
          </w:p>
          <w:p>
            <w:pPr>
              <w:pStyle w:val="TableParagraph"/>
              <w:spacing w:line="272" w:lineRule="exact" w:before="26"/>
              <w:ind w:left="103" w:right="99"/>
              <w:jc w:val="both"/>
              <w:rPr>
                <w:rFonts w:ascii="宋体" w:hAnsi="宋体" w:cs="宋体" w:eastAsia="宋体" w:hint="default"/>
                <w:sz w:val="21"/>
                <w:szCs w:val="21"/>
              </w:rPr>
            </w:pPr>
            <w:r>
              <w:rPr>
                <w:rFonts w:ascii="宋体" w:hAnsi="宋体" w:cs="宋体" w:eastAsia="宋体" w:hint="default"/>
                <w:spacing w:val="-1"/>
                <w:w w:val="100"/>
                <w:sz w:val="21"/>
                <w:szCs w:val="21"/>
              </w:rPr>
              <w:t>伙人出资</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3,400</w:t>
            </w:r>
            <w:r>
              <w:rPr>
                <w:rFonts w:ascii="宋体" w:hAnsi="宋体" w:cs="宋体" w:eastAsia="宋体" w:hint="default"/>
                <w:spacing w:val="-50"/>
                <w:w w:val="100"/>
                <w:sz w:val="21"/>
                <w:szCs w:val="21"/>
              </w:rPr>
              <w:t> </w:t>
            </w:r>
            <w:r>
              <w:rPr>
                <w:rFonts w:ascii="宋体" w:hAnsi="宋体" w:cs="宋体" w:eastAsia="宋体" w:hint="default"/>
                <w:spacing w:val="-9"/>
                <w:w w:val="100"/>
                <w:sz w:val="21"/>
                <w:szCs w:val="21"/>
              </w:rPr>
              <w:t>万元，占有限合伙企业总认缴出</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资额的比例约</w:t>
            </w:r>
            <w:r>
              <w:rPr>
                <w:rFonts w:ascii="宋体" w:hAnsi="宋体" w:cs="宋体" w:eastAsia="宋体" w:hint="default"/>
                <w:spacing w:val="-53"/>
                <w:sz w:val="21"/>
                <w:szCs w:val="21"/>
              </w:rPr>
              <w:t> </w:t>
            </w:r>
            <w:r>
              <w:rPr>
                <w:rFonts w:ascii="宋体" w:hAnsi="宋体" w:cs="宋体" w:eastAsia="宋体" w:hint="default"/>
                <w:sz w:val="21"/>
                <w:szCs w:val="21"/>
              </w:rPr>
              <w:t>33.96%</w:t>
            </w:r>
            <w:r>
              <w:rPr>
                <w:rFonts w:ascii="宋体" w:hAnsi="宋体" w:cs="宋体" w:eastAsia="宋体" w:hint="default"/>
                <w:sz w:val="21"/>
                <w:szCs w:val="21"/>
              </w:rPr>
              <w:t>。</w:t>
            </w:r>
          </w:p>
        </w:tc>
        <w:tc>
          <w:tcPr>
            <w:tcW w:w="4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日刊登在中国证券报、</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2"/>
                <w:sz w:val="21"/>
                <w:szCs w:val="21"/>
              </w:rPr>
              <w:t>上海证券报、证券时报和上海证券交易所网</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站</w:t>
            </w:r>
            <w:r>
              <w:rPr>
                <w:rFonts w:ascii="宋体" w:hAnsi="宋体" w:cs="宋体" w:eastAsia="宋体" w:hint="default"/>
                <w:spacing w:val="-43"/>
                <w:sz w:val="21"/>
                <w:szCs w:val="21"/>
              </w:rPr>
              <w:t> </w:t>
            </w:r>
            <w:hyperlink r:id="rId9">
              <w:r>
                <w:rPr>
                  <w:rFonts w:ascii="宋体" w:hAnsi="宋体" w:cs="宋体" w:eastAsia="宋体" w:hint="default"/>
                  <w:sz w:val="21"/>
                  <w:szCs w:val="21"/>
                </w:rPr>
                <w:t>www.sse.com.cn</w:t>
              </w:r>
            </w:hyperlink>
            <w:r>
              <w:rPr>
                <w:rFonts w:ascii="宋体" w:hAnsi="宋体" w:cs="宋体" w:eastAsia="宋体" w:hint="default"/>
                <w:spacing w:val="-46"/>
                <w:sz w:val="21"/>
                <w:szCs w:val="21"/>
              </w:rPr>
              <w:t> </w:t>
            </w:r>
            <w:r>
              <w:rPr>
                <w:rFonts w:ascii="宋体" w:hAnsi="宋体" w:cs="宋体" w:eastAsia="宋体" w:hint="default"/>
                <w:spacing w:val="-4"/>
                <w:sz w:val="21"/>
                <w:szCs w:val="21"/>
              </w:rPr>
              <w:t>上的《关于全资子公司同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方金控参与设立苏州清弘环创投资基金暨关</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联交易的公告》（临</w:t>
            </w:r>
            <w:r>
              <w:rPr>
                <w:rFonts w:ascii="宋体" w:hAnsi="宋体" w:cs="宋体" w:eastAsia="宋体" w:hint="default"/>
                <w:spacing w:val="-59"/>
                <w:sz w:val="21"/>
                <w:szCs w:val="21"/>
              </w:rPr>
              <w:t> </w:t>
            </w:r>
            <w:r>
              <w:rPr>
                <w:rFonts w:ascii="宋体" w:hAnsi="宋体" w:cs="宋体" w:eastAsia="宋体" w:hint="default"/>
                <w:sz w:val="21"/>
                <w:szCs w:val="21"/>
              </w:rPr>
              <w:t>2018-035</w:t>
            </w:r>
            <w:r>
              <w:rPr>
                <w:rFonts w:ascii="宋体" w:hAnsi="宋体" w:cs="宋体" w:eastAsia="宋体" w:hint="default"/>
                <w:sz w:val="21"/>
                <w:szCs w:val="21"/>
              </w:rPr>
              <w:t>）。</w:t>
            </w:r>
          </w:p>
        </w:tc>
      </w:tr>
    </w:tbl>
    <w:p>
      <w:pPr>
        <w:spacing w:line="240" w:lineRule="auto" w:before="11"/>
        <w:rPr>
          <w:rFonts w:ascii="宋体" w:hAnsi="宋体" w:cs="宋体" w:eastAsia="宋体" w:hint="default"/>
          <w:sz w:val="26"/>
          <w:szCs w:val="26"/>
        </w:rPr>
      </w:pPr>
    </w:p>
    <w:p>
      <w:pPr>
        <w:pStyle w:val="Heading2"/>
        <w:spacing w:line="240" w:lineRule="auto" w:before="26"/>
        <w:ind w:right="0"/>
        <w:jc w:val="left"/>
        <w:rPr>
          <w:b w:val="0"/>
          <w:bCs w:val="0"/>
        </w:rPr>
      </w:pPr>
      <w:r>
        <w:rPr>
          <w:rFonts w:ascii="宋体" w:hAnsi="宋体" w:cs="宋体" w:eastAsia="宋体" w:hint="default"/>
        </w:rPr>
        <w:t>2</w:t>
      </w:r>
      <w:r>
        <w:rPr/>
        <w:t>、</w:t>
      </w:r>
      <w:r>
        <w:rPr>
          <w:spacing w:val="-67"/>
        </w:rPr>
        <w:t> </w:t>
      </w:r>
      <w:r>
        <w:rPr/>
        <w:t>已在临时公告披露，但有后续实施的进展或变化的事项</w:t>
      </w:r>
      <w:r>
        <w:rPr>
          <w:b w:val="0"/>
          <w:bCs w:val="0"/>
        </w:rPr>
      </w:r>
    </w:p>
    <w:p>
      <w:pPr>
        <w:pStyle w:val="BodyText"/>
        <w:tabs>
          <w:tab w:pos="1097" w:val="left" w:leader="none"/>
        </w:tabs>
        <w:spacing w:line="240" w:lineRule="auto" w:before="106"/>
        <w:ind w:right="0"/>
        <w:jc w:val="left"/>
      </w:pPr>
      <w:r>
        <w:rPr>
          <w:spacing w:val="-1"/>
        </w:rPr>
        <w:t>□适用</w:t>
        <w:tab/>
      </w:r>
      <w:r>
        <w:rPr/>
        <w:t>√不适用</w:t>
      </w:r>
    </w:p>
    <w:p>
      <w:pPr>
        <w:spacing w:line="240" w:lineRule="auto" w:before="9"/>
        <w:rPr>
          <w:rFonts w:ascii="宋体" w:hAnsi="宋体" w:cs="宋体" w:eastAsia="宋体" w:hint="default"/>
          <w:sz w:val="35"/>
          <w:szCs w:val="35"/>
        </w:rPr>
      </w:pPr>
    </w:p>
    <w:p>
      <w:pPr>
        <w:pStyle w:val="Heading2"/>
        <w:spacing w:line="240" w:lineRule="auto"/>
        <w:ind w:right="0"/>
        <w:jc w:val="left"/>
        <w:rPr>
          <w:b w:val="0"/>
          <w:bCs w:val="0"/>
        </w:rPr>
      </w:pPr>
      <w:r>
        <w:rPr>
          <w:rFonts w:ascii="宋体" w:hAnsi="宋体" w:cs="宋体" w:eastAsia="宋体" w:hint="default"/>
        </w:rPr>
        <w:t>3</w:t>
      </w:r>
      <w:r>
        <w:rPr/>
        <w:t>、</w:t>
      </w:r>
      <w:r>
        <w:rPr>
          <w:spacing w:val="-66"/>
        </w:rPr>
        <w:t> </w:t>
      </w:r>
      <w:r>
        <w:rPr/>
        <w:t>临时公告未披露的事项</w:t>
      </w:r>
      <w:r>
        <w:rPr>
          <w:b w:val="0"/>
          <w:bCs w:val="0"/>
        </w:rPr>
      </w:r>
    </w:p>
    <w:p>
      <w:pPr>
        <w:pStyle w:val="BodyText"/>
        <w:spacing w:line="240" w:lineRule="auto" w:before="106"/>
        <w:ind w:right="0"/>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tabs>
          <w:tab w:pos="977" w:val="left" w:leader="none"/>
        </w:tabs>
        <w:spacing w:line="240" w:lineRule="auto"/>
        <w:ind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关联债权债务往来</w:t>
      </w:r>
      <w:r>
        <w:rPr>
          <w:b w:val="0"/>
          <w:bCs w:val="0"/>
        </w:rPr>
      </w:r>
    </w:p>
    <w:p>
      <w:pPr>
        <w:pStyle w:val="Heading2"/>
        <w:spacing w:line="240" w:lineRule="auto" w:before="106"/>
        <w:ind w:right="0"/>
        <w:jc w:val="left"/>
        <w:rPr>
          <w:b w:val="0"/>
          <w:bCs w:val="0"/>
        </w:rPr>
      </w:pPr>
      <w:r>
        <w:rPr>
          <w:rFonts w:ascii="宋体" w:hAnsi="宋体" w:cs="宋体" w:eastAsia="宋体" w:hint="default"/>
        </w:rPr>
        <w:t>1</w:t>
      </w:r>
      <w:r>
        <w:rPr/>
        <w:t>、</w:t>
      </w:r>
      <w:r>
        <w:rPr>
          <w:spacing w:val="-67"/>
        </w:rPr>
        <w:t> </w:t>
      </w:r>
      <w:r>
        <w:rPr/>
        <w:t>已在临时公告披露且后续实施无进展或变化的事项</w:t>
      </w:r>
      <w:r>
        <w:rPr>
          <w:b w:val="0"/>
          <w:bCs w:val="0"/>
        </w:rPr>
      </w:r>
    </w:p>
    <w:p>
      <w:pPr>
        <w:pStyle w:val="BodyText"/>
        <w:spacing w:line="240" w:lineRule="auto" w:before="106"/>
        <w:ind w:right="0"/>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spacing w:line="240" w:lineRule="auto"/>
        <w:ind w:right="0"/>
        <w:jc w:val="left"/>
        <w:rPr>
          <w:b w:val="0"/>
          <w:bCs w:val="0"/>
        </w:rPr>
      </w:pPr>
      <w:r>
        <w:rPr>
          <w:rFonts w:ascii="宋体" w:hAnsi="宋体" w:cs="宋体" w:eastAsia="宋体" w:hint="default"/>
        </w:rPr>
        <w:t>2</w:t>
      </w:r>
      <w:r>
        <w:rPr/>
        <w:t>、</w:t>
      </w:r>
      <w:r>
        <w:rPr>
          <w:spacing w:val="-67"/>
        </w:rPr>
        <w:t> </w:t>
      </w:r>
      <w:r>
        <w:rPr/>
        <w:t>已在临时公告披露，但有后续实施的进展或变化的事项</w:t>
      </w:r>
      <w:r>
        <w:rPr>
          <w:b w:val="0"/>
          <w:bCs w:val="0"/>
        </w:rPr>
      </w:r>
    </w:p>
    <w:p>
      <w:pPr>
        <w:pStyle w:val="BodyText"/>
        <w:tabs>
          <w:tab w:pos="1097" w:val="left" w:leader="none"/>
        </w:tabs>
        <w:spacing w:line="240" w:lineRule="auto" w:before="106"/>
        <w:ind w:right="0"/>
        <w:jc w:val="left"/>
      </w:pPr>
      <w:r>
        <w:rPr>
          <w:spacing w:val="-1"/>
        </w:rPr>
        <w:t>□适用</w:t>
        <w:tab/>
      </w:r>
      <w:r>
        <w:rPr/>
        <w:t>√不适用</w:t>
      </w:r>
    </w:p>
    <w:p>
      <w:pPr>
        <w:spacing w:after="0" w:line="240" w:lineRule="auto"/>
        <w:jc w:val="left"/>
        <w:sectPr>
          <w:pgSz w:w="11910" w:h="16840"/>
          <w:pgMar w:header="0" w:footer="1193" w:top="780" w:bottom="1380" w:left="1660" w:right="1140"/>
        </w:sectPr>
      </w:pPr>
    </w:p>
    <w:p>
      <w:pPr>
        <w:spacing w:before="25"/>
        <w:ind w:left="1379" w:right="1411"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94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Heading2"/>
        <w:spacing w:line="240" w:lineRule="auto" w:before="26"/>
        <w:ind w:left="978" w:right="6577"/>
        <w:jc w:val="left"/>
        <w:rPr>
          <w:b w:val="0"/>
          <w:bCs w:val="0"/>
        </w:rPr>
      </w:pPr>
      <w:r>
        <w:rPr>
          <w:rFonts w:ascii="宋体" w:hAnsi="宋体" w:cs="宋体" w:eastAsia="宋体" w:hint="default"/>
        </w:rPr>
        <w:t>3</w:t>
      </w:r>
      <w:r>
        <w:rPr/>
        <w:t>、</w:t>
      </w:r>
      <w:r>
        <w:rPr>
          <w:spacing w:val="-66"/>
        </w:rPr>
        <w:t> </w:t>
      </w:r>
      <w:r>
        <w:rPr/>
        <w:t>临时公告未披露的事项</w:t>
      </w:r>
      <w:r>
        <w:rPr>
          <w:b w:val="0"/>
          <w:bCs w:val="0"/>
        </w:rPr>
      </w:r>
    </w:p>
    <w:p>
      <w:pPr>
        <w:pStyle w:val="BodyText"/>
        <w:spacing w:line="240" w:lineRule="auto" w:before="106"/>
        <w:ind w:left="978" w:right="6577"/>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tabs>
          <w:tab w:pos="1817" w:val="left" w:leader="none"/>
        </w:tabs>
        <w:spacing w:line="240" w:lineRule="auto"/>
        <w:ind w:left="978" w:right="6577"/>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其他</w:t>
      </w:r>
      <w:r>
        <w:rPr>
          <w:b w:val="0"/>
          <w:bCs w:val="0"/>
        </w:rPr>
      </w:r>
    </w:p>
    <w:p>
      <w:pPr>
        <w:pStyle w:val="BodyText"/>
        <w:tabs>
          <w:tab w:pos="1937" w:val="left" w:leader="none"/>
        </w:tabs>
        <w:spacing w:line="240" w:lineRule="auto" w:before="106"/>
        <w:ind w:left="978" w:right="6577"/>
        <w:jc w:val="left"/>
      </w:pPr>
      <w:r>
        <w:rPr>
          <w:spacing w:val="-1"/>
        </w:rPr>
        <w:t>√适用</w:t>
        <w:tab/>
      </w:r>
      <w:r>
        <w:rPr/>
        <w:t>□不适用</w:t>
      </w:r>
    </w:p>
    <w:p>
      <w:pPr>
        <w:pStyle w:val="BodyText"/>
        <w:spacing w:line="240" w:lineRule="auto" w:before="46"/>
        <w:ind w:left="1379" w:right="7287"/>
        <w:jc w:val="center"/>
      </w:pPr>
      <w:r>
        <w:rPr>
          <w:rFonts w:ascii="宋体" w:hAnsi="宋体" w:cs="宋体" w:eastAsia="宋体" w:hint="default"/>
        </w:rPr>
        <w:t>1</w:t>
      </w:r>
      <w:r>
        <w:rPr/>
        <w:t>、</w:t>
      </w:r>
      <w:r>
        <w:rPr>
          <w:spacing w:val="-60"/>
        </w:rPr>
        <w:t> </w:t>
      </w:r>
      <w:r>
        <w:rPr/>
        <w:t>放弃优先购买权</w:t>
      </w:r>
    </w:p>
    <w:p>
      <w:pPr>
        <w:pStyle w:val="BodyText"/>
        <w:spacing w:line="276" w:lineRule="auto" w:before="46"/>
        <w:ind w:left="978" w:right="991" w:firstLine="419"/>
        <w:jc w:val="both"/>
      </w:pPr>
      <w:r>
        <w:rPr/>
        <w:t>公告内容详见公司于</w:t>
      </w:r>
      <w:r>
        <w:rPr>
          <w:spacing w:val="-57"/>
        </w:rPr>
        <w:t> </w:t>
      </w:r>
      <w:r>
        <w:rPr>
          <w:rFonts w:ascii="宋体" w:hAnsi="宋体" w:cs="宋体" w:eastAsia="宋体" w:hint="default"/>
        </w:rPr>
        <w:t>2018</w:t>
      </w:r>
      <w:r>
        <w:rPr>
          <w:rFonts w:ascii="宋体" w:hAnsi="宋体" w:cs="宋体" w:eastAsia="宋体" w:hint="default"/>
          <w:spacing w:val="-58"/>
        </w:rPr>
        <w:t> </w:t>
      </w:r>
      <w:r>
        <w:rPr/>
        <w:t>年</w:t>
      </w:r>
      <w:r>
        <w:rPr>
          <w:spacing w:val="-58"/>
        </w:rPr>
        <w:t> </w:t>
      </w:r>
      <w:r>
        <w:rPr>
          <w:rFonts w:ascii="宋体" w:hAnsi="宋体" w:cs="宋体" w:eastAsia="宋体" w:hint="default"/>
        </w:rPr>
        <w:t>7</w:t>
      </w:r>
      <w:r>
        <w:rPr>
          <w:rFonts w:ascii="宋体" w:hAnsi="宋体" w:cs="宋体" w:eastAsia="宋体" w:hint="default"/>
          <w:spacing w:val="-58"/>
        </w:rPr>
        <w:t> </w:t>
      </w:r>
      <w:r>
        <w:rPr/>
        <w:t>月</w:t>
      </w:r>
      <w:r>
        <w:rPr>
          <w:spacing w:val="-58"/>
        </w:rPr>
        <w:t> </w:t>
      </w:r>
      <w:r>
        <w:rPr>
          <w:rFonts w:ascii="宋体" w:hAnsi="宋体" w:cs="宋体" w:eastAsia="宋体" w:hint="default"/>
        </w:rPr>
        <w:t>24</w:t>
      </w:r>
      <w:r>
        <w:rPr>
          <w:rFonts w:ascii="宋体" w:hAnsi="宋体" w:cs="宋体" w:eastAsia="宋体" w:hint="default"/>
          <w:spacing w:val="-58"/>
        </w:rPr>
        <w:t> </w:t>
      </w:r>
      <w:r>
        <w:rPr/>
        <w:t>日刊登在中国证券报、上海证券报、证券时 报和上海证券交易所网站 </w:t>
      </w:r>
      <w:hyperlink r:id="rId9">
        <w:r>
          <w:rPr>
            <w:rFonts w:ascii="宋体" w:hAnsi="宋体" w:cs="宋体" w:eastAsia="宋体" w:hint="default"/>
          </w:rPr>
          <w:t>www.sse.com.cn</w:t>
        </w:r>
      </w:hyperlink>
      <w:r>
        <w:rPr>
          <w:rFonts w:ascii="宋体" w:hAnsi="宋体" w:cs="宋体" w:eastAsia="宋体" w:hint="default"/>
          <w:spacing w:val="-48"/>
        </w:rPr>
        <w:t> </w:t>
      </w:r>
      <w:r>
        <w:rPr/>
        <w:t>上的《关于下属同方金控放弃投资企业同 方莱士优先受让权暨关联交易的公告》（临</w:t>
      </w:r>
      <w:r>
        <w:rPr>
          <w:spacing w:val="-60"/>
        </w:rPr>
        <w:t> </w:t>
      </w:r>
      <w:r>
        <w:rPr>
          <w:rFonts w:ascii="宋体" w:hAnsi="宋体" w:cs="宋体" w:eastAsia="宋体" w:hint="default"/>
        </w:rPr>
        <w:t>2018-043</w:t>
      </w:r>
      <w:r>
        <w:rPr/>
        <w:t>）。</w:t>
      </w:r>
    </w:p>
    <w:p>
      <w:pPr>
        <w:spacing w:line="240" w:lineRule="auto" w:before="12"/>
        <w:rPr>
          <w:rFonts w:ascii="宋体" w:hAnsi="宋体" w:cs="宋体" w:eastAsia="宋体" w:hint="default"/>
          <w:sz w:val="32"/>
          <w:szCs w:val="32"/>
        </w:rPr>
      </w:pPr>
    </w:p>
    <w:p>
      <w:pPr>
        <w:pStyle w:val="Heading2"/>
        <w:tabs>
          <w:tab w:pos="1817" w:val="left" w:leader="none"/>
        </w:tabs>
        <w:spacing w:line="321" w:lineRule="auto"/>
        <w:ind w:left="978" w:right="6577"/>
        <w:jc w:val="left"/>
        <w:rPr>
          <w:b w:val="0"/>
          <w:bCs w:val="0"/>
        </w:rPr>
      </w:pPr>
      <w:r>
        <w:rPr/>
        <w:t>十五、重大合同及其履行情况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托管、承包、租赁事项</w:t>
      </w:r>
      <w:r>
        <w:rPr>
          <w:w w:val="99"/>
        </w:rPr>
        <w:t> </w:t>
      </w:r>
      <w:r>
        <w:rPr>
          <w:rFonts w:ascii="宋体" w:hAnsi="宋体" w:cs="宋体" w:eastAsia="宋体" w:hint="default"/>
        </w:rPr>
        <w:t>1</w:t>
      </w:r>
      <w:r>
        <w:rPr/>
        <w:t>、</w:t>
      </w:r>
      <w:r>
        <w:rPr>
          <w:spacing w:val="-64"/>
        </w:rPr>
        <w:t> </w:t>
      </w:r>
      <w:r>
        <w:rPr/>
        <w:t>托管情况</w:t>
      </w:r>
      <w:r>
        <w:rPr>
          <w:b w:val="0"/>
          <w:bCs w:val="0"/>
        </w:rPr>
      </w:r>
    </w:p>
    <w:p>
      <w:pPr>
        <w:pStyle w:val="BodyText"/>
        <w:spacing w:line="240" w:lineRule="auto" w:before="24"/>
        <w:ind w:left="978" w:right="6577"/>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spacing w:line="240" w:lineRule="auto"/>
        <w:ind w:left="978" w:right="6577"/>
        <w:jc w:val="left"/>
        <w:rPr>
          <w:b w:val="0"/>
          <w:bCs w:val="0"/>
        </w:rPr>
      </w:pPr>
      <w:r>
        <w:rPr>
          <w:rFonts w:ascii="宋体" w:hAnsi="宋体" w:cs="宋体" w:eastAsia="宋体" w:hint="default"/>
        </w:rPr>
        <w:t>2</w:t>
      </w:r>
      <w:r>
        <w:rPr/>
        <w:t>、</w:t>
      </w:r>
      <w:r>
        <w:rPr>
          <w:spacing w:val="-64"/>
        </w:rPr>
        <w:t> </w:t>
      </w:r>
      <w:r>
        <w:rPr/>
        <w:t>承包情况</w:t>
      </w:r>
      <w:r>
        <w:rPr>
          <w:b w:val="0"/>
          <w:bCs w:val="0"/>
        </w:rPr>
      </w:r>
    </w:p>
    <w:p>
      <w:pPr>
        <w:pStyle w:val="BodyText"/>
        <w:spacing w:line="240" w:lineRule="auto" w:before="106"/>
        <w:ind w:left="978" w:right="6577"/>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spacing w:line="240" w:lineRule="auto"/>
        <w:ind w:left="978" w:right="6577"/>
        <w:jc w:val="left"/>
        <w:rPr>
          <w:b w:val="0"/>
          <w:bCs w:val="0"/>
        </w:rPr>
      </w:pPr>
      <w:r>
        <w:rPr>
          <w:rFonts w:ascii="宋体" w:hAnsi="宋体" w:cs="宋体" w:eastAsia="宋体" w:hint="default"/>
        </w:rPr>
        <w:t>3</w:t>
      </w:r>
      <w:r>
        <w:rPr/>
        <w:t>、</w:t>
      </w:r>
      <w:r>
        <w:rPr>
          <w:spacing w:val="-64"/>
        </w:rPr>
        <w:t> </w:t>
      </w:r>
      <w:r>
        <w:rPr/>
        <w:t>租赁情况</w:t>
      </w:r>
      <w:r>
        <w:rPr>
          <w:b w:val="0"/>
          <w:bCs w:val="0"/>
        </w:rPr>
      </w:r>
    </w:p>
    <w:p>
      <w:pPr>
        <w:pStyle w:val="BodyText"/>
        <w:spacing w:line="240" w:lineRule="auto" w:before="106"/>
        <w:ind w:left="978" w:right="657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3" w:top="780" w:bottom="1380" w:left="820" w:right="280"/>
        </w:sectPr>
      </w:pPr>
    </w:p>
    <w:p>
      <w:pPr>
        <w:pStyle w:val="Heading2"/>
        <w:tabs>
          <w:tab w:pos="1817" w:val="left" w:leader="none"/>
        </w:tabs>
        <w:spacing w:line="240" w:lineRule="auto" w:before="204"/>
        <w:ind w:left="978" w:right="-19"/>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担保情况</w:t>
      </w:r>
      <w:r>
        <w:rPr>
          <w:b w:val="0"/>
          <w:bCs w:val="0"/>
        </w:rPr>
      </w:r>
    </w:p>
    <w:p>
      <w:pPr>
        <w:pStyle w:val="BodyText"/>
        <w:spacing w:line="240" w:lineRule="auto" w:before="106"/>
        <w:ind w:left="978" w:right="-15"/>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tabs>
          <w:tab w:pos="2418" w:val="left" w:leader="none"/>
        </w:tabs>
        <w:spacing w:line="240" w:lineRule="auto"/>
        <w:ind w:left="978" w:right="0"/>
        <w:jc w:val="left"/>
      </w:pPr>
      <w:r>
        <w:rPr/>
        <w:t>单位</w:t>
      </w:r>
      <w:r>
        <w:rPr>
          <w:rFonts w:ascii="宋体" w:hAnsi="宋体" w:cs="宋体" w:eastAsia="宋体" w:hint="default"/>
        </w:rPr>
        <w:t>: </w:t>
      </w:r>
      <w:r>
        <w:rPr/>
        <w:t>万元</w:t>
        <w:tab/>
        <w:t>币种</w:t>
      </w:r>
      <w:r>
        <w:rPr>
          <w:rFonts w:ascii="宋体" w:hAnsi="宋体" w:cs="宋体" w:eastAsia="宋体" w:hint="default"/>
        </w:rPr>
        <w:t>: </w:t>
      </w:r>
      <w:r>
        <w:rPr/>
        <w:t>人民币</w:t>
      </w:r>
    </w:p>
    <w:p>
      <w:pPr>
        <w:spacing w:after="0" w:line="240" w:lineRule="auto"/>
        <w:jc w:val="left"/>
        <w:sectPr>
          <w:type w:val="continuous"/>
          <w:pgSz w:w="11910" w:h="16840"/>
          <w:pgMar w:top="1000" w:bottom="280" w:left="820" w:right="280"/>
          <w:cols w:num="2" w:equalWidth="0">
            <w:col w:w="2783" w:space="3170"/>
            <w:col w:w="4857"/>
          </w:cols>
        </w:sectPr>
      </w:pPr>
    </w:p>
    <w:p>
      <w:pPr>
        <w:spacing w:line="240" w:lineRule="auto" w:before="12"/>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994"/>
        <w:gridCol w:w="574"/>
        <w:gridCol w:w="713"/>
        <w:gridCol w:w="1013"/>
        <w:gridCol w:w="1274"/>
        <w:gridCol w:w="1150"/>
        <w:gridCol w:w="1138"/>
        <w:gridCol w:w="593"/>
        <w:gridCol w:w="446"/>
        <w:gridCol w:w="447"/>
        <w:gridCol w:w="523"/>
        <w:gridCol w:w="569"/>
        <w:gridCol w:w="571"/>
        <w:gridCol w:w="572"/>
      </w:tblGrid>
      <w:tr>
        <w:trPr>
          <w:trHeight w:val="302" w:hRule="exact"/>
        </w:trPr>
        <w:tc>
          <w:tcPr>
            <w:tcW w:w="10577"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3173" w:right="0"/>
              <w:jc w:val="left"/>
              <w:rPr>
                <w:rFonts w:ascii="宋体" w:hAnsi="宋体" w:cs="宋体" w:eastAsia="宋体" w:hint="default"/>
                <w:sz w:val="21"/>
                <w:szCs w:val="21"/>
              </w:rPr>
            </w:pPr>
            <w:r>
              <w:rPr>
                <w:rFonts w:ascii="宋体" w:hAnsi="宋体" w:cs="宋体" w:eastAsia="宋体" w:hint="default"/>
                <w:b/>
                <w:bCs/>
                <w:sz w:val="21"/>
                <w:szCs w:val="21"/>
              </w:rPr>
              <w:t>公司对外担保情况（不包括对子公司的担保）</w:t>
            </w:r>
            <w:r>
              <w:rPr>
                <w:rFonts w:ascii="宋体" w:hAnsi="宋体" w:cs="宋体" w:eastAsia="宋体" w:hint="default"/>
                <w:sz w:val="21"/>
                <w:szCs w:val="21"/>
              </w:rPr>
            </w:r>
          </w:p>
        </w:tc>
      </w:tr>
      <w:tr>
        <w:trPr>
          <w:trHeight w:val="273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175" w:right="0"/>
              <w:jc w:val="left"/>
              <w:rPr>
                <w:rFonts w:ascii="宋体" w:hAnsi="宋体" w:cs="宋体" w:eastAsia="宋体" w:hint="default"/>
                <w:sz w:val="21"/>
                <w:szCs w:val="21"/>
              </w:rPr>
            </w:pPr>
            <w:r>
              <w:rPr>
                <w:rFonts w:ascii="宋体" w:hAnsi="宋体" w:cs="宋体" w:eastAsia="宋体" w:hint="default"/>
                <w:b/>
                <w:bCs/>
                <w:sz w:val="21"/>
                <w:szCs w:val="21"/>
              </w:rPr>
              <w:t>担保方</w:t>
            </w:r>
            <w:r>
              <w:rPr>
                <w:rFonts w:ascii="宋体" w:hAnsi="宋体" w:cs="宋体" w:eastAsia="宋体" w:hint="default"/>
                <w:sz w:val="21"/>
                <w:szCs w:val="21"/>
              </w:rPr>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71" w:right="67"/>
              <w:jc w:val="both"/>
              <w:rPr>
                <w:rFonts w:ascii="宋体" w:hAnsi="宋体" w:cs="宋体" w:eastAsia="宋体" w:hint="default"/>
                <w:sz w:val="21"/>
                <w:szCs w:val="21"/>
              </w:rPr>
            </w:pPr>
            <w:r>
              <w:rPr>
                <w:rFonts w:ascii="宋体" w:hAnsi="宋体" w:cs="宋体" w:eastAsia="宋体" w:hint="default"/>
                <w:b/>
                <w:bCs/>
                <w:sz w:val="21"/>
                <w:szCs w:val="21"/>
              </w:rPr>
              <w:t>担保</w:t>
            </w:r>
            <w:r>
              <w:rPr>
                <w:rFonts w:ascii="宋体" w:hAnsi="宋体" w:cs="宋体" w:eastAsia="宋体" w:hint="default"/>
                <w:b/>
                <w:bCs/>
                <w:w w:val="100"/>
                <w:sz w:val="21"/>
                <w:szCs w:val="21"/>
              </w:rPr>
              <w:t> </w:t>
            </w:r>
            <w:r>
              <w:rPr>
                <w:rFonts w:ascii="宋体" w:hAnsi="宋体" w:cs="宋体" w:eastAsia="宋体" w:hint="default"/>
                <w:b/>
                <w:bCs/>
                <w:sz w:val="21"/>
                <w:szCs w:val="21"/>
              </w:rPr>
              <w:t>方与</w:t>
            </w:r>
            <w:r>
              <w:rPr>
                <w:rFonts w:ascii="宋体" w:hAnsi="宋体" w:cs="宋体" w:eastAsia="宋体" w:hint="default"/>
                <w:b/>
                <w:bCs/>
                <w:w w:val="100"/>
                <w:sz w:val="21"/>
                <w:szCs w:val="21"/>
              </w:rPr>
              <w:t> </w:t>
            </w:r>
            <w:r>
              <w:rPr>
                <w:rFonts w:ascii="宋体" w:hAnsi="宋体" w:cs="宋体" w:eastAsia="宋体" w:hint="default"/>
                <w:b/>
                <w:bCs/>
                <w:sz w:val="21"/>
                <w:szCs w:val="21"/>
              </w:rPr>
              <w:t>上市</w:t>
            </w:r>
            <w:r>
              <w:rPr>
                <w:rFonts w:ascii="宋体" w:hAnsi="宋体" w:cs="宋体" w:eastAsia="宋体" w:hint="default"/>
                <w:b/>
                <w:bCs/>
                <w:w w:val="100"/>
                <w:sz w:val="21"/>
                <w:szCs w:val="21"/>
              </w:rPr>
              <w:t> </w:t>
            </w:r>
            <w:r>
              <w:rPr>
                <w:rFonts w:ascii="宋体" w:hAnsi="宋体" w:cs="宋体" w:eastAsia="宋体" w:hint="default"/>
                <w:b/>
                <w:bCs/>
                <w:sz w:val="21"/>
                <w:szCs w:val="21"/>
              </w:rPr>
              <w:t>公司</w:t>
            </w:r>
            <w:r>
              <w:rPr>
                <w:rFonts w:ascii="宋体" w:hAnsi="宋体" w:cs="宋体" w:eastAsia="宋体" w:hint="default"/>
                <w:b/>
                <w:bCs/>
                <w:w w:val="100"/>
                <w:sz w:val="21"/>
                <w:szCs w:val="21"/>
              </w:rPr>
              <w:t> </w:t>
            </w:r>
            <w:r>
              <w:rPr>
                <w:rFonts w:ascii="宋体" w:hAnsi="宋体" w:cs="宋体" w:eastAsia="宋体" w:hint="default"/>
                <w:b/>
                <w:bCs/>
                <w:sz w:val="21"/>
                <w:szCs w:val="21"/>
              </w:rPr>
              <w:t>的关</w:t>
            </w:r>
            <w:r>
              <w:rPr>
                <w:rFonts w:ascii="宋体" w:hAnsi="宋体" w:cs="宋体" w:eastAsia="宋体" w:hint="default"/>
                <w:b/>
                <w:bCs/>
                <w:w w:val="100"/>
                <w:sz w:val="21"/>
                <w:szCs w:val="21"/>
              </w:rPr>
              <w:t> </w:t>
            </w:r>
            <w:r>
              <w:rPr>
                <w:rFonts w:ascii="宋体" w:hAnsi="宋体" w:cs="宋体" w:eastAsia="宋体" w:hint="default"/>
                <w:b/>
                <w:bCs/>
                <w:sz w:val="21"/>
                <w:szCs w:val="21"/>
              </w:rPr>
              <w:t>系</w:t>
            </w:r>
            <w:r>
              <w:rPr>
                <w:rFonts w:ascii="宋体" w:hAnsi="宋体" w:cs="宋体" w:eastAsia="宋体" w:hint="default"/>
                <w:sz w:val="21"/>
                <w:szCs w:val="21"/>
              </w:rPr>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44" w:right="35" w:hanging="212"/>
              <w:jc w:val="left"/>
              <w:rPr>
                <w:rFonts w:ascii="宋体" w:hAnsi="宋体" w:cs="宋体" w:eastAsia="宋体" w:hint="default"/>
                <w:sz w:val="21"/>
                <w:szCs w:val="21"/>
              </w:rPr>
            </w:pPr>
            <w:r>
              <w:rPr>
                <w:rFonts w:ascii="宋体" w:hAnsi="宋体" w:cs="宋体" w:eastAsia="宋体" w:hint="default"/>
                <w:b/>
                <w:bCs/>
                <w:sz w:val="21"/>
                <w:szCs w:val="21"/>
              </w:rPr>
              <w:t>被担保</w:t>
            </w:r>
            <w:r>
              <w:rPr>
                <w:rFonts w:ascii="宋体" w:hAnsi="宋体" w:cs="宋体" w:eastAsia="宋体" w:hint="default"/>
                <w:b/>
                <w:bCs/>
                <w:w w:val="100"/>
                <w:sz w:val="21"/>
                <w:szCs w:val="21"/>
              </w:rPr>
              <w:t> </w:t>
            </w:r>
            <w:r>
              <w:rPr>
                <w:rFonts w:ascii="宋体" w:hAnsi="宋体" w:cs="宋体" w:eastAsia="宋体" w:hint="default"/>
                <w:b/>
                <w:bCs/>
                <w:sz w:val="21"/>
                <w:szCs w:val="21"/>
              </w:rPr>
              <w:t>方</w:t>
            </w:r>
            <w:r>
              <w:rPr>
                <w:rFonts w:ascii="宋体" w:hAnsi="宋体" w:cs="宋体" w:eastAsia="宋体" w:hint="default"/>
                <w:sz w:val="21"/>
                <w:szCs w:val="21"/>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77"/>
              <w:jc w:val="right"/>
              <w:rPr>
                <w:rFonts w:ascii="宋体" w:hAnsi="宋体" w:cs="宋体" w:eastAsia="宋体" w:hint="default"/>
                <w:sz w:val="21"/>
                <w:szCs w:val="21"/>
              </w:rPr>
            </w:pPr>
            <w:r>
              <w:rPr>
                <w:rFonts w:ascii="宋体" w:hAnsi="宋体" w:cs="宋体" w:eastAsia="宋体" w:hint="default"/>
                <w:b/>
                <w:bCs/>
                <w:sz w:val="21"/>
                <w:szCs w:val="21"/>
              </w:rPr>
              <w:t>担保金额</w:t>
            </w:r>
            <w:r>
              <w:rPr>
                <w:rFonts w:ascii="宋体" w:hAnsi="宋体" w:cs="宋体" w:eastAsia="宋体"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9"/>
              <w:ind w:left="50" w:right="50"/>
              <w:jc w:val="center"/>
              <w:rPr>
                <w:rFonts w:ascii="宋体" w:hAnsi="宋体" w:cs="宋体" w:eastAsia="宋体" w:hint="default"/>
                <w:sz w:val="21"/>
                <w:szCs w:val="21"/>
              </w:rPr>
            </w:pPr>
            <w:r>
              <w:rPr>
                <w:rFonts w:ascii="宋体" w:hAnsi="宋体" w:cs="宋体" w:eastAsia="宋体" w:hint="default"/>
                <w:b/>
                <w:bCs/>
                <w:sz w:val="21"/>
                <w:szCs w:val="21"/>
              </w:rPr>
              <w:t>担保发生日</w:t>
            </w:r>
            <w:r>
              <w:rPr>
                <w:rFonts w:ascii="宋体" w:hAnsi="宋体" w:cs="宋体" w:eastAsia="宋体" w:hint="default"/>
                <w:b/>
                <w:bCs/>
                <w:w w:val="100"/>
                <w:sz w:val="21"/>
                <w:szCs w:val="21"/>
              </w:rPr>
              <w:t> </w:t>
            </w:r>
            <w:r>
              <w:rPr>
                <w:rFonts w:ascii="宋体" w:hAnsi="宋体" w:cs="宋体" w:eastAsia="宋体" w:hint="default"/>
                <w:b/>
                <w:bCs/>
                <w:sz w:val="21"/>
                <w:szCs w:val="21"/>
              </w:rPr>
              <w:t>期</w:t>
            </w:r>
            <w:r>
              <w:rPr>
                <w:rFonts w:ascii="宋体" w:hAnsi="宋体" w:cs="宋体" w:eastAsia="宋体" w:hint="default"/>
                <w:b/>
                <w:bCs/>
                <w:sz w:val="21"/>
                <w:szCs w:val="21"/>
              </w:rPr>
              <w:t>(</w:t>
            </w:r>
            <w:r>
              <w:rPr>
                <w:rFonts w:ascii="宋体" w:hAnsi="宋体" w:cs="宋体" w:eastAsia="宋体" w:hint="default"/>
                <w:b/>
                <w:bCs/>
                <w:sz w:val="21"/>
                <w:szCs w:val="21"/>
              </w:rPr>
              <w:t>协议签署</w:t>
            </w:r>
            <w:r>
              <w:rPr>
                <w:rFonts w:ascii="宋体" w:hAnsi="宋体" w:cs="宋体" w:eastAsia="宋体" w:hint="default"/>
                <w:b/>
                <w:bCs/>
                <w:w w:val="100"/>
                <w:sz w:val="21"/>
                <w:szCs w:val="21"/>
              </w:rPr>
              <w:t> </w:t>
            </w:r>
            <w:r>
              <w:rPr>
                <w:rFonts w:ascii="宋体" w:hAnsi="宋体" w:cs="宋体" w:eastAsia="宋体" w:hint="default"/>
                <w:b/>
                <w:bCs/>
                <w:sz w:val="21"/>
                <w:szCs w:val="21"/>
              </w:rPr>
              <w:t>日</w:t>
            </w:r>
            <w:r>
              <w:rPr>
                <w:rFonts w:ascii="宋体" w:hAnsi="宋体" w:cs="宋体" w:eastAsia="宋体" w:hint="default"/>
                <w:b/>
                <w:bCs/>
                <w:sz w:val="21"/>
                <w:szCs w:val="21"/>
              </w:rPr>
              <w:t>)</w:t>
            </w:r>
            <w:r>
              <w:rPr>
                <w:rFonts w:ascii="宋体" w:hAnsi="宋体" w:cs="宋体" w:eastAsia="宋体" w:hint="default"/>
                <w:sz w:val="21"/>
                <w:szCs w:val="21"/>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51" w:right="252" w:firstLine="105"/>
              <w:jc w:val="left"/>
              <w:rPr>
                <w:rFonts w:ascii="宋体" w:hAnsi="宋体" w:cs="宋体" w:eastAsia="宋体" w:hint="default"/>
                <w:sz w:val="21"/>
                <w:szCs w:val="21"/>
              </w:rPr>
            </w:pPr>
            <w:r>
              <w:rPr>
                <w:rFonts w:ascii="宋体" w:hAnsi="宋体" w:cs="宋体" w:eastAsia="宋体" w:hint="default"/>
                <w:b/>
                <w:bCs/>
                <w:sz w:val="21"/>
                <w:szCs w:val="21"/>
              </w:rPr>
              <w:t>担保</w:t>
            </w:r>
            <w:r>
              <w:rPr>
                <w:rFonts w:ascii="宋体" w:hAnsi="宋体" w:cs="宋体" w:eastAsia="宋体" w:hint="default"/>
                <w:b/>
                <w:bCs/>
                <w:w w:val="100"/>
                <w:sz w:val="21"/>
                <w:szCs w:val="21"/>
              </w:rPr>
              <w:t> </w:t>
            </w:r>
            <w:r>
              <w:rPr>
                <w:rFonts w:ascii="宋体" w:hAnsi="宋体" w:cs="宋体" w:eastAsia="宋体" w:hint="default"/>
                <w:b/>
                <w:bCs/>
                <w:sz w:val="21"/>
                <w:szCs w:val="21"/>
              </w:rPr>
              <w:t>起始日</w:t>
            </w:r>
            <w:r>
              <w:rPr>
                <w:rFonts w:ascii="宋体" w:hAnsi="宋体" w:cs="宋体" w:eastAsia="宋体" w:hint="default"/>
                <w:sz w:val="21"/>
                <w:szCs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44" w:right="247" w:firstLine="105"/>
              <w:jc w:val="left"/>
              <w:rPr>
                <w:rFonts w:ascii="宋体" w:hAnsi="宋体" w:cs="宋体" w:eastAsia="宋体" w:hint="default"/>
                <w:sz w:val="21"/>
                <w:szCs w:val="21"/>
              </w:rPr>
            </w:pPr>
            <w:r>
              <w:rPr>
                <w:rFonts w:ascii="宋体" w:hAnsi="宋体" w:cs="宋体" w:eastAsia="宋体" w:hint="default"/>
                <w:b/>
                <w:bCs/>
                <w:sz w:val="21"/>
                <w:szCs w:val="21"/>
              </w:rPr>
              <w:t>担保</w:t>
            </w:r>
            <w:r>
              <w:rPr>
                <w:rFonts w:ascii="宋体" w:hAnsi="宋体" w:cs="宋体" w:eastAsia="宋体" w:hint="default"/>
                <w:b/>
                <w:bCs/>
                <w:w w:val="100"/>
                <w:sz w:val="21"/>
                <w:szCs w:val="21"/>
              </w:rPr>
              <w:t> </w:t>
            </w:r>
            <w:r>
              <w:rPr>
                <w:rFonts w:ascii="宋体" w:hAnsi="宋体" w:cs="宋体" w:eastAsia="宋体" w:hint="default"/>
                <w:b/>
                <w:bCs/>
                <w:sz w:val="21"/>
                <w:szCs w:val="21"/>
              </w:rPr>
              <w:t>到期日</w:t>
            </w:r>
            <w:r>
              <w:rPr>
                <w:rFonts w:ascii="宋体" w:hAnsi="宋体" w:cs="宋体" w:eastAsia="宋体" w:hint="default"/>
                <w:sz w:val="21"/>
                <w:szCs w:val="21"/>
              </w:rPr>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79" w:right="79"/>
              <w:jc w:val="left"/>
              <w:rPr>
                <w:rFonts w:ascii="宋体" w:hAnsi="宋体" w:cs="宋体" w:eastAsia="宋体" w:hint="default"/>
                <w:sz w:val="21"/>
                <w:szCs w:val="21"/>
              </w:rPr>
            </w:pPr>
            <w:r>
              <w:rPr>
                <w:rFonts w:ascii="宋体" w:hAnsi="宋体" w:cs="宋体" w:eastAsia="宋体" w:hint="default"/>
                <w:b/>
                <w:bCs/>
                <w:sz w:val="21"/>
                <w:szCs w:val="21"/>
              </w:rPr>
              <w:t>担保</w:t>
            </w:r>
            <w:r>
              <w:rPr>
                <w:rFonts w:ascii="宋体" w:hAnsi="宋体" w:cs="宋体" w:eastAsia="宋体" w:hint="default"/>
                <w:b/>
                <w:bCs/>
                <w:w w:val="100"/>
                <w:sz w:val="21"/>
                <w:szCs w:val="21"/>
              </w:rPr>
              <w:t> </w:t>
            </w:r>
            <w:r>
              <w:rPr>
                <w:rFonts w:ascii="宋体" w:hAnsi="宋体" w:cs="宋体" w:eastAsia="宋体" w:hint="default"/>
                <w:b/>
                <w:bCs/>
                <w:sz w:val="21"/>
                <w:szCs w:val="21"/>
              </w:rPr>
              <w:t>类型</w:t>
            </w:r>
            <w:r>
              <w:rPr>
                <w:rFonts w:ascii="宋体" w:hAnsi="宋体" w:cs="宋体" w:eastAsia="宋体" w:hint="default"/>
                <w:sz w:val="21"/>
                <w:szCs w:val="21"/>
              </w:rPr>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2" w:right="0"/>
              <w:jc w:val="both"/>
              <w:rPr>
                <w:rFonts w:ascii="宋体" w:hAnsi="宋体" w:cs="宋体" w:eastAsia="宋体" w:hint="default"/>
                <w:sz w:val="21"/>
                <w:szCs w:val="21"/>
              </w:rPr>
            </w:pPr>
            <w:r>
              <w:rPr>
                <w:rFonts w:ascii="宋体" w:hAnsi="宋体" w:cs="宋体" w:eastAsia="宋体" w:hint="default"/>
                <w:b/>
                <w:bCs/>
                <w:w w:val="100"/>
                <w:sz w:val="21"/>
                <w:szCs w:val="21"/>
              </w:rPr>
              <w:t>担</w:t>
            </w:r>
            <w:r>
              <w:rPr>
                <w:rFonts w:ascii="宋体" w:hAnsi="宋体" w:cs="宋体" w:eastAsia="宋体" w:hint="default"/>
                <w:w w:val="100"/>
                <w:sz w:val="21"/>
                <w:szCs w:val="21"/>
              </w:rPr>
            </w:r>
          </w:p>
          <w:p>
            <w:pPr>
              <w:pStyle w:val="TableParagraph"/>
              <w:spacing w:line="237" w:lineRule="auto"/>
              <w:ind w:left="112" w:right="110"/>
              <w:jc w:val="both"/>
              <w:rPr>
                <w:rFonts w:ascii="宋体" w:hAnsi="宋体" w:cs="宋体" w:eastAsia="宋体" w:hint="default"/>
                <w:sz w:val="21"/>
                <w:szCs w:val="21"/>
              </w:rPr>
            </w:pPr>
            <w:r>
              <w:rPr>
                <w:rFonts w:ascii="宋体" w:hAnsi="宋体" w:cs="宋体" w:eastAsia="宋体" w:hint="default"/>
                <w:b/>
                <w:bCs/>
                <w:sz w:val="21"/>
                <w:szCs w:val="21"/>
              </w:rPr>
              <w:t>保</w:t>
            </w:r>
            <w:r>
              <w:rPr>
                <w:rFonts w:ascii="宋体" w:hAnsi="宋体" w:cs="宋体" w:eastAsia="宋体" w:hint="default"/>
                <w:b/>
                <w:bCs/>
                <w:w w:val="100"/>
                <w:sz w:val="21"/>
                <w:szCs w:val="21"/>
              </w:rPr>
              <w:t> </w:t>
            </w:r>
            <w:r>
              <w:rPr>
                <w:rFonts w:ascii="宋体" w:hAnsi="宋体" w:cs="宋体" w:eastAsia="宋体" w:hint="default"/>
                <w:b/>
                <w:bCs/>
                <w:sz w:val="21"/>
                <w:szCs w:val="21"/>
              </w:rPr>
              <w:t>是</w:t>
            </w:r>
            <w:r>
              <w:rPr>
                <w:rFonts w:ascii="宋体" w:hAnsi="宋体" w:cs="宋体" w:eastAsia="宋体" w:hint="default"/>
                <w:b/>
                <w:bCs/>
                <w:w w:val="100"/>
                <w:sz w:val="21"/>
                <w:szCs w:val="21"/>
              </w:rPr>
              <w:t> </w:t>
            </w:r>
            <w:r>
              <w:rPr>
                <w:rFonts w:ascii="宋体" w:hAnsi="宋体" w:cs="宋体" w:eastAsia="宋体" w:hint="default"/>
                <w:b/>
                <w:bCs/>
                <w:sz w:val="21"/>
                <w:szCs w:val="21"/>
              </w:rPr>
              <w:t>否</w:t>
            </w:r>
            <w:r>
              <w:rPr>
                <w:rFonts w:ascii="宋体" w:hAnsi="宋体" w:cs="宋体" w:eastAsia="宋体" w:hint="default"/>
                <w:b/>
                <w:bCs/>
                <w:w w:val="100"/>
                <w:sz w:val="21"/>
                <w:szCs w:val="21"/>
              </w:rPr>
              <w:t> </w:t>
            </w:r>
            <w:r>
              <w:rPr>
                <w:rFonts w:ascii="宋体" w:hAnsi="宋体" w:cs="宋体" w:eastAsia="宋体" w:hint="default"/>
                <w:b/>
                <w:bCs/>
                <w:sz w:val="21"/>
                <w:szCs w:val="21"/>
              </w:rPr>
              <w:t>已</w:t>
            </w:r>
            <w:r>
              <w:rPr>
                <w:rFonts w:ascii="宋体" w:hAnsi="宋体" w:cs="宋体" w:eastAsia="宋体" w:hint="default"/>
                <w:b/>
                <w:bCs/>
                <w:w w:val="100"/>
                <w:sz w:val="21"/>
                <w:szCs w:val="21"/>
              </w:rPr>
              <w:t> </w:t>
            </w:r>
            <w:r>
              <w:rPr>
                <w:rFonts w:ascii="宋体" w:hAnsi="宋体" w:cs="宋体" w:eastAsia="宋体" w:hint="default"/>
                <w:b/>
                <w:bCs/>
                <w:sz w:val="21"/>
                <w:szCs w:val="21"/>
              </w:rPr>
              <w:t>经</w:t>
            </w:r>
            <w:r>
              <w:rPr>
                <w:rFonts w:ascii="宋体" w:hAnsi="宋体" w:cs="宋体" w:eastAsia="宋体" w:hint="default"/>
                <w:b/>
                <w:bCs/>
                <w:w w:val="100"/>
                <w:sz w:val="21"/>
                <w:szCs w:val="21"/>
              </w:rPr>
              <w:t> </w:t>
            </w:r>
            <w:r>
              <w:rPr>
                <w:rFonts w:ascii="宋体" w:hAnsi="宋体" w:cs="宋体" w:eastAsia="宋体" w:hint="default"/>
                <w:b/>
                <w:bCs/>
                <w:sz w:val="21"/>
                <w:szCs w:val="21"/>
              </w:rPr>
              <w:t>履</w:t>
            </w:r>
            <w:r>
              <w:rPr>
                <w:rFonts w:ascii="宋体" w:hAnsi="宋体" w:cs="宋体" w:eastAsia="宋体" w:hint="default"/>
                <w:b/>
                <w:bCs/>
                <w:w w:val="100"/>
                <w:sz w:val="21"/>
                <w:szCs w:val="21"/>
              </w:rPr>
              <w:t> </w:t>
            </w:r>
            <w:r>
              <w:rPr>
                <w:rFonts w:ascii="宋体" w:hAnsi="宋体" w:cs="宋体" w:eastAsia="宋体" w:hint="default"/>
                <w:b/>
                <w:bCs/>
                <w:sz w:val="21"/>
                <w:szCs w:val="21"/>
              </w:rPr>
              <w:t>行</w:t>
            </w:r>
            <w:r>
              <w:rPr>
                <w:rFonts w:ascii="宋体" w:hAnsi="宋体" w:cs="宋体" w:eastAsia="宋体" w:hint="default"/>
                <w:b/>
                <w:bCs/>
                <w:w w:val="100"/>
                <w:sz w:val="21"/>
                <w:szCs w:val="21"/>
              </w:rPr>
              <w:t> </w:t>
            </w:r>
            <w:r>
              <w:rPr>
                <w:rFonts w:ascii="宋体" w:hAnsi="宋体" w:cs="宋体" w:eastAsia="宋体" w:hint="default"/>
                <w:b/>
                <w:bCs/>
                <w:sz w:val="21"/>
                <w:szCs w:val="21"/>
              </w:rPr>
              <w:t>完</w:t>
            </w:r>
            <w:r>
              <w:rPr>
                <w:rFonts w:ascii="宋体" w:hAnsi="宋体" w:cs="宋体" w:eastAsia="宋体" w:hint="default"/>
                <w:b/>
                <w:bCs/>
                <w:w w:val="100"/>
                <w:sz w:val="21"/>
                <w:szCs w:val="21"/>
              </w:rPr>
              <w:t> </w:t>
            </w:r>
            <w:r>
              <w:rPr>
                <w:rFonts w:ascii="宋体" w:hAnsi="宋体" w:cs="宋体" w:eastAsia="宋体" w:hint="default"/>
                <w:b/>
                <w:bCs/>
                <w:sz w:val="21"/>
                <w:szCs w:val="21"/>
              </w:rPr>
              <w:t>毕</w:t>
            </w:r>
            <w:r>
              <w:rPr>
                <w:rFonts w:ascii="宋体" w:hAnsi="宋体" w:cs="宋体" w:eastAsia="宋体" w:hint="default"/>
                <w:sz w:val="21"/>
                <w:szCs w:val="21"/>
              </w:rPr>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13" w:right="110"/>
              <w:jc w:val="both"/>
              <w:rPr>
                <w:rFonts w:ascii="宋体" w:hAnsi="宋体" w:cs="宋体" w:eastAsia="宋体" w:hint="default"/>
                <w:sz w:val="21"/>
                <w:szCs w:val="21"/>
              </w:rPr>
            </w:pPr>
            <w:r>
              <w:rPr>
                <w:rFonts w:ascii="宋体" w:hAnsi="宋体" w:cs="宋体" w:eastAsia="宋体" w:hint="default"/>
                <w:b/>
                <w:bCs/>
                <w:sz w:val="21"/>
                <w:szCs w:val="21"/>
              </w:rPr>
              <w:t>担</w:t>
            </w:r>
            <w:r>
              <w:rPr>
                <w:rFonts w:ascii="宋体" w:hAnsi="宋体" w:cs="宋体" w:eastAsia="宋体" w:hint="default"/>
                <w:b/>
                <w:bCs/>
                <w:w w:val="100"/>
                <w:sz w:val="21"/>
                <w:szCs w:val="21"/>
              </w:rPr>
              <w:t> </w:t>
            </w:r>
            <w:r>
              <w:rPr>
                <w:rFonts w:ascii="宋体" w:hAnsi="宋体" w:cs="宋体" w:eastAsia="宋体" w:hint="default"/>
                <w:b/>
                <w:bCs/>
                <w:sz w:val="21"/>
                <w:szCs w:val="21"/>
              </w:rPr>
              <w:t>保</w:t>
            </w:r>
            <w:r>
              <w:rPr>
                <w:rFonts w:ascii="宋体" w:hAnsi="宋体" w:cs="宋体" w:eastAsia="宋体" w:hint="default"/>
                <w:b/>
                <w:bCs/>
                <w:w w:val="100"/>
                <w:sz w:val="21"/>
                <w:szCs w:val="21"/>
              </w:rPr>
              <w:t> </w:t>
            </w:r>
            <w:r>
              <w:rPr>
                <w:rFonts w:ascii="宋体" w:hAnsi="宋体" w:cs="宋体" w:eastAsia="宋体" w:hint="default"/>
                <w:b/>
                <w:bCs/>
                <w:sz w:val="21"/>
                <w:szCs w:val="21"/>
              </w:rPr>
              <w:t>是</w:t>
            </w:r>
            <w:r>
              <w:rPr>
                <w:rFonts w:ascii="宋体" w:hAnsi="宋体" w:cs="宋体" w:eastAsia="宋体" w:hint="default"/>
                <w:b/>
                <w:bCs/>
                <w:w w:val="100"/>
                <w:sz w:val="21"/>
                <w:szCs w:val="21"/>
              </w:rPr>
              <w:t> </w:t>
            </w:r>
            <w:r>
              <w:rPr>
                <w:rFonts w:ascii="宋体" w:hAnsi="宋体" w:cs="宋体" w:eastAsia="宋体" w:hint="default"/>
                <w:b/>
                <w:bCs/>
                <w:sz w:val="21"/>
                <w:szCs w:val="21"/>
              </w:rPr>
              <w:t>否</w:t>
            </w:r>
            <w:r>
              <w:rPr>
                <w:rFonts w:ascii="宋体" w:hAnsi="宋体" w:cs="宋体" w:eastAsia="宋体" w:hint="default"/>
                <w:b/>
                <w:bCs/>
                <w:w w:val="100"/>
                <w:sz w:val="21"/>
                <w:szCs w:val="21"/>
              </w:rPr>
              <w:t> </w:t>
            </w:r>
            <w:r>
              <w:rPr>
                <w:rFonts w:ascii="宋体" w:hAnsi="宋体" w:cs="宋体" w:eastAsia="宋体" w:hint="default"/>
                <w:b/>
                <w:bCs/>
                <w:sz w:val="21"/>
                <w:szCs w:val="21"/>
              </w:rPr>
              <w:t>逾</w:t>
            </w:r>
            <w:r>
              <w:rPr>
                <w:rFonts w:ascii="宋体" w:hAnsi="宋体" w:cs="宋体" w:eastAsia="宋体" w:hint="default"/>
                <w:b/>
                <w:bCs/>
                <w:w w:val="100"/>
                <w:sz w:val="21"/>
                <w:szCs w:val="21"/>
              </w:rPr>
              <w:t> </w:t>
            </w:r>
            <w:r>
              <w:rPr>
                <w:rFonts w:ascii="宋体" w:hAnsi="宋体" w:cs="宋体" w:eastAsia="宋体" w:hint="default"/>
                <w:b/>
                <w:bCs/>
                <w:sz w:val="21"/>
                <w:szCs w:val="21"/>
              </w:rPr>
              <w:t>期</w:t>
            </w:r>
            <w:r>
              <w:rPr>
                <w:rFonts w:ascii="宋体" w:hAnsi="宋体" w:cs="宋体" w:eastAsia="宋体" w:hint="default"/>
                <w:sz w:val="21"/>
                <w:szCs w:val="21"/>
              </w:rPr>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9"/>
              <w:ind w:left="43" w:right="47"/>
              <w:jc w:val="both"/>
              <w:rPr>
                <w:rFonts w:ascii="宋体" w:hAnsi="宋体" w:cs="宋体" w:eastAsia="宋体" w:hint="default"/>
                <w:sz w:val="21"/>
                <w:szCs w:val="21"/>
              </w:rPr>
            </w:pPr>
            <w:r>
              <w:rPr>
                <w:rFonts w:ascii="宋体" w:hAnsi="宋体" w:cs="宋体" w:eastAsia="宋体" w:hint="default"/>
                <w:b/>
                <w:bCs/>
                <w:sz w:val="21"/>
                <w:szCs w:val="21"/>
              </w:rPr>
              <w:t>担保</w:t>
            </w:r>
            <w:r>
              <w:rPr>
                <w:rFonts w:ascii="宋体" w:hAnsi="宋体" w:cs="宋体" w:eastAsia="宋体" w:hint="default"/>
                <w:b/>
                <w:bCs/>
                <w:w w:val="100"/>
                <w:sz w:val="21"/>
                <w:szCs w:val="21"/>
              </w:rPr>
              <w:t> </w:t>
            </w:r>
            <w:r>
              <w:rPr>
                <w:rFonts w:ascii="宋体" w:hAnsi="宋体" w:cs="宋体" w:eastAsia="宋体" w:hint="default"/>
                <w:b/>
                <w:bCs/>
                <w:sz w:val="21"/>
                <w:szCs w:val="21"/>
              </w:rPr>
              <w:t>逾期</w:t>
            </w:r>
            <w:r>
              <w:rPr>
                <w:rFonts w:ascii="宋体" w:hAnsi="宋体" w:cs="宋体" w:eastAsia="宋体" w:hint="default"/>
                <w:b/>
                <w:bCs/>
                <w:w w:val="100"/>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67" w:right="67"/>
              <w:jc w:val="both"/>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b/>
                <w:bCs/>
                <w:w w:val="100"/>
                <w:sz w:val="21"/>
                <w:szCs w:val="21"/>
              </w:rPr>
              <w:t> </w:t>
            </w:r>
            <w:r>
              <w:rPr>
                <w:rFonts w:ascii="宋体" w:hAnsi="宋体" w:cs="宋体" w:eastAsia="宋体" w:hint="default"/>
                <w:b/>
                <w:bCs/>
                <w:sz w:val="21"/>
                <w:szCs w:val="21"/>
              </w:rPr>
              <w:t>存在</w:t>
            </w:r>
            <w:r>
              <w:rPr>
                <w:rFonts w:ascii="宋体" w:hAnsi="宋体" w:cs="宋体" w:eastAsia="宋体" w:hint="default"/>
                <w:b/>
                <w:bCs/>
                <w:w w:val="100"/>
                <w:sz w:val="21"/>
                <w:szCs w:val="21"/>
              </w:rPr>
              <w:t> </w:t>
            </w:r>
            <w:r>
              <w:rPr>
                <w:rFonts w:ascii="宋体" w:hAnsi="宋体" w:cs="宋体" w:eastAsia="宋体" w:hint="default"/>
                <w:b/>
                <w:bCs/>
                <w:sz w:val="21"/>
                <w:szCs w:val="21"/>
              </w:rPr>
              <w:t>反担</w:t>
            </w:r>
            <w:r>
              <w:rPr>
                <w:rFonts w:ascii="宋体" w:hAnsi="宋体" w:cs="宋体" w:eastAsia="宋体" w:hint="default"/>
                <w:b/>
                <w:bCs/>
                <w:w w:val="100"/>
                <w:sz w:val="21"/>
                <w:szCs w:val="21"/>
              </w:rPr>
              <w:t> </w:t>
            </w:r>
            <w:r>
              <w:rPr>
                <w:rFonts w:ascii="宋体" w:hAnsi="宋体" w:cs="宋体" w:eastAsia="宋体" w:hint="default"/>
                <w:b/>
                <w:bCs/>
                <w:sz w:val="21"/>
                <w:szCs w:val="21"/>
              </w:rPr>
              <w:t>保</w:t>
            </w:r>
            <w:r>
              <w:rPr>
                <w:rFonts w:ascii="宋体" w:hAnsi="宋体" w:cs="宋体" w:eastAsia="宋体" w:hint="default"/>
                <w:sz w:val="21"/>
                <w:szCs w:val="21"/>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69" w:right="67"/>
              <w:jc w:val="both"/>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b/>
                <w:bCs/>
                <w:w w:val="100"/>
                <w:sz w:val="21"/>
                <w:szCs w:val="21"/>
              </w:rPr>
              <w:t> </w:t>
            </w:r>
            <w:r>
              <w:rPr>
                <w:rFonts w:ascii="宋体" w:hAnsi="宋体" w:cs="宋体" w:eastAsia="宋体" w:hint="default"/>
                <w:b/>
                <w:bCs/>
                <w:sz w:val="21"/>
                <w:szCs w:val="21"/>
              </w:rPr>
              <w:t>为关</w:t>
            </w:r>
            <w:r>
              <w:rPr>
                <w:rFonts w:ascii="宋体" w:hAnsi="宋体" w:cs="宋体" w:eastAsia="宋体" w:hint="default"/>
                <w:b/>
                <w:bCs/>
                <w:w w:val="100"/>
                <w:sz w:val="21"/>
                <w:szCs w:val="21"/>
              </w:rPr>
              <w:t> </w:t>
            </w:r>
            <w:r>
              <w:rPr>
                <w:rFonts w:ascii="宋体" w:hAnsi="宋体" w:cs="宋体" w:eastAsia="宋体" w:hint="default"/>
                <w:b/>
                <w:bCs/>
                <w:sz w:val="21"/>
                <w:szCs w:val="21"/>
              </w:rPr>
              <w:t>联方</w:t>
            </w:r>
            <w:r>
              <w:rPr>
                <w:rFonts w:ascii="宋体" w:hAnsi="宋体" w:cs="宋体" w:eastAsia="宋体" w:hint="default"/>
                <w:b/>
                <w:bCs/>
                <w:w w:val="100"/>
                <w:sz w:val="21"/>
                <w:szCs w:val="21"/>
              </w:rPr>
              <w:t> </w:t>
            </w:r>
            <w:r>
              <w:rPr>
                <w:rFonts w:ascii="宋体" w:hAnsi="宋体" w:cs="宋体" w:eastAsia="宋体" w:hint="default"/>
                <w:b/>
                <w:bCs/>
                <w:sz w:val="21"/>
                <w:szCs w:val="21"/>
              </w:rPr>
              <w:t>担保</w:t>
            </w:r>
            <w:r>
              <w:rPr>
                <w:rFonts w:ascii="宋体" w:hAnsi="宋体" w:cs="宋体" w:eastAsia="宋体" w:hint="default"/>
                <w:sz w:val="21"/>
                <w:szCs w:val="21"/>
              </w:rPr>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69" w:right="69"/>
              <w:jc w:val="left"/>
              <w:rPr>
                <w:rFonts w:ascii="宋体" w:hAnsi="宋体" w:cs="宋体" w:eastAsia="宋体" w:hint="default"/>
                <w:sz w:val="21"/>
                <w:szCs w:val="21"/>
              </w:rPr>
            </w:pPr>
            <w:r>
              <w:rPr>
                <w:rFonts w:ascii="宋体" w:hAnsi="宋体" w:cs="宋体" w:eastAsia="宋体" w:hint="default"/>
                <w:b/>
                <w:bCs/>
                <w:sz w:val="21"/>
                <w:szCs w:val="21"/>
              </w:rPr>
              <w:t>关联</w:t>
            </w:r>
            <w:r>
              <w:rPr>
                <w:rFonts w:ascii="宋体" w:hAnsi="宋体" w:cs="宋体" w:eastAsia="宋体" w:hint="default"/>
                <w:b/>
                <w:bCs/>
                <w:w w:val="100"/>
                <w:sz w:val="21"/>
                <w:szCs w:val="21"/>
              </w:rPr>
              <w:t> </w:t>
            </w:r>
            <w:r>
              <w:rPr>
                <w:rFonts w:ascii="宋体" w:hAnsi="宋体" w:cs="宋体" w:eastAsia="宋体" w:hint="default"/>
                <w:b/>
                <w:bCs/>
                <w:sz w:val="21"/>
                <w:szCs w:val="21"/>
              </w:rPr>
              <w:t>关系</w:t>
            </w:r>
            <w:r>
              <w:rPr>
                <w:rFonts w:ascii="宋体" w:hAnsi="宋体" w:cs="宋体" w:eastAsia="宋体" w:hint="default"/>
                <w:sz w:val="21"/>
                <w:szCs w:val="21"/>
              </w:rPr>
            </w:r>
          </w:p>
        </w:tc>
      </w:tr>
      <w:tr>
        <w:trPr>
          <w:trHeight w:val="82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113"/>
              <w:jc w:val="left"/>
              <w:rPr>
                <w:rFonts w:ascii="宋体" w:hAnsi="宋体" w:cs="宋体" w:eastAsia="宋体" w:hint="default"/>
                <w:sz w:val="21"/>
                <w:szCs w:val="21"/>
              </w:rPr>
            </w:pPr>
            <w:r>
              <w:rPr>
                <w:rFonts w:ascii="宋体" w:hAnsi="宋体" w:cs="宋体" w:eastAsia="宋体" w:hint="default"/>
                <w:sz w:val="21"/>
                <w:szCs w:val="21"/>
              </w:rPr>
              <w:t>同方股份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11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本部</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同方投</w:t>
            </w:r>
          </w:p>
          <w:p>
            <w:pPr>
              <w:pStyle w:val="TableParagraph"/>
              <w:spacing w:line="272" w:lineRule="exact" w:before="27"/>
              <w:ind w:left="24" w:right="22"/>
              <w:jc w:val="left"/>
              <w:rPr>
                <w:rFonts w:ascii="宋体" w:hAnsi="宋体" w:cs="宋体" w:eastAsia="宋体" w:hint="default"/>
                <w:sz w:val="21"/>
                <w:szCs w:val="21"/>
              </w:rPr>
            </w:pPr>
            <w:r>
              <w:rPr>
                <w:rFonts w:ascii="宋体" w:hAnsi="宋体" w:cs="宋体" w:eastAsia="宋体" w:hint="default"/>
                <w:spacing w:val="6"/>
                <w:sz w:val="21"/>
                <w:szCs w:val="21"/>
              </w:rPr>
              <w:t>资有限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7"/>
              <w:jc w:val="right"/>
              <w:rPr>
                <w:rFonts w:ascii="宋体" w:hAnsi="宋体" w:cs="宋体" w:eastAsia="宋体" w:hint="default"/>
                <w:sz w:val="21"/>
                <w:szCs w:val="21"/>
              </w:rPr>
            </w:pPr>
            <w:r>
              <w:rPr>
                <w:rFonts w:ascii="宋体"/>
                <w:spacing w:val="-1"/>
                <w:sz w:val="21"/>
              </w:rPr>
              <w:t>18,400.00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sz w:val="21"/>
              </w:rPr>
              <w:t>2016.12.14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21"/>
                <w:szCs w:val="21"/>
              </w:rPr>
            </w:pPr>
            <w:r>
              <w:rPr>
                <w:rFonts w:ascii="宋体"/>
                <w:sz w:val="21"/>
              </w:rPr>
              <w:t>2016.12.15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6"/>
              <w:jc w:val="right"/>
              <w:rPr>
                <w:rFonts w:ascii="宋体" w:hAnsi="宋体" w:cs="宋体" w:eastAsia="宋体" w:hint="default"/>
                <w:sz w:val="21"/>
                <w:szCs w:val="21"/>
              </w:rPr>
            </w:pPr>
            <w:r>
              <w:rPr>
                <w:rFonts w:ascii="宋体"/>
                <w:spacing w:val="-1"/>
                <w:sz w:val="21"/>
              </w:rPr>
              <w:t>2018.12.31</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hAnsi="宋体" w:cs="宋体" w:eastAsia="宋体" w:hint="default"/>
                <w:sz w:val="21"/>
                <w:szCs w:val="21"/>
              </w:rPr>
              <w:t>连带</w:t>
            </w:r>
          </w:p>
          <w:p>
            <w:pPr>
              <w:pStyle w:val="TableParagraph"/>
              <w:spacing w:line="272" w:lineRule="exact" w:before="27"/>
              <w:ind w:left="79" w:right="79"/>
              <w:jc w:val="left"/>
              <w:rPr>
                <w:rFonts w:ascii="宋体" w:hAnsi="宋体" w:cs="宋体" w:eastAsia="宋体" w:hint="default"/>
                <w:sz w:val="21"/>
                <w:szCs w:val="21"/>
              </w:rPr>
            </w:pP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参股</w:t>
            </w:r>
          </w:p>
          <w:p>
            <w:pPr>
              <w:pStyle w:val="TableParagraph"/>
              <w:spacing w:line="272" w:lineRule="exact" w:before="27"/>
              <w:ind w:left="175" w:right="69" w:hanging="106"/>
              <w:jc w:val="left"/>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r>
      <w:tr>
        <w:trPr>
          <w:trHeight w:val="55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同方股份</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本部</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同方投</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资有限</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0"/>
              <w:jc w:val="right"/>
              <w:rPr>
                <w:rFonts w:ascii="宋体" w:hAnsi="宋体" w:cs="宋体" w:eastAsia="宋体" w:hint="default"/>
                <w:sz w:val="21"/>
                <w:szCs w:val="21"/>
              </w:rPr>
            </w:pPr>
            <w:r>
              <w:rPr>
                <w:rFonts w:ascii="宋体"/>
                <w:spacing w:val="-1"/>
                <w:sz w:val="21"/>
              </w:rPr>
              <w:t>4,500.00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2016.12.14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 w:right="0"/>
              <w:jc w:val="left"/>
              <w:rPr>
                <w:rFonts w:ascii="宋体" w:hAnsi="宋体" w:cs="宋体" w:eastAsia="宋体" w:hint="default"/>
                <w:sz w:val="21"/>
                <w:szCs w:val="21"/>
              </w:rPr>
            </w:pPr>
            <w:r>
              <w:rPr>
                <w:rFonts w:ascii="宋体"/>
                <w:sz w:val="21"/>
              </w:rPr>
              <w:t>2017.01.16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6"/>
              <w:jc w:val="right"/>
              <w:rPr>
                <w:rFonts w:ascii="宋体" w:hAnsi="宋体" w:cs="宋体" w:eastAsia="宋体" w:hint="default"/>
                <w:sz w:val="21"/>
                <w:szCs w:val="21"/>
              </w:rPr>
            </w:pPr>
            <w:r>
              <w:rPr>
                <w:rFonts w:ascii="宋体"/>
                <w:spacing w:val="-1"/>
                <w:sz w:val="21"/>
              </w:rPr>
              <w:t>2018.12.31</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hAnsi="宋体" w:cs="宋体" w:eastAsia="宋体" w:hint="default"/>
                <w:sz w:val="21"/>
                <w:szCs w:val="21"/>
              </w:rPr>
              <w:t>连带</w:t>
            </w:r>
          </w:p>
          <w:p>
            <w:pPr>
              <w:pStyle w:val="TableParagraph"/>
              <w:spacing w:line="274" w:lineRule="exact"/>
              <w:ind w:left="79" w:right="0"/>
              <w:jc w:val="left"/>
              <w:rPr>
                <w:rFonts w:ascii="宋体" w:hAnsi="宋体" w:cs="宋体" w:eastAsia="宋体" w:hint="default"/>
                <w:sz w:val="21"/>
                <w:szCs w:val="21"/>
              </w:rPr>
            </w:pPr>
            <w:r>
              <w:rPr>
                <w:rFonts w:ascii="宋体" w:hAnsi="宋体" w:cs="宋体" w:eastAsia="宋体" w:hint="default"/>
                <w:sz w:val="21"/>
                <w:szCs w:val="21"/>
              </w:rPr>
              <w:t>责任</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0"/>
              <w:jc w:val="left"/>
              <w:rPr>
                <w:rFonts w:ascii="宋体" w:hAnsi="宋体" w:cs="宋体" w:eastAsia="宋体" w:hint="default"/>
                <w:sz w:val="21"/>
                <w:szCs w:val="21"/>
              </w:rPr>
            </w:pPr>
            <w:r>
              <w:rPr>
                <w:rFonts w:ascii="宋体" w:hAnsi="宋体" w:cs="宋体" w:eastAsia="宋体" w:hint="default"/>
                <w:sz w:val="21"/>
                <w:szCs w:val="21"/>
              </w:rPr>
              <w:t>参股</w:t>
            </w:r>
          </w:p>
          <w:p>
            <w:pPr>
              <w:pStyle w:val="TableParagraph"/>
              <w:spacing w:line="274" w:lineRule="exact"/>
              <w:ind w:left="69" w:right="0"/>
              <w:jc w:val="left"/>
              <w:rPr>
                <w:rFonts w:ascii="宋体" w:hAnsi="宋体" w:cs="宋体" w:eastAsia="宋体" w:hint="default"/>
                <w:sz w:val="21"/>
                <w:szCs w:val="21"/>
              </w:rPr>
            </w:pPr>
            <w:r>
              <w:rPr>
                <w:rFonts w:ascii="宋体" w:hAnsi="宋体" w:cs="宋体" w:eastAsia="宋体" w:hint="default"/>
                <w:sz w:val="21"/>
                <w:szCs w:val="21"/>
              </w:rPr>
              <w:t>子公</w:t>
            </w:r>
          </w:p>
        </w:tc>
      </w:tr>
    </w:tbl>
    <w:p>
      <w:pPr>
        <w:spacing w:after="0" w:line="274" w:lineRule="exact"/>
        <w:jc w:val="left"/>
        <w:rPr>
          <w:rFonts w:ascii="宋体" w:hAnsi="宋体" w:cs="宋体" w:eastAsia="宋体" w:hint="default"/>
          <w:sz w:val="21"/>
          <w:szCs w:val="21"/>
        </w:rPr>
        <w:sectPr>
          <w:type w:val="continuous"/>
          <w:pgSz w:w="11910" w:h="16840"/>
          <w:pgMar w:top="1000" w:bottom="280" w:left="820" w:right="280"/>
        </w:sectPr>
      </w:pPr>
    </w:p>
    <w:p>
      <w:pPr>
        <w:spacing w:before="25"/>
        <w:ind w:left="1379" w:right="1411"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94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994"/>
        <w:gridCol w:w="574"/>
        <w:gridCol w:w="713"/>
        <w:gridCol w:w="1013"/>
        <w:gridCol w:w="1274"/>
        <w:gridCol w:w="1150"/>
        <w:gridCol w:w="1138"/>
        <w:gridCol w:w="593"/>
        <w:gridCol w:w="446"/>
        <w:gridCol w:w="447"/>
        <w:gridCol w:w="523"/>
        <w:gridCol w:w="569"/>
        <w:gridCol w:w="571"/>
        <w:gridCol w:w="572"/>
      </w:tblGrid>
      <w:tr>
        <w:trPr>
          <w:trHeight w:val="305"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1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9" w:right="0"/>
              <w:jc w:val="left"/>
              <w:rPr>
                <w:rFonts w:ascii="宋体" w:hAnsi="宋体" w:cs="宋体" w:eastAsia="宋体" w:hint="default"/>
                <w:sz w:val="21"/>
                <w:szCs w:val="21"/>
              </w:rPr>
            </w:pPr>
            <w:r>
              <w:rPr>
                <w:rFonts w:ascii="宋体" w:hAnsi="宋体" w:cs="宋体" w:eastAsia="宋体" w:hint="default"/>
                <w:sz w:val="21"/>
                <w:szCs w:val="21"/>
              </w:rPr>
              <w:t>担保</w:t>
            </w:r>
          </w:p>
        </w:tc>
        <w:tc>
          <w:tcPr>
            <w:tcW w:w="446"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75" w:right="0"/>
              <w:jc w:val="left"/>
              <w:rPr>
                <w:rFonts w:ascii="宋体" w:hAnsi="宋体" w:cs="宋体" w:eastAsia="宋体" w:hint="default"/>
                <w:sz w:val="21"/>
                <w:szCs w:val="21"/>
              </w:rPr>
            </w:pPr>
            <w:r>
              <w:rPr>
                <w:rFonts w:ascii="宋体" w:hAnsi="宋体" w:cs="宋体" w:eastAsia="宋体" w:hint="default"/>
                <w:w w:val="100"/>
                <w:sz w:val="21"/>
                <w:szCs w:val="21"/>
              </w:rPr>
              <w:t>司</w:t>
            </w:r>
          </w:p>
        </w:tc>
      </w:tr>
      <w:tr>
        <w:trPr>
          <w:trHeight w:val="137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 w:right="113"/>
              <w:jc w:val="left"/>
              <w:rPr>
                <w:rFonts w:ascii="宋体" w:hAnsi="宋体" w:cs="宋体" w:eastAsia="宋体" w:hint="default"/>
                <w:sz w:val="21"/>
                <w:szCs w:val="21"/>
              </w:rPr>
            </w:pPr>
            <w:r>
              <w:rPr>
                <w:rFonts w:ascii="宋体" w:hAnsi="宋体" w:cs="宋体" w:eastAsia="宋体" w:hint="default"/>
                <w:sz w:val="21"/>
                <w:szCs w:val="21"/>
              </w:rPr>
              <w:t>同方股份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 w:right="11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本部</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pacing w:val="6"/>
                <w:sz w:val="21"/>
                <w:szCs w:val="21"/>
              </w:rPr>
              <w:t>深圳市</w:t>
            </w:r>
          </w:p>
          <w:p>
            <w:pPr>
              <w:pStyle w:val="TableParagraph"/>
              <w:spacing w:line="237" w:lineRule="auto"/>
              <w:ind w:left="24" w:right="22"/>
              <w:jc w:val="both"/>
              <w:rPr>
                <w:rFonts w:ascii="宋体" w:hAnsi="宋体" w:cs="宋体" w:eastAsia="宋体" w:hint="default"/>
                <w:sz w:val="21"/>
                <w:szCs w:val="21"/>
              </w:rPr>
            </w:pPr>
            <w:r>
              <w:rPr>
                <w:rFonts w:ascii="宋体" w:hAnsi="宋体" w:cs="宋体" w:eastAsia="宋体" w:hint="default"/>
                <w:spacing w:val="6"/>
                <w:sz w:val="21"/>
                <w:szCs w:val="21"/>
              </w:rPr>
              <w:t>华融泰</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6"/>
                <w:sz w:val="21"/>
                <w:szCs w:val="21"/>
              </w:rPr>
              <w:t>资产管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6"/>
                <w:sz w:val="21"/>
                <w:szCs w:val="21"/>
              </w:rPr>
              <w:t>理有限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21"/>
                <w:szCs w:val="21"/>
              </w:rPr>
            </w:pPr>
            <w:r>
              <w:rPr>
                <w:rFonts w:ascii="宋体"/>
                <w:sz w:val="21"/>
              </w:rPr>
              <w:t>10,000.00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1"/>
                <w:szCs w:val="21"/>
              </w:rPr>
            </w:pPr>
            <w:r>
              <w:rPr>
                <w:rFonts w:ascii="宋体"/>
                <w:sz w:val="21"/>
              </w:rPr>
              <w:t>2018.01.31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3" w:right="0"/>
              <w:jc w:val="left"/>
              <w:rPr>
                <w:rFonts w:ascii="宋体" w:hAnsi="宋体" w:cs="宋体" w:eastAsia="宋体" w:hint="default"/>
                <w:sz w:val="21"/>
                <w:szCs w:val="21"/>
              </w:rPr>
            </w:pPr>
            <w:r>
              <w:rPr>
                <w:rFonts w:ascii="宋体"/>
                <w:sz w:val="21"/>
              </w:rPr>
              <w:t>2018.02.06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6"/>
              <w:jc w:val="right"/>
              <w:rPr>
                <w:rFonts w:ascii="宋体" w:hAnsi="宋体" w:cs="宋体" w:eastAsia="宋体" w:hint="default"/>
                <w:sz w:val="21"/>
                <w:szCs w:val="21"/>
              </w:rPr>
            </w:pPr>
            <w:r>
              <w:rPr>
                <w:rFonts w:ascii="宋体"/>
                <w:spacing w:val="-1"/>
                <w:sz w:val="21"/>
              </w:rPr>
              <w:t>2019.02.06</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79" w:right="79"/>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69" w:right="69"/>
              <w:jc w:val="both"/>
              <w:rPr>
                <w:rFonts w:ascii="宋体" w:hAnsi="宋体" w:cs="宋体" w:eastAsia="宋体" w:hint="default"/>
                <w:sz w:val="21"/>
                <w:szCs w:val="21"/>
              </w:rPr>
            </w:pPr>
            <w:r>
              <w:rPr>
                <w:rFonts w:ascii="宋体" w:hAnsi="宋体" w:cs="宋体" w:eastAsia="宋体" w:hint="default"/>
                <w:sz w:val="21"/>
                <w:szCs w:val="21"/>
              </w:rPr>
              <w:t>参股</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r>
      <w:tr>
        <w:trPr>
          <w:trHeight w:val="137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6" w:right="113"/>
              <w:jc w:val="left"/>
              <w:rPr>
                <w:rFonts w:ascii="宋体" w:hAnsi="宋体" w:cs="宋体" w:eastAsia="宋体" w:hint="default"/>
                <w:sz w:val="21"/>
                <w:szCs w:val="21"/>
              </w:rPr>
            </w:pPr>
            <w:r>
              <w:rPr>
                <w:rFonts w:ascii="宋体" w:hAnsi="宋体" w:cs="宋体" w:eastAsia="宋体" w:hint="default"/>
                <w:sz w:val="21"/>
                <w:szCs w:val="21"/>
              </w:rPr>
              <w:t>同方股份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6" w:right="11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本部</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pacing w:val="6"/>
                <w:sz w:val="21"/>
                <w:szCs w:val="21"/>
              </w:rPr>
              <w:t>深圳市</w:t>
            </w:r>
          </w:p>
          <w:p>
            <w:pPr>
              <w:pStyle w:val="TableParagraph"/>
              <w:spacing w:line="237" w:lineRule="auto" w:before="2"/>
              <w:ind w:left="24" w:right="22"/>
              <w:jc w:val="both"/>
              <w:rPr>
                <w:rFonts w:ascii="宋体" w:hAnsi="宋体" w:cs="宋体" w:eastAsia="宋体" w:hint="default"/>
                <w:sz w:val="21"/>
                <w:szCs w:val="21"/>
              </w:rPr>
            </w:pPr>
            <w:r>
              <w:rPr>
                <w:rFonts w:ascii="宋体" w:hAnsi="宋体" w:cs="宋体" w:eastAsia="宋体" w:hint="default"/>
                <w:spacing w:val="6"/>
                <w:sz w:val="21"/>
                <w:szCs w:val="21"/>
              </w:rPr>
              <w:t>华融泰</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6"/>
                <w:sz w:val="21"/>
                <w:szCs w:val="21"/>
              </w:rPr>
              <w:t>资产管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6"/>
                <w:sz w:val="21"/>
                <w:szCs w:val="21"/>
              </w:rPr>
              <w:t>理有限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21"/>
                <w:szCs w:val="21"/>
              </w:rPr>
            </w:pPr>
            <w:r>
              <w:rPr>
                <w:rFonts w:ascii="宋体"/>
                <w:sz w:val="21"/>
              </w:rPr>
              <w:t>10,000.00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1"/>
                <w:szCs w:val="21"/>
              </w:rPr>
            </w:pPr>
            <w:r>
              <w:rPr>
                <w:rFonts w:ascii="宋体"/>
                <w:sz w:val="21"/>
              </w:rPr>
              <w:t>2018.02.06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3" w:right="0"/>
              <w:jc w:val="left"/>
              <w:rPr>
                <w:rFonts w:ascii="宋体" w:hAnsi="宋体" w:cs="宋体" w:eastAsia="宋体" w:hint="default"/>
                <w:sz w:val="21"/>
                <w:szCs w:val="21"/>
              </w:rPr>
            </w:pPr>
            <w:r>
              <w:rPr>
                <w:rFonts w:ascii="宋体"/>
                <w:sz w:val="21"/>
              </w:rPr>
              <w:t>2018.02.27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6"/>
              <w:jc w:val="right"/>
              <w:rPr>
                <w:rFonts w:ascii="宋体" w:hAnsi="宋体" w:cs="宋体" w:eastAsia="宋体" w:hint="default"/>
                <w:sz w:val="21"/>
                <w:szCs w:val="21"/>
              </w:rPr>
            </w:pPr>
            <w:r>
              <w:rPr>
                <w:rFonts w:ascii="宋体"/>
                <w:spacing w:val="-1"/>
                <w:sz w:val="21"/>
              </w:rPr>
              <w:t>2019.02.26</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79" w:right="79"/>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69" w:right="69"/>
              <w:jc w:val="both"/>
              <w:rPr>
                <w:rFonts w:ascii="宋体" w:hAnsi="宋体" w:cs="宋体" w:eastAsia="宋体" w:hint="default"/>
                <w:sz w:val="21"/>
                <w:szCs w:val="21"/>
              </w:rPr>
            </w:pPr>
            <w:r>
              <w:rPr>
                <w:rFonts w:ascii="宋体" w:hAnsi="宋体" w:cs="宋体" w:eastAsia="宋体" w:hint="default"/>
                <w:sz w:val="21"/>
                <w:szCs w:val="21"/>
              </w:rPr>
              <w:t>参股</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r>
      <w:tr>
        <w:trPr>
          <w:trHeight w:val="137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6" w:right="113"/>
              <w:jc w:val="both"/>
              <w:rPr>
                <w:rFonts w:ascii="宋体" w:hAnsi="宋体" w:cs="宋体" w:eastAsia="宋体" w:hint="default"/>
                <w:sz w:val="21"/>
                <w:szCs w:val="21"/>
              </w:rPr>
            </w:pPr>
            <w:r>
              <w:rPr>
                <w:rFonts w:ascii="宋体" w:hAnsi="宋体" w:cs="宋体" w:eastAsia="宋体" w:hint="default"/>
                <w:sz w:val="21"/>
                <w:szCs w:val="21"/>
              </w:rPr>
              <w:t>同方金融</w:t>
            </w:r>
            <w:r>
              <w:rPr>
                <w:rFonts w:ascii="宋体" w:hAnsi="宋体" w:cs="宋体" w:eastAsia="宋体" w:hint="default"/>
                <w:w w:val="100"/>
                <w:sz w:val="21"/>
                <w:szCs w:val="21"/>
              </w:rPr>
              <w:t> </w:t>
            </w:r>
            <w:r>
              <w:rPr>
                <w:rFonts w:ascii="宋体" w:hAnsi="宋体" w:cs="宋体" w:eastAsia="宋体" w:hint="default"/>
                <w:sz w:val="21"/>
                <w:szCs w:val="21"/>
              </w:rPr>
              <w:t>控股（深</w:t>
            </w:r>
            <w:r>
              <w:rPr>
                <w:rFonts w:ascii="宋体" w:hAnsi="宋体" w:cs="宋体" w:eastAsia="宋体" w:hint="default"/>
                <w:w w:val="100"/>
                <w:sz w:val="21"/>
                <w:szCs w:val="21"/>
              </w:rPr>
              <w:t> </w:t>
            </w:r>
            <w:r>
              <w:rPr>
                <w:rFonts w:ascii="宋体" w:hAnsi="宋体" w:cs="宋体" w:eastAsia="宋体" w:hint="default"/>
                <w:sz w:val="21"/>
                <w:szCs w:val="21"/>
              </w:rPr>
              <w:t>圳）有限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26" w:right="113"/>
              <w:jc w:val="both"/>
              <w:rPr>
                <w:rFonts w:ascii="宋体" w:hAnsi="宋体" w:cs="宋体" w:eastAsia="宋体" w:hint="default"/>
                <w:sz w:val="21"/>
                <w:szCs w:val="21"/>
              </w:rPr>
            </w:pPr>
            <w:r>
              <w:rPr>
                <w:rFonts w:ascii="宋体" w:hAnsi="宋体" w:cs="宋体" w:eastAsia="宋体" w:hint="default"/>
                <w:sz w:val="21"/>
                <w:szCs w:val="21"/>
              </w:rPr>
              <w:t>全资</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pacing w:val="6"/>
                <w:sz w:val="21"/>
                <w:szCs w:val="21"/>
              </w:rPr>
              <w:t>深圳市</w:t>
            </w:r>
          </w:p>
          <w:p>
            <w:pPr>
              <w:pStyle w:val="TableParagraph"/>
              <w:spacing w:line="237" w:lineRule="auto" w:before="1"/>
              <w:ind w:left="24" w:right="22"/>
              <w:jc w:val="both"/>
              <w:rPr>
                <w:rFonts w:ascii="宋体" w:hAnsi="宋体" w:cs="宋体" w:eastAsia="宋体" w:hint="default"/>
                <w:sz w:val="21"/>
                <w:szCs w:val="21"/>
              </w:rPr>
            </w:pPr>
            <w:r>
              <w:rPr>
                <w:rFonts w:ascii="宋体" w:hAnsi="宋体" w:cs="宋体" w:eastAsia="宋体" w:hint="default"/>
                <w:spacing w:val="6"/>
                <w:sz w:val="21"/>
                <w:szCs w:val="21"/>
              </w:rPr>
              <w:t>华融泰</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6"/>
                <w:sz w:val="21"/>
                <w:szCs w:val="21"/>
              </w:rPr>
              <w:t>资产管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6"/>
                <w:sz w:val="21"/>
                <w:szCs w:val="21"/>
              </w:rPr>
              <w:t>理有限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公司</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21"/>
                <w:szCs w:val="21"/>
              </w:rPr>
            </w:pPr>
            <w:r>
              <w:rPr>
                <w:rFonts w:ascii="宋体"/>
                <w:sz w:val="21"/>
              </w:rPr>
              <w:t>29,997.00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21"/>
                <w:szCs w:val="21"/>
              </w:rPr>
            </w:pPr>
            <w:r>
              <w:rPr>
                <w:rFonts w:ascii="宋体"/>
                <w:sz w:val="21"/>
              </w:rPr>
              <w:t>2017.10.27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宋体" w:hAnsi="宋体" w:cs="宋体" w:eastAsia="宋体" w:hint="default"/>
                <w:sz w:val="21"/>
                <w:szCs w:val="21"/>
              </w:rPr>
            </w:pPr>
            <w:r>
              <w:rPr>
                <w:rFonts w:ascii="宋体"/>
                <w:sz w:val="21"/>
              </w:rPr>
              <w:t>2017.10.29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6"/>
              <w:jc w:val="right"/>
              <w:rPr>
                <w:rFonts w:ascii="宋体" w:hAnsi="宋体" w:cs="宋体" w:eastAsia="宋体" w:hint="default"/>
                <w:sz w:val="21"/>
                <w:szCs w:val="21"/>
              </w:rPr>
            </w:pPr>
            <w:r>
              <w:rPr>
                <w:rFonts w:ascii="宋体"/>
                <w:spacing w:val="-1"/>
                <w:sz w:val="21"/>
              </w:rPr>
              <w:t>2019.04.29</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79" w:right="79"/>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523"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69" w:right="69"/>
              <w:jc w:val="both"/>
              <w:rPr>
                <w:rFonts w:ascii="宋体" w:hAnsi="宋体" w:cs="宋体" w:eastAsia="宋体" w:hint="default"/>
                <w:sz w:val="21"/>
                <w:szCs w:val="21"/>
              </w:rPr>
            </w:pPr>
            <w:r>
              <w:rPr>
                <w:rFonts w:ascii="宋体" w:hAnsi="宋体" w:cs="宋体" w:eastAsia="宋体" w:hint="default"/>
                <w:sz w:val="21"/>
                <w:szCs w:val="21"/>
              </w:rPr>
              <w:t>参股</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r>
      <w:tr>
        <w:trPr>
          <w:trHeight w:val="319" w:hRule="exact"/>
        </w:trPr>
        <w:tc>
          <w:tcPr>
            <w:tcW w:w="57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485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20,000.00</w:t>
            </w:r>
          </w:p>
        </w:tc>
      </w:tr>
      <w:tr>
        <w:trPr>
          <w:trHeight w:val="317" w:hRule="exact"/>
        </w:trPr>
        <w:tc>
          <w:tcPr>
            <w:tcW w:w="57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）（不包括对子公司的担保）</w:t>
            </w:r>
          </w:p>
        </w:tc>
        <w:tc>
          <w:tcPr>
            <w:tcW w:w="4859" w:type="dxa"/>
            <w:gridSpan w:val="8"/>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06"/>
              <w:jc w:val="right"/>
              <w:rPr>
                <w:rFonts w:ascii="宋体" w:hAnsi="宋体" w:cs="宋体" w:eastAsia="宋体" w:hint="default"/>
                <w:sz w:val="21"/>
                <w:szCs w:val="21"/>
              </w:rPr>
            </w:pPr>
            <w:r>
              <w:rPr>
                <w:rFonts w:ascii="宋体"/>
                <w:spacing w:val="-1"/>
                <w:sz w:val="21"/>
              </w:rPr>
              <w:t>49,997.00</w:t>
            </w:r>
          </w:p>
        </w:tc>
      </w:tr>
      <w:tr>
        <w:trPr>
          <w:trHeight w:val="319" w:hRule="exact"/>
        </w:trPr>
        <w:tc>
          <w:tcPr>
            <w:tcW w:w="10577"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79"/>
              <w:jc w:val="center"/>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17" w:hRule="exact"/>
        </w:trPr>
        <w:tc>
          <w:tcPr>
            <w:tcW w:w="57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85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708,087.77</w:t>
            </w:r>
          </w:p>
        </w:tc>
      </w:tr>
      <w:tr>
        <w:trPr>
          <w:trHeight w:val="319" w:hRule="exact"/>
        </w:trPr>
        <w:tc>
          <w:tcPr>
            <w:tcW w:w="57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485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853,016.86</w:t>
            </w:r>
          </w:p>
        </w:tc>
      </w:tr>
      <w:tr>
        <w:trPr>
          <w:trHeight w:val="317" w:hRule="exact"/>
        </w:trPr>
        <w:tc>
          <w:tcPr>
            <w:tcW w:w="10577"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324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57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485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903,013.86</w:t>
            </w:r>
          </w:p>
        </w:tc>
      </w:tr>
      <w:tr>
        <w:trPr>
          <w:trHeight w:val="319" w:hRule="exact"/>
        </w:trPr>
        <w:tc>
          <w:tcPr>
            <w:tcW w:w="57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485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z w:val="21"/>
              </w:rPr>
              <w:t>56.47%</w:t>
            </w:r>
          </w:p>
        </w:tc>
      </w:tr>
      <w:tr>
        <w:trPr>
          <w:trHeight w:val="317" w:hRule="exact"/>
        </w:trPr>
        <w:tc>
          <w:tcPr>
            <w:tcW w:w="10577"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19" w:hRule="exact"/>
        </w:trPr>
        <w:tc>
          <w:tcPr>
            <w:tcW w:w="57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宋体" w:hAnsi="宋体" w:cs="宋体" w:eastAsia="宋体" w:hint="default"/>
                <w:sz w:val="21"/>
                <w:szCs w:val="21"/>
              </w:rPr>
              <w:t>C</w:t>
            </w:r>
            <w:r>
              <w:rPr>
                <w:rFonts w:ascii="宋体" w:hAnsi="宋体" w:cs="宋体" w:eastAsia="宋体" w:hint="default"/>
                <w:sz w:val="21"/>
                <w:szCs w:val="21"/>
              </w:rPr>
              <w:t>）</w:t>
            </w:r>
          </w:p>
        </w:tc>
        <w:tc>
          <w:tcPr>
            <w:tcW w:w="4859" w:type="dxa"/>
            <w:gridSpan w:val="8"/>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7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的被担保对象提供的债务担</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保金额（</w:t>
            </w:r>
            <w:r>
              <w:rPr>
                <w:rFonts w:ascii="宋体" w:hAnsi="宋体" w:cs="宋体" w:eastAsia="宋体" w:hint="default"/>
                <w:sz w:val="21"/>
                <w:szCs w:val="21"/>
              </w:rPr>
              <w:t>D</w:t>
            </w:r>
            <w:r>
              <w:rPr>
                <w:rFonts w:ascii="宋体" w:hAnsi="宋体" w:cs="宋体" w:eastAsia="宋体" w:hint="default"/>
                <w:sz w:val="21"/>
                <w:szCs w:val="21"/>
              </w:rPr>
              <w:t>）</w:t>
            </w:r>
          </w:p>
        </w:tc>
        <w:tc>
          <w:tcPr>
            <w:tcW w:w="485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630,483.38</w:t>
            </w:r>
          </w:p>
        </w:tc>
      </w:tr>
      <w:tr>
        <w:trPr>
          <w:trHeight w:val="317" w:hRule="exact"/>
        </w:trPr>
        <w:tc>
          <w:tcPr>
            <w:tcW w:w="57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485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6"/>
              <w:jc w:val="right"/>
              <w:rPr>
                <w:rFonts w:ascii="宋体" w:hAnsi="宋体" w:cs="宋体" w:eastAsia="宋体" w:hint="default"/>
                <w:sz w:val="21"/>
                <w:szCs w:val="21"/>
              </w:rPr>
            </w:pPr>
            <w:r>
              <w:rPr>
                <w:rFonts w:ascii="宋体"/>
                <w:spacing w:val="-1"/>
                <w:sz w:val="21"/>
              </w:rPr>
              <w:t>103,444.29</w:t>
            </w:r>
          </w:p>
        </w:tc>
      </w:tr>
      <w:tr>
        <w:trPr>
          <w:trHeight w:val="319" w:hRule="exact"/>
        </w:trPr>
        <w:tc>
          <w:tcPr>
            <w:tcW w:w="57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485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6"/>
              <w:jc w:val="right"/>
              <w:rPr>
                <w:rFonts w:ascii="宋体" w:hAnsi="宋体" w:cs="宋体" w:eastAsia="宋体" w:hint="default"/>
                <w:sz w:val="21"/>
                <w:szCs w:val="21"/>
              </w:rPr>
            </w:pPr>
            <w:r>
              <w:rPr>
                <w:rFonts w:ascii="宋体"/>
                <w:spacing w:val="-1"/>
                <w:sz w:val="21"/>
              </w:rPr>
              <w:t>630,483.38</w:t>
            </w:r>
          </w:p>
        </w:tc>
      </w:tr>
      <w:tr>
        <w:trPr>
          <w:trHeight w:val="317" w:hRule="exact"/>
        </w:trPr>
        <w:tc>
          <w:tcPr>
            <w:tcW w:w="57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4859" w:type="dxa"/>
            <w:gridSpan w:val="8"/>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57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4859" w:type="dxa"/>
            <w:gridSpan w:val="8"/>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tabs>
          <w:tab w:pos="1817" w:val="left" w:leader="none"/>
        </w:tabs>
        <w:spacing w:line="321" w:lineRule="auto" w:before="166"/>
        <w:ind w:left="978" w:right="5373"/>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委托他人进行现金资产管理的情况</w:t>
      </w:r>
      <w:r>
        <w:rPr>
          <w:w w:val="99"/>
        </w:rPr>
        <w:t> </w:t>
      </w:r>
      <w:r>
        <w:rPr>
          <w:rFonts w:ascii="宋体" w:hAnsi="宋体" w:cs="宋体" w:eastAsia="宋体" w:hint="default"/>
        </w:rPr>
        <w:t>1.</w:t>
      </w:r>
      <w:r>
        <w:rPr>
          <w:rFonts w:ascii="宋体" w:hAnsi="宋体" w:cs="宋体" w:eastAsia="宋体" w:hint="default"/>
          <w:spacing w:val="59"/>
        </w:rPr>
        <w:t> </w:t>
      </w:r>
      <w:r>
        <w:rPr/>
        <w:t>委托理财情况</w:t>
      </w:r>
      <w:r>
        <w:rPr>
          <w:b w:val="0"/>
          <w:bCs w:val="0"/>
        </w:rPr>
      </w:r>
    </w:p>
    <w:p>
      <w:pPr>
        <w:pStyle w:val="Heading2"/>
        <w:spacing w:line="240" w:lineRule="auto" w:before="24"/>
        <w:ind w:left="978" w:right="6577"/>
        <w:jc w:val="left"/>
        <w:rPr>
          <w:b w:val="0"/>
          <w:bCs w:val="0"/>
        </w:rPr>
      </w:pPr>
      <w:r>
        <w:rPr>
          <w:rFonts w:ascii="宋体" w:hAnsi="宋体" w:cs="宋体" w:eastAsia="宋体" w:hint="default"/>
        </w:rPr>
        <w:t>(1)</w:t>
      </w:r>
      <w:r>
        <w:rPr>
          <w:rFonts w:ascii="宋体" w:hAnsi="宋体" w:cs="宋体" w:eastAsia="宋体" w:hint="default"/>
          <w:spacing w:val="-67"/>
        </w:rPr>
        <w:t> </w:t>
      </w:r>
      <w:r>
        <w:rPr/>
        <w:t>委托理财总体情况</w:t>
      </w:r>
      <w:r>
        <w:rPr>
          <w:b w:val="0"/>
          <w:bCs w:val="0"/>
        </w:rPr>
      </w:r>
    </w:p>
    <w:p>
      <w:pPr>
        <w:pStyle w:val="BodyText"/>
        <w:tabs>
          <w:tab w:pos="1937" w:val="left" w:leader="none"/>
        </w:tabs>
        <w:spacing w:line="240" w:lineRule="auto" w:before="106"/>
        <w:ind w:left="978" w:right="6577"/>
        <w:jc w:val="left"/>
      </w:pPr>
      <w:r>
        <w:rPr>
          <w:spacing w:val="-1"/>
        </w:rPr>
        <w:t>√适用</w:t>
        <w:tab/>
      </w:r>
      <w:r>
        <w:rPr/>
        <w:t>□不适用</w:t>
      </w:r>
    </w:p>
    <w:p>
      <w:pPr>
        <w:spacing w:line="240" w:lineRule="auto" w:before="5"/>
        <w:rPr>
          <w:rFonts w:ascii="宋体" w:hAnsi="宋体" w:cs="宋体" w:eastAsia="宋体" w:hint="default"/>
          <w:sz w:val="25"/>
          <w:szCs w:val="25"/>
        </w:rPr>
      </w:pPr>
    </w:p>
    <w:p>
      <w:pPr>
        <w:pStyle w:val="BodyText"/>
        <w:tabs>
          <w:tab w:pos="8371" w:val="left" w:leader="none"/>
        </w:tabs>
        <w:spacing w:line="240" w:lineRule="auto" w:before="26"/>
        <w:ind w:left="6931" w:right="0"/>
        <w:jc w:val="left"/>
      </w:pPr>
      <w:r>
        <w:rPr/>
        <w:t>单位：万元</w:t>
        <w:tab/>
        <w:t>币种：人民币</w:t>
      </w:r>
    </w:p>
    <w:p>
      <w:pPr>
        <w:spacing w:line="240" w:lineRule="auto" w:before="12"/>
        <w:rPr>
          <w:rFonts w:ascii="宋体" w:hAnsi="宋体" w:cs="宋体" w:eastAsia="宋体" w:hint="default"/>
          <w:sz w:val="2"/>
          <w:szCs w:val="2"/>
        </w:rPr>
      </w:pPr>
    </w:p>
    <w:tbl>
      <w:tblPr>
        <w:tblW w:w="0" w:type="auto"/>
        <w:jc w:val="left"/>
        <w:tblInd w:w="577" w:type="dxa"/>
        <w:tblLayout w:type="fixed"/>
        <w:tblCellMar>
          <w:top w:w="0" w:type="dxa"/>
          <w:left w:w="0" w:type="dxa"/>
          <w:bottom w:w="0" w:type="dxa"/>
          <w:right w:w="0" w:type="dxa"/>
        </w:tblCellMar>
        <w:tblLook w:val="01E0"/>
      </w:tblPr>
      <w:tblGrid>
        <w:gridCol w:w="1966"/>
        <w:gridCol w:w="2396"/>
        <w:gridCol w:w="1006"/>
        <w:gridCol w:w="1702"/>
        <w:gridCol w:w="2278"/>
      </w:tblGrid>
      <w:tr>
        <w:trPr>
          <w:trHeight w:val="281"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2" w:right="0"/>
              <w:jc w:val="left"/>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b/>
                <w:bCs/>
                <w:sz w:val="21"/>
                <w:szCs w:val="21"/>
              </w:rPr>
              <w:t>资金来源</w:t>
            </w:r>
            <w:r>
              <w:rPr>
                <w:rFonts w:ascii="宋体" w:hAnsi="宋体" w:cs="宋体" w:eastAsia="宋体" w:hint="default"/>
                <w:sz w:val="21"/>
                <w:szCs w:val="21"/>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发生额</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未到期余额</w:t>
            </w:r>
            <w:r>
              <w:rPr>
                <w:rFonts w:ascii="宋体" w:hAnsi="宋体" w:cs="宋体" w:eastAsia="宋体" w:hint="default"/>
                <w:sz w:val="21"/>
                <w:szCs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b/>
                <w:bCs/>
                <w:sz w:val="21"/>
                <w:szCs w:val="21"/>
              </w:rPr>
              <w:t>逾期未收回金额</w:t>
            </w:r>
            <w:r>
              <w:rPr>
                <w:rFonts w:ascii="宋体" w:hAnsi="宋体" w:cs="宋体" w:eastAsia="宋体" w:hint="default"/>
                <w:sz w:val="21"/>
                <w:szCs w:val="21"/>
              </w:rPr>
            </w:r>
          </w:p>
        </w:tc>
      </w:tr>
      <w:tr>
        <w:trPr>
          <w:trHeight w:val="283"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5" w:right="0"/>
              <w:jc w:val="left"/>
              <w:rPr>
                <w:rFonts w:ascii="宋体" w:hAnsi="宋体" w:cs="宋体" w:eastAsia="宋体" w:hint="default"/>
                <w:sz w:val="21"/>
                <w:szCs w:val="21"/>
              </w:rPr>
            </w:pPr>
            <w:r>
              <w:rPr>
                <w:rFonts w:ascii="宋体" w:hAnsi="宋体" w:cs="宋体" w:eastAsia="宋体" w:hint="default"/>
                <w:sz w:val="21"/>
                <w:szCs w:val="21"/>
              </w:rPr>
              <w:t>信托理财产品</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公司暂时闲置自有资金</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 w:right="0"/>
              <w:jc w:val="center"/>
              <w:rPr>
                <w:rFonts w:ascii="宋体" w:hAnsi="宋体" w:cs="宋体" w:eastAsia="宋体" w:hint="default"/>
                <w:sz w:val="21"/>
                <w:szCs w:val="21"/>
              </w:rPr>
            </w:pPr>
            <w:r>
              <w:rPr>
                <w:rFonts w:ascii="宋体"/>
                <w:sz w:val="21"/>
              </w:rPr>
              <w:t>199,000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4" w:right="0"/>
              <w:jc w:val="left"/>
              <w:rPr>
                <w:rFonts w:ascii="宋体" w:hAnsi="宋体" w:cs="宋体" w:eastAsia="宋体" w:hint="default"/>
                <w:sz w:val="21"/>
                <w:szCs w:val="21"/>
              </w:rPr>
            </w:pPr>
            <w:r>
              <w:rPr>
                <w:rFonts w:ascii="宋体"/>
                <w:sz w:val="21"/>
              </w:rPr>
              <w:t>199,000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r>
    </w:tbl>
    <w:p>
      <w:pPr>
        <w:spacing w:line="240" w:lineRule="auto" w:before="6"/>
        <w:rPr>
          <w:rFonts w:ascii="宋体" w:hAnsi="宋体" w:cs="宋体" w:eastAsia="宋体" w:hint="default"/>
          <w:sz w:val="22"/>
          <w:szCs w:val="22"/>
        </w:rPr>
      </w:pPr>
    </w:p>
    <w:p>
      <w:pPr>
        <w:pStyle w:val="Heading2"/>
        <w:spacing w:line="240" w:lineRule="auto" w:before="26"/>
        <w:ind w:left="978" w:right="6577"/>
        <w:jc w:val="left"/>
        <w:rPr>
          <w:b w:val="0"/>
          <w:bCs w:val="0"/>
        </w:rPr>
      </w:pPr>
      <w:r>
        <w:rPr/>
        <w:t>其他情况</w:t>
      </w:r>
      <w:r>
        <w:rPr>
          <w:b w:val="0"/>
          <w:bCs w:val="0"/>
        </w:rPr>
      </w:r>
    </w:p>
    <w:p>
      <w:pPr>
        <w:spacing w:after="0" w:line="240" w:lineRule="auto"/>
        <w:jc w:val="left"/>
        <w:sectPr>
          <w:pgSz w:w="11910" w:h="16840"/>
          <w:pgMar w:header="0" w:footer="1193" w:top="780" w:bottom="1380" w:left="820" w:right="280"/>
        </w:sectPr>
      </w:pPr>
    </w:p>
    <w:p>
      <w:pPr>
        <w:spacing w:before="25"/>
        <w:ind w:left="4973" w:right="498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2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BodyText"/>
        <w:tabs>
          <w:tab w:pos="2197" w:val="left" w:leader="none"/>
        </w:tabs>
        <w:spacing w:line="240" w:lineRule="auto" w:before="26"/>
        <w:ind w:left="1238" w:right="0"/>
        <w:jc w:val="left"/>
      </w:pPr>
      <w:r>
        <w:rPr>
          <w:spacing w:val="-1"/>
        </w:rPr>
        <w:t>□适用</w:t>
        <w:tab/>
      </w:r>
      <w:r>
        <w:rPr/>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3" w:top="780" w:bottom="1380" w:left="560" w:right="40"/>
        </w:sectPr>
      </w:pPr>
    </w:p>
    <w:p>
      <w:pPr>
        <w:pStyle w:val="Heading2"/>
        <w:spacing w:line="240" w:lineRule="auto" w:before="204"/>
        <w:ind w:left="1238" w:right="-18"/>
        <w:jc w:val="left"/>
        <w:rPr>
          <w:b w:val="0"/>
          <w:bCs w:val="0"/>
        </w:rPr>
      </w:pPr>
      <w:r>
        <w:rPr>
          <w:rFonts w:ascii="宋体" w:hAnsi="宋体" w:cs="宋体" w:eastAsia="宋体" w:hint="default"/>
        </w:rPr>
        <w:t>(2)</w:t>
      </w:r>
      <w:r>
        <w:rPr>
          <w:rFonts w:ascii="宋体" w:hAnsi="宋体" w:cs="宋体" w:eastAsia="宋体" w:hint="default"/>
          <w:spacing w:val="-67"/>
        </w:rPr>
        <w:t> </w:t>
      </w:r>
      <w:r>
        <w:rPr/>
        <w:t>单项委托理财情况</w:t>
      </w:r>
      <w:r>
        <w:rPr>
          <w:b w:val="0"/>
          <w:bCs w:val="0"/>
        </w:rPr>
      </w:r>
    </w:p>
    <w:p>
      <w:pPr>
        <w:pStyle w:val="BodyText"/>
        <w:tabs>
          <w:tab w:pos="2197" w:val="left" w:leader="none"/>
        </w:tabs>
        <w:spacing w:line="240" w:lineRule="auto" w:before="106"/>
        <w:ind w:left="1238" w:right="-18"/>
        <w:jc w:val="left"/>
      </w:pPr>
      <w:r>
        <w:rPr>
          <w:spacing w:val="-1"/>
        </w:rPr>
        <w:t>√适用</w:t>
        <w:tab/>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tabs>
          <w:tab w:pos="2678" w:val="left" w:leader="none"/>
        </w:tabs>
        <w:spacing w:line="240" w:lineRule="auto"/>
        <w:ind w:left="1238" w:right="0"/>
        <w:jc w:val="left"/>
      </w:pPr>
      <w:r>
        <w:rPr/>
        <w:t>单位：万元</w:t>
        <w:tab/>
        <w:t>币种：人民币</w:t>
      </w:r>
    </w:p>
    <w:p>
      <w:pPr>
        <w:spacing w:after="0" w:line="240" w:lineRule="auto"/>
        <w:jc w:val="left"/>
        <w:sectPr>
          <w:type w:val="continuous"/>
          <w:pgSz w:w="11910" w:h="16840"/>
          <w:pgMar w:top="1000" w:bottom="280" w:left="560" w:right="40"/>
          <w:cols w:num="2" w:equalWidth="0">
            <w:col w:w="3585" w:space="2368"/>
            <w:col w:w="5357"/>
          </w:cols>
        </w:sectPr>
      </w:pP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162"/>
        <w:gridCol w:w="874"/>
        <w:gridCol w:w="1309"/>
        <w:gridCol w:w="1303"/>
        <w:gridCol w:w="1311"/>
        <w:gridCol w:w="434"/>
        <w:gridCol w:w="437"/>
        <w:gridCol w:w="434"/>
        <w:gridCol w:w="583"/>
        <w:gridCol w:w="1179"/>
        <w:gridCol w:w="1190"/>
        <w:gridCol w:w="437"/>
        <w:gridCol w:w="416"/>
      </w:tblGrid>
      <w:tr>
        <w:trPr>
          <w:trHeight w:val="3008"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b/>
                <w:bCs/>
                <w:sz w:val="21"/>
                <w:szCs w:val="21"/>
              </w:rPr>
              <w:t>受托人</w:t>
            </w:r>
            <w:r>
              <w:rPr>
                <w:rFonts w:ascii="宋体" w:hAnsi="宋体" w:cs="宋体" w:eastAsia="宋体" w:hint="default"/>
                <w:sz w:val="21"/>
                <w:szCs w:val="21"/>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115" w:right="113"/>
              <w:jc w:val="left"/>
              <w:rPr>
                <w:rFonts w:ascii="宋体" w:hAnsi="宋体" w:cs="宋体" w:eastAsia="宋体" w:hint="default"/>
                <w:sz w:val="21"/>
                <w:szCs w:val="21"/>
              </w:rPr>
            </w:pPr>
            <w:r>
              <w:rPr>
                <w:rFonts w:ascii="宋体" w:hAnsi="宋体" w:cs="宋体" w:eastAsia="宋体" w:hint="default"/>
                <w:b/>
                <w:bCs/>
                <w:sz w:val="21"/>
                <w:szCs w:val="21"/>
              </w:rPr>
              <w:t>委托理</w:t>
            </w:r>
            <w:r>
              <w:rPr>
                <w:rFonts w:ascii="宋体" w:hAnsi="宋体" w:cs="宋体" w:eastAsia="宋体" w:hint="default"/>
                <w:b/>
                <w:bCs/>
                <w:w w:val="100"/>
                <w:sz w:val="21"/>
                <w:szCs w:val="21"/>
              </w:rPr>
              <w:t> </w:t>
            </w:r>
            <w:r>
              <w:rPr>
                <w:rFonts w:ascii="宋体" w:hAnsi="宋体" w:cs="宋体" w:eastAsia="宋体" w:hint="default"/>
                <w:b/>
                <w:bCs/>
                <w:sz w:val="21"/>
                <w:szCs w:val="21"/>
              </w:rPr>
              <w:t>财类型</w:t>
            </w:r>
            <w:r>
              <w:rPr>
                <w:rFonts w:ascii="宋体" w:hAnsi="宋体" w:cs="宋体" w:eastAsia="宋体" w:hint="default"/>
                <w:sz w:val="21"/>
                <w:szCs w:val="21"/>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542" w:right="118" w:hanging="420"/>
              <w:jc w:val="left"/>
              <w:rPr>
                <w:rFonts w:ascii="宋体" w:hAnsi="宋体" w:cs="宋体" w:eastAsia="宋体" w:hint="default"/>
                <w:sz w:val="21"/>
                <w:szCs w:val="21"/>
              </w:rPr>
            </w:pPr>
            <w:r>
              <w:rPr>
                <w:rFonts w:ascii="宋体" w:hAnsi="宋体" w:cs="宋体" w:eastAsia="宋体" w:hint="default"/>
                <w:b/>
                <w:bCs/>
                <w:sz w:val="21"/>
                <w:szCs w:val="21"/>
              </w:rPr>
              <w:t>委托理财金</w:t>
            </w:r>
            <w:r>
              <w:rPr>
                <w:rFonts w:ascii="宋体" w:hAnsi="宋体" w:cs="宋体" w:eastAsia="宋体" w:hint="default"/>
                <w:b/>
                <w:bCs/>
                <w:w w:val="100"/>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328" w:right="115" w:hanging="209"/>
              <w:jc w:val="left"/>
              <w:rPr>
                <w:rFonts w:ascii="宋体" w:hAnsi="宋体" w:cs="宋体" w:eastAsia="宋体" w:hint="default"/>
                <w:sz w:val="21"/>
                <w:szCs w:val="21"/>
              </w:rPr>
            </w:pPr>
            <w:r>
              <w:rPr>
                <w:rFonts w:ascii="宋体" w:hAnsi="宋体" w:cs="宋体" w:eastAsia="宋体" w:hint="default"/>
                <w:b/>
                <w:bCs/>
                <w:sz w:val="21"/>
                <w:szCs w:val="21"/>
              </w:rPr>
              <w:t>委托理财起</w:t>
            </w:r>
            <w:r>
              <w:rPr>
                <w:rFonts w:ascii="宋体" w:hAnsi="宋体" w:cs="宋体" w:eastAsia="宋体" w:hint="default"/>
                <w:b/>
                <w:bCs/>
                <w:w w:val="100"/>
                <w:sz w:val="21"/>
                <w:szCs w:val="21"/>
              </w:rPr>
              <w:t> </w:t>
            </w:r>
            <w:r>
              <w:rPr>
                <w:rFonts w:ascii="宋体" w:hAnsi="宋体" w:cs="宋体" w:eastAsia="宋体" w:hint="default"/>
                <w:b/>
                <w:bCs/>
                <w:sz w:val="21"/>
                <w:szCs w:val="21"/>
              </w:rPr>
              <w:t>始日期</w:t>
            </w:r>
            <w:r>
              <w:rPr>
                <w:rFonts w:ascii="宋体" w:hAnsi="宋体" w:cs="宋体" w:eastAsia="宋体" w:hint="default"/>
                <w:sz w:val="21"/>
                <w:szCs w:val="21"/>
              </w:rPr>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333" w:right="120" w:hanging="212"/>
              <w:jc w:val="left"/>
              <w:rPr>
                <w:rFonts w:ascii="宋体" w:hAnsi="宋体" w:cs="宋体" w:eastAsia="宋体" w:hint="default"/>
                <w:sz w:val="21"/>
                <w:szCs w:val="21"/>
              </w:rPr>
            </w:pPr>
            <w:r>
              <w:rPr>
                <w:rFonts w:ascii="宋体" w:hAnsi="宋体" w:cs="宋体" w:eastAsia="宋体" w:hint="default"/>
                <w:b/>
                <w:bCs/>
                <w:sz w:val="21"/>
                <w:szCs w:val="21"/>
              </w:rPr>
              <w:t>委托理财终</w:t>
            </w:r>
            <w:r>
              <w:rPr>
                <w:rFonts w:ascii="宋体" w:hAnsi="宋体" w:cs="宋体" w:eastAsia="宋体" w:hint="default"/>
                <w:b/>
                <w:bCs/>
                <w:w w:val="100"/>
                <w:sz w:val="21"/>
                <w:szCs w:val="21"/>
              </w:rPr>
              <w:t> </w:t>
            </w:r>
            <w:r>
              <w:rPr>
                <w:rFonts w:ascii="宋体" w:hAnsi="宋体" w:cs="宋体" w:eastAsia="宋体" w:hint="default"/>
                <w:b/>
                <w:bCs/>
                <w:sz w:val="21"/>
                <w:szCs w:val="21"/>
              </w:rPr>
              <w:t>止日期</w:t>
            </w:r>
            <w:r>
              <w:rPr>
                <w:rFonts w:ascii="宋体" w:hAnsi="宋体" w:cs="宋体" w:eastAsia="宋体" w:hint="default"/>
                <w:sz w:val="21"/>
                <w:szCs w:val="21"/>
              </w:rPr>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05" w:right="107"/>
              <w:jc w:val="both"/>
              <w:rPr>
                <w:rFonts w:ascii="宋体" w:hAnsi="宋体" w:cs="宋体" w:eastAsia="宋体" w:hint="default"/>
                <w:sz w:val="21"/>
                <w:szCs w:val="21"/>
              </w:rPr>
            </w:pPr>
            <w:r>
              <w:rPr>
                <w:rFonts w:ascii="宋体" w:hAnsi="宋体" w:cs="宋体" w:eastAsia="宋体" w:hint="default"/>
                <w:b/>
                <w:bCs/>
                <w:sz w:val="21"/>
                <w:szCs w:val="21"/>
              </w:rPr>
              <w:t>资</w:t>
            </w:r>
            <w:r>
              <w:rPr>
                <w:rFonts w:ascii="宋体" w:hAnsi="宋体" w:cs="宋体" w:eastAsia="宋体" w:hint="default"/>
                <w:b/>
                <w:bCs/>
                <w:w w:val="100"/>
                <w:sz w:val="21"/>
                <w:szCs w:val="21"/>
              </w:rPr>
              <w:t> </w:t>
            </w:r>
            <w:r>
              <w:rPr>
                <w:rFonts w:ascii="宋体" w:hAnsi="宋体" w:cs="宋体" w:eastAsia="宋体" w:hint="default"/>
                <w:b/>
                <w:bCs/>
                <w:sz w:val="21"/>
                <w:szCs w:val="21"/>
              </w:rPr>
              <w:t>金</w:t>
            </w:r>
            <w:r>
              <w:rPr>
                <w:rFonts w:ascii="宋体" w:hAnsi="宋体" w:cs="宋体" w:eastAsia="宋体" w:hint="default"/>
                <w:b/>
                <w:bCs/>
                <w:w w:val="100"/>
                <w:sz w:val="21"/>
                <w:szCs w:val="21"/>
              </w:rPr>
              <w:t> </w:t>
            </w:r>
            <w:r>
              <w:rPr>
                <w:rFonts w:ascii="宋体" w:hAnsi="宋体" w:cs="宋体" w:eastAsia="宋体" w:hint="default"/>
                <w:b/>
                <w:bCs/>
                <w:sz w:val="21"/>
                <w:szCs w:val="21"/>
              </w:rPr>
              <w:t>来</w:t>
            </w:r>
            <w:r>
              <w:rPr>
                <w:rFonts w:ascii="宋体" w:hAnsi="宋体" w:cs="宋体" w:eastAsia="宋体" w:hint="default"/>
                <w:b/>
                <w:bCs/>
                <w:w w:val="100"/>
                <w:sz w:val="21"/>
                <w:szCs w:val="21"/>
              </w:rPr>
              <w:t> </w:t>
            </w:r>
            <w:r>
              <w:rPr>
                <w:rFonts w:ascii="宋体" w:hAnsi="宋体" w:cs="宋体" w:eastAsia="宋体" w:hint="default"/>
                <w:b/>
                <w:bCs/>
                <w:sz w:val="21"/>
                <w:szCs w:val="21"/>
              </w:rPr>
              <w:t>源</w:t>
            </w:r>
            <w:r>
              <w:rPr>
                <w:rFonts w:ascii="宋体" w:hAnsi="宋体" w:cs="宋体" w:eastAsia="宋体" w:hint="default"/>
                <w:sz w:val="21"/>
                <w:szCs w:val="21"/>
              </w:rPr>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08" w:right="107"/>
              <w:jc w:val="both"/>
              <w:rPr>
                <w:rFonts w:ascii="宋体" w:hAnsi="宋体" w:cs="宋体" w:eastAsia="宋体" w:hint="default"/>
                <w:sz w:val="21"/>
                <w:szCs w:val="21"/>
              </w:rPr>
            </w:pPr>
            <w:r>
              <w:rPr>
                <w:rFonts w:ascii="宋体" w:hAnsi="宋体" w:cs="宋体" w:eastAsia="宋体" w:hint="default"/>
                <w:b/>
                <w:bCs/>
                <w:sz w:val="21"/>
                <w:szCs w:val="21"/>
              </w:rPr>
              <w:t>资</w:t>
            </w:r>
            <w:r>
              <w:rPr>
                <w:rFonts w:ascii="宋体" w:hAnsi="宋体" w:cs="宋体" w:eastAsia="宋体" w:hint="default"/>
                <w:b/>
                <w:bCs/>
                <w:w w:val="100"/>
                <w:sz w:val="21"/>
                <w:szCs w:val="21"/>
              </w:rPr>
              <w:t> </w:t>
            </w:r>
            <w:r>
              <w:rPr>
                <w:rFonts w:ascii="宋体" w:hAnsi="宋体" w:cs="宋体" w:eastAsia="宋体" w:hint="default"/>
                <w:b/>
                <w:bCs/>
                <w:sz w:val="21"/>
                <w:szCs w:val="21"/>
              </w:rPr>
              <w:t>金</w:t>
            </w:r>
            <w:r>
              <w:rPr>
                <w:rFonts w:ascii="宋体" w:hAnsi="宋体" w:cs="宋体" w:eastAsia="宋体" w:hint="default"/>
                <w:b/>
                <w:bCs/>
                <w:w w:val="100"/>
                <w:sz w:val="21"/>
                <w:szCs w:val="21"/>
              </w:rPr>
              <w:t> </w:t>
            </w:r>
            <w:r>
              <w:rPr>
                <w:rFonts w:ascii="宋体" w:hAnsi="宋体" w:cs="宋体" w:eastAsia="宋体" w:hint="default"/>
                <w:b/>
                <w:bCs/>
                <w:sz w:val="21"/>
                <w:szCs w:val="21"/>
              </w:rPr>
              <w:t>投</w:t>
            </w:r>
            <w:r>
              <w:rPr>
                <w:rFonts w:ascii="宋体" w:hAnsi="宋体" w:cs="宋体" w:eastAsia="宋体" w:hint="default"/>
                <w:b/>
                <w:bCs/>
                <w:w w:val="100"/>
                <w:sz w:val="21"/>
                <w:szCs w:val="21"/>
              </w:rPr>
              <w:t> </w:t>
            </w:r>
            <w:r>
              <w:rPr>
                <w:rFonts w:ascii="宋体" w:hAnsi="宋体" w:cs="宋体" w:eastAsia="宋体" w:hint="default"/>
                <w:b/>
                <w:bCs/>
                <w:sz w:val="21"/>
                <w:szCs w:val="21"/>
              </w:rPr>
              <w:t>向</w:t>
            </w:r>
            <w:r>
              <w:rPr>
                <w:rFonts w:ascii="宋体" w:hAnsi="宋体" w:cs="宋体" w:eastAsia="宋体" w:hint="default"/>
                <w:sz w:val="21"/>
                <w:szCs w:val="21"/>
              </w:rPr>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05" w:right="107"/>
              <w:jc w:val="both"/>
              <w:rPr>
                <w:rFonts w:ascii="宋体" w:hAnsi="宋体" w:cs="宋体" w:eastAsia="宋体" w:hint="default"/>
                <w:sz w:val="21"/>
                <w:szCs w:val="21"/>
              </w:rPr>
            </w:pPr>
            <w:r>
              <w:rPr>
                <w:rFonts w:ascii="宋体" w:hAnsi="宋体" w:cs="宋体" w:eastAsia="宋体" w:hint="default"/>
                <w:b/>
                <w:bCs/>
                <w:sz w:val="21"/>
                <w:szCs w:val="21"/>
              </w:rPr>
              <w:t>报</w:t>
            </w:r>
            <w:r>
              <w:rPr>
                <w:rFonts w:ascii="宋体" w:hAnsi="宋体" w:cs="宋体" w:eastAsia="宋体" w:hint="default"/>
                <w:b/>
                <w:bCs/>
                <w:w w:val="100"/>
                <w:sz w:val="21"/>
                <w:szCs w:val="21"/>
              </w:rPr>
              <w:t> </w:t>
            </w:r>
            <w:r>
              <w:rPr>
                <w:rFonts w:ascii="宋体" w:hAnsi="宋体" w:cs="宋体" w:eastAsia="宋体" w:hint="default"/>
                <w:b/>
                <w:bCs/>
                <w:sz w:val="21"/>
                <w:szCs w:val="21"/>
              </w:rPr>
              <w:t>酬</w:t>
            </w:r>
            <w:r>
              <w:rPr>
                <w:rFonts w:ascii="宋体" w:hAnsi="宋体" w:cs="宋体" w:eastAsia="宋体" w:hint="default"/>
                <w:b/>
                <w:bCs/>
                <w:w w:val="100"/>
                <w:sz w:val="21"/>
                <w:szCs w:val="21"/>
              </w:rPr>
              <w:t> </w:t>
            </w:r>
            <w:r>
              <w:rPr>
                <w:rFonts w:ascii="宋体" w:hAnsi="宋体" w:cs="宋体" w:eastAsia="宋体" w:hint="default"/>
                <w:b/>
                <w:bCs/>
                <w:sz w:val="21"/>
                <w:szCs w:val="21"/>
              </w:rPr>
              <w:t>确</w:t>
            </w:r>
            <w:r>
              <w:rPr>
                <w:rFonts w:ascii="宋体" w:hAnsi="宋体" w:cs="宋体" w:eastAsia="宋体" w:hint="default"/>
                <w:b/>
                <w:bCs/>
                <w:w w:val="100"/>
                <w:sz w:val="21"/>
                <w:szCs w:val="21"/>
              </w:rPr>
              <w:t> </w:t>
            </w:r>
            <w:r>
              <w:rPr>
                <w:rFonts w:ascii="宋体" w:hAnsi="宋体" w:cs="宋体" w:eastAsia="宋体" w:hint="default"/>
                <w:b/>
                <w:bCs/>
                <w:sz w:val="21"/>
                <w:szCs w:val="21"/>
              </w:rPr>
              <w:t>定</w:t>
            </w:r>
            <w:r>
              <w:rPr>
                <w:rFonts w:ascii="宋体" w:hAnsi="宋体" w:cs="宋体" w:eastAsia="宋体" w:hint="default"/>
                <w:b/>
                <w:bCs/>
                <w:w w:val="100"/>
                <w:sz w:val="21"/>
                <w:szCs w:val="21"/>
              </w:rPr>
              <w:t> </w:t>
            </w:r>
            <w:r>
              <w:rPr>
                <w:rFonts w:ascii="宋体" w:hAnsi="宋体" w:cs="宋体" w:eastAsia="宋体" w:hint="default"/>
                <w:b/>
                <w:bCs/>
                <w:sz w:val="21"/>
                <w:szCs w:val="21"/>
              </w:rPr>
              <w:t>方</w:t>
            </w:r>
            <w:r>
              <w:rPr>
                <w:rFonts w:ascii="宋体" w:hAnsi="宋体" w:cs="宋体" w:eastAsia="宋体" w:hint="default"/>
                <w:b/>
                <w:bCs/>
                <w:w w:val="100"/>
                <w:sz w:val="21"/>
                <w:szCs w:val="21"/>
              </w:rPr>
              <w:t> </w:t>
            </w:r>
            <w:r>
              <w:rPr>
                <w:rFonts w:ascii="宋体" w:hAnsi="宋体" w:cs="宋体" w:eastAsia="宋体" w:hint="default"/>
                <w:b/>
                <w:bCs/>
                <w:sz w:val="21"/>
                <w:szCs w:val="21"/>
              </w:rPr>
              <w:t>式</w:t>
            </w:r>
            <w:r>
              <w:rPr>
                <w:rFonts w:ascii="宋体" w:hAnsi="宋体" w:cs="宋体" w:eastAsia="宋体" w:hint="default"/>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80" w:right="180"/>
              <w:jc w:val="both"/>
              <w:rPr>
                <w:rFonts w:ascii="宋体" w:hAnsi="宋体" w:cs="宋体" w:eastAsia="宋体" w:hint="default"/>
                <w:sz w:val="21"/>
                <w:szCs w:val="21"/>
              </w:rPr>
            </w:pPr>
            <w:r>
              <w:rPr>
                <w:rFonts w:ascii="宋体" w:hAnsi="宋体" w:cs="宋体" w:eastAsia="宋体" w:hint="default"/>
                <w:b/>
                <w:bCs/>
                <w:sz w:val="21"/>
                <w:szCs w:val="21"/>
              </w:rPr>
              <w:t>年</w:t>
            </w:r>
            <w:r>
              <w:rPr>
                <w:rFonts w:ascii="宋体" w:hAnsi="宋体" w:cs="宋体" w:eastAsia="宋体" w:hint="default"/>
                <w:b/>
                <w:bCs/>
                <w:w w:val="100"/>
                <w:sz w:val="21"/>
                <w:szCs w:val="21"/>
              </w:rPr>
              <w:t> </w:t>
            </w:r>
            <w:r>
              <w:rPr>
                <w:rFonts w:ascii="宋体" w:hAnsi="宋体" w:cs="宋体" w:eastAsia="宋体" w:hint="default"/>
                <w:b/>
                <w:bCs/>
                <w:sz w:val="21"/>
                <w:szCs w:val="21"/>
              </w:rPr>
              <w:t>化</w:t>
            </w:r>
            <w:r>
              <w:rPr>
                <w:rFonts w:ascii="宋体" w:hAnsi="宋体" w:cs="宋体" w:eastAsia="宋体" w:hint="default"/>
                <w:b/>
                <w:bCs/>
                <w:w w:val="100"/>
                <w:sz w:val="21"/>
                <w:szCs w:val="21"/>
              </w:rPr>
              <w:t> </w:t>
            </w:r>
            <w:r>
              <w:rPr>
                <w:rFonts w:ascii="宋体" w:hAnsi="宋体" w:cs="宋体" w:eastAsia="宋体" w:hint="default"/>
                <w:b/>
                <w:bCs/>
                <w:sz w:val="21"/>
                <w:szCs w:val="21"/>
              </w:rPr>
              <w:t>收</w:t>
            </w:r>
            <w:r>
              <w:rPr>
                <w:rFonts w:ascii="宋体" w:hAnsi="宋体" w:cs="宋体" w:eastAsia="宋体" w:hint="default"/>
                <w:b/>
                <w:bCs/>
                <w:w w:val="100"/>
                <w:sz w:val="21"/>
                <w:szCs w:val="21"/>
              </w:rPr>
              <w:t> </w:t>
            </w:r>
            <w:r>
              <w:rPr>
                <w:rFonts w:ascii="宋体" w:hAnsi="宋体" w:cs="宋体" w:eastAsia="宋体" w:hint="default"/>
                <w:b/>
                <w:bCs/>
                <w:sz w:val="21"/>
                <w:szCs w:val="21"/>
              </w:rPr>
              <w:t>益</w:t>
            </w:r>
            <w:r>
              <w:rPr>
                <w:rFonts w:ascii="宋体" w:hAnsi="宋体" w:cs="宋体" w:eastAsia="宋体" w:hint="default"/>
                <w:b/>
                <w:bCs/>
                <w:w w:val="100"/>
                <w:sz w:val="21"/>
                <w:szCs w:val="21"/>
              </w:rPr>
              <w:t> </w:t>
            </w:r>
            <w:r>
              <w:rPr>
                <w:rFonts w:ascii="宋体" w:hAnsi="宋体" w:cs="宋体" w:eastAsia="宋体" w:hint="default"/>
                <w:b/>
                <w:bCs/>
                <w:sz w:val="21"/>
                <w:szCs w:val="21"/>
              </w:rPr>
              <w:t>率</w:t>
            </w:r>
            <w:r>
              <w:rPr>
                <w:rFonts w:ascii="宋体" w:hAnsi="宋体" w:cs="宋体" w:eastAsia="宋体" w:hint="default"/>
                <w:sz w:val="21"/>
                <w:szCs w:val="21"/>
              </w:rPr>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60" w:right="161" w:hanging="4"/>
              <w:jc w:val="center"/>
              <w:rPr>
                <w:rFonts w:ascii="宋体" w:hAnsi="宋体" w:cs="宋体" w:eastAsia="宋体" w:hint="default"/>
                <w:sz w:val="21"/>
                <w:szCs w:val="21"/>
              </w:rPr>
            </w:pPr>
            <w:r>
              <w:rPr>
                <w:rFonts w:ascii="宋体" w:hAnsi="宋体" w:cs="宋体" w:eastAsia="宋体" w:hint="default"/>
                <w:b/>
                <w:bCs/>
                <w:sz w:val="21"/>
                <w:szCs w:val="21"/>
              </w:rPr>
              <w:t>实际</w:t>
            </w:r>
            <w:r>
              <w:rPr>
                <w:rFonts w:ascii="宋体" w:hAnsi="宋体" w:cs="宋体" w:eastAsia="宋体" w:hint="default"/>
                <w:b/>
                <w:bCs/>
                <w:w w:val="100"/>
                <w:sz w:val="21"/>
                <w:szCs w:val="21"/>
              </w:rPr>
              <w:t> </w:t>
            </w:r>
            <w:r>
              <w:rPr>
                <w:rFonts w:ascii="宋体" w:hAnsi="宋体" w:cs="宋体" w:eastAsia="宋体" w:hint="default"/>
                <w:b/>
                <w:bCs/>
                <w:sz w:val="21"/>
                <w:szCs w:val="21"/>
              </w:rPr>
              <w:t>收益或损</w:t>
            </w:r>
            <w:r>
              <w:rPr>
                <w:rFonts w:ascii="宋体" w:hAnsi="宋体" w:cs="宋体" w:eastAsia="宋体" w:hint="default"/>
                <w:b/>
                <w:bCs/>
                <w:w w:val="100"/>
                <w:sz w:val="21"/>
                <w:szCs w:val="21"/>
              </w:rPr>
              <w:t> </w:t>
            </w:r>
            <w:r>
              <w:rPr>
                <w:rFonts w:ascii="宋体" w:hAnsi="宋体" w:cs="宋体" w:eastAsia="宋体" w:hint="default"/>
                <w:b/>
                <w:bCs/>
                <w:sz w:val="21"/>
                <w:szCs w:val="21"/>
              </w:rPr>
              <w:t>失</w:t>
            </w:r>
            <w:r>
              <w:rPr>
                <w:rFonts w:ascii="宋体" w:hAnsi="宋体" w:cs="宋体" w:eastAsia="宋体" w:hint="default"/>
                <w:sz w:val="21"/>
                <w:szCs w:val="21"/>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376" w:right="168" w:hanging="212"/>
              <w:jc w:val="left"/>
              <w:rPr>
                <w:rFonts w:ascii="宋体" w:hAnsi="宋体" w:cs="宋体" w:eastAsia="宋体" w:hint="default"/>
                <w:sz w:val="21"/>
                <w:szCs w:val="21"/>
              </w:rPr>
            </w:pPr>
            <w:r>
              <w:rPr>
                <w:rFonts w:ascii="宋体" w:hAnsi="宋体" w:cs="宋体" w:eastAsia="宋体" w:hint="default"/>
                <w:b/>
                <w:bCs/>
                <w:sz w:val="21"/>
                <w:szCs w:val="21"/>
              </w:rPr>
              <w:t>实际收回</w:t>
            </w:r>
            <w:r>
              <w:rPr>
                <w:rFonts w:ascii="宋体" w:hAnsi="宋体" w:cs="宋体" w:eastAsia="宋体" w:hint="default"/>
                <w:b/>
                <w:bCs/>
                <w:w w:val="100"/>
                <w:sz w:val="21"/>
                <w:szCs w:val="21"/>
              </w:rPr>
              <w:t> </w:t>
            </w:r>
            <w:r>
              <w:rPr>
                <w:rFonts w:ascii="宋体" w:hAnsi="宋体" w:cs="宋体" w:eastAsia="宋体" w:hint="default"/>
                <w:b/>
                <w:bCs/>
                <w:sz w:val="21"/>
                <w:szCs w:val="21"/>
              </w:rPr>
              <w:t>情况</w:t>
            </w:r>
            <w:r>
              <w:rPr>
                <w:rFonts w:ascii="宋体" w:hAnsi="宋体" w:cs="宋体" w:eastAsia="宋体" w:hint="default"/>
                <w:sz w:val="21"/>
                <w:szCs w:val="21"/>
              </w:rPr>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8" w:right="107"/>
              <w:jc w:val="both"/>
              <w:rPr>
                <w:rFonts w:ascii="宋体" w:hAnsi="宋体" w:cs="宋体" w:eastAsia="宋体" w:hint="default"/>
                <w:sz w:val="21"/>
                <w:szCs w:val="21"/>
              </w:rPr>
            </w:pPr>
            <w:r>
              <w:rPr>
                <w:rFonts w:ascii="宋体" w:hAnsi="宋体" w:cs="宋体" w:eastAsia="宋体" w:hint="default"/>
                <w:b/>
                <w:bCs/>
                <w:sz w:val="21"/>
                <w:szCs w:val="21"/>
              </w:rPr>
              <w:t>是</w:t>
            </w:r>
            <w:r>
              <w:rPr>
                <w:rFonts w:ascii="宋体" w:hAnsi="宋体" w:cs="宋体" w:eastAsia="宋体" w:hint="default"/>
                <w:b/>
                <w:bCs/>
                <w:w w:val="100"/>
                <w:sz w:val="21"/>
                <w:szCs w:val="21"/>
              </w:rPr>
              <w:t> </w:t>
            </w:r>
            <w:r>
              <w:rPr>
                <w:rFonts w:ascii="宋体" w:hAnsi="宋体" w:cs="宋体" w:eastAsia="宋体" w:hint="default"/>
                <w:b/>
                <w:bCs/>
                <w:sz w:val="21"/>
                <w:szCs w:val="21"/>
              </w:rPr>
              <w:t>否</w:t>
            </w:r>
            <w:r>
              <w:rPr>
                <w:rFonts w:ascii="宋体" w:hAnsi="宋体" w:cs="宋体" w:eastAsia="宋体" w:hint="default"/>
                <w:b/>
                <w:bCs/>
                <w:w w:val="100"/>
                <w:sz w:val="21"/>
                <w:szCs w:val="21"/>
              </w:rPr>
              <w:t> </w:t>
            </w:r>
            <w:r>
              <w:rPr>
                <w:rFonts w:ascii="宋体" w:hAnsi="宋体" w:cs="宋体" w:eastAsia="宋体" w:hint="default"/>
                <w:b/>
                <w:bCs/>
                <w:sz w:val="21"/>
                <w:szCs w:val="21"/>
              </w:rPr>
              <w:t>经</w:t>
            </w:r>
            <w:r>
              <w:rPr>
                <w:rFonts w:ascii="宋体" w:hAnsi="宋体" w:cs="宋体" w:eastAsia="宋体" w:hint="default"/>
                <w:b/>
                <w:bCs/>
                <w:w w:val="100"/>
                <w:sz w:val="21"/>
                <w:szCs w:val="21"/>
              </w:rPr>
              <w:t> </w:t>
            </w:r>
            <w:r>
              <w:rPr>
                <w:rFonts w:ascii="宋体" w:hAnsi="宋体" w:cs="宋体" w:eastAsia="宋体" w:hint="default"/>
                <w:b/>
                <w:bCs/>
                <w:sz w:val="21"/>
                <w:szCs w:val="21"/>
              </w:rPr>
              <w:t>过</w:t>
            </w:r>
            <w:r>
              <w:rPr>
                <w:rFonts w:ascii="宋体" w:hAnsi="宋体" w:cs="宋体" w:eastAsia="宋体" w:hint="default"/>
                <w:b/>
                <w:bCs/>
                <w:w w:val="100"/>
                <w:sz w:val="21"/>
                <w:szCs w:val="21"/>
              </w:rPr>
              <w:t> </w:t>
            </w:r>
            <w:r>
              <w:rPr>
                <w:rFonts w:ascii="宋体" w:hAnsi="宋体" w:cs="宋体" w:eastAsia="宋体" w:hint="default"/>
                <w:b/>
                <w:bCs/>
                <w:sz w:val="21"/>
                <w:szCs w:val="21"/>
              </w:rPr>
              <w:t>法</w:t>
            </w:r>
            <w:r>
              <w:rPr>
                <w:rFonts w:ascii="宋体" w:hAnsi="宋体" w:cs="宋体" w:eastAsia="宋体" w:hint="default"/>
                <w:b/>
                <w:bCs/>
                <w:w w:val="100"/>
                <w:sz w:val="21"/>
                <w:szCs w:val="21"/>
              </w:rPr>
              <w:t> </w:t>
            </w:r>
            <w:r>
              <w:rPr>
                <w:rFonts w:ascii="宋体" w:hAnsi="宋体" w:cs="宋体" w:eastAsia="宋体" w:hint="default"/>
                <w:b/>
                <w:bCs/>
                <w:sz w:val="21"/>
                <w:szCs w:val="21"/>
              </w:rPr>
              <w:t>定</w:t>
            </w:r>
            <w:r>
              <w:rPr>
                <w:rFonts w:ascii="宋体" w:hAnsi="宋体" w:cs="宋体" w:eastAsia="宋体" w:hint="default"/>
                <w:b/>
                <w:bCs/>
                <w:w w:val="100"/>
                <w:sz w:val="21"/>
                <w:szCs w:val="21"/>
              </w:rPr>
              <w:t> </w:t>
            </w:r>
            <w:r>
              <w:rPr>
                <w:rFonts w:ascii="宋体" w:hAnsi="宋体" w:cs="宋体" w:eastAsia="宋体" w:hint="default"/>
                <w:b/>
                <w:bCs/>
                <w:sz w:val="21"/>
                <w:szCs w:val="21"/>
              </w:rPr>
              <w:t>程</w:t>
            </w:r>
            <w:r>
              <w:rPr>
                <w:rFonts w:ascii="宋体" w:hAnsi="宋体" w:cs="宋体" w:eastAsia="宋体" w:hint="default"/>
                <w:b/>
                <w:bCs/>
                <w:w w:val="100"/>
                <w:sz w:val="21"/>
                <w:szCs w:val="21"/>
              </w:rPr>
              <w:t> </w:t>
            </w:r>
            <w:r>
              <w:rPr>
                <w:rFonts w:ascii="宋体" w:hAnsi="宋体" w:cs="宋体" w:eastAsia="宋体" w:hint="default"/>
                <w:b/>
                <w:bCs/>
                <w:sz w:val="21"/>
                <w:szCs w:val="21"/>
              </w:rPr>
              <w:t>序</w:t>
            </w:r>
            <w:r>
              <w:rPr>
                <w:rFonts w:ascii="宋体" w:hAnsi="宋体" w:cs="宋体" w:eastAsia="宋体" w:hint="default"/>
                <w:sz w:val="21"/>
                <w:szCs w:val="21"/>
              </w:rPr>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b/>
                <w:bCs/>
                <w:w w:val="100"/>
                <w:sz w:val="21"/>
                <w:szCs w:val="21"/>
              </w:rPr>
              <w:t>未</w:t>
            </w:r>
            <w:r>
              <w:rPr>
                <w:rFonts w:ascii="宋体" w:hAnsi="宋体" w:cs="宋体" w:eastAsia="宋体" w:hint="default"/>
                <w:w w:val="100"/>
                <w:sz w:val="21"/>
                <w:szCs w:val="21"/>
              </w:rPr>
            </w:r>
          </w:p>
          <w:p>
            <w:pPr>
              <w:pStyle w:val="TableParagraph"/>
              <w:spacing w:line="237" w:lineRule="auto" w:before="2"/>
              <w:ind w:left="101" w:right="91"/>
              <w:jc w:val="both"/>
              <w:rPr>
                <w:rFonts w:ascii="宋体" w:hAnsi="宋体" w:cs="宋体" w:eastAsia="宋体" w:hint="default"/>
                <w:sz w:val="21"/>
                <w:szCs w:val="21"/>
              </w:rPr>
            </w:pPr>
            <w:r>
              <w:rPr>
                <w:rFonts w:ascii="宋体" w:hAnsi="宋体" w:cs="宋体" w:eastAsia="宋体" w:hint="default"/>
                <w:b/>
                <w:bCs/>
                <w:sz w:val="21"/>
                <w:szCs w:val="21"/>
              </w:rPr>
              <w:t>来</w:t>
            </w:r>
            <w:r>
              <w:rPr>
                <w:rFonts w:ascii="宋体" w:hAnsi="宋体" w:cs="宋体" w:eastAsia="宋体" w:hint="default"/>
                <w:b/>
                <w:bCs/>
                <w:w w:val="100"/>
                <w:sz w:val="21"/>
                <w:szCs w:val="21"/>
              </w:rPr>
              <w:t> </w:t>
            </w:r>
            <w:r>
              <w:rPr>
                <w:rFonts w:ascii="宋体" w:hAnsi="宋体" w:cs="宋体" w:eastAsia="宋体" w:hint="default"/>
                <w:b/>
                <w:bCs/>
                <w:sz w:val="21"/>
                <w:szCs w:val="21"/>
              </w:rPr>
              <w:t>是</w:t>
            </w:r>
            <w:r>
              <w:rPr>
                <w:rFonts w:ascii="宋体" w:hAnsi="宋体" w:cs="宋体" w:eastAsia="宋体" w:hint="default"/>
                <w:b/>
                <w:bCs/>
                <w:w w:val="100"/>
                <w:sz w:val="21"/>
                <w:szCs w:val="21"/>
              </w:rPr>
              <w:t> </w:t>
            </w:r>
            <w:r>
              <w:rPr>
                <w:rFonts w:ascii="宋体" w:hAnsi="宋体" w:cs="宋体" w:eastAsia="宋体" w:hint="default"/>
                <w:b/>
                <w:bCs/>
                <w:sz w:val="21"/>
                <w:szCs w:val="21"/>
              </w:rPr>
              <w:t>否</w:t>
            </w:r>
            <w:r>
              <w:rPr>
                <w:rFonts w:ascii="宋体" w:hAnsi="宋体" w:cs="宋体" w:eastAsia="宋体" w:hint="default"/>
                <w:b/>
                <w:bCs/>
                <w:w w:val="100"/>
                <w:sz w:val="21"/>
                <w:szCs w:val="21"/>
              </w:rPr>
              <w:t> </w:t>
            </w:r>
            <w:r>
              <w:rPr>
                <w:rFonts w:ascii="宋体" w:hAnsi="宋体" w:cs="宋体" w:eastAsia="宋体" w:hint="default"/>
                <w:b/>
                <w:bCs/>
                <w:sz w:val="21"/>
                <w:szCs w:val="21"/>
              </w:rPr>
              <w:t>有</w:t>
            </w:r>
            <w:r>
              <w:rPr>
                <w:rFonts w:ascii="宋体" w:hAnsi="宋体" w:cs="宋体" w:eastAsia="宋体" w:hint="default"/>
                <w:b/>
                <w:bCs/>
                <w:w w:val="100"/>
                <w:sz w:val="21"/>
                <w:szCs w:val="21"/>
              </w:rPr>
              <w:t> </w:t>
            </w:r>
            <w:r>
              <w:rPr>
                <w:rFonts w:ascii="宋体" w:hAnsi="宋体" w:cs="宋体" w:eastAsia="宋体" w:hint="default"/>
                <w:b/>
                <w:bCs/>
                <w:sz w:val="21"/>
                <w:szCs w:val="21"/>
              </w:rPr>
              <w:t>委</w:t>
            </w:r>
            <w:r>
              <w:rPr>
                <w:rFonts w:ascii="宋体" w:hAnsi="宋体" w:cs="宋体" w:eastAsia="宋体" w:hint="default"/>
                <w:b/>
                <w:bCs/>
                <w:w w:val="100"/>
                <w:sz w:val="21"/>
                <w:szCs w:val="21"/>
              </w:rPr>
              <w:t> </w:t>
            </w:r>
            <w:r>
              <w:rPr>
                <w:rFonts w:ascii="宋体" w:hAnsi="宋体" w:cs="宋体" w:eastAsia="宋体" w:hint="default"/>
                <w:b/>
                <w:bCs/>
                <w:sz w:val="21"/>
                <w:szCs w:val="21"/>
              </w:rPr>
              <w:t>托</w:t>
            </w:r>
            <w:r>
              <w:rPr>
                <w:rFonts w:ascii="宋体" w:hAnsi="宋体" w:cs="宋体" w:eastAsia="宋体" w:hint="default"/>
                <w:b/>
                <w:bCs/>
                <w:w w:val="100"/>
                <w:sz w:val="21"/>
                <w:szCs w:val="21"/>
              </w:rPr>
              <w:t> </w:t>
            </w:r>
            <w:r>
              <w:rPr>
                <w:rFonts w:ascii="宋体" w:hAnsi="宋体" w:cs="宋体" w:eastAsia="宋体" w:hint="default"/>
                <w:b/>
                <w:bCs/>
                <w:sz w:val="21"/>
                <w:szCs w:val="21"/>
              </w:rPr>
              <w:t>理</w:t>
            </w:r>
            <w:r>
              <w:rPr>
                <w:rFonts w:ascii="宋体" w:hAnsi="宋体" w:cs="宋体" w:eastAsia="宋体" w:hint="default"/>
                <w:b/>
                <w:bCs/>
                <w:w w:val="100"/>
                <w:sz w:val="21"/>
                <w:szCs w:val="21"/>
              </w:rPr>
              <w:t> </w:t>
            </w:r>
            <w:r>
              <w:rPr>
                <w:rFonts w:ascii="宋体" w:hAnsi="宋体" w:cs="宋体" w:eastAsia="宋体" w:hint="default"/>
                <w:b/>
                <w:bCs/>
                <w:sz w:val="21"/>
                <w:szCs w:val="21"/>
              </w:rPr>
              <w:t>财</w:t>
            </w:r>
            <w:r>
              <w:rPr>
                <w:rFonts w:ascii="宋体" w:hAnsi="宋体" w:cs="宋体" w:eastAsia="宋体" w:hint="default"/>
                <w:b/>
                <w:bCs/>
                <w:w w:val="100"/>
                <w:sz w:val="21"/>
                <w:szCs w:val="21"/>
              </w:rPr>
              <w:t> </w:t>
            </w:r>
            <w:r>
              <w:rPr>
                <w:rFonts w:ascii="宋体" w:hAnsi="宋体" w:cs="宋体" w:eastAsia="宋体" w:hint="default"/>
                <w:b/>
                <w:bCs/>
                <w:sz w:val="21"/>
                <w:szCs w:val="21"/>
              </w:rPr>
              <w:t>计</w:t>
            </w:r>
            <w:r>
              <w:rPr>
                <w:rFonts w:ascii="宋体" w:hAnsi="宋体" w:cs="宋体" w:eastAsia="宋体" w:hint="default"/>
                <w:b/>
                <w:bCs/>
                <w:w w:val="100"/>
                <w:sz w:val="21"/>
                <w:szCs w:val="21"/>
              </w:rPr>
              <w:t> </w:t>
            </w:r>
            <w:r>
              <w:rPr>
                <w:rFonts w:ascii="宋体" w:hAnsi="宋体" w:cs="宋体" w:eastAsia="宋体" w:hint="default"/>
                <w:b/>
                <w:bCs/>
                <w:sz w:val="21"/>
                <w:szCs w:val="21"/>
              </w:rPr>
              <w:t>划</w:t>
            </w:r>
            <w:r>
              <w:rPr>
                <w:rFonts w:ascii="宋体" w:hAnsi="宋体" w:cs="宋体" w:eastAsia="宋体" w:hint="default"/>
                <w:sz w:val="21"/>
                <w:szCs w:val="21"/>
              </w:rPr>
            </w:r>
          </w:p>
        </w:tc>
      </w:tr>
      <w:tr>
        <w:trPr>
          <w:trHeight w:val="826"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69"/>
                <w:sz w:val="21"/>
                <w:szCs w:val="21"/>
              </w:rPr>
              <w:t> </w:t>
            </w:r>
            <w:r>
              <w:rPr>
                <w:rFonts w:ascii="宋体" w:hAnsi="宋体" w:cs="宋体" w:eastAsia="宋体" w:hint="default"/>
                <w:sz w:val="21"/>
                <w:szCs w:val="21"/>
              </w:rPr>
              <w:t>庆</w:t>
            </w:r>
            <w:r>
              <w:rPr>
                <w:rFonts w:ascii="宋体" w:hAnsi="宋体" w:cs="宋体" w:eastAsia="宋体" w:hint="default"/>
                <w:spacing w:val="-71"/>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际</w:t>
            </w:r>
          </w:p>
          <w:p>
            <w:pPr>
              <w:pStyle w:val="TableParagraph"/>
              <w:spacing w:line="240" w:lineRule="auto"/>
              <w:ind w:left="100" w:right="100"/>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z w:val="21"/>
                <w:szCs w:val="21"/>
              </w:rPr>
              <w:t>托</w:t>
            </w:r>
            <w:r>
              <w:rPr>
                <w:rFonts w:ascii="宋体" w:hAnsi="宋体" w:cs="宋体" w:eastAsia="宋体" w:hint="default"/>
                <w:spacing w:val="-71"/>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信托</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78,000.00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2017.12.14</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21"/>
                <w:szCs w:val="21"/>
              </w:rPr>
            </w:pPr>
            <w:r>
              <w:rPr>
                <w:rFonts w:ascii="宋体"/>
                <w:sz w:val="21"/>
              </w:rPr>
              <w:t>2018.12.14</w:t>
            </w:r>
          </w:p>
        </w:tc>
        <w:tc>
          <w:tcPr>
            <w:tcW w:w="4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55"/>
              <w:ind w:left="103" w:right="108"/>
              <w:jc w:val="both"/>
              <w:rPr>
                <w:rFonts w:ascii="宋体" w:hAnsi="宋体" w:cs="宋体" w:eastAsia="宋体" w:hint="default"/>
                <w:sz w:val="21"/>
                <w:szCs w:val="21"/>
              </w:rPr>
            </w:pPr>
            <w:r>
              <w:rPr>
                <w:rFonts w:ascii="宋体" w:hAnsi="宋体" w:cs="宋体" w:eastAsia="宋体" w:hint="default"/>
                <w:sz w:val="21"/>
                <w:szCs w:val="21"/>
              </w:rPr>
              <w:t>暂</w:t>
            </w:r>
            <w:r>
              <w:rPr>
                <w:rFonts w:ascii="宋体" w:hAnsi="宋体" w:cs="宋体" w:eastAsia="宋体" w:hint="default"/>
                <w:w w:val="100"/>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闲</w:t>
            </w:r>
            <w:r>
              <w:rPr>
                <w:rFonts w:ascii="宋体" w:hAnsi="宋体" w:cs="宋体" w:eastAsia="宋体" w:hint="default"/>
                <w:w w:val="100"/>
                <w:sz w:val="21"/>
                <w:szCs w:val="21"/>
              </w:rPr>
              <w:t> </w:t>
            </w:r>
            <w:r>
              <w:rPr>
                <w:rFonts w:ascii="宋体" w:hAnsi="宋体" w:cs="宋体" w:eastAsia="宋体" w:hint="default"/>
                <w:sz w:val="21"/>
                <w:szCs w:val="21"/>
              </w:rPr>
              <w:t>置</w:t>
            </w:r>
            <w:r>
              <w:rPr>
                <w:rFonts w:ascii="宋体" w:hAnsi="宋体" w:cs="宋体" w:eastAsia="宋体" w:hint="default"/>
                <w:w w:val="100"/>
                <w:sz w:val="21"/>
                <w:szCs w:val="21"/>
              </w:rPr>
              <w:t> </w:t>
            </w: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437" w:type="dxa"/>
            <w:vMerge w:val="restart"/>
            <w:tcBorders>
              <w:top w:val="single" w:sz="4" w:space="0" w:color="000000"/>
              <w:left w:val="single" w:sz="4" w:space="0" w:color="000000"/>
              <w:right w:val="single" w:sz="4" w:space="0" w:color="000000"/>
            </w:tcBorders>
          </w:tcPr>
          <w:p>
            <w:pPr/>
          </w:p>
        </w:tc>
        <w:tc>
          <w:tcPr>
            <w:tcW w:w="4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77"/>
              <w:ind w:left="100" w:right="110"/>
              <w:jc w:val="both"/>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同</w:t>
            </w:r>
            <w:r>
              <w:rPr>
                <w:rFonts w:ascii="宋体" w:hAnsi="宋体" w:cs="宋体" w:eastAsia="宋体" w:hint="default"/>
                <w:w w:val="100"/>
                <w:sz w:val="21"/>
                <w:szCs w:val="21"/>
              </w:rPr>
              <w:t> </w:t>
            </w: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定</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约</w:t>
            </w:r>
          </w:p>
          <w:p>
            <w:pPr>
              <w:pStyle w:val="TableParagraph"/>
              <w:spacing w:line="273" w:lineRule="exact"/>
              <w:ind w:left="103" w:right="0"/>
              <w:jc w:val="left"/>
              <w:rPr>
                <w:rFonts w:ascii="宋体" w:hAnsi="宋体" w:cs="宋体" w:eastAsia="宋体" w:hint="default"/>
                <w:sz w:val="21"/>
                <w:szCs w:val="21"/>
              </w:rPr>
            </w:pPr>
            <w:r>
              <w:rPr>
                <w:rFonts w:ascii="宋体"/>
                <w:sz w:val="21"/>
              </w:rPr>
              <w:t>5%</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21"/>
                <w:szCs w:val="21"/>
              </w:rPr>
            </w:pPr>
            <w:r>
              <w:rPr>
                <w:rFonts w:ascii="宋体"/>
                <w:spacing w:val="-1"/>
                <w:sz w:val="21"/>
              </w:rPr>
              <w:t>3,900.00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81,900.00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69"/>
                <w:sz w:val="21"/>
                <w:szCs w:val="21"/>
              </w:rPr>
              <w:t> </w:t>
            </w:r>
            <w:r>
              <w:rPr>
                <w:rFonts w:ascii="宋体" w:hAnsi="宋体" w:cs="宋体" w:eastAsia="宋体" w:hint="default"/>
                <w:sz w:val="21"/>
                <w:szCs w:val="21"/>
              </w:rPr>
              <w:t>庆</w:t>
            </w:r>
            <w:r>
              <w:rPr>
                <w:rFonts w:ascii="宋体" w:hAnsi="宋体" w:cs="宋体" w:eastAsia="宋体" w:hint="default"/>
                <w:spacing w:val="-71"/>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际</w:t>
            </w:r>
          </w:p>
          <w:p>
            <w:pPr>
              <w:pStyle w:val="TableParagraph"/>
              <w:spacing w:line="272" w:lineRule="exact" w:before="27"/>
              <w:ind w:left="100" w:right="100"/>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z w:val="21"/>
                <w:szCs w:val="21"/>
              </w:rPr>
              <w:t>托</w:t>
            </w:r>
            <w:r>
              <w:rPr>
                <w:rFonts w:ascii="宋体" w:hAnsi="宋体" w:cs="宋体" w:eastAsia="宋体" w:hint="default"/>
                <w:spacing w:val="-71"/>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信托</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62,000.00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2017.12.19</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21"/>
                <w:szCs w:val="21"/>
              </w:rPr>
            </w:pPr>
            <w:r>
              <w:rPr>
                <w:rFonts w:ascii="宋体"/>
                <w:sz w:val="21"/>
              </w:rPr>
              <w:t>2018.12.19</w:t>
            </w:r>
          </w:p>
        </w:tc>
        <w:tc>
          <w:tcPr>
            <w:tcW w:w="434" w:type="dxa"/>
            <w:vMerge/>
            <w:tcBorders>
              <w:left w:val="single" w:sz="4" w:space="0" w:color="000000"/>
              <w:right w:val="single" w:sz="4" w:space="0" w:color="000000"/>
            </w:tcBorders>
          </w:tcPr>
          <w:p>
            <w:pPr/>
          </w:p>
        </w:tc>
        <w:tc>
          <w:tcPr>
            <w:tcW w:w="437" w:type="dxa"/>
            <w:vMerge/>
            <w:tcBorders>
              <w:left w:val="single" w:sz="4" w:space="0" w:color="000000"/>
              <w:right w:val="single" w:sz="4" w:space="0" w:color="000000"/>
            </w:tcBorders>
          </w:tcPr>
          <w:p>
            <w:pPr/>
          </w:p>
        </w:tc>
        <w:tc>
          <w:tcPr>
            <w:tcW w:w="434" w:type="dxa"/>
            <w:vMerge/>
            <w:tcBorders>
              <w:left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约</w:t>
            </w:r>
          </w:p>
          <w:p>
            <w:pPr>
              <w:pStyle w:val="TableParagraph"/>
              <w:spacing w:line="274" w:lineRule="exact"/>
              <w:ind w:left="103" w:right="0"/>
              <w:jc w:val="left"/>
              <w:rPr>
                <w:rFonts w:ascii="宋体" w:hAnsi="宋体" w:cs="宋体" w:eastAsia="宋体" w:hint="default"/>
                <w:sz w:val="21"/>
                <w:szCs w:val="21"/>
              </w:rPr>
            </w:pPr>
            <w:r>
              <w:rPr>
                <w:rFonts w:ascii="宋体"/>
                <w:sz w:val="21"/>
              </w:rPr>
              <w:t>5%</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21"/>
                <w:szCs w:val="21"/>
              </w:rPr>
            </w:pPr>
            <w:r>
              <w:rPr>
                <w:rFonts w:ascii="宋体"/>
                <w:spacing w:val="-1"/>
                <w:sz w:val="21"/>
              </w:rPr>
              <w:t>3,100.00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65,100.00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69"/>
                <w:sz w:val="21"/>
                <w:szCs w:val="21"/>
              </w:rPr>
              <w:t> </w:t>
            </w:r>
            <w:r>
              <w:rPr>
                <w:rFonts w:ascii="宋体" w:hAnsi="宋体" w:cs="宋体" w:eastAsia="宋体" w:hint="default"/>
                <w:sz w:val="21"/>
                <w:szCs w:val="21"/>
              </w:rPr>
              <w:t>庆</w:t>
            </w:r>
            <w:r>
              <w:rPr>
                <w:rFonts w:ascii="宋体" w:hAnsi="宋体" w:cs="宋体" w:eastAsia="宋体" w:hint="default"/>
                <w:spacing w:val="-71"/>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际</w:t>
            </w:r>
          </w:p>
          <w:p>
            <w:pPr>
              <w:pStyle w:val="TableParagraph"/>
              <w:spacing w:line="240" w:lineRule="auto"/>
              <w:ind w:left="100" w:right="100"/>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z w:val="21"/>
                <w:szCs w:val="21"/>
              </w:rPr>
              <w:t>托</w:t>
            </w:r>
            <w:r>
              <w:rPr>
                <w:rFonts w:ascii="宋体" w:hAnsi="宋体" w:cs="宋体" w:eastAsia="宋体" w:hint="default"/>
                <w:spacing w:val="-71"/>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信托</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50,000.00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2017.12.25</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21"/>
                <w:szCs w:val="21"/>
              </w:rPr>
            </w:pPr>
            <w:r>
              <w:rPr>
                <w:rFonts w:ascii="宋体"/>
                <w:sz w:val="21"/>
              </w:rPr>
              <w:t>2018.12.25</w:t>
            </w:r>
          </w:p>
        </w:tc>
        <w:tc>
          <w:tcPr>
            <w:tcW w:w="434" w:type="dxa"/>
            <w:vMerge/>
            <w:tcBorders>
              <w:left w:val="single" w:sz="4" w:space="0" w:color="000000"/>
              <w:right w:val="single" w:sz="4" w:space="0" w:color="000000"/>
            </w:tcBorders>
          </w:tcPr>
          <w:p>
            <w:pPr/>
          </w:p>
        </w:tc>
        <w:tc>
          <w:tcPr>
            <w:tcW w:w="437" w:type="dxa"/>
            <w:vMerge/>
            <w:tcBorders>
              <w:left w:val="single" w:sz="4" w:space="0" w:color="000000"/>
              <w:right w:val="single" w:sz="4" w:space="0" w:color="000000"/>
            </w:tcBorders>
          </w:tcPr>
          <w:p>
            <w:pPr/>
          </w:p>
        </w:tc>
        <w:tc>
          <w:tcPr>
            <w:tcW w:w="434" w:type="dxa"/>
            <w:vMerge/>
            <w:tcBorders>
              <w:left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约</w:t>
            </w:r>
          </w:p>
          <w:p>
            <w:pPr>
              <w:pStyle w:val="TableParagraph"/>
              <w:spacing w:line="272" w:lineRule="exact"/>
              <w:ind w:left="103" w:right="0"/>
              <w:jc w:val="left"/>
              <w:rPr>
                <w:rFonts w:ascii="宋体" w:hAnsi="宋体" w:cs="宋体" w:eastAsia="宋体" w:hint="default"/>
                <w:sz w:val="21"/>
                <w:szCs w:val="21"/>
              </w:rPr>
            </w:pPr>
            <w:r>
              <w:rPr>
                <w:rFonts w:ascii="宋体"/>
                <w:sz w:val="21"/>
              </w:rPr>
              <w:t>5.4</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21"/>
                <w:szCs w:val="21"/>
              </w:rPr>
            </w:pPr>
            <w:r>
              <w:rPr>
                <w:rFonts w:ascii="宋体"/>
                <w:spacing w:val="-1"/>
                <w:sz w:val="21"/>
              </w:rPr>
              <w:t>2,700.00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52,700.00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69"/>
                <w:sz w:val="21"/>
                <w:szCs w:val="21"/>
              </w:rPr>
              <w:t> </w:t>
            </w:r>
            <w:r>
              <w:rPr>
                <w:rFonts w:ascii="宋体" w:hAnsi="宋体" w:cs="宋体" w:eastAsia="宋体" w:hint="default"/>
                <w:sz w:val="21"/>
                <w:szCs w:val="21"/>
              </w:rPr>
              <w:t>庆</w:t>
            </w:r>
            <w:r>
              <w:rPr>
                <w:rFonts w:ascii="宋体" w:hAnsi="宋体" w:cs="宋体" w:eastAsia="宋体" w:hint="default"/>
                <w:spacing w:val="-71"/>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际</w:t>
            </w:r>
          </w:p>
          <w:p>
            <w:pPr>
              <w:pStyle w:val="TableParagraph"/>
              <w:spacing w:line="272" w:lineRule="exact" w:before="27"/>
              <w:ind w:left="100" w:right="100"/>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z w:val="21"/>
                <w:szCs w:val="21"/>
              </w:rPr>
              <w:t>托</w:t>
            </w:r>
            <w:r>
              <w:rPr>
                <w:rFonts w:ascii="宋体" w:hAnsi="宋体" w:cs="宋体" w:eastAsia="宋体" w:hint="default"/>
                <w:spacing w:val="-71"/>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信托</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80,000.00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2018.12.21</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21"/>
                <w:szCs w:val="21"/>
              </w:rPr>
            </w:pPr>
            <w:r>
              <w:rPr>
                <w:rFonts w:ascii="宋体"/>
                <w:sz w:val="21"/>
              </w:rPr>
              <w:t>2019.12.21</w:t>
            </w:r>
          </w:p>
        </w:tc>
        <w:tc>
          <w:tcPr>
            <w:tcW w:w="434" w:type="dxa"/>
            <w:vMerge/>
            <w:tcBorders>
              <w:left w:val="single" w:sz="4" w:space="0" w:color="000000"/>
              <w:right w:val="single" w:sz="4" w:space="0" w:color="000000"/>
            </w:tcBorders>
          </w:tcPr>
          <w:p>
            <w:pPr/>
          </w:p>
        </w:tc>
        <w:tc>
          <w:tcPr>
            <w:tcW w:w="437" w:type="dxa"/>
            <w:vMerge/>
            <w:tcBorders>
              <w:left w:val="single" w:sz="4" w:space="0" w:color="000000"/>
              <w:right w:val="single" w:sz="4" w:space="0" w:color="000000"/>
            </w:tcBorders>
          </w:tcPr>
          <w:p>
            <w:pPr/>
          </w:p>
        </w:tc>
        <w:tc>
          <w:tcPr>
            <w:tcW w:w="434" w:type="dxa"/>
            <w:vMerge/>
            <w:tcBorders>
              <w:left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约</w:t>
            </w:r>
          </w:p>
          <w:p>
            <w:pPr>
              <w:pStyle w:val="TableParagraph"/>
              <w:spacing w:line="272" w:lineRule="exact"/>
              <w:ind w:left="103" w:right="0"/>
              <w:jc w:val="left"/>
              <w:rPr>
                <w:rFonts w:ascii="宋体" w:hAnsi="宋体" w:cs="宋体" w:eastAsia="宋体" w:hint="default"/>
                <w:sz w:val="21"/>
                <w:szCs w:val="21"/>
              </w:rPr>
            </w:pPr>
            <w:r>
              <w:rPr>
                <w:rFonts w:ascii="宋体"/>
                <w:sz w:val="21"/>
              </w:rPr>
              <w:t>5.3</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w:t>
            </w:r>
          </w:p>
        </w:tc>
        <w:tc>
          <w:tcPr>
            <w:tcW w:w="1179"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69"/>
                <w:sz w:val="21"/>
                <w:szCs w:val="21"/>
              </w:rPr>
              <w:t> </w:t>
            </w:r>
            <w:r>
              <w:rPr>
                <w:rFonts w:ascii="宋体" w:hAnsi="宋体" w:cs="宋体" w:eastAsia="宋体" w:hint="default"/>
                <w:sz w:val="21"/>
                <w:szCs w:val="21"/>
              </w:rPr>
              <w:t>庆</w:t>
            </w:r>
            <w:r>
              <w:rPr>
                <w:rFonts w:ascii="宋体" w:hAnsi="宋体" w:cs="宋体" w:eastAsia="宋体" w:hint="default"/>
                <w:spacing w:val="-71"/>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际</w:t>
            </w:r>
          </w:p>
          <w:p>
            <w:pPr>
              <w:pStyle w:val="TableParagraph"/>
              <w:spacing w:line="272" w:lineRule="exact" w:before="27"/>
              <w:ind w:left="100" w:right="100"/>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69"/>
                <w:sz w:val="21"/>
                <w:szCs w:val="21"/>
              </w:rPr>
              <w:t> </w:t>
            </w:r>
            <w:r>
              <w:rPr>
                <w:rFonts w:ascii="宋体" w:hAnsi="宋体" w:cs="宋体" w:eastAsia="宋体" w:hint="default"/>
                <w:sz w:val="21"/>
                <w:szCs w:val="21"/>
              </w:rPr>
              <w:t>托</w:t>
            </w:r>
            <w:r>
              <w:rPr>
                <w:rFonts w:ascii="宋体" w:hAnsi="宋体" w:cs="宋体" w:eastAsia="宋体" w:hint="default"/>
                <w:spacing w:val="-71"/>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信托</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119,000.00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2018.12.21</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21"/>
                <w:szCs w:val="21"/>
              </w:rPr>
            </w:pPr>
            <w:r>
              <w:rPr>
                <w:rFonts w:ascii="宋体"/>
                <w:sz w:val="21"/>
              </w:rPr>
              <w:t>2019.12.21</w:t>
            </w:r>
          </w:p>
        </w:tc>
        <w:tc>
          <w:tcPr>
            <w:tcW w:w="434" w:type="dxa"/>
            <w:vMerge/>
            <w:tcBorders>
              <w:left w:val="single" w:sz="4" w:space="0" w:color="000000"/>
              <w:bottom w:val="single" w:sz="4" w:space="0" w:color="000000"/>
              <w:right w:val="single" w:sz="4" w:space="0" w:color="000000"/>
            </w:tcBorders>
          </w:tcPr>
          <w:p>
            <w:pPr/>
          </w:p>
        </w:tc>
        <w:tc>
          <w:tcPr>
            <w:tcW w:w="437" w:type="dxa"/>
            <w:vMerge/>
            <w:tcBorders>
              <w:left w:val="single" w:sz="4" w:space="0" w:color="000000"/>
              <w:bottom w:val="single" w:sz="4" w:space="0" w:color="000000"/>
              <w:right w:val="single" w:sz="4" w:space="0" w:color="000000"/>
            </w:tcBorders>
          </w:tcPr>
          <w:p>
            <w:pPr/>
          </w:p>
        </w:tc>
        <w:tc>
          <w:tcPr>
            <w:tcW w:w="434" w:type="dxa"/>
            <w:vMerge/>
            <w:tcBorders>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约</w:t>
            </w:r>
          </w:p>
          <w:p>
            <w:pPr>
              <w:pStyle w:val="TableParagraph"/>
              <w:spacing w:line="272" w:lineRule="exact"/>
              <w:ind w:left="103" w:right="0"/>
              <w:jc w:val="left"/>
              <w:rPr>
                <w:rFonts w:ascii="宋体" w:hAnsi="宋体" w:cs="宋体" w:eastAsia="宋体" w:hint="default"/>
                <w:sz w:val="21"/>
                <w:szCs w:val="21"/>
              </w:rPr>
            </w:pPr>
            <w:r>
              <w:rPr>
                <w:rFonts w:ascii="宋体"/>
                <w:sz w:val="21"/>
              </w:rPr>
              <w:t>5.3</w:t>
            </w:r>
          </w:p>
          <w:p>
            <w:pPr>
              <w:pStyle w:val="TableParagraph"/>
              <w:spacing w:line="273" w:lineRule="exact"/>
              <w:ind w:left="103" w:right="0"/>
              <w:jc w:val="left"/>
              <w:rPr>
                <w:rFonts w:ascii="宋体" w:hAnsi="宋体" w:cs="宋体" w:eastAsia="宋体" w:hint="default"/>
                <w:sz w:val="21"/>
                <w:szCs w:val="21"/>
              </w:rPr>
            </w:pPr>
            <w:r>
              <w:rPr>
                <w:rFonts w:ascii="宋体"/>
                <w:w w:val="100"/>
                <w:sz w:val="21"/>
              </w:rPr>
              <w:t>%</w:t>
            </w:r>
          </w:p>
        </w:tc>
        <w:tc>
          <w:tcPr>
            <w:tcW w:w="1179"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4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874"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b/>
                <w:w w:val="95"/>
                <w:sz w:val="21"/>
              </w:rPr>
              <w:t>389,000.00</w:t>
            </w:r>
            <w:r>
              <w:rPr>
                <w:rFonts w:ascii="宋体"/>
                <w:sz w:val="21"/>
              </w:rPr>
            </w:r>
          </w:p>
        </w:tc>
        <w:tc>
          <w:tcPr>
            <w:tcW w:w="1303"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79"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2"/>
          <w:szCs w:val="22"/>
        </w:rPr>
      </w:pPr>
    </w:p>
    <w:p>
      <w:pPr>
        <w:pStyle w:val="Heading2"/>
        <w:spacing w:line="240" w:lineRule="auto" w:before="26"/>
        <w:ind w:left="1238" w:right="0"/>
        <w:jc w:val="left"/>
        <w:rPr>
          <w:b w:val="0"/>
          <w:bCs w:val="0"/>
        </w:rPr>
      </w:pPr>
      <w:r>
        <w:rPr/>
        <w:t>其他情况</w:t>
      </w:r>
      <w:r>
        <w:rPr>
          <w:b w:val="0"/>
          <w:bCs w:val="0"/>
        </w:rPr>
      </w:r>
    </w:p>
    <w:p>
      <w:pPr>
        <w:pStyle w:val="BodyText"/>
        <w:tabs>
          <w:tab w:pos="2197" w:val="left" w:leader="none"/>
        </w:tabs>
        <w:spacing w:line="240" w:lineRule="auto" w:before="46"/>
        <w:ind w:left="1238" w:right="0"/>
        <w:jc w:val="left"/>
      </w:pPr>
      <w:r>
        <w:rPr>
          <w:spacing w:val="-1"/>
        </w:rPr>
        <w:t>□适用</w:t>
        <w:tab/>
      </w:r>
      <w:r>
        <w:rPr/>
        <w:t>√不适用</w:t>
      </w:r>
    </w:p>
    <w:p>
      <w:pPr>
        <w:spacing w:line="240" w:lineRule="auto" w:before="8"/>
        <w:rPr>
          <w:rFonts w:ascii="宋体" w:hAnsi="宋体" w:cs="宋体" w:eastAsia="宋体" w:hint="default"/>
          <w:sz w:val="35"/>
          <w:szCs w:val="35"/>
        </w:rPr>
      </w:pPr>
    </w:p>
    <w:p>
      <w:pPr>
        <w:pStyle w:val="Heading2"/>
        <w:spacing w:line="240" w:lineRule="auto"/>
        <w:ind w:left="1238" w:right="0"/>
        <w:jc w:val="left"/>
        <w:rPr>
          <w:b w:val="0"/>
          <w:bCs w:val="0"/>
        </w:rPr>
      </w:pPr>
      <w:r>
        <w:rPr>
          <w:rFonts w:ascii="宋体" w:hAnsi="宋体" w:cs="宋体" w:eastAsia="宋体" w:hint="default"/>
        </w:rPr>
        <w:t>(3)</w:t>
      </w:r>
      <w:r>
        <w:rPr>
          <w:rFonts w:ascii="宋体" w:hAnsi="宋体" w:cs="宋体" w:eastAsia="宋体" w:hint="default"/>
          <w:spacing w:val="-67"/>
        </w:rPr>
        <w:t> </w:t>
      </w:r>
      <w:r>
        <w:rPr/>
        <w:t>委托理财减值准备</w:t>
      </w:r>
      <w:r>
        <w:rPr>
          <w:b w:val="0"/>
          <w:bCs w:val="0"/>
        </w:rPr>
      </w:r>
    </w:p>
    <w:p>
      <w:pPr>
        <w:pStyle w:val="BodyText"/>
        <w:tabs>
          <w:tab w:pos="2197" w:val="left" w:leader="none"/>
        </w:tabs>
        <w:spacing w:line="240" w:lineRule="auto" w:before="106"/>
        <w:ind w:left="1238" w:right="0"/>
        <w:jc w:val="left"/>
      </w:pPr>
      <w:r>
        <w:rPr>
          <w:spacing w:val="-1"/>
        </w:rPr>
        <w:t>□适用</w:t>
        <w:tab/>
      </w:r>
      <w:r>
        <w:rPr/>
        <w:t>√不适用</w:t>
      </w:r>
    </w:p>
    <w:p>
      <w:pPr>
        <w:spacing w:line="240" w:lineRule="auto" w:before="8"/>
        <w:rPr>
          <w:rFonts w:ascii="宋体" w:hAnsi="宋体" w:cs="宋体" w:eastAsia="宋体" w:hint="default"/>
          <w:sz w:val="35"/>
          <w:szCs w:val="35"/>
        </w:rPr>
      </w:pPr>
    </w:p>
    <w:p>
      <w:pPr>
        <w:pStyle w:val="Heading2"/>
        <w:spacing w:line="240" w:lineRule="auto"/>
        <w:ind w:left="1238" w:right="0"/>
        <w:jc w:val="left"/>
        <w:rPr>
          <w:b w:val="0"/>
          <w:bCs w:val="0"/>
        </w:rPr>
      </w:pPr>
      <w:r>
        <w:rPr>
          <w:rFonts w:ascii="宋体" w:hAnsi="宋体" w:cs="宋体" w:eastAsia="宋体" w:hint="default"/>
        </w:rPr>
        <w:t>2.</w:t>
      </w:r>
      <w:r>
        <w:rPr>
          <w:rFonts w:ascii="宋体" w:hAnsi="宋体" w:cs="宋体" w:eastAsia="宋体" w:hint="default"/>
          <w:spacing w:val="59"/>
        </w:rPr>
        <w:t> </w:t>
      </w:r>
      <w:r>
        <w:rPr/>
        <w:t>委托贷款情况</w:t>
      </w:r>
      <w:r>
        <w:rPr>
          <w:b w:val="0"/>
          <w:bCs w:val="0"/>
        </w:rPr>
      </w:r>
    </w:p>
    <w:p>
      <w:pPr>
        <w:pStyle w:val="Heading2"/>
        <w:spacing w:line="240" w:lineRule="auto" w:before="106"/>
        <w:ind w:left="1238" w:right="0"/>
        <w:jc w:val="left"/>
        <w:rPr>
          <w:b w:val="0"/>
          <w:bCs w:val="0"/>
        </w:rPr>
      </w:pPr>
      <w:r>
        <w:rPr>
          <w:rFonts w:ascii="宋体" w:hAnsi="宋体" w:cs="宋体" w:eastAsia="宋体" w:hint="default"/>
        </w:rPr>
        <w:t>(1)</w:t>
      </w:r>
      <w:r>
        <w:rPr>
          <w:rFonts w:ascii="宋体" w:hAnsi="宋体" w:cs="宋体" w:eastAsia="宋体" w:hint="default"/>
          <w:spacing w:val="-67"/>
        </w:rPr>
        <w:t> </w:t>
      </w:r>
      <w:r>
        <w:rPr/>
        <w:t>委托贷款总体情况</w:t>
      </w:r>
      <w:r>
        <w:rPr>
          <w:b w:val="0"/>
          <w:bCs w:val="0"/>
        </w:rPr>
      </w:r>
    </w:p>
    <w:p>
      <w:pPr>
        <w:tabs>
          <w:tab w:pos="2197" w:val="left" w:leader="none"/>
        </w:tabs>
        <w:spacing w:line="276" w:lineRule="auto" w:before="106"/>
        <w:ind w:left="1238" w:right="8146" w:firstLine="0"/>
        <w:jc w:val="left"/>
        <w:rPr>
          <w:rFonts w:ascii="宋体" w:hAnsi="宋体" w:cs="宋体" w:eastAsia="宋体" w:hint="default"/>
          <w:sz w:val="24"/>
          <w:szCs w:val="24"/>
        </w:rPr>
      </w:pPr>
      <w:r>
        <w:rPr>
          <w:rFonts w:ascii="宋体" w:hAnsi="宋体" w:cs="宋体" w:eastAsia="宋体" w:hint="default"/>
          <w:spacing w:val="-1"/>
          <w:sz w:val="24"/>
          <w:szCs w:val="24"/>
        </w:rPr>
        <w:t>□适用</w:t>
        <w:tab/>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其他情况</w:t>
      </w:r>
      <w:r>
        <w:rPr>
          <w:rFonts w:ascii="宋体" w:hAnsi="宋体" w:cs="宋体" w:eastAsia="宋体" w:hint="default"/>
          <w:sz w:val="24"/>
          <w:szCs w:val="24"/>
        </w:rPr>
      </w:r>
    </w:p>
    <w:p>
      <w:pPr>
        <w:spacing w:after="0" w:line="276" w:lineRule="auto"/>
        <w:jc w:val="left"/>
        <w:rPr>
          <w:rFonts w:ascii="宋体" w:hAnsi="宋体" w:cs="宋体" w:eastAsia="宋体" w:hint="default"/>
          <w:sz w:val="24"/>
          <w:szCs w:val="24"/>
        </w:rPr>
        <w:sectPr>
          <w:type w:val="continuous"/>
          <w:pgSz w:w="11910" w:h="16840"/>
          <w:pgMar w:top="1000" w:bottom="280" w:left="560" w:right="40"/>
        </w:sectPr>
      </w:pPr>
    </w:p>
    <w:p>
      <w:pPr>
        <w:spacing w:before="25"/>
        <w:ind w:left="3044" w:right="3056"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BodyText"/>
        <w:spacing w:line="240" w:lineRule="auto" w:before="26"/>
        <w:ind w:right="0"/>
        <w:jc w:val="both"/>
      </w:pPr>
      <w:r>
        <w:rPr/>
        <w:t>□适用</w:t>
      </w:r>
      <w:r>
        <w:rPr>
          <w:spacing w:val="119"/>
        </w:rPr>
        <w:t> </w:t>
      </w:r>
      <w:r>
        <w:rPr/>
        <w:t>√不适用</w:t>
      </w:r>
    </w:p>
    <w:p>
      <w:pPr>
        <w:spacing w:line="240" w:lineRule="auto" w:before="8"/>
        <w:rPr>
          <w:rFonts w:ascii="宋体" w:hAnsi="宋体" w:cs="宋体" w:eastAsia="宋体" w:hint="default"/>
          <w:sz w:val="35"/>
          <w:szCs w:val="35"/>
        </w:rPr>
      </w:pPr>
    </w:p>
    <w:p>
      <w:pPr>
        <w:pStyle w:val="Heading2"/>
        <w:spacing w:line="240" w:lineRule="auto"/>
        <w:ind w:right="0"/>
        <w:jc w:val="both"/>
        <w:rPr>
          <w:b w:val="0"/>
          <w:bCs w:val="0"/>
        </w:rPr>
      </w:pPr>
      <w:r>
        <w:rPr>
          <w:rFonts w:ascii="宋体" w:hAnsi="宋体" w:cs="宋体" w:eastAsia="宋体" w:hint="default"/>
        </w:rPr>
        <w:t>(2)</w:t>
      </w:r>
      <w:r>
        <w:rPr>
          <w:rFonts w:ascii="宋体" w:hAnsi="宋体" w:cs="宋体" w:eastAsia="宋体" w:hint="default"/>
          <w:spacing w:val="-67"/>
        </w:rPr>
        <w:t> </w:t>
      </w:r>
      <w:r>
        <w:rPr/>
        <w:t>单项委托贷款情况</w:t>
      </w:r>
      <w:r>
        <w:rPr>
          <w:b w:val="0"/>
          <w:bCs w:val="0"/>
        </w:rPr>
      </w:r>
    </w:p>
    <w:p>
      <w:pPr>
        <w:tabs>
          <w:tab w:pos="1097" w:val="left" w:leader="none"/>
        </w:tabs>
        <w:spacing w:line="276" w:lineRule="auto" w:before="106"/>
        <w:ind w:left="138" w:right="7046" w:firstLine="0"/>
        <w:jc w:val="left"/>
        <w:rPr>
          <w:rFonts w:ascii="宋体" w:hAnsi="宋体" w:cs="宋体" w:eastAsia="宋体" w:hint="default"/>
          <w:sz w:val="24"/>
          <w:szCs w:val="24"/>
        </w:rPr>
      </w:pPr>
      <w:r>
        <w:rPr>
          <w:rFonts w:ascii="宋体" w:hAnsi="宋体" w:cs="宋体" w:eastAsia="宋体" w:hint="default"/>
          <w:spacing w:val="-1"/>
          <w:sz w:val="24"/>
          <w:szCs w:val="24"/>
        </w:rPr>
        <w:t>□适用</w:t>
        <w:tab/>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其他情况</w:t>
      </w:r>
      <w:r>
        <w:rPr>
          <w:rFonts w:ascii="宋体" w:hAnsi="宋体" w:cs="宋体" w:eastAsia="宋体" w:hint="default"/>
          <w:sz w:val="24"/>
          <w:szCs w:val="24"/>
        </w:rPr>
      </w:r>
    </w:p>
    <w:p>
      <w:pPr>
        <w:pStyle w:val="BodyText"/>
        <w:spacing w:line="240" w:lineRule="auto" w:before="10"/>
        <w:ind w:right="0"/>
        <w:jc w:val="both"/>
      </w:pPr>
      <w:r>
        <w:rPr/>
        <w:t>□适用</w:t>
      </w:r>
      <w:r>
        <w:rPr>
          <w:spacing w:val="119"/>
        </w:rPr>
        <w:t> </w:t>
      </w:r>
      <w:r>
        <w:rPr/>
        <w:t>√不适用</w:t>
      </w:r>
    </w:p>
    <w:p>
      <w:pPr>
        <w:spacing w:line="240" w:lineRule="auto" w:before="8"/>
        <w:rPr>
          <w:rFonts w:ascii="宋体" w:hAnsi="宋体" w:cs="宋体" w:eastAsia="宋体" w:hint="default"/>
          <w:sz w:val="35"/>
          <w:szCs w:val="35"/>
        </w:rPr>
      </w:pPr>
    </w:p>
    <w:p>
      <w:pPr>
        <w:pStyle w:val="Heading2"/>
        <w:spacing w:line="240" w:lineRule="auto"/>
        <w:ind w:right="0"/>
        <w:jc w:val="both"/>
        <w:rPr>
          <w:b w:val="0"/>
          <w:bCs w:val="0"/>
        </w:rPr>
      </w:pPr>
      <w:r>
        <w:rPr>
          <w:rFonts w:ascii="宋体" w:hAnsi="宋体" w:cs="宋体" w:eastAsia="宋体" w:hint="default"/>
        </w:rPr>
        <w:t>(3)</w:t>
      </w:r>
      <w:r>
        <w:rPr>
          <w:rFonts w:ascii="宋体" w:hAnsi="宋体" w:cs="宋体" w:eastAsia="宋体" w:hint="default"/>
          <w:spacing w:val="-67"/>
        </w:rPr>
        <w:t> </w:t>
      </w:r>
      <w:r>
        <w:rPr/>
        <w:t>委托贷款减值准备</w:t>
      </w:r>
      <w:r>
        <w:rPr>
          <w:b w:val="0"/>
          <w:bCs w:val="0"/>
        </w:rPr>
      </w:r>
    </w:p>
    <w:p>
      <w:pPr>
        <w:pStyle w:val="BodyText"/>
        <w:spacing w:line="240" w:lineRule="auto" w:before="106"/>
        <w:ind w:right="0"/>
        <w:jc w:val="both"/>
      </w:pPr>
      <w:r>
        <w:rPr/>
        <w:t>□适用</w:t>
      </w:r>
      <w:r>
        <w:rPr>
          <w:spacing w:val="119"/>
        </w:rPr>
        <w:t> </w:t>
      </w:r>
      <w:r>
        <w:rPr/>
        <w:t>√不适用</w:t>
      </w:r>
    </w:p>
    <w:p>
      <w:pPr>
        <w:spacing w:line="240" w:lineRule="auto" w:before="8"/>
        <w:rPr>
          <w:rFonts w:ascii="宋体" w:hAnsi="宋体" w:cs="宋体" w:eastAsia="宋体" w:hint="default"/>
          <w:sz w:val="35"/>
          <w:szCs w:val="35"/>
        </w:rPr>
      </w:pPr>
    </w:p>
    <w:p>
      <w:pPr>
        <w:pStyle w:val="Heading2"/>
        <w:spacing w:line="240" w:lineRule="auto"/>
        <w:ind w:right="0"/>
        <w:jc w:val="both"/>
        <w:rPr>
          <w:b w:val="0"/>
          <w:bCs w:val="0"/>
        </w:rPr>
      </w:pPr>
      <w:r>
        <w:rPr>
          <w:rFonts w:ascii="宋体" w:hAnsi="宋体" w:cs="宋体" w:eastAsia="宋体" w:hint="default"/>
        </w:rPr>
        <w:t>3.</w:t>
      </w:r>
      <w:r>
        <w:rPr>
          <w:rFonts w:ascii="宋体" w:hAnsi="宋体" w:cs="宋体" w:eastAsia="宋体" w:hint="default"/>
          <w:spacing w:val="63"/>
        </w:rPr>
        <w:t> </w:t>
      </w:r>
      <w:r>
        <w:rPr/>
        <w:t>其他情况</w:t>
      </w:r>
      <w:r>
        <w:rPr>
          <w:b w:val="0"/>
          <w:bCs w:val="0"/>
        </w:rPr>
      </w:r>
    </w:p>
    <w:p>
      <w:pPr>
        <w:pStyle w:val="BodyText"/>
        <w:spacing w:line="240" w:lineRule="auto" w:before="106"/>
        <w:ind w:right="0"/>
        <w:jc w:val="both"/>
      </w:pPr>
      <w:r>
        <w:rPr/>
        <w:t>□适用</w:t>
      </w:r>
      <w:r>
        <w:rPr>
          <w:spacing w:val="119"/>
        </w:rPr>
        <w:t> </w:t>
      </w:r>
      <w:r>
        <w:rPr/>
        <w:t>√不适用</w:t>
      </w:r>
    </w:p>
    <w:p>
      <w:pPr>
        <w:spacing w:line="240" w:lineRule="auto" w:before="8"/>
        <w:rPr>
          <w:rFonts w:ascii="宋体" w:hAnsi="宋体" w:cs="宋体" w:eastAsia="宋体" w:hint="default"/>
          <w:sz w:val="35"/>
          <w:szCs w:val="35"/>
        </w:rPr>
      </w:pPr>
    </w:p>
    <w:p>
      <w:pPr>
        <w:pStyle w:val="Heading2"/>
        <w:spacing w:line="240" w:lineRule="auto"/>
        <w:ind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11"/>
        </w:rPr>
        <w:t> </w:t>
      </w:r>
      <w:r>
        <w:rPr/>
        <w:t>其他重大合同</w:t>
      </w:r>
      <w:r>
        <w:rPr>
          <w:b w:val="0"/>
          <w:bCs w:val="0"/>
        </w:rPr>
      </w:r>
    </w:p>
    <w:p>
      <w:pPr>
        <w:pStyle w:val="BodyText"/>
        <w:spacing w:line="240" w:lineRule="auto" w:before="106"/>
        <w:ind w:right="0"/>
        <w:jc w:val="both"/>
      </w:pPr>
      <w:r>
        <w:rPr/>
        <w:t>□适用</w:t>
      </w:r>
      <w:r>
        <w:rPr>
          <w:spacing w:val="119"/>
        </w:rPr>
        <w:t> </w:t>
      </w:r>
      <w:r>
        <w:rPr/>
        <w:t>√不适用</w:t>
      </w:r>
    </w:p>
    <w:p>
      <w:pPr>
        <w:spacing w:line="240" w:lineRule="auto" w:before="8"/>
        <w:rPr>
          <w:rFonts w:ascii="宋体" w:hAnsi="宋体" w:cs="宋体" w:eastAsia="宋体" w:hint="default"/>
          <w:sz w:val="35"/>
          <w:szCs w:val="35"/>
        </w:rPr>
      </w:pPr>
    </w:p>
    <w:p>
      <w:pPr>
        <w:pStyle w:val="Heading2"/>
        <w:spacing w:line="240" w:lineRule="auto"/>
        <w:ind w:right="0"/>
        <w:jc w:val="both"/>
        <w:rPr>
          <w:b w:val="0"/>
          <w:bCs w:val="0"/>
        </w:rPr>
      </w:pPr>
      <w:r>
        <w:rPr/>
        <w:t>十六、其他重大事项的说明</w:t>
      </w:r>
      <w:r>
        <w:rPr>
          <w:b w:val="0"/>
          <w:bCs w:val="0"/>
        </w:rPr>
      </w:r>
    </w:p>
    <w:p>
      <w:pPr>
        <w:pStyle w:val="BodyText"/>
        <w:spacing w:line="240" w:lineRule="auto" w:before="106"/>
        <w:ind w:right="0"/>
        <w:jc w:val="both"/>
      </w:pPr>
      <w:r>
        <w:rPr/>
        <w:t>√适用</w:t>
      </w:r>
      <w:r>
        <w:rPr>
          <w:spacing w:val="-1"/>
        </w:rPr>
        <w:t> </w:t>
      </w:r>
      <w:r>
        <w:rPr/>
        <w:t>□不适用</w:t>
      </w:r>
    </w:p>
    <w:p>
      <w:pPr>
        <w:pStyle w:val="BodyText"/>
        <w:spacing w:line="240" w:lineRule="auto" w:before="46"/>
        <w:ind w:left="618" w:right="0"/>
        <w:jc w:val="left"/>
      </w:pPr>
      <w:r>
        <w:rPr/>
        <w:t>公司控股股东清华控股于</w:t>
      </w:r>
      <w:r>
        <w:rPr>
          <w:spacing w:val="-48"/>
        </w:rPr>
        <w:t> </w:t>
      </w:r>
      <w:r>
        <w:rPr>
          <w:rFonts w:ascii="宋体" w:hAnsi="宋体" w:cs="宋体" w:eastAsia="宋体" w:hint="default"/>
        </w:rPr>
        <w:t>2019</w:t>
      </w:r>
      <w:r>
        <w:rPr>
          <w:rFonts w:ascii="宋体" w:hAnsi="宋体" w:cs="宋体" w:eastAsia="宋体" w:hint="default"/>
          <w:spacing w:val="-48"/>
        </w:rPr>
        <w:t> </w:t>
      </w:r>
      <w:r>
        <w:rPr/>
        <w:t>年</w:t>
      </w:r>
      <w:r>
        <w:rPr>
          <w:spacing w:val="-48"/>
        </w:rPr>
        <w:t> </w:t>
      </w:r>
      <w:r>
        <w:rPr>
          <w:rFonts w:ascii="宋体" w:hAnsi="宋体" w:cs="宋体" w:eastAsia="宋体" w:hint="default"/>
        </w:rPr>
        <w:t>4</w:t>
      </w:r>
      <w:r>
        <w:rPr>
          <w:rFonts w:ascii="宋体" w:hAnsi="宋体" w:cs="宋体" w:eastAsia="宋体" w:hint="default"/>
          <w:spacing w:val="-48"/>
        </w:rPr>
        <w:t> </w:t>
      </w:r>
      <w:r>
        <w:rPr/>
        <w:t>月</w:t>
      </w:r>
      <w:r>
        <w:rPr>
          <w:spacing w:val="-48"/>
        </w:rPr>
        <w:t> </w:t>
      </w:r>
      <w:r>
        <w:rPr>
          <w:rFonts w:ascii="宋体" w:hAnsi="宋体" w:cs="宋体" w:eastAsia="宋体" w:hint="default"/>
        </w:rPr>
        <w:t>3</w:t>
      </w:r>
      <w:r>
        <w:rPr>
          <w:rFonts w:ascii="宋体" w:hAnsi="宋体" w:cs="宋体" w:eastAsia="宋体" w:hint="default"/>
          <w:spacing w:val="-48"/>
        </w:rPr>
        <w:t> </w:t>
      </w:r>
      <w:r>
        <w:rPr/>
        <w:t>日与中国核工业集团资本控股有限公司</w:t>
      </w:r>
    </w:p>
    <w:p>
      <w:pPr>
        <w:pStyle w:val="BodyText"/>
        <w:spacing w:line="276" w:lineRule="auto" w:before="46"/>
        <w:ind w:right="130"/>
        <w:jc w:val="both"/>
      </w:pPr>
      <w:r>
        <w:rPr>
          <w:spacing w:val="-2"/>
        </w:rPr>
        <w:t>（以下简称“中核资本”）签署了《清华控股有限公司与中国核工业集团资本控股有</w:t>
      </w:r>
      <w:r>
        <w:rPr>
          <w:spacing w:val="-95"/>
        </w:rPr>
        <w:t> </w:t>
      </w:r>
      <w:r>
        <w:rPr>
          <w:spacing w:val="-95"/>
        </w:rPr>
      </w:r>
      <w:r>
        <w:rPr>
          <w:spacing w:val="-2"/>
        </w:rPr>
        <w:t>限公司之股份转让协议》（以下简称“股份转让协议”），清华控股拟向中核资本转</w:t>
      </w:r>
      <w:r>
        <w:rPr>
          <w:spacing w:val="-94"/>
        </w:rPr>
        <w:t> </w:t>
      </w:r>
      <w:r>
        <w:rPr>
          <w:spacing w:val="-94"/>
        </w:rPr>
      </w:r>
      <w:r>
        <w:rPr/>
        <w:t>让</w:t>
      </w:r>
      <w:r>
        <w:rPr>
          <w:spacing w:val="-56"/>
        </w:rPr>
        <w:t> </w:t>
      </w:r>
      <w:r>
        <w:rPr>
          <w:rFonts w:ascii="宋体" w:hAnsi="宋体" w:cs="宋体" w:eastAsia="宋体" w:hint="default"/>
        </w:rPr>
        <w:t>622,418,780</w:t>
      </w:r>
      <w:r>
        <w:rPr>
          <w:rFonts w:ascii="宋体" w:hAnsi="宋体" w:cs="宋体" w:eastAsia="宋体" w:hint="default"/>
          <w:spacing w:val="-56"/>
        </w:rPr>
        <w:t> </w:t>
      </w:r>
      <w:r>
        <w:rPr/>
        <w:t>股公司股票（占公司总股本的</w:t>
      </w:r>
      <w:r>
        <w:rPr>
          <w:spacing w:val="-55"/>
        </w:rPr>
        <w:t> </w:t>
      </w:r>
      <w:r>
        <w:rPr>
          <w:rFonts w:ascii="宋体" w:hAnsi="宋体" w:cs="宋体" w:eastAsia="宋体" w:hint="default"/>
        </w:rPr>
        <w:t>21%</w:t>
      </w:r>
      <w:r>
        <w:rPr/>
        <w:t>）。若本次转让实施完成，则清华 控股直接持有公司</w:t>
      </w:r>
      <w:r>
        <w:rPr>
          <w:spacing w:val="-56"/>
        </w:rPr>
        <w:t> </w:t>
      </w:r>
      <w:r>
        <w:rPr>
          <w:rFonts w:ascii="宋体" w:hAnsi="宋体" w:cs="宋体" w:eastAsia="宋体" w:hint="default"/>
        </w:rPr>
        <w:t>140,892,217</w:t>
      </w:r>
      <w:r>
        <w:rPr>
          <w:rFonts w:ascii="宋体" w:hAnsi="宋体" w:cs="宋体" w:eastAsia="宋体" w:hint="default"/>
          <w:spacing w:val="-55"/>
        </w:rPr>
        <w:t> </w:t>
      </w:r>
      <w:r>
        <w:rPr/>
        <w:t>股（占公司总股本的</w:t>
      </w:r>
      <w:r>
        <w:rPr>
          <w:spacing w:val="-55"/>
        </w:rPr>
        <w:t> </w:t>
      </w:r>
      <w:r>
        <w:rPr>
          <w:rFonts w:ascii="宋体" w:hAnsi="宋体" w:cs="宋体" w:eastAsia="宋体" w:hint="default"/>
        </w:rPr>
        <w:t>4.75%</w:t>
      </w:r>
      <w:r>
        <w:rPr/>
        <w:t>），其通过其下属控股子 公司紫光集团有限公司持有公司</w:t>
      </w:r>
      <w:r>
        <w:rPr>
          <w:spacing w:val="-59"/>
        </w:rPr>
        <w:t> </w:t>
      </w:r>
      <w:r>
        <w:rPr>
          <w:rFonts w:ascii="宋体" w:hAnsi="宋体" w:cs="宋体" w:eastAsia="宋体" w:hint="default"/>
        </w:rPr>
        <w:t>69,637,883</w:t>
      </w:r>
      <w:r>
        <w:rPr>
          <w:rFonts w:ascii="宋体" w:hAnsi="宋体" w:cs="宋体" w:eastAsia="宋体" w:hint="default"/>
          <w:spacing w:val="-59"/>
        </w:rPr>
        <w:t> </w:t>
      </w:r>
      <w:r>
        <w:rPr>
          <w:spacing w:val="-4"/>
        </w:rPr>
        <w:t>股（占公司总股本的</w:t>
      </w:r>
      <w:r>
        <w:rPr>
          <w:spacing w:val="-59"/>
        </w:rPr>
        <w:t> </w:t>
      </w:r>
      <w:r>
        <w:rPr>
          <w:rFonts w:ascii="宋体" w:hAnsi="宋体" w:cs="宋体" w:eastAsia="宋体" w:hint="default"/>
          <w:spacing w:val="-7"/>
        </w:rPr>
        <w:t>2.35%</w:t>
      </w:r>
      <w:r>
        <w:rPr>
          <w:spacing w:val="-7"/>
        </w:rPr>
        <w:t>），合计持有</w:t>
      </w:r>
      <w:r>
        <w:rPr/>
        <w:t> 公司</w:t>
      </w:r>
      <w:r>
        <w:rPr>
          <w:spacing w:val="-57"/>
        </w:rPr>
        <w:t> </w:t>
      </w:r>
      <w:r>
        <w:rPr>
          <w:rFonts w:ascii="宋体" w:hAnsi="宋体" w:cs="宋体" w:eastAsia="宋体" w:hint="default"/>
          <w:spacing w:val="-4"/>
        </w:rPr>
        <w:t>7.10%</w:t>
      </w:r>
      <w:r>
        <w:rPr>
          <w:spacing w:val="-4"/>
        </w:rPr>
        <w:t>的股份，中核资本持有公司</w:t>
      </w:r>
      <w:r>
        <w:rPr>
          <w:spacing w:val="-56"/>
        </w:rPr>
        <w:t> </w:t>
      </w:r>
      <w:r>
        <w:rPr>
          <w:rFonts w:ascii="宋体" w:hAnsi="宋体" w:cs="宋体" w:eastAsia="宋体" w:hint="default"/>
        </w:rPr>
        <w:t>622,418,780</w:t>
      </w:r>
      <w:r>
        <w:rPr>
          <w:rFonts w:ascii="宋体" w:hAnsi="宋体" w:cs="宋体" w:eastAsia="宋体" w:hint="default"/>
          <w:spacing w:val="-56"/>
        </w:rPr>
        <w:t> </w:t>
      </w:r>
      <w:r>
        <w:rPr>
          <w:spacing w:val="-6"/>
        </w:rPr>
        <w:t>股股票（占公司总股本的</w:t>
      </w:r>
      <w:r>
        <w:rPr>
          <w:spacing w:val="-56"/>
        </w:rPr>
        <w:t> </w:t>
      </w:r>
      <w:r>
        <w:rPr>
          <w:rFonts w:ascii="宋体" w:hAnsi="宋体" w:cs="宋体" w:eastAsia="宋体" w:hint="default"/>
          <w:spacing w:val="-23"/>
        </w:rPr>
        <w:t>21%</w:t>
      </w:r>
      <w:r>
        <w:rPr>
          <w:spacing w:val="-23"/>
        </w:rPr>
        <w:t>），</w:t>
      </w:r>
      <w:r>
        <w:rPr>
          <w:spacing w:val="-115"/>
        </w:rPr>
        <w:t> </w:t>
      </w:r>
      <w:r>
        <w:rPr>
          <w:spacing w:val="-2"/>
        </w:rPr>
        <w:t>中核资本成为公司的控股股东，公司实际控制人由教育部变更为国务院国资委。上述</w:t>
      </w:r>
      <w:r>
        <w:rPr>
          <w:spacing w:val="-94"/>
        </w:rPr>
        <w:t> </w:t>
      </w:r>
      <w:r>
        <w:rPr>
          <w:spacing w:val="-94"/>
        </w:rPr>
      </w:r>
      <w:r>
        <w:rPr/>
        <w:t>情况详见公司于</w:t>
      </w:r>
      <w:r>
        <w:rPr>
          <w:spacing w:val="-49"/>
        </w:rPr>
        <w:t> </w:t>
      </w:r>
      <w:r>
        <w:rPr>
          <w:rFonts w:ascii="宋体" w:hAnsi="宋体" w:cs="宋体" w:eastAsia="宋体" w:hint="default"/>
        </w:rPr>
        <w:t>2019</w:t>
      </w:r>
      <w:r>
        <w:rPr>
          <w:rFonts w:ascii="宋体" w:hAnsi="宋体" w:cs="宋体" w:eastAsia="宋体" w:hint="default"/>
          <w:spacing w:val="-48"/>
        </w:rPr>
        <w:t> </w:t>
      </w:r>
      <w:r>
        <w:rPr/>
        <w:t>年</w:t>
      </w:r>
      <w:r>
        <w:rPr>
          <w:spacing w:val="-48"/>
        </w:rPr>
        <w:t> </w:t>
      </w:r>
      <w:r>
        <w:rPr>
          <w:rFonts w:ascii="宋体" w:hAnsi="宋体" w:cs="宋体" w:eastAsia="宋体" w:hint="default"/>
        </w:rPr>
        <w:t>4</w:t>
      </w:r>
      <w:r>
        <w:rPr>
          <w:rFonts w:ascii="宋体" w:hAnsi="宋体" w:cs="宋体" w:eastAsia="宋体" w:hint="default"/>
          <w:spacing w:val="-48"/>
        </w:rPr>
        <w:t> </w:t>
      </w:r>
      <w:r>
        <w:rPr/>
        <w:t>月</w:t>
      </w:r>
      <w:r>
        <w:rPr>
          <w:spacing w:val="-48"/>
        </w:rPr>
        <w:t> </w:t>
      </w:r>
      <w:r>
        <w:rPr>
          <w:rFonts w:ascii="宋体" w:hAnsi="宋体" w:cs="宋体" w:eastAsia="宋体" w:hint="default"/>
        </w:rPr>
        <w:t>4</w:t>
      </w:r>
      <w:r>
        <w:rPr>
          <w:rFonts w:ascii="宋体" w:hAnsi="宋体" w:cs="宋体" w:eastAsia="宋体" w:hint="default"/>
          <w:spacing w:val="-48"/>
        </w:rPr>
        <w:t> </w:t>
      </w:r>
      <w:r>
        <w:rPr/>
        <w:t>日刊登在中国证券报、上海证券报、证券时报和上海 证券交易所网站</w:t>
      </w:r>
      <w:r>
        <w:rPr>
          <w:spacing w:val="-61"/>
        </w:rPr>
        <w:t> </w:t>
      </w:r>
      <w:hyperlink r:id="rId9">
        <w:r>
          <w:rPr>
            <w:rFonts w:ascii="宋体" w:hAnsi="宋体" w:cs="宋体" w:eastAsia="宋体" w:hint="default"/>
          </w:rPr>
          <w:t>www.sse.com.cn</w:t>
        </w:r>
      </w:hyperlink>
      <w:r>
        <w:rPr>
          <w:rFonts w:ascii="宋体" w:hAnsi="宋体" w:cs="宋体" w:eastAsia="宋体" w:hint="default"/>
          <w:spacing w:val="-60"/>
        </w:rPr>
        <w:t> </w:t>
      </w:r>
      <w:r>
        <w:rPr/>
        <w:t>上的披露的临</w:t>
      </w:r>
      <w:r>
        <w:rPr>
          <w:spacing w:val="-60"/>
        </w:rPr>
        <w:t> </w:t>
      </w:r>
      <w:r>
        <w:rPr>
          <w:rFonts w:ascii="宋体" w:hAnsi="宋体" w:cs="宋体" w:eastAsia="宋体" w:hint="default"/>
        </w:rPr>
        <w:t>2019-009</w:t>
      </w:r>
      <w:r>
        <w:rPr>
          <w:rFonts w:ascii="宋体" w:hAnsi="宋体" w:cs="宋体" w:eastAsia="宋体" w:hint="default"/>
          <w:spacing w:val="-60"/>
        </w:rPr>
        <w:t> </w:t>
      </w:r>
      <w:r>
        <w:rPr>
          <w:spacing w:val="-4"/>
        </w:rPr>
        <w:t>号《关于控股股东协议转让</w:t>
      </w:r>
      <w:r>
        <w:rPr/>
        <w:t> </w:t>
      </w:r>
      <w:r>
        <w:rPr>
          <w:spacing w:val="-2"/>
        </w:rPr>
        <w:t>股份暨控股股东、实际控制人变更的提示性公告》（公告编号：</w:t>
      </w:r>
      <w:r>
        <w:rPr>
          <w:rFonts w:ascii="宋体" w:hAnsi="宋体" w:cs="宋体" w:eastAsia="宋体" w:hint="default"/>
          <w:spacing w:val="-2"/>
        </w:rPr>
        <w:t>2019-009</w:t>
      </w:r>
      <w:r>
        <w:rPr>
          <w:spacing w:val="-2"/>
        </w:rPr>
        <w:t>）。截至本</w:t>
      </w:r>
      <w:r>
        <w:rPr>
          <w:spacing w:val="-86"/>
        </w:rPr>
        <w:t> </w:t>
      </w:r>
      <w:r>
        <w:rPr>
          <w:spacing w:val="-86"/>
        </w:rPr>
      </w:r>
      <w:r>
        <w:rPr/>
        <w:t>报告披露日，上述事宜正在进展之中。</w:t>
      </w:r>
    </w:p>
    <w:p>
      <w:pPr>
        <w:spacing w:line="240" w:lineRule="auto" w:before="11"/>
        <w:rPr>
          <w:rFonts w:ascii="宋体" w:hAnsi="宋体" w:cs="宋体" w:eastAsia="宋体" w:hint="default"/>
          <w:sz w:val="32"/>
          <w:szCs w:val="32"/>
        </w:rPr>
      </w:pPr>
    </w:p>
    <w:p>
      <w:pPr>
        <w:pStyle w:val="Heading2"/>
        <w:tabs>
          <w:tab w:pos="989" w:val="left" w:leader="none"/>
        </w:tabs>
        <w:spacing w:line="321" w:lineRule="auto"/>
        <w:ind w:right="5113"/>
        <w:jc w:val="left"/>
        <w:rPr>
          <w:b w:val="0"/>
          <w:bCs w:val="0"/>
        </w:rPr>
      </w:pPr>
      <w:r>
        <w:rPr/>
        <w:t>十七、积极履行社会责任的工作情况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上市公司扶贫工作情况</w:t>
      </w:r>
      <w:r>
        <w:rPr>
          <w:b w:val="0"/>
          <w:bCs w:val="0"/>
        </w:rPr>
      </w:r>
    </w:p>
    <w:p>
      <w:pPr>
        <w:pStyle w:val="BodyText"/>
        <w:spacing w:line="240" w:lineRule="auto" w:before="24"/>
        <w:ind w:right="0"/>
        <w:jc w:val="both"/>
      </w:pPr>
      <w:r>
        <w:rPr/>
        <w:t>□适用</w:t>
      </w:r>
      <w:r>
        <w:rPr>
          <w:spacing w:val="-1"/>
        </w:rPr>
        <w:t> </w:t>
      </w:r>
      <w:r>
        <w:rPr/>
        <w:t>√不适用</w:t>
      </w:r>
    </w:p>
    <w:p>
      <w:pPr>
        <w:spacing w:after="0" w:line="240" w:lineRule="auto"/>
        <w:jc w:val="both"/>
        <w:sectPr>
          <w:pgSz w:w="11910" w:h="16840"/>
          <w:pgMar w:header="0" w:footer="1193" w:top="780" w:bottom="1380" w:left="1660" w:right="1140"/>
        </w:sectPr>
      </w:pPr>
    </w:p>
    <w:p>
      <w:pPr>
        <w:spacing w:before="25"/>
        <w:ind w:left="120" w:right="232"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Heading2"/>
        <w:spacing w:line="240" w:lineRule="auto" w:before="26"/>
        <w:ind w:right="97"/>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5"/>
        </w:rPr>
        <w:t> </w:t>
      </w:r>
      <w:r>
        <w:rPr/>
        <w:t>社会责任工作情况</w:t>
      </w:r>
      <w:r>
        <w:rPr>
          <w:b w:val="0"/>
          <w:bCs w:val="0"/>
        </w:rPr>
      </w:r>
    </w:p>
    <w:p>
      <w:pPr>
        <w:pStyle w:val="BodyText"/>
        <w:tabs>
          <w:tab w:pos="1097" w:val="left" w:leader="none"/>
        </w:tabs>
        <w:spacing w:line="240" w:lineRule="auto" w:before="106"/>
        <w:ind w:right="97"/>
        <w:jc w:val="left"/>
      </w:pPr>
      <w:r>
        <w:rPr>
          <w:spacing w:val="-1"/>
        </w:rPr>
        <w:t>√适用</w:t>
        <w:tab/>
      </w:r>
      <w:r>
        <w:rPr/>
        <w:t>□不适用</w:t>
      </w:r>
    </w:p>
    <w:p>
      <w:pPr>
        <w:pStyle w:val="BodyText"/>
        <w:spacing w:line="240" w:lineRule="auto" w:before="46"/>
        <w:ind w:left="558" w:right="97"/>
        <w:jc w:val="left"/>
      </w:pPr>
      <w:r>
        <w:rPr/>
        <w:t>关于公司本年度履行社会责任的工作情况，请参阅公司于</w:t>
      </w:r>
      <w:r>
        <w:rPr>
          <w:spacing w:val="-57"/>
        </w:rPr>
        <w:t> </w:t>
      </w:r>
      <w:r>
        <w:rPr>
          <w:rFonts w:ascii="宋体" w:hAnsi="宋体" w:cs="宋体" w:eastAsia="宋体" w:hint="default"/>
        </w:rPr>
        <w:t>2019</w:t>
      </w:r>
      <w:r>
        <w:rPr>
          <w:rFonts w:ascii="宋体" w:hAnsi="宋体" w:cs="宋体" w:eastAsia="宋体" w:hint="default"/>
          <w:spacing w:val="-58"/>
        </w:rPr>
        <w:t> </w:t>
      </w:r>
      <w:r>
        <w:rPr/>
        <w:t>年</w:t>
      </w:r>
      <w:r>
        <w:rPr>
          <w:spacing w:val="-57"/>
        </w:rPr>
        <w:t> </w:t>
      </w:r>
      <w:r>
        <w:rPr>
          <w:rFonts w:ascii="宋体" w:hAnsi="宋体" w:cs="宋体" w:eastAsia="宋体" w:hint="default"/>
        </w:rPr>
        <w:t>4</w:t>
      </w:r>
      <w:r>
        <w:rPr>
          <w:rFonts w:ascii="宋体" w:hAnsi="宋体" w:cs="宋体" w:eastAsia="宋体" w:hint="default"/>
          <w:spacing w:val="-58"/>
        </w:rPr>
        <w:t> </w:t>
      </w:r>
      <w:r>
        <w:rPr/>
        <w:t>月</w:t>
      </w:r>
      <w:r>
        <w:rPr>
          <w:spacing w:val="-58"/>
        </w:rPr>
        <w:t> </w:t>
      </w:r>
      <w:r>
        <w:rPr>
          <w:rFonts w:ascii="宋体" w:hAnsi="宋体" w:cs="宋体" w:eastAsia="宋体" w:hint="default"/>
        </w:rPr>
        <w:t>26</w:t>
      </w:r>
      <w:r>
        <w:rPr>
          <w:rFonts w:ascii="宋体" w:hAnsi="宋体" w:cs="宋体" w:eastAsia="宋体" w:hint="default"/>
          <w:spacing w:val="-58"/>
        </w:rPr>
        <w:t> </w:t>
      </w:r>
      <w:r>
        <w:rPr/>
        <w:t>日披露</w:t>
      </w:r>
    </w:p>
    <w:p>
      <w:pPr>
        <w:pStyle w:val="BodyText"/>
        <w:spacing w:line="240" w:lineRule="auto" w:before="46"/>
        <w:ind w:right="97"/>
        <w:jc w:val="left"/>
      </w:pPr>
      <w:r>
        <w:rPr/>
        <w:t>的《同方股份有限公司</w:t>
      </w:r>
      <w:r>
        <w:rPr>
          <w:spacing w:val="-60"/>
        </w:rPr>
        <w:t> </w:t>
      </w:r>
      <w:r>
        <w:rPr>
          <w:rFonts w:ascii="宋体" w:hAnsi="宋体" w:cs="宋体" w:eastAsia="宋体" w:hint="default"/>
        </w:rPr>
        <w:t>2018</w:t>
      </w:r>
      <w:r>
        <w:rPr>
          <w:rFonts w:ascii="宋体" w:hAnsi="宋体" w:cs="宋体" w:eastAsia="宋体" w:hint="default"/>
          <w:spacing w:val="-60"/>
        </w:rPr>
        <w:t> </w:t>
      </w:r>
      <w:r>
        <w:rPr/>
        <w:t>年度社会责任报告》。</w:t>
      </w:r>
    </w:p>
    <w:p>
      <w:pPr>
        <w:spacing w:line="240" w:lineRule="auto" w:before="8"/>
        <w:rPr>
          <w:rFonts w:ascii="宋体" w:hAnsi="宋体" w:cs="宋体" w:eastAsia="宋体" w:hint="default"/>
          <w:sz w:val="35"/>
          <w:szCs w:val="35"/>
        </w:rPr>
      </w:pPr>
    </w:p>
    <w:p>
      <w:pPr>
        <w:pStyle w:val="Heading2"/>
        <w:spacing w:line="240" w:lineRule="auto"/>
        <w:ind w:right="97"/>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5"/>
        </w:rPr>
        <w:t> </w:t>
      </w:r>
      <w:r>
        <w:rPr/>
        <w:t>环境信息情况</w:t>
      </w:r>
      <w:r>
        <w:rPr>
          <w:b w:val="0"/>
          <w:bCs w:val="0"/>
        </w:rPr>
      </w:r>
    </w:p>
    <w:p>
      <w:pPr>
        <w:pStyle w:val="Heading2"/>
        <w:spacing w:line="240" w:lineRule="auto" w:before="106"/>
        <w:ind w:right="97"/>
        <w:jc w:val="left"/>
        <w:rPr>
          <w:b w:val="0"/>
          <w:bCs w:val="0"/>
        </w:rPr>
      </w:pPr>
      <w:r>
        <w:rPr>
          <w:rFonts w:ascii="宋体" w:hAnsi="宋体" w:cs="宋体" w:eastAsia="宋体" w:hint="default"/>
        </w:rPr>
        <w:t>1.</w:t>
      </w:r>
      <w:r>
        <w:rPr>
          <w:rFonts w:ascii="宋体" w:hAnsi="宋体" w:cs="宋体" w:eastAsia="宋体" w:hint="default"/>
          <w:spacing w:val="60"/>
        </w:rPr>
        <w:t> </w:t>
      </w:r>
      <w:r>
        <w:rPr/>
        <w:t>属于环境保护部门公布的重点排污单位的公司及其重要子公司的环保情况说明</w:t>
      </w:r>
      <w:r>
        <w:rPr>
          <w:b w:val="0"/>
          <w:bCs w:val="0"/>
        </w:rPr>
      </w:r>
    </w:p>
    <w:p>
      <w:pPr>
        <w:pStyle w:val="BodyText"/>
        <w:spacing w:line="240" w:lineRule="auto" w:before="106"/>
        <w:ind w:right="97"/>
        <w:jc w:val="left"/>
      </w:pPr>
      <w:r>
        <w:rPr/>
        <w:t>√适用</w:t>
      </w:r>
      <w:r>
        <w:rPr>
          <w:spacing w:val="-1"/>
        </w:rPr>
        <w:t> </w:t>
      </w:r>
      <w:r>
        <w:rPr/>
        <w:t>□不适用</w:t>
      </w:r>
    </w:p>
    <w:p>
      <w:pPr>
        <w:pStyle w:val="BodyText"/>
        <w:spacing w:line="276" w:lineRule="auto" w:before="46"/>
        <w:ind w:right="233" w:firstLine="479"/>
        <w:jc w:val="both"/>
      </w:pPr>
      <w:r>
        <w:rPr/>
        <w:t>淮安同方水务有限公司系公司持股</w:t>
      </w:r>
      <w:r>
        <w:rPr>
          <w:spacing w:val="-54"/>
        </w:rPr>
        <w:t> </w:t>
      </w:r>
      <w:r>
        <w:rPr>
          <w:rFonts w:ascii="宋体" w:hAnsi="宋体" w:cs="宋体" w:eastAsia="宋体" w:hint="default"/>
          <w:spacing w:val="-5"/>
        </w:rPr>
        <w:t>49.55%</w:t>
      </w:r>
      <w:r>
        <w:rPr>
          <w:spacing w:val="-5"/>
        </w:rPr>
        <w:t>的下属控股子公司，现建设运营的四季</w:t>
      </w:r>
      <w:r>
        <w:rPr/>
        <w:t> </w:t>
      </w:r>
      <w:r>
        <w:rPr>
          <w:spacing w:val="-2"/>
        </w:rPr>
        <w:t>青污水处理厂和第二污水处理厂及其全资子公司淮安同方清安水务运营有限公司（负</w:t>
      </w:r>
      <w:r>
        <w:rPr>
          <w:spacing w:val="-94"/>
        </w:rPr>
        <w:t> </w:t>
      </w:r>
      <w:r>
        <w:rPr>
          <w:spacing w:val="-94"/>
        </w:rPr>
      </w:r>
      <w:r>
        <w:rPr>
          <w:spacing w:val="-2"/>
        </w:rPr>
        <w:t>责运营淮安市主城区污水处理再生利用设施项目），被淮安市环保局列入市级重点排</w:t>
      </w:r>
      <w:r>
        <w:rPr>
          <w:spacing w:val="-94"/>
        </w:rPr>
        <w:t> </w:t>
      </w:r>
      <w:r>
        <w:rPr>
          <w:spacing w:val="-94"/>
        </w:rPr>
      </w:r>
      <w:r>
        <w:rPr/>
        <w:t>污单位名录。</w:t>
      </w:r>
    </w:p>
    <w:p>
      <w:pPr>
        <w:spacing w:line="240" w:lineRule="auto" w:before="4"/>
        <w:rPr>
          <w:rFonts w:ascii="宋体" w:hAnsi="宋体" w:cs="宋体" w:eastAsia="宋体" w:hint="default"/>
          <w:sz w:val="28"/>
          <w:szCs w:val="28"/>
        </w:rPr>
      </w:pPr>
    </w:p>
    <w:p>
      <w:pPr>
        <w:pStyle w:val="BodyText"/>
        <w:spacing w:line="276" w:lineRule="auto"/>
        <w:ind w:right="233" w:firstLine="479"/>
        <w:jc w:val="both"/>
      </w:pPr>
      <w:r>
        <w:rPr/>
        <w:t>扬州同方水务有限公司系公司持股</w:t>
      </w:r>
      <w:r>
        <w:rPr>
          <w:spacing w:val="-59"/>
        </w:rPr>
        <w:t> </w:t>
      </w:r>
      <w:r>
        <w:rPr>
          <w:rFonts w:ascii="宋体" w:hAnsi="宋体" w:cs="宋体" w:eastAsia="宋体" w:hint="default"/>
          <w:spacing w:val="-5"/>
        </w:rPr>
        <w:t>100%</w:t>
      </w:r>
      <w:r>
        <w:rPr>
          <w:spacing w:val="-5"/>
        </w:rPr>
        <w:t>的全资子公司，现建设运营高邮市湖西污</w:t>
      </w:r>
      <w:r>
        <w:rPr/>
        <w:t> 水处理厂，被扬州市环保局列入市级重点排污单位名录。</w:t>
      </w:r>
    </w:p>
    <w:p>
      <w:pPr>
        <w:spacing w:line="240" w:lineRule="auto" w:before="11"/>
        <w:rPr>
          <w:rFonts w:ascii="宋体" w:hAnsi="宋体" w:cs="宋体" w:eastAsia="宋体" w:hint="default"/>
          <w:sz w:val="32"/>
          <w:szCs w:val="32"/>
        </w:rPr>
      </w:pPr>
    </w:p>
    <w:p>
      <w:pPr>
        <w:pStyle w:val="Heading2"/>
        <w:spacing w:line="240" w:lineRule="auto"/>
        <w:ind w:right="97"/>
        <w:jc w:val="left"/>
        <w:rPr>
          <w:b w:val="0"/>
          <w:bCs w:val="0"/>
        </w:rPr>
      </w:pPr>
      <w:r>
        <w:rPr>
          <w:rFonts w:ascii="宋体" w:hAnsi="宋体" w:cs="宋体" w:eastAsia="宋体" w:hint="default"/>
        </w:rPr>
        <w:t>(1)</w:t>
      </w:r>
      <w:r>
        <w:rPr>
          <w:rFonts w:ascii="宋体" w:hAnsi="宋体" w:cs="宋体" w:eastAsia="宋体" w:hint="default"/>
          <w:spacing w:val="-63"/>
        </w:rPr>
        <w:t> </w:t>
      </w:r>
      <w:r>
        <w:rPr/>
        <w:t>排污信息</w:t>
      </w:r>
      <w:r>
        <w:rPr>
          <w:b w:val="0"/>
          <w:bCs w:val="0"/>
        </w:rPr>
      </w:r>
    </w:p>
    <w:p>
      <w:pPr>
        <w:pStyle w:val="BodyText"/>
        <w:spacing w:line="240" w:lineRule="auto" w:before="106"/>
        <w:ind w:right="97"/>
        <w:jc w:val="left"/>
      </w:pPr>
      <w:r>
        <w:rPr/>
        <w:t>√适用</w:t>
      </w:r>
      <w:r>
        <w:rPr>
          <w:spacing w:val="-1"/>
        </w:rPr>
        <w:t> </w:t>
      </w:r>
      <w:r>
        <w:rPr/>
        <w:t>□不适用</w:t>
      </w:r>
    </w:p>
    <w:p>
      <w:pPr>
        <w:pStyle w:val="BodyText"/>
        <w:spacing w:line="276" w:lineRule="auto" w:before="46"/>
        <w:ind w:right="110" w:firstLine="479"/>
        <w:jc w:val="left"/>
      </w:pPr>
      <w:r>
        <w:rPr/>
        <w:t>（</w:t>
      </w:r>
      <w:r>
        <w:rPr>
          <w:rFonts w:ascii="宋体" w:hAnsi="宋体" w:cs="宋体" w:eastAsia="宋体" w:hint="default"/>
        </w:rPr>
        <w:t>1</w:t>
      </w:r>
      <w:r>
        <w:rPr/>
        <w:t>）四季青污水处理厂规模为</w:t>
      </w:r>
      <w:r>
        <w:rPr>
          <w:spacing w:val="-72"/>
        </w:rPr>
        <w:t> </w:t>
      </w:r>
      <w:r>
        <w:rPr>
          <w:rFonts w:ascii="宋体" w:hAnsi="宋体" w:cs="宋体" w:eastAsia="宋体" w:hint="default"/>
        </w:rPr>
        <w:t>10.5</w:t>
      </w:r>
      <w:r>
        <w:rPr>
          <w:rFonts w:ascii="宋体" w:hAnsi="宋体" w:cs="宋体" w:eastAsia="宋体" w:hint="default"/>
          <w:spacing w:val="-72"/>
        </w:rPr>
        <w:t> </w:t>
      </w:r>
      <w:r>
        <w:rPr/>
        <w:t>万吨</w:t>
      </w:r>
      <w:r>
        <w:rPr>
          <w:rFonts w:ascii="宋体" w:hAnsi="宋体" w:cs="宋体" w:eastAsia="宋体" w:hint="default"/>
        </w:rPr>
        <w:t>/</w:t>
      </w:r>
      <w:r>
        <w:rPr/>
        <w:t>日，采用“</w:t>
      </w:r>
      <w:r>
        <w:rPr>
          <w:rFonts w:ascii="宋体" w:hAnsi="宋体" w:cs="宋体" w:eastAsia="宋体" w:hint="default"/>
        </w:rPr>
        <w:t>MBBR+</w:t>
      </w:r>
      <w:r>
        <w:rPr/>
        <w:t>磁混凝澄清”深度处 </w:t>
      </w:r>
      <w:r>
        <w:rPr>
          <w:spacing w:val="-8"/>
        </w:rPr>
        <w:t>理工艺，出水执行《城镇污水处理厂污染物排放标准（</w:t>
      </w:r>
      <w:r>
        <w:rPr>
          <w:rFonts w:ascii="宋体" w:hAnsi="宋体" w:cs="宋体" w:eastAsia="宋体" w:hint="default"/>
          <w:spacing w:val="-8"/>
        </w:rPr>
        <w:t>GB18918-2002</w:t>
      </w:r>
      <w:r>
        <w:rPr>
          <w:spacing w:val="-8"/>
        </w:rPr>
        <w:t>）》一级</w:t>
      </w:r>
      <w:r>
        <w:rPr>
          <w:spacing w:val="-53"/>
        </w:rPr>
        <w:t> </w:t>
      </w:r>
      <w:r>
        <w:rPr>
          <w:rFonts w:ascii="宋体" w:hAnsi="宋体" w:cs="宋体" w:eastAsia="宋体" w:hint="default"/>
        </w:rPr>
        <w:t>A</w:t>
      </w:r>
      <w:r>
        <w:rPr>
          <w:rFonts w:ascii="宋体" w:hAnsi="宋体" w:cs="宋体" w:eastAsia="宋体" w:hint="default"/>
          <w:spacing w:val="-53"/>
        </w:rPr>
        <w:t> </w:t>
      </w:r>
      <w:r>
        <w:rPr/>
        <w:t>标准，</w:t>
      </w:r>
      <w:r>
        <w:rPr>
          <w:spacing w:val="-105"/>
        </w:rPr>
        <w:t> </w:t>
      </w:r>
      <w:r>
        <w:rPr/>
        <w:t>尾水通过明渠经废水总排口</w:t>
      </w:r>
      <w:r>
        <w:rPr>
          <w:spacing w:val="-89"/>
        </w:rPr>
        <w:t> </w:t>
      </w:r>
      <w:r>
        <w:rPr>
          <w:rFonts w:ascii="宋体" w:hAnsi="宋体" w:cs="宋体" w:eastAsia="宋体" w:hint="default"/>
        </w:rPr>
        <w:t>1</w:t>
      </w:r>
      <w:r>
        <w:rPr>
          <w:rFonts w:ascii="宋体" w:hAnsi="宋体" w:cs="宋体" w:eastAsia="宋体" w:hint="default"/>
          <w:spacing w:val="-89"/>
        </w:rPr>
        <w:t> </w:t>
      </w:r>
      <w:r>
        <w:rPr/>
        <w:t>和废水总排口</w:t>
      </w:r>
      <w:r>
        <w:rPr>
          <w:spacing w:val="-87"/>
        </w:rPr>
        <w:t> </w:t>
      </w:r>
      <w:r>
        <w:rPr>
          <w:rFonts w:ascii="宋体" w:hAnsi="宋体" w:cs="宋体" w:eastAsia="宋体" w:hint="default"/>
        </w:rPr>
        <w:t>2</w:t>
      </w:r>
      <w:r>
        <w:rPr>
          <w:rFonts w:ascii="宋体" w:hAnsi="宋体" w:cs="宋体" w:eastAsia="宋体" w:hint="default"/>
          <w:spacing w:val="-86"/>
        </w:rPr>
        <w:t> </w:t>
      </w:r>
      <w:r>
        <w:rPr>
          <w:spacing w:val="-11"/>
        </w:rPr>
        <w:t>排入清安河，排放方式为</w:t>
      </w:r>
      <w:r>
        <w:rPr>
          <w:spacing w:val="-89"/>
        </w:rPr>
        <w:t> </w:t>
      </w:r>
      <w:r>
        <w:rPr>
          <w:rFonts w:ascii="宋体" w:hAnsi="宋体" w:cs="宋体" w:eastAsia="宋体" w:hint="default"/>
        </w:rPr>
        <w:t>24h</w:t>
      </w:r>
      <w:r>
        <w:rPr>
          <w:rFonts w:ascii="宋体" w:hAnsi="宋体" w:cs="宋体" w:eastAsia="宋体" w:hint="default"/>
          <w:spacing w:val="-89"/>
        </w:rPr>
        <w:t> </w:t>
      </w:r>
      <w:r>
        <w:rPr/>
        <w:t>连续排放。 年排放总量核定为 </w:t>
      </w:r>
      <w:r>
        <w:rPr>
          <w:rFonts w:ascii="宋体" w:hAnsi="宋体" w:cs="宋体" w:eastAsia="宋体" w:hint="default"/>
        </w:rPr>
        <w:t>COD</w:t>
      </w:r>
      <w:r>
        <w:rPr/>
        <w:t>≤</w:t>
      </w:r>
      <w:r>
        <w:rPr>
          <w:rFonts w:ascii="宋体" w:hAnsi="宋体" w:cs="宋体" w:eastAsia="宋体" w:hint="default"/>
        </w:rPr>
        <w:t>1916.3 </w:t>
      </w:r>
      <w:r>
        <w:rPr/>
        <w:t>吨，</w:t>
      </w:r>
      <w:r>
        <w:rPr>
          <w:rFonts w:ascii="宋体" w:hAnsi="宋体" w:cs="宋体" w:eastAsia="宋体" w:hint="default"/>
        </w:rPr>
        <w:t>BOD5</w:t>
      </w:r>
      <w:r>
        <w:rPr/>
        <w:t>≤</w:t>
      </w:r>
      <w:r>
        <w:rPr>
          <w:rFonts w:ascii="宋体" w:hAnsi="宋体" w:cs="宋体" w:eastAsia="宋体" w:hint="default"/>
        </w:rPr>
        <w:t>383.3 </w:t>
      </w:r>
      <w:r>
        <w:rPr/>
        <w:t>吨，</w:t>
      </w:r>
      <w:r>
        <w:rPr>
          <w:rFonts w:ascii="宋体" w:hAnsi="宋体" w:cs="宋体" w:eastAsia="宋体" w:hint="default"/>
        </w:rPr>
        <w:t>SS</w:t>
      </w:r>
      <w:r>
        <w:rPr/>
        <w:t>≤</w:t>
      </w:r>
      <w:r>
        <w:rPr>
          <w:rFonts w:ascii="宋体" w:hAnsi="宋体" w:cs="宋体" w:eastAsia="宋体" w:hint="default"/>
        </w:rPr>
        <w:t>383.3</w:t>
      </w:r>
      <w:r>
        <w:rPr>
          <w:rFonts w:ascii="宋体" w:hAnsi="宋体" w:cs="宋体" w:eastAsia="宋体" w:hint="default"/>
          <w:spacing w:val="-48"/>
        </w:rPr>
        <w:t> </w:t>
      </w:r>
      <w:r>
        <w:rPr/>
        <w:t>吨，氨氮≤</w:t>
      </w:r>
      <w:r>
        <w:rPr>
          <w:rFonts w:ascii="宋体" w:hAnsi="宋体" w:cs="宋体" w:eastAsia="宋体" w:hint="default"/>
        </w:rPr>
        <w:t>191.6 </w:t>
      </w:r>
      <w:r>
        <w:rPr>
          <w:spacing w:val="-3"/>
        </w:rPr>
        <w:t>吨，</w:t>
      </w:r>
      <w:r>
        <w:rPr>
          <w:rFonts w:ascii="宋体" w:hAnsi="宋体" w:cs="宋体" w:eastAsia="宋体" w:hint="default"/>
          <w:spacing w:val="-3"/>
        </w:rPr>
        <w:t>TN</w:t>
      </w:r>
      <w:r>
        <w:rPr>
          <w:spacing w:val="-3"/>
        </w:rPr>
        <w:t>≤</w:t>
      </w:r>
      <w:r>
        <w:rPr>
          <w:rFonts w:ascii="宋体" w:hAnsi="宋体" w:cs="宋体" w:eastAsia="宋体" w:hint="default"/>
          <w:spacing w:val="-3"/>
        </w:rPr>
        <w:t>574.9</w:t>
      </w:r>
      <w:r>
        <w:rPr>
          <w:rFonts w:ascii="宋体" w:hAnsi="宋体" w:cs="宋体" w:eastAsia="宋体" w:hint="default"/>
          <w:spacing w:val="-64"/>
        </w:rPr>
        <w:t> </w:t>
      </w:r>
      <w:r>
        <w:rPr>
          <w:spacing w:val="-3"/>
        </w:rPr>
        <w:t>吨，</w:t>
      </w:r>
      <w:r>
        <w:rPr>
          <w:rFonts w:ascii="宋体" w:hAnsi="宋体" w:cs="宋体" w:eastAsia="宋体" w:hint="default"/>
          <w:spacing w:val="-3"/>
        </w:rPr>
        <w:t>TP</w:t>
      </w:r>
      <w:r>
        <w:rPr>
          <w:spacing w:val="-3"/>
        </w:rPr>
        <w:t>≤</w:t>
      </w:r>
      <w:r>
        <w:rPr>
          <w:rFonts w:ascii="宋体" w:hAnsi="宋体" w:cs="宋体" w:eastAsia="宋体" w:hint="default"/>
          <w:spacing w:val="-3"/>
        </w:rPr>
        <w:t>19.2</w:t>
      </w:r>
      <w:r>
        <w:rPr>
          <w:rFonts w:ascii="宋体" w:hAnsi="宋体" w:cs="宋体" w:eastAsia="宋体" w:hint="default"/>
          <w:spacing w:val="-64"/>
        </w:rPr>
        <w:t> </w:t>
      </w:r>
      <w:r>
        <w:rPr>
          <w:spacing w:val="-5"/>
        </w:rPr>
        <w:t>吨。</w:t>
      </w:r>
      <w:r>
        <w:rPr>
          <w:rFonts w:ascii="宋体" w:hAnsi="宋体" w:cs="宋体" w:eastAsia="宋体" w:hint="default"/>
          <w:spacing w:val="-5"/>
        </w:rPr>
        <w:t>2018</w:t>
      </w:r>
      <w:r>
        <w:rPr>
          <w:rFonts w:ascii="宋体" w:hAnsi="宋体" w:cs="宋体" w:eastAsia="宋体" w:hint="default"/>
          <w:spacing w:val="-64"/>
        </w:rPr>
        <w:t> </w:t>
      </w:r>
      <w:r>
        <w:rPr/>
        <w:t>年度，淮安市四季青污水处理厂累计排放化学 需氧量（</w:t>
      </w:r>
      <w:r>
        <w:rPr>
          <w:rFonts w:ascii="宋体" w:hAnsi="宋体" w:cs="宋体" w:eastAsia="宋体" w:hint="default"/>
        </w:rPr>
        <w:t>COD</w:t>
      </w:r>
      <w:r>
        <w:rPr/>
        <w:t>）</w:t>
      </w:r>
      <w:r>
        <w:rPr>
          <w:rFonts w:ascii="宋体" w:hAnsi="宋体" w:cs="宋体" w:eastAsia="宋体" w:hint="default"/>
        </w:rPr>
        <w:t>937.72</w:t>
      </w:r>
      <w:r>
        <w:rPr>
          <w:rFonts w:ascii="宋体" w:hAnsi="宋体" w:cs="宋体" w:eastAsia="宋体" w:hint="default"/>
          <w:spacing w:val="-56"/>
        </w:rPr>
        <w:t> </w:t>
      </w:r>
      <w:r>
        <w:rPr/>
        <w:t>吨、生化需氧量（</w:t>
      </w:r>
      <w:r>
        <w:rPr>
          <w:rFonts w:ascii="宋体" w:hAnsi="宋体" w:cs="宋体" w:eastAsia="宋体" w:hint="default"/>
        </w:rPr>
        <w:t>BOD5</w:t>
      </w:r>
      <w:r>
        <w:rPr/>
        <w:t>）</w:t>
      </w:r>
      <w:r>
        <w:rPr>
          <w:rFonts w:ascii="宋体" w:hAnsi="宋体" w:cs="宋体" w:eastAsia="宋体" w:hint="default"/>
        </w:rPr>
        <w:t>124.57</w:t>
      </w:r>
      <w:r>
        <w:rPr>
          <w:rFonts w:ascii="宋体" w:hAnsi="宋体" w:cs="宋体" w:eastAsia="宋体" w:hint="default"/>
          <w:spacing w:val="-57"/>
        </w:rPr>
        <w:t> </w:t>
      </w:r>
      <w:r>
        <w:rPr/>
        <w:t>吨、悬浮物（</w:t>
      </w:r>
      <w:r>
        <w:rPr>
          <w:rFonts w:ascii="宋体" w:hAnsi="宋体" w:cs="宋体" w:eastAsia="宋体" w:hint="default"/>
        </w:rPr>
        <w:t>SS</w:t>
      </w:r>
      <w:r>
        <w:rPr/>
        <w:t>）</w:t>
      </w:r>
      <w:r>
        <w:rPr>
          <w:rFonts w:ascii="宋体" w:hAnsi="宋体" w:cs="宋体" w:eastAsia="宋体" w:hint="default"/>
        </w:rPr>
        <w:t>252.99</w:t>
      </w:r>
      <w:r>
        <w:rPr>
          <w:rFonts w:ascii="宋体" w:hAnsi="宋体" w:cs="宋体" w:eastAsia="宋体" w:hint="default"/>
          <w:spacing w:val="-57"/>
        </w:rPr>
        <w:t> </w:t>
      </w:r>
      <w:r>
        <w:rPr/>
        <w:t>吨、 氨氮（</w:t>
      </w:r>
      <w:r>
        <w:rPr>
          <w:rFonts w:ascii="宋体" w:hAnsi="宋体" w:cs="宋体" w:eastAsia="宋体" w:hint="default"/>
        </w:rPr>
        <w:t>NH3-N</w:t>
      </w:r>
      <w:r>
        <w:rPr/>
        <w:t>）</w:t>
      </w:r>
      <w:r>
        <w:rPr>
          <w:rFonts w:ascii="宋体" w:hAnsi="宋体" w:cs="宋体" w:eastAsia="宋体" w:hint="default"/>
        </w:rPr>
        <w:t>105.75</w:t>
      </w:r>
      <w:r>
        <w:rPr>
          <w:rFonts w:ascii="宋体" w:hAnsi="宋体" w:cs="宋体" w:eastAsia="宋体" w:hint="default"/>
          <w:spacing w:val="-61"/>
        </w:rPr>
        <w:t> </w:t>
      </w:r>
      <w:r>
        <w:rPr/>
        <w:t>吨、总磷（</w:t>
      </w:r>
      <w:r>
        <w:rPr>
          <w:rFonts w:ascii="宋体" w:hAnsi="宋体" w:cs="宋体" w:eastAsia="宋体" w:hint="default"/>
        </w:rPr>
        <w:t>TP</w:t>
      </w:r>
      <w:r>
        <w:rPr/>
        <w:t>）</w:t>
      </w:r>
      <w:r>
        <w:rPr>
          <w:rFonts w:ascii="宋体" w:hAnsi="宋体" w:cs="宋体" w:eastAsia="宋体" w:hint="default"/>
        </w:rPr>
        <w:t>7.22</w:t>
      </w:r>
      <w:r>
        <w:rPr>
          <w:rFonts w:ascii="宋体" w:hAnsi="宋体" w:cs="宋体" w:eastAsia="宋体" w:hint="default"/>
          <w:spacing w:val="-61"/>
        </w:rPr>
        <w:t> </w:t>
      </w:r>
      <w:r>
        <w:rPr/>
        <w:t>吨、总氮（</w:t>
      </w:r>
      <w:r>
        <w:rPr>
          <w:rFonts w:ascii="宋体" w:hAnsi="宋体" w:cs="宋体" w:eastAsia="宋体" w:hint="default"/>
        </w:rPr>
        <w:t>TN</w:t>
      </w:r>
      <w:r>
        <w:rPr/>
        <w:t>）</w:t>
      </w:r>
      <w:r>
        <w:rPr>
          <w:rFonts w:ascii="宋体" w:hAnsi="宋体" w:cs="宋体" w:eastAsia="宋体" w:hint="default"/>
        </w:rPr>
        <w:t>386.06</w:t>
      </w:r>
      <w:r>
        <w:rPr>
          <w:rFonts w:ascii="宋体" w:hAnsi="宋体" w:cs="宋体" w:eastAsia="宋体" w:hint="default"/>
          <w:spacing w:val="-61"/>
        </w:rPr>
        <w:t> </w:t>
      </w:r>
      <w:r>
        <w:rPr/>
        <w:t>吨。</w:t>
      </w:r>
    </w:p>
    <w:p>
      <w:pPr>
        <w:spacing w:line="240" w:lineRule="auto" w:before="4"/>
        <w:rPr>
          <w:rFonts w:ascii="宋体" w:hAnsi="宋体" w:cs="宋体" w:eastAsia="宋体" w:hint="default"/>
          <w:sz w:val="28"/>
          <w:szCs w:val="28"/>
        </w:rPr>
      </w:pPr>
    </w:p>
    <w:p>
      <w:pPr>
        <w:pStyle w:val="BodyText"/>
        <w:spacing w:line="276" w:lineRule="auto"/>
        <w:ind w:right="228" w:firstLine="479"/>
        <w:jc w:val="both"/>
      </w:pPr>
      <w:r>
        <w:rPr/>
        <w:t>（</w:t>
      </w:r>
      <w:r>
        <w:rPr>
          <w:rFonts w:ascii="宋体" w:hAnsi="宋体" w:cs="宋体" w:eastAsia="宋体" w:hint="default"/>
        </w:rPr>
        <w:t>2</w:t>
      </w:r>
      <w:r>
        <w:rPr/>
        <w:t>）第二污水处理厂规模为 </w:t>
      </w:r>
      <w:r>
        <w:rPr>
          <w:rFonts w:ascii="宋体" w:hAnsi="宋体" w:cs="宋体" w:eastAsia="宋体" w:hint="default"/>
        </w:rPr>
        <w:t>10</w:t>
      </w:r>
      <w:r>
        <w:rPr>
          <w:rFonts w:ascii="宋体" w:hAnsi="宋体" w:cs="宋体" w:eastAsia="宋体" w:hint="default"/>
          <w:spacing w:val="-48"/>
        </w:rPr>
        <w:t> </w:t>
      </w:r>
      <w:r>
        <w:rPr/>
        <w:t>万吨</w:t>
      </w:r>
      <w:r>
        <w:rPr>
          <w:rFonts w:ascii="宋体" w:hAnsi="宋体" w:cs="宋体" w:eastAsia="宋体" w:hint="default"/>
        </w:rPr>
        <w:t>/</w:t>
      </w:r>
      <w:r>
        <w:rPr/>
        <w:t>日，采用“一级强化</w:t>
      </w:r>
      <w:r>
        <w:rPr>
          <w:rFonts w:ascii="宋体" w:hAnsi="宋体" w:cs="宋体" w:eastAsia="宋体" w:hint="default"/>
        </w:rPr>
        <w:t>+</w:t>
      </w:r>
      <w:r>
        <w:rPr/>
        <w:t>前置反硝化滤池</w:t>
      </w:r>
      <w:r>
        <w:rPr>
          <w:rFonts w:ascii="宋体" w:hAnsi="宋体" w:cs="宋体" w:eastAsia="宋体" w:hint="default"/>
        </w:rPr>
        <w:t>+</w:t>
      </w:r>
      <w:r>
        <w:rPr/>
        <w:t>曝 </w:t>
      </w:r>
      <w:r>
        <w:rPr>
          <w:spacing w:val="-2"/>
        </w:rPr>
        <w:t>气生物滤池</w:t>
      </w:r>
      <w:r>
        <w:rPr>
          <w:rFonts w:ascii="宋体" w:hAnsi="宋体" w:cs="宋体" w:eastAsia="宋体" w:hint="default"/>
          <w:spacing w:val="-2"/>
        </w:rPr>
        <w:t>+</w:t>
      </w:r>
      <w:r>
        <w:rPr>
          <w:spacing w:val="-2"/>
        </w:rPr>
        <w:t>后置反硝化生物滤池</w:t>
      </w:r>
      <w:r>
        <w:rPr>
          <w:rFonts w:ascii="宋体" w:hAnsi="宋体" w:cs="宋体" w:eastAsia="宋体" w:hint="default"/>
          <w:spacing w:val="-2"/>
        </w:rPr>
        <w:t>+</w:t>
      </w:r>
      <w:r>
        <w:rPr>
          <w:spacing w:val="-2"/>
        </w:rPr>
        <w:t>磁混凝澄清池”生产工艺，出水执行《城镇污水处</w:t>
      </w:r>
      <w:r>
        <w:rPr>
          <w:spacing w:val="-94"/>
        </w:rPr>
        <w:t> </w:t>
      </w:r>
      <w:r>
        <w:rPr>
          <w:spacing w:val="-94"/>
        </w:rPr>
      </w:r>
      <w:r>
        <w:rPr/>
        <w:t>理厂污染物排放标准（</w:t>
      </w:r>
      <w:r>
        <w:rPr>
          <w:rFonts w:ascii="宋体" w:hAnsi="宋体" w:cs="宋体" w:eastAsia="宋体" w:hint="default"/>
        </w:rPr>
        <w:t>GB18918-2002</w:t>
      </w:r>
      <w:r>
        <w:rPr/>
        <w:t>）》一级</w:t>
      </w:r>
      <w:r>
        <w:rPr>
          <w:spacing w:val="-72"/>
        </w:rPr>
        <w:t> </w:t>
      </w:r>
      <w:r>
        <w:rPr>
          <w:rFonts w:ascii="宋体" w:hAnsi="宋体" w:cs="宋体" w:eastAsia="宋体" w:hint="default"/>
        </w:rPr>
        <w:t>A</w:t>
      </w:r>
      <w:r>
        <w:rPr>
          <w:rFonts w:ascii="宋体" w:hAnsi="宋体" w:cs="宋体" w:eastAsia="宋体" w:hint="default"/>
          <w:spacing w:val="-72"/>
        </w:rPr>
        <w:t> </w:t>
      </w:r>
      <w:r>
        <w:rPr/>
        <w:t>标准，尾水利用重力流通过</w:t>
      </w:r>
      <w:r>
        <w:rPr>
          <w:spacing w:val="-72"/>
        </w:rPr>
        <w:t> </w:t>
      </w:r>
      <w:r>
        <w:rPr>
          <w:rFonts w:ascii="宋体" w:hAnsi="宋体" w:cs="宋体" w:eastAsia="宋体" w:hint="default"/>
        </w:rPr>
        <w:t>1</w:t>
      </w:r>
      <w:r>
        <w:rPr>
          <w:rFonts w:ascii="宋体" w:hAnsi="宋体" w:cs="宋体" w:eastAsia="宋体" w:hint="default"/>
          <w:spacing w:val="-72"/>
        </w:rPr>
        <w:t> </w:t>
      </w:r>
      <w:r>
        <w:rPr/>
        <w:t>个明渠 排污口排入清安河，排放方式为</w:t>
      </w:r>
      <w:r>
        <w:rPr>
          <w:spacing w:val="29"/>
        </w:rPr>
        <w:t> </w:t>
      </w:r>
      <w:r>
        <w:rPr>
          <w:rFonts w:ascii="宋体" w:hAnsi="宋体" w:cs="宋体" w:eastAsia="宋体" w:hint="default"/>
        </w:rPr>
        <w:t>24h</w:t>
      </w:r>
      <w:r>
        <w:rPr>
          <w:rFonts w:ascii="宋体" w:hAnsi="宋体" w:cs="宋体" w:eastAsia="宋体" w:hint="default"/>
          <w:spacing w:val="29"/>
        </w:rPr>
        <w:t> </w:t>
      </w:r>
      <w:r>
        <w:rPr/>
        <w:t>连续排放。年排放总量核定为：</w:t>
      </w:r>
      <w:r>
        <w:rPr>
          <w:rFonts w:ascii="宋体" w:hAnsi="宋体" w:cs="宋体" w:eastAsia="宋体" w:hint="default"/>
        </w:rPr>
        <w:t>COD</w:t>
      </w:r>
      <w:r>
        <w:rPr/>
        <w:t>≤</w:t>
      </w:r>
      <w:r>
        <w:rPr>
          <w:rFonts w:ascii="宋体" w:hAnsi="宋体" w:cs="宋体" w:eastAsia="宋体" w:hint="default"/>
        </w:rPr>
        <w:t>2264.83</w:t>
      </w:r>
      <w:r>
        <w:rPr>
          <w:rFonts w:ascii="宋体" w:hAnsi="宋体" w:cs="宋体" w:eastAsia="宋体" w:hint="default"/>
          <w:spacing w:val="-116"/>
        </w:rPr>
        <w:t> </w:t>
      </w:r>
      <w:r>
        <w:rPr>
          <w:spacing w:val="-3"/>
        </w:rPr>
        <w:t>吨，</w:t>
      </w:r>
      <w:r>
        <w:rPr>
          <w:rFonts w:ascii="宋体" w:hAnsi="宋体" w:cs="宋体" w:eastAsia="宋体" w:hint="default"/>
          <w:spacing w:val="-3"/>
        </w:rPr>
        <w:t>BOD5</w:t>
      </w:r>
      <w:r>
        <w:rPr>
          <w:spacing w:val="-3"/>
        </w:rPr>
        <w:t>≤</w:t>
      </w:r>
      <w:r>
        <w:rPr>
          <w:rFonts w:ascii="宋体" w:hAnsi="宋体" w:cs="宋体" w:eastAsia="宋体" w:hint="default"/>
          <w:spacing w:val="-3"/>
        </w:rPr>
        <w:t>452.97</w:t>
      </w:r>
      <w:r>
        <w:rPr>
          <w:rFonts w:ascii="宋体" w:hAnsi="宋体" w:cs="宋体" w:eastAsia="宋体" w:hint="default"/>
          <w:spacing w:val="-53"/>
        </w:rPr>
        <w:t> </w:t>
      </w:r>
      <w:r>
        <w:rPr>
          <w:spacing w:val="-3"/>
        </w:rPr>
        <w:t>吨，</w:t>
      </w:r>
      <w:r>
        <w:rPr>
          <w:rFonts w:ascii="宋体" w:hAnsi="宋体" w:cs="宋体" w:eastAsia="宋体" w:hint="default"/>
          <w:spacing w:val="-3"/>
        </w:rPr>
        <w:t>SS</w:t>
      </w:r>
      <w:r>
        <w:rPr>
          <w:spacing w:val="-3"/>
        </w:rPr>
        <w:t>≤</w:t>
      </w:r>
      <w:r>
        <w:rPr>
          <w:rFonts w:ascii="宋体" w:hAnsi="宋体" w:cs="宋体" w:eastAsia="宋体" w:hint="default"/>
          <w:spacing w:val="-3"/>
        </w:rPr>
        <w:t>452.97</w:t>
      </w:r>
      <w:r>
        <w:rPr>
          <w:rFonts w:ascii="宋体" w:hAnsi="宋体" w:cs="宋体" w:eastAsia="宋体" w:hint="default"/>
          <w:spacing w:val="-53"/>
        </w:rPr>
        <w:t> </w:t>
      </w:r>
      <w:r>
        <w:rPr>
          <w:spacing w:val="-4"/>
        </w:rPr>
        <w:t>吨，氨氮≤</w:t>
      </w:r>
      <w:r>
        <w:rPr>
          <w:rFonts w:ascii="宋体" w:hAnsi="宋体" w:cs="宋体" w:eastAsia="宋体" w:hint="default"/>
          <w:spacing w:val="-4"/>
        </w:rPr>
        <w:t>226.48</w:t>
      </w:r>
      <w:r>
        <w:rPr>
          <w:rFonts w:ascii="宋体" w:hAnsi="宋体" w:cs="宋体" w:eastAsia="宋体" w:hint="default"/>
          <w:spacing w:val="-53"/>
        </w:rPr>
        <w:t> </w:t>
      </w:r>
      <w:r>
        <w:rPr>
          <w:spacing w:val="-4"/>
        </w:rPr>
        <w:t>吨，</w:t>
      </w:r>
      <w:r>
        <w:rPr>
          <w:rFonts w:ascii="宋体" w:hAnsi="宋体" w:cs="宋体" w:eastAsia="宋体" w:hint="default"/>
          <w:spacing w:val="-4"/>
        </w:rPr>
        <w:t>TN</w:t>
      </w:r>
      <w:r>
        <w:rPr>
          <w:spacing w:val="-4"/>
        </w:rPr>
        <w:t>≤</w:t>
      </w:r>
      <w:r>
        <w:rPr>
          <w:rFonts w:ascii="宋体" w:hAnsi="宋体" w:cs="宋体" w:eastAsia="宋体" w:hint="default"/>
          <w:spacing w:val="-4"/>
        </w:rPr>
        <w:t>679.45</w:t>
      </w:r>
      <w:r>
        <w:rPr>
          <w:rFonts w:ascii="宋体" w:hAnsi="宋体" w:cs="宋体" w:eastAsia="宋体" w:hint="default"/>
          <w:spacing w:val="-53"/>
        </w:rPr>
        <w:t> </w:t>
      </w:r>
      <w:r>
        <w:rPr>
          <w:spacing w:val="-4"/>
        </w:rPr>
        <w:t>吨，</w:t>
      </w:r>
      <w:r>
        <w:rPr>
          <w:rFonts w:ascii="宋体" w:hAnsi="宋体" w:cs="宋体" w:eastAsia="宋体" w:hint="default"/>
          <w:spacing w:val="-4"/>
        </w:rPr>
        <w:t>TP</w:t>
      </w:r>
      <w:r>
        <w:rPr>
          <w:spacing w:val="-4"/>
        </w:rPr>
        <w:t>≤</w:t>
      </w:r>
      <w:r>
        <w:rPr>
          <w:rFonts w:ascii="宋体" w:hAnsi="宋体" w:cs="宋体" w:eastAsia="宋体" w:hint="default"/>
          <w:spacing w:val="-4"/>
        </w:rPr>
        <w:t>22.65</w:t>
      </w:r>
      <w:r>
        <w:rPr>
          <w:rFonts w:ascii="宋体" w:hAnsi="宋体" w:cs="宋体" w:eastAsia="宋体" w:hint="default"/>
        </w:rPr>
        <w:t> </w:t>
      </w:r>
      <w:r>
        <w:rPr/>
        <w:t>吨。</w:t>
      </w:r>
      <w:r>
        <w:rPr>
          <w:rFonts w:ascii="宋体" w:hAnsi="宋体" w:cs="宋体" w:eastAsia="宋体" w:hint="default"/>
        </w:rPr>
        <w:t>2018</w:t>
      </w:r>
      <w:r>
        <w:rPr>
          <w:rFonts w:ascii="宋体" w:hAnsi="宋体" w:cs="宋体" w:eastAsia="宋体" w:hint="default"/>
          <w:spacing w:val="-77"/>
        </w:rPr>
        <w:t> </w:t>
      </w:r>
      <w:r>
        <w:rPr/>
        <w:t>年，淮安市第二污水处理厂全年累计排放化学需氧量（</w:t>
      </w:r>
      <w:r>
        <w:rPr>
          <w:rFonts w:ascii="宋体" w:hAnsi="宋体" w:cs="宋体" w:eastAsia="宋体" w:hint="default"/>
        </w:rPr>
        <w:t>COD</w:t>
      </w:r>
      <w:r>
        <w:rPr/>
        <w:t>）</w:t>
      </w:r>
      <w:r>
        <w:rPr>
          <w:rFonts w:ascii="宋体" w:hAnsi="宋体" w:cs="宋体" w:eastAsia="宋体" w:hint="default"/>
        </w:rPr>
        <w:t>671.50</w:t>
      </w:r>
      <w:r>
        <w:rPr>
          <w:rFonts w:ascii="宋体" w:hAnsi="宋体" w:cs="宋体" w:eastAsia="宋体" w:hint="default"/>
          <w:spacing w:val="-77"/>
        </w:rPr>
        <w:t> </w:t>
      </w:r>
      <w:r>
        <w:rPr>
          <w:spacing w:val="-4"/>
        </w:rPr>
        <w:t>吨、生</w:t>
      </w:r>
      <w:r>
        <w:rPr/>
        <w:t> </w:t>
      </w:r>
      <w:r>
        <w:rPr>
          <w:spacing w:val="-13"/>
        </w:rPr>
        <w:t>化需氧量（</w:t>
      </w:r>
      <w:r>
        <w:rPr>
          <w:rFonts w:ascii="宋体" w:hAnsi="宋体" w:cs="宋体" w:eastAsia="宋体" w:hint="default"/>
          <w:spacing w:val="-13"/>
        </w:rPr>
        <w:t>BOD5</w:t>
      </w:r>
      <w:r>
        <w:rPr>
          <w:spacing w:val="-13"/>
        </w:rPr>
        <w:t>）</w:t>
      </w:r>
      <w:r>
        <w:rPr>
          <w:rFonts w:ascii="宋体" w:hAnsi="宋体" w:cs="宋体" w:eastAsia="宋体" w:hint="default"/>
          <w:spacing w:val="-13"/>
        </w:rPr>
        <w:t>90.77</w:t>
      </w:r>
      <w:r>
        <w:rPr>
          <w:rFonts w:ascii="宋体" w:hAnsi="宋体" w:cs="宋体" w:eastAsia="宋体" w:hint="default"/>
          <w:spacing w:val="-54"/>
        </w:rPr>
        <w:t> </w:t>
      </w:r>
      <w:r>
        <w:rPr>
          <w:spacing w:val="-19"/>
        </w:rPr>
        <w:t>吨、悬浮物（</w:t>
      </w:r>
      <w:r>
        <w:rPr>
          <w:rFonts w:ascii="宋体" w:hAnsi="宋体" w:cs="宋体" w:eastAsia="宋体" w:hint="default"/>
          <w:spacing w:val="-19"/>
        </w:rPr>
        <w:t>SS</w:t>
      </w:r>
      <w:r>
        <w:rPr>
          <w:spacing w:val="-19"/>
        </w:rPr>
        <w:t>）</w:t>
      </w:r>
      <w:r>
        <w:rPr>
          <w:rFonts w:ascii="宋体" w:hAnsi="宋体" w:cs="宋体" w:eastAsia="宋体" w:hint="default"/>
          <w:spacing w:val="-19"/>
        </w:rPr>
        <w:t>261.77</w:t>
      </w:r>
      <w:r>
        <w:rPr>
          <w:rFonts w:ascii="宋体" w:hAnsi="宋体" w:cs="宋体" w:eastAsia="宋体" w:hint="default"/>
          <w:spacing w:val="-54"/>
        </w:rPr>
        <w:t> </w:t>
      </w:r>
      <w:r>
        <w:rPr>
          <w:spacing w:val="-21"/>
        </w:rPr>
        <w:t>吨、总氮（</w:t>
      </w:r>
      <w:r>
        <w:rPr>
          <w:rFonts w:ascii="宋体" w:hAnsi="宋体" w:cs="宋体" w:eastAsia="宋体" w:hint="default"/>
          <w:spacing w:val="-21"/>
        </w:rPr>
        <w:t>TN</w:t>
      </w:r>
      <w:r>
        <w:rPr>
          <w:spacing w:val="-21"/>
        </w:rPr>
        <w:t>）</w:t>
      </w:r>
      <w:r>
        <w:rPr>
          <w:rFonts w:ascii="宋体" w:hAnsi="宋体" w:cs="宋体" w:eastAsia="宋体" w:hint="default"/>
          <w:spacing w:val="-21"/>
        </w:rPr>
        <w:t>425.43</w:t>
      </w:r>
      <w:r>
        <w:rPr>
          <w:rFonts w:ascii="宋体" w:hAnsi="宋体" w:cs="宋体" w:eastAsia="宋体" w:hint="default"/>
          <w:spacing w:val="-51"/>
        </w:rPr>
        <w:t> </w:t>
      </w:r>
      <w:r>
        <w:rPr>
          <w:spacing w:val="-18"/>
        </w:rPr>
        <w:t>吨、氨氮（</w:t>
      </w:r>
      <w:r>
        <w:rPr>
          <w:rFonts w:ascii="宋体" w:hAnsi="宋体" w:cs="宋体" w:eastAsia="宋体" w:hint="default"/>
          <w:spacing w:val="-18"/>
        </w:rPr>
        <w:t>NH3-N</w:t>
      </w:r>
      <w:r>
        <w:rPr>
          <w:spacing w:val="-18"/>
        </w:rPr>
        <w:t>）</w:t>
      </w:r>
      <w:r>
        <w:rPr/>
        <w:t> </w:t>
      </w:r>
      <w:r>
        <w:rPr>
          <w:rFonts w:ascii="宋体" w:hAnsi="宋体" w:cs="宋体" w:eastAsia="宋体" w:hint="default"/>
        </w:rPr>
        <w:t>53.37</w:t>
      </w:r>
      <w:r>
        <w:rPr>
          <w:rFonts w:ascii="宋体" w:hAnsi="宋体" w:cs="宋体" w:eastAsia="宋体" w:hint="default"/>
          <w:spacing w:val="-61"/>
        </w:rPr>
        <w:t> </w:t>
      </w:r>
      <w:r>
        <w:rPr/>
        <w:t>吨、总磷（</w:t>
      </w:r>
      <w:r>
        <w:rPr>
          <w:rFonts w:ascii="宋体" w:hAnsi="宋体" w:cs="宋体" w:eastAsia="宋体" w:hint="default"/>
        </w:rPr>
        <w:t>TP</w:t>
      </w:r>
      <w:r>
        <w:rPr/>
        <w:t>）</w:t>
      </w:r>
      <w:r>
        <w:rPr>
          <w:rFonts w:ascii="宋体" w:hAnsi="宋体" w:cs="宋体" w:eastAsia="宋体" w:hint="default"/>
        </w:rPr>
        <w:t>10.15</w:t>
      </w:r>
      <w:r>
        <w:rPr>
          <w:rFonts w:ascii="宋体" w:hAnsi="宋体" w:cs="宋体" w:eastAsia="宋体" w:hint="default"/>
          <w:spacing w:val="-60"/>
        </w:rPr>
        <w:t> </w:t>
      </w:r>
      <w:r>
        <w:rPr/>
        <w:t>吨。</w:t>
      </w:r>
    </w:p>
    <w:p>
      <w:pPr>
        <w:spacing w:line="240" w:lineRule="auto" w:before="4"/>
        <w:rPr>
          <w:rFonts w:ascii="宋体" w:hAnsi="宋体" w:cs="宋体" w:eastAsia="宋体" w:hint="default"/>
          <w:sz w:val="28"/>
          <w:szCs w:val="28"/>
        </w:rPr>
      </w:pPr>
    </w:p>
    <w:p>
      <w:pPr>
        <w:pStyle w:val="BodyText"/>
        <w:spacing w:line="276" w:lineRule="auto"/>
        <w:ind w:right="233" w:firstLine="479"/>
        <w:jc w:val="both"/>
      </w:pPr>
      <w:r>
        <w:rPr/>
        <w:t>（</w:t>
      </w:r>
      <w:r>
        <w:rPr>
          <w:rFonts w:ascii="宋体" w:hAnsi="宋体" w:cs="宋体" w:eastAsia="宋体" w:hint="default"/>
        </w:rPr>
        <w:t>3</w:t>
      </w:r>
      <w:r>
        <w:rPr/>
        <w:t>）淮安市主城区污水处理再生利用设施项目规模为</w:t>
      </w:r>
      <w:r>
        <w:rPr>
          <w:spacing w:val="-62"/>
        </w:rPr>
        <w:t> </w:t>
      </w:r>
      <w:r>
        <w:rPr>
          <w:rFonts w:ascii="宋体" w:hAnsi="宋体" w:cs="宋体" w:eastAsia="宋体" w:hint="default"/>
        </w:rPr>
        <w:t>5</w:t>
      </w:r>
      <w:r>
        <w:rPr>
          <w:rFonts w:ascii="宋体" w:hAnsi="宋体" w:cs="宋体" w:eastAsia="宋体" w:hint="default"/>
          <w:spacing w:val="-63"/>
        </w:rPr>
        <w:t> </w:t>
      </w:r>
      <w:r>
        <w:rPr>
          <w:spacing w:val="-4"/>
        </w:rPr>
        <w:t>万吨</w:t>
      </w:r>
      <w:r>
        <w:rPr>
          <w:rFonts w:ascii="宋体" w:hAnsi="宋体" w:cs="宋体" w:eastAsia="宋体" w:hint="default"/>
          <w:spacing w:val="-4"/>
        </w:rPr>
        <w:t>/</w:t>
      </w:r>
      <w:r>
        <w:rPr>
          <w:spacing w:val="-4"/>
        </w:rPr>
        <w:t>日，采用“一级强</w:t>
      </w:r>
      <w:r>
        <w:rPr/>
        <w:t> </w:t>
      </w:r>
      <w:r>
        <w:rPr>
          <w:spacing w:val="-2"/>
        </w:rPr>
        <w:t>化</w:t>
      </w:r>
      <w:r>
        <w:rPr>
          <w:rFonts w:ascii="宋体" w:hAnsi="宋体" w:cs="宋体" w:eastAsia="宋体" w:hint="default"/>
          <w:spacing w:val="-2"/>
        </w:rPr>
        <w:t>+</w:t>
      </w:r>
      <w:r>
        <w:rPr>
          <w:spacing w:val="-2"/>
        </w:rPr>
        <w:t>前置反硝化滤池</w:t>
      </w:r>
      <w:r>
        <w:rPr>
          <w:rFonts w:ascii="宋体" w:hAnsi="宋体" w:cs="宋体" w:eastAsia="宋体" w:hint="default"/>
          <w:spacing w:val="-2"/>
        </w:rPr>
        <w:t>+</w:t>
      </w:r>
      <w:r>
        <w:rPr>
          <w:spacing w:val="-2"/>
        </w:rPr>
        <w:t>曝气生物滤池</w:t>
      </w:r>
      <w:r>
        <w:rPr>
          <w:rFonts w:ascii="宋体" w:hAnsi="宋体" w:cs="宋体" w:eastAsia="宋体" w:hint="default"/>
          <w:spacing w:val="-2"/>
        </w:rPr>
        <w:t>+</w:t>
      </w:r>
      <w:r>
        <w:rPr>
          <w:spacing w:val="-2"/>
        </w:rPr>
        <w:t>除磷沉淀池</w:t>
      </w:r>
      <w:r>
        <w:rPr>
          <w:rFonts w:ascii="宋体" w:hAnsi="宋体" w:cs="宋体" w:eastAsia="宋体" w:hint="default"/>
          <w:spacing w:val="-2"/>
        </w:rPr>
        <w:t>+</w:t>
      </w:r>
      <w:r>
        <w:rPr>
          <w:spacing w:val="-2"/>
        </w:rPr>
        <w:t>滤布滤池”生产工艺，出水执行《城</w:t>
      </w:r>
    </w:p>
    <w:p>
      <w:pPr>
        <w:spacing w:after="0" w:line="276" w:lineRule="auto"/>
        <w:jc w:val="both"/>
        <w:sectPr>
          <w:pgSz w:w="11910" w:h="16840"/>
          <w:pgMar w:header="0" w:footer="1193" w:top="780" w:bottom="1380" w:left="1660" w:right="1040"/>
        </w:sectPr>
      </w:pPr>
    </w:p>
    <w:p>
      <w:pPr>
        <w:spacing w:before="25"/>
        <w:ind w:left="120" w:right="232"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BodyText"/>
        <w:spacing w:line="276" w:lineRule="auto" w:before="26"/>
        <w:ind w:right="230"/>
        <w:jc w:val="both"/>
        <w:rPr>
          <w:rFonts w:ascii="宋体" w:hAnsi="宋体" w:cs="宋体" w:eastAsia="宋体" w:hint="default"/>
        </w:rPr>
      </w:pPr>
      <w:r>
        <w:rPr/>
        <w:t>镇污水处理厂污染物排放标准（</w:t>
      </w:r>
      <w:r>
        <w:rPr>
          <w:rFonts w:ascii="宋体" w:hAnsi="宋体" w:cs="宋体" w:eastAsia="宋体" w:hint="default"/>
        </w:rPr>
        <w:t>GB18918-2002</w:t>
      </w:r>
      <w:r>
        <w:rPr/>
        <w:t>）》一级</w:t>
      </w:r>
      <w:r>
        <w:rPr>
          <w:spacing w:val="-83"/>
        </w:rPr>
        <w:t> </w:t>
      </w:r>
      <w:r>
        <w:rPr>
          <w:rFonts w:ascii="宋体" w:hAnsi="宋体" w:cs="宋体" w:eastAsia="宋体" w:hint="default"/>
        </w:rPr>
        <w:t>A</w:t>
      </w:r>
      <w:r>
        <w:rPr>
          <w:rFonts w:ascii="宋体" w:hAnsi="宋体" w:cs="宋体" w:eastAsia="宋体" w:hint="default"/>
          <w:spacing w:val="-83"/>
        </w:rPr>
        <w:t> </w:t>
      </w:r>
      <w:r>
        <w:rPr/>
        <w:t>标准排放，尾水利用重力流 通过</w:t>
      </w:r>
      <w:r>
        <w:rPr>
          <w:spacing w:val="-57"/>
        </w:rPr>
        <w:t> </w:t>
      </w:r>
      <w:r>
        <w:rPr>
          <w:rFonts w:ascii="宋体" w:hAnsi="宋体" w:cs="宋体" w:eastAsia="宋体" w:hint="default"/>
        </w:rPr>
        <w:t>1</w:t>
      </w:r>
      <w:r>
        <w:rPr>
          <w:rFonts w:ascii="宋体" w:hAnsi="宋体" w:cs="宋体" w:eastAsia="宋体" w:hint="default"/>
          <w:spacing w:val="-55"/>
        </w:rPr>
        <w:t> </w:t>
      </w:r>
      <w:r>
        <w:rPr>
          <w:spacing w:val="-4"/>
        </w:rPr>
        <w:t>个明渠排污口排入清安河，排放方式为</w:t>
      </w:r>
      <w:r>
        <w:rPr>
          <w:spacing w:val="-54"/>
        </w:rPr>
        <w:t> </w:t>
      </w:r>
      <w:r>
        <w:rPr>
          <w:rFonts w:ascii="宋体" w:hAnsi="宋体" w:cs="宋体" w:eastAsia="宋体" w:hint="default"/>
        </w:rPr>
        <w:t>24h</w:t>
      </w:r>
      <w:r>
        <w:rPr>
          <w:rFonts w:ascii="宋体" w:hAnsi="宋体" w:cs="宋体" w:eastAsia="宋体" w:hint="default"/>
          <w:spacing w:val="-55"/>
        </w:rPr>
        <w:t> </w:t>
      </w:r>
      <w:r>
        <w:rPr>
          <w:spacing w:val="-7"/>
        </w:rPr>
        <w:t>连续排放。年排放总量核定为：</w:t>
      </w:r>
      <w:r>
        <w:rPr>
          <w:rFonts w:ascii="宋体" w:hAnsi="宋体" w:cs="宋体" w:eastAsia="宋体" w:hint="default"/>
          <w:spacing w:val="-7"/>
        </w:rPr>
        <w:t>COD</w:t>
      </w:r>
    </w:p>
    <w:p>
      <w:pPr>
        <w:pStyle w:val="BodyText"/>
        <w:spacing w:line="276" w:lineRule="auto" w:before="10"/>
        <w:ind w:right="232"/>
        <w:jc w:val="both"/>
      </w:pPr>
      <w:r>
        <w:rPr/>
        <w:t>≤</w:t>
      </w:r>
      <w:r>
        <w:rPr>
          <w:rFonts w:ascii="宋体" w:hAnsi="宋体" w:cs="宋体" w:eastAsia="宋体" w:hint="default"/>
        </w:rPr>
        <w:t>439.83</w:t>
      </w:r>
      <w:r>
        <w:rPr>
          <w:rFonts w:ascii="宋体" w:hAnsi="宋体" w:cs="宋体" w:eastAsia="宋体" w:hint="default"/>
          <w:spacing w:val="-35"/>
        </w:rPr>
        <w:t> </w:t>
      </w:r>
      <w:r>
        <w:rPr/>
        <w:t>吨，</w:t>
      </w:r>
      <w:r>
        <w:rPr>
          <w:spacing w:val="-1"/>
        </w:rPr>
        <w:t> </w:t>
      </w:r>
      <w:r>
        <w:rPr>
          <w:rFonts w:ascii="宋体" w:hAnsi="宋体" w:cs="宋体" w:eastAsia="宋体" w:hint="default"/>
        </w:rPr>
        <w:t>SS</w:t>
      </w:r>
      <w:r>
        <w:rPr/>
        <w:t>≤</w:t>
      </w:r>
      <w:r>
        <w:rPr>
          <w:rFonts w:ascii="宋体" w:hAnsi="宋体" w:cs="宋体" w:eastAsia="宋体" w:hint="default"/>
        </w:rPr>
        <w:t>87.97</w:t>
      </w:r>
      <w:r>
        <w:rPr>
          <w:rFonts w:ascii="宋体" w:hAnsi="宋体" w:cs="宋体" w:eastAsia="宋体" w:hint="default"/>
          <w:spacing w:val="-35"/>
        </w:rPr>
        <w:t> </w:t>
      </w:r>
      <w:r>
        <w:rPr/>
        <w:t>吨，氨氮≤</w:t>
      </w:r>
      <w:r>
        <w:rPr>
          <w:rFonts w:ascii="宋体" w:hAnsi="宋体" w:cs="宋体" w:eastAsia="宋体" w:hint="default"/>
        </w:rPr>
        <w:t>43.98</w:t>
      </w:r>
      <w:r>
        <w:rPr>
          <w:rFonts w:ascii="宋体" w:hAnsi="宋体" w:cs="宋体" w:eastAsia="宋体" w:hint="default"/>
          <w:spacing w:val="-35"/>
        </w:rPr>
        <w:t> </w:t>
      </w:r>
      <w:r>
        <w:rPr/>
        <w:t>吨，</w:t>
      </w:r>
      <w:r>
        <w:rPr>
          <w:rFonts w:ascii="宋体" w:hAnsi="宋体" w:cs="宋体" w:eastAsia="宋体" w:hint="default"/>
        </w:rPr>
        <w:t>TN</w:t>
      </w:r>
      <w:r>
        <w:rPr/>
        <w:t>≤</w:t>
      </w:r>
      <w:r>
        <w:rPr>
          <w:rFonts w:ascii="宋体" w:hAnsi="宋体" w:cs="宋体" w:eastAsia="宋体" w:hint="default"/>
        </w:rPr>
        <w:t>131.95</w:t>
      </w:r>
      <w:r>
        <w:rPr>
          <w:rFonts w:ascii="宋体" w:hAnsi="宋体" w:cs="宋体" w:eastAsia="宋体" w:hint="default"/>
          <w:spacing w:val="-35"/>
        </w:rPr>
        <w:t> </w:t>
      </w:r>
      <w:r>
        <w:rPr/>
        <w:t>吨，</w:t>
      </w:r>
      <w:r>
        <w:rPr>
          <w:rFonts w:ascii="宋体" w:hAnsi="宋体" w:cs="宋体" w:eastAsia="宋体" w:hint="default"/>
        </w:rPr>
        <w:t>TP</w:t>
      </w:r>
      <w:r>
        <w:rPr/>
        <w:t>≤</w:t>
      </w:r>
      <w:r>
        <w:rPr>
          <w:rFonts w:ascii="宋体" w:hAnsi="宋体" w:cs="宋体" w:eastAsia="宋体" w:hint="default"/>
        </w:rPr>
        <w:t>4.4</w:t>
      </w:r>
      <w:r>
        <w:rPr>
          <w:rFonts w:ascii="宋体" w:hAnsi="宋体" w:cs="宋体" w:eastAsia="宋体" w:hint="default"/>
          <w:spacing w:val="-35"/>
        </w:rPr>
        <w:t> </w:t>
      </w:r>
      <w:r>
        <w:rPr/>
        <w:t>吨。</w:t>
      </w:r>
      <w:r>
        <w:rPr>
          <w:rFonts w:ascii="宋体" w:hAnsi="宋体" w:cs="宋体" w:eastAsia="宋体" w:hint="default"/>
        </w:rPr>
        <w:t>2018 </w:t>
      </w:r>
      <w:r>
        <w:rPr/>
        <w:t>年，该项目全年累计排放化学需氧量（</w:t>
      </w:r>
      <w:r>
        <w:rPr>
          <w:rFonts w:ascii="宋体" w:hAnsi="宋体" w:cs="宋体" w:eastAsia="宋体" w:hint="default"/>
        </w:rPr>
        <w:t>COD</w:t>
      </w:r>
      <w:r>
        <w:rPr/>
        <w:t>）</w:t>
      </w:r>
      <w:r>
        <w:rPr>
          <w:rFonts w:ascii="宋体" w:hAnsi="宋体" w:cs="宋体" w:eastAsia="宋体" w:hint="default"/>
        </w:rPr>
        <w:t>202.12</w:t>
      </w:r>
      <w:r>
        <w:rPr>
          <w:rFonts w:ascii="宋体" w:hAnsi="宋体" w:cs="宋体" w:eastAsia="宋体" w:hint="default"/>
          <w:spacing w:val="52"/>
        </w:rPr>
        <w:t> </w:t>
      </w:r>
      <w:r>
        <w:rPr/>
        <w:t>吨、生化需氧量（</w:t>
      </w:r>
      <w:r>
        <w:rPr>
          <w:rFonts w:ascii="宋体" w:hAnsi="宋体" w:cs="宋体" w:eastAsia="宋体" w:hint="default"/>
        </w:rPr>
        <w:t>BOD5</w:t>
      </w:r>
      <w:r>
        <w:rPr/>
        <w:t>）</w:t>
      </w:r>
      <w:r>
        <w:rPr>
          <w:rFonts w:ascii="宋体" w:hAnsi="宋体" w:cs="宋体" w:eastAsia="宋体" w:hint="default"/>
        </w:rPr>
        <w:t>30.88</w:t>
      </w:r>
      <w:r>
        <w:rPr>
          <w:rFonts w:ascii="宋体" w:hAnsi="宋体" w:cs="宋体" w:eastAsia="宋体" w:hint="default"/>
          <w:spacing w:val="-112"/>
        </w:rPr>
        <w:t> </w:t>
      </w:r>
      <w:r>
        <w:rPr>
          <w:spacing w:val="-10"/>
        </w:rPr>
        <w:t>吨、悬浮物（</w:t>
      </w:r>
      <w:r>
        <w:rPr>
          <w:rFonts w:ascii="宋体" w:hAnsi="宋体" w:cs="宋体" w:eastAsia="宋体" w:hint="default"/>
          <w:spacing w:val="-10"/>
        </w:rPr>
        <w:t>SS</w:t>
      </w:r>
      <w:r>
        <w:rPr>
          <w:spacing w:val="-10"/>
        </w:rPr>
        <w:t>）</w:t>
      </w:r>
      <w:r>
        <w:rPr>
          <w:rFonts w:ascii="宋体" w:hAnsi="宋体" w:cs="宋体" w:eastAsia="宋体" w:hint="default"/>
          <w:spacing w:val="-10"/>
        </w:rPr>
        <w:t>79.34</w:t>
      </w:r>
      <w:r>
        <w:rPr>
          <w:rFonts w:ascii="宋体" w:hAnsi="宋体" w:cs="宋体" w:eastAsia="宋体" w:hint="default"/>
          <w:spacing w:val="-51"/>
        </w:rPr>
        <w:t> </w:t>
      </w:r>
      <w:r>
        <w:rPr>
          <w:spacing w:val="-10"/>
        </w:rPr>
        <w:t>吨、总氮（</w:t>
      </w:r>
      <w:r>
        <w:rPr>
          <w:rFonts w:ascii="宋体" w:hAnsi="宋体" w:cs="宋体" w:eastAsia="宋体" w:hint="default"/>
          <w:spacing w:val="-10"/>
        </w:rPr>
        <w:t>TN</w:t>
      </w:r>
      <w:r>
        <w:rPr>
          <w:spacing w:val="-10"/>
        </w:rPr>
        <w:t>）</w:t>
      </w:r>
      <w:r>
        <w:rPr>
          <w:rFonts w:ascii="宋体" w:hAnsi="宋体" w:cs="宋体" w:eastAsia="宋体" w:hint="default"/>
          <w:spacing w:val="-10"/>
        </w:rPr>
        <w:t>124.17</w:t>
      </w:r>
      <w:r>
        <w:rPr>
          <w:rFonts w:ascii="宋体" w:hAnsi="宋体" w:cs="宋体" w:eastAsia="宋体" w:hint="default"/>
          <w:spacing w:val="-52"/>
        </w:rPr>
        <w:t> </w:t>
      </w:r>
      <w:r>
        <w:rPr>
          <w:spacing w:val="-9"/>
        </w:rPr>
        <w:t>吨、氨氮（</w:t>
      </w:r>
      <w:r>
        <w:rPr>
          <w:rFonts w:ascii="宋体" w:hAnsi="宋体" w:cs="宋体" w:eastAsia="宋体" w:hint="default"/>
          <w:spacing w:val="-9"/>
        </w:rPr>
        <w:t>NH3-N</w:t>
      </w:r>
      <w:r>
        <w:rPr>
          <w:spacing w:val="-9"/>
        </w:rPr>
        <w:t>）</w:t>
      </w:r>
      <w:r>
        <w:rPr>
          <w:rFonts w:ascii="宋体" w:hAnsi="宋体" w:cs="宋体" w:eastAsia="宋体" w:hint="default"/>
          <w:spacing w:val="-9"/>
        </w:rPr>
        <w:t>8.89</w:t>
      </w:r>
      <w:r>
        <w:rPr>
          <w:rFonts w:ascii="宋体" w:hAnsi="宋体" w:cs="宋体" w:eastAsia="宋体" w:hint="default"/>
          <w:spacing w:val="-51"/>
        </w:rPr>
        <w:t> </w:t>
      </w:r>
      <w:r>
        <w:rPr>
          <w:spacing w:val="-11"/>
        </w:rPr>
        <w:t>吨、总磷（</w:t>
      </w:r>
      <w:r>
        <w:rPr>
          <w:rFonts w:ascii="宋体" w:hAnsi="宋体" w:cs="宋体" w:eastAsia="宋体" w:hint="default"/>
          <w:spacing w:val="-11"/>
        </w:rPr>
        <w:t>TP</w:t>
      </w:r>
      <w:r>
        <w:rPr>
          <w:spacing w:val="-11"/>
        </w:rPr>
        <w:t>）</w:t>
      </w:r>
    </w:p>
    <w:p>
      <w:pPr>
        <w:pStyle w:val="BodyText"/>
        <w:spacing w:line="240" w:lineRule="auto" w:before="10"/>
        <w:ind w:right="0"/>
        <w:jc w:val="both"/>
      </w:pPr>
      <w:r>
        <w:rPr>
          <w:rFonts w:ascii="宋体" w:hAnsi="宋体" w:cs="宋体" w:eastAsia="宋体" w:hint="default"/>
        </w:rPr>
        <w:t>2.63</w:t>
      </w:r>
      <w:r>
        <w:rPr>
          <w:rFonts w:ascii="宋体" w:hAnsi="宋体" w:cs="宋体" w:eastAsia="宋体" w:hint="default"/>
          <w:spacing w:val="-61"/>
        </w:rPr>
        <w:t> </w:t>
      </w:r>
      <w:r>
        <w:rPr/>
        <w:t>吨。</w:t>
      </w:r>
    </w:p>
    <w:p>
      <w:pPr>
        <w:spacing w:line="240" w:lineRule="auto" w:before="0"/>
        <w:rPr>
          <w:rFonts w:ascii="宋体" w:hAnsi="宋体" w:cs="宋体" w:eastAsia="宋体" w:hint="default"/>
          <w:sz w:val="31"/>
          <w:szCs w:val="31"/>
        </w:rPr>
      </w:pPr>
    </w:p>
    <w:p>
      <w:pPr>
        <w:pStyle w:val="BodyText"/>
        <w:spacing w:line="276" w:lineRule="auto"/>
        <w:ind w:right="230" w:firstLine="479"/>
        <w:jc w:val="both"/>
        <w:rPr>
          <w:rFonts w:ascii="宋体" w:hAnsi="宋体" w:cs="宋体" w:eastAsia="宋体" w:hint="default"/>
        </w:rPr>
      </w:pPr>
      <w:r>
        <w:rPr/>
        <w:t>（</w:t>
      </w:r>
      <w:r>
        <w:rPr>
          <w:rFonts w:ascii="宋体" w:hAnsi="宋体" w:cs="宋体" w:eastAsia="宋体" w:hint="default"/>
        </w:rPr>
        <w:t>4</w:t>
      </w:r>
      <w:r>
        <w:rPr/>
        <w:t>）高邮市湖西污水处理厂规模为</w:t>
      </w:r>
      <w:r>
        <w:rPr>
          <w:spacing w:val="-83"/>
        </w:rPr>
        <w:t> </w:t>
      </w:r>
      <w:r>
        <w:rPr>
          <w:rFonts w:ascii="宋体" w:hAnsi="宋体" w:cs="宋体" w:eastAsia="宋体" w:hint="default"/>
        </w:rPr>
        <w:t>2</w:t>
      </w:r>
      <w:r>
        <w:rPr>
          <w:rFonts w:ascii="宋体" w:hAnsi="宋体" w:cs="宋体" w:eastAsia="宋体" w:hint="default"/>
          <w:spacing w:val="-83"/>
        </w:rPr>
        <w:t> </w:t>
      </w:r>
      <w:r>
        <w:rPr/>
        <w:t>万吨</w:t>
      </w:r>
      <w:r>
        <w:rPr>
          <w:rFonts w:ascii="宋体" w:hAnsi="宋体" w:cs="宋体" w:eastAsia="宋体" w:hint="default"/>
        </w:rPr>
        <w:t>/</w:t>
      </w:r>
      <w:r>
        <w:rPr/>
        <w:t>日，采用“</w:t>
      </w:r>
      <w:r>
        <w:rPr>
          <w:rFonts w:ascii="宋体" w:hAnsi="宋体" w:cs="宋体" w:eastAsia="宋体" w:hint="default"/>
        </w:rPr>
        <w:t>BAF+</w:t>
      </w:r>
      <w:r>
        <w:rPr/>
        <w:t>滤布滤池”工艺，出 水执行《城镇污水处理厂污染物排放标准（</w:t>
      </w:r>
      <w:r>
        <w:rPr>
          <w:rFonts w:ascii="宋体" w:hAnsi="宋体" w:cs="宋体" w:eastAsia="宋体" w:hint="default"/>
        </w:rPr>
        <w:t>GB18918-2002</w:t>
      </w:r>
      <w:r>
        <w:rPr/>
        <w:t>）》一级</w:t>
      </w:r>
      <w:r>
        <w:rPr>
          <w:spacing w:val="-83"/>
        </w:rPr>
        <w:t> </w:t>
      </w:r>
      <w:r>
        <w:rPr>
          <w:rFonts w:ascii="宋体" w:hAnsi="宋体" w:cs="宋体" w:eastAsia="宋体" w:hint="default"/>
        </w:rPr>
        <w:t>A</w:t>
      </w:r>
      <w:r>
        <w:rPr>
          <w:rFonts w:ascii="宋体" w:hAnsi="宋体" w:cs="宋体" w:eastAsia="宋体" w:hint="default"/>
          <w:spacing w:val="-83"/>
        </w:rPr>
        <w:t> </w:t>
      </w:r>
      <w:r>
        <w:rPr/>
        <w:t>标准，尾水通过 明渠经</w:t>
      </w:r>
      <w:r>
        <w:rPr>
          <w:spacing w:val="-60"/>
        </w:rPr>
        <w:t> </w:t>
      </w:r>
      <w:r>
        <w:rPr>
          <w:rFonts w:ascii="宋体" w:hAnsi="宋体" w:cs="宋体" w:eastAsia="宋体" w:hint="default"/>
        </w:rPr>
        <w:t>1</w:t>
      </w:r>
      <w:r>
        <w:rPr>
          <w:rFonts w:ascii="宋体" w:hAnsi="宋体" w:cs="宋体" w:eastAsia="宋体" w:hint="default"/>
          <w:spacing w:val="-58"/>
        </w:rPr>
        <w:t> </w:t>
      </w:r>
      <w:r>
        <w:rPr>
          <w:spacing w:val="-7"/>
        </w:rPr>
        <w:t>个废水总排口排入向阳河，排放方式为</w:t>
      </w:r>
      <w:r>
        <w:rPr>
          <w:spacing w:val="-57"/>
        </w:rPr>
        <w:t> </w:t>
      </w:r>
      <w:r>
        <w:rPr>
          <w:rFonts w:ascii="宋体" w:hAnsi="宋体" w:cs="宋体" w:eastAsia="宋体" w:hint="default"/>
        </w:rPr>
        <w:t>24h</w:t>
      </w:r>
      <w:r>
        <w:rPr>
          <w:rFonts w:ascii="宋体" w:hAnsi="宋体" w:cs="宋体" w:eastAsia="宋体" w:hint="default"/>
          <w:spacing w:val="-58"/>
        </w:rPr>
        <w:t> </w:t>
      </w:r>
      <w:r>
        <w:rPr>
          <w:spacing w:val="-9"/>
        </w:rPr>
        <w:t>连续排放。年排放总量核定为</w:t>
      </w:r>
      <w:r>
        <w:rPr>
          <w:spacing w:val="-58"/>
        </w:rPr>
        <w:t> </w:t>
      </w:r>
      <w:r>
        <w:rPr>
          <w:rFonts w:ascii="宋体" w:hAnsi="宋体" w:cs="宋体" w:eastAsia="宋体" w:hint="default"/>
        </w:rPr>
        <w:t>COD</w:t>
      </w:r>
    </w:p>
    <w:p>
      <w:pPr>
        <w:pStyle w:val="BodyText"/>
        <w:spacing w:line="276" w:lineRule="auto" w:before="10"/>
        <w:ind w:right="230"/>
        <w:jc w:val="both"/>
      </w:pPr>
      <w:r>
        <w:rPr/>
        <w:t>≤</w:t>
      </w:r>
      <w:r>
        <w:rPr>
          <w:rFonts w:ascii="宋体" w:hAnsi="宋体" w:cs="宋体" w:eastAsia="宋体" w:hint="default"/>
        </w:rPr>
        <w:t>365</w:t>
      </w:r>
      <w:r>
        <w:rPr>
          <w:rFonts w:ascii="宋体" w:hAnsi="宋体" w:cs="宋体" w:eastAsia="宋体" w:hint="default"/>
          <w:spacing w:val="-49"/>
        </w:rPr>
        <w:t> </w:t>
      </w:r>
      <w:r>
        <w:rPr/>
        <w:t>吨，</w:t>
      </w:r>
      <w:r>
        <w:rPr>
          <w:rFonts w:ascii="宋体" w:hAnsi="宋体" w:cs="宋体" w:eastAsia="宋体" w:hint="default"/>
        </w:rPr>
        <w:t>BOD5</w:t>
      </w:r>
      <w:r>
        <w:rPr/>
        <w:t>≤</w:t>
      </w:r>
      <w:r>
        <w:rPr>
          <w:rFonts w:ascii="宋体" w:hAnsi="宋体" w:cs="宋体" w:eastAsia="宋体" w:hint="default"/>
        </w:rPr>
        <w:t>73</w:t>
      </w:r>
      <w:r>
        <w:rPr>
          <w:rFonts w:ascii="宋体" w:hAnsi="宋体" w:cs="宋体" w:eastAsia="宋体" w:hint="default"/>
          <w:spacing w:val="-49"/>
        </w:rPr>
        <w:t> </w:t>
      </w:r>
      <w:r>
        <w:rPr/>
        <w:t>吨，</w:t>
      </w:r>
      <w:r>
        <w:rPr>
          <w:rFonts w:ascii="宋体" w:hAnsi="宋体" w:cs="宋体" w:eastAsia="宋体" w:hint="default"/>
        </w:rPr>
        <w:t>SS</w:t>
      </w:r>
      <w:r>
        <w:rPr/>
        <w:t>≤</w:t>
      </w:r>
      <w:r>
        <w:rPr>
          <w:rFonts w:ascii="宋体" w:hAnsi="宋体" w:cs="宋体" w:eastAsia="宋体" w:hint="default"/>
        </w:rPr>
        <w:t>73</w:t>
      </w:r>
      <w:r>
        <w:rPr>
          <w:rFonts w:ascii="宋体" w:hAnsi="宋体" w:cs="宋体" w:eastAsia="宋体" w:hint="default"/>
          <w:spacing w:val="-49"/>
        </w:rPr>
        <w:t> </w:t>
      </w:r>
      <w:r>
        <w:rPr/>
        <w:t>吨，氨氮≤</w:t>
      </w:r>
      <w:r>
        <w:rPr>
          <w:rFonts w:ascii="宋体" w:hAnsi="宋体" w:cs="宋体" w:eastAsia="宋体" w:hint="default"/>
        </w:rPr>
        <w:t>36.5</w:t>
      </w:r>
      <w:r>
        <w:rPr>
          <w:rFonts w:ascii="宋体" w:hAnsi="宋体" w:cs="宋体" w:eastAsia="宋体" w:hint="default"/>
          <w:spacing w:val="-49"/>
        </w:rPr>
        <w:t> </w:t>
      </w:r>
      <w:r>
        <w:rPr/>
        <w:t>吨，</w:t>
      </w:r>
      <w:r>
        <w:rPr>
          <w:rFonts w:ascii="宋体" w:hAnsi="宋体" w:cs="宋体" w:eastAsia="宋体" w:hint="default"/>
        </w:rPr>
        <w:t>TN</w:t>
      </w:r>
      <w:r>
        <w:rPr/>
        <w:t>≤</w:t>
      </w:r>
      <w:r>
        <w:rPr>
          <w:rFonts w:ascii="宋体" w:hAnsi="宋体" w:cs="宋体" w:eastAsia="宋体" w:hint="default"/>
        </w:rPr>
        <w:t>109.5</w:t>
      </w:r>
      <w:r>
        <w:rPr>
          <w:rFonts w:ascii="宋体" w:hAnsi="宋体" w:cs="宋体" w:eastAsia="宋体" w:hint="default"/>
          <w:spacing w:val="-49"/>
        </w:rPr>
        <w:t> </w:t>
      </w:r>
      <w:r>
        <w:rPr/>
        <w:t>吨，</w:t>
      </w:r>
      <w:r>
        <w:rPr>
          <w:rFonts w:ascii="宋体" w:hAnsi="宋体" w:cs="宋体" w:eastAsia="宋体" w:hint="default"/>
        </w:rPr>
        <w:t>TP</w:t>
      </w:r>
      <w:r>
        <w:rPr/>
        <w:t>≤</w:t>
      </w:r>
      <w:r>
        <w:rPr>
          <w:rFonts w:ascii="宋体" w:hAnsi="宋体" w:cs="宋体" w:eastAsia="宋体" w:hint="default"/>
        </w:rPr>
        <w:t>3.65</w:t>
      </w:r>
      <w:r>
        <w:rPr>
          <w:rFonts w:ascii="宋体" w:hAnsi="宋体" w:cs="宋体" w:eastAsia="宋体" w:hint="default"/>
          <w:spacing w:val="-49"/>
        </w:rPr>
        <w:t> </w:t>
      </w:r>
      <w:r>
        <w:rPr/>
        <w:t>吨。 </w:t>
      </w:r>
      <w:r>
        <w:rPr>
          <w:rFonts w:ascii="宋体" w:hAnsi="宋体" w:cs="宋体" w:eastAsia="宋体" w:hint="default"/>
        </w:rPr>
        <w:t>2018</w:t>
      </w:r>
      <w:r>
        <w:rPr>
          <w:rFonts w:ascii="宋体" w:hAnsi="宋体" w:cs="宋体" w:eastAsia="宋体" w:hint="default"/>
          <w:spacing w:val="-73"/>
        </w:rPr>
        <w:t> </w:t>
      </w:r>
      <w:r>
        <w:rPr/>
        <w:t>年全年累计排放化学需氧量（</w:t>
      </w:r>
      <w:r>
        <w:rPr>
          <w:rFonts w:ascii="宋体" w:hAnsi="宋体" w:cs="宋体" w:eastAsia="宋体" w:hint="default"/>
        </w:rPr>
        <w:t>COD</w:t>
      </w:r>
      <w:r>
        <w:rPr/>
        <w:t>）</w:t>
      </w:r>
      <w:r>
        <w:rPr>
          <w:rFonts w:ascii="宋体" w:hAnsi="宋体" w:cs="宋体" w:eastAsia="宋体" w:hint="default"/>
        </w:rPr>
        <w:t>95.35</w:t>
      </w:r>
      <w:r>
        <w:rPr>
          <w:rFonts w:ascii="宋体" w:hAnsi="宋体" w:cs="宋体" w:eastAsia="宋体" w:hint="default"/>
          <w:spacing w:val="-72"/>
        </w:rPr>
        <w:t> </w:t>
      </w:r>
      <w:r>
        <w:rPr>
          <w:spacing w:val="-3"/>
        </w:rPr>
        <w:t>吨、生化需氧量（</w:t>
      </w:r>
      <w:r>
        <w:rPr>
          <w:rFonts w:ascii="宋体" w:hAnsi="宋体" w:cs="宋体" w:eastAsia="宋体" w:hint="default"/>
          <w:spacing w:val="-3"/>
        </w:rPr>
        <w:t>BOD5</w:t>
      </w:r>
      <w:r>
        <w:rPr>
          <w:spacing w:val="-3"/>
        </w:rPr>
        <w:t>）</w:t>
      </w:r>
      <w:r>
        <w:rPr>
          <w:rFonts w:ascii="宋体" w:hAnsi="宋体" w:cs="宋体" w:eastAsia="宋体" w:hint="default"/>
          <w:spacing w:val="-3"/>
        </w:rPr>
        <w:t>33.37</w:t>
      </w:r>
      <w:r>
        <w:rPr>
          <w:rFonts w:ascii="宋体" w:hAnsi="宋体" w:cs="宋体" w:eastAsia="宋体" w:hint="default"/>
          <w:spacing w:val="-72"/>
        </w:rPr>
        <w:t> </w:t>
      </w:r>
      <w:r>
        <w:rPr>
          <w:spacing w:val="-6"/>
        </w:rPr>
        <w:t>吨、悬</w:t>
      </w:r>
      <w:r>
        <w:rPr/>
        <w:t> </w:t>
      </w:r>
      <w:r>
        <w:rPr>
          <w:spacing w:val="-5"/>
        </w:rPr>
        <w:t>浮物（</w:t>
      </w:r>
      <w:r>
        <w:rPr>
          <w:rFonts w:ascii="宋体" w:hAnsi="宋体" w:cs="宋体" w:eastAsia="宋体" w:hint="default"/>
          <w:spacing w:val="-5"/>
        </w:rPr>
        <w:t>SS</w:t>
      </w:r>
      <w:r>
        <w:rPr>
          <w:spacing w:val="-5"/>
        </w:rPr>
        <w:t>）</w:t>
      </w:r>
      <w:r>
        <w:rPr>
          <w:rFonts w:ascii="宋体" w:hAnsi="宋体" w:cs="宋体" w:eastAsia="宋体" w:hint="default"/>
          <w:spacing w:val="-5"/>
        </w:rPr>
        <w:t>34.80</w:t>
      </w:r>
      <w:r>
        <w:rPr>
          <w:rFonts w:ascii="宋体" w:hAnsi="宋体" w:cs="宋体" w:eastAsia="宋体" w:hint="default"/>
          <w:spacing w:val="-54"/>
        </w:rPr>
        <w:t> </w:t>
      </w:r>
      <w:r>
        <w:rPr>
          <w:spacing w:val="-5"/>
        </w:rPr>
        <w:t>吨、氨氮（</w:t>
      </w:r>
      <w:r>
        <w:rPr>
          <w:rFonts w:ascii="宋体" w:hAnsi="宋体" w:cs="宋体" w:eastAsia="宋体" w:hint="default"/>
          <w:spacing w:val="-5"/>
        </w:rPr>
        <w:t>NH3-N</w:t>
      </w:r>
      <w:r>
        <w:rPr>
          <w:spacing w:val="-5"/>
        </w:rPr>
        <w:t>）</w:t>
      </w:r>
      <w:r>
        <w:rPr>
          <w:rFonts w:ascii="宋体" w:hAnsi="宋体" w:cs="宋体" w:eastAsia="宋体" w:hint="default"/>
          <w:spacing w:val="-5"/>
        </w:rPr>
        <w:t>6.29</w:t>
      </w:r>
      <w:r>
        <w:rPr>
          <w:rFonts w:ascii="宋体" w:hAnsi="宋体" w:cs="宋体" w:eastAsia="宋体" w:hint="default"/>
          <w:spacing w:val="-54"/>
        </w:rPr>
        <w:t> </w:t>
      </w:r>
      <w:r>
        <w:rPr>
          <w:spacing w:val="-5"/>
        </w:rPr>
        <w:t>吨、总磷（</w:t>
      </w:r>
      <w:r>
        <w:rPr>
          <w:rFonts w:ascii="宋体" w:hAnsi="宋体" w:cs="宋体" w:eastAsia="宋体" w:hint="default"/>
          <w:spacing w:val="-5"/>
        </w:rPr>
        <w:t>TP</w:t>
      </w:r>
      <w:r>
        <w:rPr>
          <w:spacing w:val="-5"/>
        </w:rPr>
        <w:t>）</w:t>
      </w:r>
      <w:r>
        <w:rPr>
          <w:rFonts w:ascii="宋体" w:hAnsi="宋体" w:cs="宋体" w:eastAsia="宋体" w:hint="default"/>
          <w:spacing w:val="-5"/>
        </w:rPr>
        <w:t>0.968</w:t>
      </w:r>
      <w:r>
        <w:rPr>
          <w:rFonts w:ascii="宋体" w:hAnsi="宋体" w:cs="宋体" w:eastAsia="宋体" w:hint="default"/>
          <w:spacing w:val="-54"/>
        </w:rPr>
        <w:t> </w:t>
      </w:r>
      <w:r>
        <w:rPr>
          <w:spacing w:val="-5"/>
        </w:rPr>
        <w:t>吨、总氮（</w:t>
      </w:r>
      <w:r>
        <w:rPr>
          <w:rFonts w:ascii="宋体" w:hAnsi="宋体" w:cs="宋体" w:eastAsia="宋体" w:hint="default"/>
          <w:spacing w:val="-5"/>
        </w:rPr>
        <w:t>TN</w:t>
      </w:r>
      <w:r>
        <w:rPr>
          <w:spacing w:val="-5"/>
        </w:rPr>
        <w:t>）</w:t>
      </w:r>
      <w:r>
        <w:rPr>
          <w:rFonts w:ascii="宋体" w:hAnsi="宋体" w:cs="宋体" w:eastAsia="宋体" w:hint="default"/>
          <w:spacing w:val="-5"/>
        </w:rPr>
        <w:t>53.87</w:t>
      </w:r>
      <w:r>
        <w:rPr>
          <w:rFonts w:ascii="宋体" w:hAnsi="宋体" w:cs="宋体" w:eastAsia="宋体" w:hint="default"/>
          <w:spacing w:val="-118"/>
        </w:rPr>
        <w:t> </w:t>
      </w:r>
      <w:r>
        <w:rPr/>
        <w:t>吨。</w:t>
      </w:r>
    </w:p>
    <w:p>
      <w:pPr>
        <w:pStyle w:val="BodyText"/>
        <w:spacing w:line="276" w:lineRule="auto" w:before="10"/>
        <w:ind w:right="234" w:firstLine="479"/>
        <w:jc w:val="both"/>
      </w:pPr>
      <w:r>
        <w:rPr>
          <w:spacing w:val="-2"/>
        </w:rPr>
        <w:t>四季青污水处理厂、第二污水处理厂、淮安市主城区污水处理再生利用设施项目</w:t>
      </w:r>
      <w:r>
        <w:rPr/>
        <w:t> 和高邮市湖西污水处理厂出水设计水质。</w:t>
      </w:r>
    </w:p>
    <w:tbl>
      <w:tblPr>
        <w:tblW w:w="0" w:type="auto"/>
        <w:jc w:val="left"/>
        <w:tblInd w:w="289" w:type="dxa"/>
        <w:tblLayout w:type="fixed"/>
        <w:tblCellMar>
          <w:top w:w="0" w:type="dxa"/>
          <w:left w:w="0" w:type="dxa"/>
          <w:bottom w:w="0" w:type="dxa"/>
          <w:right w:w="0" w:type="dxa"/>
        </w:tblCellMar>
        <w:tblLook w:val="01E0"/>
      </w:tblPr>
      <w:tblGrid>
        <w:gridCol w:w="2593"/>
        <w:gridCol w:w="1051"/>
        <w:gridCol w:w="958"/>
        <w:gridCol w:w="845"/>
        <w:gridCol w:w="1322"/>
        <w:gridCol w:w="925"/>
        <w:gridCol w:w="828"/>
      </w:tblGrid>
      <w:tr>
        <w:trPr>
          <w:trHeight w:val="667" w:hRule="exact"/>
        </w:trPr>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right="2"/>
              <w:jc w:val="center"/>
              <w:rPr>
                <w:rFonts w:ascii="宋体" w:hAnsi="宋体" w:cs="宋体" w:eastAsia="宋体" w:hint="default"/>
                <w:sz w:val="11"/>
                <w:szCs w:val="11"/>
              </w:rPr>
            </w:pPr>
            <w:r>
              <w:rPr>
                <w:rFonts w:ascii="宋体"/>
                <w:position w:val="1"/>
                <w:sz w:val="21"/>
              </w:rPr>
              <w:t>COD</w:t>
            </w:r>
            <w:r>
              <w:rPr>
                <w:rFonts w:ascii="宋体"/>
                <w:sz w:val="11"/>
              </w:rPr>
              <w:t>Cr</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288" w:right="0"/>
              <w:jc w:val="left"/>
              <w:rPr>
                <w:rFonts w:ascii="宋体" w:hAnsi="宋体" w:cs="宋体" w:eastAsia="宋体" w:hint="default"/>
                <w:sz w:val="11"/>
                <w:szCs w:val="11"/>
              </w:rPr>
            </w:pPr>
            <w:r>
              <w:rPr>
                <w:rFonts w:ascii="宋体"/>
                <w:position w:val="1"/>
                <w:sz w:val="21"/>
              </w:rPr>
              <w:t>BOD</w:t>
            </w:r>
            <w:r>
              <w:rPr>
                <w:rFonts w:ascii="宋体"/>
                <w:sz w:val="11"/>
              </w:rPr>
              <w:t>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0"/>
              <w:jc w:val="center"/>
              <w:rPr>
                <w:rFonts w:ascii="宋体" w:hAnsi="宋体" w:cs="宋体" w:eastAsia="宋体" w:hint="default"/>
                <w:sz w:val="21"/>
                <w:szCs w:val="21"/>
              </w:rPr>
            </w:pPr>
            <w:r>
              <w:rPr>
                <w:rFonts w:ascii="宋体"/>
                <w:sz w:val="21"/>
              </w:rPr>
              <w:t>SS</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2" w:right="0"/>
              <w:jc w:val="center"/>
              <w:rPr>
                <w:rFonts w:ascii="宋体" w:hAnsi="宋体" w:cs="宋体" w:eastAsia="宋体" w:hint="default"/>
                <w:sz w:val="21"/>
                <w:szCs w:val="21"/>
              </w:rPr>
            </w:pPr>
            <w:r>
              <w:rPr>
                <w:rFonts w:ascii="宋体" w:hAnsi="宋体" w:cs="宋体" w:eastAsia="宋体" w:hint="default"/>
                <w:sz w:val="21"/>
                <w:szCs w:val="21"/>
              </w:rPr>
              <w:t>氨氮</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247" w:right="0"/>
              <w:jc w:val="left"/>
              <w:rPr>
                <w:rFonts w:ascii="宋体" w:hAnsi="宋体" w:cs="宋体" w:eastAsia="宋体" w:hint="default"/>
                <w:sz w:val="21"/>
                <w:szCs w:val="21"/>
              </w:rPr>
            </w:pPr>
            <w:r>
              <w:rPr>
                <w:rFonts w:ascii="宋体" w:hAnsi="宋体" w:cs="宋体" w:eastAsia="宋体" w:hint="default"/>
                <w:sz w:val="21"/>
                <w:szCs w:val="21"/>
              </w:rPr>
              <w:t>总氮</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left="2" w:right="0"/>
              <w:jc w:val="center"/>
              <w:rPr>
                <w:rFonts w:ascii="宋体" w:hAnsi="宋体" w:cs="宋体" w:eastAsia="宋体" w:hint="default"/>
                <w:sz w:val="21"/>
                <w:szCs w:val="21"/>
              </w:rPr>
            </w:pPr>
            <w:r>
              <w:rPr>
                <w:rFonts w:ascii="宋体" w:hAnsi="宋体" w:cs="宋体" w:eastAsia="宋体" w:hint="default"/>
                <w:sz w:val="21"/>
                <w:szCs w:val="21"/>
              </w:rPr>
              <w:t>总磷</w:t>
            </w:r>
          </w:p>
        </w:tc>
      </w:tr>
      <w:tr>
        <w:trPr>
          <w:trHeight w:val="603" w:hRule="exact"/>
        </w:trPr>
        <w:tc>
          <w:tcPr>
            <w:tcW w:w="2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出水水质（</w:t>
            </w:r>
            <w:r>
              <w:rPr>
                <w:rFonts w:ascii="宋体" w:hAnsi="宋体" w:cs="宋体" w:eastAsia="宋体" w:hint="default"/>
                <w:sz w:val="21"/>
                <w:szCs w:val="21"/>
              </w:rPr>
              <w:t>mg/L</w:t>
            </w:r>
            <w:r>
              <w:rPr>
                <w:rFonts w:ascii="宋体" w:hAnsi="宋体" w:cs="宋体" w:eastAsia="宋体" w:hint="default"/>
                <w:sz w:val="21"/>
                <w:szCs w:val="21"/>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6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宋体" w:hAnsi="宋体" w:cs="宋体" w:eastAsia="宋体" w:hint="default"/>
                <w:sz w:val="11"/>
                <w:szCs w:val="11"/>
              </w:rPr>
            </w:pPr>
            <w:r>
              <w:rPr>
                <w:rFonts w:ascii="宋体" w:hAnsi="宋体" w:cs="宋体" w:eastAsia="宋体" w:hint="default"/>
                <w:sz w:val="21"/>
                <w:szCs w:val="21"/>
              </w:rPr>
              <w:t>≤</w:t>
            </w:r>
            <w:r>
              <w:rPr>
                <w:rFonts w:ascii="宋体" w:hAnsi="宋体" w:cs="宋体" w:eastAsia="宋体" w:hint="default"/>
                <w:sz w:val="21"/>
                <w:szCs w:val="21"/>
              </w:rPr>
              <w:t>5(8)</w:t>
            </w:r>
            <w:r>
              <w:rPr>
                <w:rFonts w:ascii="宋体" w:hAnsi="宋体" w:cs="宋体" w:eastAsia="宋体" w:hint="default"/>
                <w:position w:val="11"/>
                <w:sz w:val="11"/>
                <w:szCs w:val="11"/>
              </w:rPr>
              <w:t>*</w:t>
            </w:r>
            <w:r>
              <w:rPr>
                <w:rFonts w:ascii="宋体" w:hAnsi="宋体" w:cs="宋体" w:eastAsia="宋体" w:hint="default"/>
                <w:sz w:val="11"/>
                <w:szCs w:val="11"/>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4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0.5</w:t>
            </w:r>
          </w:p>
        </w:tc>
      </w:tr>
    </w:tbl>
    <w:p>
      <w:pPr>
        <w:pStyle w:val="BodyText"/>
        <w:spacing w:line="276" w:lineRule="exact"/>
        <w:ind w:left="618" w:right="97"/>
        <w:jc w:val="left"/>
      </w:pPr>
      <w:r>
        <w:rPr/>
        <w:t>注：括号内数值为水温≤</w:t>
      </w:r>
      <w:r>
        <w:rPr>
          <w:rFonts w:ascii="宋体" w:hAnsi="宋体" w:cs="宋体" w:eastAsia="宋体" w:hint="default"/>
        </w:rPr>
        <w:t>12</w:t>
      </w:r>
      <w:r>
        <w:rPr/>
        <w:t>℃时的控制指标。</w:t>
      </w:r>
    </w:p>
    <w:p>
      <w:pPr>
        <w:spacing w:line="240" w:lineRule="auto" w:before="7"/>
        <w:rPr>
          <w:rFonts w:ascii="宋体" w:hAnsi="宋体" w:cs="宋体" w:eastAsia="宋体" w:hint="default"/>
          <w:sz w:val="27"/>
          <w:szCs w:val="27"/>
        </w:rPr>
      </w:pPr>
    </w:p>
    <w:p>
      <w:pPr>
        <w:pStyle w:val="Heading2"/>
        <w:spacing w:line="240" w:lineRule="auto"/>
        <w:ind w:right="97"/>
        <w:jc w:val="left"/>
        <w:rPr>
          <w:b w:val="0"/>
          <w:bCs w:val="0"/>
        </w:rPr>
      </w:pPr>
      <w:r>
        <w:rPr>
          <w:rFonts w:ascii="宋体" w:hAnsi="宋体" w:cs="宋体" w:eastAsia="宋体" w:hint="default"/>
        </w:rPr>
        <w:t>(2)</w:t>
      </w:r>
      <w:r>
        <w:rPr>
          <w:rFonts w:ascii="宋体" w:hAnsi="宋体" w:cs="宋体" w:eastAsia="宋体" w:hint="default"/>
          <w:spacing w:val="-66"/>
        </w:rPr>
        <w:t> </w:t>
      </w:r>
      <w:r>
        <w:rPr/>
        <w:t>防治污染设施的建设和运行情况</w:t>
      </w:r>
      <w:r>
        <w:rPr>
          <w:b w:val="0"/>
          <w:bCs w:val="0"/>
        </w:rPr>
      </w:r>
    </w:p>
    <w:p>
      <w:pPr>
        <w:pStyle w:val="BodyText"/>
        <w:spacing w:line="240" w:lineRule="auto" w:before="106"/>
        <w:ind w:right="97"/>
        <w:jc w:val="left"/>
      </w:pPr>
      <w:r>
        <w:rPr/>
        <w:t>√适用</w:t>
      </w:r>
      <w:r>
        <w:rPr>
          <w:spacing w:val="-1"/>
        </w:rPr>
        <w:t> </w:t>
      </w:r>
      <w:r>
        <w:rPr/>
        <w:t>□不适用</w:t>
      </w:r>
    </w:p>
    <w:p>
      <w:pPr>
        <w:pStyle w:val="BodyText"/>
        <w:spacing w:line="276" w:lineRule="auto" w:before="46"/>
        <w:ind w:right="97" w:firstLine="479"/>
        <w:jc w:val="left"/>
      </w:pPr>
      <w:r>
        <w:rPr/>
        <w:t>（</w:t>
      </w:r>
      <w:r>
        <w:rPr>
          <w:rFonts w:ascii="宋体" w:hAnsi="宋体" w:cs="宋体" w:eastAsia="宋体" w:hint="default"/>
        </w:rPr>
        <w:t>1</w:t>
      </w:r>
      <w:r>
        <w:rPr/>
        <w:t>）淮安同方水务有限公司各污水处理厂处理设施建设具备合法合规性，当前</w:t>
      </w:r>
      <w:r>
        <w:rPr>
          <w:spacing w:val="2"/>
        </w:rPr>
        <w:t> </w:t>
      </w:r>
      <w:r>
        <w:rPr/>
        <w:t>均正常运行，水质稳定达标排放。</w:t>
      </w:r>
    </w:p>
    <w:p>
      <w:pPr>
        <w:spacing w:line="240" w:lineRule="auto" w:before="4"/>
        <w:rPr>
          <w:rFonts w:ascii="宋体" w:hAnsi="宋体" w:cs="宋体" w:eastAsia="宋体" w:hint="default"/>
          <w:sz w:val="28"/>
          <w:szCs w:val="28"/>
        </w:rPr>
      </w:pPr>
    </w:p>
    <w:p>
      <w:pPr>
        <w:pStyle w:val="BodyText"/>
        <w:spacing w:line="276" w:lineRule="auto"/>
        <w:ind w:right="228" w:firstLine="479"/>
        <w:jc w:val="both"/>
      </w:pPr>
      <w:r>
        <w:rPr/>
        <w:t>四季青污水处理厂“粗细格栅</w:t>
      </w:r>
      <w:r>
        <w:rPr>
          <w:rFonts w:ascii="宋体" w:hAnsi="宋体" w:cs="宋体" w:eastAsia="宋体" w:hint="default"/>
        </w:rPr>
        <w:t>+</w:t>
      </w:r>
      <w:r>
        <w:rPr/>
        <w:t>曝气沉砂池</w:t>
      </w:r>
      <w:r>
        <w:rPr>
          <w:rFonts w:ascii="宋体" w:hAnsi="宋体" w:cs="宋体" w:eastAsia="宋体" w:hint="default"/>
        </w:rPr>
        <w:t>+</w:t>
      </w:r>
      <w:r>
        <w:rPr/>
        <w:t>前置反硝化池</w:t>
      </w:r>
      <w:r>
        <w:rPr>
          <w:rFonts w:ascii="宋体" w:hAnsi="宋体" w:cs="宋体" w:eastAsia="宋体" w:hint="default"/>
        </w:rPr>
        <w:t>+</w:t>
      </w:r>
      <w:r>
        <w:rPr/>
        <w:t>厌氧池</w:t>
      </w:r>
      <w:r>
        <w:rPr>
          <w:rFonts w:ascii="宋体" w:hAnsi="宋体" w:cs="宋体" w:eastAsia="宋体" w:hint="default"/>
        </w:rPr>
        <w:t>+</w:t>
      </w:r>
      <w:r>
        <w:rPr/>
        <w:t>缺氧池</w:t>
      </w:r>
      <w:r>
        <w:rPr>
          <w:rFonts w:ascii="宋体" w:hAnsi="宋体" w:cs="宋体" w:eastAsia="宋体" w:hint="default"/>
        </w:rPr>
        <w:t>+</w:t>
      </w:r>
      <w:r>
        <w:rPr/>
        <w:t>好氧</w:t>
      </w:r>
      <w:r>
        <w:rPr>
          <w:spacing w:val="2"/>
        </w:rPr>
        <w:t> </w:t>
      </w:r>
      <w:r>
        <w:rPr>
          <w:spacing w:val="-3"/>
        </w:rPr>
        <w:t>池加填料</w:t>
      </w:r>
      <w:r>
        <w:rPr>
          <w:rFonts w:ascii="宋体" w:hAnsi="宋体" w:cs="宋体" w:eastAsia="宋体" w:hint="default"/>
          <w:spacing w:val="-3"/>
        </w:rPr>
        <w:t>+</w:t>
      </w:r>
      <w:r>
        <w:rPr>
          <w:spacing w:val="-3"/>
        </w:rPr>
        <w:t>二沉池</w:t>
      </w:r>
      <w:r>
        <w:rPr>
          <w:rFonts w:ascii="宋体" w:hAnsi="宋体" w:cs="宋体" w:eastAsia="宋体" w:hint="default"/>
          <w:spacing w:val="-3"/>
        </w:rPr>
        <w:t>+</w:t>
      </w:r>
      <w:r>
        <w:rPr>
          <w:spacing w:val="-3"/>
        </w:rPr>
        <w:t>磁混凝澄清池</w:t>
      </w:r>
      <w:r>
        <w:rPr>
          <w:rFonts w:ascii="宋体" w:hAnsi="宋体" w:cs="宋体" w:eastAsia="宋体" w:hint="default"/>
          <w:spacing w:val="-3"/>
        </w:rPr>
        <w:t>+</w:t>
      </w:r>
      <w:r>
        <w:rPr>
          <w:spacing w:val="-3"/>
        </w:rPr>
        <w:t>接触池”组合工艺对</w:t>
      </w:r>
      <w:r>
        <w:rPr>
          <w:spacing w:val="-53"/>
        </w:rPr>
        <w:t> </w:t>
      </w:r>
      <w:r>
        <w:rPr>
          <w:rFonts w:ascii="宋体" w:hAnsi="宋体" w:cs="宋体" w:eastAsia="宋体" w:hint="default"/>
        </w:rPr>
        <w:t>COD</w:t>
      </w:r>
      <w:r>
        <w:rPr>
          <w:rFonts w:ascii="宋体" w:hAnsi="宋体" w:cs="宋体" w:eastAsia="宋体" w:hint="default"/>
          <w:spacing w:val="-53"/>
        </w:rPr>
        <w:t> </w:t>
      </w:r>
      <w:r>
        <w:rPr/>
        <w:t>综合处理效率为</w:t>
      </w:r>
      <w:r>
        <w:rPr>
          <w:spacing w:val="-53"/>
        </w:rPr>
        <w:t> </w:t>
      </w:r>
      <w:r>
        <w:rPr>
          <w:rFonts w:ascii="宋体" w:hAnsi="宋体" w:cs="宋体" w:eastAsia="宋体" w:hint="default"/>
          <w:spacing w:val="-7"/>
        </w:rPr>
        <w:t>82.7%</w:t>
      </w:r>
      <w:r>
        <w:rPr>
          <w:spacing w:val="-7"/>
        </w:rPr>
        <w:t>、</w:t>
      </w:r>
      <w:r>
        <w:rPr>
          <w:rFonts w:ascii="宋体" w:hAnsi="宋体" w:cs="宋体" w:eastAsia="宋体" w:hint="default"/>
          <w:spacing w:val="-7"/>
        </w:rPr>
        <w:t>SS</w:t>
      </w:r>
      <w:r>
        <w:rPr>
          <w:rFonts w:ascii="宋体" w:hAnsi="宋体" w:cs="宋体" w:eastAsia="宋体" w:hint="default"/>
        </w:rPr>
        <w:t> </w:t>
      </w:r>
      <w:r>
        <w:rPr/>
        <w:t>综合处理效率为</w:t>
      </w:r>
      <w:r>
        <w:rPr>
          <w:spacing w:val="-59"/>
        </w:rPr>
        <w:t> </w:t>
      </w:r>
      <w:r>
        <w:rPr>
          <w:rFonts w:ascii="宋体" w:hAnsi="宋体" w:cs="宋体" w:eastAsia="宋体" w:hint="default"/>
          <w:spacing w:val="-4"/>
        </w:rPr>
        <w:t>96.5%</w:t>
      </w:r>
      <w:r>
        <w:rPr>
          <w:spacing w:val="-4"/>
        </w:rPr>
        <w:t>、</w:t>
      </w:r>
      <w:r>
        <w:rPr>
          <w:rFonts w:ascii="宋体" w:hAnsi="宋体" w:cs="宋体" w:eastAsia="宋体" w:hint="default"/>
          <w:spacing w:val="-4"/>
        </w:rPr>
        <w:t>NH3-N</w:t>
      </w:r>
      <w:r>
        <w:rPr>
          <w:rFonts w:ascii="宋体" w:hAnsi="宋体" w:cs="宋体" w:eastAsia="宋体" w:hint="default"/>
          <w:spacing w:val="-58"/>
        </w:rPr>
        <w:t> </w:t>
      </w:r>
      <w:r>
        <w:rPr/>
        <w:t>综合处理效率为</w:t>
      </w:r>
      <w:r>
        <w:rPr>
          <w:spacing w:val="-58"/>
        </w:rPr>
        <w:t> </w:t>
      </w:r>
      <w:r>
        <w:rPr>
          <w:rFonts w:ascii="宋体" w:hAnsi="宋体" w:cs="宋体" w:eastAsia="宋体" w:hint="default"/>
          <w:spacing w:val="-5"/>
        </w:rPr>
        <w:t>84.4%</w:t>
      </w:r>
      <w:r>
        <w:rPr>
          <w:spacing w:val="-5"/>
        </w:rPr>
        <w:t>、</w:t>
      </w:r>
      <w:r>
        <w:rPr>
          <w:rFonts w:ascii="宋体" w:hAnsi="宋体" w:cs="宋体" w:eastAsia="宋体" w:hint="default"/>
          <w:spacing w:val="-5"/>
        </w:rPr>
        <w:t>TP</w:t>
      </w:r>
      <w:r>
        <w:rPr>
          <w:rFonts w:ascii="宋体" w:hAnsi="宋体" w:cs="宋体" w:eastAsia="宋体" w:hint="default"/>
          <w:spacing w:val="-58"/>
        </w:rPr>
        <w:t> </w:t>
      </w:r>
      <w:r>
        <w:rPr/>
        <w:t>综合处理效率为</w:t>
      </w:r>
      <w:r>
        <w:rPr>
          <w:spacing w:val="-58"/>
        </w:rPr>
        <w:t> </w:t>
      </w:r>
      <w:r>
        <w:rPr>
          <w:rFonts w:ascii="宋体" w:hAnsi="宋体" w:cs="宋体" w:eastAsia="宋体" w:hint="default"/>
          <w:spacing w:val="-11"/>
        </w:rPr>
        <w:t>90.8%</w:t>
      </w:r>
      <w:r>
        <w:rPr>
          <w:spacing w:val="-11"/>
        </w:rPr>
        <w:t>、总</w:t>
      </w:r>
      <w:r>
        <w:rPr>
          <w:spacing w:val="-118"/>
        </w:rPr>
        <w:t> </w:t>
      </w:r>
      <w:r>
        <w:rPr/>
        <w:t>氮综合处理效率为</w:t>
      </w:r>
      <w:r>
        <w:rPr>
          <w:spacing w:val="-56"/>
        </w:rPr>
        <w:t> </w:t>
      </w:r>
      <w:r>
        <w:rPr>
          <w:rFonts w:ascii="宋体" w:hAnsi="宋体" w:cs="宋体" w:eastAsia="宋体" w:hint="default"/>
        </w:rPr>
        <w:t>61.5%</w:t>
      </w:r>
      <w:r>
        <w:rPr/>
        <w:t>、</w:t>
      </w:r>
      <w:r>
        <w:rPr>
          <w:rFonts w:ascii="宋体" w:hAnsi="宋体" w:cs="宋体" w:eastAsia="宋体" w:hint="default"/>
        </w:rPr>
        <w:t>BOD5</w:t>
      </w:r>
      <w:r>
        <w:rPr>
          <w:rFonts w:ascii="宋体" w:hAnsi="宋体" w:cs="宋体" w:eastAsia="宋体" w:hint="default"/>
          <w:spacing w:val="-56"/>
        </w:rPr>
        <w:t> </w:t>
      </w:r>
      <w:r>
        <w:rPr/>
        <w:t>综合处理效率为</w:t>
      </w:r>
      <w:r>
        <w:rPr>
          <w:spacing w:val="-55"/>
        </w:rPr>
        <w:t> </w:t>
      </w:r>
      <w:r>
        <w:rPr>
          <w:rFonts w:ascii="宋体" w:hAnsi="宋体" w:cs="宋体" w:eastAsia="宋体" w:hint="default"/>
        </w:rPr>
        <w:t>93.0%</w:t>
      </w:r>
      <w:r>
        <w:rPr/>
        <w:t>。该工艺对各类污染物均起到 较好的处理效果，有效地保障最终出水稳定达标。</w:t>
      </w:r>
    </w:p>
    <w:p>
      <w:pPr>
        <w:spacing w:line="240" w:lineRule="auto" w:before="4"/>
        <w:rPr>
          <w:rFonts w:ascii="宋体" w:hAnsi="宋体" w:cs="宋体" w:eastAsia="宋体" w:hint="default"/>
          <w:sz w:val="28"/>
          <w:szCs w:val="28"/>
        </w:rPr>
      </w:pPr>
    </w:p>
    <w:p>
      <w:pPr>
        <w:pStyle w:val="BodyText"/>
        <w:spacing w:line="276" w:lineRule="auto"/>
        <w:ind w:right="100" w:firstLine="479"/>
        <w:jc w:val="left"/>
      </w:pPr>
      <w:r>
        <w:rPr/>
        <w:t>第二污水处理厂“粗格栅</w:t>
      </w:r>
      <w:r>
        <w:rPr>
          <w:rFonts w:ascii="宋体" w:hAnsi="宋体" w:cs="宋体" w:eastAsia="宋体" w:hint="default"/>
        </w:rPr>
        <w:t>+</w:t>
      </w:r>
      <w:r>
        <w:rPr/>
        <w:t>细格栅及旋流沉砂池</w:t>
      </w:r>
      <w:r>
        <w:rPr>
          <w:rFonts w:ascii="宋体" w:hAnsi="宋体" w:cs="宋体" w:eastAsia="宋体" w:hint="default"/>
        </w:rPr>
        <w:t>+</w:t>
      </w:r>
      <w:r>
        <w:rPr/>
        <w:t>高效沉淀</w:t>
      </w:r>
      <w:r>
        <w:rPr>
          <w:rFonts w:ascii="宋体" w:hAnsi="宋体" w:cs="宋体" w:eastAsia="宋体" w:hint="default"/>
        </w:rPr>
        <w:t>+</w:t>
      </w:r>
      <w:r>
        <w:rPr/>
        <w:t>前置反硝化滤池</w:t>
      </w:r>
      <w:r>
        <w:rPr>
          <w:rFonts w:ascii="宋体" w:hAnsi="宋体" w:cs="宋体" w:eastAsia="宋体" w:hint="default"/>
        </w:rPr>
        <w:t>+</w:t>
      </w:r>
      <w:r>
        <w:rPr/>
        <w:t>曝气 </w:t>
      </w:r>
      <w:r>
        <w:rPr>
          <w:spacing w:val="-5"/>
        </w:rPr>
        <w:t>生物滤池</w:t>
      </w:r>
      <w:r>
        <w:rPr>
          <w:rFonts w:ascii="宋体" w:hAnsi="宋体" w:cs="宋体" w:eastAsia="宋体" w:hint="default"/>
          <w:spacing w:val="-5"/>
        </w:rPr>
        <w:t>+</w:t>
      </w:r>
      <w:r>
        <w:rPr>
          <w:spacing w:val="-5"/>
        </w:rPr>
        <w:t>后置反硝化滤池</w:t>
      </w:r>
      <w:r>
        <w:rPr>
          <w:rFonts w:ascii="宋体" w:hAnsi="宋体" w:cs="宋体" w:eastAsia="宋体" w:hint="default"/>
          <w:spacing w:val="-5"/>
        </w:rPr>
        <w:t>+</w:t>
      </w:r>
      <w:r>
        <w:rPr>
          <w:spacing w:val="-5"/>
        </w:rPr>
        <w:t>磁混凝</w:t>
      </w:r>
      <w:r>
        <w:rPr>
          <w:rFonts w:ascii="宋体" w:hAnsi="宋体" w:cs="宋体" w:eastAsia="宋体" w:hint="default"/>
          <w:spacing w:val="-5"/>
        </w:rPr>
        <w:t>+</w:t>
      </w:r>
      <w:r>
        <w:rPr>
          <w:spacing w:val="-5"/>
        </w:rPr>
        <w:t>消毒池”组合工艺对</w:t>
      </w:r>
      <w:r>
        <w:rPr>
          <w:spacing w:val="-54"/>
        </w:rPr>
        <w:t> </w:t>
      </w:r>
      <w:r>
        <w:rPr>
          <w:rFonts w:ascii="宋体" w:hAnsi="宋体" w:cs="宋体" w:eastAsia="宋体" w:hint="default"/>
        </w:rPr>
        <w:t>COD</w:t>
      </w:r>
      <w:r>
        <w:rPr>
          <w:rFonts w:ascii="宋体" w:hAnsi="宋体" w:cs="宋体" w:eastAsia="宋体" w:hint="default"/>
          <w:spacing w:val="-54"/>
        </w:rPr>
        <w:t> </w:t>
      </w:r>
      <w:r>
        <w:rPr/>
        <w:t>综合处理效率为</w:t>
      </w:r>
      <w:r>
        <w:rPr>
          <w:spacing w:val="-54"/>
        </w:rPr>
        <w:t> </w:t>
      </w:r>
      <w:r>
        <w:rPr>
          <w:rFonts w:ascii="宋体" w:hAnsi="宋体" w:cs="宋体" w:eastAsia="宋体" w:hint="default"/>
        </w:rPr>
        <w:t>94.13%</w:t>
      </w:r>
      <w:r>
        <w:rPr/>
        <w:t>、 </w:t>
      </w:r>
      <w:r>
        <w:rPr>
          <w:rFonts w:ascii="宋体" w:hAnsi="宋体" w:cs="宋体" w:eastAsia="宋体" w:hint="default"/>
        </w:rPr>
        <w:t>SS</w:t>
      </w:r>
      <w:r>
        <w:rPr>
          <w:rFonts w:ascii="宋体" w:hAnsi="宋体" w:cs="宋体" w:eastAsia="宋体" w:hint="default"/>
          <w:spacing w:val="-88"/>
        </w:rPr>
        <w:t> </w:t>
      </w:r>
      <w:r>
        <w:rPr/>
        <w:t>综合处理效率为</w:t>
      </w:r>
      <w:r>
        <w:rPr>
          <w:spacing w:val="-88"/>
        </w:rPr>
        <w:t> </w:t>
      </w:r>
      <w:r>
        <w:rPr>
          <w:rFonts w:ascii="宋体" w:hAnsi="宋体" w:cs="宋体" w:eastAsia="宋体" w:hint="default"/>
          <w:spacing w:val="-10"/>
        </w:rPr>
        <w:t>93.73%</w:t>
      </w:r>
      <w:r>
        <w:rPr>
          <w:spacing w:val="-10"/>
        </w:rPr>
        <w:t>、</w:t>
      </w:r>
      <w:r>
        <w:rPr>
          <w:rFonts w:ascii="宋体" w:hAnsi="宋体" w:cs="宋体" w:eastAsia="宋体" w:hint="default"/>
          <w:spacing w:val="-10"/>
        </w:rPr>
        <w:t>NH3-N</w:t>
      </w:r>
      <w:r>
        <w:rPr>
          <w:rFonts w:ascii="宋体" w:hAnsi="宋体" w:cs="宋体" w:eastAsia="宋体" w:hint="default"/>
          <w:spacing w:val="-88"/>
        </w:rPr>
        <w:t> </w:t>
      </w:r>
      <w:r>
        <w:rPr/>
        <w:t>综合处理效率为</w:t>
      </w:r>
      <w:r>
        <w:rPr>
          <w:spacing w:val="-88"/>
        </w:rPr>
        <w:t> </w:t>
      </w:r>
      <w:r>
        <w:rPr>
          <w:rFonts w:ascii="宋体" w:hAnsi="宋体" w:cs="宋体" w:eastAsia="宋体" w:hint="default"/>
          <w:spacing w:val="-14"/>
        </w:rPr>
        <w:t>99.12%</w:t>
      </w:r>
      <w:r>
        <w:rPr>
          <w:spacing w:val="-14"/>
        </w:rPr>
        <w:t>、</w:t>
      </w:r>
      <w:r>
        <w:rPr>
          <w:rFonts w:ascii="宋体" w:hAnsi="宋体" w:cs="宋体" w:eastAsia="宋体" w:hint="default"/>
          <w:spacing w:val="-14"/>
        </w:rPr>
        <w:t>TP</w:t>
      </w:r>
      <w:r>
        <w:rPr>
          <w:rFonts w:ascii="宋体" w:hAnsi="宋体" w:cs="宋体" w:eastAsia="宋体" w:hint="default"/>
          <w:spacing w:val="-88"/>
        </w:rPr>
        <w:t> </w:t>
      </w:r>
      <w:r>
        <w:rPr/>
        <w:t>综合处理效率为</w:t>
      </w:r>
      <w:r>
        <w:rPr>
          <w:spacing w:val="-87"/>
        </w:rPr>
        <w:t> </w:t>
      </w:r>
      <w:r>
        <w:rPr>
          <w:rFonts w:ascii="宋体" w:hAnsi="宋体" w:cs="宋体" w:eastAsia="宋体" w:hint="default"/>
        </w:rPr>
        <w:t>94.21%</w:t>
      </w:r>
      <w:r>
        <w:rPr/>
        <w:t>、 总氮综合处理效率为</w:t>
      </w:r>
      <w:r>
        <w:rPr>
          <w:spacing w:val="-55"/>
        </w:rPr>
        <w:t> </w:t>
      </w:r>
      <w:r>
        <w:rPr>
          <w:rFonts w:ascii="宋体" w:hAnsi="宋体" w:cs="宋体" w:eastAsia="宋体" w:hint="default"/>
        </w:rPr>
        <w:t>44.27%</w:t>
      </w:r>
      <w:r>
        <w:rPr/>
        <w:t>、</w:t>
      </w:r>
      <w:r>
        <w:rPr>
          <w:rFonts w:ascii="宋体" w:hAnsi="宋体" w:cs="宋体" w:eastAsia="宋体" w:hint="default"/>
        </w:rPr>
        <w:t>BOD5</w:t>
      </w:r>
      <w:r>
        <w:rPr>
          <w:rFonts w:ascii="宋体" w:hAnsi="宋体" w:cs="宋体" w:eastAsia="宋体" w:hint="default"/>
          <w:spacing w:val="-56"/>
        </w:rPr>
        <w:t> </w:t>
      </w:r>
      <w:r>
        <w:rPr/>
        <w:t>综合处理效率为</w:t>
      </w:r>
      <w:r>
        <w:rPr>
          <w:spacing w:val="-55"/>
        </w:rPr>
        <w:t> </w:t>
      </w:r>
      <w:r>
        <w:rPr>
          <w:rFonts w:ascii="宋体" w:hAnsi="宋体" w:cs="宋体" w:eastAsia="宋体" w:hint="default"/>
        </w:rPr>
        <w:t>96.34%</w:t>
      </w:r>
      <w:r>
        <w:rPr/>
        <w:t>。由此可见，该工艺对各 类污染物均起到较好的处理效果，有效地保障最终出水稳定达标。</w:t>
      </w:r>
    </w:p>
    <w:p>
      <w:pPr>
        <w:spacing w:after="0" w:line="276" w:lineRule="auto"/>
        <w:jc w:val="left"/>
        <w:sectPr>
          <w:footerReference w:type="default" r:id="rId16"/>
          <w:pgSz w:w="11910" w:h="16840"/>
          <w:pgMar w:footer="1193" w:header="0" w:top="780" w:bottom="1380" w:left="1660" w:right="1040"/>
          <w:pgNumType w:start="50"/>
        </w:sectPr>
      </w:pPr>
    </w:p>
    <w:p>
      <w:pPr>
        <w:spacing w:before="25"/>
        <w:ind w:left="120" w:right="232"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BodyText"/>
        <w:spacing w:line="276" w:lineRule="auto" w:before="26"/>
        <w:ind w:right="234" w:firstLine="479"/>
        <w:jc w:val="both"/>
      </w:pPr>
      <w:r>
        <w:rPr>
          <w:spacing w:val="4"/>
        </w:rPr>
        <w:t>淮安同方清安水务运营有限公司负责运营的淮安市主城区污水处理再生利用设</w:t>
      </w:r>
      <w:r>
        <w:rPr/>
        <w:t> </w:t>
      </w:r>
      <w:r>
        <w:rPr>
          <w:spacing w:val="-2"/>
        </w:rPr>
        <w:t>施项目防治污染设施建设具备合法合规性，当前均正常运行，该项目现已通过环保验</w:t>
      </w:r>
      <w:r>
        <w:rPr>
          <w:spacing w:val="-94"/>
        </w:rPr>
        <w:t> </w:t>
      </w:r>
      <w:r>
        <w:rPr>
          <w:spacing w:val="-94"/>
        </w:rPr>
      </w:r>
      <w:r>
        <w:rPr/>
        <w:t>收并进行了环保备案。</w:t>
      </w:r>
    </w:p>
    <w:p>
      <w:pPr>
        <w:spacing w:line="240" w:lineRule="auto" w:before="4"/>
        <w:rPr>
          <w:rFonts w:ascii="宋体" w:hAnsi="宋体" w:cs="宋体" w:eastAsia="宋体" w:hint="default"/>
          <w:sz w:val="28"/>
          <w:szCs w:val="28"/>
        </w:rPr>
      </w:pPr>
    </w:p>
    <w:p>
      <w:pPr>
        <w:pStyle w:val="BodyText"/>
        <w:spacing w:line="276" w:lineRule="auto"/>
        <w:ind w:right="231" w:firstLine="479"/>
        <w:jc w:val="both"/>
      </w:pPr>
      <w:r>
        <w:rPr/>
        <w:t>（</w:t>
      </w:r>
      <w:r>
        <w:rPr>
          <w:rFonts w:ascii="宋体" w:hAnsi="宋体" w:cs="宋体" w:eastAsia="宋体" w:hint="default"/>
        </w:rPr>
        <w:t>2</w:t>
      </w:r>
      <w:r>
        <w:rPr/>
        <w:t>）扬州同方水务有限公司建设运营的高邮市湖西污水处理厂处理设施建设具 备合法合规性，当前均正常运行，水质稳定达标排放。</w:t>
      </w:r>
    </w:p>
    <w:p>
      <w:pPr>
        <w:spacing w:line="240" w:lineRule="auto" w:before="4"/>
        <w:rPr>
          <w:rFonts w:ascii="宋体" w:hAnsi="宋体" w:cs="宋体" w:eastAsia="宋体" w:hint="default"/>
          <w:sz w:val="28"/>
          <w:szCs w:val="28"/>
        </w:rPr>
      </w:pPr>
    </w:p>
    <w:p>
      <w:pPr>
        <w:pStyle w:val="BodyText"/>
        <w:spacing w:line="276" w:lineRule="auto"/>
        <w:ind w:right="231" w:firstLine="479"/>
        <w:jc w:val="both"/>
      </w:pPr>
      <w:r>
        <w:rPr>
          <w:spacing w:val="-2"/>
        </w:rPr>
        <w:t>高邮市湖西污水处理厂“粗细格栅</w:t>
      </w:r>
      <w:r>
        <w:rPr>
          <w:rFonts w:ascii="宋体" w:hAnsi="宋体" w:cs="宋体" w:eastAsia="宋体" w:hint="default"/>
          <w:spacing w:val="-2"/>
        </w:rPr>
        <w:t>+</w:t>
      </w:r>
      <w:r>
        <w:rPr>
          <w:spacing w:val="-2"/>
        </w:rPr>
        <w:t>旋流沉砂池</w:t>
      </w:r>
      <w:r>
        <w:rPr>
          <w:rFonts w:ascii="宋体" w:hAnsi="宋体" w:cs="宋体" w:eastAsia="宋体" w:hint="default"/>
          <w:spacing w:val="-2"/>
        </w:rPr>
        <w:t>+</w:t>
      </w:r>
      <w:r>
        <w:rPr>
          <w:spacing w:val="-2"/>
        </w:rPr>
        <w:t>水解酸化池</w:t>
      </w:r>
      <w:r>
        <w:rPr>
          <w:rFonts w:ascii="宋体" w:hAnsi="宋体" w:cs="宋体" w:eastAsia="宋体" w:hint="default"/>
          <w:spacing w:val="-2"/>
        </w:rPr>
        <w:t>+</w:t>
      </w:r>
      <w:r>
        <w:rPr>
          <w:spacing w:val="-2"/>
        </w:rPr>
        <w:t>高效沉淀池</w:t>
      </w:r>
      <w:r>
        <w:rPr>
          <w:rFonts w:ascii="宋体" w:hAnsi="宋体" w:cs="宋体" w:eastAsia="宋体" w:hint="default"/>
          <w:spacing w:val="-2"/>
        </w:rPr>
        <w:t>+</w:t>
      </w:r>
      <w:r>
        <w:rPr>
          <w:spacing w:val="-2"/>
        </w:rPr>
        <w:t>曝气生</w:t>
      </w:r>
      <w:r>
        <w:rPr/>
        <w:t> 物滤池</w:t>
      </w:r>
      <w:r>
        <w:rPr>
          <w:rFonts w:ascii="宋体" w:hAnsi="宋体" w:cs="宋体" w:eastAsia="宋体" w:hint="default"/>
        </w:rPr>
        <w:t>+</w:t>
      </w:r>
      <w:r>
        <w:rPr/>
        <w:t>滤布滤池</w:t>
      </w:r>
      <w:r>
        <w:rPr>
          <w:rFonts w:ascii="宋体" w:hAnsi="宋体" w:cs="宋体" w:eastAsia="宋体" w:hint="default"/>
        </w:rPr>
        <w:t>+</w:t>
      </w:r>
      <w:r>
        <w:rPr/>
        <w:t>消毒池”组合工艺对</w:t>
      </w:r>
      <w:r>
        <w:rPr>
          <w:spacing w:val="-66"/>
        </w:rPr>
        <w:t> </w:t>
      </w:r>
      <w:r>
        <w:rPr>
          <w:rFonts w:ascii="宋体" w:hAnsi="宋体" w:cs="宋体" w:eastAsia="宋体" w:hint="default"/>
        </w:rPr>
        <w:t>COD</w:t>
      </w:r>
      <w:r>
        <w:rPr>
          <w:rFonts w:ascii="宋体" w:hAnsi="宋体" w:cs="宋体" w:eastAsia="宋体" w:hint="default"/>
          <w:spacing w:val="-66"/>
        </w:rPr>
        <w:t> </w:t>
      </w:r>
      <w:r>
        <w:rPr/>
        <w:t>综合处理效率为</w:t>
      </w:r>
      <w:r>
        <w:rPr>
          <w:spacing w:val="-66"/>
        </w:rPr>
        <w:t> </w:t>
      </w:r>
      <w:r>
        <w:rPr>
          <w:rFonts w:ascii="宋体" w:hAnsi="宋体" w:cs="宋体" w:eastAsia="宋体" w:hint="default"/>
          <w:spacing w:val="-3"/>
        </w:rPr>
        <w:t>86.5%</w:t>
      </w:r>
      <w:r>
        <w:rPr>
          <w:spacing w:val="-3"/>
        </w:rPr>
        <w:t>、</w:t>
      </w:r>
      <w:r>
        <w:rPr>
          <w:rFonts w:ascii="宋体" w:hAnsi="宋体" w:cs="宋体" w:eastAsia="宋体" w:hint="default"/>
          <w:spacing w:val="-3"/>
        </w:rPr>
        <w:t>SS</w:t>
      </w:r>
      <w:r>
        <w:rPr>
          <w:rFonts w:ascii="宋体" w:hAnsi="宋体" w:cs="宋体" w:eastAsia="宋体" w:hint="default"/>
          <w:spacing w:val="-66"/>
        </w:rPr>
        <w:t> </w:t>
      </w:r>
      <w:r>
        <w:rPr/>
        <w:t>综合处理效率 为</w:t>
      </w:r>
      <w:r>
        <w:rPr>
          <w:spacing w:val="-59"/>
        </w:rPr>
        <w:t> </w:t>
      </w:r>
      <w:r>
        <w:rPr>
          <w:rFonts w:ascii="宋体" w:hAnsi="宋体" w:cs="宋体" w:eastAsia="宋体" w:hint="default"/>
          <w:spacing w:val="-4"/>
        </w:rPr>
        <w:t>96.3%</w:t>
      </w:r>
      <w:r>
        <w:rPr>
          <w:spacing w:val="-4"/>
        </w:rPr>
        <w:t>、</w:t>
      </w:r>
      <w:r>
        <w:rPr>
          <w:rFonts w:ascii="宋体" w:hAnsi="宋体" w:cs="宋体" w:eastAsia="宋体" w:hint="default"/>
          <w:spacing w:val="-4"/>
        </w:rPr>
        <w:t>NH3-N</w:t>
      </w:r>
      <w:r>
        <w:rPr>
          <w:rFonts w:ascii="宋体" w:hAnsi="宋体" w:cs="宋体" w:eastAsia="宋体" w:hint="default"/>
          <w:spacing w:val="-58"/>
        </w:rPr>
        <w:t> </w:t>
      </w:r>
      <w:r>
        <w:rPr/>
        <w:t>综合处理效率为</w:t>
      </w:r>
      <w:r>
        <w:rPr>
          <w:spacing w:val="-58"/>
        </w:rPr>
        <w:t> </w:t>
      </w:r>
      <w:r>
        <w:rPr>
          <w:rFonts w:ascii="宋体" w:hAnsi="宋体" w:cs="宋体" w:eastAsia="宋体" w:hint="default"/>
          <w:spacing w:val="-6"/>
        </w:rPr>
        <w:t>75%</w:t>
      </w:r>
      <w:r>
        <w:rPr>
          <w:spacing w:val="-6"/>
        </w:rPr>
        <w:t>、</w:t>
      </w:r>
      <w:r>
        <w:rPr>
          <w:rFonts w:ascii="宋体" w:hAnsi="宋体" w:cs="宋体" w:eastAsia="宋体" w:hint="default"/>
          <w:spacing w:val="-6"/>
        </w:rPr>
        <w:t>TP</w:t>
      </w:r>
      <w:r>
        <w:rPr>
          <w:rFonts w:ascii="宋体" w:hAnsi="宋体" w:cs="宋体" w:eastAsia="宋体" w:hint="default"/>
          <w:spacing w:val="-58"/>
        </w:rPr>
        <w:t> </w:t>
      </w:r>
      <w:r>
        <w:rPr/>
        <w:t>综合处理效率为</w:t>
      </w:r>
      <w:r>
        <w:rPr>
          <w:spacing w:val="-58"/>
        </w:rPr>
        <w:t> </w:t>
      </w:r>
      <w:r>
        <w:rPr>
          <w:rFonts w:ascii="宋体" w:hAnsi="宋体" w:cs="宋体" w:eastAsia="宋体" w:hint="default"/>
          <w:spacing w:val="-3"/>
        </w:rPr>
        <w:t>87.5%</w:t>
      </w:r>
      <w:r>
        <w:rPr>
          <w:spacing w:val="-3"/>
        </w:rPr>
        <w:t>、总氮综合处理效率</w:t>
      </w:r>
      <w:r>
        <w:rPr/>
        <w:t> 为</w:t>
      </w:r>
      <w:r>
        <w:rPr>
          <w:spacing w:val="-56"/>
        </w:rPr>
        <w:t> </w:t>
      </w:r>
      <w:r>
        <w:rPr>
          <w:rFonts w:ascii="宋体" w:hAnsi="宋体" w:cs="宋体" w:eastAsia="宋体" w:hint="default"/>
        </w:rPr>
        <w:t>50%</w:t>
      </w:r>
      <w:r>
        <w:rPr/>
        <w:t>、</w:t>
      </w:r>
      <w:r>
        <w:rPr>
          <w:rFonts w:ascii="宋体" w:hAnsi="宋体" w:cs="宋体" w:eastAsia="宋体" w:hint="default"/>
        </w:rPr>
        <w:t>BOD5</w:t>
      </w:r>
      <w:r>
        <w:rPr>
          <w:rFonts w:ascii="宋体" w:hAnsi="宋体" w:cs="宋体" w:eastAsia="宋体" w:hint="default"/>
          <w:spacing w:val="-56"/>
        </w:rPr>
        <w:t> </w:t>
      </w:r>
      <w:r>
        <w:rPr/>
        <w:t>综合处理效率为</w:t>
      </w:r>
      <w:r>
        <w:rPr>
          <w:spacing w:val="-55"/>
        </w:rPr>
        <w:t> </w:t>
      </w:r>
      <w:r>
        <w:rPr>
          <w:rFonts w:ascii="宋体" w:hAnsi="宋体" w:cs="宋体" w:eastAsia="宋体" w:hint="default"/>
        </w:rPr>
        <w:t>94.6%</w:t>
      </w:r>
      <w:r>
        <w:rPr/>
        <w:t>。该工艺对各类污染物均起到较好的处理效果， 有效地保障最终出水稳定达标。</w:t>
      </w:r>
    </w:p>
    <w:p>
      <w:pPr>
        <w:spacing w:line="240" w:lineRule="auto" w:before="11"/>
        <w:rPr>
          <w:rFonts w:ascii="宋体" w:hAnsi="宋体" w:cs="宋体" w:eastAsia="宋体" w:hint="default"/>
          <w:sz w:val="32"/>
          <w:szCs w:val="32"/>
        </w:rPr>
      </w:pPr>
    </w:p>
    <w:p>
      <w:pPr>
        <w:pStyle w:val="Heading2"/>
        <w:spacing w:line="240" w:lineRule="auto"/>
        <w:ind w:right="97"/>
        <w:jc w:val="left"/>
        <w:rPr>
          <w:b w:val="0"/>
          <w:bCs w:val="0"/>
        </w:rPr>
      </w:pPr>
      <w:r>
        <w:rPr>
          <w:rFonts w:ascii="宋体" w:hAnsi="宋体" w:cs="宋体" w:eastAsia="宋体" w:hint="default"/>
        </w:rPr>
        <w:t>(3)</w:t>
      </w:r>
      <w:r>
        <w:rPr>
          <w:rFonts w:ascii="宋体" w:hAnsi="宋体" w:cs="宋体" w:eastAsia="宋体" w:hint="default"/>
          <w:spacing w:val="-69"/>
        </w:rPr>
        <w:t> </w:t>
      </w:r>
      <w:r>
        <w:rPr/>
        <w:t>建设项目环境影响评价及其他环境保护行政许可情况</w:t>
      </w:r>
      <w:r>
        <w:rPr>
          <w:b w:val="0"/>
          <w:bCs w:val="0"/>
        </w:rPr>
      </w:r>
    </w:p>
    <w:p>
      <w:pPr>
        <w:pStyle w:val="BodyText"/>
        <w:spacing w:line="276" w:lineRule="auto" w:before="106"/>
        <w:ind w:left="618" w:right="97" w:hanging="480"/>
        <w:jc w:val="left"/>
      </w:pPr>
      <w:r>
        <w:rPr/>
        <w:t>√适用 □不适用 </w:t>
      </w:r>
      <w:r>
        <w:rPr>
          <w:spacing w:val="-2"/>
        </w:rPr>
        <w:t>根据《关于对淮安市住房和城乡建设局淮安市主城区控源截污工程项目第二污水</w:t>
      </w:r>
    </w:p>
    <w:p>
      <w:pPr>
        <w:pStyle w:val="BodyText"/>
        <w:spacing w:line="276" w:lineRule="auto" w:before="10"/>
        <w:ind w:right="232"/>
        <w:jc w:val="both"/>
        <w:rPr>
          <w:rFonts w:ascii="宋体" w:hAnsi="宋体" w:cs="宋体" w:eastAsia="宋体" w:hint="default"/>
        </w:rPr>
      </w:pPr>
      <w:r>
        <w:rPr/>
        <w:t>处理厂提标改造工程环境影响报告书的批复》淮环发〔</w:t>
      </w:r>
      <w:r>
        <w:rPr>
          <w:rFonts w:ascii="宋体" w:hAnsi="宋体" w:cs="宋体" w:eastAsia="宋体" w:hint="default"/>
        </w:rPr>
        <w:t>2016</w:t>
      </w:r>
      <w:r>
        <w:rPr/>
        <w:t>〕</w:t>
      </w:r>
      <w:r>
        <w:rPr>
          <w:rFonts w:ascii="宋体" w:hAnsi="宋体" w:cs="宋体" w:eastAsia="宋体" w:hint="default"/>
        </w:rPr>
        <w:t>336</w:t>
      </w:r>
      <w:r>
        <w:rPr>
          <w:rFonts w:ascii="宋体" w:hAnsi="宋体" w:cs="宋体" w:eastAsia="宋体" w:hint="default"/>
          <w:spacing w:val="-48"/>
        </w:rPr>
        <w:t> </w:t>
      </w:r>
      <w:r>
        <w:rPr/>
        <w:t>号）和《关于对淮 </w:t>
      </w:r>
      <w:r>
        <w:rPr>
          <w:spacing w:val="4"/>
        </w:rPr>
        <w:t>安市住房和城乡建设局淮安市主城区控源截污工程项目四季青污水处理厂提标改造</w:t>
      </w:r>
      <w:r>
        <w:rPr>
          <w:spacing w:val="-105"/>
        </w:rPr>
        <w:t> </w:t>
      </w:r>
      <w:r>
        <w:rPr>
          <w:spacing w:val="-105"/>
        </w:rPr>
      </w:r>
      <w:r>
        <w:rPr/>
        <w:t>工程环境影响报告书的批复》（淮环发〔</w:t>
      </w:r>
      <w:r>
        <w:rPr>
          <w:rFonts w:ascii="宋体" w:hAnsi="宋体" w:cs="宋体" w:eastAsia="宋体" w:hint="default"/>
        </w:rPr>
        <w:t>2016</w:t>
      </w:r>
      <w:r>
        <w:rPr/>
        <w:t>〕</w:t>
      </w:r>
      <w:r>
        <w:rPr>
          <w:rFonts w:ascii="宋体" w:hAnsi="宋体" w:cs="宋体" w:eastAsia="宋体" w:hint="default"/>
        </w:rPr>
        <w:t>337</w:t>
      </w:r>
      <w:r>
        <w:rPr>
          <w:rFonts w:ascii="宋体" w:hAnsi="宋体" w:cs="宋体" w:eastAsia="宋体" w:hint="default"/>
          <w:spacing w:val="-48"/>
        </w:rPr>
        <w:t> </w:t>
      </w:r>
      <w:r>
        <w:rPr/>
        <w:t>号））环评批复，淮安市四季青 污水处理厂和第二污水处理厂一级</w:t>
      </w:r>
      <w:r>
        <w:rPr>
          <w:spacing w:val="-46"/>
        </w:rPr>
        <w:t> </w:t>
      </w:r>
      <w:r>
        <w:rPr>
          <w:rFonts w:ascii="宋体" w:hAnsi="宋体" w:cs="宋体" w:eastAsia="宋体" w:hint="default"/>
        </w:rPr>
        <w:t>A</w:t>
      </w:r>
      <w:r>
        <w:rPr>
          <w:rFonts w:ascii="宋体" w:hAnsi="宋体" w:cs="宋体" w:eastAsia="宋体" w:hint="default"/>
          <w:spacing w:val="-46"/>
        </w:rPr>
        <w:t> </w:t>
      </w:r>
      <w:r>
        <w:rPr/>
        <w:t>提标改造工程分别于</w:t>
      </w:r>
      <w:r>
        <w:rPr>
          <w:spacing w:val="-46"/>
        </w:rPr>
        <w:t> </w:t>
      </w:r>
      <w:r>
        <w:rPr>
          <w:rFonts w:ascii="宋体" w:hAnsi="宋体" w:cs="宋体" w:eastAsia="宋体" w:hint="default"/>
        </w:rPr>
        <w:t>2018</w:t>
      </w:r>
      <w:r>
        <w:rPr>
          <w:rFonts w:ascii="宋体" w:hAnsi="宋体" w:cs="宋体" w:eastAsia="宋体" w:hint="default"/>
          <w:spacing w:val="-46"/>
        </w:rPr>
        <w:t> </w:t>
      </w:r>
      <w:r>
        <w:rPr/>
        <w:t>年</w:t>
      </w:r>
      <w:r>
        <w:rPr>
          <w:spacing w:val="-46"/>
        </w:rPr>
        <w:t> </w:t>
      </w:r>
      <w:r>
        <w:rPr>
          <w:rFonts w:ascii="宋体" w:hAnsi="宋体" w:cs="宋体" w:eastAsia="宋体" w:hint="default"/>
        </w:rPr>
        <w:t>8</w:t>
      </w:r>
      <w:r>
        <w:rPr>
          <w:rFonts w:ascii="宋体" w:hAnsi="宋体" w:cs="宋体" w:eastAsia="宋体" w:hint="default"/>
          <w:spacing w:val="-43"/>
        </w:rPr>
        <w:t> </w:t>
      </w:r>
      <w:r>
        <w:rPr/>
        <w:t>月</w:t>
      </w:r>
      <w:r>
        <w:rPr>
          <w:spacing w:val="-46"/>
        </w:rPr>
        <w:t> </w:t>
      </w:r>
      <w:r>
        <w:rPr>
          <w:rFonts w:ascii="宋体" w:hAnsi="宋体" w:cs="宋体" w:eastAsia="宋体" w:hint="default"/>
        </w:rPr>
        <w:t>10</w:t>
      </w:r>
      <w:r>
        <w:rPr>
          <w:rFonts w:ascii="宋体" w:hAnsi="宋体" w:cs="宋体" w:eastAsia="宋体" w:hint="default"/>
          <w:spacing w:val="-46"/>
        </w:rPr>
        <w:t> </w:t>
      </w:r>
      <w:r>
        <w:rPr/>
        <w:t>日和</w:t>
      </w:r>
      <w:r>
        <w:rPr>
          <w:spacing w:val="-46"/>
        </w:rPr>
        <w:t> </w:t>
      </w:r>
      <w:r>
        <w:rPr>
          <w:rFonts w:ascii="宋体" w:hAnsi="宋体" w:cs="宋体" w:eastAsia="宋体" w:hint="default"/>
        </w:rPr>
        <w:t>2018</w:t>
      </w:r>
    </w:p>
    <w:p>
      <w:pPr>
        <w:pStyle w:val="BodyText"/>
        <w:spacing w:line="240" w:lineRule="auto" w:before="10"/>
        <w:ind w:right="97"/>
        <w:jc w:val="left"/>
      </w:pPr>
      <w:r>
        <w:rPr/>
        <w:t>年</w:t>
      </w:r>
      <w:r>
        <w:rPr>
          <w:spacing w:val="-61"/>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日通过环保验收。</w:t>
      </w:r>
    </w:p>
    <w:p>
      <w:pPr>
        <w:spacing w:line="240" w:lineRule="auto" w:before="0"/>
        <w:rPr>
          <w:rFonts w:ascii="宋体" w:hAnsi="宋体" w:cs="宋体" w:eastAsia="宋体" w:hint="default"/>
          <w:sz w:val="31"/>
          <w:szCs w:val="31"/>
        </w:rPr>
      </w:pPr>
    </w:p>
    <w:p>
      <w:pPr>
        <w:pStyle w:val="BodyText"/>
        <w:spacing w:line="276" w:lineRule="auto"/>
        <w:ind w:right="232" w:firstLine="479"/>
        <w:jc w:val="both"/>
      </w:pPr>
      <w:r>
        <w:rPr>
          <w:spacing w:val="-2"/>
        </w:rPr>
        <w:t>淮安市主城区污水处理再生利用设施项目根据《关于淮安市主城区污水处理及再</w:t>
      </w:r>
      <w:r>
        <w:rPr/>
        <w:t> 生利用设施建设项目环境影响报告书的批复》（苏环审〔</w:t>
      </w:r>
      <w:r>
        <w:rPr>
          <w:rFonts w:ascii="宋体" w:hAnsi="宋体" w:cs="宋体" w:eastAsia="宋体" w:hint="default"/>
        </w:rPr>
        <w:t>2013</w:t>
      </w:r>
      <w:r>
        <w:rPr/>
        <w:t>〕</w:t>
      </w:r>
      <w:r>
        <w:rPr>
          <w:rFonts w:ascii="宋体" w:hAnsi="宋体" w:cs="宋体" w:eastAsia="宋体" w:hint="default"/>
        </w:rPr>
        <w:t>175</w:t>
      </w:r>
      <w:r>
        <w:rPr>
          <w:rFonts w:ascii="宋体" w:hAnsi="宋体" w:cs="宋体" w:eastAsia="宋体" w:hint="default"/>
          <w:spacing w:val="-48"/>
        </w:rPr>
        <w:t> </w:t>
      </w:r>
      <w:r>
        <w:rPr/>
        <w:t>号））环评批复 进行了建设，该项目现已通过环保验收并进行了环保备案。</w:t>
      </w:r>
    </w:p>
    <w:p>
      <w:pPr>
        <w:spacing w:line="240" w:lineRule="auto" w:before="4"/>
        <w:rPr>
          <w:rFonts w:ascii="宋体" w:hAnsi="宋体" w:cs="宋体" w:eastAsia="宋体" w:hint="default"/>
          <w:sz w:val="28"/>
          <w:szCs w:val="28"/>
        </w:rPr>
      </w:pPr>
    </w:p>
    <w:p>
      <w:pPr>
        <w:pStyle w:val="BodyText"/>
        <w:spacing w:line="276" w:lineRule="auto"/>
        <w:ind w:right="111" w:firstLine="479"/>
        <w:jc w:val="both"/>
      </w:pPr>
      <w:r>
        <w:rPr/>
        <w:t>根据《关于对扬州菱塘光电科技产业投资开发有限公司“高邮市湖西污水处理厂 二期工程”建设项目环境影响报告表的批复》邮环许可〔</w:t>
      </w:r>
      <w:r>
        <w:rPr>
          <w:rFonts w:ascii="宋体" w:hAnsi="宋体" w:cs="宋体" w:eastAsia="宋体" w:hint="default"/>
        </w:rPr>
        <w:t>2016</w:t>
      </w:r>
      <w:r>
        <w:rPr/>
        <w:t>〕</w:t>
      </w:r>
      <w:r>
        <w:rPr>
          <w:rFonts w:ascii="宋体" w:hAnsi="宋体" w:cs="宋体" w:eastAsia="宋体" w:hint="default"/>
        </w:rPr>
        <w:t>7</w:t>
      </w:r>
      <w:r>
        <w:rPr>
          <w:rFonts w:ascii="宋体" w:hAnsi="宋体" w:cs="宋体" w:eastAsia="宋体" w:hint="default"/>
          <w:spacing w:val="-48"/>
        </w:rPr>
        <w:t> </w:t>
      </w:r>
      <w:r>
        <w:rPr/>
        <w:t>号））环评批复， 高邮市湖西污水处理厂已经于</w:t>
      </w:r>
      <w:r>
        <w:rPr>
          <w:spacing w:val="-73"/>
        </w:rPr>
        <w:t> </w:t>
      </w:r>
      <w:r>
        <w:rPr>
          <w:rFonts w:ascii="宋体" w:hAnsi="宋体" w:cs="宋体" w:eastAsia="宋体" w:hint="default"/>
        </w:rPr>
        <w:t>2017</w:t>
      </w:r>
      <w:r>
        <w:rPr>
          <w:rFonts w:ascii="宋体" w:hAnsi="宋体" w:cs="宋体" w:eastAsia="宋体" w:hint="default"/>
          <w:spacing w:val="-74"/>
        </w:rPr>
        <w:t> </w:t>
      </w:r>
      <w:r>
        <w:rPr/>
        <w:t>年</w:t>
      </w:r>
      <w:r>
        <w:rPr>
          <w:spacing w:val="-74"/>
        </w:rPr>
        <w:t> </w:t>
      </w:r>
      <w:r>
        <w:rPr>
          <w:rFonts w:ascii="宋体" w:hAnsi="宋体" w:cs="宋体" w:eastAsia="宋体" w:hint="default"/>
        </w:rPr>
        <w:t>9</w:t>
      </w:r>
      <w:r>
        <w:rPr>
          <w:rFonts w:ascii="宋体" w:hAnsi="宋体" w:cs="宋体" w:eastAsia="宋体" w:hint="default"/>
          <w:spacing w:val="-74"/>
        </w:rPr>
        <w:t> </w:t>
      </w:r>
      <w:r>
        <w:rPr>
          <w:spacing w:val="-11"/>
        </w:rPr>
        <w:t>月通过环保验收，</w:t>
      </w:r>
      <w:r>
        <w:rPr>
          <w:rFonts w:ascii="宋体" w:hAnsi="宋体" w:cs="宋体" w:eastAsia="宋体" w:hint="default"/>
          <w:spacing w:val="-11"/>
        </w:rPr>
        <w:t>2017</w:t>
      </w:r>
      <w:r>
        <w:rPr>
          <w:rFonts w:ascii="宋体" w:hAnsi="宋体" w:cs="宋体" w:eastAsia="宋体" w:hint="default"/>
          <w:spacing w:val="-74"/>
        </w:rPr>
        <w:t> </w:t>
      </w:r>
      <w:r>
        <w:rPr/>
        <w:t>年</w:t>
      </w:r>
      <w:r>
        <w:rPr>
          <w:spacing w:val="-74"/>
        </w:rPr>
        <w:t> </w:t>
      </w:r>
      <w:r>
        <w:rPr>
          <w:rFonts w:ascii="宋体" w:hAnsi="宋体" w:cs="宋体" w:eastAsia="宋体" w:hint="default"/>
        </w:rPr>
        <w:t>11</w:t>
      </w:r>
      <w:r>
        <w:rPr>
          <w:rFonts w:ascii="宋体" w:hAnsi="宋体" w:cs="宋体" w:eastAsia="宋体" w:hint="default"/>
          <w:spacing w:val="-76"/>
        </w:rPr>
        <w:t> </w:t>
      </w:r>
      <w:r>
        <w:rPr/>
        <w:t>月进入商业运行。</w:t>
      </w:r>
    </w:p>
    <w:p>
      <w:pPr>
        <w:spacing w:line="240" w:lineRule="auto" w:before="11"/>
        <w:rPr>
          <w:rFonts w:ascii="宋体" w:hAnsi="宋体" w:cs="宋体" w:eastAsia="宋体" w:hint="default"/>
          <w:sz w:val="32"/>
          <w:szCs w:val="32"/>
        </w:rPr>
      </w:pPr>
    </w:p>
    <w:p>
      <w:pPr>
        <w:pStyle w:val="Heading2"/>
        <w:spacing w:line="240" w:lineRule="auto"/>
        <w:ind w:right="97"/>
        <w:jc w:val="left"/>
        <w:rPr>
          <w:b w:val="0"/>
          <w:bCs w:val="0"/>
        </w:rPr>
      </w:pPr>
      <w:r>
        <w:rPr>
          <w:rFonts w:ascii="宋体" w:hAnsi="宋体" w:cs="宋体" w:eastAsia="宋体" w:hint="default"/>
        </w:rPr>
        <w:t>(4)</w:t>
      </w:r>
      <w:r>
        <w:rPr>
          <w:rFonts w:ascii="宋体" w:hAnsi="宋体" w:cs="宋体" w:eastAsia="宋体" w:hint="default"/>
          <w:spacing w:val="-67"/>
        </w:rPr>
        <w:t> </w:t>
      </w:r>
      <w:r>
        <w:rPr/>
        <w:t>突发环境事件应急预案</w:t>
      </w:r>
      <w:r>
        <w:rPr>
          <w:b w:val="0"/>
          <w:bCs w:val="0"/>
        </w:rPr>
      </w:r>
    </w:p>
    <w:p>
      <w:pPr>
        <w:pStyle w:val="BodyText"/>
        <w:spacing w:line="240" w:lineRule="auto" w:before="106"/>
        <w:ind w:right="97"/>
        <w:jc w:val="left"/>
      </w:pPr>
      <w:r>
        <w:rPr/>
        <w:t>√适用</w:t>
      </w:r>
      <w:r>
        <w:rPr>
          <w:spacing w:val="-1"/>
        </w:rPr>
        <w:t> </w:t>
      </w:r>
      <w:r>
        <w:rPr/>
        <w:t>□不适用</w:t>
      </w:r>
    </w:p>
    <w:p>
      <w:pPr>
        <w:pStyle w:val="BodyText"/>
        <w:spacing w:line="276" w:lineRule="auto" w:before="46"/>
        <w:ind w:right="228" w:firstLine="479"/>
        <w:jc w:val="both"/>
      </w:pPr>
      <w:r>
        <w:rPr/>
        <w:t>淮安同方水务有限公司四季青污水处理厂和第二污水处理厂分别于</w:t>
      </w:r>
      <w:r>
        <w:rPr>
          <w:spacing w:val="-40"/>
        </w:rPr>
        <w:t> </w:t>
      </w:r>
      <w:r>
        <w:rPr>
          <w:rFonts w:ascii="宋体" w:hAnsi="宋体" w:cs="宋体" w:eastAsia="宋体" w:hint="default"/>
        </w:rPr>
        <w:t>2018</w:t>
      </w:r>
      <w:r>
        <w:rPr>
          <w:rFonts w:ascii="宋体" w:hAnsi="宋体" w:cs="宋体" w:eastAsia="宋体" w:hint="default"/>
          <w:spacing w:val="-41"/>
        </w:rPr>
        <w:t> </w:t>
      </w:r>
      <w:r>
        <w:rPr/>
        <w:t>年</w:t>
      </w:r>
      <w:r>
        <w:rPr>
          <w:spacing w:val="-41"/>
        </w:rPr>
        <w:t> </w:t>
      </w:r>
      <w:r>
        <w:rPr>
          <w:rFonts w:ascii="宋体" w:hAnsi="宋体" w:cs="宋体" w:eastAsia="宋体" w:hint="default"/>
        </w:rPr>
        <w:t>4</w:t>
      </w:r>
      <w:r>
        <w:rPr>
          <w:rFonts w:ascii="宋体" w:hAnsi="宋体" w:cs="宋体" w:eastAsia="宋体" w:hint="default"/>
          <w:spacing w:val="-41"/>
        </w:rPr>
        <w:t> </w:t>
      </w:r>
      <w:r>
        <w:rPr/>
        <w:t>月 </w:t>
      </w:r>
      <w:r>
        <w:rPr>
          <w:spacing w:val="-2"/>
        </w:rPr>
        <w:t>组织编制《突发环境事件应急预案》，制定了相应的专项应急预案，主要包括废水外</w:t>
      </w:r>
    </w:p>
    <w:p>
      <w:pPr>
        <w:pStyle w:val="BodyText"/>
        <w:spacing w:line="276" w:lineRule="auto" w:before="10"/>
        <w:ind w:right="97"/>
        <w:jc w:val="left"/>
      </w:pPr>
      <w:r>
        <w:rPr/>
        <w:t>泄、停电、设备故障、进、出水水质异常、防汛排涝、污泥泄漏等事故下应急措施，</w:t>
      </w:r>
      <w:r>
        <w:rPr>
          <w:spacing w:val="-57"/>
        </w:rPr>
        <w:t> </w:t>
      </w:r>
      <w:r>
        <w:rPr>
          <w:spacing w:val="-57"/>
        </w:rPr>
      </w:r>
      <w:r>
        <w:rPr/>
        <w:t>并</w:t>
      </w:r>
      <w:r>
        <w:rPr>
          <w:spacing w:val="-75"/>
        </w:rPr>
        <w:t> </w:t>
      </w:r>
      <w:r>
        <w:rPr/>
        <w:t>按</w:t>
      </w:r>
      <w:r>
        <w:rPr>
          <w:spacing w:val="-75"/>
        </w:rPr>
        <w:t> </w:t>
      </w:r>
      <w:r>
        <w:rPr/>
        <w:t>要</w:t>
      </w:r>
      <w:r>
        <w:rPr>
          <w:spacing w:val="-75"/>
        </w:rPr>
        <w:t> </w:t>
      </w:r>
      <w:r>
        <w:rPr/>
        <w:t>求</w:t>
      </w:r>
      <w:r>
        <w:rPr>
          <w:spacing w:val="-75"/>
        </w:rPr>
        <w:t> </w:t>
      </w:r>
      <w:r>
        <w:rPr/>
        <w:t>在</w:t>
      </w:r>
      <w:r>
        <w:rPr>
          <w:spacing w:val="-75"/>
        </w:rPr>
        <w:t> </w:t>
      </w:r>
      <w:r>
        <w:rPr/>
        <w:t>淮</w:t>
      </w:r>
      <w:r>
        <w:rPr>
          <w:spacing w:val="-73"/>
        </w:rPr>
        <w:t> </w:t>
      </w:r>
      <w:r>
        <w:rPr/>
        <w:t>安</w:t>
      </w:r>
      <w:r>
        <w:rPr>
          <w:spacing w:val="-75"/>
        </w:rPr>
        <w:t> </w:t>
      </w:r>
      <w:r>
        <w:rPr/>
        <w:t>市</w:t>
      </w:r>
      <w:r>
        <w:rPr>
          <w:spacing w:val="-73"/>
        </w:rPr>
        <w:t> </w:t>
      </w:r>
      <w:r>
        <w:rPr/>
        <w:t>环</w:t>
      </w:r>
      <w:r>
        <w:rPr>
          <w:spacing w:val="-75"/>
        </w:rPr>
        <w:t> </w:t>
      </w:r>
      <w:r>
        <w:rPr/>
        <w:t>保</w:t>
      </w:r>
      <w:r>
        <w:rPr>
          <w:spacing w:val="-75"/>
        </w:rPr>
        <w:t> </w:t>
      </w:r>
      <w:r>
        <w:rPr/>
        <w:t>局</w:t>
      </w:r>
      <w:r>
        <w:rPr>
          <w:spacing w:val="-75"/>
        </w:rPr>
        <w:t> </w:t>
      </w:r>
      <w:r>
        <w:rPr/>
        <w:t>进</w:t>
      </w:r>
      <w:r>
        <w:rPr>
          <w:spacing w:val="-75"/>
        </w:rPr>
        <w:t> </w:t>
      </w:r>
      <w:r>
        <w:rPr/>
        <w:t>行</w:t>
      </w:r>
      <w:r>
        <w:rPr>
          <w:spacing w:val="-75"/>
        </w:rPr>
        <w:t> </w:t>
      </w:r>
      <w:r>
        <w:rPr/>
        <w:t>备</w:t>
      </w:r>
      <w:r>
        <w:rPr>
          <w:spacing w:val="-73"/>
        </w:rPr>
        <w:t> </w:t>
      </w:r>
      <w:r>
        <w:rPr/>
        <w:t>案</w:t>
      </w:r>
      <w:r>
        <w:rPr>
          <w:spacing w:val="-75"/>
        </w:rPr>
        <w:t> </w:t>
      </w:r>
      <w:r>
        <w:rPr/>
        <w:t>（</w:t>
      </w:r>
      <w:r>
        <w:rPr>
          <w:spacing w:val="-73"/>
        </w:rPr>
        <w:t> </w:t>
      </w:r>
      <w:r>
        <w:rPr/>
        <w:t>备</w:t>
      </w:r>
      <w:r>
        <w:rPr>
          <w:spacing w:val="-75"/>
        </w:rPr>
        <w:t> </w:t>
      </w:r>
      <w:r>
        <w:rPr/>
        <w:t>案</w:t>
      </w:r>
      <w:r>
        <w:rPr>
          <w:spacing w:val="-75"/>
        </w:rPr>
        <w:t> </w:t>
      </w:r>
      <w:r>
        <w:rPr/>
        <w:t>编</w:t>
      </w:r>
      <w:r>
        <w:rPr>
          <w:spacing w:val="-75"/>
        </w:rPr>
        <w:t> </w:t>
      </w:r>
      <w:r>
        <w:rPr/>
        <w:t>号</w:t>
      </w:r>
      <w:r>
        <w:rPr>
          <w:spacing w:val="-75"/>
        </w:rPr>
        <w:t> </w:t>
      </w:r>
      <w:r>
        <w:rPr/>
        <w:t>分</w:t>
      </w:r>
      <w:r>
        <w:rPr>
          <w:spacing w:val="-75"/>
        </w:rPr>
        <w:t> </w:t>
      </w:r>
      <w:r>
        <w:rPr/>
        <w:t>别</w:t>
      </w:r>
      <w:r>
        <w:rPr>
          <w:spacing w:val="-73"/>
        </w:rPr>
        <w:t> </w:t>
      </w:r>
      <w:r>
        <w:rPr/>
        <w:t>为</w:t>
      </w:r>
      <w:r>
        <w:rPr>
          <w:spacing w:val="-75"/>
        </w:rPr>
        <w:t> </w:t>
      </w:r>
      <w:r>
        <w:rPr/>
        <w:t>：</w:t>
      </w:r>
      <w:r>
        <w:rPr>
          <w:spacing w:val="-68"/>
        </w:rPr>
        <w:t> </w:t>
      </w:r>
      <w:r>
        <w:rPr>
          <w:rFonts w:ascii="宋体" w:hAnsi="宋体" w:cs="宋体" w:eastAsia="宋体" w:hint="default"/>
        </w:rPr>
        <w:t>3208002018008L</w:t>
      </w:r>
      <w:r>
        <w:rPr>
          <w:rFonts w:ascii="宋体" w:hAnsi="宋体" w:cs="宋体" w:eastAsia="宋体" w:hint="default"/>
          <w:spacing w:val="-74"/>
        </w:rPr>
        <w:t> </w:t>
      </w:r>
      <w:r>
        <w:rPr/>
        <w:t>、 </w:t>
      </w:r>
      <w:r>
        <w:rPr>
          <w:rFonts w:ascii="宋体" w:hAnsi="宋体" w:cs="宋体" w:eastAsia="宋体" w:hint="default"/>
        </w:rPr>
        <w:t>3208002018007L</w:t>
      </w:r>
      <w:r>
        <w:rPr/>
        <w:t>），并定期开展预案培训和应急演练，配备了相应的应急物资。</w:t>
      </w:r>
    </w:p>
    <w:p>
      <w:pPr>
        <w:spacing w:after="0" w:line="276" w:lineRule="auto"/>
        <w:jc w:val="left"/>
        <w:sectPr>
          <w:pgSz w:w="11910" w:h="16840"/>
          <w:pgMar w:header="0" w:footer="1193" w:top="780" w:bottom="1380" w:left="1660" w:right="1040"/>
        </w:sectPr>
      </w:pPr>
    </w:p>
    <w:p>
      <w:pPr>
        <w:spacing w:before="25"/>
        <w:ind w:left="120" w:right="232"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76" w:lineRule="auto" w:before="26"/>
        <w:ind w:right="232" w:firstLine="479"/>
        <w:jc w:val="both"/>
      </w:pPr>
      <w:r>
        <w:rPr>
          <w:spacing w:val="4"/>
        </w:rPr>
        <w:t>淮安同方清安水务运营有限公司负责运营的淮安市主城区污水处理再生利用设</w:t>
      </w:r>
      <w:r>
        <w:rPr/>
        <w:t> </w:t>
      </w:r>
      <w:r>
        <w:rPr>
          <w:spacing w:val="-2"/>
        </w:rPr>
        <w:t>施项目进行突发环境应急预案的编制工作，形成了有针对性的《污水处理厂突发环境</w:t>
      </w:r>
      <w:r>
        <w:rPr>
          <w:spacing w:val="-94"/>
        </w:rPr>
        <w:t> </w:t>
      </w:r>
      <w:r>
        <w:rPr>
          <w:spacing w:val="-94"/>
        </w:rPr>
      </w:r>
      <w:r>
        <w:rPr>
          <w:spacing w:val="-7"/>
        </w:rPr>
        <w:t>事件应急预案》，并已呈报淮安市环保局进行了备案，备案编号为：</w:t>
      </w:r>
      <w:r>
        <w:rPr>
          <w:rFonts w:ascii="宋体" w:hAnsi="宋体" w:cs="宋体" w:eastAsia="宋体" w:hint="default"/>
          <w:spacing w:val="-7"/>
        </w:rPr>
        <w:t>3208002018007L</w:t>
      </w:r>
      <w:r>
        <w:rPr>
          <w:spacing w:val="-7"/>
        </w:rPr>
        <w:t>。</w:t>
      </w:r>
      <w:r>
        <w:rPr>
          <w:spacing w:val="-93"/>
        </w:rPr>
        <w:t> </w:t>
      </w:r>
      <w:r>
        <w:rPr>
          <w:spacing w:val="-2"/>
        </w:rPr>
        <w:t>淮安同方清安水务运营有限公司根据预案内容，定期对职工进行预案的培训和应急演</w:t>
      </w:r>
      <w:r>
        <w:rPr>
          <w:spacing w:val="-94"/>
        </w:rPr>
        <w:t> </w:t>
      </w:r>
      <w:r>
        <w:rPr>
          <w:spacing w:val="-94"/>
        </w:rPr>
      </w:r>
      <w:r>
        <w:rPr/>
        <w:t>练，配备相应应急物资。</w:t>
      </w:r>
    </w:p>
    <w:p>
      <w:pPr>
        <w:spacing w:line="240" w:lineRule="auto" w:before="4"/>
        <w:rPr>
          <w:rFonts w:ascii="宋体" w:hAnsi="宋体" w:cs="宋体" w:eastAsia="宋体" w:hint="default"/>
          <w:sz w:val="28"/>
          <w:szCs w:val="28"/>
        </w:rPr>
      </w:pPr>
    </w:p>
    <w:p>
      <w:pPr>
        <w:pStyle w:val="BodyText"/>
        <w:spacing w:line="276" w:lineRule="auto"/>
        <w:ind w:right="231" w:firstLine="479"/>
        <w:jc w:val="both"/>
      </w:pPr>
      <w:r>
        <w:rPr>
          <w:spacing w:val="4"/>
        </w:rPr>
        <w:t>扬州同方水务有限公司高邮市湖西污水处理厂组织编制《突发环境事件应急预</w:t>
      </w:r>
      <w:r>
        <w:rPr/>
        <w:t> </w:t>
      </w:r>
      <w:r>
        <w:rPr>
          <w:spacing w:val="-2"/>
        </w:rPr>
        <w:t>案》，制定了相应的专项应急预案，主要包括废水外泄、停电、设备故障、进、出水</w:t>
      </w:r>
      <w:r>
        <w:rPr>
          <w:spacing w:val="-102"/>
        </w:rPr>
        <w:t> </w:t>
      </w:r>
      <w:r>
        <w:rPr>
          <w:spacing w:val="-102"/>
        </w:rPr>
      </w:r>
      <w:r>
        <w:rPr>
          <w:spacing w:val="-2"/>
        </w:rPr>
        <w:t>水质异常、防汛排涝、污泥泄漏等事故下应急措施，并按要求在高邮市环保局进行备</w:t>
      </w:r>
      <w:r>
        <w:rPr>
          <w:spacing w:val="-93"/>
        </w:rPr>
        <w:t> </w:t>
      </w:r>
      <w:r>
        <w:rPr>
          <w:spacing w:val="-93"/>
        </w:rPr>
      </w:r>
      <w:r>
        <w:rPr/>
        <w:t>案（备案编号分别为：</w:t>
      </w:r>
      <w:r>
        <w:rPr>
          <w:rFonts w:ascii="宋体" w:hAnsi="宋体" w:cs="宋体" w:eastAsia="宋体" w:hint="default"/>
        </w:rPr>
        <w:t>3210842015005</w:t>
      </w:r>
      <w:r>
        <w:rPr/>
        <w:t>），并定期开展预案培训和应急演练，配备了</w:t>
      </w:r>
      <w:r>
        <w:rPr>
          <w:spacing w:val="-59"/>
        </w:rPr>
        <w:t> </w:t>
      </w:r>
      <w:r>
        <w:rPr/>
        <w:t>相应的应急物资。</w:t>
      </w:r>
    </w:p>
    <w:p>
      <w:pPr>
        <w:spacing w:line="240" w:lineRule="auto" w:before="11"/>
        <w:rPr>
          <w:rFonts w:ascii="宋体" w:hAnsi="宋体" w:cs="宋体" w:eastAsia="宋体" w:hint="default"/>
          <w:sz w:val="32"/>
          <w:szCs w:val="32"/>
        </w:rPr>
      </w:pPr>
    </w:p>
    <w:p>
      <w:pPr>
        <w:pStyle w:val="Heading2"/>
        <w:spacing w:line="240" w:lineRule="auto"/>
        <w:ind w:left="120" w:right="6701"/>
        <w:jc w:val="center"/>
        <w:rPr>
          <w:b w:val="0"/>
          <w:bCs w:val="0"/>
        </w:rPr>
      </w:pPr>
      <w:r>
        <w:rPr>
          <w:rFonts w:ascii="宋体" w:hAnsi="宋体" w:cs="宋体" w:eastAsia="宋体" w:hint="default"/>
        </w:rPr>
        <w:t>(5)</w:t>
      </w:r>
      <w:r>
        <w:rPr>
          <w:rFonts w:ascii="宋体" w:hAnsi="宋体" w:cs="宋体" w:eastAsia="宋体" w:hint="default"/>
          <w:spacing w:val="-67"/>
        </w:rPr>
        <w:t> </w:t>
      </w:r>
      <w:r>
        <w:rPr/>
        <w:t>环境自行监测方案</w:t>
      </w:r>
      <w:r>
        <w:rPr>
          <w:b w:val="0"/>
          <w:bCs w:val="0"/>
        </w:rPr>
      </w:r>
    </w:p>
    <w:p>
      <w:pPr>
        <w:pStyle w:val="BodyText"/>
        <w:spacing w:line="240" w:lineRule="auto" w:before="106"/>
        <w:ind w:right="97"/>
        <w:jc w:val="left"/>
      </w:pPr>
      <w:r>
        <w:rPr/>
        <w:t>√适用</w:t>
      </w:r>
      <w:r>
        <w:rPr>
          <w:spacing w:val="-1"/>
        </w:rPr>
        <w:t> </w:t>
      </w:r>
      <w:r>
        <w:rPr/>
        <w:t>□不适用</w:t>
      </w:r>
    </w:p>
    <w:p>
      <w:pPr>
        <w:pStyle w:val="BodyText"/>
        <w:spacing w:line="240" w:lineRule="auto" w:before="46"/>
        <w:ind w:left="498" w:right="97"/>
        <w:jc w:val="left"/>
      </w:pPr>
      <w:r>
        <w:rPr/>
        <w:t>（</w:t>
      </w:r>
      <w:r>
        <w:rPr>
          <w:rFonts w:ascii="宋体" w:hAnsi="宋体" w:cs="宋体" w:eastAsia="宋体" w:hint="default"/>
        </w:rPr>
        <w:t>1</w:t>
      </w:r>
      <w:r>
        <w:rPr/>
        <w:t>）自备化验中心</w:t>
      </w:r>
    </w:p>
    <w:p>
      <w:pPr>
        <w:pStyle w:val="BodyText"/>
        <w:spacing w:line="276" w:lineRule="auto" w:before="46"/>
        <w:ind w:right="96" w:firstLine="359"/>
        <w:jc w:val="left"/>
      </w:pPr>
      <w:r>
        <w:rPr/>
        <w:t>淮安同方水务有限公司、淮安同方清安水务运营有限公司和扬州同方水务有限公</w:t>
      </w:r>
      <w:r>
        <w:rPr>
          <w:spacing w:val="2"/>
        </w:rPr>
        <w:t> </w:t>
      </w:r>
      <w:r>
        <w:rPr/>
        <w:t>司均配备专业化验中心，可测试的主要指标包括</w:t>
      </w:r>
      <w:r>
        <w:rPr>
          <w:spacing w:val="-48"/>
        </w:rPr>
        <w:t> </w:t>
      </w:r>
      <w:r>
        <w:rPr>
          <w:rFonts w:ascii="宋体" w:hAnsi="宋体" w:cs="宋体" w:eastAsia="宋体" w:hint="default"/>
        </w:rPr>
        <w:t>CODcr</w:t>
      </w:r>
      <w:r>
        <w:rPr/>
        <w:t>、</w:t>
      </w:r>
      <w:r>
        <w:rPr>
          <w:rFonts w:ascii="宋体" w:hAnsi="宋体" w:cs="宋体" w:eastAsia="宋体" w:hint="default"/>
        </w:rPr>
        <w:t>BOD5</w:t>
      </w:r>
      <w:r>
        <w:rPr/>
        <w:t>、</w:t>
      </w:r>
      <w:r>
        <w:rPr>
          <w:rFonts w:ascii="宋体" w:hAnsi="宋体" w:cs="宋体" w:eastAsia="宋体" w:hint="default"/>
        </w:rPr>
        <w:t>SS</w:t>
      </w:r>
      <w:r>
        <w:rPr/>
        <w:t>、</w:t>
      </w:r>
      <w:r>
        <w:rPr>
          <w:rFonts w:ascii="宋体" w:hAnsi="宋体" w:cs="宋体" w:eastAsia="宋体" w:hint="default"/>
        </w:rPr>
        <w:t>NH3-N</w:t>
      </w:r>
      <w:r>
        <w:rPr/>
        <w:t>、</w:t>
      </w:r>
      <w:r>
        <w:rPr>
          <w:rFonts w:ascii="宋体" w:hAnsi="宋体" w:cs="宋体" w:eastAsia="宋体" w:hint="default"/>
        </w:rPr>
        <w:t>TN</w:t>
      </w:r>
      <w:r>
        <w:rPr/>
        <w:t>、</w:t>
      </w:r>
      <w:r>
        <w:rPr>
          <w:rFonts w:ascii="宋体" w:hAnsi="宋体" w:cs="宋体" w:eastAsia="宋体" w:hint="default"/>
        </w:rPr>
        <w:t>TP</w:t>
      </w:r>
      <w:r>
        <w:rPr/>
        <w:t>、 </w:t>
      </w:r>
      <w:r>
        <w:rPr>
          <w:rFonts w:ascii="宋体" w:hAnsi="宋体" w:cs="宋体" w:eastAsia="宋体" w:hint="default"/>
        </w:rPr>
        <w:t>TDS</w:t>
      </w:r>
      <w:r>
        <w:rPr/>
        <w:t>、</w:t>
      </w:r>
      <w:r>
        <w:rPr>
          <w:rFonts w:ascii="宋体" w:hAnsi="宋体" w:cs="宋体" w:eastAsia="宋体" w:hint="default"/>
        </w:rPr>
        <w:t>pH</w:t>
      </w:r>
      <w:r>
        <w:rPr/>
        <w:t>、含盐量、污泥含水量等。</w:t>
      </w:r>
    </w:p>
    <w:p>
      <w:pPr>
        <w:spacing w:line="240" w:lineRule="auto" w:before="4"/>
        <w:rPr>
          <w:rFonts w:ascii="宋体" w:hAnsi="宋体" w:cs="宋体" w:eastAsia="宋体" w:hint="default"/>
          <w:sz w:val="28"/>
          <w:szCs w:val="28"/>
        </w:rPr>
      </w:pPr>
    </w:p>
    <w:p>
      <w:pPr>
        <w:pStyle w:val="BodyText"/>
        <w:spacing w:line="240" w:lineRule="auto"/>
        <w:ind w:left="498" w:right="97"/>
        <w:jc w:val="left"/>
      </w:pPr>
      <w:r>
        <w:rPr/>
        <w:t>（</w:t>
      </w:r>
      <w:r>
        <w:rPr>
          <w:rFonts w:ascii="宋体" w:hAnsi="宋体" w:cs="宋体" w:eastAsia="宋体" w:hint="default"/>
        </w:rPr>
        <w:t>2</w:t>
      </w:r>
      <w:r>
        <w:rPr/>
        <w:t>）在线监测</w:t>
      </w:r>
    </w:p>
    <w:p>
      <w:pPr>
        <w:pStyle w:val="BodyText"/>
        <w:spacing w:line="276" w:lineRule="auto" w:before="46"/>
        <w:ind w:right="230" w:firstLine="359"/>
        <w:jc w:val="both"/>
      </w:pPr>
      <w:r>
        <w:rPr/>
        <w:t>四个厂尾水排口均安装了流量计、</w:t>
      </w:r>
      <w:r>
        <w:rPr>
          <w:rFonts w:ascii="宋体" w:hAnsi="宋体" w:cs="宋体" w:eastAsia="宋体" w:hint="default"/>
        </w:rPr>
        <w:t>COD</w:t>
      </w:r>
      <w:r>
        <w:rPr/>
        <w:t>、氨氮、</w:t>
      </w:r>
      <w:r>
        <w:rPr>
          <w:rFonts w:ascii="宋体" w:hAnsi="宋体" w:cs="宋体" w:eastAsia="宋体" w:hint="default"/>
        </w:rPr>
        <w:t>TN</w:t>
      </w:r>
      <w:r>
        <w:rPr>
          <w:rFonts w:ascii="宋体" w:hAnsi="宋体" w:cs="宋体" w:eastAsia="宋体" w:hint="default"/>
          <w:spacing w:val="-57"/>
        </w:rPr>
        <w:t> </w:t>
      </w:r>
      <w:r>
        <w:rPr/>
        <w:t>和</w:t>
      </w:r>
      <w:r>
        <w:rPr>
          <w:spacing w:val="-57"/>
        </w:rPr>
        <w:t> </w:t>
      </w:r>
      <w:r>
        <w:rPr>
          <w:rFonts w:ascii="宋体" w:hAnsi="宋体" w:cs="宋体" w:eastAsia="宋体" w:hint="default"/>
        </w:rPr>
        <w:t>TP</w:t>
      </w:r>
      <w:r>
        <w:rPr>
          <w:rFonts w:ascii="宋体" w:hAnsi="宋体" w:cs="宋体" w:eastAsia="宋体" w:hint="default"/>
          <w:spacing w:val="-57"/>
        </w:rPr>
        <w:t> </w:t>
      </w:r>
      <w:r>
        <w:rPr/>
        <w:t>在线监测仪，主要污染物 在线监测数据实时接受环保主管部门监督，在线监测数据于</w:t>
      </w:r>
      <w:r>
        <w:rPr>
          <w:spacing w:val="64"/>
        </w:rPr>
        <w:t> </w:t>
      </w:r>
      <w:r>
        <w:rPr/>
        <w:t>“江苏省国家重点监控</w:t>
      </w:r>
      <w:r>
        <w:rPr>
          <w:spacing w:val="-115"/>
        </w:rPr>
        <w:t> </w:t>
      </w:r>
      <w:r>
        <w:rPr>
          <w:spacing w:val="-115"/>
        </w:rPr>
      </w:r>
      <w:r>
        <w:rPr/>
        <w:t>企业监测信息发布平台”进行实时公布。</w:t>
      </w:r>
    </w:p>
    <w:p>
      <w:pPr>
        <w:spacing w:line="240" w:lineRule="auto" w:before="4"/>
        <w:rPr>
          <w:rFonts w:ascii="宋体" w:hAnsi="宋体" w:cs="宋体" w:eastAsia="宋体" w:hint="default"/>
          <w:sz w:val="28"/>
          <w:szCs w:val="28"/>
        </w:rPr>
      </w:pPr>
    </w:p>
    <w:p>
      <w:pPr>
        <w:pStyle w:val="BodyText"/>
        <w:spacing w:line="276" w:lineRule="auto"/>
        <w:ind w:right="97" w:firstLine="359"/>
        <w:jc w:val="left"/>
      </w:pPr>
      <w:r>
        <w:rPr/>
        <w:t>目前四季青污水处理厂原有以及新建的废气处理装置，废气排口均安装了氨气和</w:t>
      </w:r>
      <w:r>
        <w:rPr>
          <w:spacing w:val="2"/>
        </w:rPr>
        <w:t> </w:t>
      </w:r>
      <w:r>
        <w:rPr/>
        <w:t>硫化氢在线监测仪并与本污水厂中控设备联网。</w:t>
      </w:r>
    </w:p>
    <w:p>
      <w:pPr>
        <w:spacing w:line="240" w:lineRule="auto" w:before="4"/>
        <w:rPr>
          <w:rFonts w:ascii="宋体" w:hAnsi="宋体" w:cs="宋体" w:eastAsia="宋体" w:hint="default"/>
          <w:sz w:val="28"/>
          <w:szCs w:val="28"/>
        </w:rPr>
      </w:pPr>
    </w:p>
    <w:p>
      <w:pPr>
        <w:pStyle w:val="BodyText"/>
        <w:spacing w:line="240" w:lineRule="auto"/>
        <w:ind w:left="498" w:right="97"/>
        <w:jc w:val="left"/>
      </w:pPr>
      <w:r>
        <w:rPr/>
        <w:t>（</w:t>
      </w:r>
      <w:r>
        <w:rPr>
          <w:rFonts w:ascii="宋体" w:hAnsi="宋体" w:cs="宋体" w:eastAsia="宋体" w:hint="default"/>
        </w:rPr>
        <w:t>3</w:t>
      </w:r>
      <w:r>
        <w:rPr/>
        <w:t>）委托监测</w:t>
      </w:r>
    </w:p>
    <w:p>
      <w:pPr>
        <w:pStyle w:val="BodyText"/>
        <w:spacing w:line="276" w:lineRule="auto" w:before="46"/>
        <w:ind w:right="97" w:firstLine="359"/>
        <w:jc w:val="left"/>
      </w:pPr>
      <w:r>
        <w:rPr/>
        <w:t>委托第三方监测机构对污水处理厂水质进行监测，监测方法全部按国家环境保护</w:t>
      </w:r>
      <w:r>
        <w:rPr>
          <w:spacing w:val="2"/>
        </w:rPr>
        <w:t> </w:t>
      </w:r>
      <w:r>
        <w:rPr/>
        <w:t>部门公布的国家标准进行。</w:t>
      </w:r>
    </w:p>
    <w:p>
      <w:pPr>
        <w:spacing w:line="240" w:lineRule="auto" w:before="4"/>
        <w:rPr>
          <w:rFonts w:ascii="宋体" w:hAnsi="宋体" w:cs="宋体" w:eastAsia="宋体" w:hint="default"/>
          <w:sz w:val="28"/>
          <w:szCs w:val="28"/>
        </w:rPr>
      </w:pPr>
    </w:p>
    <w:p>
      <w:pPr>
        <w:pStyle w:val="BodyText"/>
        <w:spacing w:line="240" w:lineRule="auto"/>
        <w:ind w:left="498" w:right="97"/>
        <w:jc w:val="left"/>
      </w:pPr>
      <w:r>
        <w:rPr/>
        <w:t>（</w:t>
      </w:r>
      <w:r>
        <w:rPr>
          <w:rFonts w:ascii="宋体" w:hAnsi="宋体" w:cs="宋体" w:eastAsia="宋体" w:hint="default"/>
        </w:rPr>
        <w:t>4</w:t>
      </w:r>
      <w:r>
        <w:rPr/>
        <w:t>）其他设施</w:t>
      </w:r>
    </w:p>
    <w:p>
      <w:pPr>
        <w:pStyle w:val="BodyText"/>
        <w:spacing w:line="276" w:lineRule="auto" w:before="46"/>
        <w:ind w:right="226" w:firstLine="359"/>
        <w:jc w:val="both"/>
      </w:pPr>
      <w:r>
        <w:rPr/>
        <w:t>根据国家标准《环境保护图形标志—排放口</w:t>
      </w:r>
      <w:r>
        <w:rPr>
          <w:rFonts w:ascii="宋体" w:hAnsi="宋体" w:cs="宋体" w:eastAsia="宋体" w:hint="default"/>
        </w:rPr>
        <w:t>(</w:t>
      </w:r>
      <w:r>
        <w:rPr/>
        <w:t>源</w:t>
      </w:r>
      <w:r>
        <w:rPr>
          <w:rFonts w:ascii="宋体" w:hAnsi="宋体" w:cs="宋体" w:eastAsia="宋体" w:hint="default"/>
        </w:rPr>
        <w:t>)</w:t>
      </w:r>
      <w:r>
        <w:rPr/>
        <w:t>》和国家环保总局《排污口规范</w:t>
      </w:r>
      <w:r>
        <w:rPr>
          <w:spacing w:val="2"/>
        </w:rPr>
        <w:t> </w:t>
      </w:r>
      <w:r>
        <w:rPr>
          <w:spacing w:val="-2"/>
        </w:rPr>
        <w:t>化整治要求</w:t>
      </w:r>
      <w:r>
        <w:rPr>
          <w:rFonts w:ascii="宋体" w:hAnsi="宋体" w:cs="宋体" w:eastAsia="宋体" w:hint="default"/>
          <w:spacing w:val="-2"/>
        </w:rPr>
        <w:t>(</w:t>
      </w:r>
      <w:r>
        <w:rPr>
          <w:spacing w:val="-2"/>
        </w:rPr>
        <w:t>试行</w:t>
      </w:r>
      <w:r>
        <w:rPr>
          <w:rFonts w:ascii="宋体" w:hAnsi="宋体" w:cs="宋体" w:eastAsia="宋体" w:hint="default"/>
          <w:spacing w:val="-2"/>
        </w:rPr>
        <w:t>)</w:t>
      </w:r>
      <w:r>
        <w:rPr>
          <w:spacing w:val="-2"/>
        </w:rPr>
        <w:t>》的技术要求，四季青污水处理厂、第二污水处理厂、淮安市主城</w:t>
      </w:r>
      <w:r>
        <w:rPr>
          <w:spacing w:val="-93"/>
        </w:rPr>
        <w:t> </w:t>
      </w:r>
      <w:r>
        <w:rPr>
          <w:spacing w:val="-93"/>
        </w:rPr>
      </w:r>
      <w:r>
        <w:rPr>
          <w:spacing w:val="-2"/>
        </w:rPr>
        <w:t>区污水处理再生利用设施项目、高邮市湖西污水处理厂的废水、噪声、固体废弃物排</w:t>
      </w:r>
      <w:r>
        <w:rPr>
          <w:spacing w:val="-97"/>
        </w:rPr>
        <w:t> </w:t>
      </w:r>
      <w:r>
        <w:rPr>
          <w:spacing w:val="-97"/>
        </w:rPr>
      </w:r>
      <w:r>
        <w:rPr/>
        <w:t>污口均有明显标识，排污口的规范化符合有关要求。</w:t>
      </w:r>
    </w:p>
    <w:p>
      <w:pPr>
        <w:spacing w:after="0" w:line="276" w:lineRule="auto"/>
        <w:jc w:val="both"/>
        <w:sectPr>
          <w:pgSz w:w="11910" w:h="16840"/>
          <w:pgMar w:header="0" w:footer="1193" w:top="780" w:bottom="1380" w:left="1660" w:right="1040"/>
        </w:sectPr>
      </w:pPr>
    </w:p>
    <w:p>
      <w:pPr>
        <w:spacing w:before="25"/>
        <w:ind w:left="3044" w:right="3056"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Heading2"/>
        <w:spacing w:line="240" w:lineRule="auto" w:before="26"/>
        <w:ind w:right="0"/>
        <w:jc w:val="both"/>
        <w:rPr>
          <w:b w:val="0"/>
          <w:bCs w:val="0"/>
        </w:rPr>
      </w:pPr>
      <w:r>
        <w:rPr>
          <w:rFonts w:ascii="宋体" w:hAnsi="宋体" w:cs="宋体" w:eastAsia="宋体" w:hint="default"/>
        </w:rPr>
        <w:t>(6)</w:t>
      </w:r>
      <w:r>
        <w:rPr>
          <w:rFonts w:ascii="宋体" w:hAnsi="宋体" w:cs="宋体" w:eastAsia="宋体" w:hint="default"/>
          <w:spacing w:val="-68"/>
        </w:rPr>
        <w:t> </w:t>
      </w:r>
      <w:r>
        <w:rPr/>
        <w:t>其他应当公开的环境信息</w:t>
      </w:r>
      <w:r>
        <w:rPr>
          <w:b w:val="0"/>
          <w:bCs w:val="0"/>
        </w:rPr>
      </w:r>
    </w:p>
    <w:p>
      <w:pPr>
        <w:pStyle w:val="BodyText"/>
        <w:spacing w:line="240" w:lineRule="auto" w:before="106"/>
        <w:ind w:right="0"/>
        <w:jc w:val="both"/>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spacing w:line="240" w:lineRule="auto"/>
        <w:ind w:right="0"/>
        <w:jc w:val="both"/>
        <w:rPr>
          <w:b w:val="0"/>
          <w:bCs w:val="0"/>
        </w:rPr>
      </w:pPr>
      <w:r>
        <w:rPr>
          <w:rFonts w:ascii="宋体" w:hAnsi="宋体" w:cs="宋体" w:eastAsia="宋体" w:hint="default"/>
        </w:rPr>
        <w:t>2.</w:t>
      </w:r>
      <w:r>
        <w:rPr>
          <w:rFonts w:ascii="宋体" w:hAnsi="宋体" w:cs="宋体" w:eastAsia="宋体" w:hint="default"/>
          <w:spacing w:val="58"/>
        </w:rPr>
        <w:t> </w:t>
      </w:r>
      <w:r>
        <w:rPr/>
        <w:t>重点排污单位之外的公司的环保情况说明</w:t>
      </w:r>
      <w:r>
        <w:rPr>
          <w:b w:val="0"/>
          <w:bCs w:val="0"/>
        </w:rPr>
      </w:r>
    </w:p>
    <w:p>
      <w:pPr>
        <w:pStyle w:val="BodyText"/>
        <w:tabs>
          <w:tab w:pos="1097" w:val="left" w:leader="none"/>
        </w:tabs>
        <w:spacing w:line="276" w:lineRule="auto" w:before="106"/>
        <w:ind w:left="618" w:right="134" w:hanging="480"/>
        <w:jc w:val="left"/>
      </w:pPr>
      <w:r>
        <w:rPr>
          <w:spacing w:val="-1"/>
        </w:rPr>
        <w:t>√适用</w:t>
        <w:tab/>
      </w:r>
      <w:r>
        <w:rPr/>
        <w:t>□不适用</w:t>
      </w:r>
      <w:r>
        <w:rPr/>
        <w:t> </w:t>
      </w:r>
      <w:r>
        <w:rPr>
          <w:spacing w:val="-2"/>
        </w:rPr>
        <w:t>经公司核查，公司全资子公司惠州市同方水务有限公司，现建设运营惠阳城区污</w:t>
      </w:r>
    </w:p>
    <w:p>
      <w:pPr>
        <w:pStyle w:val="BodyText"/>
        <w:spacing w:line="276" w:lineRule="auto" w:before="10"/>
        <w:ind w:right="130"/>
        <w:jc w:val="both"/>
      </w:pPr>
      <w:r>
        <w:rPr/>
        <w:t>水处理厂，未被惠州市环保局列入 </w:t>
      </w:r>
      <w:r>
        <w:rPr>
          <w:rFonts w:ascii="宋体" w:hAnsi="宋体" w:cs="宋体" w:eastAsia="宋体" w:hint="default"/>
        </w:rPr>
        <w:t>2018</w:t>
      </w:r>
      <w:r>
        <w:rPr>
          <w:rFonts w:ascii="宋体" w:hAnsi="宋体" w:cs="宋体" w:eastAsia="宋体" w:hint="default"/>
          <w:spacing w:val="-48"/>
        </w:rPr>
        <w:t> </w:t>
      </w:r>
      <w:r>
        <w:rPr/>
        <w:t>年惠州市重点排污单位名录。惠阳城区污水 处理厂规模为</w:t>
      </w:r>
      <w:r>
        <w:rPr>
          <w:spacing w:val="-56"/>
        </w:rPr>
        <w:t> </w:t>
      </w:r>
      <w:r>
        <w:rPr>
          <w:rFonts w:ascii="宋体" w:hAnsi="宋体" w:cs="宋体" w:eastAsia="宋体" w:hint="default"/>
        </w:rPr>
        <w:t>7</w:t>
      </w:r>
      <w:r>
        <w:rPr>
          <w:rFonts w:ascii="宋体" w:hAnsi="宋体" w:cs="宋体" w:eastAsia="宋体" w:hint="default"/>
          <w:spacing w:val="-56"/>
        </w:rPr>
        <w:t> </w:t>
      </w:r>
      <w:r>
        <w:rPr/>
        <w:t>万吨</w:t>
      </w:r>
      <w:r>
        <w:rPr>
          <w:rFonts w:ascii="宋体" w:hAnsi="宋体" w:cs="宋体" w:eastAsia="宋体" w:hint="default"/>
        </w:rPr>
        <w:t>/</w:t>
      </w:r>
      <w:r>
        <w:rPr/>
        <w:t>日，采用“倒置</w:t>
      </w:r>
      <w:r>
        <w:rPr>
          <w:spacing w:val="-56"/>
        </w:rPr>
        <w:t> </w:t>
      </w:r>
      <w:r>
        <w:rPr>
          <w:rFonts w:ascii="宋体" w:hAnsi="宋体" w:cs="宋体" w:eastAsia="宋体" w:hint="default"/>
        </w:rPr>
        <w:t>A2O+</w:t>
      </w:r>
      <w:r>
        <w:rPr/>
        <w:t>滤布滤池”工艺，出水执行《城镇污水处 理厂污染物排放标准（</w:t>
      </w:r>
      <w:r>
        <w:rPr>
          <w:rFonts w:ascii="宋体" w:hAnsi="宋体" w:cs="宋体" w:eastAsia="宋体" w:hint="default"/>
        </w:rPr>
        <w:t>GB18918-2002</w:t>
      </w:r>
      <w:r>
        <w:rPr/>
        <w:t>）》一级</w:t>
      </w:r>
      <w:r>
        <w:rPr>
          <w:spacing w:val="-72"/>
        </w:rPr>
        <w:t> </w:t>
      </w:r>
      <w:r>
        <w:rPr>
          <w:rFonts w:ascii="宋体" w:hAnsi="宋体" w:cs="宋体" w:eastAsia="宋体" w:hint="default"/>
        </w:rPr>
        <w:t>A</w:t>
      </w:r>
      <w:r>
        <w:rPr>
          <w:rFonts w:ascii="宋体" w:hAnsi="宋体" w:cs="宋体" w:eastAsia="宋体" w:hint="default"/>
          <w:spacing w:val="-72"/>
        </w:rPr>
        <w:t> </w:t>
      </w:r>
      <w:r>
        <w:rPr/>
        <w:t>标准，尾水通过管网经</w:t>
      </w:r>
      <w:r>
        <w:rPr>
          <w:spacing w:val="-72"/>
        </w:rPr>
        <w:t> </w:t>
      </w:r>
      <w:r>
        <w:rPr>
          <w:rFonts w:ascii="宋体" w:hAnsi="宋体" w:cs="宋体" w:eastAsia="宋体" w:hint="default"/>
        </w:rPr>
        <w:t>1</w:t>
      </w:r>
      <w:r>
        <w:rPr>
          <w:rFonts w:ascii="宋体" w:hAnsi="宋体" w:cs="宋体" w:eastAsia="宋体" w:hint="default"/>
          <w:spacing w:val="-72"/>
        </w:rPr>
        <w:t> </w:t>
      </w:r>
      <w:r>
        <w:rPr/>
        <w:t>个废水总排 口排入淡澳河，排放方式为</w:t>
      </w:r>
      <w:r>
        <w:rPr>
          <w:spacing w:val="-83"/>
        </w:rPr>
        <w:t> </w:t>
      </w:r>
      <w:r>
        <w:rPr>
          <w:rFonts w:ascii="宋体" w:hAnsi="宋体" w:cs="宋体" w:eastAsia="宋体" w:hint="default"/>
        </w:rPr>
        <w:t>24h</w:t>
      </w:r>
      <w:r>
        <w:rPr>
          <w:rFonts w:ascii="宋体" w:hAnsi="宋体" w:cs="宋体" w:eastAsia="宋体" w:hint="default"/>
          <w:spacing w:val="-83"/>
        </w:rPr>
        <w:t> </w:t>
      </w:r>
      <w:r>
        <w:rPr/>
        <w:t>连续排放。其处理设施建设具备合法合规性，当前均 </w:t>
      </w:r>
      <w:r>
        <w:rPr>
          <w:spacing w:val="-5"/>
        </w:rPr>
        <w:t>正常运行，水质稳定达标排放。惠阳城区污水处理厂一级</w:t>
      </w:r>
      <w:r>
        <w:rPr>
          <w:spacing w:val="-54"/>
        </w:rPr>
        <w:t> </w:t>
      </w:r>
      <w:r>
        <w:rPr>
          <w:rFonts w:ascii="宋体" w:hAnsi="宋体" w:cs="宋体" w:eastAsia="宋体" w:hint="default"/>
        </w:rPr>
        <w:t>A</w:t>
      </w:r>
      <w:r>
        <w:rPr>
          <w:rFonts w:ascii="宋体" w:hAnsi="宋体" w:cs="宋体" w:eastAsia="宋体" w:hint="default"/>
          <w:spacing w:val="-54"/>
        </w:rPr>
        <w:t> </w:t>
      </w:r>
      <w:r>
        <w:rPr/>
        <w:t>提标改造工程分别于</w:t>
      </w:r>
      <w:r>
        <w:rPr>
          <w:spacing w:val="-54"/>
        </w:rPr>
        <w:t> </w:t>
      </w:r>
      <w:r>
        <w:rPr>
          <w:rFonts w:ascii="宋体" w:hAnsi="宋体" w:cs="宋体" w:eastAsia="宋体" w:hint="default"/>
        </w:rPr>
        <w:t>2017 </w:t>
      </w:r>
      <w:r>
        <w:rPr/>
        <w:t>年</w:t>
      </w:r>
      <w:r>
        <w:rPr>
          <w:spacing w:val="-73"/>
        </w:rPr>
        <w:t> </w:t>
      </w:r>
      <w:r>
        <w:rPr>
          <w:rFonts w:ascii="宋体" w:hAnsi="宋体" w:cs="宋体" w:eastAsia="宋体" w:hint="default"/>
        </w:rPr>
        <w:t>12</w:t>
      </w:r>
      <w:r>
        <w:rPr>
          <w:rFonts w:ascii="宋体" w:hAnsi="宋体" w:cs="宋体" w:eastAsia="宋体" w:hint="default"/>
          <w:spacing w:val="-72"/>
        </w:rPr>
        <w:t> </w:t>
      </w:r>
      <w:r>
        <w:rPr/>
        <w:t>月</w:t>
      </w:r>
      <w:r>
        <w:rPr>
          <w:spacing w:val="-72"/>
        </w:rPr>
        <w:t> </w:t>
      </w:r>
      <w:r>
        <w:rPr>
          <w:rFonts w:ascii="宋体" w:hAnsi="宋体" w:cs="宋体" w:eastAsia="宋体" w:hint="default"/>
        </w:rPr>
        <w:t>25</w:t>
      </w:r>
      <w:r>
        <w:rPr>
          <w:rFonts w:ascii="宋体" w:hAnsi="宋体" w:cs="宋体" w:eastAsia="宋体" w:hint="default"/>
          <w:spacing w:val="-72"/>
        </w:rPr>
        <w:t> </w:t>
      </w:r>
      <w:r>
        <w:rPr/>
        <w:t>日通过环保验收。惠阳城区污水处理厂形成了有针对性的《污水处理厂突 发环境事件应急预案》，并已呈报惠阳区环保局进行了备案。</w:t>
      </w:r>
    </w:p>
    <w:p>
      <w:pPr>
        <w:spacing w:line="240" w:lineRule="auto" w:before="4"/>
        <w:rPr>
          <w:rFonts w:ascii="宋体" w:hAnsi="宋体" w:cs="宋体" w:eastAsia="宋体" w:hint="default"/>
          <w:sz w:val="28"/>
          <w:szCs w:val="28"/>
        </w:rPr>
      </w:pPr>
    </w:p>
    <w:p>
      <w:pPr>
        <w:pStyle w:val="BodyText"/>
        <w:spacing w:line="276" w:lineRule="auto"/>
        <w:ind w:right="130" w:firstLine="479"/>
        <w:jc w:val="both"/>
      </w:pPr>
      <w:r>
        <w:rPr>
          <w:spacing w:val="-3"/>
        </w:rPr>
        <w:t>经公司核查，公司不属于北京市环保局于 </w:t>
      </w:r>
      <w:r>
        <w:rPr>
          <w:rFonts w:ascii="宋体" w:hAnsi="宋体" w:cs="宋体" w:eastAsia="宋体" w:hint="default"/>
        </w:rPr>
        <w:t>2018 </w:t>
      </w:r>
      <w:r>
        <w:rPr/>
        <w:t>年 </w:t>
      </w:r>
      <w:r>
        <w:rPr>
          <w:rFonts w:ascii="宋体" w:hAnsi="宋体" w:cs="宋体" w:eastAsia="宋体" w:hint="default"/>
        </w:rPr>
        <w:t>3 </w:t>
      </w:r>
      <w:r>
        <w:rPr/>
        <w:t>月 </w:t>
      </w:r>
      <w:r>
        <w:rPr>
          <w:rFonts w:ascii="宋体" w:hAnsi="宋体" w:cs="宋体" w:eastAsia="宋体" w:hint="default"/>
        </w:rPr>
        <w:t>30</w:t>
      </w:r>
      <w:r>
        <w:rPr>
          <w:rFonts w:ascii="宋体" w:hAnsi="宋体" w:cs="宋体" w:eastAsia="宋体" w:hint="default"/>
          <w:spacing w:val="-54"/>
        </w:rPr>
        <w:t> </w:t>
      </w:r>
      <w:r>
        <w:rPr>
          <w:spacing w:val="-6"/>
        </w:rPr>
        <w:t>日公布的《北京市重</w:t>
      </w:r>
      <w:r>
        <w:rPr/>
        <w:t> 点排污单位名录（</w:t>
      </w:r>
      <w:r>
        <w:rPr>
          <w:rFonts w:ascii="宋体" w:hAnsi="宋体" w:cs="宋体" w:eastAsia="宋体" w:hint="default"/>
        </w:rPr>
        <w:t>2018</w:t>
      </w:r>
      <w:r>
        <w:rPr>
          <w:rFonts w:ascii="宋体" w:hAnsi="宋体" w:cs="宋体" w:eastAsia="宋体" w:hint="default"/>
          <w:spacing w:val="55"/>
        </w:rPr>
        <w:t> </w:t>
      </w:r>
      <w:r>
        <w:rPr/>
        <w:t>年）》中公示的重点排污单位。公司主营业务归属于信息产</w:t>
      </w:r>
      <w:r>
        <w:rPr>
          <w:spacing w:val="-112"/>
        </w:rPr>
        <w:t> </w:t>
      </w:r>
      <w:r>
        <w:rPr>
          <w:spacing w:val="-112"/>
        </w:rPr>
      </w:r>
      <w:r>
        <w:rPr>
          <w:spacing w:val="-2"/>
        </w:rPr>
        <w:t>业与节能环保产业，涉及互联网服务与终端、云计算与大数据、公共安全、节能环保</w:t>
      </w:r>
      <w:r>
        <w:rPr>
          <w:spacing w:val="-94"/>
        </w:rPr>
        <w:t> </w:t>
      </w:r>
      <w:r>
        <w:rPr>
          <w:spacing w:val="-94"/>
        </w:rPr>
      </w:r>
      <w:r>
        <w:rPr>
          <w:spacing w:val="-8"/>
        </w:rPr>
        <w:t>等产业领域，不存在《重点排污单位名录管理规定》（试用）中规定应纳入水、大气、</w:t>
      </w:r>
      <w:r>
        <w:rPr>
          <w:spacing w:val="-104"/>
        </w:rPr>
        <w:t> </w:t>
      </w:r>
      <w:r>
        <w:rPr>
          <w:spacing w:val="-104"/>
        </w:rPr>
      </w:r>
      <w:r>
        <w:rPr/>
        <w:t>土壤、声环境等重点排污单位名录的情况。</w:t>
      </w:r>
    </w:p>
    <w:p>
      <w:pPr>
        <w:spacing w:line="240" w:lineRule="auto" w:before="4"/>
        <w:rPr>
          <w:rFonts w:ascii="宋体" w:hAnsi="宋体" w:cs="宋体" w:eastAsia="宋体" w:hint="default"/>
          <w:sz w:val="28"/>
          <w:szCs w:val="28"/>
        </w:rPr>
      </w:pPr>
    </w:p>
    <w:p>
      <w:pPr>
        <w:pStyle w:val="BodyText"/>
        <w:spacing w:line="276" w:lineRule="auto"/>
        <w:ind w:right="134" w:firstLine="479"/>
        <w:jc w:val="both"/>
      </w:pPr>
      <w:r>
        <w:rPr>
          <w:spacing w:val="-2"/>
        </w:rPr>
        <w:t>公司倡导低碳环保的绿色办公方式，在日常生产经营中认真执行《中华人民共和</w:t>
      </w:r>
      <w:r>
        <w:rPr/>
        <w:t> </w:t>
      </w:r>
      <w:r>
        <w:rPr>
          <w:spacing w:val="-2"/>
        </w:rPr>
        <w:t>国环境保护法》、《中华人民共和国水污染防治法》、《中华人民共和国大气污染防</w:t>
      </w:r>
      <w:r>
        <w:rPr>
          <w:spacing w:val="-99"/>
        </w:rPr>
        <w:t> </w:t>
      </w:r>
      <w:r>
        <w:rPr>
          <w:spacing w:val="-99"/>
        </w:rPr>
      </w:r>
      <w:r>
        <w:rPr>
          <w:spacing w:val="-2"/>
        </w:rPr>
        <w:t>治法》、《中华人民共和国环境噪声污染防治法》、《中华人民共和国固体废物污染</w:t>
      </w:r>
      <w:r>
        <w:rPr>
          <w:spacing w:val="-98"/>
        </w:rPr>
        <w:t> </w:t>
      </w:r>
      <w:r>
        <w:rPr>
          <w:spacing w:val="-98"/>
        </w:rPr>
      </w:r>
      <w:r>
        <w:rPr/>
        <w:t>防治法》等环保方面的法规，报告期内未出现因违法违规而受到处罚的情况。</w:t>
      </w:r>
    </w:p>
    <w:p>
      <w:pPr>
        <w:spacing w:line="240" w:lineRule="auto" w:before="11"/>
        <w:rPr>
          <w:rFonts w:ascii="宋体" w:hAnsi="宋体" w:cs="宋体" w:eastAsia="宋体" w:hint="default"/>
          <w:sz w:val="32"/>
          <w:szCs w:val="32"/>
        </w:rPr>
      </w:pPr>
    </w:p>
    <w:p>
      <w:pPr>
        <w:pStyle w:val="Heading2"/>
        <w:spacing w:line="240" w:lineRule="auto"/>
        <w:ind w:right="0"/>
        <w:jc w:val="both"/>
        <w:rPr>
          <w:b w:val="0"/>
          <w:bCs w:val="0"/>
        </w:rPr>
      </w:pPr>
      <w:r>
        <w:rPr>
          <w:rFonts w:ascii="宋体" w:hAnsi="宋体" w:cs="宋体" w:eastAsia="宋体" w:hint="default"/>
        </w:rPr>
        <w:t>3.</w:t>
      </w:r>
      <w:r>
        <w:rPr>
          <w:rFonts w:ascii="宋体" w:hAnsi="宋体" w:cs="宋体" w:eastAsia="宋体" w:hint="default"/>
          <w:spacing w:val="57"/>
        </w:rPr>
        <w:t> </w:t>
      </w:r>
      <w:r>
        <w:rPr/>
        <w:t>重点排污单位之外的公司未披露环境信息的原因说明</w:t>
      </w:r>
      <w:r>
        <w:rPr>
          <w:b w:val="0"/>
          <w:bCs w:val="0"/>
        </w:rPr>
      </w:r>
    </w:p>
    <w:p>
      <w:pPr>
        <w:pStyle w:val="BodyText"/>
        <w:spacing w:line="240" w:lineRule="auto" w:before="106"/>
        <w:ind w:right="0"/>
        <w:jc w:val="both"/>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spacing w:line="240" w:lineRule="auto"/>
        <w:ind w:right="0"/>
        <w:jc w:val="both"/>
        <w:rPr>
          <w:b w:val="0"/>
          <w:bCs w:val="0"/>
        </w:rPr>
      </w:pPr>
      <w:r>
        <w:rPr>
          <w:rFonts w:ascii="宋体" w:hAnsi="宋体" w:cs="宋体" w:eastAsia="宋体" w:hint="default"/>
        </w:rPr>
        <w:t>4.</w:t>
      </w:r>
      <w:r>
        <w:rPr>
          <w:rFonts w:ascii="宋体" w:hAnsi="宋体" w:cs="宋体" w:eastAsia="宋体" w:hint="default"/>
          <w:spacing w:val="57"/>
        </w:rPr>
        <w:t> </w:t>
      </w:r>
      <w:r>
        <w:rPr/>
        <w:t>报告期内披露环境信息内容的后续进展或变化情况的说明</w:t>
      </w:r>
      <w:r>
        <w:rPr>
          <w:b w:val="0"/>
          <w:bCs w:val="0"/>
        </w:rPr>
      </w:r>
    </w:p>
    <w:p>
      <w:pPr>
        <w:pStyle w:val="BodyText"/>
        <w:spacing w:line="240" w:lineRule="auto" w:before="106"/>
        <w:ind w:right="0"/>
        <w:jc w:val="both"/>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spacing w:line="240" w:lineRule="auto"/>
        <w:ind w:right="0"/>
        <w:jc w:val="both"/>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37"/>
        </w:rPr>
        <w:t> </w:t>
      </w:r>
      <w:r>
        <w:rPr/>
        <w:t>其他说明</w:t>
      </w:r>
      <w:r>
        <w:rPr>
          <w:b w:val="0"/>
          <w:bCs w:val="0"/>
        </w:rPr>
      </w:r>
    </w:p>
    <w:p>
      <w:pPr>
        <w:tabs>
          <w:tab w:pos="1097" w:val="left" w:leader="none"/>
        </w:tabs>
        <w:spacing w:line="595" w:lineRule="auto" w:before="106"/>
        <w:ind w:left="138" w:right="6075" w:firstLine="0"/>
        <w:jc w:val="left"/>
        <w:rPr>
          <w:rFonts w:ascii="宋体" w:hAnsi="宋体" w:cs="宋体" w:eastAsia="宋体" w:hint="default"/>
          <w:sz w:val="24"/>
          <w:szCs w:val="24"/>
        </w:rPr>
      </w:pPr>
      <w:r>
        <w:rPr>
          <w:rFonts w:ascii="宋体" w:hAnsi="宋体" w:cs="宋体" w:eastAsia="宋体" w:hint="default"/>
          <w:spacing w:val="-1"/>
          <w:sz w:val="24"/>
          <w:szCs w:val="24"/>
        </w:rPr>
        <w:t>□适用</w:t>
        <w:tab/>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十八、可转换公司债券情况</w:t>
      </w:r>
      <w:r>
        <w:rPr>
          <w:rFonts w:ascii="宋体" w:hAnsi="宋体" w:cs="宋体" w:eastAsia="宋体" w:hint="default"/>
          <w:sz w:val="24"/>
          <w:szCs w:val="24"/>
        </w:rPr>
      </w:r>
    </w:p>
    <w:p>
      <w:pPr>
        <w:spacing w:after="0" w:line="595" w:lineRule="auto"/>
        <w:jc w:val="left"/>
        <w:rPr>
          <w:rFonts w:ascii="宋体" w:hAnsi="宋体" w:cs="宋体" w:eastAsia="宋体" w:hint="default"/>
          <w:sz w:val="24"/>
          <w:szCs w:val="24"/>
        </w:rPr>
        <w:sectPr>
          <w:pgSz w:w="11910" w:h="16840"/>
          <w:pgMar w:header="0" w:footer="1193" w:top="780" w:bottom="1380" w:left="1660" w:right="1140"/>
        </w:sectPr>
      </w:pPr>
    </w:p>
    <w:p>
      <w:pPr>
        <w:spacing w:before="25"/>
        <w:ind w:left="3044" w:right="3056"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Heading2"/>
        <w:tabs>
          <w:tab w:pos="977" w:val="left" w:leader="none"/>
        </w:tabs>
        <w:spacing w:line="240" w:lineRule="auto" w:before="26"/>
        <w:ind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转债发行情况</w:t>
      </w:r>
      <w:r>
        <w:rPr>
          <w:b w:val="0"/>
          <w:bCs w:val="0"/>
        </w:rPr>
      </w:r>
    </w:p>
    <w:p>
      <w:pPr>
        <w:pStyle w:val="BodyText"/>
        <w:tabs>
          <w:tab w:pos="1097" w:val="left" w:leader="none"/>
        </w:tabs>
        <w:spacing w:line="240" w:lineRule="auto" w:before="106"/>
        <w:ind w:right="0"/>
        <w:jc w:val="left"/>
      </w:pPr>
      <w:r>
        <w:rPr>
          <w:spacing w:val="-1"/>
        </w:rPr>
        <w:t>□适用</w:t>
        <w:tab/>
      </w:r>
      <w:r>
        <w:rPr/>
        <w:t>√不适用</w:t>
      </w:r>
    </w:p>
    <w:p>
      <w:pPr>
        <w:spacing w:line="240" w:lineRule="auto" w:before="8"/>
        <w:rPr>
          <w:rFonts w:ascii="宋体" w:hAnsi="宋体" w:cs="宋体" w:eastAsia="宋体" w:hint="default"/>
          <w:sz w:val="35"/>
          <w:szCs w:val="35"/>
        </w:rPr>
      </w:pPr>
    </w:p>
    <w:p>
      <w:pPr>
        <w:pStyle w:val="Heading2"/>
        <w:tabs>
          <w:tab w:pos="977" w:val="left" w:leader="none"/>
        </w:tabs>
        <w:spacing w:line="240" w:lineRule="auto"/>
        <w:ind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报告期转债持有人及担保人情况</w:t>
      </w:r>
      <w:r>
        <w:rPr>
          <w:b w:val="0"/>
          <w:bCs w:val="0"/>
        </w:rPr>
      </w:r>
    </w:p>
    <w:p>
      <w:pPr>
        <w:pStyle w:val="BodyText"/>
        <w:spacing w:line="240" w:lineRule="auto" w:before="106"/>
        <w:ind w:right="0"/>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tabs>
          <w:tab w:pos="977" w:val="left" w:leader="none"/>
        </w:tabs>
        <w:spacing w:line="240" w:lineRule="auto"/>
        <w:ind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报告期转债变动情况</w:t>
      </w:r>
      <w:r>
        <w:rPr>
          <w:b w:val="0"/>
          <w:bCs w:val="0"/>
        </w:rPr>
      </w:r>
    </w:p>
    <w:p>
      <w:pPr>
        <w:pStyle w:val="BodyText"/>
        <w:spacing w:line="240" w:lineRule="auto" w:before="106"/>
        <w:ind w:right="0"/>
        <w:jc w:val="left"/>
      </w:pPr>
      <w:r>
        <w:rPr/>
        <w:t>□适用</w:t>
      </w:r>
      <w:r>
        <w:rPr>
          <w:spacing w:val="-1"/>
        </w:rPr>
        <w:t> </w:t>
      </w:r>
      <w:r>
        <w:rPr/>
        <w:t>√不适用</w:t>
      </w:r>
    </w:p>
    <w:p>
      <w:pPr>
        <w:spacing w:line="240" w:lineRule="auto" w:before="1"/>
        <w:rPr>
          <w:rFonts w:ascii="宋体" w:hAnsi="宋体" w:cs="宋体" w:eastAsia="宋体" w:hint="default"/>
          <w:sz w:val="31"/>
          <w:szCs w:val="31"/>
        </w:rPr>
      </w:pPr>
    </w:p>
    <w:p>
      <w:pPr>
        <w:pStyle w:val="BodyText"/>
        <w:spacing w:line="240" w:lineRule="auto"/>
        <w:ind w:right="0"/>
        <w:jc w:val="left"/>
      </w:pPr>
      <w:r>
        <w:rPr/>
        <w:t>报告期转债累计转股情况</w:t>
      </w:r>
    </w:p>
    <w:p>
      <w:pPr>
        <w:pStyle w:val="BodyText"/>
        <w:spacing w:line="240" w:lineRule="auto" w:before="46"/>
        <w:ind w:right="0"/>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tabs>
          <w:tab w:pos="977" w:val="left" w:leader="none"/>
        </w:tabs>
        <w:spacing w:line="240" w:lineRule="auto"/>
        <w:ind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转股价格历次调整情况</w:t>
      </w:r>
      <w:r>
        <w:rPr>
          <w:b w:val="0"/>
          <w:bCs w:val="0"/>
        </w:rPr>
      </w:r>
    </w:p>
    <w:p>
      <w:pPr>
        <w:pStyle w:val="BodyText"/>
        <w:spacing w:line="240" w:lineRule="auto" w:before="106"/>
        <w:ind w:right="0"/>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tabs>
          <w:tab w:pos="977" w:val="left" w:leader="none"/>
        </w:tabs>
        <w:spacing w:line="240" w:lineRule="auto"/>
        <w:ind w:right="0"/>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公司的负债情况、资信变化情况及在未来年度还债的现金安排</w:t>
      </w:r>
      <w:r>
        <w:rPr>
          <w:b w:val="0"/>
          <w:bCs w:val="0"/>
        </w:rPr>
      </w:r>
    </w:p>
    <w:p>
      <w:pPr>
        <w:pStyle w:val="BodyText"/>
        <w:tabs>
          <w:tab w:pos="1097" w:val="left" w:leader="none"/>
        </w:tabs>
        <w:spacing w:line="240" w:lineRule="auto" w:before="106"/>
        <w:ind w:right="0"/>
        <w:jc w:val="left"/>
      </w:pPr>
      <w:r>
        <w:rPr>
          <w:spacing w:val="-1"/>
        </w:rPr>
        <w:t>□适用</w:t>
        <w:tab/>
      </w:r>
      <w:r>
        <w:rPr/>
        <w:t>√不适用</w:t>
      </w:r>
    </w:p>
    <w:p>
      <w:pPr>
        <w:spacing w:line="240" w:lineRule="auto" w:before="8"/>
        <w:rPr>
          <w:rFonts w:ascii="宋体" w:hAnsi="宋体" w:cs="宋体" w:eastAsia="宋体" w:hint="default"/>
          <w:sz w:val="35"/>
          <w:szCs w:val="35"/>
        </w:rPr>
      </w:pPr>
    </w:p>
    <w:p>
      <w:pPr>
        <w:pStyle w:val="Heading2"/>
        <w:tabs>
          <w:tab w:pos="977" w:val="left" w:leader="none"/>
        </w:tabs>
        <w:spacing w:line="240" w:lineRule="auto"/>
        <w:ind w:right="0"/>
        <w:jc w:val="left"/>
        <w:rPr>
          <w:b w:val="0"/>
          <w:bCs w:val="0"/>
        </w:rPr>
      </w:pPr>
      <w:r>
        <w:rPr>
          <w:rFonts w:ascii="宋体" w:hAnsi="宋体" w:cs="宋体" w:eastAsia="宋体" w:hint="default"/>
          <w:w w:val="95"/>
        </w:rPr>
        <w:t>(</w:t>
      </w:r>
      <w:r>
        <w:rPr>
          <w:w w:val="95"/>
        </w:rPr>
        <w:t>六</w:t>
      </w:r>
      <w:r>
        <w:rPr>
          <w:rFonts w:ascii="宋体" w:hAnsi="宋体" w:cs="宋体" w:eastAsia="宋体" w:hint="default"/>
          <w:w w:val="95"/>
        </w:rPr>
        <w:t>)</w:t>
        <w:tab/>
      </w:r>
      <w:r>
        <w:rPr/>
        <w:t>转债其他情况说明</w:t>
      </w:r>
      <w:r>
        <w:rPr>
          <w:b w:val="0"/>
          <w:bCs w:val="0"/>
        </w:rPr>
      </w:r>
    </w:p>
    <w:p>
      <w:pPr>
        <w:pStyle w:val="BodyText"/>
        <w:tabs>
          <w:tab w:pos="1097" w:val="left" w:leader="none"/>
        </w:tabs>
        <w:spacing w:line="240" w:lineRule="auto" w:before="106"/>
        <w:ind w:right="0"/>
        <w:jc w:val="left"/>
      </w:pPr>
      <w:r>
        <w:rPr>
          <w:spacing w:val="-1"/>
        </w:rPr>
        <w:t>□适用</w:t>
        <w:tab/>
      </w:r>
      <w:r>
        <w:rPr/>
        <w:t>√不适用</w:t>
      </w:r>
    </w:p>
    <w:p>
      <w:pPr>
        <w:spacing w:after="0" w:line="240" w:lineRule="auto"/>
        <w:jc w:val="left"/>
        <w:sectPr>
          <w:pgSz w:w="11910" w:h="16840"/>
          <w:pgMar w:header="0" w:footer="1193" w:top="780" w:bottom="1380" w:left="1660" w:right="1140"/>
        </w:sectPr>
      </w:pPr>
    </w:p>
    <w:p>
      <w:pPr>
        <w:spacing w:before="25"/>
        <w:ind w:left="4713" w:right="472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94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5"/>
          <w:szCs w:val="25"/>
        </w:rPr>
      </w:pPr>
    </w:p>
    <w:p>
      <w:pPr>
        <w:pStyle w:val="Heading1"/>
        <w:spacing w:line="240" w:lineRule="auto"/>
        <w:ind w:left="3215" w:right="0"/>
        <w:jc w:val="left"/>
        <w:rPr>
          <w:b w:val="0"/>
          <w:bCs w:val="0"/>
        </w:rPr>
      </w:pPr>
      <w:bookmarkStart w:name="_TOC_250005" w:id="6"/>
      <w:r>
        <w:rPr/>
        <w:t>第六节</w:t>
      </w:r>
      <w:r>
        <w:rPr>
          <w:spacing w:val="-1"/>
        </w:rPr>
        <w:t> </w:t>
      </w:r>
      <w:r>
        <w:rPr/>
        <w:t>普通股股份变动及股东情况</w:t>
      </w:r>
      <w:bookmarkEnd w:id="6"/>
      <w:r>
        <w:rPr>
          <w:b w:val="0"/>
          <w:bCs w:val="0"/>
        </w:rPr>
      </w:r>
    </w:p>
    <w:p>
      <w:pPr>
        <w:spacing w:line="240" w:lineRule="auto" w:before="7"/>
        <w:rPr>
          <w:rFonts w:ascii="黑体" w:hAnsi="黑体" w:cs="黑体" w:eastAsia="黑体" w:hint="default"/>
          <w:b/>
          <w:bCs/>
          <w:sz w:val="20"/>
          <w:szCs w:val="20"/>
        </w:rPr>
      </w:pPr>
    </w:p>
    <w:p>
      <w:pPr>
        <w:spacing w:after="0" w:line="240" w:lineRule="auto"/>
        <w:rPr>
          <w:rFonts w:ascii="黑体" w:hAnsi="黑体" w:cs="黑体" w:eastAsia="黑体" w:hint="default"/>
          <w:sz w:val="20"/>
          <w:szCs w:val="20"/>
        </w:rPr>
        <w:sectPr>
          <w:pgSz w:w="11910" w:h="16840"/>
          <w:pgMar w:header="0" w:footer="1193" w:top="780" w:bottom="1380" w:left="820" w:right="300"/>
        </w:sectPr>
      </w:pPr>
    </w:p>
    <w:p>
      <w:pPr>
        <w:pStyle w:val="Heading2"/>
        <w:spacing w:line="321" w:lineRule="auto" w:before="26"/>
        <w:ind w:left="978" w:right="0"/>
        <w:jc w:val="both"/>
        <w:rPr>
          <w:b w:val="0"/>
          <w:bCs w:val="0"/>
        </w:rPr>
      </w:pPr>
      <w:r>
        <w:rPr/>
        <w:t>一、</w:t>
      </w:r>
      <w:r>
        <w:rPr>
          <w:spacing w:val="114"/>
        </w:rPr>
        <w:t> </w:t>
      </w:r>
      <w:r>
        <w:rPr/>
        <w:t>普通股股本变动情况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0"/>
        </w:rPr>
        <w:t> </w:t>
      </w:r>
      <w:r>
        <w:rPr/>
        <w:t>普通股股份变动情况表</w:t>
      </w:r>
      <w:r>
        <w:rPr>
          <w:w w:val="99"/>
        </w:rPr>
        <w:t> </w:t>
      </w:r>
      <w:r>
        <w:rPr>
          <w:rFonts w:ascii="宋体" w:hAnsi="宋体" w:cs="宋体" w:eastAsia="宋体" w:hint="default"/>
        </w:rPr>
        <w:t>1</w:t>
      </w:r>
      <w:r>
        <w:rPr/>
        <w:t>、</w:t>
      </w:r>
      <w:r>
        <w:rPr>
          <w:spacing w:val="-66"/>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0"/>
        <w:ind w:left="957" w:right="952" w:firstLine="0"/>
        <w:jc w:val="center"/>
        <w:rPr>
          <w:rFonts w:ascii="宋体" w:hAnsi="宋体" w:cs="宋体" w:eastAsia="宋体" w:hint="default"/>
          <w:sz w:val="21"/>
          <w:szCs w:val="21"/>
        </w:rPr>
      </w:pPr>
      <w:r>
        <w:rPr>
          <w:rFonts w:ascii="宋体" w:hAnsi="宋体" w:cs="宋体" w:eastAsia="宋体" w:hint="default"/>
          <w:sz w:val="21"/>
          <w:szCs w:val="21"/>
        </w:rPr>
        <w:t>单位：股</w:t>
      </w:r>
    </w:p>
    <w:p>
      <w:pPr>
        <w:spacing w:after="0"/>
        <w:jc w:val="center"/>
        <w:rPr>
          <w:rFonts w:ascii="宋体" w:hAnsi="宋体" w:cs="宋体" w:eastAsia="宋体" w:hint="default"/>
          <w:sz w:val="21"/>
          <w:szCs w:val="21"/>
        </w:rPr>
        <w:sectPr>
          <w:type w:val="continuous"/>
          <w:pgSz w:w="11910" w:h="16840"/>
          <w:pgMar w:top="1000" w:bottom="280" w:left="820" w:right="300"/>
          <w:cols w:num="2" w:equalWidth="0">
            <w:col w:w="3988" w:space="4008"/>
            <w:col w:w="2794"/>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77"/>
        <w:gridCol w:w="1844"/>
        <w:gridCol w:w="708"/>
        <w:gridCol w:w="566"/>
        <w:gridCol w:w="283"/>
        <w:gridCol w:w="516"/>
        <w:gridCol w:w="1520"/>
        <w:gridCol w:w="1501"/>
        <w:gridCol w:w="1694"/>
        <w:gridCol w:w="651"/>
      </w:tblGrid>
      <w:tr>
        <w:trPr>
          <w:trHeight w:val="281" w:hRule="exact"/>
        </w:trPr>
        <w:tc>
          <w:tcPr>
            <w:tcW w:w="1277" w:type="dxa"/>
            <w:vMerge w:val="restart"/>
            <w:tcBorders>
              <w:top w:val="single" w:sz="4" w:space="0" w:color="000000"/>
              <w:left w:val="single" w:sz="4" w:space="0" w:color="000000"/>
              <w:right w:val="single" w:sz="4" w:space="0" w:color="000000"/>
            </w:tcBorders>
          </w:tcPr>
          <w:p>
            <w:pP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hAnsi="宋体" w:cs="宋体" w:eastAsia="宋体" w:hint="default"/>
                <w:b/>
                <w:bCs/>
                <w:sz w:val="21"/>
                <w:szCs w:val="21"/>
              </w:rPr>
              <w:t>本次变动前</w:t>
            </w:r>
            <w:r>
              <w:rPr>
                <w:rFonts w:ascii="宋体" w:hAnsi="宋体" w:cs="宋体" w:eastAsia="宋体" w:hint="default"/>
                <w:sz w:val="21"/>
                <w:szCs w:val="21"/>
              </w:rPr>
            </w:r>
          </w:p>
        </w:tc>
        <w:tc>
          <w:tcPr>
            <w:tcW w:w="4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7" w:right="0"/>
              <w:jc w:val="left"/>
              <w:rPr>
                <w:rFonts w:ascii="宋体" w:hAnsi="宋体" w:cs="宋体" w:eastAsia="宋体" w:hint="default"/>
                <w:sz w:val="21"/>
                <w:szCs w:val="21"/>
              </w:rPr>
            </w:pPr>
            <w:r>
              <w:rPr>
                <w:rFonts w:ascii="宋体" w:hAnsi="宋体" w:cs="宋体" w:eastAsia="宋体" w:hint="default"/>
                <w:b/>
                <w:bCs/>
                <w:sz w:val="21"/>
                <w:szCs w:val="21"/>
              </w:rPr>
              <w:t>本次变动增减（＋，－）</w:t>
            </w:r>
            <w:r>
              <w:rPr>
                <w:rFonts w:ascii="宋体" w:hAnsi="宋体" w:cs="宋体" w:eastAsia="宋体" w:hint="default"/>
                <w:sz w:val="21"/>
                <w:szCs w:val="21"/>
              </w:rPr>
            </w:r>
          </w:p>
        </w:tc>
        <w:tc>
          <w:tcPr>
            <w:tcW w:w="23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b/>
                <w:bCs/>
                <w:sz w:val="21"/>
                <w:szCs w:val="21"/>
              </w:rPr>
              <w:t>本次变动后</w:t>
            </w:r>
            <w:r>
              <w:rPr>
                <w:rFonts w:ascii="宋体" w:hAnsi="宋体" w:cs="宋体" w:eastAsia="宋体" w:hint="default"/>
                <w:sz w:val="21"/>
                <w:szCs w:val="21"/>
              </w:rPr>
            </w:r>
          </w:p>
        </w:tc>
      </w:tr>
      <w:tr>
        <w:trPr>
          <w:trHeight w:val="828" w:hRule="exact"/>
        </w:trPr>
        <w:tc>
          <w:tcPr>
            <w:tcW w:w="1277"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9" w:right="137" w:hanging="53"/>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sz w:val="21"/>
                <w:szCs w:val="21"/>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7" w:right="65"/>
              <w:jc w:val="left"/>
              <w:rPr>
                <w:rFonts w:ascii="宋体" w:hAnsi="宋体" w:cs="宋体" w:eastAsia="宋体" w:hint="default"/>
                <w:sz w:val="21"/>
                <w:szCs w:val="21"/>
              </w:rPr>
            </w:pPr>
            <w:r>
              <w:rPr>
                <w:rFonts w:ascii="宋体" w:hAnsi="宋体" w:cs="宋体" w:eastAsia="宋体" w:hint="default"/>
                <w:b/>
                <w:bCs/>
                <w:sz w:val="21"/>
                <w:szCs w:val="21"/>
              </w:rPr>
              <w:t>发行</w:t>
            </w:r>
            <w:r>
              <w:rPr>
                <w:rFonts w:ascii="宋体" w:hAnsi="宋体" w:cs="宋体" w:eastAsia="宋体" w:hint="default"/>
                <w:b/>
                <w:bCs/>
                <w:w w:val="100"/>
                <w:sz w:val="21"/>
                <w:szCs w:val="21"/>
              </w:rPr>
              <w:t> </w:t>
            </w:r>
            <w:r>
              <w:rPr>
                <w:rFonts w:ascii="宋体" w:hAnsi="宋体" w:cs="宋体" w:eastAsia="宋体" w:hint="default"/>
                <w:b/>
                <w:bCs/>
                <w:sz w:val="21"/>
                <w:szCs w:val="21"/>
              </w:rPr>
              <w:t>新股</w:t>
            </w:r>
            <w:r>
              <w:rPr>
                <w:rFonts w:ascii="宋体" w:hAnsi="宋体" w:cs="宋体" w:eastAsia="宋体" w:hint="default"/>
                <w:sz w:val="21"/>
                <w:szCs w:val="21"/>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29"/>
              <w:jc w:val="left"/>
              <w:rPr>
                <w:rFonts w:ascii="宋体" w:hAnsi="宋体" w:cs="宋体" w:eastAsia="宋体" w:hint="default"/>
                <w:sz w:val="21"/>
                <w:szCs w:val="21"/>
              </w:rPr>
            </w:pPr>
            <w:r>
              <w:rPr>
                <w:rFonts w:ascii="宋体" w:hAnsi="宋体" w:cs="宋体" w:eastAsia="宋体" w:hint="default"/>
                <w:b/>
                <w:bCs/>
                <w:sz w:val="21"/>
                <w:szCs w:val="21"/>
              </w:rPr>
              <w:t>送</w:t>
            </w:r>
            <w:r>
              <w:rPr>
                <w:rFonts w:ascii="宋体" w:hAnsi="宋体" w:cs="宋体" w:eastAsia="宋体" w:hint="default"/>
                <w:b/>
                <w:bCs/>
                <w:w w:val="100"/>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left"/>
              <w:rPr>
                <w:rFonts w:ascii="宋体" w:hAnsi="宋体" w:cs="宋体" w:eastAsia="宋体" w:hint="default"/>
                <w:sz w:val="21"/>
                <w:szCs w:val="21"/>
              </w:rPr>
            </w:pPr>
            <w:r>
              <w:rPr>
                <w:rFonts w:ascii="宋体" w:hAnsi="宋体" w:cs="宋体" w:eastAsia="宋体" w:hint="default"/>
                <w:b/>
                <w:bCs/>
                <w:sz w:val="21"/>
                <w:szCs w:val="21"/>
              </w:rPr>
              <w:t>公积</w:t>
            </w:r>
            <w:r>
              <w:rPr>
                <w:rFonts w:ascii="宋体" w:hAnsi="宋体" w:cs="宋体" w:eastAsia="宋体" w:hint="default"/>
                <w:sz w:val="21"/>
                <w:szCs w:val="21"/>
              </w:rPr>
            </w:r>
          </w:p>
          <w:p>
            <w:pPr>
              <w:pStyle w:val="TableParagraph"/>
              <w:spacing w:line="240" w:lineRule="auto"/>
              <w:ind w:left="146" w:right="41" w:hanging="106"/>
              <w:jc w:val="left"/>
              <w:rPr>
                <w:rFonts w:ascii="宋体" w:hAnsi="宋体" w:cs="宋体" w:eastAsia="宋体" w:hint="default"/>
                <w:sz w:val="21"/>
                <w:szCs w:val="21"/>
              </w:rPr>
            </w:pPr>
            <w:r>
              <w:rPr>
                <w:rFonts w:ascii="宋体" w:hAnsi="宋体" w:cs="宋体" w:eastAsia="宋体" w:hint="default"/>
                <w:b/>
                <w:bCs/>
                <w:sz w:val="21"/>
                <w:szCs w:val="21"/>
              </w:rPr>
              <w:t>金转</w:t>
            </w:r>
            <w:r>
              <w:rPr>
                <w:rFonts w:ascii="宋体" w:hAnsi="宋体" w:cs="宋体" w:eastAsia="宋体" w:hint="default"/>
                <w:b/>
                <w:bCs/>
                <w:w w:val="100"/>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108" w:hanging="53"/>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55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一、有限售条</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件股份</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766,016,713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z w:val="21"/>
              </w:rPr>
              <w:t>25.84</w:t>
            </w: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-766,016,713</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-766,016,713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z w:val="21"/>
              </w:rPr>
              <w:t>0.00</w:t>
            </w: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、国家持股</w:t>
            </w:r>
          </w:p>
        </w:tc>
        <w:tc>
          <w:tcPr>
            <w:tcW w:w="184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国</w:t>
            </w:r>
            <w:r>
              <w:rPr>
                <w:rFonts w:ascii="宋体" w:hAnsi="宋体" w:cs="宋体" w:eastAsia="宋体" w:hint="default"/>
                <w:w w:val="100"/>
                <w:sz w:val="21"/>
                <w:szCs w:val="21"/>
              </w:rPr>
              <w:t>有</w:t>
            </w:r>
            <w:r>
              <w:rPr>
                <w:rFonts w:ascii="宋体" w:hAnsi="宋体" w:cs="宋体" w:eastAsia="宋体" w:hint="default"/>
                <w:spacing w:val="-3"/>
                <w:w w:val="100"/>
                <w:sz w:val="21"/>
                <w:szCs w:val="21"/>
              </w:rPr>
              <w:t>法</w:t>
            </w:r>
            <w:r>
              <w:rPr>
                <w:rFonts w:ascii="宋体" w:hAnsi="宋体" w:cs="宋体" w:eastAsia="宋体" w:hint="default"/>
                <w:w w:val="100"/>
                <w:sz w:val="21"/>
                <w:szCs w:val="21"/>
              </w:rPr>
              <w:t>人持</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278,551,532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9.40</w:t>
            </w: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-278,551,532</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-278,551,532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0.00</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内</w:t>
            </w:r>
            <w:r>
              <w:rPr>
                <w:rFonts w:ascii="宋体" w:hAnsi="宋体" w:cs="宋体" w:eastAsia="宋体" w:hint="default"/>
                <w:w w:val="100"/>
                <w:sz w:val="21"/>
                <w:szCs w:val="21"/>
              </w:rPr>
              <w:t>资持</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487,465,181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16.44</w:t>
            </w: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-487,465,181</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-487,465,181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0.00</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其中：境内非</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国有法人持股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487,465,181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16.44</w:t>
            </w: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-487,465,181</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-487,465,181</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0.00</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境内自然人持</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、外资持股</w:t>
            </w:r>
          </w:p>
        </w:tc>
        <w:tc>
          <w:tcPr>
            <w:tcW w:w="184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其中：境外法</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84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境外自然人持</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84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left"/>
              <w:rPr>
                <w:rFonts w:ascii="宋体" w:hAnsi="宋体" w:cs="宋体" w:eastAsia="宋体" w:hint="default"/>
                <w:sz w:val="21"/>
                <w:szCs w:val="21"/>
              </w:rPr>
            </w:pPr>
            <w:r>
              <w:rPr>
                <w:rFonts w:ascii="宋体" w:hAnsi="宋体" w:cs="宋体" w:eastAsia="宋体" w:hint="default"/>
                <w:sz w:val="21"/>
                <w:szCs w:val="21"/>
              </w:rPr>
              <w:t>二、无限售条</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件流通股份</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2,197,882,238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74.16</w:t>
            </w: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766,016,713</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766,016,713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2,963,898,951</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100.00</w:t>
            </w:r>
          </w:p>
        </w:tc>
      </w:tr>
      <w:tr>
        <w:trPr>
          <w:trHeight w:val="55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w:t>
            </w:r>
            <w:r>
              <w:rPr>
                <w:rFonts w:ascii="宋体" w:hAnsi="宋体" w:cs="宋体" w:eastAsia="宋体" w:hint="default"/>
                <w:spacing w:val="-3"/>
                <w:w w:val="100"/>
                <w:sz w:val="21"/>
                <w:szCs w:val="21"/>
              </w:rPr>
              <w:t>币</w:t>
            </w:r>
            <w:r>
              <w:rPr>
                <w:rFonts w:ascii="宋体" w:hAnsi="宋体" w:cs="宋体" w:eastAsia="宋体" w:hint="default"/>
                <w:w w:val="100"/>
                <w:sz w:val="21"/>
                <w:szCs w:val="21"/>
              </w:rPr>
              <w:t>普通</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2,197,882,238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74.16</w:t>
            </w: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766,016,713</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766,016,713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2,963,898,951</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100.00</w:t>
            </w:r>
          </w:p>
        </w:tc>
      </w:tr>
      <w:tr>
        <w:trPr>
          <w:trHeight w:val="55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境</w:t>
            </w:r>
            <w:r>
              <w:rPr>
                <w:rFonts w:ascii="宋体" w:hAnsi="宋体" w:cs="宋体" w:eastAsia="宋体" w:hint="default"/>
                <w:w w:val="100"/>
                <w:sz w:val="21"/>
                <w:szCs w:val="21"/>
              </w:rPr>
              <w:t>内</w:t>
            </w:r>
            <w:r>
              <w:rPr>
                <w:rFonts w:ascii="宋体" w:hAnsi="宋体" w:cs="宋体" w:eastAsia="宋体" w:hint="default"/>
                <w:spacing w:val="-3"/>
                <w:w w:val="100"/>
                <w:sz w:val="21"/>
                <w:szCs w:val="21"/>
              </w:rPr>
              <w:t>上</w:t>
            </w:r>
            <w:r>
              <w:rPr>
                <w:rFonts w:ascii="宋体" w:hAnsi="宋体" w:cs="宋体" w:eastAsia="宋体" w:hint="default"/>
                <w:w w:val="100"/>
                <w:sz w:val="21"/>
                <w:szCs w:val="21"/>
              </w:rPr>
              <w:t>市的</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184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left"/>
              <w:rPr>
                <w:rFonts w:ascii="宋体" w:hAnsi="宋体" w:cs="宋体" w:eastAsia="宋体" w:hint="default"/>
                <w:sz w:val="21"/>
                <w:szCs w:val="21"/>
              </w:rPr>
            </w:pPr>
            <w:r>
              <w:rPr>
                <w:rFonts w:ascii="宋体" w:hAnsi="宋体" w:cs="宋体" w:eastAsia="宋体" w:hint="default"/>
                <w:w w:val="100"/>
                <w:sz w:val="21"/>
                <w:szCs w:val="21"/>
              </w:rPr>
              <w:t>3</w:t>
            </w:r>
            <w:r>
              <w:rPr>
                <w:rFonts w:ascii="宋体" w:hAnsi="宋体" w:cs="宋体" w:eastAsia="宋体" w:hint="default"/>
                <w:spacing w:val="-99"/>
                <w:w w:val="100"/>
                <w:sz w:val="21"/>
                <w:szCs w:val="21"/>
              </w:rPr>
              <w:t>、</w:t>
            </w:r>
            <w:r>
              <w:rPr>
                <w:rFonts w:ascii="宋体" w:hAnsi="宋体" w:cs="宋体" w:eastAsia="宋体" w:hint="default"/>
                <w:spacing w:val="-3"/>
                <w:w w:val="100"/>
                <w:sz w:val="21"/>
                <w:szCs w:val="21"/>
              </w:rPr>
              <w:t>境</w:t>
            </w:r>
            <w:r>
              <w:rPr>
                <w:rFonts w:ascii="宋体" w:hAnsi="宋体" w:cs="宋体" w:eastAsia="宋体" w:hint="default"/>
                <w:w w:val="100"/>
                <w:sz w:val="21"/>
                <w:szCs w:val="21"/>
              </w:rPr>
              <w:t>外</w:t>
            </w:r>
            <w:r>
              <w:rPr>
                <w:rFonts w:ascii="宋体" w:hAnsi="宋体" w:cs="宋体" w:eastAsia="宋体" w:hint="default"/>
                <w:spacing w:val="-3"/>
                <w:w w:val="100"/>
                <w:sz w:val="21"/>
                <w:szCs w:val="21"/>
              </w:rPr>
              <w:t>上</w:t>
            </w:r>
            <w:r>
              <w:rPr>
                <w:rFonts w:ascii="宋体" w:hAnsi="宋体" w:cs="宋体" w:eastAsia="宋体" w:hint="default"/>
                <w:w w:val="100"/>
                <w:sz w:val="21"/>
                <w:szCs w:val="21"/>
              </w:rPr>
              <w:t>市的</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184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184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三、普通股股</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sz w:val="21"/>
                <w:szCs w:val="21"/>
              </w:rPr>
              <w:t>份总数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2,963,898,951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100.00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2,963,898,951</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z w:val="21"/>
              </w:rPr>
              <w:t>100.00</w:t>
            </w:r>
          </w:p>
        </w:tc>
      </w:tr>
    </w:tbl>
    <w:p>
      <w:pPr>
        <w:spacing w:line="240" w:lineRule="auto" w:before="12"/>
        <w:rPr>
          <w:rFonts w:ascii="宋体" w:hAnsi="宋体" w:cs="宋体" w:eastAsia="宋体" w:hint="default"/>
          <w:sz w:val="23"/>
          <w:szCs w:val="23"/>
        </w:rPr>
      </w:pPr>
    </w:p>
    <w:p>
      <w:pPr>
        <w:pStyle w:val="Heading2"/>
        <w:spacing w:line="240" w:lineRule="auto" w:before="26"/>
        <w:ind w:left="978" w:right="0"/>
        <w:jc w:val="both"/>
        <w:rPr>
          <w:b w:val="0"/>
          <w:bCs w:val="0"/>
        </w:rPr>
      </w:pPr>
      <w:r>
        <w:rPr>
          <w:rFonts w:ascii="宋体" w:hAnsi="宋体" w:cs="宋体" w:eastAsia="宋体" w:hint="default"/>
        </w:rPr>
        <w:t>2</w:t>
      </w:r>
      <w:r>
        <w:rPr/>
        <w:t>、</w:t>
      </w:r>
      <w:r>
        <w:rPr>
          <w:spacing w:val="-67"/>
        </w:rPr>
        <w:t> </w:t>
      </w:r>
      <w:r>
        <w:rPr/>
        <w:t>普通股股份变动情况说明</w:t>
      </w:r>
      <w:r>
        <w:rPr>
          <w:b w:val="0"/>
          <w:bCs w:val="0"/>
        </w:rPr>
      </w:r>
    </w:p>
    <w:p>
      <w:pPr>
        <w:pStyle w:val="BodyText"/>
        <w:spacing w:line="240" w:lineRule="auto" w:before="106"/>
        <w:ind w:left="978" w:right="0"/>
        <w:jc w:val="both"/>
      </w:pPr>
      <w:r>
        <w:rPr/>
        <w:t>√适用</w:t>
      </w:r>
      <w:r>
        <w:rPr>
          <w:spacing w:val="119"/>
        </w:rPr>
        <w:t> </w:t>
      </w:r>
      <w:r>
        <w:rPr/>
        <w:t>□不适用</w:t>
      </w:r>
    </w:p>
    <w:p>
      <w:pPr>
        <w:pStyle w:val="BodyText"/>
        <w:spacing w:line="240" w:lineRule="auto" w:before="46"/>
        <w:ind w:left="1398" w:right="0"/>
        <w:jc w:val="left"/>
      </w:pPr>
      <w:r>
        <w:rPr>
          <w:rFonts w:ascii="宋体" w:hAnsi="宋体" w:cs="宋体" w:eastAsia="宋体" w:hint="default"/>
        </w:rPr>
        <w:t>2014</w:t>
      </w:r>
      <w:r>
        <w:rPr>
          <w:rFonts w:ascii="宋体" w:hAnsi="宋体" w:cs="宋体" w:eastAsia="宋体" w:hint="default"/>
          <w:spacing w:val="-58"/>
        </w:rPr>
        <w:t> </w:t>
      </w:r>
      <w:r>
        <w:rPr/>
        <w:t>年</w:t>
      </w:r>
      <w:r>
        <w:rPr>
          <w:spacing w:val="-58"/>
        </w:rPr>
        <w:t> </w:t>
      </w:r>
      <w:r>
        <w:rPr>
          <w:rFonts w:ascii="宋体" w:hAnsi="宋体" w:cs="宋体" w:eastAsia="宋体" w:hint="default"/>
        </w:rPr>
        <w:t>6</w:t>
      </w:r>
      <w:r>
        <w:rPr>
          <w:rFonts w:ascii="宋体" w:hAnsi="宋体" w:cs="宋体" w:eastAsia="宋体" w:hint="default"/>
          <w:spacing w:val="-58"/>
        </w:rPr>
        <w:t> </w:t>
      </w:r>
      <w:r>
        <w:rPr/>
        <w:t>月</w:t>
      </w:r>
      <w:r>
        <w:rPr>
          <w:spacing w:val="-58"/>
        </w:rPr>
        <w:t> </w:t>
      </w:r>
      <w:r>
        <w:rPr>
          <w:rFonts w:ascii="宋体" w:hAnsi="宋体" w:cs="宋体" w:eastAsia="宋体" w:hint="default"/>
        </w:rPr>
        <w:t>16</w:t>
      </w:r>
      <w:r>
        <w:rPr>
          <w:rFonts w:ascii="宋体" w:hAnsi="宋体" w:cs="宋体" w:eastAsia="宋体" w:hint="default"/>
          <w:spacing w:val="-57"/>
        </w:rPr>
        <w:t> </w:t>
      </w:r>
      <w:r>
        <w:rPr/>
        <w:t>日，公司召开第六届董事会第十次会议，审议通过了《</w:t>
      </w:r>
      <w:r>
        <w:rPr>
          <w:rFonts w:ascii="宋体" w:hAnsi="宋体" w:cs="宋体" w:eastAsia="宋体" w:hint="default"/>
        </w:rPr>
        <w:t>2014</w:t>
      </w:r>
      <w:r>
        <w:rPr>
          <w:rFonts w:ascii="宋体" w:hAnsi="宋体" w:cs="宋体" w:eastAsia="宋体" w:hint="default"/>
          <w:spacing w:val="-58"/>
        </w:rPr>
        <w:t> </w:t>
      </w:r>
      <w:r>
        <w:rPr/>
        <w:t>年非</w:t>
      </w:r>
    </w:p>
    <w:p>
      <w:pPr>
        <w:pStyle w:val="BodyText"/>
        <w:spacing w:line="276" w:lineRule="auto" w:before="46"/>
        <w:ind w:left="978" w:right="972"/>
        <w:jc w:val="both"/>
      </w:pPr>
      <w:r>
        <w:rPr>
          <w:spacing w:val="-4"/>
        </w:rPr>
        <w:t>公开发行股票预案》等相关议案。</w:t>
      </w:r>
      <w:r>
        <w:rPr>
          <w:rFonts w:ascii="宋体" w:hAnsi="宋体" w:cs="宋体" w:eastAsia="宋体" w:hint="default"/>
          <w:spacing w:val="-4"/>
        </w:rPr>
        <w:t>2014</w:t>
      </w:r>
      <w:r>
        <w:rPr>
          <w:rFonts w:ascii="宋体" w:hAnsi="宋体" w:cs="宋体" w:eastAsia="宋体" w:hint="default"/>
          <w:spacing w:val="-57"/>
        </w:rPr>
        <w:t> </w:t>
      </w:r>
      <w:r>
        <w:rPr/>
        <w:t>年</w:t>
      </w:r>
      <w:r>
        <w:rPr>
          <w:spacing w:val="-57"/>
        </w:rPr>
        <w:t> </w:t>
      </w:r>
      <w:r>
        <w:rPr>
          <w:rFonts w:ascii="宋体" w:hAnsi="宋体" w:cs="宋体" w:eastAsia="宋体" w:hint="default"/>
        </w:rPr>
        <w:t>7</w:t>
      </w:r>
      <w:r>
        <w:rPr>
          <w:rFonts w:ascii="宋体" w:hAnsi="宋体" w:cs="宋体" w:eastAsia="宋体" w:hint="default"/>
          <w:spacing w:val="-57"/>
        </w:rPr>
        <w:t> </w:t>
      </w:r>
      <w:r>
        <w:rPr/>
        <w:t>月</w:t>
      </w:r>
      <w:r>
        <w:rPr>
          <w:spacing w:val="-57"/>
        </w:rPr>
        <w:t> </w:t>
      </w:r>
      <w:r>
        <w:rPr>
          <w:rFonts w:ascii="宋体" w:hAnsi="宋体" w:cs="宋体" w:eastAsia="宋体" w:hint="default"/>
        </w:rPr>
        <w:t>7</w:t>
      </w:r>
      <w:r>
        <w:rPr>
          <w:rFonts w:ascii="宋体" w:hAnsi="宋体" w:cs="宋体" w:eastAsia="宋体" w:hint="default"/>
          <w:spacing w:val="-57"/>
        </w:rPr>
        <w:t> </w:t>
      </w:r>
      <w:r>
        <w:rPr>
          <w:spacing w:val="-3"/>
        </w:rPr>
        <w:t>日，公司控股股东清华控股有限公司</w:t>
      </w:r>
      <w:r>
        <w:rPr/>
        <w:t> </w:t>
      </w:r>
      <w:r>
        <w:rPr>
          <w:spacing w:val="-2"/>
        </w:rPr>
        <w:t>获得了财政部出具的《财政部关于批复同意同方股份有限公司非公开发行股票事项的</w:t>
      </w:r>
      <w:r>
        <w:rPr>
          <w:spacing w:val="-94"/>
        </w:rPr>
        <w:t> </w:t>
      </w:r>
      <w:r>
        <w:rPr>
          <w:spacing w:val="-94"/>
        </w:rPr>
      </w:r>
      <w:r>
        <w:rPr>
          <w:spacing w:val="-10"/>
        </w:rPr>
        <w:t>函》（财教函</w:t>
      </w:r>
      <w:r>
        <w:rPr>
          <w:rFonts w:ascii="宋体" w:hAnsi="宋体" w:cs="宋体" w:eastAsia="宋体" w:hint="default"/>
          <w:spacing w:val="-10"/>
        </w:rPr>
        <w:t>[2014]77</w:t>
      </w:r>
      <w:r>
        <w:rPr>
          <w:rFonts w:ascii="宋体" w:hAnsi="宋体" w:cs="宋体" w:eastAsia="宋体" w:hint="default"/>
          <w:spacing w:val="-59"/>
        </w:rPr>
        <w:t> </w:t>
      </w:r>
      <w:r>
        <w:rPr>
          <w:spacing w:val="-7"/>
        </w:rPr>
        <w:t>号），同意公司本次非公开发行方案。</w:t>
      </w:r>
      <w:r>
        <w:rPr>
          <w:rFonts w:ascii="宋体" w:hAnsi="宋体" w:cs="宋体" w:eastAsia="宋体" w:hint="default"/>
          <w:spacing w:val="-7"/>
        </w:rPr>
        <w:t>2014</w:t>
      </w:r>
      <w:r>
        <w:rPr>
          <w:rFonts w:ascii="宋体" w:hAnsi="宋体" w:cs="宋体" w:eastAsia="宋体" w:hint="default"/>
          <w:spacing w:val="-59"/>
        </w:rPr>
        <w:t> </w:t>
      </w:r>
      <w:r>
        <w:rPr/>
        <w:t>年</w:t>
      </w:r>
      <w:r>
        <w:rPr>
          <w:spacing w:val="-59"/>
        </w:rPr>
        <w:t> </w:t>
      </w:r>
      <w:r>
        <w:rPr>
          <w:rFonts w:ascii="宋体" w:hAnsi="宋体" w:cs="宋体" w:eastAsia="宋体" w:hint="default"/>
        </w:rPr>
        <w:t>7</w:t>
      </w:r>
      <w:r>
        <w:rPr>
          <w:rFonts w:ascii="宋体" w:hAnsi="宋体" w:cs="宋体" w:eastAsia="宋体" w:hint="default"/>
          <w:spacing w:val="-59"/>
        </w:rPr>
        <w:t> </w:t>
      </w:r>
      <w:r>
        <w:rPr/>
        <w:t>月</w:t>
      </w:r>
      <w:r>
        <w:rPr>
          <w:spacing w:val="-59"/>
        </w:rPr>
        <w:t> </w:t>
      </w:r>
      <w:r>
        <w:rPr>
          <w:rFonts w:ascii="宋体" w:hAnsi="宋体" w:cs="宋体" w:eastAsia="宋体" w:hint="default"/>
        </w:rPr>
        <w:t>24</w:t>
      </w:r>
      <w:r>
        <w:rPr>
          <w:rFonts w:ascii="宋体" w:hAnsi="宋体" w:cs="宋体" w:eastAsia="宋体" w:hint="default"/>
          <w:spacing w:val="-59"/>
        </w:rPr>
        <w:t> </w:t>
      </w:r>
      <w:r>
        <w:rPr>
          <w:spacing w:val="-3"/>
        </w:rPr>
        <w:t>日，公司</w:t>
      </w:r>
      <w:r>
        <w:rPr/>
        <w:t> 召开 </w:t>
      </w:r>
      <w:r>
        <w:rPr>
          <w:rFonts w:ascii="宋体" w:hAnsi="宋体" w:cs="宋体" w:eastAsia="宋体" w:hint="default"/>
        </w:rPr>
        <w:t>2014</w:t>
      </w:r>
      <w:r>
        <w:rPr>
          <w:rFonts w:ascii="宋体" w:hAnsi="宋体" w:cs="宋体" w:eastAsia="宋体" w:hint="default"/>
          <w:spacing w:val="-49"/>
        </w:rPr>
        <w:t> </w:t>
      </w:r>
      <w:r>
        <w:rPr/>
        <w:t>年第二次临时股东大会，审议通过了《关于公司非公开发行股票方案的议</w:t>
      </w:r>
    </w:p>
    <w:p>
      <w:pPr>
        <w:spacing w:after="0" w:line="276" w:lineRule="auto"/>
        <w:jc w:val="both"/>
        <w:sectPr>
          <w:type w:val="continuous"/>
          <w:pgSz w:w="11910" w:h="16840"/>
          <w:pgMar w:top="1000" w:bottom="280" w:left="820" w:right="300"/>
        </w:sectPr>
      </w:pPr>
    </w:p>
    <w:p>
      <w:pPr>
        <w:spacing w:before="25"/>
        <w:ind w:left="4533" w:right="456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76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BodyText"/>
        <w:spacing w:line="276" w:lineRule="auto" w:before="26"/>
        <w:ind w:left="798" w:right="677"/>
        <w:jc w:val="left"/>
      </w:pPr>
      <w:r>
        <w:rPr/>
        <w:t>案》等相关议案。</w:t>
      </w:r>
      <w:r>
        <w:rPr>
          <w:rFonts w:ascii="宋体" w:hAnsi="宋体" w:cs="宋体" w:eastAsia="宋体" w:hint="default"/>
        </w:rPr>
        <w:t>2015</w:t>
      </w:r>
      <w:r>
        <w:rPr>
          <w:rFonts w:ascii="宋体" w:hAnsi="宋体" w:cs="宋体" w:eastAsia="宋体" w:hint="default"/>
          <w:spacing w:val="-58"/>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12</w:t>
      </w:r>
      <w:r>
        <w:rPr>
          <w:rFonts w:ascii="宋体" w:hAnsi="宋体" w:cs="宋体" w:eastAsia="宋体" w:hint="default"/>
          <w:spacing w:val="-59"/>
        </w:rPr>
        <w:t> </w:t>
      </w:r>
      <w:r>
        <w:rPr/>
        <w:t>日，中国证监会印发《关于核准同方股份有限公司 </w:t>
      </w:r>
      <w:r>
        <w:rPr>
          <w:spacing w:val="-5"/>
        </w:rPr>
        <w:t>非公开发行股票的批复》（证监许可</w:t>
      </w:r>
      <w:r>
        <w:rPr>
          <w:rFonts w:ascii="宋体" w:hAnsi="宋体" w:cs="宋体" w:eastAsia="宋体" w:hint="default"/>
          <w:spacing w:val="-5"/>
        </w:rPr>
        <w:t>[2015]73</w:t>
      </w:r>
      <w:r>
        <w:rPr>
          <w:rFonts w:ascii="宋体" w:hAnsi="宋体" w:cs="宋体" w:eastAsia="宋体" w:hint="default"/>
          <w:spacing w:val="-43"/>
        </w:rPr>
        <w:t> </w:t>
      </w:r>
      <w:r>
        <w:rPr>
          <w:spacing w:val="-7"/>
        </w:rPr>
        <w:t>号），核准本公司非公开发行股份方案，</w:t>
      </w:r>
      <w:r>
        <w:rPr/>
        <w:t> </w:t>
      </w:r>
      <w:r>
        <w:rPr>
          <w:spacing w:val="26"/>
        </w:rPr>
        <w:t>同意公司向清华控股、紫光集团、工银瑞信和博时基金非公开发行股票合计</w:t>
      </w:r>
      <w:r>
        <w:rPr>
          <w:spacing w:val="-89"/>
        </w:rPr>
        <w:t> </w:t>
      </w:r>
      <w:r>
        <w:rPr>
          <w:rFonts w:ascii="宋体" w:hAnsi="宋体" w:cs="宋体" w:eastAsia="宋体" w:hint="default"/>
        </w:rPr>
        <w:t>766,016,713</w:t>
      </w:r>
      <w:r>
        <w:rPr>
          <w:rFonts w:ascii="宋体" w:hAnsi="宋体" w:cs="宋体" w:eastAsia="宋体" w:hint="default"/>
          <w:spacing w:val="-61"/>
        </w:rPr>
        <w:t> </w:t>
      </w:r>
      <w:r>
        <w:rPr/>
        <w:t>股，募集资金总额为不超过</w:t>
      </w:r>
      <w:r>
        <w:rPr>
          <w:spacing w:val="-60"/>
        </w:rPr>
        <w:t> </w:t>
      </w:r>
      <w:r>
        <w:rPr>
          <w:rFonts w:ascii="宋体" w:hAnsi="宋体" w:cs="宋体" w:eastAsia="宋体" w:hint="default"/>
        </w:rPr>
        <w:t>550,000</w:t>
      </w:r>
      <w:r>
        <w:rPr>
          <w:rFonts w:ascii="宋体" w:hAnsi="宋体" w:cs="宋体" w:eastAsia="宋体" w:hint="default"/>
          <w:spacing w:val="-60"/>
        </w:rPr>
        <w:t> </w:t>
      </w:r>
      <w:r>
        <w:rPr/>
        <w:t>万元。</w:t>
      </w:r>
    </w:p>
    <w:p>
      <w:pPr>
        <w:spacing w:line="240" w:lineRule="auto" w:before="4"/>
        <w:rPr>
          <w:rFonts w:ascii="宋体" w:hAnsi="宋体" w:cs="宋体" w:eastAsia="宋体" w:hint="default"/>
          <w:sz w:val="28"/>
          <w:szCs w:val="28"/>
        </w:rPr>
      </w:pPr>
    </w:p>
    <w:p>
      <w:pPr>
        <w:pStyle w:val="BodyText"/>
        <w:spacing w:line="276" w:lineRule="auto"/>
        <w:ind w:left="798" w:right="800" w:firstLine="419"/>
        <w:jc w:val="left"/>
      </w:pPr>
      <w:r>
        <w:rPr/>
        <w:t>清华控股、紫光集团、工银瑞信和博时基金承诺在本次发行中认购的公司的股份 自发行结束日起</w:t>
      </w:r>
      <w:r>
        <w:rPr>
          <w:spacing w:val="-43"/>
        </w:rPr>
        <w:t> </w:t>
      </w:r>
      <w:r>
        <w:rPr>
          <w:rFonts w:ascii="宋体" w:hAnsi="宋体" w:cs="宋体" w:eastAsia="宋体" w:hint="default"/>
        </w:rPr>
        <w:t>36</w:t>
      </w:r>
      <w:r>
        <w:rPr>
          <w:rFonts w:ascii="宋体" w:hAnsi="宋体" w:cs="宋体" w:eastAsia="宋体" w:hint="default"/>
          <w:spacing w:val="-43"/>
        </w:rPr>
        <w:t> </w:t>
      </w:r>
      <w:r>
        <w:rPr/>
        <w:t>个月内不得转让，其所持有的</w:t>
      </w:r>
      <w:r>
        <w:rPr>
          <w:spacing w:val="-43"/>
        </w:rPr>
        <w:t> </w:t>
      </w:r>
      <w:r>
        <w:rPr>
          <w:rFonts w:ascii="宋体" w:hAnsi="宋体" w:cs="宋体" w:eastAsia="宋体" w:hint="default"/>
        </w:rPr>
        <w:t>766,016,713</w:t>
      </w:r>
      <w:r>
        <w:rPr>
          <w:rFonts w:ascii="宋体" w:hAnsi="宋体" w:cs="宋体" w:eastAsia="宋体" w:hint="default"/>
          <w:spacing w:val="-43"/>
        </w:rPr>
        <w:t> </w:t>
      </w:r>
      <w:r>
        <w:rPr/>
        <w:t>股有限售条件流通股</w:t>
      </w:r>
    </w:p>
    <w:p>
      <w:pPr>
        <w:pStyle w:val="BodyText"/>
        <w:spacing w:line="276" w:lineRule="auto" w:before="10"/>
        <w:ind w:left="798" w:right="810"/>
        <w:jc w:val="both"/>
      </w:pPr>
      <w:r>
        <w:rPr/>
        <w:t>股票于</w:t>
      </w:r>
      <w:r>
        <w:rPr>
          <w:spacing w:val="-60"/>
        </w:rPr>
        <w:t> </w:t>
      </w:r>
      <w:r>
        <w:rPr>
          <w:rFonts w:ascii="宋体" w:hAnsi="宋体" w:cs="宋体" w:eastAsia="宋体" w:hint="default"/>
        </w:rPr>
        <w:t>2018</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w:t>
      </w:r>
      <w:r>
        <w:rPr>
          <w:spacing w:val="-59"/>
        </w:rPr>
        <w:t> </w:t>
      </w:r>
      <w:r>
        <w:rPr>
          <w:rFonts w:ascii="宋体" w:hAnsi="宋体" w:cs="宋体" w:eastAsia="宋体" w:hint="default"/>
        </w:rPr>
        <w:t>26</w:t>
      </w:r>
      <w:r>
        <w:rPr>
          <w:rFonts w:ascii="宋体" w:hAnsi="宋体" w:cs="宋体" w:eastAsia="宋体" w:hint="default"/>
          <w:spacing w:val="-59"/>
        </w:rPr>
        <w:t> </w:t>
      </w:r>
      <w:r>
        <w:rPr>
          <w:spacing w:val="-6"/>
        </w:rPr>
        <w:t>日限售期满，并上市流通。上述情况详见公司于</w:t>
      </w:r>
      <w:r>
        <w:rPr>
          <w:spacing w:val="-58"/>
        </w:rPr>
        <w:t> </w:t>
      </w:r>
      <w:r>
        <w:rPr>
          <w:rFonts w:ascii="宋体" w:hAnsi="宋体" w:cs="宋体" w:eastAsia="宋体" w:hint="default"/>
        </w:rPr>
        <w:t>2018</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w:t>
      </w:r>
      <w:r>
        <w:rPr>
          <w:spacing w:val="-59"/>
        </w:rPr>
        <w:t> </w:t>
      </w:r>
      <w:r>
        <w:rPr>
          <w:rFonts w:ascii="宋体" w:hAnsi="宋体" w:cs="宋体" w:eastAsia="宋体" w:hint="default"/>
        </w:rPr>
        <w:t>9 </w:t>
      </w:r>
      <w:r>
        <w:rPr>
          <w:spacing w:val="-4"/>
        </w:rPr>
        <w:t>日刊登在中国证券报、上海证券报、证券时报和上海证券交易所网站</w:t>
      </w:r>
      <w:r>
        <w:rPr>
          <w:spacing w:val="-47"/>
        </w:rPr>
        <w:t> </w:t>
      </w:r>
      <w:hyperlink r:id="rId9">
        <w:r>
          <w:rPr>
            <w:rFonts w:ascii="宋体" w:hAnsi="宋体" w:cs="宋体" w:eastAsia="宋体" w:hint="default"/>
          </w:rPr>
          <w:t>www.sse.com.cn</w:t>
        </w:r>
      </w:hyperlink>
      <w:r>
        <w:rPr>
          <w:rFonts w:ascii="宋体" w:hAnsi="宋体" w:cs="宋体" w:eastAsia="宋体" w:hint="default"/>
        </w:rPr>
        <w:t> </w:t>
      </w:r>
      <w:r>
        <w:rPr>
          <w:spacing w:val="11"/>
        </w:rPr>
        <w:t>上的《关于非公开发行有限售条件流通股上市流通的提示性公告》（公告编号：</w:t>
      </w:r>
      <w:r>
        <w:rPr>
          <w:spacing w:val="-96"/>
        </w:rPr>
        <w:t> </w:t>
      </w:r>
      <w:r>
        <w:rPr>
          <w:spacing w:val="-96"/>
        </w:rPr>
      </w:r>
      <w:r>
        <w:rPr>
          <w:rFonts w:ascii="宋体" w:hAnsi="宋体" w:cs="宋体" w:eastAsia="宋体" w:hint="default"/>
          <w:spacing w:val="-25"/>
        </w:rPr>
        <w:t>2018-009</w:t>
      </w:r>
      <w:r>
        <w:rPr>
          <w:spacing w:val="-25"/>
        </w:rPr>
        <w:t>）。</w:t>
      </w:r>
      <w:r>
        <w:rPr/>
      </w:r>
    </w:p>
    <w:p>
      <w:pPr>
        <w:spacing w:line="240" w:lineRule="auto" w:before="11"/>
        <w:rPr>
          <w:rFonts w:ascii="宋体" w:hAnsi="宋体" w:cs="宋体" w:eastAsia="宋体" w:hint="default"/>
          <w:sz w:val="32"/>
          <w:szCs w:val="32"/>
        </w:rPr>
      </w:pPr>
    </w:p>
    <w:p>
      <w:pPr>
        <w:pStyle w:val="Heading2"/>
        <w:spacing w:line="240" w:lineRule="auto"/>
        <w:ind w:left="798" w:right="677"/>
        <w:jc w:val="left"/>
        <w:rPr>
          <w:b w:val="0"/>
          <w:bCs w:val="0"/>
        </w:rPr>
      </w:pPr>
      <w:r>
        <w:rPr>
          <w:rFonts w:ascii="宋体" w:hAnsi="宋体" w:cs="宋体" w:eastAsia="宋体" w:hint="default"/>
        </w:rPr>
        <w:t>3</w:t>
      </w:r>
      <w:r>
        <w:rPr/>
        <w:t>、</w:t>
      </w:r>
      <w:r>
        <w:rPr>
          <w:spacing w:val="-87"/>
        </w:rPr>
        <w:t> </w:t>
      </w:r>
      <w:r>
        <w:rPr/>
        <w:t>普通股股份变动对最近一年和最近一期每股收益、每股净资产等财务指标的影响</w:t>
      </w:r>
      <w:r>
        <w:rPr>
          <w:b w:val="0"/>
          <w:bCs w:val="0"/>
        </w:rPr>
      </w:r>
    </w:p>
    <w:p>
      <w:pPr>
        <w:pStyle w:val="Heading2"/>
        <w:spacing w:line="240" w:lineRule="auto" w:before="46"/>
        <w:ind w:left="798" w:right="814"/>
        <w:jc w:val="left"/>
        <w:rPr>
          <w:b w:val="0"/>
          <w:bCs w:val="0"/>
        </w:rPr>
      </w:pPr>
      <w:r>
        <w:rPr/>
        <w:t>（如有）</w:t>
      </w:r>
      <w:r>
        <w:rPr>
          <w:b w:val="0"/>
          <w:bCs w:val="0"/>
        </w:rPr>
      </w:r>
    </w:p>
    <w:p>
      <w:pPr>
        <w:pStyle w:val="BodyText"/>
        <w:tabs>
          <w:tab w:pos="1757" w:val="left" w:leader="none"/>
        </w:tabs>
        <w:spacing w:line="240" w:lineRule="auto" w:before="106"/>
        <w:ind w:left="798" w:right="814"/>
        <w:jc w:val="left"/>
      </w:pPr>
      <w:r>
        <w:rPr>
          <w:spacing w:val="-1"/>
        </w:rPr>
        <w:t>□适用</w:t>
        <w:tab/>
      </w:r>
      <w:r>
        <w:rPr/>
        <w:t>√不适用</w:t>
      </w:r>
    </w:p>
    <w:p>
      <w:pPr>
        <w:spacing w:line="240" w:lineRule="auto" w:before="8"/>
        <w:rPr>
          <w:rFonts w:ascii="宋体" w:hAnsi="宋体" w:cs="宋体" w:eastAsia="宋体" w:hint="default"/>
          <w:sz w:val="35"/>
          <w:szCs w:val="35"/>
        </w:rPr>
      </w:pPr>
    </w:p>
    <w:p>
      <w:pPr>
        <w:pStyle w:val="Heading2"/>
        <w:spacing w:line="240" w:lineRule="auto"/>
        <w:ind w:left="798" w:right="814"/>
        <w:jc w:val="left"/>
        <w:rPr>
          <w:b w:val="0"/>
          <w:bCs w:val="0"/>
        </w:rPr>
      </w:pPr>
      <w:r>
        <w:rPr>
          <w:rFonts w:ascii="宋体" w:hAnsi="宋体" w:cs="宋体" w:eastAsia="宋体" w:hint="default"/>
        </w:rPr>
        <w:t>4</w:t>
      </w:r>
      <w:r>
        <w:rPr/>
        <w:t>、</w:t>
      </w:r>
      <w:r>
        <w:rPr>
          <w:spacing w:val="-67"/>
        </w:rPr>
        <w:t> </w:t>
      </w:r>
      <w:r>
        <w:rPr/>
        <w:t>公司认为必要或证券监管机构要求披露的其他内容</w:t>
      </w:r>
      <w:r>
        <w:rPr>
          <w:b w:val="0"/>
          <w:bCs w:val="0"/>
        </w:rPr>
      </w:r>
    </w:p>
    <w:p>
      <w:pPr>
        <w:pStyle w:val="BodyText"/>
        <w:tabs>
          <w:tab w:pos="1757" w:val="left" w:leader="none"/>
        </w:tabs>
        <w:spacing w:line="240" w:lineRule="auto" w:before="106"/>
        <w:ind w:left="798" w:right="814"/>
        <w:jc w:val="left"/>
      </w:pPr>
      <w:r>
        <w:rPr>
          <w:spacing w:val="-1"/>
        </w:rPr>
        <w:t>□适用</w:t>
        <w:tab/>
      </w:r>
      <w:r>
        <w:rPr/>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3" w:top="780" w:bottom="1380" w:left="1000" w:right="460"/>
        </w:sectPr>
      </w:pPr>
    </w:p>
    <w:p>
      <w:pPr>
        <w:pStyle w:val="Heading2"/>
        <w:spacing w:line="240" w:lineRule="auto" w:before="204"/>
        <w:ind w:left="798" w:right="-18"/>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1"/>
        </w:rPr>
        <w:t> </w:t>
      </w:r>
      <w:r>
        <w:rPr/>
        <w:t>限售股份变动情况</w:t>
      </w:r>
      <w:r>
        <w:rPr>
          <w:b w:val="0"/>
          <w:bCs w:val="0"/>
        </w:rPr>
      </w:r>
    </w:p>
    <w:p>
      <w:pPr>
        <w:pStyle w:val="BodyText"/>
        <w:spacing w:line="240" w:lineRule="auto" w:before="106"/>
        <w:ind w:left="798" w:right="-18"/>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ind w:left="798" w:right="0"/>
        <w:jc w:val="left"/>
      </w:pPr>
      <w:r>
        <w:rPr/>
        <w:t>单位</w:t>
      </w:r>
      <w:r>
        <w:rPr>
          <w:rFonts w:ascii="宋体" w:hAnsi="宋体" w:cs="宋体" w:eastAsia="宋体" w:hint="default"/>
        </w:rPr>
        <w:t>: </w:t>
      </w:r>
      <w:r>
        <w:rPr/>
        <w:t>股</w:t>
      </w:r>
    </w:p>
    <w:p>
      <w:pPr>
        <w:spacing w:after="0" w:line="240" w:lineRule="auto"/>
        <w:jc w:val="left"/>
        <w:sectPr>
          <w:type w:val="continuous"/>
          <w:pgSz w:w="11910" w:h="16840"/>
          <w:pgMar w:top="1000" w:bottom="280" w:left="1000" w:right="460"/>
          <w:cols w:num="2" w:equalWidth="0">
            <w:col w:w="3291" w:space="4582"/>
            <w:col w:w="2577"/>
          </w:cols>
        </w:sectPr>
      </w:pPr>
    </w:p>
    <w:p>
      <w:pPr>
        <w:spacing w:line="240" w:lineRule="auto" w:before="12"/>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15"/>
        <w:gridCol w:w="1532"/>
        <w:gridCol w:w="1536"/>
        <w:gridCol w:w="1188"/>
        <w:gridCol w:w="1190"/>
        <w:gridCol w:w="1400"/>
        <w:gridCol w:w="1848"/>
      </w:tblGrid>
      <w:tr>
        <w:trPr>
          <w:trHeight w:val="554"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5"/>
              <w:jc w:val="right"/>
              <w:rPr>
                <w:rFonts w:ascii="宋体" w:hAnsi="宋体" w:cs="宋体" w:eastAsia="宋体" w:hint="default"/>
                <w:sz w:val="21"/>
                <w:szCs w:val="21"/>
              </w:rPr>
            </w:pPr>
            <w:r>
              <w:rPr>
                <w:rFonts w:ascii="宋体" w:hAnsi="宋体" w:cs="宋体" w:eastAsia="宋体" w:hint="default"/>
                <w:b/>
                <w:bCs/>
                <w:sz w:val="21"/>
                <w:szCs w:val="21"/>
              </w:rPr>
              <w:t>年初限售股数</w:t>
            </w:r>
            <w:r>
              <w:rPr>
                <w:rFonts w:ascii="宋体" w:hAnsi="宋体" w:cs="宋体" w:eastAsia="宋体" w:hint="default"/>
                <w:sz w:val="21"/>
                <w:szCs w:val="21"/>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b/>
                <w:bCs/>
                <w:sz w:val="21"/>
                <w:szCs w:val="21"/>
              </w:rPr>
              <w:t>本年解除限售</w:t>
            </w:r>
            <w:r>
              <w:rPr>
                <w:rFonts w:ascii="宋体" w:hAnsi="宋体" w:cs="宋体" w:eastAsia="宋体" w:hint="default"/>
                <w:sz w:val="21"/>
                <w:szCs w:val="21"/>
              </w:rPr>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b/>
                <w:bCs/>
                <w:sz w:val="21"/>
                <w:szCs w:val="21"/>
              </w:rPr>
              <w:t>股数</w:t>
            </w:r>
            <w:r>
              <w:rPr>
                <w:rFonts w:ascii="宋体" w:hAnsi="宋体" w:cs="宋体" w:eastAsia="宋体" w:hint="default"/>
                <w:sz w:val="21"/>
                <w:szCs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sz w:val="21"/>
                <w:szCs w:val="21"/>
              </w:rPr>
            </w:r>
          </w:p>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b/>
                <w:bCs/>
                <w:sz w:val="21"/>
                <w:szCs w:val="21"/>
              </w:rPr>
              <w:t>限售股数</w:t>
            </w:r>
            <w:r>
              <w:rPr>
                <w:rFonts w:ascii="宋体" w:hAnsi="宋体" w:cs="宋体" w:eastAsia="宋体" w:hint="default"/>
                <w:sz w:val="21"/>
                <w:szCs w:val="21"/>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年末限售</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股数</w:t>
            </w:r>
            <w:r>
              <w:rPr>
                <w:rFonts w:ascii="宋体" w:hAnsi="宋体" w:cs="宋体" w:eastAsia="宋体" w:hint="default"/>
                <w:sz w:val="21"/>
                <w:szCs w:val="21"/>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3" w:right="0"/>
              <w:jc w:val="left"/>
              <w:rPr>
                <w:rFonts w:ascii="宋体" w:hAnsi="宋体" w:cs="宋体" w:eastAsia="宋体" w:hint="default"/>
                <w:sz w:val="21"/>
                <w:szCs w:val="21"/>
              </w:rPr>
            </w:pPr>
            <w:r>
              <w:rPr>
                <w:rFonts w:ascii="宋体" w:hAnsi="宋体" w:cs="宋体" w:eastAsia="宋体" w:hint="default"/>
                <w:b/>
                <w:bCs/>
                <w:sz w:val="21"/>
                <w:szCs w:val="21"/>
              </w:rPr>
              <w:t>限售原因</w:t>
            </w:r>
            <w:r>
              <w:rPr>
                <w:rFonts w:ascii="宋体" w:hAnsi="宋体" w:cs="宋体" w:eastAsia="宋体" w:hint="default"/>
                <w:sz w:val="21"/>
                <w:szCs w:val="21"/>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b/>
                <w:bCs/>
                <w:sz w:val="21"/>
                <w:szCs w:val="21"/>
              </w:rPr>
              <w:t>解除限售日期</w:t>
            </w:r>
            <w:r>
              <w:rPr>
                <w:rFonts w:ascii="宋体" w:hAnsi="宋体" w:cs="宋体" w:eastAsia="宋体" w:hint="default"/>
                <w:sz w:val="21"/>
                <w:szCs w:val="21"/>
              </w:rPr>
            </w:r>
          </w:p>
        </w:tc>
      </w:tr>
      <w:tr>
        <w:trPr>
          <w:trHeight w:val="828"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102"/>
              <w:jc w:val="left"/>
              <w:rPr>
                <w:rFonts w:ascii="宋体" w:hAnsi="宋体" w:cs="宋体" w:eastAsia="宋体" w:hint="default"/>
                <w:sz w:val="21"/>
                <w:szCs w:val="21"/>
              </w:rPr>
            </w:pPr>
            <w:r>
              <w:rPr>
                <w:rFonts w:ascii="宋体" w:hAnsi="宋体" w:cs="宋体" w:eastAsia="宋体" w:hint="default"/>
                <w:spacing w:val="3"/>
                <w:sz w:val="21"/>
                <w:szCs w:val="21"/>
              </w:rPr>
              <w:t>清华控股有限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278,551,532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278,551,532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认</w:t>
            </w:r>
            <w:r>
              <w:rPr>
                <w:rFonts w:ascii="宋体" w:hAnsi="宋体" w:cs="宋体" w:eastAsia="宋体" w:hint="default"/>
                <w:spacing w:val="-71"/>
                <w:sz w:val="21"/>
                <w:szCs w:val="21"/>
              </w:rPr>
              <w:t> </w:t>
            </w:r>
            <w:r>
              <w:rPr>
                <w:rFonts w:ascii="宋体" w:hAnsi="宋体" w:cs="宋体" w:eastAsia="宋体" w:hint="default"/>
                <w:sz w:val="21"/>
                <w:szCs w:val="21"/>
              </w:rPr>
              <w:t>购</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spacing w:val="-71"/>
                <w:sz w:val="21"/>
                <w:szCs w:val="21"/>
              </w:rPr>
              <w:t> </w:t>
            </w:r>
            <w:r>
              <w:rPr>
                <w:rFonts w:ascii="宋体" w:hAnsi="宋体" w:cs="宋体" w:eastAsia="宋体" w:hint="default"/>
                <w:sz w:val="21"/>
                <w:szCs w:val="21"/>
              </w:rPr>
              <w:t>非</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票</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826"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00" w:right="102"/>
              <w:jc w:val="left"/>
              <w:rPr>
                <w:rFonts w:ascii="宋体" w:hAnsi="宋体" w:cs="宋体" w:eastAsia="宋体" w:hint="default"/>
                <w:sz w:val="21"/>
                <w:szCs w:val="21"/>
              </w:rPr>
            </w:pPr>
            <w:r>
              <w:rPr>
                <w:rFonts w:ascii="宋体" w:hAnsi="宋体" w:cs="宋体" w:eastAsia="宋体" w:hint="default"/>
                <w:spacing w:val="3"/>
                <w:sz w:val="21"/>
                <w:szCs w:val="21"/>
              </w:rPr>
              <w:t>紫光集团有限</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69,637,883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69,637,883</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认</w:t>
            </w:r>
            <w:r>
              <w:rPr>
                <w:rFonts w:ascii="宋体" w:hAnsi="宋体" w:cs="宋体" w:eastAsia="宋体" w:hint="default"/>
                <w:spacing w:val="-71"/>
                <w:sz w:val="21"/>
                <w:szCs w:val="21"/>
              </w:rPr>
              <w:t> </w:t>
            </w:r>
            <w:r>
              <w:rPr>
                <w:rFonts w:ascii="宋体" w:hAnsi="宋体" w:cs="宋体" w:eastAsia="宋体" w:hint="default"/>
                <w:sz w:val="21"/>
                <w:szCs w:val="21"/>
              </w:rPr>
              <w:t>购</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spacing w:val="-71"/>
                <w:sz w:val="21"/>
                <w:szCs w:val="21"/>
              </w:rPr>
              <w:t> </w:t>
            </w:r>
            <w:r>
              <w:rPr>
                <w:rFonts w:ascii="宋体" w:hAnsi="宋体" w:cs="宋体" w:eastAsia="宋体" w:hint="default"/>
                <w:sz w:val="21"/>
                <w:szCs w:val="21"/>
              </w:rPr>
              <w:t>非</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票</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828"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102"/>
              <w:jc w:val="left"/>
              <w:rPr>
                <w:rFonts w:ascii="宋体" w:hAnsi="宋体" w:cs="宋体" w:eastAsia="宋体" w:hint="default"/>
                <w:sz w:val="21"/>
                <w:szCs w:val="21"/>
              </w:rPr>
            </w:pPr>
            <w:r>
              <w:rPr>
                <w:rFonts w:ascii="宋体" w:hAnsi="宋体" w:cs="宋体" w:eastAsia="宋体" w:hint="default"/>
                <w:spacing w:val="3"/>
                <w:sz w:val="21"/>
                <w:szCs w:val="21"/>
              </w:rPr>
              <w:t>工银瑞信基金</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管理有限公司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208,913,649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208,913,649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认</w:t>
            </w:r>
            <w:r>
              <w:rPr>
                <w:rFonts w:ascii="宋体" w:hAnsi="宋体" w:cs="宋体" w:eastAsia="宋体" w:hint="default"/>
                <w:spacing w:val="-71"/>
                <w:sz w:val="21"/>
                <w:szCs w:val="21"/>
              </w:rPr>
              <w:t> </w:t>
            </w:r>
            <w:r>
              <w:rPr>
                <w:rFonts w:ascii="宋体" w:hAnsi="宋体" w:cs="宋体" w:eastAsia="宋体" w:hint="default"/>
                <w:sz w:val="21"/>
                <w:szCs w:val="21"/>
              </w:rPr>
              <w:t>购</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spacing w:val="-71"/>
                <w:sz w:val="21"/>
                <w:szCs w:val="21"/>
              </w:rPr>
              <w:t> </w:t>
            </w:r>
            <w:r>
              <w:rPr>
                <w:rFonts w:ascii="宋体" w:hAnsi="宋体" w:cs="宋体" w:eastAsia="宋体" w:hint="default"/>
                <w:sz w:val="21"/>
                <w:szCs w:val="21"/>
              </w:rPr>
              <w:t>非</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票</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828"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102"/>
              <w:jc w:val="left"/>
              <w:rPr>
                <w:rFonts w:ascii="宋体" w:hAnsi="宋体" w:cs="宋体" w:eastAsia="宋体" w:hint="default"/>
                <w:sz w:val="21"/>
                <w:szCs w:val="21"/>
              </w:rPr>
            </w:pPr>
            <w:r>
              <w:rPr>
                <w:rFonts w:ascii="宋体" w:hAnsi="宋体" w:cs="宋体" w:eastAsia="宋体" w:hint="default"/>
                <w:spacing w:val="3"/>
                <w:sz w:val="21"/>
                <w:szCs w:val="21"/>
              </w:rPr>
              <w:t>博时基金管理</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有限公司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208,913,649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208,913,649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认</w:t>
            </w:r>
            <w:r>
              <w:rPr>
                <w:rFonts w:ascii="宋体" w:hAnsi="宋体" w:cs="宋体" w:eastAsia="宋体" w:hint="default"/>
                <w:spacing w:val="-71"/>
                <w:sz w:val="21"/>
                <w:szCs w:val="21"/>
              </w:rPr>
              <w:t> </w:t>
            </w:r>
            <w:r>
              <w:rPr>
                <w:rFonts w:ascii="宋体" w:hAnsi="宋体" w:cs="宋体" w:eastAsia="宋体" w:hint="default"/>
                <w:sz w:val="21"/>
                <w:szCs w:val="21"/>
              </w:rPr>
              <w:t>购</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3"/>
                <w:sz w:val="21"/>
                <w:szCs w:val="21"/>
              </w:rPr>
              <w:t> </w:t>
            </w:r>
            <w:r>
              <w:rPr>
                <w:rFonts w:ascii="宋体" w:hAnsi="宋体" w:cs="宋体" w:eastAsia="宋体" w:hint="default"/>
                <w:sz w:val="21"/>
                <w:szCs w:val="21"/>
              </w:rPr>
              <w:t>司</w:t>
            </w:r>
            <w:r>
              <w:rPr>
                <w:rFonts w:ascii="宋体" w:hAnsi="宋体" w:cs="宋体" w:eastAsia="宋体" w:hint="default"/>
                <w:spacing w:val="-71"/>
                <w:sz w:val="21"/>
                <w:szCs w:val="21"/>
              </w:rPr>
              <w:t> </w:t>
            </w:r>
            <w:r>
              <w:rPr>
                <w:rFonts w:ascii="宋体" w:hAnsi="宋体" w:cs="宋体" w:eastAsia="宋体" w:hint="default"/>
                <w:sz w:val="21"/>
                <w:szCs w:val="21"/>
              </w:rPr>
              <w:t>非</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开</w:t>
            </w:r>
            <w:r>
              <w:rPr>
                <w:rFonts w:ascii="宋体" w:hAnsi="宋体" w:cs="宋体" w:eastAsia="宋体" w:hint="default"/>
                <w:spacing w:val="-73"/>
                <w:sz w:val="21"/>
                <w:szCs w:val="21"/>
              </w:rPr>
              <w:t> </w:t>
            </w:r>
            <w:r>
              <w:rPr>
                <w:rFonts w:ascii="宋体" w:hAnsi="宋体" w:cs="宋体" w:eastAsia="宋体" w:hint="default"/>
                <w:sz w:val="21"/>
                <w:szCs w:val="21"/>
              </w:rPr>
              <w:t>发</w:t>
            </w:r>
            <w:r>
              <w:rPr>
                <w:rFonts w:ascii="宋体" w:hAnsi="宋体" w:cs="宋体" w:eastAsia="宋体" w:hint="default"/>
                <w:spacing w:val="-73"/>
                <w:sz w:val="21"/>
                <w:szCs w:val="21"/>
              </w:rPr>
              <w:t> </w:t>
            </w:r>
            <w:r>
              <w:rPr>
                <w:rFonts w:ascii="宋体" w:hAnsi="宋体" w:cs="宋体" w:eastAsia="宋体" w:hint="default"/>
                <w:sz w:val="21"/>
                <w:szCs w:val="21"/>
              </w:rPr>
              <w:t>行</w:t>
            </w:r>
            <w:r>
              <w:rPr>
                <w:rFonts w:ascii="宋体" w:hAnsi="宋体" w:cs="宋体" w:eastAsia="宋体" w:hint="default"/>
                <w:spacing w:val="-71"/>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票</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right"/>
              <w:rPr>
                <w:rFonts w:ascii="宋体" w:hAnsi="宋体" w:cs="宋体" w:eastAsia="宋体" w:hint="default"/>
                <w:sz w:val="21"/>
                <w:szCs w:val="21"/>
              </w:rPr>
            </w:pPr>
            <w:r>
              <w:rPr>
                <w:rFonts w:ascii="宋体"/>
                <w:b/>
                <w:w w:val="95"/>
                <w:sz w:val="21"/>
              </w:rPr>
              <w:t>766,016,713</w:t>
            </w:r>
            <w:r>
              <w:rPr>
                <w:rFonts w:ascii="宋体"/>
                <w:sz w:val="21"/>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b/>
                <w:w w:val="95"/>
                <w:sz w:val="21"/>
              </w:rPr>
              <w:t>766,016,713</w:t>
            </w:r>
            <w:r>
              <w:rPr>
                <w:rFonts w:ascii="宋体"/>
                <w:sz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type w:val="continuous"/>
          <w:pgSz w:w="11910" w:h="16840"/>
          <w:pgMar w:top="1000" w:bottom="280" w:left="1000" w:right="460"/>
        </w:sectPr>
      </w:pPr>
    </w:p>
    <w:p>
      <w:pPr>
        <w:spacing w:before="25"/>
        <w:ind w:left="4473" w:right="448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7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Heading2"/>
        <w:tabs>
          <w:tab w:pos="1577" w:val="left" w:leader="none"/>
        </w:tabs>
        <w:spacing w:line="240" w:lineRule="auto" w:before="26"/>
        <w:ind w:left="738" w:right="734"/>
        <w:jc w:val="left"/>
        <w:rPr>
          <w:b w:val="0"/>
          <w:bCs w:val="0"/>
        </w:rPr>
      </w:pPr>
      <w:r>
        <w:rPr/>
        <w:t>二、</w:t>
        <w:tab/>
        <w:t>证券发行与上市情况</w:t>
      </w:r>
      <w:r>
        <w:rPr>
          <w:b w:val="0"/>
          <w:bCs w:val="0"/>
        </w:rPr>
      </w:r>
    </w:p>
    <w:p>
      <w:pPr>
        <w:pStyle w:val="Heading2"/>
        <w:tabs>
          <w:tab w:pos="1577" w:val="left" w:leader="none"/>
        </w:tabs>
        <w:spacing w:line="240" w:lineRule="auto" w:before="106"/>
        <w:ind w:left="738" w:right="734"/>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截至报告期内证券发行情况</w:t>
      </w:r>
      <w:r>
        <w:rPr>
          <w:b w:val="0"/>
          <w:bCs w:val="0"/>
        </w:rPr>
      </w:r>
    </w:p>
    <w:p>
      <w:pPr>
        <w:pStyle w:val="BodyText"/>
        <w:spacing w:line="240" w:lineRule="auto" w:before="106"/>
        <w:ind w:left="738" w:right="734"/>
        <w:jc w:val="left"/>
      </w:pPr>
      <w:r>
        <w:rPr/>
        <w:t>□适用</w:t>
      </w:r>
      <w:r>
        <w:rPr>
          <w:spacing w:val="-1"/>
        </w:rPr>
        <w:t> </w:t>
      </w:r>
      <w:r>
        <w:rPr/>
        <w:t>√不适用</w:t>
      </w:r>
    </w:p>
    <w:p>
      <w:pPr>
        <w:spacing w:line="240" w:lineRule="auto" w:before="0"/>
        <w:rPr>
          <w:rFonts w:ascii="宋体" w:hAnsi="宋体" w:cs="宋体" w:eastAsia="宋体" w:hint="default"/>
          <w:sz w:val="31"/>
          <w:szCs w:val="31"/>
        </w:rPr>
      </w:pPr>
    </w:p>
    <w:p>
      <w:pPr>
        <w:pStyle w:val="BodyText"/>
        <w:spacing w:line="240" w:lineRule="auto"/>
        <w:ind w:left="738" w:right="734"/>
        <w:jc w:val="left"/>
      </w:pPr>
      <w:r>
        <w:rPr/>
        <w:t>截至报告期内证券发行情况的说明（存续期内利率不同的债券，请分别说明）：</w:t>
      </w:r>
    </w:p>
    <w:p>
      <w:pPr>
        <w:pStyle w:val="BodyText"/>
        <w:tabs>
          <w:tab w:pos="1697" w:val="left" w:leader="none"/>
        </w:tabs>
        <w:spacing w:line="240" w:lineRule="auto" w:before="46"/>
        <w:ind w:left="738" w:right="734"/>
        <w:jc w:val="left"/>
      </w:pPr>
      <w:r>
        <w:rPr>
          <w:spacing w:val="-1"/>
        </w:rPr>
        <w:t>□适用</w:t>
        <w:tab/>
      </w:r>
      <w:r>
        <w:rPr/>
        <w:t>√不适用</w:t>
      </w:r>
    </w:p>
    <w:p>
      <w:pPr>
        <w:spacing w:line="240" w:lineRule="auto" w:before="8"/>
        <w:rPr>
          <w:rFonts w:ascii="宋体" w:hAnsi="宋体" w:cs="宋体" w:eastAsia="宋体" w:hint="default"/>
          <w:sz w:val="35"/>
          <w:szCs w:val="35"/>
        </w:rPr>
      </w:pPr>
    </w:p>
    <w:p>
      <w:pPr>
        <w:pStyle w:val="Heading2"/>
        <w:tabs>
          <w:tab w:pos="1577" w:val="left" w:leader="none"/>
        </w:tabs>
        <w:spacing w:line="240" w:lineRule="auto"/>
        <w:ind w:left="738" w:right="734"/>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公司普通股股份总数及股东结构变动及公司资产和负债结构的变动情况</w:t>
      </w:r>
      <w:r>
        <w:rPr>
          <w:b w:val="0"/>
          <w:bCs w:val="0"/>
        </w:rPr>
      </w:r>
    </w:p>
    <w:p>
      <w:pPr>
        <w:pStyle w:val="BodyText"/>
        <w:tabs>
          <w:tab w:pos="1697" w:val="left" w:leader="none"/>
        </w:tabs>
        <w:spacing w:line="240" w:lineRule="auto" w:before="106"/>
        <w:ind w:left="738" w:right="734"/>
        <w:jc w:val="left"/>
      </w:pPr>
      <w:r>
        <w:rPr>
          <w:spacing w:val="-1"/>
        </w:rPr>
        <w:t>□适用</w:t>
        <w:tab/>
      </w:r>
      <w:r>
        <w:rPr/>
        <w:t>√不适用</w:t>
      </w:r>
    </w:p>
    <w:p>
      <w:pPr>
        <w:spacing w:line="240" w:lineRule="auto" w:before="8"/>
        <w:rPr>
          <w:rFonts w:ascii="宋体" w:hAnsi="宋体" w:cs="宋体" w:eastAsia="宋体" w:hint="default"/>
          <w:sz w:val="35"/>
          <w:szCs w:val="35"/>
        </w:rPr>
      </w:pPr>
    </w:p>
    <w:p>
      <w:pPr>
        <w:pStyle w:val="Heading2"/>
        <w:tabs>
          <w:tab w:pos="1577" w:val="left" w:leader="none"/>
        </w:tabs>
        <w:spacing w:line="240" w:lineRule="auto"/>
        <w:ind w:left="738" w:right="734"/>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现存的内部职工股情况</w:t>
      </w:r>
      <w:r>
        <w:rPr>
          <w:b w:val="0"/>
          <w:bCs w:val="0"/>
        </w:rPr>
      </w:r>
    </w:p>
    <w:p>
      <w:pPr>
        <w:pStyle w:val="BodyText"/>
        <w:spacing w:line="240" w:lineRule="auto" w:before="106"/>
        <w:ind w:left="738" w:right="734"/>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tabs>
          <w:tab w:pos="1577" w:val="left" w:leader="none"/>
        </w:tabs>
        <w:spacing w:line="321" w:lineRule="auto"/>
        <w:ind w:left="738" w:right="6316"/>
        <w:jc w:val="left"/>
        <w:rPr>
          <w:b w:val="0"/>
          <w:bCs w:val="0"/>
        </w:rPr>
      </w:pPr>
      <w:r>
        <w:rPr/>
        <w:t>三、</w:t>
        <w:tab/>
        <w:t>股东和实际控制人情况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股东总数</w:t>
      </w:r>
      <w:r>
        <w:rPr>
          <w:b w:val="0"/>
          <w:bCs w:val="0"/>
        </w:rPr>
      </w:r>
    </w:p>
    <w:tbl>
      <w:tblPr>
        <w:tblW w:w="0" w:type="auto"/>
        <w:jc w:val="left"/>
        <w:tblInd w:w="738" w:type="dxa"/>
        <w:tblLayout w:type="fixed"/>
        <w:tblCellMar>
          <w:top w:w="0" w:type="dxa"/>
          <w:left w:w="0" w:type="dxa"/>
          <w:bottom w:w="0" w:type="dxa"/>
          <w:right w:w="0" w:type="dxa"/>
        </w:tblCellMar>
        <w:tblLook w:val="01E0"/>
      </w:tblPr>
      <w:tblGrid>
        <w:gridCol w:w="5780"/>
        <w:gridCol w:w="3044"/>
      </w:tblGrid>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161,394</w:t>
            </w:r>
          </w:p>
        </w:tc>
      </w:tr>
      <w:tr>
        <w:trPr>
          <w:trHeight w:val="283" w:hRule="exact"/>
        </w:trPr>
        <w:tc>
          <w:tcPr>
            <w:tcW w:w="5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153,879</w:t>
            </w:r>
          </w:p>
        </w:tc>
      </w:tr>
    </w:tbl>
    <w:p>
      <w:pPr>
        <w:spacing w:line="240" w:lineRule="auto" w:before="9"/>
        <w:rPr>
          <w:rFonts w:ascii="宋体" w:hAnsi="宋体" w:cs="宋体" w:eastAsia="宋体" w:hint="default"/>
          <w:b/>
          <w:bCs/>
          <w:sz w:val="24"/>
          <w:szCs w:val="24"/>
        </w:rPr>
      </w:pPr>
    </w:p>
    <w:p>
      <w:pPr>
        <w:pStyle w:val="Heading2"/>
        <w:tabs>
          <w:tab w:pos="1577" w:val="left" w:leader="none"/>
        </w:tabs>
        <w:spacing w:line="310" w:lineRule="exact" w:before="58"/>
        <w:ind w:left="1165" w:right="734" w:hanging="428"/>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截止报告期末前十名股东、前十名流通股东（或无限售条件股东）持股情况</w:t>
      </w:r>
      <w:r>
        <w:rPr>
          <w:spacing w:val="-93"/>
        </w:rPr>
        <w:t> </w:t>
      </w:r>
      <w:r>
        <w:rPr>
          <w:spacing w:val="-93"/>
        </w:rPr>
      </w:r>
      <w:r>
        <w:rPr/>
        <w:t>表</w:t>
      </w:r>
      <w:r>
        <w:rPr>
          <w:b w:val="0"/>
          <w:bCs w:val="0"/>
        </w:rPr>
      </w:r>
    </w:p>
    <w:p>
      <w:pPr>
        <w:pStyle w:val="BodyText"/>
        <w:spacing w:line="240" w:lineRule="auto" w:before="29"/>
        <w:ind w:left="0" w:right="732"/>
        <w:jc w:val="right"/>
      </w:pPr>
      <w:r>
        <w:rPr/>
        <w:t>单位</w:t>
      </w:r>
      <w:r>
        <w:rPr>
          <w:rFonts w:ascii="宋体" w:hAnsi="宋体" w:cs="宋体" w:eastAsia="宋体" w:hint="default"/>
        </w:rPr>
        <w:t>:</w:t>
      </w:r>
      <w:r>
        <w:rPr/>
        <w:t>股</w:t>
      </w: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460"/>
        <w:gridCol w:w="1527"/>
        <w:gridCol w:w="1560"/>
        <w:gridCol w:w="850"/>
        <w:gridCol w:w="984"/>
        <w:gridCol w:w="891"/>
        <w:gridCol w:w="425"/>
        <w:gridCol w:w="1370"/>
      </w:tblGrid>
      <w:tr>
        <w:trPr>
          <w:trHeight w:val="281" w:hRule="exact"/>
        </w:trPr>
        <w:tc>
          <w:tcPr>
            <w:tcW w:w="1006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554" w:hRule="exact"/>
        </w:trPr>
        <w:tc>
          <w:tcPr>
            <w:tcW w:w="246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exact"/>
              <w:ind w:left="804"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804"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报告期内增减</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261" w:right="20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984" w:type="dxa"/>
            <w:vMerge w:val="restart"/>
            <w:tcBorders>
              <w:top w:val="single" w:sz="4" w:space="0" w:color="000000"/>
              <w:left w:val="single" w:sz="4" w:space="0" w:color="000000"/>
              <w:right w:val="single" w:sz="4" w:space="0" w:color="000000"/>
            </w:tcBorders>
          </w:tcPr>
          <w:p>
            <w:pPr>
              <w:pStyle w:val="TableParagraph"/>
              <w:spacing w:line="272" w:lineRule="exact"/>
              <w:ind w:left="170" w:right="168"/>
              <w:jc w:val="both"/>
              <w:rPr>
                <w:rFonts w:ascii="宋体" w:hAnsi="宋体" w:cs="宋体" w:eastAsia="宋体" w:hint="default"/>
                <w:sz w:val="21"/>
                <w:szCs w:val="21"/>
              </w:rPr>
            </w:pPr>
            <w:r>
              <w:rPr>
                <w:rFonts w:ascii="宋体" w:hAnsi="宋体" w:cs="宋体" w:eastAsia="宋体" w:hint="default"/>
                <w:sz w:val="21"/>
                <w:szCs w:val="21"/>
              </w:rPr>
              <w:t>持有有</w:t>
            </w:r>
            <w:r>
              <w:rPr>
                <w:rFonts w:ascii="宋体" w:hAnsi="宋体" w:cs="宋体" w:eastAsia="宋体" w:hint="default"/>
                <w:spacing w:val="-102"/>
                <w:sz w:val="21"/>
                <w:szCs w:val="21"/>
              </w:rPr>
              <w:t> </w:t>
            </w: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件股份</w:t>
            </w:r>
          </w:p>
          <w:p>
            <w:pPr>
              <w:pStyle w:val="TableParagraph"/>
              <w:spacing w:line="249" w:lineRule="exact"/>
              <w:ind w:left="27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3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情况</w:t>
            </w:r>
          </w:p>
        </w:tc>
        <w:tc>
          <w:tcPr>
            <w:tcW w:w="137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467" w:right="468"/>
              <w:jc w:val="center"/>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p>
        </w:tc>
      </w:tr>
      <w:tr>
        <w:trPr>
          <w:trHeight w:val="557" w:hRule="exact"/>
        </w:trPr>
        <w:tc>
          <w:tcPr>
            <w:tcW w:w="2460" w:type="dxa"/>
            <w:vMerge/>
            <w:tcBorders>
              <w:left w:val="single" w:sz="4" w:space="0" w:color="000000"/>
              <w:bottom w:val="single" w:sz="4" w:space="0" w:color="000000"/>
              <w:right w:val="single" w:sz="4" w:space="0" w:color="000000"/>
            </w:tcBorders>
          </w:tcPr>
          <w:p>
            <w:pPr/>
          </w:p>
        </w:tc>
        <w:tc>
          <w:tcPr>
            <w:tcW w:w="1527"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3" w:lineRule="exact"/>
              <w:ind w:left="230"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量</w:t>
            </w:r>
          </w:p>
        </w:tc>
        <w:tc>
          <w:tcPr>
            <w:tcW w:w="1370" w:type="dxa"/>
            <w:vMerge/>
            <w:tcBorders>
              <w:left w:val="single" w:sz="4" w:space="0" w:color="000000"/>
              <w:bottom w:val="single" w:sz="4" w:space="0" w:color="000000"/>
              <w:right w:val="single" w:sz="4" w:space="0" w:color="000000"/>
            </w:tcBorders>
          </w:tcPr>
          <w:p>
            <w:pPr/>
          </w:p>
        </w:tc>
      </w:tr>
      <w:tr>
        <w:trPr>
          <w:trHeight w:val="281"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763,310,997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25.75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5"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博时基金－兴业银行－</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博时资本管理有限公司</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spacing w:val="-1"/>
                <w:sz w:val="21"/>
              </w:rPr>
              <w:t>208,913,649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sz w:val="21"/>
              </w:rPr>
              <w:t>7.05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境内</w:t>
            </w:r>
            <w:r>
              <w:rPr>
                <w:rFonts w:ascii="宋体" w:hAnsi="宋体" w:cs="宋体" w:eastAsia="宋体" w:hint="default"/>
                <w:spacing w:val="-69"/>
                <w:sz w:val="21"/>
                <w:szCs w:val="21"/>
              </w:rPr>
              <w:t> </w:t>
            </w:r>
            <w:r>
              <w:rPr>
                <w:rFonts w:ascii="宋体" w:hAnsi="宋体" w:cs="宋体" w:eastAsia="宋体" w:hint="default"/>
                <w:spacing w:val="14"/>
                <w:sz w:val="21"/>
                <w:szCs w:val="21"/>
              </w:rPr>
              <w:t>非国有</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554"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霍尔果斯兴融股权投资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合伙企业（有限合伙）</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140,867,352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140,867,352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4.75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828"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工银瑞信－广发银行－</w:t>
            </w:r>
          </w:p>
          <w:p>
            <w:pPr>
              <w:pStyle w:val="TableParagraph"/>
              <w:spacing w:line="240" w:lineRule="auto"/>
              <w:ind w:left="103" w:right="242"/>
              <w:jc w:val="left"/>
              <w:rPr>
                <w:rFonts w:ascii="宋体" w:hAnsi="宋体" w:cs="宋体" w:eastAsia="宋体" w:hint="default"/>
                <w:sz w:val="21"/>
                <w:szCs w:val="21"/>
              </w:rPr>
            </w:pPr>
            <w:r>
              <w:rPr>
                <w:rFonts w:ascii="宋体" w:hAnsi="宋体" w:cs="宋体" w:eastAsia="宋体" w:hint="default"/>
                <w:spacing w:val="-2"/>
                <w:sz w:val="21"/>
                <w:szCs w:val="21"/>
              </w:rPr>
              <w:t>新疆盛世伟业股权投资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有限公司</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139,275,766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4.70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1"/>
              <w:jc w:val="left"/>
              <w:rPr>
                <w:rFonts w:ascii="宋体" w:hAnsi="宋体" w:cs="宋体" w:eastAsia="宋体" w:hint="default"/>
                <w:sz w:val="21"/>
                <w:szCs w:val="21"/>
              </w:rPr>
            </w:pPr>
            <w:r>
              <w:rPr>
                <w:rFonts w:ascii="宋体" w:hAnsi="宋体" w:cs="宋体" w:eastAsia="宋体" w:hint="default"/>
                <w:spacing w:val="11"/>
                <w:sz w:val="21"/>
                <w:szCs w:val="21"/>
              </w:rPr>
              <w:t>境内</w:t>
            </w:r>
            <w:r>
              <w:rPr>
                <w:rFonts w:ascii="宋体" w:hAnsi="宋体" w:cs="宋体" w:eastAsia="宋体" w:hint="default"/>
                <w:spacing w:val="-73"/>
                <w:sz w:val="21"/>
                <w:szCs w:val="21"/>
              </w:rPr>
              <w:t> </w:t>
            </w:r>
            <w:r>
              <w:rPr>
                <w:rFonts w:ascii="宋体" w:hAnsi="宋体" w:cs="宋体" w:eastAsia="宋体" w:hint="default"/>
                <w:spacing w:val="14"/>
                <w:sz w:val="21"/>
                <w:szCs w:val="21"/>
              </w:rPr>
              <w:t>非国有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法人</w:t>
            </w:r>
          </w:p>
        </w:tc>
      </w:tr>
      <w:tr>
        <w:trPr>
          <w:trHeight w:val="554"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神州兆基（北京）投资基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金管理有限公司</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91,187,839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91,187,839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3.08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境内</w:t>
            </w:r>
            <w:r>
              <w:rPr>
                <w:rFonts w:ascii="宋体" w:hAnsi="宋体" w:cs="宋体" w:eastAsia="宋体" w:hint="default"/>
                <w:spacing w:val="-69"/>
                <w:sz w:val="21"/>
                <w:szCs w:val="21"/>
              </w:rPr>
              <w:t> </w:t>
            </w:r>
            <w:r>
              <w:rPr>
                <w:rFonts w:ascii="宋体" w:hAnsi="宋体" w:cs="宋体" w:eastAsia="宋体" w:hint="default"/>
                <w:spacing w:val="14"/>
                <w:sz w:val="21"/>
                <w:szCs w:val="21"/>
              </w:rPr>
              <w:t>非国有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554"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大连海福盛科技有限公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89,950,204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89,950,204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3.03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境内</w:t>
            </w:r>
            <w:r>
              <w:rPr>
                <w:rFonts w:ascii="宋体" w:hAnsi="宋体" w:cs="宋体" w:eastAsia="宋体" w:hint="default"/>
                <w:spacing w:val="-69"/>
                <w:sz w:val="21"/>
                <w:szCs w:val="21"/>
              </w:rPr>
              <w:t> </w:t>
            </w:r>
            <w:r>
              <w:rPr>
                <w:rFonts w:ascii="宋体" w:hAnsi="宋体" w:cs="宋体" w:eastAsia="宋体" w:hint="default"/>
                <w:spacing w:val="14"/>
                <w:sz w:val="21"/>
                <w:szCs w:val="21"/>
              </w:rPr>
              <w:t>非国有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555"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北京广君宜科技有限公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73,689,514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73,689,514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2.49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境内</w:t>
            </w:r>
            <w:r>
              <w:rPr>
                <w:rFonts w:ascii="宋体" w:hAnsi="宋体" w:cs="宋体" w:eastAsia="宋体" w:hint="default"/>
                <w:spacing w:val="-69"/>
                <w:sz w:val="21"/>
                <w:szCs w:val="21"/>
              </w:rPr>
              <w:t> </w:t>
            </w:r>
            <w:r>
              <w:rPr>
                <w:rFonts w:ascii="宋体" w:hAnsi="宋体" w:cs="宋体" w:eastAsia="宋体" w:hint="default"/>
                <w:spacing w:val="14"/>
                <w:sz w:val="21"/>
                <w:szCs w:val="21"/>
              </w:rPr>
              <w:t>非国有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557"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北京卓越汇富科技有限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69,709,903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69,709,903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2.35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境内</w:t>
            </w:r>
            <w:r>
              <w:rPr>
                <w:rFonts w:ascii="宋体" w:hAnsi="宋体" w:cs="宋体" w:eastAsia="宋体" w:hint="default"/>
                <w:spacing w:val="-69"/>
                <w:sz w:val="21"/>
                <w:szCs w:val="21"/>
              </w:rPr>
              <w:t> </w:t>
            </w:r>
            <w:r>
              <w:rPr>
                <w:rFonts w:ascii="宋体" w:hAnsi="宋体" w:cs="宋体" w:eastAsia="宋体" w:hint="default"/>
                <w:spacing w:val="14"/>
                <w:sz w:val="21"/>
                <w:szCs w:val="21"/>
              </w:rPr>
              <w:t>非国有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bl>
    <w:p>
      <w:pPr>
        <w:spacing w:after="0" w:line="273" w:lineRule="exact"/>
        <w:jc w:val="left"/>
        <w:rPr>
          <w:rFonts w:ascii="宋体" w:hAnsi="宋体" w:cs="宋体" w:eastAsia="宋体" w:hint="default"/>
          <w:sz w:val="21"/>
          <w:szCs w:val="21"/>
        </w:rPr>
        <w:sectPr>
          <w:pgSz w:w="11910" w:h="16840"/>
          <w:pgMar w:header="0" w:footer="1193" w:top="780" w:bottom="1380" w:left="1060" w:right="540"/>
        </w:sectPr>
      </w:pPr>
    </w:p>
    <w:p>
      <w:pPr>
        <w:spacing w:before="25"/>
        <w:ind w:left="4473" w:right="448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7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2460"/>
        <w:gridCol w:w="1527"/>
        <w:gridCol w:w="1560"/>
        <w:gridCol w:w="850"/>
        <w:gridCol w:w="984"/>
        <w:gridCol w:w="891"/>
        <w:gridCol w:w="425"/>
        <w:gridCol w:w="1370"/>
      </w:tblGrid>
      <w:tr>
        <w:trPr>
          <w:trHeight w:val="284"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紫光集团有限公司</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69,637,883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z w:val="21"/>
              </w:rPr>
              <w:t>2.35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54" w:hRule="exact"/>
        </w:trPr>
        <w:tc>
          <w:tcPr>
            <w:tcW w:w="24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北京泰豪康富股权投资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49,173,393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49,173,393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1.66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境内</w:t>
            </w:r>
            <w:r>
              <w:rPr>
                <w:rFonts w:ascii="宋体" w:hAnsi="宋体" w:cs="宋体" w:eastAsia="宋体" w:hint="default"/>
                <w:spacing w:val="-69"/>
                <w:sz w:val="21"/>
                <w:szCs w:val="21"/>
              </w:rPr>
              <w:t> </w:t>
            </w:r>
            <w:r>
              <w:rPr>
                <w:rFonts w:ascii="宋体" w:hAnsi="宋体" w:cs="宋体" w:eastAsia="宋体" w:hint="default"/>
                <w:spacing w:val="14"/>
                <w:sz w:val="21"/>
                <w:szCs w:val="21"/>
              </w:rPr>
              <w:t>非国有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283" w:hRule="exact"/>
        </w:trPr>
        <w:tc>
          <w:tcPr>
            <w:tcW w:w="1006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1" w:hRule="exact"/>
        </w:trPr>
        <w:tc>
          <w:tcPr>
            <w:tcW w:w="3987" w:type="dxa"/>
            <w:gridSpan w:val="2"/>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394"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323"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2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0"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3" w:hRule="exact"/>
        </w:trPr>
        <w:tc>
          <w:tcPr>
            <w:tcW w:w="3987" w:type="dxa"/>
            <w:gridSpan w:val="2"/>
            <w:vMerge/>
            <w:tcBorders>
              <w:left w:val="single" w:sz="4" w:space="0" w:color="000000"/>
              <w:bottom w:val="single" w:sz="4" w:space="0" w:color="000000"/>
              <w:right w:val="single" w:sz="4" w:space="0" w:color="000000"/>
            </w:tcBorders>
          </w:tcPr>
          <w:p>
            <w:pPr/>
          </w:p>
        </w:tc>
        <w:tc>
          <w:tcPr>
            <w:tcW w:w="3394" w:type="dxa"/>
            <w:gridSpan w:val="3"/>
            <w:vMerge/>
            <w:tcBorders>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554" w:hRule="exact"/>
        </w:trPr>
        <w:tc>
          <w:tcPr>
            <w:tcW w:w="3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3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26" w:right="0"/>
              <w:jc w:val="left"/>
              <w:rPr>
                <w:rFonts w:ascii="宋体" w:hAnsi="宋体" w:cs="宋体" w:eastAsia="宋体" w:hint="default"/>
                <w:sz w:val="21"/>
                <w:szCs w:val="21"/>
              </w:rPr>
            </w:pPr>
            <w:r>
              <w:rPr>
                <w:rFonts w:ascii="宋体"/>
                <w:sz w:val="21"/>
              </w:rPr>
              <w:t>763,310,997</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5" w:right="0"/>
              <w:jc w:val="left"/>
              <w:rPr>
                <w:rFonts w:ascii="宋体" w:hAnsi="宋体" w:cs="宋体" w:eastAsia="宋体" w:hint="default"/>
                <w:sz w:val="21"/>
                <w:szCs w:val="21"/>
              </w:rPr>
            </w:pPr>
            <w:r>
              <w:rPr>
                <w:rFonts w:ascii="宋体"/>
                <w:sz w:val="21"/>
              </w:rPr>
              <w:t>763,310,997</w:t>
            </w:r>
          </w:p>
        </w:tc>
      </w:tr>
      <w:tr>
        <w:trPr>
          <w:trHeight w:val="554" w:hRule="exact"/>
        </w:trPr>
        <w:tc>
          <w:tcPr>
            <w:tcW w:w="3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博时基金－兴业银行－博时资本管理有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26" w:right="0"/>
              <w:jc w:val="left"/>
              <w:rPr>
                <w:rFonts w:ascii="宋体" w:hAnsi="宋体" w:cs="宋体" w:eastAsia="宋体" w:hint="default"/>
                <w:sz w:val="21"/>
                <w:szCs w:val="21"/>
              </w:rPr>
            </w:pPr>
            <w:r>
              <w:rPr>
                <w:rFonts w:ascii="宋体"/>
                <w:sz w:val="21"/>
              </w:rPr>
              <w:t>208,913,649</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5" w:right="0"/>
              <w:jc w:val="left"/>
              <w:rPr>
                <w:rFonts w:ascii="宋体" w:hAnsi="宋体" w:cs="宋体" w:eastAsia="宋体" w:hint="default"/>
                <w:sz w:val="21"/>
                <w:szCs w:val="21"/>
              </w:rPr>
            </w:pPr>
            <w:r>
              <w:rPr>
                <w:rFonts w:ascii="宋体"/>
                <w:sz w:val="21"/>
              </w:rPr>
              <w:t>208,913,649</w:t>
            </w:r>
          </w:p>
        </w:tc>
      </w:tr>
      <w:tr>
        <w:trPr>
          <w:trHeight w:val="554" w:hRule="exact"/>
        </w:trPr>
        <w:tc>
          <w:tcPr>
            <w:tcW w:w="3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霍尔果斯兴融股权投资合伙企业（有限合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伙）</w:t>
            </w:r>
          </w:p>
        </w:tc>
        <w:tc>
          <w:tcPr>
            <w:tcW w:w="3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26" w:right="0"/>
              <w:jc w:val="left"/>
              <w:rPr>
                <w:rFonts w:ascii="宋体" w:hAnsi="宋体" w:cs="宋体" w:eastAsia="宋体" w:hint="default"/>
                <w:sz w:val="21"/>
                <w:szCs w:val="21"/>
              </w:rPr>
            </w:pPr>
            <w:r>
              <w:rPr>
                <w:rFonts w:ascii="宋体"/>
                <w:sz w:val="21"/>
              </w:rPr>
              <w:t>140,867,352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73" w:lineRule="exact"/>
              <w:ind w:left="124"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5" w:right="0"/>
              <w:jc w:val="left"/>
              <w:rPr>
                <w:rFonts w:ascii="宋体" w:hAnsi="宋体" w:cs="宋体" w:eastAsia="宋体" w:hint="default"/>
                <w:sz w:val="21"/>
                <w:szCs w:val="21"/>
              </w:rPr>
            </w:pPr>
            <w:r>
              <w:rPr>
                <w:rFonts w:ascii="宋体"/>
                <w:sz w:val="21"/>
              </w:rPr>
              <w:t>140,867,352</w:t>
            </w:r>
          </w:p>
        </w:tc>
      </w:tr>
      <w:tr>
        <w:trPr>
          <w:trHeight w:val="557" w:hRule="exact"/>
        </w:trPr>
        <w:tc>
          <w:tcPr>
            <w:tcW w:w="3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工银瑞信－广发银行－新疆盛世伟业股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权投资有限公司</w:t>
            </w:r>
          </w:p>
        </w:tc>
        <w:tc>
          <w:tcPr>
            <w:tcW w:w="3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26" w:right="0"/>
              <w:jc w:val="left"/>
              <w:rPr>
                <w:rFonts w:ascii="宋体" w:hAnsi="宋体" w:cs="宋体" w:eastAsia="宋体" w:hint="default"/>
                <w:sz w:val="21"/>
                <w:szCs w:val="21"/>
              </w:rPr>
            </w:pPr>
            <w:r>
              <w:rPr>
                <w:rFonts w:ascii="宋体"/>
                <w:sz w:val="21"/>
              </w:rPr>
              <w:t>139,275,766</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4"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73" w:lineRule="exact"/>
              <w:ind w:left="124"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25" w:right="0"/>
              <w:jc w:val="left"/>
              <w:rPr>
                <w:rFonts w:ascii="宋体" w:hAnsi="宋体" w:cs="宋体" w:eastAsia="宋体" w:hint="default"/>
                <w:sz w:val="21"/>
                <w:szCs w:val="21"/>
              </w:rPr>
            </w:pPr>
            <w:r>
              <w:rPr>
                <w:rFonts w:ascii="宋体"/>
                <w:sz w:val="21"/>
              </w:rPr>
              <w:t>139,275,766</w:t>
            </w:r>
          </w:p>
        </w:tc>
      </w:tr>
      <w:tr>
        <w:trPr>
          <w:trHeight w:val="554" w:hRule="exact"/>
        </w:trPr>
        <w:tc>
          <w:tcPr>
            <w:tcW w:w="3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神州兆基（北京）投资基金管理有限公司</w:t>
            </w:r>
          </w:p>
        </w:tc>
        <w:tc>
          <w:tcPr>
            <w:tcW w:w="3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29" w:right="0"/>
              <w:jc w:val="left"/>
              <w:rPr>
                <w:rFonts w:ascii="宋体" w:hAnsi="宋体" w:cs="宋体" w:eastAsia="宋体" w:hint="default"/>
                <w:sz w:val="21"/>
                <w:szCs w:val="21"/>
              </w:rPr>
            </w:pPr>
            <w:r>
              <w:rPr>
                <w:rFonts w:ascii="宋体"/>
                <w:sz w:val="21"/>
              </w:rPr>
              <w:t>91,187,839</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73" w:lineRule="exact"/>
              <w:ind w:left="124"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8" w:right="0"/>
              <w:jc w:val="left"/>
              <w:rPr>
                <w:rFonts w:ascii="宋体" w:hAnsi="宋体" w:cs="宋体" w:eastAsia="宋体" w:hint="default"/>
                <w:sz w:val="21"/>
                <w:szCs w:val="21"/>
              </w:rPr>
            </w:pPr>
            <w:r>
              <w:rPr>
                <w:rFonts w:ascii="宋体"/>
                <w:sz w:val="21"/>
              </w:rPr>
              <w:t>91,187,839</w:t>
            </w:r>
          </w:p>
        </w:tc>
      </w:tr>
      <w:tr>
        <w:trPr>
          <w:trHeight w:val="554" w:hRule="exact"/>
        </w:trPr>
        <w:tc>
          <w:tcPr>
            <w:tcW w:w="3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大连海福盛科技有限公司</w:t>
            </w:r>
          </w:p>
        </w:tc>
        <w:tc>
          <w:tcPr>
            <w:tcW w:w="3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29" w:right="0"/>
              <w:jc w:val="left"/>
              <w:rPr>
                <w:rFonts w:ascii="宋体" w:hAnsi="宋体" w:cs="宋体" w:eastAsia="宋体" w:hint="default"/>
                <w:sz w:val="21"/>
                <w:szCs w:val="21"/>
              </w:rPr>
            </w:pPr>
            <w:r>
              <w:rPr>
                <w:rFonts w:ascii="宋体"/>
                <w:sz w:val="21"/>
              </w:rPr>
              <w:t>89,950,204</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73" w:lineRule="exact"/>
              <w:ind w:left="124"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8" w:right="0"/>
              <w:jc w:val="left"/>
              <w:rPr>
                <w:rFonts w:ascii="宋体" w:hAnsi="宋体" w:cs="宋体" w:eastAsia="宋体" w:hint="default"/>
                <w:sz w:val="21"/>
                <w:szCs w:val="21"/>
              </w:rPr>
            </w:pPr>
            <w:r>
              <w:rPr>
                <w:rFonts w:ascii="宋体"/>
                <w:sz w:val="21"/>
              </w:rPr>
              <w:t>89,950,204</w:t>
            </w:r>
          </w:p>
        </w:tc>
      </w:tr>
      <w:tr>
        <w:trPr>
          <w:trHeight w:val="554" w:hRule="exact"/>
        </w:trPr>
        <w:tc>
          <w:tcPr>
            <w:tcW w:w="3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北京广君宜科技有限公司</w:t>
            </w:r>
          </w:p>
        </w:tc>
        <w:tc>
          <w:tcPr>
            <w:tcW w:w="3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29" w:right="0"/>
              <w:jc w:val="left"/>
              <w:rPr>
                <w:rFonts w:ascii="宋体" w:hAnsi="宋体" w:cs="宋体" w:eastAsia="宋体" w:hint="default"/>
                <w:sz w:val="21"/>
                <w:szCs w:val="21"/>
              </w:rPr>
            </w:pPr>
            <w:r>
              <w:rPr>
                <w:rFonts w:ascii="宋体"/>
                <w:sz w:val="21"/>
              </w:rPr>
              <w:t>73,689,514</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73" w:lineRule="exact"/>
              <w:ind w:left="124"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8" w:right="0"/>
              <w:jc w:val="left"/>
              <w:rPr>
                <w:rFonts w:ascii="宋体" w:hAnsi="宋体" w:cs="宋体" w:eastAsia="宋体" w:hint="default"/>
                <w:sz w:val="21"/>
                <w:szCs w:val="21"/>
              </w:rPr>
            </w:pPr>
            <w:r>
              <w:rPr>
                <w:rFonts w:ascii="宋体"/>
                <w:sz w:val="21"/>
              </w:rPr>
              <w:t>73,689,514</w:t>
            </w:r>
          </w:p>
        </w:tc>
      </w:tr>
      <w:tr>
        <w:trPr>
          <w:trHeight w:val="554" w:hRule="exact"/>
        </w:trPr>
        <w:tc>
          <w:tcPr>
            <w:tcW w:w="3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北京卓越汇富科技有限公司</w:t>
            </w:r>
          </w:p>
        </w:tc>
        <w:tc>
          <w:tcPr>
            <w:tcW w:w="3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29" w:right="0"/>
              <w:jc w:val="left"/>
              <w:rPr>
                <w:rFonts w:ascii="宋体" w:hAnsi="宋体" w:cs="宋体" w:eastAsia="宋体" w:hint="default"/>
                <w:sz w:val="21"/>
                <w:szCs w:val="21"/>
              </w:rPr>
            </w:pPr>
            <w:r>
              <w:rPr>
                <w:rFonts w:ascii="宋体"/>
                <w:sz w:val="21"/>
              </w:rPr>
              <w:t>69,709,903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8" w:right="0"/>
              <w:jc w:val="left"/>
              <w:rPr>
                <w:rFonts w:ascii="宋体" w:hAnsi="宋体" w:cs="宋体" w:eastAsia="宋体" w:hint="default"/>
                <w:sz w:val="21"/>
                <w:szCs w:val="21"/>
              </w:rPr>
            </w:pPr>
            <w:r>
              <w:rPr>
                <w:rFonts w:ascii="宋体"/>
                <w:sz w:val="21"/>
              </w:rPr>
              <w:t>69,709,903</w:t>
            </w:r>
          </w:p>
        </w:tc>
      </w:tr>
      <w:tr>
        <w:trPr>
          <w:trHeight w:val="555" w:hRule="exact"/>
        </w:trPr>
        <w:tc>
          <w:tcPr>
            <w:tcW w:w="3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紫光集团有限公司</w:t>
            </w:r>
          </w:p>
        </w:tc>
        <w:tc>
          <w:tcPr>
            <w:tcW w:w="3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29" w:right="0"/>
              <w:jc w:val="left"/>
              <w:rPr>
                <w:rFonts w:ascii="宋体" w:hAnsi="宋体" w:cs="宋体" w:eastAsia="宋体" w:hint="default"/>
                <w:sz w:val="21"/>
                <w:szCs w:val="21"/>
              </w:rPr>
            </w:pPr>
            <w:r>
              <w:rPr>
                <w:rFonts w:ascii="宋体"/>
                <w:sz w:val="21"/>
              </w:rPr>
              <w:t>69,637,883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8" w:right="0"/>
              <w:jc w:val="left"/>
              <w:rPr>
                <w:rFonts w:ascii="宋体" w:hAnsi="宋体" w:cs="宋体" w:eastAsia="宋体" w:hint="default"/>
                <w:sz w:val="21"/>
                <w:szCs w:val="21"/>
              </w:rPr>
            </w:pPr>
            <w:r>
              <w:rPr>
                <w:rFonts w:ascii="宋体"/>
                <w:sz w:val="21"/>
              </w:rPr>
              <w:t>69,637,883</w:t>
            </w:r>
          </w:p>
        </w:tc>
      </w:tr>
      <w:tr>
        <w:trPr>
          <w:trHeight w:val="554" w:hRule="exact"/>
        </w:trPr>
        <w:tc>
          <w:tcPr>
            <w:tcW w:w="3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北京泰豪康富股权投资管理有限公司</w:t>
            </w:r>
          </w:p>
        </w:tc>
        <w:tc>
          <w:tcPr>
            <w:tcW w:w="33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29" w:right="0"/>
              <w:jc w:val="left"/>
              <w:rPr>
                <w:rFonts w:ascii="宋体" w:hAnsi="宋体" w:cs="宋体" w:eastAsia="宋体" w:hint="default"/>
                <w:sz w:val="21"/>
                <w:szCs w:val="21"/>
              </w:rPr>
            </w:pPr>
            <w:r>
              <w:rPr>
                <w:rFonts w:ascii="宋体"/>
                <w:sz w:val="21"/>
              </w:rPr>
              <w:t>49,173,393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人民币</w:t>
            </w:r>
          </w:p>
          <w:p>
            <w:pPr>
              <w:pStyle w:val="TableParagraph"/>
              <w:spacing w:line="274" w:lineRule="exact"/>
              <w:ind w:left="124" w:right="0"/>
              <w:jc w:val="left"/>
              <w:rPr>
                <w:rFonts w:ascii="宋体" w:hAnsi="宋体" w:cs="宋体" w:eastAsia="宋体" w:hint="default"/>
                <w:sz w:val="21"/>
                <w:szCs w:val="21"/>
              </w:rPr>
            </w:pPr>
            <w:r>
              <w:rPr>
                <w:rFonts w:ascii="宋体" w:hAnsi="宋体" w:cs="宋体" w:eastAsia="宋体" w:hint="default"/>
                <w:sz w:val="21"/>
                <w:szCs w:val="21"/>
              </w:rPr>
              <w:t>普通股</w:t>
            </w:r>
          </w:p>
        </w:tc>
        <w:tc>
          <w:tcPr>
            <w:tcW w:w="1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8" w:right="0"/>
              <w:jc w:val="left"/>
              <w:rPr>
                <w:rFonts w:ascii="宋体" w:hAnsi="宋体" w:cs="宋体" w:eastAsia="宋体" w:hint="default"/>
                <w:sz w:val="21"/>
                <w:szCs w:val="21"/>
              </w:rPr>
            </w:pPr>
            <w:r>
              <w:rPr>
                <w:rFonts w:ascii="宋体"/>
                <w:sz w:val="21"/>
              </w:rPr>
              <w:t>49,173,393</w:t>
            </w:r>
          </w:p>
        </w:tc>
      </w:tr>
      <w:tr>
        <w:trPr>
          <w:trHeight w:val="554" w:hRule="exact"/>
        </w:trPr>
        <w:tc>
          <w:tcPr>
            <w:tcW w:w="3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608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除紫光集团有限公司系清华控股下属控股子公司外，公司未获知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上述股东存在关联关系。</w:t>
            </w:r>
          </w:p>
        </w:tc>
      </w:tr>
      <w:tr>
        <w:trPr>
          <w:trHeight w:val="557" w:hRule="exact"/>
        </w:trPr>
        <w:tc>
          <w:tcPr>
            <w:tcW w:w="3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说明</w:t>
            </w:r>
          </w:p>
        </w:tc>
        <w:tc>
          <w:tcPr>
            <w:tcW w:w="608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2"/>
        <w:rPr>
          <w:rFonts w:ascii="宋体" w:hAnsi="宋体" w:cs="宋体" w:eastAsia="宋体" w:hint="default"/>
          <w:sz w:val="26"/>
          <w:szCs w:val="26"/>
        </w:rPr>
      </w:pPr>
    </w:p>
    <w:p>
      <w:pPr>
        <w:pStyle w:val="BodyText"/>
        <w:spacing w:line="240" w:lineRule="auto" w:before="26"/>
        <w:ind w:left="738" w:right="734"/>
        <w:jc w:val="left"/>
      </w:pPr>
      <w:r>
        <w:rPr/>
        <w:t>前十名有限售条件股东持股数量及限售条件</w:t>
      </w:r>
    </w:p>
    <w:p>
      <w:pPr>
        <w:pStyle w:val="BodyText"/>
        <w:spacing w:line="240" w:lineRule="auto" w:before="46"/>
        <w:ind w:left="738" w:right="734"/>
        <w:jc w:val="left"/>
      </w:pPr>
      <w:r>
        <w:rPr/>
        <w:t>□适用</w:t>
      </w:r>
      <w:r>
        <w:rPr>
          <w:spacing w:val="-1"/>
        </w:rPr>
        <w:t> </w:t>
      </w:r>
      <w:r>
        <w:rPr/>
        <w:t>√不适用</w:t>
      </w:r>
    </w:p>
    <w:p>
      <w:pPr>
        <w:spacing w:line="240" w:lineRule="auto" w:before="9"/>
        <w:rPr>
          <w:rFonts w:ascii="宋体" w:hAnsi="宋体" w:cs="宋体" w:eastAsia="宋体" w:hint="default"/>
          <w:sz w:val="35"/>
          <w:szCs w:val="35"/>
        </w:rPr>
      </w:pPr>
    </w:p>
    <w:p>
      <w:pPr>
        <w:pStyle w:val="Heading2"/>
        <w:spacing w:line="240" w:lineRule="auto"/>
        <w:ind w:left="738" w:right="734"/>
        <w:jc w:val="left"/>
        <w:rPr>
          <w:b w:val="0"/>
          <w:bCs w:val="0"/>
        </w:rPr>
      </w:pPr>
      <w:r>
        <w:rPr/>
        <w:t>（三）战略投资者或一般法人因配售新股成为前</w:t>
      </w:r>
      <w:r>
        <w:rPr>
          <w:spacing w:val="-61"/>
        </w:rPr>
        <w:t> </w:t>
      </w:r>
      <w:r>
        <w:rPr>
          <w:rFonts w:ascii="宋体" w:hAnsi="宋体" w:cs="宋体" w:eastAsia="宋体" w:hint="default"/>
        </w:rPr>
        <w:t>10</w:t>
      </w:r>
      <w:r>
        <w:rPr>
          <w:rFonts w:ascii="宋体" w:hAnsi="宋体" w:cs="宋体" w:eastAsia="宋体" w:hint="default"/>
          <w:spacing w:val="-63"/>
        </w:rPr>
        <w:t> </w:t>
      </w:r>
      <w:r>
        <w:rPr/>
        <w:t>名股东</w:t>
      </w:r>
      <w:r>
        <w:rPr>
          <w:b w:val="0"/>
          <w:bCs w:val="0"/>
        </w:rPr>
      </w:r>
    </w:p>
    <w:p>
      <w:pPr>
        <w:pStyle w:val="BodyText"/>
        <w:spacing w:line="240" w:lineRule="auto" w:before="106"/>
        <w:ind w:left="738" w:right="734"/>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tabs>
          <w:tab w:pos="1577" w:val="left" w:leader="none"/>
        </w:tabs>
        <w:spacing w:line="321" w:lineRule="auto"/>
        <w:ind w:left="738" w:right="5835"/>
        <w:jc w:val="left"/>
        <w:rPr>
          <w:b w:val="0"/>
          <w:bCs w:val="0"/>
        </w:rPr>
      </w:pPr>
      <w:r>
        <w:rPr/>
        <w:t>四、</w:t>
        <w:tab/>
        <w:t>控股股东及实际控制人情况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控股股东情况</w:t>
      </w:r>
      <w:r>
        <w:rPr>
          <w:b w:val="0"/>
          <w:bCs w:val="0"/>
        </w:rPr>
      </w:r>
    </w:p>
    <w:p>
      <w:pPr>
        <w:pStyle w:val="Heading2"/>
        <w:tabs>
          <w:tab w:pos="1157" w:val="left" w:leader="none"/>
        </w:tabs>
        <w:spacing w:line="240" w:lineRule="auto" w:before="24"/>
        <w:ind w:left="738" w:right="734"/>
        <w:jc w:val="left"/>
        <w:rPr>
          <w:b w:val="0"/>
          <w:bCs w:val="0"/>
        </w:rPr>
      </w:pPr>
      <w:r>
        <w:rPr>
          <w:rFonts w:ascii="宋体" w:hAnsi="宋体" w:cs="宋体" w:eastAsia="宋体" w:hint="default"/>
          <w:w w:val="95"/>
        </w:rPr>
        <w:t>1</w:t>
        <w:tab/>
      </w:r>
      <w:r>
        <w:rPr/>
        <w:t>法人</w:t>
      </w:r>
      <w:r>
        <w:rPr>
          <w:b w:val="0"/>
          <w:bCs w:val="0"/>
        </w:rPr>
      </w:r>
    </w:p>
    <w:p>
      <w:pPr>
        <w:pStyle w:val="BodyText"/>
        <w:spacing w:line="240" w:lineRule="auto" w:before="106"/>
        <w:ind w:left="738" w:right="734"/>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625" w:type="dxa"/>
        <w:tblLayout w:type="fixed"/>
        <w:tblCellMar>
          <w:top w:w="0" w:type="dxa"/>
          <w:left w:w="0" w:type="dxa"/>
          <w:bottom w:w="0" w:type="dxa"/>
          <w:right w:w="0" w:type="dxa"/>
        </w:tblCellMar>
        <w:tblLook w:val="01E0"/>
      </w:tblPr>
      <w:tblGrid>
        <w:gridCol w:w="3370"/>
        <w:gridCol w:w="5679"/>
      </w:tblGrid>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龙大伟</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清华控股依托清华大学雄厚的科技优势和人才资源，在制定</w:t>
            </w:r>
          </w:p>
        </w:tc>
      </w:tr>
    </w:tbl>
    <w:p>
      <w:pPr>
        <w:spacing w:after="0" w:line="241" w:lineRule="exact"/>
        <w:jc w:val="left"/>
        <w:rPr>
          <w:rFonts w:ascii="宋体" w:hAnsi="宋体" w:cs="宋体" w:eastAsia="宋体" w:hint="default"/>
          <w:sz w:val="21"/>
          <w:szCs w:val="21"/>
        </w:rPr>
        <w:sectPr>
          <w:pgSz w:w="11910" w:h="16840"/>
          <w:pgMar w:header="0" w:footer="1193" w:top="780" w:bottom="1380" w:left="1060" w:right="540"/>
        </w:sectPr>
      </w:pPr>
    </w:p>
    <w:p>
      <w:pPr>
        <w:spacing w:before="25"/>
        <w:ind w:left="3953" w:right="3985"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8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463" w:hRule="exact"/>
        </w:trPr>
        <w:tc>
          <w:tcPr>
            <w:tcW w:w="3370" w:type="dxa"/>
            <w:tcBorders>
              <w:top w:val="single" w:sz="4" w:space="0" w:color="000000"/>
              <w:left w:val="single" w:sz="4" w:space="0" w:color="000000"/>
              <w:bottom w:val="single" w:sz="4" w:space="0" w:color="000000"/>
              <w:right w:val="single" w:sz="4" w:space="0" w:color="000000"/>
            </w:tcBorders>
          </w:tcPr>
          <w:p>
            <w:pP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清华大学科技产业发展战略、整合资产、调整结构、协调利</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益等方面发挥主导作用，是清华大学科技企业投融资、科技</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开发、成果转化、高新技术企业孵化、对外贸易及经济技术</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合作交流等重大经营活动的决策和管理中心。作为清华大学</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唯一的国有独资有限公司和国有资产授权经营单位，清华控</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股负责经营管理清华大学全部科技型企业，是清华大学科技</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成果转化的平台和孵化器。其经营范围包括资产管理；资产</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受托管理；实业投资及管理；企业收购、兼并、资产重组的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策划；科技、经济及相关业务的咨询及人员培训。</w:t>
            </w:r>
          </w:p>
        </w:tc>
      </w:tr>
      <w:tr>
        <w:trPr>
          <w:trHeight w:val="137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截至本报告期末，清华控股还直接持有诚志股份</w:t>
            </w:r>
            <w:r>
              <w:rPr>
                <w:rFonts w:ascii="宋体" w:hAnsi="宋体" w:cs="宋体" w:eastAsia="宋体" w:hint="default"/>
                <w:spacing w:val="58"/>
                <w:sz w:val="21"/>
                <w:szCs w:val="21"/>
              </w:rPr>
              <w:t> </w:t>
            </w:r>
            <w:r>
              <w:rPr>
                <w:rFonts w:ascii="宋体" w:hAnsi="宋体" w:cs="宋体" w:eastAsia="宋体" w:hint="default"/>
                <w:sz w:val="21"/>
                <w:szCs w:val="21"/>
              </w:rPr>
              <w:t>11.76%</w:t>
            </w:r>
            <w:r>
              <w:rPr>
                <w:rFonts w:ascii="宋体" w:hAnsi="宋体" w:cs="宋体" w:eastAsia="宋体" w:hint="default"/>
                <w:sz w:val="21"/>
                <w:szCs w:val="21"/>
              </w:rPr>
              <w:t>股</w:t>
            </w:r>
          </w:p>
          <w:p>
            <w:pPr>
              <w:pStyle w:val="TableParagraph"/>
              <w:spacing w:line="237" w:lineRule="auto" w:before="2"/>
              <w:ind w:left="103" w:right="-8"/>
              <w:jc w:val="left"/>
              <w:rPr>
                <w:rFonts w:ascii="宋体" w:hAnsi="宋体" w:cs="宋体" w:eastAsia="宋体" w:hint="default"/>
                <w:sz w:val="21"/>
                <w:szCs w:val="21"/>
              </w:rPr>
            </w:pPr>
            <w:r>
              <w:rPr>
                <w:rFonts w:ascii="宋体" w:hAnsi="宋体" w:cs="宋体" w:eastAsia="宋体" w:hint="default"/>
                <w:sz w:val="21"/>
                <w:szCs w:val="21"/>
              </w:rPr>
              <w:t>权、国金证券</w:t>
            </w:r>
            <w:r>
              <w:rPr>
                <w:rFonts w:ascii="宋体" w:hAnsi="宋体" w:cs="宋体" w:eastAsia="宋体" w:hint="default"/>
                <w:spacing w:val="-27"/>
                <w:sz w:val="21"/>
                <w:szCs w:val="21"/>
              </w:rPr>
              <w:t> </w:t>
            </w:r>
            <w:r>
              <w:rPr>
                <w:rFonts w:ascii="宋体" w:hAnsi="宋体" w:cs="宋体" w:eastAsia="宋体" w:hint="default"/>
                <w:sz w:val="21"/>
                <w:szCs w:val="21"/>
              </w:rPr>
              <w:t>3.04%</w:t>
            </w:r>
            <w:r>
              <w:rPr>
                <w:rFonts w:ascii="宋体" w:hAnsi="宋体" w:cs="宋体" w:eastAsia="宋体" w:hint="default"/>
                <w:sz w:val="21"/>
                <w:szCs w:val="21"/>
              </w:rPr>
              <w:t>股权，启迪桑德</w:t>
            </w:r>
            <w:r>
              <w:rPr>
                <w:rFonts w:ascii="宋体" w:hAnsi="宋体" w:cs="宋体" w:eastAsia="宋体" w:hint="default"/>
                <w:spacing w:val="-28"/>
                <w:sz w:val="21"/>
                <w:szCs w:val="21"/>
              </w:rPr>
              <w:t> </w:t>
            </w:r>
            <w:r>
              <w:rPr>
                <w:rFonts w:ascii="宋体" w:hAnsi="宋体" w:cs="宋体" w:eastAsia="宋体" w:hint="default"/>
                <w:sz w:val="21"/>
                <w:szCs w:val="21"/>
              </w:rPr>
              <w:t>4.97%</w:t>
            </w:r>
            <w:r>
              <w:rPr>
                <w:rFonts w:ascii="宋体" w:hAnsi="宋体" w:cs="宋体" w:eastAsia="宋体" w:hint="default"/>
                <w:sz w:val="21"/>
                <w:szCs w:val="21"/>
              </w:rPr>
              <w:t>股权。</w:t>
            </w:r>
            <w:r>
              <w:rPr>
                <w:rFonts w:ascii="宋体" w:hAnsi="宋体" w:cs="宋体" w:eastAsia="宋体" w:hint="default"/>
                <w:sz w:val="21"/>
                <w:szCs w:val="21"/>
              </w:rPr>
              <w:t>2018</w:t>
            </w:r>
            <w:r>
              <w:rPr>
                <w:rFonts w:ascii="宋体" w:hAnsi="宋体" w:cs="宋体" w:eastAsia="宋体"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27"/>
                <w:sz w:val="21"/>
                <w:szCs w:val="21"/>
              </w:rPr>
              <w:t> </w:t>
            </w:r>
            <w:r>
              <w:rPr>
                <w:rFonts w:ascii="宋体" w:hAnsi="宋体" w:cs="宋体" w:eastAsia="宋体" w:hint="default"/>
                <w:sz w:val="21"/>
                <w:szCs w:val="21"/>
              </w:rPr>
              <w:t>5</w:t>
            </w:r>
            <w:r>
              <w:rPr>
                <w:rFonts w:ascii="宋体" w:hAnsi="宋体" w:cs="宋体" w:eastAsia="宋体" w:hint="default"/>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18</w:t>
            </w:r>
            <w:r>
              <w:rPr>
                <w:rFonts w:ascii="宋体" w:hAnsi="宋体" w:cs="宋体" w:eastAsia="宋体" w:hint="default"/>
                <w:spacing w:val="-56"/>
                <w:w w:val="100"/>
                <w:sz w:val="21"/>
                <w:szCs w:val="21"/>
              </w:rPr>
              <w:t> </w:t>
            </w:r>
            <w:r>
              <w:rPr>
                <w:rFonts w:ascii="宋体" w:hAnsi="宋体" w:cs="宋体" w:eastAsia="宋体" w:hint="default"/>
                <w:w w:val="100"/>
                <w:sz w:val="21"/>
                <w:szCs w:val="21"/>
              </w:rPr>
              <w:t>日至</w:t>
            </w:r>
            <w:r>
              <w:rPr>
                <w:rFonts w:ascii="宋体" w:hAnsi="宋体" w:cs="宋体" w:eastAsia="宋体" w:hint="default"/>
                <w:spacing w:val="-56"/>
                <w:w w:val="100"/>
                <w:sz w:val="21"/>
                <w:szCs w:val="21"/>
              </w:rPr>
              <w:t> </w:t>
            </w:r>
            <w:r>
              <w:rPr>
                <w:rFonts w:ascii="宋体" w:hAnsi="宋体" w:cs="宋体" w:eastAsia="宋体" w:hint="default"/>
                <w:w w:val="100"/>
                <w:sz w:val="21"/>
                <w:szCs w:val="21"/>
              </w:rPr>
              <w:t>2018</w:t>
            </w:r>
            <w:r>
              <w:rPr>
                <w:rFonts w:ascii="宋体" w:hAnsi="宋体" w:cs="宋体" w:eastAsia="宋体" w:hint="default"/>
                <w:spacing w:val="-56"/>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5</w:t>
            </w:r>
            <w:r>
              <w:rPr>
                <w:rFonts w:ascii="宋体" w:hAnsi="宋体" w:cs="宋体" w:eastAsia="宋体" w:hint="default"/>
                <w:spacing w:val="-56"/>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spacing w:val="-2"/>
                <w:w w:val="100"/>
                <w:sz w:val="21"/>
                <w:szCs w:val="21"/>
              </w:rPr>
              <w:t>31</w:t>
            </w:r>
            <w:r>
              <w:rPr>
                <w:rFonts w:ascii="宋体" w:hAnsi="宋体" w:cs="宋体" w:eastAsia="宋体" w:hint="default"/>
                <w:spacing w:val="-56"/>
                <w:w w:val="100"/>
                <w:sz w:val="21"/>
                <w:szCs w:val="21"/>
              </w:rPr>
              <w:t> </w:t>
            </w:r>
            <w:r>
              <w:rPr>
                <w:rFonts w:ascii="宋体" w:hAnsi="宋体" w:cs="宋体" w:eastAsia="宋体" w:hint="default"/>
                <w:spacing w:val="-8"/>
                <w:w w:val="100"/>
                <w:sz w:val="21"/>
                <w:szCs w:val="21"/>
              </w:rPr>
              <w:t>日期间，清华控股累计增持辰安科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42"/>
                <w:sz w:val="21"/>
                <w:szCs w:val="21"/>
              </w:rPr>
              <w:t> </w:t>
            </w:r>
            <w:r>
              <w:rPr>
                <w:rFonts w:ascii="宋体" w:hAnsi="宋体" w:cs="宋体" w:eastAsia="宋体" w:hint="default"/>
                <w:sz w:val="21"/>
                <w:szCs w:val="21"/>
              </w:rPr>
              <w:t>500,084</w:t>
            </w:r>
            <w:r>
              <w:rPr>
                <w:rFonts w:ascii="宋体" w:hAnsi="宋体" w:cs="宋体" w:eastAsia="宋体" w:hint="default"/>
                <w:spacing w:val="-44"/>
                <w:sz w:val="21"/>
                <w:szCs w:val="21"/>
              </w:rPr>
              <w:t> </w:t>
            </w:r>
            <w:r>
              <w:rPr>
                <w:rFonts w:ascii="宋体" w:hAnsi="宋体" w:cs="宋体" w:eastAsia="宋体" w:hint="default"/>
                <w:spacing w:val="-5"/>
                <w:sz w:val="21"/>
                <w:szCs w:val="21"/>
              </w:rPr>
              <w:t>股股份，占当时辰安科技总股本的比例为</w:t>
            </w:r>
            <w:r>
              <w:rPr>
                <w:rFonts w:ascii="宋体" w:hAnsi="宋体" w:cs="宋体" w:eastAsia="宋体" w:hint="default"/>
                <w:spacing w:val="-41"/>
                <w:sz w:val="21"/>
                <w:szCs w:val="21"/>
              </w:rPr>
              <w:t> </w:t>
            </w:r>
            <w:r>
              <w:rPr>
                <w:rFonts w:ascii="宋体" w:hAnsi="宋体" w:cs="宋体" w:eastAsia="宋体" w:hint="default"/>
                <w:sz w:val="21"/>
                <w:szCs w:val="21"/>
              </w:rPr>
              <w:t>0.35%</w:t>
            </w:r>
            <w:r>
              <w:rPr>
                <w:rFonts w:ascii="宋体" w:hAnsi="宋体" w:cs="宋体" w:eastAsia="宋体" w:hint="default"/>
                <w:sz w:val="21"/>
                <w:szCs w:val="21"/>
              </w:rPr>
              <w:t>，</w:t>
            </w:r>
            <w:r>
              <w:rPr>
                <w:rFonts w:ascii="宋体" w:hAnsi="宋体" w:cs="宋体" w:eastAsia="宋体" w:hint="default"/>
                <w:spacing w:val="-101"/>
                <w:sz w:val="21"/>
                <w:szCs w:val="21"/>
              </w:rPr>
              <w:t> </w:t>
            </w:r>
            <w:r>
              <w:rPr>
                <w:rFonts w:ascii="宋体" w:hAnsi="宋体" w:cs="宋体" w:eastAsia="宋体" w:hint="default"/>
                <w:sz w:val="21"/>
                <w:szCs w:val="21"/>
              </w:rPr>
              <w:t>占当前总股本比例为</w:t>
            </w:r>
            <w:r>
              <w:rPr>
                <w:rFonts w:ascii="宋体" w:hAnsi="宋体" w:cs="宋体" w:eastAsia="宋体" w:hint="default"/>
                <w:spacing w:val="-56"/>
                <w:sz w:val="21"/>
                <w:szCs w:val="21"/>
              </w:rPr>
              <w:t> </w:t>
            </w:r>
            <w:r>
              <w:rPr>
                <w:rFonts w:ascii="宋体" w:hAnsi="宋体" w:cs="宋体" w:eastAsia="宋体" w:hint="default"/>
                <w:sz w:val="21"/>
                <w:szCs w:val="21"/>
              </w:rPr>
              <w:t>0.33%</w:t>
            </w:r>
            <w:r>
              <w:rPr>
                <w:rFonts w:ascii="宋体" w:hAnsi="宋体" w:cs="宋体" w:eastAsia="宋体" w:hint="default"/>
                <w:sz w:val="21"/>
                <w:szCs w:val="21"/>
              </w:rPr>
              <w:t>。</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7"/>
          <w:szCs w:val="27"/>
        </w:rPr>
      </w:pPr>
    </w:p>
    <w:p>
      <w:pPr>
        <w:pStyle w:val="Heading2"/>
        <w:tabs>
          <w:tab w:pos="637" w:val="left" w:leader="none"/>
        </w:tabs>
        <w:spacing w:line="240" w:lineRule="auto" w:before="26"/>
        <w:ind w:left="218" w:right="0"/>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106"/>
        <w:ind w:left="218" w:right="0"/>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tabs>
          <w:tab w:pos="637" w:val="left" w:leader="none"/>
        </w:tabs>
        <w:spacing w:line="240" w:lineRule="auto"/>
        <w:ind w:left="218" w:right="0"/>
        <w:jc w:val="left"/>
        <w:rPr>
          <w:b w:val="0"/>
          <w:bCs w:val="0"/>
        </w:rPr>
      </w:pPr>
      <w:r>
        <w:rPr>
          <w:rFonts w:ascii="宋体" w:hAnsi="宋体" w:cs="宋体" w:eastAsia="宋体" w:hint="default"/>
          <w:w w:val="95"/>
        </w:rPr>
        <w:t>3</w:t>
        <w:tab/>
      </w:r>
      <w:r>
        <w:rPr/>
        <w:t>公司不存在控股股东情况的特别说明</w:t>
      </w:r>
      <w:r>
        <w:rPr>
          <w:b w:val="0"/>
          <w:bCs w:val="0"/>
        </w:rPr>
      </w:r>
    </w:p>
    <w:p>
      <w:pPr>
        <w:pStyle w:val="BodyText"/>
        <w:tabs>
          <w:tab w:pos="1177" w:val="left" w:leader="none"/>
        </w:tabs>
        <w:spacing w:line="240" w:lineRule="auto" w:before="106"/>
        <w:ind w:left="218" w:right="0"/>
        <w:jc w:val="left"/>
      </w:pPr>
      <w:r>
        <w:rPr>
          <w:spacing w:val="-1"/>
        </w:rPr>
        <w:t>□适用</w:t>
        <w:tab/>
      </w:r>
      <w:r>
        <w:rPr/>
        <w:t>√不适用</w:t>
      </w:r>
    </w:p>
    <w:p>
      <w:pPr>
        <w:spacing w:line="240" w:lineRule="auto" w:before="8"/>
        <w:rPr>
          <w:rFonts w:ascii="宋体" w:hAnsi="宋体" w:cs="宋体" w:eastAsia="宋体" w:hint="default"/>
          <w:sz w:val="35"/>
          <w:szCs w:val="35"/>
        </w:rPr>
      </w:pPr>
    </w:p>
    <w:p>
      <w:pPr>
        <w:pStyle w:val="Heading2"/>
        <w:tabs>
          <w:tab w:pos="637" w:val="left" w:leader="none"/>
        </w:tabs>
        <w:spacing w:line="240" w:lineRule="auto"/>
        <w:ind w:left="218" w:right="0"/>
        <w:jc w:val="left"/>
        <w:rPr>
          <w:b w:val="0"/>
          <w:bCs w:val="0"/>
        </w:rPr>
      </w:pPr>
      <w:r>
        <w:rPr>
          <w:rFonts w:ascii="宋体" w:hAnsi="宋体" w:cs="宋体" w:eastAsia="宋体" w:hint="default"/>
          <w:w w:val="95"/>
        </w:rPr>
        <w:t>4</w:t>
        <w:tab/>
      </w:r>
      <w:r>
        <w:rPr/>
        <w:t>报告期内控股股东变更情况索引及日期</w:t>
      </w:r>
      <w:r>
        <w:rPr>
          <w:b w:val="0"/>
          <w:bCs w:val="0"/>
        </w:rPr>
      </w:r>
    </w:p>
    <w:p>
      <w:pPr>
        <w:pStyle w:val="BodyText"/>
        <w:tabs>
          <w:tab w:pos="1177" w:val="left" w:leader="none"/>
        </w:tabs>
        <w:spacing w:line="240" w:lineRule="auto" w:before="106"/>
        <w:ind w:left="218" w:right="0"/>
        <w:jc w:val="left"/>
      </w:pPr>
      <w:r>
        <w:rPr>
          <w:spacing w:val="-1"/>
        </w:rPr>
        <w:t>□适用</w:t>
        <w:tab/>
      </w:r>
      <w:r>
        <w:rPr/>
        <w:t>√不适用</w:t>
      </w:r>
    </w:p>
    <w:p>
      <w:pPr>
        <w:spacing w:line="240" w:lineRule="auto" w:before="8"/>
        <w:rPr>
          <w:rFonts w:ascii="宋体" w:hAnsi="宋体" w:cs="宋体" w:eastAsia="宋体" w:hint="default"/>
          <w:sz w:val="35"/>
          <w:szCs w:val="35"/>
        </w:rPr>
      </w:pPr>
    </w:p>
    <w:p>
      <w:pPr>
        <w:pStyle w:val="Heading2"/>
        <w:tabs>
          <w:tab w:pos="637" w:val="left" w:leader="none"/>
        </w:tabs>
        <w:spacing w:line="240" w:lineRule="auto"/>
        <w:ind w:left="218" w:right="0"/>
        <w:jc w:val="left"/>
        <w:rPr>
          <w:b w:val="0"/>
          <w:bCs w:val="0"/>
        </w:rPr>
      </w:pPr>
      <w:r>
        <w:rPr>
          <w:rFonts w:ascii="宋体" w:hAnsi="宋体" w:cs="宋体" w:eastAsia="宋体" w:hint="default"/>
          <w:w w:val="95"/>
        </w:rPr>
        <w:t>5</w:t>
        <w:tab/>
      </w:r>
      <w:r>
        <w:rPr/>
        <w:t>公司与控股股东之间的产权及控制关系的方框图</w:t>
      </w:r>
      <w:r>
        <w:rPr>
          <w:b w:val="0"/>
          <w:bCs w:val="0"/>
        </w:rPr>
      </w:r>
    </w:p>
    <w:p>
      <w:pPr>
        <w:pStyle w:val="BodyText"/>
        <w:tabs>
          <w:tab w:pos="1177" w:val="left" w:leader="none"/>
        </w:tabs>
        <w:spacing w:line="240" w:lineRule="auto" w:before="106"/>
        <w:ind w:left="218" w:right="0"/>
        <w:jc w:val="left"/>
      </w:pPr>
      <w:r>
        <w:rPr>
          <w:spacing w:val="-1"/>
        </w:rPr>
        <w:t>√适用</w:t>
        <w:tab/>
      </w:r>
      <w:r>
        <w:rPr/>
        <w:t>□不适用</w:t>
      </w:r>
    </w:p>
    <w:p>
      <w:pPr>
        <w:spacing w:line="240" w:lineRule="auto" w:before="11"/>
        <w:rPr>
          <w:rFonts w:ascii="宋体" w:hAnsi="宋体" w:cs="宋体" w:eastAsia="宋体" w:hint="default"/>
          <w:sz w:val="2"/>
          <w:szCs w:val="2"/>
        </w:rPr>
      </w:pPr>
    </w:p>
    <w:p>
      <w:pPr>
        <w:spacing w:line="3019" w:lineRule="exact"/>
        <w:ind w:left="217"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2804437" cy="191719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7" cstate="print"/>
                    <a:stretch>
                      <a:fillRect/>
                    </a:stretch>
                  </pic:blipFill>
                  <pic:spPr>
                    <a:xfrm>
                      <a:off x="0" y="0"/>
                      <a:ext cx="2804437" cy="1917192"/>
                    </a:xfrm>
                    <a:prstGeom prst="rect">
                      <a:avLst/>
                    </a:prstGeom>
                  </pic:spPr>
                </pic:pic>
              </a:graphicData>
            </a:graphic>
          </wp:inline>
        </w:drawing>
      </w:r>
      <w:r>
        <w:rPr>
          <w:rFonts w:ascii="宋体" w:hAnsi="宋体" w:cs="宋体" w:eastAsia="宋体" w:hint="default"/>
          <w:position w:val="-59"/>
          <w:sz w:val="20"/>
          <w:szCs w:val="20"/>
        </w:rPr>
      </w:r>
    </w:p>
    <w:p>
      <w:pPr>
        <w:spacing w:line="240" w:lineRule="auto" w:before="12"/>
        <w:rPr>
          <w:rFonts w:ascii="宋体" w:hAnsi="宋体" w:cs="宋体" w:eastAsia="宋体" w:hint="default"/>
          <w:sz w:val="29"/>
          <w:szCs w:val="29"/>
        </w:rPr>
      </w:pPr>
    </w:p>
    <w:p>
      <w:pPr>
        <w:pStyle w:val="Heading2"/>
        <w:tabs>
          <w:tab w:pos="642" w:val="left" w:leader="none"/>
          <w:tab w:pos="1057" w:val="left" w:leader="none"/>
        </w:tabs>
        <w:spacing w:line="321" w:lineRule="auto"/>
        <w:ind w:left="218" w:right="6539"/>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实际控制人情况</w:t>
      </w:r>
      <w:r>
        <w:rPr>
          <w:w w:val="99"/>
        </w:rPr>
        <w:t> </w:t>
      </w:r>
      <w:r>
        <w:rPr>
          <w:rFonts w:ascii="宋体" w:hAnsi="宋体" w:cs="宋体" w:eastAsia="宋体" w:hint="default"/>
          <w:w w:val="95"/>
        </w:rPr>
        <w:t>1</w:t>
        <w:tab/>
      </w:r>
      <w:r>
        <w:rPr/>
        <w:t>法人</w:t>
      </w:r>
      <w:r>
        <w:rPr>
          <w:b w:val="0"/>
          <w:bCs w:val="0"/>
        </w:rPr>
      </w:r>
    </w:p>
    <w:p>
      <w:pPr>
        <w:pStyle w:val="BodyText"/>
        <w:spacing w:line="240" w:lineRule="auto" w:before="24"/>
        <w:ind w:left="218" w:right="0"/>
        <w:jc w:val="left"/>
      </w:pPr>
      <w:r>
        <w:rPr/>
        <w:t>□适用</w:t>
      </w:r>
      <w:r>
        <w:rPr>
          <w:spacing w:val="-1"/>
        </w:rPr>
        <w:t> </w:t>
      </w:r>
      <w:r>
        <w:rPr/>
        <w:t>√不适用</w:t>
      </w:r>
    </w:p>
    <w:p>
      <w:pPr>
        <w:spacing w:after="0" w:line="240" w:lineRule="auto"/>
        <w:jc w:val="left"/>
        <w:sectPr>
          <w:pgSz w:w="11910" w:h="16840"/>
          <w:pgMar w:header="0" w:footer="1193" w:top="780" w:bottom="1380" w:left="1580" w:right="1040"/>
        </w:sectPr>
      </w:pPr>
    </w:p>
    <w:p>
      <w:pPr>
        <w:spacing w:before="25"/>
        <w:ind w:left="3044" w:right="3056"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BodyText"/>
        <w:spacing w:line="276" w:lineRule="auto" w:before="26"/>
        <w:ind w:right="0" w:firstLine="479"/>
        <w:jc w:val="left"/>
      </w:pPr>
      <w:r>
        <w:rPr>
          <w:spacing w:val="-2"/>
        </w:rPr>
        <w:t>公司实际控制人为教育部。根据国有资产法及相关国有资产管理办法，清华大学</w:t>
      </w:r>
      <w:r>
        <w:rPr/>
        <w:t> 履行国有资产出资人职责，其行政主管部门为教育部。</w:t>
      </w:r>
    </w:p>
    <w:p>
      <w:pPr>
        <w:spacing w:line="240" w:lineRule="auto" w:before="11"/>
        <w:rPr>
          <w:rFonts w:ascii="宋体" w:hAnsi="宋体" w:cs="宋体" w:eastAsia="宋体" w:hint="default"/>
          <w:sz w:val="32"/>
          <w:szCs w:val="32"/>
        </w:rPr>
      </w:pPr>
    </w:p>
    <w:p>
      <w:pPr>
        <w:pStyle w:val="Heading2"/>
        <w:tabs>
          <w:tab w:pos="562" w:val="left" w:leader="none"/>
        </w:tabs>
        <w:spacing w:line="240" w:lineRule="auto"/>
        <w:ind w:right="0"/>
        <w:jc w:val="left"/>
        <w:rPr>
          <w:b w:val="0"/>
          <w:bCs w:val="0"/>
        </w:rPr>
      </w:pPr>
      <w:r>
        <w:rPr>
          <w:rFonts w:ascii="宋体" w:hAnsi="宋体" w:cs="宋体" w:eastAsia="宋体" w:hint="default"/>
          <w:w w:val="95"/>
        </w:rPr>
        <w:t>2</w:t>
        <w:tab/>
      </w:r>
      <w:r>
        <w:rPr/>
        <w:t>自然人</w:t>
      </w:r>
      <w:r>
        <w:rPr>
          <w:b w:val="0"/>
          <w:bCs w:val="0"/>
        </w:rPr>
      </w:r>
    </w:p>
    <w:p>
      <w:pPr>
        <w:pStyle w:val="BodyText"/>
        <w:spacing w:line="240" w:lineRule="auto" w:before="106"/>
        <w:ind w:right="0"/>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tabs>
          <w:tab w:pos="562" w:val="left" w:leader="none"/>
        </w:tabs>
        <w:spacing w:line="240" w:lineRule="auto"/>
        <w:ind w:right="0"/>
        <w:jc w:val="left"/>
        <w:rPr>
          <w:b w:val="0"/>
          <w:bCs w:val="0"/>
        </w:rPr>
      </w:pPr>
      <w:r>
        <w:rPr>
          <w:rFonts w:ascii="宋体" w:hAnsi="宋体" w:cs="宋体" w:eastAsia="宋体" w:hint="default"/>
          <w:w w:val="95"/>
        </w:rPr>
        <w:t>3</w:t>
        <w:tab/>
      </w:r>
      <w:r>
        <w:rPr/>
        <w:t>公司不存在实际控制人情况的特别说明</w:t>
      </w:r>
      <w:r>
        <w:rPr>
          <w:b w:val="0"/>
          <w:bCs w:val="0"/>
        </w:rPr>
      </w:r>
    </w:p>
    <w:p>
      <w:pPr>
        <w:pStyle w:val="BodyText"/>
        <w:tabs>
          <w:tab w:pos="1097" w:val="left" w:leader="none"/>
        </w:tabs>
        <w:spacing w:line="240" w:lineRule="auto" w:before="106"/>
        <w:ind w:right="0"/>
        <w:jc w:val="left"/>
      </w:pPr>
      <w:r>
        <w:rPr>
          <w:spacing w:val="-1"/>
        </w:rPr>
        <w:t>□适用</w:t>
        <w:tab/>
      </w:r>
      <w:r>
        <w:rPr/>
        <w:t>√不适用</w:t>
      </w:r>
    </w:p>
    <w:p>
      <w:pPr>
        <w:spacing w:line="240" w:lineRule="auto" w:before="9"/>
        <w:rPr>
          <w:rFonts w:ascii="宋体" w:hAnsi="宋体" w:cs="宋体" w:eastAsia="宋体" w:hint="default"/>
          <w:sz w:val="35"/>
          <w:szCs w:val="35"/>
        </w:rPr>
      </w:pPr>
    </w:p>
    <w:p>
      <w:pPr>
        <w:pStyle w:val="Heading2"/>
        <w:tabs>
          <w:tab w:pos="562" w:val="left" w:leader="none"/>
        </w:tabs>
        <w:spacing w:line="240" w:lineRule="auto"/>
        <w:ind w:right="0"/>
        <w:jc w:val="left"/>
        <w:rPr>
          <w:b w:val="0"/>
          <w:bCs w:val="0"/>
        </w:rPr>
      </w:pPr>
      <w:r>
        <w:rPr>
          <w:rFonts w:ascii="宋体" w:hAnsi="宋体" w:cs="宋体" w:eastAsia="宋体" w:hint="default"/>
          <w:w w:val="95"/>
        </w:rPr>
        <w:t>4</w:t>
        <w:tab/>
      </w:r>
      <w:r>
        <w:rPr/>
        <w:t>报告期内实际控制人变更情况索引及日期</w:t>
      </w:r>
      <w:r>
        <w:rPr>
          <w:b w:val="0"/>
          <w:bCs w:val="0"/>
        </w:rPr>
      </w:r>
    </w:p>
    <w:p>
      <w:pPr>
        <w:pStyle w:val="BodyText"/>
        <w:tabs>
          <w:tab w:pos="1097" w:val="left" w:leader="none"/>
        </w:tabs>
        <w:spacing w:line="240" w:lineRule="auto" w:before="106"/>
        <w:ind w:right="0"/>
        <w:jc w:val="left"/>
      </w:pPr>
      <w:r>
        <w:rPr>
          <w:spacing w:val="-1"/>
        </w:rPr>
        <w:t>□适用</w:t>
        <w:tab/>
      </w:r>
      <w:r>
        <w:rPr/>
        <w:t>√不适用</w:t>
      </w:r>
    </w:p>
    <w:p>
      <w:pPr>
        <w:spacing w:line="240" w:lineRule="auto" w:before="8"/>
        <w:rPr>
          <w:rFonts w:ascii="宋体" w:hAnsi="宋体" w:cs="宋体" w:eastAsia="宋体" w:hint="default"/>
          <w:sz w:val="35"/>
          <w:szCs w:val="35"/>
        </w:rPr>
      </w:pPr>
    </w:p>
    <w:p>
      <w:pPr>
        <w:pStyle w:val="Heading2"/>
        <w:tabs>
          <w:tab w:pos="562" w:val="left" w:leader="none"/>
        </w:tabs>
        <w:spacing w:line="240" w:lineRule="auto"/>
        <w:ind w:right="0"/>
        <w:jc w:val="left"/>
        <w:rPr>
          <w:b w:val="0"/>
          <w:bCs w:val="0"/>
        </w:rPr>
      </w:pPr>
      <w:r>
        <w:rPr>
          <w:rFonts w:ascii="宋体" w:hAnsi="宋体" w:cs="宋体" w:eastAsia="宋体" w:hint="default"/>
          <w:w w:val="95"/>
        </w:rPr>
        <w:t>5</w:t>
        <w:tab/>
      </w:r>
      <w:r>
        <w:rPr/>
        <w:t>公司与实际控制人之间的产权及控制关系的方框图</w:t>
      </w:r>
      <w:r>
        <w:rPr>
          <w:b w:val="0"/>
          <w:bCs w:val="0"/>
        </w:rPr>
      </w:r>
    </w:p>
    <w:p>
      <w:pPr>
        <w:pStyle w:val="BodyText"/>
        <w:tabs>
          <w:tab w:pos="1097" w:val="left" w:leader="none"/>
        </w:tabs>
        <w:spacing w:line="240" w:lineRule="auto" w:before="106"/>
        <w:ind w:right="0"/>
        <w:jc w:val="left"/>
      </w:pPr>
      <w:r>
        <w:rPr>
          <w:spacing w:val="-1"/>
        </w:rPr>
        <w:t>√适用</w:t>
        <w:tab/>
      </w:r>
      <w:r>
        <w:rPr/>
        <w:t>□不适用</w:t>
      </w:r>
    </w:p>
    <w:p>
      <w:pPr>
        <w:spacing w:line="240" w:lineRule="auto" w:before="12"/>
        <w:rPr>
          <w:rFonts w:ascii="宋体" w:hAnsi="宋体" w:cs="宋体" w:eastAsia="宋体" w:hint="default"/>
          <w:sz w:val="2"/>
          <w:szCs w:val="2"/>
        </w:rPr>
      </w:pPr>
    </w:p>
    <w:p>
      <w:pPr>
        <w:spacing w:line="4966" w:lineRule="exact"/>
        <w:ind w:left="2213" w:right="0" w:firstLine="0"/>
        <w:rPr>
          <w:rFonts w:ascii="宋体" w:hAnsi="宋体" w:cs="宋体" w:eastAsia="宋体" w:hint="default"/>
          <w:sz w:val="20"/>
          <w:szCs w:val="20"/>
        </w:rPr>
      </w:pPr>
      <w:r>
        <w:rPr>
          <w:rFonts w:ascii="宋体" w:hAnsi="宋体" w:cs="宋体" w:eastAsia="宋体" w:hint="default"/>
          <w:position w:val="-98"/>
          <w:sz w:val="20"/>
          <w:szCs w:val="20"/>
        </w:rPr>
        <w:drawing>
          <wp:inline distT="0" distB="0" distL="0" distR="0">
            <wp:extent cx="2981706" cy="3153727"/>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8" cstate="print"/>
                    <a:stretch>
                      <a:fillRect/>
                    </a:stretch>
                  </pic:blipFill>
                  <pic:spPr>
                    <a:xfrm>
                      <a:off x="0" y="0"/>
                      <a:ext cx="2981706" cy="3153727"/>
                    </a:xfrm>
                    <a:prstGeom prst="rect">
                      <a:avLst/>
                    </a:prstGeom>
                  </pic:spPr>
                </pic:pic>
              </a:graphicData>
            </a:graphic>
          </wp:inline>
        </w:drawing>
      </w:r>
      <w:r>
        <w:rPr>
          <w:rFonts w:ascii="宋体" w:hAnsi="宋体" w:cs="宋体" w:eastAsia="宋体" w:hint="default"/>
          <w:position w:val="-98"/>
          <w:sz w:val="20"/>
          <w:szCs w:val="20"/>
        </w:rPr>
      </w:r>
    </w:p>
    <w:p>
      <w:pPr>
        <w:spacing w:line="240" w:lineRule="auto" w:before="11"/>
        <w:rPr>
          <w:rFonts w:ascii="宋体" w:hAnsi="宋体" w:cs="宋体" w:eastAsia="宋体" w:hint="default"/>
          <w:sz w:val="24"/>
          <w:szCs w:val="24"/>
        </w:rPr>
      </w:pPr>
    </w:p>
    <w:p>
      <w:pPr>
        <w:pStyle w:val="Heading2"/>
        <w:tabs>
          <w:tab w:pos="562" w:val="left" w:leader="none"/>
        </w:tabs>
        <w:spacing w:line="240" w:lineRule="auto"/>
        <w:ind w:right="0"/>
        <w:jc w:val="left"/>
        <w:rPr>
          <w:b w:val="0"/>
          <w:bCs w:val="0"/>
        </w:rPr>
      </w:pPr>
      <w:r>
        <w:rPr>
          <w:rFonts w:ascii="宋体" w:hAnsi="宋体" w:cs="宋体" w:eastAsia="宋体" w:hint="default"/>
          <w:w w:val="95"/>
        </w:rPr>
        <w:t>6</w:t>
        <w:tab/>
      </w:r>
      <w:r>
        <w:rPr/>
        <w:t>实际控制人通过信托或其他资产管理方式控制公司</w:t>
      </w:r>
      <w:r>
        <w:rPr>
          <w:b w:val="0"/>
          <w:bCs w:val="0"/>
        </w:rPr>
      </w:r>
    </w:p>
    <w:p>
      <w:pPr>
        <w:pStyle w:val="BodyText"/>
        <w:tabs>
          <w:tab w:pos="1097" w:val="left" w:leader="none"/>
        </w:tabs>
        <w:spacing w:line="240" w:lineRule="auto" w:before="106"/>
        <w:ind w:right="0"/>
        <w:jc w:val="left"/>
      </w:pPr>
      <w:r>
        <w:rPr>
          <w:spacing w:val="-1"/>
        </w:rPr>
        <w:t>□适用</w:t>
        <w:tab/>
      </w:r>
      <w:r>
        <w:rPr/>
        <w:t>√不适用</w:t>
      </w:r>
    </w:p>
    <w:p>
      <w:pPr>
        <w:spacing w:line="240" w:lineRule="auto" w:before="8"/>
        <w:rPr>
          <w:rFonts w:ascii="宋体" w:hAnsi="宋体" w:cs="宋体" w:eastAsia="宋体" w:hint="default"/>
          <w:sz w:val="35"/>
          <w:szCs w:val="35"/>
        </w:rPr>
      </w:pPr>
    </w:p>
    <w:p>
      <w:pPr>
        <w:pStyle w:val="Heading2"/>
        <w:tabs>
          <w:tab w:pos="977" w:val="left" w:leader="none"/>
        </w:tabs>
        <w:spacing w:line="240" w:lineRule="auto"/>
        <w:ind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控股股东及实际控制人其他情况介绍</w:t>
      </w:r>
      <w:r>
        <w:rPr>
          <w:b w:val="0"/>
          <w:bCs w:val="0"/>
        </w:rPr>
      </w:r>
    </w:p>
    <w:p>
      <w:pPr>
        <w:pStyle w:val="BodyText"/>
        <w:tabs>
          <w:tab w:pos="1097" w:val="left" w:leader="none"/>
        </w:tabs>
        <w:spacing w:line="276" w:lineRule="auto" w:before="106"/>
        <w:ind w:left="558" w:right="146" w:hanging="420"/>
        <w:jc w:val="left"/>
      </w:pPr>
      <w:r>
        <w:rPr>
          <w:spacing w:val="-1"/>
        </w:rPr>
        <w:t>√适用</w:t>
        <w:tab/>
      </w:r>
      <w:r>
        <w:rPr/>
        <w:t>□不适用</w:t>
      </w:r>
      <w:r>
        <w:rPr/>
        <w:t> 公司实际控制人为教育部。根据国有资产法及相关国有资产管理办法，清华大学</w:t>
      </w:r>
    </w:p>
    <w:p>
      <w:pPr>
        <w:pStyle w:val="BodyText"/>
        <w:spacing w:line="240" w:lineRule="auto" w:before="10"/>
        <w:ind w:right="0"/>
        <w:jc w:val="left"/>
      </w:pPr>
      <w:r>
        <w:rPr/>
        <w:t>履行国有资产出资人职责，其行政主管部门为教育部。</w:t>
      </w:r>
    </w:p>
    <w:p>
      <w:pPr>
        <w:spacing w:after="0" w:line="240" w:lineRule="auto"/>
        <w:jc w:val="left"/>
        <w:sectPr>
          <w:pgSz w:w="11910" w:h="16840"/>
          <w:pgMar w:header="0" w:footer="1193" w:top="780" w:bottom="1380" w:left="1660" w:right="1140"/>
        </w:sectPr>
      </w:pPr>
    </w:p>
    <w:p>
      <w:pPr>
        <w:spacing w:before="25"/>
        <w:ind w:left="3044" w:right="3056"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8"/>
          <w:szCs w:val="28"/>
        </w:rPr>
      </w:pPr>
    </w:p>
    <w:p>
      <w:pPr>
        <w:pStyle w:val="Heading2"/>
        <w:tabs>
          <w:tab w:pos="977" w:val="left" w:leader="none"/>
        </w:tabs>
        <w:spacing w:line="240" w:lineRule="auto" w:before="26"/>
        <w:ind w:right="0"/>
        <w:jc w:val="left"/>
        <w:rPr>
          <w:b w:val="0"/>
          <w:bCs w:val="0"/>
        </w:rPr>
      </w:pPr>
      <w:r>
        <w:rPr/>
        <w:t>五、</w:t>
        <w:tab/>
        <w:t>其他持股在百分之十以上的法人股东</w:t>
      </w:r>
      <w:r>
        <w:rPr>
          <w:b w:val="0"/>
          <w:bCs w:val="0"/>
        </w:rPr>
      </w:r>
    </w:p>
    <w:p>
      <w:pPr>
        <w:pStyle w:val="BodyText"/>
        <w:spacing w:line="240" w:lineRule="auto" w:before="106"/>
        <w:ind w:right="0"/>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tabs>
          <w:tab w:pos="977" w:val="left" w:leader="none"/>
        </w:tabs>
        <w:spacing w:line="240" w:lineRule="auto"/>
        <w:ind w:right="0"/>
        <w:jc w:val="left"/>
        <w:rPr>
          <w:b w:val="0"/>
          <w:bCs w:val="0"/>
        </w:rPr>
      </w:pPr>
      <w:r>
        <w:rPr/>
        <w:t>六、</w:t>
        <w:tab/>
        <w:t>股份限制减持情况说明</w:t>
      </w:r>
      <w:r>
        <w:rPr>
          <w:b w:val="0"/>
          <w:bCs w:val="0"/>
        </w:rPr>
      </w:r>
    </w:p>
    <w:p>
      <w:pPr>
        <w:pStyle w:val="BodyText"/>
        <w:spacing w:line="240" w:lineRule="auto" w:before="106"/>
        <w:ind w:right="0"/>
        <w:jc w:val="left"/>
      </w:pPr>
      <w:r>
        <w:rPr/>
        <w:t>□适用</w:t>
      </w:r>
      <w:r>
        <w:rPr>
          <w:spacing w:val="-1"/>
        </w:rPr>
        <w:t> </w:t>
      </w:r>
      <w:r>
        <w:rPr/>
        <w:t>√不适用</w:t>
      </w:r>
    </w:p>
    <w:p>
      <w:pPr>
        <w:spacing w:after="0" w:line="240" w:lineRule="auto"/>
        <w:jc w:val="left"/>
        <w:sectPr>
          <w:pgSz w:w="11910" w:h="16840"/>
          <w:pgMar w:header="0" w:footer="1193" w:top="780" w:bottom="1380" w:left="1660" w:right="1140"/>
        </w:sectPr>
      </w:pPr>
    </w:p>
    <w:p>
      <w:pPr>
        <w:spacing w:before="25"/>
        <w:ind w:left="3044" w:right="3056" w:firstLine="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年年度报告</w:t>
      </w:r>
    </w:p>
    <w:p>
      <w:pPr>
        <w:spacing w:line="240" w:lineRule="auto" w:before="10"/>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2;height:2" coordorigin="7,7" coordsize="8872,2">
              <v:shape style="position:absolute;left:7;top:7;width:8872;height:2" coordorigin="7,7" coordsize="8872,0" path="m7,7l8879,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5"/>
          <w:szCs w:val="25"/>
        </w:rPr>
      </w:pPr>
    </w:p>
    <w:p>
      <w:pPr>
        <w:pStyle w:val="Heading1"/>
        <w:spacing w:line="240" w:lineRule="auto"/>
        <w:ind w:left="3058" w:right="3056"/>
        <w:jc w:val="center"/>
        <w:rPr>
          <w:b w:val="0"/>
          <w:bCs w:val="0"/>
        </w:rPr>
      </w:pPr>
      <w:bookmarkStart w:name="_TOC_250004" w:id="7"/>
      <w:r>
        <w:rPr/>
        <w:t>第七节</w:t>
      </w:r>
      <w:r>
        <w:rPr>
          <w:spacing w:val="-1"/>
        </w:rPr>
        <w:t> </w:t>
      </w:r>
      <w:r>
        <w:rPr/>
        <w:t>优先股相关情况</w:t>
      </w:r>
      <w:bookmarkEnd w:id="7"/>
      <w:r>
        <w:rPr>
          <w:b w:val="0"/>
          <w:bCs w:val="0"/>
        </w:rPr>
      </w:r>
    </w:p>
    <w:p>
      <w:pPr>
        <w:spacing w:line="240" w:lineRule="auto" w:before="11"/>
        <w:rPr>
          <w:rFonts w:ascii="黑体" w:hAnsi="黑体" w:cs="黑体" w:eastAsia="黑体" w:hint="default"/>
          <w:b/>
          <w:bCs/>
          <w:sz w:val="16"/>
          <w:szCs w:val="16"/>
        </w:rPr>
      </w:pPr>
    </w:p>
    <w:p>
      <w:pPr>
        <w:pStyle w:val="BodyText"/>
        <w:spacing w:line="240" w:lineRule="auto" w:before="26"/>
        <w:ind w:right="0"/>
        <w:jc w:val="left"/>
      </w:pPr>
      <w:r>
        <w:rPr/>
        <w:t>□适用</w:t>
      </w:r>
      <w:r>
        <w:rPr>
          <w:spacing w:val="-1"/>
        </w:rPr>
        <w:t> </w:t>
      </w:r>
      <w:r>
        <w:rPr/>
        <w:t>√不适用</w:t>
      </w:r>
    </w:p>
    <w:p>
      <w:pPr>
        <w:spacing w:after="0" w:line="240" w:lineRule="auto"/>
        <w:jc w:val="left"/>
        <w:sectPr>
          <w:pgSz w:w="11910" w:h="16840"/>
          <w:pgMar w:header="0" w:footer="1193" w:top="780" w:bottom="1380" w:left="1660" w:right="1140"/>
        </w:sectPr>
      </w:pPr>
    </w:p>
    <w:p>
      <w:pPr>
        <w:spacing w:before="17"/>
        <w:ind w:left="6478" w:right="651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1"/>
          <w:szCs w:val="11"/>
        </w:rPr>
      </w:pPr>
    </w:p>
    <w:p>
      <w:pPr>
        <w:pStyle w:val="Heading1"/>
        <w:spacing w:line="240" w:lineRule="auto"/>
        <w:ind w:left="4278" w:right="0"/>
        <w:jc w:val="left"/>
        <w:rPr>
          <w:b w:val="0"/>
          <w:bCs w:val="0"/>
        </w:rPr>
      </w:pPr>
      <w:bookmarkStart w:name="_TOC_250003" w:id="8"/>
      <w:r>
        <w:rPr/>
        <w:t>第八节 董事、监事、高级管理人员和员工情况</w:t>
      </w:r>
      <w:bookmarkEnd w:id="8"/>
      <w:r>
        <w:rPr>
          <w:b w:val="0"/>
          <w:bCs w:val="0"/>
        </w:rPr>
      </w:r>
    </w:p>
    <w:p>
      <w:pPr>
        <w:spacing w:line="240" w:lineRule="auto" w:before="7"/>
        <w:rPr>
          <w:rFonts w:ascii="黑体" w:hAnsi="黑体" w:cs="黑体" w:eastAsia="黑体" w:hint="default"/>
          <w:b/>
          <w:bCs/>
          <w:sz w:val="20"/>
          <w:szCs w:val="20"/>
        </w:rPr>
      </w:pPr>
    </w:p>
    <w:p>
      <w:pPr>
        <w:spacing w:after="0" w:line="240" w:lineRule="auto"/>
        <w:rPr>
          <w:rFonts w:ascii="黑体" w:hAnsi="黑体" w:cs="黑体" w:eastAsia="黑体" w:hint="default"/>
          <w:sz w:val="20"/>
          <w:szCs w:val="20"/>
        </w:rPr>
        <w:sectPr>
          <w:footerReference w:type="default" r:id="rId19"/>
          <w:pgSz w:w="16840" w:h="11910" w:orient="landscape"/>
          <w:pgMar w:footer="1193" w:header="0" w:top="800" w:bottom="1380" w:left="1300" w:right="1200"/>
          <w:pgNumType w:start="63"/>
        </w:sectPr>
      </w:pPr>
    </w:p>
    <w:p>
      <w:pPr>
        <w:pStyle w:val="Heading2"/>
        <w:spacing w:line="240" w:lineRule="auto" w:before="26"/>
        <w:ind w:left="224" w:right="0"/>
        <w:jc w:val="left"/>
        <w:rPr>
          <w:b w:val="0"/>
          <w:bCs w:val="0"/>
        </w:rPr>
      </w:pPr>
      <w:r>
        <w:rPr/>
        <w:t>一、持股变动情况及报酬情况</w:t>
      </w:r>
      <w:r>
        <w:rPr>
          <w:b w:val="0"/>
          <w:bCs w:val="0"/>
        </w:rPr>
      </w:r>
    </w:p>
    <w:p>
      <w:pPr>
        <w:pStyle w:val="Heading2"/>
        <w:tabs>
          <w:tab w:pos="1064" w:val="left" w:leader="none"/>
        </w:tabs>
        <w:spacing w:line="240" w:lineRule="auto" w:before="106"/>
        <w:ind w:left="224"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w w:val="95"/>
        </w:rPr>
        <w:t>现任及报告期内离任董事、监事和高级管理人员持股变动及报酬情况</w:t>
      </w:r>
      <w:r>
        <w:rPr>
          <w:b w:val="0"/>
          <w:bCs w:val="0"/>
        </w:rPr>
      </w:r>
    </w:p>
    <w:p>
      <w:pPr>
        <w:pStyle w:val="BodyText"/>
        <w:spacing w:line="240" w:lineRule="auto" w:before="106"/>
        <w:ind w:left="224" w:right="0"/>
        <w:jc w:val="left"/>
      </w:pPr>
      <w:r>
        <w:rPr/>
        <w:t>√适用</w:t>
      </w:r>
      <w:r>
        <w:rPr>
          <w:spacing w:val="-1"/>
        </w:rPr>
        <w:t> </w:t>
      </w:r>
      <w:r>
        <w:rPr/>
        <w:t>□不适用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8"/>
          <w:szCs w:val="18"/>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000" w:bottom="280" w:left="1300" w:right="1200"/>
          <w:cols w:num="2" w:equalWidth="0">
            <w:col w:w="8293" w:space="4621"/>
            <w:col w:w="1426"/>
          </w:cols>
        </w:sectPr>
      </w:pPr>
    </w:p>
    <w:p>
      <w:pPr>
        <w:spacing w:line="240" w:lineRule="auto" w:before="10"/>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385"/>
        <w:gridCol w:w="1306"/>
        <w:gridCol w:w="845"/>
        <w:gridCol w:w="797"/>
        <w:gridCol w:w="1296"/>
        <w:gridCol w:w="1296"/>
        <w:gridCol w:w="1128"/>
        <w:gridCol w:w="1114"/>
        <w:gridCol w:w="1229"/>
        <w:gridCol w:w="1073"/>
        <w:gridCol w:w="1325"/>
        <w:gridCol w:w="1306"/>
      </w:tblGrid>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b/>
                <w:bCs/>
                <w:sz w:val="21"/>
                <w:szCs w:val="21"/>
              </w:rPr>
              <w:t>(</w:t>
            </w:r>
            <w:r>
              <w:rPr>
                <w:rFonts w:ascii="宋体" w:hAnsi="宋体" w:cs="宋体" w:eastAsia="宋体" w:hint="default"/>
                <w:b/>
                <w:bCs/>
                <w:sz w:val="21"/>
                <w:szCs w:val="21"/>
              </w:rPr>
              <w:t>注</w:t>
            </w:r>
            <w:r>
              <w:rPr>
                <w:rFonts w:ascii="宋体" w:hAnsi="宋体" w:cs="宋体" w:eastAsia="宋体" w:hint="default"/>
                <w:b/>
                <w:bCs/>
                <w:sz w:val="21"/>
                <w:szCs w:val="21"/>
              </w:rPr>
              <w:t>)</w:t>
            </w:r>
            <w:r>
              <w:rPr>
                <w:rFonts w:ascii="宋体" w:hAnsi="宋体" w:cs="宋体" w:eastAsia="宋体" w:hint="default"/>
                <w:sz w:val="21"/>
                <w:szCs w:val="21"/>
              </w:rPr>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性别</w:t>
            </w:r>
            <w:r>
              <w:rPr>
                <w:rFonts w:ascii="宋体" w:hAnsi="宋体" w:cs="宋体" w:eastAsia="宋体" w:hint="default"/>
                <w:sz w:val="21"/>
                <w:szCs w:val="21"/>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b/>
                <w:bCs/>
                <w:sz w:val="21"/>
                <w:szCs w:val="21"/>
              </w:rPr>
              <w:t>年龄</w:t>
            </w:r>
            <w:r>
              <w:rPr>
                <w:rFonts w:ascii="宋体" w:hAnsi="宋体" w:cs="宋体" w:eastAsia="宋体" w:hint="default"/>
                <w:sz w:val="21"/>
                <w:szCs w:val="21"/>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540" w:right="110" w:hanging="423"/>
              <w:jc w:val="left"/>
              <w:rPr>
                <w:rFonts w:ascii="宋体" w:hAnsi="宋体" w:cs="宋体" w:eastAsia="宋体" w:hint="default"/>
                <w:sz w:val="21"/>
                <w:szCs w:val="21"/>
              </w:rPr>
            </w:pPr>
            <w:r>
              <w:rPr>
                <w:rFonts w:ascii="宋体" w:hAnsi="宋体" w:cs="宋体" w:eastAsia="宋体" w:hint="default"/>
                <w:b/>
                <w:bCs/>
                <w:sz w:val="21"/>
                <w:szCs w:val="21"/>
              </w:rPr>
              <w:t>任期起始日</w:t>
            </w:r>
            <w:r>
              <w:rPr>
                <w:rFonts w:ascii="宋体" w:hAnsi="宋体" w:cs="宋体" w:eastAsia="宋体" w:hint="default"/>
                <w:b/>
                <w:bCs/>
                <w:w w:val="100"/>
                <w:sz w:val="21"/>
                <w:szCs w:val="21"/>
              </w:rPr>
              <w:t> </w:t>
            </w:r>
            <w:r>
              <w:rPr>
                <w:rFonts w:ascii="宋体" w:hAnsi="宋体" w:cs="宋体" w:eastAsia="宋体" w:hint="default"/>
                <w:b/>
                <w:bCs/>
                <w:sz w:val="21"/>
                <w:szCs w:val="21"/>
              </w:rPr>
              <w:t>期</w:t>
            </w:r>
            <w:r>
              <w:rPr>
                <w:rFonts w:ascii="宋体" w:hAnsi="宋体" w:cs="宋体" w:eastAsia="宋体" w:hint="default"/>
                <w:sz w:val="21"/>
                <w:szCs w:val="21"/>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539" w:right="111" w:hanging="423"/>
              <w:jc w:val="left"/>
              <w:rPr>
                <w:rFonts w:ascii="宋体" w:hAnsi="宋体" w:cs="宋体" w:eastAsia="宋体" w:hint="default"/>
                <w:sz w:val="21"/>
                <w:szCs w:val="21"/>
              </w:rPr>
            </w:pPr>
            <w:r>
              <w:rPr>
                <w:rFonts w:ascii="宋体" w:hAnsi="宋体" w:cs="宋体" w:eastAsia="宋体" w:hint="default"/>
                <w:b/>
                <w:bCs/>
                <w:sz w:val="21"/>
                <w:szCs w:val="21"/>
              </w:rPr>
              <w:t>任期终止日</w:t>
            </w:r>
            <w:r>
              <w:rPr>
                <w:rFonts w:ascii="宋体" w:hAnsi="宋体" w:cs="宋体" w:eastAsia="宋体" w:hint="default"/>
                <w:b/>
                <w:bCs/>
                <w:w w:val="100"/>
                <w:sz w:val="21"/>
                <w:szCs w:val="21"/>
              </w:rPr>
              <w:t> </w:t>
            </w:r>
            <w:r>
              <w:rPr>
                <w:rFonts w:ascii="宋体" w:hAnsi="宋体" w:cs="宋体" w:eastAsia="宋体" w:hint="default"/>
                <w:b/>
                <w:bCs/>
                <w:sz w:val="21"/>
                <w:szCs w:val="21"/>
              </w:rPr>
              <w:t>期</w:t>
            </w:r>
            <w:r>
              <w:rPr>
                <w:rFonts w:ascii="宋体" w:hAnsi="宋体" w:cs="宋体" w:eastAsia="宋体" w:hint="default"/>
                <w:sz w:val="21"/>
                <w:szCs w:val="21"/>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456" w:right="132" w:hanging="317"/>
              <w:jc w:val="left"/>
              <w:rPr>
                <w:rFonts w:ascii="宋体" w:hAnsi="宋体" w:cs="宋体" w:eastAsia="宋体" w:hint="default"/>
                <w:sz w:val="21"/>
                <w:szCs w:val="21"/>
              </w:rPr>
            </w:pPr>
            <w:r>
              <w:rPr>
                <w:rFonts w:ascii="宋体" w:hAnsi="宋体" w:cs="宋体" w:eastAsia="宋体" w:hint="default"/>
                <w:b/>
                <w:bCs/>
                <w:sz w:val="21"/>
                <w:szCs w:val="21"/>
              </w:rPr>
              <w:t>年初持股</w:t>
            </w:r>
            <w:r>
              <w:rPr>
                <w:rFonts w:ascii="宋体" w:hAnsi="宋体" w:cs="宋体" w:eastAsia="宋体" w:hint="default"/>
                <w:b/>
                <w:bCs/>
                <w:w w:val="100"/>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446" w:right="127" w:hanging="317"/>
              <w:jc w:val="left"/>
              <w:rPr>
                <w:rFonts w:ascii="宋体" w:hAnsi="宋体" w:cs="宋体" w:eastAsia="宋体" w:hint="default"/>
                <w:sz w:val="21"/>
                <w:szCs w:val="21"/>
              </w:rPr>
            </w:pPr>
            <w:r>
              <w:rPr>
                <w:rFonts w:ascii="宋体" w:hAnsi="宋体" w:cs="宋体" w:eastAsia="宋体" w:hint="default"/>
                <w:b/>
                <w:bCs/>
                <w:sz w:val="21"/>
                <w:szCs w:val="21"/>
              </w:rPr>
              <w:t>年末持股</w:t>
            </w:r>
            <w:r>
              <w:rPr>
                <w:rFonts w:ascii="宋体" w:hAnsi="宋体" w:cs="宋体" w:eastAsia="宋体" w:hint="default"/>
                <w:b/>
                <w:bCs/>
                <w:w w:val="100"/>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87" w:right="185"/>
              <w:jc w:val="center"/>
              <w:rPr>
                <w:rFonts w:ascii="宋体" w:hAnsi="宋体" w:cs="宋体" w:eastAsia="宋体" w:hint="default"/>
                <w:sz w:val="21"/>
                <w:szCs w:val="21"/>
              </w:rPr>
            </w:pPr>
            <w:r>
              <w:rPr>
                <w:rFonts w:ascii="宋体" w:hAnsi="宋体" w:cs="宋体" w:eastAsia="宋体" w:hint="default"/>
                <w:b/>
                <w:bCs/>
                <w:sz w:val="21"/>
                <w:szCs w:val="21"/>
              </w:rPr>
              <w:t>年度内股</w:t>
            </w:r>
            <w:r>
              <w:rPr>
                <w:rFonts w:ascii="宋体" w:hAnsi="宋体" w:cs="宋体" w:eastAsia="宋体" w:hint="default"/>
                <w:b/>
                <w:bCs/>
                <w:w w:val="100"/>
                <w:sz w:val="21"/>
                <w:szCs w:val="21"/>
              </w:rPr>
              <w:t> </w:t>
            </w:r>
            <w:r>
              <w:rPr>
                <w:rFonts w:ascii="宋体" w:hAnsi="宋体" w:cs="宋体" w:eastAsia="宋体" w:hint="default"/>
                <w:b/>
                <w:bCs/>
                <w:sz w:val="21"/>
                <w:szCs w:val="21"/>
              </w:rPr>
              <w:t>份增减变</w:t>
            </w:r>
            <w:r>
              <w:rPr>
                <w:rFonts w:ascii="宋体" w:hAnsi="宋体" w:cs="宋体" w:eastAsia="宋体" w:hint="default"/>
                <w:b/>
                <w:bCs/>
                <w:w w:val="100"/>
                <w:sz w:val="21"/>
                <w:szCs w:val="21"/>
              </w:rPr>
              <w:t> </w:t>
            </w:r>
            <w:r>
              <w:rPr>
                <w:rFonts w:ascii="宋体" w:hAnsi="宋体" w:cs="宋体" w:eastAsia="宋体" w:hint="default"/>
                <w:b/>
                <w:bCs/>
                <w:sz w:val="21"/>
                <w:szCs w:val="21"/>
              </w:rPr>
              <w:t>动量</w:t>
            </w:r>
            <w:r>
              <w:rPr>
                <w:rFonts w:ascii="宋体" w:hAnsi="宋体" w:cs="宋体" w:eastAsia="宋体" w:hint="default"/>
                <w:sz w:val="21"/>
                <w:szCs w:val="21"/>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321" w:right="103" w:hanging="209"/>
              <w:jc w:val="left"/>
              <w:rPr>
                <w:rFonts w:ascii="宋体" w:hAnsi="宋体" w:cs="宋体" w:eastAsia="宋体" w:hint="default"/>
                <w:sz w:val="21"/>
                <w:szCs w:val="21"/>
              </w:rPr>
            </w:pPr>
            <w:r>
              <w:rPr>
                <w:rFonts w:ascii="宋体" w:hAnsi="宋体" w:cs="宋体" w:eastAsia="宋体" w:hint="default"/>
                <w:b/>
                <w:bCs/>
                <w:sz w:val="21"/>
                <w:szCs w:val="21"/>
              </w:rPr>
              <w:t>增减变动</w:t>
            </w:r>
            <w:r>
              <w:rPr>
                <w:rFonts w:ascii="宋体" w:hAnsi="宋体" w:cs="宋体" w:eastAsia="宋体" w:hint="default"/>
                <w:b/>
                <w:bCs/>
                <w:w w:val="100"/>
                <w:sz w:val="21"/>
                <w:szCs w:val="21"/>
              </w:rPr>
              <w:t> </w:t>
            </w:r>
            <w:r>
              <w:rPr>
                <w:rFonts w:ascii="宋体" w:hAnsi="宋体" w:cs="宋体" w:eastAsia="宋体" w:hint="default"/>
                <w:b/>
                <w:bCs/>
                <w:sz w:val="21"/>
                <w:szCs w:val="21"/>
              </w:rPr>
              <w:t>原因</w:t>
            </w:r>
            <w:r>
              <w:rPr>
                <w:rFonts w:ascii="宋体" w:hAnsi="宋体" w:cs="宋体" w:eastAsia="宋体" w:hint="default"/>
                <w:sz w:val="21"/>
                <w:szCs w:val="21"/>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2" w:right="0"/>
              <w:jc w:val="both"/>
              <w:rPr>
                <w:rFonts w:ascii="宋体" w:hAnsi="宋体" w:cs="宋体" w:eastAsia="宋体" w:hint="default"/>
                <w:sz w:val="21"/>
                <w:szCs w:val="21"/>
              </w:rPr>
            </w:pPr>
            <w:r>
              <w:rPr>
                <w:rFonts w:ascii="宋体" w:hAnsi="宋体" w:cs="宋体" w:eastAsia="宋体" w:hint="default"/>
                <w:b/>
                <w:bCs/>
                <w:sz w:val="21"/>
                <w:szCs w:val="21"/>
              </w:rPr>
              <w:t>报告期内从</w:t>
            </w:r>
            <w:r>
              <w:rPr>
                <w:rFonts w:ascii="宋体" w:hAnsi="宋体" w:cs="宋体" w:eastAsia="宋体" w:hint="default"/>
                <w:sz w:val="21"/>
                <w:szCs w:val="21"/>
              </w:rPr>
            </w:r>
          </w:p>
          <w:p>
            <w:pPr>
              <w:pStyle w:val="TableParagraph"/>
              <w:spacing w:line="237" w:lineRule="auto" w:before="2"/>
              <w:ind w:left="132" w:right="125"/>
              <w:jc w:val="both"/>
              <w:rPr>
                <w:rFonts w:ascii="宋体" w:hAnsi="宋体" w:cs="宋体" w:eastAsia="宋体" w:hint="default"/>
                <w:sz w:val="21"/>
                <w:szCs w:val="21"/>
              </w:rPr>
            </w:pPr>
            <w:r>
              <w:rPr>
                <w:rFonts w:ascii="宋体" w:hAnsi="宋体" w:cs="宋体" w:eastAsia="宋体" w:hint="default"/>
                <w:b/>
                <w:bCs/>
                <w:sz w:val="21"/>
                <w:szCs w:val="21"/>
              </w:rPr>
              <w:t>公司获得的</w:t>
            </w:r>
            <w:r>
              <w:rPr>
                <w:rFonts w:ascii="宋体" w:hAnsi="宋体" w:cs="宋体" w:eastAsia="宋体" w:hint="default"/>
                <w:b/>
                <w:bCs/>
                <w:w w:val="100"/>
                <w:sz w:val="21"/>
                <w:szCs w:val="21"/>
              </w:rPr>
              <w:t> </w:t>
            </w:r>
            <w:r>
              <w:rPr>
                <w:rFonts w:ascii="宋体" w:hAnsi="宋体" w:cs="宋体" w:eastAsia="宋体" w:hint="default"/>
                <w:b/>
                <w:bCs/>
                <w:sz w:val="21"/>
                <w:szCs w:val="21"/>
              </w:rPr>
              <w:t>税前报酬总</w:t>
            </w:r>
            <w:r>
              <w:rPr>
                <w:rFonts w:ascii="宋体" w:hAnsi="宋体" w:cs="宋体" w:eastAsia="宋体" w:hint="default"/>
                <w:b/>
                <w:bCs/>
                <w:w w:val="100"/>
                <w:sz w:val="21"/>
                <w:szCs w:val="21"/>
              </w:rPr>
              <w:t> </w:t>
            </w:r>
            <w:r>
              <w:rPr>
                <w:rFonts w:ascii="宋体" w:hAnsi="宋体" w:cs="宋体" w:eastAsia="宋体" w:hint="default"/>
                <w:b/>
                <w:bCs/>
                <w:sz w:val="21"/>
                <w:szCs w:val="21"/>
              </w:rPr>
              <w:t>额（万元）</w:t>
            </w:r>
            <w:r>
              <w:rPr>
                <w:rFonts w:ascii="宋体" w:hAnsi="宋体" w:cs="宋体" w:eastAsia="宋体" w:hint="default"/>
                <w:sz w:val="21"/>
                <w:szCs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19" w:right="118"/>
              <w:jc w:val="center"/>
              <w:rPr>
                <w:rFonts w:ascii="宋体" w:hAnsi="宋体" w:cs="宋体" w:eastAsia="宋体" w:hint="default"/>
                <w:sz w:val="21"/>
                <w:szCs w:val="21"/>
              </w:rPr>
            </w:pPr>
            <w:r>
              <w:rPr>
                <w:rFonts w:ascii="宋体" w:hAnsi="宋体" w:cs="宋体" w:eastAsia="宋体" w:hint="default"/>
                <w:b/>
                <w:bCs/>
                <w:sz w:val="21"/>
                <w:szCs w:val="21"/>
              </w:rPr>
              <w:t>是否在公司</w:t>
            </w:r>
            <w:r>
              <w:rPr>
                <w:rFonts w:ascii="宋体" w:hAnsi="宋体" w:cs="宋体" w:eastAsia="宋体" w:hint="default"/>
                <w:b/>
                <w:bCs/>
                <w:w w:val="100"/>
                <w:sz w:val="21"/>
                <w:szCs w:val="21"/>
              </w:rPr>
              <w:t> </w:t>
            </w:r>
            <w:r>
              <w:rPr>
                <w:rFonts w:ascii="宋体" w:hAnsi="宋体" w:cs="宋体" w:eastAsia="宋体" w:hint="default"/>
                <w:b/>
                <w:bCs/>
                <w:sz w:val="21"/>
                <w:szCs w:val="21"/>
              </w:rPr>
              <w:t>关联方获取</w:t>
            </w:r>
            <w:r>
              <w:rPr>
                <w:rFonts w:ascii="宋体" w:hAnsi="宋体" w:cs="宋体" w:eastAsia="宋体" w:hint="default"/>
                <w:b/>
                <w:bCs/>
                <w:w w:val="100"/>
                <w:sz w:val="21"/>
                <w:szCs w:val="21"/>
              </w:rPr>
              <w:t> </w:t>
            </w:r>
            <w:r>
              <w:rPr>
                <w:rFonts w:ascii="宋体" w:hAnsi="宋体" w:cs="宋体" w:eastAsia="宋体" w:hint="default"/>
                <w:b/>
                <w:bCs/>
                <w:sz w:val="21"/>
                <w:szCs w:val="21"/>
              </w:rPr>
              <w:t>报酬</w:t>
            </w:r>
            <w:r>
              <w:rPr>
                <w:rFonts w:ascii="宋体" w:hAnsi="宋体" w:cs="宋体" w:eastAsia="宋体" w:hint="default"/>
                <w:sz w:val="21"/>
                <w:szCs w:val="21"/>
              </w:rPr>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周立业</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55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2016/5/11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90.40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黄俞</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副董事长、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2016/5/11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81.40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42"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范新</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2016/5/11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李艳和</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63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2018/5/15</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何佳</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64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2016/5/11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14.00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蒋毅刚</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2017/5/10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赵晶</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2017/5/10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张文娟</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51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2016/5/11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2"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孙娟</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35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2016/5/11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刘刚</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2016/5/11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86.40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李健航</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首席运营官</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2016/5/11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9,150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9,150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7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176.05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秦绪忠</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2016/5/11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183.55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sz w:val="21"/>
                <w:szCs w:val="21"/>
              </w:rPr>
              <w:t>周海英</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财务总监、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宋体" w:hAnsi="宋体" w:cs="宋体" w:eastAsia="宋体" w:hint="default"/>
                <w:sz w:val="21"/>
                <w:szCs w:val="21"/>
              </w:rPr>
            </w:pPr>
            <w:r>
              <w:rPr>
                <w:rFonts w:ascii="宋体"/>
                <w:sz w:val="21"/>
              </w:rPr>
              <w:t>48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sz w:val="21"/>
              </w:rPr>
              <w:t>2018/1/15</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宋体" w:hAnsi="宋体" w:cs="宋体" w:eastAsia="宋体" w:hint="default"/>
                <w:sz w:val="21"/>
                <w:szCs w:val="21"/>
              </w:rPr>
            </w:pPr>
            <w:r>
              <w:rPr>
                <w:rFonts w:ascii="宋体"/>
                <w:sz w:val="21"/>
              </w:rPr>
              <w:t>55.99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4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刘卫东</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2016/5/11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22,280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22,280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7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155.55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李吉生</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sz w:val="21"/>
              </w:rPr>
              <w:t>53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2016/5/11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8,612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8,612</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0</w:t>
            </w:r>
          </w:p>
        </w:tc>
        <w:tc>
          <w:tcPr>
            <w:tcW w:w="107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151.30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周侠</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2016/5/11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7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146.30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赵维健</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2016/5/11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156.30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1" w:lineRule="exact"/>
        <w:jc w:val="left"/>
        <w:rPr>
          <w:rFonts w:ascii="宋体" w:hAnsi="宋体" w:cs="宋体" w:eastAsia="宋体" w:hint="default"/>
          <w:sz w:val="21"/>
          <w:szCs w:val="21"/>
        </w:rPr>
        <w:sectPr>
          <w:type w:val="continuous"/>
          <w:pgSz w:w="16840" w:h="11910" w:orient="landscape"/>
          <w:pgMar w:top="1000" w:bottom="280" w:left="1300" w:right="1200"/>
        </w:sectPr>
      </w:pPr>
    </w:p>
    <w:p>
      <w:pPr>
        <w:spacing w:before="17"/>
        <w:ind w:left="6498" w:right="653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2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1385"/>
        <w:gridCol w:w="1306"/>
        <w:gridCol w:w="845"/>
        <w:gridCol w:w="797"/>
        <w:gridCol w:w="1296"/>
        <w:gridCol w:w="1296"/>
        <w:gridCol w:w="1128"/>
        <w:gridCol w:w="1114"/>
        <w:gridCol w:w="1229"/>
        <w:gridCol w:w="1073"/>
        <w:gridCol w:w="1325"/>
        <w:gridCol w:w="1306"/>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高志</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center"/>
              <w:rPr>
                <w:rFonts w:ascii="宋体" w:hAnsi="宋体" w:cs="宋体" w:eastAsia="宋体" w:hint="default"/>
                <w:sz w:val="21"/>
                <w:szCs w:val="21"/>
              </w:rPr>
            </w:pPr>
            <w:r>
              <w:rPr>
                <w:rFonts w:ascii="宋体"/>
                <w:sz w:val="21"/>
              </w:rPr>
              <w:t>2016/5/11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156.30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燕宪文</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center"/>
              <w:rPr>
                <w:rFonts w:ascii="宋体" w:hAnsi="宋体" w:cs="宋体" w:eastAsia="宋体" w:hint="default"/>
                <w:sz w:val="21"/>
                <w:szCs w:val="21"/>
              </w:rPr>
            </w:pPr>
            <w:r>
              <w:rPr>
                <w:rFonts w:ascii="宋体"/>
                <w:sz w:val="21"/>
              </w:rPr>
              <w:t>2018/4/20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37.80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张兴虎</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center"/>
              <w:rPr>
                <w:rFonts w:ascii="宋体" w:hAnsi="宋体" w:cs="宋体" w:eastAsia="宋体" w:hint="default"/>
                <w:sz w:val="21"/>
                <w:szCs w:val="21"/>
              </w:rPr>
            </w:pPr>
            <w:r>
              <w:rPr>
                <w:rFonts w:ascii="宋体"/>
                <w:sz w:val="21"/>
              </w:rPr>
              <w:t>2018/4/20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200,000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07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47.80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张园园</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center"/>
              <w:rPr>
                <w:rFonts w:ascii="宋体" w:hAnsi="宋体" w:cs="宋体" w:eastAsia="宋体" w:hint="default"/>
                <w:sz w:val="21"/>
                <w:szCs w:val="21"/>
              </w:rPr>
            </w:pPr>
            <w:r>
              <w:rPr>
                <w:rFonts w:ascii="宋体"/>
                <w:sz w:val="21"/>
              </w:rPr>
              <w:t>2016/5/11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173.30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童利斌</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46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center"/>
              <w:rPr>
                <w:rFonts w:ascii="宋体" w:hAnsi="宋体" w:cs="宋体" w:eastAsia="宋体" w:hint="default"/>
                <w:sz w:val="21"/>
                <w:szCs w:val="21"/>
              </w:rPr>
            </w:pPr>
            <w:r>
              <w:rPr>
                <w:rFonts w:ascii="宋体"/>
                <w:sz w:val="21"/>
              </w:rPr>
              <w:t>2016/5/11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2018/4/21</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w w:val="100"/>
                <w:sz w:val="21"/>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w w:val="100"/>
                <w:sz w:val="21"/>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300,042</w:t>
            </w:r>
            <w:r>
              <w:rPr>
                <w:rFonts w:ascii="宋体"/>
                <w:sz w:val="21"/>
              </w:rPr>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300,042</w:t>
            </w:r>
            <w:r>
              <w:rPr>
                <w:rFonts w:ascii="宋体"/>
                <w:sz w:val="21"/>
              </w:rPr>
            </w:r>
          </w:p>
        </w:tc>
        <w:tc>
          <w:tcPr>
            <w:tcW w:w="1229"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1,740.44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9"/>
        <w:rPr>
          <w:rFonts w:ascii="宋体" w:hAnsi="宋体" w:cs="宋体" w:eastAsia="宋体" w:hint="default"/>
          <w:sz w:val="20"/>
          <w:szCs w:val="20"/>
        </w:rPr>
      </w:pPr>
    </w:p>
    <w:tbl>
      <w:tblPr>
        <w:tblW w:w="0" w:type="auto"/>
        <w:jc w:val="left"/>
        <w:tblInd w:w="104" w:type="dxa"/>
        <w:tblLayout w:type="fixed"/>
        <w:tblCellMar>
          <w:top w:w="0" w:type="dxa"/>
          <w:left w:w="0" w:type="dxa"/>
          <w:bottom w:w="0" w:type="dxa"/>
          <w:right w:w="0" w:type="dxa"/>
        </w:tblCellMar>
        <w:tblLook w:val="01E0"/>
      </w:tblPr>
      <w:tblGrid>
        <w:gridCol w:w="1368"/>
        <w:gridCol w:w="12775"/>
      </w:tblGrid>
      <w:tr>
        <w:trPr>
          <w:trHeight w:val="28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2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主要工作经历</w:t>
            </w:r>
            <w:r>
              <w:rPr>
                <w:rFonts w:ascii="宋体" w:hAnsi="宋体" w:cs="宋体" w:eastAsia="宋体" w:hint="default"/>
                <w:sz w:val="21"/>
                <w:szCs w:val="21"/>
              </w:rPr>
            </w:r>
          </w:p>
        </w:tc>
      </w:tr>
      <w:tr>
        <w:trPr>
          <w:trHeight w:val="110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周立业</w:t>
            </w:r>
          </w:p>
        </w:tc>
        <w:tc>
          <w:tcPr>
            <w:tcW w:w="12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周立业先生，</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pacing w:val="-3"/>
                <w:sz w:val="21"/>
                <w:szCs w:val="21"/>
              </w:rPr>
              <w:t>日至今，任公司第七届董事会董事长之职。</w:t>
            </w:r>
            <w:r>
              <w:rPr>
                <w:rFonts w:ascii="宋体" w:hAnsi="宋体" w:cs="宋体" w:eastAsia="宋体" w:hint="default"/>
                <w:spacing w:val="-3"/>
                <w:sz w:val="21"/>
                <w:szCs w:val="21"/>
              </w:rPr>
              <w:t>2013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15</w:t>
            </w:r>
            <w:r>
              <w:rPr>
                <w:rFonts w:ascii="宋体" w:hAnsi="宋体" w:cs="宋体" w:eastAsia="宋体" w:hint="default"/>
                <w:spacing w:val="-50"/>
                <w:sz w:val="21"/>
                <w:szCs w:val="21"/>
              </w:rPr>
              <w:t> </w:t>
            </w:r>
            <w:r>
              <w:rPr>
                <w:rFonts w:ascii="宋体" w:hAnsi="宋体" w:cs="宋体" w:eastAsia="宋体" w:hint="default"/>
                <w:sz w:val="21"/>
                <w:szCs w:val="21"/>
              </w:rPr>
              <w:t>日至</w:t>
            </w:r>
            <w:r>
              <w:rPr>
                <w:rFonts w:ascii="宋体" w:hAnsi="宋体" w:cs="宋体" w:eastAsia="宋体" w:hint="default"/>
                <w:spacing w:val="-49"/>
                <w:sz w:val="21"/>
                <w:szCs w:val="21"/>
              </w:rPr>
              <w:t> </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pacing w:val="-3"/>
                <w:sz w:val="21"/>
                <w:szCs w:val="21"/>
              </w:rPr>
              <w:t>月，任公司第六届董事会董事、董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事长。</w:t>
            </w:r>
            <w:r>
              <w:rPr>
                <w:rFonts w:ascii="宋体" w:hAnsi="宋体" w:cs="宋体" w:eastAsia="宋体" w:hint="default"/>
                <w:sz w:val="21"/>
                <w:szCs w:val="21"/>
              </w:rPr>
              <w:t>1987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2001</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月，任清华大学核研院党委委员等职务；</w:t>
            </w:r>
            <w:r>
              <w:rPr>
                <w:rFonts w:ascii="宋体" w:hAnsi="宋体" w:cs="宋体" w:eastAsia="宋体" w:hint="default"/>
                <w:sz w:val="21"/>
                <w:szCs w:val="21"/>
              </w:rPr>
              <w:t>2001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宋体" w:hAnsi="宋体" w:cs="宋体" w:eastAsia="宋体" w:hint="default"/>
                <w:sz w:val="21"/>
                <w:szCs w:val="21"/>
              </w:rPr>
              <w:t>2003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月，任清华大学核研院副院长；</w:t>
            </w:r>
            <w:r>
              <w:rPr>
                <w:rFonts w:ascii="宋体" w:hAnsi="宋体" w:cs="宋体" w:eastAsia="宋体" w:hint="default"/>
                <w:sz w:val="21"/>
                <w:szCs w:val="21"/>
              </w:rPr>
              <w:t>2002</w:t>
            </w:r>
            <w:r>
              <w:rPr>
                <w:rFonts w:ascii="宋体" w:hAnsi="宋体" w:cs="宋体" w:eastAsia="宋体" w:hint="default"/>
                <w:spacing w:val="-55"/>
                <w:sz w:val="21"/>
                <w:szCs w:val="21"/>
              </w:rPr>
              <w:t> </w:t>
            </w:r>
            <w:r>
              <w:rPr>
                <w:rFonts w:ascii="宋体" w:hAnsi="宋体" w:cs="宋体" w:eastAsia="宋体" w:hint="default"/>
                <w:sz w:val="21"/>
                <w:szCs w:val="21"/>
              </w:rPr>
              <w:t>年</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2003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月，兼任内蒙古宏峰实业股份有限公司总经理；</w:t>
            </w:r>
            <w:r>
              <w:rPr>
                <w:rFonts w:ascii="宋体" w:hAnsi="宋体" w:cs="宋体" w:eastAsia="宋体" w:hint="default"/>
                <w:sz w:val="21"/>
                <w:szCs w:val="21"/>
              </w:rPr>
              <w:t>2003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月至今，历任清华控股有限公司副总裁、董事兼总裁、副董事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长。</w:t>
            </w:r>
          </w:p>
        </w:tc>
      </w:tr>
      <w:tr>
        <w:trPr>
          <w:trHeight w:val="8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黄俞</w:t>
            </w:r>
          </w:p>
        </w:tc>
        <w:tc>
          <w:tcPr>
            <w:tcW w:w="12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7"/>
              <w:jc w:val="left"/>
              <w:rPr>
                <w:rFonts w:ascii="宋体" w:hAnsi="宋体" w:cs="宋体" w:eastAsia="宋体" w:hint="default"/>
                <w:sz w:val="21"/>
                <w:szCs w:val="21"/>
              </w:rPr>
            </w:pPr>
            <w:r>
              <w:rPr>
                <w:rFonts w:ascii="宋体" w:hAnsi="宋体" w:cs="宋体" w:eastAsia="宋体" w:hint="default"/>
                <w:sz w:val="21"/>
                <w:szCs w:val="21"/>
              </w:rPr>
              <w:t>黄俞先生，</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z w:val="21"/>
                <w:szCs w:val="21"/>
              </w:rPr>
              <w:t>日至今，任公司第七届董事会副董事长、总裁之职。</w:t>
            </w:r>
            <w:r>
              <w:rPr>
                <w:rFonts w:ascii="宋体" w:hAnsi="宋体" w:cs="宋体" w:eastAsia="宋体" w:hint="default"/>
                <w:sz w:val="21"/>
                <w:szCs w:val="21"/>
              </w:rPr>
              <w:t>2015</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18</w:t>
            </w:r>
            <w:r>
              <w:rPr>
                <w:rFonts w:ascii="宋体" w:hAnsi="宋体" w:cs="宋体" w:eastAsia="宋体" w:hint="default"/>
                <w:spacing w:val="-50"/>
                <w:sz w:val="21"/>
                <w:szCs w:val="21"/>
              </w:rPr>
              <w:t> </w:t>
            </w:r>
            <w:r>
              <w:rPr>
                <w:rFonts w:ascii="宋体" w:hAnsi="宋体" w:cs="宋体" w:eastAsia="宋体" w:hint="default"/>
                <w:sz w:val="21"/>
                <w:szCs w:val="21"/>
              </w:rPr>
              <w:t>日至</w:t>
            </w:r>
            <w:r>
              <w:rPr>
                <w:rFonts w:ascii="宋体" w:hAnsi="宋体" w:cs="宋体" w:eastAsia="宋体" w:hint="default"/>
                <w:spacing w:val="-50"/>
                <w:sz w:val="21"/>
                <w:szCs w:val="21"/>
              </w:rPr>
              <w:t> </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月，任公司第六届董事会</w:t>
            </w:r>
          </w:p>
          <w:p>
            <w:pPr>
              <w:pStyle w:val="TableParagraph"/>
              <w:spacing w:line="272" w:lineRule="exact" w:before="27"/>
              <w:ind w:left="103" w:right="-7"/>
              <w:jc w:val="left"/>
              <w:rPr>
                <w:rFonts w:ascii="宋体" w:hAnsi="宋体" w:cs="宋体" w:eastAsia="宋体" w:hint="default"/>
                <w:sz w:val="21"/>
                <w:szCs w:val="21"/>
              </w:rPr>
            </w:pPr>
            <w:r>
              <w:rPr>
                <w:rFonts w:ascii="宋体" w:hAnsi="宋体" w:cs="宋体" w:eastAsia="宋体" w:hint="default"/>
                <w:spacing w:val="-3"/>
                <w:sz w:val="21"/>
                <w:szCs w:val="21"/>
              </w:rPr>
              <w:t>董事、副董事长。</w:t>
            </w:r>
            <w:r>
              <w:rPr>
                <w:rFonts w:ascii="宋体" w:hAnsi="宋体" w:cs="宋体" w:eastAsia="宋体" w:hint="default"/>
                <w:spacing w:val="-3"/>
                <w:sz w:val="21"/>
                <w:szCs w:val="21"/>
              </w:rPr>
              <w:t>2009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6</w:t>
            </w:r>
            <w:r>
              <w:rPr>
                <w:rFonts w:ascii="宋体" w:hAnsi="宋体" w:cs="宋体" w:eastAsia="宋体" w:hint="default"/>
                <w:spacing w:val="-43"/>
                <w:sz w:val="21"/>
                <w:szCs w:val="21"/>
              </w:rPr>
              <w:t> </w:t>
            </w:r>
            <w:r>
              <w:rPr>
                <w:rFonts w:ascii="宋体" w:hAnsi="宋体" w:cs="宋体" w:eastAsia="宋体" w:hint="default"/>
                <w:spacing w:val="-3"/>
                <w:sz w:val="21"/>
                <w:szCs w:val="21"/>
              </w:rPr>
              <w:t>月至今，任深圳市华融泰资产管理有限公司董事长；</w:t>
            </w:r>
            <w:r>
              <w:rPr>
                <w:rFonts w:ascii="宋体" w:hAnsi="宋体" w:cs="宋体" w:eastAsia="宋体" w:hint="default"/>
                <w:spacing w:val="-3"/>
                <w:sz w:val="21"/>
                <w:szCs w:val="21"/>
              </w:rPr>
              <w:t>2013</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4</w:t>
            </w:r>
            <w:r>
              <w:rPr>
                <w:rFonts w:ascii="宋体" w:hAnsi="宋体" w:cs="宋体" w:eastAsia="宋体" w:hint="default"/>
                <w:spacing w:val="-43"/>
                <w:sz w:val="21"/>
                <w:szCs w:val="21"/>
              </w:rPr>
              <w:t> </w:t>
            </w:r>
            <w:r>
              <w:rPr>
                <w:rFonts w:ascii="宋体" w:hAnsi="宋体" w:cs="宋体" w:eastAsia="宋体" w:hint="default"/>
                <w:sz w:val="21"/>
                <w:szCs w:val="21"/>
              </w:rPr>
              <w:t>月至今，任深圳华控赛格股份有限公司董事长；</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月至今，任同方康泰控股有限公司主席兼执行董事。</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范新</w:t>
            </w:r>
          </w:p>
        </w:tc>
        <w:tc>
          <w:tcPr>
            <w:tcW w:w="12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范新先生，</w:t>
            </w: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pacing w:val="-3"/>
                <w:sz w:val="21"/>
                <w:szCs w:val="21"/>
              </w:rPr>
              <w:t>日至今，任公司第七届董事会副董事长之职。</w:t>
            </w:r>
            <w:r>
              <w:rPr>
                <w:rFonts w:ascii="宋体" w:hAnsi="宋体" w:cs="宋体" w:eastAsia="宋体" w:hint="default"/>
                <w:spacing w:val="-3"/>
                <w:sz w:val="21"/>
                <w:szCs w:val="21"/>
              </w:rPr>
              <w:t>2013</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15</w:t>
            </w:r>
            <w:r>
              <w:rPr>
                <w:rFonts w:ascii="宋体" w:hAnsi="宋体" w:cs="宋体" w:eastAsia="宋体" w:hint="default"/>
                <w:spacing w:val="-49"/>
                <w:sz w:val="21"/>
                <w:szCs w:val="21"/>
              </w:rPr>
              <w:t> </w:t>
            </w:r>
            <w:r>
              <w:rPr>
                <w:rFonts w:ascii="宋体" w:hAnsi="宋体" w:cs="宋体" w:eastAsia="宋体" w:hint="default"/>
                <w:sz w:val="21"/>
                <w:szCs w:val="21"/>
              </w:rPr>
              <w:t>日至</w:t>
            </w:r>
            <w:r>
              <w:rPr>
                <w:rFonts w:ascii="宋体" w:hAnsi="宋体" w:cs="宋体" w:eastAsia="宋体" w:hint="default"/>
                <w:spacing w:val="-47"/>
                <w:sz w:val="21"/>
                <w:szCs w:val="21"/>
              </w:rPr>
              <w:t> </w:t>
            </w:r>
            <w:r>
              <w:rPr>
                <w:rFonts w:ascii="宋体" w:hAnsi="宋体" w:cs="宋体" w:eastAsia="宋体" w:hint="default"/>
                <w:sz w:val="21"/>
                <w:szCs w:val="21"/>
              </w:rPr>
              <w:t>2016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pacing w:val="-3"/>
                <w:sz w:val="21"/>
                <w:szCs w:val="21"/>
              </w:rPr>
              <w:t>月，任公司第六届董事会董事、总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裁。</w:t>
            </w:r>
            <w:r>
              <w:rPr>
                <w:rFonts w:ascii="宋体" w:hAnsi="宋体" w:cs="宋体" w:eastAsia="宋体" w:hint="default"/>
                <w:sz w:val="21"/>
                <w:szCs w:val="21"/>
              </w:rPr>
              <w:t>2000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月，历任同方人工环境有限公司总经理、公司总裁助理。</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月至今，任清华控股有限公司副总裁。</w:t>
            </w:r>
          </w:p>
        </w:tc>
      </w:tr>
      <w:tr>
        <w:trPr>
          <w:trHeight w:val="110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李艳和</w:t>
            </w:r>
          </w:p>
        </w:tc>
        <w:tc>
          <w:tcPr>
            <w:tcW w:w="12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李艳和先生，</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日至今，任公司第七届董事会董事之职。现任清华大学教授，清华控股有限公司工联会主席，紫光集团党总</w:t>
            </w:r>
          </w:p>
          <w:p>
            <w:pPr>
              <w:pStyle w:val="TableParagraph"/>
              <w:spacing w:line="237" w:lineRule="auto" w:before="1"/>
              <w:ind w:left="103" w:right="96"/>
              <w:jc w:val="both"/>
              <w:rPr>
                <w:rFonts w:ascii="宋体" w:hAnsi="宋体" w:cs="宋体" w:eastAsia="宋体" w:hint="default"/>
                <w:sz w:val="21"/>
                <w:szCs w:val="21"/>
              </w:rPr>
            </w:pPr>
            <w:r>
              <w:rPr>
                <w:rFonts w:ascii="宋体" w:hAnsi="宋体" w:cs="宋体" w:eastAsia="宋体" w:hint="default"/>
                <w:spacing w:val="-3"/>
                <w:sz w:val="21"/>
                <w:szCs w:val="21"/>
              </w:rPr>
              <w:t>支书记、副董事长。曾任清华大学电子工程系党委副书记，清华大学电子工程系常务副系主任，清华大学信息科学技术学院副院长，清华</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大学微电子学研究所所长，清华控股有限公司副总裁、党委副书记、纪委书记。</w:t>
            </w:r>
            <w:r>
              <w:rPr>
                <w:rFonts w:ascii="宋体" w:hAnsi="宋体" w:cs="宋体" w:eastAsia="宋体" w:hint="default"/>
                <w:sz w:val="21"/>
                <w:szCs w:val="21"/>
              </w:rPr>
              <w:t>2016 </w:t>
            </w:r>
            <w:r>
              <w:rPr>
                <w:rFonts w:ascii="宋体" w:hAnsi="宋体" w:cs="宋体" w:eastAsia="宋体" w:hint="default"/>
                <w:sz w:val="21"/>
                <w:szCs w:val="21"/>
              </w:rPr>
              <w:t>年 </w:t>
            </w:r>
            <w:r>
              <w:rPr>
                <w:rFonts w:ascii="宋体" w:hAnsi="宋体" w:cs="宋体" w:eastAsia="宋体" w:hint="default"/>
                <w:sz w:val="21"/>
                <w:szCs w:val="21"/>
              </w:rPr>
              <w:t>7</w:t>
            </w:r>
            <w:r>
              <w:rPr>
                <w:rFonts w:ascii="宋体" w:hAnsi="宋体" w:cs="宋体" w:eastAsia="宋体" w:hint="default"/>
                <w:spacing w:val="-57"/>
                <w:sz w:val="21"/>
                <w:szCs w:val="21"/>
              </w:rPr>
              <w:t> </w:t>
            </w:r>
            <w:r>
              <w:rPr>
                <w:rFonts w:ascii="宋体" w:hAnsi="宋体" w:cs="宋体" w:eastAsia="宋体" w:hint="default"/>
                <w:sz w:val="21"/>
                <w:szCs w:val="21"/>
              </w:rPr>
              <w:t>月至今，任紫光集团有限公司副董事长；</w:t>
            </w:r>
            <w:r>
              <w:rPr>
                <w:rFonts w:ascii="宋体" w:hAnsi="宋体" w:cs="宋体" w:eastAsia="宋体" w:hint="default"/>
                <w:sz w:val="21"/>
                <w:szCs w:val="21"/>
              </w:rPr>
              <w:t>2018</w:t>
            </w:r>
            <w:r>
              <w:rPr>
                <w:rFonts w:ascii="宋体" w:hAnsi="宋体" w:cs="宋体" w:eastAsia="宋体" w:hint="default"/>
                <w:spacing w:val="-3"/>
                <w:w w:val="10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月至今，任清华控股有限公司董事。</w:t>
            </w:r>
          </w:p>
        </w:tc>
      </w:tr>
      <w:tr>
        <w:trPr>
          <w:trHeight w:val="109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何佳</w:t>
            </w:r>
          </w:p>
        </w:tc>
        <w:tc>
          <w:tcPr>
            <w:tcW w:w="12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何佳先生，</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日至今，任公司独立董事之职。</w:t>
            </w:r>
            <w:r>
              <w:rPr>
                <w:rFonts w:ascii="宋体" w:hAnsi="宋体" w:cs="宋体" w:eastAsia="宋体" w:hint="default"/>
                <w:sz w:val="21"/>
                <w:szCs w:val="21"/>
              </w:rPr>
              <w:t>1998</w:t>
            </w:r>
            <w:r>
              <w:rPr>
                <w:rFonts w:ascii="宋体" w:hAnsi="宋体" w:cs="宋体" w:eastAsia="宋体" w:hint="default"/>
                <w:spacing w:val="-53"/>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月，任教于香港中文大学财务系；</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月至今，任教</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于南方科技大学；</w:t>
            </w:r>
            <w:r>
              <w:rPr>
                <w:rFonts w:ascii="宋体" w:hAnsi="宋体" w:cs="宋体" w:eastAsia="宋体" w:hint="default"/>
                <w:sz w:val="21"/>
                <w:szCs w:val="21"/>
              </w:rPr>
              <w:t>2001</w:t>
            </w:r>
            <w:r>
              <w:rPr>
                <w:rFonts w:ascii="宋体" w:hAnsi="宋体" w:cs="宋体" w:eastAsia="宋体" w:hint="default"/>
                <w:spacing w:val="-34"/>
                <w:sz w:val="21"/>
                <w:szCs w:val="21"/>
              </w:rPr>
              <w:t> </w:t>
            </w:r>
            <w:r>
              <w:rPr>
                <w:rFonts w:ascii="宋体" w:hAnsi="宋体" w:cs="宋体" w:eastAsia="宋体" w:hint="default"/>
                <w:sz w:val="21"/>
                <w:szCs w:val="21"/>
              </w:rPr>
              <w:t>年至</w:t>
            </w:r>
            <w:r>
              <w:rPr>
                <w:rFonts w:ascii="宋体" w:hAnsi="宋体" w:cs="宋体" w:eastAsia="宋体" w:hint="default"/>
                <w:spacing w:val="-35"/>
                <w:sz w:val="21"/>
                <w:szCs w:val="21"/>
              </w:rPr>
              <w:t> </w:t>
            </w:r>
            <w:r>
              <w:rPr>
                <w:rFonts w:ascii="宋体" w:hAnsi="宋体" w:cs="宋体" w:eastAsia="宋体" w:hint="default"/>
                <w:sz w:val="21"/>
                <w:szCs w:val="21"/>
              </w:rPr>
              <w:t>2002</w:t>
            </w:r>
            <w:r>
              <w:rPr>
                <w:rFonts w:ascii="宋体" w:hAnsi="宋体" w:cs="宋体" w:eastAsia="宋体" w:hint="default"/>
                <w:spacing w:val="-35"/>
                <w:sz w:val="21"/>
                <w:szCs w:val="21"/>
              </w:rPr>
              <w:t> </w:t>
            </w:r>
            <w:r>
              <w:rPr>
                <w:rFonts w:ascii="宋体" w:hAnsi="宋体" w:cs="宋体" w:eastAsia="宋体" w:hint="default"/>
                <w:spacing w:val="-3"/>
                <w:sz w:val="21"/>
                <w:szCs w:val="21"/>
              </w:rPr>
              <w:t>年，任深圳证券交易所综合研究所所长、中国证监会规划发展委员会委员；</w:t>
            </w:r>
            <w:r>
              <w:rPr>
                <w:rFonts w:ascii="宋体" w:hAnsi="宋体" w:cs="宋体" w:eastAsia="宋体" w:hint="default"/>
                <w:spacing w:val="-3"/>
                <w:sz w:val="21"/>
                <w:szCs w:val="21"/>
              </w:rPr>
              <w:t>2014</w:t>
            </w:r>
            <w:r>
              <w:rPr>
                <w:rFonts w:ascii="宋体" w:hAnsi="宋体" w:cs="宋体" w:eastAsia="宋体" w:hint="default"/>
                <w:spacing w:val="-38"/>
                <w:sz w:val="21"/>
                <w:szCs w:val="21"/>
              </w:rPr>
              <w:t> </w:t>
            </w:r>
            <w:r>
              <w:rPr>
                <w:rFonts w:ascii="宋体" w:hAnsi="宋体" w:cs="宋体" w:eastAsia="宋体" w:hint="default"/>
                <w:spacing w:val="-3"/>
                <w:sz w:val="21"/>
                <w:szCs w:val="21"/>
              </w:rPr>
              <w:t>年至今，兼任深圳市新</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国都技术股份有限公司独立董事；</w:t>
            </w:r>
            <w:r>
              <w:rPr>
                <w:rFonts w:ascii="宋体" w:hAnsi="宋体" w:cs="宋体" w:eastAsia="宋体" w:hint="default"/>
                <w:sz w:val="21"/>
                <w:szCs w:val="21"/>
              </w:rPr>
              <w:t>2012</w:t>
            </w:r>
            <w:r>
              <w:rPr>
                <w:rFonts w:ascii="宋体" w:hAnsi="宋体" w:cs="宋体" w:eastAsia="宋体" w:hint="default"/>
                <w:spacing w:val="-44"/>
                <w:sz w:val="21"/>
                <w:szCs w:val="21"/>
              </w:rPr>
              <w:t> </w:t>
            </w:r>
            <w:r>
              <w:rPr>
                <w:rFonts w:ascii="宋体" w:hAnsi="宋体" w:cs="宋体" w:eastAsia="宋体" w:hint="default"/>
                <w:sz w:val="21"/>
                <w:szCs w:val="21"/>
              </w:rPr>
              <w:t>年至今，兼任西藏华域矿业独立董事；</w:t>
            </w:r>
            <w:r>
              <w:rPr>
                <w:rFonts w:ascii="宋体" w:hAnsi="宋体" w:cs="宋体" w:eastAsia="宋体" w:hint="default"/>
                <w:spacing w:val="-1"/>
                <w:sz w:val="21"/>
                <w:szCs w:val="21"/>
              </w:rPr>
              <w:t> </w:t>
            </w:r>
            <w:r>
              <w:rPr>
                <w:rFonts w:ascii="宋体" w:hAnsi="宋体" w:cs="宋体" w:eastAsia="宋体" w:hint="default"/>
                <w:sz w:val="21"/>
                <w:szCs w:val="21"/>
              </w:rPr>
              <w:t>2006</w:t>
            </w:r>
            <w:r>
              <w:rPr>
                <w:rFonts w:ascii="宋体" w:hAnsi="宋体" w:cs="宋体" w:eastAsia="宋体" w:hint="default"/>
                <w:spacing w:val="-46"/>
                <w:sz w:val="21"/>
                <w:szCs w:val="21"/>
              </w:rPr>
              <w:t> </w:t>
            </w:r>
            <w:r>
              <w:rPr>
                <w:rFonts w:ascii="宋体" w:hAnsi="宋体" w:cs="宋体" w:eastAsia="宋体" w:hint="default"/>
                <w:sz w:val="21"/>
                <w:szCs w:val="21"/>
              </w:rPr>
              <w:t>年至</w:t>
            </w:r>
            <w:r>
              <w:rPr>
                <w:rFonts w:ascii="宋体" w:hAnsi="宋体" w:cs="宋体" w:eastAsia="宋体" w:hint="default"/>
                <w:spacing w:val="-44"/>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6"/>
                <w:sz w:val="21"/>
                <w:szCs w:val="21"/>
              </w:rPr>
              <w:t> </w:t>
            </w:r>
            <w:r>
              <w:rPr>
                <w:rFonts w:ascii="宋体" w:hAnsi="宋体" w:cs="宋体" w:eastAsia="宋体" w:hint="default"/>
                <w:sz w:val="21"/>
                <w:szCs w:val="21"/>
              </w:rPr>
              <w:t>月，兼任中国中投证券有限责任公司</w:t>
            </w:r>
            <w:r>
              <w:rPr>
                <w:rFonts w:ascii="宋体" w:hAnsi="宋体" w:cs="宋体" w:eastAsia="宋体" w:hint="default"/>
                <w:w w:val="100"/>
                <w:sz w:val="21"/>
                <w:szCs w:val="21"/>
              </w:rPr>
              <w:t> </w:t>
            </w:r>
            <w:r>
              <w:rPr>
                <w:rFonts w:ascii="宋体" w:hAnsi="宋体" w:cs="宋体" w:eastAsia="宋体" w:hint="default"/>
                <w:sz w:val="21"/>
                <w:szCs w:val="21"/>
              </w:rPr>
              <w:t>独立董事；</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月至今，兼任中信证券股份有限公司独立董事；</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月至今，兼任北方国际合作股份有限公司独立董事。</w:t>
            </w:r>
          </w:p>
        </w:tc>
      </w:tr>
      <w:tr>
        <w:trPr>
          <w:trHeight w:val="110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蒋毅刚</w:t>
            </w:r>
          </w:p>
        </w:tc>
        <w:tc>
          <w:tcPr>
            <w:tcW w:w="12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蒋毅刚先生，</w:t>
            </w:r>
            <w:r>
              <w:rPr>
                <w:rFonts w:ascii="宋体" w:hAnsi="宋体" w:cs="宋体" w:eastAsia="宋体" w:hint="default"/>
                <w:spacing w:val="-4"/>
                <w:sz w:val="21"/>
                <w:szCs w:val="21"/>
              </w:rPr>
              <w:t>2017 </w:t>
            </w:r>
            <w:r>
              <w:rPr>
                <w:rFonts w:ascii="宋体" w:hAnsi="宋体" w:cs="宋体" w:eastAsia="宋体" w:hint="default"/>
                <w:sz w:val="21"/>
                <w:szCs w:val="21"/>
              </w:rPr>
              <w:t>年 </w:t>
            </w:r>
            <w:r>
              <w:rPr>
                <w:rFonts w:ascii="宋体" w:hAnsi="宋体" w:cs="宋体" w:eastAsia="宋体" w:hint="default"/>
                <w:sz w:val="21"/>
                <w:szCs w:val="21"/>
              </w:rPr>
              <w:t>5</w:t>
            </w:r>
            <w:r>
              <w:rPr>
                <w:rFonts w:ascii="宋体" w:hAnsi="宋体" w:cs="宋体" w:eastAsia="宋体" w:hint="default"/>
                <w:spacing w:val="-74"/>
                <w:sz w:val="21"/>
                <w:szCs w:val="21"/>
              </w:rPr>
              <w:t> </w:t>
            </w:r>
            <w:r>
              <w:rPr>
                <w:rFonts w:ascii="宋体" w:hAnsi="宋体" w:cs="宋体" w:eastAsia="宋体" w:hint="default"/>
                <w:spacing w:val="-5"/>
                <w:sz w:val="21"/>
                <w:szCs w:val="21"/>
              </w:rPr>
              <w:t>月至今，任公司独立董事之职。现为上海市锦天城（深圳）律师事务所高级合伙人，主要从事公司、证券法律业务。</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年至</w:t>
            </w:r>
            <w:r>
              <w:rPr>
                <w:rFonts w:ascii="宋体" w:hAnsi="宋体" w:cs="宋体" w:eastAsia="宋体" w:hint="default"/>
                <w:spacing w:val="-51"/>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年，曾任广东金刚玻璃科技股份有限公司（证券简称：金刚玻璃，证券代码</w:t>
            </w:r>
            <w:r>
              <w:rPr>
                <w:rFonts w:ascii="宋体" w:hAnsi="宋体" w:cs="宋体" w:eastAsia="宋体" w:hint="default"/>
                <w:spacing w:val="-51"/>
                <w:sz w:val="21"/>
                <w:szCs w:val="21"/>
              </w:rPr>
              <w:t> </w:t>
            </w:r>
            <w:r>
              <w:rPr>
                <w:rFonts w:ascii="宋体" w:hAnsi="宋体" w:cs="宋体" w:eastAsia="宋体" w:hint="default"/>
                <w:sz w:val="21"/>
                <w:szCs w:val="21"/>
              </w:rPr>
              <w:t>300093</w:t>
            </w:r>
            <w:r>
              <w:rPr>
                <w:rFonts w:ascii="宋体" w:hAnsi="宋体" w:cs="宋体" w:eastAsia="宋体" w:hint="default"/>
                <w:sz w:val="21"/>
                <w:szCs w:val="21"/>
              </w:rPr>
              <w:t>）独立董事；</w:t>
            </w:r>
            <w:r>
              <w:rPr>
                <w:rFonts w:ascii="宋体" w:hAnsi="宋体" w:cs="宋体" w:eastAsia="宋体" w:hint="default"/>
                <w:sz w:val="21"/>
                <w:szCs w:val="21"/>
              </w:rPr>
              <w:t>2008</w:t>
            </w:r>
            <w:r>
              <w:rPr>
                <w:rFonts w:ascii="宋体" w:hAnsi="宋体" w:cs="宋体" w:eastAsia="宋体" w:hint="default"/>
                <w:spacing w:val="-51"/>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pacing w:val="-3"/>
                <w:sz w:val="21"/>
                <w:szCs w:val="21"/>
              </w:rPr>
              <w:t>年，曾任</w:t>
            </w:r>
            <w:r>
              <w:rPr>
                <w:rFonts w:ascii="宋体" w:hAnsi="宋体" w:cs="宋体" w:eastAsia="宋体" w:hint="default"/>
                <w:spacing w:val="-3"/>
                <w:w w:val="100"/>
                <w:sz w:val="21"/>
                <w:szCs w:val="21"/>
              </w:rPr>
              <w:t> </w:t>
            </w:r>
            <w:r>
              <w:rPr>
                <w:rFonts w:ascii="宋体" w:hAnsi="宋体" w:cs="宋体" w:eastAsia="宋体" w:hint="default"/>
                <w:sz w:val="21"/>
                <w:szCs w:val="21"/>
              </w:rPr>
              <w:t>华润三九医药股份有限公司（证券简称：华润三九，证券代码</w:t>
            </w:r>
            <w:r>
              <w:rPr>
                <w:rFonts w:ascii="宋体" w:hAnsi="宋体" w:cs="宋体" w:eastAsia="宋体" w:hint="default"/>
                <w:spacing w:val="-44"/>
                <w:sz w:val="21"/>
                <w:szCs w:val="21"/>
              </w:rPr>
              <w:t> </w:t>
            </w:r>
            <w:r>
              <w:rPr>
                <w:rFonts w:ascii="宋体" w:hAnsi="宋体" w:cs="宋体" w:eastAsia="宋体" w:hint="default"/>
                <w:spacing w:val="-3"/>
                <w:sz w:val="21"/>
                <w:szCs w:val="21"/>
              </w:rPr>
              <w:t>000999</w:t>
            </w:r>
            <w:r>
              <w:rPr>
                <w:rFonts w:ascii="宋体" w:hAnsi="宋体" w:cs="宋体" w:eastAsia="宋体" w:hint="default"/>
                <w:spacing w:val="-3"/>
                <w:sz w:val="21"/>
                <w:szCs w:val="21"/>
              </w:rPr>
              <w:t>）独立董事；</w:t>
            </w:r>
            <w:r>
              <w:rPr>
                <w:rFonts w:ascii="宋体" w:hAnsi="宋体" w:cs="宋体" w:eastAsia="宋体" w:hint="default"/>
                <w:spacing w:val="-3"/>
                <w:sz w:val="21"/>
                <w:szCs w:val="21"/>
              </w:rPr>
              <w:t>2007</w:t>
            </w:r>
            <w:r>
              <w:rPr>
                <w:rFonts w:ascii="宋体" w:hAnsi="宋体" w:cs="宋体" w:eastAsia="宋体" w:hint="default"/>
                <w:spacing w:val="-46"/>
                <w:sz w:val="21"/>
                <w:szCs w:val="21"/>
              </w:rPr>
              <w:t> </w:t>
            </w:r>
            <w:r>
              <w:rPr>
                <w:rFonts w:ascii="宋体" w:hAnsi="宋体" w:cs="宋体" w:eastAsia="宋体" w:hint="default"/>
                <w:sz w:val="21"/>
                <w:szCs w:val="21"/>
              </w:rPr>
              <w:t>年至</w:t>
            </w:r>
            <w:r>
              <w:rPr>
                <w:rFonts w:ascii="宋体" w:hAnsi="宋体" w:cs="宋体" w:eastAsia="宋体" w:hint="default"/>
                <w:spacing w:val="-42"/>
                <w:sz w:val="21"/>
                <w:szCs w:val="21"/>
              </w:rPr>
              <w:t> </w:t>
            </w:r>
            <w:r>
              <w:rPr>
                <w:rFonts w:ascii="宋体" w:hAnsi="宋体" w:cs="宋体" w:eastAsia="宋体" w:hint="default"/>
                <w:sz w:val="21"/>
                <w:szCs w:val="21"/>
              </w:rPr>
              <w:t>2013</w:t>
            </w:r>
            <w:r>
              <w:rPr>
                <w:rFonts w:ascii="宋体" w:hAnsi="宋体" w:cs="宋体" w:eastAsia="宋体" w:hint="default"/>
                <w:spacing w:val="-46"/>
                <w:sz w:val="21"/>
                <w:szCs w:val="21"/>
              </w:rPr>
              <w:t> </w:t>
            </w:r>
            <w:r>
              <w:rPr>
                <w:rFonts w:ascii="宋体" w:hAnsi="宋体" w:cs="宋体" w:eastAsia="宋体" w:hint="default"/>
                <w:spacing w:val="-3"/>
                <w:sz w:val="21"/>
                <w:szCs w:val="21"/>
              </w:rPr>
              <w:t>年，曾任深圳赛格股份有限公司（证券</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简称：深赛格，证券代码</w:t>
            </w:r>
            <w:r>
              <w:rPr>
                <w:rFonts w:ascii="宋体" w:hAnsi="宋体" w:cs="宋体" w:eastAsia="宋体" w:hint="default"/>
                <w:spacing w:val="-55"/>
                <w:sz w:val="21"/>
                <w:szCs w:val="21"/>
              </w:rPr>
              <w:t> </w:t>
            </w:r>
            <w:r>
              <w:rPr>
                <w:rFonts w:ascii="宋体" w:hAnsi="宋体" w:cs="宋体" w:eastAsia="宋体" w:hint="default"/>
                <w:sz w:val="21"/>
                <w:szCs w:val="21"/>
              </w:rPr>
              <w:t>000058</w:t>
            </w:r>
            <w:r>
              <w:rPr>
                <w:rFonts w:ascii="宋体" w:hAnsi="宋体" w:cs="宋体" w:eastAsia="宋体" w:hint="default"/>
                <w:sz w:val="21"/>
                <w:szCs w:val="21"/>
              </w:rPr>
              <w:t>）独立董事。</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赵晶</w:t>
            </w:r>
          </w:p>
        </w:tc>
        <w:tc>
          <w:tcPr>
            <w:tcW w:w="12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赵晶女士，</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5</w:t>
            </w:r>
            <w:r>
              <w:rPr>
                <w:rFonts w:ascii="宋体" w:hAnsi="宋体" w:cs="宋体" w:eastAsia="宋体" w:hint="default"/>
                <w:spacing w:val="-46"/>
                <w:sz w:val="21"/>
                <w:szCs w:val="21"/>
              </w:rPr>
              <w:t> </w:t>
            </w:r>
            <w:r>
              <w:rPr>
                <w:rFonts w:ascii="宋体" w:hAnsi="宋体" w:cs="宋体" w:eastAsia="宋体" w:hint="default"/>
                <w:sz w:val="21"/>
                <w:szCs w:val="21"/>
              </w:rPr>
              <w:t>月至今，任公司独立董事之职。现任教于中国人民大学商学院，博士生导师。</w:t>
            </w:r>
            <w:r>
              <w:rPr>
                <w:rFonts w:ascii="宋体" w:hAnsi="宋体" w:cs="宋体" w:eastAsia="宋体" w:hint="default"/>
                <w:sz w:val="21"/>
                <w:szCs w:val="21"/>
              </w:rPr>
              <w:t>2015</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5</w:t>
            </w:r>
            <w:r>
              <w:rPr>
                <w:rFonts w:ascii="宋体" w:hAnsi="宋体" w:cs="宋体" w:eastAsia="宋体" w:hint="default"/>
                <w:spacing w:val="-44"/>
                <w:sz w:val="21"/>
                <w:szCs w:val="21"/>
              </w:rPr>
              <w:t> </w:t>
            </w:r>
            <w:r>
              <w:rPr>
                <w:rFonts w:ascii="宋体" w:hAnsi="宋体" w:cs="宋体" w:eastAsia="宋体" w:hint="default"/>
                <w:sz w:val="21"/>
                <w:szCs w:val="21"/>
              </w:rPr>
              <w:t>月至今，兼任沈阳机床（集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团）有限责任公司独立董事职务。</w:t>
            </w:r>
            <w:r>
              <w:rPr>
                <w:rFonts w:ascii="宋体" w:hAnsi="宋体" w:cs="宋体" w:eastAsia="宋体" w:hint="default"/>
                <w:sz w:val="21"/>
                <w:szCs w:val="21"/>
              </w:rPr>
              <w:t>2016</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月至今，兼任英大泰和财产保险股份有限公司独立董事职务。</w:t>
            </w:r>
            <w:r>
              <w:rPr>
                <w:rFonts w:ascii="宋体" w:hAnsi="宋体" w:cs="宋体" w:eastAsia="宋体" w:hint="default"/>
                <w:sz w:val="21"/>
                <w:szCs w:val="21"/>
              </w:rPr>
              <w:t>2019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月至今，兼任浙江尤</w:t>
            </w:r>
          </w:p>
        </w:tc>
      </w:tr>
    </w:tbl>
    <w:p>
      <w:pPr>
        <w:spacing w:after="0" w:line="273" w:lineRule="exact"/>
        <w:jc w:val="left"/>
        <w:rPr>
          <w:rFonts w:ascii="宋体" w:hAnsi="宋体" w:cs="宋体" w:eastAsia="宋体" w:hint="default"/>
          <w:sz w:val="21"/>
          <w:szCs w:val="21"/>
        </w:rPr>
        <w:sectPr>
          <w:pgSz w:w="16840" w:h="11910" w:orient="landscape"/>
          <w:pgMar w:header="0" w:footer="1193" w:top="800" w:bottom="1380" w:left="1280" w:right="1180"/>
        </w:sectPr>
      </w:pPr>
    </w:p>
    <w:p>
      <w:pPr>
        <w:spacing w:before="17"/>
        <w:ind w:left="6498" w:right="653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2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1368"/>
        <w:gridCol w:w="12775"/>
      </w:tblGrid>
      <w:tr>
        <w:trPr>
          <w:trHeight w:val="281"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2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夫股份有限公司独立董事职务。</w:t>
            </w:r>
          </w:p>
        </w:tc>
      </w:tr>
      <w:tr>
        <w:trPr>
          <w:trHeight w:val="8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张文娟</w:t>
            </w:r>
          </w:p>
        </w:tc>
        <w:tc>
          <w:tcPr>
            <w:tcW w:w="12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张文娟女士，</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z w:val="21"/>
                <w:szCs w:val="21"/>
              </w:rPr>
              <w:t>日至今，任公司第七届监事会主席之职。</w:t>
            </w:r>
            <w:r>
              <w:rPr>
                <w:rFonts w:ascii="宋体" w:hAnsi="宋体" w:cs="宋体" w:eastAsia="宋体" w:hint="default"/>
                <w:sz w:val="21"/>
                <w:szCs w:val="21"/>
              </w:rPr>
              <w:t>1988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2010</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月，历任清华大学财务处副科长、科长、</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4"/>
                <w:sz w:val="21"/>
                <w:szCs w:val="21"/>
              </w:rPr>
              <w:t>处长助理、副处长。</w:t>
            </w:r>
            <w:r>
              <w:rPr>
                <w:rFonts w:ascii="宋体" w:hAnsi="宋体" w:cs="宋体" w:eastAsia="宋体" w:hint="default"/>
                <w:spacing w:val="-4"/>
                <w:sz w:val="21"/>
                <w:szCs w:val="21"/>
              </w:rPr>
              <w:t>2010</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宋体" w:hAnsi="宋体" w:cs="宋体" w:eastAsia="宋体" w:hint="default"/>
                <w:sz w:val="21"/>
                <w:szCs w:val="21"/>
              </w:rPr>
              <w:t>4</w:t>
            </w:r>
            <w:r>
              <w:rPr>
                <w:rFonts w:ascii="宋体" w:hAnsi="宋体" w:cs="宋体" w:eastAsia="宋体" w:hint="default"/>
                <w:spacing w:val="-30"/>
                <w:sz w:val="21"/>
                <w:szCs w:val="21"/>
              </w:rPr>
              <w:t> </w:t>
            </w:r>
            <w:r>
              <w:rPr>
                <w:rFonts w:ascii="宋体" w:hAnsi="宋体" w:cs="宋体" w:eastAsia="宋体" w:hint="default"/>
                <w:spacing w:val="-3"/>
                <w:sz w:val="21"/>
                <w:szCs w:val="21"/>
              </w:rPr>
              <w:t>月至今，任清华控股有限公司副总裁。现兼任清华控股集团财务有限公司董事长、清控资产管理有限公司董</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事等职务。</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孙娟</w:t>
            </w:r>
          </w:p>
        </w:tc>
        <w:tc>
          <w:tcPr>
            <w:tcW w:w="12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孙娟女士，</w:t>
            </w:r>
            <w:r>
              <w:rPr>
                <w:rFonts w:ascii="宋体" w:hAnsi="宋体" w:cs="宋体" w:eastAsia="宋体" w:hint="default"/>
                <w:sz w:val="21"/>
                <w:szCs w:val="21"/>
              </w:rPr>
              <w:t>2016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z w:val="21"/>
                <w:szCs w:val="21"/>
              </w:rPr>
              <w:t>日至今任公司第七届监事会监事之职。</w:t>
            </w:r>
            <w:r>
              <w:rPr>
                <w:rFonts w:ascii="宋体" w:hAnsi="宋体" w:cs="宋体" w:eastAsia="宋体" w:hint="default"/>
                <w:sz w:val="21"/>
                <w:szCs w:val="21"/>
              </w:rPr>
              <w:t>2007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月，就职于北京市中盛律师事务所，</w:t>
            </w: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月至今，就职于清华控股有限公司。现为清华控股有限公司企业管理部公司治理总监。</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刘刚</w:t>
            </w:r>
          </w:p>
        </w:tc>
        <w:tc>
          <w:tcPr>
            <w:tcW w:w="12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刘刚先生，</w:t>
            </w:r>
            <w:r>
              <w:rPr>
                <w:rFonts w:ascii="宋体" w:hAnsi="宋体" w:cs="宋体" w:eastAsia="宋体" w:hint="default"/>
                <w:sz w:val="21"/>
                <w:szCs w:val="21"/>
              </w:rPr>
              <w:t>2016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11</w:t>
            </w:r>
            <w:r>
              <w:rPr>
                <w:rFonts w:ascii="宋体" w:hAnsi="宋体" w:cs="宋体" w:eastAsia="宋体" w:hint="default"/>
                <w:spacing w:val="-46"/>
                <w:sz w:val="21"/>
                <w:szCs w:val="21"/>
              </w:rPr>
              <w:t> </w:t>
            </w:r>
            <w:r>
              <w:rPr>
                <w:rFonts w:ascii="宋体" w:hAnsi="宋体" w:cs="宋体" w:eastAsia="宋体" w:hint="default"/>
                <w:sz w:val="21"/>
                <w:szCs w:val="21"/>
              </w:rPr>
              <w:t>日至今，任公司第七届监事会监事之职。</w:t>
            </w:r>
            <w:r>
              <w:rPr>
                <w:rFonts w:ascii="宋体" w:hAnsi="宋体" w:cs="宋体" w:eastAsia="宋体" w:hint="default"/>
                <w:sz w:val="21"/>
                <w:szCs w:val="21"/>
              </w:rPr>
              <w:t>2000</w:t>
            </w:r>
            <w:r>
              <w:rPr>
                <w:rFonts w:ascii="宋体" w:hAnsi="宋体" w:cs="宋体" w:eastAsia="宋体" w:hint="default"/>
                <w:spacing w:val="-49"/>
                <w:sz w:val="21"/>
                <w:szCs w:val="21"/>
              </w:rPr>
              <w:t> </w:t>
            </w:r>
            <w:r>
              <w:rPr>
                <w:rFonts w:ascii="宋体" w:hAnsi="宋体" w:cs="宋体" w:eastAsia="宋体" w:hint="default"/>
                <w:sz w:val="21"/>
                <w:szCs w:val="21"/>
              </w:rPr>
              <w:t>年至</w:t>
            </w:r>
            <w:r>
              <w:rPr>
                <w:rFonts w:ascii="宋体" w:hAnsi="宋体" w:cs="宋体" w:eastAsia="宋体" w:hint="default"/>
                <w:spacing w:val="-46"/>
                <w:sz w:val="21"/>
                <w:szCs w:val="21"/>
              </w:rPr>
              <w:t> </w:t>
            </w:r>
            <w:r>
              <w:rPr>
                <w:rFonts w:ascii="宋体" w:hAnsi="宋体" w:cs="宋体" w:eastAsia="宋体" w:hint="default"/>
                <w:sz w:val="21"/>
                <w:szCs w:val="21"/>
              </w:rPr>
              <w:t>2006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9</w:t>
            </w:r>
            <w:r>
              <w:rPr>
                <w:rFonts w:ascii="宋体" w:hAnsi="宋体" w:cs="宋体" w:eastAsia="宋体" w:hint="default"/>
                <w:spacing w:val="-49"/>
                <w:sz w:val="21"/>
                <w:szCs w:val="21"/>
              </w:rPr>
              <w:t> </w:t>
            </w:r>
            <w:r>
              <w:rPr>
                <w:rFonts w:ascii="宋体" w:hAnsi="宋体" w:cs="宋体" w:eastAsia="宋体" w:hint="default"/>
                <w:sz w:val="21"/>
                <w:szCs w:val="21"/>
              </w:rPr>
              <w:t>月，任公司能源环境本部人环工程公司总经理，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7"/>
                <w:sz w:val="21"/>
                <w:szCs w:val="21"/>
              </w:rPr>
              <w:t> </w:t>
            </w:r>
            <w:r>
              <w:rPr>
                <w:rFonts w:ascii="宋体" w:hAnsi="宋体" w:cs="宋体" w:eastAsia="宋体" w:hint="default"/>
                <w:sz w:val="21"/>
                <w:szCs w:val="21"/>
              </w:rPr>
              <w:t>月至今，历任公司总裁办公室主任、公司光电事业部总经理、公司半导体与照明产业本部常务副总经理。</w:t>
            </w:r>
          </w:p>
        </w:tc>
      </w:tr>
      <w:tr>
        <w:trPr>
          <w:trHeight w:val="55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李健航</w:t>
            </w:r>
          </w:p>
        </w:tc>
        <w:tc>
          <w:tcPr>
            <w:tcW w:w="12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李健航先生，</w:t>
            </w:r>
            <w:r>
              <w:rPr>
                <w:rFonts w:ascii="宋体" w:hAnsi="宋体" w:cs="宋体" w:eastAsia="宋体" w:hint="default"/>
                <w:sz w:val="21"/>
                <w:szCs w:val="21"/>
              </w:rPr>
              <w:t>2016</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5</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11</w:t>
            </w:r>
            <w:r>
              <w:rPr>
                <w:rFonts w:ascii="宋体" w:hAnsi="宋体" w:cs="宋体" w:eastAsia="宋体" w:hint="default"/>
                <w:spacing w:val="-45"/>
                <w:sz w:val="21"/>
                <w:szCs w:val="21"/>
              </w:rPr>
              <w:t> </w:t>
            </w:r>
            <w:r>
              <w:rPr>
                <w:rFonts w:ascii="宋体" w:hAnsi="宋体" w:cs="宋体" w:eastAsia="宋体" w:hint="default"/>
                <w:sz w:val="21"/>
                <w:szCs w:val="21"/>
              </w:rPr>
              <w:t>日至今，任公司首席运营官（</w:t>
            </w:r>
            <w:r>
              <w:rPr>
                <w:rFonts w:ascii="宋体" w:hAnsi="宋体" w:cs="宋体" w:eastAsia="宋体" w:hint="default"/>
                <w:sz w:val="21"/>
                <w:szCs w:val="21"/>
              </w:rPr>
              <w:t>COO</w:t>
            </w:r>
            <w:r>
              <w:rPr>
                <w:rFonts w:ascii="宋体" w:hAnsi="宋体" w:cs="宋体" w:eastAsia="宋体" w:hint="default"/>
                <w:sz w:val="21"/>
                <w:szCs w:val="21"/>
              </w:rPr>
              <w:t>）之职。</w:t>
            </w:r>
            <w:r>
              <w:rPr>
                <w:rFonts w:ascii="宋体" w:hAnsi="宋体" w:cs="宋体" w:eastAsia="宋体" w:hint="default"/>
                <w:sz w:val="21"/>
                <w:szCs w:val="21"/>
              </w:rPr>
              <w:t>1999</w:t>
            </w:r>
            <w:r>
              <w:rPr>
                <w:rFonts w:ascii="宋体" w:hAnsi="宋体" w:cs="宋体" w:eastAsia="宋体" w:hint="default"/>
                <w:spacing w:val="-45"/>
                <w:sz w:val="21"/>
                <w:szCs w:val="21"/>
              </w:rPr>
              <w:t> </w:t>
            </w:r>
            <w:r>
              <w:rPr>
                <w:rFonts w:ascii="宋体" w:hAnsi="宋体" w:cs="宋体" w:eastAsia="宋体" w:hint="default"/>
                <w:sz w:val="21"/>
                <w:szCs w:val="21"/>
              </w:rPr>
              <w:t>年至今，历任公司计算机公司总工程师、总经理、公司副总</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裁兼计算机系统本部总经理、公司多媒体技术产业本部总经理。</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秦绪忠</w:t>
            </w:r>
          </w:p>
        </w:tc>
        <w:tc>
          <w:tcPr>
            <w:tcW w:w="12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秦绪忠先生，</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pacing w:val="-3"/>
                <w:sz w:val="21"/>
                <w:szCs w:val="21"/>
              </w:rPr>
              <w:t>日至今，任公司副总裁之职。</w:t>
            </w:r>
            <w:r>
              <w:rPr>
                <w:rFonts w:ascii="宋体" w:hAnsi="宋体" w:cs="宋体" w:eastAsia="宋体" w:hint="default"/>
                <w:spacing w:val="-3"/>
                <w:sz w:val="21"/>
                <w:szCs w:val="21"/>
              </w:rPr>
              <w:t>2000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月至今，历任公司智能市政事业部总经理；数字城市产业本部常务副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总经理、工程中心总经理；公司总裁助理；同方节能工程技术有限公司总经理。</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周海英</w:t>
            </w:r>
          </w:p>
        </w:tc>
        <w:tc>
          <w:tcPr>
            <w:tcW w:w="12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周海英先生，</w:t>
            </w:r>
            <w:r>
              <w:rPr>
                <w:rFonts w:ascii="宋体" w:hAnsi="宋体" w:cs="宋体" w:eastAsia="宋体" w:hint="default"/>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16</w:t>
            </w:r>
            <w:r>
              <w:rPr>
                <w:rFonts w:ascii="宋体" w:hAnsi="宋体" w:cs="宋体" w:eastAsia="宋体" w:hint="default"/>
                <w:spacing w:val="-49"/>
                <w:sz w:val="21"/>
                <w:szCs w:val="21"/>
              </w:rPr>
              <w:t> </w:t>
            </w:r>
            <w:r>
              <w:rPr>
                <w:rFonts w:ascii="宋体" w:hAnsi="宋体" w:cs="宋体" w:eastAsia="宋体" w:hint="default"/>
                <w:sz w:val="21"/>
                <w:szCs w:val="21"/>
              </w:rPr>
              <w:t>日至今，任公司财务总监、财务负责人之职。</w:t>
            </w:r>
            <w:r>
              <w:rPr>
                <w:rFonts w:ascii="宋体" w:hAnsi="宋体" w:cs="宋体" w:eastAsia="宋体" w:hint="default"/>
                <w:sz w:val="21"/>
                <w:szCs w:val="21"/>
              </w:rPr>
              <w:t>2003</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月，历任清华控股有限公司财务部高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级经理、副部长、资产财务管理部部长、资金财务部总经理、总裁助理。</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刘卫东</w:t>
            </w:r>
          </w:p>
        </w:tc>
        <w:tc>
          <w:tcPr>
            <w:tcW w:w="12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5"/>
              <w:jc w:val="left"/>
              <w:rPr>
                <w:rFonts w:ascii="宋体" w:hAnsi="宋体" w:cs="宋体" w:eastAsia="宋体" w:hint="default"/>
                <w:sz w:val="21"/>
                <w:szCs w:val="21"/>
              </w:rPr>
            </w:pPr>
            <w:r>
              <w:rPr>
                <w:rFonts w:ascii="宋体" w:hAnsi="宋体" w:cs="宋体" w:eastAsia="宋体" w:hint="default"/>
                <w:spacing w:val="-4"/>
                <w:sz w:val="21"/>
                <w:szCs w:val="21"/>
              </w:rPr>
              <w:t>刘卫东先生，</w:t>
            </w:r>
            <w:r>
              <w:rPr>
                <w:rFonts w:ascii="宋体" w:hAnsi="宋体" w:cs="宋体" w:eastAsia="宋体" w:hint="default"/>
                <w:spacing w:val="-4"/>
                <w:sz w:val="21"/>
                <w:szCs w:val="21"/>
              </w:rPr>
              <w:t>2016</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5</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40"/>
                <w:sz w:val="21"/>
                <w:szCs w:val="21"/>
              </w:rPr>
              <w:t> </w:t>
            </w:r>
            <w:r>
              <w:rPr>
                <w:rFonts w:ascii="宋体" w:hAnsi="宋体" w:cs="宋体" w:eastAsia="宋体" w:hint="default"/>
                <w:sz w:val="21"/>
                <w:szCs w:val="21"/>
              </w:rPr>
              <w:t>11</w:t>
            </w:r>
            <w:r>
              <w:rPr>
                <w:rFonts w:ascii="宋体" w:hAnsi="宋体" w:cs="宋体" w:eastAsia="宋体" w:hint="default"/>
                <w:spacing w:val="-37"/>
                <w:sz w:val="21"/>
                <w:szCs w:val="21"/>
              </w:rPr>
              <w:t> </w:t>
            </w:r>
            <w:r>
              <w:rPr>
                <w:rFonts w:ascii="宋体" w:hAnsi="宋体" w:cs="宋体" w:eastAsia="宋体" w:hint="default"/>
                <w:spacing w:val="-5"/>
                <w:sz w:val="21"/>
                <w:szCs w:val="21"/>
              </w:rPr>
              <w:t>日至今，任公司副总裁之职。</w:t>
            </w:r>
            <w:r>
              <w:rPr>
                <w:rFonts w:ascii="宋体" w:hAnsi="宋体" w:cs="宋体" w:eastAsia="宋体" w:hint="default"/>
                <w:spacing w:val="-5"/>
                <w:sz w:val="21"/>
                <w:szCs w:val="21"/>
              </w:rPr>
              <w:t>2003</w:t>
            </w:r>
            <w:r>
              <w:rPr>
                <w:rFonts w:ascii="宋体" w:hAnsi="宋体" w:cs="宋体" w:eastAsia="宋体" w:hint="default"/>
                <w:spacing w:val="-37"/>
                <w:sz w:val="21"/>
                <w:szCs w:val="21"/>
              </w:rPr>
              <w:t> </w:t>
            </w:r>
            <w:r>
              <w:rPr>
                <w:rFonts w:ascii="宋体" w:hAnsi="宋体" w:cs="宋体" w:eastAsia="宋体" w:hint="default"/>
                <w:spacing w:val="-4"/>
                <w:sz w:val="21"/>
                <w:szCs w:val="21"/>
              </w:rPr>
              <w:t>年至今，历任公司审计部副总经理、公司副总会计师、副总裁兼总会计师、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副总裁兼财务总监。</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李吉生</w:t>
            </w:r>
          </w:p>
        </w:tc>
        <w:tc>
          <w:tcPr>
            <w:tcW w:w="12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李吉生先生，</w:t>
            </w:r>
            <w:r>
              <w:rPr>
                <w:rFonts w:ascii="宋体" w:hAnsi="宋体" w:cs="宋体" w:eastAsia="宋体" w:hint="default"/>
                <w:sz w:val="21"/>
                <w:szCs w:val="21"/>
              </w:rPr>
              <w:t>2016</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5</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11</w:t>
            </w:r>
            <w:r>
              <w:rPr>
                <w:rFonts w:ascii="宋体" w:hAnsi="宋体" w:cs="宋体" w:eastAsia="宋体" w:hint="default"/>
                <w:spacing w:val="-41"/>
                <w:sz w:val="21"/>
                <w:szCs w:val="21"/>
              </w:rPr>
              <w:t> </w:t>
            </w:r>
            <w:r>
              <w:rPr>
                <w:rFonts w:ascii="宋体" w:hAnsi="宋体" w:cs="宋体" w:eastAsia="宋体" w:hint="default"/>
                <w:spacing w:val="-3"/>
                <w:sz w:val="21"/>
                <w:szCs w:val="21"/>
              </w:rPr>
              <w:t>日至今，任公司副总裁之职。</w:t>
            </w:r>
            <w:r>
              <w:rPr>
                <w:rFonts w:ascii="宋体" w:hAnsi="宋体" w:cs="宋体" w:eastAsia="宋体" w:hint="default"/>
                <w:spacing w:val="-3"/>
                <w:sz w:val="21"/>
                <w:szCs w:val="21"/>
              </w:rPr>
              <w:t>1997</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pacing w:val="-3"/>
                <w:sz w:val="21"/>
                <w:szCs w:val="21"/>
              </w:rPr>
              <w:t>月至今，历任公司人工环境公司总经理、信息系统公司总经理、公司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副总裁兼应用信息系统本部总经理、总工程师、公司军工产业本部总经理。</w:t>
            </w:r>
          </w:p>
        </w:tc>
      </w:tr>
      <w:tr>
        <w:trPr>
          <w:trHeight w:val="55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周侠</w:t>
            </w:r>
          </w:p>
        </w:tc>
        <w:tc>
          <w:tcPr>
            <w:tcW w:w="12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周侠先生，</w:t>
            </w:r>
            <w:r>
              <w:rPr>
                <w:rFonts w:ascii="宋体" w:hAnsi="宋体" w:cs="宋体" w:eastAsia="宋体" w:hint="default"/>
                <w:spacing w:val="-3"/>
                <w:sz w:val="21"/>
                <w:szCs w:val="21"/>
              </w:rPr>
              <w:t>2016</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5</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11</w:t>
            </w:r>
            <w:r>
              <w:rPr>
                <w:rFonts w:ascii="宋体" w:hAnsi="宋体" w:cs="宋体" w:eastAsia="宋体" w:hint="default"/>
                <w:spacing w:val="-44"/>
                <w:sz w:val="21"/>
                <w:szCs w:val="21"/>
              </w:rPr>
              <w:t> </w:t>
            </w:r>
            <w:r>
              <w:rPr>
                <w:rFonts w:ascii="宋体" w:hAnsi="宋体" w:cs="宋体" w:eastAsia="宋体" w:hint="default"/>
                <w:spacing w:val="-3"/>
                <w:sz w:val="21"/>
                <w:szCs w:val="21"/>
              </w:rPr>
              <w:t>日至今，任公司副总裁兼物联网应用产业本部总经理。</w:t>
            </w:r>
            <w:r>
              <w:rPr>
                <w:rFonts w:ascii="宋体" w:hAnsi="宋体" w:cs="宋体" w:eastAsia="宋体" w:hint="default"/>
                <w:spacing w:val="-3"/>
                <w:sz w:val="21"/>
                <w:szCs w:val="21"/>
              </w:rPr>
              <w:t>2000</w:t>
            </w:r>
            <w:r>
              <w:rPr>
                <w:rFonts w:ascii="宋体" w:hAnsi="宋体" w:cs="宋体" w:eastAsia="宋体" w:hint="default"/>
                <w:spacing w:val="-44"/>
                <w:sz w:val="21"/>
                <w:szCs w:val="21"/>
              </w:rPr>
              <w:t> </w:t>
            </w:r>
            <w:r>
              <w:rPr>
                <w:rFonts w:ascii="宋体" w:hAnsi="宋体" w:cs="宋体" w:eastAsia="宋体" w:hint="default"/>
                <w:sz w:val="21"/>
                <w:szCs w:val="21"/>
              </w:rPr>
              <w:t>年至今，历任同方股份有限公司应用信息系统本部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教育行业事业部总经理、应用信息系统本部副总经理、政务系统科技公司总经理、物联网应用产业本部总经理、总裁助理、副总裁。</w:t>
            </w:r>
          </w:p>
        </w:tc>
      </w:tr>
      <w:tr>
        <w:trPr>
          <w:trHeight w:val="8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赵维健</w:t>
            </w:r>
          </w:p>
        </w:tc>
        <w:tc>
          <w:tcPr>
            <w:tcW w:w="12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赵维健先生，</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日至今，任公司副总裁兼公司创新研究院院长之职。</w:t>
            </w:r>
            <w:r>
              <w:rPr>
                <w:rFonts w:ascii="宋体" w:hAnsi="宋体" w:cs="宋体" w:eastAsia="宋体" w:hint="default"/>
                <w:sz w:val="21"/>
                <w:szCs w:val="21"/>
              </w:rPr>
              <w:t>1989</w:t>
            </w:r>
            <w:r>
              <w:rPr>
                <w:rFonts w:ascii="宋体" w:hAnsi="宋体" w:cs="宋体" w:eastAsia="宋体" w:hint="default"/>
                <w:spacing w:val="-53"/>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宋体" w:hAnsi="宋体" w:cs="宋体" w:eastAsia="宋体" w:hint="default"/>
                <w:sz w:val="21"/>
                <w:szCs w:val="21"/>
              </w:rPr>
              <w:t>2001</w:t>
            </w:r>
            <w:r>
              <w:rPr>
                <w:rFonts w:ascii="宋体" w:hAnsi="宋体" w:cs="宋体" w:eastAsia="宋体" w:hint="default"/>
                <w:spacing w:val="-52"/>
                <w:sz w:val="21"/>
                <w:szCs w:val="21"/>
              </w:rPr>
              <w:t> </w:t>
            </w:r>
            <w:r>
              <w:rPr>
                <w:rFonts w:ascii="宋体" w:hAnsi="宋体" w:cs="宋体" w:eastAsia="宋体" w:hint="default"/>
                <w:sz w:val="21"/>
                <w:szCs w:val="21"/>
              </w:rPr>
              <w:t>年在华润集团工作。</w:t>
            </w:r>
            <w:r>
              <w:rPr>
                <w:rFonts w:ascii="宋体" w:hAnsi="宋体" w:cs="宋体" w:eastAsia="宋体" w:hint="default"/>
                <w:sz w:val="21"/>
                <w:szCs w:val="21"/>
              </w:rPr>
              <w:t>2001</w:t>
            </w:r>
            <w:r>
              <w:rPr>
                <w:rFonts w:ascii="宋体" w:hAnsi="宋体" w:cs="宋体" w:eastAsia="宋体" w:hint="default"/>
                <w:spacing w:val="-55"/>
                <w:sz w:val="21"/>
                <w:szCs w:val="21"/>
              </w:rPr>
              <w:t> </w:t>
            </w:r>
            <w:r>
              <w:rPr>
                <w:rFonts w:ascii="宋体" w:hAnsi="宋体" w:cs="宋体" w:eastAsia="宋体" w:hint="default"/>
                <w:sz w:val="21"/>
                <w:szCs w:val="21"/>
              </w:rPr>
              <w:t>年创办北京同</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3"/>
                <w:sz w:val="21"/>
                <w:szCs w:val="21"/>
              </w:rPr>
              <w:t>方微电子有限公司，曾任北京同方微电子有限公司总经理、董事长、同方股份有限公司副总裁。</w:t>
            </w:r>
            <w:r>
              <w:rPr>
                <w:rFonts w:ascii="宋体" w:hAnsi="宋体" w:cs="宋体" w:eastAsia="宋体" w:hint="default"/>
                <w:spacing w:val="-3"/>
                <w:sz w:val="21"/>
                <w:szCs w:val="21"/>
              </w:rPr>
              <w:t>2012</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5</w:t>
            </w:r>
            <w:r>
              <w:rPr>
                <w:rFonts w:ascii="宋体" w:hAnsi="宋体" w:cs="宋体" w:eastAsia="宋体" w:hint="default"/>
                <w:spacing w:val="-44"/>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2015</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11</w:t>
            </w:r>
            <w:r>
              <w:rPr>
                <w:rFonts w:ascii="宋体" w:hAnsi="宋体" w:cs="宋体" w:eastAsia="宋体" w:hint="default"/>
                <w:spacing w:val="-46"/>
                <w:sz w:val="21"/>
                <w:szCs w:val="21"/>
              </w:rPr>
              <w:t> </w:t>
            </w:r>
            <w:r>
              <w:rPr>
                <w:rFonts w:ascii="宋体" w:hAnsi="宋体" w:cs="宋体" w:eastAsia="宋体" w:hint="default"/>
                <w:spacing w:val="-5"/>
                <w:sz w:val="21"/>
                <w:szCs w:val="21"/>
              </w:rPr>
              <w:t>月，任同方国芯</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电子股份有限公司董事、总裁。</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高志</w:t>
            </w:r>
          </w:p>
        </w:tc>
        <w:tc>
          <w:tcPr>
            <w:tcW w:w="12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高志先生，</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z w:val="21"/>
                <w:szCs w:val="21"/>
              </w:rPr>
              <w:t>日至今，任公司副总裁之职。</w:t>
            </w:r>
            <w:r>
              <w:rPr>
                <w:rFonts w:ascii="宋体" w:hAnsi="宋体" w:cs="宋体" w:eastAsia="宋体" w:hint="default"/>
                <w:sz w:val="21"/>
                <w:szCs w:val="21"/>
              </w:rPr>
              <w:t>1997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月，历任空调设备公司副总经理、常务副总经理；销售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中心副总经理、总经理；应用信息系统本部副总经理；企管部总经理；总裁助理兼运营中心总经理；专务副总裁兼运营中心总经理。</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燕宪文</w:t>
            </w:r>
          </w:p>
        </w:tc>
        <w:tc>
          <w:tcPr>
            <w:tcW w:w="12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燕宪文先生，</w:t>
            </w:r>
            <w:r>
              <w:rPr>
                <w:rFonts w:ascii="宋体" w:hAnsi="宋体" w:cs="宋体" w:eastAsia="宋体" w:hint="default"/>
                <w:spacing w:val="-4"/>
                <w:sz w:val="21"/>
                <w:szCs w:val="21"/>
              </w:rPr>
              <w:t>2018</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6"/>
                <w:sz w:val="21"/>
                <w:szCs w:val="21"/>
              </w:rPr>
              <w:t> </w:t>
            </w:r>
            <w:r>
              <w:rPr>
                <w:rFonts w:ascii="宋体" w:hAnsi="宋体" w:cs="宋体" w:eastAsia="宋体" w:hint="default"/>
                <w:spacing w:val="-5"/>
                <w:sz w:val="21"/>
                <w:szCs w:val="21"/>
              </w:rPr>
              <w:t>月至今，任公司副总裁之职。</w:t>
            </w:r>
            <w:r>
              <w:rPr>
                <w:rFonts w:ascii="宋体" w:hAnsi="宋体" w:cs="宋体" w:eastAsia="宋体" w:hint="default"/>
                <w:spacing w:val="-5"/>
                <w:sz w:val="21"/>
                <w:szCs w:val="21"/>
              </w:rPr>
              <w:t>2008</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z w:val="21"/>
                <w:szCs w:val="21"/>
              </w:rPr>
              <w:t>月至</w:t>
            </w:r>
            <w:r>
              <w:rPr>
                <w:rFonts w:ascii="宋体" w:hAnsi="宋体" w:cs="宋体" w:eastAsia="宋体" w:hint="default"/>
                <w:spacing w:val="-45"/>
                <w:sz w:val="21"/>
                <w:szCs w:val="21"/>
              </w:rPr>
              <w:t> </w:t>
            </w:r>
            <w:r>
              <w:rPr>
                <w:rFonts w:ascii="宋体" w:hAnsi="宋体" w:cs="宋体" w:eastAsia="宋体" w:hint="default"/>
                <w:sz w:val="21"/>
                <w:szCs w:val="21"/>
              </w:rPr>
              <w:t>2009</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5"/>
                <w:sz w:val="21"/>
                <w:szCs w:val="21"/>
              </w:rPr>
              <w:t> </w:t>
            </w:r>
            <w:r>
              <w:rPr>
                <w:rFonts w:ascii="宋体" w:hAnsi="宋体" w:cs="宋体" w:eastAsia="宋体" w:hint="default"/>
                <w:spacing w:val="-4"/>
                <w:sz w:val="21"/>
                <w:szCs w:val="21"/>
              </w:rPr>
              <w:t>月，担任北京同方吉兆科技有限公司服务中心总经理；</w:t>
            </w:r>
            <w:r>
              <w:rPr>
                <w:rFonts w:ascii="宋体" w:hAnsi="宋体" w:cs="宋体" w:eastAsia="宋体" w:hint="default"/>
                <w:spacing w:val="-4"/>
                <w:sz w:val="21"/>
                <w:szCs w:val="21"/>
              </w:rPr>
              <w:t>2010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月，历任北京同方凌讯科技有限公司总经办副总经理、总经理，兼任凌讯吉兆党支部书记。</w:t>
            </w:r>
          </w:p>
        </w:tc>
      </w:tr>
      <w:tr>
        <w:trPr>
          <w:trHeight w:val="55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张兴虎</w:t>
            </w:r>
          </w:p>
        </w:tc>
        <w:tc>
          <w:tcPr>
            <w:tcW w:w="12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张兴虎先生，</w:t>
            </w:r>
            <w:r>
              <w:rPr>
                <w:rFonts w:ascii="宋体" w:hAnsi="宋体" w:cs="宋体" w:eastAsia="宋体" w:hint="default"/>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月至今，任公司副总裁兼军民融合产业本部总经理之职。</w:t>
            </w:r>
            <w:r>
              <w:rPr>
                <w:rFonts w:ascii="宋体" w:hAnsi="宋体" w:cs="宋体" w:eastAsia="宋体" w:hint="default"/>
                <w:sz w:val="21"/>
                <w:szCs w:val="21"/>
              </w:rPr>
              <w:t>2008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6"/>
                <w:sz w:val="21"/>
                <w:szCs w:val="21"/>
              </w:rPr>
              <w:t> </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6"/>
                <w:sz w:val="21"/>
                <w:szCs w:val="21"/>
              </w:rPr>
              <w:t> </w:t>
            </w:r>
            <w:r>
              <w:rPr>
                <w:rFonts w:ascii="宋体" w:hAnsi="宋体" w:cs="宋体" w:eastAsia="宋体" w:hint="default"/>
                <w:sz w:val="21"/>
                <w:szCs w:val="21"/>
              </w:rPr>
              <w:t>月，担任北京同方凌讯科技有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限公司常务副总经理；</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月，担任公司军民融合指挥部下属子公司总经理。</w:t>
            </w:r>
          </w:p>
        </w:tc>
      </w:tr>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张园园</w:t>
            </w:r>
          </w:p>
        </w:tc>
        <w:tc>
          <w:tcPr>
            <w:tcW w:w="12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张园园女士，</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z w:val="21"/>
                <w:szCs w:val="21"/>
              </w:rPr>
              <w:t>日至今，任公司董事会秘书之职。</w:t>
            </w:r>
            <w:r>
              <w:rPr>
                <w:rFonts w:ascii="宋体" w:hAnsi="宋体" w:cs="宋体" w:eastAsia="宋体" w:hint="default"/>
                <w:sz w:val="21"/>
                <w:szCs w:val="21"/>
              </w:rPr>
              <w:t>2002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月，历任公司应用信息系统本部商务经理；公司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bl>
    <w:p>
      <w:pPr>
        <w:spacing w:after="0" w:line="273" w:lineRule="exact"/>
        <w:jc w:val="left"/>
        <w:rPr>
          <w:rFonts w:ascii="宋体" w:hAnsi="宋体" w:cs="宋体" w:eastAsia="宋体" w:hint="default"/>
          <w:sz w:val="21"/>
          <w:szCs w:val="21"/>
        </w:rPr>
        <w:sectPr>
          <w:pgSz w:w="16840" w:h="11910" w:orient="landscape"/>
          <w:pgMar w:header="0" w:footer="1193" w:top="800" w:bottom="1380" w:left="1280" w:right="1180"/>
        </w:sectPr>
      </w:pPr>
    </w:p>
    <w:p>
      <w:pPr>
        <w:spacing w:before="17"/>
        <w:ind w:left="6498" w:right="653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20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1368"/>
        <w:gridCol w:w="12775"/>
      </w:tblGrid>
      <w:tr>
        <w:trPr>
          <w:trHeight w:val="55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童利斌</w:t>
            </w:r>
          </w:p>
        </w:tc>
        <w:tc>
          <w:tcPr>
            <w:tcW w:w="127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6"/>
              <w:jc w:val="left"/>
              <w:rPr>
                <w:rFonts w:ascii="宋体" w:hAnsi="宋体" w:cs="宋体" w:eastAsia="宋体" w:hint="default"/>
                <w:sz w:val="21"/>
                <w:szCs w:val="21"/>
              </w:rPr>
            </w:pPr>
            <w:r>
              <w:rPr>
                <w:rFonts w:ascii="宋体" w:hAnsi="宋体" w:cs="宋体" w:eastAsia="宋体" w:hint="default"/>
                <w:sz w:val="21"/>
                <w:szCs w:val="21"/>
              </w:rPr>
              <w:t>童利斌先生，</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pacing w:val="-3"/>
                <w:sz w:val="21"/>
                <w:szCs w:val="21"/>
              </w:rPr>
              <w:t>日至今，任公司第七届董事会董事之职。</w:t>
            </w:r>
            <w:r>
              <w:rPr>
                <w:rFonts w:ascii="宋体" w:hAnsi="宋体" w:cs="宋体" w:eastAsia="宋体" w:hint="default"/>
                <w:spacing w:val="-3"/>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15</w:t>
            </w:r>
            <w:r>
              <w:rPr>
                <w:rFonts w:ascii="宋体" w:hAnsi="宋体" w:cs="宋体" w:eastAsia="宋体" w:hint="default"/>
                <w:spacing w:val="-49"/>
                <w:sz w:val="21"/>
                <w:szCs w:val="21"/>
              </w:rPr>
              <w:t> </w:t>
            </w:r>
            <w:r>
              <w:rPr>
                <w:rFonts w:ascii="宋体" w:hAnsi="宋体" w:cs="宋体" w:eastAsia="宋体" w:hint="default"/>
                <w:sz w:val="21"/>
                <w:szCs w:val="21"/>
              </w:rPr>
              <w:t>日至</w:t>
            </w:r>
            <w:r>
              <w:rPr>
                <w:rFonts w:ascii="宋体" w:hAnsi="宋体" w:cs="宋体" w:eastAsia="宋体" w:hint="default"/>
                <w:spacing w:val="-49"/>
                <w:sz w:val="21"/>
                <w:szCs w:val="21"/>
              </w:rPr>
              <w:t> </w:t>
            </w:r>
            <w:r>
              <w:rPr>
                <w:rFonts w:ascii="宋体" w:hAnsi="宋体" w:cs="宋体" w:eastAsia="宋体" w:hint="default"/>
                <w:sz w:val="21"/>
                <w:szCs w:val="21"/>
              </w:rPr>
              <w:t>2015</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49"/>
                <w:sz w:val="21"/>
                <w:szCs w:val="21"/>
              </w:rPr>
              <w:t> </w:t>
            </w:r>
            <w:r>
              <w:rPr>
                <w:rFonts w:ascii="宋体" w:hAnsi="宋体" w:cs="宋体" w:eastAsia="宋体" w:hint="default"/>
                <w:spacing w:val="-3"/>
                <w:sz w:val="21"/>
                <w:szCs w:val="21"/>
              </w:rPr>
              <w:t>日，任公司第六届董事会董事。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日，历任清华控股有限公司资产运营部部长、董事会秘书、总裁助理、副总裁。</w:t>
            </w:r>
          </w:p>
        </w:tc>
      </w:tr>
    </w:tbl>
    <w:p>
      <w:pPr>
        <w:spacing w:line="240" w:lineRule="auto" w:before="9"/>
        <w:rPr>
          <w:rFonts w:ascii="宋体" w:hAnsi="宋体" w:cs="宋体" w:eastAsia="宋体" w:hint="default"/>
          <w:sz w:val="15"/>
          <w:szCs w:val="15"/>
        </w:rPr>
      </w:pPr>
    </w:p>
    <w:p>
      <w:pPr>
        <w:pStyle w:val="BodyText"/>
        <w:spacing w:line="313" w:lineRule="exact" w:before="26"/>
        <w:ind w:left="244" w:right="7389"/>
        <w:jc w:val="left"/>
      </w:pPr>
      <w:r>
        <w:rPr/>
        <w:t>其它情况说明</w:t>
      </w:r>
    </w:p>
    <w:p>
      <w:pPr>
        <w:pStyle w:val="BodyText"/>
        <w:spacing w:line="313" w:lineRule="exact"/>
        <w:ind w:left="244" w:right="7389"/>
        <w:jc w:val="left"/>
      </w:pPr>
      <w:r>
        <w:rPr/>
        <w:t>□适用</w:t>
      </w:r>
      <w:r>
        <w:rPr>
          <w:spacing w:val="-1"/>
        </w:rPr>
        <w:t> </w:t>
      </w:r>
      <w:r>
        <w:rPr/>
        <w:t>√不适用</w:t>
      </w:r>
    </w:p>
    <w:p>
      <w:pPr>
        <w:spacing w:line="240" w:lineRule="auto" w:before="10"/>
        <w:rPr>
          <w:rFonts w:ascii="宋体" w:hAnsi="宋体" w:cs="宋体" w:eastAsia="宋体" w:hint="default"/>
          <w:sz w:val="31"/>
          <w:szCs w:val="31"/>
        </w:rPr>
      </w:pPr>
    </w:p>
    <w:p>
      <w:pPr>
        <w:pStyle w:val="Heading2"/>
        <w:tabs>
          <w:tab w:pos="1084" w:val="left" w:leader="none"/>
        </w:tabs>
        <w:spacing w:line="240" w:lineRule="auto"/>
        <w:ind w:left="244" w:right="7389"/>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董事、高级管理人员报告期内被授予的股权激励情况</w:t>
      </w:r>
      <w:r>
        <w:rPr>
          <w:b w:val="0"/>
          <w:bCs w:val="0"/>
        </w:rPr>
      </w:r>
    </w:p>
    <w:p>
      <w:pPr>
        <w:pStyle w:val="BodyText"/>
        <w:spacing w:line="240" w:lineRule="auto" w:before="106"/>
        <w:ind w:left="244" w:right="7389"/>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tabs>
          <w:tab w:pos="1084" w:val="left" w:leader="none"/>
        </w:tabs>
        <w:spacing w:line="321" w:lineRule="auto"/>
        <w:ind w:left="244" w:right="7389"/>
        <w:jc w:val="left"/>
        <w:rPr>
          <w:b w:val="0"/>
          <w:bCs w:val="0"/>
        </w:rPr>
      </w:pPr>
      <w:r>
        <w:rPr>
          <w:w w:val="95"/>
        </w:rPr>
        <w:t>二、现任及报告期内离任董事、监事和高级管理人员的任职情况</w:t>
      </w:r>
      <w:r>
        <w:rPr>
          <w:spacing w:val="103"/>
          <w:w w:val="95"/>
        </w:rPr>
        <w:t> </w:t>
      </w:r>
      <w:r>
        <w:rPr>
          <w:spacing w:val="103"/>
          <w:w w:val="95"/>
        </w:rPr>
      </w:r>
      <w:r>
        <w:rPr>
          <w:rFonts w:ascii="宋体" w:hAnsi="宋体" w:cs="宋体" w:eastAsia="宋体" w:hint="default"/>
          <w:w w:val="95"/>
        </w:rPr>
        <w:t>(</w:t>
      </w:r>
      <w:r>
        <w:rPr>
          <w:w w:val="95"/>
        </w:rPr>
        <w:t>一</w:t>
      </w:r>
      <w:r>
        <w:rPr>
          <w:rFonts w:ascii="宋体" w:hAnsi="宋体" w:cs="宋体" w:eastAsia="宋体" w:hint="default"/>
          <w:w w:val="95"/>
        </w:rPr>
        <w:t>)</w:t>
        <w:tab/>
      </w:r>
      <w:r>
        <w:rPr/>
        <w:t>在股东单位任职情况</w:t>
      </w:r>
      <w:r>
        <w:rPr>
          <w:b w:val="0"/>
          <w:bCs w:val="0"/>
        </w:rPr>
      </w:r>
    </w:p>
    <w:p>
      <w:pPr>
        <w:pStyle w:val="BodyText"/>
        <w:spacing w:line="240" w:lineRule="auto" w:before="24"/>
        <w:ind w:left="244" w:right="7389"/>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3" w:right="0"/>
              <w:jc w:val="left"/>
              <w:rPr>
                <w:rFonts w:ascii="宋体" w:hAnsi="宋体" w:cs="宋体" w:eastAsia="宋体" w:hint="default"/>
                <w:sz w:val="21"/>
                <w:szCs w:val="21"/>
              </w:rPr>
            </w:pPr>
            <w:r>
              <w:rPr>
                <w:rFonts w:ascii="宋体" w:hAnsi="宋体" w:cs="宋体" w:eastAsia="宋体" w:hint="default"/>
                <w:b/>
                <w:bCs/>
                <w:sz w:val="21"/>
                <w:szCs w:val="21"/>
              </w:rPr>
              <w:t>任职人员姓名</w:t>
            </w:r>
            <w:r>
              <w:rPr>
                <w:rFonts w:ascii="宋体" w:hAnsi="宋体" w:cs="宋体" w:eastAsia="宋体" w:hint="default"/>
                <w:sz w:val="21"/>
                <w:szCs w:val="21"/>
              </w:rPr>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05" w:right="0"/>
              <w:jc w:val="left"/>
              <w:rPr>
                <w:rFonts w:ascii="宋体" w:hAnsi="宋体" w:cs="宋体" w:eastAsia="宋体" w:hint="default"/>
                <w:sz w:val="21"/>
                <w:szCs w:val="21"/>
              </w:rPr>
            </w:pPr>
            <w:r>
              <w:rPr>
                <w:rFonts w:ascii="宋体" w:hAnsi="宋体" w:cs="宋体" w:eastAsia="宋体" w:hint="default"/>
                <w:b/>
                <w:bCs/>
                <w:sz w:val="21"/>
                <w:szCs w:val="21"/>
              </w:rPr>
              <w:t>股东单位名称</w:t>
            </w:r>
            <w:r>
              <w:rPr>
                <w:rFonts w:ascii="宋体" w:hAnsi="宋体" w:cs="宋体" w:eastAsia="宋体" w:hint="default"/>
                <w:sz w:val="21"/>
                <w:szCs w:val="21"/>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8" w:right="0"/>
              <w:jc w:val="left"/>
              <w:rPr>
                <w:rFonts w:ascii="宋体" w:hAnsi="宋体" w:cs="宋体" w:eastAsia="宋体" w:hint="default"/>
                <w:sz w:val="21"/>
                <w:szCs w:val="21"/>
              </w:rPr>
            </w:pPr>
            <w:r>
              <w:rPr>
                <w:rFonts w:ascii="宋体" w:hAnsi="宋体" w:cs="宋体" w:eastAsia="宋体" w:hint="default"/>
                <w:b/>
                <w:bCs/>
                <w:sz w:val="21"/>
                <w:szCs w:val="21"/>
              </w:rPr>
              <w:t>在股东单位担任的职务</w:t>
            </w:r>
            <w:r>
              <w:rPr>
                <w:rFonts w:ascii="宋体" w:hAnsi="宋体" w:cs="宋体" w:eastAsia="宋体" w:hint="default"/>
                <w:sz w:val="21"/>
                <w:szCs w:val="21"/>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9" w:right="0"/>
              <w:jc w:val="left"/>
              <w:rPr>
                <w:rFonts w:ascii="宋体" w:hAnsi="宋体" w:cs="宋体" w:eastAsia="宋体" w:hint="default"/>
                <w:sz w:val="21"/>
                <w:szCs w:val="21"/>
              </w:rPr>
            </w:pPr>
            <w:r>
              <w:rPr>
                <w:rFonts w:ascii="宋体" w:hAnsi="宋体" w:cs="宋体" w:eastAsia="宋体" w:hint="default"/>
                <w:b/>
                <w:bCs/>
                <w:sz w:val="21"/>
                <w:szCs w:val="21"/>
              </w:rPr>
              <w:t>任期起始日期</w:t>
            </w:r>
            <w:r>
              <w:rPr>
                <w:rFonts w:ascii="宋体" w:hAnsi="宋体" w:cs="宋体" w:eastAsia="宋体" w:hint="default"/>
                <w:sz w:val="21"/>
                <w:szCs w:val="21"/>
              </w:rPr>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任期终止日期</w:t>
            </w:r>
            <w:r>
              <w:rPr>
                <w:rFonts w:ascii="宋体" w:hAnsi="宋体" w:cs="宋体" w:eastAsia="宋体" w:hint="default"/>
                <w:sz w:val="21"/>
                <w:szCs w:val="21"/>
              </w:rPr>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周立业</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范新</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李艳和</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张文娟</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孙娟</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公司治理总监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童利斌</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r>
    </w:tbl>
    <w:p>
      <w:pPr>
        <w:spacing w:line="240" w:lineRule="auto" w:before="5"/>
        <w:rPr>
          <w:rFonts w:ascii="宋体" w:hAnsi="宋体" w:cs="宋体" w:eastAsia="宋体" w:hint="default"/>
          <w:sz w:val="23"/>
          <w:szCs w:val="23"/>
        </w:rPr>
      </w:pPr>
    </w:p>
    <w:p>
      <w:pPr>
        <w:pStyle w:val="Heading2"/>
        <w:tabs>
          <w:tab w:pos="1084" w:val="left" w:leader="none"/>
        </w:tabs>
        <w:spacing w:line="240" w:lineRule="auto" w:before="26"/>
        <w:ind w:left="244" w:right="7389"/>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在其他单位任职情况</w:t>
      </w:r>
      <w:r>
        <w:rPr>
          <w:b w:val="0"/>
          <w:bCs w:val="0"/>
        </w:rPr>
      </w:r>
    </w:p>
    <w:p>
      <w:pPr>
        <w:pStyle w:val="BodyText"/>
        <w:spacing w:line="240" w:lineRule="auto" w:before="58"/>
        <w:ind w:left="244" w:right="7389"/>
        <w:jc w:val="left"/>
      </w:pPr>
      <w:r>
        <w:rPr/>
        <w:t>√适用</w:t>
      </w:r>
      <w:r>
        <w:rPr>
          <w:spacing w:val="-1"/>
        </w:rPr>
        <w:t> </w:t>
      </w:r>
      <w:r>
        <w:rPr/>
        <w:t>□不适用</w:t>
      </w:r>
    </w:p>
    <w:p>
      <w:pPr>
        <w:spacing w:line="240" w:lineRule="auto" w:before="10"/>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2768"/>
        <w:gridCol w:w="3891"/>
        <w:gridCol w:w="2648"/>
        <w:gridCol w:w="2204"/>
        <w:gridCol w:w="2355"/>
      </w:tblGrid>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任职人员姓名</w:t>
            </w:r>
            <w:r>
              <w:rPr>
                <w:rFonts w:ascii="宋体" w:hAnsi="宋体" w:cs="宋体" w:eastAsia="宋体" w:hint="default"/>
                <w:sz w:val="21"/>
                <w:szCs w:val="21"/>
              </w:rPr>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其他单位名称</w:t>
            </w:r>
            <w:r>
              <w:rPr>
                <w:rFonts w:ascii="宋体" w:hAnsi="宋体" w:cs="宋体" w:eastAsia="宋体" w:hint="default"/>
                <w:sz w:val="21"/>
                <w:szCs w:val="21"/>
              </w:rPr>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b/>
                <w:bCs/>
                <w:sz w:val="21"/>
                <w:szCs w:val="21"/>
              </w:rPr>
              <w:t>在其他单位担任的职务</w:t>
            </w:r>
            <w:r>
              <w:rPr>
                <w:rFonts w:ascii="宋体" w:hAnsi="宋体" w:cs="宋体" w:eastAsia="宋体" w:hint="default"/>
                <w:sz w:val="21"/>
                <w:szCs w:val="21"/>
              </w:rPr>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b/>
                <w:bCs/>
                <w:sz w:val="21"/>
                <w:szCs w:val="21"/>
              </w:rPr>
              <w:t>任期起始日期</w:t>
            </w:r>
            <w:r>
              <w:rPr>
                <w:rFonts w:ascii="宋体" w:hAnsi="宋体" w:cs="宋体" w:eastAsia="宋体" w:hint="default"/>
                <w:sz w:val="21"/>
                <w:szCs w:val="21"/>
              </w:rPr>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b/>
                <w:bCs/>
                <w:sz w:val="21"/>
                <w:szCs w:val="21"/>
              </w:rPr>
              <w:t>任期终止日期</w:t>
            </w:r>
            <w:r>
              <w:rPr>
                <w:rFonts w:ascii="宋体" w:hAnsi="宋体" w:cs="宋体" w:eastAsia="宋体" w:hint="default"/>
                <w:sz w:val="21"/>
                <w:szCs w:val="21"/>
              </w:rPr>
            </w:r>
          </w:p>
        </w:tc>
      </w:tr>
      <w:tr>
        <w:trPr>
          <w:trHeight w:val="284"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周立业</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博奥生物集团有限公司</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黄俞</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深圳市华融泰资产管理有限公司</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董事长、董事</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8" w:type="dxa"/>
            <w:vMerge/>
            <w:tcBorders>
              <w:left w:val="single" w:sz="4" w:space="0" w:color="000000"/>
              <w:right w:val="single" w:sz="4" w:space="0" w:color="000000"/>
            </w:tcBorders>
          </w:tcPr>
          <w:p>
            <w:pP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深圳市奥融信投资发展有限公司</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执行</w:t>
            </w:r>
            <w:r>
              <w:rPr>
                <w:rFonts w:ascii="宋体" w:hAnsi="宋体" w:cs="宋体" w:eastAsia="宋体" w:hint="default"/>
                <w:sz w:val="21"/>
                <w:szCs w:val="21"/>
              </w:rPr>
              <w:t>(</w:t>
            </w:r>
            <w:r>
              <w:rPr>
                <w:rFonts w:ascii="宋体" w:hAnsi="宋体" w:cs="宋体" w:eastAsia="宋体" w:hint="default"/>
                <w:sz w:val="21"/>
                <w:szCs w:val="21"/>
              </w:rPr>
              <w:t>常务</w:t>
            </w:r>
            <w:r>
              <w:rPr>
                <w:rFonts w:ascii="宋体" w:hAnsi="宋体" w:cs="宋体" w:eastAsia="宋体" w:hint="default"/>
                <w:sz w:val="21"/>
                <w:szCs w:val="21"/>
              </w:rPr>
              <w:t>)</w:t>
            </w:r>
            <w:r>
              <w:rPr>
                <w:rFonts w:ascii="宋体" w:hAnsi="宋体" w:cs="宋体" w:eastAsia="宋体" w:hint="default"/>
                <w:sz w:val="21"/>
                <w:szCs w:val="21"/>
              </w:rPr>
              <w:t>董事、总经理</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8" w:type="dxa"/>
            <w:vMerge/>
            <w:tcBorders>
              <w:left w:val="single" w:sz="4" w:space="0" w:color="000000"/>
              <w:bottom w:val="single" w:sz="4" w:space="0" w:color="000000"/>
              <w:right w:val="single" w:sz="4" w:space="0" w:color="000000"/>
            </w:tcBorders>
          </w:tcPr>
          <w:p>
            <w:pP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鹏华基金管理公司</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0" w:footer="1193" w:top="800" w:bottom="1380" w:left="1280" w:right="1180"/>
        </w:sectPr>
      </w:pPr>
    </w:p>
    <w:p>
      <w:pPr>
        <w:spacing w:before="17"/>
        <w:ind w:left="6478" w:right="649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768"/>
        <w:gridCol w:w="3891"/>
        <w:gridCol w:w="2648"/>
        <w:gridCol w:w="2204"/>
        <w:gridCol w:w="2355"/>
      </w:tblGrid>
      <w:tr>
        <w:trPr>
          <w:trHeight w:val="281" w:hRule="exact"/>
        </w:trPr>
        <w:tc>
          <w:tcPr>
            <w:tcW w:w="2768" w:type="dxa"/>
            <w:vMerge w:val="restart"/>
            <w:tcBorders>
              <w:top w:val="single" w:sz="4" w:space="0" w:color="000000"/>
              <w:left w:val="single" w:sz="4" w:space="0" w:color="000000"/>
              <w:right w:val="single" w:sz="4" w:space="0" w:color="000000"/>
            </w:tcBorders>
          </w:tcPr>
          <w:p>
            <w:pP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深圳华控赛格股份有限公司</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8" w:type="dxa"/>
            <w:vMerge/>
            <w:tcBorders>
              <w:left w:val="single" w:sz="4" w:space="0" w:color="000000"/>
              <w:right w:val="single" w:sz="4" w:space="0" w:color="000000"/>
            </w:tcBorders>
          </w:tcPr>
          <w:p>
            <w:pP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深圳市前海弘泰基金管理有限公司</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8" w:type="dxa"/>
            <w:vMerge/>
            <w:tcBorders>
              <w:left w:val="single" w:sz="4" w:space="0" w:color="000000"/>
              <w:right w:val="single" w:sz="4" w:space="0" w:color="000000"/>
            </w:tcBorders>
          </w:tcPr>
          <w:p>
            <w:pP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深圳市前海清控弘泰投资发展有限公司</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8" w:type="dxa"/>
            <w:vMerge/>
            <w:tcBorders>
              <w:left w:val="single" w:sz="4" w:space="0" w:color="000000"/>
              <w:bottom w:val="single" w:sz="4" w:space="0" w:color="000000"/>
              <w:right w:val="single" w:sz="4" w:space="0" w:color="000000"/>
            </w:tcBorders>
          </w:tcPr>
          <w:p>
            <w:pP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同方康泰产业集团有限公司</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主席兼执行董事</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李艳和</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紫光集团有限公司</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范新</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诚志科融控股有限公司</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8" w:type="dxa"/>
            <w:vMerge/>
            <w:tcBorders>
              <w:left w:val="single" w:sz="4" w:space="0" w:color="000000"/>
              <w:right w:val="single" w:sz="4" w:space="0" w:color="000000"/>
            </w:tcBorders>
          </w:tcPr>
          <w:p>
            <w:pP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慕华教育投资有限公司</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8" w:type="dxa"/>
            <w:vMerge/>
            <w:tcBorders>
              <w:left w:val="single" w:sz="4" w:space="0" w:color="000000"/>
              <w:bottom w:val="single" w:sz="4" w:space="0" w:color="000000"/>
              <w:right w:val="single" w:sz="4" w:space="0" w:color="000000"/>
            </w:tcBorders>
          </w:tcPr>
          <w:p>
            <w:pP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清控人居控股集团有限公司</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何佳</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南方科技大学</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领军教授</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8" w:type="dxa"/>
            <w:vMerge/>
            <w:tcBorders>
              <w:left w:val="single" w:sz="4" w:space="0" w:color="000000"/>
              <w:right w:val="single" w:sz="4" w:space="0" w:color="000000"/>
            </w:tcBorders>
          </w:tcPr>
          <w:p>
            <w:pP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深圳市新国都技术股份有限公司</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8" w:type="dxa"/>
            <w:vMerge/>
            <w:tcBorders>
              <w:left w:val="single" w:sz="4" w:space="0" w:color="000000"/>
              <w:right w:val="single" w:sz="4" w:space="0" w:color="000000"/>
            </w:tcBorders>
          </w:tcPr>
          <w:p>
            <w:pP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中国中投证券有限责任公司</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8" w:type="dxa"/>
            <w:vMerge/>
            <w:tcBorders>
              <w:left w:val="single" w:sz="4" w:space="0" w:color="000000"/>
              <w:right w:val="single" w:sz="4" w:space="0" w:color="000000"/>
            </w:tcBorders>
          </w:tcPr>
          <w:p>
            <w:pP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中信证券股份有限公司</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8" w:type="dxa"/>
            <w:vMerge/>
            <w:tcBorders>
              <w:left w:val="single" w:sz="4" w:space="0" w:color="000000"/>
              <w:bottom w:val="single" w:sz="4" w:space="0" w:color="000000"/>
              <w:right w:val="single" w:sz="4" w:space="0" w:color="000000"/>
            </w:tcBorders>
          </w:tcPr>
          <w:p>
            <w:pP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北方国际合作股份有限公司</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蒋毅刚</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上海市锦天城（深圳）律师事务所</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高级合伙人</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赵晶</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中国人民大学</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教授、博士生导师</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8" w:type="dxa"/>
            <w:vMerge/>
            <w:tcBorders>
              <w:left w:val="single" w:sz="4" w:space="0" w:color="000000"/>
              <w:right w:val="single" w:sz="4" w:space="0" w:color="000000"/>
            </w:tcBorders>
          </w:tcPr>
          <w:p>
            <w:pP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英大泰和财产保险股份有限公司</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8" w:type="dxa"/>
            <w:vMerge/>
            <w:tcBorders>
              <w:left w:val="single" w:sz="4" w:space="0" w:color="000000"/>
              <w:right w:val="single" w:sz="4" w:space="0" w:color="000000"/>
            </w:tcBorders>
          </w:tcPr>
          <w:p>
            <w:pP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沈阳机床（集团）有限责任公司</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8" w:type="dxa"/>
            <w:vMerge/>
            <w:tcBorders>
              <w:left w:val="single" w:sz="4" w:space="0" w:color="000000"/>
              <w:bottom w:val="single" w:sz="4" w:space="0" w:color="000000"/>
              <w:right w:val="single" w:sz="4" w:space="0" w:color="000000"/>
            </w:tcBorders>
          </w:tcPr>
          <w:p>
            <w:pP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浙江尤夫股份有限公司</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张文娟</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清华控股集团财务有限公司</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8" w:type="dxa"/>
            <w:vMerge/>
            <w:tcBorders>
              <w:left w:val="single" w:sz="4" w:space="0" w:color="000000"/>
              <w:right w:val="single" w:sz="4" w:space="0" w:color="000000"/>
            </w:tcBorders>
          </w:tcPr>
          <w:p>
            <w:pP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清控资产管理有限公司</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1" w:hRule="exact"/>
        </w:trPr>
        <w:tc>
          <w:tcPr>
            <w:tcW w:w="2768" w:type="dxa"/>
            <w:vMerge/>
            <w:tcBorders>
              <w:left w:val="single" w:sz="4" w:space="0" w:color="000000"/>
              <w:bottom w:val="single" w:sz="4" w:space="0" w:color="000000"/>
              <w:right w:val="single" w:sz="4" w:space="0" w:color="000000"/>
            </w:tcBorders>
          </w:tcPr>
          <w:p>
            <w:pP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清控人居控股集团有限公司</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孙娟</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启迪桑德环境资源股份有限公司</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68" w:type="dxa"/>
            <w:vMerge/>
            <w:tcBorders>
              <w:left w:val="single" w:sz="4" w:space="0" w:color="000000"/>
              <w:bottom w:val="single" w:sz="4" w:space="0" w:color="000000"/>
              <w:right w:val="single" w:sz="4" w:space="0" w:color="000000"/>
            </w:tcBorders>
          </w:tcPr>
          <w:p>
            <w:pP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青清创科技服务（北京）有限公司</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周海英</w:t>
            </w:r>
          </w:p>
        </w:tc>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清华控股集团财务有限公司</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3" w:hRule="exact"/>
        </w:trPr>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center"/>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0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除上述情形外，公司其他董事、监事、高级管理人员不在除公司控参股公司以外的其他单位任职。</w:t>
            </w:r>
          </w:p>
        </w:tc>
      </w:tr>
    </w:tbl>
    <w:p>
      <w:pPr>
        <w:spacing w:line="240" w:lineRule="auto" w:before="4"/>
        <w:rPr>
          <w:rFonts w:ascii="宋体" w:hAnsi="宋体" w:cs="宋体" w:eastAsia="宋体" w:hint="default"/>
          <w:sz w:val="20"/>
          <w:szCs w:val="20"/>
        </w:rPr>
      </w:pPr>
    </w:p>
    <w:p>
      <w:pPr>
        <w:pStyle w:val="Heading2"/>
        <w:spacing w:line="240" w:lineRule="auto" w:before="26"/>
        <w:ind w:left="224" w:right="0"/>
        <w:jc w:val="left"/>
        <w:rPr>
          <w:b w:val="0"/>
          <w:bCs w:val="0"/>
        </w:rPr>
      </w:pPr>
      <w:r>
        <w:rPr/>
        <w:t>三、董事、监事、高级管理人员报酬情况</w:t>
      </w:r>
      <w:r>
        <w:rPr>
          <w:b w:val="0"/>
          <w:bCs w:val="0"/>
        </w:rPr>
      </w:r>
    </w:p>
    <w:p>
      <w:pPr>
        <w:pStyle w:val="BodyText"/>
        <w:spacing w:line="240" w:lineRule="auto" w:before="58"/>
        <w:ind w:left="224" w:right="0"/>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6913"/>
        <w:gridCol w:w="7177"/>
      </w:tblGrid>
      <w:tr>
        <w:trPr>
          <w:trHeight w:val="281" w:hRule="exact"/>
        </w:trPr>
        <w:tc>
          <w:tcPr>
            <w:tcW w:w="6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公司董事会对高级管理人员的绩效进行考核</w:t>
            </w:r>
          </w:p>
        </w:tc>
      </w:tr>
      <w:tr>
        <w:trPr>
          <w:trHeight w:val="283" w:hRule="exact"/>
        </w:trPr>
        <w:tc>
          <w:tcPr>
            <w:tcW w:w="6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公司资产规模、经营业绩和承担工作的职责等考评指标</w:t>
            </w:r>
          </w:p>
        </w:tc>
      </w:tr>
    </w:tbl>
    <w:p>
      <w:pPr>
        <w:spacing w:after="0" w:line="243" w:lineRule="exact"/>
        <w:jc w:val="left"/>
        <w:rPr>
          <w:rFonts w:ascii="宋体" w:hAnsi="宋体" w:cs="宋体" w:eastAsia="宋体" w:hint="default"/>
          <w:sz w:val="21"/>
          <w:szCs w:val="21"/>
        </w:rPr>
        <w:sectPr>
          <w:pgSz w:w="16840" w:h="11910" w:orient="landscape"/>
          <w:pgMar w:header="0" w:footer="1193" w:top="800" w:bottom="1380" w:left="1300" w:right="1220"/>
        </w:sectPr>
      </w:pPr>
    </w:p>
    <w:p>
      <w:pPr>
        <w:spacing w:before="17"/>
        <w:ind w:left="6478" w:right="6491"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6913"/>
        <w:gridCol w:w="7177"/>
      </w:tblGrid>
      <w:tr>
        <w:trPr>
          <w:trHeight w:val="281" w:hRule="exact"/>
        </w:trPr>
        <w:tc>
          <w:tcPr>
            <w:tcW w:w="6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董事、监事和高级管理人员报酬的实际支付情况</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目前公司管理层的薪酬体系采用年薪制</w:t>
            </w:r>
          </w:p>
        </w:tc>
      </w:tr>
      <w:tr>
        <w:trPr>
          <w:trHeight w:val="283" w:hRule="exact"/>
        </w:trPr>
        <w:tc>
          <w:tcPr>
            <w:tcW w:w="6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报告期末全体董事、监事和高级管理人员实际获得的报酬合计</w:t>
            </w:r>
          </w:p>
        </w:tc>
        <w:tc>
          <w:tcPr>
            <w:tcW w:w="7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1,740.44</w:t>
            </w:r>
            <w:r>
              <w:rPr>
                <w:rFonts w:ascii="宋体" w:hAnsi="宋体" w:cs="宋体" w:eastAsia="宋体" w:hint="default"/>
                <w:spacing w:val="-51"/>
                <w:sz w:val="21"/>
                <w:szCs w:val="21"/>
              </w:rPr>
              <w:t> </w:t>
            </w:r>
            <w:r>
              <w:rPr>
                <w:rFonts w:ascii="宋体" w:hAnsi="宋体" w:cs="宋体" w:eastAsia="宋体" w:hint="default"/>
                <w:sz w:val="21"/>
                <w:szCs w:val="21"/>
              </w:rPr>
              <w:t>万元</w:t>
            </w:r>
          </w:p>
        </w:tc>
      </w:tr>
    </w:tbl>
    <w:p>
      <w:pPr>
        <w:spacing w:line="240" w:lineRule="auto" w:before="5"/>
        <w:rPr>
          <w:rFonts w:ascii="宋体" w:hAnsi="宋体" w:cs="宋体" w:eastAsia="宋体" w:hint="default"/>
          <w:sz w:val="23"/>
          <w:szCs w:val="23"/>
        </w:rPr>
      </w:pPr>
    </w:p>
    <w:p>
      <w:pPr>
        <w:pStyle w:val="Heading2"/>
        <w:spacing w:line="240" w:lineRule="auto" w:before="26"/>
        <w:ind w:left="224" w:right="0"/>
        <w:jc w:val="left"/>
        <w:rPr>
          <w:b w:val="0"/>
          <w:bCs w:val="0"/>
        </w:rPr>
      </w:pPr>
      <w:r>
        <w:rPr/>
        <w:t>四、公司董事、监事、高级管理人员变动情况</w:t>
      </w:r>
      <w:r>
        <w:rPr>
          <w:b w:val="0"/>
          <w:bCs w:val="0"/>
        </w:rPr>
      </w:r>
    </w:p>
    <w:p>
      <w:pPr>
        <w:pStyle w:val="BodyText"/>
        <w:spacing w:line="240" w:lineRule="auto" w:before="55"/>
        <w:ind w:left="224" w:right="0"/>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466"/>
        <w:gridCol w:w="3466"/>
        <w:gridCol w:w="3466"/>
        <w:gridCol w:w="3466"/>
      </w:tblGrid>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1"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童利斌</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李艳和</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346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张兴虎</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46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燕宪文</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4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刘卫东</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3" w:hRule="exact"/>
        </w:trPr>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周海英</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3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4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0"/>
          <w:szCs w:val="20"/>
        </w:rPr>
      </w:pPr>
    </w:p>
    <w:p>
      <w:pPr>
        <w:pStyle w:val="Heading2"/>
        <w:spacing w:line="240" w:lineRule="auto" w:before="26"/>
        <w:ind w:left="224" w:right="0"/>
        <w:jc w:val="left"/>
        <w:rPr>
          <w:b w:val="0"/>
          <w:bCs w:val="0"/>
        </w:rPr>
      </w:pPr>
      <w:r>
        <w:rPr/>
        <w:t>五、近三年受证券监管机构处罚的情况说明</w:t>
      </w:r>
      <w:r>
        <w:rPr>
          <w:b w:val="0"/>
          <w:bCs w:val="0"/>
        </w:rPr>
      </w:r>
    </w:p>
    <w:p>
      <w:pPr>
        <w:pStyle w:val="BodyText"/>
        <w:spacing w:line="240" w:lineRule="auto" w:before="58"/>
        <w:ind w:left="224" w:right="0"/>
        <w:jc w:val="left"/>
      </w:pPr>
      <w:r>
        <w:rPr/>
        <w:t>□适用</w:t>
      </w:r>
      <w:r>
        <w:rPr>
          <w:spacing w:val="-1"/>
        </w:rPr>
        <w:t> </w:t>
      </w:r>
      <w:r>
        <w:rPr/>
        <w:t>√不适用</w:t>
      </w:r>
    </w:p>
    <w:p>
      <w:pPr>
        <w:spacing w:after="0" w:line="240" w:lineRule="auto"/>
        <w:jc w:val="left"/>
        <w:sectPr>
          <w:pgSz w:w="16840" w:h="11910" w:orient="landscape"/>
          <w:pgMar w:header="0" w:footer="1193" w:top="800" w:bottom="1380" w:left="1300" w:right="1220"/>
        </w:sectPr>
      </w:pPr>
    </w:p>
    <w:p>
      <w:pPr>
        <w:pStyle w:val="Heading2"/>
        <w:tabs>
          <w:tab w:pos="1061" w:val="left" w:leader="none"/>
        </w:tabs>
        <w:spacing w:line="285" w:lineRule="auto" w:before="4"/>
        <w:ind w:left="222" w:right="4889"/>
        <w:jc w:val="left"/>
        <w:rPr>
          <w:b w:val="0"/>
          <w:bCs w:val="0"/>
        </w:rPr>
      </w:pPr>
      <w:r>
        <w:rPr/>
        <w:t>六、母公司和主要子公司的员工情况</w:t>
      </w:r>
      <w:r>
        <w:rPr>
          <w:w w:val="99"/>
        </w:rPr>
        <w:t> </w:t>
      </w:r>
      <w:r>
        <w:rPr>
          <w:rFonts w:ascii="宋体" w:hAnsi="宋体" w:cs="宋体" w:eastAsia="宋体" w:hint="default"/>
          <w:w w:val="95"/>
        </w:rPr>
        <w:t>(</w:t>
      </w:r>
      <w:r>
        <w:rPr>
          <w:w w:val="95"/>
        </w:rPr>
        <w:t>一</w:t>
      </w:r>
      <w:r>
        <w:rPr>
          <w:rFonts w:ascii="宋体" w:hAnsi="宋体" w:cs="宋体" w:eastAsia="宋体" w:hint="default"/>
          <w:w w:val="95"/>
        </w:rPr>
        <w:t>)</w:t>
        <w:tab/>
      </w:r>
      <w:r>
        <w:rPr/>
        <w:t>员工情况</w:t>
      </w:r>
      <w:r>
        <w:rPr>
          <w:b w:val="0"/>
          <w:bCs w:val="0"/>
        </w:rPr>
      </w:r>
    </w:p>
    <w:p>
      <w:pPr>
        <w:spacing w:line="240" w:lineRule="auto" w:before="11"/>
        <w:rPr>
          <w:rFonts w:ascii="宋体" w:hAnsi="宋体" w:cs="宋体" w:eastAsia="宋体" w:hint="default"/>
          <w:b/>
          <w:bCs/>
          <w:sz w:val="3"/>
          <w:szCs w:val="3"/>
        </w:rPr>
      </w:pPr>
    </w:p>
    <w:tbl>
      <w:tblPr>
        <w:tblW w:w="0" w:type="auto"/>
        <w:jc w:val="left"/>
        <w:tblInd w:w="109" w:type="dxa"/>
        <w:tblLayout w:type="fixed"/>
        <w:tblCellMar>
          <w:top w:w="0" w:type="dxa"/>
          <w:left w:w="0" w:type="dxa"/>
          <w:bottom w:w="0" w:type="dxa"/>
          <w:right w:w="0" w:type="dxa"/>
        </w:tblCellMar>
        <w:tblLook w:val="01E0"/>
      </w:tblPr>
      <w:tblGrid>
        <w:gridCol w:w="5771"/>
        <w:gridCol w:w="2955"/>
      </w:tblGrid>
      <w:tr>
        <w:trPr>
          <w:trHeight w:val="283" w:hRule="exact"/>
        </w:trPr>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1,180</w:t>
            </w:r>
          </w:p>
        </w:tc>
      </w:tr>
      <w:tr>
        <w:trPr>
          <w:trHeight w:val="281" w:hRule="exact"/>
        </w:trPr>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11,616</w:t>
            </w:r>
          </w:p>
        </w:tc>
      </w:tr>
      <w:tr>
        <w:trPr>
          <w:trHeight w:val="283" w:hRule="exact"/>
        </w:trPr>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12,796</w:t>
            </w:r>
          </w:p>
        </w:tc>
      </w:tr>
      <w:tr>
        <w:trPr>
          <w:trHeight w:val="283" w:hRule="exact"/>
        </w:trPr>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w:t>
            </w:r>
          </w:p>
        </w:tc>
      </w:tr>
      <w:tr>
        <w:trPr>
          <w:trHeight w:val="281" w:hRule="exact"/>
        </w:trPr>
        <w:tc>
          <w:tcPr>
            <w:tcW w:w="8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2" w:right="0"/>
              <w:jc w:val="left"/>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2,386</w:t>
            </w:r>
          </w:p>
        </w:tc>
      </w:tr>
      <w:tr>
        <w:trPr>
          <w:trHeight w:val="281" w:hRule="exact"/>
        </w:trPr>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2,683</w:t>
            </w:r>
          </w:p>
        </w:tc>
      </w:tr>
      <w:tr>
        <w:trPr>
          <w:trHeight w:val="283" w:hRule="exact"/>
        </w:trPr>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3,358</w:t>
            </w:r>
          </w:p>
        </w:tc>
      </w:tr>
      <w:tr>
        <w:trPr>
          <w:trHeight w:val="283" w:hRule="exact"/>
        </w:trPr>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376</w:t>
            </w:r>
          </w:p>
        </w:tc>
      </w:tr>
      <w:tr>
        <w:trPr>
          <w:trHeight w:val="281" w:hRule="exact"/>
        </w:trPr>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2,501</w:t>
            </w:r>
          </w:p>
        </w:tc>
      </w:tr>
      <w:tr>
        <w:trPr>
          <w:trHeight w:val="284" w:hRule="exact"/>
        </w:trPr>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1,492</w:t>
            </w:r>
          </w:p>
        </w:tc>
      </w:tr>
      <w:tr>
        <w:trPr>
          <w:trHeight w:val="283" w:hRule="exact"/>
        </w:trPr>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12,796</w:t>
            </w:r>
          </w:p>
        </w:tc>
      </w:tr>
      <w:tr>
        <w:trPr>
          <w:trHeight w:val="281" w:hRule="exact"/>
        </w:trPr>
        <w:tc>
          <w:tcPr>
            <w:tcW w:w="87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5" w:right="0"/>
              <w:jc w:val="left"/>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博士</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173</w:t>
            </w:r>
          </w:p>
        </w:tc>
      </w:tr>
      <w:tr>
        <w:trPr>
          <w:trHeight w:val="283" w:hRule="exact"/>
        </w:trPr>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硕士</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1,997</w:t>
            </w:r>
          </w:p>
        </w:tc>
      </w:tr>
      <w:tr>
        <w:trPr>
          <w:trHeight w:val="283" w:hRule="exact"/>
        </w:trPr>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5,929</w:t>
            </w:r>
          </w:p>
        </w:tc>
      </w:tr>
      <w:tr>
        <w:trPr>
          <w:trHeight w:val="281" w:hRule="exact"/>
        </w:trPr>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2,167</w:t>
            </w:r>
          </w:p>
        </w:tc>
      </w:tr>
      <w:tr>
        <w:trPr>
          <w:trHeight w:val="283" w:hRule="exact"/>
        </w:trPr>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中专及以下</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2,530</w:t>
            </w:r>
          </w:p>
        </w:tc>
      </w:tr>
      <w:tr>
        <w:trPr>
          <w:trHeight w:val="283" w:hRule="exact"/>
        </w:trPr>
        <w:tc>
          <w:tcPr>
            <w:tcW w:w="5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12,796</w:t>
            </w:r>
          </w:p>
        </w:tc>
      </w:tr>
    </w:tbl>
    <w:p>
      <w:pPr>
        <w:spacing w:line="240" w:lineRule="auto" w:before="0"/>
        <w:rPr>
          <w:rFonts w:ascii="宋体" w:hAnsi="宋体" w:cs="宋体" w:eastAsia="宋体" w:hint="default"/>
          <w:b/>
          <w:bCs/>
          <w:sz w:val="27"/>
          <w:szCs w:val="27"/>
        </w:rPr>
      </w:pPr>
    </w:p>
    <w:p>
      <w:pPr>
        <w:pStyle w:val="Heading2"/>
        <w:tabs>
          <w:tab w:pos="1061" w:val="left" w:leader="none"/>
        </w:tabs>
        <w:spacing w:line="240" w:lineRule="auto" w:before="26"/>
        <w:ind w:left="222" w:right="4889"/>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薪酬政策</w:t>
      </w:r>
      <w:r>
        <w:rPr>
          <w:b w:val="0"/>
          <w:bCs w:val="0"/>
        </w:rPr>
      </w:r>
    </w:p>
    <w:p>
      <w:pPr>
        <w:pStyle w:val="BodyText"/>
        <w:tabs>
          <w:tab w:pos="1181" w:val="left" w:leader="none"/>
        </w:tabs>
        <w:spacing w:line="276" w:lineRule="auto" w:before="106"/>
        <w:ind w:left="641" w:right="236" w:hanging="420"/>
        <w:jc w:val="left"/>
      </w:pPr>
      <w:r>
        <w:rPr/>
        <w:t>√适用</w:t>
        <w:tab/>
        <w:t>□不适用 </w:t>
      </w:r>
      <w:r>
        <w:rPr>
          <w:spacing w:val="-3"/>
        </w:rPr>
        <w:t>公司为人才提供有竞争力的薪酬水平，建立了以岗位为基础、以能力为导向的</w:t>
      </w:r>
    </w:p>
    <w:p>
      <w:pPr>
        <w:pStyle w:val="BodyText"/>
        <w:spacing w:line="276" w:lineRule="auto" w:before="10"/>
        <w:ind w:left="222" w:right="249"/>
        <w:jc w:val="both"/>
      </w:pPr>
      <w:r>
        <w:rPr>
          <w:spacing w:val="2"/>
        </w:rPr>
        <w:t>薪酬体系。公司根据发展情况进行科学的薪酬确定及调整机制，建立了员工收入</w:t>
      </w:r>
      <w:r>
        <w:rPr>
          <w:spacing w:val="-105"/>
        </w:rPr>
        <w:t> </w:t>
      </w:r>
      <w:r>
        <w:rPr>
          <w:spacing w:val="-105"/>
        </w:rPr>
      </w:r>
      <w:r>
        <w:rPr>
          <w:spacing w:val="2"/>
        </w:rPr>
        <w:t>与企业效益增长挂钩的收入增长机制，为员工提供全面多样化的有竞争力的薪酬</w:t>
      </w:r>
      <w:r>
        <w:rPr>
          <w:spacing w:val="-105"/>
        </w:rPr>
        <w:t> </w:t>
      </w:r>
      <w:r>
        <w:rPr>
          <w:spacing w:val="-105"/>
        </w:rPr>
      </w:r>
      <w:r>
        <w:rPr/>
        <w:t>福利待遇，充分调动员工的积极性，保证了员工队伍的稳定。</w:t>
      </w:r>
    </w:p>
    <w:p>
      <w:pPr>
        <w:spacing w:line="240" w:lineRule="auto" w:before="11"/>
        <w:rPr>
          <w:rFonts w:ascii="宋体" w:hAnsi="宋体" w:cs="宋体" w:eastAsia="宋体" w:hint="default"/>
          <w:sz w:val="32"/>
          <w:szCs w:val="32"/>
        </w:rPr>
      </w:pPr>
    </w:p>
    <w:p>
      <w:pPr>
        <w:pStyle w:val="Heading2"/>
        <w:tabs>
          <w:tab w:pos="1061" w:val="left" w:leader="none"/>
        </w:tabs>
        <w:spacing w:line="240" w:lineRule="auto"/>
        <w:ind w:left="222" w:right="4889"/>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培训计划</w:t>
      </w:r>
      <w:r>
        <w:rPr>
          <w:b w:val="0"/>
          <w:bCs w:val="0"/>
        </w:rPr>
      </w:r>
    </w:p>
    <w:p>
      <w:pPr>
        <w:pStyle w:val="BodyText"/>
        <w:tabs>
          <w:tab w:pos="1181" w:val="left" w:leader="none"/>
        </w:tabs>
        <w:spacing w:line="276" w:lineRule="auto" w:before="106"/>
        <w:ind w:left="641" w:right="236" w:hanging="420"/>
        <w:jc w:val="left"/>
      </w:pPr>
      <w:r>
        <w:rPr/>
        <w:t>√适用</w:t>
        <w:tab/>
        <w:t>□不适用 </w:t>
      </w:r>
      <w:r>
        <w:rPr>
          <w:spacing w:val="-3"/>
        </w:rPr>
        <w:t>公司致力于为员工发展提供完善的培训体系和多元化的职业发展路径，结合公</w:t>
      </w:r>
    </w:p>
    <w:p>
      <w:pPr>
        <w:pStyle w:val="BodyText"/>
        <w:spacing w:line="240" w:lineRule="auto" w:before="10"/>
        <w:ind w:left="222" w:right="206"/>
        <w:jc w:val="left"/>
      </w:pPr>
      <w:r>
        <w:rPr/>
        <w:t>司战略发展规划和绩效改进需要，有针对性地开展培训工作。</w:t>
      </w:r>
    </w:p>
    <w:p>
      <w:pPr>
        <w:spacing w:line="240" w:lineRule="auto" w:before="1"/>
        <w:rPr>
          <w:rFonts w:ascii="宋体" w:hAnsi="宋体" w:cs="宋体" w:eastAsia="宋体" w:hint="default"/>
          <w:sz w:val="31"/>
          <w:szCs w:val="31"/>
        </w:rPr>
      </w:pPr>
    </w:p>
    <w:p>
      <w:pPr>
        <w:pStyle w:val="BodyText"/>
        <w:spacing w:line="276" w:lineRule="auto"/>
        <w:ind w:left="222" w:right="235" w:firstLine="419"/>
        <w:jc w:val="both"/>
      </w:pPr>
      <w:r>
        <w:rPr/>
        <w:t>各层级的管理干部是企业发展的中坚力量，</w:t>
      </w:r>
      <w:r>
        <w:rPr>
          <w:rFonts w:ascii="宋体" w:hAnsi="宋体" w:cs="宋体" w:eastAsia="宋体" w:hint="default"/>
        </w:rPr>
        <w:t>2018</w:t>
      </w:r>
      <w:r>
        <w:rPr>
          <w:rFonts w:ascii="宋体" w:hAnsi="宋体" w:cs="宋体" w:eastAsia="宋体" w:hint="default"/>
          <w:spacing w:val="41"/>
        </w:rPr>
        <w:t> </w:t>
      </w:r>
      <w:r>
        <w:rPr/>
        <w:t>年公司继续开展了由内部高 </w:t>
      </w:r>
      <w:r>
        <w:rPr>
          <w:spacing w:val="2"/>
        </w:rPr>
        <w:t>管和骨干讲授的中高层干部培训，在领导梯队模型的基础上，系统地提升干部的</w:t>
      </w:r>
      <w:r>
        <w:rPr>
          <w:spacing w:val="-105"/>
        </w:rPr>
        <w:t> </w:t>
      </w:r>
      <w:r>
        <w:rPr>
          <w:spacing w:val="-105"/>
        </w:rPr>
      </w:r>
      <w:r>
        <w:rPr/>
        <w:t>经营管理能力，促进公司的可持续发展。</w:t>
      </w:r>
    </w:p>
    <w:p>
      <w:pPr>
        <w:spacing w:line="240" w:lineRule="auto" w:before="4"/>
        <w:rPr>
          <w:rFonts w:ascii="宋体" w:hAnsi="宋体" w:cs="宋体" w:eastAsia="宋体" w:hint="default"/>
          <w:sz w:val="28"/>
          <w:szCs w:val="28"/>
        </w:rPr>
      </w:pPr>
    </w:p>
    <w:p>
      <w:pPr>
        <w:pStyle w:val="BodyText"/>
        <w:spacing w:line="276" w:lineRule="auto"/>
        <w:ind w:left="222" w:right="236" w:firstLine="419"/>
        <w:jc w:val="both"/>
      </w:pPr>
      <w:r>
        <w:rPr>
          <w:spacing w:val="-3"/>
        </w:rPr>
        <w:t>在员工培训方面，公司坚持内训与外训相结合。一方面派送骨干员工参加外部</w:t>
      </w:r>
      <w:r>
        <w:rPr/>
        <w:t> </w:t>
      </w:r>
      <w:r>
        <w:rPr>
          <w:spacing w:val="2"/>
        </w:rPr>
        <w:t>培训，拓宽眼界、提升专业能力；另一方面，进一步加强了同方大学线上学习平</w:t>
      </w:r>
    </w:p>
    <w:p>
      <w:pPr>
        <w:spacing w:after="0" w:line="276" w:lineRule="auto"/>
        <w:jc w:val="both"/>
        <w:sectPr>
          <w:footerReference w:type="default" r:id="rId20"/>
          <w:pgSz w:w="11910" w:h="16840"/>
          <w:pgMar w:footer="1054" w:header="0" w:top="1420" w:bottom="1240" w:left="1480" w:right="1460"/>
          <w:pgNumType w:start="6"/>
        </w:sectPr>
      </w:pPr>
    </w:p>
    <w:p>
      <w:pPr>
        <w:pStyle w:val="BodyText"/>
        <w:spacing w:line="276" w:lineRule="auto" w:before="12"/>
        <w:ind w:left="102" w:right="117"/>
        <w:jc w:val="left"/>
      </w:pPr>
      <w:r>
        <w:rPr>
          <w:spacing w:val="2"/>
        </w:rPr>
        <w:t>台建设，结合公司发展需要构建课程体系，丰富员工知识结构，学员数量和覆盖</w:t>
      </w:r>
      <w:r>
        <w:rPr>
          <w:spacing w:val="-96"/>
        </w:rPr>
        <w:t> </w:t>
      </w:r>
      <w:r>
        <w:rPr>
          <w:spacing w:val="-96"/>
        </w:rPr>
      </w:r>
      <w:r>
        <w:rPr/>
        <w:t>范围显著提高，营造了良好的学习成长氛围。</w:t>
      </w:r>
    </w:p>
    <w:p>
      <w:pPr>
        <w:spacing w:line="240" w:lineRule="auto" w:before="4"/>
        <w:rPr>
          <w:rFonts w:ascii="宋体" w:hAnsi="宋体" w:cs="宋体" w:eastAsia="宋体" w:hint="default"/>
          <w:sz w:val="28"/>
          <w:szCs w:val="28"/>
        </w:rPr>
      </w:pPr>
    </w:p>
    <w:p>
      <w:pPr>
        <w:pStyle w:val="BodyText"/>
        <w:spacing w:line="276" w:lineRule="auto"/>
        <w:ind w:left="102" w:right="121" w:firstLine="419"/>
        <w:jc w:val="both"/>
      </w:pPr>
      <w:r>
        <w:rPr>
          <w:rFonts w:ascii="宋体" w:hAnsi="宋体" w:cs="宋体" w:eastAsia="宋体" w:hint="default"/>
        </w:rPr>
        <w:t>2019</w:t>
      </w:r>
      <w:r>
        <w:rPr>
          <w:rFonts w:ascii="宋体" w:hAnsi="宋体" w:cs="宋体" w:eastAsia="宋体" w:hint="default"/>
          <w:spacing w:val="37"/>
        </w:rPr>
        <w:t> </w:t>
      </w:r>
      <w:r>
        <w:rPr/>
        <w:t>年，公司将进一步研究干部能力提升方案，继续开展中高层干部的经营 </w:t>
      </w:r>
      <w:r>
        <w:rPr>
          <w:spacing w:val="2"/>
        </w:rPr>
        <w:t>管理能力提升培训；对同方大学线上学习平台进行升级改造，增加移动端学习支</w:t>
      </w:r>
      <w:r>
        <w:rPr>
          <w:spacing w:val="-105"/>
        </w:rPr>
        <w:t> </w:t>
      </w:r>
      <w:r>
        <w:rPr>
          <w:spacing w:val="-105"/>
        </w:rPr>
      </w:r>
      <w:r>
        <w:rPr/>
        <w:t>持模块，并逐步上线自主开发的线上课程。</w:t>
      </w:r>
    </w:p>
    <w:p>
      <w:pPr>
        <w:spacing w:line="240" w:lineRule="auto" w:before="4"/>
        <w:rPr>
          <w:rFonts w:ascii="宋体" w:hAnsi="宋体" w:cs="宋体" w:eastAsia="宋体" w:hint="default"/>
          <w:sz w:val="28"/>
          <w:szCs w:val="28"/>
        </w:rPr>
      </w:pPr>
    </w:p>
    <w:p>
      <w:pPr>
        <w:pStyle w:val="BodyText"/>
        <w:spacing w:line="276" w:lineRule="auto"/>
        <w:ind w:left="102" w:right="116" w:firstLine="419"/>
        <w:jc w:val="both"/>
      </w:pPr>
      <w:r>
        <w:rPr>
          <w:spacing w:val="-3"/>
        </w:rPr>
        <w:t>通过学习发展工作，促进员工能力提升，保障战略目标达成，推动企业高速发</w:t>
      </w:r>
      <w:r>
        <w:rPr/>
        <w:t> 展。</w:t>
      </w:r>
    </w:p>
    <w:p>
      <w:pPr>
        <w:spacing w:line="240" w:lineRule="auto" w:before="11"/>
        <w:rPr>
          <w:rFonts w:ascii="宋体" w:hAnsi="宋体" w:cs="宋体" w:eastAsia="宋体" w:hint="default"/>
          <w:sz w:val="32"/>
          <w:szCs w:val="32"/>
        </w:rPr>
      </w:pPr>
    </w:p>
    <w:p>
      <w:pPr>
        <w:pStyle w:val="Heading2"/>
        <w:tabs>
          <w:tab w:pos="941" w:val="left" w:leader="none"/>
        </w:tabs>
        <w:spacing w:line="240" w:lineRule="auto"/>
        <w:ind w:left="102" w:right="117"/>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劳务外包情况</w:t>
      </w:r>
      <w:r>
        <w:rPr>
          <w:b w:val="0"/>
          <w:bCs w:val="0"/>
        </w:rPr>
      </w:r>
    </w:p>
    <w:p>
      <w:pPr>
        <w:pStyle w:val="BodyText"/>
        <w:spacing w:line="240" w:lineRule="auto" w:before="106"/>
        <w:ind w:left="102" w:right="117"/>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spacing w:line="240" w:lineRule="auto"/>
        <w:ind w:left="102" w:right="117"/>
        <w:jc w:val="left"/>
        <w:rPr>
          <w:b w:val="0"/>
          <w:bCs w:val="0"/>
        </w:rPr>
      </w:pPr>
      <w:r>
        <w:rPr/>
        <w:t>七、其他</w:t>
      </w:r>
      <w:r>
        <w:rPr>
          <w:b w:val="0"/>
          <w:bCs w:val="0"/>
        </w:rPr>
      </w:r>
    </w:p>
    <w:p>
      <w:pPr>
        <w:pStyle w:val="BodyText"/>
        <w:tabs>
          <w:tab w:pos="1061" w:val="left" w:leader="none"/>
        </w:tabs>
        <w:spacing w:line="240" w:lineRule="auto" w:before="106"/>
        <w:ind w:left="102" w:right="117"/>
        <w:jc w:val="left"/>
      </w:pPr>
      <w:r>
        <w:rPr/>
        <w:t>□适用</w:t>
        <w:tab/>
        <w:t>√不适用</w:t>
      </w:r>
    </w:p>
    <w:p>
      <w:pPr>
        <w:spacing w:after="0" w:line="240" w:lineRule="auto"/>
        <w:jc w:val="left"/>
        <w:sectPr>
          <w:pgSz w:w="11910" w:h="16840"/>
          <w:pgMar w:header="0" w:footer="1054" w:top="1400" w:bottom="1240" w:left="1600" w:right="1580"/>
        </w:sectPr>
      </w:pPr>
    </w:p>
    <w:p>
      <w:pPr>
        <w:pStyle w:val="Heading1"/>
        <w:spacing w:line="363" w:lineRule="exact" w:before="0"/>
        <w:ind w:left="3701" w:right="514"/>
        <w:jc w:val="left"/>
        <w:rPr>
          <w:b w:val="0"/>
          <w:bCs w:val="0"/>
        </w:rPr>
      </w:pPr>
      <w:bookmarkStart w:name="_TOC_250002" w:id="9"/>
      <w:r>
        <w:rPr/>
        <w:t>第九节</w:t>
      </w:r>
      <w:r>
        <w:rPr>
          <w:spacing w:val="-3"/>
        </w:rPr>
        <w:t> </w:t>
      </w:r>
      <w:r>
        <w:rPr/>
        <w:t>公司治理</w:t>
      </w:r>
      <w:bookmarkEnd w:id="9"/>
      <w:r>
        <w:rPr>
          <w:b w:val="0"/>
          <w:bCs w:val="0"/>
        </w:rPr>
      </w:r>
    </w:p>
    <w:p>
      <w:pPr>
        <w:spacing w:line="240" w:lineRule="auto" w:before="7"/>
        <w:rPr>
          <w:rFonts w:ascii="黑体" w:hAnsi="黑体" w:cs="黑体" w:eastAsia="黑体" w:hint="default"/>
          <w:b/>
          <w:bCs/>
          <w:sz w:val="22"/>
          <w:szCs w:val="22"/>
        </w:rPr>
      </w:pPr>
    </w:p>
    <w:p>
      <w:pPr>
        <w:pStyle w:val="Heading2"/>
        <w:spacing w:line="240" w:lineRule="auto"/>
        <w:ind w:left="502" w:right="0"/>
        <w:jc w:val="both"/>
        <w:rPr>
          <w:b w:val="0"/>
          <w:bCs w:val="0"/>
        </w:rPr>
      </w:pPr>
      <w:r>
        <w:rPr/>
        <w:t>一、 </w:t>
      </w:r>
      <w:r>
        <w:rPr>
          <w:spacing w:val="113"/>
        </w:rPr>
        <w:t> </w:t>
      </w:r>
      <w:r>
        <w:rPr/>
        <w:t>公司治理相关情况说明</w:t>
      </w:r>
      <w:r>
        <w:rPr>
          <w:b w:val="0"/>
          <w:bCs w:val="0"/>
        </w:rPr>
      </w:r>
    </w:p>
    <w:p>
      <w:pPr>
        <w:pStyle w:val="BodyText"/>
        <w:tabs>
          <w:tab w:pos="1461" w:val="left" w:leader="none"/>
        </w:tabs>
        <w:spacing w:line="276" w:lineRule="auto" w:before="106"/>
        <w:ind w:left="921" w:right="514" w:hanging="420"/>
        <w:jc w:val="left"/>
      </w:pPr>
      <w:r>
        <w:rPr/>
        <w:t>√适用</w:t>
        <w:tab/>
        <w:t>□不适用 </w:t>
      </w:r>
      <w:r>
        <w:rPr>
          <w:spacing w:val="-3"/>
        </w:rPr>
        <w:t>报告期内，公司严格按照《公司法》、《证券法》、《上市公司治理准则》和</w:t>
      </w:r>
    </w:p>
    <w:p>
      <w:pPr>
        <w:pStyle w:val="BodyText"/>
        <w:spacing w:line="276" w:lineRule="auto" w:before="10"/>
        <w:ind w:left="502" w:right="517"/>
        <w:jc w:val="both"/>
      </w:pPr>
      <w:r>
        <w:rPr>
          <w:spacing w:val="2"/>
        </w:rPr>
        <w:t>《上海证券交易所股票上市规则》等法律法规的要求，不断完善公司法人治理结</w:t>
      </w:r>
      <w:r>
        <w:rPr>
          <w:spacing w:val="-105"/>
        </w:rPr>
        <w:t> </w:t>
      </w:r>
      <w:r>
        <w:rPr>
          <w:spacing w:val="-105"/>
        </w:rPr>
      </w:r>
      <w:r>
        <w:rPr>
          <w:spacing w:val="2"/>
        </w:rPr>
        <w:t>构，健全公司内部管理和控制制度，坚持依法运作。不断加强信息披露工作，积</w:t>
      </w:r>
      <w:r>
        <w:rPr>
          <w:spacing w:val="-97"/>
        </w:rPr>
        <w:t> </w:t>
      </w:r>
      <w:r>
        <w:rPr>
          <w:spacing w:val="-97"/>
        </w:rPr>
      </w:r>
      <w:r>
        <w:rPr>
          <w:spacing w:val="2"/>
        </w:rPr>
        <w:t>极履行信息披露义务，并完善投资者关系管理，充分维护广大投资者的利益。公</w:t>
      </w:r>
      <w:r>
        <w:rPr>
          <w:spacing w:val="-94"/>
        </w:rPr>
        <w:t> </w:t>
      </w:r>
      <w:r>
        <w:rPr>
          <w:spacing w:val="-94"/>
        </w:rPr>
      </w:r>
      <w:r>
        <w:rPr>
          <w:spacing w:val="2"/>
        </w:rPr>
        <w:t>司股东大会、董事会、监事会、董事会各专门委员会及经营层权责明确，公司治</w:t>
      </w:r>
      <w:r>
        <w:rPr>
          <w:spacing w:val="-99"/>
        </w:rPr>
        <w:t> </w:t>
      </w:r>
      <w:r>
        <w:rPr>
          <w:spacing w:val="-99"/>
        </w:rPr>
      </w:r>
      <w:r>
        <w:rPr/>
        <w:t>理与《公司法》和中国证监会相关规定的要求不存在差异。</w:t>
      </w:r>
    </w:p>
    <w:p>
      <w:pPr>
        <w:spacing w:line="240" w:lineRule="auto" w:before="4"/>
        <w:rPr>
          <w:rFonts w:ascii="宋体" w:hAnsi="宋体" w:cs="宋体" w:eastAsia="宋体" w:hint="default"/>
          <w:sz w:val="28"/>
          <w:szCs w:val="28"/>
        </w:rPr>
      </w:pPr>
    </w:p>
    <w:p>
      <w:pPr>
        <w:pStyle w:val="BodyText"/>
        <w:spacing w:line="276" w:lineRule="auto"/>
        <w:ind w:left="502" w:right="515" w:firstLine="419"/>
        <w:jc w:val="both"/>
      </w:pPr>
      <w:r>
        <w:rPr>
          <w:spacing w:val="-3"/>
        </w:rPr>
        <w:t>报告期内，公司对《公司章程》及《股东大会议事规则》进行了修订，同时制</w:t>
      </w:r>
      <w:r>
        <w:rPr/>
        <w:t> </w:t>
      </w:r>
      <w:r>
        <w:rPr>
          <w:spacing w:val="2"/>
        </w:rPr>
        <w:t>定了《公司董事、监事薪酬管理制度》，进一步完善了公司治理机制，积极提高</w:t>
      </w:r>
      <w:r>
        <w:rPr>
          <w:spacing w:val="-96"/>
        </w:rPr>
        <w:t> </w:t>
      </w:r>
      <w:r>
        <w:rPr>
          <w:spacing w:val="-96"/>
        </w:rPr>
      </w:r>
      <w:r>
        <w:rPr/>
        <w:t>规范运作水平。报告期内，公司积极参加了</w:t>
      </w:r>
      <w:r>
        <w:rPr>
          <w:spacing w:val="-67"/>
        </w:rPr>
        <w:t> </w:t>
      </w:r>
      <w:r>
        <w:rPr>
          <w:rFonts w:ascii="宋体" w:hAnsi="宋体" w:cs="宋体" w:eastAsia="宋体" w:hint="default"/>
        </w:rPr>
        <w:t>2018</w:t>
      </w:r>
      <w:r>
        <w:rPr>
          <w:rFonts w:ascii="宋体" w:hAnsi="宋体" w:cs="宋体" w:eastAsia="宋体" w:hint="default"/>
          <w:spacing w:val="-68"/>
        </w:rPr>
        <w:t> </w:t>
      </w:r>
      <w:r>
        <w:rPr/>
        <w:t>年北京辖区上市公司投资者集体 接待日活动，对于投资者关心的问题与投资者进行了良好的互动交流。</w:t>
      </w:r>
    </w:p>
    <w:p>
      <w:pPr>
        <w:spacing w:line="240" w:lineRule="auto" w:before="4"/>
        <w:rPr>
          <w:rFonts w:ascii="宋体" w:hAnsi="宋体" w:cs="宋体" w:eastAsia="宋体" w:hint="default"/>
          <w:sz w:val="28"/>
          <w:szCs w:val="28"/>
        </w:rPr>
      </w:pPr>
    </w:p>
    <w:p>
      <w:pPr>
        <w:pStyle w:val="Heading2"/>
        <w:spacing w:line="276" w:lineRule="auto"/>
        <w:ind w:left="502" w:right="590"/>
        <w:jc w:val="both"/>
        <w:rPr>
          <w:b w:val="0"/>
          <w:bCs w:val="0"/>
        </w:rPr>
      </w:pPr>
      <w:r>
        <w:rPr/>
        <w:t>公司治理与中国证监会相关规定的要求是否存在重大差异；如有重大差异，应当</w:t>
      </w:r>
      <w:r>
        <w:rPr>
          <w:w w:val="99"/>
        </w:rPr>
        <w:t> </w:t>
      </w:r>
      <w:r>
        <w:rPr/>
        <w:t>说明原因</w:t>
      </w:r>
      <w:r>
        <w:rPr>
          <w:b w:val="0"/>
          <w:bCs w:val="0"/>
        </w:rPr>
      </w:r>
    </w:p>
    <w:p>
      <w:pPr>
        <w:pStyle w:val="BodyText"/>
        <w:spacing w:line="240" w:lineRule="auto" w:before="10"/>
        <w:ind w:left="502" w:right="0"/>
        <w:jc w:val="both"/>
      </w:pPr>
      <w:r>
        <w:rPr/>
        <w:t>□适用</w:t>
      </w:r>
      <w:r>
        <w:rPr>
          <w:spacing w:val="-1"/>
        </w:rPr>
        <w:t> </w:t>
      </w:r>
      <w:r>
        <w:rPr/>
        <w:t>√不适用</w:t>
      </w:r>
    </w:p>
    <w:p>
      <w:pPr>
        <w:pStyle w:val="BodyText"/>
        <w:spacing w:line="276" w:lineRule="auto" w:before="46"/>
        <w:ind w:left="502" w:right="513" w:firstLine="419"/>
        <w:jc w:val="both"/>
      </w:pPr>
      <w:r>
        <w:rPr>
          <w:spacing w:val="4"/>
        </w:rPr>
        <w:t>公司治理的实际状况与中国证监会发布的有关上市公司治理的规范性文件不 </w:t>
      </w:r>
      <w:r>
        <w:rPr/>
        <w:t>存在重大差异。</w:t>
      </w:r>
    </w:p>
    <w:p>
      <w:pPr>
        <w:spacing w:line="240" w:lineRule="auto" w:before="12"/>
        <w:rPr>
          <w:rFonts w:ascii="宋体" w:hAnsi="宋体" w:cs="宋体" w:eastAsia="宋体" w:hint="default"/>
          <w:sz w:val="32"/>
          <w:szCs w:val="32"/>
        </w:rPr>
      </w:pPr>
    </w:p>
    <w:p>
      <w:pPr>
        <w:pStyle w:val="Heading2"/>
        <w:spacing w:line="240" w:lineRule="auto"/>
        <w:ind w:left="502" w:right="0"/>
        <w:jc w:val="both"/>
        <w:rPr>
          <w:b w:val="0"/>
          <w:bCs w:val="0"/>
        </w:rPr>
      </w:pPr>
      <w:r>
        <w:rPr/>
        <w:t>二、 </w:t>
      </w:r>
      <w:r>
        <w:rPr>
          <w:spacing w:val="113"/>
        </w:rPr>
        <w:t> </w:t>
      </w:r>
      <w:r>
        <w:rPr/>
        <w:t>股东大会情况简介</w:t>
      </w:r>
      <w:r>
        <w:rPr>
          <w:b w:val="0"/>
          <w:bCs w:val="0"/>
        </w:rPr>
      </w:r>
    </w:p>
    <w:p>
      <w:pPr>
        <w:spacing w:line="240" w:lineRule="auto" w:before="7"/>
        <w:rPr>
          <w:rFonts w:ascii="宋体" w:hAnsi="宋体" w:cs="宋体" w:eastAsia="宋体" w:hint="default"/>
          <w:b/>
          <w:bCs/>
          <w:sz w:val="7"/>
          <w:szCs w:val="7"/>
        </w:rPr>
      </w:pPr>
    </w:p>
    <w:tbl>
      <w:tblPr>
        <w:tblW w:w="0" w:type="auto"/>
        <w:jc w:val="left"/>
        <w:tblInd w:w="106" w:type="dxa"/>
        <w:tblLayout w:type="fixed"/>
        <w:tblCellMar>
          <w:top w:w="0" w:type="dxa"/>
          <w:left w:w="0" w:type="dxa"/>
          <w:bottom w:w="0" w:type="dxa"/>
          <w:right w:w="0" w:type="dxa"/>
        </w:tblCellMar>
        <w:tblLook w:val="01E0"/>
      </w:tblPr>
      <w:tblGrid>
        <w:gridCol w:w="2516"/>
        <w:gridCol w:w="2052"/>
        <w:gridCol w:w="2547"/>
        <w:gridCol w:w="2174"/>
      </w:tblGrid>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32"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99"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决议刊登的指定网站的查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询索引</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6"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1099"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年年度股东大会</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2018-032</w:t>
            </w:r>
            <w:r>
              <w:rPr>
                <w:rFonts w:ascii="宋体" w:hAnsi="宋体" w:cs="宋体" w:eastAsia="宋体" w:hint="default"/>
                <w:sz w:val="21"/>
                <w:szCs w:val="21"/>
              </w:rPr>
              <w:t>《同方股份有限</w:t>
            </w:r>
          </w:p>
          <w:p>
            <w:pPr>
              <w:pStyle w:val="TableParagraph"/>
              <w:tabs>
                <w:tab w:pos="528" w:val="left" w:leader="none"/>
                <w:tab w:pos="952" w:val="left" w:leader="none"/>
                <w:tab w:pos="1374" w:val="left" w:leader="none"/>
                <w:tab w:pos="1799" w:val="left" w:leader="none"/>
                <w:tab w:pos="2221" w:val="left" w:leader="none"/>
              </w:tabs>
              <w:spacing w:line="272" w:lineRule="exact" w:before="27"/>
              <w:ind w:left="103" w:right="102"/>
              <w:jc w:val="left"/>
              <w:rPr>
                <w:rFonts w:ascii="宋体" w:hAnsi="宋体" w:cs="宋体" w:eastAsia="宋体" w:hint="default"/>
                <w:sz w:val="21"/>
                <w:szCs w:val="21"/>
              </w:rPr>
            </w:pPr>
            <w:r>
              <w:rPr>
                <w:rFonts w:ascii="宋体" w:hAnsi="宋体" w:cs="宋体" w:eastAsia="宋体" w:hint="default"/>
                <w:sz w:val="21"/>
                <w:szCs w:val="21"/>
              </w:rPr>
              <w:t>公司 </w:t>
            </w:r>
            <w:r>
              <w:rPr>
                <w:rFonts w:ascii="宋体" w:hAnsi="宋体" w:cs="宋体" w:eastAsia="宋体" w:hint="default"/>
                <w:sz w:val="21"/>
                <w:szCs w:val="21"/>
              </w:rPr>
              <w:t>2017</w:t>
            </w:r>
            <w:r>
              <w:rPr>
                <w:rFonts w:ascii="宋体" w:hAnsi="宋体" w:cs="宋体" w:eastAsia="宋体" w:hint="default"/>
                <w:spacing w:val="17"/>
                <w:sz w:val="21"/>
                <w:szCs w:val="21"/>
              </w:rPr>
              <w:t> </w:t>
            </w:r>
            <w:r>
              <w:rPr>
                <w:rFonts w:ascii="宋体" w:hAnsi="宋体" w:cs="宋体" w:eastAsia="宋体" w:hint="default"/>
                <w:sz w:val="21"/>
                <w:szCs w:val="21"/>
              </w:rPr>
              <w:t>年年度股东大</w:t>
            </w:r>
            <w:r>
              <w:rPr>
                <w:rFonts w:ascii="宋体" w:hAnsi="宋体" w:cs="宋体" w:eastAsia="宋体" w:hint="default"/>
                <w:w w:val="100"/>
                <w:sz w:val="21"/>
                <w:szCs w:val="21"/>
              </w:rPr>
              <w:t> </w:t>
            </w:r>
            <w:r>
              <w:rPr>
                <w:rFonts w:ascii="宋体" w:hAnsi="宋体" w:cs="宋体" w:eastAsia="宋体" w:hint="default"/>
                <w:sz w:val="21"/>
                <w:szCs w:val="21"/>
              </w:rPr>
              <w:t>会</w:t>
              <w:tab/>
              <w:t>决</w:t>
              <w:tab/>
              <w:t>议</w:t>
              <w:tab/>
              <w:t>公</w:t>
              <w:tab/>
              <w:t>告</w:t>
              <w:tab/>
              <w:t>》</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hyperlink r:id="rId9">
              <w:r>
                <w:rPr>
                  <w:rFonts w:ascii="宋体" w:hAnsi="宋体" w:cs="宋体" w:eastAsia="宋体" w:hint="default"/>
                  <w:sz w:val="21"/>
                  <w:szCs w:val="21"/>
                </w:rPr>
                <w:t>www.sse.com.cn</w:t>
              </w:r>
            </w:hyperlink>
            <w:r>
              <w:rPr>
                <w:rFonts w:ascii="宋体" w:hAnsi="宋体" w:cs="宋体" w:eastAsia="宋体" w:hint="default"/>
                <w:sz w:val="21"/>
                <w:szCs w:val="21"/>
              </w:rPr>
              <w:t>）</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bl>
    <w:p>
      <w:pPr>
        <w:spacing w:line="240" w:lineRule="auto" w:before="6"/>
        <w:rPr>
          <w:rFonts w:ascii="宋体" w:hAnsi="宋体" w:cs="宋体" w:eastAsia="宋体" w:hint="default"/>
          <w:b/>
          <w:bCs/>
          <w:sz w:val="22"/>
          <w:szCs w:val="22"/>
        </w:rPr>
      </w:pPr>
    </w:p>
    <w:p>
      <w:pPr>
        <w:pStyle w:val="BodyText"/>
        <w:spacing w:line="240" w:lineRule="auto" w:before="26"/>
        <w:ind w:left="502" w:right="514"/>
        <w:jc w:val="left"/>
      </w:pPr>
      <w:r>
        <w:rPr/>
        <w:t>股东大会情况说明</w:t>
      </w:r>
    </w:p>
    <w:p>
      <w:pPr>
        <w:pStyle w:val="BodyText"/>
        <w:spacing w:line="240" w:lineRule="auto" w:before="46"/>
        <w:ind w:left="502" w:right="514"/>
        <w:jc w:val="left"/>
      </w:pPr>
      <w:r>
        <w:rPr/>
        <w:t>√适用</w:t>
      </w:r>
      <w:r>
        <w:rPr>
          <w:spacing w:val="-1"/>
        </w:rPr>
        <w:t> </w:t>
      </w:r>
      <w:r>
        <w:rPr/>
        <w:t>□不适用</w:t>
      </w:r>
    </w:p>
    <w:p>
      <w:pPr>
        <w:pStyle w:val="BodyText"/>
        <w:spacing w:line="276" w:lineRule="auto" w:before="46"/>
        <w:ind w:left="502" w:right="512" w:firstLine="419"/>
        <w:jc w:val="both"/>
      </w:pPr>
      <w:r>
        <w:rPr>
          <w:rFonts w:ascii="宋体" w:hAnsi="宋体" w:cs="宋体" w:eastAsia="宋体" w:hint="default"/>
        </w:rPr>
        <w:t>2017 </w:t>
      </w:r>
      <w:r>
        <w:rPr/>
        <w:t>年年度股东大会审议的议案有：</w:t>
      </w:r>
      <w:r>
        <w:rPr>
          <w:rFonts w:ascii="宋体" w:hAnsi="宋体" w:cs="宋体" w:eastAsia="宋体" w:hint="default"/>
        </w:rPr>
        <w:t>(1)</w:t>
      </w:r>
      <w:r>
        <w:rPr/>
        <w:t>公司 </w:t>
      </w:r>
      <w:r>
        <w:rPr>
          <w:rFonts w:ascii="宋体" w:hAnsi="宋体" w:cs="宋体" w:eastAsia="宋体" w:hint="default"/>
        </w:rPr>
        <w:t>2017</w:t>
      </w:r>
      <w:r>
        <w:rPr>
          <w:rFonts w:ascii="宋体" w:hAnsi="宋体" w:cs="宋体" w:eastAsia="宋体" w:hint="default"/>
          <w:spacing w:val="-71"/>
        </w:rPr>
        <w:t> </w:t>
      </w:r>
      <w:r>
        <w:rPr/>
        <w:t>年年度报告摘要及正文； </w:t>
      </w:r>
      <w:r>
        <w:rPr>
          <w:rFonts w:ascii="宋体" w:hAnsi="宋体" w:cs="宋体" w:eastAsia="宋体" w:hint="default"/>
        </w:rPr>
        <w:t>(2)2017</w:t>
      </w:r>
      <w:r>
        <w:rPr>
          <w:rFonts w:ascii="宋体" w:hAnsi="宋体" w:cs="宋体" w:eastAsia="宋体" w:hint="default"/>
          <w:spacing w:val="-44"/>
        </w:rPr>
        <w:t> </w:t>
      </w:r>
      <w:r>
        <w:rPr/>
        <w:t>年度董事会工作报告；</w:t>
      </w:r>
      <w:r>
        <w:rPr>
          <w:rFonts w:ascii="宋体" w:hAnsi="宋体" w:cs="宋体" w:eastAsia="宋体" w:hint="default"/>
        </w:rPr>
        <w:t>(3)2017</w:t>
      </w:r>
      <w:r>
        <w:rPr>
          <w:rFonts w:ascii="宋体" w:hAnsi="宋体" w:cs="宋体" w:eastAsia="宋体" w:hint="default"/>
          <w:spacing w:val="-44"/>
        </w:rPr>
        <w:t> </w:t>
      </w:r>
      <w:r>
        <w:rPr/>
        <w:t>年度独立董事述职报告；</w:t>
      </w:r>
      <w:r>
        <w:rPr>
          <w:rFonts w:ascii="宋体" w:hAnsi="宋体" w:cs="宋体" w:eastAsia="宋体" w:hint="default"/>
        </w:rPr>
        <w:t>(4)2017</w:t>
      </w:r>
      <w:r>
        <w:rPr>
          <w:rFonts w:ascii="宋体" w:hAnsi="宋体" w:cs="宋体" w:eastAsia="宋体" w:hint="default"/>
          <w:spacing w:val="-44"/>
        </w:rPr>
        <w:t> </w:t>
      </w:r>
      <w:r>
        <w:rPr/>
        <w:t>年度监 </w:t>
      </w:r>
      <w:r>
        <w:rPr>
          <w:spacing w:val="-3"/>
        </w:rPr>
        <w:t>事会工作报告；</w:t>
      </w:r>
      <w:r>
        <w:rPr>
          <w:rFonts w:ascii="宋体" w:hAnsi="宋体" w:cs="宋体" w:eastAsia="宋体" w:hint="default"/>
          <w:spacing w:val="-3"/>
        </w:rPr>
        <w:t>(5)2017</w:t>
      </w:r>
      <w:r>
        <w:rPr>
          <w:rFonts w:ascii="宋体" w:hAnsi="宋体" w:cs="宋体" w:eastAsia="宋体" w:hint="default"/>
          <w:spacing w:val="-57"/>
        </w:rPr>
        <w:t> </w:t>
      </w:r>
      <w:r>
        <w:rPr>
          <w:spacing w:val="-3"/>
        </w:rPr>
        <w:t>年度财务决算报告；</w:t>
      </w:r>
      <w:r>
        <w:rPr>
          <w:rFonts w:ascii="宋体" w:hAnsi="宋体" w:cs="宋体" w:eastAsia="宋体" w:hint="default"/>
          <w:spacing w:val="-3"/>
        </w:rPr>
        <w:t>(6)</w:t>
      </w:r>
      <w:r>
        <w:rPr>
          <w:spacing w:val="-3"/>
        </w:rPr>
        <w:t>关于</w:t>
      </w:r>
      <w:r>
        <w:rPr>
          <w:spacing w:val="-57"/>
        </w:rPr>
        <w:t> </w:t>
      </w:r>
      <w:r>
        <w:rPr>
          <w:rFonts w:ascii="宋体" w:hAnsi="宋体" w:cs="宋体" w:eastAsia="宋体" w:hint="default"/>
        </w:rPr>
        <w:t>2017</w:t>
      </w:r>
      <w:r>
        <w:rPr>
          <w:rFonts w:ascii="宋体" w:hAnsi="宋体" w:cs="宋体" w:eastAsia="宋体" w:hint="default"/>
          <w:spacing w:val="-57"/>
        </w:rPr>
        <w:t> </w:t>
      </w:r>
      <w:r>
        <w:rPr/>
        <w:t>年利润分配和资本公积 不转增股本的预案；</w:t>
      </w:r>
      <w:r>
        <w:rPr>
          <w:rFonts w:ascii="宋体" w:hAnsi="宋体" w:cs="宋体" w:eastAsia="宋体" w:hint="default"/>
        </w:rPr>
        <w:t>(7)</w:t>
      </w:r>
      <w:r>
        <w:rPr/>
        <w:t>关于续聘信永中和会计师事务所为 </w:t>
      </w:r>
      <w:r>
        <w:rPr>
          <w:rFonts w:ascii="宋体" w:hAnsi="宋体" w:cs="宋体" w:eastAsia="宋体" w:hint="default"/>
        </w:rPr>
        <w:t>2018</w:t>
      </w:r>
      <w:r>
        <w:rPr>
          <w:rFonts w:ascii="宋体" w:hAnsi="宋体" w:cs="宋体" w:eastAsia="宋体" w:hint="default"/>
          <w:spacing w:val="-12"/>
        </w:rPr>
        <w:t> </w:t>
      </w:r>
      <w:r>
        <w:rPr/>
        <w:t>年审计机构及支</w:t>
      </w:r>
    </w:p>
    <w:p>
      <w:pPr>
        <w:pStyle w:val="BodyText"/>
        <w:spacing w:line="240" w:lineRule="auto" w:before="10"/>
        <w:ind w:left="502" w:right="262"/>
        <w:jc w:val="left"/>
        <w:rPr>
          <w:rFonts w:ascii="宋体" w:hAnsi="宋体" w:cs="宋体" w:eastAsia="宋体" w:hint="default"/>
        </w:rPr>
      </w:pPr>
      <w:r>
        <w:rPr/>
        <w:t>付其</w:t>
      </w:r>
      <w:r>
        <w:rPr>
          <w:spacing w:val="-85"/>
        </w:rPr>
        <w:t> </w:t>
      </w:r>
      <w:r>
        <w:rPr>
          <w:rFonts w:ascii="宋体" w:hAnsi="宋体" w:cs="宋体" w:eastAsia="宋体" w:hint="default"/>
        </w:rPr>
        <w:t>2017</w:t>
      </w:r>
      <w:r>
        <w:rPr>
          <w:rFonts w:ascii="宋体" w:hAnsi="宋体" w:cs="宋体" w:eastAsia="宋体" w:hint="default"/>
          <w:spacing w:val="-84"/>
        </w:rPr>
        <w:t> </w:t>
      </w:r>
      <w:r>
        <w:rPr/>
        <w:t>年审计费用的议案</w:t>
      </w:r>
      <w:r>
        <w:rPr>
          <w:spacing w:val="-120"/>
        </w:rPr>
        <w:t>；</w:t>
      </w:r>
      <w:r>
        <w:rPr>
          <w:rFonts w:ascii="宋体" w:hAnsi="宋体" w:cs="宋体" w:eastAsia="宋体" w:hint="default"/>
        </w:rPr>
        <w:t>(8)</w:t>
      </w:r>
      <w:r>
        <w:rPr/>
        <w:t>关于调整独立董事年度津贴的议</w:t>
      </w:r>
      <w:r>
        <w:rPr>
          <w:spacing w:val="1"/>
        </w:rPr>
        <w:t>案</w:t>
      </w:r>
      <w:r>
        <w:rPr>
          <w:spacing w:val="-120"/>
        </w:rPr>
        <w:t>；</w:t>
      </w:r>
      <w:r>
        <w:rPr>
          <w:rFonts w:ascii="宋体" w:hAnsi="宋体" w:cs="宋体" w:eastAsia="宋体" w:hint="default"/>
        </w:rPr>
        <w:t>(9)</w:t>
      </w:r>
      <w:r>
        <w:rPr/>
        <w:t>关于</w:t>
      </w:r>
      <w:r>
        <w:rPr>
          <w:spacing w:val="-84"/>
        </w:rPr>
        <w:t> </w:t>
      </w:r>
      <w:r>
        <w:rPr>
          <w:rFonts w:ascii="宋体" w:hAnsi="宋体" w:cs="宋体" w:eastAsia="宋体" w:hint="default"/>
        </w:rPr>
        <w:t>2017</w:t>
      </w:r>
    </w:p>
    <w:p>
      <w:pPr>
        <w:pStyle w:val="BodyText"/>
        <w:spacing w:line="240" w:lineRule="auto" w:before="46"/>
        <w:ind w:left="502" w:right="262"/>
        <w:jc w:val="left"/>
      </w:pPr>
      <w:r>
        <w:rPr/>
        <w:t>年度日常关联交易执行情况以及</w:t>
      </w:r>
      <w:r>
        <w:rPr>
          <w:spacing w:val="-66"/>
        </w:rPr>
        <w:t> </w:t>
      </w:r>
      <w:r>
        <w:rPr>
          <w:rFonts w:ascii="宋体" w:hAnsi="宋体" w:cs="宋体" w:eastAsia="宋体" w:hint="default"/>
        </w:rPr>
        <w:t>2018</w:t>
      </w:r>
      <w:r>
        <w:rPr>
          <w:rFonts w:ascii="宋体" w:hAnsi="宋体" w:cs="宋体" w:eastAsia="宋体" w:hint="default"/>
          <w:spacing w:val="-66"/>
        </w:rPr>
        <w:t> </w:t>
      </w:r>
      <w:r>
        <w:rPr/>
        <w:t>年度日常关联交易预计的议案；</w:t>
      </w:r>
      <w:r>
        <w:rPr>
          <w:rFonts w:ascii="宋体" w:hAnsi="宋体" w:cs="宋体" w:eastAsia="宋体" w:hint="default"/>
        </w:rPr>
        <w:t>(10)</w:t>
      </w:r>
      <w:r>
        <w:rPr/>
        <w:t>关于申</w:t>
      </w:r>
    </w:p>
    <w:p>
      <w:pPr>
        <w:pStyle w:val="BodyText"/>
        <w:spacing w:line="276" w:lineRule="auto" w:before="46"/>
        <w:ind w:left="502" w:right="262"/>
        <w:jc w:val="left"/>
      </w:pPr>
      <w:r>
        <w:rPr/>
        <w:t>请</w:t>
      </w:r>
      <w:r>
        <w:rPr>
          <w:spacing w:val="-68"/>
        </w:rPr>
        <w:t> </w:t>
      </w:r>
      <w:r>
        <w:rPr>
          <w:rFonts w:ascii="宋体" w:hAnsi="宋体" w:cs="宋体" w:eastAsia="宋体" w:hint="default"/>
        </w:rPr>
        <w:t>2018</w:t>
      </w:r>
      <w:r>
        <w:rPr>
          <w:rFonts w:ascii="宋体" w:hAnsi="宋体" w:cs="宋体" w:eastAsia="宋体" w:hint="default"/>
          <w:spacing w:val="-68"/>
        </w:rPr>
        <w:t> </w:t>
      </w:r>
      <w:r>
        <w:rPr/>
        <w:t>年年度综合授信额度及授权下属控参股子公司使用并为其提供担保的议案； </w:t>
      </w:r>
      <w:r>
        <w:rPr>
          <w:rFonts w:ascii="宋体" w:hAnsi="宋体" w:cs="宋体" w:eastAsia="宋体" w:hint="default"/>
          <w:spacing w:val="2"/>
        </w:rPr>
        <w:t>(11)</w:t>
      </w:r>
      <w:r>
        <w:rPr>
          <w:spacing w:val="2"/>
        </w:rPr>
        <w:t>关于为下属控参股子公司提供担保的议案；</w:t>
      </w:r>
      <w:r>
        <w:rPr>
          <w:rFonts w:ascii="宋体" w:hAnsi="宋体" w:cs="宋体" w:eastAsia="宋体" w:hint="default"/>
          <w:spacing w:val="2"/>
        </w:rPr>
        <w:t>(12)</w:t>
      </w:r>
      <w:r>
        <w:rPr>
          <w:spacing w:val="2"/>
        </w:rPr>
        <w:t>关于修订《公司章程》的议</w:t>
      </w:r>
    </w:p>
    <w:p>
      <w:pPr>
        <w:spacing w:after="0" w:line="276" w:lineRule="auto"/>
        <w:jc w:val="left"/>
        <w:sectPr>
          <w:footerReference w:type="default" r:id="rId21"/>
          <w:pgSz w:w="11910" w:h="16840"/>
          <w:pgMar w:footer="1034" w:header="0" w:top="1360" w:bottom="1220" w:left="1200" w:right="1180"/>
          <w:pgNumType w:start="71"/>
        </w:sectPr>
      </w:pPr>
    </w:p>
    <w:p>
      <w:pPr>
        <w:pStyle w:val="BodyText"/>
        <w:spacing w:line="240" w:lineRule="auto" w:before="12"/>
        <w:ind w:left="322" w:right="0"/>
        <w:jc w:val="left"/>
      </w:pPr>
      <w:r>
        <w:rPr>
          <w:spacing w:val="2"/>
        </w:rPr>
        <w:t>案；</w:t>
      </w:r>
      <w:r>
        <w:rPr>
          <w:rFonts w:ascii="宋体" w:hAnsi="宋体" w:cs="宋体" w:eastAsia="宋体" w:hint="default"/>
          <w:spacing w:val="2"/>
        </w:rPr>
        <w:t>(13)</w:t>
      </w:r>
      <w:r>
        <w:rPr>
          <w:spacing w:val="2"/>
        </w:rPr>
        <w:t>关于修改公司经营范围及相应修改《公司章程》的议案；</w:t>
      </w:r>
      <w:r>
        <w:rPr>
          <w:rFonts w:ascii="宋体" w:hAnsi="宋体" w:cs="宋体" w:eastAsia="宋体" w:hint="default"/>
          <w:spacing w:val="2"/>
        </w:rPr>
        <w:t>(14)</w:t>
      </w:r>
      <w:r>
        <w:rPr>
          <w:spacing w:val="2"/>
        </w:rPr>
        <w:t>关于修改</w:t>
      </w:r>
    </w:p>
    <w:p>
      <w:pPr>
        <w:pStyle w:val="BodyText"/>
        <w:spacing w:line="276" w:lineRule="auto" w:before="46"/>
        <w:ind w:left="322" w:right="0"/>
        <w:jc w:val="left"/>
      </w:pPr>
      <w:r>
        <w:rPr>
          <w:spacing w:val="-4"/>
        </w:rPr>
        <w:t>《股东大会议事规则》的议案；</w:t>
      </w:r>
      <w:r>
        <w:rPr>
          <w:rFonts w:ascii="宋体" w:hAnsi="宋体" w:cs="宋体" w:eastAsia="宋体" w:hint="default"/>
          <w:spacing w:val="-4"/>
        </w:rPr>
        <w:t>(15)</w:t>
      </w:r>
      <w:r>
        <w:rPr>
          <w:spacing w:val="-4"/>
        </w:rPr>
        <w:t>关于制定《公司董事、监事薪酬管理制度》；</w:t>
      </w:r>
      <w:r>
        <w:rPr>
          <w:spacing w:val="-102"/>
        </w:rPr>
        <w:t> </w:t>
      </w:r>
      <w:r>
        <w:rPr>
          <w:spacing w:val="-102"/>
        </w:rPr>
      </w:r>
      <w:r>
        <w:rPr>
          <w:rFonts w:ascii="宋体" w:hAnsi="宋体" w:cs="宋体" w:eastAsia="宋体" w:hint="default"/>
        </w:rPr>
        <w:t>(16)</w:t>
      </w:r>
      <w:r>
        <w:rPr/>
        <w:t>关于变更部分董事的议案</w:t>
      </w:r>
    </w:p>
    <w:p>
      <w:pPr>
        <w:tabs>
          <w:tab w:pos="1161" w:val="left" w:leader="none"/>
        </w:tabs>
        <w:spacing w:line="780" w:lineRule="exact" w:before="26"/>
        <w:ind w:left="322" w:right="5524" w:firstLine="419"/>
        <w:jc w:val="left"/>
        <w:rPr>
          <w:rFonts w:ascii="宋体" w:hAnsi="宋体" w:cs="宋体" w:eastAsia="宋体" w:hint="default"/>
          <w:sz w:val="24"/>
          <w:szCs w:val="24"/>
        </w:rPr>
      </w:pPr>
      <w:r>
        <w:rPr>
          <w:rFonts w:ascii="宋体" w:hAnsi="宋体" w:cs="宋体" w:eastAsia="宋体" w:hint="default"/>
          <w:sz w:val="24"/>
          <w:szCs w:val="24"/>
        </w:rPr>
        <w:t>上述全部议案均审议通过。 </w:t>
      </w:r>
      <w:r>
        <w:rPr>
          <w:rFonts w:ascii="宋体" w:hAnsi="宋体" w:cs="宋体" w:eastAsia="宋体" w:hint="default"/>
          <w:b/>
          <w:bCs/>
          <w:sz w:val="24"/>
          <w:szCs w:val="24"/>
        </w:rPr>
        <w:t>三、</w:t>
        <w:tab/>
        <w:t>董事履行职责情况</w:t>
      </w:r>
      <w:r>
        <w:rPr>
          <w:rFonts w:ascii="宋体" w:hAnsi="宋体" w:cs="宋体" w:eastAsia="宋体" w:hint="default"/>
          <w:sz w:val="24"/>
          <w:szCs w:val="24"/>
        </w:rPr>
      </w:r>
    </w:p>
    <w:p>
      <w:pPr>
        <w:pStyle w:val="Heading2"/>
        <w:tabs>
          <w:tab w:pos="1161" w:val="left" w:leader="none"/>
        </w:tabs>
        <w:spacing w:line="298" w:lineRule="exact"/>
        <w:ind w:left="322"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董事参加董事会和股东大会的情况</w:t>
      </w:r>
      <w:r>
        <w:rPr>
          <w:b w:val="0"/>
          <w:bCs w:val="0"/>
        </w:rPr>
      </w:r>
    </w:p>
    <w:p>
      <w:pPr>
        <w:spacing w:line="240" w:lineRule="auto" w:before="7"/>
        <w:rPr>
          <w:rFonts w:ascii="宋体" w:hAnsi="宋体" w:cs="宋体" w:eastAsia="宋体" w:hint="default"/>
          <w:b/>
          <w:bCs/>
          <w:sz w:val="7"/>
          <w:szCs w:val="7"/>
        </w:rPr>
      </w:pPr>
    </w:p>
    <w:tbl>
      <w:tblPr>
        <w:tblW w:w="0" w:type="auto"/>
        <w:jc w:val="left"/>
        <w:tblInd w:w="110" w:type="dxa"/>
        <w:tblLayout w:type="fixed"/>
        <w:tblCellMar>
          <w:top w:w="0" w:type="dxa"/>
          <w:left w:w="0" w:type="dxa"/>
          <w:bottom w:w="0" w:type="dxa"/>
          <w:right w:w="0" w:type="dxa"/>
        </w:tblCellMar>
        <w:tblLook w:val="01E0"/>
      </w:tblPr>
      <w:tblGrid>
        <w:gridCol w:w="1142"/>
        <w:gridCol w:w="816"/>
        <w:gridCol w:w="1061"/>
        <w:gridCol w:w="821"/>
        <w:gridCol w:w="934"/>
        <w:gridCol w:w="871"/>
        <w:gridCol w:w="715"/>
        <w:gridCol w:w="1347"/>
        <w:gridCol w:w="1212"/>
      </w:tblGrid>
      <w:tr>
        <w:trPr>
          <w:trHeight w:val="571" w:hRule="exact"/>
        </w:trPr>
        <w:tc>
          <w:tcPr>
            <w:tcW w:w="11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352" w:right="355"/>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37" w:lineRule="auto"/>
              <w:ind w:left="189" w:right="192"/>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独立</w:t>
            </w:r>
            <w:r>
              <w:rPr>
                <w:rFonts w:ascii="宋体" w:hAnsi="宋体" w:cs="宋体" w:eastAsia="宋体" w:hint="default"/>
                <w:spacing w:val="-103"/>
                <w:sz w:val="21"/>
                <w:szCs w:val="21"/>
              </w:rPr>
              <w:t> </w:t>
            </w:r>
            <w:r>
              <w:rPr>
                <w:rFonts w:ascii="宋体" w:hAnsi="宋体" w:cs="宋体" w:eastAsia="宋体" w:hint="default"/>
                <w:sz w:val="21"/>
                <w:szCs w:val="21"/>
              </w:rPr>
              <w:t>董事</w:t>
            </w:r>
          </w:p>
        </w:tc>
        <w:tc>
          <w:tcPr>
            <w:tcW w:w="57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79"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179"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6" w:hRule="exact"/>
        </w:trPr>
        <w:tc>
          <w:tcPr>
            <w:tcW w:w="1142"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15" w:right="101"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hAnsi="宋体" w:cs="宋体" w:eastAsia="宋体" w:hint="default"/>
                <w:sz w:val="21"/>
                <w:szCs w:val="21"/>
              </w:rPr>
              <w:t>亲自</w:t>
            </w:r>
          </w:p>
          <w:p>
            <w:pPr>
              <w:pStyle w:val="TableParagraph"/>
              <w:spacing w:line="240" w:lineRule="auto"/>
              <w:ind w:left="194" w:right="192"/>
              <w:jc w:val="left"/>
              <w:rPr>
                <w:rFonts w:ascii="宋体" w:hAnsi="宋体" w:cs="宋体" w:eastAsia="宋体" w:hint="default"/>
                <w:sz w:val="21"/>
                <w:szCs w:val="21"/>
              </w:rPr>
            </w:pPr>
            <w:r>
              <w:rPr>
                <w:rFonts w:ascii="宋体" w:hAnsi="宋体" w:cs="宋体" w:eastAsia="宋体" w:hint="default"/>
                <w:sz w:val="21"/>
                <w:szCs w:val="21"/>
              </w:rPr>
              <w:t>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46" w:right="142"/>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15" w:right="110"/>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41" w:right="139"/>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50" w:right="142" w:hanging="212"/>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9"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494" w:right="177"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3"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周立业</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1</w:t>
            </w:r>
          </w:p>
        </w:tc>
      </w:tr>
      <w:tr>
        <w:trPr>
          <w:trHeight w:val="283"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黄俞</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r>
        <w:trPr>
          <w:trHeight w:val="281"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范新</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r>
      <w:tr>
        <w:trPr>
          <w:trHeight w:val="283"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李艳和</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r>
        <w:trPr>
          <w:trHeight w:val="283"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何佳</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r>
      <w:tr>
        <w:trPr>
          <w:trHeight w:val="281"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蒋毅刚</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r>
        <w:trPr>
          <w:trHeight w:val="283"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赵晶</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1</w:t>
            </w:r>
          </w:p>
        </w:tc>
      </w:tr>
      <w:tr>
        <w:trPr>
          <w:trHeight w:val="283"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童利斌</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r>
    </w:tbl>
    <w:p>
      <w:pPr>
        <w:spacing w:line="240" w:lineRule="auto" w:before="8"/>
        <w:rPr>
          <w:rFonts w:ascii="宋体" w:hAnsi="宋体" w:cs="宋体" w:eastAsia="宋体" w:hint="default"/>
          <w:b/>
          <w:bCs/>
          <w:sz w:val="18"/>
          <w:szCs w:val="18"/>
        </w:rPr>
      </w:pPr>
    </w:p>
    <w:p>
      <w:pPr>
        <w:pStyle w:val="BodyText"/>
        <w:spacing w:line="313" w:lineRule="exact" w:before="26"/>
        <w:ind w:left="322" w:right="0"/>
        <w:jc w:val="left"/>
      </w:pPr>
      <w:r>
        <w:rPr/>
        <w:t>连续两次未亲自出席董事会会议的说明</w:t>
      </w:r>
    </w:p>
    <w:p>
      <w:pPr>
        <w:pStyle w:val="BodyText"/>
        <w:spacing w:line="313" w:lineRule="exact"/>
        <w:ind w:left="322" w:right="0"/>
        <w:jc w:val="left"/>
      </w:pPr>
      <w:r>
        <w:rPr/>
        <w:t>□适用</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209" w:type="dxa"/>
        <w:tblLayout w:type="fixed"/>
        <w:tblCellMar>
          <w:top w:w="0" w:type="dxa"/>
          <w:left w:w="0" w:type="dxa"/>
          <w:bottom w:w="0" w:type="dxa"/>
          <w:right w:w="0" w:type="dxa"/>
        </w:tblCellMar>
        <w:tblLook w:val="01E0"/>
      </w:tblPr>
      <w:tblGrid>
        <w:gridCol w:w="4369"/>
        <w:gridCol w:w="4357"/>
      </w:tblGrid>
      <w:tr>
        <w:trPr>
          <w:trHeight w:val="281"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7</w:t>
            </w:r>
          </w:p>
        </w:tc>
      </w:tr>
      <w:tr>
        <w:trPr>
          <w:trHeight w:val="283"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w w:val="100"/>
                <w:sz w:val="21"/>
              </w:rPr>
              <w:t>1</w:t>
            </w:r>
          </w:p>
        </w:tc>
      </w:tr>
      <w:tr>
        <w:trPr>
          <w:trHeight w:val="283"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5</w:t>
            </w:r>
          </w:p>
        </w:tc>
      </w:tr>
      <w:tr>
        <w:trPr>
          <w:trHeight w:val="281" w:hRule="exact"/>
        </w:trPr>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1</w:t>
            </w:r>
          </w:p>
        </w:tc>
      </w:tr>
    </w:tbl>
    <w:p>
      <w:pPr>
        <w:spacing w:line="240" w:lineRule="auto" w:before="0"/>
        <w:rPr>
          <w:rFonts w:ascii="宋体" w:hAnsi="宋体" w:cs="宋体" w:eastAsia="宋体" w:hint="default"/>
          <w:sz w:val="27"/>
          <w:szCs w:val="27"/>
        </w:rPr>
      </w:pPr>
    </w:p>
    <w:p>
      <w:pPr>
        <w:pStyle w:val="Heading2"/>
        <w:tabs>
          <w:tab w:pos="1161" w:val="left" w:leader="none"/>
        </w:tabs>
        <w:spacing w:line="240" w:lineRule="auto" w:before="26"/>
        <w:ind w:left="322"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独立董事对公司有关事项提出异议的情况</w:t>
      </w:r>
      <w:r>
        <w:rPr>
          <w:b w:val="0"/>
          <w:bCs w:val="0"/>
        </w:rPr>
      </w:r>
    </w:p>
    <w:p>
      <w:pPr>
        <w:pStyle w:val="BodyText"/>
        <w:spacing w:line="240" w:lineRule="auto" w:before="106"/>
        <w:ind w:left="322" w:right="0"/>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tabs>
          <w:tab w:pos="1161" w:val="left" w:leader="none"/>
        </w:tabs>
        <w:spacing w:line="240" w:lineRule="auto"/>
        <w:ind w:left="322"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其他</w:t>
      </w:r>
      <w:r>
        <w:rPr>
          <w:b w:val="0"/>
          <w:bCs w:val="0"/>
        </w:rPr>
      </w:r>
    </w:p>
    <w:p>
      <w:pPr>
        <w:pStyle w:val="BodyText"/>
        <w:tabs>
          <w:tab w:pos="1281" w:val="left" w:leader="none"/>
        </w:tabs>
        <w:spacing w:line="240" w:lineRule="auto" w:before="106"/>
        <w:ind w:left="322" w:right="0"/>
        <w:jc w:val="left"/>
      </w:pPr>
      <w:r>
        <w:rPr/>
        <w:t>□适用</w:t>
        <w:tab/>
        <w:t>√不适用</w:t>
      </w:r>
    </w:p>
    <w:p>
      <w:pPr>
        <w:spacing w:line="240" w:lineRule="auto" w:before="9"/>
        <w:rPr>
          <w:rFonts w:ascii="宋体" w:hAnsi="宋体" w:cs="宋体" w:eastAsia="宋体" w:hint="default"/>
          <w:sz w:val="35"/>
          <w:szCs w:val="35"/>
        </w:rPr>
      </w:pPr>
    </w:p>
    <w:p>
      <w:pPr>
        <w:pStyle w:val="Heading2"/>
        <w:tabs>
          <w:tab w:pos="1161" w:val="left" w:leader="none"/>
        </w:tabs>
        <w:spacing w:line="276" w:lineRule="auto"/>
        <w:ind w:left="746" w:right="206" w:hanging="425"/>
        <w:jc w:val="left"/>
        <w:rPr>
          <w:b w:val="0"/>
          <w:bCs w:val="0"/>
        </w:rPr>
      </w:pPr>
      <w:r>
        <w:rPr/>
        <w:t>四、</w:t>
        <w:tab/>
      </w:r>
      <w:r>
        <w:rPr>
          <w:spacing w:val="2"/>
        </w:rPr>
        <w:t>董事会下设专门委员会在报告期内履行职责时所提出的重要意见和建议，</w:t>
      </w:r>
      <w:r>
        <w:rPr>
          <w:w w:val="99"/>
        </w:rPr>
        <w:t> </w:t>
      </w:r>
      <w:r>
        <w:rPr/>
        <w:t>存在异议事项的，应当披露具体情况</w:t>
      </w:r>
      <w:r>
        <w:rPr>
          <w:b w:val="0"/>
          <w:bCs w:val="0"/>
        </w:rPr>
      </w:r>
    </w:p>
    <w:p>
      <w:pPr>
        <w:pStyle w:val="BodyText"/>
        <w:tabs>
          <w:tab w:pos="1281" w:val="left" w:leader="none"/>
        </w:tabs>
        <w:spacing w:line="240" w:lineRule="auto" w:before="70"/>
        <w:ind w:left="322" w:right="0"/>
        <w:jc w:val="left"/>
      </w:pPr>
      <w:r>
        <w:rPr/>
        <w:t>√适用</w:t>
        <w:tab/>
        <w:t>□不适用</w:t>
      </w:r>
    </w:p>
    <w:p>
      <w:pPr>
        <w:spacing w:line="240" w:lineRule="auto" w:before="5"/>
        <w:rPr>
          <w:rFonts w:ascii="宋体" w:hAnsi="宋体" w:cs="宋体" w:eastAsia="宋体" w:hint="default"/>
          <w:sz w:val="27"/>
          <w:szCs w:val="27"/>
        </w:rPr>
      </w:pPr>
    </w:p>
    <w:p>
      <w:pPr>
        <w:pStyle w:val="Heading2"/>
        <w:tabs>
          <w:tab w:pos="1041" w:val="left" w:leader="none"/>
        </w:tabs>
        <w:spacing w:line="240" w:lineRule="auto"/>
        <w:ind w:left="322"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报告期内董事会审计委员会履行职责情况</w:t>
      </w:r>
      <w:r>
        <w:rPr>
          <w:b w:val="0"/>
          <w:bCs w:val="0"/>
        </w:rPr>
      </w:r>
    </w:p>
    <w:p>
      <w:pPr>
        <w:spacing w:after="0" w:line="240" w:lineRule="auto"/>
        <w:jc w:val="left"/>
        <w:sectPr>
          <w:pgSz w:w="11910" w:h="16840"/>
          <w:pgMar w:header="0" w:footer="1034" w:top="1400" w:bottom="1240" w:left="1380" w:right="1380"/>
        </w:sectPr>
      </w:pPr>
    </w:p>
    <w:p>
      <w:pPr>
        <w:pStyle w:val="BodyText"/>
        <w:spacing w:line="240" w:lineRule="auto" w:before="12"/>
        <w:ind w:left="581" w:right="0"/>
        <w:jc w:val="left"/>
      </w:pPr>
      <w:r>
        <w:rPr>
          <w:rFonts w:ascii="宋体" w:hAnsi="宋体" w:cs="宋体" w:eastAsia="宋体" w:hint="default"/>
        </w:rPr>
        <w:t>1. 2018</w:t>
      </w:r>
      <w:r>
        <w:rPr>
          <w:rFonts w:ascii="宋体" w:hAnsi="宋体" w:cs="宋体" w:eastAsia="宋体" w:hint="default"/>
          <w:spacing w:val="-51"/>
        </w:rPr>
        <w:t> </w:t>
      </w:r>
      <w:r>
        <w:rPr/>
        <w:t>年</w:t>
      </w:r>
      <w:r>
        <w:rPr>
          <w:spacing w:val="-51"/>
        </w:rPr>
        <w:t> </w:t>
      </w:r>
      <w:r>
        <w:rPr>
          <w:rFonts w:ascii="宋体" w:hAnsi="宋体" w:cs="宋体" w:eastAsia="宋体" w:hint="default"/>
        </w:rPr>
        <w:t>1</w:t>
      </w:r>
      <w:r>
        <w:rPr>
          <w:rFonts w:ascii="宋体" w:hAnsi="宋体" w:cs="宋体" w:eastAsia="宋体" w:hint="default"/>
          <w:spacing w:val="-50"/>
        </w:rPr>
        <w:t> </w:t>
      </w:r>
      <w:r>
        <w:rPr/>
        <w:t>月</w:t>
      </w:r>
      <w:r>
        <w:rPr>
          <w:spacing w:val="-51"/>
        </w:rPr>
        <w:t> </w:t>
      </w:r>
      <w:r>
        <w:rPr>
          <w:rFonts w:ascii="宋体" w:hAnsi="宋体" w:cs="宋体" w:eastAsia="宋体" w:hint="default"/>
        </w:rPr>
        <w:t>10</w:t>
      </w:r>
      <w:r>
        <w:rPr>
          <w:rFonts w:ascii="宋体" w:hAnsi="宋体" w:cs="宋体" w:eastAsia="宋体" w:hint="default"/>
          <w:spacing w:val="-51"/>
        </w:rPr>
        <w:t> </w:t>
      </w:r>
      <w:r>
        <w:rPr/>
        <w:t>日，公司召开第七届董事会审计委员会第十次会议，审阅</w:t>
      </w:r>
    </w:p>
    <w:p>
      <w:pPr>
        <w:pStyle w:val="BodyText"/>
        <w:spacing w:line="240" w:lineRule="auto" w:before="46"/>
        <w:ind w:left="102" w:right="0"/>
        <w:jc w:val="left"/>
      </w:pPr>
      <w:r>
        <w:rPr/>
        <w:t>了</w:t>
      </w:r>
      <w:r>
        <w:rPr>
          <w:spacing w:val="-67"/>
        </w:rPr>
        <w:t> </w:t>
      </w:r>
      <w:r>
        <w:rPr>
          <w:rFonts w:ascii="宋体" w:hAnsi="宋体" w:cs="宋体" w:eastAsia="宋体" w:hint="default"/>
        </w:rPr>
        <w:t>2017</w:t>
      </w:r>
      <w:r>
        <w:rPr>
          <w:rFonts w:ascii="宋体" w:hAnsi="宋体" w:cs="宋体" w:eastAsia="宋体" w:hint="default"/>
          <w:spacing w:val="-66"/>
        </w:rPr>
        <w:t> </w:t>
      </w:r>
      <w:r>
        <w:rPr/>
        <w:t>年公司编制的同方股份有限公司财务会计报表，听取了信永中和会计师事</w:t>
      </w:r>
    </w:p>
    <w:p>
      <w:pPr>
        <w:pStyle w:val="BodyText"/>
        <w:spacing w:line="240" w:lineRule="auto" w:before="46"/>
        <w:ind w:left="102" w:right="0"/>
        <w:jc w:val="left"/>
      </w:pPr>
      <w:r>
        <w:rPr/>
        <w:t>务所关于公司</w:t>
      </w:r>
      <w:r>
        <w:rPr>
          <w:spacing w:val="-69"/>
        </w:rPr>
        <w:t> </w:t>
      </w:r>
      <w:r>
        <w:rPr>
          <w:rFonts w:ascii="宋体" w:hAnsi="宋体" w:cs="宋体" w:eastAsia="宋体" w:hint="default"/>
        </w:rPr>
        <w:t>2017</w:t>
      </w:r>
      <w:r>
        <w:rPr>
          <w:rFonts w:ascii="宋体" w:hAnsi="宋体" w:cs="宋体" w:eastAsia="宋体" w:hint="default"/>
          <w:spacing w:val="-69"/>
        </w:rPr>
        <w:t> </w:t>
      </w:r>
      <w:r>
        <w:rPr/>
        <w:t>年年报的审计工作计划，并进一步提出了审计时间、审计关注</w:t>
      </w:r>
    </w:p>
    <w:p>
      <w:pPr>
        <w:pStyle w:val="BodyText"/>
        <w:spacing w:line="240" w:lineRule="auto" w:before="46"/>
        <w:ind w:left="102" w:right="0"/>
        <w:jc w:val="left"/>
      </w:pPr>
      <w:r>
        <w:rPr/>
        <w:t>重点、沟通机制等相关要求，同时审议通过了《公司 </w:t>
      </w:r>
      <w:r>
        <w:rPr>
          <w:rFonts w:ascii="宋体" w:hAnsi="宋体" w:cs="宋体" w:eastAsia="宋体" w:hint="default"/>
        </w:rPr>
        <w:t>2018</w:t>
      </w:r>
      <w:r>
        <w:rPr>
          <w:rFonts w:ascii="宋体" w:hAnsi="宋体" w:cs="宋体" w:eastAsia="宋体" w:hint="default"/>
          <w:spacing w:val="-14"/>
        </w:rPr>
        <w:t> </w:t>
      </w:r>
      <w:r>
        <w:rPr/>
        <w:t>年度内部审计计划》、</w:t>
      </w:r>
    </w:p>
    <w:p>
      <w:pPr>
        <w:pStyle w:val="BodyText"/>
        <w:spacing w:line="276" w:lineRule="auto" w:before="46"/>
        <w:ind w:left="102" w:right="223"/>
        <w:jc w:val="left"/>
      </w:pPr>
      <w:r>
        <w:rPr/>
        <w:t>《公司</w:t>
      </w:r>
      <w:r>
        <w:rPr>
          <w:spacing w:val="-69"/>
        </w:rPr>
        <w:t> </w:t>
      </w:r>
      <w:r>
        <w:rPr>
          <w:rFonts w:ascii="宋体" w:hAnsi="宋体" w:cs="宋体" w:eastAsia="宋体" w:hint="default"/>
        </w:rPr>
        <w:t>2018</w:t>
      </w:r>
      <w:r>
        <w:rPr>
          <w:rFonts w:ascii="宋体" w:hAnsi="宋体" w:cs="宋体" w:eastAsia="宋体" w:hint="default"/>
          <w:spacing w:val="-68"/>
        </w:rPr>
        <w:t> </w:t>
      </w:r>
      <w:r>
        <w:rPr/>
        <w:t>年度内部控制自我评价计划》及《关于北京同方吉兆科技有限公司总 经理任中经济责任审计报告》。</w:t>
      </w:r>
    </w:p>
    <w:p>
      <w:pPr>
        <w:spacing w:line="240" w:lineRule="auto" w:before="4"/>
        <w:rPr>
          <w:rFonts w:ascii="宋体" w:hAnsi="宋体" w:cs="宋体" w:eastAsia="宋体" w:hint="default"/>
          <w:sz w:val="28"/>
          <w:szCs w:val="28"/>
        </w:rPr>
      </w:pPr>
    </w:p>
    <w:p>
      <w:pPr>
        <w:pStyle w:val="BodyText"/>
        <w:spacing w:line="240" w:lineRule="auto"/>
        <w:ind w:left="581" w:right="0"/>
        <w:jc w:val="left"/>
      </w:pPr>
      <w:r>
        <w:rPr>
          <w:rFonts w:ascii="宋体" w:hAnsi="宋体" w:cs="宋体" w:eastAsia="宋体" w:hint="default"/>
        </w:rPr>
        <w:t>2. 2018</w:t>
      </w:r>
      <w:r>
        <w:rPr>
          <w:rFonts w:ascii="宋体" w:hAnsi="宋体" w:cs="宋体" w:eastAsia="宋体" w:hint="default"/>
          <w:spacing w:val="-51"/>
        </w:rPr>
        <w:t> </w:t>
      </w:r>
      <w:r>
        <w:rPr/>
        <w:t>年</w:t>
      </w:r>
      <w:r>
        <w:rPr>
          <w:spacing w:val="-51"/>
        </w:rPr>
        <w:t> </w:t>
      </w:r>
      <w:r>
        <w:rPr>
          <w:rFonts w:ascii="宋体" w:hAnsi="宋体" w:cs="宋体" w:eastAsia="宋体" w:hint="default"/>
        </w:rPr>
        <w:t>4</w:t>
      </w:r>
      <w:r>
        <w:rPr>
          <w:rFonts w:ascii="宋体" w:hAnsi="宋体" w:cs="宋体" w:eastAsia="宋体" w:hint="default"/>
          <w:spacing w:val="-50"/>
        </w:rPr>
        <w:t> </w:t>
      </w:r>
      <w:r>
        <w:rPr/>
        <w:t>月</w:t>
      </w:r>
      <w:r>
        <w:rPr>
          <w:spacing w:val="-51"/>
        </w:rPr>
        <w:t> </w:t>
      </w:r>
      <w:r>
        <w:rPr>
          <w:rFonts w:ascii="宋体" w:hAnsi="宋体" w:cs="宋体" w:eastAsia="宋体" w:hint="default"/>
        </w:rPr>
        <w:t>20</w:t>
      </w:r>
      <w:r>
        <w:rPr>
          <w:rFonts w:ascii="宋体" w:hAnsi="宋体" w:cs="宋体" w:eastAsia="宋体" w:hint="default"/>
          <w:spacing w:val="-51"/>
        </w:rPr>
        <w:t> </w:t>
      </w:r>
      <w:r>
        <w:rPr/>
        <w:t>日，公司召开第七届董事会审计委员会第十一次会议，审</w:t>
      </w:r>
    </w:p>
    <w:p>
      <w:pPr>
        <w:pStyle w:val="BodyText"/>
        <w:spacing w:line="240" w:lineRule="auto" w:before="46"/>
        <w:ind w:left="102" w:right="0"/>
        <w:jc w:val="left"/>
      </w:pPr>
      <w:r>
        <w:rPr/>
        <w:t>阅了信永中和会计师事务所审计的</w:t>
      </w:r>
      <w:r>
        <w:rPr>
          <w:spacing w:val="-66"/>
        </w:rPr>
        <w:t> </w:t>
      </w:r>
      <w:r>
        <w:rPr>
          <w:rFonts w:ascii="宋体" w:hAnsi="宋体" w:cs="宋体" w:eastAsia="宋体" w:hint="default"/>
        </w:rPr>
        <w:t>2017</w:t>
      </w:r>
      <w:r>
        <w:rPr>
          <w:rFonts w:ascii="宋体" w:hAnsi="宋体" w:cs="宋体" w:eastAsia="宋体" w:hint="default"/>
          <w:spacing w:val="-66"/>
        </w:rPr>
        <w:t> </w:t>
      </w:r>
      <w:r>
        <w:rPr/>
        <w:t>年同方股份有限公司财务会计报表；会议</w:t>
      </w:r>
    </w:p>
    <w:p>
      <w:pPr>
        <w:pStyle w:val="BodyText"/>
        <w:spacing w:line="240" w:lineRule="auto" w:before="46"/>
        <w:ind w:left="102" w:right="0"/>
        <w:jc w:val="left"/>
      </w:pPr>
      <w:r>
        <w:rPr/>
        <w:t>审议通过了《信永中和会计师事务所的</w:t>
      </w:r>
      <w:r>
        <w:rPr>
          <w:spacing w:val="-65"/>
        </w:rPr>
        <w:t> </w:t>
      </w:r>
      <w:r>
        <w:rPr>
          <w:rFonts w:ascii="宋体" w:hAnsi="宋体" w:cs="宋体" w:eastAsia="宋体" w:hint="default"/>
        </w:rPr>
        <w:t>2017</w:t>
      </w:r>
      <w:r>
        <w:rPr>
          <w:rFonts w:ascii="宋体" w:hAnsi="宋体" w:cs="宋体" w:eastAsia="宋体" w:hint="default"/>
          <w:spacing w:val="-65"/>
        </w:rPr>
        <w:t> </w:t>
      </w:r>
      <w:r>
        <w:rPr/>
        <w:t>年度公司审计工作总结报告》、《关</w:t>
      </w:r>
    </w:p>
    <w:p>
      <w:pPr>
        <w:pStyle w:val="BodyText"/>
        <w:spacing w:line="240" w:lineRule="auto" w:before="46"/>
        <w:ind w:left="102" w:right="0"/>
        <w:jc w:val="left"/>
      </w:pPr>
      <w:r>
        <w:rPr/>
        <w:t>于会计政策变更的议案》、《关于续聘信永中和任公司</w:t>
      </w:r>
      <w:r>
        <w:rPr>
          <w:spacing w:val="-66"/>
        </w:rPr>
        <w:t> </w:t>
      </w:r>
      <w:r>
        <w:rPr>
          <w:rFonts w:ascii="宋体" w:hAnsi="宋体" w:cs="宋体" w:eastAsia="宋体" w:hint="default"/>
        </w:rPr>
        <w:t>2018</w:t>
      </w:r>
      <w:r>
        <w:rPr>
          <w:rFonts w:ascii="宋体" w:hAnsi="宋体" w:cs="宋体" w:eastAsia="宋体" w:hint="default"/>
          <w:spacing w:val="-67"/>
        </w:rPr>
        <w:t> </w:t>
      </w:r>
      <w:r>
        <w:rPr/>
        <w:t>年度财务报告审计机</w:t>
      </w:r>
    </w:p>
    <w:p>
      <w:pPr>
        <w:pStyle w:val="BodyText"/>
        <w:spacing w:line="240" w:lineRule="auto" w:before="46"/>
        <w:ind w:left="102" w:right="0"/>
        <w:jc w:val="left"/>
      </w:pPr>
      <w:r>
        <w:rPr/>
        <w:t>构和内部控制审计机构及支付其</w:t>
      </w:r>
      <w:r>
        <w:rPr>
          <w:spacing w:val="-34"/>
        </w:rPr>
        <w:t> </w:t>
      </w:r>
      <w:r>
        <w:rPr>
          <w:rFonts w:ascii="宋体" w:hAnsi="宋体" w:cs="宋体" w:eastAsia="宋体" w:hint="default"/>
        </w:rPr>
        <w:t>2017</w:t>
      </w:r>
      <w:r>
        <w:rPr>
          <w:rFonts w:ascii="宋体" w:hAnsi="宋体" w:cs="宋体" w:eastAsia="宋体" w:hint="default"/>
          <w:spacing w:val="-34"/>
        </w:rPr>
        <w:t> </w:t>
      </w:r>
      <w:r>
        <w:rPr/>
        <w:t>年审计费用的议案》、《关于</w:t>
      </w:r>
      <w:r>
        <w:rPr>
          <w:spacing w:val="-33"/>
        </w:rPr>
        <w:t> </w:t>
      </w:r>
      <w:r>
        <w:rPr>
          <w:rFonts w:ascii="宋体" w:hAnsi="宋体" w:cs="宋体" w:eastAsia="宋体" w:hint="default"/>
        </w:rPr>
        <w:t>2017</w:t>
      </w:r>
      <w:r>
        <w:rPr>
          <w:rFonts w:ascii="宋体" w:hAnsi="宋体" w:cs="宋体" w:eastAsia="宋体" w:hint="default"/>
          <w:spacing w:val="-34"/>
        </w:rPr>
        <w:t> </w:t>
      </w:r>
      <w:r>
        <w:rPr/>
        <w:t>年度日</w:t>
      </w:r>
    </w:p>
    <w:p>
      <w:pPr>
        <w:pStyle w:val="BodyText"/>
        <w:spacing w:line="276" w:lineRule="auto" w:before="46"/>
        <w:ind w:left="102" w:right="221"/>
        <w:jc w:val="left"/>
      </w:pPr>
      <w:r>
        <w:rPr/>
        <w:t>常关联交易执行情况以及</w:t>
      </w:r>
      <w:r>
        <w:rPr>
          <w:spacing w:val="-34"/>
        </w:rPr>
        <w:t> </w:t>
      </w:r>
      <w:r>
        <w:rPr>
          <w:rFonts w:ascii="宋体" w:hAnsi="宋体" w:cs="宋体" w:eastAsia="宋体" w:hint="default"/>
        </w:rPr>
        <w:t>2018</w:t>
      </w:r>
      <w:r>
        <w:rPr>
          <w:rFonts w:ascii="宋体" w:hAnsi="宋体" w:cs="宋体" w:eastAsia="宋体" w:hint="default"/>
          <w:spacing w:val="-34"/>
        </w:rPr>
        <w:t> </w:t>
      </w:r>
      <w:r>
        <w:rPr/>
        <w:t>年度日常关联交易预计的议案》及《公司</w:t>
      </w:r>
      <w:r>
        <w:rPr>
          <w:spacing w:val="-33"/>
        </w:rPr>
        <w:t> </w:t>
      </w:r>
      <w:r>
        <w:rPr>
          <w:rFonts w:ascii="宋体" w:hAnsi="宋体" w:cs="宋体" w:eastAsia="宋体" w:hint="default"/>
        </w:rPr>
        <w:t>2016</w:t>
      </w:r>
      <w:r>
        <w:rPr>
          <w:rFonts w:ascii="宋体" w:hAnsi="宋体" w:cs="宋体" w:eastAsia="宋体" w:hint="default"/>
          <w:spacing w:val="-34"/>
        </w:rPr>
        <w:t> </w:t>
      </w:r>
      <w:r>
        <w:rPr/>
        <w:t>年 度内部控制评价报告》，并同意将上述议案提交董事会审议。</w:t>
      </w:r>
    </w:p>
    <w:p>
      <w:pPr>
        <w:spacing w:line="240" w:lineRule="auto" w:before="4"/>
        <w:rPr>
          <w:rFonts w:ascii="宋体" w:hAnsi="宋体" w:cs="宋体" w:eastAsia="宋体" w:hint="default"/>
          <w:sz w:val="28"/>
          <w:szCs w:val="28"/>
        </w:rPr>
      </w:pPr>
    </w:p>
    <w:p>
      <w:pPr>
        <w:pStyle w:val="BodyText"/>
        <w:spacing w:line="240" w:lineRule="auto"/>
        <w:ind w:left="581" w:right="0"/>
        <w:jc w:val="left"/>
      </w:pPr>
      <w:r>
        <w:rPr>
          <w:rFonts w:ascii="宋体" w:hAnsi="宋体" w:cs="宋体" w:eastAsia="宋体" w:hint="default"/>
        </w:rPr>
        <w:t>3. 2018</w:t>
      </w:r>
      <w:r>
        <w:rPr>
          <w:rFonts w:ascii="宋体" w:hAnsi="宋体" w:cs="宋体" w:eastAsia="宋体" w:hint="default"/>
          <w:spacing w:val="-51"/>
        </w:rPr>
        <w:t> </w:t>
      </w:r>
      <w:r>
        <w:rPr/>
        <w:t>年</w:t>
      </w:r>
      <w:r>
        <w:rPr>
          <w:spacing w:val="-51"/>
        </w:rPr>
        <w:t> </w:t>
      </w:r>
      <w:r>
        <w:rPr>
          <w:rFonts w:ascii="宋体" w:hAnsi="宋体" w:cs="宋体" w:eastAsia="宋体" w:hint="default"/>
        </w:rPr>
        <w:t>4</w:t>
      </w:r>
      <w:r>
        <w:rPr>
          <w:rFonts w:ascii="宋体" w:hAnsi="宋体" w:cs="宋体" w:eastAsia="宋体" w:hint="default"/>
          <w:spacing w:val="-50"/>
        </w:rPr>
        <w:t> </w:t>
      </w:r>
      <w:r>
        <w:rPr/>
        <w:t>月</w:t>
      </w:r>
      <w:r>
        <w:rPr>
          <w:spacing w:val="-51"/>
        </w:rPr>
        <w:t> </w:t>
      </w:r>
      <w:r>
        <w:rPr>
          <w:rFonts w:ascii="宋体" w:hAnsi="宋体" w:cs="宋体" w:eastAsia="宋体" w:hint="default"/>
        </w:rPr>
        <w:t>26</w:t>
      </w:r>
      <w:r>
        <w:rPr>
          <w:rFonts w:ascii="宋体" w:hAnsi="宋体" w:cs="宋体" w:eastAsia="宋体" w:hint="default"/>
          <w:spacing w:val="-51"/>
        </w:rPr>
        <w:t> </w:t>
      </w:r>
      <w:r>
        <w:rPr/>
        <w:t>日，公司召开第七届董事会审计委员会第十二次会议，审</w:t>
      </w:r>
    </w:p>
    <w:p>
      <w:pPr>
        <w:pStyle w:val="BodyText"/>
        <w:spacing w:line="240" w:lineRule="auto" w:before="46"/>
        <w:ind w:left="102" w:right="0"/>
        <w:jc w:val="left"/>
      </w:pPr>
      <w:r>
        <w:rPr/>
        <w:t>议通过了公司</w:t>
      </w:r>
      <w:r>
        <w:rPr>
          <w:spacing w:val="-61"/>
        </w:rPr>
        <w:t> </w:t>
      </w:r>
      <w:r>
        <w:rPr>
          <w:rFonts w:ascii="宋体" w:hAnsi="宋体" w:cs="宋体" w:eastAsia="宋体" w:hint="default"/>
        </w:rPr>
        <w:t>2018</w:t>
      </w:r>
      <w:r>
        <w:rPr>
          <w:rFonts w:ascii="宋体" w:hAnsi="宋体" w:cs="宋体" w:eastAsia="宋体" w:hint="default"/>
          <w:spacing w:val="-60"/>
        </w:rPr>
        <w:t> </w:t>
      </w:r>
      <w:r>
        <w:rPr/>
        <w:t>年第一季度报告，并同意提交董事会审议。</w:t>
      </w:r>
    </w:p>
    <w:p>
      <w:pPr>
        <w:spacing w:line="240" w:lineRule="auto" w:before="0"/>
        <w:rPr>
          <w:rFonts w:ascii="宋体" w:hAnsi="宋体" w:cs="宋体" w:eastAsia="宋体" w:hint="default"/>
          <w:sz w:val="31"/>
          <w:szCs w:val="31"/>
        </w:rPr>
      </w:pPr>
    </w:p>
    <w:p>
      <w:pPr>
        <w:pStyle w:val="BodyText"/>
        <w:spacing w:line="240" w:lineRule="auto"/>
        <w:ind w:left="581" w:right="0"/>
        <w:jc w:val="left"/>
      </w:pPr>
      <w:r>
        <w:rPr>
          <w:rFonts w:ascii="宋体" w:hAnsi="宋体" w:cs="宋体" w:eastAsia="宋体" w:hint="default"/>
        </w:rPr>
        <w:t>4. 2018</w:t>
      </w:r>
      <w:r>
        <w:rPr>
          <w:rFonts w:ascii="宋体" w:hAnsi="宋体" w:cs="宋体" w:eastAsia="宋体" w:hint="default"/>
          <w:spacing w:val="-51"/>
        </w:rPr>
        <w:t> </w:t>
      </w:r>
      <w:r>
        <w:rPr/>
        <w:t>年</w:t>
      </w:r>
      <w:r>
        <w:rPr>
          <w:spacing w:val="-51"/>
        </w:rPr>
        <w:t> </w:t>
      </w:r>
      <w:r>
        <w:rPr>
          <w:rFonts w:ascii="宋体" w:hAnsi="宋体" w:cs="宋体" w:eastAsia="宋体" w:hint="default"/>
        </w:rPr>
        <w:t>8</w:t>
      </w:r>
      <w:r>
        <w:rPr>
          <w:rFonts w:ascii="宋体" w:hAnsi="宋体" w:cs="宋体" w:eastAsia="宋体" w:hint="default"/>
          <w:spacing w:val="-50"/>
        </w:rPr>
        <w:t> </w:t>
      </w:r>
      <w:r>
        <w:rPr/>
        <w:t>月</w:t>
      </w:r>
      <w:r>
        <w:rPr>
          <w:spacing w:val="-51"/>
        </w:rPr>
        <w:t> </w:t>
      </w:r>
      <w:r>
        <w:rPr>
          <w:rFonts w:ascii="宋体" w:hAnsi="宋体" w:cs="宋体" w:eastAsia="宋体" w:hint="default"/>
        </w:rPr>
        <w:t>28</w:t>
      </w:r>
      <w:r>
        <w:rPr>
          <w:rFonts w:ascii="宋体" w:hAnsi="宋体" w:cs="宋体" w:eastAsia="宋体" w:hint="default"/>
          <w:spacing w:val="-51"/>
        </w:rPr>
        <w:t> </w:t>
      </w:r>
      <w:r>
        <w:rPr/>
        <w:t>日，公司召开第七届董事会审计委员会第十三次会议，审</w:t>
      </w:r>
    </w:p>
    <w:p>
      <w:pPr>
        <w:pStyle w:val="BodyText"/>
        <w:spacing w:line="240" w:lineRule="auto" w:before="46"/>
        <w:ind w:left="102" w:right="0"/>
        <w:jc w:val="left"/>
      </w:pPr>
      <w:r>
        <w:rPr/>
        <w:t>议通过了公司</w:t>
      </w:r>
      <w:r>
        <w:rPr>
          <w:spacing w:val="-61"/>
        </w:rPr>
        <w:t> </w:t>
      </w:r>
      <w:r>
        <w:rPr>
          <w:rFonts w:ascii="宋体" w:hAnsi="宋体" w:cs="宋体" w:eastAsia="宋体" w:hint="default"/>
        </w:rPr>
        <w:t>2018</w:t>
      </w:r>
      <w:r>
        <w:rPr>
          <w:rFonts w:ascii="宋体" w:hAnsi="宋体" w:cs="宋体" w:eastAsia="宋体" w:hint="default"/>
          <w:spacing w:val="-60"/>
        </w:rPr>
        <w:t> </w:t>
      </w:r>
      <w:r>
        <w:rPr/>
        <w:t>年半年度报告摘要及正文，并同意提交公司董事会审议。</w:t>
      </w:r>
    </w:p>
    <w:p>
      <w:pPr>
        <w:spacing w:line="240" w:lineRule="auto" w:before="1"/>
        <w:rPr>
          <w:rFonts w:ascii="宋体" w:hAnsi="宋体" w:cs="宋体" w:eastAsia="宋体" w:hint="default"/>
          <w:sz w:val="31"/>
          <w:szCs w:val="31"/>
        </w:rPr>
      </w:pPr>
    </w:p>
    <w:p>
      <w:pPr>
        <w:pStyle w:val="BodyText"/>
        <w:spacing w:line="240" w:lineRule="auto"/>
        <w:ind w:left="581" w:right="0"/>
        <w:jc w:val="left"/>
      </w:pPr>
      <w:r>
        <w:rPr>
          <w:rFonts w:ascii="宋体" w:hAnsi="宋体" w:cs="宋体" w:eastAsia="宋体" w:hint="default"/>
        </w:rPr>
        <w:t>5.</w:t>
      </w:r>
      <w:r>
        <w:rPr>
          <w:rFonts w:ascii="宋体" w:hAnsi="宋体" w:cs="宋体" w:eastAsia="宋体" w:hint="default"/>
          <w:spacing w:val="-63"/>
        </w:rPr>
        <w:t> </w:t>
      </w:r>
      <w:r>
        <w:rPr>
          <w:rFonts w:ascii="宋体" w:hAnsi="宋体" w:cs="宋体" w:eastAsia="宋体" w:hint="default"/>
        </w:rPr>
        <w:t>2018</w:t>
      </w:r>
      <w:r>
        <w:rPr>
          <w:rFonts w:ascii="宋体" w:hAnsi="宋体" w:cs="宋体" w:eastAsia="宋体" w:hint="default"/>
          <w:spacing w:val="-63"/>
        </w:rPr>
        <w:t> </w:t>
      </w:r>
      <w:r>
        <w:rPr/>
        <w:t>年</w:t>
      </w:r>
      <w:r>
        <w:rPr>
          <w:spacing w:val="-63"/>
        </w:rPr>
        <w:t> </w:t>
      </w:r>
      <w:r>
        <w:rPr>
          <w:rFonts w:ascii="宋体" w:hAnsi="宋体" w:cs="宋体" w:eastAsia="宋体" w:hint="default"/>
        </w:rPr>
        <w:t>10</w:t>
      </w:r>
      <w:r>
        <w:rPr>
          <w:rFonts w:ascii="宋体" w:hAnsi="宋体" w:cs="宋体" w:eastAsia="宋体" w:hint="default"/>
          <w:spacing w:val="-63"/>
        </w:rPr>
        <w:t> </w:t>
      </w:r>
      <w:r>
        <w:rPr/>
        <w:t>月</w:t>
      </w:r>
      <w:r>
        <w:rPr>
          <w:spacing w:val="-63"/>
        </w:rPr>
        <w:t> </w:t>
      </w:r>
      <w:r>
        <w:rPr>
          <w:rFonts w:ascii="宋体" w:hAnsi="宋体" w:cs="宋体" w:eastAsia="宋体" w:hint="default"/>
        </w:rPr>
        <w:t>30</w:t>
      </w:r>
      <w:r>
        <w:rPr>
          <w:rFonts w:ascii="宋体" w:hAnsi="宋体" w:cs="宋体" w:eastAsia="宋体" w:hint="default"/>
          <w:spacing w:val="-63"/>
        </w:rPr>
        <w:t> </w:t>
      </w:r>
      <w:r>
        <w:rPr/>
        <w:t>日，公司召开第七届董事会审计委员会第十四次会议，审</w:t>
      </w:r>
    </w:p>
    <w:p>
      <w:pPr>
        <w:tabs>
          <w:tab w:pos="821" w:val="left" w:leader="none"/>
        </w:tabs>
        <w:spacing w:line="513" w:lineRule="auto" w:before="46"/>
        <w:ind w:left="102" w:right="2384" w:firstLine="0"/>
        <w:jc w:val="left"/>
        <w:rPr>
          <w:rFonts w:ascii="宋体" w:hAnsi="宋体" w:cs="宋体" w:eastAsia="宋体" w:hint="default"/>
          <w:sz w:val="24"/>
          <w:szCs w:val="24"/>
        </w:rPr>
      </w:pPr>
      <w:r>
        <w:rPr>
          <w:rFonts w:ascii="宋体" w:hAnsi="宋体" w:cs="宋体" w:eastAsia="宋体" w:hint="default"/>
          <w:sz w:val="24"/>
          <w:szCs w:val="24"/>
        </w:rPr>
        <w:t>议通过了公司</w:t>
      </w:r>
      <w:r>
        <w:rPr>
          <w:rFonts w:ascii="宋体" w:hAnsi="宋体" w:cs="宋体" w:eastAsia="宋体" w:hint="default"/>
          <w:spacing w:val="-61"/>
          <w:sz w:val="24"/>
          <w:szCs w:val="24"/>
        </w:rPr>
        <w:t> </w:t>
      </w:r>
      <w:r>
        <w:rPr>
          <w:rFonts w:ascii="宋体" w:hAnsi="宋体" w:cs="宋体" w:eastAsia="宋体" w:hint="default"/>
          <w:sz w:val="24"/>
          <w:szCs w:val="24"/>
        </w:rPr>
        <w:t>2018</w:t>
      </w:r>
      <w:r>
        <w:rPr>
          <w:rFonts w:ascii="宋体" w:hAnsi="宋体" w:cs="宋体" w:eastAsia="宋体" w:hint="default"/>
          <w:spacing w:val="-60"/>
          <w:sz w:val="24"/>
          <w:szCs w:val="24"/>
        </w:rPr>
        <w:t> </w:t>
      </w:r>
      <w:r>
        <w:rPr>
          <w:rFonts w:ascii="宋体" w:hAnsi="宋体" w:cs="宋体" w:eastAsia="宋体" w:hint="default"/>
          <w:sz w:val="24"/>
          <w:szCs w:val="24"/>
        </w:rPr>
        <w:t>年三季度报告，并同意提交董事会审议。 </w:t>
      </w:r>
      <w:r>
        <w:rPr>
          <w:rFonts w:ascii="宋体" w:hAnsi="宋体" w:cs="宋体" w:eastAsia="宋体" w:hint="default"/>
          <w:b/>
          <w:bCs/>
          <w:w w:val="95"/>
          <w:sz w:val="24"/>
          <w:szCs w:val="24"/>
        </w:rPr>
        <w:t>(</w:t>
      </w:r>
      <w:r>
        <w:rPr>
          <w:rFonts w:ascii="宋体" w:hAnsi="宋体" w:cs="宋体" w:eastAsia="宋体" w:hint="default"/>
          <w:b/>
          <w:bCs/>
          <w:w w:val="95"/>
          <w:sz w:val="24"/>
          <w:szCs w:val="24"/>
        </w:rPr>
        <w:t>二</w:t>
      </w:r>
      <w:r>
        <w:rPr>
          <w:rFonts w:ascii="宋体" w:hAnsi="宋体" w:cs="宋体" w:eastAsia="宋体" w:hint="default"/>
          <w:b/>
          <w:bCs/>
          <w:w w:val="95"/>
          <w:sz w:val="24"/>
          <w:szCs w:val="24"/>
        </w:rPr>
        <w:t>)</w:t>
        <w:tab/>
      </w:r>
      <w:r>
        <w:rPr>
          <w:rFonts w:ascii="宋体" w:hAnsi="宋体" w:cs="宋体" w:eastAsia="宋体" w:hint="default"/>
          <w:b/>
          <w:bCs/>
          <w:sz w:val="24"/>
          <w:szCs w:val="24"/>
        </w:rPr>
        <w:t>报告期内董事会薪酬与考核委员会履行职责情况</w:t>
      </w:r>
      <w:r>
        <w:rPr>
          <w:rFonts w:ascii="宋体" w:hAnsi="宋体" w:cs="宋体" w:eastAsia="宋体" w:hint="default"/>
          <w:sz w:val="24"/>
          <w:szCs w:val="24"/>
        </w:rPr>
      </w:r>
    </w:p>
    <w:p>
      <w:pPr>
        <w:pStyle w:val="BodyText"/>
        <w:spacing w:line="240" w:lineRule="auto" w:before="82"/>
        <w:ind w:left="581" w:right="0"/>
        <w:jc w:val="left"/>
      </w:pPr>
      <w:r>
        <w:rPr>
          <w:rFonts w:ascii="宋体" w:hAnsi="宋体" w:cs="宋体" w:eastAsia="宋体" w:hint="default"/>
        </w:rPr>
        <w:t>1.</w:t>
      </w:r>
      <w:r>
        <w:rPr>
          <w:rFonts w:ascii="宋体" w:hAnsi="宋体" w:cs="宋体" w:eastAsia="宋体" w:hint="default"/>
          <w:spacing w:val="-60"/>
        </w:rPr>
        <w:t> </w:t>
      </w:r>
      <w:r>
        <w:rPr>
          <w:rFonts w:ascii="宋体" w:hAnsi="宋体" w:cs="宋体" w:eastAsia="宋体" w:hint="default"/>
        </w:rPr>
        <w:t>2018</w:t>
      </w:r>
      <w:r>
        <w:rPr>
          <w:rFonts w:ascii="宋体" w:hAnsi="宋体" w:cs="宋体" w:eastAsia="宋体" w:hint="default"/>
          <w:spacing w:val="-63"/>
        </w:rPr>
        <w:t> </w:t>
      </w:r>
      <w:r>
        <w:rPr/>
        <w:t>年</w:t>
      </w:r>
      <w:r>
        <w:rPr>
          <w:spacing w:val="-63"/>
        </w:rPr>
        <w:t> </w:t>
      </w:r>
      <w:r>
        <w:rPr>
          <w:rFonts w:ascii="宋体" w:hAnsi="宋体" w:cs="宋体" w:eastAsia="宋体" w:hint="default"/>
        </w:rPr>
        <w:t>1</w:t>
      </w:r>
      <w:r>
        <w:rPr>
          <w:rFonts w:ascii="宋体" w:hAnsi="宋体" w:cs="宋体" w:eastAsia="宋体" w:hint="default"/>
          <w:spacing w:val="-63"/>
        </w:rPr>
        <w:t> </w:t>
      </w:r>
      <w:r>
        <w:rPr/>
        <w:t>月</w:t>
      </w:r>
      <w:r>
        <w:rPr>
          <w:spacing w:val="-62"/>
        </w:rPr>
        <w:t> </w:t>
      </w:r>
      <w:r>
        <w:rPr>
          <w:rFonts w:ascii="宋体" w:hAnsi="宋体" w:cs="宋体" w:eastAsia="宋体" w:hint="default"/>
        </w:rPr>
        <w:t>10</w:t>
      </w:r>
      <w:r>
        <w:rPr>
          <w:rFonts w:ascii="宋体" w:hAnsi="宋体" w:cs="宋体" w:eastAsia="宋体" w:hint="default"/>
          <w:spacing w:val="-63"/>
        </w:rPr>
        <w:t> </w:t>
      </w:r>
      <w:r>
        <w:rPr/>
        <w:t>日</w:t>
      </w:r>
      <w:r>
        <w:rPr>
          <w:spacing w:val="-120"/>
        </w:rPr>
        <w:t>，</w:t>
      </w:r>
      <w:r>
        <w:rPr/>
        <w:t>公司召开第七届董事会薪酬与考核委员会第四次会议，</w:t>
      </w:r>
    </w:p>
    <w:p>
      <w:pPr>
        <w:pStyle w:val="BodyText"/>
        <w:spacing w:line="240" w:lineRule="auto" w:before="46"/>
        <w:ind w:left="102" w:right="0"/>
        <w:jc w:val="left"/>
      </w:pPr>
      <w:r>
        <w:rPr/>
        <w:t>审议通过了《公司</w:t>
      </w:r>
      <w:r>
        <w:rPr>
          <w:spacing w:val="-60"/>
        </w:rPr>
        <w:t> </w:t>
      </w:r>
      <w:r>
        <w:rPr>
          <w:rFonts w:ascii="宋体" w:hAnsi="宋体" w:cs="宋体" w:eastAsia="宋体" w:hint="default"/>
        </w:rPr>
        <w:t>2018</w:t>
      </w:r>
      <w:r>
        <w:rPr>
          <w:rFonts w:ascii="宋体" w:hAnsi="宋体" w:cs="宋体" w:eastAsia="宋体" w:hint="default"/>
          <w:spacing w:val="-60"/>
        </w:rPr>
        <w:t> </w:t>
      </w:r>
      <w:r>
        <w:rPr/>
        <w:t>年度高级管理人员薪酬核定方案》。</w:t>
      </w:r>
    </w:p>
    <w:p>
      <w:pPr>
        <w:spacing w:line="240" w:lineRule="auto" w:before="0"/>
        <w:rPr>
          <w:rFonts w:ascii="宋体" w:hAnsi="宋体" w:cs="宋体" w:eastAsia="宋体" w:hint="default"/>
          <w:sz w:val="31"/>
          <w:szCs w:val="31"/>
        </w:rPr>
      </w:pPr>
    </w:p>
    <w:p>
      <w:pPr>
        <w:pStyle w:val="BodyText"/>
        <w:spacing w:line="240" w:lineRule="auto"/>
        <w:ind w:left="581" w:right="0"/>
        <w:jc w:val="left"/>
      </w:pPr>
      <w:r>
        <w:rPr>
          <w:rFonts w:ascii="宋体" w:hAnsi="宋体" w:cs="宋体" w:eastAsia="宋体" w:hint="default"/>
        </w:rPr>
        <w:t>2.</w:t>
      </w:r>
      <w:r>
        <w:rPr>
          <w:rFonts w:ascii="宋体" w:hAnsi="宋体" w:cs="宋体" w:eastAsia="宋体" w:hint="default"/>
          <w:spacing w:val="-60"/>
        </w:rPr>
        <w:t> </w:t>
      </w:r>
      <w:r>
        <w:rPr>
          <w:rFonts w:ascii="宋体" w:hAnsi="宋体" w:cs="宋体" w:eastAsia="宋体" w:hint="default"/>
        </w:rPr>
        <w:t>2018</w:t>
      </w:r>
      <w:r>
        <w:rPr>
          <w:rFonts w:ascii="宋体" w:hAnsi="宋体" w:cs="宋体" w:eastAsia="宋体" w:hint="default"/>
          <w:spacing w:val="-63"/>
        </w:rPr>
        <w:t> </w:t>
      </w:r>
      <w:r>
        <w:rPr/>
        <w:t>年</w:t>
      </w:r>
      <w:r>
        <w:rPr>
          <w:spacing w:val="-63"/>
        </w:rPr>
        <w:t> </w:t>
      </w:r>
      <w:r>
        <w:rPr>
          <w:rFonts w:ascii="宋体" w:hAnsi="宋体" w:cs="宋体" w:eastAsia="宋体" w:hint="default"/>
        </w:rPr>
        <w:t>4</w:t>
      </w:r>
      <w:r>
        <w:rPr>
          <w:rFonts w:ascii="宋体" w:hAnsi="宋体" w:cs="宋体" w:eastAsia="宋体" w:hint="default"/>
          <w:spacing w:val="-63"/>
        </w:rPr>
        <w:t> </w:t>
      </w:r>
      <w:r>
        <w:rPr/>
        <w:t>月</w:t>
      </w:r>
      <w:r>
        <w:rPr>
          <w:spacing w:val="-62"/>
        </w:rPr>
        <w:t> </w:t>
      </w:r>
      <w:r>
        <w:rPr>
          <w:rFonts w:ascii="宋体" w:hAnsi="宋体" w:cs="宋体" w:eastAsia="宋体" w:hint="default"/>
        </w:rPr>
        <w:t>20</w:t>
      </w:r>
      <w:r>
        <w:rPr>
          <w:rFonts w:ascii="宋体" w:hAnsi="宋体" w:cs="宋体" w:eastAsia="宋体" w:hint="default"/>
          <w:spacing w:val="-63"/>
        </w:rPr>
        <w:t> </w:t>
      </w:r>
      <w:r>
        <w:rPr/>
        <w:t>日</w:t>
      </w:r>
      <w:r>
        <w:rPr>
          <w:spacing w:val="-120"/>
        </w:rPr>
        <w:t>，</w:t>
      </w:r>
      <w:r>
        <w:rPr/>
        <w:t>公司召开第七届董事会薪酬与考核委员会第五次会议，</w:t>
      </w:r>
    </w:p>
    <w:p>
      <w:pPr>
        <w:tabs>
          <w:tab w:pos="821" w:val="left" w:leader="none"/>
        </w:tabs>
        <w:spacing w:line="513" w:lineRule="auto" w:before="46"/>
        <w:ind w:left="102" w:right="1663" w:firstLine="0"/>
        <w:jc w:val="left"/>
        <w:rPr>
          <w:rFonts w:ascii="宋体" w:hAnsi="宋体" w:cs="宋体" w:eastAsia="宋体" w:hint="default"/>
          <w:sz w:val="24"/>
          <w:szCs w:val="24"/>
        </w:rPr>
      </w:pPr>
      <w:r>
        <w:rPr>
          <w:rFonts w:ascii="宋体" w:hAnsi="宋体" w:cs="宋体" w:eastAsia="宋体" w:hint="default"/>
          <w:sz w:val="24"/>
          <w:szCs w:val="24"/>
        </w:rPr>
        <w:t>审阅了</w:t>
      </w:r>
      <w:r>
        <w:rPr>
          <w:rFonts w:ascii="宋体" w:hAnsi="宋体" w:cs="宋体" w:eastAsia="宋体" w:hint="default"/>
          <w:spacing w:val="-61"/>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年年报中披露的公司董事、监事和高级管理人员薪酬。 </w:t>
      </w:r>
      <w:r>
        <w:rPr>
          <w:rFonts w:ascii="宋体" w:hAnsi="宋体" w:cs="宋体" w:eastAsia="宋体" w:hint="default"/>
          <w:b/>
          <w:bCs/>
          <w:w w:val="95"/>
          <w:sz w:val="24"/>
          <w:szCs w:val="24"/>
        </w:rPr>
        <w:t>(</w:t>
      </w:r>
      <w:r>
        <w:rPr>
          <w:rFonts w:ascii="宋体" w:hAnsi="宋体" w:cs="宋体" w:eastAsia="宋体" w:hint="default"/>
          <w:b/>
          <w:bCs/>
          <w:w w:val="95"/>
          <w:sz w:val="24"/>
          <w:szCs w:val="24"/>
        </w:rPr>
        <w:t>三</w:t>
      </w:r>
      <w:r>
        <w:rPr>
          <w:rFonts w:ascii="宋体" w:hAnsi="宋体" w:cs="宋体" w:eastAsia="宋体" w:hint="default"/>
          <w:b/>
          <w:bCs/>
          <w:w w:val="95"/>
          <w:sz w:val="24"/>
          <w:szCs w:val="24"/>
        </w:rPr>
        <w:t>)</w:t>
        <w:tab/>
      </w:r>
      <w:r>
        <w:rPr>
          <w:rFonts w:ascii="宋体" w:hAnsi="宋体" w:cs="宋体" w:eastAsia="宋体" w:hint="default"/>
          <w:b/>
          <w:bCs/>
          <w:sz w:val="24"/>
          <w:szCs w:val="24"/>
        </w:rPr>
        <w:t>报告期内董事会战略委员会履行职责情况</w:t>
      </w:r>
      <w:r>
        <w:rPr>
          <w:rFonts w:ascii="宋体" w:hAnsi="宋体" w:cs="宋体" w:eastAsia="宋体" w:hint="default"/>
          <w:sz w:val="24"/>
          <w:szCs w:val="24"/>
        </w:rPr>
      </w:r>
    </w:p>
    <w:p>
      <w:pPr>
        <w:pStyle w:val="BodyText"/>
        <w:spacing w:line="240" w:lineRule="auto" w:before="84"/>
        <w:ind w:left="581" w:right="0"/>
        <w:jc w:val="left"/>
      </w:pPr>
      <w:r>
        <w:rPr>
          <w:rFonts w:ascii="宋体" w:hAnsi="宋体" w:cs="宋体" w:eastAsia="宋体" w:hint="default"/>
        </w:rPr>
        <w:t>1. 2018</w:t>
      </w:r>
      <w:r>
        <w:rPr>
          <w:rFonts w:ascii="宋体" w:hAnsi="宋体" w:cs="宋体" w:eastAsia="宋体" w:hint="default"/>
          <w:spacing w:val="-51"/>
        </w:rPr>
        <w:t> </w:t>
      </w:r>
      <w:r>
        <w:rPr/>
        <w:t>年</w:t>
      </w:r>
      <w:r>
        <w:rPr>
          <w:spacing w:val="-51"/>
        </w:rPr>
        <w:t> </w:t>
      </w:r>
      <w:r>
        <w:rPr>
          <w:rFonts w:ascii="宋体" w:hAnsi="宋体" w:cs="宋体" w:eastAsia="宋体" w:hint="default"/>
        </w:rPr>
        <w:t>4</w:t>
      </w:r>
      <w:r>
        <w:rPr>
          <w:rFonts w:ascii="宋体" w:hAnsi="宋体" w:cs="宋体" w:eastAsia="宋体" w:hint="default"/>
          <w:spacing w:val="-50"/>
        </w:rPr>
        <w:t> </w:t>
      </w:r>
      <w:r>
        <w:rPr/>
        <w:t>月</w:t>
      </w:r>
      <w:r>
        <w:rPr>
          <w:spacing w:val="-51"/>
        </w:rPr>
        <w:t> </w:t>
      </w:r>
      <w:r>
        <w:rPr>
          <w:rFonts w:ascii="宋体" w:hAnsi="宋体" w:cs="宋体" w:eastAsia="宋体" w:hint="default"/>
        </w:rPr>
        <w:t>20</w:t>
      </w:r>
      <w:r>
        <w:rPr>
          <w:rFonts w:ascii="宋体" w:hAnsi="宋体" w:cs="宋体" w:eastAsia="宋体" w:hint="default"/>
          <w:spacing w:val="-51"/>
        </w:rPr>
        <w:t> </w:t>
      </w:r>
      <w:r>
        <w:rPr/>
        <w:t>日，公司召开第七届董事会战略委员会第二次会议，审议</w:t>
      </w:r>
    </w:p>
    <w:p>
      <w:pPr>
        <w:pStyle w:val="BodyText"/>
        <w:spacing w:line="276" w:lineRule="auto" w:before="46"/>
        <w:ind w:left="102" w:right="223"/>
        <w:jc w:val="left"/>
      </w:pPr>
      <w:r>
        <w:rPr/>
        <w:t>通过了《关于</w:t>
      </w:r>
      <w:r>
        <w:rPr>
          <w:spacing w:val="-69"/>
        </w:rPr>
        <w:t> </w:t>
      </w:r>
      <w:r>
        <w:rPr>
          <w:rFonts w:ascii="宋体" w:hAnsi="宋体" w:cs="宋体" w:eastAsia="宋体" w:hint="default"/>
        </w:rPr>
        <w:t>2017</w:t>
      </w:r>
      <w:r>
        <w:rPr>
          <w:rFonts w:ascii="宋体" w:hAnsi="宋体" w:cs="宋体" w:eastAsia="宋体" w:hint="default"/>
          <w:spacing w:val="-68"/>
        </w:rPr>
        <w:t> </w:t>
      </w:r>
      <w:r>
        <w:rPr/>
        <w:t>年利润分配和资本公积不转增股本的预案》，并同意提交公司 董事会审议。</w:t>
      </w:r>
    </w:p>
    <w:p>
      <w:pPr>
        <w:spacing w:line="240" w:lineRule="auto" w:before="8"/>
        <w:rPr>
          <w:rFonts w:ascii="宋体" w:hAnsi="宋体" w:cs="宋体" w:eastAsia="宋体" w:hint="default"/>
          <w:sz w:val="24"/>
          <w:szCs w:val="24"/>
        </w:rPr>
      </w:pPr>
    </w:p>
    <w:p>
      <w:pPr>
        <w:pStyle w:val="Heading2"/>
        <w:tabs>
          <w:tab w:pos="821" w:val="left" w:leader="none"/>
        </w:tabs>
        <w:spacing w:line="240" w:lineRule="auto"/>
        <w:ind w:left="102"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报告期内董事会提名委员会履行职责情况</w:t>
      </w:r>
      <w:r>
        <w:rPr>
          <w:b w:val="0"/>
          <w:bCs w:val="0"/>
        </w:rPr>
      </w:r>
    </w:p>
    <w:p>
      <w:pPr>
        <w:spacing w:after="0" w:line="240" w:lineRule="auto"/>
        <w:jc w:val="left"/>
        <w:sectPr>
          <w:pgSz w:w="11910" w:h="16840"/>
          <w:pgMar w:header="0" w:footer="1034" w:top="1400" w:bottom="1240" w:left="1600" w:right="1460"/>
        </w:sectPr>
      </w:pPr>
    </w:p>
    <w:p>
      <w:pPr>
        <w:pStyle w:val="BodyText"/>
        <w:spacing w:line="276" w:lineRule="auto" w:before="12"/>
        <w:ind w:left="102" w:right="116" w:firstLine="479"/>
        <w:jc w:val="right"/>
      </w:pPr>
      <w:r>
        <w:rPr>
          <w:rFonts w:ascii="宋体" w:hAnsi="宋体" w:cs="宋体" w:eastAsia="宋体" w:hint="default"/>
        </w:rPr>
        <w:t>1. 2018</w:t>
      </w:r>
      <w:r>
        <w:rPr>
          <w:rFonts w:ascii="宋体" w:hAnsi="宋体" w:cs="宋体" w:eastAsia="宋体" w:hint="default"/>
          <w:spacing w:val="-51"/>
        </w:rPr>
        <w:t> </w:t>
      </w:r>
      <w:r>
        <w:rPr/>
        <w:t>年</w:t>
      </w:r>
      <w:r>
        <w:rPr>
          <w:spacing w:val="-51"/>
        </w:rPr>
        <w:t> </w:t>
      </w:r>
      <w:r>
        <w:rPr>
          <w:rFonts w:ascii="宋体" w:hAnsi="宋体" w:cs="宋体" w:eastAsia="宋体" w:hint="default"/>
        </w:rPr>
        <w:t>1</w:t>
      </w:r>
      <w:r>
        <w:rPr>
          <w:rFonts w:ascii="宋体" w:hAnsi="宋体" w:cs="宋体" w:eastAsia="宋体" w:hint="default"/>
          <w:spacing w:val="-50"/>
        </w:rPr>
        <w:t> </w:t>
      </w:r>
      <w:r>
        <w:rPr/>
        <w:t>月</w:t>
      </w:r>
      <w:r>
        <w:rPr>
          <w:spacing w:val="-51"/>
        </w:rPr>
        <w:t> </w:t>
      </w:r>
      <w:r>
        <w:rPr>
          <w:rFonts w:ascii="宋体" w:hAnsi="宋体" w:cs="宋体" w:eastAsia="宋体" w:hint="default"/>
        </w:rPr>
        <w:t>11</w:t>
      </w:r>
      <w:r>
        <w:rPr>
          <w:rFonts w:ascii="宋体" w:hAnsi="宋体" w:cs="宋体" w:eastAsia="宋体" w:hint="default"/>
          <w:spacing w:val="-51"/>
        </w:rPr>
        <w:t> </w:t>
      </w:r>
      <w:r>
        <w:rPr/>
        <w:t>日，公司召开第七届董事会提名委员会第四次会议，会议 </w:t>
      </w:r>
      <w:r>
        <w:rPr>
          <w:spacing w:val="2"/>
        </w:rPr>
        <w:t>审阅了公司财务总监、财务负责人候选人周海英先生的个人履历等资料，审议通</w:t>
      </w:r>
      <w:r>
        <w:rPr/>
        <w:t> </w:t>
      </w:r>
      <w:r>
        <w:rPr>
          <w:spacing w:val="-4"/>
        </w:rPr>
        <w:t>过了选举周海英先生任公司财务总监、财务负责人，并同意提交公司董事会审议。</w:t>
      </w:r>
    </w:p>
    <w:p>
      <w:pPr>
        <w:spacing w:line="240" w:lineRule="auto" w:before="4"/>
        <w:rPr>
          <w:rFonts w:ascii="宋体" w:hAnsi="宋体" w:cs="宋体" w:eastAsia="宋体" w:hint="default"/>
          <w:sz w:val="28"/>
          <w:szCs w:val="28"/>
        </w:rPr>
      </w:pPr>
    </w:p>
    <w:p>
      <w:pPr>
        <w:pStyle w:val="BodyText"/>
        <w:spacing w:line="276" w:lineRule="auto"/>
        <w:ind w:left="102" w:right="116" w:firstLine="479"/>
        <w:jc w:val="both"/>
      </w:pPr>
      <w:r>
        <w:rPr>
          <w:rFonts w:ascii="宋体" w:hAnsi="宋体" w:cs="宋体" w:eastAsia="宋体" w:hint="default"/>
        </w:rPr>
        <w:t>2. 2018</w:t>
      </w:r>
      <w:r>
        <w:rPr>
          <w:rFonts w:ascii="宋体" w:hAnsi="宋体" w:cs="宋体" w:eastAsia="宋体" w:hint="default"/>
          <w:spacing w:val="-51"/>
        </w:rPr>
        <w:t> </w:t>
      </w:r>
      <w:r>
        <w:rPr/>
        <w:t>年</w:t>
      </w:r>
      <w:r>
        <w:rPr>
          <w:spacing w:val="-51"/>
        </w:rPr>
        <w:t> </w:t>
      </w:r>
      <w:r>
        <w:rPr>
          <w:rFonts w:ascii="宋体" w:hAnsi="宋体" w:cs="宋体" w:eastAsia="宋体" w:hint="default"/>
        </w:rPr>
        <w:t>4</w:t>
      </w:r>
      <w:r>
        <w:rPr>
          <w:rFonts w:ascii="宋体" w:hAnsi="宋体" w:cs="宋体" w:eastAsia="宋体" w:hint="default"/>
          <w:spacing w:val="-50"/>
        </w:rPr>
        <w:t> </w:t>
      </w:r>
      <w:r>
        <w:rPr/>
        <w:t>月</w:t>
      </w:r>
      <w:r>
        <w:rPr>
          <w:spacing w:val="-51"/>
        </w:rPr>
        <w:t> </w:t>
      </w:r>
      <w:r>
        <w:rPr>
          <w:rFonts w:ascii="宋体" w:hAnsi="宋体" w:cs="宋体" w:eastAsia="宋体" w:hint="default"/>
        </w:rPr>
        <w:t>20</w:t>
      </w:r>
      <w:r>
        <w:rPr>
          <w:rFonts w:ascii="宋体" w:hAnsi="宋体" w:cs="宋体" w:eastAsia="宋体" w:hint="default"/>
          <w:spacing w:val="-51"/>
        </w:rPr>
        <w:t> </w:t>
      </w:r>
      <w:r>
        <w:rPr/>
        <w:t>日，公司召开第七届董事会提名委员会第五次会议，会议 </w:t>
      </w:r>
      <w:r>
        <w:rPr>
          <w:spacing w:val="2"/>
        </w:rPr>
        <w:t>审阅了公司控股股东清华控股有限公司提名的董事候选人李艳和先生个人履历等</w:t>
      </w:r>
      <w:r>
        <w:rPr>
          <w:spacing w:val="-105"/>
        </w:rPr>
        <w:t> </w:t>
      </w:r>
      <w:r>
        <w:rPr>
          <w:spacing w:val="-105"/>
        </w:rPr>
      </w:r>
      <w:r>
        <w:rPr>
          <w:spacing w:val="2"/>
        </w:rPr>
        <w:t>资料，同意控股股东清华控股有限公司提名李艳和先生为公司第七届董事会董事</w:t>
      </w:r>
      <w:r>
        <w:rPr>
          <w:spacing w:val="-99"/>
        </w:rPr>
        <w:t> </w:t>
      </w:r>
      <w:r>
        <w:rPr>
          <w:spacing w:val="-99"/>
        </w:rPr>
      </w:r>
      <w:r>
        <w:rPr>
          <w:spacing w:val="2"/>
        </w:rPr>
        <w:t>候选人，并同意提交董事会予以审议。会议审阅了公司高级管理人员候选人张兴</w:t>
      </w:r>
      <w:r>
        <w:rPr>
          <w:spacing w:val="-105"/>
        </w:rPr>
        <w:t> </w:t>
      </w:r>
      <w:r>
        <w:rPr>
          <w:spacing w:val="-105"/>
        </w:rPr>
      </w:r>
      <w:r>
        <w:rPr>
          <w:spacing w:val="2"/>
        </w:rPr>
        <w:t>虎先生、燕宪文先生的个人履历等资料，审议通过了选举张兴虎先生、燕宪文先</w:t>
      </w:r>
      <w:r>
        <w:rPr>
          <w:spacing w:val="-105"/>
        </w:rPr>
        <w:t> </w:t>
      </w:r>
      <w:r>
        <w:rPr>
          <w:spacing w:val="-105"/>
        </w:rPr>
      </w:r>
      <w:r>
        <w:rPr/>
        <w:t>生任公司高级管理人员，并同意提交公司董事会审议。</w:t>
      </w:r>
    </w:p>
    <w:p>
      <w:pPr>
        <w:spacing w:line="240" w:lineRule="auto" w:before="12"/>
        <w:rPr>
          <w:rFonts w:ascii="宋体" w:hAnsi="宋体" w:cs="宋体" w:eastAsia="宋体" w:hint="default"/>
          <w:sz w:val="32"/>
          <w:szCs w:val="32"/>
        </w:rPr>
      </w:pPr>
    </w:p>
    <w:p>
      <w:pPr>
        <w:pStyle w:val="Heading2"/>
        <w:tabs>
          <w:tab w:pos="941" w:val="left" w:leader="none"/>
        </w:tabs>
        <w:spacing w:line="240" w:lineRule="auto"/>
        <w:ind w:left="102" w:right="117"/>
        <w:jc w:val="left"/>
        <w:rPr>
          <w:b w:val="0"/>
          <w:bCs w:val="0"/>
        </w:rPr>
      </w:pPr>
      <w:r>
        <w:rPr/>
        <w:t>五、</w:t>
        <w:tab/>
        <w:t>监事会发现公司存在风险的说明</w:t>
      </w:r>
      <w:r>
        <w:rPr>
          <w:b w:val="0"/>
          <w:bCs w:val="0"/>
        </w:rPr>
      </w:r>
    </w:p>
    <w:p>
      <w:pPr>
        <w:pStyle w:val="BodyText"/>
        <w:spacing w:line="240" w:lineRule="auto" w:before="106"/>
        <w:ind w:left="102" w:right="117"/>
        <w:jc w:val="left"/>
      </w:pPr>
      <w:r>
        <w:rPr/>
        <w:t>□适用</w:t>
      </w:r>
      <w:r>
        <w:rPr>
          <w:spacing w:val="-1"/>
        </w:rPr>
        <w:t> </w:t>
      </w:r>
      <w:r>
        <w:rPr/>
        <w:t>√不适用</w:t>
      </w:r>
    </w:p>
    <w:p>
      <w:pPr>
        <w:spacing w:line="240" w:lineRule="auto" w:before="8"/>
        <w:rPr>
          <w:rFonts w:ascii="宋体" w:hAnsi="宋体" w:cs="宋体" w:eastAsia="宋体" w:hint="default"/>
          <w:sz w:val="35"/>
          <w:szCs w:val="35"/>
        </w:rPr>
      </w:pPr>
    </w:p>
    <w:p>
      <w:pPr>
        <w:pStyle w:val="Heading2"/>
        <w:tabs>
          <w:tab w:pos="941" w:val="left" w:leader="none"/>
        </w:tabs>
        <w:spacing w:line="276" w:lineRule="auto"/>
        <w:ind w:left="526" w:right="117" w:hanging="425"/>
        <w:jc w:val="left"/>
        <w:rPr>
          <w:b w:val="0"/>
          <w:bCs w:val="0"/>
        </w:rPr>
      </w:pPr>
      <w:r>
        <w:rPr>
          <w:spacing w:val="1"/>
          <w:w w:val="95"/>
        </w:rPr>
        <w:t>六、</w:t>
        <w:tab/>
      </w:r>
      <w:r>
        <w:rPr>
          <w:spacing w:val="-1"/>
          <w:w w:val="95"/>
        </w:rPr>
        <w:t>公司就其与控股股东在业务、人员、资产、机构、财务等方面存在的不能</w:t>
      </w:r>
      <w:r>
        <w:rPr>
          <w:spacing w:val="26"/>
          <w:w w:val="95"/>
        </w:rPr>
        <w:t> </w:t>
      </w:r>
      <w:r>
        <w:rPr>
          <w:spacing w:val="26"/>
          <w:w w:val="95"/>
        </w:rPr>
      </w:r>
      <w:r>
        <w:rPr/>
        <w:t>保证独立性、不能保持自主经营能力的情况说明</w:t>
      </w:r>
      <w:r>
        <w:rPr>
          <w:b w:val="0"/>
          <w:bCs w:val="0"/>
        </w:rPr>
      </w:r>
    </w:p>
    <w:p>
      <w:pPr>
        <w:pStyle w:val="BodyText"/>
        <w:tabs>
          <w:tab w:pos="1061" w:val="left" w:leader="none"/>
        </w:tabs>
        <w:spacing w:line="240" w:lineRule="auto" w:before="70"/>
        <w:ind w:left="102" w:right="117"/>
        <w:jc w:val="left"/>
      </w:pPr>
      <w:r>
        <w:rPr/>
        <w:t>□适用</w:t>
        <w:tab/>
        <w:t>√不适用</w:t>
      </w:r>
    </w:p>
    <w:p>
      <w:pPr>
        <w:spacing w:line="240" w:lineRule="auto" w:before="0"/>
        <w:rPr>
          <w:rFonts w:ascii="宋体" w:hAnsi="宋体" w:cs="宋体" w:eastAsia="宋体" w:hint="default"/>
          <w:sz w:val="31"/>
          <w:szCs w:val="31"/>
        </w:rPr>
      </w:pPr>
    </w:p>
    <w:p>
      <w:pPr>
        <w:pStyle w:val="BodyText"/>
        <w:spacing w:line="240" w:lineRule="auto"/>
        <w:ind w:left="102" w:right="117"/>
        <w:jc w:val="left"/>
      </w:pPr>
      <w:r>
        <w:rPr/>
        <w:t>存在同业竞争的，公司相应的解决措施、工作进度及后续工作计划</w:t>
      </w:r>
    </w:p>
    <w:p>
      <w:pPr>
        <w:pStyle w:val="BodyText"/>
        <w:tabs>
          <w:tab w:pos="1061" w:val="left" w:leader="none"/>
        </w:tabs>
        <w:spacing w:line="240" w:lineRule="auto" w:before="46"/>
        <w:ind w:left="102" w:right="117"/>
        <w:jc w:val="left"/>
      </w:pPr>
      <w:r>
        <w:rPr/>
        <w:t>□适用</w:t>
        <w:tab/>
        <w:t>√不适用</w:t>
      </w:r>
    </w:p>
    <w:p>
      <w:pPr>
        <w:spacing w:line="240" w:lineRule="auto" w:before="8"/>
        <w:rPr>
          <w:rFonts w:ascii="宋体" w:hAnsi="宋体" w:cs="宋体" w:eastAsia="宋体" w:hint="default"/>
          <w:sz w:val="35"/>
          <w:szCs w:val="35"/>
        </w:rPr>
      </w:pPr>
    </w:p>
    <w:p>
      <w:pPr>
        <w:pStyle w:val="Heading2"/>
        <w:tabs>
          <w:tab w:pos="941" w:val="left" w:leader="none"/>
        </w:tabs>
        <w:spacing w:line="240" w:lineRule="auto"/>
        <w:ind w:left="102" w:right="117"/>
        <w:jc w:val="left"/>
        <w:rPr>
          <w:b w:val="0"/>
          <w:bCs w:val="0"/>
        </w:rPr>
      </w:pPr>
      <w:r>
        <w:rPr/>
        <w:t>七、</w:t>
        <w:tab/>
        <w:t>报告期内对高级管理人员的考评机制，以及激励机制的建立、实施情况</w:t>
      </w:r>
      <w:r>
        <w:rPr>
          <w:b w:val="0"/>
          <w:bCs w:val="0"/>
        </w:rPr>
      </w:r>
    </w:p>
    <w:p>
      <w:pPr>
        <w:pStyle w:val="BodyText"/>
        <w:tabs>
          <w:tab w:pos="1061" w:val="left" w:leader="none"/>
        </w:tabs>
        <w:spacing w:line="240" w:lineRule="auto" w:before="106"/>
        <w:ind w:left="102" w:right="117"/>
        <w:jc w:val="left"/>
      </w:pPr>
      <w:r>
        <w:rPr/>
        <w:t>√适用</w:t>
        <w:tab/>
        <w:t>□不适用</w:t>
      </w:r>
    </w:p>
    <w:p>
      <w:pPr>
        <w:spacing w:line="240" w:lineRule="auto" w:before="0"/>
        <w:rPr>
          <w:rFonts w:ascii="宋体" w:hAnsi="宋体" w:cs="宋体" w:eastAsia="宋体" w:hint="default"/>
          <w:sz w:val="31"/>
          <w:szCs w:val="31"/>
        </w:rPr>
      </w:pPr>
    </w:p>
    <w:p>
      <w:pPr>
        <w:pStyle w:val="BodyText"/>
        <w:spacing w:line="276" w:lineRule="auto"/>
        <w:ind w:left="102" w:right="116" w:firstLine="419"/>
        <w:jc w:val="both"/>
      </w:pPr>
      <w:r>
        <w:rPr>
          <w:spacing w:val="-3"/>
        </w:rPr>
        <w:t>按照公司资产规模、经营业绩和承担工作的职责等考评指标公司对高级管理人</w:t>
      </w:r>
      <w:r>
        <w:rPr/>
        <w:t> </w:t>
      </w:r>
      <w:r>
        <w:rPr>
          <w:spacing w:val="2"/>
        </w:rPr>
        <w:t>员的绩效进行考核，薪酬体系采用年薪制。目前，公司针对公司高级管理人员和</w:t>
      </w:r>
      <w:r>
        <w:rPr>
          <w:spacing w:val="-105"/>
        </w:rPr>
        <w:t> </w:t>
      </w:r>
      <w:r>
        <w:rPr>
          <w:spacing w:val="-105"/>
        </w:rPr>
      </w:r>
      <w:r>
        <w:rPr/>
        <w:t>核心技术骨干拟定的以股票期权计划为基础的考评及激励机制尚未实施。</w:t>
      </w:r>
    </w:p>
    <w:p>
      <w:pPr>
        <w:spacing w:line="240" w:lineRule="auto" w:before="11"/>
        <w:rPr>
          <w:rFonts w:ascii="宋体" w:hAnsi="宋体" w:cs="宋体" w:eastAsia="宋体" w:hint="default"/>
          <w:sz w:val="32"/>
          <w:szCs w:val="32"/>
        </w:rPr>
      </w:pPr>
    </w:p>
    <w:p>
      <w:pPr>
        <w:pStyle w:val="Heading2"/>
        <w:tabs>
          <w:tab w:pos="941" w:val="left" w:leader="none"/>
        </w:tabs>
        <w:spacing w:line="240" w:lineRule="auto"/>
        <w:ind w:left="102" w:right="117"/>
        <w:jc w:val="left"/>
        <w:rPr>
          <w:b w:val="0"/>
          <w:bCs w:val="0"/>
        </w:rPr>
      </w:pPr>
      <w:r>
        <w:rPr/>
        <w:t>八、</w:t>
        <w:tab/>
        <w:t>是否披露内部控制自我评价报告</w:t>
      </w:r>
      <w:r>
        <w:rPr>
          <w:b w:val="0"/>
          <w:bCs w:val="0"/>
        </w:rPr>
      </w:r>
    </w:p>
    <w:p>
      <w:pPr>
        <w:pStyle w:val="BodyText"/>
        <w:spacing w:line="240" w:lineRule="auto" w:before="106"/>
        <w:ind w:left="102" w:right="117"/>
        <w:jc w:val="left"/>
      </w:pPr>
      <w:r>
        <w:rPr/>
        <w:t>√适用</w:t>
      </w:r>
      <w:r>
        <w:rPr>
          <w:spacing w:val="-1"/>
        </w:rPr>
        <w:t> </w:t>
      </w:r>
      <w:r>
        <w:rPr/>
        <w:t>□不适用</w:t>
      </w:r>
    </w:p>
    <w:p>
      <w:pPr>
        <w:pStyle w:val="BodyText"/>
        <w:spacing w:line="276" w:lineRule="auto" w:before="46"/>
        <w:ind w:left="102" w:right="115" w:firstLine="419"/>
        <w:jc w:val="both"/>
      </w:pPr>
      <w:r>
        <w:rPr/>
        <w:t>公司已于</w:t>
      </w:r>
      <w:r>
        <w:rPr>
          <w:spacing w:val="-56"/>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6"/>
        </w:rPr>
        <w:t> </w:t>
      </w:r>
      <w:r>
        <w:rPr/>
        <w:t>月</w:t>
      </w:r>
      <w:r>
        <w:rPr>
          <w:spacing w:val="-53"/>
        </w:rPr>
        <w:t> </w:t>
      </w:r>
      <w:r>
        <w:rPr>
          <w:rFonts w:ascii="宋体" w:hAnsi="宋体" w:cs="宋体" w:eastAsia="宋体" w:hint="default"/>
        </w:rPr>
        <w:t>26</w:t>
      </w:r>
      <w:r>
        <w:rPr>
          <w:rFonts w:ascii="宋体" w:hAnsi="宋体" w:cs="宋体" w:eastAsia="宋体" w:hint="default"/>
          <w:spacing w:val="-56"/>
        </w:rPr>
        <w:t> </w:t>
      </w:r>
      <w:r>
        <w:rPr/>
        <w:t>日披露了《同方股份有限公司</w:t>
      </w:r>
      <w:r>
        <w:rPr>
          <w:spacing w:val="-55"/>
        </w:rPr>
        <w:t> </w:t>
      </w:r>
      <w:r>
        <w:rPr>
          <w:rFonts w:ascii="宋体" w:hAnsi="宋体" w:cs="宋体" w:eastAsia="宋体" w:hint="default"/>
        </w:rPr>
        <w:t>2018</w:t>
      </w:r>
      <w:r>
        <w:rPr>
          <w:rFonts w:ascii="宋体" w:hAnsi="宋体" w:cs="宋体" w:eastAsia="宋体" w:hint="default"/>
          <w:spacing w:val="-55"/>
        </w:rPr>
        <w:t> </w:t>
      </w:r>
      <w:r>
        <w:rPr/>
        <w:t>年度内部控制评 价报告》。</w:t>
      </w:r>
    </w:p>
    <w:p>
      <w:pPr>
        <w:spacing w:line="240" w:lineRule="auto" w:before="4"/>
        <w:rPr>
          <w:rFonts w:ascii="宋体" w:hAnsi="宋体" w:cs="宋体" w:eastAsia="宋体" w:hint="default"/>
          <w:sz w:val="28"/>
          <w:szCs w:val="28"/>
        </w:rPr>
      </w:pPr>
    </w:p>
    <w:p>
      <w:pPr>
        <w:pStyle w:val="BodyText"/>
        <w:spacing w:line="240" w:lineRule="auto"/>
        <w:ind w:left="102" w:right="117"/>
        <w:jc w:val="left"/>
      </w:pPr>
      <w:r>
        <w:rPr/>
        <w:t>报告期内部控制存在重大缺陷情况的说明</w:t>
      </w:r>
    </w:p>
    <w:p>
      <w:pPr>
        <w:pStyle w:val="BodyText"/>
        <w:spacing w:line="240" w:lineRule="auto" w:before="46"/>
        <w:ind w:left="102" w:right="117"/>
        <w:jc w:val="left"/>
      </w:pPr>
      <w:r>
        <w:rPr/>
        <w:t>□适用</w:t>
      </w:r>
      <w:r>
        <w:rPr>
          <w:spacing w:val="-1"/>
        </w:rPr>
        <w:t> </w:t>
      </w:r>
      <w:r>
        <w:rPr/>
        <w:t>√不适用</w:t>
      </w:r>
    </w:p>
    <w:p>
      <w:pPr>
        <w:spacing w:after="0" w:line="240" w:lineRule="auto"/>
        <w:jc w:val="left"/>
        <w:sectPr>
          <w:pgSz w:w="11910" w:h="16840"/>
          <w:pgMar w:header="0" w:footer="1034" w:top="1400" w:bottom="1240" w:left="1600" w:right="1580"/>
        </w:sectPr>
      </w:pPr>
    </w:p>
    <w:p>
      <w:pPr>
        <w:pStyle w:val="Heading2"/>
        <w:tabs>
          <w:tab w:pos="941" w:val="left" w:leader="none"/>
        </w:tabs>
        <w:spacing w:line="240" w:lineRule="auto" w:before="12"/>
        <w:ind w:left="102" w:right="87"/>
        <w:jc w:val="left"/>
        <w:rPr>
          <w:b w:val="0"/>
          <w:bCs w:val="0"/>
        </w:rPr>
      </w:pPr>
      <w:r>
        <w:rPr/>
        <w:t>九、</w:t>
        <w:tab/>
        <w:t>内部控制审计报告的相关情况说明</w:t>
      </w:r>
      <w:r>
        <w:rPr>
          <w:b w:val="0"/>
          <w:bCs w:val="0"/>
        </w:rPr>
      </w:r>
    </w:p>
    <w:p>
      <w:pPr>
        <w:pStyle w:val="BodyText"/>
        <w:tabs>
          <w:tab w:pos="1061" w:val="left" w:leader="none"/>
        </w:tabs>
        <w:spacing w:line="240" w:lineRule="auto" w:before="106"/>
        <w:ind w:left="102" w:right="87"/>
        <w:jc w:val="left"/>
      </w:pPr>
      <w:r>
        <w:rPr/>
        <w:t>√适用</w:t>
        <w:tab/>
        <w:t>□不适用</w:t>
      </w:r>
    </w:p>
    <w:p>
      <w:pPr>
        <w:pStyle w:val="BodyText"/>
        <w:spacing w:line="276" w:lineRule="auto" w:before="46"/>
        <w:ind w:left="102" w:right="87" w:firstLine="419"/>
        <w:jc w:val="left"/>
      </w:pPr>
      <w:r>
        <w:rPr/>
        <w:t>公司已于</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日披露了《同方股份有限公司</w:t>
      </w:r>
      <w:r>
        <w:rPr>
          <w:spacing w:val="-60"/>
        </w:rPr>
        <w:t> </w:t>
      </w:r>
      <w:r>
        <w:rPr>
          <w:rFonts w:ascii="宋体" w:hAnsi="宋体" w:cs="宋体" w:eastAsia="宋体" w:hint="default"/>
        </w:rPr>
        <w:t>2018</w:t>
      </w:r>
      <w:r>
        <w:rPr>
          <w:rFonts w:ascii="宋体" w:hAnsi="宋体" w:cs="宋体" w:eastAsia="宋体" w:hint="default"/>
          <w:spacing w:val="-60"/>
        </w:rPr>
        <w:t> </w:t>
      </w:r>
      <w:r>
        <w:rPr/>
        <w:t>年度内部控制审 计报告》。</w:t>
      </w:r>
    </w:p>
    <w:p>
      <w:pPr>
        <w:tabs>
          <w:tab w:pos="941" w:val="left" w:leader="none"/>
        </w:tabs>
        <w:spacing w:line="780" w:lineRule="exact" w:before="26"/>
        <w:ind w:left="102" w:right="4784" w:firstLine="419"/>
        <w:jc w:val="left"/>
        <w:rPr>
          <w:rFonts w:ascii="宋体" w:hAnsi="宋体" w:cs="宋体" w:eastAsia="宋体" w:hint="default"/>
          <w:sz w:val="24"/>
          <w:szCs w:val="24"/>
        </w:rPr>
      </w:pPr>
      <w:r>
        <w:rPr>
          <w:rFonts w:ascii="宋体" w:hAnsi="宋体" w:cs="宋体" w:eastAsia="宋体" w:hint="default"/>
          <w:sz w:val="24"/>
          <w:szCs w:val="24"/>
        </w:rPr>
        <w:t>是否披露内部控制审计报告：是 </w:t>
      </w:r>
      <w:r>
        <w:rPr>
          <w:rFonts w:ascii="宋体" w:hAnsi="宋体" w:cs="宋体" w:eastAsia="宋体" w:hint="default"/>
          <w:b/>
          <w:bCs/>
          <w:sz w:val="24"/>
          <w:szCs w:val="24"/>
        </w:rPr>
        <w:t>十、</w:t>
        <w:tab/>
        <w:t>其他</w:t>
      </w:r>
      <w:r>
        <w:rPr>
          <w:rFonts w:ascii="宋体" w:hAnsi="宋体" w:cs="宋体" w:eastAsia="宋体" w:hint="default"/>
          <w:sz w:val="24"/>
          <w:szCs w:val="24"/>
        </w:rPr>
      </w:r>
    </w:p>
    <w:p>
      <w:pPr>
        <w:pStyle w:val="BodyText"/>
        <w:tabs>
          <w:tab w:pos="1061" w:val="left" w:leader="none"/>
        </w:tabs>
        <w:spacing w:line="298" w:lineRule="exact"/>
        <w:ind w:left="102" w:right="87"/>
        <w:jc w:val="left"/>
      </w:pPr>
      <w:r>
        <w:rPr/>
        <w:t>□适用</w:t>
        <w:tab/>
        <w:t>√不适用</w:t>
      </w:r>
    </w:p>
    <w:p>
      <w:pPr>
        <w:spacing w:after="0" w:line="298" w:lineRule="exact"/>
        <w:jc w:val="left"/>
        <w:sectPr>
          <w:pgSz w:w="11910" w:h="16840"/>
          <w:pgMar w:header="0" w:footer="1034" w:top="1400" w:bottom="1240" w:left="1600" w:right="1640"/>
        </w:sectPr>
      </w:pPr>
    </w:p>
    <w:p>
      <w:pPr>
        <w:pStyle w:val="Heading1"/>
        <w:spacing w:line="363" w:lineRule="exact" w:before="0"/>
        <w:ind w:left="2740" w:right="0"/>
        <w:jc w:val="left"/>
        <w:rPr>
          <w:b w:val="0"/>
          <w:bCs w:val="0"/>
        </w:rPr>
      </w:pPr>
      <w:bookmarkStart w:name="_TOC_250001" w:id="10"/>
      <w:r>
        <w:rPr/>
        <w:t>第十节</w:t>
      </w:r>
      <w:r>
        <w:rPr>
          <w:spacing w:val="-2"/>
        </w:rPr>
        <w:t> </w:t>
      </w:r>
      <w:r>
        <w:rPr/>
        <w:t>公司债券相关情况</w:t>
      </w:r>
      <w:bookmarkEnd w:id="10"/>
      <w:r>
        <w:rPr>
          <w:b w:val="0"/>
          <w:bCs w:val="0"/>
        </w:rPr>
      </w:r>
    </w:p>
    <w:p>
      <w:pPr>
        <w:spacing w:line="240" w:lineRule="auto" w:before="12"/>
        <w:rPr>
          <w:rFonts w:ascii="黑体" w:hAnsi="黑体" w:cs="黑体" w:eastAsia="黑体" w:hint="default"/>
          <w:b/>
          <w:bCs/>
          <w:sz w:val="16"/>
          <w:szCs w:val="16"/>
        </w:rPr>
      </w:pPr>
    </w:p>
    <w:p>
      <w:pPr>
        <w:pStyle w:val="BodyText"/>
        <w:spacing w:line="240" w:lineRule="auto" w:before="26"/>
        <w:ind w:left="102" w:right="0"/>
        <w:jc w:val="left"/>
      </w:pPr>
      <w:r>
        <w:rPr/>
        <w:t>□适用</w:t>
      </w:r>
      <w:r>
        <w:rPr>
          <w:spacing w:val="-1"/>
        </w:rPr>
        <w:t> </w:t>
      </w:r>
      <w:r>
        <w:rPr/>
        <w:t>√不适用</w:t>
      </w:r>
    </w:p>
    <w:p>
      <w:pPr>
        <w:spacing w:after="0" w:line="240" w:lineRule="auto"/>
        <w:jc w:val="left"/>
        <w:sectPr>
          <w:pgSz w:w="11910" w:h="16840"/>
          <w:pgMar w:header="0" w:footer="1034" w:top="1360" w:bottom="1240" w:left="1600" w:right="1680"/>
        </w:sectPr>
      </w:pPr>
    </w:p>
    <w:p>
      <w:pPr>
        <w:spacing w:line="398" w:lineRule="auto" w:before="0"/>
        <w:ind w:left="3232" w:right="3206" w:firstLine="0"/>
        <w:jc w:val="center"/>
        <w:rPr>
          <w:rFonts w:ascii="黑体" w:hAnsi="黑体" w:cs="黑体" w:eastAsia="黑体" w:hint="default"/>
          <w:sz w:val="28"/>
          <w:szCs w:val="28"/>
        </w:rPr>
      </w:pPr>
      <w:r>
        <w:rPr>
          <w:rFonts w:ascii="黑体" w:hAnsi="黑体" w:cs="黑体" w:eastAsia="黑体" w:hint="default"/>
          <w:b/>
          <w:bCs/>
          <w:sz w:val="28"/>
          <w:szCs w:val="28"/>
        </w:rPr>
        <w:t>第十一节</w:t>
      </w:r>
      <w:r>
        <w:rPr>
          <w:rFonts w:ascii="黑体" w:hAnsi="黑体" w:cs="黑体" w:eastAsia="黑体" w:hint="default"/>
          <w:b/>
          <w:bCs/>
          <w:spacing w:val="-3"/>
          <w:sz w:val="28"/>
          <w:szCs w:val="28"/>
        </w:rPr>
        <w:t> </w:t>
      </w:r>
      <w:r>
        <w:rPr>
          <w:rFonts w:ascii="黑体" w:hAnsi="黑体" w:cs="黑体" w:eastAsia="黑体" w:hint="default"/>
          <w:b/>
          <w:bCs/>
          <w:sz w:val="28"/>
          <w:szCs w:val="28"/>
        </w:rPr>
        <w:t>财务报告</w:t>
      </w:r>
      <w:r>
        <w:rPr>
          <w:rFonts w:ascii="黑体" w:hAnsi="黑体" w:cs="黑体" w:eastAsia="黑体" w:hint="default"/>
          <w:b/>
          <w:bCs/>
          <w:w w:val="99"/>
          <w:sz w:val="28"/>
          <w:szCs w:val="28"/>
        </w:rPr>
        <w:t> </w:t>
      </w:r>
      <w:r>
        <w:rPr>
          <w:rFonts w:ascii="黑体" w:hAnsi="黑体" w:cs="黑体" w:eastAsia="黑体" w:hint="default"/>
          <w:b/>
          <w:bCs/>
          <w:spacing w:val="30"/>
          <w:sz w:val="28"/>
          <w:szCs w:val="28"/>
        </w:rPr>
        <w:t>审计报告</w:t>
      </w:r>
      <w:r>
        <w:rPr>
          <w:rFonts w:ascii="黑体" w:hAnsi="黑体" w:cs="黑体" w:eastAsia="黑体" w:hint="default"/>
          <w:b/>
          <w:bCs/>
          <w:spacing w:val="-101"/>
          <w:sz w:val="28"/>
          <w:szCs w:val="28"/>
        </w:rPr>
        <w:t> </w:t>
      </w:r>
      <w:r>
        <w:rPr>
          <w:rFonts w:ascii="黑体" w:hAnsi="黑体" w:cs="黑体" w:eastAsia="黑体" w:hint="default"/>
          <w:sz w:val="28"/>
          <w:szCs w:val="28"/>
        </w:rPr>
      </w:r>
    </w:p>
    <w:p>
      <w:pPr>
        <w:spacing w:after="0" w:line="398" w:lineRule="auto"/>
        <w:jc w:val="center"/>
        <w:rPr>
          <w:rFonts w:ascii="黑体" w:hAnsi="黑体" w:cs="黑体" w:eastAsia="黑体" w:hint="default"/>
          <w:sz w:val="28"/>
          <w:szCs w:val="28"/>
        </w:rPr>
        <w:sectPr>
          <w:pgSz w:w="11910" w:h="16840"/>
          <w:pgMar w:header="0" w:footer="1034" w:top="1360" w:bottom="1240" w:left="1600" w:right="1480"/>
        </w:sectPr>
      </w:pPr>
    </w:p>
    <w:p>
      <w:pPr>
        <w:spacing w:line="240" w:lineRule="auto" w:before="0"/>
        <w:rPr>
          <w:rFonts w:ascii="黑体" w:hAnsi="黑体" w:cs="黑体" w:eastAsia="黑体" w:hint="default"/>
          <w:b/>
          <w:bCs/>
          <w:sz w:val="22"/>
          <w:szCs w:val="22"/>
        </w:rPr>
      </w:pPr>
    </w:p>
    <w:p>
      <w:pPr>
        <w:spacing w:line="240" w:lineRule="auto" w:before="4"/>
        <w:rPr>
          <w:rFonts w:ascii="黑体" w:hAnsi="黑体" w:cs="黑体" w:eastAsia="黑体" w:hint="default"/>
          <w:b/>
          <w:bCs/>
          <w:sz w:val="15"/>
          <w:szCs w:val="15"/>
        </w:rPr>
      </w:pPr>
    </w:p>
    <w:p>
      <w:pPr>
        <w:tabs>
          <w:tab w:pos="1361" w:val="left" w:leader="none"/>
        </w:tabs>
        <w:spacing w:line="499" w:lineRule="auto" w:before="0"/>
        <w:ind w:left="543" w:right="0" w:hanging="442"/>
        <w:jc w:val="left"/>
        <w:rPr>
          <w:rFonts w:ascii="宋体" w:hAnsi="宋体" w:cs="宋体" w:eastAsia="宋体" w:hint="default"/>
          <w:sz w:val="22"/>
          <w:szCs w:val="22"/>
        </w:rPr>
      </w:pPr>
      <w:r>
        <w:rPr>
          <w:rFonts w:ascii="宋体" w:hAnsi="宋体" w:cs="宋体" w:eastAsia="宋体" w:hint="default"/>
          <w:b/>
          <w:bCs/>
          <w:sz w:val="22"/>
          <w:szCs w:val="22"/>
        </w:rPr>
        <w:t>同方股份有限公司全体股东：</w:t>
      </w:r>
      <w:r>
        <w:rPr>
          <w:rFonts w:ascii="宋体" w:hAnsi="宋体" w:cs="宋体" w:eastAsia="宋体" w:hint="default"/>
          <w:b/>
          <w:bCs/>
          <w:w w:val="99"/>
          <w:sz w:val="22"/>
          <w:szCs w:val="22"/>
        </w:rPr>
        <w:t> </w:t>
      </w:r>
      <w:r>
        <w:rPr>
          <w:rFonts w:ascii="宋体" w:hAnsi="宋体" w:cs="宋体" w:eastAsia="宋体" w:hint="default"/>
          <w:b/>
          <w:bCs/>
          <w:w w:val="95"/>
          <w:sz w:val="22"/>
          <w:szCs w:val="22"/>
        </w:rPr>
        <w:t>一、</w:t>
        <w:tab/>
      </w:r>
      <w:r>
        <w:rPr>
          <w:rFonts w:ascii="宋体" w:hAnsi="宋体" w:cs="宋体" w:eastAsia="宋体" w:hint="default"/>
          <w:b/>
          <w:bCs/>
          <w:sz w:val="22"/>
          <w:szCs w:val="22"/>
        </w:rPr>
        <w:t>审计意见</w:t>
      </w:r>
      <w:r>
        <w:rPr>
          <w:rFonts w:ascii="宋体" w:hAnsi="宋体" w:cs="宋体" w:eastAsia="宋体" w:hint="default"/>
          <w:sz w:val="22"/>
          <w:szCs w:val="22"/>
        </w:rPr>
      </w:r>
    </w:p>
    <w:p>
      <w:pPr>
        <w:spacing w:before="128"/>
        <w:ind w:left="102" w:right="0" w:firstLine="0"/>
        <w:jc w:val="left"/>
        <w:rPr>
          <w:rFonts w:ascii="宋体" w:hAnsi="宋体" w:cs="宋体" w:eastAsia="宋体" w:hint="default"/>
          <w:sz w:val="22"/>
          <w:szCs w:val="22"/>
        </w:rPr>
      </w:pPr>
      <w:r>
        <w:rPr/>
        <w:br w:type="column"/>
      </w:r>
      <w:r>
        <w:rPr>
          <w:rFonts w:ascii="宋体"/>
          <w:sz w:val="22"/>
        </w:rPr>
        <w:t>XYZH/2019BJA80100</w:t>
      </w:r>
    </w:p>
    <w:p>
      <w:pPr>
        <w:spacing w:after="0"/>
        <w:jc w:val="left"/>
        <w:rPr>
          <w:rFonts w:ascii="宋体" w:hAnsi="宋体" w:cs="宋体" w:eastAsia="宋体" w:hint="default"/>
          <w:sz w:val="22"/>
          <w:szCs w:val="22"/>
        </w:rPr>
        <w:sectPr>
          <w:type w:val="continuous"/>
          <w:pgSz w:w="11910" w:h="16840"/>
          <w:pgMar w:top="1000" w:bottom="280" w:left="1600" w:right="1480"/>
          <w:cols w:num="2" w:equalWidth="0">
            <w:col w:w="2974" w:space="3666"/>
            <w:col w:w="2190"/>
          </w:cols>
        </w:sectPr>
      </w:pPr>
    </w:p>
    <w:p>
      <w:pPr>
        <w:spacing w:before="74"/>
        <w:ind w:left="541" w:right="105" w:firstLine="0"/>
        <w:jc w:val="left"/>
        <w:rPr>
          <w:rFonts w:ascii="宋体" w:hAnsi="宋体" w:cs="宋体" w:eastAsia="宋体" w:hint="default"/>
          <w:sz w:val="22"/>
          <w:szCs w:val="22"/>
        </w:rPr>
      </w:pPr>
      <w:r>
        <w:rPr>
          <w:rFonts w:ascii="宋体" w:hAnsi="宋体" w:cs="宋体" w:eastAsia="宋体" w:hint="default"/>
          <w:sz w:val="22"/>
          <w:szCs w:val="22"/>
        </w:rPr>
        <w:t>我们审计了同方股份有限公司（以下简称同方股份）财务报表，包括 </w:t>
      </w:r>
      <w:r>
        <w:rPr>
          <w:rFonts w:ascii="宋体" w:hAnsi="宋体" w:cs="宋体" w:eastAsia="宋体" w:hint="default"/>
          <w:sz w:val="22"/>
          <w:szCs w:val="22"/>
        </w:rPr>
        <w:t>2018 </w:t>
      </w:r>
      <w:r>
        <w:rPr>
          <w:rFonts w:ascii="宋体" w:hAnsi="宋体" w:cs="宋体" w:eastAsia="宋体" w:hint="default"/>
          <w:sz w:val="22"/>
          <w:szCs w:val="22"/>
        </w:rPr>
        <w:t>年 </w:t>
      </w:r>
      <w:r>
        <w:rPr>
          <w:rFonts w:ascii="宋体" w:hAnsi="宋体" w:cs="宋体" w:eastAsia="宋体" w:hint="default"/>
          <w:sz w:val="22"/>
          <w:szCs w:val="22"/>
        </w:rPr>
        <w:t>12</w:t>
      </w:r>
      <w:r>
        <w:rPr>
          <w:rFonts w:ascii="宋体" w:hAnsi="宋体" w:cs="宋体" w:eastAsia="宋体" w:hint="default"/>
          <w:spacing w:val="-77"/>
          <w:sz w:val="22"/>
          <w:szCs w:val="22"/>
        </w:rPr>
        <w:t> </w:t>
      </w:r>
      <w:r>
        <w:rPr>
          <w:rFonts w:ascii="宋体" w:hAnsi="宋体" w:cs="宋体" w:eastAsia="宋体" w:hint="default"/>
          <w:sz w:val="22"/>
          <w:szCs w:val="22"/>
        </w:rPr>
        <w:t>月</w:t>
      </w:r>
    </w:p>
    <w:p>
      <w:pPr>
        <w:spacing w:line="300" w:lineRule="auto" w:before="72"/>
        <w:ind w:left="102" w:right="206" w:firstLine="0"/>
        <w:jc w:val="left"/>
        <w:rPr>
          <w:rFonts w:ascii="宋体" w:hAnsi="宋体" w:cs="宋体" w:eastAsia="宋体" w:hint="default"/>
          <w:sz w:val="22"/>
          <w:szCs w:val="22"/>
        </w:rPr>
      </w:pPr>
      <w:r>
        <w:rPr>
          <w:rFonts w:ascii="宋体" w:hAnsi="宋体" w:cs="宋体" w:eastAsia="宋体" w:hint="default"/>
          <w:sz w:val="22"/>
          <w:szCs w:val="22"/>
        </w:rPr>
        <w:t>31 </w:t>
      </w:r>
      <w:r>
        <w:rPr>
          <w:rFonts w:ascii="宋体" w:hAnsi="宋体" w:cs="宋体" w:eastAsia="宋体" w:hint="default"/>
          <w:sz w:val="22"/>
          <w:szCs w:val="22"/>
        </w:rPr>
        <w:t>日的合并及母公司资产负债表，</w:t>
      </w:r>
      <w:r>
        <w:rPr>
          <w:rFonts w:ascii="宋体" w:hAnsi="宋体" w:cs="宋体" w:eastAsia="宋体" w:hint="default"/>
          <w:sz w:val="22"/>
          <w:szCs w:val="22"/>
        </w:rPr>
        <w:t>2018</w:t>
      </w:r>
      <w:r>
        <w:rPr>
          <w:rFonts w:ascii="宋体" w:hAnsi="宋体" w:cs="宋体" w:eastAsia="宋体" w:hint="default"/>
          <w:spacing w:val="-80"/>
          <w:sz w:val="22"/>
          <w:szCs w:val="22"/>
        </w:rPr>
        <w:t> </w:t>
      </w:r>
      <w:r>
        <w:rPr>
          <w:rFonts w:ascii="宋体" w:hAnsi="宋体" w:cs="宋体" w:eastAsia="宋体" w:hint="default"/>
          <w:sz w:val="22"/>
          <w:szCs w:val="22"/>
        </w:rPr>
        <w:t>年度的合并及母公司利润表、合并及母公司现金</w:t>
      </w:r>
      <w:r>
        <w:rPr>
          <w:rFonts w:ascii="宋体" w:hAnsi="宋体" w:cs="宋体" w:eastAsia="宋体" w:hint="default"/>
          <w:w w:val="100"/>
          <w:sz w:val="22"/>
          <w:szCs w:val="22"/>
        </w:rPr>
        <w:t> </w:t>
      </w:r>
      <w:r>
        <w:rPr>
          <w:rFonts w:ascii="宋体" w:hAnsi="宋体" w:cs="宋体" w:eastAsia="宋体" w:hint="default"/>
          <w:sz w:val="22"/>
          <w:szCs w:val="22"/>
        </w:rPr>
        <w:t>流量表、合并及母公司股东权益变动表，以及相关财务报表附注。</w:t>
      </w:r>
    </w:p>
    <w:p>
      <w:pPr>
        <w:spacing w:line="240" w:lineRule="auto" w:before="9"/>
        <w:rPr>
          <w:rFonts w:ascii="宋体" w:hAnsi="宋体" w:cs="宋体" w:eastAsia="宋体" w:hint="default"/>
          <w:sz w:val="19"/>
          <w:szCs w:val="19"/>
        </w:rPr>
      </w:pPr>
    </w:p>
    <w:p>
      <w:pPr>
        <w:spacing w:line="300" w:lineRule="auto" w:before="0"/>
        <w:ind w:left="102" w:right="213" w:firstLine="439"/>
        <w:jc w:val="both"/>
        <w:rPr>
          <w:rFonts w:ascii="宋体" w:hAnsi="宋体" w:cs="宋体" w:eastAsia="宋体" w:hint="default"/>
          <w:sz w:val="22"/>
          <w:szCs w:val="22"/>
        </w:rPr>
      </w:pPr>
      <w:r>
        <w:rPr>
          <w:rFonts w:ascii="宋体" w:hAnsi="宋体" w:cs="宋体" w:eastAsia="宋体" w:hint="default"/>
          <w:spacing w:val="-3"/>
          <w:sz w:val="22"/>
          <w:szCs w:val="22"/>
        </w:rPr>
        <w:t>我们认为，后附的财务报表在所有重大方面按照企业会计准则的规定编制，公允反映</w:t>
      </w:r>
      <w:r>
        <w:rPr>
          <w:rFonts w:ascii="宋体" w:hAnsi="宋体" w:cs="宋体" w:eastAsia="宋体" w:hint="default"/>
          <w:w w:val="100"/>
          <w:sz w:val="22"/>
          <w:szCs w:val="22"/>
        </w:rPr>
        <w:t> </w:t>
      </w:r>
      <w:r>
        <w:rPr>
          <w:rFonts w:ascii="宋体" w:hAnsi="宋体" w:cs="宋体" w:eastAsia="宋体" w:hint="default"/>
          <w:sz w:val="22"/>
          <w:szCs w:val="22"/>
        </w:rPr>
        <w:t>了同方股份</w:t>
      </w:r>
      <w:r>
        <w:rPr>
          <w:rFonts w:ascii="宋体" w:hAnsi="宋体" w:cs="宋体" w:eastAsia="宋体" w:hint="default"/>
          <w:spacing w:val="-65"/>
          <w:sz w:val="22"/>
          <w:szCs w:val="22"/>
        </w:rPr>
        <w:t> </w:t>
      </w:r>
      <w:r>
        <w:rPr>
          <w:rFonts w:ascii="宋体" w:hAnsi="宋体" w:cs="宋体" w:eastAsia="宋体" w:hint="default"/>
          <w:sz w:val="22"/>
          <w:szCs w:val="22"/>
        </w:rPr>
        <w:t>2018</w:t>
      </w:r>
      <w:r>
        <w:rPr>
          <w:rFonts w:ascii="宋体" w:hAnsi="宋体" w:cs="宋体" w:eastAsia="宋体" w:hint="default"/>
          <w:spacing w:val="-65"/>
          <w:sz w:val="22"/>
          <w:szCs w:val="22"/>
        </w:rPr>
        <w:t> </w:t>
      </w:r>
      <w:r>
        <w:rPr>
          <w:rFonts w:ascii="宋体" w:hAnsi="宋体" w:cs="宋体" w:eastAsia="宋体" w:hint="default"/>
          <w:sz w:val="22"/>
          <w:szCs w:val="22"/>
        </w:rPr>
        <w:t>年</w:t>
      </w:r>
      <w:r>
        <w:rPr>
          <w:rFonts w:ascii="宋体" w:hAnsi="宋体" w:cs="宋体" w:eastAsia="宋体" w:hint="default"/>
          <w:spacing w:val="-64"/>
          <w:sz w:val="22"/>
          <w:szCs w:val="22"/>
        </w:rPr>
        <w:t> </w:t>
      </w:r>
      <w:r>
        <w:rPr>
          <w:rFonts w:ascii="宋体" w:hAnsi="宋体" w:cs="宋体" w:eastAsia="宋体" w:hint="default"/>
          <w:sz w:val="22"/>
          <w:szCs w:val="22"/>
        </w:rPr>
        <w:t>12</w:t>
      </w:r>
      <w:r>
        <w:rPr>
          <w:rFonts w:ascii="宋体" w:hAnsi="宋体" w:cs="宋体" w:eastAsia="宋体" w:hint="default"/>
          <w:spacing w:val="-67"/>
          <w:sz w:val="22"/>
          <w:szCs w:val="22"/>
        </w:rPr>
        <w:t> </w:t>
      </w:r>
      <w:r>
        <w:rPr>
          <w:rFonts w:ascii="宋体" w:hAnsi="宋体" w:cs="宋体" w:eastAsia="宋体" w:hint="default"/>
          <w:sz w:val="22"/>
          <w:szCs w:val="22"/>
        </w:rPr>
        <w:t>月</w:t>
      </w:r>
      <w:r>
        <w:rPr>
          <w:rFonts w:ascii="宋体" w:hAnsi="宋体" w:cs="宋体" w:eastAsia="宋体" w:hint="default"/>
          <w:spacing w:val="-67"/>
          <w:sz w:val="22"/>
          <w:szCs w:val="22"/>
        </w:rPr>
        <w:t> </w:t>
      </w:r>
      <w:r>
        <w:rPr>
          <w:rFonts w:ascii="宋体" w:hAnsi="宋体" w:cs="宋体" w:eastAsia="宋体" w:hint="default"/>
          <w:sz w:val="22"/>
          <w:szCs w:val="22"/>
        </w:rPr>
        <w:t>31</w:t>
      </w:r>
      <w:r>
        <w:rPr>
          <w:rFonts w:ascii="宋体" w:hAnsi="宋体" w:cs="宋体" w:eastAsia="宋体" w:hint="default"/>
          <w:spacing w:val="-65"/>
          <w:sz w:val="22"/>
          <w:szCs w:val="22"/>
        </w:rPr>
        <w:t> </w:t>
      </w:r>
      <w:r>
        <w:rPr>
          <w:rFonts w:ascii="宋体" w:hAnsi="宋体" w:cs="宋体" w:eastAsia="宋体" w:hint="default"/>
          <w:sz w:val="22"/>
          <w:szCs w:val="22"/>
        </w:rPr>
        <w:t>日的合并及母公司财务状况以及</w:t>
      </w:r>
      <w:r>
        <w:rPr>
          <w:rFonts w:ascii="宋体" w:hAnsi="宋体" w:cs="宋体" w:eastAsia="宋体" w:hint="default"/>
          <w:spacing w:val="-64"/>
          <w:sz w:val="22"/>
          <w:szCs w:val="22"/>
        </w:rPr>
        <w:t> </w:t>
      </w:r>
      <w:r>
        <w:rPr>
          <w:rFonts w:ascii="宋体" w:hAnsi="宋体" w:cs="宋体" w:eastAsia="宋体" w:hint="default"/>
          <w:sz w:val="22"/>
          <w:szCs w:val="22"/>
        </w:rPr>
        <w:t>2018</w:t>
      </w:r>
      <w:r>
        <w:rPr>
          <w:rFonts w:ascii="宋体" w:hAnsi="宋体" w:cs="宋体" w:eastAsia="宋体" w:hint="default"/>
          <w:spacing w:val="-65"/>
          <w:sz w:val="22"/>
          <w:szCs w:val="22"/>
        </w:rPr>
        <w:t> </w:t>
      </w:r>
      <w:r>
        <w:rPr>
          <w:rFonts w:ascii="宋体" w:hAnsi="宋体" w:cs="宋体" w:eastAsia="宋体" w:hint="default"/>
          <w:sz w:val="22"/>
          <w:szCs w:val="22"/>
        </w:rPr>
        <w:t>年度的合并及母公司经</w:t>
      </w:r>
      <w:r>
        <w:rPr>
          <w:rFonts w:ascii="宋体" w:hAnsi="宋体" w:cs="宋体" w:eastAsia="宋体" w:hint="default"/>
          <w:w w:val="100"/>
          <w:sz w:val="22"/>
          <w:szCs w:val="22"/>
        </w:rPr>
        <w:t> </w:t>
      </w:r>
      <w:r>
        <w:rPr>
          <w:rFonts w:ascii="宋体" w:hAnsi="宋体" w:cs="宋体" w:eastAsia="宋体" w:hint="default"/>
          <w:sz w:val="22"/>
          <w:szCs w:val="22"/>
        </w:rPr>
        <w:t>营成果和现金流量。</w:t>
      </w:r>
    </w:p>
    <w:p>
      <w:pPr>
        <w:tabs>
          <w:tab w:pos="1361" w:val="left" w:leader="none"/>
        </w:tabs>
        <w:spacing w:line="600" w:lineRule="exact" w:before="34"/>
        <w:ind w:left="541" w:right="217" w:firstLine="2"/>
        <w:jc w:val="left"/>
        <w:rPr>
          <w:rFonts w:ascii="宋体" w:hAnsi="宋体" w:cs="宋体" w:eastAsia="宋体" w:hint="default"/>
          <w:sz w:val="22"/>
          <w:szCs w:val="22"/>
        </w:rPr>
      </w:pPr>
      <w:r>
        <w:rPr>
          <w:rFonts w:ascii="宋体" w:hAnsi="宋体" w:cs="宋体" w:eastAsia="宋体" w:hint="default"/>
          <w:b/>
          <w:bCs/>
          <w:w w:val="95"/>
          <w:sz w:val="22"/>
          <w:szCs w:val="22"/>
        </w:rPr>
        <w:t>二、</w:t>
        <w:tab/>
      </w:r>
      <w:r>
        <w:rPr>
          <w:rFonts w:ascii="宋体" w:hAnsi="宋体" w:cs="宋体" w:eastAsia="宋体" w:hint="default"/>
          <w:b/>
          <w:bCs/>
          <w:sz w:val="22"/>
          <w:szCs w:val="22"/>
        </w:rPr>
        <w:t>形成审计意见的基础</w:t>
      </w:r>
      <w:r>
        <w:rPr>
          <w:rFonts w:ascii="宋体" w:hAnsi="宋体" w:cs="宋体" w:eastAsia="宋体" w:hint="default"/>
          <w:b/>
          <w:bCs/>
          <w:w w:val="99"/>
          <w:sz w:val="22"/>
          <w:szCs w:val="22"/>
        </w:rPr>
        <w:t> </w:t>
      </w:r>
      <w:r>
        <w:rPr>
          <w:rFonts w:ascii="宋体" w:hAnsi="宋体" w:cs="宋体" w:eastAsia="宋体" w:hint="default"/>
          <w:spacing w:val="-3"/>
          <w:sz w:val="22"/>
          <w:szCs w:val="22"/>
        </w:rPr>
        <w:t>我们按照中国注册会计师审计准则的规定执行了审计工作。审计报告的“注册会计师</w:t>
      </w:r>
    </w:p>
    <w:p>
      <w:pPr>
        <w:spacing w:line="271" w:lineRule="exact" w:before="0"/>
        <w:ind w:left="102" w:right="105" w:firstLine="0"/>
        <w:jc w:val="left"/>
        <w:rPr>
          <w:rFonts w:ascii="宋体" w:hAnsi="宋体" w:cs="宋体" w:eastAsia="宋体" w:hint="default"/>
          <w:sz w:val="22"/>
          <w:szCs w:val="22"/>
        </w:rPr>
      </w:pPr>
      <w:r>
        <w:rPr>
          <w:rFonts w:ascii="宋体" w:hAnsi="宋体" w:cs="宋体" w:eastAsia="宋体" w:hint="default"/>
          <w:spacing w:val="-3"/>
          <w:sz w:val="22"/>
          <w:szCs w:val="22"/>
        </w:rPr>
        <w:t>对财务报表审计的责任”部分进一步阐述了我们在这些准则下的责任。按照中国注册会计</w:t>
      </w:r>
    </w:p>
    <w:p>
      <w:pPr>
        <w:spacing w:line="300" w:lineRule="auto" w:before="72"/>
        <w:ind w:left="102" w:right="105" w:firstLine="0"/>
        <w:jc w:val="left"/>
        <w:rPr>
          <w:rFonts w:ascii="宋体" w:hAnsi="宋体" w:cs="宋体" w:eastAsia="宋体" w:hint="default"/>
          <w:sz w:val="22"/>
          <w:szCs w:val="22"/>
        </w:rPr>
      </w:pPr>
      <w:r>
        <w:rPr>
          <w:rFonts w:ascii="宋体" w:hAnsi="宋体" w:cs="宋体" w:eastAsia="宋体" w:hint="default"/>
          <w:sz w:val="22"/>
          <w:szCs w:val="22"/>
        </w:rPr>
        <w:t>师职业道德守则，我们独立于同方股份，并履行了职业道德方面的其他责任。我们相信，</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我们获取的审计证据是充分、适当的，为发表审计意见提供了基础。</w:t>
      </w:r>
    </w:p>
    <w:p>
      <w:pPr>
        <w:tabs>
          <w:tab w:pos="1361" w:val="left" w:leader="none"/>
        </w:tabs>
        <w:spacing w:line="600" w:lineRule="exact" w:before="34"/>
        <w:ind w:left="541" w:right="217" w:firstLine="2"/>
        <w:jc w:val="left"/>
        <w:rPr>
          <w:rFonts w:ascii="宋体" w:hAnsi="宋体" w:cs="宋体" w:eastAsia="宋体" w:hint="default"/>
          <w:sz w:val="22"/>
          <w:szCs w:val="22"/>
        </w:rPr>
      </w:pPr>
      <w:r>
        <w:rPr>
          <w:rFonts w:ascii="宋体" w:hAnsi="宋体" w:cs="宋体" w:eastAsia="宋体" w:hint="default"/>
          <w:b/>
          <w:bCs/>
          <w:w w:val="95"/>
          <w:sz w:val="22"/>
          <w:szCs w:val="22"/>
        </w:rPr>
        <w:t>三、</w:t>
        <w:tab/>
      </w:r>
      <w:r>
        <w:rPr>
          <w:rFonts w:ascii="宋体" w:hAnsi="宋体" w:cs="宋体" w:eastAsia="宋体" w:hint="default"/>
          <w:b/>
          <w:bCs/>
          <w:sz w:val="22"/>
          <w:szCs w:val="22"/>
        </w:rPr>
        <w:t>关键审计事项</w:t>
      </w:r>
      <w:r>
        <w:rPr>
          <w:rFonts w:ascii="宋体" w:hAnsi="宋体" w:cs="宋体" w:eastAsia="宋体" w:hint="default"/>
          <w:b/>
          <w:bCs/>
          <w:w w:val="99"/>
          <w:sz w:val="22"/>
          <w:szCs w:val="22"/>
        </w:rPr>
        <w:t> </w:t>
      </w:r>
      <w:r>
        <w:rPr>
          <w:rFonts w:ascii="宋体" w:hAnsi="宋体" w:cs="宋体" w:eastAsia="宋体" w:hint="default"/>
          <w:spacing w:val="-3"/>
          <w:sz w:val="22"/>
          <w:szCs w:val="22"/>
        </w:rPr>
        <w:t>关键审计事项是我们根据职业判断，认为对本期财务报表审计最为重要的事项。这些</w:t>
      </w:r>
    </w:p>
    <w:p>
      <w:pPr>
        <w:spacing w:line="271" w:lineRule="exact" w:before="0"/>
        <w:ind w:left="102" w:right="105" w:firstLine="0"/>
        <w:jc w:val="left"/>
        <w:rPr>
          <w:rFonts w:ascii="宋体" w:hAnsi="宋体" w:cs="宋体" w:eastAsia="宋体" w:hint="default"/>
          <w:sz w:val="22"/>
          <w:szCs w:val="22"/>
        </w:rPr>
      </w:pPr>
      <w:r>
        <w:rPr>
          <w:rFonts w:ascii="宋体" w:hAnsi="宋体" w:cs="宋体" w:eastAsia="宋体" w:hint="default"/>
          <w:spacing w:val="-3"/>
          <w:sz w:val="22"/>
          <w:szCs w:val="22"/>
        </w:rPr>
        <w:t>事项的应对以对财务报表整体进行审计并形成审计意见为背景，我们不对这些事项单独发</w:t>
      </w:r>
    </w:p>
    <w:p>
      <w:pPr>
        <w:spacing w:before="72"/>
        <w:ind w:left="102" w:right="105" w:firstLine="0"/>
        <w:jc w:val="left"/>
        <w:rPr>
          <w:rFonts w:ascii="宋体" w:hAnsi="宋体" w:cs="宋体" w:eastAsia="宋体" w:hint="default"/>
          <w:sz w:val="22"/>
          <w:szCs w:val="22"/>
        </w:rPr>
      </w:pPr>
      <w:r>
        <w:rPr>
          <w:rFonts w:ascii="宋体" w:hAnsi="宋体" w:cs="宋体" w:eastAsia="宋体" w:hint="default"/>
          <w:sz w:val="22"/>
          <w:szCs w:val="22"/>
        </w:rPr>
        <w:t>表意见。</w:t>
      </w:r>
    </w:p>
    <w:p>
      <w:pPr>
        <w:spacing w:after="0"/>
        <w:jc w:val="left"/>
        <w:rPr>
          <w:rFonts w:ascii="宋体" w:hAnsi="宋体" w:cs="宋体" w:eastAsia="宋体" w:hint="default"/>
          <w:sz w:val="22"/>
          <w:szCs w:val="22"/>
        </w:rPr>
        <w:sectPr>
          <w:type w:val="continuous"/>
          <w:pgSz w:w="11910" w:h="16840"/>
          <w:pgMar w:top="1000" w:bottom="280" w:left="1600" w:right="1480"/>
        </w:sectPr>
      </w:pPr>
    </w:p>
    <w:p>
      <w:pPr>
        <w:spacing w:line="240" w:lineRule="auto" w:before="4"/>
        <w:rPr>
          <w:rFonts w:ascii="Times New Roman" w:hAnsi="Times New Roman" w:cs="Times New Roman" w:eastAsia="Times New Roman"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4345"/>
        <w:gridCol w:w="4273"/>
      </w:tblGrid>
      <w:tr>
        <w:trPr>
          <w:trHeight w:val="370" w:hRule="exact"/>
        </w:trPr>
        <w:tc>
          <w:tcPr>
            <w:tcW w:w="86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1"/>
                <w:sz w:val="22"/>
                <w:szCs w:val="22"/>
              </w:rPr>
              <w:t> </w:t>
            </w:r>
            <w:r>
              <w:rPr>
                <w:rFonts w:ascii="宋体" w:hAnsi="宋体" w:cs="宋体" w:eastAsia="宋体" w:hint="default"/>
                <w:b/>
                <w:bCs/>
                <w:sz w:val="22"/>
                <w:szCs w:val="22"/>
              </w:rPr>
              <w:t>收入确认</w:t>
            </w:r>
            <w:r>
              <w:rPr>
                <w:rFonts w:ascii="宋体" w:hAnsi="宋体" w:cs="宋体" w:eastAsia="宋体" w:hint="default"/>
                <w:sz w:val="22"/>
                <w:szCs w:val="22"/>
              </w:rPr>
            </w:r>
          </w:p>
        </w:tc>
      </w:tr>
      <w:tr>
        <w:trPr>
          <w:trHeight w:val="370"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r>
        <w:trPr>
          <w:trHeight w:val="5605"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1"/>
              <w:ind w:left="103" w:right="269" w:firstLine="439"/>
              <w:jc w:val="left"/>
              <w:rPr>
                <w:rFonts w:ascii="宋体" w:hAnsi="宋体" w:cs="宋体" w:eastAsia="宋体" w:hint="default"/>
                <w:sz w:val="22"/>
                <w:szCs w:val="22"/>
              </w:rPr>
            </w:pPr>
            <w:r>
              <w:rPr>
                <w:rFonts w:ascii="宋体" w:hAnsi="宋体" w:cs="宋体" w:eastAsia="宋体" w:hint="default"/>
                <w:spacing w:val="-1"/>
                <w:sz w:val="22"/>
                <w:szCs w:val="22"/>
              </w:rPr>
              <w:t>如合并财务报表附注四、</w:t>
            </w:r>
            <w:r>
              <w:rPr>
                <w:rFonts w:ascii="宋体" w:hAnsi="宋体" w:cs="宋体" w:eastAsia="宋体" w:hint="default"/>
                <w:spacing w:val="-1"/>
                <w:sz w:val="22"/>
                <w:szCs w:val="22"/>
              </w:rPr>
              <w:t>24</w:t>
            </w:r>
            <w:r>
              <w:rPr>
                <w:rFonts w:ascii="宋体" w:hAnsi="宋体" w:cs="宋体" w:eastAsia="宋体" w:hint="default"/>
                <w:spacing w:val="-1"/>
                <w:sz w:val="22"/>
                <w:szCs w:val="22"/>
              </w:rPr>
              <w:t>；六、</w:t>
            </w:r>
            <w:r>
              <w:rPr>
                <w:rFonts w:ascii="宋体" w:hAnsi="宋体" w:cs="宋体" w:eastAsia="宋体" w:hint="default"/>
                <w:spacing w:val="-1"/>
                <w:sz w:val="22"/>
                <w:szCs w:val="22"/>
              </w:rPr>
              <w:t>40</w:t>
            </w:r>
            <w:r>
              <w:rPr>
                <w:rFonts w:ascii="宋体" w:hAnsi="宋体" w:cs="宋体" w:eastAsia="宋体" w:hint="default"/>
                <w:w w:val="100"/>
                <w:sz w:val="22"/>
                <w:szCs w:val="22"/>
              </w:rPr>
              <w:t> </w:t>
            </w:r>
            <w:r>
              <w:rPr>
                <w:rFonts w:ascii="宋体" w:hAnsi="宋体" w:cs="宋体" w:eastAsia="宋体" w:hint="default"/>
                <w:sz w:val="22"/>
                <w:szCs w:val="22"/>
              </w:rPr>
              <w:t>所述，同方股份</w:t>
            </w:r>
            <w:r>
              <w:rPr>
                <w:rFonts w:ascii="宋体" w:hAnsi="宋体" w:cs="宋体" w:eastAsia="宋体" w:hint="default"/>
                <w:spacing w:val="-56"/>
                <w:sz w:val="22"/>
                <w:szCs w:val="22"/>
              </w:rPr>
              <w:t> </w:t>
            </w:r>
            <w:r>
              <w:rPr>
                <w:rFonts w:ascii="宋体" w:hAnsi="宋体" w:cs="宋体" w:eastAsia="宋体" w:hint="default"/>
                <w:sz w:val="22"/>
                <w:szCs w:val="22"/>
              </w:rPr>
              <w:t>2018</w:t>
            </w:r>
            <w:r>
              <w:rPr>
                <w:rFonts w:ascii="宋体" w:hAnsi="宋体" w:cs="宋体" w:eastAsia="宋体" w:hint="default"/>
                <w:spacing w:val="-53"/>
                <w:sz w:val="22"/>
                <w:szCs w:val="22"/>
              </w:rPr>
              <w:t> </w:t>
            </w:r>
            <w:r>
              <w:rPr>
                <w:rFonts w:ascii="宋体" w:hAnsi="宋体" w:cs="宋体" w:eastAsia="宋体" w:hint="default"/>
                <w:sz w:val="22"/>
                <w:szCs w:val="22"/>
              </w:rPr>
              <w:t>年度营业收入金额</w:t>
            </w:r>
          </w:p>
          <w:p>
            <w:pPr>
              <w:pStyle w:val="TableParagraph"/>
              <w:spacing w:line="295" w:lineRule="auto" w:before="17"/>
              <w:ind w:left="103" w:right="99"/>
              <w:jc w:val="left"/>
              <w:rPr>
                <w:rFonts w:ascii="宋体" w:hAnsi="宋体" w:cs="宋体" w:eastAsia="宋体" w:hint="default"/>
                <w:sz w:val="22"/>
                <w:szCs w:val="22"/>
              </w:rPr>
            </w:pPr>
            <w:r>
              <w:rPr>
                <w:rFonts w:ascii="宋体" w:hAnsi="宋体" w:cs="宋体" w:eastAsia="宋体" w:hint="default"/>
                <w:sz w:val="22"/>
                <w:szCs w:val="22"/>
              </w:rPr>
              <w:t>248.33</w:t>
            </w:r>
            <w:r>
              <w:rPr>
                <w:rFonts w:ascii="宋体" w:hAnsi="宋体" w:cs="宋体" w:eastAsia="宋体" w:hint="default"/>
                <w:spacing w:val="-49"/>
                <w:sz w:val="22"/>
                <w:szCs w:val="22"/>
              </w:rPr>
              <w:t> </w:t>
            </w:r>
            <w:r>
              <w:rPr>
                <w:rFonts w:ascii="宋体" w:hAnsi="宋体" w:cs="宋体" w:eastAsia="宋体" w:hint="default"/>
                <w:spacing w:val="-8"/>
                <w:sz w:val="22"/>
                <w:szCs w:val="22"/>
              </w:rPr>
              <w:t>亿元，比上年度减少</w:t>
            </w:r>
            <w:r>
              <w:rPr>
                <w:rFonts w:ascii="宋体" w:hAnsi="宋体" w:cs="宋体" w:eastAsia="宋体" w:hint="default"/>
                <w:spacing w:val="-49"/>
                <w:sz w:val="22"/>
                <w:szCs w:val="22"/>
              </w:rPr>
              <w:t> </w:t>
            </w:r>
            <w:r>
              <w:rPr>
                <w:rFonts w:ascii="宋体" w:hAnsi="宋体" w:cs="宋体" w:eastAsia="宋体" w:hint="default"/>
                <w:sz w:val="22"/>
                <w:szCs w:val="22"/>
              </w:rPr>
              <w:t>11.56</w:t>
            </w:r>
            <w:r>
              <w:rPr>
                <w:rFonts w:ascii="宋体" w:hAnsi="宋体" w:cs="宋体" w:eastAsia="宋体" w:hint="default"/>
                <w:spacing w:val="-52"/>
                <w:sz w:val="22"/>
                <w:szCs w:val="22"/>
              </w:rPr>
              <w:t> </w:t>
            </w:r>
            <w:r>
              <w:rPr>
                <w:rFonts w:ascii="宋体" w:hAnsi="宋体" w:cs="宋体" w:eastAsia="宋体" w:hint="default"/>
                <w:spacing w:val="-14"/>
                <w:sz w:val="22"/>
                <w:szCs w:val="22"/>
              </w:rPr>
              <w:t>亿元，减</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幅约</w:t>
            </w:r>
            <w:r>
              <w:rPr>
                <w:rFonts w:ascii="宋体" w:hAnsi="宋体" w:cs="宋体" w:eastAsia="宋体" w:hint="default"/>
                <w:spacing w:val="-54"/>
                <w:sz w:val="22"/>
                <w:szCs w:val="22"/>
              </w:rPr>
              <w:t> </w:t>
            </w:r>
            <w:r>
              <w:rPr>
                <w:rFonts w:ascii="宋体" w:hAnsi="宋体" w:cs="宋体" w:eastAsia="宋体" w:hint="default"/>
                <w:sz w:val="22"/>
                <w:szCs w:val="22"/>
              </w:rPr>
              <w:t>4.45%</w:t>
            </w:r>
            <w:r>
              <w:rPr>
                <w:rFonts w:ascii="宋体" w:hAnsi="宋体" w:cs="宋体" w:eastAsia="宋体" w:hint="default"/>
                <w:sz w:val="22"/>
                <w:szCs w:val="22"/>
              </w:rPr>
              <w:t>。</w:t>
            </w:r>
          </w:p>
          <w:p>
            <w:pPr>
              <w:pStyle w:val="TableParagraph"/>
              <w:spacing w:line="297" w:lineRule="auto" w:before="139"/>
              <w:ind w:left="103" w:right="97" w:firstLine="439"/>
              <w:jc w:val="left"/>
              <w:rPr>
                <w:rFonts w:ascii="宋体" w:hAnsi="宋体" w:cs="宋体" w:eastAsia="宋体" w:hint="default"/>
                <w:sz w:val="22"/>
                <w:szCs w:val="22"/>
              </w:rPr>
            </w:pPr>
            <w:r>
              <w:rPr>
                <w:rFonts w:ascii="宋体" w:hAnsi="宋体" w:cs="宋体" w:eastAsia="宋体" w:hint="default"/>
                <w:sz w:val="22"/>
                <w:szCs w:val="22"/>
              </w:rPr>
              <w:t>由于收入是影响同方股份净利润的关</w:t>
            </w:r>
            <w:r>
              <w:rPr>
                <w:rFonts w:ascii="宋体" w:hAnsi="宋体" w:cs="宋体" w:eastAsia="宋体" w:hint="default"/>
                <w:w w:val="100"/>
                <w:sz w:val="22"/>
                <w:szCs w:val="22"/>
              </w:rPr>
              <w:t> </w:t>
            </w:r>
            <w:r>
              <w:rPr>
                <w:rFonts w:ascii="宋体" w:hAnsi="宋体" w:cs="宋体" w:eastAsia="宋体" w:hint="default"/>
                <w:spacing w:val="-4"/>
                <w:sz w:val="22"/>
                <w:szCs w:val="22"/>
              </w:rPr>
              <w:t>键因素之一，从而存在管理层为了达到特定</w:t>
            </w:r>
            <w:r>
              <w:rPr>
                <w:rFonts w:ascii="宋体" w:hAnsi="宋体" w:cs="宋体" w:eastAsia="宋体" w:hint="default"/>
                <w:spacing w:val="-87"/>
                <w:sz w:val="22"/>
                <w:szCs w:val="22"/>
              </w:rPr>
              <w:t> </w:t>
            </w:r>
            <w:r>
              <w:rPr>
                <w:rFonts w:ascii="宋体" w:hAnsi="宋体" w:cs="宋体" w:eastAsia="宋体" w:hint="default"/>
                <w:spacing w:val="-87"/>
                <w:sz w:val="22"/>
                <w:szCs w:val="22"/>
              </w:rPr>
            </w:r>
            <w:r>
              <w:rPr>
                <w:rFonts w:ascii="宋体" w:hAnsi="宋体" w:cs="宋体" w:eastAsia="宋体" w:hint="default"/>
                <w:sz w:val="22"/>
                <w:szCs w:val="22"/>
              </w:rPr>
              <w:t>目标或期望而操纵收入确认时点的固有风</w:t>
            </w:r>
            <w:r>
              <w:rPr>
                <w:rFonts w:ascii="宋体" w:hAnsi="宋体" w:cs="宋体" w:eastAsia="宋体" w:hint="default"/>
                <w:w w:val="100"/>
                <w:sz w:val="22"/>
                <w:szCs w:val="22"/>
              </w:rPr>
              <w:t> </w:t>
            </w:r>
            <w:r>
              <w:rPr>
                <w:rFonts w:ascii="宋体" w:hAnsi="宋体" w:cs="宋体" w:eastAsia="宋体" w:hint="default"/>
                <w:spacing w:val="-4"/>
                <w:sz w:val="22"/>
                <w:szCs w:val="22"/>
              </w:rPr>
              <w:t>险，对财务报表存在重大影响，因此我们将</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z w:val="22"/>
                <w:szCs w:val="22"/>
              </w:rPr>
              <w:t>收入确认识别为关键审计事项。</w:t>
            </w:r>
          </w:p>
        </w:tc>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42" w:right="0"/>
              <w:jc w:val="left"/>
              <w:rPr>
                <w:rFonts w:ascii="宋体" w:hAnsi="宋体" w:cs="宋体" w:eastAsia="宋体" w:hint="default"/>
                <w:sz w:val="22"/>
                <w:szCs w:val="22"/>
              </w:rPr>
            </w:pPr>
            <w:r>
              <w:rPr>
                <w:rFonts w:ascii="宋体" w:hAnsi="宋体" w:cs="宋体" w:eastAsia="宋体" w:hint="default"/>
                <w:sz w:val="22"/>
                <w:szCs w:val="22"/>
              </w:rPr>
              <w:t>在审计中，我们执行的主要程序：</w:t>
            </w:r>
          </w:p>
          <w:p>
            <w:pPr>
              <w:pStyle w:val="TableParagraph"/>
              <w:spacing w:line="297" w:lineRule="auto" w:before="189"/>
              <w:ind w:left="103" w:right="197" w:firstLine="439"/>
              <w:jc w:val="left"/>
              <w:rPr>
                <w:rFonts w:ascii="宋体" w:hAnsi="宋体" w:cs="宋体" w:eastAsia="宋体" w:hint="default"/>
                <w:sz w:val="22"/>
                <w:szCs w:val="22"/>
              </w:rPr>
            </w:pPr>
            <w:r>
              <w:rPr>
                <w:rFonts w:ascii="宋体" w:hAnsi="宋体" w:cs="宋体" w:eastAsia="宋体" w:hint="default"/>
                <w:spacing w:val="-1"/>
                <w:sz w:val="22"/>
                <w:szCs w:val="22"/>
              </w:rPr>
              <w:t>了解和评价管理层与收入确认相关的</w:t>
            </w:r>
            <w:r>
              <w:rPr>
                <w:rFonts w:ascii="宋体" w:hAnsi="宋体" w:cs="宋体" w:eastAsia="宋体" w:hint="default"/>
                <w:w w:val="100"/>
                <w:sz w:val="22"/>
                <w:szCs w:val="22"/>
              </w:rPr>
              <w:t> </w:t>
            </w:r>
            <w:r>
              <w:rPr>
                <w:rFonts w:ascii="宋体" w:hAnsi="宋体" w:cs="宋体" w:eastAsia="宋体" w:hint="default"/>
                <w:sz w:val="22"/>
                <w:szCs w:val="22"/>
              </w:rPr>
              <w:t>关键内部控制的设计和运行有效性；</w:t>
            </w:r>
          </w:p>
          <w:p>
            <w:pPr>
              <w:pStyle w:val="TableParagraph"/>
              <w:spacing w:line="297" w:lineRule="auto" w:before="134"/>
              <w:ind w:left="103" w:right="195" w:firstLine="439"/>
              <w:jc w:val="both"/>
              <w:rPr>
                <w:rFonts w:ascii="宋体" w:hAnsi="宋体" w:cs="宋体" w:eastAsia="宋体" w:hint="default"/>
                <w:sz w:val="22"/>
                <w:szCs w:val="22"/>
              </w:rPr>
            </w:pPr>
            <w:r>
              <w:rPr>
                <w:rFonts w:ascii="宋体" w:hAnsi="宋体" w:cs="宋体" w:eastAsia="宋体" w:hint="default"/>
                <w:spacing w:val="-1"/>
                <w:sz w:val="22"/>
                <w:szCs w:val="22"/>
              </w:rPr>
              <w:t>结合业务类型对收入以及毛利情况执</w:t>
            </w:r>
            <w:r>
              <w:rPr>
                <w:rFonts w:ascii="宋体" w:hAnsi="宋体" w:cs="宋体" w:eastAsia="宋体" w:hint="default"/>
                <w:w w:val="100"/>
                <w:sz w:val="22"/>
                <w:szCs w:val="22"/>
              </w:rPr>
              <w:t> </w:t>
            </w:r>
            <w:r>
              <w:rPr>
                <w:rFonts w:ascii="宋体" w:hAnsi="宋体" w:cs="宋体" w:eastAsia="宋体" w:hint="default"/>
                <w:spacing w:val="-1"/>
                <w:sz w:val="22"/>
                <w:szCs w:val="22"/>
              </w:rPr>
              <w:t>行分析性复核，询问管理层关于新增业务</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sz w:val="22"/>
                <w:szCs w:val="22"/>
              </w:rPr>
              <w:t>的商业实质；</w:t>
            </w:r>
          </w:p>
          <w:p>
            <w:pPr>
              <w:pStyle w:val="TableParagraph"/>
              <w:spacing w:line="297" w:lineRule="auto" w:before="137"/>
              <w:ind w:left="103" w:right="-9" w:firstLine="439"/>
              <w:jc w:val="left"/>
              <w:rPr>
                <w:rFonts w:ascii="宋体" w:hAnsi="宋体" w:cs="宋体" w:eastAsia="宋体" w:hint="default"/>
                <w:sz w:val="22"/>
                <w:szCs w:val="22"/>
              </w:rPr>
            </w:pPr>
            <w:r>
              <w:rPr>
                <w:rFonts w:ascii="宋体" w:hAnsi="宋体" w:cs="宋体" w:eastAsia="宋体" w:hint="default"/>
                <w:sz w:val="22"/>
                <w:szCs w:val="22"/>
              </w:rPr>
              <w:t>选取样本检查与收入确认相关的支持</w:t>
            </w:r>
            <w:r>
              <w:rPr>
                <w:rFonts w:ascii="宋体" w:hAnsi="宋体" w:cs="宋体" w:eastAsia="宋体" w:hint="default"/>
                <w:w w:val="100"/>
                <w:sz w:val="22"/>
                <w:szCs w:val="22"/>
              </w:rPr>
              <w:t> </w:t>
            </w:r>
            <w:r>
              <w:rPr>
                <w:rFonts w:ascii="宋体" w:hAnsi="宋体" w:cs="宋体" w:eastAsia="宋体" w:hint="default"/>
                <w:spacing w:val="-2"/>
                <w:sz w:val="22"/>
                <w:szCs w:val="22"/>
              </w:rPr>
              <w:t>性文件，包括销售合同、客户验收单据等，</w:t>
            </w:r>
            <w:r>
              <w:rPr>
                <w:rFonts w:ascii="宋体" w:hAnsi="宋体" w:cs="宋体" w:eastAsia="宋体" w:hint="default"/>
                <w:spacing w:val="-87"/>
                <w:sz w:val="22"/>
                <w:szCs w:val="22"/>
              </w:rPr>
              <w:t> </w:t>
            </w:r>
            <w:r>
              <w:rPr>
                <w:rFonts w:ascii="宋体" w:hAnsi="宋体" w:cs="宋体" w:eastAsia="宋体" w:hint="default"/>
                <w:spacing w:val="-87"/>
                <w:sz w:val="22"/>
                <w:szCs w:val="22"/>
              </w:rPr>
            </w:r>
            <w:r>
              <w:rPr>
                <w:rFonts w:ascii="宋体" w:hAnsi="宋体" w:cs="宋体" w:eastAsia="宋体" w:hint="default"/>
                <w:sz w:val="22"/>
                <w:szCs w:val="22"/>
              </w:rPr>
              <w:t>对与收入确认有关的重大风险及报酬转移</w:t>
            </w:r>
            <w:r>
              <w:rPr>
                <w:rFonts w:ascii="宋体" w:hAnsi="宋体" w:cs="宋体" w:eastAsia="宋体" w:hint="default"/>
                <w:w w:val="100"/>
                <w:sz w:val="22"/>
                <w:szCs w:val="22"/>
              </w:rPr>
              <w:t> </w:t>
            </w:r>
            <w:r>
              <w:rPr>
                <w:rFonts w:ascii="宋体" w:hAnsi="宋体" w:cs="宋体" w:eastAsia="宋体" w:hint="default"/>
                <w:sz w:val="22"/>
                <w:szCs w:val="22"/>
              </w:rPr>
              <w:t>时点进行了分析评价，进而评价公司的收</w:t>
            </w:r>
            <w:r>
              <w:rPr>
                <w:rFonts w:ascii="宋体" w:hAnsi="宋体" w:cs="宋体" w:eastAsia="宋体" w:hint="default"/>
                <w:w w:val="100"/>
                <w:sz w:val="22"/>
                <w:szCs w:val="22"/>
              </w:rPr>
              <w:t> </w:t>
            </w:r>
            <w:r>
              <w:rPr>
                <w:rFonts w:ascii="宋体" w:hAnsi="宋体" w:cs="宋体" w:eastAsia="宋体" w:hint="default"/>
                <w:sz w:val="22"/>
                <w:szCs w:val="22"/>
              </w:rPr>
              <w:t>入确认政策是否符合企业会计准则的规</w:t>
            </w:r>
            <w:r>
              <w:rPr>
                <w:rFonts w:ascii="宋体" w:hAnsi="宋体" w:cs="宋体" w:eastAsia="宋体" w:hint="default"/>
                <w:w w:val="100"/>
                <w:sz w:val="22"/>
                <w:szCs w:val="22"/>
              </w:rPr>
              <w:t> </w:t>
            </w:r>
            <w:r>
              <w:rPr>
                <w:rFonts w:ascii="宋体" w:hAnsi="宋体" w:cs="宋体" w:eastAsia="宋体" w:hint="default"/>
                <w:sz w:val="22"/>
                <w:szCs w:val="22"/>
              </w:rPr>
              <w:t>定，并采用一致的会计处理方法；</w:t>
            </w:r>
          </w:p>
          <w:p>
            <w:pPr>
              <w:pStyle w:val="TableParagraph"/>
              <w:spacing w:line="295" w:lineRule="auto" w:before="137"/>
              <w:ind w:left="103" w:right="-8" w:firstLine="439"/>
              <w:jc w:val="left"/>
              <w:rPr>
                <w:rFonts w:ascii="宋体" w:hAnsi="宋体" w:cs="宋体" w:eastAsia="宋体" w:hint="default"/>
                <w:sz w:val="22"/>
                <w:szCs w:val="22"/>
              </w:rPr>
            </w:pPr>
            <w:r>
              <w:rPr>
                <w:rFonts w:ascii="宋体" w:hAnsi="宋体" w:cs="宋体" w:eastAsia="宋体" w:hint="default"/>
                <w:sz w:val="22"/>
                <w:szCs w:val="22"/>
              </w:rPr>
              <w:t>选取样本采用积极式函证的方式向客</w:t>
            </w:r>
            <w:r>
              <w:rPr>
                <w:rFonts w:ascii="宋体" w:hAnsi="宋体" w:cs="宋体" w:eastAsia="宋体" w:hint="default"/>
                <w:w w:val="100"/>
                <w:sz w:val="22"/>
                <w:szCs w:val="22"/>
              </w:rPr>
              <w:t> </w:t>
            </w:r>
            <w:r>
              <w:rPr>
                <w:rFonts w:ascii="宋体" w:hAnsi="宋体" w:cs="宋体" w:eastAsia="宋体" w:hint="default"/>
                <w:spacing w:val="-2"/>
                <w:sz w:val="22"/>
                <w:szCs w:val="22"/>
              </w:rPr>
              <w:t>户进行函证，以确定收入的发生和完整性。</w:t>
            </w:r>
          </w:p>
        </w:tc>
      </w:tr>
      <w:tr>
        <w:trPr>
          <w:trHeight w:val="350" w:hRule="exact"/>
        </w:trPr>
        <w:tc>
          <w:tcPr>
            <w:tcW w:w="86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51"/>
                <w:sz w:val="22"/>
                <w:szCs w:val="22"/>
              </w:rPr>
              <w:t> </w:t>
            </w:r>
            <w:r>
              <w:rPr>
                <w:rFonts w:ascii="宋体" w:hAnsi="宋体" w:cs="宋体" w:eastAsia="宋体" w:hint="default"/>
                <w:b/>
                <w:bCs/>
                <w:sz w:val="22"/>
                <w:szCs w:val="22"/>
              </w:rPr>
              <w:t>存货跌价准备计提的准确性</w:t>
            </w:r>
            <w:r>
              <w:rPr>
                <w:rFonts w:ascii="宋体" w:hAnsi="宋体" w:cs="宋体" w:eastAsia="宋体" w:hint="default"/>
                <w:sz w:val="22"/>
                <w:szCs w:val="22"/>
              </w:rPr>
            </w:r>
          </w:p>
        </w:tc>
      </w:tr>
      <w:tr>
        <w:trPr>
          <w:trHeight w:val="348"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r>
        <w:trPr>
          <w:trHeight w:val="6133"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3"/>
              <w:ind w:left="103" w:right="99" w:firstLine="439"/>
              <w:jc w:val="both"/>
              <w:rPr>
                <w:rFonts w:ascii="宋体" w:hAnsi="宋体" w:cs="宋体" w:eastAsia="宋体" w:hint="default"/>
                <w:sz w:val="22"/>
                <w:szCs w:val="22"/>
              </w:rPr>
            </w:pPr>
            <w:r>
              <w:rPr>
                <w:rFonts w:ascii="宋体" w:hAnsi="宋体" w:cs="宋体" w:eastAsia="宋体" w:hint="default"/>
                <w:sz w:val="22"/>
                <w:szCs w:val="22"/>
              </w:rPr>
              <w:t>如合并财务报表附注四、</w:t>
            </w:r>
            <w:r>
              <w:rPr>
                <w:rFonts w:ascii="宋体" w:hAnsi="宋体" w:cs="宋体" w:eastAsia="宋体" w:hint="default"/>
                <w:sz w:val="22"/>
                <w:szCs w:val="22"/>
              </w:rPr>
              <w:t>12</w:t>
            </w:r>
            <w:r>
              <w:rPr>
                <w:rFonts w:ascii="宋体" w:hAnsi="宋体" w:cs="宋体" w:eastAsia="宋体" w:hint="default"/>
                <w:sz w:val="22"/>
                <w:szCs w:val="22"/>
              </w:rPr>
              <w:t>；六、</w:t>
            </w:r>
            <w:r>
              <w:rPr>
                <w:rFonts w:ascii="宋体" w:hAnsi="宋体" w:cs="宋体" w:eastAsia="宋体" w:hint="default"/>
                <w:sz w:val="22"/>
                <w:szCs w:val="22"/>
              </w:rPr>
              <w:t>6</w:t>
            </w:r>
            <w:r>
              <w:rPr>
                <w:rFonts w:ascii="宋体" w:hAnsi="宋体" w:cs="宋体" w:eastAsia="宋体" w:hint="default"/>
                <w:spacing w:val="-56"/>
                <w:sz w:val="22"/>
                <w:szCs w:val="22"/>
              </w:rPr>
              <w:t> </w:t>
            </w:r>
            <w:r>
              <w:rPr>
                <w:rFonts w:ascii="宋体" w:hAnsi="宋体" w:cs="宋体" w:eastAsia="宋体" w:hint="default"/>
                <w:sz w:val="22"/>
                <w:szCs w:val="22"/>
              </w:rPr>
              <w:t>所</w:t>
            </w:r>
            <w:r>
              <w:rPr>
                <w:rFonts w:ascii="宋体" w:hAnsi="宋体" w:cs="宋体" w:eastAsia="宋体" w:hint="default"/>
                <w:w w:val="100"/>
                <w:sz w:val="22"/>
                <w:szCs w:val="22"/>
              </w:rPr>
              <w:t> </w:t>
            </w:r>
            <w:r>
              <w:rPr>
                <w:rFonts w:ascii="宋体" w:hAnsi="宋体" w:cs="宋体" w:eastAsia="宋体" w:hint="default"/>
                <w:spacing w:val="-4"/>
                <w:sz w:val="22"/>
                <w:szCs w:val="22"/>
              </w:rPr>
              <w:t>述，合并财务报表中存货账面价值为人民币</w:t>
            </w:r>
            <w:r>
              <w:rPr>
                <w:rFonts w:ascii="宋体" w:hAnsi="宋体" w:cs="宋体" w:eastAsia="宋体" w:hint="default"/>
                <w:spacing w:val="-88"/>
                <w:sz w:val="22"/>
                <w:szCs w:val="22"/>
              </w:rPr>
              <w:t> </w:t>
            </w:r>
            <w:r>
              <w:rPr>
                <w:rFonts w:ascii="宋体" w:hAnsi="宋体" w:cs="宋体" w:eastAsia="宋体" w:hint="default"/>
                <w:spacing w:val="-88"/>
                <w:sz w:val="22"/>
                <w:szCs w:val="22"/>
              </w:rPr>
            </w:r>
            <w:r>
              <w:rPr>
                <w:rFonts w:ascii="宋体" w:hAnsi="宋体" w:cs="宋体" w:eastAsia="宋体" w:hint="default"/>
                <w:sz w:val="22"/>
                <w:szCs w:val="22"/>
              </w:rPr>
              <w:t>91.21</w:t>
            </w:r>
            <w:r>
              <w:rPr>
                <w:rFonts w:ascii="宋体" w:hAnsi="宋体" w:cs="宋体" w:eastAsia="宋体" w:hint="default"/>
                <w:spacing w:val="-57"/>
                <w:sz w:val="22"/>
                <w:szCs w:val="22"/>
              </w:rPr>
              <w:t> </w:t>
            </w:r>
            <w:r>
              <w:rPr>
                <w:rFonts w:ascii="宋体" w:hAnsi="宋体" w:cs="宋体" w:eastAsia="宋体" w:hint="default"/>
                <w:sz w:val="22"/>
                <w:szCs w:val="22"/>
              </w:rPr>
              <w:t>亿元，存货跌价准备余额为人民币</w:t>
            </w:r>
          </w:p>
          <w:p>
            <w:pPr>
              <w:pStyle w:val="TableParagraph"/>
              <w:spacing w:line="300" w:lineRule="auto" w:before="17"/>
              <w:ind w:left="103" w:right="99"/>
              <w:jc w:val="left"/>
              <w:rPr>
                <w:rFonts w:ascii="宋体" w:hAnsi="宋体" w:cs="宋体" w:eastAsia="宋体" w:hint="default"/>
                <w:sz w:val="22"/>
                <w:szCs w:val="22"/>
              </w:rPr>
            </w:pPr>
            <w:r>
              <w:rPr>
                <w:rFonts w:ascii="宋体" w:hAnsi="宋体" w:cs="宋体" w:eastAsia="宋体" w:hint="default"/>
                <w:sz w:val="22"/>
                <w:szCs w:val="22"/>
              </w:rPr>
              <w:t>12.52</w:t>
            </w:r>
            <w:r>
              <w:rPr>
                <w:rFonts w:ascii="宋体" w:hAnsi="宋体" w:cs="宋体" w:eastAsia="宋体" w:hint="default"/>
                <w:spacing w:val="-58"/>
                <w:sz w:val="22"/>
                <w:szCs w:val="22"/>
              </w:rPr>
              <w:t> </w:t>
            </w:r>
            <w:r>
              <w:rPr>
                <w:rFonts w:ascii="宋体" w:hAnsi="宋体" w:cs="宋体" w:eastAsia="宋体" w:hint="default"/>
                <w:sz w:val="22"/>
                <w:szCs w:val="22"/>
              </w:rPr>
              <w:t>亿元。于资产负债表日，存货按照成</w:t>
            </w:r>
            <w:r>
              <w:rPr>
                <w:rFonts w:ascii="宋体" w:hAnsi="宋体" w:cs="宋体" w:eastAsia="宋体" w:hint="default"/>
                <w:w w:val="100"/>
                <w:sz w:val="22"/>
                <w:szCs w:val="22"/>
              </w:rPr>
              <w:t> </w:t>
            </w:r>
            <w:r>
              <w:rPr>
                <w:rFonts w:ascii="宋体" w:hAnsi="宋体" w:cs="宋体" w:eastAsia="宋体" w:hint="default"/>
                <w:spacing w:val="-4"/>
                <w:sz w:val="22"/>
                <w:szCs w:val="22"/>
              </w:rPr>
              <w:t>本与可变现净值孰低计量，确定存货跌价准</w:t>
            </w:r>
            <w:r>
              <w:rPr>
                <w:rFonts w:ascii="宋体" w:hAnsi="宋体" w:cs="宋体" w:eastAsia="宋体" w:hint="default"/>
                <w:spacing w:val="-88"/>
                <w:sz w:val="22"/>
                <w:szCs w:val="22"/>
              </w:rPr>
              <w:t> </w:t>
            </w:r>
            <w:r>
              <w:rPr>
                <w:rFonts w:ascii="宋体" w:hAnsi="宋体" w:cs="宋体" w:eastAsia="宋体" w:hint="default"/>
                <w:spacing w:val="-88"/>
                <w:sz w:val="22"/>
                <w:szCs w:val="22"/>
              </w:rPr>
            </w:r>
            <w:r>
              <w:rPr>
                <w:rFonts w:ascii="宋体" w:hAnsi="宋体" w:cs="宋体" w:eastAsia="宋体" w:hint="default"/>
                <w:spacing w:val="-4"/>
                <w:sz w:val="22"/>
                <w:szCs w:val="22"/>
              </w:rPr>
              <w:t>备需要管理层在取得确凿证据的基础上，考</w:t>
            </w:r>
            <w:r>
              <w:rPr>
                <w:rFonts w:ascii="宋体" w:hAnsi="宋体" w:cs="宋体" w:eastAsia="宋体" w:hint="default"/>
                <w:spacing w:val="-88"/>
                <w:sz w:val="22"/>
                <w:szCs w:val="22"/>
              </w:rPr>
              <w:t> </w:t>
            </w:r>
            <w:r>
              <w:rPr>
                <w:rFonts w:ascii="宋体" w:hAnsi="宋体" w:cs="宋体" w:eastAsia="宋体" w:hint="default"/>
                <w:spacing w:val="-88"/>
                <w:sz w:val="22"/>
                <w:szCs w:val="22"/>
              </w:rPr>
            </w:r>
            <w:r>
              <w:rPr>
                <w:rFonts w:ascii="宋体" w:hAnsi="宋体" w:cs="宋体" w:eastAsia="宋体" w:hint="default"/>
                <w:spacing w:val="-4"/>
                <w:sz w:val="22"/>
                <w:szCs w:val="22"/>
              </w:rPr>
              <w:t>虑持有存货的目的、资产负债表日后事项的</w:t>
            </w:r>
            <w:r>
              <w:rPr>
                <w:rFonts w:ascii="宋体" w:hAnsi="宋体" w:cs="宋体" w:eastAsia="宋体" w:hint="default"/>
                <w:spacing w:val="-87"/>
                <w:sz w:val="22"/>
                <w:szCs w:val="22"/>
              </w:rPr>
              <w:t> </w:t>
            </w:r>
            <w:r>
              <w:rPr>
                <w:rFonts w:ascii="宋体" w:hAnsi="宋体" w:cs="宋体" w:eastAsia="宋体" w:hint="default"/>
                <w:spacing w:val="-87"/>
                <w:sz w:val="22"/>
                <w:szCs w:val="22"/>
              </w:rPr>
            </w:r>
            <w:r>
              <w:rPr>
                <w:rFonts w:ascii="宋体" w:hAnsi="宋体" w:cs="宋体" w:eastAsia="宋体" w:hint="default"/>
                <w:spacing w:val="-4"/>
                <w:sz w:val="22"/>
                <w:szCs w:val="22"/>
              </w:rPr>
              <w:t>影响等因素作出判断和估计，实际的结果与</w:t>
            </w:r>
            <w:r>
              <w:rPr>
                <w:rFonts w:ascii="宋体" w:hAnsi="宋体" w:cs="宋体" w:eastAsia="宋体" w:hint="default"/>
                <w:spacing w:val="-88"/>
                <w:sz w:val="22"/>
                <w:szCs w:val="22"/>
              </w:rPr>
              <w:t> </w:t>
            </w:r>
            <w:r>
              <w:rPr>
                <w:rFonts w:ascii="宋体" w:hAnsi="宋体" w:cs="宋体" w:eastAsia="宋体" w:hint="default"/>
                <w:spacing w:val="-88"/>
                <w:sz w:val="22"/>
                <w:szCs w:val="22"/>
              </w:rPr>
            </w:r>
            <w:r>
              <w:rPr>
                <w:rFonts w:ascii="宋体" w:hAnsi="宋体" w:cs="宋体" w:eastAsia="宋体" w:hint="default"/>
                <w:sz w:val="22"/>
                <w:szCs w:val="22"/>
              </w:rPr>
              <w:t>原先估计的差异将在估计被改变的期间影</w:t>
            </w:r>
            <w:r>
              <w:rPr>
                <w:rFonts w:ascii="宋体" w:hAnsi="宋体" w:cs="宋体" w:eastAsia="宋体" w:hint="default"/>
                <w:w w:val="100"/>
                <w:sz w:val="22"/>
                <w:szCs w:val="22"/>
              </w:rPr>
              <w:t> </w:t>
            </w:r>
            <w:r>
              <w:rPr>
                <w:rFonts w:ascii="宋体" w:hAnsi="宋体" w:cs="宋体" w:eastAsia="宋体" w:hint="default"/>
                <w:spacing w:val="-4"/>
                <w:sz w:val="22"/>
                <w:szCs w:val="22"/>
              </w:rPr>
              <w:t>响存货的账面价值。因此我们将存货跌价准</w:t>
            </w:r>
            <w:r>
              <w:rPr>
                <w:rFonts w:ascii="宋体" w:hAnsi="宋体" w:cs="宋体" w:eastAsia="宋体" w:hint="default"/>
                <w:spacing w:val="-87"/>
                <w:sz w:val="22"/>
                <w:szCs w:val="22"/>
              </w:rPr>
              <w:t> </w:t>
            </w:r>
            <w:r>
              <w:rPr>
                <w:rFonts w:ascii="宋体" w:hAnsi="宋体" w:cs="宋体" w:eastAsia="宋体" w:hint="default"/>
                <w:spacing w:val="-87"/>
                <w:sz w:val="22"/>
                <w:szCs w:val="22"/>
              </w:rPr>
            </w:r>
            <w:r>
              <w:rPr>
                <w:rFonts w:ascii="宋体" w:hAnsi="宋体" w:cs="宋体" w:eastAsia="宋体" w:hint="default"/>
                <w:sz w:val="22"/>
                <w:szCs w:val="22"/>
              </w:rPr>
              <w:t>备计提的准确性识别为关键审计事项。</w:t>
            </w:r>
          </w:p>
        </w:tc>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3"/>
              <w:ind w:left="542" w:right="104"/>
              <w:jc w:val="left"/>
              <w:rPr>
                <w:rFonts w:ascii="宋体" w:hAnsi="宋体" w:cs="宋体" w:eastAsia="宋体" w:hint="default"/>
                <w:sz w:val="22"/>
                <w:szCs w:val="22"/>
              </w:rPr>
            </w:pPr>
            <w:r>
              <w:rPr>
                <w:rFonts w:ascii="宋体" w:hAnsi="宋体" w:cs="宋体" w:eastAsia="宋体" w:hint="default"/>
                <w:sz w:val="22"/>
                <w:szCs w:val="22"/>
              </w:rPr>
              <w:t>在审计中，我们执行的主要程序：</w:t>
            </w:r>
            <w:r>
              <w:rPr>
                <w:rFonts w:ascii="宋体" w:hAnsi="宋体" w:cs="宋体" w:eastAsia="宋体" w:hint="default"/>
                <w:w w:val="100"/>
                <w:sz w:val="22"/>
                <w:szCs w:val="22"/>
              </w:rPr>
              <w:t> </w:t>
            </w:r>
            <w:r>
              <w:rPr>
                <w:rFonts w:ascii="宋体" w:hAnsi="宋体" w:cs="宋体" w:eastAsia="宋体" w:hint="default"/>
                <w:spacing w:val="3"/>
                <w:sz w:val="22"/>
                <w:szCs w:val="22"/>
              </w:rPr>
              <w:t>了解和评价管理层与存货减值相关的</w:t>
            </w:r>
          </w:p>
          <w:p>
            <w:pPr>
              <w:pStyle w:val="TableParagraph"/>
              <w:spacing w:line="300" w:lineRule="auto" w:before="17"/>
              <w:ind w:left="542" w:right="-8" w:hanging="440"/>
              <w:jc w:val="left"/>
              <w:rPr>
                <w:rFonts w:ascii="宋体" w:hAnsi="宋体" w:cs="宋体" w:eastAsia="宋体" w:hint="default"/>
                <w:sz w:val="22"/>
                <w:szCs w:val="22"/>
              </w:rPr>
            </w:pPr>
            <w:r>
              <w:rPr>
                <w:rFonts w:ascii="宋体" w:hAnsi="宋体" w:cs="宋体" w:eastAsia="宋体" w:hint="default"/>
                <w:sz w:val="22"/>
                <w:szCs w:val="22"/>
              </w:rPr>
              <w:t>关键内部控制的设计和运行有效性；</w:t>
            </w:r>
            <w:r>
              <w:rPr>
                <w:rFonts w:ascii="宋体" w:hAnsi="宋体" w:cs="宋体" w:eastAsia="宋体" w:hint="default"/>
                <w:w w:val="100"/>
                <w:sz w:val="22"/>
                <w:szCs w:val="22"/>
              </w:rPr>
              <w:t> </w:t>
            </w:r>
            <w:r>
              <w:rPr>
                <w:rFonts w:ascii="宋体" w:hAnsi="宋体" w:cs="宋体" w:eastAsia="宋体" w:hint="default"/>
                <w:spacing w:val="-2"/>
                <w:sz w:val="22"/>
                <w:szCs w:val="22"/>
              </w:rPr>
              <w:t>复核存货的周转情况，结合存货监盘，</w:t>
            </w:r>
          </w:p>
          <w:p>
            <w:pPr>
              <w:pStyle w:val="TableParagraph"/>
              <w:spacing w:line="300" w:lineRule="auto" w:before="17"/>
              <w:ind w:left="103" w:right="98"/>
              <w:jc w:val="both"/>
              <w:rPr>
                <w:rFonts w:ascii="宋体" w:hAnsi="宋体" w:cs="宋体" w:eastAsia="宋体" w:hint="default"/>
                <w:sz w:val="22"/>
                <w:szCs w:val="22"/>
              </w:rPr>
            </w:pPr>
            <w:r>
              <w:rPr>
                <w:rFonts w:ascii="宋体" w:hAnsi="宋体" w:cs="宋体" w:eastAsia="宋体" w:hint="default"/>
                <w:spacing w:val="3"/>
                <w:sz w:val="22"/>
                <w:szCs w:val="22"/>
              </w:rPr>
              <w:t>对存货的外观形态进行检视，以了解其物</w:t>
            </w:r>
            <w:r>
              <w:rPr>
                <w:rFonts w:ascii="宋体" w:hAnsi="宋体" w:cs="宋体" w:eastAsia="宋体" w:hint="default"/>
                <w:spacing w:val="-78"/>
                <w:sz w:val="22"/>
                <w:szCs w:val="22"/>
              </w:rPr>
              <w:t> </w:t>
            </w:r>
            <w:r>
              <w:rPr>
                <w:rFonts w:ascii="宋体" w:hAnsi="宋体" w:cs="宋体" w:eastAsia="宋体" w:hint="default"/>
                <w:spacing w:val="3"/>
                <w:sz w:val="22"/>
                <w:szCs w:val="22"/>
              </w:rPr>
              <w:t>理形态是否正常。检查期末结存库存商品</w:t>
            </w:r>
            <w:r>
              <w:rPr>
                <w:rFonts w:ascii="宋体" w:hAnsi="宋体" w:cs="宋体" w:eastAsia="宋体" w:hint="default"/>
                <w:spacing w:val="-78"/>
                <w:sz w:val="22"/>
                <w:szCs w:val="22"/>
              </w:rPr>
              <w:t> </w:t>
            </w:r>
            <w:r>
              <w:rPr>
                <w:rFonts w:ascii="宋体" w:hAnsi="宋体" w:cs="宋体" w:eastAsia="宋体" w:hint="default"/>
                <w:spacing w:val="3"/>
                <w:sz w:val="22"/>
                <w:szCs w:val="22"/>
              </w:rPr>
              <w:t>和在产品，针对型号陈旧、产量下降、生</w:t>
            </w:r>
            <w:r>
              <w:rPr>
                <w:rFonts w:ascii="宋体" w:hAnsi="宋体" w:cs="宋体" w:eastAsia="宋体" w:hint="default"/>
                <w:spacing w:val="-78"/>
                <w:sz w:val="22"/>
                <w:szCs w:val="22"/>
              </w:rPr>
              <w:t> </w:t>
            </w:r>
            <w:r>
              <w:rPr>
                <w:rFonts w:ascii="宋体" w:hAnsi="宋体" w:cs="宋体" w:eastAsia="宋体" w:hint="default"/>
                <w:spacing w:val="3"/>
                <w:sz w:val="22"/>
                <w:szCs w:val="22"/>
              </w:rPr>
              <w:t>产成本或售价波动、技术或市场需求的变</w:t>
            </w:r>
            <w:r>
              <w:rPr>
                <w:rFonts w:ascii="宋体" w:hAnsi="宋体" w:cs="宋体" w:eastAsia="宋体" w:hint="default"/>
                <w:spacing w:val="-78"/>
                <w:sz w:val="22"/>
                <w:szCs w:val="22"/>
              </w:rPr>
              <w:t> </w:t>
            </w:r>
            <w:r>
              <w:rPr>
                <w:rFonts w:ascii="宋体" w:hAnsi="宋体" w:cs="宋体" w:eastAsia="宋体" w:hint="default"/>
                <w:spacing w:val="3"/>
                <w:sz w:val="22"/>
                <w:szCs w:val="22"/>
              </w:rPr>
              <w:t>化情形，以及期后销售情况，考虑是否需</w:t>
            </w:r>
            <w:r>
              <w:rPr>
                <w:rFonts w:ascii="宋体" w:hAnsi="宋体" w:cs="宋体" w:eastAsia="宋体" w:hint="default"/>
                <w:spacing w:val="-78"/>
                <w:sz w:val="22"/>
                <w:szCs w:val="22"/>
              </w:rPr>
              <w:t> </w:t>
            </w:r>
            <w:r>
              <w:rPr>
                <w:rFonts w:ascii="宋体" w:hAnsi="宋体" w:cs="宋体" w:eastAsia="宋体" w:hint="default"/>
                <w:sz w:val="22"/>
                <w:szCs w:val="22"/>
              </w:rPr>
              <w:t>进一步计提减值准备；</w:t>
            </w:r>
          </w:p>
          <w:p>
            <w:pPr>
              <w:pStyle w:val="TableParagraph"/>
              <w:spacing w:line="300" w:lineRule="auto" w:before="17"/>
              <w:ind w:left="103" w:right="82" w:firstLine="439"/>
              <w:jc w:val="left"/>
              <w:rPr>
                <w:rFonts w:ascii="宋体" w:hAnsi="宋体" w:cs="宋体" w:eastAsia="宋体" w:hint="default"/>
                <w:sz w:val="22"/>
                <w:szCs w:val="22"/>
              </w:rPr>
            </w:pPr>
            <w:r>
              <w:rPr>
                <w:rFonts w:ascii="宋体" w:hAnsi="宋体" w:cs="宋体" w:eastAsia="宋体" w:hint="default"/>
                <w:spacing w:val="18"/>
                <w:sz w:val="22"/>
                <w:szCs w:val="22"/>
              </w:rPr>
              <w:t>复核管理层计提存货跌价准备的方</w:t>
            </w:r>
            <w:r>
              <w:rPr>
                <w:rFonts w:ascii="宋体" w:hAnsi="宋体" w:cs="宋体" w:eastAsia="宋体" w:hint="default"/>
                <w:spacing w:val="-89"/>
                <w:sz w:val="22"/>
                <w:szCs w:val="22"/>
              </w:rPr>
              <w:t> </w:t>
            </w:r>
            <w:r>
              <w:rPr>
                <w:rFonts w:ascii="宋体" w:hAnsi="宋体" w:cs="宋体" w:eastAsia="宋体" w:hint="default"/>
                <w:sz w:val="22"/>
                <w:szCs w:val="22"/>
              </w:rPr>
              <w:t>法；</w:t>
            </w:r>
          </w:p>
          <w:p>
            <w:pPr>
              <w:pStyle w:val="TableParagraph"/>
              <w:spacing w:line="300" w:lineRule="auto" w:before="17"/>
              <w:ind w:left="103" w:right="98" w:firstLine="549"/>
              <w:jc w:val="both"/>
              <w:rPr>
                <w:rFonts w:ascii="宋体" w:hAnsi="宋体" w:cs="宋体" w:eastAsia="宋体" w:hint="default"/>
                <w:sz w:val="22"/>
                <w:szCs w:val="22"/>
              </w:rPr>
            </w:pPr>
            <w:r>
              <w:rPr>
                <w:rFonts w:ascii="宋体" w:hAnsi="宋体" w:cs="宋体" w:eastAsia="宋体" w:hint="default"/>
                <w:spacing w:val="11"/>
                <w:sz w:val="22"/>
                <w:szCs w:val="22"/>
              </w:rPr>
              <w:t>我们比较了销售价格扣除至完工时</w:t>
            </w:r>
            <w:r>
              <w:rPr>
                <w:rFonts w:ascii="宋体" w:hAnsi="宋体" w:cs="宋体" w:eastAsia="宋体" w:hint="default"/>
                <w:w w:val="100"/>
                <w:sz w:val="22"/>
                <w:szCs w:val="22"/>
              </w:rPr>
              <w:t> </w:t>
            </w:r>
            <w:r>
              <w:rPr>
                <w:rFonts w:ascii="宋体" w:hAnsi="宋体" w:cs="宋体" w:eastAsia="宋体" w:hint="default"/>
                <w:spacing w:val="3"/>
                <w:sz w:val="22"/>
                <w:szCs w:val="22"/>
              </w:rPr>
              <w:t>估计将要发生的成本、估计的销售费用及</w:t>
            </w:r>
            <w:r>
              <w:rPr>
                <w:rFonts w:ascii="宋体" w:hAnsi="宋体" w:cs="宋体" w:eastAsia="宋体" w:hint="default"/>
                <w:spacing w:val="-78"/>
                <w:sz w:val="22"/>
                <w:szCs w:val="22"/>
              </w:rPr>
              <w:t> </w:t>
            </w:r>
            <w:r>
              <w:rPr>
                <w:rFonts w:ascii="宋体" w:hAnsi="宋体" w:cs="宋体" w:eastAsia="宋体" w:hint="default"/>
                <w:spacing w:val="-78"/>
                <w:sz w:val="22"/>
                <w:szCs w:val="22"/>
              </w:rPr>
            </w:r>
            <w:r>
              <w:rPr>
                <w:rFonts w:ascii="宋体" w:hAnsi="宋体" w:cs="宋体" w:eastAsia="宋体" w:hint="default"/>
                <w:sz w:val="22"/>
                <w:szCs w:val="22"/>
              </w:rPr>
              <w:t>税金等后的可变现净值与账面成本孰高；</w:t>
            </w:r>
          </w:p>
          <w:p>
            <w:pPr>
              <w:pStyle w:val="TableParagraph"/>
              <w:spacing w:line="300" w:lineRule="auto" w:before="17"/>
              <w:ind w:left="103" w:right="197" w:firstLine="439"/>
              <w:jc w:val="left"/>
              <w:rPr>
                <w:rFonts w:ascii="宋体" w:hAnsi="宋体" w:cs="宋体" w:eastAsia="宋体" w:hint="default"/>
                <w:sz w:val="22"/>
                <w:szCs w:val="22"/>
              </w:rPr>
            </w:pPr>
            <w:r>
              <w:rPr>
                <w:rFonts w:ascii="宋体" w:hAnsi="宋体" w:cs="宋体" w:eastAsia="宋体" w:hint="default"/>
                <w:spacing w:val="-1"/>
                <w:sz w:val="22"/>
                <w:szCs w:val="22"/>
              </w:rPr>
              <w:t>我们检查了管理层对于存货跌价准备</w:t>
            </w:r>
            <w:r>
              <w:rPr>
                <w:rFonts w:ascii="宋体" w:hAnsi="宋体" w:cs="宋体" w:eastAsia="宋体" w:hint="default"/>
                <w:w w:val="100"/>
                <w:sz w:val="22"/>
                <w:szCs w:val="22"/>
              </w:rPr>
              <w:t> </w:t>
            </w:r>
            <w:r>
              <w:rPr>
                <w:rFonts w:ascii="宋体" w:hAnsi="宋体" w:cs="宋体" w:eastAsia="宋体" w:hint="default"/>
                <w:sz w:val="22"/>
                <w:szCs w:val="22"/>
              </w:rPr>
              <w:t>的计算。</w:t>
            </w:r>
          </w:p>
        </w:tc>
      </w:tr>
      <w:tr>
        <w:trPr>
          <w:trHeight w:val="370" w:hRule="exact"/>
        </w:trPr>
        <w:tc>
          <w:tcPr>
            <w:tcW w:w="86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51"/>
                <w:sz w:val="22"/>
                <w:szCs w:val="22"/>
              </w:rPr>
              <w:t> </w:t>
            </w:r>
            <w:r>
              <w:rPr>
                <w:rFonts w:ascii="宋体" w:hAnsi="宋体" w:cs="宋体" w:eastAsia="宋体" w:hint="default"/>
                <w:b/>
                <w:bCs/>
                <w:sz w:val="22"/>
                <w:szCs w:val="22"/>
              </w:rPr>
              <w:t>对两项长期股权投资的减值评估</w:t>
            </w:r>
            <w:r>
              <w:rPr>
                <w:rFonts w:ascii="宋体" w:hAnsi="宋体" w:cs="宋体" w:eastAsia="宋体" w:hint="default"/>
                <w:sz w:val="22"/>
                <w:szCs w:val="22"/>
              </w:rPr>
            </w:r>
          </w:p>
        </w:tc>
      </w:tr>
      <w:tr>
        <w:trPr>
          <w:trHeight w:val="370"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bl>
    <w:p>
      <w:pPr>
        <w:spacing w:after="0" w:line="240" w:lineRule="auto"/>
        <w:jc w:val="center"/>
        <w:rPr>
          <w:rFonts w:ascii="宋体" w:hAnsi="宋体" w:cs="宋体" w:eastAsia="宋体" w:hint="default"/>
          <w:sz w:val="22"/>
          <w:szCs w:val="22"/>
        </w:rPr>
        <w:sectPr>
          <w:pgSz w:w="11910" w:h="16840"/>
          <w:pgMar w:header="0" w:footer="1034" w:top="1320" w:bottom="1220" w:left="1580" w:right="1460"/>
        </w:sectPr>
      </w:pPr>
    </w:p>
    <w:p>
      <w:pPr>
        <w:spacing w:line="240" w:lineRule="auto" w:before="4"/>
        <w:rPr>
          <w:rFonts w:ascii="Times New Roman" w:hAnsi="Times New Roman" w:cs="Times New Roman" w:eastAsia="Times New Roman"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4345"/>
        <w:gridCol w:w="4273"/>
      </w:tblGrid>
      <w:tr>
        <w:trPr>
          <w:trHeight w:val="6851"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103" w:right="-10" w:firstLine="439"/>
              <w:jc w:val="left"/>
              <w:rPr>
                <w:rFonts w:ascii="宋体" w:hAnsi="宋体" w:cs="宋体" w:eastAsia="宋体" w:hint="default"/>
                <w:sz w:val="22"/>
                <w:szCs w:val="22"/>
              </w:rPr>
            </w:pPr>
            <w:r>
              <w:rPr>
                <w:rFonts w:ascii="宋体" w:hAnsi="宋体" w:cs="宋体" w:eastAsia="宋体" w:hint="default"/>
                <w:spacing w:val="-9"/>
                <w:sz w:val="22"/>
                <w:szCs w:val="22"/>
              </w:rPr>
              <w:t>参见合并财务报表附注四、</w:t>
            </w:r>
            <w:r>
              <w:rPr>
                <w:rFonts w:ascii="宋体" w:hAnsi="宋体" w:cs="宋体" w:eastAsia="宋体" w:hint="default"/>
                <w:spacing w:val="-9"/>
                <w:sz w:val="22"/>
                <w:szCs w:val="22"/>
              </w:rPr>
              <w:t>13</w:t>
            </w:r>
            <w:r>
              <w:rPr>
                <w:rFonts w:ascii="宋体" w:hAnsi="宋体" w:cs="宋体" w:eastAsia="宋体" w:hint="default"/>
                <w:spacing w:val="-9"/>
                <w:sz w:val="22"/>
                <w:szCs w:val="22"/>
              </w:rPr>
              <w:t>；四、</w:t>
            </w:r>
            <w:r>
              <w:rPr>
                <w:rFonts w:ascii="宋体" w:hAnsi="宋体" w:cs="宋体" w:eastAsia="宋体" w:hint="default"/>
                <w:spacing w:val="-9"/>
                <w:sz w:val="22"/>
                <w:szCs w:val="22"/>
              </w:rPr>
              <w:t>20</w:t>
            </w:r>
            <w:r>
              <w:rPr>
                <w:rFonts w:ascii="宋体" w:hAnsi="宋体" w:cs="宋体" w:eastAsia="宋体" w:hint="default"/>
                <w:spacing w:val="-9"/>
                <w:sz w:val="22"/>
                <w:szCs w:val="22"/>
              </w:rPr>
              <w:t>；</w:t>
            </w:r>
            <w:r>
              <w:rPr>
                <w:rFonts w:ascii="宋体" w:hAnsi="宋体" w:cs="宋体" w:eastAsia="宋体" w:hint="default"/>
                <w:w w:val="100"/>
                <w:sz w:val="22"/>
                <w:szCs w:val="22"/>
              </w:rPr>
              <w:t> </w:t>
            </w:r>
            <w:r>
              <w:rPr>
                <w:rFonts w:ascii="宋体" w:hAnsi="宋体" w:cs="宋体" w:eastAsia="宋体" w:hint="default"/>
                <w:sz w:val="22"/>
                <w:szCs w:val="22"/>
              </w:rPr>
              <w:t>六、</w:t>
            </w:r>
            <w:r>
              <w:rPr>
                <w:rFonts w:ascii="宋体" w:hAnsi="宋体" w:cs="宋体" w:eastAsia="宋体" w:hint="default"/>
                <w:sz w:val="22"/>
                <w:szCs w:val="22"/>
              </w:rPr>
              <w:t>11</w:t>
            </w:r>
            <w:r>
              <w:rPr>
                <w:rFonts w:ascii="宋体" w:hAnsi="宋体" w:cs="宋体" w:eastAsia="宋体" w:hint="default"/>
                <w:spacing w:val="-55"/>
                <w:sz w:val="22"/>
                <w:szCs w:val="22"/>
              </w:rPr>
              <w:t> </w:t>
            </w:r>
            <w:r>
              <w:rPr>
                <w:rFonts w:ascii="宋体" w:hAnsi="宋体" w:cs="宋体" w:eastAsia="宋体" w:hint="default"/>
                <w:sz w:val="22"/>
                <w:szCs w:val="22"/>
              </w:rPr>
              <w:t>所述，同方股份于</w:t>
            </w:r>
            <w:r>
              <w:rPr>
                <w:rFonts w:ascii="宋体" w:hAnsi="宋体" w:cs="宋体" w:eastAsia="宋体" w:hint="default"/>
                <w:spacing w:val="-55"/>
                <w:sz w:val="22"/>
                <w:szCs w:val="22"/>
              </w:rPr>
              <w:t> </w:t>
            </w:r>
            <w:r>
              <w:rPr>
                <w:rFonts w:ascii="宋体" w:hAnsi="宋体" w:cs="宋体" w:eastAsia="宋体" w:hint="default"/>
                <w:sz w:val="22"/>
                <w:szCs w:val="22"/>
              </w:rPr>
              <w:t>2016</w:t>
            </w:r>
            <w:r>
              <w:rPr>
                <w:rFonts w:ascii="宋体" w:hAnsi="宋体" w:cs="宋体" w:eastAsia="宋体" w:hint="default"/>
                <w:spacing w:val="-55"/>
                <w:sz w:val="22"/>
                <w:szCs w:val="22"/>
              </w:rPr>
              <w:t> </w:t>
            </w:r>
            <w:r>
              <w:rPr>
                <w:rFonts w:ascii="宋体" w:hAnsi="宋体" w:cs="宋体" w:eastAsia="宋体" w:hint="default"/>
                <w:sz w:val="22"/>
                <w:szCs w:val="22"/>
              </w:rPr>
              <w:t>年投资联营</w:t>
            </w:r>
            <w:r>
              <w:rPr>
                <w:rFonts w:ascii="宋体" w:hAnsi="宋体" w:cs="宋体" w:eastAsia="宋体" w:hint="default"/>
                <w:w w:val="100"/>
                <w:sz w:val="22"/>
                <w:szCs w:val="22"/>
              </w:rPr>
              <w:t> </w:t>
            </w:r>
            <w:r>
              <w:rPr>
                <w:rFonts w:ascii="宋体" w:hAnsi="宋体" w:cs="宋体" w:eastAsia="宋体" w:hint="default"/>
                <w:spacing w:val="-4"/>
                <w:sz w:val="22"/>
                <w:szCs w:val="22"/>
              </w:rPr>
              <w:t>企业深圳市华融泰资产管理有限公司（以下</w:t>
            </w:r>
            <w:r>
              <w:rPr>
                <w:rFonts w:ascii="宋体" w:hAnsi="宋体" w:cs="宋体" w:eastAsia="宋体" w:hint="default"/>
                <w:spacing w:val="-88"/>
                <w:sz w:val="22"/>
                <w:szCs w:val="22"/>
              </w:rPr>
              <w:t> </w:t>
            </w:r>
            <w:r>
              <w:rPr>
                <w:rFonts w:ascii="宋体" w:hAnsi="宋体" w:cs="宋体" w:eastAsia="宋体" w:hint="default"/>
                <w:spacing w:val="-88"/>
                <w:sz w:val="22"/>
                <w:szCs w:val="22"/>
              </w:rPr>
            </w:r>
            <w:r>
              <w:rPr>
                <w:rFonts w:ascii="宋体" w:hAnsi="宋体" w:cs="宋体" w:eastAsia="宋体" w:hint="default"/>
                <w:sz w:val="22"/>
                <w:szCs w:val="22"/>
              </w:rPr>
              <w:t>简称“华融泰”）。截至</w:t>
            </w:r>
            <w:r>
              <w:rPr>
                <w:rFonts w:ascii="宋体" w:hAnsi="宋体" w:cs="宋体" w:eastAsia="宋体" w:hint="default"/>
                <w:spacing w:val="-34"/>
                <w:sz w:val="22"/>
                <w:szCs w:val="22"/>
              </w:rPr>
              <w:t> </w:t>
            </w:r>
            <w:r>
              <w:rPr>
                <w:rFonts w:ascii="宋体" w:hAnsi="宋体" w:cs="宋体" w:eastAsia="宋体" w:hint="default"/>
                <w:sz w:val="22"/>
                <w:szCs w:val="22"/>
              </w:rPr>
              <w:t>2018</w:t>
            </w:r>
            <w:r>
              <w:rPr>
                <w:rFonts w:ascii="宋体" w:hAnsi="宋体" w:cs="宋体" w:eastAsia="宋体" w:hint="default"/>
                <w:spacing w:val="-34"/>
                <w:sz w:val="22"/>
                <w:szCs w:val="22"/>
              </w:rPr>
              <w:t> </w:t>
            </w:r>
            <w:r>
              <w:rPr>
                <w:rFonts w:ascii="宋体" w:hAnsi="宋体" w:cs="宋体" w:eastAsia="宋体" w:hint="default"/>
                <w:sz w:val="22"/>
                <w:szCs w:val="22"/>
              </w:rPr>
              <w:t>年</w:t>
            </w:r>
            <w:r>
              <w:rPr>
                <w:rFonts w:ascii="宋体" w:hAnsi="宋体" w:cs="宋体" w:eastAsia="宋体" w:hint="default"/>
                <w:spacing w:val="-34"/>
                <w:sz w:val="22"/>
                <w:szCs w:val="22"/>
              </w:rPr>
              <w:t> </w:t>
            </w:r>
            <w:r>
              <w:rPr>
                <w:rFonts w:ascii="宋体" w:hAnsi="宋体" w:cs="宋体" w:eastAsia="宋体" w:hint="default"/>
                <w:sz w:val="22"/>
                <w:szCs w:val="22"/>
              </w:rPr>
              <w:t>12</w:t>
            </w:r>
            <w:r>
              <w:rPr>
                <w:rFonts w:ascii="宋体" w:hAnsi="宋体" w:cs="宋体" w:eastAsia="宋体" w:hint="default"/>
                <w:spacing w:val="-34"/>
                <w:sz w:val="22"/>
                <w:szCs w:val="22"/>
              </w:rPr>
              <w:t> </w:t>
            </w:r>
            <w:r>
              <w:rPr>
                <w:rFonts w:ascii="宋体" w:hAnsi="宋体" w:cs="宋体" w:eastAsia="宋体" w:hint="default"/>
                <w:sz w:val="22"/>
                <w:szCs w:val="22"/>
              </w:rPr>
              <w:t>月</w:t>
            </w:r>
            <w:r>
              <w:rPr>
                <w:rFonts w:ascii="宋体" w:hAnsi="宋体" w:cs="宋体" w:eastAsia="宋体" w:hint="default"/>
                <w:spacing w:val="-34"/>
                <w:sz w:val="22"/>
                <w:szCs w:val="22"/>
              </w:rPr>
              <w:t> </w:t>
            </w:r>
            <w:r>
              <w:rPr>
                <w:rFonts w:ascii="宋体" w:hAnsi="宋体" w:cs="宋体" w:eastAsia="宋体" w:hint="default"/>
                <w:sz w:val="22"/>
                <w:szCs w:val="22"/>
              </w:rPr>
              <w:t>31</w:t>
            </w:r>
          </w:p>
          <w:p>
            <w:pPr>
              <w:pStyle w:val="TableParagraph"/>
              <w:spacing w:line="240" w:lineRule="auto" w:before="17"/>
              <w:ind w:left="103" w:right="0"/>
              <w:jc w:val="left"/>
              <w:rPr>
                <w:rFonts w:ascii="宋体" w:hAnsi="宋体" w:cs="宋体" w:eastAsia="宋体" w:hint="default"/>
                <w:sz w:val="22"/>
                <w:szCs w:val="22"/>
              </w:rPr>
            </w:pPr>
            <w:r>
              <w:rPr>
                <w:rFonts w:ascii="宋体" w:hAnsi="宋体" w:cs="宋体" w:eastAsia="宋体" w:hint="default"/>
                <w:spacing w:val="-3"/>
                <w:sz w:val="22"/>
                <w:szCs w:val="22"/>
              </w:rPr>
              <w:t>日，投资余额为</w:t>
            </w:r>
            <w:r>
              <w:rPr>
                <w:rFonts w:ascii="宋体" w:hAnsi="宋体" w:cs="宋体" w:eastAsia="宋体" w:hint="default"/>
                <w:spacing w:val="-50"/>
                <w:sz w:val="22"/>
                <w:szCs w:val="22"/>
              </w:rPr>
              <w:t> </w:t>
            </w:r>
            <w:r>
              <w:rPr>
                <w:rFonts w:ascii="宋体" w:hAnsi="宋体" w:cs="宋体" w:eastAsia="宋体" w:hint="default"/>
                <w:sz w:val="22"/>
                <w:szCs w:val="22"/>
              </w:rPr>
              <w:t>10.17</w:t>
            </w:r>
            <w:r>
              <w:rPr>
                <w:rFonts w:ascii="宋体" w:hAnsi="宋体" w:cs="宋体" w:eastAsia="宋体" w:hint="default"/>
                <w:spacing w:val="-50"/>
                <w:sz w:val="22"/>
                <w:szCs w:val="22"/>
              </w:rPr>
              <w:t> </w:t>
            </w:r>
            <w:r>
              <w:rPr>
                <w:rFonts w:ascii="宋体" w:hAnsi="宋体" w:cs="宋体" w:eastAsia="宋体" w:hint="default"/>
                <w:spacing w:val="-5"/>
                <w:sz w:val="22"/>
                <w:szCs w:val="22"/>
              </w:rPr>
              <w:t>亿，管理层认为，对</w:t>
            </w:r>
          </w:p>
          <w:p>
            <w:pPr>
              <w:pStyle w:val="TableParagraph"/>
              <w:spacing w:line="300" w:lineRule="auto" w:before="72"/>
              <w:ind w:left="103" w:right="99"/>
              <w:jc w:val="both"/>
              <w:rPr>
                <w:rFonts w:ascii="宋体" w:hAnsi="宋体" w:cs="宋体" w:eastAsia="宋体" w:hint="default"/>
                <w:sz w:val="22"/>
                <w:szCs w:val="22"/>
              </w:rPr>
            </w:pPr>
            <w:r>
              <w:rPr>
                <w:rFonts w:ascii="宋体" w:hAnsi="宋体" w:cs="宋体" w:eastAsia="宋体" w:hint="default"/>
                <w:sz w:val="22"/>
                <w:szCs w:val="22"/>
              </w:rPr>
              <w:t>华融泰的长期股权投资减值 </w:t>
            </w:r>
            <w:r>
              <w:rPr>
                <w:rFonts w:ascii="宋体" w:hAnsi="宋体" w:cs="宋体" w:eastAsia="宋体" w:hint="default"/>
                <w:sz w:val="22"/>
                <w:szCs w:val="22"/>
              </w:rPr>
              <w:t>6.38</w:t>
            </w:r>
            <w:r>
              <w:rPr>
                <w:rFonts w:ascii="宋体" w:hAnsi="宋体" w:cs="宋体" w:eastAsia="宋体" w:hint="default"/>
                <w:spacing w:val="-53"/>
                <w:sz w:val="22"/>
                <w:szCs w:val="22"/>
              </w:rPr>
              <w:t> </w:t>
            </w:r>
            <w:r>
              <w:rPr>
                <w:rFonts w:ascii="宋体" w:hAnsi="宋体" w:cs="宋体" w:eastAsia="宋体" w:hint="default"/>
                <w:sz w:val="22"/>
                <w:szCs w:val="22"/>
              </w:rPr>
              <w:t>亿。该结</w:t>
            </w:r>
            <w:r>
              <w:rPr>
                <w:rFonts w:ascii="宋体" w:hAnsi="宋体" w:cs="宋体" w:eastAsia="宋体" w:hint="default"/>
                <w:w w:val="100"/>
                <w:sz w:val="22"/>
                <w:szCs w:val="22"/>
              </w:rPr>
              <w:t> </w:t>
            </w:r>
            <w:r>
              <w:rPr>
                <w:rFonts w:ascii="宋体" w:hAnsi="宋体" w:cs="宋体" w:eastAsia="宋体" w:hint="default"/>
                <w:spacing w:val="7"/>
                <w:sz w:val="22"/>
                <w:szCs w:val="22"/>
              </w:rPr>
              <w:t>论是基于应用市场法和收益现值法的公允</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价值减处置成本模型而得出的。</w:t>
            </w:r>
          </w:p>
          <w:p>
            <w:pPr>
              <w:pStyle w:val="TableParagraph"/>
              <w:spacing w:line="240" w:lineRule="auto" w:before="17"/>
              <w:ind w:left="542" w:right="0"/>
              <w:jc w:val="left"/>
              <w:rPr>
                <w:rFonts w:ascii="宋体" w:hAnsi="宋体" w:cs="宋体" w:eastAsia="宋体" w:hint="default"/>
                <w:sz w:val="22"/>
                <w:szCs w:val="22"/>
              </w:rPr>
            </w:pPr>
            <w:r>
              <w:rPr>
                <w:rFonts w:ascii="宋体" w:hAnsi="宋体" w:cs="宋体" w:eastAsia="宋体" w:hint="default"/>
                <w:sz w:val="22"/>
                <w:szCs w:val="22"/>
              </w:rPr>
              <w:t>同方股份于 </w:t>
            </w:r>
            <w:r>
              <w:rPr>
                <w:rFonts w:ascii="宋体" w:hAnsi="宋体" w:cs="宋体" w:eastAsia="宋体" w:hint="default"/>
                <w:sz w:val="22"/>
                <w:szCs w:val="22"/>
              </w:rPr>
              <w:t>2017</w:t>
            </w:r>
            <w:r>
              <w:rPr>
                <w:rFonts w:ascii="宋体" w:hAnsi="宋体" w:cs="宋体" w:eastAsia="宋体" w:hint="default"/>
                <w:spacing w:val="-52"/>
                <w:sz w:val="22"/>
                <w:szCs w:val="22"/>
              </w:rPr>
              <w:t> </w:t>
            </w:r>
            <w:r>
              <w:rPr>
                <w:rFonts w:ascii="宋体" w:hAnsi="宋体" w:cs="宋体" w:eastAsia="宋体" w:hint="default"/>
                <w:sz w:val="22"/>
                <w:szCs w:val="22"/>
              </w:rPr>
              <w:t>年投资联营企业中国</w:t>
            </w:r>
          </w:p>
          <w:p>
            <w:pPr>
              <w:pStyle w:val="TableParagraph"/>
              <w:spacing w:line="240" w:lineRule="auto" w:before="72"/>
              <w:ind w:left="103" w:right="0"/>
              <w:jc w:val="left"/>
              <w:rPr>
                <w:rFonts w:ascii="宋体" w:hAnsi="宋体" w:cs="宋体" w:eastAsia="宋体" w:hint="default"/>
                <w:sz w:val="22"/>
                <w:szCs w:val="22"/>
              </w:rPr>
            </w:pPr>
            <w:r>
              <w:rPr>
                <w:rFonts w:ascii="宋体" w:hAnsi="宋体" w:cs="宋体" w:eastAsia="宋体" w:hint="default"/>
                <w:sz w:val="22"/>
                <w:szCs w:val="22"/>
              </w:rPr>
              <w:t>医疗网络有限公司。截至</w:t>
            </w:r>
            <w:r>
              <w:rPr>
                <w:rFonts w:ascii="宋体" w:hAnsi="宋体" w:cs="宋体" w:eastAsia="宋体" w:hint="default"/>
                <w:spacing w:val="-34"/>
                <w:sz w:val="22"/>
                <w:szCs w:val="22"/>
              </w:rPr>
              <w:t> </w:t>
            </w:r>
            <w:r>
              <w:rPr>
                <w:rFonts w:ascii="宋体" w:hAnsi="宋体" w:cs="宋体" w:eastAsia="宋体" w:hint="default"/>
                <w:sz w:val="22"/>
                <w:szCs w:val="22"/>
              </w:rPr>
              <w:t>2018</w:t>
            </w:r>
            <w:r>
              <w:rPr>
                <w:rFonts w:ascii="宋体" w:hAnsi="宋体" w:cs="宋体" w:eastAsia="宋体" w:hint="default"/>
                <w:spacing w:val="-34"/>
                <w:sz w:val="22"/>
                <w:szCs w:val="22"/>
              </w:rPr>
              <w:t> </w:t>
            </w:r>
            <w:r>
              <w:rPr>
                <w:rFonts w:ascii="宋体" w:hAnsi="宋体" w:cs="宋体" w:eastAsia="宋体" w:hint="default"/>
                <w:sz w:val="22"/>
                <w:szCs w:val="22"/>
              </w:rPr>
              <w:t>年</w:t>
            </w:r>
            <w:r>
              <w:rPr>
                <w:rFonts w:ascii="宋体" w:hAnsi="宋体" w:cs="宋体" w:eastAsia="宋体" w:hint="default"/>
                <w:spacing w:val="-34"/>
                <w:sz w:val="22"/>
                <w:szCs w:val="22"/>
              </w:rPr>
              <w:t> </w:t>
            </w:r>
            <w:r>
              <w:rPr>
                <w:rFonts w:ascii="宋体" w:hAnsi="宋体" w:cs="宋体" w:eastAsia="宋体" w:hint="default"/>
                <w:sz w:val="22"/>
                <w:szCs w:val="22"/>
              </w:rPr>
              <w:t>12</w:t>
            </w:r>
            <w:r>
              <w:rPr>
                <w:rFonts w:ascii="宋体" w:hAnsi="宋体" w:cs="宋体" w:eastAsia="宋体" w:hint="default"/>
                <w:spacing w:val="-34"/>
                <w:sz w:val="22"/>
                <w:szCs w:val="22"/>
              </w:rPr>
              <w:t> </w:t>
            </w:r>
            <w:r>
              <w:rPr>
                <w:rFonts w:ascii="宋体" w:hAnsi="宋体" w:cs="宋体" w:eastAsia="宋体" w:hint="default"/>
                <w:sz w:val="22"/>
                <w:szCs w:val="22"/>
              </w:rPr>
              <w:t>月</w:t>
            </w:r>
            <w:r>
              <w:rPr>
                <w:rFonts w:ascii="宋体" w:hAnsi="宋体" w:cs="宋体" w:eastAsia="宋体" w:hint="default"/>
                <w:spacing w:val="-34"/>
                <w:sz w:val="22"/>
                <w:szCs w:val="22"/>
              </w:rPr>
              <w:t> </w:t>
            </w:r>
            <w:r>
              <w:rPr>
                <w:rFonts w:ascii="宋体" w:hAnsi="宋体" w:cs="宋体" w:eastAsia="宋体" w:hint="default"/>
                <w:sz w:val="22"/>
                <w:szCs w:val="22"/>
              </w:rPr>
              <w:t>31</w:t>
            </w:r>
          </w:p>
          <w:p>
            <w:pPr>
              <w:pStyle w:val="TableParagraph"/>
              <w:spacing w:line="240" w:lineRule="auto" w:before="72"/>
              <w:ind w:left="103" w:right="0"/>
              <w:jc w:val="left"/>
              <w:rPr>
                <w:rFonts w:ascii="宋体" w:hAnsi="宋体" w:cs="宋体" w:eastAsia="宋体" w:hint="default"/>
                <w:sz w:val="22"/>
                <w:szCs w:val="22"/>
              </w:rPr>
            </w:pPr>
            <w:r>
              <w:rPr>
                <w:rFonts w:ascii="宋体" w:hAnsi="宋体" w:cs="宋体" w:eastAsia="宋体" w:hint="default"/>
                <w:spacing w:val="-3"/>
                <w:sz w:val="22"/>
                <w:szCs w:val="22"/>
              </w:rPr>
              <w:t>日，投资余额为</w:t>
            </w:r>
            <w:r>
              <w:rPr>
                <w:rFonts w:ascii="宋体" w:hAnsi="宋体" w:cs="宋体" w:eastAsia="宋体" w:hint="default"/>
                <w:spacing w:val="-50"/>
                <w:sz w:val="22"/>
                <w:szCs w:val="22"/>
              </w:rPr>
              <w:t> </w:t>
            </w:r>
            <w:r>
              <w:rPr>
                <w:rFonts w:ascii="宋体" w:hAnsi="宋体" w:cs="宋体" w:eastAsia="宋体" w:hint="default"/>
                <w:sz w:val="22"/>
                <w:szCs w:val="22"/>
              </w:rPr>
              <w:t>14.83</w:t>
            </w:r>
            <w:r>
              <w:rPr>
                <w:rFonts w:ascii="宋体" w:hAnsi="宋体" w:cs="宋体" w:eastAsia="宋体" w:hint="default"/>
                <w:spacing w:val="-48"/>
                <w:sz w:val="22"/>
                <w:szCs w:val="22"/>
              </w:rPr>
              <w:t> </w:t>
            </w:r>
            <w:r>
              <w:rPr>
                <w:rFonts w:ascii="宋体" w:hAnsi="宋体" w:cs="宋体" w:eastAsia="宋体" w:hint="default"/>
                <w:spacing w:val="-5"/>
                <w:sz w:val="22"/>
                <w:szCs w:val="22"/>
              </w:rPr>
              <w:t>亿，管理层认为，对</w:t>
            </w:r>
          </w:p>
          <w:p>
            <w:pPr>
              <w:pStyle w:val="TableParagraph"/>
              <w:spacing w:line="300" w:lineRule="auto" w:before="72"/>
              <w:ind w:left="103" w:right="-10"/>
              <w:jc w:val="left"/>
              <w:rPr>
                <w:rFonts w:ascii="宋体" w:hAnsi="宋体" w:cs="宋体" w:eastAsia="宋体" w:hint="default"/>
                <w:sz w:val="22"/>
                <w:szCs w:val="22"/>
              </w:rPr>
            </w:pPr>
            <w:r>
              <w:rPr>
                <w:rFonts w:ascii="宋体" w:hAnsi="宋体" w:cs="宋体" w:eastAsia="宋体" w:hint="default"/>
                <w:sz w:val="22"/>
                <w:szCs w:val="22"/>
              </w:rPr>
              <w:t>中国医疗网络的长期股权投资减值</w:t>
            </w:r>
            <w:r>
              <w:rPr>
                <w:rFonts w:ascii="宋体" w:hAnsi="宋体" w:cs="宋体" w:eastAsia="宋体" w:hint="default"/>
                <w:spacing w:val="-82"/>
                <w:sz w:val="22"/>
                <w:szCs w:val="22"/>
              </w:rPr>
              <w:t> </w:t>
            </w:r>
            <w:r>
              <w:rPr>
                <w:rFonts w:ascii="宋体" w:hAnsi="宋体" w:cs="宋体" w:eastAsia="宋体" w:hint="default"/>
                <w:sz w:val="22"/>
                <w:szCs w:val="22"/>
              </w:rPr>
              <w:t>7.41</w:t>
            </w:r>
            <w:r>
              <w:rPr>
                <w:rFonts w:ascii="宋体" w:hAnsi="宋体" w:cs="宋体" w:eastAsia="宋体" w:hint="default"/>
                <w:spacing w:val="-82"/>
                <w:sz w:val="22"/>
                <w:szCs w:val="22"/>
              </w:rPr>
              <w:t> </w:t>
            </w:r>
            <w:r>
              <w:rPr>
                <w:rFonts w:ascii="宋体" w:hAnsi="宋体" w:cs="宋体" w:eastAsia="宋体" w:hint="default"/>
                <w:sz w:val="22"/>
                <w:szCs w:val="22"/>
              </w:rPr>
              <w:t>亿。</w:t>
            </w:r>
            <w:r>
              <w:rPr>
                <w:rFonts w:ascii="宋体" w:hAnsi="宋体" w:cs="宋体" w:eastAsia="宋体" w:hint="default"/>
                <w:w w:val="100"/>
                <w:sz w:val="22"/>
                <w:szCs w:val="22"/>
              </w:rPr>
              <w:t> </w:t>
            </w:r>
            <w:r>
              <w:rPr>
                <w:rFonts w:ascii="宋体" w:hAnsi="宋体" w:cs="宋体" w:eastAsia="宋体" w:hint="default"/>
                <w:spacing w:val="7"/>
                <w:sz w:val="22"/>
                <w:szCs w:val="22"/>
              </w:rPr>
              <w:t>该结论是基于应用了市场法的公允价值减</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处置成本而得出的。</w:t>
            </w:r>
          </w:p>
          <w:p>
            <w:pPr>
              <w:pStyle w:val="TableParagraph"/>
              <w:spacing w:line="300" w:lineRule="auto" w:before="17"/>
              <w:ind w:left="103" w:right="99" w:firstLine="439"/>
              <w:jc w:val="both"/>
              <w:rPr>
                <w:rFonts w:ascii="宋体" w:hAnsi="宋体" w:cs="宋体" w:eastAsia="宋体" w:hint="default"/>
                <w:sz w:val="22"/>
                <w:szCs w:val="22"/>
              </w:rPr>
            </w:pPr>
            <w:r>
              <w:rPr>
                <w:rFonts w:ascii="宋体" w:hAnsi="宋体" w:cs="宋体" w:eastAsia="宋体" w:hint="default"/>
                <w:spacing w:val="-4"/>
                <w:sz w:val="22"/>
                <w:szCs w:val="22"/>
              </w:rPr>
              <w:t>上述减值测试的判断过程中，对市场价</w:t>
            </w:r>
            <w:r>
              <w:rPr>
                <w:rFonts w:ascii="宋体" w:hAnsi="宋体" w:cs="宋体" w:eastAsia="宋体" w:hint="default"/>
                <w:w w:val="100"/>
                <w:sz w:val="22"/>
                <w:szCs w:val="22"/>
              </w:rPr>
              <w:t> </w:t>
            </w:r>
            <w:r>
              <w:rPr>
                <w:rFonts w:ascii="宋体" w:hAnsi="宋体" w:cs="宋体" w:eastAsia="宋体" w:hint="default"/>
                <w:spacing w:val="-4"/>
                <w:sz w:val="22"/>
                <w:szCs w:val="22"/>
              </w:rPr>
              <w:t>格的选取、对折现率及相关现金流等需要管</w:t>
            </w:r>
            <w:r>
              <w:rPr>
                <w:rFonts w:ascii="宋体" w:hAnsi="宋体" w:cs="宋体" w:eastAsia="宋体" w:hint="default"/>
                <w:spacing w:val="-89"/>
                <w:sz w:val="22"/>
                <w:szCs w:val="22"/>
              </w:rPr>
              <w:t> </w:t>
            </w:r>
            <w:r>
              <w:rPr>
                <w:rFonts w:ascii="宋体" w:hAnsi="宋体" w:cs="宋体" w:eastAsia="宋体" w:hint="default"/>
                <w:spacing w:val="-89"/>
                <w:sz w:val="22"/>
                <w:szCs w:val="22"/>
              </w:rPr>
            </w:r>
            <w:r>
              <w:rPr>
                <w:rFonts w:ascii="宋体" w:hAnsi="宋体" w:cs="宋体" w:eastAsia="宋体" w:hint="default"/>
                <w:sz w:val="22"/>
                <w:szCs w:val="22"/>
              </w:rPr>
              <w:t>理层运用重大判断和估计。</w:t>
            </w:r>
          </w:p>
          <w:p>
            <w:pPr>
              <w:pStyle w:val="TableParagraph"/>
              <w:spacing w:line="300" w:lineRule="auto" w:before="17"/>
              <w:ind w:left="103" w:right="99" w:firstLine="439"/>
              <w:jc w:val="left"/>
              <w:rPr>
                <w:rFonts w:ascii="宋体" w:hAnsi="宋体" w:cs="宋体" w:eastAsia="宋体" w:hint="default"/>
                <w:sz w:val="22"/>
                <w:szCs w:val="22"/>
              </w:rPr>
            </w:pPr>
            <w:r>
              <w:rPr>
                <w:rFonts w:ascii="宋体" w:hAnsi="宋体" w:cs="宋体" w:eastAsia="宋体" w:hint="default"/>
                <w:spacing w:val="-4"/>
                <w:sz w:val="22"/>
                <w:szCs w:val="22"/>
              </w:rPr>
              <w:t>因此，我们将上述长期股权投资减值的</w:t>
            </w:r>
            <w:r>
              <w:rPr>
                <w:rFonts w:ascii="宋体" w:hAnsi="宋体" w:cs="宋体" w:eastAsia="宋体" w:hint="default"/>
                <w:w w:val="100"/>
                <w:sz w:val="22"/>
                <w:szCs w:val="22"/>
              </w:rPr>
              <w:t> </w:t>
            </w:r>
            <w:r>
              <w:rPr>
                <w:rFonts w:ascii="宋体" w:hAnsi="宋体" w:cs="宋体" w:eastAsia="宋体" w:hint="default"/>
                <w:sz w:val="22"/>
                <w:szCs w:val="22"/>
              </w:rPr>
              <w:t>估计列为关键审计事项。</w:t>
            </w:r>
          </w:p>
        </w:tc>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542" w:right="101"/>
              <w:jc w:val="left"/>
              <w:rPr>
                <w:rFonts w:ascii="宋体" w:hAnsi="宋体" w:cs="宋体" w:eastAsia="宋体" w:hint="default"/>
                <w:sz w:val="22"/>
                <w:szCs w:val="22"/>
              </w:rPr>
            </w:pPr>
            <w:r>
              <w:rPr>
                <w:rFonts w:ascii="宋体" w:hAnsi="宋体" w:cs="宋体" w:eastAsia="宋体" w:hint="default"/>
                <w:sz w:val="22"/>
                <w:szCs w:val="22"/>
              </w:rPr>
              <w:t>在审计中，我们执行的主要程序：</w:t>
            </w:r>
            <w:r>
              <w:rPr>
                <w:rFonts w:ascii="宋体" w:hAnsi="宋体" w:cs="宋体" w:eastAsia="宋体" w:hint="default"/>
                <w:w w:val="100"/>
                <w:sz w:val="22"/>
                <w:szCs w:val="22"/>
              </w:rPr>
              <w:t> </w:t>
            </w:r>
            <w:r>
              <w:rPr>
                <w:rFonts w:ascii="宋体" w:hAnsi="宋体" w:cs="宋体" w:eastAsia="宋体" w:hint="default"/>
                <w:spacing w:val="3"/>
                <w:sz w:val="22"/>
                <w:szCs w:val="22"/>
              </w:rPr>
              <w:t>了解和评价管理层与长期股权投资减</w:t>
            </w:r>
          </w:p>
          <w:p>
            <w:pPr>
              <w:pStyle w:val="TableParagraph"/>
              <w:spacing w:line="300" w:lineRule="auto" w:before="17"/>
              <w:ind w:left="103" w:right="98"/>
              <w:jc w:val="left"/>
              <w:rPr>
                <w:rFonts w:ascii="宋体" w:hAnsi="宋体" w:cs="宋体" w:eastAsia="宋体" w:hint="default"/>
                <w:sz w:val="22"/>
                <w:szCs w:val="22"/>
              </w:rPr>
            </w:pPr>
            <w:r>
              <w:rPr>
                <w:rFonts w:ascii="宋体" w:hAnsi="宋体" w:cs="宋体" w:eastAsia="宋体" w:hint="default"/>
                <w:spacing w:val="3"/>
                <w:sz w:val="22"/>
                <w:szCs w:val="22"/>
              </w:rPr>
              <w:t>值相关的关键内部控制的设计和运行有效</w:t>
            </w:r>
            <w:r>
              <w:rPr>
                <w:rFonts w:ascii="宋体" w:hAnsi="宋体" w:cs="宋体" w:eastAsia="宋体" w:hint="default"/>
                <w:spacing w:val="-78"/>
                <w:sz w:val="22"/>
                <w:szCs w:val="22"/>
              </w:rPr>
              <w:t> </w:t>
            </w:r>
            <w:r>
              <w:rPr>
                <w:rFonts w:ascii="宋体" w:hAnsi="宋体" w:cs="宋体" w:eastAsia="宋体" w:hint="default"/>
                <w:sz w:val="22"/>
                <w:szCs w:val="22"/>
              </w:rPr>
              <w:t>性；</w:t>
            </w:r>
          </w:p>
          <w:p>
            <w:pPr>
              <w:pStyle w:val="TableParagraph"/>
              <w:spacing w:line="300" w:lineRule="auto" w:before="17"/>
              <w:ind w:left="103" w:right="98" w:firstLine="439"/>
              <w:jc w:val="both"/>
              <w:rPr>
                <w:rFonts w:ascii="宋体" w:hAnsi="宋体" w:cs="宋体" w:eastAsia="宋体" w:hint="default"/>
                <w:sz w:val="22"/>
                <w:szCs w:val="22"/>
              </w:rPr>
            </w:pPr>
            <w:r>
              <w:rPr>
                <w:rFonts w:ascii="宋体" w:hAnsi="宋体" w:cs="宋体" w:eastAsia="宋体" w:hint="default"/>
                <w:spacing w:val="3"/>
                <w:sz w:val="22"/>
                <w:szCs w:val="22"/>
              </w:rPr>
              <w:t>与管理层讨论，评估长期股权投资减</w:t>
            </w:r>
            <w:r>
              <w:rPr>
                <w:rFonts w:ascii="宋体" w:hAnsi="宋体" w:cs="宋体" w:eastAsia="宋体" w:hint="default"/>
                <w:w w:val="100"/>
                <w:sz w:val="22"/>
                <w:szCs w:val="22"/>
              </w:rPr>
              <w:t> </w:t>
            </w:r>
            <w:r>
              <w:rPr>
                <w:rFonts w:ascii="宋体" w:hAnsi="宋体" w:cs="宋体" w:eastAsia="宋体" w:hint="default"/>
                <w:spacing w:val="3"/>
                <w:sz w:val="22"/>
                <w:szCs w:val="22"/>
              </w:rPr>
              <w:t>值测试过程中采用的方法，包括组成部分</w:t>
            </w:r>
            <w:r>
              <w:rPr>
                <w:rFonts w:ascii="宋体" w:hAnsi="宋体" w:cs="宋体" w:eastAsia="宋体" w:hint="default"/>
                <w:spacing w:val="-78"/>
                <w:sz w:val="22"/>
                <w:szCs w:val="22"/>
              </w:rPr>
              <w:t> </w:t>
            </w:r>
            <w:r>
              <w:rPr>
                <w:rFonts w:ascii="宋体" w:hAnsi="宋体" w:cs="宋体" w:eastAsia="宋体" w:hint="default"/>
                <w:spacing w:val="-78"/>
                <w:sz w:val="22"/>
                <w:szCs w:val="22"/>
              </w:rPr>
            </w:r>
            <w:r>
              <w:rPr>
                <w:rFonts w:ascii="宋体" w:hAnsi="宋体" w:cs="宋体" w:eastAsia="宋体" w:hint="default"/>
                <w:spacing w:val="3"/>
                <w:sz w:val="22"/>
                <w:szCs w:val="22"/>
              </w:rPr>
              <w:t>的市场价格、预测未来收入、现金流折现</w:t>
            </w:r>
            <w:r>
              <w:rPr>
                <w:rFonts w:ascii="宋体" w:hAnsi="宋体" w:cs="宋体" w:eastAsia="宋体" w:hint="default"/>
                <w:spacing w:val="-78"/>
                <w:sz w:val="22"/>
                <w:szCs w:val="22"/>
              </w:rPr>
              <w:t> </w:t>
            </w:r>
            <w:r>
              <w:rPr>
                <w:rFonts w:ascii="宋体" w:hAnsi="宋体" w:cs="宋体" w:eastAsia="宋体" w:hint="default"/>
                <w:spacing w:val="3"/>
                <w:sz w:val="22"/>
                <w:szCs w:val="22"/>
              </w:rPr>
              <w:t>率等假设的合理性及组成部分盈利状况的</w:t>
            </w:r>
            <w:r>
              <w:rPr>
                <w:rFonts w:ascii="宋体" w:hAnsi="宋体" w:cs="宋体" w:eastAsia="宋体" w:hint="default"/>
                <w:spacing w:val="-78"/>
                <w:sz w:val="22"/>
                <w:szCs w:val="22"/>
              </w:rPr>
              <w:t> </w:t>
            </w:r>
            <w:r>
              <w:rPr>
                <w:rFonts w:ascii="宋体" w:hAnsi="宋体" w:cs="宋体" w:eastAsia="宋体" w:hint="default"/>
                <w:sz w:val="22"/>
                <w:szCs w:val="22"/>
              </w:rPr>
              <w:t>判断和评估；</w:t>
            </w:r>
          </w:p>
          <w:p>
            <w:pPr>
              <w:pStyle w:val="TableParagraph"/>
              <w:spacing w:line="300" w:lineRule="auto" w:before="17"/>
              <w:ind w:left="103" w:right="95" w:firstLine="439"/>
              <w:jc w:val="both"/>
              <w:rPr>
                <w:rFonts w:ascii="宋体" w:hAnsi="宋体" w:cs="宋体" w:eastAsia="宋体" w:hint="default"/>
                <w:sz w:val="22"/>
                <w:szCs w:val="22"/>
              </w:rPr>
            </w:pPr>
            <w:r>
              <w:rPr>
                <w:rFonts w:ascii="宋体" w:hAnsi="宋体" w:cs="宋体" w:eastAsia="宋体" w:hint="default"/>
                <w:spacing w:val="4"/>
                <w:sz w:val="22"/>
                <w:szCs w:val="22"/>
              </w:rPr>
              <w:t>检查同方股份是否在期末结合与长期</w:t>
            </w:r>
            <w:r>
              <w:rPr>
                <w:rFonts w:ascii="宋体" w:hAnsi="宋体" w:cs="宋体" w:eastAsia="宋体" w:hint="default"/>
                <w:spacing w:val="7"/>
                <w:w w:val="100"/>
                <w:sz w:val="22"/>
                <w:szCs w:val="22"/>
              </w:rPr>
              <w:t> </w:t>
            </w:r>
            <w:r>
              <w:rPr>
                <w:rFonts w:ascii="宋体" w:hAnsi="宋体" w:cs="宋体" w:eastAsia="宋体" w:hint="default"/>
                <w:spacing w:val="2"/>
                <w:sz w:val="22"/>
                <w:szCs w:val="22"/>
              </w:rPr>
              <w:t>股权投资相关的资产组或资产组组合对长</w:t>
            </w:r>
            <w:r>
              <w:rPr>
                <w:rFonts w:ascii="宋体" w:hAnsi="宋体" w:cs="宋体" w:eastAsia="宋体" w:hint="default"/>
                <w:spacing w:val="-63"/>
                <w:sz w:val="22"/>
                <w:szCs w:val="22"/>
              </w:rPr>
              <w:t> </w:t>
            </w:r>
            <w:r>
              <w:rPr>
                <w:rFonts w:ascii="宋体" w:hAnsi="宋体" w:cs="宋体" w:eastAsia="宋体" w:hint="default"/>
                <w:spacing w:val="-63"/>
                <w:sz w:val="22"/>
                <w:szCs w:val="22"/>
              </w:rPr>
            </w:r>
            <w:r>
              <w:rPr>
                <w:rFonts w:ascii="宋体" w:hAnsi="宋体" w:cs="宋体" w:eastAsia="宋体" w:hint="default"/>
                <w:sz w:val="22"/>
                <w:szCs w:val="22"/>
              </w:rPr>
              <w:t>期股权投资进行了减值测试；</w:t>
            </w:r>
          </w:p>
          <w:p>
            <w:pPr>
              <w:pStyle w:val="TableParagraph"/>
              <w:spacing w:line="300" w:lineRule="auto" w:before="17"/>
              <w:ind w:left="103" w:right="101" w:firstLine="439"/>
              <w:jc w:val="both"/>
              <w:rPr>
                <w:rFonts w:ascii="宋体" w:hAnsi="宋体" w:cs="宋体" w:eastAsia="宋体" w:hint="default"/>
                <w:sz w:val="22"/>
                <w:szCs w:val="22"/>
              </w:rPr>
            </w:pPr>
            <w:r>
              <w:rPr>
                <w:rFonts w:ascii="宋体" w:hAnsi="宋体" w:cs="宋体" w:eastAsia="宋体" w:hint="default"/>
                <w:spacing w:val="3"/>
                <w:sz w:val="22"/>
                <w:szCs w:val="22"/>
              </w:rPr>
              <w:t>利用第三方专家对减值测试所采用的</w:t>
            </w:r>
            <w:r>
              <w:rPr>
                <w:rFonts w:ascii="宋体" w:hAnsi="宋体" w:cs="宋体" w:eastAsia="宋体" w:hint="default"/>
                <w:w w:val="100"/>
                <w:sz w:val="22"/>
                <w:szCs w:val="22"/>
              </w:rPr>
              <w:t> </w:t>
            </w:r>
            <w:r>
              <w:rPr>
                <w:rFonts w:ascii="宋体" w:hAnsi="宋体" w:cs="宋体" w:eastAsia="宋体" w:hint="default"/>
                <w:sz w:val="22"/>
                <w:szCs w:val="22"/>
              </w:rPr>
              <w:t>估值模型、折现率等进行复核；</w:t>
            </w:r>
          </w:p>
          <w:p>
            <w:pPr>
              <w:pStyle w:val="TableParagraph"/>
              <w:spacing w:line="300" w:lineRule="auto" w:before="17"/>
              <w:ind w:left="103" w:right="101" w:firstLine="439"/>
              <w:jc w:val="both"/>
              <w:rPr>
                <w:rFonts w:ascii="宋体" w:hAnsi="宋体" w:cs="宋体" w:eastAsia="宋体" w:hint="default"/>
                <w:sz w:val="22"/>
                <w:szCs w:val="22"/>
              </w:rPr>
            </w:pPr>
            <w:r>
              <w:rPr>
                <w:rFonts w:ascii="宋体" w:hAnsi="宋体" w:cs="宋体" w:eastAsia="宋体" w:hint="default"/>
                <w:spacing w:val="4"/>
                <w:sz w:val="22"/>
                <w:szCs w:val="22"/>
              </w:rPr>
              <w:t>评估管理层对长期股权投资及其减值</w:t>
            </w:r>
            <w:r>
              <w:rPr>
                <w:rFonts w:ascii="宋体" w:hAnsi="宋体" w:cs="宋体" w:eastAsia="宋体" w:hint="default"/>
                <w:w w:val="100"/>
                <w:sz w:val="22"/>
                <w:szCs w:val="22"/>
              </w:rPr>
              <w:t> </w:t>
            </w:r>
            <w:r>
              <w:rPr>
                <w:rFonts w:ascii="宋体" w:hAnsi="宋体" w:cs="宋体" w:eastAsia="宋体" w:hint="default"/>
                <w:sz w:val="22"/>
                <w:szCs w:val="22"/>
              </w:rPr>
              <w:t>估计结果、财务报表的披露是否恰当。</w:t>
            </w:r>
          </w:p>
        </w:tc>
      </w:tr>
      <w:tr>
        <w:trPr>
          <w:trHeight w:val="370" w:hRule="exact"/>
        </w:trPr>
        <w:tc>
          <w:tcPr>
            <w:tcW w:w="86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51"/>
                <w:sz w:val="22"/>
                <w:szCs w:val="22"/>
              </w:rPr>
              <w:t> </w:t>
            </w:r>
            <w:r>
              <w:rPr>
                <w:rFonts w:ascii="宋体" w:hAnsi="宋体" w:cs="宋体" w:eastAsia="宋体" w:hint="default"/>
                <w:b/>
                <w:bCs/>
                <w:sz w:val="22"/>
                <w:szCs w:val="22"/>
              </w:rPr>
              <w:t>商誉减值</w:t>
            </w:r>
            <w:r>
              <w:rPr>
                <w:rFonts w:ascii="宋体" w:hAnsi="宋体" w:cs="宋体" w:eastAsia="宋体" w:hint="default"/>
                <w:sz w:val="22"/>
                <w:szCs w:val="22"/>
              </w:rPr>
            </w:r>
          </w:p>
        </w:tc>
      </w:tr>
      <w:tr>
        <w:trPr>
          <w:trHeight w:val="370"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r>
        <w:trPr>
          <w:trHeight w:val="4535" w:hRule="exact"/>
        </w:trPr>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2"/>
              <w:ind w:left="103" w:right="48" w:firstLine="439"/>
              <w:jc w:val="both"/>
              <w:rPr>
                <w:rFonts w:ascii="宋体" w:hAnsi="宋体" w:cs="宋体" w:eastAsia="宋体" w:hint="default"/>
                <w:sz w:val="22"/>
                <w:szCs w:val="22"/>
              </w:rPr>
            </w:pPr>
            <w:r>
              <w:rPr>
                <w:rFonts w:ascii="宋体" w:hAnsi="宋体" w:cs="宋体" w:eastAsia="宋体" w:hint="default"/>
                <w:spacing w:val="-1"/>
                <w:sz w:val="22"/>
                <w:szCs w:val="22"/>
              </w:rPr>
              <w:t>如同方股份合并财务报表附注四、</w:t>
            </w:r>
            <w:r>
              <w:rPr>
                <w:rFonts w:ascii="宋体" w:hAnsi="宋体" w:cs="宋体" w:eastAsia="宋体" w:hint="default"/>
                <w:spacing w:val="-1"/>
                <w:sz w:val="22"/>
                <w:szCs w:val="22"/>
              </w:rPr>
              <w:t>19</w:t>
            </w:r>
            <w:r>
              <w:rPr>
                <w:rFonts w:ascii="宋体" w:hAnsi="宋体" w:cs="宋体" w:eastAsia="宋体" w:hint="default"/>
                <w:spacing w:val="-1"/>
                <w:sz w:val="22"/>
                <w:szCs w:val="22"/>
              </w:rPr>
              <w:t>；</w:t>
            </w:r>
            <w:r>
              <w:rPr>
                <w:rFonts w:ascii="宋体" w:hAnsi="宋体" w:cs="宋体" w:eastAsia="宋体" w:hint="default"/>
                <w:w w:val="100"/>
                <w:sz w:val="22"/>
                <w:szCs w:val="22"/>
              </w:rPr>
              <w:t> </w:t>
            </w:r>
            <w:r>
              <w:rPr>
                <w:rFonts w:ascii="宋体" w:hAnsi="宋体" w:cs="宋体" w:eastAsia="宋体" w:hint="default"/>
                <w:sz w:val="22"/>
                <w:szCs w:val="22"/>
              </w:rPr>
              <w:t>四、</w:t>
            </w:r>
            <w:r>
              <w:rPr>
                <w:rFonts w:ascii="宋体" w:hAnsi="宋体" w:cs="宋体" w:eastAsia="宋体" w:hint="default"/>
                <w:sz w:val="22"/>
                <w:szCs w:val="22"/>
              </w:rPr>
              <w:t>20</w:t>
            </w:r>
            <w:r>
              <w:rPr>
                <w:rFonts w:ascii="宋体" w:hAnsi="宋体" w:cs="宋体" w:eastAsia="宋体" w:hint="default"/>
                <w:sz w:val="22"/>
                <w:szCs w:val="22"/>
              </w:rPr>
              <w:t>；六、</w:t>
            </w:r>
            <w:r>
              <w:rPr>
                <w:rFonts w:ascii="宋体" w:hAnsi="宋体" w:cs="宋体" w:eastAsia="宋体" w:hint="default"/>
                <w:sz w:val="22"/>
                <w:szCs w:val="22"/>
              </w:rPr>
              <w:t>17</w:t>
            </w:r>
            <w:r>
              <w:rPr>
                <w:rFonts w:ascii="宋体" w:hAnsi="宋体" w:cs="宋体" w:eastAsia="宋体" w:hint="default"/>
                <w:spacing w:val="-34"/>
                <w:sz w:val="22"/>
                <w:szCs w:val="22"/>
              </w:rPr>
              <w:t> </w:t>
            </w:r>
            <w:r>
              <w:rPr>
                <w:rFonts w:ascii="宋体" w:hAnsi="宋体" w:cs="宋体" w:eastAsia="宋体" w:hint="default"/>
                <w:sz w:val="22"/>
                <w:szCs w:val="22"/>
              </w:rPr>
              <w:t>所述，截至</w:t>
            </w:r>
            <w:r>
              <w:rPr>
                <w:rFonts w:ascii="宋体" w:hAnsi="宋体" w:cs="宋体" w:eastAsia="宋体" w:hint="default"/>
                <w:spacing w:val="-34"/>
                <w:sz w:val="22"/>
                <w:szCs w:val="22"/>
              </w:rPr>
              <w:t> </w:t>
            </w:r>
            <w:r>
              <w:rPr>
                <w:rFonts w:ascii="宋体" w:hAnsi="宋体" w:cs="宋体" w:eastAsia="宋体" w:hint="default"/>
                <w:sz w:val="22"/>
                <w:szCs w:val="22"/>
              </w:rPr>
              <w:t>2018</w:t>
            </w:r>
            <w:r>
              <w:rPr>
                <w:rFonts w:ascii="宋体" w:hAnsi="宋体" w:cs="宋体" w:eastAsia="宋体" w:hint="default"/>
                <w:spacing w:val="-34"/>
                <w:sz w:val="22"/>
                <w:szCs w:val="22"/>
              </w:rPr>
              <w:t> </w:t>
            </w:r>
            <w:r>
              <w:rPr>
                <w:rFonts w:ascii="宋体" w:hAnsi="宋体" w:cs="宋体" w:eastAsia="宋体" w:hint="default"/>
                <w:sz w:val="22"/>
                <w:szCs w:val="22"/>
              </w:rPr>
              <w:t>年</w:t>
            </w:r>
            <w:r>
              <w:rPr>
                <w:rFonts w:ascii="宋体" w:hAnsi="宋体" w:cs="宋体" w:eastAsia="宋体" w:hint="default"/>
                <w:spacing w:val="-34"/>
                <w:sz w:val="22"/>
                <w:szCs w:val="22"/>
              </w:rPr>
              <w:t> </w:t>
            </w:r>
            <w:r>
              <w:rPr>
                <w:rFonts w:ascii="宋体" w:hAnsi="宋体" w:cs="宋体" w:eastAsia="宋体" w:hint="default"/>
                <w:sz w:val="22"/>
                <w:szCs w:val="22"/>
              </w:rPr>
              <w:t>12</w:t>
            </w:r>
            <w:r>
              <w:rPr>
                <w:rFonts w:ascii="宋体" w:hAnsi="宋体" w:cs="宋体" w:eastAsia="宋体" w:hint="default"/>
                <w:spacing w:val="-34"/>
                <w:sz w:val="22"/>
                <w:szCs w:val="22"/>
              </w:rPr>
              <w:t> </w:t>
            </w:r>
            <w:r>
              <w:rPr>
                <w:rFonts w:ascii="宋体" w:hAnsi="宋体" w:cs="宋体" w:eastAsia="宋体" w:hint="default"/>
                <w:sz w:val="22"/>
                <w:szCs w:val="22"/>
              </w:rPr>
              <w:t>月</w:t>
            </w:r>
          </w:p>
          <w:p>
            <w:pPr>
              <w:pStyle w:val="TableParagraph"/>
              <w:spacing w:line="297" w:lineRule="auto" w:before="17"/>
              <w:ind w:left="103" w:right="-7"/>
              <w:jc w:val="left"/>
              <w:rPr>
                <w:rFonts w:ascii="宋体" w:hAnsi="宋体" w:cs="宋体" w:eastAsia="宋体" w:hint="default"/>
                <w:sz w:val="22"/>
                <w:szCs w:val="22"/>
              </w:rPr>
            </w:pP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日，同方股份商誉账面原值</w:t>
            </w:r>
            <w:r>
              <w:rPr>
                <w:rFonts w:ascii="宋体" w:hAnsi="宋体" w:cs="宋体" w:eastAsia="宋体" w:hint="default"/>
                <w:spacing w:val="-56"/>
                <w:sz w:val="22"/>
                <w:szCs w:val="22"/>
              </w:rPr>
              <w:t> </w:t>
            </w:r>
            <w:r>
              <w:rPr>
                <w:rFonts w:ascii="宋体" w:hAnsi="宋体" w:cs="宋体" w:eastAsia="宋体" w:hint="default"/>
                <w:sz w:val="22"/>
                <w:szCs w:val="22"/>
              </w:rPr>
              <w:t>12.31</w:t>
            </w:r>
            <w:r>
              <w:rPr>
                <w:rFonts w:ascii="宋体" w:hAnsi="宋体" w:cs="宋体" w:eastAsia="宋体" w:hint="default"/>
                <w:spacing w:val="-56"/>
                <w:sz w:val="22"/>
                <w:szCs w:val="22"/>
              </w:rPr>
              <w:t> </w:t>
            </w:r>
            <w:r>
              <w:rPr>
                <w:rFonts w:ascii="宋体" w:hAnsi="宋体" w:cs="宋体" w:eastAsia="宋体" w:hint="default"/>
                <w:sz w:val="22"/>
                <w:szCs w:val="22"/>
              </w:rPr>
              <w:t>亿元，</w:t>
            </w:r>
            <w:r>
              <w:rPr>
                <w:rFonts w:ascii="宋体" w:hAnsi="宋体" w:cs="宋体" w:eastAsia="宋体" w:hint="default"/>
                <w:w w:val="100"/>
                <w:sz w:val="22"/>
                <w:szCs w:val="22"/>
              </w:rPr>
              <w:t> </w:t>
            </w:r>
            <w:r>
              <w:rPr>
                <w:rFonts w:ascii="宋体" w:hAnsi="宋体" w:cs="宋体" w:eastAsia="宋体" w:hint="default"/>
                <w:spacing w:val="-4"/>
                <w:sz w:val="22"/>
                <w:szCs w:val="22"/>
              </w:rPr>
              <w:t>为同方股份非同一控制下企业合并形成。截</w:t>
            </w:r>
            <w:r>
              <w:rPr>
                <w:rFonts w:ascii="宋体" w:hAnsi="宋体" w:cs="宋体" w:eastAsia="宋体" w:hint="default"/>
                <w:spacing w:val="-88"/>
                <w:sz w:val="22"/>
                <w:szCs w:val="22"/>
              </w:rPr>
              <w:t> </w:t>
            </w:r>
            <w:r>
              <w:rPr>
                <w:rFonts w:ascii="宋体" w:hAnsi="宋体" w:cs="宋体" w:eastAsia="宋体" w:hint="default"/>
                <w:spacing w:val="-88"/>
                <w:sz w:val="22"/>
                <w:szCs w:val="22"/>
              </w:rPr>
            </w:r>
            <w:r>
              <w:rPr>
                <w:rFonts w:ascii="宋体" w:hAnsi="宋体" w:cs="宋体" w:eastAsia="宋体" w:hint="default"/>
                <w:sz w:val="22"/>
                <w:szCs w:val="22"/>
              </w:rPr>
              <w:t>至</w:t>
            </w:r>
            <w:r>
              <w:rPr>
                <w:rFonts w:ascii="宋体" w:hAnsi="宋体" w:cs="宋体" w:eastAsia="宋体" w:hint="default"/>
                <w:spacing w:val="-46"/>
                <w:sz w:val="22"/>
                <w:szCs w:val="22"/>
              </w:rPr>
              <w:t> </w:t>
            </w:r>
            <w:r>
              <w:rPr>
                <w:rFonts w:ascii="宋体" w:hAnsi="宋体" w:cs="宋体" w:eastAsia="宋体" w:hint="default"/>
                <w:sz w:val="22"/>
                <w:szCs w:val="22"/>
              </w:rPr>
              <w:t>2018</w:t>
            </w:r>
            <w:r>
              <w:rPr>
                <w:rFonts w:ascii="宋体" w:hAnsi="宋体" w:cs="宋体" w:eastAsia="宋体" w:hint="default"/>
                <w:spacing w:val="-46"/>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宋体" w:hAnsi="宋体" w:cs="宋体" w:eastAsia="宋体" w:hint="default"/>
                <w:sz w:val="22"/>
                <w:szCs w:val="22"/>
              </w:rPr>
              <w:t>12</w:t>
            </w:r>
            <w:r>
              <w:rPr>
                <w:rFonts w:ascii="宋体" w:hAnsi="宋体" w:cs="宋体" w:eastAsia="宋体" w:hint="default"/>
                <w:spacing w:val="-46"/>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宋体" w:hAnsi="宋体" w:cs="宋体" w:eastAsia="宋体" w:hint="default"/>
                <w:sz w:val="22"/>
                <w:szCs w:val="22"/>
              </w:rPr>
              <w:t>31</w:t>
            </w:r>
            <w:r>
              <w:rPr>
                <w:rFonts w:ascii="宋体" w:hAnsi="宋体" w:cs="宋体" w:eastAsia="宋体" w:hint="default"/>
                <w:spacing w:val="-47"/>
                <w:sz w:val="22"/>
                <w:szCs w:val="22"/>
              </w:rPr>
              <w:t> </w:t>
            </w:r>
            <w:r>
              <w:rPr>
                <w:rFonts w:ascii="宋体" w:hAnsi="宋体" w:cs="宋体" w:eastAsia="宋体" w:hint="default"/>
                <w:sz w:val="22"/>
                <w:szCs w:val="22"/>
              </w:rPr>
              <w:t>日，同方股份商誉减值</w:t>
            </w:r>
          </w:p>
          <w:p>
            <w:pPr>
              <w:pStyle w:val="TableParagraph"/>
              <w:spacing w:line="240" w:lineRule="auto" w:before="17"/>
              <w:ind w:left="103" w:right="0"/>
              <w:jc w:val="left"/>
              <w:rPr>
                <w:rFonts w:ascii="宋体" w:hAnsi="宋体" w:cs="宋体" w:eastAsia="宋体" w:hint="default"/>
                <w:sz w:val="22"/>
                <w:szCs w:val="22"/>
              </w:rPr>
            </w:pPr>
            <w:r>
              <w:rPr>
                <w:rFonts w:ascii="宋体" w:hAnsi="宋体" w:cs="宋体" w:eastAsia="宋体" w:hint="default"/>
                <w:sz w:val="22"/>
                <w:szCs w:val="22"/>
              </w:rPr>
              <w:t>准备累计余额为</w:t>
            </w:r>
            <w:r>
              <w:rPr>
                <w:rFonts w:ascii="宋体" w:hAnsi="宋体" w:cs="宋体" w:eastAsia="宋体" w:hint="default"/>
                <w:spacing w:val="-55"/>
                <w:sz w:val="22"/>
                <w:szCs w:val="22"/>
              </w:rPr>
              <w:t> </w:t>
            </w:r>
            <w:r>
              <w:rPr>
                <w:rFonts w:ascii="宋体" w:hAnsi="宋体" w:cs="宋体" w:eastAsia="宋体" w:hint="default"/>
                <w:sz w:val="22"/>
                <w:szCs w:val="22"/>
              </w:rPr>
              <w:t>10.79</w:t>
            </w:r>
            <w:r>
              <w:rPr>
                <w:rFonts w:ascii="宋体" w:hAnsi="宋体" w:cs="宋体" w:eastAsia="宋体" w:hint="default"/>
                <w:spacing w:val="-54"/>
                <w:sz w:val="22"/>
                <w:szCs w:val="22"/>
              </w:rPr>
              <w:t> </w:t>
            </w:r>
            <w:r>
              <w:rPr>
                <w:rFonts w:ascii="宋体" w:hAnsi="宋体" w:cs="宋体" w:eastAsia="宋体" w:hint="default"/>
                <w:spacing w:val="-3"/>
                <w:sz w:val="22"/>
                <w:szCs w:val="22"/>
              </w:rPr>
              <w:t>亿。</w:t>
            </w:r>
            <w:r>
              <w:rPr>
                <w:rFonts w:ascii="宋体" w:hAnsi="宋体" w:cs="宋体" w:eastAsia="宋体" w:hint="default"/>
                <w:sz w:val="22"/>
                <w:szCs w:val="22"/>
              </w:rPr>
            </w:r>
          </w:p>
          <w:p>
            <w:pPr>
              <w:pStyle w:val="TableParagraph"/>
              <w:spacing w:line="297" w:lineRule="auto" w:before="187"/>
              <w:ind w:left="103" w:right="99" w:firstLine="439"/>
              <w:jc w:val="both"/>
              <w:rPr>
                <w:rFonts w:ascii="宋体" w:hAnsi="宋体" w:cs="宋体" w:eastAsia="宋体" w:hint="default"/>
                <w:sz w:val="22"/>
                <w:szCs w:val="22"/>
              </w:rPr>
            </w:pPr>
            <w:r>
              <w:rPr>
                <w:rFonts w:ascii="宋体" w:hAnsi="宋体" w:cs="宋体" w:eastAsia="宋体" w:hint="default"/>
                <w:spacing w:val="-4"/>
                <w:sz w:val="22"/>
                <w:szCs w:val="22"/>
              </w:rPr>
              <w:t>对商誉进行减值测试的过程复杂，需要</w:t>
            </w:r>
            <w:r>
              <w:rPr>
                <w:rFonts w:ascii="宋体" w:hAnsi="宋体" w:cs="宋体" w:eastAsia="宋体" w:hint="default"/>
                <w:w w:val="100"/>
                <w:sz w:val="22"/>
                <w:szCs w:val="22"/>
              </w:rPr>
              <w:t> </w:t>
            </w:r>
            <w:r>
              <w:rPr>
                <w:rFonts w:ascii="宋体" w:hAnsi="宋体" w:cs="宋体" w:eastAsia="宋体" w:hint="default"/>
                <w:spacing w:val="7"/>
                <w:sz w:val="22"/>
                <w:szCs w:val="22"/>
              </w:rPr>
              <w:t>依赖管理层对商誉相关的资产组或资产组</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7"/>
                <w:sz w:val="22"/>
                <w:szCs w:val="22"/>
              </w:rPr>
              <w:t>组合的公允价值依据市场价格或未来收入</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7"/>
                <w:sz w:val="22"/>
                <w:szCs w:val="22"/>
              </w:rPr>
              <w:t>及现金流折现率等假设做出预计和选取，该</w:t>
            </w:r>
            <w:r>
              <w:rPr>
                <w:rFonts w:ascii="宋体" w:hAnsi="宋体" w:cs="宋体" w:eastAsia="宋体" w:hint="default"/>
                <w:spacing w:val="-82"/>
                <w:sz w:val="22"/>
                <w:szCs w:val="22"/>
              </w:rPr>
              <w:t> </w:t>
            </w:r>
            <w:r>
              <w:rPr>
                <w:rFonts w:ascii="宋体" w:hAnsi="宋体" w:cs="宋体" w:eastAsia="宋体" w:hint="default"/>
                <w:spacing w:val="-82"/>
                <w:sz w:val="22"/>
                <w:szCs w:val="22"/>
              </w:rPr>
            </w:r>
            <w:r>
              <w:rPr>
                <w:rFonts w:ascii="宋体" w:hAnsi="宋体" w:cs="宋体" w:eastAsia="宋体" w:hint="default"/>
                <w:spacing w:val="-4"/>
                <w:sz w:val="22"/>
                <w:szCs w:val="22"/>
              </w:rPr>
              <w:t>过程中需运用重大判断和估计，因此我们将</w:t>
            </w:r>
            <w:r>
              <w:rPr>
                <w:rFonts w:ascii="宋体" w:hAnsi="宋体" w:cs="宋体" w:eastAsia="宋体" w:hint="default"/>
                <w:spacing w:val="-87"/>
                <w:sz w:val="22"/>
                <w:szCs w:val="22"/>
              </w:rPr>
              <w:t> </w:t>
            </w:r>
            <w:r>
              <w:rPr>
                <w:rFonts w:ascii="宋体" w:hAnsi="宋体" w:cs="宋体" w:eastAsia="宋体" w:hint="default"/>
                <w:spacing w:val="-87"/>
                <w:sz w:val="22"/>
                <w:szCs w:val="22"/>
              </w:rPr>
            </w:r>
            <w:r>
              <w:rPr>
                <w:rFonts w:ascii="宋体" w:hAnsi="宋体" w:cs="宋体" w:eastAsia="宋体" w:hint="default"/>
                <w:sz w:val="22"/>
                <w:szCs w:val="22"/>
              </w:rPr>
              <w:t>商誉减值的估计列为关键审计事项。</w:t>
            </w:r>
          </w:p>
        </w:tc>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542" w:right="0"/>
              <w:jc w:val="left"/>
              <w:rPr>
                <w:rFonts w:ascii="宋体" w:hAnsi="宋体" w:cs="宋体" w:eastAsia="宋体" w:hint="default"/>
                <w:sz w:val="22"/>
                <w:szCs w:val="22"/>
              </w:rPr>
            </w:pPr>
            <w:r>
              <w:rPr>
                <w:rFonts w:ascii="宋体" w:hAnsi="宋体" w:cs="宋体" w:eastAsia="宋体" w:hint="default"/>
                <w:sz w:val="22"/>
                <w:szCs w:val="22"/>
              </w:rPr>
              <w:t>我们执行的主要审计程序：</w:t>
            </w:r>
          </w:p>
          <w:p>
            <w:pPr>
              <w:pStyle w:val="TableParagraph"/>
              <w:spacing w:line="297" w:lineRule="auto" w:before="189"/>
              <w:ind w:left="103" w:right="104" w:firstLine="439"/>
              <w:jc w:val="both"/>
              <w:rPr>
                <w:rFonts w:ascii="宋体" w:hAnsi="宋体" w:cs="宋体" w:eastAsia="宋体" w:hint="default"/>
                <w:sz w:val="22"/>
                <w:szCs w:val="22"/>
              </w:rPr>
            </w:pPr>
            <w:r>
              <w:rPr>
                <w:rFonts w:ascii="宋体" w:hAnsi="宋体" w:cs="宋体" w:eastAsia="宋体" w:hint="default"/>
                <w:spacing w:val="3"/>
                <w:sz w:val="22"/>
                <w:szCs w:val="22"/>
              </w:rPr>
              <w:t>了解和评价同方股份对商誉减值测试</w:t>
            </w:r>
            <w:r>
              <w:rPr>
                <w:rFonts w:ascii="宋体" w:hAnsi="宋体" w:cs="宋体" w:eastAsia="宋体" w:hint="default"/>
                <w:w w:val="100"/>
                <w:sz w:val="22"/>
                <w:szCs w:val="22"/>
              </w:rPr>
              <w:t> </w:t>
            </w:r>
            <w:r>
              <w:rPr>
                <w:rFonts w:ascii="宋体" w:hAnsi="宋体" w:cs="宋体" w:eastAsia="宋体" w:hint="default"/>
                <w:sz w:val="22"/>
                <w:szCs w:val="22"/>
              </w:rPr>
              <w:t>的内部控制设计和运行的有效性；</w:t>
            </w:r>
          </w:p>
          <w:p>
            <w:pPr>
              <w:pStyle w:val="TableParagraph"/>
              <w:spacing w:line="297" w:lineRule="auto" w:before="134"/>
              <w:ind w:left="103" w:right="98" w:firstLine="439"/>
              <w:jc w:val="both"/>
              <w:rPr>
                <w:rFonts w:ascii="宋体" w:hAnsi="宋体" w:cs="宋体" w:eastAsia="宋体" w:hint="default"/>
                <w:sz w:val="22"/>
                <w:szCs w:val="22"/>
              </w:rPr>
            </w:pPr>
            <w:r>
              <w:rPr>
                <w:rFonts w:ascii="宋体" w:hAnsi="宋体" w:cs="宋体" w:eastAsia="宋体" w:hint="default"/>
                <w:spacing w:val="3"/>
                <w:sz w:val="22"/>
                <w:szCs w:val="22"/>
              </w:rPr>
              <w:t>与管理层讨论，评估商誉减值测试过</w:t>
            </w:r>
            <w:r>
              <w:rPr>
                <w:rFonts w:ascii="宋体" w:hAnsi="宋体" w:cs="宋体" w:eastAsia="宋体" w:hint="default"/>
                <w:w w:val="100"/>
                <w:sz w:val="22"/>
                <w:szCs w:val="22"/>
              </w:rPr>
              <w:t> </w:t>
            </w:r>
            <w:r>
              <w:rPr>
                <w:rFonts w:ascii="宋体" w:hAnsi="宋体" w:cs="宋体" w:eastAsia="宋体" w:hint="default"/>
                <w:spacing w:val="3"/>
                <w:sz w:val="22"/>
                <w:szCs w:val="22"/>
              </w:rPr>
              <w:t>程中采用的方法，包括组成部分的预测未</w:t>
            </w:r>
            <w:r>
              <w:rPr>
                <w:rFonts w:ascii="宋体" w:hAnsi="宋体" w:cs="宋体" w:eastAsia="宋体" w:hint="default"/>
                <w:spacing w:val="-78"/>
                <w:sz w:val="22"/>
                <w:szCs w:val="22"/>
              </w:rPr>
              <w:t> </w:t>
            </w:r>
            <w:r>
              <w:rPr>
                <w:rFonts w:ascii="宋体" w:hAnsi="宋体" w:cs="宋体" w:eastAsia="宋体" w:hint="default"/>
                <w:spacing w:val="-78"/>
                <w:sz w:val="22"/>
                <w:szCs w:val="22"/>
              </w:rPr>
            </w:r>
            <w:r>
              <w:rPr>
                <w:rFonts w:ascii="宋体" w:hAnsi="宋体" w:cs="宋体" w:eastAsia="宋体" w:hint="default"/>
                <w:spacing w:val="3"/>
                <w:sz w:val="22"/>
                <w:szCs w:val="22"/>
              </w:rPr>
              <w:t>来收入、现金流折现率等假设的合理性及</w:t>
            </w:r>
            <w:r>
              <w:rPr>
                <w:rFonts w:ascii="宋体" w:hAnsi="宋体" w:cs="宋体" w:eastAsia="宋体" w:hint="default"/>
                <w:spacing w:val="-78"/>
                <w:sz w:val="22"/>
                <w:szCs w:val="22"/>
              </w:rPr>
              <w:t> </w:t>
            </w:r>
            <w:r>
              <w:rPr>
                <w:rFonts w:ascii="宋体" w:hAnsi="宋体" w:cs="宋体" w:eastAsia="宋体" w:hint="default"/>
                <w:sz w:val="22"/>
                <w:szCs w:val="22"/>
              </w:rPr>
              <w:t>组成部分盈利状况的判断和评估；</w:t>
            </w:r>
          </w:p>
          <w:p>
            <w:pPr>
              <w:pStyle w:val="TableParagraph"/>
              <w:spacing w:line="295" w:lineRule="auto" w:before="137"/>
              <w:ind w:left="103" w:right="104" w:firstLine="439"/>
              <w:jc w:val="both"/>
              <w:rPr>
                <w:rFonts w:ascii="宋体" w:hAnsi="宋体" w:cs="宋体" w:eastAsia="宋体" w:hint="default"/>
                <w:sz w:val="22"/>
                <w:szCs w:val="22"/>
              </w:rPr>
            </w:pPr>
            <w:r>
              <w:rPr>
                <w:rFonts w:ascii="宋体" w:hAnsi="宋体" w:cs="宋体" w:eastAsia="宋体" w:hint="default"/>
                <w:spacing w:val="3"/>
                <w:sz w:val="22"/>
                <w:szCs w:val="22"/>
              </w:rPr>
              <w:t>与第三方专家讨论以了解及评估同方</w:t>
            </w:r>
            <w:r>
              <w:rPr>
                <w:rFonts w:ascii="宋体" w:hAnsi="宋体" w:cs="宋体" w:eastAsia="宋体" w:hint="default"/>
                <w:w w:val="100"/>
                <w:sz w:val="22"/>
                <w:szCs w:val="22"/>
              </w:rPr>
              <w:t> </w:t>
            </w:r>
            <w:r>
              <w:rPr>
                <w:rFonts w:ascii="宋体" w:hAnsi="宋体" w:cs="宋体" w:eastAsia="宋体" w:hint="default"/>
                <w:sz w:val="22"/>
                <w:szCs w:val="22"/>
              </w:rPr>
              <w:t>股份商誉减值估计的合理性；</w:t>
            </w:r>
          </w:p>
          <w:p>
            <w:pPr>
              <w:pStyle w:val="TableParagraph"/>
              <w:spacing w:line="297" w:lineRule="auto" w:before="139"/>
              <w:ind w:left="103" w:right="82" w:firstLine="439"/>
              <w:jc w:val="both"/>
              <w:rPr>
                <w:rFonts w:ascii="宋体" w:hAnsi="宋体" w:cs="宋体" w:eastAsia="宋体" w:hint="default"/>
                <w:sz w:val="22"/>
                <w:szCs w:val="22"/>
              </w:rPr>
            </w:pPr>
            <w:r>
              <w:rPr>
                <w:rFonts w:ascii="宋体" w:hAnsi="宋体" w:cs="宋体" w:eastAsia="宋体" w:hint="default"/>
                <w:spacing w:val="18"/>
                <w:sz w:val="22"/>
                <w:szCs w:val="22"/>
              </w:rPr>
              <w:t>评估管理层对商誉及其减值估计结</w:t>
            </w:r>
            <w:r>
              <w:rPr>
                <w:rFonts w:ascii="宋体" w:hAnsi="宋体" w:cs="宋体" w:eastAsia="宋体" w:hint="default"/>
                <w:spacing w:val="-89"/>
                <w:sz w:val="22"/>
                <w:szCs w:val="22"/>
              </w:rPr>
              <w:t> </w:t>
            </w:r>
            <w:r>
              <w:rPr>
                <w:rFonts w:ascii="宋体" w:hAnsi="宋体" w:cs="宋体" w:eastAsia="宋体" w:hint="default"/>
                <w:sz w:val="22"/>
                <w:szCs w:val="22"/>
              </w:rPr>
              <w:t>果、财务报表的披露是否恰当。</w:t>
            </w:r>
          </w:p>
        </w:tc>
      </w:tr>
    </w:tbl>
    <w:p>
      <w:pPr>
        <w:spacing w:line="240" w:lineRule="auto" w:before="8"/>
        <w:rPr>
          <w:rFonts w:ascii="Times New Roman" w:hAnsi="Times New Roman" w:cs="Times New Roman" w:eastAsia="Times New Roman" w:hint="default"/>
          <w:sz w:val="20"/>
          <w:szCs w:val="20"/>
        </w:rPr>
      </w:pPr>
    </w:p>
    <w:p>
      <w:pPr>
        <w:tabs>
          <w:tab w:pos="1381" w:val="left" w:leader="none"/>
        </w:tabs>
        <w:spacing w:before="32"/>
        <w:ind w:left="563" w:right="222" w:firstLine="0"/>
        <w:jc w:val="left"/>
        <w:rPr>
          <w:rFonts w:ascii="宋体" w:hAnsi="宋体" w:cs="宋体" w:eastAsia="宋体" w:hint="default"/>
          <w:sz w:val="22"/>
          <w:szCs w:val="22"/>
        </w:rPr>
      </w:pPr>
      <w:r>
        <w:rPr>
          <w:rFonts w:ascii="宋体" w:hAnsi="宋体" w:cs="宋体" w:eastAsia="宋体" w:hint="default"/>
          <w:b/>
          <w:bCs/>
          <w:w w:val="95"/>
          <w:sz w:val="22"/>
          <w:szCs w:val="22"/>
        </w:rPr>
        <w:t>四、</w:t>
        <w:tab/>
      </w:r>
      <w:r>
        <w:rPr>
          <w:rFonts w:ascii="宋体" w:hAnsi="宋体" w:cs="宋体" w:eastAsia="宋体" w:hint="default"/>
          <w:b/>
          <w:bCs/>
          <w:sz w:val="22"/>
          <w:szCs w:val="22"/>
        </w:rPr>
        <w:t>其他信息</w:t>
      </w:r>
      <w:r>
        <w:rPr>
          <w:rFonts w:ascii="宋体" w:hAnsi="宋体" w:cs="宋体" w:eastAsia="宋体" w:hint="default"/>
          <w:sz w:val="22"/>
          <w:szCs w:val="22"/>
        </w:rPr>
      </w:r>
    </w:p>
    <w:p>
      <w:pPr>
        <w:spacing w:line="240" w:lineRule="auto" w:before="11"/>
        <w:rPr>
          <w:rFonts w:ascii="宋体" w:hAnsi="宋体" w:cs="宋体" w:eastAsia="宋体" w:hint="default"/>
          <w:b/>
          <w:bCs/>
          <w:sz w:val="23"/>
          <w:szCs w:val="23"/>
        </w:rPr>
      </w:pPr>
    </w:p>
    <w:p>
      <w:pPr>
        <w:spacing w:line="300" w:lineRule="auto" w:before="0"/>
        <w:ind w:left="122" w:right="222" w:firstLine="439"/>
        <w:jc w:val="left"/>
        <w:rPr>
          <w:rFonts w:ascii="宋体" w:hAnsi="宋体" w:cs="宋体" w:eastAsia="宋体" w:hint="default"/>
          <w:sz w:val="22"/>
          <w:szCs w:val="22"/>
        </w:rPr>
      </w:pPr>
      <w:r>
        <w:rPr>
          <w:rFonts w:ascii="宋体" w:hAnsi="宋体" w:cs="宋体" w:eastAsia="宋体" w:hint="default"/>
          <w:sz w:val="22"/>
          <w:szCs w:val="22"/>
        </w:rPr>
        <w:t>同方股份管理层</w:t>
      </w:r>
      <w:r>
        <w:rPr>
          <w:rFonts w:ascii="宋体" w:hAnsi="宋体" w:cs="宋体" w:eastAsia="宋体" w:hint="default"/>
          <w:sz w:val="22"/>
          <w:szCs w:val="22"/>
        </w:rPr>
        <w:t>(</w:t>
      </w:r>
      <w:r>
        <w:rPr>
          <w:rFonts w:ascii="宋体" w:hAnsi="宋体" w:cs="宋体" w:eastAsia="宋体" w:hint="default"/>
          <w:sz w:val="22"/>
          <w:szCs w:val="22"/>
        </w:rPr>
        <w:t>以下简称管理层</w:t>
      </w:r>
      <w:r>
        <w:rPr>
          <w:rFonts w:ascii="宋体" w:hAnsi="宋体" w:cs="宋体" w:eastAsia="宋体" w:hint="default"/>
          <w:sz w:val="22"/>
          <w:szCs w:val="22"/>
        </w:rPr>
        <w:t>)</w:t>
      </w:r>
      <w:r>
        <w:rPr>
          <w:rFonts w:ascii="宋体" w:hAnsi="宋体" w:cs="宋体" w:eastAsia="宋体" w:hint="default"/>
          <w:sz w:val="22"/>
          <w:szCs w:val="22"/>
        </w:rPr>
        <w:t>对其他信息负责。其他信息包括同方股份 </w:t>
      </w:r>
      <w:r>
        <w:rPr>
          <w:rFonts w:ascii="宋体" w:hAnsi="宋体" w:cs="宋体" w:eastAsia="宋体" w:hint="default"/>
          <w:sz w:val="22"/>
          <w:szCs w:val="22"/>
        </w:rPr>
        <w:t>2018</w:t>
      </w:r>
      <w:r>
        <w:rPr>
          <w:rFonts w:ascii="宋体" w:hAnsi="宋体" w:cs="宋体" w:eastAsia="宋体" w:hint="default"/>
          <w:spacing w:val="-75"/>
          <w:sz w:val="22"/>
          <w:szCs w:val="22"/>
        </w:rPr>
        <w:t> </w:t>
      </w:r>
      <w:r>
        <w:rPr>
          <w:rFonts w:ascii="宋体" w:hAnsi="宋体" w:cs="宋体" w:eastAsia="宋体" w:hint="default"/>
          <w:sz w:val="22"/>
          <w:szCs w:val="22"/>
        </w:rPr>
        <w:t>年</w:t>
      </w:r>
      <w:r>
        <w:rPr>
          <w:rFonts w:ascii="宋体" w:hAnsi="宋体" w:cs="宋体" w:eastAsia="宋体" w:hint="default"/>
          <w:w w:val="100"/>
          <w:sz w:val="22"/>
          <w:szCs w:val="22"/>
        </w:rPr>
        <w:t> </w:t>
      </w:r>
      <w:r>
        <w:rPr>
          <w:rFonts w:ascii="宋体" w:hAnsi="宋体" w:cs="宋体" w:eastAsia="宋体" w:hint="default"/>
          <w:sz w:val="22"/>
          <w:szCs w:val="22"/>
        </w:rPr>
        <w:t>年度报告中涵盖的信息，但不包括财务报表和我们的审计报告。</w:t>
      </w:r>
    </w:p>
    <w:p>
      <w:pPr>
        <w:spacing w:after="0" w:line="300" w:lineRule="auto"/>
        <w:jc w:val="left"/>
        <w:rPr>
          <w:rFonts w:ascii="宋体" w:hAnsi="宋体" w:cs="宋体" w:eastAsia="宋体" w:hint="default"/>
          <w:sz w:val="22"/>
          <w:szCs w:val="22"/>
        </w:rPr>
        <w:sectPr>
          <w:pgSz w:w="11910" w:h="16840"/>
          <w:pgMar w:header="0" w:footer="1034" w:top="1320" w:bottom="1220" w:left="1580" w:right="1460"/>
        </w:sectPr>
      </w:pPr>
    </w:p>
    <w:p>
      <w:pPr>
        <w:spacing w:line="300" w:lineRule="auto" w:before="16"/>
        <w:ind w:left="102" w:right="217" w:firstLine="439"/>
        <w:jc w:val="both"/>
        <w:rPr>
          <w:rFonts w:ascii="宋体" w:hAnsi="宋体" w:cs="宋体" w:eastAsia="宋体" w:hint="default"/>
          <w:sz w:val="22"/>
          <w:szCs w:val="22"/>
        </w:rPr>
      </w:pPr>
      <w:r>
        <w:rPr>
          <w:rFonts w:ascii="宋体" w:hAnsi="宋体" w:cs="宋体" w:eastAsia="宋体" w:hint="default"/>
          <w:spacing w:val="-3"/>
          <w:sz w:val="22"/>
          <w:szCs w:val="22"/>
        </w:rPr>
        <w:t>我们对财务报表发表的审计意见不涵盖其他信息，我们也不对其他信息发表任何形式</w:t>
      </w:r>
      <w:r>
        <w:rPr>
          <w:rFonts w:ascii="宋体" w:hAnsi="宋体" w:cs="宋体" w:eastAsia="宋体" w:hint="default"/>
          <w:w w:val="100"/>
          <w:sz w:val="22"/>
          <w:szCs w:val="22"/>
        </w:rPr>
        <w:t> </w:t>
      </w:r>
      <w:r>
        <w:rPr>
          <w:rFonts w:ascii="宋体" w:hAnsi="宋体" w:cs="宋体" w:eastAsia="宋体" w:hint="default"/>
          <w:sz w:val="22"/>
          <w:szCs w:val="22"/>
        </w:rPr>
        <w:t>的鉴证结论。</w:t>
      </w:r>
    </w:p>
    <w:p>
      <w:pPr>
        <w:spacing w:line="240" w:lineRule="auto" w:before="8"/>
        <w:rPr>
          <w:rFonts w:ascii="宋体" w:hAnsi="宋体" w:cs="宋体" w:eastAsia="宋体" w:hint="default"/>
          <w:sz w:val="19"/>
          <w:szCs w:val="19"/>
        </w:rPr>
      </w:pPr>
    </w:p>
    <w:p>
      <w:pPr>
        <w:spacing w:line="300" w:lineRule="auto" w:before="0"/>
        <w:ind w:left="102" w:right="217" w:firstLine="439"/>
        <w:jc w:val="both"/>
        <w:rPr>
          <w:rFonts w:ascii="宋体" w:hAnsi="宋体" w:cs="宋体" w:eastAsia="宋体" w:hint="default"/>
          <w:sz w:val="22"/>
          <w:szCs w:val="22"/>
        </w:rPr>
      </w:pPr>
      <w:r>
        <w:rPr>
          <w:rFonts w:ascii="宋体" w:hAnsi="宋体" w:cs="宋体" w:eastAsia="宋体" w:hint="default"/>
          <w:spacing w:val="-3"/>
          <w:sz w:val="22"/>
          <w:szCs w:val="22"/>
        </w:rPr>
        <w:t>结合我们对财务报表的审计，我们的责任是阅读其他信息，在此过程中，考虑其他信</w:t>
      </w:r>
      <w:r>
        <w:rPr>
          <w:rFonts w:ascii="宋体" w:hAnsi="宋体" w:cs="宋体" w:eastAsia="宋体" w:hint="default"/>
          <w:w w:val="100"/>
          <w:sz w:val="22"/>
          <w:szCs w:val="22"/>
        </w:rPr>
        <w:t> </w:t>
      </w:r>
      <w:r>
        <w:rPr>
          <w:rFonts w:ascii="宋体" w:hAnsi="宋体" w:cs="宋体" w:eastAsia="宋体" w:hint="default"/>
          <w:spacing w:val="2"/>
          <w:sz w:val="22"/>
          <w:szCs w:val="22"/>
        </w:rPr>
        <w:t>息是否与财务报表或我们在审计过程中了解到的情况存在重大不一致或者似乎存在重大</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错报。</w:t>
      </w:r>
    </w:p>
    <w:p>
      <w:pPr>
        <w:spacing w:line="240" w:lineRule="auto" w:before="8"/>
        <w:rPr>
          <w:rFonts w:ascii="宋体" w:hAnsi="宋体" w:cs="宋体" w:eastAsia="宋体" w:hint="default"/>
          <w:sz w:val="19"/>
          <w:szCs w:val="19"/>
        </w:rPr>
      </w:pPr>
    </w:p>
    <w:p>
      <w:pPr>
        <w:spacing w:line="300" w:lineRule="auto" w:before="0"/>
        <w:ind w:left="102" w:right="105" w:firstLine="439"/>
        <w:jc w:val="left"/>
        <w:rPr>
          <w:rFonts w:ascii="宋体" w:hAnsi="宋体" w:cs="宋体" w:eastAsia="宋体" w:hint="default"/>
          <w:sz w:val="22"/>
          <w:szCs w:val="22"/>
        </w:rPr>
      </w:pPr>
      <w:r>
        <w:rPr>
          <w:rFonts w:ascii="宋体" w:hAnsi="宋体" w:cs="宋体" w:eastAsia="宋体" w:hint="default"/>
          <w:spacing w:val="-6"/>
          <w:w w:val="100"/>
          <w:sz w:val="22"/>
          <w:szCs w:val="22"/>
        </w:rPr>
        <w:t>基于我们已执行的工作，如果我们确定其他信息存在重大错报，我们应当报告该事实。</w:t>
      </w:r>
      <w:r>
        <w:rPr>
          <w:rFonts w:ascii="宋体" w:hAnsi="宋体" w:cs="宋体" w:eastAsia="宋体" w:hint="default"/>
          <w:w w:val="100"/>
          <w:sz w:val="22"/>
          <w:szCs w:val="22"/>
        </w:rPr>
        <w:t> </w:t>
      </w:r>
      <w:r>
        <w:rPr>
          <w:rFonts w:ascii="宋体" w:hAnsi="宋体" w:cs="宋体" w:eastAsia="宋体" w:hint="default"/>
          <w:sz w:val="22"/>
          <w:szCs w:val="22"/>
        </w:rPr>
        <w:t>在这方面，我们无任何事项需要报告。</w:t>
      </w:r>
    </w:p>
    <w:p>
      <w:pPr>
        <w:tabs>
          <w:tab w:pos="1361" w:val="left" w:leader="none"/>
        </w:tabs>
        <w:spacing w:line="600" w:lineRule="exact" w:before="34"/>
        <w:ind w:left="541" w:right="217" w:firstLine="2"/>
        <w:jc w:val="left"/>
        <w:rPr>
          <w:rFonts w:ascii="宋体" w:hAnsi="宋体" w:cs="宋体" w:eastAsia="宋体" w:hint="default"/>
          <w:sz w:val="22"/>
          <w:szCs w:val="22"/>
        </w:rPr>
      </w:pPr>
      <w:r>
        <w:rPr>
          <w:rFonts w:ascii="宋体" w:hAnsi="宋体" w:cs="宋体" w:eastAsia="宋体" w:hint="default"/>
          <w:b/>
          <w:bCs/>
          <w:w w:val="95"/>
          <w:sz w:val="22"/>
          <w:szCs w:val="22"/>
        </w:rPr>
        <w:t>五、</w:t>
        <w:tab/>
      </w:r>
      <w:r>
        <w:rPr>
          <w:rFonts w:ascii="宋体" w:hAnsi="宋体" w:cs="宋体" w:eastAsia="宋体" w:hint="default"/>
          <w:b/>
          <w:bCs/>
          <w:sz w:val="22"/>
          <w:szCs w:val="22"/>
        </w:rPr>
        <w:t>管理层和治理层对财务报表的责任</w:t>
      </w:r>
      <w:r>
        <w:rPr>
          <w:rFonts w:ascii="宋体" w:hAnsi="宋体" w:cs="宋体" w:eastAsia="宋体" w:hint="default"/>
          <w:b/>
          <w:bCs/>
          <w:w w:val="99"/>
          <w:sz w:val="22"/>
          <w:szCs w:val="22"/>
        </w:rPr>
        <w:t> </w:t>
      </w:r>
      <w:r>
        <w:rPr>
          <w:rFonts w:ascii="宋体" w:hAnsi="宋体" w:cs="宋体" w:eastAsia="宋体" w:hint="default"/>
          <w:spacing w:val="-3"/>
          <w:sz w:val="22"/>
          <w:szCs w:val="22"/>
        </w:rPr>
        <w:t>管理层负责按照企业会计准则的规定编制财务报表，使其实现公允反映，并设计、执</w:t>
      </w:r>
    </w:p>
    <w:p>
      <w:pPr>
        <w:spacing w:line="271" w:lineRule="exact" w:before="0"/>
        <w:ind w:left="102" w:right="105" w:firstLine="0"/>
        <w:jc w:val="left"/>
        <w:rPr>
          <w:rFonts w:ascii="宋体" w:hAnsi="宋体" w:cs="宋体" w:eastAsia="宋体" w:hint="default"/>
          <w:sz w:val="22"/>
          <w:szCs w:val="22"/>
        </w:rPr>
      </w:pPr>
      <w:r>
        <w:rPr>
          <w:rFonts w:ascii="宋体" w:hAnsi="宋体" w:cs="宋体" w:eastAsia="宋体" w:hint="default"/>
          <w:sz w:val="22"/>
          <w:szCs w:val="22"/>
        </w:rPr>
        <w:t>行和维护必要的内部控制，以使财务报表不存在由于舞弊或错误导致的重大错报。</w:t>
      </w:r>
    </w:p>
    <w:p>
      <w:pPr>
        <w:spacing w:line="240" w:lineRule="auto" w:before="11"/>
        <w:rPr>
          <w:rFonts w:ascii="宋体" w:hAnsi="宋体" w:cs="宋体" w:eastAsia="宋体" w:hint="default"/>
          <w:sz w:val="23"/>
          <w:szCs w:val="23"/>
        </w:rPr>
      </w:pPr>
    </w:p>
    <w:p>
      <w:pPr>
        <w:spacing w:line="300" w:lineRule="auto" w:before="0"/>
        <w:ind w:left="102" w:right="215" w:firstLine="439"/>
        <w:jc w:val="both"/>
        <w:rPr>
          <w:rFonts w:ascii="宋体" w:hAnsi="宋体" w:cs="宋体" w:eastAsia="宋体" w:hint="default"/>
          <w:sz w:val="22"/>
          <w:szCs w:val="22"/>
        </w:rPr>
      </w:pPr>
      <w:r>
        <w:rPr>
          <w:rFonts w:ascii="宋体" w:hAnsi="宋体" w:cs="宋体" w:eastAsia="宋体" w:hint="default"/>
          <w:spacing w:val="-3"/>
          <w:sz w:val="22"/>
          <w:szCs w:val="22"/>
        </w:rPr>
        <w:t>在编制财务报表时，管理层负责评估同方股份的持续经营能力，披露与持续经营相关</w:t>
      </w:r>
      <w:r>
        <w:rPr>
          <w:rFonts w:ascii="宋体" w:hAnsi="宋体" w:cs="宋体" w:eastAsia="宋体" w:hint="default"/>
          <w:w w:val="100"/>
          <w:sz w:val="22"/>
          <w:szCs w:val="22"/>
        </w:rPr>
        <w:t> </w:t>
      </w:r>
      <w:r>
        <w:rPr>
          <w:rFonts w:ascii="宋体" w:hAnsi="宋体" w:cs="宋体" w:eastAsia="宋体" w:hint="default"/>
          <w:spacing w:val="-3"/>
          <w:sz w:val="22"/>
          <w:szCs w:val="22"/>
        </w:rPr>
        <w:t>的事项（如适用），并运用持续经营假设，除非管理层计划清算同方股份、终止运营或别</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无其他现实的选择。</w:t>
      </w:r>
    </w:p>
    <w:p>
      <w:pPr>
        <w:spacing w:line="240" w:lineRule="auto" w:before="8"/>
        <w:rPr>
          <w:rFonts w:ascii="宋体" w:hAnsi="宋体" w:cs="宋体" w:eastAsia="宋体" w:hint="default"/>
          <w:sz w:val="19"/>
          <w:szCs w:val="19"/>
        </w:rPr>
      </w:pPr>
    </w:p>
    <w:p>
      <w:pPr>
        <w:tabs>
          <w:tab w:pos="1361" w:val="left" w:leader="none"/>
        </w:tabs>
        <w:spacing w:line="499" w:lineRule="auto" w:before="0"/>
        <w:ind w:left="543" w:right="4104" w:hanging="3"/>
        <w:jc w:val="left"/>
        <w:rPr>
          <w:rFonts w:ascii="宋体" w:hAnsi="宋体" w:cs="宋体" w:eastAsia="宋体" w:hint="default"/>
          <w:sz w:val="22"/>
          <w:szCs w:val="22"/>
        </w:rPr>
      </w:pPr>
      <w:r>
        <w:rPr>
          <w:rFonts w:ascii="宋体" w:hAnsi="宋体" w:cs="宋体" w:eastAsia="宋体" w:hint="default"/>
          <w:spacing w:val="-1"/>
          <w:sz w:val="22"/>
          <w:szCs w:val="22"/>
        </w:rPr>
        <w:t>治理层负责监督同方股份的财务报告过程。</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b/>
          <w:bCs/>
          <w:w w:val="95"/>
          <w:sz w:val="22"/>
          <w:szCs w:val="22"/>
        </w:rPr>
        <w:t>六、</w:t>
        <w:tab/>
      </w:r>
      <w:r>
        <w:rPr>
          <w:rFonts w:ascii="宋体" w:hAnsi="宋体" w:cs="宋体" w:eastAsia="宋体" w:hint="default"/>
          <w:b/>
          <w:bCs/>
          <w:sz w:val="22"/>
          <w:szCs w:val="22"/>
        </w:rPr>
        <w:t>注册会计师对财务报表审计的责任</w:t>
      </w:r>
      <w:r>
        <w:rPr>
          <w:rFonts w:ascii="宋体" w:hAnsi="宋体" w:cs="宋体" w:eastAsia="宋体" w:hint="default"/>
          <w:sz w:val="22"/>
          <w:szCs w:val="22"/>
        </w:rPr>
      </w:r>
    </w:p>
    <w:p>
      <w:pPr>
        <w:spacing w:line="300" w:lineRule="auto" w:before="74"/>
        <w:ind w:left="102" w:right="217" w:firstLine="439"/>
        <w:jc w:val="both"/>
        <w:rPr>
          <w:rFonts w:ascii="宋体" w:hAnsi="宋体" w:cs="宋体" w:eastAsia="宋体" w:hint="default"/>
          <w:sz w:val="22"/>
          <w:szCs w:val="22"/>
        </w:rPr>
      </w:pPr>
      <w:r>
        <w:rPr>
          <w:rFonts w:ascii="宋体" w:hAnsi="宋体" w:cs="宋体" w:eastAsia="宋体" w:hint="default"/>
          <w:spacing w:val="2"/>
          <w:sz w:val="22"/>
          <w:szCs w:val="22"/>
        </w:rPr>
        <w:t>我们的目标是对财务报表整体是否不存在由于舞弊或错误导致的重大错报获取合理</w:t>
      </w:r>
      <w:r>
        <w:rPr>
          <w:rFonts w:ascii="宋体" w:hAnsi="宋体" w:cs="宋体" w:eastAsia="宋体" w:hint="default"/>
          <w:w w:val="100"/>
          <w:sz w:val="22"/>
          <w:szCs w:val="22"/>
        </w:rPr>
        <w:t> </w:t>
      </w:r>
      <w:r>
        <w:rPr>
          <w:rFonts w:ascii="宋体" w:hAnsi="宋体" w:cs="宋体" w:eastAsia="宋体" w:hint="default"/>
          <w:spacing w:val="-3"/>
          <w:sz w:val="22"/>
          <w:szCs w:val="22"/>
        </w:rPr>
        <w:t>保证，并出具包含审计意见的审计报告。合理保证是高水平的保证，但并不能保证按照审</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计准则执行的审计在某一重大错报存在时总能发现。错报可能由于舞弊或错误导致，如果</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合理预期错报单独或汇总起来可能影响财务报表使用者依据财务报表作出的经济决策，则</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通常认为错报是重大的。</w:t>
      </w:r>
    </w:p>
    <w:p>
      <w:pPr>
        <w:spacing w:line="240" w:lineRule="auto" w:before="8"/>
        <w:rPr>
          <w:rFonts w:ascii="宋体" w:hAnsi="宋体" w:cs="宋体" w:eastAsia="宋体" w:hint="default"/>
          <w:sz w:val="19"/>
          <w:szCs w:val="19"/>
        </w:rPr>
      </w:pPr>
    </w:p>
    <w:p>
      <w:pPr>
        <w:spacing w:line="300" w:lineRule="auto" w:before="0"/>
        <w:ind w:left="102" w:right="214" w:firstLine="439"/>
        <w:jc w:val="both"/>
        <w:rPr>
          <w:rFonts w:ascii="宋体" w:hAnsi="宋体" w:cs="宋体" w:eastAsia="宋体" w:hint="default"/>
          <w:sz w:val="22"/>
          <w:szCs w:val="22"/>
        </w:rPr>
      </w:pPr>
      <w:r>
        <w:rPr>
          <w:rFonts w:ascii="宋体" w:hAnsi="宋体" w:cs="宋体" w:eastAsia="宋体" w:hint="default"/>
          <w:spacing w:val="-9"/>
          <w:w w:val="100"/>
          <w:sz w:val="22"/>
          <w:szCs w:val="22"/>
        </w:rPr>
        <w:t>在按照审计准则执行审计工作的过程中，我们运用职业判断，并保持职业怀疑。同时，</w:t>
      </w:r>
      <w:r>
        <w:rPr>
          <w:rFonts w:ascii="宋体" w:hAnsi="宋体" w:cs="宋体" w:eastAsia="宋体" w:hint="default"/>
          <w:w w:val="100"/>
          <w:sz w:val="22"/>
          <w:szCs w:val="22"/>
        </w:rPr>
        <w:t> </w:t>
      </w:r>
      <w:r>
        <w:rPr>
          <w:rFonts w:ascii="宋体" w:hAnsi="宋体" w:cs="宋体" w:eastAsia="宋体" w:hint="default"/>
          <w:sz w:val="22"/>
          <w:szCs w:val="22"/>
        </w:rPr>
        <w:t>我们也执行以下工作：</w:t>
      </w:r>
    </w:p>
    <w:p>
      <w:pPr>
        <w:spacing w:line="240" w:lineRule="auto" w:before="8"/>
        <w:rPr>
          <w:rFonts w:ascii="宋体" w:hAnsi="宋体" w:cs="宋体" w:eastAsia="宋体" w:hint="default"/>
          <w:sz w:val="19"/>
          <w:szCs w:val="19"/>
        </w:rPr>
      </w:pPr>
    </w:p>
    <w:p>
      <w:pPr>
        <w:spacing w:line="300" w:lineRule="auto" w:before="0"/>
        <w:ind w:left="102" w:right="214" w:firstLine="439"/>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32"/>
          <w:sz w:val="22"/>
          <w:szCs w:val="22"/>
        </w:rPr>
        <w:t> </w:t>
      </w:r>
      <w:r>
        <w:rPr>
          <w:rFonts w:ascii="宋体" w:hAnsi="宋体" w:cs="宋体" w:eastAsia="宋体" w:hint="default"/>
          <w:sz w:val="22"/>
          <w:szCs w:val="22"/>
        </w:rPr>
        <w:t>识别和评估由于舞弊或错误导致的财务报表重大错报风险，设计和实施审计</w:t>
      </w:r>
      <w:r>
        <w:rPr>
          <w:rFonts w:ascii="宋体" w:hAnsi="宋体" w:cs="宋体" w:eastAsia="宋体" w:hint="default"/>
          <w:w w:val="100"/>
          <w:sz w:val="22"/>
          <w:szCs w:val="22"/>
        </w:rPr>
        <w:t> </w:t>
      </w:r>
      <w:r>
        <w:rPr>
          <w:rFonts w:ascii="宋体" w:hAnsi="宋体" w:cs="宋体" w:eastAsia="宋体" w:hint="default"/>
          <w:spacing w:val="-3"/>
          <w:sz w:val="22"/>
          <w:szCs w:val="22"/>
        </w:rPr>
        <w:t>程序以应对这些风险，并获取充分、适当的审计证据，作为发表审计意见的基础。由于舞</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3"/>
          <w:sz w:val="22"/>
          <w:szCs w:val="22"/>
        </w:rPr>
        <w:t>弊可能涉及串通、伪造、故意遗漏、虚假陈述或凌驾于内部控制之上，未能发现由于舞弊</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z w:val="22"/>
          <w:szCs w:val="22"/>
        </w:rPr>
        <w:t>导致的重大错报的风险高于未能发现由于错误导致的重大错报的风险。</w:t>
      </w:r>
    </w:p>
    <w:p>
      <w:pPr>
        <w:spacing w:line="240" w:lineRule="auto" w:before="8"/>
        <w:rPr>
          <w:rFonts w:ascii="宋体" w:hAnsi="宋体" w:cs="宋体" w:eastAsia="宋体" w:hint="default"/>
          <w:sz w:val="19"/>
          <w:szCs w:val="19"/>
        </w:rPr>
      </w:pPr>
    </w:p>
    <w:p>
      <w:pPr>
        <w:tabs>
          <w:tab w:pos="1361" w:val="left" w:leader="none"/>
        </w:tabs>
        <w:spacing w:before="0"/>
        <w:ind w:left="541" w:right="105"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tab/>
        <w:t>了解与审计相关的内部控制，以设计恰当的审计程序。</w:t>
      </w:r>
    </w:p>
    <w:p>
      <w:pPr>
        <w:spacing w:line="240" w:lineRule="auto" w:before="11"/>
        <w:rPr>
          <w:rFonts w:ascii="宋体" w:hAnsi="宋体" w:cs="宋体" w:eastAsia="宋体" w:hint="default"/>
          <w:sz w:val="23"/>
          <w:szCs w:val="23"/>
        </w:rPr>
      </w:pPr>
    </w:p>
    <w:p>
      <w:pPr>
        <w:tabs>
          <w:tab w:pos="1361" w:val="left" w:leader="none"/>
        </w:tabs>
        <w:spacing w:before="0"/>
        <w:ind w:left="541" w:right="105"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tab/>
        <w:t>评价管理层选用会计政策的恰当性和作出会计估计及相关披露的合理性。</w:t>
      </w:r>
    </w:p>
    <w:p>
      <w:pPr>
        <w:spacing w:line="240" w:lineRule="auto" w:before="11"/>
        <w:rPr>
          <w:rFonts w:ascii="宋体" w:hAnsi="宋体" w:cs="宋体" w:eastAsia="宋体" w:hint="default"/>
          <w:sz w:val="23"/>
          <w:szCs w:val="23"/>
        </w:rPr>
      </w:pPr>
    </w:p>
    <w:p>
      <w:pPr>
        <w:tabs>
          <w:tab w:pos="1361" w:val="left" w:leader="none"/>
        </w:tabs>
        <w:spacing w:line="300" w:lineRule="auto" w:before="0"/>
        <w:ind w:left="102" w:right="106" w:firstLine="439"/>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tab/>
      </w:r>
      <w:r>
        <w:rPr>
          <w:rFonts w:ascii="宋体" w:hAnsi="宋体" w:cs="宋体" w:eastAsia="宋体" w:hint="default"/>
          <w:spacing w:val="-5"/>
          <w:sz w:val="22"/>
          <w:szCs w:val="22"/>
        </w:rPr>
        <w:t>对管理层使用持续经营假设的恰当性得出结论。同时，根据获取的审计证据，</w:t>
      </w:r>
      <w:r>
        <w:rPr>
          <w:rFonts w:ascii="宋体" w:hAnsi="宋体" w:cs="宋体" w:eastAsia="宋体" w:hint="default"/>
          <w:w w:val="100"/>
          <w:sz w:val="22"/>
          <w:szCs w:val="22"/>
        </w:rPr>
        <w:t> </w:t>
      </w:r>
      <w:r>
        <w:rPr>
          <w:rFonts w:ascii="宋体" w:hAnsi="宋体" w:cs="宋体" w:eastAsia="宋体" w:hint="default"/>
          <w:spacing w:val="2"/>
          <w:sz w:val="22"/>
          <w:szCs w:val="22"/>
        </w:rPr>
        <w:t>就可能导致对同方股份持续经营能力产生重大疑虑的事项或情况是否存在重大不确定性</w:t>
      </w:r>
    </w:p>
    <w:p>
      <w:pPr>
        <w:spacing w:after="0" w:line="300" w:lineRule="auto"/>
        <w:jc w:val="left"/>
        <w:rPr>
          <w:rFonts w:ascii="宋体" w:hAnsi="宋体" w:cs="宋体" w:eastAsia="宋体" w:hint="default"/>
          <w:sz w:val="22"/>
          <w:szCs w:val="22"/>
        </w:rPr>
        <w:sectPr>
          <w:footerReference w:type="default" r:id="rId22"/>
          <w:pgSz w:w="11910" w:h="16840"/>
          <w:pgMar w:footer="1054" w:header="0" w:top="1420" w:bottom="1240" w:left="1600" w:right="1480"/>
        </w:sectPr>
      </w:pPr>
    </w:p>
    <w:p>
      <w:pPr>
        <w:spacing w:line="300" w:lineRule="auto" w:before="16"/>
        <w:ind w:left="302" w:right="0" w:firstLine="0"/>
        <w:jc w:val="left"/>
        <w:rPr>
          <w:rFonts w:ascii="宋体" w:hAnsi="宋体" w:cs="宋体" w:eastAsia="宋体" w:hint="default"/>
          <w:sz w:val="22"/>
          <w:szCs w:val="22"/>
        </w:rPr>
      </w:pPr>
      <w:r>
        <w:rPr>
          <w:rFonts w:ascii="宋体" w:hAnsi="宋体" w:cs="宋体" w:eastAsia="宋体" w:hint="default"/>
          <w:spacing w:val="-3"/>
          <w:sz w:val="22"/>
          <w:szCs w:val="22"/>
        </w:rPr>
        <w:t>得出结论。如果我们得出结论认为存在重大不确定性，审计准则要求我们在审计报告中提</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6"/>
          <w:w w:val="100"/>
          <w:sz w:val="22"/>
          <w:szCs w:val="22"/>
        </w:rPr>
        <w:t>请报表使用者注意财务报表中的相关披露；如果披露不充分，我们应当发表非无保留意见。</w:t>
      </w:r>
      <w:r>
        <w:rPr>
          <w:rFonts w:ascii="宋体" w:hAnsi="宋体" w:cs="宋体" w:eastAsia="宋体" w:hint="default"/>
          <w:spacing w:val="-94"/>
          <w:w w:val="100"/>
          <w:sz w:val="22"/>
          <w:szCs w:val="22"/>
        </w:rPr>
        <w:t> </w:t>
      </w:r>
      <w:r>
        <w:rPr>
          <w:rFonts w:ascii="宋体" w:hAnsi="宋体" w:cs="宋体" w:eastAsia="宋体" w:hint="default"/>
          <w:spacing w:val="-94"/>
          <w:w w:val="100"/>
          <w:sz w:val="22"/>
          <w:szCs w:val="22"/>
        </w:rPr>
      </w:r>
      <w:r>
        <w:rPr>
          <w:rFonts w:ascii="宋体" w:hAnsi="宋体" w:cs="宋体" w:eastAsia="宋体" w:hint="default"/>
          <w:spacing w:val="-3"/>
          <w:sz w:val="22"/>
          <w:szCs w:val="22"/>
        </w:rPr>
        <w:t>我们的结论基于截至审计报告日可获得的信息。然而，未来的事项或情况可能导致同方股</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份不能持续经营。</w:t>
      </w:r>
    </w:p>
    <w:p>
      <w:pPr>
        <w:spacing w:line="240" w:lineRule="auto" w:before="8"/>
        <w:rPr>
          <w:rFonts w:ascii="宋体" w:hAnsi="宋体" w:cs="宋体" w:eastAsia="宋体" w:hint="default"/>
          <w:sz w:val="19"/>
          <w:szCs w:val="19"/>
        </w:rPr>
      </w:pPr>
    </w:p>
    <w:p>
      <w:pPr>
        <w:spacing w:line="300" w:lineRule="auto" w:before="0"/>
        <w:ind w:left="302" w:right="214" w:firstLine="439"/>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pacing w:val="34"/>
          <w:sz w:val="22"/>
          <w:szCs w:val="22"/>
        </w:rPr>
        <w:t> </w:t>
      </w:r>
      <w:r>
        <w:rPr>
          <w:rFonts w:ascii="宋体" w:hAnsi="宋体" w:cs="宋体" w:eastAsia="宋体" w:hint="default"/>
          <w:sz w:val="22"/>
          <w:szCs w:val="22"/>
        </w:rPr>
        <w:t>评价财务报表的总体列报、结构和内容（包括披露），并评价财务报表是否</w:t>
      </w:r>
      <w:r>
        <w:rPr>
          <w:rFonts w:ascii="宋体" w:hAnsi="宋体" w:cs="宋体" w:eastAsia="宋体" w:hint="default"/>
          <w:w w:val="100"/>
          <w:sz w:val="22"/>
          <w:szCs w:val="22"/>
        </w:rPr>
        <w:t> </w:t>
      </w:r>
      <w:r>
        <w:rPr>
          <w:rFonts w:ascii="宋体" w:hAnsi="宋体" w:cs="宋体" w:eastAsia="宋体" w:hint="default"/>
          <w:sz w:val="22"/>
          <w:szCs w:val="22"/>
        </w:rPr>
        <w:t>公允反映相关交易和事项。</w:t>
      </w:r>
    </w:p>
    <w:p>
      <w:pPr>
        <w:spacing w:line="240" w:lineRule="auto" w:before="8"/>
        <w:rPr>
          <w:rFonts w:ascii="宋体" w:hAnsi="宋体" w:cs="宋体" w:eastAsia="宋体" w:hint="default"/>
          <w:sz w:val="19"/>
          <w:szCs w:val="19"/>
        </w:rPr>
      </w:pPr>
    </w:p>
    <w:p>
      <w:pPr>
        <w:spacing w:line="300" w:lineRule="auto" w:before="0"/>
        <w:ind w:left="302" w:right="217" w:firstLine="439"/>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6</w:t>
      </w:r>
      <w:r>
        <w:rPr>
          <w:rFonts w:ascii="宋体" w:hAnsi="宋体" w:cs="宋体" w:eastAsia="宋体" w:hint="default"/>
          <w:sz w:val="22"/>
          <w:szCs w:val="22"/>
        </w:rPr>
        <w:t>）</w:t>
      </w:r>
      <w:r>
        <w:rPr>
          <w:rFonts w:ascii="宋体" w:hAnsi="宋体" w:cs="宋体" w:eastAsia="宋体" w:hint="default"/>
          <w:spacing w:val="32"/>
          <w:sz w:val="22"/>
          <w:szCs w:val="22"/>
        </w:rPr>
        <w:t> </w:t>
      </w:r>
      <w:r>
        <w:rPr>
          <w:rFonts w:ascii="宋体" w:hAnsi="宋体" w:cs="宋体" w:eastAsia="宋体" w:hint="default"/>
          <w:sz w:val="22"/>
          <w:szCs w:val="22"/>
        </w:rPr>
        <w:t>就同方股份中实体或业务活动的财务信息获取充分、适当的审计证据，以对</w:t>
      </w:r>
      <w:r>
        <w:rPr>
          <w:rFonts w:ascii="宋体" w:hAnsi="宋体" w:cs="宋体" w:eastAsia="宋体" w:hint="default"/>
          <w:w w:val="100"/>
          <w:sz w:val="22"/>
          <w:szCs w:val="22"/>
        </w:rPr>
        <w:t> </w:t>
      </w:r>
      <w:r>
        <w:rPr>
          <w:rFonts w:ascii="宋体" w:hAnsi="宋体" w:cs="宋体" w:eastAsia="宋体" w:hint="default"/>
          <w:spacing w:val="-3"/>
          <w:sz w:val="22"/>
          <w:szCs w:val="22"/>
        </w:rPr>
        <w:t>财务报表发表审计意见。我们负责指导、监督和执行集团审计，并对审计意见承担全部责</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任。</w:t>
      </w:r>
    </w:p>
    <w:p>
      <w:pPr>
        <w:spacing w:line="240" w:lineRule="auto" w:before="9"/>
        <w:rPr>
          <w:rFonts w:ascii="宋体" w:hAnsi="宋体" w:cs="宋体" w:eastAsia="宋体" w:hint="default"/>
          <w:sz w:val="19"/>
          <w:szCs w:val="19"/>
        </w:rPr>
      </w:pPr>
    </w:p>
    <w:p>
      <w:pPr>
        <w:spacing w:line="300" w:lineRule="auto" w:before="0"/>
        <w:ind w:left="302" w:right="215" w:firstLine="439"/>
        <w:jc w:val="both"/>
        <w:rPr>
          <w:rFonts w:ascii="宋体" w:hAnsi="宋体" w:cs="宋体" w:eastAsia="宋体" w:hint="default"/>
          <w:sz w:val="22"/>
          <w:szCs w:val="22"/>
        </w:rPr>
      </w:pPr>
      <w:r>
        <w:rPr>
          <w:rFonts w:ascii="宋体" w:hAnsi="宋体" w:cs="宋体" w:eastAsia="宋体" w:hint="default"/>
          <w:spacing w:val="-3"/>
          <w:sz w:val="22"/>
          <w:szCs w:val="22"/>
        </w:rPr>
        <w:t>我们与治理层就计划的审计范围、时间安排和重大审计发现等事项进行沟通，包括沟</w:t>
      </w:r>
      <w:r>
        <w:rPr>
          <w:rFonts w:ascii="宋体" w:hAnsi="宋体" w:cs="宋体" w:eastAsia="宋体" w:hint="default"/>
          <w:w w:val="100"/>
          <w:sz w:val="22"/>
          <w:szCs w:val="22"/>
        </w:rPr>
        <w:t> </w:t>
      </w:r>
      <w:r>
        <w:rPr>
          <w:rFonts w:ascii="宋体" w:hAnsi="宋体" w:cs="宋体" w:eastAsia="宋体" w:hint="default"/>
          <w:sz w:val="22"/>
          <w:szCs w:val="22"/>
        </w:rPr>
        <w:t>通我们在审计中识别出的值得关注的内部控制缺陷。</w:t>
      </w:r>
    </w:p>
    <w:p>
      <w:pPr>
        <w:spacing w:line="240" w:lineRule="auto" w:before="8"/>
        <w:rPr>
          <w:rFonts w:ascii="宋体" w:hAnsi="宋体" w:cs="宋体" w:eastAsia="宋体" w:hint="default"/>
          <w:sz w:val="19"/>
          <w:szCs w:val="19"/>
        </w:rPr>
      </w:pPr>
    </w:p>
    <w:p>
      <w:pPr>
        <w:spacing w:line="300" w:lineRule="auto" w:before="0"/>
        <w:ind w:left="302" w:right="0" w:firstLine="439"/>
        <w:jc w:val="left"/>
        <w:rPr>
          <w:rFonts w:ascii="宋体" w:hAnsi="宋体" w:cs="宋体" w:eastAsia="宋体" w:hint="default"/>
          <w:sz w:val="22"/>
          <w:szCs w:val="22"/>
        </w:rPr>
      </w:pPr>
      <w:r>
        <w:rPr>
          <w:rFonts w:ascii="宋体" w:hAnsi="宋体" w:cs="宋体" w:eastAsia="宋体" w:hint="default"/>
          <w:spacing w:val="-3"/>
          <w:sz w:val="22"/>
          <w:szCs w:val="22"/>
        </w:rPr>
        <w:t>我们还就已遵守与独立性相关的职业道德要求向治理层提供声明，并与治理层沟通可</w:t>
      </w:r>
      <w:r>
        <w:rPr>
          <w:rFonts w:ascii="宋体" w:hAnsi="宋体" w:cs="宋体" w:eastAsia="宋体" w:hint="default"/>
          <w:w w:val="100"/>
          <w:sz w:val="22"/>
          <w:szCs w:val="22"/>
        </w:rPr>
        <w:t> </w:t>
      </w:r>
      <w:r>
        <w:rPr>
          <w:rFonts w:ascii="宋体" w:hAnsi="宋体" w:cs="宋体" w:eastAsia="宋体" w:hint="default"/>
          <w:sz w:val="22"/>
          <w:szCs w:val="22"/>
        </w:rPr>
        <w:t>能被合理认为影响我们独立性的所有关系和其他事项，以及相关的防范措施（如适用）。</w:t>
      </w:r>
    </w:p>
    <w:p>
      <w:pPr>
        <w:spacing w:line="240" w:lineRule="auto" w:before="8"/>
        <w:rPr>
          <w:rFonts w:ascii="宋体" w:hAnsi="宋体" w:cs="宋体" w:eastAsia="宋体" w:hint="default"/>
          <w:sz w:val="19"/>
          <w:szCs w:val="19"/>
        </w:rPr>
      </w:pPr>
    </w:p>
    <w:p>
      <w:pPr>
        <w:spacing w:line="300" w:lineRule="auto" w:before="0"/>
        <w:ind w:left="302" w:right="217" w:firstLine="439"/>
        <w:jc w:val="both"/>
        <w:rPr>
          <w:rFonts w:ascii="宋体" w:hAnsi="宋体" w:cs="宋体" w:eastAsia="宋体" w:hint="default"/>
          <w:sz w:val="22"/>
          <w:szCs w:val="22"/>
        </w:rPr>
      </w:pPr>
      <w:r>
        <w:rPr>
          <w:rFonts w:ascii="宋体" w:hAnsi="宋体" w:cs="宋体" w:eastAsia="宋体" w:hint="default"/>
          <w:spacing w:val="-3"/>
          <w:sz w:val="22"/>
          <w:szCs w:val="22"/>
        </w:rPr>
        <w:t>从与治理层沟通过的事项中，我们确定哪些事项对本期财务报表审计最为重要，因而</w:t>
      </w:r>
      <w:r>
        <w:rPr>
          <w:rFonts w:ascii="宋体" w:hAnsi="宋体" w:cs="宋体" w:eastAsia="宋体" w:hint="default"/>
          <w:w w:val="100"/>
          <w:sz w:val="22"/>
          <w:szCs w:val="22"/>
        </w:rPr>
        <w:t> </w:t>
      </w:r>
      <w:r>
        <w:rPr>
          <w:rFonts w:ascii="宋体" w:hAnsi="宋体" w:cs="宋体" w:eastAsia="宋体" w:hint="default"/>
          <w:spacing w:val="-3"/>
          <w:sz w:val="22"/>
          <w:szCs w:val="22"/>
        </w:rPr>
        <w:t>构成关键审计事项。我们在审计报告中描述这些事项，除非法律法规禁止公开披露这些事</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项，或在极少数情形下，如果合理预期在审计报告中沟通某事项造成的负面后果超过在公</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4364"/>
        <w:gridCol w:w="3257"/>
      </w:tblGrid>
      <w:tr>
        <w:trPr>
          <w:trHeight w:val="1182" w:hRule="exact"/>
        </w:trPr>
        <w:tc>
          <w:tcPr>
            <w:tcW w:w="4364" w:type="dxa"/>
            <w:tcBorders>
              <w:top w:val="nil" w:sz="6" w:space="0" w:color="auto"/>
              <w:left w:val="nil" w:sz="6" w:space="0" w:color="auto"/>
              <w:bottom w:val="nil" w:sz="6" w:space="0" w:color="auto"/>
              <w:right w:val="nil" w:sz="6" w:space="0" w:color="auto"/>
            </w:tcBorders>
          </w:tcPr>
          <w:p>
            <w:pPr>
              <w:pStyle w:val="TableParagraph"/>
              <w:spacing w:line="221" w:lineRule="exact"/>
              <w:ind w:right="218"/>
              <w:jc w:val="center"/>
              <w:rPr>
                <w:rFonts w:ascii="宋体" w:hAnsi="宋体" w:cs="宋体" w:eastAsia="宋体" w:hint="default"/>
                <w:sz w:val="22"/>
                <w:szCs w:val="22"/>
              </w:rPr>
            </w:pPr>
            <w:r>
              <w:rPr>
                <w:rFonts w:ascii="宋体" w:hAnsi="宋体" w:cs="宋体" w:eastAsia="宋体" w:hint="default"/>
                <w:sz w:val="22"/>
                <w:szCs w:val="22"/>
              </w:rPr>
              <w:t>信永中和会计师事务所</w:t>
            </w:r>
            <w:r>
              <w:rPr>
                <w:rFonts w:ascii="宋体" w:hAnsi="宋体" w:cs="宋体" w:eastAsia="宋体" w:hint="default"/>
                <w:sz w:val="22"/>
                <w:szCs w:val="22"/>
              </w:rPr>
              <w:t>(</w:t>
            </w:r>
            <w:r>
              <w:rPr>
                <w:rFonts w:ascii="宋体" w:hAnsi="宋体" w:cs="宋体" w:eastAsia="宋体" w:hint="default"/>
                <w:sz w:val="22"/>
                <w:szCs w:val="22"/>
              </w:rPr>
              <w:t>特殊普通合伙</w:t>
            </w:r>
            <w:r>
              <w:rPr>
                <w:rFonts w:ascii="宋体" w:hAnsi="宋体" w:cs="宋体" w:eastAsia="宋体" w:hint="default"/>
                <w:sz w:val="22"/>
                <w:szCs w:val="22"/>
              </w:rPr>
              <w:t>)</w:t>
            </w:r>
          </w:p>
        </w:tc>
        <w:tc>
          <w:tcPr>
            <w:tcW w:w="3257" w:type="dxa"/>
            <w:tcBorders>
              <w:top w:val="nil" w:sz="6" w:space="0" w:color="auto"/>
              <w:left w:val="nil" w:sz="6" w:space="0" w:color="auto"/>
              <w:bottom w:val="nil" w:sz="6" w:space="0" w:color="auto"/>
              <w:right w:val="nil" w:sz="6" w:space="0" w:color="auto"/>
            </w:tcBorders>
          </w:tcPr>
          <w:p>
            <w:pPr>
              <w:pStyle w:val="TableParagraph"/>
              <w:tabs>
                <w:tab w:pos="2401" w:val="left" w:leader="none"/>
              </w:tabs>
              <w:spacing w:line="221" w:lineRule="exact"/>
              <w:ind w:left="418" w:right="0"/>
              <w:jc w:val="left"/>
              <w:rPr>
                <w:rFonts w:ascii="宋体" w:hAnsi="宋体" w:cs="宋体" w:eastAsia="宋体" w:hint="default"/>
                <w:sz w:val="22"/>
                <w:szCs w:val="22"/>
              </w:rPr>
            </w:pPr>
            <w:r>
              <w:rPr>
                <w:rFonts w:ascii="宋体" w:hAnsi="宋体" w:cs="宋体" w:eastAsia="宋体" w:hint="default"/>
                <w:spacing w:val="-1"/>
                <w:sz w:val="22"/>
                <w:szCs w:val="22"/>
              </w:rPr>
              <w:t>中国注册会计师：</w:t>
              <w:tab/>
            </w:r>
            <w:r>
              <w:rPr>
                <w:rFonts w:ascii="宋体" w:hAnsi="宋体" w:cs="宋体" w:eastAsia="宋体" w:hint="default"/>
                <w:spacing w:val="-3"/>
                <w:sz w:val="22"/>
                <w:szCs w:val="22"/>
              </w:rPr>
              <w:t>张克东</w:t>
            </w:r>
            <w:r>
              <w:rPr>
                <w:rFonts w:ascii="宋体" w:hAnsi="宋体" w:cs="宋体" w:eastAsia="宋体" w:hint="default"/>
                <w:sz w:val="22"/>
                <w:szCs w:val="22"/>
              </w:rPr>
            </w: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418" w:right="0"/>
              <w:jc w:val="left"/>
              <w:rPr>
                <w:rFonts w:ascii="宋体" w:hAnsi="宋体" w:cs="宋体" w:eastAsia="宋体" w:hint="default"/>
                <w:sz w:val="22"/>
                <w:szCs w:val="22"/>
              </w:rPr>
            </w:pPr>
            <w:r>
              <w:rPr>
                <w:rFonts w:ascii="宋体" w:hAnsi="宋体" w:cs="宋体" w:eastAsia="宋体" w:hint="default"/>
                <w:sz w:val="22"/>
                <w:szCs w:val="22"/>
              </w:rPr>
              <w:t>（项目合伙人）</w:t>
            </w:r>
          </w:p>
        </w:tc>
      </w:tr>
      <w:tr>
        <w:trPr>
          <w:trHeight w:val="1039" w:hRule="exact"/>
        </w:trPr>
        <w:tc>
          <w:tcPr>
            <w:tcW w:w="4364" w:type="dxa"/>
            <w:tcBorders>
              <w:top w:val="nil" w:sz="6" w:space="0" w:color="auto"/>
              <w:left w:val="nil" w:sz="6" w:space="0" w:color="auto"/>
              <w:bottom w:val="nil" w:sz="6" w:space="0" w:color="auto"/>
              <w:right w:val="nil" w:sz="6" w:space="0" w:color="auto"/>
            </w:tcBorders>
          </w:tcPr>
          <w:p>
            <w:pP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tabs>
                <w:tab w:pos="2512" w:val="left" w:leader="none"/>
              </w:tabs>
              <w:spacing w:line="240" w:lineRule="auto"/>
              <w:ind w:left="418" w:right="0"/>
              <w:jc w:val="left"/>
              <w:rPr>
                <w:rFonts w:ascii="宋体" w:hAnsi="宋体" w:cs="宋体" w:eastAsia="宋体" w:hint="default"/>
                <w:sz w:val="22"/>
                <w:szCs w:val="22"/>
              </w:rPr>
            </w:pPr>
            <w:r>
              <w:rPr>
                <w:rFonts w:ascii="宋体" w:hAnsi="宋体" w:cs="宋体" w:eastAsia="宋体" w:hint="default"/>
                <w:spacing w:val="-1"/>
                <w:sz w:val="22"/>
                <w:szCs w:val="22"/>
              </w:rPr>
              <w:t>中国注册会计师：</w:t>
              <w:tab/>
            </w:r>
            <w:r>
              <w:rPr>
                <w:rFonts w:ascii="宋体" w:hAnsi="宋体" w:cs="宋体" w:eastAsia="宋体" w:hint="default"/>
                <w:spacing w:val="-3"/>
                <w:sz w:val="22"/>
                <w:szCs w:val="22"/>
              </w:rPr>
              <w:t>陈军</w:t>
            </w:r>
            <w:r>
              <w:rPr>
                <w:rFonts w:ascii="宋体" w:hAnsi="宋体" w:cs="宋体" w:eastAsia="宋体" w:hint="default"/>
                <w:sz w:val="22"/>
                <w:szCs w:val="22"/>
              </w:rPr>
            </w:r>
          </w:p>
        </w:tc>
      </w:tr>
      <w:tr>
        <w:trPr>
          <w:trHeight w:val="652" w:hRule="exact"/>
        </w:trPr>
        <w:tc>
          <w:tcPr>
            <w:tcW w:w="43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7"/>
                <w:szCs w:val="27"/>
              </w:rPr>
            </w:pPr>
          </w:p>
          <w:p>
            <w:pPr>
              <w:pStyle w:val="TableParagraph"/>
              <w:tabs>
                <w:tab w:pos="840" w:val="left" w:leader="none"/>
              </w:tabs>
              <w:spacing w:line="240" w:lineRule="auto"/>
              <w:ind w:right="97"/>
              <w:jc w:val="center"/>
              <w:rPr>
                <w:rFonts w:ascii="宋体" w:hAnsi="宋体" w:cs="宋体" w:eastAsia="宋体" w:hint="default"/>
                <w:sz w:val="22"/>
                <w:szCs w:val="22"/>
              </w:rPr>
            </w:pPr>
            <w:r>
              <w:rPr>
                <w:rFonts w:ascii="宋体" w:hAnsi="宋体" w:cs="宋体" w:eastAsia="宋体" w:hint="default"/>
                <w:sz w:val="22"/>
                <w:szCs w:val="22"/>
              </w:rPr>
              <w:t>中国</w:t>
              <w:tab/>
              <w:t>北京</w:t>
            </w:r>
          </w:p>
        </w:tc>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left="418" w:right="0"/>
              <w:jc w:val="left"/>
              <w:rPr>
                <w:rFonts w:ascii="宋体" w:hAnsi="宋体" w:cs="宋体" w:eastAsia="宋体" w:hint="default"/>
                <w:sz w:val="22"/>
                <w:szCs w:val="22"/>
              </w:rPr>
            </w:pPr>
            <w:r>
              <w:rPr>
                <w:rFonts w:ascii="宋体" w:hAnsi="宋体" w:cs="宋体" w:eastAsia="宋体" w:hint="default"/>
                <w:sz w:val="22"/>
                <w:szCs w:val="22"/>
              </w:rPr>
              <w:t>二〇一九年四月二十四日</w:t>
            </w:r>
          </w:p>
        </w:tc>
      </w:tr>
    </w:tbl>
    <w:p>
      <w:pPr>
        <w:spacing w:after="0" w:line="240" w:lineRule="auto"/>
        <w:jc w:val="left"/>
        <w:rPr>
          <w:rFonts w:ascii="宋体" w:hAnsi="宋体" w:cs="宋体" w:eastAsia="宋体" w:hint="default"/>
          <w:sz w:val="22"/>
          <w:szCs w:val="22"/>
        </w:rPr>
        <w:sectPr>
          <w:footerReference w:type="default" r:id="rId23"/>
          <w:pgSz w:w="11910" w:h="16840"/>
          <w:pgMar w:footer="1054" w:header="0" w:top="1420" w:bottom="1240" w:left="1400" w:right="1480"/>
          <w:pgNumType w:start="81"/>
        </w:sectPr>
      </w:pPr>
    </w:p>
    <w:p>
      <w:pPr>
        <w:spacing w:line="272" w:lineRule="exact" w:before="38"/>
        <w:ind w:left="3764" w:right="3919" w:firstLine="4"/>
        <w:jc w:val="center"/>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4"/>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tabs>
          <w:tab w:pos="7753" w:val="left" w:leader="none"/>
        </w:tabs>
        <w:spacing w:line="249" w:lineRule="exact" w:before="0"/>
        <w:ind w:left="38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编制单位：同方股份有限公司</w:t>
        <w:tab/>
        <w:t>单位：人民币元</w:t>
      </w:r>
      <w:r>
        <w:rPr>
          <w:rFonts w:ascii="宋体" w:hAnsi="宋体" w:cs="宋体" w:eastAsia="宋体" w:hint="default"/>
          <w:spacing w:val="-1"/>
          <w:sz w:val="21"/>
          <w:szCs w:val="21"/>
        </w:rPr>
      </w:r>
    </w:p>
    <w:p>
      <w:pPr>
        <w:spacing w:line="240" w:lineRule="auto" w:before="4"/>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3754"/>
        <w:gridCol w:w="886"/>
        <w:gridCol w:w="1963"/>
        <w:gridCol w:w="2451"/>
      </w:tblGrid>
      <w:tr>
        <w:trPr>
          <w:trHeight w:val="396"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7"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73"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94"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c>
          <w:tcPr>
            <w:tcW w:w="2451"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1</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spacing w:val="-1"/>
                <w:sz w:val="20"/>
              </w:rPr>
              <w:t>9,487,359,170.32</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spacing w:val="-1"/>
                <w:sz w:val="20"/>
              </w:rPr>
              <w:t>9,766,134,253.75</w:t>
            </w:r>
          </w:p>
        </w:tc>
      </w:tr>
      <w:tr>
        <w:trPr>
          <w:trHeight w:val="528"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506"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损益的金融资产</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2</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4"/>
              <w:jc w:val="right"/>
              <w:rPr>
                <w:rFonts w:ascii="Times New Roman" w:hAnsi="Times New Roman" w:cs="Times New Roman" w:eastAsia="Times New Roman" w:hint="default"/>
                <w:sz w:val="20"/>
                <w:szCs w:val="20"/>
              </w:rPr>
            </w:pPr>
            <w:r>
              <w:rPr>
                <w:rFonts w:ascii="Times New Roman"/>
                <w:w w:val="95"/>
                <w:sz w:val="20"/>
              </w:rPr>
              <w:t>513,614,483.77</w:t>
            </w:r>
            <w:r>
              <w:rPr>
                <w:rFonts w:ascii="Times New Roman"/>
                <w:sz w:val="20"/>
              </w:rPr>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4"/>
              <w:jc w:val="right"/>
              <w:rPr>
                <w:rFonts w:ascii="Times New Roman" w:hAnsi="Times New Roman" w:cs="Times New Roman" w:eastAsia="Times New Roman" w:hint="default"/>
                <w:sz w:val="20"/>
                <w:szCs w:val="20"/>
              </w:rPr>
            </w:pPr>
            <w:r>
              <w:rPr>
                <w:rFonts w:ascii="Times New Roman"/>
                <w:w w:val="95"/>
                <w:sz w:val="20"/>
              </w:rPr>
              <w:t>581,867,988.06</w:t>
            </w:r>
            <w:r>
              <w:rPr>
                <w:rFonts w:ascii="Times New Roman"/>
                <w:sz w:val="20"/>
              </w:rPr>
            </w:r>
          </w:p>
        </w:tc>
      </w:tr>
      <w:tr>
        <w:trPr>
          <w:trHeight w:val="396"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886"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20"/>
                <w:szCs w:val="20"/>
              </w:rPr>
            </w:pPr>
            <w:r>
              <w:rPr>
                <w:rFonts w:ascii="Times New Roman"/>
                <w:sz w:val="20"/>
              </w:rPr>
              <w:t>0.00</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20"/>
                <w:szCs w:val="20"/>
              </w:rPr>
            </w:pPr>
            <w:r>
              <w:rPr>
                <w:rFonts w:ascii="Times New Roman"/>
                <w:sz w:val="20"/>
              </w:rPr>
              <w:t>0.00</w:t>
            </w:r>
          </w:p>
        </w:tc>
      </w:tr>
      <w:tr>
        <w:trPr>
          <w:trHeight w:val="394"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06" w:right="0"/>
              <w:jc w:val="left"/>
              <w:rPr>
                <w:rFonts w:ascii="宋体" w:hAnsi="宋体" w:cs="宋体" w:eastAsia="宋体" w:hint="default"/>
                <w:sz w:val="20"/>
                <w:szCs w:val="20"/>
              </w:rPr>
            </w:pPr>
            <w:r>
              <w:rPr>
                <w:rFonts w:ascii="宋体" w:hAnsi="宋体" w:cs="宋体" w:eastAsia="宋体" w:hint="default"/>
                <w:sz w:val="20"/>
                <w:szCs w:val="20"/>
              </w:rPr>
              <w:t>应收票据及应收账款</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3</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Times New Roman" w:hAnsi="Times New Roman" w:cs="Times New Roman" w:eastAsia="Times New Roman" w:hint="default"/>
                <w:sz w:val="20"/>
                <w:szCs w:val="20"/>
              </w:rPr>
            </w:pPr>
            <w:r>
              <w:rPr>
                <w:rFonts w:ascii="Times New Roman"/>
                <w:spacing w:val="-1"/>
                <w:sz w:val="20"/>
              </w:rPr>
              <w:t>8,310,938,114.78</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Times New Roman" w:hAnsi="Times New Roman" w:cs="Times New Roman" w:eastAsia="Times New Roman" w:hint="default"/>
                <w:sz w:val="20"/>
                <w:szCs w:val="20"/>
              </w:rPr>
            </w:pPr>
            <w:r>
              <w:rPr>
                <w:rFonts w:ascii="Times New Roman"/>
                <w:spacing w:val="-1"/>
                <w:sz w:val="20"/>
              </w:rPr>
              <w:t>7,267,861,821.98</w:t>
            </w:r>
          </w:p>
        </w:tc>
      </w:tr>
      <w:tr>
        <w:trPr>
          <w:trHeight w:val="396"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4</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w w:val="95"/>
                <w:sz w:val="20"/>
              </w:rPr>
              <w:t>876,992,073.53</w:t>
            </w:r>
            <w:r>
              <w:rPr>
                <w:rFonts w:ascii="Times New Roman"/>
                <w:sz w:val="20"/>
              </w:rPr>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spacing w:val="-1"/>
                <w:sz w:val="20"/>
              </w:rPr>
              <w:t>1,037,803,769.94</w:t>
            </w:r>
          </w:p>
        </w:tc>
      </w:tr>
      <w:tr>
        <w:trPr>
          <w:trHeight w:val="397"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06"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5</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spacing w:val="-1"/>
                <w:sz w:val="20"/>
              </w:rPr>
              <w:t>1,807,985,241.91</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w w:val="95"/>
                <w:sz w:val="20"/>
              </w:rPr>
              <w:t>869,951,903.92</w:t>
            </w:r>
            <w:r>
              <w:rPr>
                <w:rFonts w:ascii="Times New Roman"/>
                <w:sz w:val="20"/>
              </w:rPr>
            </w:r>
          </w:p>
        </w:tc>
      </w:tr>
      <w:tr>
        <w:trPr>
          <w:trHeight w:val="394"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06"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6</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Times New Roman" w:hAnsi="Times New Roman" w:cs="Times New Roman" w:eastAsia="Times New Roman" w:hint="default"/>
                <w:sz w:val="20"/>
                <w:szCs w:val="20"/>
              </w:rPr>
            </w:pPr>
            <w:r>
              <w:rPr>
                <w:rFonts w:ascii="Times New Roman"/>
                <w:spacing w:val="-1"/>
                <w:sz w:val="20"/>
              </w:rPr>
              <w:t>9,120,677,851.27</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Times New Roman" w:hAnsi="Times New Roman" w:cs="Times New Roman" w:eastAsia="Times New Roman" w:hint="default"/>
                <w:sz w:val="20"/>
                <w:szCs w:val="20"/>
              </w:rPr>
            </w:pPr>
            <w:r>
              <w:rPr>
                <w:rFonts w:ascii="Times New Roman"/>
                <w:spacing w:val="-1"/>
                <w:sz w:val="20"/>
              </w:rPr>
              <w:t>9,312,519,266.75</w:t>
            </w:r>
          </w:p>
        </w:tc>
      </w:tr>
      <w:tr>
        <w:trPr>
          <w:trHeight w:val="396"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持有待售的资产</w:t>
            </w:r>
          </w:p>
        </w:tc>
        <w:tc>
          <w:tcPr>
            <w:tcW w:w="886"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20"/>
                <w:szCs w:val="20"/>
              </w:rPr>
            </w:pPr>
            <w:r>
              <w:rPr>
                <w:rFonts w:ascii="Times New Roman"/>
                <w:sz w:val="20"/>
              </w:rPr>
              <w:t>0.00</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20"/>
                <w:szCs w:val="20"/>
              </w:rPr>
            </w:pPr>
            <w:r>
              <w:rPr>
                <w:rFonts w:ascii="Times New Roman"/>
                <w:sz w:val="20"/>
              </w:rPr>
              <w:t>0.00</w:t>
            </w:r>
          </w:p>
        </w:tc>
      </w:tr>
      <w:tr>
        <w:trPr>
          <w:trHeight w:val="394"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06"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7</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Times New Roman" w:hAnsi="Times New Roman" w:cs="Times New Roman" w:eastAsia="Times New Roman" w:hint="default"/>
                <w:sz w:val="20"/>
                <w:szCs w:val="20"/>
              </w:rPr>
            </w:pPr>
            <w:r>
              <w:rPr>
                <w:rFonts w:ascii="Times New Roman"/>
                <w:w w:val="95"/>
                <w:sz w:val="20"/>
              </w:rPr>
              <w:t>8,231,873.57</w:t>
            </w:r>
            <w:r>
              <w:rPr>
                <w:rFonts w:ascii="Times New Roman"/>
                <w:sz w:val="20"/>
              </w:rPr>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Times New Roman" w:hAnsi="Times New Roman" w:cs="Times New Roman" w:eastAsia="Times New Roman" w:hint="default"/>
                <w:sz w:val="20"/>
                <w:szCs w:val="20"/>
              </w:rPr>
            </w:pPr>
            <w:r>
              <w:rPr>
                <w:rFonts w:ascii="Times New Roman"/>
                <w:w w:val="95"/>
                <w:sz w:val="20"/>
              </w:rPr>
              <w:t>90,320,747.81</w:t>
            </w:r>
            <w:r>
              <w:rPr>
                <w:rFonts w:ascii="Times New Roman"/>
                <w:sz w:val="20"/>
              </w:rPr>
            </w:r>
          </w:p>
        </w:tc>
      </w:tr>
      <w:tr>
        <w:trPr>
          <w:trHeight w:val="396"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8</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spacing w:val="-1"/>
                <w:sz w:val="20"/>
              </w:rPr>
              <w:t>2,287,453,477.99</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spacing w:val="-1"/>
                <w:sz w:val="20"/>
              </w:rPr>
              <w:t>2,144,075,511.53</w:t>
            </w:r>
          </w:p>
        </w:tc>
      </w:tr>
      <w:tr>
        <w:trPr>
          <w:trHeight w:val="396"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04"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886"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Times New Roman" w:hAnsi="Times New Roman" w:cs="Times New Roman" w:eastAsia="Times New Roman" w:hint="default"/>
                <w:sz w:val="20"/>
                <w:szCs w:val="20"/>
              </w:rPr>
            </w:pPr>
            <w:r>
              <w:rPr>
                <w:rFonts w:ascii="Times New Roman"/>
                <w:b/>
                <w:w w:val="95"/>
                <w:sz w:val="20"/>
              </w:rPr>
              <w:t>32,413,252,287.14</w:t>
            </w:r>
            <w:r>
              <w:rPr>
                <w:rFonts w:ascii="Times New Roman"/>
                <w:sz w:val="20"/>
              </w:rPr>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Times New Roman" w:hAnsi="Times New Roman" w:cs="Times New Roman" w:eastAsia="Times New Roman" w:hint="default"/>
                <w:sz w:val="20"/>
                <w:szCs w:val="20"/>
              </w:rPr>
            </w:pPr>
            <w:r>
              <w:rPr>
                <w:rFonts w:ascii="Times New Roman"/>
                <w:b/>
                <w:w w:val="95"/>
                <w:sz w:val="20"/>
              </w:rPr>
              <w:t>31,070,535,263.74</w:t>
            </w:r>
            <w:r>
              <w:rPr>
                <w:rFonts w:ascii="Times New Roman"/>
                <w:sz w:val="20"/>
              </w:rPr>
            </w:r>
          </w:p>
        </w:tc>
      </w:tr>
      <w:tr>
        <w:trPr>
          <w:trHeight w:val="394"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c>
          <w:tcPr>
            <w:tcW w:w="2451"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06"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9</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spacing w:val="-1"/>
                <w:sz w:val="20"/>
              </w:rPr>
              <w:t>3,559,853,165.78</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spacing w:val="-1"/>
                <w:sz w:val="20"/>
              </w:rPr>
              <w:t>5,050,744,183.01</w:t>
            </w:r>
          </w:p>
        </w:tc>
      </w:tr>
      <w:tr>
        <w:trPr>
          <w:trHeight w:val="394"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06"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886"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Times New Roman" w:hAnsi="Times New Roman" w:cs="Times New Roman" w:eastAsia="Times New Roman" w:hint="default"/>
                <w:sz w:val="20"/>
                <w:szCs w:val="20"/>
              </w:rPr>
            </w:pPr>
            <w:r>
              <w:rPr>
                <w:rFonts w:ascii="Times New Roman"/>
                <w:sz w:val="20"/>
              </w:rPr>
              <w:t>0.00</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Times New Roman" w:hAnsi="Times New Roman" w:cs="Times New Roman" w:eastAsia="Times New Roman" w:hint="default"/>
                <w:sz w:val="20"/>
                <w:szCs w:val="20"/>
              </w:rPr>
            </w:pPr>
            <w:r>
              <w:rPr>
                <w:rFonts w:ascii="Times New Roman"/>
                <w:sz w:val="20"/>
              </w:rPr>
              <w:t>0.00</w:t>
            </w:r>
          </w:p>
        </w:tc>
      </w:tr>
      <w:tr>
        <w:trPr>
          <w:trHeight w:val="396"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10</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spacing w:val="-1"/>
                <w:sz w:val="20"/>
              </w:rPr>
              <w:t>1,851,646,717.96</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spacing w:val="-1"/>
                <w:sz w:val="20"/>
              </w:rPr>
              <w:t>1,494,624,149.00</w:t>
            </w:r>
          </w:p>
        </w:tc>
      </w:tr>
      <w:tr>
        <w:trPr>
          <w:trHeight w:val="394"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06"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11</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Times New Roman" w:hAnsi="Times New Roman" w:cs="Times New Roman" w:eastAsia="Times New Roman" w:hint="default"/>
                <w:sz w:val="20"/>
                <w:szCs w:val="20"/>
              </w:rPr>
            </w:pPr>
            <w:r>
              <w:rPr>
                <w:rFonts w:ascii="Times New Roman"/>
                <w:w w:val="95"/>
                <w:sz w:val="20"/>
              </w:rPr>
              <w:t>16,515,801,678.29</w:t>
            </w:r>
            <w:r>
              <w:rPr>
                <w:rFonts w:ascii="Times New Roman"/>
                <w:sz w:val="20"/>
              </w:rPr>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Times New Roman" w:hAnsi="Times New Roman" w:cs="Times New Roman" w:eastAsia="Times New Roman" w:hint="default"/>
                <w:sz w:val="20"/>
                <w:szCs w:val="20"/>
              </w:rPr>
            </w:pPr>
            <w:r>
              <w:rPr>
                <w:rFonts w:ascii="Times New Roman"/>
                <w:w w:val="95"/>
                <w:sz w:val="20"/>
              </w:rPr>
              <w:t>17,350,405,728.38</w:t>
            </w:r>
            <w:r>
              <w:rPr>
                <w:rFonts w:ascii="Times New Roman"/>
                <w:sz w:val="20"/>
              </w:rPr>
            </w:r>
          </w:p>
        </w:tc>
      </w:tr>
      <w:tr>
        <w:trPr>
          <w:trHeight w:val="396"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12</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w w:val="95"/>
                <w:sz w:val="20"/>
              </w:rPr>
              <w:t>772,964,600.00</w:t>
            </w:r>
            <w:r>
              <w:rPr>
                <w:rFonts w:ascii="Times New Roman"/>
                <w:sz w:val="20"/>
              </w:rPr>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w w:val="95"/>
                <w:sz w:val="20"/>
              </w:rPr>
              <w:t>14,200,000.00</w:t>
            </w:r>
            <w:r>
              <w:rPr>
                <w:rFonts w:ascii="Times New Roman"/>
                <w:sz w:val="20"/>
              </w:rPr>
            </w:r>
          </w:p>
        </w:tc>
      </w:tr>
      <w:tr>
        <w:trPr>
          <w:trHeight w:val="396"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06"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13</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spacing w:val="-1"/>
                <w:sz w:val="20"/>
              </w:rPr>
              <w:t>3,814,218,604.74</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spacing w:val="-1"/>
                <w:sz w:val="20"/>
              </w:rPr>
              <w:t>3,684,024,746.59</w:t>
            </w:r>
          </w:p>
        </w:tc>
      </w:tr>
      <w:tr>
        <w:trPr>
          <w:trHeight w:val="394"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06"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14</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Times New Roman" w:hAnsi="Times New Roman" w:cs="Times New Roman" w:eastAsia="Times New Roman" w:hint="default"/>
                <w:sz w:val="20"/>
                <w:szCs w:val="20"/>
              </w:rPr>
            </w:pPr>
            <w:r>
              <w:rPr>
                <w:rFonts w:ascii="Times New Roman"/>
                <w:w w:val="95"/>
                <w:sz w:val="20"/>
              </w:rPr>
              <w:t>488,324,643.03</w:t>
            </w:r>
            <w:r>
              <w:rPr>
                <w:rFonts w:ascii="Times New Roman"/>
                <w:sz w:val="20"/>
              </w:rPr>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Times New Roman" w:hAnsi="Times New Roman" w:cs="Times New Roman" w:eastAsia="Times New Roman" w:hint="default"/>
                <w:sz w:val="20"/>
                <w:szCs w:val="20"/>
              </w:rPr>
            </w:pPr>
            <w:r>
              <w:rPr>
                <w:rFonts w:ascii="Times New Roman"/>
                <w:w w:val="95"/>
                <w:sz w:val="20"/>
              </w:rPr>
              <w:t>427,071,590.29</w:t>
            </w:r>
            <w:r>
              <w:rPr>
                <w:rFonts w:ascii="Times New Roman"/>
                <w:sz w:val="20"/>
              </w:rPr>
            </w:r>
          </w:p>
        </w:tc>
      </w:tr>
      <w:tr>
        <w:trPr>
          <w:trHeight w:val="396"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886"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20"/>
                <w:szCs w:val="20"/>
              </w:rPr>
            </w:pPr>
            <w:r>
              <w:rPr>
                <w:rFonts w:ascii="Times New Roman"/>
                <w:sz w:val="20"/>
              </w:rPr>
              <w:t>0.00</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20"/>
                <w:szCs w:val="20"/>
              </w:rPr>
            </w:pPr>
            <w:r>
              <w:rPr>
                <w:rFonts w:ascii="Times New Roman"/>
                <w:sz w:val="20"/>
              </w:rPr>
              <w:t>0.00</w:t>
            </w:r>
          </w:p>
        </w:tc>
      </w:tr>
      <w:tr>
        <w:trPr>
          <w:trHeight w:val="394"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06"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886"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Times New Roman" w:hAnsi="Times New Roman" w:cs="Times New Roman" w:eastAsia="Times New Roman" w:hint="default"/>
                <w:sz w:val="20"/>
                <w:szCs w:val="20"/>
              </w:rPr>
            </w:pPr>
            <w:r>
              <w:rPr>
                <w:rFonts w:ascii="Times New Roman"/>
                <w:sz w:val="20"/>
              </w:rPr>
              <w:t>0.00</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Times New Roman" w:hAnsi="Times New Roman" w:cs="Times New Roman" w:eastAsia="Times New Roman" w:hint="default"/>
                <w:sz w:val="20"/>
                <w:szCs w:val="20"/>
              </w:rPr>
            </w:pPr>
            <w:r>
              <w:rPr>
                <w:rFonts w:ascii="Times New Roman"/>
                <w:sz w:val="20"/>
              </w:rPr>
              <w:t>0.00</w:t>
            </w:r>
          </w:p>
        </w:tc>
      </w:tr>
      <w:tr>
        <w:trPr>
          <w:trHeight w:val="396"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15</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spacing w:val="-1"/>
                <w:sz w:val="20"/>
              </w:rPr>
              <w:t>1,261,860,472.36</w:t>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spacing w:val="-1"/>
                <w:sz w:val="20"/>
              </w:rPr>
              <w:t>1,370,597,614.22</w:t>
            </w:r>
          </w:p>
        </w:tc>
      </w:tr>
      <w:tr>
        <w:trPr>
          <w:trHeight w:val="396"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06"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16</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Times New Roman" w:hAnsi="Times New Roman" w:cs="Times New Roman" w:eastAsia="Times New Roman" w:hint="default"/>
                <w:sz w:val="20"/>
                <w:szCs w:val="20"/>
              </w:rPr>
            </w:pPr>
            <w:r>
              <w:rPr>
                <w:rFonts w:ascii="Times New Roman"/>
                <w:w w:val="95"/>
                <w:sz w:val="20"/>
              </w:rPr>
              <w:t>954,492,691.68</w:t>
            </w:r>
            <w:r>
              <w:rPr>
                <w:rFonts w:ascii="Times New Roman"/>
                <w:sz w:val="20"/>
              </w:rPr>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Times New Roman" w:hAnsi="Times New Roman" w:cs="Times New Roman" w:eastAsia="Times New Roman" w:hint="default"/>
                <w:sz w:val="20"/>
                <w:szCs w:val="20"/>
              </w:rPr>
            </w:pPr>
            <w:r>
              <w:rPr>
                <w:rFonts w:ascii="Times New Roman"/>
                <w:w w:val="95"/>
                <w:sz w:val="20"/>
              </w:rPr>
              <w:t>792,420,033.04</w:t>
            </w:r>
            <w:r>
              <w:rPr>
                <w:rFonts w:ascii="Times New Roman"/>
                <w:sz w:val="20"/>
              </w:rPr>
            </w:r>
          </w:p>
        </w:tc>
      </w:tr>
      <w:tr>
        <w:trPr>
          <w:trHeight w:val="394"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06"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17</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Times New Roman" w:hAnsi="Times New Roman" w:cs="Times New Roman" w:eastAsia="Times New Roman" w:hint="default"/>
                <w:sz w:val="20"/>
                <w:szCs w:val="20"/>
              </w:rPr>
            </w:pPr>
            <w:r>
              <w:rPr>
                <w:rFonts w:ascii="Times New Roman"/>
                <w:w w:val="95"/>
                <w:sz w:val="20"/>
              </w:rPr>
              <w:t>151,333,226.31</w:t>
            </w:r>
            <w:r>
              <w:rPr>
                <w:rFonts w:ascii="Times New Roman"/>
                <w:sz w:val="20"/>
              </w:rPr>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Times New Roman" w:hAnsi="Times New Roman" w:cs="Times New Roman" w:eastAsia="Times New Roman" w:hint="default"/>
                <w:sz w:val="20"/>
                <w:szCs w:val="20"/>
              </w:rPr>
            </w:pPr>
            <w:r>
              <w:rPr>
                <w:rFonts w:ascii="Times New Roman"/>
                <w:spacing w:val="-1"/>
                <w:sz w:val="20"/>
              </w:rPr>
              <w:t>1,174,919,183.63</w:t>
            </w:r>
          </w:p>
        </w:tc>
      </w:tr>
      <w:tr>
        <w:trPr>
          <w:trHeight w:val="397"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506"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18</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4"/>
              <w:jc w:val="right"/>
              <w:rPr>
                <w:rFonts w:ascii="Times New Roman" w:hAnsi="Times New Roman" w:cs="Times New Roman" w:eastAsia="Times New Roman" w:hint="default"/>
                <w:sz w:val="20"/>
                <w:szCs w:val="20"/>
              </w:rPr>
            </w:pPr>
            <w:r>
              <w:rPr>
                <w:rFonts w:ascii="Times New Roman"/>
                <w:w w:val="95"/>
                <w:sz w:val="20"/>
              </w:rPr>
              <w:t>61,233,435.32</w:t>
            </w:r>
            <w:r>
              <w:rPr>
                <w:rFonts w:ascii="Times New Roman"/>
                <w:sz w:val="20"/>
              </w:rPr>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4"/>
              <w:jc w:val="right"/>
              <w:rPr>
                <w:rFonts w:ascii="Times New Roman" w:hAnsi="Times New Roman" w:cs="Times New Roman" w:eastAsia="Times New Roman" w:hint="default"/>
                <w:sz w:val="20"/>
                <w:szCs w:val="20"/>
              </w:rPr>
            </w:pPr>
            <w:r>
              <w:rPr>
                <w:rFonts w:ascii="Times New Roman"/>
                <w:w w:val="95"/>
                <w:sz w:val="20"/>
              </w:rPr>
              <w:t>47,029,810.30</w:t>
            </w:r>
            <w:r>
              <w:rPr>
                <w:rFonts w:ascii="Times New Roman"/>
                <w:sz w:val="20"/>
              </w:rPr>
            </w:r>
          </w:p>
        </w:tc>
      </w:tr>
      <w:tr>
        <w:trPr>
          <w:trHeight w:val="394"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06"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19</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Times New Roman" w:hAnsi="Times New Roman" w:cs="Times New Roman" w:eastAsia="Times New Roman" w:hint="default"/>
                <w:sz w:val="20"/>
                <w:szCs w:val="20"/>
              </w:rPr>
            </w:pPr>
            <w:r>
              <w:rPr>
                <w:rFonts w:ascii="Times New Roman"/>
                <w:w w:val="95"/>
                <w:sz w:val="20"/>
              </w:rPr>
              <w:t>888,480,206.06</w:t>
            </w:r>
            <w:r>
              <w:rPr>
                <w:rFonts w:ascii="Times New Roman"/>
                <w:sz w:val="20"/>
              </w:rPr>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Times New Roman" w:hAnsi="Times New Roman" w:cs="Times New Roman" w:eastAsia="Times New Roman" w:hint="default"/>
                <w:sz w:val="20"/>
                <w:szCs w:val="20"/>
              </w:rPr>
            </w:pPr>
            <w:r>
              <w:rPr>
                <w:rFonts w:ascii="Times New Roman"/>
                <w:w w:val="95"/>
                <w:sz w:val="20"/>
              </w:rPr>
              <w:t>460,687,142.34</w:t>
            </w:r>
            <w:r>
              <w:rPr>
                <w:rFonts w:ascii="Times New Roman"/>
                <w:sz w:val="20"/>
              </w:rPr>
            </w:r>
          </w:p>
        </w:tc>
      </w:tr>
      <w:tr>
        <w:trPr>
          <w:trHeight w:val="396"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20</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w w:val="95"/>
                <w:sz w:val="20"/>
              </w:rPr>
              <w:t>876,178,632.88</w:t>
            </w:r>
            <w:r>
              <w:rPr>
                <w:rFonts w:ascii="Times New Roman"/>
                <w:sz w:val="20"/>
              </w:rPr>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w w:val="95"/>
                <w:sz w:val="20"/>
              </w:rPr>
              <w:t>657,786,121.16</w:t>
            </w:r>
            <w:r>
              <w:rPr>
                <w:rFonts w:ascii="Times New Roman"/>
                <w:sz w:val="20"/>
              </w:rPr>
            </w:r>
          </w:p>
        </w:tc>
      </w:tr>
      <w:tr>
        <w:trPr>
          <w:trHeight w:val="394"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04"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886"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Times New Roman" w:hAnsi="Times New Roman" w:cs="Times New Roman" w:eastAsia="Times New Roman" w:hint="default"/>
                <w:sz w:val="20"/>
                <w:szCs w:val="20"/>
              </w:rPr>
            </w:pPr>
            <w:r>
              <w:rPr>
                <w:rFonts w:ascii="Times New Roman"/>
                <w:b/>
                <w:w w:val="95"/>
                <w:sz w:val="20"/>
              </w:rPr>
              <w:t>31,196,388,074.41</w:t>
            </w:r>
            <w:r>
              <w:rPr>
                <w:rFonts w:ascii="Times New Roman"/>
                <w:sz w:val="20"/>
              </w:rPr>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Times New Roman" w:hAnsi="Times New Roman" w:cs="Times New Roman" w:eastAsia="Times New Roman" w:hint="default"/>
                <w:sz w:val="20"/>
                <w:szCs w:val="20"/>
              </w:rPr>
            </w:pPr>
            <w:r>
              <w:rPr>
                <w:rFonts w:ascii="Times New Roman"/>
                <w:b/>
                <w:w w:val="95"/>
                <w:sz w:val="20"/>
              </w:rPr>
              <w:t>32,524,510,301.96</w:t>
            </w:r>
            <w:r>
              <w:rPr>
                <w:rFonts w:ascii="Times New Roman"/>
                <w:sz w:val="20"/>
              </w:rPr>
            </w:r>
          </w:p>
        </w:tc>
      </w:tr>
      <w:tr>
        <w:trPr>
          <w:trHeight w:val="396" w:hRule="exact"/>
        </w:trPr>
        <w:tc>
          <w:tcPr>
            <w:tcW w:w="375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
        </w:tc>
        <w:tc>
          <w:tcPr>
            <w:tcW w:w="2451"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9" w:right="0"/>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4"/>
              <w:jc w:val="right"/>
              <w:rPr>
                <w:rFonts w:ascii="Times New Roman" w:hAnsi="Times New Roman" w:cs="Times New Roman" w:eastAsia="Times New Roman" w:hint="default"/>
                <w:sz w:val="20"/>
                <w:szCs w:val="20"/>
              </w:rPr>
            </w:pPr>
            <w:r>
              <w:rPr>
                <w:rFonts w:ascii="Times New Roman"/>
                <w:b/>
                <w:w w:val="95"/>
                <w:sz w:val="20"/>
              </w:rPr>
              <w:t>63,609,640,361.55</w:t>
            </w:r>
            <w:r>
              <w:rPr>
                <w:rFonts w:ascii="Times New Roman"/>
                <w:sz w:val="20"/>
              </w:rPr>
            </w:r>
          </w:p>
        </w:tc>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4"/>
              <w:jc w:val="right"/>
              <w:rPr>
                <w:rFonts w:ascii="Times New Roman" w:hAnsi="Times New Roman" w:cs="Times New Roman" w:eastAsia="Times New Roman" w:hint="default"/>
                <w:sz w:val="20"/>
                <w:szCs w:val="20"/>
              </w:rPr>
            </w:pPr>
            <w:r>
              <w:rPr>
                <w:rFonts w:ascii="Times New Roman"/>
                <w:b/>
                <w:w w:val="95"/>
                <w:sz w:val="20"/>
              </w:rPr>
              <w:t>63,595,045,565.70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footerReference w:type="default" r:id="rId24"/>
          <w:pgSz w:w="11910" w:h="16840"/>
          <w:pgMar w:footer="1607" w:header="0" w:top="1360" w:bottom="1800" w:left="1320" w:right="1160"/>
          <w:pgNumType w:start="82"/>
        </w:sectPr>
      </w:pPr>
    </w:p>
    <w:p>
      <w:pPr>
        <w:spacing w:line="272" w:lineRule="exact" w:before="38"/>
        <w:ind w:left="4021" w:right="4035" w:firstLine="0"/>
        <w:jc w:val="center"/>
        <w:rPr>
          <w:rFonts w:ascii="宋体" w:hAnsi="宋体" w:cs="宋体" w:eastAsia="宋体" w:hint="default"/>
          <w:sz w:val="21"/>
          <w:szCs w:val="21"/>
        </w:rPr>
      </w:pPr>
      <w:r>
        <w:rPr>
          <w:rFonts w:ascii="宋体" w:hAnsi="宋体" w:cs="宋体" w:eastAsia="宋体" w:hint="default"/>
          <w:b/>
          <w:bCs/>
          <w:spacing w:val="-1"/>
          <w:sz w:val="21"/>
          <w:szCs w:val="21"/>
        </w:rPr>
        <w:t>合并资产负债表（续）</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4"/>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tabs>
          <w:tab w:pos="8443" w:val="left" w:leader="none"/>
        </w:tabs>
        <w:spacing w:line="249" w:lineRule="exact" w:before="0"/>
        <w:ind w:left="86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编制单位：同方股份有限公司</w:t>
        <w:tab/>
        <w:t>单位：人民币元</w:t>
      </w:r>
      <w:r>
        <w:rPr>
          <w:rFonts w:ascii="宋体" w:hAnsi="宋体" w:cs="宋体" w:eastAsia="宋体" w:hint="default"/>
          <w:spacing w:val="-1"/>
          <w:sz w:val="21"/>
          <w:szCs w:val="21"/>
        </w:rPr>
      </w:r>
    </w:p>
    <w:p>
      <w:pPr>
        <w:spacing w:line="240" w:lineRule="auto" w:before="4"/>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5118"/>
        <w:gridCol w:w="960"/>
        <w:gridCol w:w="1928"/>
        <w:gridCol w:w="1928"/>
      </w:tblGrid>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6" w:right="0"/>
              <w:jc w:val="center"/>
              <w:rPr>
                <w:rFonts w:ascii="宋体" w:hAnsi="宋体" w:cs="宋体" w:eastAsia="宋体" w:hint="default"/>
                <w:sz w:val="20"/>
                <w:szCs w:val="20"/>
              </w:rPr>
            </w:pPr>
            <w:r>
              <w:rPr>
                <w:rFonts w:ascii="宋体" w:hAnsi="宋体" w:cs="宋体" w:eastAsia="宋体" w:hint="default"/>
                <w:b/>
                <w:bCs/>
                <w:sz w:val="20"/>
                <w:szCs w:val="20"/>
              </w:rPr>
              <w:t>负债和股东权益</w:t>
            </w:r>
            <w:r>
              <w:rPr>
                <w:rFonts w:ascii="宋体" w:hAnsi="宋体" w:cs="宋体" w:eastAsia="宋体" w:hint="default"/>
                <w:sz w:val="20"/>
                <w:szCs w:val="20"/>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0"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54"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56"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96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6"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22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Times New Roman" w:hAnsi="Times New Roman" w:cs="Times New Roman" w:eastAsia="Times New Roman" w:hint="default"/>
                <w:sz w:val="20"/>
                <w:szCs w:val="20"/>
              </w:rPr>
            </w:pPr>
            <w:r>
              <w:rPr>
                <w:rFonts w:ascii="Times New Roman"/>
                <w:spacing w:val="-1"/>
                <w:sz w:val="20"/>
              </w:rPr>
              <w:t>8,559,674,203.12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
              <w:jc w:val="right"/>
              <w:rPr>
                <w:rFonts w:ascii="Times New Roman" w:hAnsi="Times New Roman" w:cs="Times New Roman" w:eastAsia="Times New Roman" w:hint="default"/>
                <w:sz w:val="20"/>
                <w:szCs w:val="20"/>
              </w:rPr>
            </w:pPr>
            <w:r>
              <w:rPr>
                <w:rFonts w:ascii="Times New Roman"/>
                <w:spacing w:val="-1"/>
                <w:sz w:val="20"/>
              </w:rPr>
              <w:t>9,035,043,073.07</w:t>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6"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以公允价值计量且其变动计入当期损益的金融负债</w:t>
            </w:r>
          </w:p>
        </w:tc>
        <w:tc>
          <w:tcPr>
            <w:tcW w:w="96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5"/>
              <w:jc w:val="right"/>
              <w:rPr>
                <w:rFonts w:ascii="Times New Roman" w:hAnsi="Times New Roman" w:cs="Times New Roman" w:eastAsia="Times New Roman" w:hint="default"/>
                <w:sz w:val="20"/>
                <w:szCs w:val="20"/>
              </w:rPr>
            </w:pPr>
            <w:r>
              <w:rPr>
                <w:rFonts w:ascii="Times New Roman"/>
                <w:sz w:val="20"/>
              </w:rPr>
              <w:t>0.00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20"/>
                <w:szCs w:val="20"/>
              </w:rPr>
            </w:pPr>
            <w:r>
              <w:rPr>
                <w:rFonts w:ascii="Times New Roman"/>
                <w:sz w:val="20"/>
              </w:rPr>
              <w:t>0.00</w:t>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6"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96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5"/>
              <w:jc w:val="right"/>
              <w:rPr>
                <w:rFonts w:ascii="Times New Roman" w:hAnsi="Times New Roman" w:cs="Times New Roman" w:eastAsia="Times New Roman" w:hint="default"/>
                <w:sz w:val="20"/>
                <w:szCs w:val="20"/>
              </w:rPr>
            </w:pPr>
            <w:r>
              <w:rPr>
                <w:rFonts w:ascii="Times New Roman"/>
                <w:sz w:val="20"/>
              </w:rPr>
              <w:t>0.00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20"/>
                <w:szCs w:val="20"/>
              </w:rPr>
            </w:pPr>
            <w:r>
              <w:rPr>
                <w:rFonts w:ascii="Times New Roman"/>
                <w:sz w:val="20"/>
              </w:rPr>
              <w:t>0.00</w:t>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6" w:right="0"/>
              <w:jc w:val="left"/>
              <w:rPr>
                <w:rFonts w:ascii="宋体" w:hAnsi="宋体" w:cs="宋体" w:eastAsia="宋体" w:hint="default"/>
                <w:sz w:val="20"/>
                <w:szCs w:val="20"/>
              </w:rPr>
            </w:pPr>
            <w:r>
              <w:rPr>
                <w:rFonts w:ascii="宋体" w:hAnsi="宋体" w:cs="宋体" w:eastAsia="宋体" w:hint="default"/>
                <w:sz w:val="20"/>
                <w:szCs w:val="20"/>
              </w:rPr>
              <w:t>应付票据及应付账款</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23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7"/>
              <w:jc w:val="right"/>
              <w:rPr>
                <w:rFonts w:ascii="Times New Roman" w:hAnsi="Times New Roman" w:cs="Times New Roman" w:eastAsia="Times New Roman" w:hint="default"/>
                <w:sz w:val="20"/>
                <w:szCs w:val="20"/>
              </w:rPr>
            </w:pPr>
            <w:r>
              <w:rPr>
                <w:rFonts w:ascii="Times New Roman"/>
                <w:spacing w:val="-1"/>
                <w:sz w:val="20"/>
              </w:rPr>
              <w:t>7,849,143,461.19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5"/>
              <w:jc w:val="right"/>
              <w:rPr>
                <w:rFonts w:ascii="Times New Roman" w:hAnsi="Times New Roman" w:cs="Times New Roman" w:eastAsia="Times New Roman" w:hint="default"/>
                <w:sz w:val="20"/>
                <w:szCs w:val="20"/>
              </w:rPr>
            </w:pPr>
            <w:r>
              <w:rPr>
                <w:rFonts w:ascii="Times New Roman"/>
                <w:spacing w:val="-1"/>
                <w:sz w:val="20"/>
              </w:rPr>
              <w:t>7,529,417,846.66</w:t>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6"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24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7"/>
              <w:jc w:val="right"/>
              <w:rPr>
                <w:rFonts w:ascii="Times New Roman" w:hAnsi="Times New Roman" w:cs="Times New Roman" w:eastAsia="Times New Roman" w:hint="default"/>
                <w:sz w:val="20"/>
                <w:szCs w:val="20"/>
              </w:rPr>
            </w:pPr>
            <w:r>
              <w:rPr>
                <w:rFonts w:ascii="Times New Roman"/>
                <w:spacing w:val="-1"/>
                <w:sz w:val="20"/>
              </w:rPr>
              <w:t>5,076,844,548.71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5"/>
              <w:jc w:val="right"/>
              <w:rPr>
                <w:rFonts w:ascii="Times New Roman" w:hAnsi="Times New Roman" w:cs="Times New Roman" w:eastAsia="Times New Roman" w:hint="default"/>
                <w:sz w:val="20"/>
                <w:szCs w:val="20"/>
              </w:rPr>
            </w:pPr>
            <w:r>
              <w:rPr>
                <w:rFonts w:ascii="Times New Roman"/>
                <w:spacing w:val="-1"/>
                <w:sz w:val="20"/>
              </w:rPr>
              <w:t>4,664,947,062.40</w:t>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6"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25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Times New Roman" w:hAnsi="Times New Roman" w:cs="Times New Roman" w:eastAsia="Times New Roman" w:hint="default"/>
                <w:sz w:val="20"/>
                <w:szCs w:val="20"/>
              </w:rPr>
            </w:pPr>
            <w:r>
              <w:rPr>
                <w:rFonts w:ascii="Times New Roman"/>
                <w:w w:val="95"/>
                <w:sz w:val="20"/>
              </w:rPr>
              <w:t>678,843,039.48</w:t>
            </w:r>
            <w:r>
              <w:rPr>
                <w:rFonts w:ascii="Times New Roman"/>
                <w:sz w:val="20"/>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Times New Roman" w:hAnsi="Times New Roman" w:cs="Times New Roman" w:eastAsia="Times New Roman" w:hint="default"/>
                <w:sz w:val="20"/>
                <w:szCs w:val="20"/>
              </w:rPr>
            </w:pPr>
            <w:r>
              <w:rPr>
                <w:rFonts w:ascii="Times New Roman"/>
                <w:w w:val="95"/>
                <w:sz w:val="20"/>
              </w:rPr>
              <w:t>610,580,883.79</w:t>
            </w:r>
            <w:r>
              <w:rPr>
                <w:rFonts w:ascii="Times New Roman"/>
                <w:sz w:val="20"/>
              </w:rPr>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6"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26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Times New Roman" w:hAnsi="Times New Roman" w:cs="Times New Roman" w:eastAsia="Times New Roman" w:hint="default"/>
                <w:sz w:val="20"/>
                <w:szCs w:val="20"/>
              </w:rPr>
            </w:pPr>
            <w:r>
              <w:rPr>
                <w:rFonts w:ascii="Times New Roman"/>
                <w:w w:val="95"/>
                <w:sz w:val="20"/>
              </w:rPr>
              <w:t>604,574,118.57</w:t>
            </w:r>
            <w:r>
              <w:rPr>
                <w:rFonts w:ascii="Times New Roman"/>
                <w:sz w:val="20"/>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Times New Roman" w:hAnsi="Times New Roman" w:cs="Times New Roman" w:eastAsia="Times New Roman" w:hint="default"/>
                <w:sz w:val="20"/>
                <w:szCs w:val="20"/>
              </w:rPr>
            </w:pPr>
            <w:r>
              <w:rPr>
                <w:rFonts w:ascii="Times New Roman"/>
                <w:w w:val="95"/>
                <w:sz w:val="20"/>
              </w:rPr>
              <w:t>309,472,311.95</w:t>
            </w:r>
            <w:r>
              <w:rPr>
                <w:rFonts w:ascii="Times New Roman"/>
                <w:sz w:val="20"/>
              </w:rPr>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06"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27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Times New Roman" w:hAnsi="Times New Roman" w:cs="Times New Roman" w:eastAsia="Times New Roman" w:hint="default"/>
                <w:sz w:val="20"/>
                <w:szCs w:val="20"/>
              </w:rPr>
            </w:pPr>
            <w:r>
              <w:rPr>
                <w:rFonts w:ascii="Times New Roman"/>
                <w:spacing w:val="-1"/>
                <w:sz w:val="20"/>
              </w:rPr>
              <w:t>1,340,526,916.40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
              <w:jc w:val="right"/>
              <w:rPr>
                <w:rFonts w:ascii="Times New Roman" w:hAnsi="Times New Roman" w:cs="Times New Roman" w:eastAsia="Times New Roman" w:hint="default"/>
                <w:sz w:val="20"/>
                <w:szCs w:val="20"/>
              </w:rPr>
            </w:pPr>
            <w:r>
              <w:rPr>
                <w:rFonts w:ascii="Times New Roman"/>
                <w:spacing w:val="-1"/>
                <w:sz w:val="20"/>
              </w:rPr>
              <w:t>1,008,620,205.84</w:t>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6" w:right="0"/>
              <w:jc w:val="left"/>
              <w:rPr>
                <w:rFonts w:ascii="宋体" w:hAnsi="宋体" w:cs="宋体" w:eastAsia="宋体" w:hint="default"/>
                <w:sz w:val="20"/>
                <w:szCs w:val="20"/>
              </w:rPr>
            </w:pPr>
            <w:r>
              <w:rPr>
                <w:rFonts w:ascii="宋体" w:hAnsi="宋体" w:cs="宋体" w:eastAsia="宋体" w:hint="default"/>
                <w:sz w:val="20"/>
                <w:szCs w:val="20"/>
              </w:rPr>
              <w:t>持有待售负债</w:t>
            </w:r>
          </w:p>
        </w:tc>
        <w:tc>
          <w:tcPr>
            <w:tcW w:w="96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
              <w:jc w:val="right"/>
              <w:rPr>
                <w:rFonts w:ascii="Times New Roman" w:hAnsi="Times New Roman" w:cs="Times New Roman" w:eastAsia="Times New Roman" w:hint="default"/>
                <w:sz w:val="20"/>
                <w:szCs w:val="20"/>
              </w:rPr>
            </w:pPr>
            <w:r>
              <w:rPr>
                <w:rFonts w:ascii="Times New Roman"/>
                <w:sz w:val="20"/>
              </w:rPr>
              <w:t>0.00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20"/>
                <w:szCs w:val="20"/>
              </w:rPr>
            </w:pPr>
            <w:r>
              <w:rPr>
                <w:rFonts w:ascii="Times New Roman"/>
                <w:sz w:val="20"/>
              </w:rPr>
              <w:t>0.00</w:t>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6"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28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Times New Roman" w:hAnsi="Times New Roman" w:cs="Times New Roman" w:eastAsia="Times New Roman" w:hint="default"/>
                <w:sz w:val="20"/>
                <w:szCs w:val="20"/>
              </w:rPr>
            </w:pPr>
            <w:r>
              <w:rPr>
                <w:rFonts w:ascii="Times New Roman"/>
                <w:spacing w:val="-1"/>
                <w:sz w:val="20"/>
              </w:rPr>
              <w:t>1,510,173,098.98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Times New Roman" w:hAnsi="Times New Roman" w:cs="Times New Roman" w:eastAsia="Times New Roman" w:hint="default"/>
                <w:sz w:val="20"/>
                <w:szCs w:val="20"/>
              </w:rPr>
            </w:pPr>
            <w:r>
              <w:rPr>
                <w:rFonts w:ascii="Times New Roman"/>
                <w:w w:val="95"/>
                <w:sz w:val="20"/>
              </w:rPr>
              <w:t>967,375,100.00</w:t>
            </w:r>
            <w:r>
              <w:rPr>
                <w:rFonts w:ascii="Times New Roman"/>
                <w:sz w:val="20"/>
              </w:rPr>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6"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29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Times New Roman" w:hAnsi="Times New Roman" w:cs="Times New Roman" w:eastAsia="Times New Roman" w:hint="default"/>
                <w:sz w:val="20"/>
                <w:szCs w:val="20"/>
              </w:rPr>
            </w:pPr>
            <w:r>
              <w:rPr>
                <w:rFonts w:ascii="Times New Roman"/>
                <w:spacing w:val="-1"/>
                <w:sz w:val="20"/>
              </w:rPr>
              <w:t>4,044,505,532.78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
              <w:jc w:val="right"/>
              <w:rPr>
                <w:rFonts w:ascii="Times New Roman" w:hAnsi="Times New Roman" w:cs="Times New Roman" w:eastAsia="Times New Roman" w:hint="default"/>
                <w:sz w:val="20"/>
                <w:szCs w:val="20"/>
              </w:rPr>
            </w:pPr>
            <w:r>
              <w:rPr>
                <w:rFonts w:ascii="Times New Roman"/>
                <w:spacing w:val="-1"/>
                <w:sz w:val="20"/>
              </w:rPr>
              <w:t>6,218,579,377.95</w:t>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05"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96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7"/>
              <w:jc w:val="right"/>
              <w:rPr>
                <w:rFonts w:ascii="Times New Roman" w:hAnsi="Times New Roman" w:cs="Times New Roman" w:eastAsia="Times New Roman" w:hint="default"/>
                <w:sz w:val="20"/>
                <w:szCs w:val="20"/>
              </w:rPr>
            </w:pPr>
            <w:r>
              <w:rPr>
                <w:rFonts w:ascii="Times New Roman"/>
                <w:b/>
                <w:w w:val="95"/>
                <w:sz w:val="20"/>
              </w:rPr>
              <w:t>29,664,284,919.23</w:t>
            </w:r>
            <w:r>
              <w:rPr>
                <w:rFonts w:ascii="Times New Roman"/>
                <w:sz w:val="20"/>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5"/>
              <w:jc w:val="right"/>
              <w:rPr>
                <w:rFonts w:ascii="Times New Roman" w:hAnsi="Times New Roman" w:cs="Times New Roman" w:eastAsia="Times New Roman" w:hint="default"/>
                <w:sz w:val="20"/>
                <w:szCs w:val="20"/>
              </w:rPr>
            </w:pPr>
            <w:r>
              <w:rPr>
                <w:rFonts w:ascii="Times New Roman"/>
                <w:b/>
                <w:w w:val="95"/>
                <w:sz w:val="20"/>
              </w:rPr>
              <w:t>30,344,035,861.66</w:t>
            </w:r>
            <w:r>
              <w:rPr>
                <w:rFonts w:ascii="Times New Roman"/>
                <w:sz w:val="20"/>
              </w:rPr>
            </w:r>
          </w:p>
        </w:tc>
      </w:tr>
      <w:tr>
        <w:trPr>
          <w:trHeight w:val="355"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96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6"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30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7"/>
              <w:jc w:val="right"/>
              <w:rPr>
                <w:rFonts w:ascii="Times New Roman" w:hAnsi="Times New Roman" w:cs="Times New Roman" w:eastAsia="Times New Roman" w:hint="default"/>
                <w:sz w:val="20"/>
                <w:szCs w:val="20"/>
              </w:rPr>
            </w:pPr>
            <w:r>
              <w:rPr>
                <w:rFonts w:ascii="Times New Roman"/>
                <w:spacing w:val="-1"/>
                <w:sz w:val="20"/>
              </w:rPr>
              <w:t>5,213,446,834.70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5"/>
              <w:jc w:val="right"/>
              <w:rPr>
                <w:rFonts w:ascii="Times New Roman" w:hAnsi="Times New Roman" w:cs="Times New Roman" w:eastAsia="Times New Roman" w:hint="default"/>
                <w:sz w:val="20"/>
                <w:szCs w:val="20"/>
              </w:rPr>
            </w:pPr>
            <w:r>
              <w:rPr>
                <w:rFonts w:ascii="Times New Roman"/>
                <w:spacing w:val="-1"/>
                <w:sz w:val="20"/>
              </w:rPr>
              <w:t>4,268,921,667.10</w:t>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6"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31</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7"/>
              <w:jc w:val="right"/>
              <w:rPr>
                <w:rFonts w:ascii="Times New Roman" w:hAnsi="Times New Roman" w:cs="Times New Roman" w:eastAsia="Times New Roman" w:hint="default"/>
                <w:sz w:val="20"/>
                <w:szCs w:val="20"/>
              </w:rPr>
            </w:pPr>
            <w:r>
              <w:rPr>
                <w:rFonts w:ascii="Times New Roman"/>
                <w:spacing w:val="-1"/>
                <w:sz w:val="20"/>
              </w:rPr>
              <w:t>8,432,090,572.00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5"/>
              <w:jc w:val="right"/>
              <w:rPr>
                <w:rFonts w:ascii="Times New Roman" w:hAnsi="Times New Roman" w:cs="Times New Roman" w:eastAsia="Times New Roman" w:hint="default"/>
                <w:sz w:val="20"/>
                <w:szCs w:val="20"/>
              </w:rPr>
            </w:pPr>
            <w:r>
              <w:rPr>
                <w:rFonts w:ascii="Times New Roman"/>
                <w:spacing w:val="-1"/>
                <w:sz w:val="20"/>
              </w:rPr>
              <w:t>3,500,000,000.00</w:t>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6"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32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1,690,860.04</w:t>
            </w:r>
            <w:r>
              <w:rPr>
                <w:rFonts w:ascii="Times New Roman"/>
                <w:sz w:val="20"/>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w w:val="95"/>
                <w:sz w:val="20"/>
              </w:rPr>
              <w:t>1,577,377.10</w:t>
            </w:r>
            <w:r>
              <w:rPr>
                <w:rFonts w:ascii="Times New Roman"/>
                <w:sz w:val="20"/>
              </w:rPr>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6"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33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4,614,041.38</w:t>
            </w:r>
            <w:r>
              <w:rPr>
                <w:rFonts w:ascii="Times New Roman"/>
                <w:sz w:val="20"/>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20"/>
                <w:szCs w:val="20"/>
              </w:rPr>
            </w:pPr>
            <w:r>
              <w:rPr>
                <w:rFonts w:ascii="Times New Roman"/>
                <w:w w:val="95"/>
                <w:sz w:val="20"/>
              </w:rPr>
              <w:t>6,894,594.82</w:t>
            </w:r>
            <w:r>
              <w:rPr>
                <w:rFonts w:ascii="Times New Roman"/>
                <w:sz w:val="20"/>
              </w:rPr>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6"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34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Times New Roman" w:hAnsi="Times New Roman" w:cs="Times New Roman" w:eastAsia="Times New Roman" w:hint="default"/>
                <w:sz w:val="20"/>
                <w:szCs w:val="20"/>
              </w:rPr>
            </w:pPr>
            <w:r>
              <w:rPr>
                <w:rFonts w:ascii="Times New Roman"/>
                <w:w w:val="95"/>
                <w:sz w:val="20"/>
              </w:rPr>
              <w:t>283,165,630.29</w:t>
            </w:r>
            <w:r>
              <w:rPr>
                <w:rFonts w:ascii="Times New Roman"/>
                <w:sz w:val="20"/>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Times New Roman" w:hAnsi="Times New Roman" w:cs="Times New Roman" w:eastAsia="Times New Roman" w:hint="default"/>
                <w:sz w:val="20"/>
                <w:szCs w:val="20"/>
              </w:rPr>
            </w:pPr>
            <w:r>
              <w:rPr>
                <w:rFonts w:ascii="Times New Roman"/>
                <w:w w:val="95"/>
                <w:sz w:val="20"/>
              </w:rPr>
              <w:t>347,746,250.57</w:t>
            </w:r>
            <w:r>
              <w:rPr>
                <w:rFonts w:ascii="Times New Roman"/>
                <w:sz w:val="20"/>
              </w:rPr>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6"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19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Times New Roman" w:hAnsi="Times New Roman" w:cs="Times New Roman" w:eastAsia="Times New Roman" w:hint="default"/>
                <w:sz w:val="20"/>
                <w:szCs w:val="20"/>
              </w:rPr>
            </w:pPr>
            <w:r>
              <w:rPr>
                <w:rFonts w:ascii="Times New Roman"/>
                <w:w w:val="95"/>
                <w:sz w:val="20"/>
              </w:rPr>
              <w:t>116,865,065.62</w:t>
            </w:r>
            <w:r>
              <w:rPr>
                <w:rFonts w:ascii="Times New Roman"/>
                <w:sz w:val="20"/>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Times New Roman" w:hAnsi="Times New Roman" w:cs="Times New Roman" w:eastAsia="Times New Roman" w:hint="default"/>
                <w:sz w:val="20"/>
                <w:szCs w:val="20"/>
              </w:rPr>
            </w:pPr>
            <w:r>
              <w:rPr>
                <w:rFonts w:ascii="Times New Roman"/>
                <w:w w:val="95"/>
                <w:sz w:val="20"/>
              </w:rPr>
              <w:t>358,631,070.49</w:t>
            </w:r>
            <w:r>
              <w:rPr>
                <w:rFonts w:ascii="Times New Roman"/>
                <w:sz w:val="20"/>
              </w:rPr>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6"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96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
              <w:jc w:val="right"/>
              <w:rPr>
                <w:rFonts w:ascii="Times New Roman" w:hAnsi="Times New Roman" w:cs="Times New Roman" w:eastAsia="Times New Roman" w:hint="default"/>
                <w:sz w:val="20"/>
                <w:szCs w:val="20"/>
              </w:rPr>
            </w:pPr>
            <w:r>
              <w:rPr>
                <w:rFonts w:ascii="Times New Roman"/>
                <w:sz w:val="20"/>
              </w:rPr>
              <w:t>0.00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20"/>
                <w:szCs w:val="20"/>
              </w:rPr>
            </w:pPr>
            <w:r>
              <w:rPr>
                <w:rFonts w:ascii="Times New Roman"/>
                <w:sz w:val="20"/>
              </w:rPr>
              <w:t>0.00</w:t>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05"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96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7"/>
              <w:jc w:val="right"/>
              <w:rPr>
                <w:rFonts w:ascii="Times New Roman" w:hAnsi="Times New Roman" w:cs="Times New Roman" w:eastAsia="Times New Roman" w:hint="default"/>
                <w:sz w:val="20"/>
                <w:szCs w:val="20"/>
              </w:rPr>
            </w:pPr>
            <w:r>
              <w:rPr>
                <w:rFonts w:ascii="Times New Roman"/>
                <w:b/>
                <w:w w:val="95"/>
                <w:sz w:val="20"/>
              </w:rPr>
              <w:t>14,051,873,004.03</w:t>
            </w:r>
            <w:r>
              <w:rPr>
                <w:rFonts w:ascii="Times New Roman"/>
                <w:sz w:val="20"/>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5"/>
              <w:jc w:val="right"/>
              <w:rPr>
                <w:rFonts w:ascii="Times New Roman" w:hAnsi="Times New Roman" w:cs="Times New Roman" w:eastAsia="Times New Roman" w:hint="default"/>
                <w:sz w:val="20"/>
                <w:szCs w:val="20"/>
              </w:rPr>
            </w:pPr>
            <w:r>
              <w:rPr>
                <w:rFonts w:ascii="Times New Roman"/>
                <w:b/>
                <w:spacing w:val="-1"/>
                <w:sz w:val="20"/>
              </w:rPr>
              <w:t>8,483,770,960.08</w:t>
            </w:r>
            <w:r>
              <w:rPr>
                <w:rFonts w:ascii="Times New Roman"/>
                <w:spacing w:val="-1"/>
                <w:sz w:val="20"/>
              </w:rPr>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96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7"/>
              <w:jc w:val="right"/>
              <w:rPr>
                <w:rFonts w:ascii="Times New Roman" w:hAnsi="Times New Roman" w:cs="Times New Roman" w:eastAsia="Times New Roman" w:hint="default"/>
                <w:sz w:val="20"/>
                <w:szCs w:val="20"/>
              </w:rPr>
            </w:pPr>
            <w:r>
              <w:rPr>
                <w:rFonts w:ascii="Times New Roman"/>
                <w:b/>
                <w:w w:val="95"/>
                <w:sz w:val="20"/>
              </w:rPr>
              <w:t>43,716,157,923.26</w:t>
            </w:r>
            <w:r>
              <w:rPr>
                <w:rFonts w:ascii="Times New Roman"/>
                <w:sz w:val="20"/>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5"/>
              <w:jc w:val="right"/>
              <w:rPr>
                <w:rFonts w:ascii="Times New Roman" w:hAnsi="Times New Roman" w:cs="Times New Roman" w:eastAsia="Times New Roman" w:hint="default"/>
                <w:sz w:val="20"/>
                <w:szCs w:val="20"/>
              </w:rPr>
            </w:pPr>
            <w:r>
              <w:rPr>
                <w:rFonts w:ascii="Times New Roman"/>
                <w:b/>
                <w:w w:val="95"/>
                <w:sz w:val="20"/>
              </w:rPr>
              <w:t>38,827,806,821.74</w:t>
            </w:r>
            <w:r>
              <w:rPr>
                <w:rFonts w:ascii="Times New Roman"/>
                <w:sz w:val="20"/>
              </w:rPr>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96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6"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35</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Times New Roman" w:hAnsi="Times New Roman" w:cs="Times New Roman" w:eastAsia="Times New Roman" w:hint="default"/>
                <w:sz w:val="20"/>
                <w:szCs w:val="20"/>
              </w:rPr>
            </w:pPr>
            <w:r>
              <w:rPr>
                <w:rFonts w:ascii="Times New Roman"/>
                <w:spacing w:val="-1"/>
                <w:sz w:val="20"/>
              </w:rPr>
              <w:t>2,963,898,951.00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
              <w:jc w:val="right"/>
              <w:rPr>
                <w:rFonts w:ascii="Times New Roman" w:hAnsi="Times New Roman" w:cs="Times New Roman" w:eastAsia="Times New Roman" w:hint="default"/>
                <w:sz w:val="20"/>
                <w:szCs w:val="20"/>
              </w:rPr>
            </w:pPr>
            <w:r>
              <w:rPr>
                <w:rFonts w:ascii="Times New Roman"/>
                <w:spacing w:val="-1"/>
                <w:sz w:val="20"/>
              </w:rPr>
              <w:t>2,963,898,951.00</w:t>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6"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96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
              <w:jc w:val="right"/>
              <w:rPr>
                <w:rFonts w:ascii="Times New Roman" w:hAnsi="Times New Roman" w:cs="Times New Roman" w:eastAsia="Times New Roman" w:hint="default"/>
                <w:sz w:val="20"/>
                <w:szCs w:val="20"/>
              </w:rPr>
            </w:pPr>
            <w:r>
              <w:rPr>
                <w:rFonts w:ascii="Times New Roman"/>
                <w:sz w:val="20"/>
              </w:rPr>
              <w:t>0.00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20"/>
                <w:szCs w:val="20"/>
              </w:rPr>
            </w:pPr>
            <w:r>
              <w:rPr>
                <w:rFonts w:ascii="Times New Roman"/>
                <w:sz w:val="20"/>
              </w:rPr>
              <w:t>0.00</w:t>
            </w:r>
          </w:p>
        </w:tc>
      </w:tr>
      <w:tr>
        <w:trPr>
          <w:trHeight w:val="355"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6"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36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Times New Roman" w:hAnsi="Times New Roman" w:cs="Times New Roman" w:eastAsia="Times New Roman" w:hint="default"/>
                <w:sz w:val="20"/>
                <w:szCs w:val="20"/>
              </w:rPr>
            </w:pPr>
            <w:r>
              <w:rPr>
                <w:rFonts w:ascii="Times New Roman"/>
                <w:spacing w:val="-1"/>
                <w:sz w:val="20"/>
              </w:rPr>
              <w:t>9,275,689,105.56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
              <w:jc w:val="right"/>
              <w:rPr>
                <w:rFonts w:ascii="Times New Roman" w:hAnsi="Times New Roman" w:cs="Times New Roman" w:eastAsia="Times New Roman" w:hint="default"/>
                <w:sz w:val="20"/>
                <w:szCs w:val="20"/>
              </w:rPr>
            </w:pPr>
            <w:r>
              <w:rPr>
                <w:rFonts w:ascii="Times New Roman"/>
                <w:spacing w:val="-1"/>
                <w:sz w:val="20"/>
              </w:rPr>
              <w:t>9,189,770,088.90</w:t>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6"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96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5"/>
              <w:jc w:val="right"/>
              <w:rPr>
                <w:rFonts w:ascii="Times New Roman" w:hAnsi="Times New Roman" w:cs="Times New Roman" w:eastAsia="Times New Roman" w:hint="default"/>
                <w:sz w:val="20"/>
                <w:szCs w:val="20"/>
              </w:rPr>
            </w:pPr>
            <w:r>
              <w:rPr>
                <w:rFonts w:ascii="Times New Roman"/>
                <w:sz w:val="20"/>
              </w:rPr>
              <w:t>0.00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3"/>
              <w:jc w:val="right"/>
              <w:rPr>
                <w:rFonts w:ascii="Times New Roman" w:hAnsi="Times New Roman" w:cs="Times New Roman" w:eastAsia="Times New Roman" w:hint="default"/>
                <w:sz w:val="20"/>
                <w:szCs w:val="20"/>
              </w:rPr>
            </w:pPr>
            <w:r>
              <w:rPr>
                <w:rFonts w:ascii="Times New Roman"/>
                <w:sz w:val="20"/>
              </w:rPr>
              <w:t>0.00</w:t>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6"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37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5"/>
              <w:jc w:val="right"/>
              <w:rPr>
                <w:rFonts w:ascii="Times New Roman" w:hAnsi="Times New Roman" w:cs="Times New Roman" w:eastAsia="Times New Roman" w:hint="default"/>
                <w:sz w:val="20"/>
                <w:szCs w:val="20"/>
              </w:rPr>
            </w:pPr>
            <w:r>
              <w:rPr>
                <w:rFonts w:ascii="Times New Roman"/>
                <w:w w:val="95"/>
                <w:sz w:val="20"/>
              </w:rPr>
              <w:t>-898,595,031.71</w:t>
            </w:r>
            <w:r>
              <w:rPr>
                <w:rFonts w:ascii="Times New Roman"/>
                <w:sz w:val="20"/>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4"/>
              <w:jc w:val="right"/>
              <w:rPr>
                <w:rFonts w:ascii="Times New Roman" w:hAnsi="Times New Roman" w:cs="Times New Roman" w:eastAsia="Times New Roman" w:hint="default"/>
                <w:sz w:val="20"/>
                <w:szCs w:val="20"/>
              </w:rPr>
            </w:pPr>
            <w:r>
              <w:rPr>
                <w:rFonts w:ascii="Times New Roman"/>
                <w:w w:val="95"/>
                <w:sz w:val="20"/>
              </w:rPr>
              <w:t>542,247,786.99</w:t>
            </w:r>
            <w:r>
              <w:rPr>
                <w:rFonts w:ascii="Times New Roman"/>
                <w:sz w:val="20"/>
              </w:rPr>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6"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38</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7"/>
              <w:jc w:val="right"/>
              <w:rPr>
                <w:rFonts w:ascii="Times New Roman" w:hAnsi="Times New Roman" w:cs="Times New Roman" w:eastAsia="Times New Roman" w:hint="default"/>
                <w:sz w:val="20"/>
                <w:szCs w:val="20"/>
              </w:rPr>
            </w:pPr>
            <w:r>
              <w:rPr>
                <w:rFonts w:ascii="Times New Roman"/>
                <w:spacing w:val="-1"/>
                <w:sz w:val="20"/>
              </w:rPr>
              <w:t>1,324,875,027.33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5"/>
              <w:jc w:val="right"/>
              <w:rPr>
                <w:rFonts w:ascii="Times New Roman" w:hAnsi="Times New Roman" w:cs="Times New Roman" w:eastAsia="Times New Roman" w:hint="default"/>
                <w:sz w:val="20"/>
                <w:szCs w:val="20"/>
              </w:rPr>
            </w:pPr>
            <w:r>
              <w:rPr>
                <w:rFonts w:ascii="Times New Roman"/>
                <w:spacing w:val="-1"/>
                <w:sz w:val="20"/>
              </w:rPr>
              <w:t>1,324,875,027.33</w:t>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6"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39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Times New Roman" w:hAnsi="Times New Roman" w:cs="Times New Roman" w:eastAsia="Times New Roman" w:hint="default"/>
                <w:sz w:val="20"/>
                <w:szCs w:val="20"/>
              </w:rPr>
            </w:pPr>
            <w:r>
              <w:rPr>
                <w:rFonts w:ascii="Times New Roman"/>
                <w:spacing w:val="-1"/>
                <w:sz w:val="20"/>
              </w:rPr>
              <w:t>3,325,523,323.07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
              <w:jc w:val="right"/>
              <w:rPr>
                <w:rFonts w:ascii="Times New Roman" w:hAnsi="Times New Roman" w:cs="Times New Roman" w:eastAsia="Times New Roman" w:hint="default"/>
                <w:sz w:val="20"/>
                <w:szCs w:val="20"/>
              </w:rPr>
            </w:pPr>
            <w:r>
              <w:rPr>
                <w:rFonts w:ascii="Times New Roman"/>
                <w:spacing w:val="-1"/>
                <w:sz w:val="20"/>
              </w:rPr>
              <w:t>7,249,758,750.78</w:t>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54" w:right="0"/>
              <w:jc w:val="left"/>
              <w:rPr>
                <w:rFonts w:ascii="宋体" w:hAnsi="宋体" w:cs="宋体" w:eastAsia="宋体" w:hint="default"/>
                <w:sz w:val="20"/>
                <w:szCs w:val="20"/>
              </w:rPr>
            </w:pPr>
            <w:r>
              <w:rPr>
                <w:rFonts w:ascii="宋体" w:hAnsi="宋体" w:cs="宋体" w:eastAsia="宋体" w:hint="default"/>
                <w:sz w:val="20"/>
                <w:szCs w:val="20"/>
              </w:rPr>
              <w:t>归属于母公司股东权益合计</w:t>
            </w:r>
          </w:p>
        </w:tc>
        <w:tc>
          <w:tcPr>
            <w:tcW w:w="96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7"/>
              <w:jc w:val="right"/>
              <w:rPr>
                <w:rFonts w:ascii="Times New Roman" w:hAnsi="Times New Roman" w:cs="Times New Roman" w:eastAsia="Times New Roman" w:hint="default"/>
                <w:sz w:val="20"/>
                <w:szCs w:val="20"/>
              </w:rPr>
            </w:pPr>
            <w:r>
              <w:rPr>
                <w:rFonts w:ascii="Times New Roman"/>
                <w:b/>
                <w:w w:val="95"/>
                <w:sz w:val="20"/>
              </w:rPr>
              <w:t>15,991,391,375.25</w:t>
            </w:r>
            <w:r>
              <w:rPr>
                <w:rFonts w:ascii="Times New Roman"/>
                <w:sz w:val="20"/>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5"/>
              <w:jc w:val="right"/>
              <w:rPr>
                <w:rFonts w:ascii="Times New Roman" w:hAnsi="Times New Roman" w:cs="Times New Roman" w:eastAsia="Times New Roman" w:hint="default"/>
                <w:sz w:val="20"/>
                <w:szCs w:val="20"/>
              </w:rPr>
            </w:pPr>
            <w:r>
              <w:rPr>
                <w:rFonts w:ascii="Times New Roman"/>
                <w:b/>
                <w:w w:val="95"/>
                <w:sz w:val="20"/>
              </w:rPr>
              <w:t>21,270,550,605.00</w:t>
            </w:r>
            <w:r>
              <w:rPr>
                <w:rFonts w:ascii="Times New Roman"/>
                <w:sz w:val="20"/>
              </w:rPr>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6"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96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Times New Roman" w:hAnsi="Times New Roman" w:cs="Times New Roman" w:eastAsia="Times New Roman" w:hint="default"/>
                <w:sz w:val="20"/>
                <w:szCs w:val="20"/>
              </w:rPr>
            </w:pPr>
            <w:r>
              <w:rPr>
                <w:rFonts w:ascii="Times New Roman"/>
                <w:spacing w:val="-1"/>
                <w:sz w:val="20"/>
              </w:rPr>
              <w:t>3,902,091,063.04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
              <w:jc w:val="right"/>
              <w:rPr>
                <w:rFonts w:ascii="Times New Roman" w:hAnsi="Times New Roman" w:cs="Times New Roman" w:eastAsia="Times New Roman" w:hint="default"/>
                <w:sz w:val="20"/>
                <w:szCs w:val="20"/>
              </w:rPr>
            </w:pPr>
            <w:r>
              <w:rPr>
                <w:rFonts w:ascii="Times New Roman"/>
                <w:spacing w:val="-1"/>
                <w:sz w:val="20"/>
              </w:rPr>
              <w:t>3,496,688,138.96</w:t>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96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7"/>
              <w:jc w:val="right"/>
              <w:rPr>
                <w:rFonts w:ascii="Times New Roman" w:hAnsi="Times New Roman" w:cs="Times New Roman" w:eastAsia="Times New Roman" w:hint="default"/>
                <w:sz w:val="20"/>
                <w:szCs w:val="20"/>
              </w:rPr>
            </w:pPr>
            <w:r>
              <w:rPr>
                <w:rFonts w:ascii="Times New Roman"/>
                <w:b/>
                <w:w w:val="95"/>
                <w:sz w:val="20"/>
              </w:rPr>
              <w:t>19,893,482,438.29</w:t>
            </w:r>
            <w:r>
              <w:rPr>
                <w:rFonts w:ascii="Times New Roman"/>
                <w:sz w:val="20"/>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5"/>
              <w:jc w:val="right"/>
              <w:rPr>
                <w:rFonts w:ascii="Times New Roman" w:hAnsi="Times New Roman" w:cs="Times New Roman" w:eastAsia="Times New Roman" w:hint="default"/>
                <w:sz w:val="20"/>
                <w:szCs w:val="20"/>
              </w:rPr>
            </w:pPr>
            <w:r>
              <w:rPr>
                <w:rFonts w:ascii="Times New Roman"/>
                <w:b/>
                <w:w w:val="95"/>
                <w:sz w:val="20"/>
              </w:rPr>
              <w:t>24,767,238,743.96</w:t>
            </w:r>
            <w:r>
              <w:rPr>
                <w:rFonts w:ascii="Times New Roman"/>
                <w:sz w:val="20"/>
              </w:rPr>
            </w:r>
          </w:p>
        </w:tc>
      </w:tr>
      <w:tr>
        <w:trPr>
          <w:trHeight w:val="353" w:hRule="exact"/>
        </w:trPr>
        <w:tc>
          <w:tcPr>
            <w:tcW w:w="5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699"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96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7"/>
              <w:jc w:val="right"/>
              <w:rPr>
                <w:rFonts w:ascii="Times New Roman" w:hAnsi="Times New Roman" w:cs="Times New Roman" w:eastAsia="Times New Roman" w:hint="default"/>
                <w:sz w:val="20"/>
                <w:szCs w:val="20"/>
              </w:rPr>
            </w:pPr>
            <w:r>
              <w:rPr>
                <w:rFonts w:ascii="Times New Roman"/>
                <w:b/>
                <w:w w:val="95"/>
                <w:sz w:val="20"/>
              </w:rPr>
              <w:t>63,609,640,361.55</w:t>
            </w:r>
            <w:r>
              <w:rPr>
                <w:rFonts w:ascii="Times New Roman"/>
                <w:sz w:val="20"/>
              </w:rPr>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5"/>
              <w:jc w:val="right"/>
              <w:rPr>
                <w:rFonts w:ascii="Times New Roman" w:hAnsi="Times New Roman" w:cs="Times New Roman" w:eastAsia="Times New Roman" w:hint="default"/>
                <w:sz w:val="20"/>
                <w:szCs w:val="20"/>
              </w:rPr>
            </w:pPr>
            <w:r>
              <w:rPr>
                <w:rFonts w:ascii="Times New Roman"/>
                <w:b/>
                <w:w w:val="95"/>
                <w:sz w:val="20"/>
              </w:rPr>
              <w:t>63,595,045,565.70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0" w:footer="1607" w:top="1360" w:bottom="1800" w:left="880" w:right="860"/>
        </w:sectPr>
      </w:pPr>
    </w:p>
    <w:p>
      <w:pPr>
        <w:spacing w:line="272" w:lineRule="exact" w:before="38"/>
        <w:ind w:left="4344" w:right="4339" w:firstLine="4"/>
        <w:jc w:val="center"/>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4"/>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tabs>
          <w:tab w:pos="7032" w:val="left" w:leader="none"/>
        </w:tabs>
        <w:spacing w:line="238" w:lineRule="exact" w:before="0"/>
        <w:ind w:left="1" w:right="0"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编制单位：同方股份有限公司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3"/>
        <w:rPr>
          <w:rFonts w:ascii="宋体" w:hAnsi="宋体" w:cs="宋体" w:eastAsia="宋体" w:hint="default"/>
          <w:b/>
          <w:bCs/>
          <w:sz w:val="2"/>
          <w:szCs w:val="2"/>
        </w:rPr>
      </w:pPr>
    </w:p>
    <w:tbl>
      <w:tblPr>
        <w:tblW w:w="0" w:type="auto"/>
        <w:jc w:val="left"/>
        <w:tblInd w:w="111" w:type="dxa"/>
        <w:tblLayout w:type="fixed"/>
        <w:tblCellMar>
          <w:top w:w="0" w:type="dxa"/>
          <w:left w:w="0" w:type="dxa"/>
          <w:bottom w:w="0" w:type="dxa"/>
          <w:right w:w="0" w:type="dxa"/>
        </w:tblCellMar>
        <w:tblLook w:val="01E0"/>
      </w:tblPr>
      <w:tblGrid>
        <w:gridCol w:w="5183"/>
        <w:gridCol w:w="955"/>
        <w:gridCol w:w="2029"/>
        <w:gridCol w:w="2031"/>
      </w:tblGrid>
      <w:tr>
        <w:trPr>
          <w:trHeight w:val="398"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2" w:right="0"/>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19"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04"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07"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98"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06"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5"/>
              <w:jc w:val="right"/>
              <w:rPr>
                <w:rFonts w:ascii="Times New Roman" w:hAnsi="Times New Roman" w:cs="Times New Roman" w:eastAsia="Times New Roman" w:hint="default"/>
                <w:sz w:val="20"/>
                <w:szCs w:val="20"/>
              </w:rPr>
            </w:pPr>
            <w:r>
              <w:rPr>
                <w:rFonts w:ascii="Times New Roman"/>
                <w:spacing w:val="-1"/>
                <w:sz w:val="20"/>
              </w:rPr>
              <w:t>1,179,438,790.65</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5"/>
              <w:jc w:val="right"/>
              <w:rPr>
                <w:rFonts w:ascii="Times New Roman" w:hAnsi="Times New Roman" w:cs="Times New Roman" w:eastAsia="Times New Roman" w:hint="default"/>
                <w:sz w:val="20"/>
                <w:szCs w:val="20"/>
              </w:rPr>
            </w:pPr>
            <w:r>
              <w:rPr>
                <w:rFonts w:ascii="Times New Roman"/>
                <w:spacing w:val="-1"/>
                <w:sz w:val="20"/>
              </w:rPr>
              <w:t>1,897,457,934.04</w:t>
            </w:r>
          </w:p>
        </w:tc>
      </w:tr>
      <w:tr>
        <w:trPr>
          <w:trHeight w:val="398"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以公允价值计量且其变动计入当期损益的金融资产</w:t>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5"/>
              <w:jc w:val="right"/>
              <w:rPr>
                <w:rFonts w:ascii="Times New Roman" w:hAnsi="Times New Roman" w:cs="Times New Roman" w:eastAsia="Times New Roman" w:hint="default"/>
                <w:sz w:val="20"/>
                <w:szCs w:val="20"/>
              </w:rPr>
            </w:pPr>
            <w:r>
              <w:rPr>
                <w:rFonts w:ascii="Times New Roman"/>
                <w:w w:val="95"/>
                <w:sz w:val="20"/>
              </w:rPr>
              <w:t>279,784,405.36</w:t>
            </w:r>
            <w:r>
              <w:rPr>
                <w:rFonts w:ascii="Times New Roman"/>
                <w:sz w:val="20"/>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w w:val="95"/>
                <w:sz w:val="20"/>
              </w:rPr>
              <w:t>362,294,452.74</w:t>
            </w:r>
            <w:r>
              <w:rPr>
                <w:rFonts w:ascii="Times New Roman"/>
                <w:sz w:val="20"/>
              </w:rPr>
            </w:r>
          </w:p>
        </w:tc>
      </w:tr>
      <w:tr>
        <w:trPr>
          <w:trHeight w:val="398"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20"/>
                <w:szCs w:val="20"/>
              </w:rPr>
            </w:pPr>
            <w:r>
              <w:rPr>
                <w:rFonts w:ascii="Times New Roman"/>
                <w:sz w:val="20"/>
              </w:rPr>
              <w:t>0.00</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20"/>
                <w:szCs w:val="20"/>
              </w:rPr>
            </w:pPr>
            <w:r>
              <w:rPr>
                <w:rFonts w:ascii="Times New Roman"/>
                <w:sz w:val="20"/>
              </w:rPr>
              <w:t>0.00</w:t>
            </w:r>
          </w:p>
        </w:tc>
      </w:tr>
      <w:tr>
        <w:trPr>
          <w:trHeight w:val="398"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应收票据及应收账款</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26"/>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十五、</w:t>
            </w:r>
            <w:r>
              <w:rPr>
                <w:rFonts w:ascii="Times New Roman" w:hAnsi="Times New Roman" w:cs="Times New Roman" w:eastAsia="Times New Roman" w:hint="default"/>
                <w:w w:val="95"/>
                <w:sz w:val="20"/>
                <w:szCs w:val="20"/>
              </w:rPr>
              <w:t>1</w:t>
            </w:r>
            <w:r>
              <w:rPr>
                <w:rFonts w:ascii="Times New Roman" w:hAnsi="Times New Roman" w:cs="Times New Roman" w:eastAsia="Times New Roman" w:hint="default"/>
                <w:sz w:val="20"/>
                <w:szCs w:val="20"/>
              </w:rPr>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5"/>
              <w:jc w:val="right"/>
              <w:rPr>
                <w:rFonts w:ascii="Times New Roman" w:hAnsi="Times New Roman" w:cs="Times New Roman" w:eastAsia="Times New Roman" w:hint="default"/>
                <w:sz w:val="20"/>
                <w:szCs w:val="20"/>
              </w:rPr>
            </w:pPr>
            <w:r>
              <w:rPr>
                <w:rFonts w:ascii="Times New Roman"/>
                <w:spacing w:val="-1"/>
                <w:sz w:val="20"/>
              </w:rPr>
              <w:t>2,499,760,185.43</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5"/>
              <w:jc w:val="right"/>
              <w:rPr>
                <w:rFonts w:ascii="Times New Roman" w:hAnsi="Times New Roman" w:cs="Times New Roman" w:eastAsia="Times New Roman" w:hint="default"/>
                <w:sz w:val="20"/>
                <w:szCs w:val="20"/>
              </w:rPr>
            </w:pPr>
            <w:r>
              <w:rPr>
                <w:rFonts w:ascii="Times New Roman"/>
                <w:spacing w:val="-1"/>
                <w:sz w:val="20"/>
              </w:rPr>
              <w:t>1,551,397,536.29</w:t>
            </w:r>
          </w:p>
        </w:tc>
      </w:tr>
      <w:tr>
        <w:trPr>
          <w:trHeight w:val="401"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06"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5"/>
              <w:jc w:val="right"/>
              <w:rPr>
                <w:rFonts w:ascii="Times New Roman" w:hAnsi="Times New Roman" w:cs="Times New Roman" w:eastAsia="Times New Roman" w:hint="default"/>
                <w:sz w:val="20"/>
                <w:szCs w:val="20"/>
              </w:rPr>
            </w:pPr>
            <w:r>
              <w:rPr>
                <w:rFonts w:ascii="Times New Roman"/>
                <w:w w:val="95"/>
                <w:sz w:val="20"/>
              </w:rPr>
              <w:t>371,128,437.55</w:t>
            </w:r>
            <w:r>
              <w:rPr>
                <w:rFonts w:ascii="Times New Roman"/>
                <w:sz w:val="20"/>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Times New Roman" w:hAnsi="Times New Roman" w:cs="Times New Roman" w:eastAsia="Times New Roman" w:hint="default"/>
                <w:sz w:val="20"/>
                <w:szCs w:val="20"/>
              </w:rPr>
            </w:pPr>
            <w:r>
              <w:rPr>
                <w:rFonts w:ascii="Times New Roman"/>
                <w:w w:val="95"/>
                <w:sz w:val="20"/>
              </w:rPr>
              <w:t>446,418,669.53</w:t>
            </w:r>
            <w:r>
              <w:rPr>
                <w:rFonts w:ascii="Times New Roman"/>
                <w:sz w:val="20"/>
              </w:rPr>
            </w:r>
          </w:p>
        </w:tc>
      </w:tr>
      <w:tr>
        <w:trPr>
          <w:trHeight w:val="398"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26"/>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十五、</w:t>
            </w:r>
            <w:r>
              <w:rPr>
                <w:rFonts w:ascii="Times New Roman" w:hAnsi="Times New Roman" w:cs="Times New Roman" w:eastAsia="Times New Roman" w:hint="default"/>
                <w:w w:val="95"/>
                <w:sz w:val="20"/>
                <w:szCs w:val="20"/>
              </w:rPr>
              <w:t>2</w:t>
            </w:r>
            <w:r>
              <w:rPr>
                <w:rFonts w:ascii="Times New Roman" w:hAnsi="Times New Roman" w:cs="Times New Roman" w:eastAsia="Times New Roman" w:hint="default"/>
                <w:sz w:val="20"/>
                <w:szCs w:val="20"/>
              </w:rPr>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5"/>
              <w:jc w:val="right"/>
              <w:rPr>
                <w:rFonts w:ascii="Times New Roman" w:hAnsi="Times New Roman" w:cs="Times New Roman" w:eastAsia="Times New Roman" w:hint="default"/>
                <w:sz w:val="20"/>
                <w:szCs w:val="20"/>
              </w:rPr>
            </w:pPr>
            <w:r>
              <w:rPr>
                <w:rFonts w:ascii="Times New Roman"/>
                <w:spacing w:val="-1"/>
                <w:sz w:val="20"/>
              </w:rPr>
              <w:t>9,836,724,928.12</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5"/>
              <w:jc w:val="right"/>
              <w:rPr>
                <w:rFonts w:ascii="Times New Roman" w:hAnsi="Times New Roman" w:cs="Times New Roman" w:eastAsia="Times New Roman" w:hint="default"/>
                <w:sz w:val="20"/>
                <w:szCs w:val="20"/>
              </w:rPr>
            </w:pPr>
            <w:r>
              <w:rPr>
                <w:rFonts w:ascii="Times New Roman"/>
                <w:spacing w:val="-1"/>
                <w:sz w:val="20"/>
              </w:rPr>
              <w:t>8,832,384,793.27</w:t>
            </w:r>
          </w:p>
        </w:tc>
      </w:tr>
      <w:tr>
        <w:trPr>
          <w:trHeight w:val="399"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5"/>
              <w:jc w:val="right"/>
              <w:rPr>
                <w:rFonts w:ascii="Times New Roman" w:hAnsi="Times New Roman" w:cs="Times New Roman" w:eastAsia="Times New Roman" w:hint="default"/>
                <w:sz w:val="20"/>
                <w:szCs w:val="20"/>
              </w:rPr>
            </w:pPr>
            <w:r>
              <w:rPr>
                <w:rFonts w:ascii="Times New Roman"/>
                <w:spacing w:val="-1"/>
                <w:sz w:val="20"/>
              </w:rPr>
              <w:t>1,511,159,757.06</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5"/>
              <w:jc w:val="right"/>
              <w:rPr>
                <w:rFonts w:ascii="Times New Roman" w:hAnsi="Times New Roman" w:cs="Times New Roman" w:eastAsia="Times New Roman" w:hint="default"/>
                <w:sz w:val="20"/>
                <w:szCs w:val="20"/>
              </w:rPr>
            </w:pPr>
            <w:r>
              <w:rPr>
                <w:rFonts w:ascii="Times New Roman"/>
                <w:spacing w:val="-1"/>
                <w:sz w:val="20"/>
              </w:rPr>
              <w:t>2,073,597,984.34</w:t>
            </w:r>
          </w:p>
        </w:tc>
      </w:tr>
      <w:tr>
        <w:trPr>
          <w:trHeight w:val="394"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06" w:right="0"/>
              <w:jc w:val="left"/>
              <w:rPr>
                <w:rFonts w:ascii="宋体" w:hAnsi="宋体" w:cs="宋体" w:eastAsia="宋体" w:hint="default"/>
                <w:sz w:val="20"/>
                <w:szCs w:val="20"/>
              </w:rPr>
            </w:pPr>
            <w:r>
              <w:rPr>
                <w:rFonts w:ascii="宋体" w:hAnsi="宋体" w:cs="宋体" w:eastAsia="宋体" w:hint="default"/>
                <w:sz w:val="20"/>
                <w:szCs w:val="20"/>
              </w:rPr>
              <w:t>持有待售的资产</w:t>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Times New Roman" w:hAnsi="Times New Roman" w:cs="Times New Roman" w:eastAsia="Times New Roman" w:hint="default"/>
                <w:sz w:val="20"/>
                <w:szCs w:val="20"/>
              </w:rPr>
            </w:pPr>
            <w:r>
              <w:rPr>
                <w:rFonts w:ascii="Times New Roman"/>
                <w:sz w:val="20"/>
              </w:rPr>
              <w:t>0.00</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Times New Roman" w:hAnsi="Times New Roman" w:cs="Times New Roman" w:eastAsia="Times New Roman" w:hint="default"/>
                <w:sz w:val="20"/>
                <w:szCs w:val="20"/>
              </w:rPr>
            </w:pPr>
            <w:r>
              <w:rPr>
                <w:rFonts w:ascii="Times New Roman"/>
                <w:sz w:val="20"/>
              </w:rPr>
              <w:t>0.00</w:t>
            </w:r>
          </w:p>
        </w:tc>
      </w:tr>
      <w:tr>
        <w:trPr>
          <w:trHeight w:val="401"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20"/>
                <w:szCs w:val="20"/>
              </w:rPr>
            </w:pPr>
            <w:r>
              <w:rPr>
                <w:rFonts w:ascii="Times New Roman"/>
                <w:sz w:val="20"/>
              </w:rPr>
              <w:t>0.00</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20"/>
                <w:szCs w:val="20"/>
              </w:rPr>
            </w:pPr>
            <w:r>
              <w:rPr>
                <w:rFonts w:ascii="Times New Roman"/>
                <w:sz w:val="20"/>
              </w:rPr>
              <w:t>0.00</w:t>
            </w:r>
          </w:p>
        </w:tc>
      </w:tr>
      <w:tr>
        <w:trPr>
          <w:trHeight w:val="398"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20"/>
                <w:szCs w:val="20"/>
              </w:rPr>
            </w:pPr>
            <w:r>
              <w:rPr>
                <w:rFonts w:ascii="Times New Roman"/>
                <w:w w:val="95"/>
                <w:sz w:val="20"/>
              </w:rPr>
              <w:t>1,035,941.99</w:t>
            </w:r>
            <w:r>
              <w:rPr>
                <w:rFonts w:ascii="Times New Roman"/>
                <w:sz w:val="20"/>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20"/>
                <w:szCs w:val="20"/>
              </w:rPr>
            </w:pPr>
            <w:r>
              <w:rPr>
                <w:rFonts w:ascii="Times New Roman"/>
                <w:sz w:val="20"/>
              </w:rPr>
              <w:t>0.00</w:t>
            </w:r>
          </w:p>
        </w:tc>
      </w:tr>
      <w:tr>
        <w:trPr>
          <w:trHeight w:val="398"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05"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5"/>
              <w:jc w:val="right"/>
              <w:rPr>
                <w:rFonts w:ascii="Times New Roman" w:hAnsi="Times New Roman" w:cs="Times New Roman" w:eastAsia="Times New Roman" w:hint="default"/>
                <w:sz w:val="20"/>
                <w:szCs w:val="20"/>
              </w:rPr>
            </w:pPr>
            <w:r>
              <w:rPr>
                <w:rFonts w:ascii="Times New Roman"/>
                <w:b/>
                <w:w w:val="95"/>
                <w:sz w:val="20"/>
              </w:rPr>
              <w:t>15,679,032,446.16</w:t>
            </w:r>
            <w:r>
              <w:rPr>
                <w:rFonts w:ascii="Times New Roman"/>
                <w:sz w:val="20"/>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5"/>
              <w:jc w:val="right"/>
              <w:rPr>
                <w:rFonts w:ascii="Times New Roman" w:hAnsi="Times New Roman" w:cs="Times New Roman" w:eastAsia="Times New Roman" w:hint="default"/>
                <w:sz w:val="20"/>
                <w:szCs w:val="20"/>
              </w:rPr>
            </w:pPr>
            <w:r>
              <w:rPr>
                <w:rFonts w:ascii="Times New Roman"/>
                <w:b/>
                <w:w w:val="95"/>
                <w:sz w:val="20"/>
              </w:rPr>
              <w:t>15,163,551,370.21</w:t>
            </w:r>
            <w:r>
              <w:rPr>
                <w:rFonts w:ascii="Times New Roman"/>
                <w:sz w:val="20"/>
              </w:rPr>
            </w:r>
          </w:p>
        </w:tc>
      </w:tr>
      <w:tr>
        <w:trPr>
          <w:trHeight w:val="398"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5"/>
              <w:jc w:val="right"/>
              <w:rPr>
                <w:rFonts w:ascii="Times New Roman" w:hAnsi="Times New Roman" w:cs="Times New Roman" w:eastAsia="Times New Roman" w:hint="default"/>
                <w:sz w:val="20"/>
                <w:szCs w:val="20"/>
              </w:rPr>
            </w:pPr>
            <w:r>
              <w:rPr>
                <w:rFonts w:ascii="Times New Roman"/>
                <w:w w:val="95"/>
                <w:sz w:val="20"/>
              </w:rPr>
              <w:t>659,129,842.05</w:t>
            </w:r>
            <w:r>
              <w:rPr>
                <w:rFonts w:ascii="Times New Roman"/>
                <w:sz w:val="20"/>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5"/>
              <w:jc w:val="right"/>
              <w:rPr>
                <w:rFonts w:ascii="Times New Roman" w:hAnsi="Times New Roman" w:cs="Times New Roman" w:eastAsia="Times New Roman" w:hint="default"/>
                <w:sz w:val="20"/>
                <w:szCs w:val="20"/>
              </w:rPr>
            </w:pPr>
            <w:r>
              <w:rPr>
                <w:rFonts w:ascii="Times New Roman"/>
                <w:spacing w:val="-1"/>
                <w:sz w:val="20"/>
              </w:rPr>
              <w:t>1,324,114,163.75</w:t>
            </w:r>
          </w:p>
        </w:tc>
      </w:tr>
      <w:tr>
        <w:trPr>
          <w:trHeight w:val="398"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20"/>
                <w:szCs w:val="20"/>
              </w:rPr>
            </w:pPr>
            <w:r>
              <w:rPr>
                <w:rFonts w:ascii="Times New Roman"/>
                <w:sz w:val="20"/>
              </w:rPr>
              <w:t>0.00</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20"/>
                <w:szCs w:val="20"/>
              </w:rPr>
            </w:pPr>
            <w:r>
              <w:rPr>
                <w:rFonts w:ascii="Times New Roman"/>
                <w:sz w:val="20"/>
              </w:rPr>
              <w:t>0.00</w:t>
            </w:r>
          </w:p>
        </w:tc>
      </w:tr>
      <w:tr>
        <w:trPr>
          <w:trHeight w:val="398"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20"/>
                <w:szCs w:val="20"/>
              </w:rPr>
            </w:pPr>
            <w:r>
              <w:rPr>
                <w:rFonts w:ascii="Times New Roman"/>
                <w:sz w:val="20"/>
              </w:rPr>
              <w:t>0.00</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20"/>
                <w:szCs w:val="20"/>
              </w:rPr>
            </w:pPr>
            <w:r>
              <w:rPr>
                <w:rFonts w:ascii="Times New Roman"/>
                <w:sz w:val="20"/>
              </w:rPr>
              <w:t>0.00</w:t>
            </w:r>
          </w:p>
        </w:tc>
      </w:tr>
      <w:tr>
        <w:trPr>
          <w:trHeight w:val="399"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26"/>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十五、</w:t>
            </w:r>
            <w:r>
              <w:rPr>
                <w:rFonts w:ascii="Times New Roman" w:hAnsi="Times New Roman" w:cs="Times New Roman" w:eastAsia="Times New Roman" w:hint="default"/>
                <w:w w:val="95"/>
                <w:sz w:val="20"/>
                <w:szCs w:val="20"/>
              </w:rPr>
              <w:t>3</w:t>
            </w:r>
            <w:r>
              <w:rPr>
                <w:rFonts w:ascii="Times New Roman" w:hAnsi="Times New Roman" w:cs="Times New Roman" w:eastAsia="Times New Roman" w:hint="default"/>
                <w:sz w:val="20"/>
                <w:szCs w:val="20"/>
              </w:rPr>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5"/>
              <w:jc w:val="right"/>
              <w:rPr>
                <w:rFonts w:ascii="Times New Roman" w:hAnsi="Times New Roman" w:cs="Times New Roman" w:eastAsia="Times New Roman" w:hint="default"/>
                <w:sz w:val="20"/>
                <w:szCs w:val="20"/>
              </w:rPr>
            </w:pPr>
            <w:r>
              <w:rPr>
                <w:rFonts w:ascii="Times New Roman"/>
                <w:w w:val="95"/>
                <w:sz w:val="20"/>
              </w:rPr>
              <w:t>17,004,330,858.17</w:t>
            </w:r>
            <w:r>
              <w:rPr>
                <w:rFonts w:ascii="Times New Roman"/>
                <w:sz w:val="20"/>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5"/>
              <w:jc w:val="right"/>
              <w:rPr>
                <w:rFonts w:ascii="Times New Roman" w:hAnsi="Times New Roman" w:cs="Times New Roman" w:eastAsia="Times New Roman" w:hint="default"/>
                <w:sz w:val="20"/>
                <w:szCs w:val="20"/>
              </w:rPr>
            </w:pPr>
            <w:r>
              <w:rPr>
                <w:rFonts w:ascii="Times New Roman"/>
                <w:w w:val="95"/>
                <w:sz w:val="20"/>
              </w:rPr>
              <w:t>16,859,858,731.57</w:t>
            </w:r>
            <w:r>
              <w:rPr>
                <w:rFonts w:ascii="Times New Roman"/>
                <w:sz w:val="20"/>
              </w:rPr>
            </w:r>
          </w:p>
        </w:tc>
      </w:tr>
      <w:tr>
        <w:trPr>
          <w:trHeight w:val="401"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20"/>
                <w:szCs w:val="20"/>
              </w:rPr>
            </w:pPr>
            <w:r>
              <w:rPr>
                <w:rFonts w:ascii="Times New Roman"/>
                <w:sz w:val="20"/>
              </w:rPr>
              <w:t>0.00</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20"/>
                <w:szCs w:val="20"/>
              </w:rPr>
            </w:pPr>
            <w:r>
              <w:rPr>
                <w:rFonts w:ascii="Times New Roman"/>
                <w:sz w:val="20"/>
              </w:rPr>
              <w:t>0.00</w:t>
            </w:r>
          </w:p>
        </w:tc>
      </w:tr>
      <w:tr>
        <w:trPr>
          <w:trHeight w:val="398"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5"/>
              <w:jc w:val="right"/>
              <w:rPr>
                <w:rFonts w:ascii="Times New Roman" w:hAnsi="Times New Roman" w:cs="Times New Roman" w:eastAsia="Times New Roman" w:hint="default"/>
                <w:sz w:val="20"/>
                <w:szCs w:val="20"/>
              </w:rPr>
            </w:pPr>
            <w:r>
              <w:rPr>
                <w:rFonts w:ascii="Times New Roman"/>
                <w:w w:val="95"/>
                <w:sz w:val="20"/>
              </w:rPr>
              <w:t>853,973,601.36</w:t>
            </w:r>
            <w:r>
              <w:rPr>
                <w:rFonts w:ascii="Times New Roman"/>
                <w:sz w:val="20"/>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w w:val="95"/>
                <w:sz w:val="20"/>
              </w:rPr>
              <w:t>895,539,887.71</w:t>
            </w:r>
            <w:r>
              <w:rPr>
                <w:rFonts w:ascii="Times New Roman"/>
                <w:sz w:val="20"/>
              </w:rPr>
            </w:r>
          </w:p>
        </w:tc>
      </w:tr>
      <w:tr>
        <w:trPr>
          <w:trHeight w:val="398"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20"/>
                <w:szCs w:val="20"/>
              </w:rPr>
            </w:pPr>
            <w:r>
              <w:rPr>
                <w:rFonts w:ascii="Times New Roman"/>
                <w:sz w:val="20"/>
              </w:rPr>
              <w:t>0.00</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20"/>
                <w:szCs w:val="20"/>
              </w:rPr>
            </w:pPr>
            <w:r>
              <w:rPr>
                <w:rFonts w:ascii="Times New Roman"/>
                <w:sz w:val="20"/>
              </w:rPr>
              <w:t>0.00</w:t>
            </w:r>
          </w:p>
        </w:tc>
      </w:tr>
      <w:tr>
        <w:trPr>
          <w:trHeight w:val="398"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20"/>
                <w:szCs w:val="20"/>
              </w:rPr>
            </w:pPr>
            <w:r>
              <w:rPr>
                <w:rFonts w:ascii="Times New Roman"/>
                <w:sz w:val="20"/>
              </w:rPr>
              <w:t>0.00</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20"/>
                <w:szCs w:val="20"/>
              </w:rPr>
            </w:pPr>
            <w:r>
              <w:rPr>
                <w:rFonts w:ascii="Times New Roman"/>
                <w:sz w:val="20"/>
              </w:rPr>
              <w:t>0.00</w:t>
            </w:r>
          </w:p>
        </w:tc>
      </w:tr>
      <w:tr>
        <w:trPr>
          <w:trHeight w:val="401"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20"/>
                <w:szCs w:val="20"/>
              </w:rPr>
            </w:pPr>
            <w:r>
              <w:rPr>
                <w:rFonts w:ascii="Times New Roman"/>
                <w:sz w:val="20"/>
              </w:rPr>
              <w:t>0.00</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Times New Roman" w:hAnsi="Times New Roman" w:cs="Times New Roman" w:eastAsia="Times New Roman" w:hint="default"/>
                <w:sz w:val="20"/>
                <w:szCs w:val="20"/>
              </w:rPr>
            </w:pPr>
            <w:r>
              <w:rPr>
                <w:rFonts w:ascii="Times New Roman"/>
                <w:sz w:val="20"/>
              </w:rPr>
              <w:t>0.00</w:t>
            </w:r>
          </w:p>
        </w:tc>
      </w:tr>
      <w:tr>
        <w:trPr>
          <w:trHeight w:val="398"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w w:val="95"/>
                <w:sz w:val="20"/>
              </w:rPr>
              <w:t>79,717,476.30</w:t>
            </w:r>
            <w:r>
              <w:rPr>
                <w:rFonts w:ascii="Times New Roman"/>
                <w:sz w:val="20"/>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w w:val="95"/>
                <w:sz w:val="20"/>
              </w:rPr>
              <w:t>97,685,891.32</w:t>
            </w:r>
            <w:r>
              <w:rPr>
                <w:rFonts w:ascii="Times New Roman"/>
                <w:sz w:val="20"/>
              </w:rPr>
            </w:r>
          </w:p>
        </w:tc>
      </w:tr>
      <w:tr>
        <w:trPr>
          <w:trHeight w:val="398"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w w:val="95"/>
                <w:sz w:val="20"/>
              </w:rPr>
              <w:t>83,130,243.07</w:t>
            </w:r>
            <w:r>
              <w:rPr>
                <w:rFonts w:ascii="Times New Roman"/>
                <w:sz w:val="20"/>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w w:val="95"/>
                <w:sz w:val="20"/>
              </w:rPr>
              <w:t>71,727,601.18</w:t>
            </w:r>
            <w:r>
              <w:rPr>
                <w:rFonts w:ascii="Times New Roman"/>
                <w:sz w:val="20"/>
              </w:rPr>
            </w:r>
          </w:p>
        </w:tc>
      </w:tr>
      <w:tr>
        <w:trPr>
          <w:trHeight w:val="398"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20"/>
                <w:szCs w:val="20"/>
              </w:rPr>
            </w:pPr>
            <w:r>
              <w:rPr>
                <w:rFonts w:ascii="Times New Roman"/>
                <w:sz w:val="20"/>
              </w:rPr>
              <w:t>0.00</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20"/>
                <w:szCs w:val="20"/>
              </w:rPr>
            </w:pPr>
            <w:r>
              <w:rPr>
                <w:rFonts w:ascii="Times New Roman"/>
                <w:sz w:val="20"/>
              </w:rPr>
              <w:t>0.00</w:t>
            </w:r>
          </w:p>
        </w:tc>
      </w:tr>
      <w:tr>
        <w:trPr>
          <w:trHeight w:val="401"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Times New Roman" w:hAnsi="Times New Roman" w:cs="Times New Roman" w:eastAsia="Times New Roman" w:hint="default"/>
                <w:sz w:val="20"/>
                <w:szCs w:val="20"/>
              </w:rPr>
            </w:pPr>
            <w:r>
              <w:rPr>
                <w:rFonts w:ascii="Times New Roman"/>
                <w:w w:val="95"/>
                <w:sz w:val="20"/>
              </w:rPr>
              <w:t>11,098,682.43</w:t>
            </w:r>
            <w:r>
              <w:rPr>
                <w:rFonts w:ascii="Times New Roman"/>
                <w:sz w:val="20"/>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4"/>
              <w:jc w:val="right"/>
              <w:rPr>
                <w:rFonts w:ascii="Times New Roman" w:hAnsi="Times New Roman" w:cs="Times New Roman" w:eastAsia="Times New Roman" w:hint="default"/>
                <w:sz w:val="20"/>
                <w:szCs w:val="20"/>
              </w:rPr>
            </w:pPr>
            <w:r>
              <w:rPr>
                <w:rFonts w:ascii="Times New Roman"/>
                <w:w w:val="95"/>
                <w:sz w:val="20"/>
              </w:rPr>
              <w:t>11,831,696.78</w:t>
            </w:r>
            <w:r>
              <w:rPr>
                <w:rFonts w:ascii="Times New Roman"/>
                <w:sz w:val="20"/>
              </w:rPr>
            </w:r>
          </w:p>
        </w:tc>
      </w:tr>
      <w:tr>
        <w:trPr>
          <w:trHeight w:val="398"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5"/>
              <w:jc w:val="right"/>
              <w:rPr>
                <w:rFonts w:ascii="Times New Roman" w:hAnsi="Times New Roman" w:cs="Times New Roman" w:eastAsia="Times New Roman" w:hint="default"/>
                <w:sz w:val="20"/>
                <w:szCs w:val="20"/>
              </w:rPr>
            </w:pPr>
            <w:r>
              <w:rPr>
                <w:rFonts w:ascii="Times New Roman"/>
                <w:w w:val="95"/>
                <w:sz w:val="20"/>
              </w:rPr>
              <w:t>530,732,374.02</w:t>
            </w:r>
            <w:r>
              <w:rPr>
                <w:rFonts w:ascii="Times New Roman"/>
                <w:sz w:val="20"/>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4"/>
              <w:jc w:val="right"/>
              <w:rPr>
                <w:rFonts w:ascii="Times New Roman" w:hAnsi="Times New Roman" w:cs="Times New Roman" w:eastAsia="Times New Roman" w:hint="default"/>
                <w:sz w:val="20"/>
                <w:szCs w:val="20"/>
              </w:rPr>
            </w:pPr>
            <w:r>
              <w:rPr>
                <w:rFonts w:ascii="Times New Roman"/>
                <w:w w:val="95"/>
                <w:sz w:val="20"/>
              </w:rPr>
              <w:t>244,726,548.52</w:t>
            </w:r>
            <w:r>
              <w:rPr>
                <w:rFonts w:ascii="Times New Roman"/>
                <w:sz w:val="20"/>
              </w:rPr>
            </w:r>
          </w:p>
        </w:tc>
      </w:tr>
      <w:tr>
        <w:trPr>
          <w:trHeight w:val="398"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06"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20"/>
                <w:szCs w:val="20"/>
              </w:rPr>
            </w:pPr>
            <w:r>
              <w:rPr>
                <w:rFonts w:ascii="Times New Roman"/>
                <w:sz w:val="20"/>
              </w:rPr>
              <w:t>0.00</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3"/>
              <w:jc w:val="right"/>
              <w:rPr>
                <w:rFonts w:ascii="Times New Roman" w:hAnsi="Times New Roman" w:cs="Times New Roman" w:eastAsia="Times New Roman" w:hint="default"/>
                <w:sz w:val="20"/>
                <w:szCs w:val="20"/>
              </w:rPr>
            </w:pPr>
            <w:r>
              <w:rPr>
                <w:rFonts w:ascii="Times New Roman"/>
                <w:sz w:val="20"/>
              </w:rPr>
              <w:t>0.00</w:t>
            </w:r>
          </w:p>
        </w:tc>
      </w:tr>
      <w:tr>
        <w:trPr>
          <w:trHeight w:val="398"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05"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5"/>
              <w:jc w:val="right"/>
              <w:rPr>
                <w:rFonts w:ascii="Times New Roman" w:hAnsi="Times New Roman" w:cs="Times New Roman" w:eastAsia="Times New Roman" w:hint="default"/>
                <w:sz w:val="20"/>
                <w:szCs w:val="20"/>
              </w:rPr>
            </w:pPr>
            <w:r>
              <w:rPr>
                <w:rFonts w:ascii="Times New Roman"/>
                <w:b/>
                <w:w w:val="95"/>
                <w:sz w:val="20"/>
              </w:rPr>
              <w:t>19,222,113,077.40</w:t>
            </w:r>
            <w:r>
              <w:rPr>
                <w:rFonts w:ascii="Times New Roman"/>
                <w:sz w:val="20"/>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5"/>
              <w:jc w:val="right"/>
              <w:rPr>
                <w:rFonts w:ascii="Times New Roman" w:hAnsi="Times New Roman" w:cs="Times New Roman" w:eastAsia="Times New Roman" w:hint="default"/>
                <w:sz w:val="20"/>
                <w:szCs w:val="20"/>
              </w:rPr>
            </w:pPr>
            <w:r>
              <w:rPr>
                <w:rFonts w:ascii="Times New Roman"/>
                <w:b/>
                <w:w w:val="95"/>
                <w:sz w:val="20"/>
              </w:rPr>
              <w:t>19,505,484,520.83</w:t>
            </w:r>
            <w:r>
              <w:rPr>
                <w:rFonts w:ascii="Times New Roman"/>
                <w:sz w:val="20"/>
              </w:rPr>
            </w:r>
          </w:p>
        </w:tc>
      </w:tr>
      <w:tr>
        <w:trPr>
          <w:trHeight w:val="401" w:hRule="exact"/>
        </w:trPr>
        <w:tc>
          <w:tcPr>
            <w:tcW w:w="5183"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
        </w:tc>
        <w:tc>
          <w:tcPr>
            <w:tcW w:w="203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5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97" w:right="0"/>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955" w:type="dxa"/>
            <w:tcBorders>
              <w:top w:val="single" w:sz="4" w:space="0" w:color="000000"/>
              <w:left w:val="single" w:sz="4" w:space="0" w:color="000000"/>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5"/>
              <w:jc w:val="right"/>
              <w:rPr>
                <w:rFonts w:ascii="Times New Roman" w:hAnsi="Times New Roman" w:cs="Times New Roman" w:eastAsia="Times New Roman" w:hint="default"/>
                <w:sz w:val="20"/>
                <w:szCs w:val="20"/>
              </w:rPr>
            </w:pPr>
            <w:r>
              <w:rPr>
                <w:rFonts w:ascii="Times New Roman"/>
                <w:b/>
                <w:w w:val="95"/>
                <w:sz w:val="20"/>
              </w:rPr>
              <w:t>34,901,145,523.56</w:t>
            </w:r>
            <w:r>
              <w:rPr>
                <w:rFonts w:ascii="Times New Roman"/>
                <w:sz w:val="20"/>
              </w:rPr>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5"/>
              <w:jc w:val="right"/>
              <w:rPr>
                <w:rFonts w:ascii="Times New Roman" w:hAnsi="Times New Roman" w:cs="Times New Roman" w:eastAsia="Times New Roman" w:hint="default"/>
                <w:sz w:val="20"/>
                <w:szCs w:val="20"/>
              </w:rPr>
            </w:pPr>
            <w:r>
              <w:rPr>
                <w:rFonts w:ascii="Times New Roman"/>
                <w:b/>
                <w:w w:val="95"/>
                <w:sz w:val="20"/>
              </w:rPr>
              <w:t>34,669,035,891.04</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footerReference w:type="default" r:id="rId25"/>
          <w:pgSz w:w="11910" w:h="16840"/>
          <w:pgMar w:footer="1624" w:header="0" w:top="1360" w:bottom="1820" w:left="740" w:right="740"/>
          <w:pgNumType w:start="84"/>
        </w:sectPr>
      </w:pPr>
    </w:p>
    <w:p>
      <w:pPr>
        <w:spacing w:line="272" w:lineRule="exact" w:before="38"/>
        <w:ind w:left="3936" w:right="3929" w:firstLine="0"/>
        <w:jc w:val="center"/>
        <w:rPr>
          <w:rFonts w:ascii="宋体" w:hAnsi="宋体" w:cs="宋体" w:eastAsia="宋体" w:hint="default"/>
          <w:sz w:val="21"/>
          <w:szCs w:val="21"/>
        </w:rPr>
      </w:pPr>
      <w:r>
        <w:rPr>
          <w:rFonts w:ascii="宋体" w:hAnsi="宋体" w:cs="宋体" w:eastAsia="宋体" w:hint="default"/>
          <w:b/>
          <w:bCs/>
          <w:spacing w:val="-1"/>
          <w:sz w:val="21"/>
          <w:szCs w:val="21"/>
        </w:rPr>
        <w:t>母公司资产负债表（续）</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4"/>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tabs>
          <w:tab w:pos="8523" w:val="left" w:leader="none"/>
        </w:tabs>
        <w:spacing w:line="238" w:lineRule="exact" w:before="0"/>
        <w:ind w:left="890" w:right="0" w:firstLine="0"/>
        <w:jc w:val="left"/>
        <w:rPr>
          <w:rFonts w:ascii="宋体" w:hAnsi="宋体" w:cs="宋体" w:eastAsia="宋体" w:hint="default"/>
          <w:sz w:val="20"/>
          <w:szCs w:val="20"/>
        </w:rPr>
      </w:pPr>
      <w:r>
        <w:rPr>
          <w:rFonts w:ascii="宋体" w:hAnsi="宋体" w:cs="宋体" w:eastAsia="宋体" w:hint="default"/>
          <w:b/>
          <w:bCs/>
          <w:w w:val="95"/>
          <w:sz w:val="20"/>
          <w:szCs w:val="20"/>
        </w:rPr>
        <w:t>编制单位：同方股份有限公司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3"/>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5241"/>
        <w:gridCol w:w="739"/>
        <w:gridCol w:w="1985"/>
        <w:gridCol w:w="1985"/>
      </w:tblGrid>
      <w:tr>
        <w:trPr>
          <w:trHeight w:val="374"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4" w:right="0"/>
              <w:jc w:val="center"/>
              <w:rPr>
                <w:rFonts w:ascii="宋体" w:hAnsi="宋体" w:cs="宋体" w:eastAsia="宋体" w:hint="default"/>
                <w:sz w:val="20"/>
                <w:szCs w:val="20"/>
              </w:rPr>
            </w:pPr>
            <w:r>
              <w:rPr>
                <w:rFonts w:ascii="宋体" w:hAnsi="宋体" w:cs="宋体" w:eastAsia="宋体" w:hint="default"/>
                <w:b/>
                <w:bCs/>
                <w:sz w:val="20"/>
                <w:szCs w:val="20"/>
              </w:rPr>
              <w:t>负债和股东权益</w:t>
            </w:r>
            <w:r>
              <w:rPr>
                <w:rFonts w:ascii="宋体" w:hAnsi="宋体" w:cs="宋体" w:eastAsia="宋体" w:hint="default"/>
                <w:sz w:val="20"/>
                <w:szCs w:val="20"/>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13"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85"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85"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74"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04"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5"/>
              <w:jc w:val="right"/>
              <w:rPr>
                <w:rFonts w:ascii="Times New Roman" w:hAnsi="Times New Roman" w:cs="Times New Roman" w:eastAsia="Times New Roman" w:hint="default"/>
                <w:sz w:val="20"/>
                <w:szCs w:val="20"/>
              </w:rPr>
            </w:pPr>
            <w:r>
              <w:rPr>
                <w:rFonts w:ascii="Times New Roman"/>
                <w:spacing w:val="-1"/>
                <w:sz w:val="20"/>
              </w:rPr>
              <w:t>4,385,000,000.00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5"/>
              <w:jc w:val="right"/>
              <w:rPr>
                <w:rFonts w:ascii="Times New Roman" w:hAnsi="Times New Roman" w:cs="Times New Roman" w:eastAsia="Times New Roman" w:hint="default"/>
                <w:sz w:val="20"/>
                <w:szCs w:val="20"/>
              </w:rPr>
            </w:pPr>
            <w:r>
              <w:rPr>
                <w:rFonts w:ascii="Times New Roman"/>
                <w:spacing w:val="-1"/>
                <w:sz w:val="20"/>
              </w:rPr>
              <w:t>5,150,000,000.00</w:t>
            </w:r>
          </w:p>
        </w:tc>
      </w:tr>
      <w:tr>
        <w:trPr>
          <w:trHeight w:val="374"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4"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以公允价值计量且其变动计入当期损益的金融负债</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0"/>
                <w:szCs w:val="20"/>
              </w:rPr>
            </w:pPr>
            <w:r>
              <w:rPr>
                <w:rFonts w:ascii="Times New Roman"/>
                <w:sz w:val="20"/>
              </w:rPr>
              <w:t>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0"/>
                <w:szCs w:val="20"/>
              </w:rPr>
            </w:pPr>
            <w:r>
              <w:rPr>
                <w:rFonts w:ascii="Times New Roman"/>
                <w:sz w:val="20"/>
              </w:rPr>
              <w:t>0.00</w:t>
            </w:r>
          </w:p>
        </w:tc>
      </w:tr>
      <w:tr>
        <w:trPr>
          <w:trHeight w:val="374"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4"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0"/>
                <w:szCs w:val="20"/>
              </w:rPr>
            </w:pPr>
            <w:r>
              <w:rPr>
                <w:rFonts w:ascii="Times New Roman"/>
                <w:sz w:val="20"/>
              </w:rPr>
              <w:t>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0"/>
                <w:szCs w:val="20"/>
              </w:rPr>
            </w:pPr>
            <w:r>
              <w:rPr>
                <w:rFonts w:ascii="Times New Roman"/>
                <w:sz w:val="20"/>
              </w:rPr>
              <w:t>0.00</w:t>
            </w:r>
          </w:p>
        </w:tc>
      </w:tr>
      <w:tr>
        <w:trPr>
          <w:trHeight w:val="374"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4" w:right="0"/>
              <w:jc w:val="left"/>
              <w:rPr>
                <w:rFonts w:ascii="宋体" w:hAnsi="宋体" w:cs="宋体" w:eastAsia="宋体" w:hint="default"/>
                <w:sz w:val="20"/>
                <w:szCs w:val="20"/>
              </w:rPr>
            </w:pPr>
            <w:r>
              <w:rPr>
                <w:rFonts w:ascii="宋体" w:hAnsi="宋体" w:cs="宋体" w:eastAsia="宋体" w:hint="default"/>
                <w:sz w:val="20"/>
                <w:szCs w:val="20"/>
              </w:rPr>
              <w:t>应付票据及应付账款</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5"/>
              <w:jc w:val="right"/>
              <w:rPr>
                <w:rFonts w:ascii="Times New Roman" w:hAnsi="Times New Roman" w:cs="Times New Roman" w:eastAsia="Times New Roman" w:hint="default"/>
                <w:sz w:val="20"/>
                <w:szCs w:val="20"/>
              </w:rPr>
            </w:pPr>
            <w:r>
              <w:rPr>
                <w:rFonts w:ascii="Times New Roman"/>
                <w:spacing w:val="-1"/>
                <w:sz w:val="20"/>
              </w:rPr>
              <w:t>3,078,176,063.31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5"/>
              <w:jc w:val="right"/>
              <w:rPr>
                <w:rFonts w:ascii="Times New Roman" w:hAnsi="Times New Roman" w:cs="Times New Roman" w:eastAsia="Times New Roman" w:hint="default"/>
                <w:sz w:val="20"/>
                <w:szCs w:val="20"/>
              </w:rPr>
            </w:pPr>
            <w:r>
              <w:rPr>
                <w:rFonts w:ascii="Times New Roman"/>
                <w:spacing w:val="-1"/>
                <w:sz w:val="20"/>
              </w:rPr>
              <w:t>2,044,005,791.35</w:t>
            </w:r>
          </w:p>
        </w:tc>
      </w:tr>
      <w:tr>
        <w:trPr>
          <w:trHeight w:val="377"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0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5"/>
              <w:jc w:val="right"/>
              <w:rPr>
                <w:rFonts w:ascii="Times New Roman" w:hAnsi="Times New Roman" w:cs="Times New Roman" w:eastAsia="Times New Roman" w:hint="default"/>
                <w:sz w:val="20"/>
                <w:szCs w:val="20"/>
              </w:rPr>
            </w:pPr>
            <w:r>
              <w:rPr>
                <w:rFonts w:ascii="Times New Roman"/>
                <w:w w:val="95"/>
                <w:sz w:val="20"/>
              </w:rPr>
              <w:t>454,821,377.02</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4"/>
              <w:jc w:val="right"/>
              <w:rPr>
                <w:rFonts w:ascii="Times New Roman" w:hAnsi="Times New Roman" w:cs="Times New Roman" w:eastAsia="Times New Roman" w:hint="default"/>
                <w:sz w:val="20"/>
                <w:szCs w:val="20"/>
              </w:rPr>
            </w:pPr>
            <w:r>
              <w:rPr>
                <w:rFonts w:ascii="Times New Roman"/>
                <w:w w:val="95"/>
                <w:sz w:val="20"/>
              </w:rPr>
              <w:t>523,727,514.73</w:t>
            </w:r>
            <w:r>
              <w:rPr>
                <w:rFonts w:ascii="Times New Roman"/>
                <w:sz w:val="20"/>
              </w:rPr>
            </w:r>
          </w:p>
        </w:tc>
      </w:tr>
      <w:tr>
        <w:trPr>
          <w:trHeight w:val="374"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5"/>
                <w:sz w:val="20"/>
              </w:rPr>
              <w:t>61,195,119.82</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5"/>
                <w:sz w:val="20"/>
              </w:rPr>
              <w:t>56,003,867.78</w:t>
            </w:r>
            <w:r>
              <w:rPr>
                <w:rFonts w:ascii="Times New Roman"/>
                <w:sz w:val="20"/>
              </w:rPr>
            </w:r>
          </w:p>
        </w:tc>
      </w:tr>
      <w:tr>
        <w:trPr>
          <w:trHeight w:val="375"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4"/>
              <w:jc w:val="right"/>
              <w:rPr>
                <w:rFonts w:ascii="Times New Roman" w:hAnsi="Times New Roman" w:cs="Times New Roman" w:eastAsia="Times New Roman" w:hint="default"/>
                <w:sz w:val="20"/>
                <w:szCs w:val="20"/>
              </w:rPr>
            </w:pPr>
            <w:r>
              <w:rPr>
                <w:rFonts w:ascii="Times New Roman"/>
                <w:w w:val="95"/>
                <w:sz w:val="20"/>
              </w:rPr>
              <w:t>28,365,328.74</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4"/>
              <w:jc w:val="right"/>
              <w:rPr>
                <w:rFonts w:ascii="Times New Roman" w:hAnsi="Times New Roman" w:cs="Times New Roman" w:eastAsia="Times New Roman" w:hint="default"/>
                <w:sz w:val="20"/>
                <w:szCs w:val="20"/>
              </w:rPr>
            </w:pPr>
            <w:r>
              <w:rPr>
                <w:rFonts w:ascii="Times New Roman"/>
                <w:w w:val="95"/>
                <w:sz w:val="20"/>
              </w:rPr>
              <w:t>34,189,189.78</w:t>
            </w:r>
            <w:r>
              <w:rPr>
                <w:rFonts w:ascii="Times New Roman"/>
                <w:sz w:val="20"/>
              </w:rPr>
            </w:r>
          </w:p>
        </w:tc>
      </w:tr>
      <w:tr>
        <w:trPr>
          <w:trHeight w:val="374"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5"/>
              <w:jc w:val="right"/>
              <w:rPr>
                <w:rFonts w:ascii="Times New Roman" w:hAnsi="Times New Roman" w:cs="Times New Roman" w:eastAsia="Times New Roman" w:hint="default"/>
                <w:sz w:val="20"/>
                <w:szCs w:val="20"/>
              </w:rPr>
            </w:pPr>
            <w:r>
              <w:rPr>
                <w:rFonts w:ascii="Times New Roman"/>
                <w:spacing w:val="-1"/>
                <w:sz w:val="20"/>
              </w:rPr>
              <w:t>1,729,654,353.34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5"/>
              <w:jc w:val="right"/>
              <w:rPr>
                <w:rFonts w:ascii="Times New Roman" w:hAnsi="Times New Roman" w:cs="Times New Roman" w:eastAsia="Times New Roman" w:hint="default"/>
                <w:sz w:val="20"/>
                <w:szCs w:val="20"/>
              </w:rPr>
            </w:pPr>
            <w:r>
              <w:rPr>
                <w:rFonts w:ascii="Times New Roman"/>
                <w:spacing w:val="-1"/>
                <w:sz w:val="20"/>
              </w:rPr>
              <w:t>2,000,357,318.40</w:t>
            </w:r>
          </w:p>
        </w:tc>
      </w:tr>
      <w:tr>
        <w:trPr>
          <w:trHeight w:val="377"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04" w:right="0"/>
              <w:jc w:val="left"/>
              <w:rPr>
                <w:rFonts w:ascii="宋体" w:hAnsi="宋体" w:cs="宋体" w:eastAsia="宋体" w:hint="default"/>
                <w:sz w:val="20"/>
                <w:szCs w:val="20"/>
              </w:rPr>
            </w:pPr>
            <w:r>
              <w:rPr>
                <w:rFonts w:ascii="宋体" w:hAnsi="宋体" w:cs="宋体" w:eastAsia="宋体" w:hint="default"/>
                <w:sz w:val="20"/>
                <w:szCs w:val="20"/>
              </w:rPr>
              <w:t>持有待售负债</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20"/>
                <w:szCs w:val="20"/>
              </w:rPr>
            </w:pPr>
            <w:r>
              <w:rPr>
                <w:rFonts w:ascii="Times New Roman"/>
                <w:sz w:val="20"/>
              </w:rPr>
              <w:t>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20"/>
                <w:szCs w:val="20"/>
              </w:rPr>
            </w:pPr>
            <w:r>
              <w:rPr>
                <w:rFonts w:ascii="Times New Roman"/>
                <w:sz w:val="20"/>
              </w:rPr>
              <w:t>0.00</w:t>
            </w:r>
          </w:p>
        </w:tc>
      </w:tr>
      <w:tr>
        <w:trPr>
          <w:trHeight w:val="374"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4"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5"/>
              <w:jc w:val="right"/>
              <w:rPr>
                <w:rFonts w:ascii="Times New Roman" w:hAnsi="Times New Roman" w:cs="Times New Roman" w:eastAsia="Times New Roman" w:hint="default"/>
                <w:sz w:val="20"/>
                <w:szCs w:val="20"/>
              </w:rPr>
            </w:pPr>
            <w:r>
              <w:rPr>
                <w:rFonts w:ascii="Times New Roman"/>
                <w:w w:val="95"/>
                <w:sz w:val="20"/>
              </w:rPr>
              <w:t>850,000,000.00</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0"/>
                <w:szCs w:val="20"/>
              </w:rPr>
            </w:pPr>
            <w:r>
              <w:rPr>
                <w:rFonts w:ascii="Times New Roman"/>
                <w:sz w:val="20"/>
              </w:rPr>
              <w:t>0.00</w:t>
            </w:r>
          </w:p>
        </w:tc>
      </w:tr>
      <w:tr>
        <w:trPr>
          <w:trHeight w:val="374"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5"/>
              <w:jc w:val="right"/>
              <w:rPr>
                <w:rFonts w:ascii="Times New Roman" w:hAnsi="Times New Roman" w:cs="Times New Roman" w:eastAsia="Times New Roman" w:hint="default"/>
                <w:sz w:val="20"/>
                <w:szCs w:val="20"/>
              </w:rPr>
            </w:pPr>
            <w:r>
              <w:rPr>
                <w:rFonts w:ascii="Times New Roman"/>
                <w:spacing w:val="-1"/>
                <w:sz w:val="20"/>
              </w:rPr>
              <w:t>4,040,449,315.06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5"/>
              <w:jc w:val="right"/>
              <w:rPr>
                <w:rFonts w:ascii="Times New Roman" w:hAnsi="Times New Roman" w:cs="Times New Roman" w:eastAsia="Times New Roman" w:hint="default"/>
                <w:sz w:val="20"/>
                <w:szCs w:val="20"/>
              </w:rPr>
            </w:pPr>
            <w:r>
              <w:rPr>
                <w:rFonts w:ascii="Times New Roman"/>
                <w:spacing w:val="-1"/>
                <w:sz w:val="20"/>
              </w:rPr>
              <w:t>6,128,258,630.14</w:t>
            </w:r>
          </w:p>
        </w:tc>
      </w:tr>
      <w:tr>
        <w:trPr>
          <w:trHeight w:val="374"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02" w:right="0"/>
              <w:jc w:val="left"/>
              <w:rPr>
                <w:rFonts w:ascii="宋体" w:hAnsi="宋体" w:cs="宋体" w:eastAsia="宋体" w:hint="default"/>
                <w:sz w:val="20"/>
                <w:szCs w:val="20"/>
              </w:rPr>
            </w:pPr>
            <w:r>
              <w:rPr>
                <w:rFonts w:ascii="宋体" w:hAnsi="宋体" w:cs="宋体" w:eastAsia="宋体" w:hint="default"/>
                <w:sz w:val="20"/>
                <w:szCs w:val="20"/>
              </w:rPr>
              <w:t>流动负债小计</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5"/>
              <w:jc w:val="right"/>
              <w:rPr>
                <w:rFonts w:ascii="Times New Roman" w:hAnsi="Times New Roman" w:cs="Times New Roman" w:eastAsia="Times New Roman" w:hint="default"/>
                <w:sz w:val="20"/>
                <w:szCs w:val="20"/>
              </w:rPr>
            </w:pPr>
            <w:r>
              <w:rPr>
                <w:rFonts w:ascii="Times New Roman"/>
                <w:b/>
                <w:w w:val="95"/>
                <w:sz w:val="20"/>
              </w:rPr>
              <w:t>14,627,661,557.29</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5"/>
              <w:jc w:val="right"/>
              <w:rPr>
                <w:rFonts w:ascii="Times New Roman" w:hAnsi="Times New Roman" w:cs="Times New Roman" w:eastAsia="Times New Roman" w:hint="default"/>
                <w:sz w:val="20"/>
                <w:szCs w:val="20"/>
              </w:rPr>
            </w:pPr>
            <w:r>
              <w:rPr>
                <w:rFonts w:ascii="Times New Roman"/>
                <w:b/>
                <w:w w:val="95"/>
                <w:sz w:val="20"/>
              </w:rPr>
              <w:t>15,936,542,312.18</w:t>
            </w:r>
            <w:r>
              <w:rPr>
                <w:rFonts w:ascii="Times New Roman"/>
                <w:sz w:val="20"/>
              </w:rPr>
            </w:r>
          </w:p>
        </w:tc>
      </w:tr>
      <w:tr>
        <w:trPr>
          <w:trHeight w:val="377"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0"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74"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4"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5"/>
              <w:jc w:val="right"/>
              <w:rPr>
                <w:rFonts w:ascii="Times New Roman" w:hAnsi="Times New Roman" w:cs="Times New Roman" w:eastAsia="Times New Roman" w:hint="default"/>
                <w:sz w:val="20"/>
                <w:szCs w:val="20"/>
              </w:rPr>
            </w:pPr>
            <w:r>
              <w:rPr>
                <w:rFonts w:ascii="Times New Roman"/>
                <w:w w:val="95"/>
                <w:sz w:val="20"/>
              </w:rPr>
              <w:t>410,000,000.00</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0"/>
                <w:szCs w:val="20"/>
              </w:rPr>
            </w:pPr>
            <w:r>
              <w:rPr>
                <w:rFonts w:ascii="Times New Roman"/>
                <w:sz w:val="20"/>
              </w:rPr>
              <w:t>0.00</w:t>
            </w:r>
          </w:p>
        </w:tc>
      </w:tr>
      <w:tr>
        <w:trPr>
          <w:trHeight w:val="374"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4"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5"/>
              <w:jc w:val="right"/>
              <w:rPr>
                <w:rFonts w:ascii="Times New Roman" w:hAnsi="Times New Roman" w:cs="Times New Roman" w:eastAsia="Times New Roman" w:hint="default"/>
                <w:sz w:val="20"/>
                <w:szCs w:val="20"/>
              </w:rPr>
            </w:pPr>
            <w:r>
              <w:rPr>
                <w:rFonts w:ascii="Times New Roman"/>
                <w:spacing w:val="-1"/>
                <w:sz w:val="20"/>
              </w:rPr>
              <w:t>6,400,000,000.00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5"/>
              <w:jc w:val="right"/>
              <w:rPr>
                <w:rFonts w:ascii="Times New Roman" w:hAnsi="Times New Roman" w:cs="Times New Roman" w:eastAsia="Times New Roman" w:hint="default"/>
                <w:sz w:val="20"/>
                <w:szCs w:val="20"/>
              </w:rPr>
            </w:pPr>
            <w:r>
              <w:rPr>
                <w:rFonts w:ascii="Times New Roman"/>
                <w:spacing w:val="-1"/>
                <w:sz w:val="20"/>
              </w:rPr>
              <w:t>3,500,000,000.00</w:t>
            </w:r>
          </w:p>
        </w:tc>
      </w:tr>
      <w:tr>
        <w:trPr>
          <w:trHeight w:val="374"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4"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5"/>
                <w:sz w:val="20"/>
              </w:rPr>
              <w:t>149,483.11</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5"/>
                <w:sz w:val="20"/>
              </w:rPr>
              <w:t>149,483.11</w:t>
            </w:r>
            <w:r>
              <w:rPr>
                <w:rFonts w:ascii="Times New Roman"/>
                <w:sz w:val="20"/>
              </w:rPr>
            </w:r>
          </w:p>
        </w:tc>
      </w:tr>
      <w:tr>
        <w:trPr>
          <w:trHeight w:val="377"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04"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20"/>
                <w:szCs w:val="20"/>
              </w:rPr>
            </w:pPr>
            <w:r>
              <w:rPr>
                <w:rFonts w:ascii="Times New Roman"/>
                <w:sz w:val="20"/>
              </w:rPr>
              <w:t>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20"/>
                <w:szCs w:val="20"/>
              </w:rPr>
            </w:pPr>
            <w:r>
              <w:rPr>
                <w:rFonts w:ascii="Times New Roman"/>
                <w:sz w:val="20"/>
              </w:rPr>
              <w:t>0.00</w:t>
            </w:r>
          </w:p>
        </w:tc>
      </w:tr>
      <w:tr>
        <w:trPr>
          <w:trHeight w:val="374"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4"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5"/>
                <w:sz w:val="20"/>
              </w:rPr>
              <w:t>14,747,111.00</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4"/>
              <w:jc w:val="right"/>
              <w:rPr>
                <w:rFonts w:ascii="Times New Roman" w:hAnsi="Times New Roman" w:cs="Times New Roman" w:eastAsia="Times New Roman" w:hint="default"/>
                <w:sz w:val="20"/>
                <w:szCs w:val="20"/>
              </w:rPr>
            </w:pPr>
            <w:r>
              <w:rPr>
                <w:rFonts w:ascii="Times New Roman"/>
                <w:w w:val="95"/>
                <w:sz w:val="20"/>
              </w:rPr>
              <w:t>22,298,499.86</w:t>
            </w:r>
            <w:r>
              <w:rPr>
                <w:rFonts w:ascii="Times New Roman"/>
                <w:sz w:val="20"/>
              </w:rPr>
            </w:r>
          </w:p>
        </w:tc>
      </w:tr>
      <w:tr>
        <w:trPr>
          <w:trHeight w:val="374"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0"/>
                <w:szCs w:val="20"/>
              </w:rPr>
            </w:pPr>
            <w:r>
              <w:rPr>
                <w:rFonts w:ascii="Times New Roman"/>
                <w:sz w:val="20"/>
              </w:rPr>
              <w:t>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0"/>
                <w:szCs w:val="20"/>
              </w:rPr>
            </w:pPr>
            <w:r>
              <w:rPr>
                <w:rFonts w:ascii="Times New Roman"/>
                <w:sz w:val="20"/>
              </w:rPr>
              <w:t>0.00</w:t>
            </w:r>
          </w:p>
        </w:tc>
      </w:tr>
      <w:tr>
        <w:trPr>
          <w:trHeight w:val="374"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0"/>
                <w:szCs w:val="20"/>
              </w:rPr>
            </w:pPr>
            <w:r>
              <w:rPr>
                <w:rFonts w:ascii="Times New Roman"/>
                <w:sz w:val="20"/>
              </w:rPr>
              <w:t>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0"/>
                <w:szCs w:val="20"/>
              </w:rPr>
            </w:pPr>
            <w:r>
              <w:rPr>
                <w:rFonts w:ascii="Times New Roman"/>
                <w:sz w:val="20"/>
              </w:rPr>
              <w:t>0.00</w:t>
            </w:r>
          </w:p>
        </w:tc>
      </w:tr>
      <w:tr>
        <w:trPr>
          <w:trHeight w:val="377"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02" w:right="0"/>
              <w:jc w:val="left"/>
              <w:rPr>
                <w:rFonts w:ascii="宋体" w:hAnsi="宋体" w:cs="宋体" w:eastAsia="宋体" w:hint="default"/>
                <w:sz w:val="20"/>
                <w:szCs w:val="20"/>
              </w:rPr>
            </w:pPr>
            <w:r>
              <w:rPr>
                <w:rFonts w:ascii="宋体" w:hAnsi="宋体" w:cs="宋体" w:eastAsia="宋体" w:hint="default"/>
                <w:sz w:val="20"/>
                <w:szCs w:val="20"/>
              </w:rPr>
              <w:t>非流动负债小计</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5"/>
              <w:jc w:val="right"/>
              <w:rPr>
                <w:rFonts w:ascii="Times New Roman" w:hAnsi="Times New Roman" w:cs="Times New Roman" w:eastAsia="Times New Roman" w:hint="default"/>
                <w:sz w:val="20"/>
                <w:szCs w:val="20"/>
              </w:rPr>
            </w:pPr>
            <w:r>
              <w:rPr>
                <w:rFonts w:ascii="Times New Roman"/>
                <w:b/>
                <w:spacing w:val="-1"/>
                <w:sz w:val="20"/>
              </w:rPr>
              <w:t>6,824,896,594.11</w:t>
            </w:r>
            <w:r>
              <w:rPr>
                <w:rFonts w:ascii="Times New Roman"/>
                <w:spacing w:val="-1"/>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5"/>
              <w:jc w:val="right"/>
              <w:rPr>
                <w:rFonts w:ascii="Times New Roman" w:hAnsi="Times New Roman" w:cs="Times New Roman" w:eastAsia="Times New Roman" w:hint="default"/>
                <w:sz w:val="20"/>
                <w:szCs w:val="20"/>
              </w:rPr>
            </w:pPr>
            <w:r>
              <w:rPr>
                <w:rFonts w:ascii="Times New Roman"/>
                <w:b/>
                <w:spacing w:val="-1"/>
                <w:sz w:val="20"/>
              </w:rPr>
              <w:t>3,522,447,982.97</w:t>
            </w:r>
            <w:r>
              <w:rPr>
                <w:rFonts w:ascii="Times New Roman"/>
                <w:spacing w:val="-1"/>
                <w:sz w:val="20"/>
              </w:rPr>
            </w:r>
          </w:p>
        </w:tc>
      </w:tr>
      <w:tr>
        <w:trPr>
          <w:trHeight w:val="374"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5"/>
              <w:jc w:val="right"/>
              <w:rPr>
                <w:rFonts w:ascii="Times New Roman" w:hAnsi="Times New Roman" w:cs="Times New Roman" w:eastAsia="Times New Roman" w:hint="default"/>
                <w:sz w:val="20"/>
                <w:szCs w:val="20"/>
              </w:rPr>
            </w:pPr>
            <w:r>
              <w:rPr>
                <w:rFonts w:ascii="Times New Roman"/>
                <w:b/>
                <w:w w:val="95"/>
                <w:sz w:val="20"/>
              </w:rPr>
              <w:t>21,452,558,151.40</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5"/>
              <w:jc w:val="right"/>
              <w:rPr>
                <w:rFonts w:ascii="Times New Roman" w:hAnsi="Times New Roman" w:cs="Times New Roman" w:eastAsia="Times New Roman" w:hint="default"/>
                <w:sz w:val="20"/>
                <w:szCs w:val="20"/>
              </w:rPr>
            </w:pPr>
            <w:r>
              <w:rPr>
                <w:rFonts w:ascii="Times New Roman"/>
                <w:b/>
                <w:w w:val="95"/>
                <w:sz w:val="20"/>
              </w:rPr>
              <w:t>19,458,990,295.15</w:t>
            </w:r>
            <w:r>
              <w:rPr>
                <w:rFonts w:ascii="Times New Roman"/>
                <w:sz w:val="20"/>
              </w:rPr>
            </w:r>
          </w:p>
        </w:tc>
      </w:tr>
      <w:tr>
        <w:trPr>
          <w:trHeight w:val="374"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74"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4"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5"/>
              <w:jc w:val="right"/>
              <w:rPr>
                <w:rFonts w:ascii="Times New Roman" w:hAnsi="Times New Roman" w:cs="Times New Roman" w:eastAsia="Times New Roman" w:hint="default"/>
                <w:sz w:val="20"/>
                <w:szCs w:val="20"/>
              </w:rPr>
            </w:pPr>
            <w:r>
              <w:rPr>
                <w:rFonts w:ascii="Times New Roman"/>
                <w:spacing w:val="-1"/>
                <w:sz w:val="20"/>
              </w:rPr>
              <w:t>2,963,898,951.00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5"/>
              <w:jc w:val="right"/>
              <w:rPr>
                <w:rFonts w:ascii="Times New Roman" w:hAnsi="Times New Roman" w:cs="Times New Roman" w:eastAsia="Times New Roman" w:hint="default"/>
                <w:sz w:val="20"/>
                <w:szCs w:val="20"/>
              </w:rPr>
            </w:pPr>
            <w:r>
              <w:rPr>
                <w:rFonts w:ascii="Times New Roman"/>
                <w:spacing w:val="-1"/>
                <w:sz w:val="20"/>
              </w:rPr>
              <w:t>2,963,898,951.00</w:t>
            </w:r>
          </w:p>
        </w:tc>
      </w:tr>
      <w:tr>
        <w:trPr>
          <w:trHeight w:val="377"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04"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20"/>
                <w:szCs w:val="20"/>
              </w:rPr>
            </w:pPr>
            <w:r>
              <w:rPr>
                <w:rFonts w:ascii="Times New Roman"/>
                <w:sz w:val="20"/>
              </w:rPr>
              <w:t>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20"/>
                <w:szCs w:val="20"/>
              </w:rPr>
            </w:pPr>
            <w:r>
              <w:rPr>
                <w:rFonts w:ascii="Times New Roman"/>
                <w:sz w:val="20"/>
              </w:rPr>
              <w:t>0.00</w:t>
            </w:r>
          </w:p>
        </w:tc>
      </w:tr>
      <w:tr>
        <w:trPr>
          <w:trHeight w:val="374"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4"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5"/>
              <w:jc w:val="right"/>
              <w:rPr>
                <w:rFonts w:ascii="Times New Roman" w:hAnsi="Times New Roman" w:cs="Times New Roman" w:eastAsia="Times New Roman" w:hint="default"/>
                <w:sz w:val="20"/>
                <w:szCs w:val="20"/>
              </w:rPr>
            </w:pPr>
            <w:r>
              <w:rPr>
                <w:rFonts w:ascii="Times New Roman"/>
                <w:spacing w:val="-1"/>
                <w:sz w:val="20"/>
              </w:rPr>
              <w:t>9,246,622,146.05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5"/>
              <w:jc w:val="right"/>
              <w:rPr>
                <w:rFonts w:ascii="Times New Roman" w:hAnsi="Times New Roman" w:cs="Times New Roman" w:eastAsia="Times New Roman" w:hint="default"/>
                <w:sz w:val="20"/>
                <w:szCs w:val="20"/>
              </w:rPr>
            </w:pPr>
            <w:r>
              <w:rPr>
                <w:rFonts w:ascii="Times New Roman"/>
                <w:spacing w:val="-1"/>
                <w:sz w:val="20"/>
              </w:rPr>
              <w:t>9,208,344,409.55</w:t>
            </w:r>
          </w:p>
        </w:tc>
      </w:tr>
      <w:tr>
        <w:trPr>
          <w:trHeight w:val="375"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4"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Times New Roman" w:hAnsi="Times New Roman" w:cs="Times New Roman" w:eastAsia="Times New Roman" w:hint="default"/>
                <w:sz w:val="20"/>
                <w:szCs w:val="20"/>
              </w:rPr>
            </w:pPr>
            <w:r>
              <w:rPr>
                <w:rFonts w:ascii="Times New Roman"/>
                <w:sz w:val="20"/>
              </w:rPr>
              <w:t>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Times New Roman" w:hAnsi="Times New Roman" w:cs="Times New Roman" w:eastAsia="Times New Roman" w:hint="default"/>
                <w:sz w:val="20"/>
                <w:szCs w:val="20"/>
              </w:rPr>
            </w:pPr>
            <w:r>
              <w:rPr>
                <w:rFonts w:ascii="Times New Roman"/>
                <w:sz w:val="20"/>
              </w:rPr>
              <w:t>0.00</w:t>
            </w:r>
          </w:p>
        </w:tc>
      </w:tr>
      <w:tr>
        <w:trPr>
          <w:trHeight w:val="372"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04"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5"/>
                <w:sz w:val="20"/>
              </w:rPr>
              <w:t>-186,530,768.79</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20"/>
                <w:szCs w:val="20"/>
              </w:rPr>
            </w:pPr>
            <w:r>
              <w:rPr>
                <w:rFonts w:ascii="Times New Roman"/>
                <w:w w:val="95"/>
                <w:sz w:val="20"/>
              </w:rPr>
              <w:t>-105,613,723.97</w:t>
            </w:r>
            <w:r>
              <w:rPr>
                <w:rFonts w:ascii="Times New Roman"/>
                <w:sz w:val="20"/>
              </w:rPr>
            </w:r>
          </w:p>
        </w:tc>
      </w:tr>
      <w:tr>
        <w:trPr>
          <w:trHeight w:val="374"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4"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5"/>
              <w:jc w:val="right"/>
              <w:rPr>
                <w:rFonts w:ascii="Times New Roman" w:hAnsi="Times New Roman" w:cs="Times New Roman" w:eastAsia="Times New Roman" w:hint="default"/>
                <w:sz w:val="20"/>
                <w:szCs w:val="20"/>
              </w:rPr>
            </w:pPr>
            <w:r>
              <w:rPr>
                <w:rFonts w:ascii="Times New Roman"/>
                <w:spacing w:val="-1"/>
                <w:sz w:val="20"/>
              </w:rPr>
              <w:t>1,323,757,038.95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5"/>
              <w:jc w:val="right"/>
              <w:rPr>
                <w:rFonts w:ascii="Times New Roman" w:hAnsi="Times New Roman" w:cs="Times New Roman" w:eastAsia="Times New Roman" w:hint="default"/>
                <w:sz w:val="20"/>
                <w:szCs w:val="20"/>
              </w:rPr>
            </w:pPr>
            <w:r>
              <w:rPr>
                <w:rFonts w:ascii="Times New Roman"/>
                <w:spacing w:val="-1"/>
                <w:sz w:val="20"/>
              </w:rPr>
              <w:t>1,323,757,038.95</w:t>
            </w:r>
          </w:p>
        </w:tc>
      </w:tr>
      <w:tr>
        <w:trPr>
          <w:trHeight w:val="374"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4"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5"/>
              <w:jc w:val="right"/>
              <w:rPr>
                <w:rFonts w:ascii="Times New Roman" w:hAnsi="Times New Roman" w:cs="Times New Roman" w:eastAsia="Times New Roman" w:hint="default"/>
                <w:sz w:val="20"/>
                <w:szCs w:val="20"/>
              </w:rPr>
            </w:pPr>
            <w:r>
              <w:rPr>
                <w:rFonts w:ascii="Times New Roman"/>
                <w:w w:val="95"/>
                <w:sz w:val="20"/>
              </w:rPr>
              <w:t>100,840,004.95</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5"/>
              <w:jc w:val="right"/>
              <w:rPr>
                <w:rFonts w:ascii="Times New Roman" w:hAnsi="Times New Roman" w:cs="Times New Roman" w:eastAsia="Times New Roman" w:hint="default"/>
                <w:sz w:val="20"/>
                <w:szCs w:val="20"/>
              </w:rPr>
            </w:pPr>
            <w:r>
              <w:rPr>
                <w:rFonts w:ascii="Times New Roman"/>
                <w:spacing w:val="-1"/>
                <w:sz w:val="20"/>
              </w:rPr>
              <w:t>1,819,658,920.36</w:t>
            </w:r>
          </w:p>
        </w:tc>
      </w:tr>
      <w:tr>
        <w:trPr>
          <w:trHeight w:val="374"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
              <w:jc w:val="center"/>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5"/>
              <w:jc w:val="right"/>
              <w:rPr>
                <w:rFonts w:ascii="Times New Roman" w:hAnsi="Times New Roman" w:cs="Times New Roman" w:eastAsia="Times New Roman" w:hint="default"/>
                <w:sz w:val="20"/>
                <w:szCs w:val="20"/>
              </w:rPr>
            </w:pPr>
            <w:r>
              <w:rPr>
                <w:rFonts w:ascii="Times New Roman"/>
                <w:b/>
                <w:w w:val="95"/>
                <w:sz w:val="20"/>
              </w:rPr>
              <w:t>13,448,587,372.16</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5"/>
              <w:jc w:val="right"/>
              <w:rPr>
                <w:rFonts w:ascii="Times New Roman" w:hAnsi="Times New Roman" w:cs="Times New Roman" w:eastAsia="Times New Roman" w:hint="default"/>
                <w:sz w:val="20"/>
                <w:szCs w:val="20"/>
              </w:rPr>
            </w:pPr>
            <w:r>
              <w:rPr>
                <w:rFonts w:ascii="Times New Roman"/>
                <w:b/>
                <w:w w:val="95"/>
                <w:sz w:val="20"/>
              </w:rPr>
              <w:t>15,210,045,595.89</w:t>
            </w:r>
            <w:r>
              <w:rPr>
                <w:rFonts w:ascii="Times New Roman"/>
                <w:sz w:val="20"/>
              </w:rPr>
            </w:r>
          </w:p>
        </w:tc>
      </w:tr>
      <w:tr>
        <w:trPr>
          <w:trHeight w:val="377" w:hRule="exact"/>
        </w:trPr>
        <w:tc>
          <w:tcPr>
            <w:tcW w:w="5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759" w:right="0"/>
              <w:jc w:val="left"/>
              <w:rPr>
                <w:rFonts w:ascii="宋体" w:hAnsi="宋体" w:cs="宋体" w:eastAsia="宋体" w:hint="default"/>
                <w:sz w:val="20"/>
                <w:szCs w:val="20"/>
              </w:rPr>
            </w:pPr>
            <w:r>
              <w:rPr>
                <w:rFonts w:ascii="宋体" w:hAnsi="宋体" w:cs="宋体" w:eastAsia="宋体" w:hint="default"/>
                <w:b/>
                <w:bCs/>
                <w:sz w:val="20"/>
                <w:szCs w:val="20"/>
              </w:rPr>
              <w:t>负债和股东权益总计</w:t>
            </w:r>
            <w:r>
              <w:rPr>
                <w:rFonts w:ascii="宋体" w:hAnsi="宋体" w:cs="宋体" w:eastAsia="宋体" w:hint="default"/>
                <w:sz w:val="20"/>
                <w:szCs w:val="20"/>
              </w:rPr>
            </w:r>
          </w:p>
        </w:tc>
        <w:tc>
          <w:tcPr>
            <w:tcW w:w="73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5"/>
              <w:jc w:val="right"/>
              <w:rPr>
                <w:rFonts w:ascii="Times New Roman" w:hAnsi="Times New Roman" w:cs="Times New Roman" w:eastAsia="Times New Roman" w:hint="default"/>
                <w:sz w:val="20"/>
                <w:szCs w:val="20"/>
              </w:rPr>
            </w:pPr>
            <w:r>
              <w:rPr>
                <w:rFonts w:ascii="Times New Roman"/>
                <w:b/>
                <w:w w:val="95"/>
                <w:sz w:val="20"/>
              </w:rPr>
              <w:t>34,901,145,523.56</w:t>
            </w:r>
            <w:r>
              <w:rPr>
                <w:rFonts w:ascii="Times New Roman"/>
                <w:sz w:val="20"/>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5"/>
              <w:jc w:val="right"/>
              <w:rPr>
                <w:rFonts w:ascii="Times New Roman" w:hAnsi="Times New Roman" w:cs="Times New Roman" w:eastAsia="Times New Roman" w:hint="default"/>
                <w:sz w:val="20"/>
                <w:szCs w:val="20"/>
              </w:rPr>
            </w:pPr>
            <w:r>
              <w:rPr>
                <w:rFonts w:ascii="Times New Roman"/>
                <w:b/>
                <w:w w:val="95"/>
                <w:sz w:val="20"/>
              </w:rPr>
              <w:t>34,669,035,891.04</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0" w:footer="1624" w:top="1360" w:bottom="1820" w:left="860" w:right="860"/>
        </w:sectPr>
      </w:pPr>
    </w:p>
    <w:p>
      <w:pPr>
        <w:spacing w:before="10"/>
        <w:ind w:left="6" w:right="0" w:firstLine="0"/>
        <w:jc w:val="center"/>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sz w:val="21"/>
          <w:szCs w:val="21"/>
        </w:rPr>
      </w:r>
    </w:p>
    <w:p>
      <w:pPr>
        <w:tabs>
          <w:tab w:pos="7032" w:val="left" w:leader="none"/>
        </w:tabs>
        <w:spacing w:before="59"/>
        <w:ind w:left="1" w:right="0"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编制单位：同方股份有限公司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11"/>
        <w:rPr>
          <w:rFonts w:ascii="宋体" w:hAnsi="宋体" w:cs="宋体" w:eastAsia="宋体" w:hint="default"/>
          <w:b/>
          <w:bCs/>
          <w:sz w:val="6"/>
          <w:szCs w:val="6"/>
        </w:rPr>
      </w:pPr>
    </w:p>
    <w:tbl>
      <w:tblPr>
        <w:tblW w:w="0" w:type="auto"/>
        <w:jc w:val="left"/>
        <w:tblInd w:w="109" w:type="dxa"/>
        <w:tblLayout w:type="fixed"/>
        <w:tblCellMar>
          <w:top w:w="0" w:type="dxa"/>
          <w:left w:w="0" w:type="dxa"/>
          <w:bottom w:w="0" w:type="dxa"/>
          <w:right w:w="0" w:type="dxa"/>
        </w:tblCellMar>
        <w:tblLook w:val="01E0"/>
      </w:tblPr>
      <w:tblGrid>
        <w:gridCol w:w="5481"/>
        <w:gridCol w:w="694"/>
        <w:gridCol w:w="1714"/>
        <w:gridCol w:w="1714"/>
      </w:tblGrid>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5"/>
              <w:jc w:val="righ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96"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96"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0"/>
                <w:szCs w:val="20"/>
              </w:rPr>
            </w:pPr>
            <w:r>
              <w:rPr>
                <w:rFonts w:ascii="宋体" w:hAnsi="宋体" w:cs="宋体" w:eastAsia="宋体" w:hint="default"/>
                <w:b/>
                <w:bCs/>
                <w:sz w:val="20"/>
                <w:szCs w:val="20"/>
              </w:rPr>
              <w:t>一、营业总收入</w:t>
            </w:r>
            <w:r>
              <w:rPr>
                <w:rFonts w:ascii="宋体" w:hAnsi="宋体" w:cs="宋体" w:eastAsia="宋体" w:hint="default"/>
                <w:sz w:val="20"/>
                <w:szCs w:val="20"/>
              </w:rPr>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六、</w:t>
            </w:r>
            <w:r>
              <w:rPr>
                <w:rFonts w:ascii="Times New Roman" w:hAnsi="Times New Roman" w:cs="Times New Roman" w:eastAsia="Times New Roman" w:hint="default"/>
                <w:sz w:val="18"/>
                <w:szCs w:val="18"/>
              </w:rPr>
              <w:t>40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7"/>
              <w:jc w:val="right"/>
              <w:rPr>
                <w:rFonts w:ascii="Times New Roman" w:hAnsi="Times New Roman" w:cs="Times New Roman" w:eastAsia="Times New Roman" w:hint="default"/>
                <w:sz w:val="20"/>
                <w:szCs w:val="20"/>
              </w:rPr>
            </w:pPr>
            <w:r>
              <w:rPr>
                <w:rFonts w:ascii="Times New Roman"/>
                <w:b/>
                <w:w w:val="95"/>
                <w:sz w:val="20"/>
              </w:rPr>
              <w:t>24,832,976,037.59</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
              <w:jc w:val="right"/>
              <w:rPr>
                <w:rFonts w:ascii="Times New Roman" w:hAnsi="Times New Roman" w:cs="Times New Roman" w:eastAsia="Times New Roman" w:hint="default"/>
                <w:sz w:val="20"/>
                <w:szCs w:val="20"/>
              </w:rPr>
            </w:pPr>
            <w:r>
              <w:rPr>
                <w:rFonts w:ascii="Times New Roman"/>
                <w:b/>
                <w:w w:val="95"/>
                <w:sz w:val="20"/>
              </w:rPr>
              <w:t>25,989,387,338.80</w:t>
            </w:r>
            <w:r>
              <w:rPr>
                <w:rFonts w:ascii="Times New Roman"/>
                <w:sz w:val="20"/>
              </w:rPr>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left"/>
              <w:rPr>
                <w:rFonts w:ascii="宋体" w:hAnsi="宋体" w:cs="宋体" w:eastAsia="宋体" w:hint="default"/>
                <w:sz w:val="20"/>
                <w:szCs w:val="20"/>
              </w:rPr>
            </w:pPr>
            <w:r>
              <w:rPr>
                <w:rFonts w:ascii="宋体" w:hAnsi="宋体" w:cs="宋体" w:eastAsia="宋体" w:hint="default"/>
                <w:b/>
                <w:bCs/>
                <w:sz w:val="20"/>
                <w:szCs w:val="20"/>
              </w:rPr>
              <w:t>二、营业总成本</w:t>
            </w:r>
            <w:r>
              <w:rPr>
                <w:rFonts w:ascii="宋体" w:hAnsi="宋体" w:cs="宋体" w:eastAsia="宋体" w:hint="default"/>
                <w:sz w:val="20"/>
                <w:szCs w:val="20"/>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7"/>
              <w:jc w:val="right"/>
              <w:rPr>
                <w:rFonts w:ascii="Times New Roman" w:hAnsi="Times New Roman" w:cs="Times New Roman" w:eastAsia="Times New Roman" w:hint="default"/>
                <w:sz w:val="20"/>
                <w:szCs w:val="20"/>
              </w:rPr>
            </w:pPr>
            <w:r>
              <w:rPr>
                <w:rFonts w:ascii="Times New Roman"/>
                <w:b/>
                <w:w w:val="95"/>
                <w:sz w:val="20"/>
              </w:rPr>
              <w:t>29,315,062,582.14</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6"/>
              <w:jc w:val="right"/>
              <w:rPr>
                <w:rFonts w:ascii="Times New Roman" w:hAnsi="Times New Roman" w:cs="Times New Roman" w:eastAsia="Times New Roman" w:hint="default"/>
                <w:sz w:val="20"/>
                <w:szCs w:val="20"/>
              </w:rPr>
            </w:pPr>
            <w:r>
              <w:rPr>
                <w:rFonts w:ascii="Times New Roman"/>
                <w:b/>
                <w:w w:val="95"/>
                <w:sz w:val="20"/>
              </w:rPr>
              <w:t>26,514,393,498.09</w:t>
            </w:r>
            <w:r>
              <w:rPr>
                <w:rFonts w:ascii="Times New Roman"/>
                <w:sz w:val="20"/>
              </w:rPr>
            </w:r>
          </w:p>
        </w:tc>
      </w:tr>
      <w:tr>
        <w:trPr>
          <w:trHeight w:val="283"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03"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4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六、</w:t>
            </w:r>
            <w:r>
              <w:rPr>
                <w:rFonts w:ascii="Times New Roman" w:hAnsi="Times New Roman" w:cs="Times New Roman" w:eastAsia="Times New Roman" w:hint="default"/>
                <w:w w:val="95"/>
                <w:sz w:val="20"/>
                <w:szCs w:val="20"/>
              </w:rPr>
              <w:t>40</w:t>
            </w:r>
            <w:r>
              <w:rPr>
                <w:rFonts w:ascii="Times New Roman" w:hAnsi="Times New Roman" w:cs="Times New Roman" w:eastAsia="Times New Roman"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7"/>
              <w:jc w:val="right"/>
              <w:rPr>
                <w:rFonts w:ascii="Times New Roman" w:hAnsi="Times New Roman" w:cs="Times New Roman" w:eastAsia="Times New Roman" w:hint="default"/>
                <w:sz w:val="20"/>
                <w:szCs w:val="20"/>
              </w:rPr>
            </w:pPr>
            <w:r>
              <w:rPr>
                <w:rFonts w:ascii="Times New Roman"/>
                <w:w w:val="95"/>
                <w:sz w:val="20"/>
              </w:rPr>
              <w:t>19,726,782,878.61</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
              <w:jc w:val="right"/>
              <w:rPr>
                <w:rFonts w:ascii="Times New Roman" w:hAnsi="Times New Roman" w:cs="Times New Roman" w:eastAsia="Times New Roman" w:hint="default"/>
                <w:sz w:val="20"/>
                <w:szCs w:val="20"/>
              </w:rPr>
            </w:pPr>
            <w:r>
              <w:rPr>
                <w:rFonts w:ascii="Times New Roman"/>
                <w:w w:val="95"/>
                <w:sz w:val="20"/>
              </w:rPr>
              <w:t>20,449,533,777.22</w:t>
            </w:r>
            <w:r>
              <w:rPr>
                <w:rFonts w:ascii="Times New Roman"/>
                <w:sz w:val="20"/>
              </w:rPr>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3" w:right="0"/>
              <w:jc w:val="left"/>
              <w:rPr>
                <w:rFonts w:ascii="宋体" w:hAnsi="宋体" w:cs="宋体" w:eastAsia="宋体" w:hint="default"/>
                <w:sz w:val="20"/>
                <w:szCs w:val="20"/>
              </w:rPr>
            </w:pPr>
            <w:r>
              <w:rPr>
                <w:rFonts w:ascii="宋体" w:hAnsi="宋体" w:cs="宋体" w:eastAsia="宋体" w:hint="default"/>
                <w:sz w:val="20"/>
                <w:szCs w:val="20"/>
              </w:rPr>
              <w:t>税金及附加</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4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六、</w:t>
            </w:r>
            <w:r>
              <w:rPr>
                <w:rFonts w:ascii="Times New Roman" w:hAnsi="Times New Roman" w:cs="Times New Roman" w:eastAsia="Times New Roman" w:hint="default"/>
                <w:w w:val="95"/>
                <w:sz w:val="20"/>
                <w:szCs w:val="20"/>
              </w:rPr>
              <w:t>41</w:t>
            </w:r>
            <w:r>
              <w:rPr>
                <w:rFonts w:ascii="Times New Roman" w:hAnsi="Times New Roman" w:cs="Times New Roman" w:eastAsia="Times New Roman"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
              <w:jc w:val="right"/>
              <w:rPr>
                <w:rFonts w:ascii="Times New Roman" w:hAnsi="Times New Roman" w:cs="Times New Roman" w:eastAsia="Times New Roman" w:hint="default"/>
                <w:sz w:val="20"/>
                <w:szCs w:val="20"/>
              </w:rPr>
            </w:pPr>
            <w:r>
              <w:rPr>
                <w:rFonts w:ascii="Times New Roman"/>
                <w:w w:val="95"/>
                <w:sz w:val="20"/>
              </w:rPr>
              <w:t>160,720,047.58</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
              <w:jc w:val="right"/>
              <w:rPr>
                <w:rFonts w:ascii="Times New Roman" w:hAnsi="Times New Roman" w:cs="Times New Roman" w:eastAsia="Times New Roman" w:hint="default"/>
                <w:sz w:val="20"/>
                <w:szCs w:val="20"/>
              </w:rPr>
            </w:pPr>
            <w:r>
              <w:rPr>
                <w:rFonts w:ascii="Times New Roman"/>
                <w:w w:val="95"/>
                <w:sz w:val="20"/>
              </w:rPr>
              <w:t>186,356,820.76</w:t>
            </w:r>
            <w:r>
              <w:rPr>
                <w:rFonts w:ascii="Times New Roman"/>
                <w:sz w:val="20"/>
              </w:rPr>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4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六、</w:t>
            </w:r>
            <w:r>
              <w:rPr>
                <w:rFonts w:ascii="Times New Roman" w:hAnsi="Times New Roman" w:cs="Times New Roman" w:eastAsia="Times New Roman" w:hint="default"/>
                <w:w w:val="95"/>
                <w:sz w:val="20"/>
                <w:szCs w:val="20"/>
              </w:rPr>
              <w:t>42</w:t>
            </w:r>
            <w:r>
              <w:rPr>
                <w:rFonts w:ascii="Times New Roman" w:hAnsi="Times New Roman" w:cs="Times New Roman" w:eastAsia="Times New Roman"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
              <w:jc w:val="right"/>
              <w:rPr>
                <w:rFonts w:ascii="Times New Roman" w:hAnsi="Times New Roman" w:cs="Times New Roman" w:eastAsia="Times New Roman" w:hint="default"/>
                <w:sz w:val="20"/>
                <w:szCs w:val="20"/>
              </w:rPr>
            </w:pPr>
            <w:r>
              <w:rPr>
                <w:rFonts w:ascii="Times New Roman"/>
                <w:spacing w:val="-1"/>
                <w:sz w:val="20"/>
              </w:rPr>
              <w:t>2,136,479,026.43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
              <w:jc w:val="right"/>
              <w:rPr>
                <w:rFonts w:ascii="Times New Roman" w:hAnsi="Times New Roman" w:cs="Times New Roman" w:eastAsia="Times New Roman" w:hint="default"/>
                <w:sz w:val="20"/>
                <w:szCs w:val="20"/>
              </w:rPr>
            </w:pPr>
            <w:r>
              <w:rPr>
                <w:rFonts w:ascii="Times New Roman"/>
                <w:spacing w:val="-1"/>
                <w:sz w:val="20"/>
              </w:rPr>
              <w:t>2,054,769,196.60</w:t>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4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六、</w:t>
            </w:r>
            <w:r>
              <w:rPr>
                <w:rFonts w:ascii="Times New Roman" w:hAnsi="Times New Roman" w:cs="Times New Roman" w:eastAsia="Times New Roman" w:hint="default"/>
                <w:w w:val="95"/>
                <w:sz w:val="20"/>
                <w:szCs w:val="20"/>
              </w:rPr>
              <w:t>43</w:t>
            </w:r>
            <w:r>
              <w:rPr>
                <w:rFonts w:ascii="Times New Roman" w:hAnsi="Times New Roman" w:cs="Times New Roman" w:eastAsia="Times New Roman"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
              <w:jc w:val="right"/>
              <w:rPr>
                <w:rFonts w:ascii="Times New Roman" w:hAnsi="Times New Roman" w:cs="Times New Roman" w:eastAsia="Times New Roman" w:hint="default"/>
                <w:sz w:val="20"/>
                <w:szCs w:val="20"/>
              </w:rPr>
            </w:pPr>
            <w:r>
              <w:rPr>
                <w:rFonts w:ascii="Times New Roman"/>
                <w:spacing w:val="-1"/>
                <w:sz w:val="20"/>
              </w:rPr>
              <w:t>1,659,737,661.96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
              <w:jc w:val="right"/>
              <w:rPr>
                <w:rFonts w:ascii="Times New Roman" w:hAnsi="Times New Roman" w:cs="Times New Roman" w:eastAsia="Times New Roman" w:hint="default"/>
                <w:sz w:val="20"/>
                <w:szCs w:val="20"/>
              </w:rPr>
            </w:pPr>
            <w:r>
              <w:rPr>
                <w:rFonts w:ascii="Times New Roman"/>
                <w:spacing w:val="-1"/>
                <w:sz w:val="20"/>
              </w:rPr>
              <w:t>1,596,414,529.07</w:t>
            </w:r>
          </w:p>
        </w:tc>
      </w:tr>
      <w:tr>
        <w:trPr>
          <w:trHeight w:val="283"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3" w:right="0"/>
              <w:jc w:val="left"/>
              <w:rPr>
                <w:rFonts w:ascii="宋体" w:hAnsi="宋体" w:cs="宋体" w:eastAsia="宋体" w:hint="default"/>
                <w:sz w:val="20"/>
                <w:szCs w:val="20"/>
              </w:rPr>
            </w:pPr>
            <w:r>
              <w:rPr>
                <w:rFonts w:ascii="宋体" w:hAnsi="宋体" w:cs="宋体" w:eastAsia="宋体" w:hint="default"/>
                <w:sz w:val="20"/>
                <w:szCs w:val="20"/>
              </w:rPr>
              <w:t>研发费用</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4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六、</w:t>
            </w:r>
            <w:r>
              <w:rPr>
                <w:rFonts w:ascii="Times New Roman" w:hAnsi="Times New Roman" w:cs="Times New Roman" w:eastAsia="Times New Roman" w:hint="default"/>
                <w:w w:val="95"/>
                <w:sz w:val="20"/>
                <w:szCs w:val="20"/>
              </w:rPr>
              <w:t>44</w:t>
            </w:r>
            <w:r>
              <w:rPr>
                <w:rFonts w:ascii="Times New Roman" w:hAnsi="Times New Roman" w:cs="Times New Roman" w:eastAsia="Times New Roman"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
              <w:jc w:val="right"/>
              <w:rPr>
                <w:rFonts w:ascii="Times New Roman" w:hAnsi="Times New Roman" w:cs="Times New Roman" w:eastAsia="Times New Roman" w:hint="default"/>
                <w:sz w:val="20"/>
                <w:szCs w:val="20"/>
              </w:rPr>
            </w:pPr>
            <w:r>
              <w:rPr>
                <w:rFonts w:ascii="Times New Roman"/>
                <w:w w:val="95"/>
                <w:sz w:val="20"/>
              </w:rPr>
              <w:t>863,650,909.48</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
              <w:jc w:val="right"/>
              <w:rPr>
                <w:rFonts w:ascii="Times New Roman" w:hAnsi="Times New Roman" w:cs="Times New Roman" w:eastAsia="Times New Roman" w:hint="default"/>
                <w:sz w:val="20"/>
                <w:szCs w:val="20"/>
              </w:rPr>
            </w:pPr>
            <w:r>
              <w:rPr>
                <w:rFonts w:ascii="Times New Roman"/>
                <w:w w:val="95"/>
                <w:sz w:val="20"/>
              </w:rPr>
              <w:t>692,765,781.30</w:t>
            </w:r>
            <w:r>
              <w:rPr>
                <w:rFonts w:ascii="Times New Roman"/>
                <w:sz w:val="20"/>
              </w:rPr>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4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六、</w:t>
            </w:r>
            <w:r>
              <w:rPr>
                <w:rFonts w:ascii="Times New Roman" w:hAnsi="Times New Roman" w:cs="Times New Roman" w:eastAsia="Times New Roman" w:hint="default"/>
                <w:w w:val="95"/>
                <w:sz w:val="20"/>
                <w:szCs w:val="20"/>
              </w:rPr>
              <w:t>45</w:t>
            </w:r>
            <w:r>
              <w:rPr>
                <w:rFonts w:ascii="Times New Roman" w:hAnsi="Times New Roman" w:cs="Times New Roman" w:eastAsia="Times New Roman"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
              <w:jc w:val="right"/>
              <w:rPr>
                <w:rFonts w:ascii="Times New Roman" w:hAnsi="Times New Roman" w:cs="Times New Roman" w:eastAsia="Times New Roman" w:hint="default"/>
                <w:sz w:val="20"/>
                <w:szCs w:val="20"/>
              </w:rPr>
            </w:pPr>
            <w:r>
              <w:rPr>
                <w:rFonts w:ascii="Times New Roman"/>
                <w:spacing w:val="-1"/>
                <w:sz w:val="20"/>
              </w:rPr>
              <w:t>1,172,325,085.62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
              <w:jc w:val="right"/>
              <w:rPr>
                <w:rFonts w:ascii="Times New Roman" w:hAnsi="Times New Roman" w:cs="Times New Roman" w:eastAsia="Times New Roman" w:hint="default"/>
                <w:sz w:val="20"/>
                <w:szCs w:val="20"/>
              </w:rPr>
            </w:pPr>
            <w:r>
              <w:rPr>
                <w:rFonts w:ascii="Times New Roman"/>
                <w:w w:val="95"/>
                <w:sz w:val="20"/>
              </w:rPr>
              <w:t>783,171,371.63</w:t>
            </w:r>
            <w:r>
              <w:rPr>
                <w:rFonts w:ascii="Times New Roman"/>
                <w:sz w:val="20"/>
              </w:rPr>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2" w:right="0"/>
              <w:jc w:val="left"/>
              <w:rPr>
                <w:rFonts w:ascii="宋体" w:hAnsi="宋体" w:cs="宋体" w:eastAsia="宋体" w:hint="default"/>
                <w:sz w:val="20"/>
                <w:szCs w:val="20"/>
              </w:rPr>
            </w:pPr>
            <w:r>
              <w:rPr>
                <w:rFonts w:ascii="宋体" w:hAnsi="宋体" w:cs="宋体" w:eastAsia="宋体" w:hint="default"/>
                <w:sz w:val="20"/>
                <w:szCs w:val="20"/>
              </w:rPr>
              <w:t>其中：利息费用</w:t>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
              <w:jc w:val="right"/>
              <w:rPr>
                <w:rFonts w:ascii="Times New Roman" w:hAnsi="Times New Roman" w:cs="Times New Roman" w:eastAsia="Times New Roman" w:hint="default"/>
                <w:sz w:val="20"/>
                <w:szCs w:val="20"/>
              </w:rPr>
            </w:pPr>
            <w:r>
              <w:rPr>
                <w:rFonts w:ascii="Times New Roman"/>
                <w:spacing w:val="-1"/>
                <w:sz w:val="20"/>
              </w:rPr>
              <w:t>1,288,963,403.95</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
              <w:jc w:val="right"/>
              <w:rPr>
                <w:rFonts w:ascii="Times New Roman" w:hAnsi="Times New Roman" w:cs="Times New Roman" w:eastAsia="Times New Roman" w:hint="default"/>
                <w:sz w:val="20"/>
                <w:szCs w:val="20"/>
              </w:rPr>
            </w:pPr>
            <w:r>
              <w:rPr>
                <w:rFonts w:ascii="Times New Roman"/>
                <w:w w:val="95"/>
                <w:sz w:val="20"/>
              </w:rPr>
              <w:t>846,641,293.30</w:t>
            </w:r>
            <w:r>
              <w:rPr>
                <w:rFonts w:ascii="Times New Roman"/>
                <w:sz w:val="20"/>
              </w:rPr>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702" w:right="0"/>
              <w:jc w:val="left"/>
              <w:rPr>
                <w:rFonts w:ascii="宋体" w:hAnsi="宋体" w:cs="宋体" w:eastAsia="宋体" w:hint="default"/>
                <w:sz w:val="20"/>
                <w:szCs w:val="20"/>
              </w:rPr>
            </w:pPr>
            <w:r>
              <w:rPr>
                <w:rFonts w:ascii="宋体" w:hAnsi="宋体" w:cs="宋体" w:eastAsia="宋体" w:hint="default"/>
                <w:sz w:val="20"/>
                <w:szCs w:val="20"/>
              </w:rPr>
              <w:t>利息收入</w:t>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
              <w:jc w:val="right"/>
              <w:rPr>
                <w:rFonts w:ascii="Times New Roman" w:hAnsi="Times New Roman" w:cs="Times New Roman" w:eastAsia="Times New Roman" w:hint="default"/>
                <w:sz w:val="20"/>
                <w:szCs w:val="20"/>
              </w:rPr>
            </w:pPr>
            <w:r>
              <w:rPr>
                <w:rFonts w:ascii="Times New Roman"/>
                <w:w w:val="95"/>
                <w:sz w:val="20"/>
              </w:rPr>
              <w:t>145,767,176.86</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
              <w:jc w:val="right"/>
              <w:rPr>
                <w:rFonts w:ascii="Times New Roman" w:hAnsi="Times New Roman" w:cs="Times New Roman" w:eastAsia="Times New Roman" w:hint="default"/>
                <w:sz w:val="20"/>
                <w:szCs w:val="20"/>
              </w:rPr>
            </w:pPr>
            <w:r>
              <w:rPr>
                <w:rFonts w:ascii="Times New Roman"/>
                <w:w w:val="95"/>
                <w:sz w:val="20"/>
              </w:rPr>
              <w:t>121,449,677.73</w:t>
            </w:r>
            <w:r>
              <w:rPr>
                <w:rFonts w:ascii="Times New Roman"/>
                <w:sz w:val="20"/>
              </w:rPr>
            </w:r>
          </w:p>
        </w:tc>
      </w:tr>
      <w:tr>
        <w:trPr>
          <w:trHeight w:val="284"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902"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4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六、</w:t>
            </w:r>
            <w:r>
              <w:rPr>
                <w:rFonts w:ascii="Times New Roman" w:hAnsi="Times New Roman" w:cs="Times New Roman" w:eastAsia="Times New Roman" w:hint="default"/>
                <w:w w:val="95"/>
                <w:sz w:val="20"/>
                <w:szCs w:val="20"/>
              </w:rPr>
              <w:t>46</w:t>
            </w:r>
            <w:r>
              <w:rPr>
                <w:rFonts w:ascii="Times New Roman" w:hAnsi="Times New Roman" w:cs="Times New Roman" w:eastAsia="Times New Roman"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
              <w:jc w:val="right"/>
              <w:rPr>
                <w:rFonts w:ascii="Times New Roman" w:hAnsi="Times New Roman" w:cs="Times New Roman" w:eastAsia="Times New Roman" w:hint="default"/>
                <w:sz w:val="20"/>
                <w:szCs w:val="20"/>
              </w:rPr>
            </w:pPr>
            <w:r>
              <w:rPr>
                <w:rFonts w:ascii="Times New Roman"/>
                <w:spacing w:val="-1"/>
                <w:sz w:val="20"/>
              </w:rPr>
              <w:t>3,595,366,972.46</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
              <w:jc w:val="right"/>
              <w:rPr>
                <w:rFonts w:ascii="Times New Roman" w:hAnsi="Times New Roman" w:cs="Times New Roman" w:eastAsia="Times New Roman" w:hint="default"/>
                <w:sz w:val="20"/>
                <w:szCs w:val="20"/>
              </w:rPr>
            </w:pPr>
            <w:r>
              <w:rPr>
                <w:rFonts w:ascii="Times New Roman"/>
                <w:w w:val="95"/>
                <w:sz w:val="20"/>
              </w:rPr>
              <w:t>751,382,021.51</w:t>
            </w:r>
            <w:r>
              <w:rPr>
                <w:rFonts w:ascii="Times New Roman"/>
                <w:sz w:val="20"/>
              </w:rPr>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03" w:right="0"/>
              <w:jc w:val="left"/>
              <w:rPr>
                <w:rFonts w:ascii="宋体" w:hAnsi="宋体" w:cs="宋体" w:eastAsia="宋体" w:hint="default"/>
                <w:sz w:val="20"/>
                <w:szCs w:val="20"/>
              </w:rPr>
            </w:pPr>
            <w:r>
              <w:rPr>
                <w:rFonts w:ascii="宋体" w:hAnsi="宋体" w:cs="宋体" w:eastAsia="宋体" w:hint="default"/>
                <w:sz w:val="20"/>
                <w:szCs w:val="20"/>
              </w:rPr>
              <w:t>加：其他收益</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4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六、</w:t>
            </w:r>
            <w:r>
              <w:rPr>
                <w:rFonts w:ascii="Times New Roman" w:hAnsi="Times New Roman" w:cs="Times New Roman" w:eastAsia="Times New Roman" w:hint="default"/>
                <w:w w:val="95"/>
                <w:sz w:val="20"/>
                <w:szCs w:val="20"/>
              </w:rPr>
              <w:t>47</w:t>
            </w:r>
            <w:r>
              <w:rPr>
                <w:rFonts w:ascii="Times New Roman" w:hAnsi="Times New Roman" w:cs="Times New Roman" w:eastAsia="Times New Roman"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
              <w:jc w:val="right"/>
              <w:rPr>
                <w:rFonts w:ascii="Times New Roman" w:hAnsi="Times New Roman" w:cs="Times New Roman" w:eastAsia="Times New Roman" w:hint="default"/>
                <w:sz w:val="20"/>
                <w:szCs w:val="20"/>
              </w:rPr>
            </w:pPr>
            <w:r>
              <w:rPr>
                <w:rFonts w:ascii="Times New Roman"/>
                <w:w w:val="95"/>
                <w:sz w:val="20"/>
              </w:rPr>
              <w:t>314,387,831.26</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
              <w:jc w:val="right"/>
              <w:rPr>
                <w:rFonts w:ascii="Times New Roman" w:hAnsi="Times New Roman" w:cs="Times New Roman" w:eastAsia="Times New Roman" w:hint="default"/>
                <w:sz w:val="20"/>
                <w:szCs w:val="20"/>
              </w:rPr>
            </w:pPr>
            <w:r>
              <w:rPr>
                <w:rFonts w:ascii="Times New Roman"/>
                <w:w w:val="95"/>
                <w:sz w:val="20"/>
              </w:rPr>
              <w:t>274,059,954.62</w:t>
            </w:r>
            <w:r>
              <w:rPr>
                <w:rFonts w:ascii="Times New Roman"/>
                <w:sz w:val="20"/>
              </w:rPr>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投资收益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4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六、</w:t>
            </w:r>
            <w:r>
              <w:rPr>
                <w:rFonts w:ascii="Times New Roman" w:hAnsi="Times New Roman" w:cs="Times New Roman" w:eastAsia="Times New Roman" w:hint="default"/>
                <w:w w:val="95"/>
                <w:sz w:val="20"/>
                <w:szCs w:val="20"/>
              </w:rPr>
              <w:t>48</w:t>
            </w:r>
            <w:r>
              <w:rPr>
                <w:rFonts w:ascii="Times New Roman" w:hAnsi="Times New Roman" w:cs="Times New Roman" w:eastAsia="Times New Roman"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
              <w:jc w:val="right"/>
              <w:rPr>
                <w:rFonts w:ascii="Times New Roman" w:hAnsi="Times New Roman" w:cs="Times New Roman" w:eastAsia="Times New Roman" w:hint="default"/>
                <w:sz w:val="20"/>
                <w:szCs w:val="20"/>
              </w:rPr>
            </w:pPr>
            <w:r>
              <w:rPr>
                <w:rFonts w:ascii="Times New Roman"/>
                <w:w w:val="95"/>
                <w:sz w:val="20"/>
              </w:rPr>
              <w:t>641,441,357.54</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
              <w:jc w:val="right"/>
              <w:rPr>
                <w:rFonts w:ascii="Times New Roman" w:hAnsi="Times New Roman" w:cs="Times New Roman" w:eastAsia="Times New Roman" w:hint="default"/>
                <w:sz w:val="20"/>
                <w:szCs w:val="20"/>
              </w:rPr>
            </w:pPr>
            <w:r>
              <w:rPr>
                <w:rFonts w:ascii="Times New Roman"/>
                <w:spacing w:val="-1"/>
                <w:sz w:val="20"/>
              </w:rPr>
              <w:t>1,159,896,929.85</w:t>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3"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4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六、</w:t>
            </w:r>
            <w:r>
              <w:rPr>
                <w:rFonts w:ascii="Times New Roman" w:hAnsi="Times New Roman" w:cs="Times New Roman" w:eastAsia="Times New Roman" w:hint="default"/>
                <w:w w:val="95"/>
                <w:sz w:val="20"/>
                <w:szCs w:val="20"/>
              </w:rPr>
              <w:t>48</w:t>
            </w:r>
            <w:r>
              <w:rPr>
                <w:rFonts w:ascii="Times New Roman" w:hAnsi="Times New Roman" w:cs="Times New Roman" w:eastAsia="Times New Roman"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
              <w:jc w:val="right"/>
              <w:rPr>
                <w:rFonts w:ascii="Times New Roman" w:hAnsi="Times New Roman" w:cs="Times New Roman" w:eastAsia="Times New Roman" w:hint="default"/>
                <w:sz w:val="20"/>
                <w:szCs w:val="20"/>
              </w:rPr>
            </w:pPr>
            <w:r>
              <w:rPr>
                <w:rFonts w:ascii="Times New Roman"/>
                <w:w w:val="95"/>
                <w:sz w:val="20"/>
              </w:rPr>
              <w:t>419,574,087.26</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
              <w:jc w:val="right"/>
              <w:rPr>
                <w:rFonts w:ascii="Times New Roman" w:hAnsi="Times New Roman" w:cs="Times New Roman" w:eastAsia="Times New Roman" w:hint="default"/>
                <w:sz w:val="20"/>
                <w:szCs w:val="20"/>
              </w:rPr>
            </w:pPr>
            <w:r>
              <w:rPr>
                <w:rFonts w:ascii="Times New Roman"/>
                <w:w w:val="95"/>
                <w:sz w:val="20"/>
              </w:rPr>
              <w:t>838,500,724.94</w:t>
            </w:r>
            <w:r>
              <w:rPr>
                <w:rFonts w:ascii="Times New Roman"/>
                <w:sz w:val="20"/>
              </w:rPr>
            </w:r>
          </w:p>
        </w:tc>
      </w:tr>
      <w:tr>
        <w:trPr>
          <w:trHeight w:val="283"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50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公允价值变动收益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4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六、</w:t>
            </w:r>
            <w:r>
              <w:rPr>
                <w:rFonts w:ascii="Times New Roman" w:hAnsi="Times New Roman" w:cs="Times New Roman" w:eastAsia="Times New Roman" w:hint="default"/>
                <w:w w:val="95"/>
                <w:sz w:val="20"/>
                <w:szCs w:val="20"/>
              </w:rPr>
              <w:t>49</w:t>
            </w:r>
            <w:r>
              <w:rPr>
                <w:rFonts w:ascii="Times New Roman" w:hAnsi="Times New Roman" w:cs="Times New Roman" w:eastAsia="Times New Roman"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4"/>
              <w:jc w:val="right"/>
              <w:rPr>
                <w:rFonts w:ascii="Times New Roman" w:hAnsi="Times New Roman" w:cs="Times New Roman" w:eastAsia="Times New Roman" w:hint="default"/>
                <w:sz w:val="20"/>
                <w:szCs w:val="20"/>
              </w:rPr>
            </w:pPr>
            <w:r>
              <w:rPr>
                <w:rFonts w:ascii="Times New Roman"/>
                <w:w w:val="95"/>
                <w:sz w:val="20"/>
              </w:rPr>
              <w:t>-131,967,809.27</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
              <w:jc w:val="right"/>
              <w:rPr>
                <w:rFonts w:ascii="Times New Roman" w:hAnsi="Times New Roman" w:cs="Times New Roman" w:eastAsia="Times New Roman" w:hint="default"/>
                <w:sz w:val="20"/>
                <w:szCs w:val="20"/>
              </w:rPr>
            </w:pPr>
            <w:r>
              <w:rPr>
                <w:rFonts w:ascii="Times New Roman"/>
                <w:w w:val="95"/>
                <w:sz w:val="20"/>
              </w:rPr>
              <w:t>-255,216,515.38</w:t>
            </w:r>
            <w:r>
              <w:rPr>
                <w:rFonts w:ascii="Times New Roman"/>
                <w:sz w:val="20"/>
              </w:rPr>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502" w:right="0"/>
              <w:jc w:val="left"/>
              <w:rPr>
                <w:rFonts w:ascii="宋体" w:hAnsi="宋体" w:cs="宋体" w:eastAsia="宋体" w:hint="default"/>
                <w:sz w:val="20"/>
                <w:szCs w:val="20"/>
              </w:rPr>
            </w:pPr>
            <w:r>
              <w:rPr>
                <w:rFonts w:ascii="宋体" w:hAnsi="宋体" w:cs="宋体" w:eastAsia="宋体" w:hint="default"/>
                <w:sz w:val="20"/>
                <w:szCs w:val="20"/>
              </w:rPr>
              <w:t>资产处置收益（损失以</w:t>
            </w:r>
            <w:r>
              <w:rPr>
                <w:rFonts w:ascii="Times New Roman" w:hAnsi="Times New Roman" w:cs="Times New Roman" w:eastAsia="Times New Roman" w:hint="default"/>
                <w:sz w:val="20"/>
                <w:szCs w:val="20"/>
              </w:rPr>
              <w:t>“</w:t>
            </w:r>
            <w:r>
              <w:rPr>
                <w:rFonts w:ascii="Times New Roman" w:hAnsi="Times New Roman" w:cs="Times New Roman" w:eastAsia="Times New Roman"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4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六、</w:t>
            </w:r>
            <w:r>
              <w:rPr>
                <w:rFonts w:ascii="Times New Roman" w:hAnsi="Times New Roman" w:cs="Times New Roman" w:eastAsia="Times New Roman" w:hint="default"/>
                <w:w w:val="95"/>
                <w:sz w:val="20"/>
                <w:szCs w:val="20"/>
              </w:rPr>
              <w:t>50</w:t>
            </w:r>
            <w:r>
              <w:rPr>
                <w:rFonts w:ascii="Times New Roman" w:hAnsi="Times New Roman" w:cs="Times New Roman" w:eastAsia="Times New Roman"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
              <w:jc w:val="right"/>
              <w:rPr>
                <w:rFonts w:ascii="Times New Roman" w:hAnsi="Times New Roman" w:cs="Times New Roman" w:eastAsia="Times New Roman" w:hint="default"/>
                <w:sz w:val="20"/>
                <w:szCs w:val="20"/>
              </w:rPr>
            </w:pPr>
            <w:r>
              <w:rPr>
                <w:rFonts w:ascii="Times New Roman"/>
                <w:w w:val="95"/>
                <w:sz w:val="20"/>
              </w:rPr>
              <w:t>198,200,922.74</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right"/>
              <w:rPr>
                <w:rFonts w:ascii="Times New Roman" w:hAnsi="Times New Roman" w:cs="Times New Roman" w:eastAsia="Times New Roman" w:hint="default"/>
                <w:sz w:val="20"/>
                <w:szCs w:val="20"/>
              </w:rPr>
            </w:pPr>
            <w:r>
              <w:rPr>
                <w:rFonts w:ascii="Times New Roman"/>
                <w:w w:val="95"/>
                <w:sz w:val="20"/>
              </w:rPr>
              <w:t>11,822,704.21</w:t>
            </w:r>
            <w:r>
              <w:rPr>
                <w:rFonts w:ascii="Times New Roman"/>
                <w:sz w:val="20"/>
              </w:rPr>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三、营业利润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
              <w:jc w:val="right"/>
              <w:rPr>
                <w:rFonts w:ascii="Times New Roman" w:hAnsi="Times New Roman" w:cs="Times New Roman" w:eastAsia="Times New Roman" w:hint="default"/>
                <w:sz w:val="20"/>
                <w:szCs w:val="20"/>
              </w:rPr>
            </w:pPr>
            <w:r>
              <w:rPr>
                <w:rFonts w:ascii="Times New Roman"/>
                <w:b/>
                <w:w w:val="95"/>
                <w:sz w:val="20"/>
              </w:rPr>
              <w:t>-3,460,024,242.28</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
              <w:jc w:val="right"/>
              <w:rPr>
                <w:rFonts w:ascii="Times New Roman" w:hAnsi="Times New Roman" w:cs="Times New Roman" w:eastAsia="Times New Roman" w:hint="default"/>
                <w:sz w:val="20"/>
                <w:szCs w:val="20"/>
              </w:rPr>
            </w:pPr>
            <w:r>
              <w:rPr>
                <w:rFonts w:ascii="Times New Roman"/>
                <w:b/>
                <w:w w:val="95"/>
                <w:sz w:val="20"/>
              </w:rPr>
              <w:t>665,556,914.01</w:t>
            </w:r>
            <w:r>
              <w:rPr>
                <w:rFonts w:ascii="Times New Roman"/>
                <w:sz w:val="20"/>
              </w:rPr>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03"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4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六、</w:t>
            </w:r>
            <w:r>
              <w:rPr>
                <w:rFonts w:ascii="Times New Roman" w:hAnsi="Times New Roman" w:cs="Times New Roman" w:eastAsia="Times New Roman" w:hint="default"/>
                <w:w w:val="95"/>
                <w:sz w:val="20"/>
                <w:szCs w:val="20"/>
              </w:rPr>
              <w:t>51</w:t>
            </w:r>
            <w:r>
              <w:rPr>
                <w:rFonts w:ascii="Times New Roman" w:hAnsi="Times New Roman" w:cs="Times New Roman" w:eastAsia="Times New Roman"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
              <w:jc w:val="right"/>
              <w:rPr>
                <w:rFonts w:ascii="Times New Roman" w:hAnsi="Times New Roman" w:cs="Times New Roman" w:eastAsia="Times New Roman" w:hint="default"/>
                <w:sz w:val="20"/>
                <w:szCs w:val="20"/>
              </w:rPr>
            </w:pPr>
            <w:r>
              <w:rPr>
                <w:rFonts w:ascii="Times New Roman"/>
                <w:w w:val="95"/>
                <w:sz w:val="20"/>
              </w:rPr>
              <w:t>42,282,843.60</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5"/>
              <w:jc w:val="right"/>
              <w:rPr>
                <w:rFonts w:ascii="Times New Roman" w:hAnsi="Times New Roman" w:cs="Times New Roman" w:eastAsia="Times New Roman" w:hint="default"/>
                <w:sz w:val="20"/>
                <w:szCs w:val="20"/>
              </w:rPr>
            </w:pPr>
            <w:r>
              <w:rPr>
                <w:rFonts w:ascii="Times New Roman"/>
                <w:w w:val="95"/>
                <w:sz w:val="20"/>
              </w:rPr>
              <w:t>57,290,747.57</w:t>
            </w:r>
            <w:r>
              <w:rPr>
                <w:rFonts w:ascii="Times New Roman"/>
                <w:sz w:val="20"/>
              </w:rPr>
            </w:r>
          </w:p>
        </w:tc>
      </w:tr>
      <w:tr>
        <w:trPr>
          <w:trHeight w:val="283"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03"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4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六、</w:t>
            </w:r>
            <w:r>
              <w:rPr>
                <w:rFonts w:ascii="Times New Roman" w:hAnsi="Times New Roman" w:cs="Times New Roman" w:eastAsia="Times New Roman" w:hint="default"/>
                <w:w w:val="95"/>
                <w:sz w:val="20"/>
                <w:szCs w:val="20"/>
              </w:rPr>
              <w:t>52</w:t>
            </w:r>
            <w:r>
              <w:rPr>
                <w:rFonts w:ascii="Times New Roman" w:hAnsi="Times New Roman" w:cs="Times New Roman" w:eastAsia="Times New Roman"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
              <w:jc w:val="right"/>
              <w:rPr>
                <w:rFonts w:ascii="Times New Roman" w:hAnsi="Times New Roman" w:cs="Times New Roman" w:eastAsia="Times New Roman" w:hint="default"/>
                <w:sz w:val="20"/>
                <w:szCs w:val="20"/>
              </w:rPr>
            </w:pPr>
            <w:r>
              <w:rPr>
                <w:rFonts w:ascii="Times New Roman"/>
                <w:w w:val="95"/>
                <w:sz w:val="20"/>
              </w:rPr>
              <w:t>24,620,383.98</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5"/>
              <w:jc w:val="right"/>
              <w:rPr>
                <w:rFonts w:ascii="Times New Roman" w:hAnsi="Times New Roman" w:cs="Times New Roman" w:eastAsia="Times New Roman" w:hint="default"/>
                <w:sz w:val="20"/>
                <w:szCs w:val="20"/>
              </w:rPr>
            </w:pPr>
            <w:r>
              <w:rPr>
                <w:rFonts w:ascii="Times New Roman"/>
                <w:w w:val="95"/>
                <w:sz w:val="20"/>
              </w:rPr>
              <w:t>37,078,695.71</w:t>
            </w:r>
            <w:r>
              <w:rPr>
                <w:rFonts w:ascii="Times New Roman"/>
                <w:sz w:val="20"/>
              </w:rPr>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四、利润总额</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亏损总额以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
              <w:jc w:val="right"/>
              <w:rPr>
                <w:rFonts w:ascii="Times New Roman" w:hAnsi="Times New Roman" w:cs="Times New Roman" w:eastAsia="Times New Roman" w:hint="default"/>
                <w:sz w:val="20"/>
                <w:szCs w:val="20"/>
              </w:rPr>
            </w:pPr>
            <w:r>
              <w:rPr>
                <w:rFonts w:ascii="Times New Roman"/>
                <w:b/>
                <w:w w:val="95"/>
                <w:sz w:val="20"/>
              </w:rPr>
              <w:t>-3,442,361,782.66</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
              <w:jc w:val="right"/>
              <w:rPr>
                <w:rFonts w:ascii="Times New Roman" w:hAnsi="Times New Roman" w:cs="Times New Roman" w:eastAsia="Times New Roman" w:hint="default"/>
                <w:sz w:val="20"/>
                <w:szCs w:val="20"/>
              </w:rPr>
            </w:pPr>
            <w:r>
              <w:rPr>
                <w:rFonts w:ascii="Times New Roman"/>
                <w:b/>
                <w:w w:val="95"/>
                <w:sz w:val="20"/>
              </w:rPr>
              <w:t>685,768,965.87</w:t>
            </w:r>
            <w:r>
              <w:rPr>
                <w:rFonts w:ascii="Times New Roman"/>
                <w:sz w:val="20"/>
              </w:rPr>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3"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4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六、</w:t>
            </w:r>
            <w:r>
              <w:rPr>
                <w:rFonts w:ascii="Times New Roman" w:hAnsi="Times New Roman" w:cs="Times New Roman" w:eastAsia="Times New Roman" w:hint="default"/>
                <w:w w:val="95"/>
                <w:sz w:val="20"/>
                <w:szCs w:val="20"/>
              </w:rPr>
              <w:t>53</w:t>
            </w:r>
            <w:r>
              <w:rPr>
                <w:rFonts w:ascii="Times New Roman" w:hAnsi="Times New Roman" w:cs="Times New Roman" w:eastAsia="Times New Roman"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
              <w:jc w:val="right"/>
              <w:rPr>
                <w:rFonts w:ascii="Times New Roman" w:hAnsi="Times New Roman" w:cs="Times New Roman" w:eastAsia="Times New Roman" w:hint="default"/>
                <w:sz w:val="20"/>
                <w:szCs w:val="20"/>
              </w:rPr>
            </w:pPr>
            <w:r>
              <w:rPr>
                <w:rFonts w:ascii="Times New Roman"/>
                <w:w w:val="95"/>
                <w:sz w:val="20"/>
              </w:rPr>
              <w:t>53,581,128.54</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
              <w:jc w:val="right"/>
              <w:rPr>
                <w:rFonts w:ascii="Times New Roman" w:hAnsi="Times New Roman" w:cs="Times New Roman" w:eastAsia="Times New Roman" w:hint="default"/>
                <w:sz w:val="20"/>
                <w:szCs w:val="20"/>
              </w:rPr>
            </w:pPr>
            <w:r>
              <w:rPr>
                <w:rFonts w:ascii="Times New Roman"/>
                <w:w w:val="95"/>
                <w:sz w:val="20"/>
              </w:rPr>
              <w:t>156,176,189.55</w:t>
            </w:r>
            <w:r>
              <w:rPr>
                <w:rFonts w:ascii="Times New Roman"/>
                <w:sz w:val="20"/>
              </w:rPr>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五、净利润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净亏损以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6"/>
              <w:jc w:val="right"/>
              <w:rPr>
                <w:rFonts w:ascii="Times New Roman" w:hAnsi="Times New Roman" w:cs="Times New Roman" w:eastAsia="Times New Roman" w:hint="default"/>
                <w:sz w:val="20"/>
                <w:szCs w:val="20"/>
              </w:rPr>
            </w:pPr>
            <w:r>
              <w:rPr>
                <w:rFonts w:ascii="Times New Roman"/>
                <w:b/>
                <w:w w:val="95"/>
                <w:sz w:val="20"/>
              </w:rPr>
              <w:t>-3,495,942,911.20</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6"/>
              <w:jc w:val="right"/>
              <w:rPr>
                <w:rFonts w:ascii="Times New Roman" w:hAnsi="Times New Roman" w:cs="Times New Roman" w:eastAsia="Times New Roman" w:hint="default"/>
                <w:sz w:val="20"/>
                <w:szCs w:val="20"/>
              </w:rPr>
            </w:pPr>
            <w:r>
              <w:rPr>
                <w:rFonts w:ascii="Times New Roman"/>
                <w:b/>
                <w:w w:val="95"/>
                <w:sz w:val="20"/>
              </w:rPr>
              <w:t>529,592,776.32</w:t>
            </w:r>
            <w:r>
              <w:rPr>
                <w:rFonts w:ascii="Times New Roman"/>
                <w:sz w:val="20"/>
              </w:rPr>
            </w:r>
          </w:p>
        </w:tc>
      </w:tr>
      <w:tr>
        <w:trPr>
          <w:trHeight w:val="283"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left"/>
              <w:rPr>
                <w:rFonts w:ascii="宋体" w:hAnsi="宋体" w:cs="宋体" w:eastAsia="宋体" w:hint="default"/>
                <w:sz w:val="20"/>
                <w:szCs w:val="20"/>
              </w:rPr>
            </w:pPr>
            <w:r>
              <w:rPr>
                <w:rFonts w:ascii="宋体" w:hAnsi="宋体" w:cs="宋体" w:eastAsia="宋体" w:hint="default"/>
                <w:b/>
                <w:bCs/>
                <w:sz w:val="20"/>
                <w:szCs w:val="20"/>
              </w:rPr>
              <w:t>（一）按经营持续性分类</w:t>
            </w:r>
            <w:r>
              <w:rPr>
                <w:rFonts w:ascii="宋体" w:hAnsi="宋体" w:cs="宋体" w:eastAsia="宋体" w:hint="default"/>
                <w:sz w:val="20"/>
                <w:szCs w:val="20"/>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0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持续经营净利润</w:t>
            </w:r>
            <w:r>
              <w:rPr>
                <w:rFonts w:ascii="Times New Roman" w:hAnsi="Times New Roman" w:cs="Times New Roman" w:eastAsia="Times New Roman" w:hint="default"/>
                <w:sz w:val="20"/>
                <w:szCs w:val="20"/>
              </w:rPr>
              <w:t>(</w:t>
            </w:r>
            <w:r>
              <w:rPr>
                <w:rFonts w:ascii="宋体" w:hAnsi="宋体" w:cs="宋体" w:eastAsia="宋体" w:hint="default"/>
                <w:sz w:val="20"/>
                <w:szCs w:val="20"/>
              </w:rPr>
              <w:t>净亏损以“</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r>
              <w:rPr>
                <w:rFonts w:ascii="Times New Roman" w:hAnsi="Times New Roman" w:cs="Times New Roman" w:eastAsia="Times New Roman" w:hint="default"/>
                <w:sz w:val="20"/>
                <w:szCs w:val="20"/>
              </w:rPr>
              <w:t>)</w:t>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
              <w:jc w:val="right"/>
              <w:rPr>
                <w:rFonts w:ascii="Times New Roman" w:hAnsi="Times New Roman" w:cs="Times New Roman" w:eastAsia="Times New Roman" w:hint="default"/>
                <w:sz w:val="20"/>
                <w:szCs w:val="20"/>
              </w:rPr>
            </w:pPr>
            <w:r>
              <w:rPr>
                <w:rFonts w:ascii="Times New Roman"/>
                <w:w w:val="95"/>
                <w:sz w:val="20"/>
              </w:rPr>
              <w:t>-3,495,942,911.20</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
              <w:jc w:val="right"/>
              <w:rPr>
                <w:rFonts w:ascii="Times New Roman" w:hAnsi="Times New Roman" w:cs="Times New Roman" w:eastAsia="Times New Roman" w:hint="default"/>
                <w:sz w:val="20"/>
                <w:szCs w:val="20"/>
              </w:rPr>
            </w:pPr>
            <w:r>
              <w:rPr>
                <w:rFonts w:ascii="Times New Roman"/>
                <w:w w:val="95"/>
                <w:sz w:val="20"/>
              </w:rPr>
              <w:t>529,592,776.32</w:t>
            </w:r>
            <w:r>
              <w:rPr>
                <w:rFonts w:ascii="Times New Roman"/>
                <w:sz w:val="20"/>
              </w:rPr>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401"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终止经营净利润</w:t>
            </w:r>
            <w:r>
              <w:rPr>
                <w:rFonts w:ascii="Times New Roman" w:hAnsi="Times New Roman" w:cs="Times New Roman" w:eastAsia="Times New Roman" w:hint="default"/>
                <w:sz w:val="20"/>
                <w:szCs w:val="20"/>
              </w:rPr>
              <w:t>(</w:t>
            </w:r>
            <w:r>
              <w:rPr>
                <w:rFonts w:ascii="宋体" w:hAnsi="宋体" w:cs="宋体" w:eastAsia="宋体" w:hint="default"/>
                <w:sz w:val="20"/>
                <w:szCs w:val="20"/>
              </w:rPr>
              <w:t>净亏损以“</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r>
              <w:rPr>
                <w:rFonts w:ascii="Times New Roman" w:hAnsi="Times New Roman" w:cs="Times New Roman" w:eastAsia="Times New Roman" w:hint="default"/>
                <w:sz w:val="20"/>
                <w:szCs w:val="20"/>
              </w:rPr>
              <w:t>)</w:t>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Times New Roman" w:hAnsi="Times New Roman" w:cs="Times New Roman" w:eastAsia="Times New Roman" w:hint="default"/>
                <w:sz w:val="20"/>
                <w:szCs w:val="20"/>
              </w:rPr>
            </w:pPr>
            <w:r>
              <w:rPr>
                <w:rFonts w:ascii="Times New Roman"/>
                <w:sz w:val="20"/>
              </w:rPr>
              <w:t>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Times New Roman" w:hAnsi="Times New Roman" w:cs="Times New Roman" w:eastAsia="Times New Roman" w:hint="default"/>
                <w:sz w:val="20"/>
                <w:szCs w:val="20"/>
              </w:rPr>
            </w:pPr>
            <w:r>
              <w:rPr>
                <w:rFonts w:ascii="Times New Roman"/>
                <w:sz w:val="20"/>
              </w:rPr>
              <w:t>0.00</w:t>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left"/>
              <w:rPr>
                <w:rFonts w:ascii="宋体" w:hAnsi="宋体" w:cs="宋体" w:eastAsia="宋体" w:hint="default"/>
                <w:sz w:val="20"/>
                <w:szCs w:val="20"/>
              </w:rPr>
            </w:pPr>
            <w:r>
              <w:rPr>
                <w:rFonts w:ascii="宋体" w:hAnsi="宋体" w:cs="宋体" w:eastAsia="宋体" w:hint="default"/>
                <w:b/>
                <w:bCs/>
                <w:sz w:val="20"/>
                <w:szCs w:val="20"/>
              </w:rPr>
              <w:t>（二）按所有权归属分类</w:t>
            </w:r>
            <w:r>
              <w:rPr>
                <w:rFonts w:ascii="宋体" w:hAnsi="宋体" w:cs="宋体" w:eastAsia="宋体" w:hint="default"/>
                <w:sz w:val="20"/>
                <w:szCs w:val="20"/>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03" w:right="0"/>
              <w:jc w:val="left"/>
              <w:rPr>
                <w:rFonts w:ascii="宋体" w:hAnsi="宋体" w:cs="宋体" w:eastAsia="宋体" w:hint="default"/>
                <w:sz w:val="20"/>
                <w:szCs w:val="20"/>
              </w:rPr>
            </w:pPr>
            <w:r>
              <w:rPr>
                <w:rFonts w:ascii="宋体" w:hAnsi="宋体" w:cs="宋体" w:eastAsia="宋体" w:hint="default"/>
                <w:sz w:val="20"/>
                <w:szCs w:val="20"/>
              </w:rPr>
              <w:t>归属于母公司所有者的净利润</w:t>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7"/>
              <w:jc w:val="right"/>
              <w:rPr>
                <w:rFonts w:ascii="Times New Roman" w:hAnsi="Times New Roman" w:cs="Times New Roman" w:eastAsia="Times New Roman" w:hint="default"/>
                <w:sz w:val="20"/>
                <w:szCs w:val="20"/>
              </w:rPr>
            </w:pPr>
            <w:r>
              <w:rPr>
                <w:rFonts w:ascii="Times New Roman"/>
                <w:w w:val="95"/>
                <w:sz w:val="20"/>
              </w:rPr>
              <w:t>-3,879,776,932.07</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
              <w:jc w:val="right"/>
              <w:rPr>
                <w:rFonts w:ascii="Times New Roman" w:hAnsi="Times New Roman" w:cs="Times New Roman" w:eastAsia="Times New Roman" w:hint="default"/>
                <w:sz w:val="20"/>
                <w:szCs w:val="20"/>
              </w:rPr>
            </w:pPr>
            <w:r>
              <w:rPr>
                <w:rFonts w:ascii="Times New Roman"/>
                <w:w w:val="95"/>
                <w:sz w:val="20"/>
              </w:rPr>
              <w:t>103,639,266.92</w:t>
            </w:r>
            <w:r>
              <w:rPr>
                <w:rFonts w:ascii="Times New Roman"/>
                <w:sz w:val="20"/>
              </w:rPr>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3" w:right="0"/>
              <w:jc w:val="left"/>
              <w:rPr>
                <w:rFonts w:ascii="宋体" w:hAnsi="宋体" w:cs="宋体" w:eastAsia="宋体" w:hint="default"/>
                <w:sz w:val="20"/>
                <w:szCs w:val="20"/>
              </w:rPr>
            </w:pPr>
            <w:r>
              <w:rPr>
                <w:rFonts w:ascii="宋体" w:hAnsi="宋体" w:cs="宋体" w:eastAsia="宋体" w:hint="default"/>
                <w:sz w:val="20"/>
                <w:szCs w:val="20"/>
              </w:rPr>
              <w:t>少数所有者损益</w:t>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
              <w:jc w:val="right"/>
              <w:rPr>
                <w:rFonts w:ascii="Times New Roman" w:hAnsi="Times New Roman" w:cs="Times New Roman" w:eastAsia="Times New Roman" w:hint="default"/>
                <w:sz w:val="20"/>
                <w:szCs w:val="20"/>
              </w:rPr>
            </w:pPr>
            <w:r>
              <w:rPr>
                <w:rFonts w:ascii="Times New Roman"/>
                <w:w w:val="95"/>
                <w:sz w:val="20"/>
              </w:rPr>
              <w:t>383,834,020.87</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
              <w:jc w:val="right"/>
              <w:rPr>
                <w:rFonts w:ascii="Times New Roman" w:hAnsi="Times New Roman" w:cs="Times New Roman" w:eastAsia="Times New Roman" w:hint="default"/>
                <w:sz w:val="20"/>
                <w:szCs w:val="20"/>
              </w:rPr>
            </w:pPr>
            <w:r>
              <w:rPr>
                <w:rFonts w:ascii="Times New Roman"/>
                <w:w w:val="95"/>
                <w:sz w:val="20"/>
              </w:rPr>
              <w:t>425,953,509.40</w:t>
            </w:r>
            <w:r>
              <w:rPr>
                <w:rFonts w:ascii="Times New Roman"/>
                <w:sz w:val="20"/>
              </w:rPr>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left"/>
              <w:rPr>
                <w:rFonts w:ascii="宋体" w:hAnsi="宋体" w:cs="宋体" w:eastAsia="宋体" w:hint="default"/>
                <w:sz w:val="20"/>
                <w:szCs w:val="20"/>
              </w:rPr>
            </w:pPr>
            <w:r>
              <w:rPr>
                <w:rFonts w:ascii="宋体" w:hAnsi="宋体" w:cs="宋体" w:eastAsia="宋体" w:hint="default"/>
                <w:b/>
                <w:bCs/>
                <w:sz w:val="20"/>
                <w:szCs w:val="20"/>
              </w:rPr>
              <w:t>六、其他综合收益的税后净额</w:t>
            </w:r>
            <w:r>
              <w:rPr>
                <w:rFonts w:ascii="宋体" w:hAnsi="宋体" w:cs="宋体" w:eastAsia="宋体" w:hint="default"/>
                <w:sz w:val="20"/>
                <w:szCs w:val="20"/>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
              <w:jc w:val="right"/>
              <w:rPr>
                <w:rFonts w:ascii="Times New Roman" w:hAnsi="Times New Roman" w:cs="Times New Roman" w:eastAsia="Times New Roman" w:hint="default"/>
                <w:sz w:val="20"/>
                <w:szCs w:val="20"/>
              </w:rPr>
            </w:pPr>
            <w:r>
              <w:rPr>
                <w:rFonts w:ascii="Times New Roman"/>
                <w:b/>
                <w:w w:val="95"/>
                <w:sz w:val="20"/>
              </w:rPr>
              <w:t>-1,391,078,752.34</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6"/>
              <w:jc w:val="right"/>
              <w:rPr>
                <w:rFonts w:ascii="Times New Roman" w:hAnsi="Times New Roman" w:cs="Times New Roman" w:eastAsia="Times New Roman" w:hint="default"/>
                <w:sz w:val="20"/>
                <w:szCs w:val="20"/>
              </w:rPr>
            </w:pPr>
            <w:r>
              <w:rPr>
                <w:rFonts w:ascii="Times New Roman"/>
                <w:b/>
                <w:w w:val="95"/>
                <w:sz w:val="20"/>
              </w:rPr>
              <w:t>223,109,021.00</w:t>
            </w:r>
            <w:r>
              <w:rPr>
                <w:rFonts w:ascii="Times New Roman"/>
                <w:sz w:val="20"/>
              </w:rPr>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03" w:right="0"/>
              <w:jc w:val="left"/>
              <w:rPr>
                <w:rFonts w:ascii="宋体" w:hAnsi="宋体" w:cs="宋体" w:eastAsia="宋体" w:hint="default"/>
                <w:sz w:val="20"/>
                <w:szCs w:val="20"/>
              </w:rPr>
            </w:pPr>
            <w:r>
              <w:rPr>
                <w:rFonts w:ascii="宋体" w:hAnsi="宋体" w:cs="宋体" w:eastAsia="宋体" w:hint="default"/>
                <w:sz w:val="20"/>
                <w:szCs w:val="20"/>
              </w:rPr>
              <w:t>归属母公司所有者的其他综合收益的税后净额</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4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六、</w:t>
            </w:r>
            <w:r>
              <w:rPr>
                <w:rFonts w:ascii="Times New Roman" w:hAnsi="Times New Roman" w:cs="Times New Roman" w:eastAsia="Times New Roman" w:hint="default"/>
                <w:w w:val="95"/>
                <w:sz w:val="20"/>
                <w:szCs w:val="20"/>
              </w:rPr>
              <w:t>54</w:t>
            </w:r>
            <w:r>
              <w:rPr>
                <w:rFonts w:ascii="Times New Roman" w:hAnsi="Times New Roman" w:cs="Times New Roman" w:eastAsia="Times New Roman"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7"/>
              <w:jc w:val="right"/>
              <w:rPr>
                <w:rFonts w:ascii="Times New Roman" w:hAnsi="Times New Roman" w:cs="Times New Roman" w:eastAsia="Times New Roman" w:hint="default"/>
                <w:sz w:val="20"/>
                <w:szCs w:val="20"/>
              </w:rPr>
            </w:pPr>
            <w:r>
              <w:rPr>
                <w:rFonts w:ascii="Times New Roman"/>
                <w:w w:val="95"/>
                <w:sz w:val="20"/>
              </w:rPr>
              <w:t>-1,440,842,818.70</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
              <w:jc w:val="right"/>
              <w:rPr>
                <w:rFonts w:ascii="Times New Roman" w:hAnsi="Times New Roman" w:cs="Times New Roman" w:eastAsia="Times New Roman" w:hint="default"/>
                <w:sz w:val="20"/>
                <w:szCs w:val="20"/>
              </w:rPr>
            </w:pPr>
            <w:r>
              <w:rPr>
                <w:rFonts w:ascii="Times New Roman"/>
                <w:w w:val="95"/>
                <w:sz w:val="20"/>
              </w:rPr>
              <w:t>259,552,034.22</w:t>
            </w:r>
            <w:r>
              <w:rPr>
                <w:rFonts w:ascii="Times New Roman"/>
                <w:sz w:val="20"/>
              </w:rPr>
            </w:r>
          </w:p>
        </w:tc>
      </w:tr>
      <w:tr>
        <w:trPr>
          <w:trHeight w:val="283"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03" w:right="0"/>
              <w:jc w:val="left"/>
              <w:rPr>
                <w:rFonts w:ascii="宋体" w:hAnsi="宋体" w:cs="宋体" w:eastAsia="宋体" w:hint="default"/>
                <w:sz w:val="20"/>
                <w:szCs w:val="20"/>
              </w:rPr>
            </w:pPr>
            <w:r>
              <w:rPr>
                <w:rFonts w:ascii="宋体" w:hAnsi="宋体" w:cs="宋体" w:eastAsia="宋体" w:hint="default"/>
                <w:sz w:val="20"/>
                <w:szCs w:val="20"/>
              </w:rPr>
              <w:t>（一）不能重分类进损益的其他综合收益</w:t>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
              <w:jc w:val="right"/>
              <w:rPr>
                <w:rFonts w:ascii="Times New Roman" w:hAnsi="Times New Roman" w:cs="Times New Roman" w:eastAsia="Times New Roman" w:hint="default"/>
                <w:sz w:val="20"/>
                <w:szCs w:val="20"/>
              </w:rPr>
            </w:pPr>
            <w:r>
              <w:rPr>
                <w:rFonts w:ascii="Times New Roman"/>
                <w:w w:val="95"/>
                <w:sz w:val="20"/>
              </w:rPr>
              <w:t>73,984,808.79</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4"/>
              <w:jc w:val="right"/>
              <w:rPr>
                <w:rFonts w:ascii="Times New Roman" w:hAnsi="Times New Roman" w:cs="Times New Roman" w:eastAsia="Times New Roman" w:hint="default"/>
                <w:sz w:val="20"/>
                <w:szCs w:val="20"/>
              </w:rPr>
            </w:pPr>
            <w:r>
              <w:rPr>
                <w:rFonts w:ascii="Times New Roman"/>
                <w:sz w:val="20"/>
              </w:rPr>
              <w:t>0.00</w:t>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8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重新计量设定受益计划变动额</w:t>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Times New Roman" w:hAnsi="Times New Roman" w:cs="Times New Roman" w:eastAsia="Times New Roman" w:hint="default"/>
                <w:sz w:val="20"/>
                <w:szCs w:val="20"/>
              </w:rPr>
            </w:pPr>
            <w:r>
              <w:rPr>
                <w:rFonts w:ascii="Times New Roman"/>
                <w:sz w:val="20"/>
              </w:rPr>
              <w:t>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Times New Roman" w:hAnsi="Times New Roman" w:cs="Times New Roman" w:eastAsia="Times New Roman" w:hint="default"/>
                <w:sz w:val="20"/>
                <w:szCs w:val="20"/>
              </w:rPr>
            </w:pPr>
            <w:r>
              <w:rPr>
                <w:rFonts w:ascii="Times New Roman"/>
                <w:sz w:val="20"/>
              </w:rPr>
              <w:t>0.00</w:t>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8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权益法下不能转损益的其他综合收益</w:t>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
              <w:jc w:val="right"/>
              <w:rPr>
                <w:rFonts w:ascii="Times New Roman" w:hAnsi="Times New Roman" w:cs="Times New Roman" w:eastAsia="Times New Roman" w:hint="default"/>
                <w:sz w:val="20"/>
                <w:szCs w:val="20"/>
              </w:rPr>
            </w:pPr>
            <w:r>
              <w:rPr>
                <w:rFonts w:ascii="Times New Roman"/>
                <w:w w:val="95"/>
                <w:sz w:val="20"/>
              </w:rPr>
              <w:t>73,984,808.79</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Times New Roman" w:hAnsi="Times New Roman" w:cs="Times New Roman" w:eastAsia="Times New Roman" w:hint="default"/>
                <w:sz w:val="20"/>
                <w:szCs w:val="20"/>
              </w:rPr>
            </w:pPr>
            <w:r>
              <w:rPr>
                <w:rFonts w:ascii="Times New Roman"/>
                <w:sz w:val="20"/>
              </w:rPr>
              <w:t>0.00</w:t>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03" w:right="0"/>
              <w:jc w:val="left"/>
              <w:rPr>
                <w:rFonts w:ascii="宋体" w:hAnsi="宋体" w:cs="宋体" w:eastAsia="宋体" w:hint="default"/>
                <w:sz w:val="20"/>
                <w:szCs w:val="20"/>
              </w:rPr>
            </w:pPr>
            <w:r>
              <w:rPr>
                <w:rFonts w:ascii="宋体" w:hAnsi="宋体" w:cs="宋体" w:eastAsia="宋体" w:hint="default"/>
                <w:sz w:val="20"/>
                <w:szCs w:val="20"/>
              </w:rPr>
              <w:t>（二）将重分类进损益的其他综合收益</w:t>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7"/>
              <w:jc w:val="right"/>
              <w:rPr>
                <w:rFonts w:ascii="Times New Roman" w:hAnsi="Times New Roman" w:cs="Times New Roman" w:eastAsia="Times New Roman" w:hint="default"/>
                <w:sz w:val="20"/>
                <w:szCs w:val="20"/>
              </w:rPr>
            </w:pPr>
            <w:r>
              <w:rPr>
                <w:rFonts w:ascii="Times New Roman"/>
                <w:w w:val="95"/>
                <w:sz w:val="20"/>
              </w:rPr>
              <w:t>-1,514,827,627.49</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
              <w:jc w:val="right"/>
              <w:rPr>
                <w:rFonts w:ascii="Times New Roman" w:hAnsi="Times New Roman" w:cs="Times New Roman" w:eastAsia="Times New Roman" w:hint="default"/>
                <w:sz w:val="20"/>
                <w:szCs w:val="20"/>
              </w:rPr>
            </w:pPr>
            <w:r>
              <w:rPr>
                <w:rFonts w:ascii="Times New Roman"/>
                <w:w w:val="95"/>
                <w:sz w:val="20"/>
              </w:rPr>
              <w:t>259,552,034.22</w:t>
            </w:r>
            <w:r>
              <w:rPr>
                <w:rFonts w:ascii="Times New Roman"/>
                <w:sz w:val="20"/>
              </w:rPr>
            </w:r>
          </w:p>
        </w:tc>
      </w:tr>
      <w:tr>
        <w:trPr>
          <w:trHeight w:val="283"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8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权益法下可转损益的其他综合收益</w:t>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4"/>
              <w:jc w:val="right"/>
              <w:rPr>
                <w:rFonts w:ascii="Times New Roman" w:hAnsi="Times New Roman" w:cs="Times New Roman" w:eastAsia="Times New Roman" w:hint="default"/>
                <w:sz w:val="20"/>
                <w:szCs w:val="20"/>
              </w:rPr>
            </w:pPr>
            <w:r>
              <w:rPr>
                <w:rFonts w:ascii="Times New Roman"/>
                <w:w w:val="95"/>
                <w:sz w:val="20"/>
              </w:rPr>
              <w:t>-339,119,547.64</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
              <w:jc w:val="right"/>
              <w:rPr>
                <w:rFonts w:ascii="Times New Roman" w:hAnsi="Times New Roman" w:cs="Times New Roman" w:eastAsia="Times New Roman" w:hint="default"/>
                <w:sz w:val="20"/>
                <w:szCs w:val="20"/>
              </w:rPr>
            </w:pPr>
            <w:r>
              <w:rPr>
                <w:rFonts w:ascii="Times New Roman"/>
                <w:w w:val="95"/>
                <w:sz w:val="20"/>
              </w:rPr>
              <w:t>-288,070,635.28</w:t>
            </w:r>
            <w:r>
              <w:rPr>
                <w:rFonts w:ascii="Times New Roman"/>
                <w:sz w:val="20"/>
              </w:rPr>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8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可供出售金融资产公允价值变动损益</w:t>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Times New Roman" w:hAnsi="Times New Roman" w:cs="Times New Roman" w:eastAsia="Times New Roman" w:hint="default"/>
                <w:sz w:val="20"/>
                <w:szCs w:val="20"/>
              </w:rPr>
            </w:pPr>
            <w:r>
              <w:rPr>
                <w:rFonts w:ascii="Times New Roman"/>
                <w:w w:val="95"/>
                <w:sz w:val="20"/>
              </w:rPr>
              <w:t>-910,848,604.80</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
              <w:jc w:val="right"/>
              <w:rPr>
                <w:rFonts w:ascii="Times New Roman" w:hAnsi="Times New Roman" w:cs="Times New Roman" w:eastAsia="Times New Roman" w:hint="default"/>
                <w:sz w:val="20"/>
                <w:szCs w:val="20"/>
              </w:rPr>
            </w:pPr>
            <w:r>
              <w:rPr>
                <w:rFonts w:ascii="Times New Roman"/>
                <w:w w:val="95"/>
                <w:sz w:val="20"/>
              </w:rPr>
              <w:t>594,260,903.09</w:t>
            </w:r>
            <w:r>
              <w:rPr>
                <w:rFonts w:ascii="Times New Roman"/>
                <w:sz w:val="20"/>
              </w:rPr>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8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持有至到期投资重分类为可供出售金融资产损益</w:t>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4"/>
              <w:jc w:val="right"/>
              <w:rPr>
                <w:rFonts w:ascii="Times New Roman" w:hAnsi="Times New Roman" w:cs="Times New Roman" w:eastAsia="Times New Roman" w:hint="default"/>
                <w:sz w:val="20"/>
                <w:szCs w:val="20"/>
              </w:rPr>
            </w:pPr>
            <w:r>
              <w:rPr>
                <w:rFonts w:ascii="Times New Roman"/>
                <w:sz w:val="20"/>
              </w:rPr>
              <w:t>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4"/>
              <w:jc w:val="right"/>
              <w:rPr>
                <w:rFonts w:ascii="Times New Roman" w:hAnsi="Times New Roman" w:cs="Times New Roman" w:eastAsia="Times New Roman" w:hint="default"/>
                <w:sz w:val="20"/>
                <w:szCs w:val="20"/>
              </w:rPr>
            </w:pPr>
            <w:r>
              <w:rPr>
                <w:rFonts w:ascii="Times New Roman"/>
                <w:sz w:val="20"/>
              </w:rPr>
              <w:t>0.00</w:t>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8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现金流量套期损益的有效部分</w:t>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4"/>
              <w:jc w:val="right"/>
              <w:rPr>
                <w:rFonts w:ascii="Times New Roman" w:hAnsi="Times New Roman" w:cs="Times New Roman" w:eastAsia="Times New Roman" w:hint="default"/>
                <w:sz w:val="20"/>
                <w:szCs w:val="20"/>
              </w:rPr>
            </w:pPr>
            <w:r>
              <w:rPr>
                <w:rFonts w:ascii="Times New Roman"/>
                <w:sz w:val="20"/>
              </w:rPr>
              <w:t>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4"/>
              <w:jc w:val="right"/>
              <w:rPr>
                <w:rFonts w:ascii="Times New Roman" w:hAnsi="Times New Roman" w:cs="Times New Roman" w:eastAsia="Times New Roman" w:hint="default"/>
                <w:sz w:val="20"/>
                <w:szCs w:val="20"/>
              </w:rPr>
            </w:pPr>
            <w:r>
              <w:rPr>
                <w:rFonts w:ascii="Times New Roman"/>
                <w:sz w:val="20"/>
              </w:rPr>
              <w:t>0.00</w:t>
            </w:r>
          </w:p>
        </w:tc>
      </w:tr>
      <w:tr>
        <w:trPr>
          <w:trHeight w:val="283"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8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外币财务报表折算差额</w:t>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4"/>
              <w:jc w:val="right"/>
              <w:rPr>
                <w:rFonts w:ascii="Times New Roman" w:hAnsi="Times New Roman" w:cs="Times New Roman" w:eastAsia="Times New Roman" w:hint="default"/>
                <w:sz w:val="20"/>
                <w:szCs w:val="20"/>
              </w:rPr>
            </w:pPr>
            <w:r>
              <w:rPr>
                <w:rFonts w:ascii="Times New Roman"/>
                <w:w w:val="95"/>
                <w:sz w:val="20"/>
              </w:rPr>
              <w:t>-264,859,475.05</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
              <w:jc w:val="right"/>
              <w:rPr>
                <w:rFonts w:ascii="Times New Roman" w:hAnsi="Times New Roman" w:cs="Times New Roman" w:eastAsia="Times New Roman" w:hint="default"/>
                <w:sz w:val="20"/>
                <w:szCs w:val="20"/>
              </w:rPr>
            </w:pPr>
            <w:r>
              <w:rPr>
                <w:rFonts w:ascii="Times New Roman"/>
                <w:w w:val="95"/>
                <w:sz w:val="20"/>
              </w:rPr>
              <w:t>-46,638,233.59</w:t>
            </w:r>
            <w:r>
              <w:rPr>
                <w:rFonts w:ascii="Times New Roman"/>
                <w:sz w:val="20"/>
              </w:rPr>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8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宋体" w:hAnsi="宋体" w:cs="宋体" w:eastAsia="宋体" w:hint="default"/>
                <w:sz w:val="20"/>
                <w:szCs w:val="20"/>
              </w:rPr>
              <w:t>其他</w:t>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Times New Roman" w:hAnsi="Times New Roman" w:cs="Times New Roman" w:eastAsia="Times New Roman" w:hint="default"/>
                <w:sz w:val="20"/>
                <w:szCs w:val="20"/>
              </w:rPr>
            </w:pPr>
            <w:r>
              <w:rPr>
                <w:rFonts w:ascii="Times New Roman"/>
                <w:sz w:val="20"/>
              </w:rPr>
              <w:t>0.00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right"/>
              <w:rPr>
                <w:rFonts w:ascii="Times New Roman" w:hAnsi="Times New Roman" w:cs="Times New Roman" w:eastAsia="Times New Roman" w:hint="default"/>
                <w:sz w:val="20"/>
                <w:szCs w:val="20"/>
              </w:rPr>
            </w:pPr>
            <w:r>
              <w:rPr>
                <w:rFonts w:ascii="Times New Roman"/>
                <w:sz w:val="20"/>
              </w:rPr>
              <w:t>0.00</w:t>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3" w:right="0"/>
              <w:jc w:val="left"/>
              <w:rPr>
                <w:rFonts w:ascii="宋体" w:hAnsi="宋体" w:cs="宋体" w:eastAsia="宋体" w:hint="default"/>
                <w:sz w:val="20"/>
                <w:szCs w:val="20"/>
              </w:rPr>
            </w:pPr>
            <w:r>
              <w:rPr>
                <w:rFonts w:ascii="宋体" w:hAnsi="宋体" w:cs="宋体" w:eastAsia="宋体" w:hint="default"/>
                <w:sz w:val="20"/>
                <w:szCs w:val="20"/>
              </w:rPr>
              <w:t>归属于少数所有者的其他综合收益的税后净额</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47"/>
              <w:jc w:val="right"/>
              <w:rPr>
                <w:rFonts w:ascii="Times New Roman" w:hAnsi="Times New Roman" w:cs="Times New Roman" w:eastAsia="Times New Roman" w:hint="default"/>
                <w:sz w:val="20"/>
                <w:szCs w:val="20"/>
              </w:rPr>
            </w:pPr>
            <w:r>
              <w:rPr>
                <w:rFonts w:ascii="宋体" w:hAnsi="宋体" w:cs="宋体" w:eastAsia="宋体" w:hint="default"/>
                <w:w w:val="95"/>
                <w:sz w:val="20"/>
                <w:szCs w:val="20"/>
              </w:rPr>
              <w:t>六、</w:t>
            </w:r>
            <w:r>
              <w:rPr>
                <w:rFonts w:ascii="Times New Roman" w:hAnsi="Times New Roman" w:cs="Times New Roman" w:eastAsia="Times New Roman" w:hint="default"/>
                <w:w w:val="95"/>
                <w:sz w:val="20"/>
                <w:szCs w:val="20"/>
              </w:rPr>
              <w:t>54</w:t>
            </w:r>
            <w:r>
              <w:rPr>
                <w:rFonts w:ascii="Times New Roman" w:hAnsi="Times New Roman" w:cs="Times New Roman" w:eastAsia="Times New Roman" w:hint="default"/>
                <w:sz w:val="20"/>
                <w:szCs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
              <w:jc w:val="right"/>
              <w:rPr>
                <w:rFonts w:ascii="Times New Roman" w:hAnsi="Times New Roman" w:cs="Times New Roman" w:eastAsia="Times New Roman" w:hint="default"/>
                <w:sz w:val="20"/>
                <w:szCs w:val="20"/>
              </w:rPr>
            </w:pPr>
            <w:r>
              <w:rPr>
                <w:rFonts w:ascii="Times New Roman"/>
                <w:w w:val="95"/>
                <w:sz w:val="20"/>
              </w:rPr>
              <w:t>49,764,066.36</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
              <w:jc w:val="right"/>
              <w:rPr>
                <w:rFonts w:ascii="Times New Roman" w:hAnsi="Times New Roman" w:cs="Times New Roman" w:eastAsia="Times New Roman" w:hint="default"/>
                <w:sz w:val="20"/>
                <w:szCs w:val="20"/>
              </w:rPr>
            </w:pPr>
            <w:r>
              <w:rPr>
                <w:rFonts w:ascii="Times New Roman"/>
                <w:w w:val="95"/>
                <w:sz w:val="20"/>
              </w:rPr>
              <w:t>-36,443,013.22</w:t>
            </w:r>
            <w:r>
              <w:rPr>
                <w:rFonts w:ascii="Times New Roman"/>
                <w:sz w:val="20"/>
              </w:rPr>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left"/>
              <w:rPr>
                <w:rFonts w:ascii="宋体" w:hAnsi="宋体" w:cs="宋体" w:eastAsia="宋体" w:hint="default"/>
                <w:sz w:val="20"/>
                <w:szCs w:val="20"/>
              </w:rPr>
            </w:pPr>
            <w:r>
              <w:rPr>
                <w:rFonts w:ascii="宋体" w:hAnsi="宋体" w:cs="宋体" w:eastAsia="宋体" w:hint="default"/>
                <w:b/>
                <w:bCs/>
                <w:sz w:val="20"/>
                <w:szCs w:val="20"/>
              </w:rPr>
              <w:t>七、综合收益总额</w:t>
            </w:r>
            <w:r>
              <w:rPr>
                <w:rFonts w:ascii="宋体" w:hAnsi="宋体" w:cs="宋体" w:eastAsia="宋体" w:hint="default"/>
                <w:sz w:val="20"/>
                <w:szCs w:val="20"/>
              </w:rPr>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6"/>
              <w:jc w:val="right"/>
              <w:rPr>
                <w:rFonts w:ascii="Times New Roman" w:hAnsi="Times New Roman" w:cs="Times New Roman" w:eastAsia="Times New Roman" w:hint="default"/>
                <w:sz w:val="20"/>
                <w:szCs w:val="20"/>
              </w:rPr>
            </w:pPr>
            <w:r>
              <w:rPr>
                <w:rFonts w:ascii="Times New Roman"/>
                <w:b/>
                <w:w w:val="95"/>
                <w:sz w:val="20"/>
              </w:rPr>
              <w:t>-4,887,021,663.54</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6"/>
              <w:jc w:val="right"/>
              <w:rPr>
                <w:rFonts w:ascii="Times New Roman" w:hAnsi="Times New Roman" w:cs="Times New Roman" w:eastAsia="Times New Roman" w:hint="default"/>
                <w:sz w:val="20"/>
                <w:szCs w:val="20"/>
              </w:rPr>
            </w:pPr>
            <w:r>
              <w:rPr>
                <w:rFonts w:ascii="Times New Roman"/>
                <w:b/>
                <w:w w:val="95"/>
                <w:sz w:val="20"/>
              </w:rPr>
              <w:t>752,701,797.32</w:t>
            </w:r>
            <w:r>
              <w:rPr>
                <w:rFonts w:ascii="Times New Roman"/>
                <w:sz w:val="20"/>
              </w:rPr>
            </w:r>
          </w:p>
        </w:tc>
      </w:tr>
      <w:tr>
        <w:trPr>
          <w:trHeight w:val="283"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03"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归属于母公司所有者的综合收益总额</w:t>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7"/>
              <w:jc w:val="right"/>
              <w:rPr>
                <w:rFonts w:ascii="Times New Roman" w:hAnsi="Times New Roman" w:cs="Times New Roman" w:eastAsia="Times New Roman" w:hint="default"/>
                <w:sz w:val="20"/>
                <w:szCs w:val="20"/>
              </w:rPr>
            </w:pPr>
            <w:r>
              <w:rPr>
                <w:rFonts w:ascii="Times New Roman"/>
                <w:w w:val="95"/>
                <w:sz w:val="20"/>
              </w:rPr>
              <w:t>-5,320,619,750.77</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6"/>
              <w:jc w:val="right"/>
              <w:rPr>
                <w:rFonts w:ascii="Times New Roman" w:hAnsi="Times New Roman" w:cs="Times New Roman" w:eastAsia="Times New Roman" w:hint="default"/>
                <w:sz w:val="20"/>
                <w:szCs w:val="20"/>
              </w:rPr>
            </w:pPr>
            <w:r>
              <w:rPr>
                <w:rFonts w:ascii="Times New Roman"/>
                <w:w w:val="95"/>
                <w:sz w:val="20"/>
              </w:rPr>
              <w:t>363,191,301.14</w:t>
            </w:r>
            <w:r>
              <w:rPr>
                <w:rFonts w:ascii="Times New Roman"/>
                <w:sz w:val="20"/>
              </w:rPr>
            </w:r>
          </w:p>
        </w:tc>
      </w:tr>
      <w:tr>
        <w:trPr>
          <w:trHeight w:val="286" w:hRule="exact"/>
        </w:trPr>
        <w:tc>
          <w:tcPr>
            <w:tcW w:w="5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3" w:right="0"/>
              <w:jc w:val="left"/>
              <w:rPr>
                <w:rFonts w:ascii="宋体" w:hAnsi="宋体" w:cs="宋体" w:eastAsia="宋体" w:hint="default"/>
                <w:sz w:val="20"/>
                <w:szCs w:val="20"/>
              </w:rPr>
            </w:pPr>
            <w:r>
              <w:rPr>
                <w:rFonts w:ascii="宋体" w:hAnsi="宋体" w:cs="宋体" w:eastAsia="宋体" w:hint="default"/>
                <w:sz w:val="20"/>
                <w:szCs w:val="20"/>
              </w:rPr>
              <w:t>归属于少数所有者的综合收益总额</w:t>
            </w:r>
          </w:p>
        </w:tc>
        <w:tc>
          <w:tcPr>
            <w:tcW w:w="694"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
              <w:jc w:val="right"/>
              <w:rPr>
                <w:rFonts w:ascii="Times New Roman" w:hAnsi="Times New Roman" w:cs="Times New Roman" w:eastAsia="Times New Roman" w:hint="default"/>
                <w:sz w:val="20"/>
                <w:szCs w:val="20"/>
              </w:rPr>
            </w:pPr>
            <w:r>
              <w:rPr>
                <w:rFonts w:ascii="Times New Roman"/>
                <w:w w:val="95"/>
                <w:sz w:val="20"/>
              </w:rPr>
              <w:t>433,598,087.23</w:t>
            </w:r>
            <w:r>
              <w:rPr>
                <w:rFonts w:ascii="Times New Roman"/>
                <w:sz w:val="20"/>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
              <w:jc w:val="right"/>
              <w:rPr>
                <w:rFonts w:ascii="Times New Roman" w:hAnsi="Times New Roman" w:cs="Times New Roman" w:eastAsia="Times New Roman" w:hint="default"/>
                <w:sz w:val="20"/>
                <w:szCs w:val="20"/>
              </w:rPr>
            </w:pPr>
            <w:r>
              <w:rPr>
                <w:rFonts w:ascii="Times New Roman"/>
                <w:w w:val="95"/>
                <w:sz w:val="20"/>
              </w:rPr>
              <w:t>389,510,496.18</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0" w:footer="1624" w:top="1360" w:bottom="1820" w:left="1040" w:right="1040"/>
        </w:sectPr>
      </w:pPr>
    </w:p>
    <w:p>
      <w:pPr>
        <w:spacing w:before="10"/>
        <w:ind w:left="6" w:right="0" w:firstLine="0"/>
        <w:jc w:val="center"/>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sz w:val="21"/>
          <w:szCs w:val="21"/>
        </w:rPr>
      </w:r>
    </w:p>
    <w:p>
      <w:pPr>
        <w:tabs>
          <w:tab w:pos="7032" w:val="left" w:leader="none"/>
        </w:tabs>
        <w:spacing w:before="59"/>
        <w:ind w:left="1" w:right="0"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编制单位：同方股份有限公司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11"/>
        <w:rPr>
          <w:rFonts w:ascii="宋体" w:hAnsi="宋体" w:cs="宋体" w:eastAsia="宋体" w:hint="default"/>
          <w:b/>
          <w:bCs/>
          <w:sz w:val="6"/>
          <w:szCs w:val="6"/>
        </w:rPr>
      </w:pPr>
    </w:p>
    <w:tbl>
      <w:tblPr>
        <w:tblW w:w="0" w:type="auto"/>
        <w:jc w:val="left"/>
        <w:tblInd w:w="119" w:type="dxa"/>
        <w:tblLayout w:type="fixed"/>
        <w:tblCellMar>
          <w:top w:w="0" w:type="dxa"/>
          <w:left w:w="0" w:type="dxa"/>
          <w:bottom w:w="0" w:type="dxa"/>
          <w:right w:w="0" w:type="dxa"/>
        </w:tblCellMar>
        <w:tblLook w:val="01E0"/>
      </w:tblPr>
      <w:tblGrid>
        <w:gridCol w:w="5560"/>
        <w:gridCol w:w="842"/>
        <w:gridCol w:w="1750"/>
        <w:gridCol w:w="1671"/>
      </w:tblGrid>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1"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3"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511"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75"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r>
              <w:rPr>
                <w:rFonts w:ascii="宋体" w:hAnsi="宋体" w:cs="宋体" w:eastAsia="宋体" w:hint="default"/>
                <w:b/>
                <w:bCs/>
                <w:sz w:val="20"/>
                <w:szCs w:val="20"/>
              </w:rPr>
              <w:t>一、营业收入</w:t>
            </w:r>
            <w:r>
              <w:rPr>
                <w:rFonts w:ascii="宋体" w:hAnsi="宋体" w:cs="宋体" w:eastAsia="宋体" w:hint="default"/>
                <w:sz w:val="20"/>
                <w:szCs w:val="20"/>
              </w:rPr>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8"/>
              <w:jc w:val="center"/>
              <w:rPr>
                <w:rFonts w:ascii="Times New Roman" w:hAnsi="Times New Roman" w:cs="Times New Roman" w:eastAsia="Times New Roman" w:hint="default"/>
                <w:sz w:val="20"/>
                <w:szCs w:val="20"/>
              </w:rPr>
            </w:pPr>
            <w:r>
              <w:rPr>
                <w:rFonts w:ascii="宋体" w:hAnsi="宋体" w:cs="宋体" w:eastAsia="宋体" w:hint="default"/>
                <w:sz w:val="20"/>
                <w:szCs w:val="20"/>
              </w:rPr>
              <w:t>十五、</w:t>
            </w:r>
            <w:r>
              <w:rPr>
                <w:rFonts w:ascii="Times New Roman" w:hAnsi="Times New Roman" w:cs="Times New Roman" w:eastAsia="Times New Roman" w:hint="default"/>
                <w:sz w:val="20"/>
                <w:szCs w:val="20"/>
              </w:rPr>
              <w:t>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
              <w:jc w:val="right"/>
              <w:rPr>
                <w:rFonts w:ascii="Times New Roman" w:hAnsi="Times New Roman" w:cs="Times New Roman" w:eastAsia="Times New Roman" w:hint="default"/>
                <w:sz w:val="20"/>
                <w:szCs w:val="20"/>
              </w:rPr>
            </w:pPr>
            <w:r>
              <w:rPr>
                <w:rFonts w:ascii="Times New Roman"/>
                <w:spacing w:val="-1"/>
                <w:sz w:val="20"/>
              </w:rPr>
              <w:t>4,954,285,771.31</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6"/>
              <w:jc w:val="right"/>
              <w:rPr>
                <w:rFonts w:ascii="Times New Roman" w:hAnsi="Times New Roman" w:cs="Times New Roman" w:eastAsia="Times New Roman" w:hint="default"/>
                <w:sz w:val="20"/>
                <w:szCs w:val="20"/>
              </w:rPr>
            </w:pPr>
            <w:r>
              <w:rPr>
                <w:rFonts w:ascii="Times New Roman"/>
                <w:spacing w:val="-1"/>
                <w:sz w:val="20"/>
              </w:rPr>
              <w:t>3,374,867,658.42</w:t>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8"/>
              <w:jc w:val="center"/>
              <w:rPr>
                <w:rFonts w:ascii="Times New Roman" w:hAnsi="Times New Roman" w:cs="Times New Roman" w:eastAsia="Times New Roman" w:hint="default"/>
                <w:sz w:val="20"/>
                <w:szCs w:val="20"/>
              </w:rPr>
            </w:pPr>
            <w:r>
              <w:rPr>
                <w:rFonts w:ascii="宋体" w:hAnsi="宋体" w:cs="宋体" w:eastAsia="宋体" w:hint="default"/>
                <w:sz w:val="20"/>
                <w:szCs w:val="20"/>
              </w:rPr>
              <w:t>十五、</w:t>
            </w:r>
            <w:r>
              <w:rPr>
                <w:rFonts w:ascii="Times New Roman" w:hAnsi="Times New Roman" w:cs="Times New Roman" w:eastAsia="Times New Roman" w:hint="default"/>
                <w:sz w:val="20"/>
                <w:szCs w:val="20"/>
              </w:rPr>
              <w:t>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
              <w:jc w:val="right"/>
              <w:rPr>
                <w:rFonts w:ascii="Times New Roman" w:hAnsi="Times New Roman" w:cs="Times New Roman" w:eastAsia="Times New Roman" w:hint="default"/>
                <w:sz w:val="20"/>
                <w:szCs w:val="20"/>
              </w:rPr>
            </w:pPr>
            <w:r>
              <w:rPr>
                <w:rFonts w:ascii="Times New Roman"/>
                <w:spacing w:val="-1"/>
                <w:sz w:val="20"/>
              </w:rPr>
              <w:t>4,807,336,307.52</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6"/>
              <w:jc w:val="right"/>
              <w:rPr>
                <w:rFonts w:ascii="Times New Roman" w:hAnsi="Times New Roman" w:cs="Times New Roman" w:eastAsia="Times New Roman" w:hint="default"/>
                <w:sz w:val="20"/>
                <w:szCs w:val="20"/>
              </w:rPr>
            </w:pPr>
            <w:r>
              <w:rPr>
                <w:rFonts w:ascii="Times New Roman"/>
                <w:spacing w:val="-1"/>
                <w:sz w:val="20"/>
              </w:rPr>
              <w:t>2,908,852,325.89</w:t>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902" w:right="0"/>
              <w:jc w:val="left"/>
              <w:rPr>
                <w:rFonts w:ascii="宋体" w:hAnsi="宋体" w:cs="宋体" w:eastAsia="宋体" w:hint="default"/>
                <w:sz w:val="20"/>
                <w:szCs w:val="20"/>
              </w:rPr>
            </w:pPr>
            <w:r>
              <w:rPr>
                <w:rFonts w:ascii="宋体" w:hAnsi="宋体" w:cs="宋体" w:eastAsia="宋体" w:hint="default"/>
                <w:sz w:val="20"/>
                <w:szCs w:val="20"/>
              </w:rPr>
              <w:t>税金及附加</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Times New Roman" w:hAnsi="Times New Roman" w:cs="Times New Roman" w:eastAsia="Times New Roman" w:hint="default"/>
                <w:sz w:val="20"/>
                <w:szCs w:val="20"/>
              </w:rPr>
            </w:pPr>
            <w:r>
              <w:rPr>
                <w:rFonts w:ascii="Times New Roman"/>
                <w:w w:val="95"/>
                <w:sz w:val="20"/>
              </w:rPr>
              <w:t>34,268,897.29</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6"/>
              <w:jc w:val="right"/>
              <w:rPr>
                <w:rFonts w:ascii="Times New Roman" w:hAnsi="Times New Roman" w:cs="Times New Roman" w:eastAsia="Times New Roman" w:hint="default"/>
                <w:sz w:val="20"/>
                <w:szCs w:val="20"/>
              </w:rPr>
            </w:pPr>
            <w:r>
              <w:rPr>
                <w:rFonts w:ascii="Times New Roman"/>
                <w:w w:val="95"/>
                <w:sz w:val="20"/>
              </w:rPr>
              <w:t>36,433,250.62</w:t>
            </w:r>
            <w:r>
              <w:rPr>
                <w:rFonts w:ascii="Times New Roman"/>
                <w:sz w:val="20"/>
              </w:rPr>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902"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
              <w:jc w:val="right"/>
              <w:rPr>
                <w:rFonts w:ascii="Times New Roman" w:hAnsi="Times New Roman" w:cs="Times New Roman" w:eastAsia="Times New Roman" w:hint="default"/>
                <w:sz w:val="20"/>
                <w:szCs w:val="20"/>
              </w:rPr>
            </w:pPr>
            <w:r>
              <w:rPr>
                <w:rFonts w:ascii="Times New Roman"/>
                <w:w w:val="95"/>
                <w:sz w:val="20"/>
              </w:rPr>
              <w:t>198,625,078.26</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6"/>
              <w:jc w:val="right"/>
              <w:rPr>
                <w:rFonts w:ascii="Times New Roman" w:hAnsi="Times New Roman" w:cs="Times New Roman" w:eastAsia="Times New Roman" w:hint="default"/>
                <w:sz w:val="20"/>
                <w:szCs w:val="20"/>
              </w:rPr>
            </w:pPr>
            <w:r>
              <w:rPr>
                <w:rFonts w:ascii="Times New Roman"/>
                <w:w w:val="95"/>
                <w:sz w:val="20"/>
              </w:rPr>
              <w:t>176,825,830.95</w:t>
            </w:r>
            <w:r>
              <w:rPr>
                <w:rFonts w:ascii="Times New Roman"/>
                <w:sz w:val="20"/>
              </w:rPr>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902"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
              <w:jc w:val="right"/>
              <w:rPr>
                <w:rFonts w:ascii="Times New Roman" w:hAnsi="Times New Roman" w:cs="Times New Roman" w:eastAsia="Times New Roman" w:hint="default"/>
                <w:sz w:val="20"/>
                <w:szCs w:val="20"/>
              </w:rPr>
            </w:pPr>
            <w:r>
              <w:rPr>
                <w:rFonts w:ascii="Times New Roman"/>
                <w:w w:val="95"/>
                <w:sz w:val="20"/>
              </w:rPr>
              <w:t>176,350,636.05</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6"/>
              <w:jc w:val="right"/>
              <w:rPr>
                <w:rFonts w:ascii="Times New Roman" w:hAnsi="Times New Roman" w:cs="Times New Roman" w:eastAsia="Times New Roman" w:hint="default"/>
                <w:sz w:val="20"/>
                <w:szCs w:val="20"/>
              </w:rPr>
            </w:pPr>
            <w:r>
              <w:rPr>
                <w:rFonts w:ascii="Times New Roman"/>
                <w:w w:val="95"/>
                <w:sz w:val="20"/>
              </w:rPr>
              <w:t>194,155,604.34</w:t>
            </w:r>
            <w:r>
              <w:rPr>
                <w:rFonts w:ascii="Times New Roman"/>
                <w:sz w:val="20"/>
              </w:rPr>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902" w:right="0"/>
              <w:jc w:val="left"/>
              <w:rPr>
                <w:rFonts w:ascii="宋体" w:hAnsi="宋体" w:cs="宋体" w:eastAsia="宋体" w:hint="default"/>
                <w:sz w:val="20"/>
                <w:szCs w:val="20"/>
              </w:rPr>
            </w:pPr>
            <w:r>
              <w:rPr>
                <w:rFonts w:ascii="宋体" w:hAnsi="宋体" w:cs="宋体" w:eastAsia="宋体" w:hint="default"/>
                <w:sz w:val="20"/>
                <w:szCs w:val="20"/>
              </w:rPr>
              <w:t>研发费用</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8"/>
              <w:jc w:val="right"/>
              <w:rPr>
                <w:rFonts w:ascii="Times New Roman" w:hAnsi="Times New Roman" w:cs="Times New Roman" w:eastAsia="Times New Roman" w:hint="default"/>
                <w:sz w:val="20"/>
                <w:szCs w:val="20"/>
              </w:rPr>
            </w:pPr>
            <w:r>
              <w:rPr>
                <w:rFonts w:ascii="Times New Roman"/>
                <w:w w:val="95"/>
                <w:sz w:val="20"/>
              </w:rPr>
              <w:t>63,047,767.17</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6"/>
              <w:jc w:val="right"/>
              <w:rPr>
                <w:rFonts w:ascii="Times New Roman" w:hAnsi="Times New Roman" w:cs="Times New Roman" w:eastAsia="Times New Roman" w:hint="default"/>
                <w:sz w:val="20"/>
                <w:szCs w:val="20"/>
              </w:rPr>
            </w:pPr>
            <w:r>
              <w:rPr>
                <w:rFonts w:ascii="Times New Roman"/>
                <w:w w:val="95"/>
                <w:sz w:val="20"/>
              </w:rPr>
              <w:t>73,894,282.51</w:t>
            </w:r>
            <w:r>
              <w:rPr>
                <w:rFonts w:ascii="Times New Roman"/>
                <w:sz w:val="20"/>
              </w:rPr>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902"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
              <w:jc w:val="right"/>
              <w:rPr>
                <w:rFonts w:ascii="Times New Roman" w:hAnsi="Times New Roman" w:cs="Times New Roman" w:eastAsia="Times New Roman" w:hint="default"/>
                <w:sz w:val="20"/>
                <w:szCs w:val="20"/>
              </w:rPr>
            </w:pPr>
            <w:r>
              <w:rPr>
                <w:rFonts w:ascii="Times New Roman"/>
                <w:w w:val="95"/>
                <w:sz w:val="20"/>
              </w:rPr>
              <w:t>637,859,577.57</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6"/>
              <w:jc w:val="right"/>
              <w:rPr>
                <w:rFonts w:ascii="Times New Roman" w:hAnsi="Times New Roman" w:cs="Times New Roman" w:eastAsia="Times New Roman" w:hint="default"/>
                <w:sz w:val="20"/>
                <w:szCs w:val="20"/>
              </w:rPr>
            </w:pPr>
            <w:r>
              <w:rPr>
                <w:rFonts w:ascii="Times New Roman"/>
                <w:w w:val="95"/>
                <w:sz w:val="20"/>
              </w:rPr>
              <w:t>513,739,193.35</w:t>
            </w:r>
            <w:r>
              <w:rPr>
                <w:rFonts w:ascii="Times New Roman"/>
                <w:sz w:val="20"/>
              </w:rPr>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102" w:right="0"/>
              <w:jc w:val="left"/>
              <w:rPr>
                <w:rFonts w:ascii="宋体" w:hAnsi="宋体" w:cs="宋体" w:eastAsia="宋体" w:hint="default"/>
                <w:sz w:val="20"/>
                <w:szCs w:val="20"/>
              </w:rPr>
            </w:pPr>
            <w:r>
              <w:rPr>
                <w:rFonts w:ascii="宋体" w:hAnsi="宋体" w:cs="宋体" w:eastAsia="宋体" w:hint="default"/>
                <w:sz w:val="20"/>
                <w:szCs w:val="20"/>
              </w:rPr>
              <w:t>其中：利息费用</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
              <w:jc w:val="right"/>
              <w:rPr>
                <w:rFonts w:ascii="Times New Roman" w:hAnsi="Times New Roman" w:cs="Times New Roman" w:eastAsia="Times New Roman" w:hint="default"/>
                <w:sz w:val="20"/>
                <w:szCs w:val="20"/>
              </w:rPr>
            </w:pPr>
            <w:r>
              <w:rPr>
                <w:rFonts w:ascii="Times New Roman"/>
                <w:w w:val="95"/>
                <w:sz w:val="20"/>
              </w:rPr>
              <w:t>773,323,561.15</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6"/>
              <w:jc w:val="right"/>
              <w:rPr>
                <w:rFonts w:ascii="Times New Roman" w:hAnsi="Times New Roman" w:cs="Times New Roman" w:eastAsia="Times New Roman" w:hint="default"/>
                <w:sz w:val="20"/>
                <w:szCs w:val="20"/>
              </w:rPr>
            </w:pPr>
            <w:r>
              <w:rPr>
                <w:rFonts w:ascii="Times New Roman"/>
                <w:w w:val="95"/>
                <w:sz w:val="20"/>
              </w:rPr>
              <w:t>475,475,917.81</w:t>
            </w:r>
            <w:r>
              <w:rPr>
                <w:rFonts w:ascii="Times New Roman"/>
                <w:sz w:val="20"/>
              </w:rPr>
            </w:r>
          </w:p>
        </w:tc>
      </w:tr>
      <w:tr>
        <w:trPr>
          <w:trHeight w:val="361"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2"/>
              <w:jc w:val="center"/>
              <w:rPr>
                <w:rFonts w:ascii="宋体" w:hAnsi="宋体" w:cs="宋体" w:eastAsia="宋体" w:hint="default"/>
                <w:sz w:val="20"/>
                <w:szCs w:val="20"/>
              </w:rPr>
            </w:pPr>
            <w:r>
              <w:rPr>
                <w:rFonts w:ascii="宋体" w:hAnsi="宋体" w:cs="宋体" w:eastAsia="宋体" w:hint="default"/>
                <w:sz w:val="20"/>
                <w:szCs w:val="20"/>
              </w:rPr>
              <w:t>利息收入</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6"/>
              <w:jc w:val="right"/>
              <w:rPr>
                <w:rFonts w:ascii="Times New Roman" w:hAnsi="Times New Roman" w:cs="Times New Roman" w:eastAsia="Times New Roman" w:hint="default"/>
                <w:sz w:val="20"/>
                <w:szCs w:val="20"/>
              </w:rPr>
            </w:pPr>
            <w:r>
              <w:rPr>
                <w:rFonts w:ascii="Times New Roman"/>
                <w:w w:val="95"/>
                <w:sz w:val="20"/>
              </w:rPr>
              <w:t>159,907,004.26</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6"/>
              <w:jc w:val="right"/>
              <w:rPr>
                <w:rFonts w:ascii="Times New Roman" w:hAnsi="Times New Roman" w:cs="Times New Roman" w:eastAsia="Times New Roman" w:hint="default"/>
                <w:sz w:val="20"/>
                <w:szCs w:val="20"/>
              </w:rPr>
            </w:pPr>
            <w:r>
              <w:rPr>
                <w:rFonts w:ascii="Times New Roman"/>
                <w:w w:val="95"/>
                <w:sz w:val="20"/>
              </w:rPr>
              <w:t>20,352,178.53</w:t>
            </w:r>
            <w:r>
              <w:rPr>
                <w:rFonts w:ascii="Times New Roman"/>
                <w:sz w:val="20"/>
              </w:rPr>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902"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
              <w:jc w:val="right"/>
              <w:rPr>
                <w:rFonts w:ascii="Times New Roman" w:hAnsi="Times New Roman" w:cs="Times New Roman" w:eastAsia="Times New Roman" w:hint="default"/>
                <w:sz w:val="20"/>
                <w:szCs w:val="20"/>
              </w:rPr>
            </w:pPr>
            <w:r>
              <w:rPr>
                <w:rFonts w:ascii="Times New Roman"/>
                <w:spacing w:val="-1"/>
                <w:sz w:val="20"/>
              </w:rPr>
              <w:t>1,208,094,438.69</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6"/>
              <w:jc w:val="right"/>
              <w:rPr>
                <w:rFonts w:ascii="Times New Roman" w:hAnsi="Times New Roman" w:cs="Times New Roman" w:eastAsia="Times New Roman" w:hint="default"/>
                <w:sz w:val="20"/>
                <w:szCs w:val="20"/>
              </w:rPr>
            </w:pPr>
            <w:r>
              <w:rPr>
                <w:rFonts w:ascii="Times New Roman"/>
                <w:w w:val="95"/>
                <w:sz w:val="20"/>
              </w:rPr>
              <w:t>63,853,668.99</w:t>
            </w:r>
            <w:r>
              <w:rPr>
                <w:rFonts w:ascii="Times New Roman"/>
                <w:sz w:val="20"/>
              </w:rPr>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399" w:right="0"/>
              <w:jc w:val="left"/>
              <w:rPr>
                <w:rFonts w:ascii="宋体" w:hAnsi="宋体" w:cs="宋体" w:eastAsia="宋体" w:hint="default"/>
                <w:sz w:val="20"/>
                <w:szCs w:val="20"/>
              </w:rPr>
            </w:pPr>
            <w:r>
              <w:rPr>
                <w:rFonts w:ascii="宋体" w:hAnsi="宋体" w:cs="宋体" w:eastAsia="宋体" w:hint="default"/>
                <w:sz w:val="20"/>
                <w:szCs w:val="20"/>
              </w:rPr>
              <w:t>加：其他收益</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6"/>
              <w:jc w:val="right"/>
              <w:rPr>
                <w:rFonts w:ascii="Times New Roman" w:hAnsi="Times New Roman" w:cs="Times New Roman" w:eastAsia="Times New Roman" w:hint="default"/>
                <w:sz w:val="20"/>
                <w:szCs w:val="20"/>
              </w:rPr>
            </w:pPr>
            <w:r>
              <w:rPr>
                <w:rFonts w:ascii="Times New Roman"/>
                <w:w w:val="95"/>
                <w:sz w:val="20"/>
              </w:rPr>
              <w:t>8,266,302.46</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20"/>
                <w:szCs w:val="20"/>
              </w:rPr>
            </w:pPr>
            <w:r>
              <w:rPr>
                <w:rFonts w:ascii="Times New Roman"/>
                <w:w w:val="95"/>
                <w:sz w:val="20"/>
              </w:rPr>
              <w:t>8,212,000.00</w:t>
            </w:r>
            <w:r>
              <w:rPr>
                <w:rFonts w:ascii="Times New Roman"/>
                <w:sz w:val="20"/>
              </w:rPr>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90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投资收益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8"/>
              <w:jc w:val="center"/>
              <w:rPr>
                <w:rFonts w:ascii="Times New Roman" w:hAnsi="Times New Roman" w:cs="Times New Roman" w:eastAsia="Times New Roman" w:hint="default"/>
                <w:sz w:val="20"/>
                <w:szCs w:val="20"/>
              </w:rPr>
            </w:pPr>
            <w:r>
              <w:rPr>
                <w:rFonts w:ascii="宋体" w:hAnsi="宋体" w:cs="宋体" w:eastAsia="宋体" w:hint="default"/>
                <w:sz w:val="20"/>
                <w:szCs w:val="20"/>
              </w:rPr>
              <w:t>十五、</w:t>
            </w:r>
            <w:r>
              <w:rPr>
                <w:rFonts w:ascii="Times New Roman" w:hAnsi="Times New Roman" w:cs="Times New Roman" w:eastAsia="Times New Roman" w:hint="default"/>
                <w:sz w:val="20"/>
                <w:szCs w:val="20"/>
              </w:rPr>
              <w:t>5</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
              <w:jc w:val="right"/>
              <w:rPr>
                <w:rFonts w:ascii="Times New Roman" w:hAnsi="Times New Roman" w:cs="Times New Roman" w:eastAsia="Times New Roman" w:hint="default"/>
                <w:sz w:val="20"/>
                <w:szCs w:val="20"/>
              </w:rPr>
            </w:pPr>
            <w:r>
              <w:rPr>
                <w:rFonts w:ascii="Times New Roman"/>
                <w:w w:val="95"/>
                <w:sz w:val="20"/>
              </w:rPr>
              <w:t>307,284,289.30</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6"/>
              <w:jc w:val="right"/>
              <w:rPr>
                <w:rFonts w:ascii="Times New Roman" w:hAnsi="Times New Roman" w:cs="Times New Roman" w:eastAsia="Times New Roman" w:hint="default"/>
                <w:sz w:val="20"/>
                <w:szCs w:val="20"/>
              </w:rPr>
            </w:pPr>
            <w:r>
              <w:rPr>
                <w:rFonts w:ascii="Times New Roman"/>
                <w:w w:val="95"/>
                <w:sz w:val="20"/>
              </w:rPr>
              <w:t>314,703,394.56</w:t>
            </w:r>
            <w:r>
              <w:rPr>
                <w:rFonts w:ascii="Times New Roman"/>
                <w:sz w:val="20"/>
              </w:rPr>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902"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8"/>
              <w:jc w:val="center"/>
              <w:rPr>
                <w:rFonts w:ascii="Times New Roman" w:hAnsi="Times New Roman" w:cs="Times New Roman" w:eastAsia="Times New Roman" w:hint="default"/>
                <w:sz w:val="20"/>
                <w:szCs w:val="20"/>
              </w:rPr>
            </w:pPr>
            <w:r>
              <w:rPr>
                <w:rFonts w:ascii="宋体" w:hAnsi="宋体" w:cs="宋体" w:eastAsia="宋体" w:hint="default"/>
                <w:sz w:val="20"/>
                <w:szCs w:val="20"/>
              </w:rPr>
              <w:t>十五、</w:t>
            </w:r>
            <w:r>
              <w:rPr>
                <w:rFonts w:ascii="Times New Roman" w:hAnsi="Times New Roman" w:cs="Times New Roman" w:eastAsia="Times New Roman" w:hint="default"/>
                <w:sz w:val="20"/>
                <w:szCs w:val="20"/>
              </w:rPr>
              <w:t>5</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
              <w:jc w:val="right"/>
              <w:rPr>
                <w:rFonts w:ascii="Times New Roman" w:hAnsi="Times New Roman" w:cs="Times New Roman" w:eastAsia="Times New Roman" w:hint="default"/>
                <w:sz w:val="20"/>
                <w:szCs w:val="20"/>
              </w:rPr>
            </w:pPr>
            <w:r>
              <w:rPr>
                <w:rFonts w:ascii="Times New Roman"/>
                <w:w w:val="95"/>
                <w:sz w:val="20"/>
              </w:rPr>
              <w:t>124,966,737.37</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6"/>
              <w:jc w:val="right"/>
              <w:rPr>
                <w:rFonts w:ascii="Times New Roman" w:hAnsi="Times New Roman" w:cs="Times New Roman" w:eastAsia="Times New Roman" w:hint="default"/>
                <w:sz w:val="20"/>
                <w:szCs w:val="20"/>
              </w:rPr>
            </w:pPr>
            <w:r>
              <w:rPr>
                <w:rFonts w:ascii="Times New Roman"/>
                <w:w w:val="95"/>
                <w:sz w:val="20"/>
              </w:rPr>
              <w:t>55,132,123.01</w:t>
            </w:r>
            <w:r>
              <w:rPr>
                <w:rFonts w:ascii="Times New Roman"/>
                <w:sz w:val="20"/>
              </w:rPr>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80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公允价值变动收益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
              <w:jc w:val="right"/>
              <w:rPr>
                <w:rFonts w:ascii="Times New Roman" w:hAnsi="Times New Roman" w:cs="Times New Roman" w:eastAsia="Times New Roman" w:hint="default"/>
                <w:sz w:val="20"/>
                <w:szCs w:val="20"/>
              </w:rPr>
            </w:pPr>
            <w:r>
              <w:rPr>
                <w:rFonts w:ascii="Times New Roman"/>
                <w:w w:val="95"/>
                <w:sz w:val="20"/>
              </w:rPr>
              <w:t>-75,881,632.83</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
              <w:jc w:val="right"/>
              <w:rPr>
                <w:rFonts w:ascii="Times New Roman" w:hAnsi="Times New Roman" w:cs="Times New Roman" w:eastAsia="Times New Roman" w:hint="default"/>
                <w:sz w:val="20"/>
                <w:szCs w:val="20"/>
              </w:rPr>
            </w:pPr>
            <w:r>
              <w:rPr>
                <w:rFonts w:ascii="Times New Roman"/>
                <w:w w:val="95"/>
                <w:sz w:val="20"/>
              </w:rPr>
              <w:t>-198,640,990.98</w:t>
            </w:r>
            <w:r>
              <w:rPr>
                <w:rFonts w:ascii="Times New Roman"/>
                <w:sz w:val="20"/>
              </w:rPr>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802" w:right="0"/>
              <w:jc w:val="left"/>
              <w:rPr>
                <w:rFonts w:ascii="宋体" w:hAnsi="宋体" w:cs="宋体" w:eastAsia="宋体" w:hint="default"/>
                <w:sz w:val="20"/>
                <w:szCs w:val="20"/>
              </w:rPr>
            </w:pPr>
            <w:r>
              <w:rPr>
                <w:rFonts w:ascii="宋体" w:hAnsi="宋体" w:cs="宋体" w:eastAsia="宋体" w:hint="default"/>
                <w:sz w:val="20"/>
                <w:szCs w:val="20"/>
              </w:rPr>
              <w:t>资产处置收益（损失以</w:t>
            </w:r>
            <w:r>
              <w:rPr>
                <w:rFonts w:ascii="Times New Roman" w:hAnsi="Times New Roman" w:cs="Times New Roman" w:eastAsia="Times New Roman" w:hint="default"/>
                <w:sz w:val="20"/>
                <w:szCs w:val="20"/>
              </w:rPr>
              <w:t>“</w:t>
            </w:r>
            <w:r>
              <w:rPr>
                <w:rFonts w:ascii="Times New Roman" w:hAnsi="Times New Roman" w:cs="Times New Roman" w:eastAsia="Times New Roman"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6"/>
              <w:jc w:val="right"/>
              <w:rPr>
                <w:rFonts w:ascii="Times New Roman" w:hAnsi="Times New Roman" w:cs="Times New Roman" w:eastAsia="Times New Roman" w:hint="default"/>
                <w:sz w:val="20"/>
                <w:szCs w:val="20"/>
              </w:rPr>
            </w:pPr>
            <w:r>
              <w:rPr>
                <w:rFonts w:ascii="Times New Roman"/>
                <w:w w:val="95"/>
                <w:sz w:val="20"/>
              </w:rPr>
              <w:t>2,467,036.42</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
              <w:jc w:val="right"/>
              <w:rPr>
                <w:rFonts w:ascii="Times New Roman" w:hAnsi="Times New Roman" w:cs="Times New Roman" w:eastAsia="Times New Roman" w:hint="default"/>
                <w:sz w:val="20"/>
                <w:szCs w:val="20"/>
              </w:rPr>
            </w:pPr>
            <w:r>
              <w:rPr>
                <w:rFonts w:ascii="Times New Roman"/>
                <w:w w:val="95"/>
                <w:sz w:val="20"/>
              </w:rPr>
              <w:t>10,596.26</w:t>
            </w:r>
            <w:r>
              <w:rPr>
                <w:rFonts w:ascii="Times New Roman"/>
                <w:sz w:val="20"/>
              </w:rPr>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二、营业利润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
              <w:jc w:val="right"/>
              <w:rPr>
                <w:rFonts w:ascii="Times New Roman" w:hAnsi="Times New Roman" w:cs="Times New Roman" w:eastAsia="Times New Roman" w:hint="default"/>
                <w:sz w:val="20"/>
                <w:szCs w:val="20"/>
              </w:rPr>
            </w:pPr>
            <w:r>
              <w:rPr>
                <w:rFonts w:ascii="Times New Roman"/>
                <w:b/>
                <w:w w:val="95"/>
                <w:sz w:val="20"/>
              </w:rPr>
              <w:t>-1,929,160,935.89</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20"/>
                <w:szCs w:val="20"/>
              </w:rPr>
            </w:pPr>
            <w:r>
              <w:rPr>
                <w:rFonts w:ascii="Times New Roman"/>
                <w:b/>
                <w:w w:val="95"/>
                <w:sz w:val="20"/>
              </w:rPr>
              <w:t>-468,601,498.39</w:t>
            </w:r>
            <w:r>
              <w:rPr>
                <w:rFonts w:ascii="Times New Roman"/>
                <w:sz w:val="20"/>
              </w:rPr>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03"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6"/>
              <w:jc w:val="right"/>
              <w:rPr>
                <w:rFonts w:ascii="Times New Roman" w:hAnsi="Times New Roman" w:cs="Times New Roman" w:eastAsia="Times New Roman" w:hint="default"/>
                <w:sz w:val="20"/>
                <w:szCs w:val="20"/>
              </w:rPr>
            </w:pPr>
            <w:r>
              <w:rPr>
                <w:rFonts w:ascii="Times New Roman"/>
                <w:w w:val="95"/>
                <w:sz w:val="20"/>
              </w:rPr>
              <w:t>1,834,991.22</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
              <w:jc w:val="right"/>
              <w:rPr>
                <w:rFonts w:ascii="Times New Roman" w:hAnsi="Times New Roman" w:cs="Times New Roman" w:eastAsia="Times New Roman" w:hint="default"/>
                <w:sz w:val="20"/>
                <w:szCs w:val="20"/>
              </w:rPr>
            </w:pPr>
            <w:r>
              <w:rPr>
                <w:rFonts w:ascii="Times New Roman"/>
                <w:w w:val="95"/>
                <w:sz w:val="20"/>
              </w:rPr>
              <w:t>68,680.98</w:t>
            </w:r>
            <w:r>
              <w:rPr>
                <w:rFonts w:ascii="Times New Roman"/>
                <w:sz w:val="20"/>
              </w:rPr>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03"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6"/>
              <w:jc w:val="right"/>
              <w:rPr>
                <w:rFonts w:ascii="Times New Roman" w:hAnsi="Times New Roman" w:cs="Times New Roman" w:eastAsia="Times New Roman" w:hint="default"/>
                <w:sz w:val="20"/>
                <w:szCs w:val="20"/>
              </w:rPr>
            </w:pPr>
            <w:r>
              <w:rPr>
                <w:rFonts w:ascii="Times New Roman"/>
                <w:w w:val="95"/>
                <w:sz w:val="20"/>
              </w:rPr>
              <w:t>1,793,914.77</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6"/>
              <w:jc w:val="right"/>
              <w:rPr>
                <w:rFonts w:ascii="Times New Roman" w:hAnsi="Times New Roman" w:cs="Times New Roman" w:eastAsia="Times New Roman" w:hint="default"/>
                <w:sz w:val="20"/>
                <w:szCs w:val="20"/>
              </w:rPr>
            </w:pPr>
            <w:r>
              <w:rPr>
                <w:rFonts w:ascii="Times New Roman"/>
                <w:w w:val="95"/>
                <w:sz w:val="20"/>
              </w:rPr>
              <w:t>19,614,150.83</w:t>
            </w:r>
            <w:r>
              <w:rPr>
                <w:rFonts w:ascii="Times New Roman"/>
                <w:sz w:val="20"/>
              </w:rPr>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三、利润总额</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亏损总额以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
              <w:jc w:val="right"/>
              <w:rPr>
                <w:rFonts w:ascii="Times New Roman" w:hAnsi="Times New Roman" w:cs="Times New Roman" w:eastAsia="Times New Roman" w:hint="default"/>
                <w:sz w:val="20"/>
                <w:szCs w:val="20"/>
              </w:rPr>
            </w:pPr>
            <w:r>
              <w:rPr>
                <w:rFonts w:ascii="Times New Roman"/>
                <w:b/>
                <w:w w:val="95"/>
                <w:sz w:val="20"/>
              </w:rPr>
              <w:t>-1,929,119,859.44</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20"/>
                <w:szCs w:val="20"/>
              </w:rPr>
            </w:pPr>
            <w:r>
              <w:rPr>
                <w:rFonts w:ascii="Times New Roman"/>
                <w:b/>
                <w:w w:val="95"/>
                <w:sz w:val="20"/>
              </w:rPr>
              <w:t>-488,146,968.24</w:t>
            </w:r>
            <w:r>
              <w:rPr>
                <w:rFonts w:ascii="Times New Roman"/>
                <w:sz w:val="20"/>
              </w:rPr>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03"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6"/>
              <w:jc w:val="right"/>
              <w:rPr>
                <w:rFonts w:ascii="Times New Roman" w:hAnsi="Times New Roman" w:cs="Times New Roman" w:eastAsia="Times New Roman" w:hint="default"/>
                <w:sz w:val="20"/>
                <w:szCs w:val="20"/>
              </w:rPr>
            </w:pPr>
            <w:r>
              <w:rPr>
                <w:rFonts w:ascii="Times New Roman"/>
                <w:w w:val="95"/>
                <w:sz w:val="20"/>
              </w:rPr>
              <w:t>-254,759,439.67</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6"/>
              <w:jc w:val="right"/>
              <w:rPr>
                <w:rFonts w:ascii="Times New Roman" w:hAnsi="Times New Roman" w:cs="Times New Roman" w:eastAsia="Times New Roman" w:hint="default"/>
                <w:sz w:val="20"/>
                <w:szCs w:val="20"/>
              </w:rPr>
            </w:pPr>
            <w:r>
              <w:rPr>
                <w:rFonts w:ascii="Times New Roman"/>
                <w:w w:val="95"/>
                <w:sz w:val="20"/>
              </w:rPr>
              <w:t>-54,394,166.06</w:t>
            </w:r>
            <w:r>
              <w:rPr>
                <w:rFonts w:ascii="Times New Roman"/>
                <w:sz w:val="20"/>
              </w:rPr>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四、净利润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净亏损以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
              <w:jc w:val="right"/>
              <w:rPr>
                <w:rFonts w:ascii="Times New Roman" w:hAnsi="Times New Roman" w:cs="Times New Roman" w:eastAsia="Times New Roman" w:hint="default"/>
                <w:sz w:val="20"/>
                <w:szCs w:val="20"/>
              </w:rPr>
            </w:pPr>
            <w:r>
              <w:rPr>
                <w:rFonts w:ascii="Times New Roman"/>
                <w:b/>
                <w:w w:val="95"/>
                <w:sz w:val="20"/>
              </w:rPr>
              <w:t>-1,674,360,419.77</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20"/>
                <w:szCs w:val="20"/>
              </w:rPr>
            </w:pPr>
            <w:r>
              <w:rPr>
                <w:rFonts w:ascii="Times New Roman"/>
                <w:b/>
                <w:w w:val="95"/>
                <w:sz w:val="20"/>
              </w:rPr>
              <w:t>-433,752,802.18</w:t>
            </w:r>
            <w:r>
              <w:rPr>
                <w:rFonts w:ascii="Times New Roman"/>
                <w:sz w:val="20"/>
              </w:rPr>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（一）持续经营净利润</w:t>
            </w:r>
            <w:r>
              <w:rPr>
                <w:rFonts w:ascii="Times New Roman" w:hAnsi="Times New Roman" w:cs="Times New Roman" w:eastAsia="Times New Roman" w:hint="default"/>
                <w:sz w:val="20"/>
                <w:szCs w:val="20"/>
              </w:rPr>
              <w:t>(</w:t>
            </w:r>
            <w:r>
              <w:rPr>
                <w:rFonts w:ascii="宋体" w:hAnsi="宋体" w:cs="宋体" w:eastAsia="宋体" w:hint="default"/>
                <w:sz w:val="20"/>
                <w:szCs w:val="20"/>
              </w:rPr>
              <w:t>净亏损以“</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r>
              <w:rPr>
                <w:rFonts w:ascii="Times New Roman" w:hAnsi="Times New Roman" w:cs="Times New Roman" w:eastAsia="Times New Roman" w:hint="default"/>
                <w:sz w:val="20"/>
                <w:szCs w:val="20"/>
              </w:rPr>
              <w:t>)</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
              <w:jc w:val="right"/>
              <w:rPr>
                <w:rFonts w:ascii="Times New Roman" w:hAnsi="Times New Roman" w:cs="Times New Roman" w:eastAsia="Times New Roman" w:hint="default"/>
                <w:sz w:val="20"/>
                <w:szCs w:val="20"/>
              </w:rPr>
            </w:pPr>
            <w:r>
              <w:rPr>
                <w:rFonts w:ascii="Times New Roman"/>
                <w:w w:val="95"/>
                <w:sz w:val="20"/>
              </w:rPr>
              <w:t>-1,674,360,419.77</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4"/>
              <w:jc w:val="right"/>
              <w:rPr>
                <w:rFonts w:ascii="Times New Roman" w:hAnsi="Times New Roman" w:cs="Times New Roman" w:eastAsia="Times New Roman" w:hint="default"/>
                <w:sz w:val="20"/>
                <w:szCs w:val="20"/>
              </w:rPr>
            </w:pPr>
            <w:r>
              <w:rPr>
                <w:rFonts w:ascii="Times New Roman"/>
                <w:w w:val="95"/>
                <w:sz w:val="20"/>
              </w:rPr>
              <w:t>-433,752,802.18</w:t>
            </w:r>
            <w:r>
              <w:rPr>
                <w:rFonts w:ascii="Times New Roman"/>
                <w:sz w:val="20"/>
              </w:rPr>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0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（二）终止经营净利润</w:t>
            </w:r>
            <w:r>
              <w:rPr>
                <w:rFonts w:ascii="Times New Roman" w:hAnsi="Times New Roman" w:cs="Times New Roman" w:eastAsia="Times New Roman" w:hint="default"/>
                <w:sz w:val="20"/>
                <w:szCs w:val="20"/>
              </w:rPr>
              <w:t>(</w:t>
            </w:r>
            <w:r>
              <w:rPr>
                <w:rFonts w:ascii="宋体" w:hAnsi="宋体" w:cs="宋体" w:eastAsia="宋体" w:hint="default"/>
                <w:sz w:val="20"/>
                <w:szCs w:val="20"/>
              </w:rPr>
              <w:t>净亏损以“</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r>
              <w:rPr>
                <w:rFonts w:ascii="Times New Roman" w:hAnsi="Times New Roman" w:cs="Times New Roman" w:eastAsia="Times New Roman" w:hint="default"/>
                <w:sz w:val="20"/>
                <w:szCs w:val="20"/>
              </w:rPr>
              <w:t>)</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7"/>
              <w:jc w:val="right"/>
              <w:rPr>
                <w:rFonts w:ascii="Times New Roman" w:hAnsi="Times New Roman" w:cs="Times New Roman" w:eastAsia="Times New Roman" w:hint="default"/>
                <w:sz w:val="20"/>
                <w:szCs w:val="20"/>
              </w:rPr>
            </w:pPr>
            <w:r>
              <w:rPr>
                <w:rFonts w:ascii="Times New Roman"/>
                <w:sz w:val="20"/>
              </w:rPr>
              <w:t>0.00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
              <w:jc w:val="right"/>
              <w:rPr>
                <w:rFonts w:ascii="Times New Roman" w:hAnsi="Times New Roman" w:cs="Times New Roman" w:eastAsia="Times New Roman" w:hint="default"/>
                <w:sz w:val="20"/>
                <w:szCs w:val="20"/>
              </w:rPr>
            </w:pPr>
            <w:r>
              <w:rPr>
                <w:rFonts w:ascii="Times New Roman"/>
                <w:sz w:val="20"/>
              </w:rPr>
              <w:t>0.00</w:t>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r>
              <w:rPr>
                <w:rFonts w:ascii="宋体" w:hAnsi="宋体" w:cs="宋体" w:eastAsia="宋体" w:hint="default"/>
                <w:b/>
                <w:bCs/>
                <w:sz w:val="20"/>
                <w:szCs w:val="20"/>
              </w:rPr>
              <w:t>五、其他综合收益的税后净额</w:t>
            </w:r>
            <w:r>
              <w:rPr>
                <w:rFonts w:ascii="宋体" w:hAnsi="宋体" w:cs="宋体" w:eastAsia="宋体" w:hint="default"/>
                <w:sz w:val="20"/>
                <w:szCs w:val="20"/>
              </w:rPr>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8"/>
              <w:jc w:val="right"/>
              <w:rPr>
                <w:rFonts w:ascii="Times New Roman" w:hAnsi="Times New Roman" w:cs="Times New Roman" w:eastAsia="Times New Roman" w:hint="default"/>
                <w:sz w:val="20"/>
                <w:szCs w:val="20"/>
              </w:rPr>
            </w:pPr>
            <w:r>
              <w:rPr>
                <w:rFonts w:ascii="Times New Roman"/>
                <w:b/>
                <w:w w:val="95"/>
                <w:sz w:val="20"/>
              </w:rPr>
              <w:t>-80,917,044.82</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6"/>
              <w:jc w:val="right"/>
              <w:rPr>
                <w:rFonts w:ascii="Times New Roman" w:hAnsi="Times New Roman" w:cs="Times New Roman" w:eastAsia="Times New Roman" w:hint="default"/>
                <w:sz w:val="20"/>
                <w:szCs w:val="20"/>
              </w:rPr>
            </w:pPr>
            <w:r>
              <w:rPr>
                <w:rFonts w:ascii="Times New Roman"/>
                <w:b/>
                <w:w w:val="95"/>
                <w:sz w:val="20"/>
              </w:rPr>
              <w:t>171,422,480.40</w:t>
            </w:r>
            <w:r>
              <w:rPr>
                <w:rFonts w:ascii="Times New Roman"/>
                <w:sz w:val="20"/>
              </w:rPr>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03" w:right="0"/>
              <w:jc w:val="left"/>
              <w:rPr>
                <w:rFonts w:ascii="宋体" w:hAnsi="宋体" w:cs="宋体" w:eastAsia="宋体" w:hint="default"/>
                <w:sz w:val="20"/>
                <w:szCs w:val="20"/>
              </w:rPr>
            </w:pPr>
            <w:r>
              <w:rPr>
                <w:rFonts w:ascii="宋体" w:hAnsi="宋体" w:cs="宋体" w:eastAsia="宋体" w:hint="default"/>
                <w:sz w:val="20"/>
                <w:szCs w:val="20"/>
              </w:rPr>
              <w:t>（一）不能重分类进损益的其他综合收益</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7"/>
              <w:jc w:val="right"/>
              <w:rPr>
                <w:rFonts w:ascii="Times New Roman" w:hAnsi="Times New Roman" w:cs="Times New Roman" w:eastAsia="Times New Roman" w:hint="default"/>
                <w:sz w:val="20"/>
                <w:szCs w:val="20"/>
              </w:rPr>
            </w:pPr>
            <w:r>
              <w:rPr>
                <w:rFonts w:ascii="Times New Roman"/>
                <w:sz w:val="20"/>
              </w:rPr>
              <w:t>0.00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
              <w:jc w:val="right"/>
              <w:rPr>
                <w:rFonts w:ascii="Times New Roman" w:hAnsi="Times New Roman" w:cs="Times New Roman" w:eastAsia="Times New Roman" w:hint="default"/>
                <w:sz w:val="20"/>
                <w:szCs w:val="20"/>
              </w:rPr>
            </w:pPr>
            <w:r>
              <w:rPr>
                <w:rFonts w:ascii="Times New Roman"/>
                <w:sz w:val="20"/>
              </w:rPr>
              <w:t>0.00</w:t>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重新计量设定受益计划变动额</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7"/>
              <w:jc w:val="right"/>
              <w:rPr>
                <w:rFonts w:ascii="Times New Roman" w:hAnsi="Times New Roman" w:cs="Times New Roman" w:eastAsia="Times New Roman" w:hint="default"/>
                <w:sz w:val="20"/>
                <w:szCs w:val="20"/>
              </w:rPr>
            </w:pPr>
            <w:r>
              <w:rPr>
                <w:rFonts w:ascii="Times New Roman"/>
                <w:sz w:val="20"/>
              </w:rPr>
              <w:t>0.00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5"/>
              <w:jc w:val="right"/>
              <w:rPr>
                <w:rFonts w:ascii="Times New Roman" w:hAnsi="Times New Roman" w:cs="Times New Roman" w:eastAsia="Times New Roman" w:hint="default"/>
                <w:sz w:val="20"/>
                <w:szCs w:val="20"/>
              </w:rPr>
            </w:pPr>
            <w:r>
              <w:rPr>
                <w:rFonts w:ascii="Times New Roman"/>
                <w:sz w:val="20"/>
              </w:rPr>
              <w:t>0.00</w:t>
            </w:r>
          </w:p>
        </w:tc>
      </w:tr>
      <w:tr>
        <w:trPr>
          <w:trHeight w:val="317"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8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权益法下不能转损益的其他综合收益</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7"/>
              <w:jc w:val="right"/>
              <w:rPr>
                <w:rFonts w:ascii="Times New Roman" w:hAnsi="Times New Roman" w:cs="Times New Roman" w:eastAsia="Times New Roman" w:hint="default"/>
                <w:sz w:val="20"/>
                <w:szCs w:val="20"/>
              </w:rPr>
            </w:pPr>
            <w:r>
              <w:rPr>
                <w:rFonts w:ascii="Times New Roman"/>
                <w:sz w:val="20"/>
              </w:rPr>
              <w:t>0.00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5"/>
              <w:jc w:val="right"/>
              <w:rPr>
                <w:rFonts w:ascii="Times New Roman" w:hAnsi="Times New Roman" w:cs="Times New Roman" w:eastAsia="Times New Roman" w:hint="default"/>
                <w:sz w:val="20"/>
                <w:szCs w:val="20"/>
              </w:rPr>
            </w:pPr>
            <w:r>
              <w:rPr>
                <w:rFonts w:ascii="Times New Roman"/>
                <w:sz w:val="20"/>
              </w:rPr>
              <w:t>0.00</w:t>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03" w:right="0"/>
              <w:jc w:val="left"/>
              <w:rPr>
                <w:rFonts w:ascii="宋体" w:hAnsi="宋体" w:cs="宋体" w:eastAsia="宋体" w:hint="default"/>
                <w:sz w:val="20"/>
                <w:szCs w:val="20"/>
              </w:rPr>
            </w:pPr>
            <w:r>
              <w:rPr>
                <w:rFonts w:ascii="宋体" w:hAnsi="宋体" w:cs="宋体" w:eastAsia="宋体" w:hint="default"/>
                <w:sz w:val="20"/>
                <w:szCs w:val="20"/>
              </w:rPr>
              <w:t>（二）将重分类进损益的其他综合收益</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
              <w:jc w:val="right"/>
              <w:rPr>
                <w:rFonts w:ascii="Times New Roman" w:hAnsi="Times New Roman" w:cs="Times New Roman" w:eastAsia="Times New Roman" w:hint="default"/>
                <w:sz w:val="20"/>
                <w:szCs w:val="20"/>
              </w:rPr>
            </w:pPr>
            <w:r>
              <w:rPr>
                <w:rFonts w:ascii="Times New Roman"/>
                <w:w w:val="95"/>
                <w:sz w:val="20"/>
              </w:rPr>
              <w:t>-80,917,044.82</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6"/>
              <w:jc w:val="right"/>
              <w:rPr>
                <w:rFonts w:ascii="Times New Roman" w:hAnsi="Times New Roman" w:cs="Times New Roman" w:eastAsia="Times New Roman" w:hint="default"/>
                <w:sz w:val="20"/>
                <w:szCs w:val="20"/>
              </w:rPr>
            </w:pPr>
            <w:r>
              <w:rPr>
                <w:rFonts w:ascii="Times New Roman"/>
                <w:w w:val="95"/>
                <w:sz w:val="20"/>
              </w:rPr>
              <w:t>171,422,480.40</w:t>
            </w:r>
            <w:r>
              <w:rPr>
                <w:rFonts w:ascii="Times New Roman"/>
                <w:sz w:val="20"/>
              </w:rPr>
            </w:r>
          </w:p>
        </w:tc>
      </w:tr>
      <w:tr>
        <w:trPr>
          <w:trHeight w:val="315"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8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权益法下可转损益的其他综合收益</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8"/>
              <w:jc w:val="right"/>
              <w:rPr>
                <w:rFonts w:ascii="Times New Roman" w:hAnsi="Times New Roman" w:cs="Times New Roman" w:eastAsia="Times New Roman" w:hint="default"/>
                <w:sz w:val="20"/>
                <w:szCs w:val="20"/>
              </w:rPr>
            </w:pPr>
            <w:r>
              <w:rPr>
                <w:rFonts w:ascii="Times New Roman"/>
                <w:w w:val="95"/>
                <w:sz w:val="20"/>
              </w:rPr>
              <w:t>96,145,808.18</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4"/>
              <w:jc w:val="right"/>
              <w:rPr>
                <w:rFonts w:ascii="Times New Roman" w:hAnsi="Times New Roman" w:cs="Times New Roman" w:eastAsia="Times New Roman" w:hint="default"/>
                <w:sz w:val="20"/>
                <w:szCs w:val="20"/>
              </w:rPr>
            </w:pPr>
            <w:r>
              <w:rPr>
                <w:rFonts w:ascii="Times New Roman"/>
                <w:w w:val="95"/>
                <w:sz w:val="20"/>
              </w:rPr>
              <w:t>-119,542,511.17</w:t>
            </w:r>
            <w:r>
              <w:rPr>
                <w:rFonts w:ascii="Times New Roman"/>
                <w:sz w:val="20"/>
              </w:rPr>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可供出售金融资产公允价值变动损益</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6"/>
              <w:jc w:val="right"/>
              <w:rPr>
                <w:rFonts w:ascii="Times New Roman" w:hAnsi="Times New Roman" w:cs="Times New Roman" w:eastAsia="Times New Roman" w:hint="default"/>
                <w:sz w:val="20"/>
                <w:szCs w:val="20"/>
              </w:rPr>
            </w:pPr>
            <w:r>
              <w:rPr>
                <w:rFonts w:ascii="Times New Roman"/>
                <w:w w:val="95"/>
                <w:sz w:val="20"/>
              </w:rPr>
              <w:t>-177,062,853.00</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6"/>
              <w:jc w:val="right"/>
              <w:rPr>
                <w:rFonts w:ascii="Times New Roman" w:hAnsi="Times New Roman" w:cs="Times New Roman" w:eastAsia="Times New Roman" w:hint="default"/>
                <w:sz w:val="20"/>
                <w:szCs w:val="20"/>
              </w:rPr>
            </w:pPr>
            <w:r>
              <w:rPr>
                <w:rFonts w:ascii="Times New Roman"/>
                <w:w w:val="95"/>
                <w:sz w:val="20"/>
              </w:rPr>
              <w:t>290,964,991.57</w:t>
            </w:r>
            <w:r>
              <w:rPr>
                <w:rFonts w:ascii="Times New Roman"/>
                <w:sz w:val="20"/>
              </w:rPr>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持有至到期投资重分类为可供出售金融资产损益</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right"/>
              <w:rPr>
                <w:rFonts w:ascii="Times New Roman" w:hAnsi="Times New Roman" w:cs="Times New Roman" w:eastAsia="Times New Roman" w:hint="default"/>
                <w:sz w:val="20"/>
                <w:szCs w:val="20"/>
              </w:rPr>
            </w:pPr>
            <w:r>
              <w:rPr>
                <w:rFonts w:ascii="Times New Roman"/>
                <w:sz w:val="20"/>
              </w:rPr>
              <w:t>0.00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
              <w:jc w:val="right"/>
              <w:rPr>
                <w:rFonts w:ascii="Times New Roman" w:hAnsi="Times New Roman" w:cs="Times New Roman" w:eastAsia="Times New Roman" w:hint="default"/>
                <w:sz w:val="20"/>
                <w:szCs w:val="20"/>
              </w:rPr>
            </w:pPr>
            <w:r>
              <w:rPr>
                <w:rFonts w:ascii="Times New Roman"/>
                <w:sz w:val="20"/>
              </w:rPr>
              <w:t>0.00</w:t>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现金流量套期损益的有效部分</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right"/>
              <w:rPr>
                <w:rFonts w:ascii="Times New Roman" w:hAnsi="Times New Roman" w:cs="Times New Roman" w:eastAsia="Times New Roman" w:hint="default"/>
                <w:sz w:val="20"/>
                <w:szCs w:val="20"/>
              </w:rPr>
            </w:pPr>
            <w:r>
              <w:rPr>
                <w:rFonts w:ascii="Times New Roman"/>
                <w:sz w:val="20"/>
              </w:rPr>
              <w:t>0.00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
              <w:jc w:val="right"/>
              <w:rPr>
                <w:rFonts w:ascii="Times New Roman" w:hAnsi="Times New Roman" w:cs="Times New Roman" w:eastAsia="Times New Roman" w:hint="default"/>
                <w:sz w:val="20"/>
                <w:szCs w:val="20"/>
              </w:rPr>
            </w:pPr>
            <w:r>
              <w:rPr>
                <w:rFonts w:ascii="Times New Roman"/>
                <w:sz w:val="20"/>
              </w:rPr>
              <w:t>0.00</w:t>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外币财务报表折算差额</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right"/>
              <w:rPr>
                <w:rFonts w:ascii="Times New Roman" w:hAnsi="Times New Roman" w:cs="Times New Roman" w:eastAsia="Times New Roman" w:hint="default"/>
                <w:sz w:val="20"/>
                <w:szCs w:val="20"/>
              </w:rPr>
            </w:pPr>
            <w:r>
              <w:rPr>
                <w:rFonts w:ascii="Times New Roman"/>
                <w:sz w:val="20"/>
              </w:rPr>
              <w:t>0.00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
              <w:jc w:val="right"/>
              <w:rPr>
                <w:rFonts w:ascii="Times New Roman" w:hAnsi="Times New Roman" w:cs="Times New Roman" w:eastAsia="Times New Roman" w:hint="default"/>
                <w:sz w:val="20"/>
                <w:szCs w:val="20"/>
              </w:rPr>
            </w:pPr>
            <w:r>
              <w:rPr>
                <w:rFonts w:ascii="Times New Roman"/>
                <w:sz w:val="20"/>
              </w:rPr>
              <w:t>0.00</w:t>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82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宋体" w:hAnsi="宋体" w:cs="宋体" w:eastAsia="宋体" w:hint="default"/>
                <w:sz w:val="20"/>
                <w:szCs w:val="20"/>
              </w:rPr>
              <w:t>其他</w:t>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right"/>
              <w:rPr>
                <w:rFonts w:ascii="Times New Roman" w:hAnsi="Times New Roman" w:cs="Times New Roman" w:eastAsia="Times New Roman" w:hint="default"/>
                <w:sz w:val="20"/>
                <w:szCs w:val="20"/>
              </w:rPr>
            </w:pPr>
            <w:r>
              <w:rPr>
                <w:rFonts w:ascii="Times New Roman"/>
                <w:sz w:val="20"/>
              </w:rPr>
              <w:t>0.00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
              <w:jc w:val="right"/>
              <w:rPr>
                <w:rFonts w:ascii="Times New Roman" w:hAnsi="Times New Roman" w:cs="Times New Roman" w:eastAsia="Times New Roman" w:hint="default"/>
                <w:sz w:val="20"/>
                <w:szCs w:val="20"/>
              </w:rPr>
            </w:pPr>
            <w:r>
              <w:rPr>
                <w:rFonts w:ascii="Times New Roman"/>
                <w:sz w:val="20"/>
              </w:rPr>
              <w:t>0.00</w:t>
            </w:r>
          </w:p>
        </w:tc>
      </w:tr>
      <w:tr>
        <w:trPr>
          <w:trHeight w:val="360" w:hRule="exact"/>
        </w:trPr>
        <w:tc>
          <w:tcPr>
            <w:tcW w:w="5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r>
              <w:rPr>
                <w:rFonts w:ascii="宋体" w:hAnsi="宋体" w:cs="宋体" w:eastAsia="宋体" w:hint="default"/>
                <w:b/>
                <w:bCs/>
                <w:sz w:val="20"/>
                <w:szCs w:val="20"/>
              </w:rPr>
              <w:t>六、综合收益总额</w:t>
            </w:r>
            <w:r>
              <w:rPr>
                <w:rFonts w:ascii="宋体" w:hAnsi="宋体" w:cs="宋体" w:eastAsia="宋体" w:hint="default"/>
                <w:sz w:val="20"/>
                <w:szCs w:val="20"/>
              </w:rPr>
            </w:r>
          </w:p>
        </w:tc>
        <w:tc>
          <w:tcPr>
            <w:tcW w:w="842"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
              <w:jc w:val="right"/>
              <w:rPr>
                <w:rFonts w:ascii="Times New Roman" w:hAnsi="Times New Roman" w:cs="Times New Roman" w:eastAsia="Times New Roman" w:hint="default"/>
                <w:sz w:val="20"/>
                <w:szCs w:val="20"/>
              </w:rPr>
            </w:pPr>
            <w:r>
              <w:rPr>
                <w:rFonts w:ascii="Times New Roman"/>
                <w:b/>
                <w:w w:val="95"/>
                <w:sz w:val="20"/>
              </w:rPr>
              <w:t>-1,755,277,464.59</w:t>
            </w:r>
            <w:r>
              <w:rPr>
                <w:rFonts w:ascii="Times New Roman"/>
                <w:sz w:val="20"/>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
              <w:jc w:val="right"/>
              <w:rPr>
                <w:rFonts w:ascii="Times New Roman" w:hAnsi="Times New Roman" w:cs="Times New Roman" w:eastAsia="Times New Roman" w:hint="default"/>
                <w:sz w:val="20"/>
                <w:szCs w:val="20"/>
              </w:rPr>
            </w:pPr>
            <w:r>
              <w:rPr>
                <w:rFonts w:ascii="Times New Roman"/>
                <w:b/>
                <w:w w:val="95"/>
                <w:sz w:val="20"/>
              </w:rPr>
              <w:t>-262,330,321.78</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footerReference w:type="default" r:id="rId26"/>
          <w:pgSz w:w="11910" w:h="16840"/>
          <w:pgMar w:footer="1677" w:header="0" w:top="1360" w:bottom="1860" w:left="920" w:right="920"/>
          <w:pgNumType w:start="87"/>
        </w:sectPr>
      </w:pPr>
    </w:p>
    <w:p>
      <w:pPr>
        <w:spacing w:before="10"/>
        <w:ind w:left="6" w:right="0" w:firstLine="0"/>
        <w:jc w:val="center"/>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sz w:val="21"/>
          <w:szCs w:val="21"/>
        </w:rPr>
      </w:r>
    </w:p>
    <w:p>
      <w:pPr>
        <w:tabs>
          <w:tab w:pos="7032" w:val="left" w:leader="none"/>
        </w:tabs>
        <w:spacing w:before="59"/>
        <w:ind w:left="1" w:right="0"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编制单位：同方股份有限公司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10"/>
        <w:rPr>
          <w:rFonts w:ascii="宋体" w:hAnsi="宋体" w:cs="宋体" w:eastAsia="宋体" w:hint="default"/>
          <w:b/>
          <w:bCs/>
          <w:sz w:val="11"/>
          <w:szCs w:val="11"/>
        </w:rPr>
      </w:pPr>
    </w:p>
    <w:tbl>
      <w:tblPr>
        <w:tblW w:w="0" w:type="auto"/>
        <w:jc w:val="left"/>
        <w:tblInd w:w="113" w:type="dxa"/>
        <w:tblLayout w:type="fixed"/>
        <w:tblCellMar>
          <w:top w:w="0" w:type="dxa"/>
          <w:left w:w="0" w:type="dxa"/>
          <w:bottom w:w="0" w:type="dxa"/>
          <w:right w:w="0" w:type="dxa"/>
        </w:tblCellMar>
        <w:tblLook w:val="01E0"/>
      </w:tblPr>
      <w:tblGrid>
        <w:gridCol w:w="6131"/>
        <w:gridCol w:w="677"/>
        <w:gridCol w:w="1673"/>
        <w:gridCol w:w="1673"/>
      </w:tblGrid>
      <w:tr>
        <w:trPr>
          <w:trHeight w:val="310"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1"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91"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75"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75"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07"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03"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7"/>
              <w:jc w:val="right"/>
              <w:rPr>
                <w:rFonts w:ascii="Times New Roman" w:hAnsi="Times New Roman" w:cs="Times New Roman" w:eastAsia="Times New Roman" w:hint="default"/>
                <w:sz w:val="20"/>
                <w:szCs w:val="20"/>
              </w:rPr>
            </w:pPr>
            <w:r>
              <w:rPr>
                <w:rFonts w:ascii="Times New Roman"/>
                <w:w w:val="95"/>
                <w:sz w:val="20"/>
              </w:rPr>
              <w:t>25,863,934,818.47</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w w:val="95"/>
                <w:sz w:val="20"/>
              </w:rPr>
              <w:t>26,645,755,313.78</w:t>
            </w:r>
            <w:r>
              <w:rPr>
                <w:rFonts w:ascii="Times New Roman"/>
                <w:sz w:val="20"/>
              </w:rPr>
            </w:r>
          </w:p>
        </w:tc>
      </w:tr>
      <w:tr>
        <w:trPr>
          <w:trHeight w:val="310"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03"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
              <w:jc w:val="right"/>
              <w:rPr>
                <w:rFonts w:ascii="Times New Roman" w:hAnsi="Times New Roman" w:cs="Times New Roman" w:eastAsia="Times New Roman" w:hint="default"/>
                <w:sz w:val="20"/>
                <w:szCs w:val="20"/>
              </w:rPr>
            </w:pPr>
            <w:r>
              <w:rPr>
                <w:rFonts w:ascii="Times New Roman"/>
                <w:w w:val="95"/>
                <w:sz w:val="20"/>
              </w:rPr>
              <w:t>324,829,428.02</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
              <w:jc w:val="right"/>
              <w:rPr>
                <w:rFonts w:ascii="Times New Roman" w:hAnsi="Times New Roman" w:cs="Times New Roman" w:eastAsia="Times New Roman" w:hint="default"/>
                <w:sz w:val="20"/>
                <w:szCs w:val="20"/>
              </w:rPr>
            </w:pPr>
            <w:r>
              <w:rPr>
                <w:rFonts w:ascii="Times New Roman"/>
                <w:w w:val="95"/>
                <w:sz w:val="20"/>
              </w:rPr>
              <w:t>555,319,326.52</w:t>
            </w:r>
            <w:r>
              <w:rPr>
                <w:rFonts w:ascii="Times New Roman"/>
                <w:sz w:val="20"/>
              </w:rPr>
            </w:r>
          </w:p>
        </w:tc>
      </w:tr>
      <w:tr>
        <w:trPr>
          <w:trHeight w:val="307"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03"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55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w w:val="95"/>
                <w:sz w:val="20"/>
              </w:rPr>
              <w:t>852,671,222.39</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w w:val="95"/>
                <w:sz w:val="20"/>
              </w:rPr>
              <w:t>870,034,333.02</w:t>
            </w:r>
            <w:r>
              <w:rPr>
                <w:rFonts w:ascii="Times New Roman"/>
                <w:sz w:val="20"/>
              </w:rPr>
            </w:r>
          </w:p>
        </w:tc>
      </w:tr>
      <w:tr>
        <w:trPr>
          <w:trHeight w:val="307"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center"/>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7"/>
              <w:jc w:val="right"/>
              <w:rPr>
                <w:rFonts w:ascii="Times New Roman" w:hAnsi="Times New Roman" w:cs="Times New Roman" w:eastAsia="Times New Roman" w:hint="default"/>
                <w:sz w:val="20"/>
                <w:szCs w:val="20"/>
              </w:rPr>
            </w:pPr>
            <w:r>
              <w:rPr>
                <w:rFonts w:ascii="Times New Roman"/>
                <w:b/>
                <w:w w:val="95"/>
                <w:sz w:val="20"/>
              </w:rPr>
              <w:t>27,041,435,468.88</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6"/>
              <w:jc w:val="right"/>
              <w:rPr>
                <w:rFonts w:ascii="Times New Roman" w:hAnsi="Times New Roman" w:cs="Times New Roman" w:eastAsia="Times New Roman" w:hint="default"/>
                <w:sz w:val="20"/>
                <w:szCs w:val="20"/>
              </w:rPr>
            </w:pPr>
            <w:r>
              <w:rPr>
                <w:rFonts w:ascii="Times New Roman"/>
                <w:b/>
                <w:w w:val="95"/>
                <w:sz w:val="20"/>
              </w:rPr>
              <w:t>28,071,108,973.32</w:t>
            </w:r>
            <w:r>
              <w:rPr>
                <w:rFonts w:ascii="Times New Roman"/>
                <w:sz w:val="20"/>
              </w:rPr>
            </w:r>
          </w:p>
        </w:tc>
      </w:tr>
      <w:tr>
        <w:trPr>
          <w:trHeight w:val="310"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03"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7"/>
              <w:jc w:val="right"/>
              <w:rPr>
                <w:rFonts w:ascii="Times New Roman" w:hAnsi="Times New Roman" w:cs="Times New Roman" w:eastAsia="Times New Roman" w:hint="default"/>
                <w:sz w:val="20"/>
                <w:szCs w:val="20"/>
              </w:rPr>
            </w:pPr>
            <w:r>
              <w:rPr>
                <w:rFonts w:ascii="Times New Roman"/>
                <w:w w:val="95"/>
                <w:sz w:val="20"/>
              </w:rPr>
              <w:t>19,706,595,625.95</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
              <w:jc w:val="right"/>
              <w:rPr>
                <w:rFonts w:ascii="Times New Roman" w:hAnsi="Times New Roman" w:cs="Times New Roman" w:eastAsia="Times New Roman" w:hint="default"/>
                <w:sz w:val="20"/>
                <w:szCs w:val="20"/>
              </w:rPr>
            </w:pPr>
            <w:r>
              <w:rPr>
                <w:rFonts w:ascii="Times New Roman"/>
                <w:w w:val="95"/>
                <w:sz w:val="20"/>
              </w:rPr>
              <w:t>20,565,100,260.89</w:t>
            </w:r>
            <w:r>
              <w:rPr>
                <w:rFonts w:ascii="Times New Roman"/>
                <w:sz w:val="20"/>
              </w:rPr>
            </w:r>
          </w:p>
        </w:tc>
      </w:tr>
      <w:tr>
        <w:trPr>
          <w:trHeight w:val="307"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03"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spacing w:val="-1"/>
                <w:sz w:val="20"/>
              </w:rPr>
              <w:t>3,698,248,719.25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spacing w:val="-1"/>
                <w:sz w:val="20"/>
              </w:rPr>
              <w:t>3,168,265,728.13</w:t>
            </w:r>
          </w:p>
        </w:tc>
      </w:tr>
      <w:tr>
        <w:trPr>
          <w:trHeight w:val="307"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03"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spacing w:val="-1"/>
                <w:sz w:val="20"/>
              </w:rPr>
              <w:t>1,021,244,225.64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w w:val="95"/>
                <w:sz w:val="20"/>
              </w:rPr>
              <w:t>979,384,252.93</w:t>
            </w:r>
            <w:r>
              <w:rPr>
                <w:rFonts w:ascii="Times New Roman"/>
                <w:sz w:val="20"/>
              </w:rPr>
            </w:r>
          </w:p>
        </w:tc>
      </w:tr>
      <w:tr>
        <w:trPr>
          <w:trHeight w:val="310"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03"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7"/>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55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
              <w:jc w:val="right"/>
              <w:rPr>
                <w:rFonts w:ascii="Times New Roman" w:hAnsi="Times New Roman" w:cs="Times New Roman" w:eastAsia="Times New Roman" w:hint="default"/>
                <w:sz w:val="20"/>
                <w:szCs w:val="20"/>
              </w:rPr>
            </w:pPr>
            <w:r>
              <w:rPr>
                <w:rFonts w:ascii="Times New Roman"/>
                <w:spacing w:val="-1"/>
                <w:sz w:val="20"/>
              </w:rPr>
              <w:t>3,140,800,376.50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
              <w:jc w:val="right"/>
              <w:rPr>
                <w:rFonts w:ascii="Times New Roman" w:hAnsi="Times New Roman" w:cs="Times New Roman" w:eastAsia="Times New Roman" w:hint="default"/>
                <w:sz w:val="20"/>
                <w:szCs w:val="20"/>
              </w:rPr>
            </w:pPr>
            <w:r>
              <w:rPr>
                <w:rFonts w:ascii="Times New Roman"/>
                <w:spacing w:val="-1"/>
                <w:sz w:val="20"/>
              </w:rPr>
              <w:t>2,904,912,794.85</w:t>
            </w:r>
          </w:p>
        </w:tc>
      </w:tr>
      <w:tr>
        <w:trPr>
          <w:trHeight w:val="308"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center"/>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7"/>
              <w:jc w:val="right"/>
              <w:rPr>
                <w:rFonts w:ascii="Times New Roman" w:hAnsi="Times New Roman" w:cs="Times New Roman" w:eastAsia="Times New Roman" w:hint="default"/>
                <w:sz w:val="20"/>
                <w:szCs w:val="20"/>
              </w:rPr>
            </w:pPr>
            <w:r>
              <w:rPr>
                <w:rFonts w:ascii="Times New Roman"/>
                <w:b/>
                <w:w w:val="95"/>
                <w:sz w:val="20"/>
              </w:rPr>
              <w:t>27,566,888,947.34</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6"/>
              <w:jc w:val="right"/>
              <w:rPr>
                <w:rFonts w:ascii="Times New Roman" w:hAnsi="Times New Roman" w:cs="Times New Roman" w:eastAsia="Times New Roman" w:hint="default"/>
                <w:sz w:val="20"/>
                <w:szCs w:val="20"/>
              </w:rPr>
            </w:pPr>
            <w:r>
              <w:rPr>
                <w:rFonts w:ascii="Times New Roman"/>
                <w:b/>
                <w:w w:val="95"/>
                <w:sz w:val="20"/>
              </w:rPr>
              <w:t>27,617,663,036.80</w:t>
            </w:r>
            <w:r>
              <w:rPr>
                <w:rFonts w:ascii="Times New Roman"/>
                <w:sz w:val="20"/>
              </w:rPr>
            </w:r>
          </w:p>
        </w:tc>
      </w:tr>
      <w:tr>
        <w:trPr>
          <w:trHeight w:val="307"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759"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
              <w:jc w:val="right"/>
              <w:rPr>
                <w:rFonts w:ascii="Times New Roman" w:hAnsi="Times New Roman" w:cs="Times New Roman" w:eastAsia="Times New Roman" w:hint="default"/>
                <w:sz w:val="20"/>
                <w:szCs w:val="20"/>
              </w:rPr>
            </w:pPr>
            <w:r>
              <w:rPr>
                <w:rFonts w:ascii="Times New Roman"/>
                <w:b/>
                <w:w w:val="95"/>
                <w:sz w:val="20"/>
              </w:rPr>
              <w:t>-525,453,478.46</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6"/>
              <w:jc w:val="right"/>
              <w:rPr>
                <w:rFonts w:ascii="Times New Roman" w:hAnsi="Times New Roman" w:cs="Times New Roman" w:eastAsia="Times New Roman" w:hint="default"/>
                <w:sz w:val="20"/>
                <w:szCs w:val="20"/>
              </w:rPr>
            </w:pPr>
            <w:r>
              <w:rPr>
                <w:rFonts w:ascii="Times New Roman"/>
                <w:b/>
                <w:w w:val="95"/>
                <w:sz w:val="20"/>
              </w:rPr>
              <w:t>453,445,936.52</w:t>
            </w:r>
            <w:r>
              <w:rPr>
                <w:rFonts w:ascii="Times New Roman"/>
                <w:sz w:val="20"/>
              </w:rPr>
            </w:r>
          </w:p>
        </w:tc>
      </w:tr>
      <w:tr>
        <w:trPr>
          <w:trHeight w:val="310"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03"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spacing w:val="-1"/>
                <w:sz w:val="20"/>
              </w:rPr>
              <w:t>2,692,173,559.34</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spacing w:val="-1"/>
                <w:sz w:val="20"/>
              </w:rPr>
              <w:t>2,894,548,114.67</w:t>
            </w:r>
          </w:p>
        </w:tc>
      </w:tr>
      <w:tr>
        <w:trPr>
          <w:trHeight w:val="307"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03"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w w:val="95"/>
                <w:sz w:val="20"/>
              </w:rPr>
              <w:t>190,725,159.04</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w w:val="95"/>
                <w:sz w:val="20"/>
              </w:rPr>
              <w:t>567,328,579.91</w:t>
            </w:r>
            <w:r>
              <w:rPr>
                <w:rFonts w:ascii="Times New Roman"/>
                <w:sz w:val="20"/>
              </w:rPr>
            </w:r>
          </w:p>
        </w:tc>
      </w:tr>
      <w:tr>
        <w:trPr>
          <w:trHeight w:val="310"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36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
              <w:jc w:val="right"/>
              <w:rPr>
                <w:rFonts w:ascii="Times New Roman" w:hAnsi="Times New Roman" w:cs="Times New Roman" w:eastAsia="Times New Roman" w:hint="default"/>
                <w:sz w:val="20"/>
                <w:szCs w:val="20"/>
              </w:rPr>
            </w:pPr>
            <w:r>
              <w:rPr>
                <w:rFonts w:ascii="Times New Roman"/>
                <w:w w:val="95"/>
                <w:sz w:val="20"/>
              </w:rPr>
              <w:t>250,179,788.83</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
              <w:jc w:val="right"/>
              <w:rPr>
                <w:rFonts w:ascii="Times New Roman" w:hAnsi="Times New Roman" w:cs="Times New Roman" w:eastAsia="Times New Roman" w:hint="default"/>
                <w:sz w:val="20"/>
                <w:szCs w:val="20"/>
              </w:rPr>
            </w:pPr>
            <w:r>
              <w:rPr>
                <w:rFonts w:ascii="Times New Roman"/>
                <w:w w:val="95"/>
                <w:sz w:val="20"/>
              </w:rPr>
              <w:t>40,238,685.07</w:t>
            </w:r>
            <w:r>
              <w:rPr>
                <w:rFonts w:ascii="Times New Roman"/>
                <w:sz w:val="20"/>
              </w:rPr>
            </w:r>
          </w:p>
        </w:tc>
      </w:tr>
      <w:tr>
        <w:trPr>
          <w:trHeight w:val="307"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03"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w w:val="95"/>
                <w:sz w:val="20"/>
              </w:rPr>
              <w:t>53,789,698.68</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w w:val="95"/>
                <w:sz w:val="20"/>
              </w:rPr>
              <w:t>283,585,751.07</w:t>
            </w:r>
            <w:r>
              <w:rPr>
                <w:rFonts w:ascii="Times New Roman"/>
                <w:sz w:val="20"/>
              </w:rPr>
            </w:r>
          </w:p>
        </w:tc>
      </w:tr>
      <w:tr>
        <w:trPr>
          <w:trHeight w:val="307"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03"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55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w w:val="95"/>
                <w:sz w:val="20"/>
              </w:rPr>
              <w:t>183,599,240.36</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w w:val="95"/>
                <w:sz w:val="20"/>
              </w:rPr>
              <w:t>451,050,232.17</w:t>
            </w:r>
            <w:r>
              <w:rPr>
                <w:rFonts w:ascii="Times New Roman"/>
                <w:sz w:val="20"/>
              </w:rPr>
            </w:r>
          </w:p>
        </w:tc>
      </w:tr>
      <w:tr>
        <w:trPr>
          <w:trHeight w:val="310"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3"/>
              <w:jc w:val="center"/>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Times New Roman" w:hAnsi="Times New Roman" w:cs="Times New Roman" w:eastAsia="Times New Roman" w:hint="default"/>
                <w:sz w:val="20"/>
                <w:szCs w:val="20"/>
              </w:rPr>
            </w:pPr>
            <w:r>
              <w:rPr>
                <w:rFonts w:ascii="Times New Roman"/>
                <w:b/>
                <w:spacing w:val="-1"/>
                <w:sz w:val="20"/>
              </w:rPr>
              <w:t>3,370,467,446.25</w:t>
            </w:r>
            <w:r>
              <w:rPr>
                <w:rFonts w:ascii="Times New Roman"/>
                <w:spacing w:val="-1"/>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Times New Roman" w:hAnsi="Times New Roman" w:cs="Times New Roman" w:eastAsia="Times New Roman" w:hint="default"/>
                <w:sz w:val="20"/>
                <w:szCs w:val="20"/>
              </w:rPr>
            </w:pPr>
            <w:r>
              <w:rPr>
                <w:rFonts w:ascii="Times New Roman"/>
                <w:b/>
                <w:spacing w:val="-1"/>
                <w:sz w:val="20"/>
              </w:rPr>
              <w:t>4,236,751,362.89</w:t>
            </w:r>
            <w:r>
              <w:rPr>
                <w:rFonts w:ascii="Times New Roman"/>
                <w:spacing w:val="-1"/>
                <w:sz w:val="20"/>
              </w:rPr>
            </w:r>
          </w:p>
        </w:tc>
      </w:tr>
      <w:tr>
        <w:trPr>
          <w:trHeight w:val="307"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1120"/>
              <w:jc w:val="right"/>
              <w:rPr>
                <w:rFonts w:ascii="宋体" w:hAnsi="宋体" w:cs="宋体" w:eastAsia="宋体" w:hint="default"/>
                <w:sz w:val="20"/>
                <w:szCs w:val="20"/>
              </w:rPr>
            </w:pPr>
            <w:r>
              <w:rPr>
                <w:rFonts w:ascii="宋体" w:hAnsi="宋体" w:cs="宋体" w:eastAsia="宋体" w:hint="default"/>
                <w:w w:val="95"/>
                <w:sz w:val="20"/>
                <w:szCs w:val="20"/>
              </w:rPr>
              <w:t>购建固定资产、无形资产和其他长期资产支付的现金</w:t>
            </w:r>
            <w:r>
              <w:rPr>
                <w:rFonts w:ascii="宋体" w:hAnsi="宋体" w:cs="宋体" w:eastAsia="宋体" w:hint="default"/>
                <w:sz w:val="20"/>
                <w:szCs w:val="20"/>
              </w:rPr>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spacing w:val="-1"/>
                <w:sz w:val="20"/>
              </w:rPr>
              <w:t>1,439,909,052.28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w w:val="95"/>
                <w:sz w:val="20"/>
              </w:rPr>
              <w:t>940,354,302.49</w:t>
            </w:r>
            <w:r>
              <w:rPr>
                <w:rFonts w:ascii="Times New Roman"/>
                <w:sz w:val="20"/>
              </w:rPr>
            </w:r>
          </w:p>
        </w:tc>
      </w:tr>
      <w:tr>
        <w:trPr>
          <w:trHeight w:val="307"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03"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spacing w:val="-1"/>
                <w:sz w:val="20"/>
              </w:rPr>
              <w:t>3,273,824,499.62</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spacing w:val="-1"/>
                <w:sz w:val="20"/>
              </w:rPr>
              <w:t>9,078,957,185.33</w:t>
            </w:r>
          </w:p>
        </w:tc>
      </w:tr>
      <w:tr>
        <w:trPr>
          <w:trHeight w:val="310"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403"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
              <w:jc w:val="right"/>
              <w:rPr>
                <w:rFonts w:ascii="Times New Roman" w:hAnsi="Times New Roman" w:cs="Times New Roman" w:eastAsia="Times New Roman" w:hint="default"/>
                <w:sz w:val="20"/>
                <w:szCs w:val="20"/>
              </w:rPr>
            </w:pPr>
            <w:r>
              <w:rPr>
                <w:rFonts w:ascii="Times New Roman"/>
                <w:w w:val="95"/>
                <w:sz w:val="20"/>
              </w:rPr>
              <w:t>101,720,177.84</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5"/>
              <w:jc w:val="right"/>
              <w:rPr>
                <w:rFonts w:ascii="Times New Roman" w:hAnsi="Times New Roman" w:cs="Times New Roman" w:eastAsia="Times New Roman" w:hint="default"/>
                <w:sz w:val="20"/>
                <w:szCs w:val="20"/>
              </w:rPr>
            </w:pPr>
            <w:r>
              <w:rPr>
                <w:rFonts w:ascii="Times New Roman"/>
                <w:sz w:val="20"/>
              </w:rPr>
              <w:t>0.00</w:t>
            </w:r>
          </w:p>
        </w:tc>
      </w:tr>
      <w:tr>
        <w:trPr>
          <w:trHeight w:val="308"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03"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55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w w:val="95"/>
                <w:sz w:val="20"/>
              </w:rPr>
              <w:t>521,144,404.08</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w w:val="95"/>
                <w:sz w:val="20"/>
              </w:rPr>
              <w:t>411,446,019.81</w:t>
            </w:r>
            <w:r>
              <w:rPr>
                <w:rFonts w:ascii="Times New Roman"/>
                <w:sz w:val="20"/>
              </w:rPr>
            </w:r>
          </w:p>
        </w:tc>
      </w:tr>
      <w:tr>
        <w:trPr>
          <w:trHeight w:val="307"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center"/>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6"/>
              <w:jc w:val="right"/>
              <w:rPr>
                <w:rFonts w:ascii="Times New Roman" w:hAnsi="Times New Roman" w:cs="Times New Roman" w:eastAsia="Times New Roman" w:hint="default"/>
                <w:sz w:val="20"/>
                <w:szCs w:val="20"/>
              </w:rPr>
            </w:pPr>
            <w:r>
              <w:rPr>
                <w:rFonts w:ascii="Times New Roman"/>
                <w:b/>
                <w:spacing w:val="-1"/>
                <w:sz w:val="20"/>
              </w:rPr>
              <w:t>5,336,598,133.82</w:t>
            </w:r>
            <w:r>
              <w:rPr>
                <w:rFonts w:ascii="Times New Roman"/>
                <w:spacing w:val="-1"/>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6"/>
              <w:jc w:val="right"/>
              <w:rPr>
                <w:rFonts w:ascii="Times New Roman" w:hAnsi="Times New Roman" w:cs="Times New Roman" w:eastAsia="Times New Roman" w:hint="default"/>
                <w:sz w:val="20"/>
                <w:szCs w:val="20"/>
              </w:rPr>
            </w:pPr>
            <w:r>
              <w:rPr>
                <w:rFonts w:ascii="Times New Roman"/>
                <w:b/>
                <w:w w:val="95"/>
                <w:sz w:val="20"/>
              </w:rPr>
              <w:t>10,430,757,507.63</w:t>
            </w:r>
            <w:r>
              <w:rPr>
                <w:rFonts w:ascii="Times New Roman"/>
                <w:sz w:val="20"/>
              </w:rPr>
            </w:r>
          </w:p>
        </w:tc>
      </w:tr>
      <w:tr>
        <w:trPr>
          <w:trHeight w:val="310"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759"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Times New Roman" w:hAnsi="Times New Roman" w:cs="Times New Roman" w:eastAsia="Times New Roman" w:hint="default"/>
                <w:sz w:val="20"/>
                <w:szCs w:val="20"/>
              </w:rPr>
            </w:pPr>
            <w:r>
              <w:rPr>
                <w:rFonts w:ascii="Times New Roman"/>
                <w:b/>
                <w:w w:val="95"/>
                <w:sz w:val="20"/>
              </w:rPr>
              <w:t>-1,966,130,687.57</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Times New Roman" w:hAnsi="Times New Roman" w:cs="Times New Roman" w:eastAsia="Times New Roman" w:hint="default"/>
                <w:sz w:val="20"/>
                <w:szCs w:val="20"/>
              </w:rPr>
            </w:pPr>
            <w:r>
              <w:rPr>
                <w:rFonts w:ascii="Times New Roman"/>
                <w:b/>
                <w:w w:val="95"/>
                <w:sz w:val="20"/>
              </w:rPr>
              <w:t>-6,194,006,144.74</w:t>
            </w:r>
            <w:r>
              <w:rPr>
                <w:rFonts w:ascii="Times New Roman"/>
                <w:sz w:val="20"/>
              </w:rPr>
            </w:r>
          </w:p>
        </w:tc>
      </w:tr>
      <w:tr>
        <w:trPr>
          <w:trHeight w:val="307"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307"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03"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w w:val="95"/>
                <w:sz w:val="20"/>
              </w:rPr>
              <w:t>13,089,864.59</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w w:val="95"/>
                <w:sz w:val="20"/>
              </w:rPr>
              <w:t>159,369,165.02</w:t>
            </w:r>
            <w:r>
              <w:rPr>
                <w:rFonts w:ascii="Times New Roman"/>
                <w:sz w:val="20"/>
              </w:rPr>
            </w:r>
          </w:p>
        </w:tc>
      </w:tr>
      <w:tr>
        <w:trPr>
          <w:trHeight w:val="310"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43"/>
              <w:jc w:val="right"/>
              <w:rPr>
                <w:rFonts w:ascii="宋体" w:hAnsi="宋体" w:cs="宋体" w:eastAsia="宋体" w:hint="default"/>
                <w:sz w:val="20"/>
                <w:szCs w:val="20"/>
              </w:rPr>
            </w:pPr>
            <w:r>
              <w:rPr>
                <w:rFonts w:ascii="宋体" w:hAnsi="宋体" w:cs="宋体" w:eastAsia="宋体" w:hint="default"/>
                <w:w w:val="95"/>
                <w:sz w:val="20"/>
                <w:szCs w:val="20"/>
              </w:rPr>
              <w:t>其中</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子公司吸收少数所有者投资收到的现金</w:t>
            </w:r>
            <w:r>
              <w:rPr>
                <w:rFonts w:ascii="宋体" w:hAnsi="宋体" w:cs="宋体" w:eastAsia="宋体" w:hint="default"/>
                <w:sz w:val="20"/>
                <w:szCs w:val="20"/>
              </w:rPr>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
              <w:jc w:val="right"/>
              <w:rPr>
                <w:rFonts w:ascii="Times New Roman" w:hAnsi="Times New Roman" w:cs="Times New Roman" w:eastAsia="Times New Roman" w:hint="default"/>
                <w:sz w:val="20"/>
                <w:szCs w:val="20"/>
              </w:rPr>
            </w:pPr>
            <w:r>
              <w:rPr>
                <w:rFonts w:ascii="Times New Roman"/>
                <w:w w:val="95"/>
                <w:sz w:val="20"/>
              </w:rPr>
              <w:t>13,089,864.59</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
              <w:jc w:val="right"/>
              <w:rPr>
                <w:rFonts w:ascii="Times New Roman" w:hAnsi="Times New Roman" w:cs="Times New Roman" w:eastAsia="Times New Roman" w:hint="default"/>
                <w:sz w:val="20"/>
                <w:szCs w:val="20"/>
              </w:rPr>
            </w:pPr>
            <w:r>
              <w:rPr>
                <w:rFonts w:ascii="Times New Roman"/>
                <w:w w:val="95"/>
                <w:sz w:val="20"/>
              </w:rPr>
              <w:t>159,369,165.02</w:t>
            </w:r>
            <w:r>
              <w:rPr>
                <w:rFonts w:ascii="Times New Roman"/>
                <w:sz w:val="20"/>
              </w:rPr>
            </w:r>
          </w:p>
        </w:tc>
      </w:tr>
      <w:tr>
        <w:trPr>
          <w:trHeight w:val="307"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03"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7"/>
              <w:jc w:val="right"/>
              <w:rPr>
                <w:rFonts w:ascii="Times New Roman" w:hAnsi="Times New Roman" w:cs="Times New Roman" w:eastAsia="Times New Roman" w:hint="default"/>
                <w:sz w:val="20"/>
                <w:szCs w:val="20"/>
              </w:rPr>
            </w:pPr>
            <w:r>
              <w:rPr>
                <w:rFonts w:ascii="Times New Roman"/>
                <w:w w:val="95"/>
                <w:sz w:val="20"/>
              </w:rPr>
              <w:t>26,336,424,173.32</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w w:val="95"/>
                <w:sz w:val="20"/>
              </w:rPr>
              <w:t>24,746,450,278.25</w:t>
            </w:r>
            <w:r>
              <w:rPr>
                <w:rFonts w:ascii="Times New Roman"/>
                <w:sz w:val="20"/>
              </w:rPr>
            </w:r>
          </w:p>
        </w:tc>
      </w:tr>
      <w:tr>
        <w:trPr>
          <w:trHeight w:val="307"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03"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7"/>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55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w w:val="95"/>
                <w:sz w:val="20"/>
              </w:rPr>
              <w:t>446,230,873.75</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w w:val="95"/>
                <w:sz w:val="20"/>
              </w:rPr>
              <w:t>296,759,734.46</w:t>
            </w:r>
            <w:r>
              <w:rPr>
                <w:rFonts w:ascii="Times New Roman"/>
                <w:sz w:val="20"/>
              </w:rPr>
            </w:r>
          </w:p>
        </w:tc>
      </w:tr>
      <w:tr>
        <w:trPr>
          <w:trHeight w:val="310"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3"/>
              <w:jc w:val="center"/>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
              <w:jc w:val="right"/>
              <w:rPr>
                <w:rFonts w:ascii="Times New Roman" w:hAnsi="Times New Roman" w:cs="Times New Roman" w:eastAsia="Times New Roman" w:hint="default"/>
                <w:sz w:val="20"/>
                <w:szCs w:val="20"/>
              </w:rPr>
            </w:pPr>
            <w:r>
              <w:rPr>
                <w:rFonts w:ascii="Times New Roman"/>
                <w:b/>
                <w:w w:val="95"/>
                <w:sz w:val="20"/>
              </w:rPr>
              <w:t>26,795,744,911.66</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Times New Roman" w:hAnsi="Times New Roman" w:cs="Times New Roman" w:eastAsia="Times New Roman" w:hint="default"/>
                <w:sz w:val="20"/>
                <w:szCs w:val="20"/>
              </w:rPr>
            </w:pPr>
            <w:r>
              <w:rPr>
                <w:rFonts w:ascii="Times New Roman"/>
                <w:b/>
                <w:w w:val="95"/>
                <w:sz w:val="20"/>
              </w:rPr>
              <w:t>25,202,579,177.73</w:t>
            </w:r>
            <w:r>
              <w:rPr>
                <w:rFonts w:ascii="Times New Roman"/>
                <w:sz w:val="20"/>
              </w:rPr>
            </w:r>
          </w:p>
        </w:tc>
      </w:tr>
      <w:tr>
        <w:trPr>
          <w:trHeight w:val="307"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03"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7"/>
              <w:jc w:val="right"/>
              <w:rPr>
                <w:rFonts w:ascii="Times New Roman" w:hAnsi="Times New Roman" w:cs="Times New Roman" w:eastAsia="Times New Roman" w:hint="default"/>
                <w:sz w:val="20"/>
                <w:szCs w:val="20"/>
              </w:rPr>
            </w:pPr>
            <w:r>
              <w:rPr>
                <w:rFonts w:ascii="Times New Roman"/>
                <w:w w:val="95"/>
                <w:sz w:val="20"/>
              </w:rPr>
              <w:t>22,897,838,706.34</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w w:val="95"/>
                <w:sz w:val="20"/>
              </w:rPr>
              <w:t>18,624,389,182.66</w:t>
            </w:r>
            <w:r>
              <w:rPr>
                <w:rFonts w:ascii="Times New Roman"/>
                <w:sz w:val="20"/>
              </w:rPr>
            </w:r>
          </w:p>
        </w:tc>
      </w:tr>
      <w:tr>
        <w:trPr>
          <w:trHeight w:val="307"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403"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spacing w:val="-1"/>
                <w:sz w:val="20"/>
              </w:rPr>
              <w:t>1,208,454,734.63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spacing w:val="-1"/>
                <w:sz w:val="20"/>
              </w:rPr>
              <w:t>1,522,594,804.70</w:t>
            </w:r>
          </w:p>
        </w:tc>
      </w:tr>
      <w:tr>
        <w:trPr>
          <w:trHeight w:val="310"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226"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Times New Roman" w:hAnsi="Times New Roman" w:cs="Times New Roman" w:eastAsia="Times New Roman" w:hint="default"/>
                <w:sz w:val="20"/>
                <w:szCs w:val="20"/>
              </w:rPr>
              <w:t>:</w:t>
            </w:r>
            <w:r>
              <w:rPr>
                <w:rFonts w:ascii="宋体" w:hAnsi="宋体" w:cs="宋体" w:eastAsia="宋体" w:hint="default"/>
                <w:sz w:val="20"/>
                <w:szCs w:val="20"/>
              </w:rPr>
              <w:t>子公司支付少数所有者的股利、利润</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
              <w:jc w:val="right"/>
              <w:rPr>
                <w:rFonts w:ascii="Times New Roman" w:hAnsi="Times New Roman" w:cs="Times New Roman" w:eastAsia="Times New Roman" w:hint="default"/>
                <w:sz w:val="20"/>
                <w:szCs w:val="20"/>
              </w:rPr>
            </w:pPr>
            <w:r>
              <w:rPr>
                <w:rFonts w:ascii="Times New Roman"/>
                <w:w w:val="95"/>
                <w:sz w:val="20"/>
              </w:rPr>
              <w:t>17,910,009.70</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
              <w:jc w:val="right"/>
              <w:rPr>
                <w:rFonts w:ascii="Times New Roman" w:hAnsi="Times New Roman" w:cs="Times New Roman" w:eastAsia="Times New Roman" w:hint="default"/>
                <w:sz w:val="20"/>
                <w:szCs w:val="20"/>
              </w:rPr>
            </w:pPr>
            <w:r>
              <w:rPr>
                <w:rFonts w:ascii="Times New Roman"/>
                <w:w w:val="95"/>
                <w:sz w:val="20"/>
              </w:rPr>
              <w:t>51,700,000.00</w:t>
            </w:r>
            <w:r>
              <w:rPr>
                <w:rFonts w:ascii="Times New Roman"/>
                <w:sz w:val="20"/>
              </w:rPr>
            </w:r>
          </w:p>
        </w:tc>
      </w:tr>
      <w:tr>
        <w:trPr>
          <w:trHeight w:val="308"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03"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
              <w:jc w:val="center"/>
              <w:rPr>
                <w:rFonts w:ascii="Times New Roman" w:hAnsi="Times New Roman" w:cs="Times New Roman" w:eastAsia="Times New Roman" w:hint="default"/>
                <w:sz w:val="20"/>
                <w:szCs w:val="20"/>
              </w:rPr>
            </w:pPr>
            <w:r>
              <w:rPr>
                <w:rFonts w:ascii="宋体" w:hAnsi="宋体" w:cs="宋体" w:eastAsia="宋体" w:hint="default"/>
                <w:sz w:val="20"/>
                <w:szCs w:val="20"/>
              </w:rPr>
              <w:t>六、</w:t>
            </w:r>
            <w:r>
              <w:rPr>
                <w:rFonts w:ascii="Times New Roman" w:hAnsi="Times New Roman" w:cs="Times New Roman" w:eastAsia="Times New Roman" w:hint="default"/>
                <w:sz w:val="20"/>
                <w:szCs w:val="20"/>
              </w:rPr>
              <w:t>55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w w:val="95"/>
                <w:sz w:val="20"/>
              </w:rPr>
              <w:t>633,404,767.04</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w w:val="95"/>
                <w:sz w:val="20"/>
              </w:rPr>
              <w:t>482,973,348.91</w:t>
            </w:r>
            <w:r>
              <w:rPr>
                <w:rFonts w:ascii="Times New Roman"/>
                <w:sz w:val="20"/>
              </w:rPr>
            </w:r>
          </w:p>
        </w:tc>
      </w:tr>
      <w:tr>
        <w:trPr>
          <w:trHeight w:val="307"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center"/>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7"/>
              <w:jc w:val="right"/>
              <w:rPr>
                <w:rFonts w:ascii="Times New Roman" w:hAnsi="Times New Roman" w:cs="Times New Roman" w:eastAsia="Times New Roman" w:hint="default"/>
                <w:sz w:val="20"/>
                <w:szCs w:val="20"/>
              </w:rPr>
            </w:pPr>
            <w:r>
              <w:rPr>
                <w:rFonts w:ascii="Times New Roman"/>
                <w:b/>
                <w:w w:val="95"/>
                <w:sz w:val="20"/>
              </w:rPr>
              <w:t>24,739,698,208.01</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6"/>
              <w:jc w:val="right"/>
              <w:rPr>
                <w:rFonts w:ascii="Times New Roman" w:hAnsi="Times New Roman" w:cs="Times New Roman" w:eastAsia="Times New Roman" w:hint="default"/>
                <w:sz w:val="20"/>
                <w:szCs w:val="20"/>
              </w:rPr>
            </w:pPr>
            <w:r>
              <w:rPr>
                <w:rFonts w:ascii="Times New Roman"/>
                <w:b/>
                <w:w w:val="95"/>
                <w:sz w:val="20"/>
              </w:rPr>
              <w:t>20,629,957,336.27</w:t>
            </w:r>
            <w:r>
              <w:rPr>
                <w:rFonts w:ascii="Times New Roman"/>
                <w:sz w:val="20"/>
              </w:rPr>
            </w:r>
          </w:p>
        </w:tc>
      </w:tr>
      <w:tr>
        <w:trPr>
          <w:trHeight w:val="310"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759"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Times New Roman" w:hAnsi="Times New Roman" w:cs="Times New Roman" w:eastAsia="Times New Roman" w:hint="default"/>
                <w:sz w:val="20"/>
                <w:szCs w:val="20"/>
              </w:rPr>
            </w:pPr>
            <w:r>
              <w:rPr>
                <w:rFonts w:ascii="Times New Roman"/>
                <w:b/>
                <w:spacing w:val="-1"/>
                <w:sz w:val="20"/>
              </w:rPr>
              <w:t>2,056,046,703.65</w:t>
            </w:r>
            <w:r>
              <w:rPr>
                <w:rFonts w:ascii="Times New Roman"/>
                <w:spacing w:val="-1"/>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
              <w:jc w:val="right"/>
              <w:rPr>
                <w:rFonts w:ascii="Times New Roman" w:hAnsi="Times New Roman" w:cs="Times New Roman" w:eastAsia="Times New Roman" w:hint="default"/>
                <w:sz w:val="20"/>
                <w:szCs w:val="20"/>
              </w:rPr>
            </w:pPr>
            <w:r>
              <w:rPr>
                <w:rFonts w:ascii="Times New Roman"/>
                <w:b/>
                <w:spacing w:val="-1"/>
                <w:sz w:val="20"/>
              </w:rPr>
              <w:t>4,572,621,841.46</w:t>
            </w:r>
            <w:r>
              <w:rPr>
                <w:rFonts w:ascii="Times New Roman"/>
                <w:spacing w:val="-1"/>
                <w:sz w:val="20"/>
              </w:rPr>
            </w:r>
          </w:p>
        </w:tc>
      </w:tr>
      <w:tr>
        <w:trPr>
          <w:trHeight w:val="307"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w w:val="95"/>
                <w:sz w:val="20"/>
              </w:rPr>
              <w:t>88,404,994.75</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
              <w:jc w:val="right"/>
              <w:rPr>
                <w:rFonts w:ascii="Times New Roman" w:hAnsi="Times New Roman" w:cs="Times New Roman" w:eastAsia="Times New Roman" w:hint="default"/>
                <w:sz w:val="20"/>
                <w:szCs w:val="20"/>
              </w:rPr>
            </w:pPr>
            <w:r>
              <w:rPr>
                <w:rFonts w:ascii="Times New Roman"/>
                <w:w w:val="95"/>
                <w:sz w:val="20"/>
              </w:rPr>
              <w:t>-98,407,994.46</w:t>
            </w:r>
            <w:r>
              <w:rPr>
                <w:rFonts w:ascii="Times New Roman"/>
                <w:sz w:val="20"/>
              </w:rPr>
            </w:r>
          </w:p>
        </w:tc>
      </w:tr>
      <w:tr>
        <w:trPr>
          <w:trHeight w:val="307"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4"/>
              <w:jc w:val="right"/>
              <w:rPr>
                <w:rFonts w:ascii="Times New Roman" w:hAnsi="Times New Roman" w:cs="Times New Roman" w:eastAsia="Times New Roman" w:hint="default"/>
                <w:sz w:val="20"/>
                <w:szCs w:val="20"/>
              </w:rPr>
            </w:pPr>
            <w:r>
              <w:rPr>
                <w:rFonts w:ascii="Times New Roman"/>
                <w:b/>
                <w:w w:val="95"/>
                <w:sz w:val="20"/>
              </w:rPr>
              <w:t>-347,132,467.63</w:t>
            </w:r>
            <w:r>
              <w:rPr>
                <w:rFonts w:ascii="Times New Roman"/>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6"/>
              <w:jc w:val="right"/>
              <w:rPr>
                <w:rFonts w:ascii="Times New Roman" w:hAnsi="Times New Roman" w:cs="Times New Roman" w:eastAsia="Times New Roman" w:hint="default"/>
                <w:sz w:val="20"/>
                <w:szCs w:val="20"/>
              </w:rPr>
            </w:pPr>
            <w:r>
              <w:rPr>
                <w:rFonts w:ascii="Times New Roman"/>
                <w:b/>
                <w:w w:val="95"/>
                <w:sz w:val="20"/>
              </w:rPr>
              <w:t>-1,266,346,361.22</w:t>
            </w:r>
            <w:r>
              <w:rPr>
                <w:rFonts w:ascii="Times New Roman"/>
                <w:sz w:val="20"/>
              </w:rPr>
            </w:r>
          </w:p>
        </w:tc>
      </w:tr>
      <w:tr>
        <w:trPr>
          <w:trHeight w:val="310"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
              <w:jc w:val="right"/>
              <w:rPr>
                <w:rFonts w:ascii="Times New Roman" w:hAnsi="Times New Roman" w:cs="Times New Roman" w:eastAsia="Times New Roman" w:hint="default"/>
                <w:sz w:val="20"/>
                <w:szCs w:val="20"/>
              </w:rPr>
            </w:pPr>
            <w:r>
              <w:rPr>
                <w:rFonts w:ascii="Times New Roman"/>
                <w:spacing w:val="-1"/>
                <w:sz w:val="20"/>
              </w:rPr>
              <w:t>9,518,083,680.48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6"/>
              <w:jc w:val="right"/>
              <w:rPr>
                <w:rFonts w:ascii="Times New Roman" w:hAnsi="Times New Roman" w:cs="Times New Roman" w:eastAsia="Times New Roman" w:hint="default"/>
                <w:sz w:val="20"/>
                <w:szCs w:val="20"/>
              </w:rPr>
            </w:pPr>
            <w:r>
              <w:rPr>
                <w:rFonts w:ascii="Times New Roman"/>
                <w:w w:val="95"/>
                <w:sz w:val="20"/>
              </w:rPr>
              <w:t>10,784,430,041.70</w:t>
            </w:r>
            <w:r>
              <w:rPr>
                <w:rFonts w:ascii="Times New Roman"/>
                <w:sz w:val="20"/>
              </w:rPr>
            </w:r>
          </w:p>
        </w:tc>
      </w:tr>
      <w:tr>
        <w:trPr>
          <w:trHeight w:val="307" w:hRule="exact"/>
        </w:trPr>
        <w:tc>
          <w:tcPr>
            <w:tcW w:w="6131"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677"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6"/>
              <w:jc w:val="right"/>
              <w:rPr>
                <w:rFonts w:ascii="Times New Roman" w:hAnsi="Times New Roman" w:cs="Times New Roman" w:eastAsia="Times New Roman" w:hint="default"/>
                <w:sz w:val="20"/>
                <w:szCs w:val="20"/>
              </w:rPr>
            </w:pPr>
            <w:r>
              <w:rPr>
                <w:rFonts w:ascii="Times New Roman"/>
                <w:b/>
                <w:spacing w:val="-1"/>
                <w:sz w:val="20"/>
              </w:rPr>
              <w:t>9,170,951,212.85</w:t>
            </w:r>
            <w:r>
              <w:rPr>
                <w:rFonts w:ascii="Times New Roman"/>
                <w:spacing w:val="-1"/>
                <w:sz w:val="20"/>
              </w:rPr>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6"/>
              <w:jc w:val="right"/>
              <w:rPr>
                <w:rFonts w:ascii="Times New Roman" w:hAnsi="Times New Roman" w:cs="Times New Roman" w:eastAsia="Times New Roman" w:hint="default"/>
                <w:sz w:val="20"/>
                <w:szCs w:val="20"/>
              </w:rPr>
            </w:pPr>
            <w:r>
              <w:rPr>
                <w:rFonts w:ascii="Times New Roman"/>
                <w:b/>
                <w:spacing w:val="-1"/>
                <w:sz w:val="20"/>
              </w:rPr>
              <w:t>9,518,083,680.48</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0" w:footer="1677" w:top="1360" w:bottom="1860" w:left="760" w:right="760"/>
        </w:sectPr>
      </w:pPr>
    </w:p>
    <w:p>
      <w:pPr>
        <w:spacing w:before="10"/>
        <w:ind w:left="0" w:right="11" w:firstLine="0"/>
        <w:jc w:val="center"/>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sz w:val="21"/>
          <w:szCs w:val="21"/>
        </w:rPr>
      </w:r>
    </w:p>
    <w:p>
      <w:pPr>
        <w:tabs>
          <w:tab w:pos="7031" w:val="left" w:leader="none"/>
        </w:tabs>
        <w:spacing w:before="59"/>
        <w:ind w:left="0" w:right="16"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编制单位：同方股份有限公司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10"/>
        <w:rPr>
          <w:rFonts w:ascii="宋体" w:hAnsi="宋体" w:cs="宋体" w:eastAsia="宋体" w:hint="default"/>
          <w:b/>
          <w:bCs/>
          <w:sz w:val="11"/>
          <w:szCs w:val="11"/>
        </w:rPr>
      </w:pPr>
    </w:p>
    <w:tbl>
      <w:tblPr>
        <w:tblW w:w="0" w:type="auto"/>
        <w:jc w:val="left"/>
        <w:tblInd w:w="100" w:type="dxa"/>
        <w:tblLayout w:type="fixed"/>
        <w:tblCellMar>
          <w:top w:w="0" w:type="dxa"/>
          <w:left w:w="0" w:type="dxa"/>
          <w:bottom w:w="0" w:type="dxa"/>
          <w:right w:w="0" w:type="dxa"/>
        </w:tblCellMar>
        <w:tblLook w:val="01E0"/>
      </w:tblPr>
      <w:tblGrid>
        <w:gridCol w:w="5341"/>
        <w:gridCol w:w="840"/>
        <w:gridCol w:w="2281"/>
        <w:gridCol w:w="2280"/>
      </w:tblGrid>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62"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82"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782"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31"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03"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7"/>
              <w:jc w:val="right"/>
              <w:rPr>
                <w:rFonts w:ascii="Times New Roman" w:hAnsi="Times New Roman" w:cs="Times New Roman" w:eastAsia="Times New Roman" w:hint="default"/>
                <w:sz w:val="20"/>
                <w:szCs w:val="20"/>
              </w:rPr>
            </w:pPr>
            <w:r>
              <w:rPr>
                <w:rFonts w:ascii="Times New Roman"/>
                <w:spacing w:val="-1"/>
                <w:sz w:val="20"/>
              </w:rPr>
              <w:t>4,421,335,891.42</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7"/>
              <w:jc w:val="right"/>
              <w:rPr>
                <w:rFonts w:ascii="Times New Roman" w:hAnsi="Times New Roman" w:cs="Times New Roman" w:eastAsia="Times New Roman" w:hint="default"/>
                <w:sz w:val="20"/>
                <w:szCs w:val="20"/>
              </w:rPr>
            </w:pPr>
            <w:r>
              <w:rPr>
                <w:rFonts w:ascii="Times New Roman"/>
                <w:spacing w:val="-1"/>
                <w:sz w:val="20"/>
              </w:rPr>
              <w:t>3,502,410,349.35</w:t>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03"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20"/>
                <w:szCs w:val="20"/>
              </w:rPr>
            </w:pPr>
            <w:r>
              <w:rPr>
                <w:rFonts w:ascii="Times New Roman"/>
                <w:sz w:val="20"/>
              </w:rPr>
              <w:t>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7"/>
              <w:jc w:val="right"/>
              <w:rPr>
                <w:rFonts w:ascii="Times New Roman" w:hAnsi="Times New Roman" w:cs="Times New Roman" w:eastAsia="Times New Roman" w:hint="default"/>
                <w:sz w:val="20"/>
                <w:szCs w:val="20"/>
              </w:rPr>
            </w:pPr>
            <w:r>
              <w:rPr>
                <w:rFonts w:ascii="Times New Roman"/>
                <w:w w:val="95"/>
                <w:sz w:val="20"/>
              </w:rPr>
              <w:t>221,009,288.95</w:t>
            </w:r>
            <w:r>
              <w:rPr>
                <w:rFonts w:ascii="Times New Roman"/>
                <w:sz w:val="20"/>
              </w:rPr>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03"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7"/>
              <w:jc w:val="right"/>
              <w:rPr>
                <w:rFonts w:ascii="Times New Roman" w:hAnsi="Times New Roman" w:cs="Times New Roman" w:eastAsia="Times New Roman" w:hint="default"/>
                <w:sz w:val="20"/>
                <w:szCs w:val="20"/>
              </w:rPr>
            </w:pPr>
            <w:r>
              <w:rPr>
                <w:rFonts w:ascii="Times New Roman"/>
                <w:w w:val="95"/>
                <w:sz w:val="20"/>
              </w:rPr>
              <w:t>292,022,129.64</w:t>
            </w:r>
            <w:r>
              <w:rPr>
                <w:rFonts w:ascii="Times New Roman"/>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7"/>
              <w:jc w:val="right"/>
              <w:rPr>
                <w:rFonts w:ascii="Times New Roman" w:hAnsi="Times New Roman" w:cs="Times New Roman" w:eastAsia="Times New Roman" w:hint="default"/>
                <w:sz w:val="20"/>
                <w:szCs w:val="20"/>
              </w:rPr>
            </w:pPr>
            <w:r>
              <w:rPr>
                <w:rFonts w:ascii="Times New Roman"/>
                <w:w w:val="95"/>
                <w:sz w:val="20"/>
              </w:rPr>
              <w:t>251,447,020.11</w:t>
            </w:r>
            <w:r>
              <w:rPr>
                <w:rFonts w:ascii="Times New Roman"/>
                <w:sz w:val="20"/>
              </w:rPr>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663"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7"/>
              <w:jc w:val="right"/>
              <w:rPr>
                <w:rFonts w:ascii="Times New Roman" w:hAnsi="Times New Roman" w:cs="Times New Roman" w:eastAsia="Times New Roman" w:hint="default"/>
                <w:sz w:val="20"/>
                <w:szCs w:val="20"/>
              </w:rPr>
            </w:pPr>
            <w:r>
              <w:rPr>
                <w:rFonts w:ascii="Times New Roman"/>
                <w:b/>
                <w:spacing w:val="-1"/>
                <w:sz w:val="20"/>
              </w:rPr>
              <w:t>4,713,358,021.06</w:t>
            </w:r>
            <w:r>
              <w:rPr>
                <w:rFonts w:ascii="Times New Roman"/>
                <w:spacing w:val="-1"/>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7"/>
              <w:jc w:val="right"/>
              <w:rPr>
                <w:rFonts w:ascii="Times New Roman" w:hAnsi="Times New Roman" w:cs="Times New Roman" w:eastAsia="Times New Roman" w:hint="default"/>
                <w:sz w:val="20"/>
                <w:szCs w:val="20"/>
              </w:rPr>
            </w:pPr>
            <w:r>
              <w:rPr>
                <w:rFonts w:ascii="Times New Roman"/>
                <w:b/>
                <w:spacing w:val="-1"/>
                <w:sz w:val="20"/>
              </w:rPr>
              <w:t>3,974,866,658.41</w:t>
            </w:r>
            <w:r>
              <w:rPr>
                <w:rFonts w:ascii="Times New Roman"/>
                <w:spacing w:val="-1"/>
                <w:sz w:val="20"/>
              </w:rPr>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03"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spacing w:val="-1"/>
                <w:sz w:val="20"/>
              </w:rPr>
              <w:t>3,929,903,566.43</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spacing w:val="-1"/>
                <w:sz w:val="20"/>
              </w:rPr>
              <w:t>3,232,034,052.47</w:t>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03"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w w:val="95"/>
                <w:sz w:val="20"/>
              </w:rPr>
              <w:t>275,954,257.10</w:t>
            </w:r>
            <w:r>
              <w:rPr>
                <w:rFonts w:ascii="Times New Roman"/>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w w:val="95"/>
                <w:sz w:val="20"/>
              </w:rPr>
              <w:t>235,880,058.63</w:t>
            </w:r>
            <w:r>
              <w:rPr>
                <w:rFonts w:ascii="Times New Roman"/>
                <w:sz w:val="20"/>
              </w:rPr>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03"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w w:val="95"/>
                <w:sz w:val="20"/>
              </w:rPr>
              <w:t>96,771,932.80</w:t>
            </w:r>
            <w:r>
              <w:rPr>
                <w:rFonts w:ascii="Times New Roman"/>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w w:val="95"/>
                <w:sz w:val="20"/>
              </w:rPr>
              <w:t>84,900,623.46</w:t>
            </w:r>
            <w:r>
              <w:rPr>
                <w:rFonts w:ascii="Times New Roman"/>
                <w:sz w:val="20"/>
              </w:rPr>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03"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w w:val="95"/>
                <w:sz w:val="20"/>
              </w:rPr>
              <w:t>589,764,772.81</w:t>
            </w:r>
            <w:r>
              <w:rPr>
                <w:rFonts w:ascii="Times New Roman"/>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w w:val="95"/>
                <w:sz w:val="20"/>
              </w:rPr>
              <w:t>472,820,939.51</w:t>
            </w:r>
            <w:r>
              <w:rPr>
                <w:rFonts w:ascii="Times New Roman"/>
                <w:sz w:val="20"/>
              </w:rPr>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663"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7"/>
              <w:jc w:val="right"/>
              <w:rPr>
                <w:rFonts w:ascii="Times New Roman" w:hAnsi="Times New Roman" w:cs="Times New Roman" w:eastAsia="Times New Roman" w:hint="default"/>
                <w:sz w:val="20"/>
                <w:szCs w:val="20"/>
              </w:rPr>
            </w:pPr>
            <w:r>
              <w:rPr>
                <w:rFonts w:ascii="Times New Roman"/>
                <w:b/>
                <w:spacing w:val="-1"/>
                <w:sz w:val="20"/>
              </w:rPr>
              <w:t>4,892,394,529.14</w:t>
            </w:r>
            <w:r>
              <w:rPr>
                <w:rFonts w:ascii="Times New Roman"/>
                <w:spacing w:val="-1"/>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7"/>
              <w:jc w:val="right"/>
              <w:rPr>
                <w:rFonts w:ascii="Times New Roman" w:hAnsi="Times New Roman" w:cs="Times New Roman" w:eastAsia="Times New Roman" w:hint="default"/>
                <w:sz w:val="20"/>
                <w:szCs w:val="20"/>
              </w:rPr>
            </w:pPr>
            <w:r>
              <w:rPr>
                <w:rFonts w:ascii="Times New Roman"/>
                <w:b/>
                <w:spacing w:val="-1"/>
                <w:sz w:val="20"/>
              </w:rPr>
              <w:t>4,025,635,674.07</w:t>
            </w:r>
            <w:r>
              <w:rPr>
                <w:rFonts w:ascii="Times New Roman"/>
                <w:spacing w:val="-1"/>
                <w:sz w:val="20"/>
              </w:rPr>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363"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5"/>
              <w:jc w:val="right"/>
              <w:rPr>
                <w:rFonts w:ascii="Times New Roman" w:hAnsi="Times New Roman" w:cs="Times New Roman" w:eastAsia="Times New Roman" w:hint="default"/>
                <w:sz w:val="20"/>
                <w:szCs w:val="20"/>
              </w:rPr>
            </w:pPr>
            <w:r>
              <w:rPr>
                <w:rFonts w:ascii="Times New Roman"/>
                <w:b/>
                <w:w w:val="95"/>
                <w:sz w:val="20"/>
              </w:rPr>
              <w:t>-179,036,508.08</w:t>
            </w:r>
            <w:r>
              <w:rPr>
                <w:rFonts w:ascii="Times New Roman"/>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7"/>
              <w:jc w:val="right"/>
              <w:rPr>
                <w:rFonts w:ascii="Times New Roman" w:hAnsi="Times New Roman" w:cs="Times New Roman" w:eastAsia="Times New Roman" w:hint="default"/>
                <w:sz w:val="20"/>
                <w:szCs w:val="20"/>
              </w:rPr>
            </w:pPr>
            <w:r>
              <w:rPr>
                <w:rFonts w:ascii="Times New Roman"/>
                <w:b/>
                <w:w w:val="95"/>
                <w:sz w:val="20"/>
              </w:rPr>
              <w:t>-50,769,015.66</w:t>
            </w:r>
            <w:r>
              <w:rPr>
                <w:rFonts w:ascii="Times New Roman"/>
                <w:sz w:val="20"/>
              </w:rPr>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03"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w w:val="95"/>
                <w:sz w:val="20"/>
              </w:rPr>
              <w:t>335,695,807.75</w:t>
            </w:r>
            <w:r>
              <w:rPr>
                <w:rFonts w:ascii="Times New Roman"/>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w w:val="95"/>
                <w:sz w:val="20"/>
              </w:rPr>
              <w:t>482,914,031.55</w:t>
            </w:r>
            <w:r>
              <w:rPr>
                <w:rFonts w:ascii="Times New Roman"/>
                <w:sz w:val="20"/>
              </w:rPr>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03"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7"/>
              <w:jc w:val="right"/>
              <w:rPr>
                <w:rFonts w:ascii="Times New Roman" w:hAnsi="Times New Roman" w:cs="Times New Roman" w:eastAsia="Times New Roman" w:hint="default"/>
                <w:sz w:val="20"/>
                <w:szCs w:val="20"/>
              </w:rPr>
            </w:pPr>
            <w:r>
              <w:rPr>
                <w:rFonts w:ascii="Times New Roman"/>
                <w:w w:val="95"/>
                <w:sz w:val="20"/>
              </w:rPr>
              <w:t>70,145,090.00</w:t>
            </w:r>
            <w:r>
              <w:rPr>
                <w:rFonts w:ascii="Times New Roman"/>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7"/>
              <w:jc w:val="right"/>
              <w:rPr>
                <w:rFonts w:ascii="Times New Roman" w:hAnsi="Times New Roman" w:cs="Times New Roman" w:eastAsia="Times New Roman" w:hint="default"/>
                <w:sz w:val="20"/>
                <w:szCs w:val="20"/>
              </w:rPr>
            </w:pPr>
            <w:r>
              <w:rPr>
                <w:rFonts w:ascii="Times New Roman"/>
                <w:w w:val="95"/>
                <w:sz w:val="20"/>
              </w:rPr>
              <w:t>338,378,633.96</w:t>
            </w:r>
            <w:r>
              <w:rPr>
                <w:rFonts w:ascii="Times New Roman"/>
                <w:sz w:val="20"/>
              </w:rPr>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55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Times New Roman" w:hAnsi="Times New Roman" w:cs="Times New Roman" w:eastAsia="Times New Roman" w:hint="default"/>
                <w:sz w:val="20"/>
                <w:szCs w:val="20"/>
              </w:rPr>
            </w:pPr>
            <w:r>
              <w:rPr>
                <w:rFonts w:ascii="Times New Roman"/>
                <w:w w:val="95"/>
                <w:sz w:val="20"/>
              </w:rPr>
              <w:t>4,100,123.26</w:t>
            </w:r>
            <w:r>
              <w:rPr>
                <w:rFonts w:ascii="Times New Roman"/>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6"/>
              <w:jc w:val="right"/>
              <w:rPr>
                <w:rFonts w:ascii="Times New Roman" w:hAnsi="Times New Roman" w:cs="Times New Roman" w:eastAsia="Times New Roman" w:hint="default"/>
                <w:sz w:val="20"/>
                <w:szCs w:val="20"/>
              </w:rPr>
            </w:pPr>
            <w:r>
              <w:rPr>
                <w:rFonts w:ascii="Times New Roman"/>
                <w:w w:val="95"/>
                <w:sz w:val="20"/>
              </w:rPr>
              <w:t>50,000.00</w:t>
            </w:r>
            <w:r>
              <w:rPr>
                <w:rFonts w:ascii="Times New Roman"/>
                <w:sz w:val="20"/>
              </w:rPr>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03"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20"/>
                <w:szCs w:val="20"/>
              </w:rPr>
            </w:pPr>
            <w:r>
              <w:rPr>
                <w:rFonts w:ascii="Times New Roman"/>
                <w:sz w:val="20"/>
              </w:rPr>
              <w:t>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7"/>
              <w:jc w:val="right"/>
              <w:rPr>
                <w:rFonts w:ascii="Times New Roman" w:hAnsi="Times New Roman" w:cs="Times New Roman" w:eastAsia="Times New Roman" w:hint="default"/>
                <w:sz w:val="20"/>
                <w:szCs w:val="20"/>
              </w:rPr>
            </w:pPr>
            <w:r>
              <w:rPr>
                <w:rFonts w:ascii="Times New Roman"/>
                <w:w w:val="95"/>
                <w:sz w:val="20"/>
              </w:rPr>
              <w:t>354,272,579.11</w:t>
            </w:r>
            <w:r>
              <w:rPr>
                <w:rFonts w:ascii="Times New Roman"/>
                <w:sz w:val="20"/>
              </w:rPr>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03"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spacing w:val="-1"/>
                <w:sz w:val="20"/>
              </w:rPr>
              <w:t>1,852,634,659.69</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spacing w:val="-1"/>
                <w:sz w:val="20"/>
              </w:rPr>
              <w:t>2,882,034,689.91</w:t>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663"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7"/>
              <w:jc w:val="right"/>
              <w:rPr>
                <w:rFonts w:ascii="Times New Roman" w:hAnsi="Times New Roman" w:cs="Times New Roman" w:eastAsia="Times New Roman" w:hint="default"/>
                <w:sz w:val="20"/>
                <w:szCs w:val="20"/>
              </w:rPr>
            </w:pPr>
            <w:r>
              <w:rPr>
                <w:rFonts w:ascii="Times New Roman"/>
                <w:b/>
                <w:spacing w:val="-1"/>
                <w:sz w:val="20"/>
              </w:rPr>
              <w:t>2,262,575,680.70</w:t>
            </w:r>
            <w:r>
              <w:rPr>
                <w:rFonts w:ascii="Times New Roman"/>
                <w:spacing w:val="-1"/>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7"/>
              <w:jc w:val="right"/>
              <w:rPr>
                <w:rFonts w:ascii="Times New Roman" w:hAnsi="Times New Roman" w:cs="Times New Roman" w:eastAsia="Times New Roman" w:hint="default"/>
                <w:sz w:val="20"/>
                <w:szCs w:val="20"/>
              </w:rPr>
            </w:pPr>
            <w:r>
              <w:rPr>
                <w:rFonts w:ascii="Times New Roman"/>
                <w:b/>
                <w:spacing w:val="-1"/>
                <w:sz w:val="20"/>
              </w:rPr>
              <w:t>4,057,649,934.53</w:t>
            </w:r>
            <w:r>
              <w:rPr>
                <w:rFonts w:ascii="Times New Roman"/>
                <w:spacing w:val="-1"/>
                <w:sz w:val="20"/>
              </w:rPr>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6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w w:val="95"/>
                <w:sz w:val="20"/>
              </w:rPr>
              <w:t>38,170,143.70</w:t>
            </w:r>
            <w:r>
              <w:rPr>
                <w:rFonts w:ascii="Times New Roman"/>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w w:val="95"/>
                <w:sz w:val="20"/>
              </w:rPr>
              <w:t>61,593,355.74</w:t>
            </w:r>
            <w:r>
              <w:rPr>
                <w:rFonts w:ascii="Times New Roman"/>
                <w:sz w:val="20"/>
              </w:rPr>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03"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w w:val="95"/>
                <w:sz w:val="20"/>
              </w:rPr>
              <w:t>566,598,858.76</w:t>
            </w:r>
            <w:r>
              <w:rPr>
                <w:rFonts w:ascii="Times New Roman"/>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spacing w:val="-1"/>
                <w:sz w:val="20"/>
              </w:rPr>
              <w:t>2,521,570,969.17</w:t>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03"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5"/>
              <w:jc w:val="right"/>
              <w:rPr>
                <w:rFonts w:ascii="Times New Roman" w:hAnsi="Times New Roman" w:cs="Times New Roman" w:eastAsia="Times New Roman" w:hint="default"/>
                <w:sz w:val="20"/>
                <w:szCs w:val="20"/>
              </w:rPr>
            </w:pPr>
            <w:r>
              <w:rPr>
                <w:rFonts w:ascii="Times New Roman"/>
                <w:sz w:val="20"/>
              </w:rPr>
              <w:t>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5"/>
              <w:jc w:val="right"/>
              <w:rPr>
                <w:rFonts w:ascii="Times New Roman" w:hAnsi="Times New Roman" w:cs="Times New Roman" w:eastAsia="Times New Roman" w:hint="default"/>
                <w:sz w:val="20"/>
                <w:szCs w:val="20"/>
              </w:rPr>
            </w:pPr>
            <w:r>
              <w:rPr>
                <w:rFonts w:ascii="Times New Roman"/>
                <w:sz w:val="20"/>
              </w:rPr>
              <w:t>0.00</w:t>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03"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spacing w:val="-1"/>
                <w:sz w:val="20"/>
              </w:rPr>
              <w:t>2,376,000,000.00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spacing w:val="-1"/>
                <w:sz w:val="20"/>
              </w:rPr>
              <w:t>2,671,998,852.70</w:t>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663"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7"/>
              <w:jc w:val="right"/>
              <w:rPr>
                <w:rFonts w:ascii="Times New Roman" w:hAnsi="Times New Roman" w:cs="Times New Roman" w:eastAsia="Times New Roman" w:hint="default"/>
                <w:sz w:val="20"/>
                <w:szCs w:val="20"/>
              </w:rPr>
            </w:pPr>
            <w:r>
              <w:rPr>
                <w:rFonts w:ascii="Times New Roman"/>
                <w:b/>
                <w:spacing w:val="-1"/>
                <w:sz w:val="20"/>
              </w:rPr>
              <w:t>2,980,769,002.46</w:t>
            </w:r>
            <w:r>
              <w:rPr>
                <w:rFonts w:ascii="Times New Roman"/>
                <w:spacing w:val="-1"/>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7"/>
              <w:jc w:val="right"/>
              <w:rPr>
                <w:rFonts w:ascii="Times New Roman" w:hAnsi="Times New Roman" w:cs="Times New Roman" w:eastAsia="Times New Roman" w:hint="default"/>
                <w:sz w:val="20"/>
                <w:szCs w:val="20"/>
              </w:rPr>
            </w:pPr>
            <w:r>
              <w:rPr>
                <w:rFonts w:ascii="Times New Roman"/>
                <w:b/>
                <w:spacing w:val="-1"/>
                <w:sz w:val="20"/>
              </w:rPr>
              <w:t>5,255,163,177.61</w:t>
            </w:r>
            <w:r>
              <w:rPr>
                <w:rFonts w:ascii="Times New Roman"/>
                <w:spacing w:val="-1"/>
                <w:sz w:val="20"/>
              </w:rPr>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363"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5"/>
              <w:jc w:val="right"/>
              <w:rPr>
                <w:rFonts w:ascii="Times New Roman" w:hAnsi="Times New Roman" w:cs="Times New Roman" w:eastAsia="Times New Roman" w:hint="default"/>
                <w:sz w:val="20"/>
                <w:szCs w:val="20"/>
              </w:rPr>
            </w:pPr>
            <w:r>
              <w:rPr>
                <w:rFonts w:ascii="Times New Roman"/>
                <w:b/>
                <w:w w:val="95"/>
                <w:sz w:val="20"/>
              </w:rPr>
              <w:t>-718,193,321.76</w:t>
            </w:r>
            <w:r>
              <w:rPr>
                <w:rFonts w:ascii="Times New Roman"/>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7"/>
              <w:jc w:val="right"/>
              <w:rPr>
                <w:rFonts w:ascii="Times New Roman" w:hAnsi="Times New Roman" w:cs="Times New Roman" w:eastAsia="Times New Roman" w:hint="default"/>
                <w:sz w:val="20"/>
                <w:szCs w:val="20"/>
              </w:rPr>
            </w:pPr>
            <w:r>
              <w:rPr>
                <w:rFonts w:ascii="Times New Roman"/>
                <w:b/>
                <w:w w:val="95"/>
                <w:sz w:val="20"/>
              </w:rPr>
              <w:t>-1,197,513,243.08</w:t>
            </w:r>
            <w:r>
              <w:rPr>
                <w:rFonts w:ascii="Times New Roman"/>
                <w:sz w:val="20"/>
              </w:rPr>
            </w:r>
          </w:p>
        </w:tc>
      </w:tr>
      <w:tr>
        <w:trPr>
          <w:trHeight w:val="331"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03"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20"/>
                <w:szCs w:val="20"/>
              </w:rPr>
            </w:pPr>
            <w:r>
              <w:rPr>
                <w:rFonts w:ascii="Times New Roman"/>
                <w:sz w:val="20"/>
              </w:rPr>
              <w:t>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20"/>
                <w:szCs w:val="20"/>
              </w:rPr>
            </w:pPr>
            <w:r>
              <w:rPr>
                <w:rFonts w:ascii="Times New Roman"/>
                <w:sz w:val="20"/>
              </w:rPr>
              <w:t>0.00</w:t>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03"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7"/>
              <w:jc w:val="right"/>
              <w:rPr>
                <w:rFonts w:ascii="Times New Roman" w:hAnsi="Times New Roman" w:cs="Times New Roman" w:eastAsia="Times New Roman" w:hint="default"/>
                <w:sz w:val="20"/>
                <w:szCs w:val="20"/>
              </w:rPr>
            </w:pPr>
            <w:r>
              <w:rPr>
                <w:rFonts w:ascii="Times New Roman"/>
                <w:w w:val="95"/>
                <w:sz w:val="20"/>
              </w:rPr>
              <w:t>15,765,000,000.00</w:t>
            </w:r>
            <w:r>
              <w:rPr>
                <w:rFonts w:ascii="Times New Roman"/>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7"/>
              <w:jc w:val="right"/>
              <w:rPr>
                <w:rFonts w:ascii="Times New Roman" w:hAnsi="Times New Roman" w:cs="Times New Roman" w:eastAsia="Times New Roman" w:hint="default"/>
                <w:sz w:val="20"/>
                <w:szCs w:val="20"/>
              </w:rPr>
            </w:pPr>
            <w:r>
              <w:rPr>
                <w:rFonts w:ascii="Times New Roman"/>
                <w:w w:val="95"/>
                <w:sz w:val="20"/>
              </w:rPr>
              <w:t>12,400,000,000.00</w:t>
            </w:r>
            <w:r>
              <w:rPr>
                <w:rFonts w:ascii="Times New Roman"/>
                <w:sz w:val="20"/>
              </w:rPr>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03"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7"/>
              <w:jc w:val="right"/>
              <w:rPr>
                <w:rFonts w:ascii="Times New Roman" w:hAnsi="Times New Roman" w:cs="Times New Roman" w:eastAsia="Times New Roman" w:hint="default"/>
                <w:sz w:val="20"/>
                <w:szCs w:val="20"/>
              </w:rPr>
            </w:pPr>
            <w:r>
              <w:rPr>
                <w:rFonts w:ascii="Times New Roman"/>
                <w:w w:val="95"/>
                <w:sz w:val="20"/>
              </w:rPr>
              <w:t>210,000,000.00</w:t>
            </w:r>
            <w:r>
              <w:rPr>
                <w:rFonts w:ascii="Times New Roman"/>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7"/>
              <w:jc w:val="right"/>
              <w:rPr>
                <w:rFonts w:ascii="Times New Roman" w:hAnsi="Times New Roman" w:cs="Times New Roman" w:eastAsia="Times New Roman" w:hint="default"/>
                <w:sz w:val="20"/>
                <w:szCs w:val="20"/>
              </w:rPr>
            </w:pPr>
            <w:r>
              <w:rPr>
                <w:rFonts w:ascii="Times New Roman"/>
                <w:w w:val="95"/>
                <w:sz w:val="20"/>
              </w:rPr>
              <w:t>88,792,796.03</w:t>
            </w:r>
            <w:r>
              <w:rPr>
                <w:rFonts w:ascii="Times New Roman"/>
                <w:sz w:val="20"/>
              </w:rPr>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663"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7"/>
              <w:jc w:val="right"/>
              <w:rPr>
                <w:rFonts w:ascii="Times New Roman" w:hAnsi="Times New Roman" w:cs="Times New Roman" w:eastAsia="Times New Roman" w:hint="default"/>
                <w:sz w:val="20"/>
                <w:szCs w:val="20"/>
              </w:rPr>
            </w:pPr>
            <w:r>
              <w:rPr>
                <w:rFonts w:ascii="Times New Roman"/>
                <w:b/>
                <w:w w:val="95"/>
                <w:sz w:val="20"/>
              </w:rPr>
              <w:t>15,975,000,000.00</w:t>
            </w:r>
            <w:r>
              <w:rPr>
                <w:rFonts w:ascii="Times New Roman"/>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7"/>
              <w:jc w:val="right"/>
              <w:rPr>
                <w:rFonts w:ascii="Times New Roman" w:hAnsi="Times New Roman" w:cs="Times New Roman" w:eastAsia="Times New Roman" w:hint="default"/>
                <w:sz w:val="20"/>
                <w:szCs w:val="20"/>
              </w:rPr>
            </w:pPr>
            <w:r>
              <w:rPr>
                <w:rFonts w:ascii="Times New Roman"/>
                <w:b/>
                <w:w w:val="95"/>
                <w:sz w:val="20"/>
              </w:rPr>
              <w:t>12,488,792,796.03</w:t>
            </w:r>
            <w:r>
              <w:rPr>
                <w:rFonts w:ascii="Times New Roman"/>
                <w:sz w:val="20"/>
              </w:rPr>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03"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w w:val="95"/>
                <w:sz w:val="20"/>
              </w:rPr>
              <w:t>14,370,000,000.00</w:t>
            </w:r>
            <w:r>
              <w:rPr>
                <w:rFonts w:ascii="Times New Roman"/>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w w:val="95"/>
                <w:sz w:val="20"/>
              </w:rPr>
              <w:t>10,950,000,000.00</w:t>
            </w:r>
            <w:r>
              <w:rPr>
                <w:rFonts w:ascii="Times New Roman"/>
                <w:sz w:val="20"/>
              </w:rPr>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03"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w w:val="95"/>
                <w:sz w:val="20"/>
              </w:rPr>
              <w:t>750,308,561.65</w:t>
            </w:r>
            <w:r>
              <w:rPr>
                <w:rFonts w:ascii="Times New Roman"/>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spacing w:val="-1"/>
                <w:sz w:val="20"/>
              </w:rPr>
              <w:t>1,250,152,532.49</w:t>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03"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w w:val="95"/>
                <w:sz w:val="20"/>
              </w:rPr>
              <w:t>681,728,199.73</w:t>
            </w:r>
            <w:r>
              <w:rPr>
                <w:rFonts w:ascii="Times New Roman"/>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w w:val="95"/>
                <w:sz w:val="20"/>
              </w:rPr>
              <w:t>21,699,847.34</w:t>
            </w:r>
            <w:r>
              <w:rPr>
                <w:rFonts w:ascii="Times New Roman"/>
                <w:sz w:val="20"/>
              </w:rPr>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663"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7"/>
              <w:jc w:val="right"/>
              <w:rPr>
                <w:rFonts w:ascii="Times New Roman" w:hAnsi="Times New Roman" w:cs="Times New Roman" w:eastAsia="Times New Roman" w:hint="default"/>
                <w:sz w:val="20"/>
                <w:szCs w:val="20"/>
              </w:rPr>
            </w:pPr>
            <w:r>
              <w:rPr>
                <w:rFonts w:ascii="Times New Roman"/>
                <w:b/>
                <w:w w:val="95"/>
                <w:sz w:val="20"/>
              </w:rPr>
              <w:t>15,802,036,761.38</w:t>
            </w:r>
            <w:r>
              <w:rPr>
                <w:rFonts w:ascii="Times New Roman"/>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7"/>
              <w:jc w:val="right"/>
              <w:rPr>
                <w:rFonts w:ascii="Times New Roman" w:hAnsi="Times New Roman" w:cs="Times New Roman" w:eastAsia="Times New Roman" w:hint="default"/>
                <w:sz w:val="20"/>
                <w:szCs w:val="20"/>
              </w:rPr>
            </w:pPr>
            <w:r>
              <w:rPr>
                <w:rFonts w:ascii="Times New Roman"/>
                <w:b/>
                <w:w w:val="95"/>
                <w:sz w:val="20"/>
              </w:rPr>
              <w:t>12,221,852,379.83</w:t>
            </w:r>
            <w:r>
              <w:rPr>
                <w:rFonts w:ascii="Times New Roman"/>
                <w:sz w:val="20"/>
              </w:rPr>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363"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7"/>
              <w:jc w:val="right"/>
              <w:rPr>
                <w:rFonts w:ascii="Times New Roman" w:hAnsi="Times New Roman" w:cs="Times New Roman" w:eastAsia="Times New Roman" w:hint="default"/>
                <w:sz w:val="20"/>
                <w:szCs w:val="20"/>
              </w:rPr>
            </w:pPr>
            <w:r>
              <w:rPr>
                <w:rFonts w:ascii="Times New Roman"/>
                <w:b/>
                <w:w w:val="95"/>
                <w:sz w:val="20"/>
              </w:rPr>
              <w:t>172,963,238.62</w:t>
            </w:r>
            <w:r>
              <w:rPr>
                <w:rFonts w:ascii="Times New Roman"/>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7"/>
              <w:jc w:val="right"/>
              <w:rPr>
                <w:rFonts w:ascii="Times New Roman" w:hAnsi="Times New Roman" w:cs="Times New Roman" w:eastAsia="Times New Roman" w:hint="default"/>
                <w:sz w:val="20"/>
                <w:szCs w:val="20"/>
              </w:rPr>
            </w:pPr>
            <w:r>
              <w:rPr>
                <w:rFonts w:ascii="Times New Roman"/>
                <w:b/>
                <w:w w:val="95"/>
                <w:sz w:val="20"/>
              </w:rPr>
              <w:t>266,940,416.20</w:t>
            </w:r>
            <w:r>
              <w:rPr>
                <w:rFonts w:ascii="Times New Roman"/>
                <w:sz w:val="20"/>
              </w:rPr>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5"/>
                <w:sz w:val="20"/>
              </w:rPr>
              <w:t>1,637,608.13</w:t>
            </w:r>
            <w:r>
              <w:rPr>
                <w:rFonts w:ascii="Times New Roman"/>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w w:val="95"/>
                <w:sz w:val="20"/>
              </w:rPr>
              <w:t>-1,301,051.77</w:t>
            </w:r>
            <w:r>
              <w:rPr>
                <w:rFonts w:ascii="Times New Roman"/>
                <w:sz w:val="20"/>
              </w:rPr>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5"/>
              <w:jc w:val="right"/>
              <w:rPr>
                <w:rFonts w:ascii="Times New Roman" w:hAnsi="Times New Roman" w:cs="Times New Roman" w:eastAsia="Times New Roman" w:hint="default"/>
                <w:sz w:val="20"/>
                <w:szCs w:val="20"/>
              </w:rPr>
            </w:pPr>
            <w:r>
              <w:rPr>
                <w:rFonts w:ascii="Times New Roman"/>
                <w:b/>
                <w:w w:val="95"/>
                <w:sz w:val="20"/>
              </w:rPr>
              <w:t>-722,628,983.09</w:t>
            </w:r>
            <w:r>
              <w:rPr>
                <w:rFonts w:ascii="Times New Roman"/>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4"/>
              <w:jc w:val="right"/>
              <w:rPr>
                <w:rFonts w:ascii="Times New Roman" w:hAnsi="Times New Roman" w:cs="Times New Roman" w:eastAsia="Times New Roman" w:hint="default"/>
                <w:sz w:val="20"/>
                <w:szCs w:val="20"/>
              </w:rPr>
            </w:pPr>
            <w:r>
              <w:rPr>
                <w:rFonts w:ascii="Times New Roman"/>
                <w:b/>
                <w:w w:val="95"/>
                <w:sz w:val="20"/>
              </w:rPr>
              <w:t>-982,642,894.31</w:t>
            </w:r>
            <w:r>
              <w:rPr>
                <w:rFonts w:ascii="Times New Roman"/>
                <w:sz w:val="20"/>
              </w:rPr>
            </w:r>
          </w:p>
        </w:tc>
      </w:tr>
      <w:tr>
        <w:trPr>
          <w:trHeight w:val="331"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spacing w:val="-1"/>
                <w:sz w:val="20"/>
              </w:rPr>
              <w:t>1,897,075,242.52</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7"/>
              <w:jc w:val="right"/>
              <w:rPr>
                <w:rFonts w:ascii="Times New Roman" w:hAnsi="Times New Roman" w:cs="Times New Roman" w:eastAsia="Times New Roman" w:hint="default"/>
                <w:sz w:val="20"/>
                <w:szCs w:val="20"/>
              </w:rPr>
            </w:pPr>
            <w:r>
              <w:rPr>
                <w:rFonts w:ascii="Times New Roman"/>
                <w:spacing w:val="-1"/>
                <w:sz w:val="20"/>
              </w:rPr>
              <w:t>2,879,718,136.83</w:t>
            </w:r>
          </w:p>
        </w:tc>
      </w:tr>
      <w:tr>
        <w:trPr>
          <w:trHeight w:val="329" w:hRule="exact"/>
        </w:trPr>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0"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84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7"/>
              <w:jc w:val="right"/>
              <w:rPr>
                <w:rFonts w:ascii="Times New Roman" w:hAnsi="Times New Roman" w:cs="Times New Roman" w:eastAsia="Times New Roman" w:hint="default"/>
                <w:sz w:val="20"/>
                <w:szCs w:val="20"/>
              </w:rPr>
            </w:pPr>
            <w:r>
              <w:rPr>
                <w:rFonts w:ascii="Times New Roman"/>
                <w:b/>
                <w:spacing w:val="-1"/>
                <w:sz w:val="20"/>
              </w:rPr>
              <w:t>1,174,446,259.43</w:t>
            </w:r>
            <w:r>
              <w:rPr>
                <w:rFonts w:ascii="Times New Roman"/>
                <w:spacing w:val="-1"/>
                <w:sz w:val="20"/>
              </w:rPr>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7"/>
              <w:jc w:val="right"/>
              <w:rPr>
                <w:rFonts w:ascii="Times New Roman" w:hAnsi="Times New Roman" w:cs="Times New Roman" w:eastAsia="Times New Roman" w:hint="default"/>
                <w:sz w:val="20"/>
                <w:szCs w:val="20"/>
              </w:rPr>
            </w:pPr>
            <w:r>
              <w:rPr>
                <w:rFonts w:ascii="Times New Roman"/>
                <w:b/>
                <w:spacing w:val="-1"/>
                <w:sz w:val="20"/>
              </w:rPr>
              <w:t>1,897,075,242.52</w:t>
            </w:r>
            <w:r>
              <w:rPr>
                <w:rFonts w:ascii="Times New Roman"/>
                <w:spacing w:val="-1"/>
                <w:sz w:val="20"/>
              </w:rPr>
            </w:r>
          </w:p>
        </w:tc>
      </w:tr>
    </w:tbl>
    <w:p>
      <w:pPr>
        <w:tabs>
          <w:tab w:pos="4532" w:val="left" w:leader="none"/>
          <w:tab w:pos="7261" w:val="left" w:leader="none"/>
        </w:tabs>
        <w:spacing w:line="241" w:lineRule="exact" w:before="0"/>
        <w:ind w:left="138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法定代表人：周立业</w:t>
        <w:tab/>
      </w:r>
      <w:r>
        <w:rPr>
          <w:rFonts w:ascii="宋体" w:hAnsi="宋体" w:cs="宋体" w:eastAsia="宋体" w:hint="default"/>
          <w:spacing w:val="-2"/>
          <w:sz w:val="21"/>
          <w:szCs w:val="21"/>
        </w:rPr>
        <w:t>财务负责人：周海英</w:t>
        <w:tab/>
        <w:t>会计机构负责人：周海英</w:t>
      </w:r>
    </w:p>
    <w:p>
      <w:pPr>
        <w:spacing w:after="0" w:line="241" w:lineRule="exact"/>
        <w:jc w:val="left"/>
        <w:rPr>
          <w:rFonts w:ascii="宋体" w:hAnsi="宋体" w:cs="宋体" w:eastAsia="宋体" w:hint="default"/>
          <w:sz w:val="21"/>
          <w:szCs w:val="21"/>
        </w:rPr>
        <w:sectPr>
          <w:footerReference w:type="default" r:id="rId27"/>
          <w:pgSz w:w="11910" w:h="16840"/>
          <w:pgMar w:footer="1054" w:header="0" w:top="1360" w:bottom="1240" w:left="480" w:right="4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line="272" w:lineRule="exact" w:before="64"/>
        <w:ind w:left="7147" w:right="7163" w:firstLine="0"/>
        <w:jc w:val="center"/>
        <w:rPr>
          <w:rFonts w:ascii="宋体" w:hAnsi="宋体" w:cs="宋体" w:eastAsia="宋体" w:hint="default"/>
          <w:sz w:val="21"/>
          <w:szCs w:val="21"/>
        </w:rPr>
      </w:pPr>
      <w:r>
        <w:rPr>
          <w:rFonts w:ascii="宋体" w:hAnsi="宋体" w:cs="宋体" w:eastAsia="宋体" w:hint="default"/>
          <w:b/>
          <w:bCs/>
          <w:sz w:val="21"/>
          <w:szCs w:val="21"/>
        </w:rPr>
        <w:t>合并股东权益变动表</w:t>
      </w:r>
      <w:r>
        <w:rPr>
          <w:rFonts w:ascii="宋体" w:hAnsi="宋体" w:cs="宋体" w:eastAsia="宋体" w:hint="default"/>
          <w:b/>
          <w:bCs/>
          <w:w w:val="100"/>
          <w:sz w:val="21"/>
          <w:szCs w:val="21"/>
        </w:rPr>
        <w:t> </w:t>
      </w: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tabs>
          <w:tab w:pos="12553" w:val="left" w:leader="none"/>
        </w:tabs>
        <w:spacing w:before="36"/>
        <w:ind w:left="0" w:right="19"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编制单位：同方股份有限公司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11"/>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3956"/>
        <w:gridCol w:w="1527"/>
        <w:gridCol w:w="1529"/>
        <w:gridCol w:w="850"/>
        <w:gridCol w:w="1716"/>
        <w:gridCol w:w="1572"/>
        <w:gridCol w:w="1676"/>
        <w:gridCol w:w="1526"/>
        <w:gridCol w:w="1620"/>
      </w:tblGrid>
      <w:tr>
        <w:trPr>
          <w:trHeight w:val="242" w:hRule="exact"/>
        </w:trPr>
        <w:tc>
          <w:tcPr>
            <w:tcW w:w="395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tabs>
                <w:tab w:pos="453"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88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5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629" w:hRule="exact"/>
        </w:trPr>
        <w:tc>
          <w:tcPr>
            <w:tcW w:w="3956" w:type="dxa"/>
            <w:vMerge/>
            <w:tcBorders>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95"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1"/>
              <w:ind w:left="326" w:right="103" w:hanging="226"/>
              <w:jc w:val="left"/>
              <w:rPr>
                <w:rFonts w:ascii="宋体" w:hAnsi="宋体" w:cs="宋体" w:eastAsia="宋体" w:hint="default"/>
                <w:sz w:val="18"/>
                <w:szCs w:val="18"/>
              </w:rPr>
            </w:pPr>
            <w:r>
              <w:rPr>
                <w:rFonts w:ascii="宋体" w:hAnsi="宋体" w:cs="宋体" w:eastAsia="宋体" w:hint="default"/>
                <w:b/>
                <w:bCs/>
                <w:spacing w:val="-22"/>
                <w:w w:val="99"/>
                <w:sz w:val="18"/>
                <w:szCs w:val="18"/>
              </w:rPr>
              <w:t>减：库存</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09" w:right="0"/>
              <w:jc w:val="left"/>
              <w:rPr>
                <w:rFonts w:ascii="宋体" w:hAnsi="宋体" w:cs="宋体" w:eastAsia="宋体" w:hint="default"/>
                <w:sz w:val="18"/>
                <w:szCs w:val="18"/>
              </w:rPr>
            </w:pPr>
            <w:r>
              <w:rPr>
                <w:rFonts w:ascii="宋体" w:hAnsi="宋体" w:cs="宋体" w:eastAsia="宋体" w:hint="default"/>
                <w:b/>
                <w:bCs/>
                <w:sz w:val="18"/>
                <w:szCs w:val="18"/>
              </w:rPr>
              <w:t>其他综合收益</w:t>
            </w:r>
            <w:r>
              <w:rPr>
                <w:rFonts w:ascii="宋体" w:hAnsi="宋体" w:cs="宋体" w:eastAsia="宋体" w:hint="default"/>
                <w:sz w:val="18"/>
                <w:szCs w:val="18"/>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419"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381"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526"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r>
      <w:tr>
        <w:trPr>
          <w:trHeight w:val="267"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18"/>
                <w:szCs w:val="18"/>
              </w:rPr>
            </w:pPr>
            <w:r>
              <w:rPr>
                <w:rFonts w:ascii="Times New Roman"/>
                <w:b/>
                <w:spacing w:val="-1"/>
                <w:sz w:val="18"/>
              </w:rPr>
              <w:t>2,963,898,951.00</w:t>
            </w:r>
            <w:r>
              <w:rPr>
                <w:rFonts w:ascii="Times New Roman"/>
                <w:spacing w:val="-1"/>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6"/>
              <w:jc w:val="right"/>
              <w:rPr>
                <w:rFonts w:ascii="Times New Roman" w:hAnsi="Times New Roman" w:cs="Times New Roman" w:eastAsia="Times New Roman" w:hint="default"/>
                <w:sz w:val="18"/>
                <w:szCs w:val="18"/>
              </w:rPr>
            </w:pPr>
            <w:r>
              <w:rPr>
                <w:rFonts w:ascii="Times New Roman"/>
                <w:b/>
                <w:spacing w:val="-1"/>
                <w:sz w:val="18"/>
              </w:rPr>
              <w:t>9,189,770,088.90</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542,247,786.99</w:t>
            </w:r>
            <w:r>
              <w:rPr>
                <w:rFonts w:ascii="Times New Roman"/>
                <w:spacing w:val="-1"/>
                <w:sz w:val="18"/>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b/>
                <w:spacing w:val="-1"/>
                <w:sz w:val="18"/>
              </w:rPr>
              <w:t>1,324,875,027.33</w:t>
            </w:r>
            <w:r>
              <w:rPr>
                <w:rFonts w:ascii="Times New Roman"/>
                <w:spacing w:val="-1"/>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18"/>
                <w:szCs w:val="18"/>
              </w:rPr>
            </w:pPr>
            <w:r>
              <w:rPr>
                <w:rFonts w:ascii="Times New Roman"/>
                <w:b/>
                <w:spacing w:val="-1"/>
                <w:sz w:val="18"/>
              </w:rPr>
              <w:t>7,249,758,750.78</w:t>
            </w:r>
            <w:r>
              <w:rPr>
                <w:rFonts w:ascii="Times New Roman"/>
                <w:spacing w:val="-1"/>
                <w:sz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b/>
                <w:spacing w:val="-1"/>
                <w:sz w:val="18"/>
              </w:rPr>
              <w:t>3,496,688,138.96</w:t>
            </w:r>
            <w:r>
              <w:rPr>
                <w:rFonts w:ascii="Times New Roman"/>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24,767,238,743.96</w:t>
            </w:r>
            <w:r>
              <w:rPr>
                <w:rFonts w:ascii="Times New Roman"/>
                <w:spacing w:val="-1"/>
                <w:sz w:val="18"/>
              </w:rPr>
            </w:r>
          </w:p>
        </w:tc>
      </w:tr>
      <w:tr>
        <w:trPr>
          <w:trHeight w:val="26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82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825"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8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18"/>
                <w:szCs w:val="18"/>
              </w:rPr>
            </w:pPr>
            <w:r>
              <w:rPr>
                <w:rFonts w:ascii="Times New Roman"/>
                <w:b/>
                <w:spacing w:val="-1"/>
                <w:sz w:val="18"/>
              </w:rPr>
              <w:t>2,963,898,951.00</w:t>
            </w:r>
            <w:r>
              <w:rPr>
                <w:rFonts w:ascii="Times New Roman"/>
                <w:spacing w:val="-1"/>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6"/>
              <w:jc w:val="right"/>
              <w:rPr>
                <w:rFonts w:ascii="Times New Roman" w:hAnsi="Times New Roman" w:cs="Times New Roman" w:eastAsia="Times New Roman" w:hint="default"/>
                <w:sz w:val="18"/>
                <w:szCs w:val="18"/>
              </w:rPr>
            </w:pPr>
            <w:r>
              <w:rPr>
                <w:rFonts w:ascii="Times New Roman"/>
                <w:b/>
                <w:spacing w:val="-1"/>
                <w:sz w:val="18"/>
              </w:rPr>
              <w:t>9,189,770,088.90</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542,247,786.99</w:t>
            </w:r>
            <w:r>
              <w:rPr>
                <w:rFonts w:ascii="Times New Roman"/>
                <w:spacing w:val="-1"/>
                <w:sz w:val="18"/>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b/>
                <w:spacing w:val="-1"/>
                <w:sz w:val="18"/>
              </w:rPr>
              <w:t>1,324,875,027.33</w:t>
            </w:r>
            <w:r>
              <w:rPr>
                <w:rFonts w:ascii="Times New Roman"/>
                <w:spacing w:val="-1"/>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18"/>
                <w:szCs w:val="18"/>
              </w:rPr>
            </w:pPr>
            <w:r>
              <w:rPr>
                <w:rFonts w:ascii="Times New Roman"/>
                <w:b/>
                <w:spacing w:val="-1"/>
                <w:sz w:val="18"/>
              </w:rPr>
              <w:t>7,249,758,750.78</w:t>
            </w:r>
            <w:r>
              <w:rPr>
                <w:rFonts w:ascii="Times New Roman"/>
                <w:spacing w:val="-1"/>
                <w:sz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b/>
                <w:spacing w:val="-1"/>
                <w:sz w:val="18"/>
              </w:rPr>
              <w:t>3,496,688,138.96</w:t>
            </w:r>
            <w:r>
              <w:rPr>
                <w:rFonts w:ascii="Times New Roman"/>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24,767,238,743.96</w:t>
            </w:r>
            <w:r>
              <w:rPr>
                <w:rFonts w:ascii="Times New Roman"/>
                <w:spacing w:val="-1"/>
                <w:sz w:val="18"/>
              </w:rPr>
            </w:r>
          </w:p>
        </w:tc>
      </w:tr>
      <w:tr>
        <w:trPr>
          <w:trHeight w:val="26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宋体" w:hAnsi="宋体" w:cs="宋体" w:eastAsia="宋体"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6"/>
              <w:jc w:val="right"/>
              <w:rPr>
                <w:rFonts w:ascii="Times New Roman" w:hAnsi="Times New Roman" w:cs="Times New Roman" w:eastAsia="Times New Roman" w:hint="default"/>
                <w:sz w:val="18"/>
                <w:szCs w:val="18"/>
              </w:rPr>
            </w:pPr>
            <w:r>
              <w:rPr>
                <w:rFonts w:ascii="Times New Roman"/>
                <w:b/>
                <w:spacing w:val="-1"/>
                <w:sz w:val="18"/>
              </w:rPr>
              <w:t>85,919,016.66</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18"/>
                <w:szCs w:val="18"/>
              </w:rPr>
            </w:pPr>
            <w:r>
              <w:rPr>
                <w:rFonts w:ascii="Times New Roman"/>
                <w:b/>
                <w:spacing w:val="-1"/>
                <w:sz w:val="18"/>
              </w:rPr>
              <w:t>-1,440,842,818.70</w:t>
            </w:r>
            <w:r>
              <w:rPr>
                <w:rFonts w:ascii="Times New Roman"/>
                <w:spacing w:val="-1"/>
                <w:sz w:val="18"/>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18"/>
                <w:szCs w:val="18"/>
              </w:rPr>
            </w:pPr>
            <w:r>
              <w:rPr>
                <w:rFonts w:ascii="Times New Roman"/>
                <w:b/>
                <w:spacing w:val="-1"/>
                <w:sz w:val="18"/>
              </w:rPr>
              <w:t>-3,924,235,427.71</w:t>
            </w:r>
            <w:r>
              <w:rPr>
                <w:rFonts w:ascii="Times New Roman"/>
                <w:spacing w:val="-1"/>
                <w:sz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405,402,924.08</w:t>
            </w:r>
            <w:r>
              <w:rPr>
                <w:rFonts w:ascii="Times New Roman"/>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18"/>
                <w:szCs w:val="18"/>
              </w:rPr>
            </w:pPr>
            <w:r>
              <w:rPr>
                <w:rFonts w:ascii="Times New Roman"/>
                <w:b/>
                <w:spacing w:val="-1"/>
                <w:sz w:val="18"/>
              </w:rPr>
              <w:t>-4,873,756,305.67</w:t>
            </w:r>
            <w:r>
              <w:rPr>
                <w:rFonts w:ascii="Times New Roman"/>
                <w:spacing w:val="-1"/>
                <w:sz w:val="18"/>
              </w:rPr>
            </w:r>
          </w:p>
        </w:tc>
      </w:tr>
      <w:tr>
        <w:trPr>
          <w:trHeight w:val="26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18"/>
                <w:szCs w:val="18"/>
              </w:rPr>
            </w:pPr>
            <w:r>
              <w:rPr>
                <w:rFonts w:ascii="Times New Roman"/>
                <w:b/>
                <w:spacing w:val="-1"/>
                <w:sz w:val="18"/>
              </w:rPr>
              <w:t>-1,440,842,818.70</w:t>
            </w:r>
            <w:r>
              <w:rPr>
                <w:rFonts w:ascii="Times New Roman"/>
                <w:spacing w:val="-1"/>
                <w:sz w:val="18"/>
              </w:rPr>
            </w:r>
          </w:p>
        </w:tc>
        <w:tc>
          <w:tcPr>
            <w:tcW w:w="1572"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18"/>
                <w:szCs w:val="18"/>
              </w:rPr>
            </w:pPr>
            <w:r>
              <w:rPr>
                <w:rFonts w:ascii="Times New Roman"/>
                <w:b/>
                <w:spacing w:val="-1"/>
                <w:sz w:val="18"/>
              </w:rPr>
              <w:t>-3,879,776,932.07</w:t>
            </w:r>
            <w:r>
              <w:rPr>
                <w:rFonts w:ascii="Times New Roman"/>
                <w:spacing w:val="-1"/>
                <w:sz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433,598,087.23</w:t>
            </w:r>
            <w:r>
              <w:rPr>
                <w:rFonts w:ascii="Times New Roman"/>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18"/>
                <w:szCs w:val="18"/>
              </w:rPr>
            </w:pPr>
            <w:r>
              <w:rPr>
                <w:rFonts w:ascii="Times New Roman"/>
                <w:b/>
                <w:spacing w:val="-1"/>
                <w:sz w:val="18"/>
              </w:rPr>
              <w:t>-4,887,021,663.54</w:t>
            </w:r>
            <w:r>
              <w:rPr>
                <w:rFonts w:ascii="Times New Roman"/>
                <w:spacing w:val="-1"/>
                <w:sz w:val="18"/>
              </w:rPr>
            </w:r>
          </w:p>
        </w:tc>
      </w:tr>
      <w:tr>
        <w:trPr>
          <w:trHeight w:val="264"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（二）所有者投入和减少股本</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6"/>
              <w:jc w:val="right"/>
              <w:rPr>
                <w:rFonts w:ascii="Times New Roman" w:hAnsi="Times New Roman" w:cs="Times New Roman" w:eastAsia="Times New Roman" w:hint="default"/>
                <w:sz w:val="18"/>
                <w:szCs w:val="18"/>
              </w:rPr>
            </w:pPr>
            <w:r>
              <w:rPr>
                <w:rFonts w:ascii="Times New Roman"/>
                <w:b/>
                <w:spacing w:val="-1"/>
                <w:sz w:val="18"/>
              </w:rPr>
              <w:t>13,011,515.88</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b/>
                <w:spacing w:val="-1"/>
                <w:sz w:val="18"/>
              </w:rPr>
              <w:t>25,827,207.02</w:t>
            </w:r>
            <w:r>
              <w:rPr>
                <w:rFonts w:ascii="Times New Roman"/>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b/>
                <w:spacing w:val="-1"/>
                <w:sz w:val="18"/>
              </w:rPr>
              <w:t>38,838,722.90</w:t>
            </w:r>
            <w:r>
              <w:rPr>
                <w:rFonts w:ascii="Times New Roman"/>
                <w:spacing w:val="-1"/>
                <w:sz w:val="18"/>
              </w:rPr>
            </w:r>
          </w:p>
        </w:tc>
      </w:tr>
      <w:tr>
        <w:trPr>
          <w:trHeight w:val="267"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股东投入股本</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18"/>
                <w:szCs w:val="18"/>
              </w:rPr>
            </w:pPr>
            <w:r>
              <w:rPr>
                <w:rFonts w:ascii="Times New Roman"/>
                <w:spacing w:val="-1"/>
                <w:sz w:val="18"/>
              </w:rPr>
              <w:t>50,978,497.87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50,978,497.87</w:t>
            </w:r>
            <w:r>
              <w:rPr>
                <w:rFonts w:ascii="Times New Roman"/>
                <w:spacing w:val="-1"/>
                <w:sz w:val="18"/>
              </w:rPr>
            </w:r>
          </w:p>
        </w:tc>
      </w:tr>
      <w:tr>
        <w:trPr>
          <w:trHeight w:val="26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6"/>
              <w:jc w:val="right"/>
              <w:rPr>
                <w:rFonts w:ascii="Times New Roman" w:hAnsi="Times New Roman" w:cs="Times New Roman" w:eastAsia="Times New Roman" w:hint="default"/>
                <w:sz w:val="18"/>
                <w:szCs w:val="18"/>
              </w:rPr>
            </w:pPr>
            <w:r>
              <w:rPr>
                <w:rFonts w:ascii="Times New Roman"/>
                <w:b/>
                <w:spacing w:val="-1"/>
                <w:sz w:val="18"/>
              </w:rPr>
              <w:t>13,011,515.88</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18"/>
                <w:szCs w:val="18"/>
              </w:rPr>
            </w:pPr>
            <w:r>
              <w:rPr>
                <w:rFonts w:ascii="Times New Roman"/>
                <w:spacing w:val="-1"/>
                <w:sz w:val="18"/>
              </w:rPr>
              <w:t>-25,151,290.85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b/>
                <w:spacing w:val="-1"/>
                <w:sz w:val="18"/>
              </w:rPr>
              <w:t>-12,139,774.97</w:t>
            </w:r>
            <w:r>
              <w:rPr>
                <w:rFonts w:ascii="Times New Roman"/>
                <w:spacing w:val="-1"/>
                <w:sz w:val="18"/>
              </w:rPr>
            </w:r>
          </w:p>
        </w:tc>
      </w:tr>
      <w:tr>
        <w:trPr>
          <w:trHeight w:val="26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18"/>
                <w:szCs w:val="18"/>
              </w:rPr>
            </w:pPr>
            <w:r>
              <w:rPr>
                <w:rFonts w:ascii="Times New Roman"/>
                <w:b/>
                <w:spacing w:val="-1"/>
                <w:sz w:val="18"/>
              </w:rPr>
              <w:t>-44,458,495.64</w:t>
            </w:r>
            <w:r>
              <w:rPr>
                <w:rFonts w:ascii="Times New Roman"/>
                <w:spacing w:val="-1"/>
                <w:sz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b/>
                <w:spacing w:val="-1"/>
                <w:sz w:val="18"/>
              </w:rPr>
              <w:t>-56,928,397.70</w:t>
            </w:r>
            <w:r>
              <w:rPr>
                <w:rFonts w:ascii="Times New Roman"/>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-101,386,893.34</w:t>
            </w:r>
            <w:r>
              <w:rPr>
                <w:rFonts w:ascii="Times New Roman"/>
                <w:spacing w:val="-1"/>
                <w:sz w:val="18"/>
              </w:rPr>
            </w:r>
          </w:p>
        </w:tc>
      </w:tr>
      <w:tr>
        <w:trPr>
          <w:trHeight w:val="26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18"/>
                <w:szCs w:val="18"/>
              </w:rPr>
            </w:pPr>
            <w:r>
              <w:rPr>
                <w:rFonts w:ascii="Times New Roman"/>
                <w:spacing w:val="-1"/>
                <w:sz w:val="18"/>
              </w:rPr>
              <w:t>-44,458,495.64</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18"/>
                <w:szCs w:val="18"/>
              </w:rPr>
            </w:pPr>
            <w:r>
              <w:rPr>
                <w:rFonts w:ascii="Times New Roman"/>
                <w:spacing w:val="-1"/>
                <w:sz w:val="18"/>
              </w:rPr>
              <w:t>-56,928,397.70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-101,386,893.34</w:t>
            </w:r>
            <w:r>
              <w:rPr>
                <w:rFonts w:ascii="Times New Roman"/>
                <w:spacing w:val="-1"/>
                <w:sz w:val="18"/>
              </w:rPr>
            </w:r>
          </w:p>
        </w:tc>
      </w:tr>
      <w:tr>
        <w:trPr>
          <w:trHeight w:val="26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7"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设定收益计划变动额结转留存收益</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（五）其他</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6"/>
              <w:jc w:val="right"/>
              <w:rPr>
                <w:rFonts w:ascii="Times New Roman" w:hAnsi="Times New Roman" w:cs="Times New Roman" w:eastAsia="Times New Roman" w:hint="default"/>
                <w:sz w:val="18"/>
                <w:szCs w:val="18"/>
              </w:rPr>
            </w:pPr>
            <w:r>
              <w:rPr>
                <w:rFonts w:ascii="Times New Roman"/>
                <w:b/>
                <w:spacing w:val="-1"/>
                <w:sz w:val="18"/>
              </w:rPr>
              <w:t>72,907,500.78</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2,906,027.53</w:t>
            </w:r>
            <w:r>
              <w:rPr>
                <w:rFonts w:ascii="Times New Roman"/>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75,813,528.31</w:t>
            </w:r>
            <w:r>
              <w:rPr>
                <w:rFonts w:ascii="Times New Roman"/>
                <w:spacing w:val="-1"/>
                <w:sz w:val="18"/>
              </w:rPr>
            </w:r>
          </w:p>
        </w:tc>
      </w:tr>
      <w:tr>
        <w:trPr>
          <w:trHeight w:val="266" w:hRule="exact"/>
        </w:trPr>
        <w:tc>
          <w:tcPr>
            <w:tcW w:w="395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18"/>
                <w:szCs w:val="18"/>
              </w:rPr>
            </w:pPr>
            <w:r>
              <w:rPr>
                <w:rFonts w:ascii="Times New Roman"/>
                <w:b/>
                <w:spacing w:val="-1"/>
                <w:sz w:val="18"/>
              </w:rPr>
              <w:t>2,963,898,951.00</w:t>
            </w:r>
            <w:r>
              <w:rPr>
                <w:rFonts w:ascii="Times New Roman"/>
                <w:spacing w:val="-1"/>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6"/>
              <w:jc w:val="right"/>
              <w:rPr>
                <w:rFonts w:ascii="Times New Roman" w:hAnsi="Times New Roman" w:cs="Times New Roman" w:eastAsia="Times New Roman" w:hint="default"/>
                <w:sz w:val="18"/>
                <w:szCs w:val="18"/>
              </w:rPr>
            </w:pPr>
            <w:r>
              <w:rPr>
                <w:rFonts w:ascii="Times New Roman"/>
                <w:b/>
                <w:spacing w:val="-1"/>
                <w:sz w:val="18"/>
              </w:rPr>
              <w:t>9,275,689,105.56</w:t>
            </w:r>
            <w:r>
              <w:rPr>
                <w:rFonts w:ascii="Times New Roman"/>
                <w:spacing w:val="-1"/>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-898,595,031.71</w:t>
            </w:r>
            <w:r>
              <w:rPr>
                <w:rFonts w:ascii="Times New Roman"/>
                <w:spacing w:val="-1"/>
                <w:sz w:val="18"/>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b/>
                <w:spacing w:val="-1"/>
                <w:sz w:val="18"/>
              </w:rPr>
              <w:t>1,324,875,027.33</w:t>
            </w:r>
            <w:r>
              <w:rPr>
                <w:rFonts w:ascii="Times New Roman"/>
                <w:spacing w:val="-1"/>
                <w:sz w:val="18"/>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18"/>
                <w:szCs w:val="18"/>
              </w:rPr>
            </w:pPr>
            <w:r>
              <w:rPr>
                <w:rFonts w:ascii="Times New Roman"/>
                <w:b/>
                <w:spacing w:val="-1"/>
                <w:sz w:val="18"/>
              </w:rPr>
              <w:t>3,325,523,323.07</w:t>
            </w:r>
            <w:r>
              <w:rPr>
                <w:rFonts w:ascii="Times New Roman"/>
                <w:spacing w:val="-1"/>
                <w:sz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b/>
                <w:spacing w:val="-1"/>
                <w:sz w:val="18"/>
              </w:rPr>
              <w:t>3,902,091,063.04</w:t>
            </w:r>
            <w:r>
              <w:rPr>
                <w:rFonts w:ascii="Times New Roman"/>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19,893,482,438.29</w:t>
            </w:r>
            <w:r>
              <w:rPr>
                <w:rFonts w:ascii="Times New Roman"/>
                <w:spacing w:val="-1"/>
                <w:sz w:val="18"/>
              </w:rPr>
            </w:r>
          </w:p>
        </w:tc>
      </w:tr>
    </w:tbl>
    <w:p>
      <w:pPr>
        <w:tabs>
          <w:tab w:pos="7504" w:val="left" w:leader="none"/>
          <w:tab w:pos="12649" w:val="left" w:leader="none"/>
        </w:tabs>
        <w:spacing w:line="241" w:lineRule="exact" w:before="0"/>
        <w:ind w:left="1098"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法定代表人：周立业</w:t>
        <w:tab/>
      </w:r>
      <w:r>
        <w:rPr>
          <w:rFonts w:ascii="宋体" w:hAnsi="宋体" w:cs="宋体" w:eastAsia="宋体" w:hint="default"/>
          <w:spacing w:val="-2"/>
          <w:sz w:val="21"/>
          <w:szCs w:val="21"/>
        </w:rPr>
        <w:t>财务负责人：周海英</w:t>
        <w:tab/>
        <w:t>会计机构负责人：周海英</w:t>
      </w:r>
    </w:p>
    <w:p>
      <w:pPr>
        <w:spacing w:after="0" w:line="241" w:lineRule="exact"/>
        <w:jc w:val="left"/>
        <w:rPr>
          <w:rFonts w:ascii="宋体" w:hAnsi="宋体" w:cs="宋体" w:eastAsia="宋体" w:hint="default"/>
          <w:sz w:val="21"/>
          <w:szCs w:val="21"/>
        </w:rPr>
        <w:sectPr>
          <w:footerReference w:type="default" r:id="rId28"/>
          <w:pgSz w:w="16840" w:h="11910" w:orient="landscape"/>
          <w:pgMar w:footer="1053" w:header="0" w:top="1100" w:bottom="1240" w:left="320" w:right="300"/>
          <w:pgNumType w:start="9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line="272" w:lineRule="exact" w:before="64"/>
        <w:ind w:left="6907" w:right="6903" w:firstLine="0"/>
        <w:jc w:val="center"/>
        <w:rPr>
          <w:rFonts w:ascii="宋体" w:hAnsi="宋体" w:cs="宋体" w:eastAsia="宋体" w:hint="default"/>
          <w:sz w:val="21"/>
          <w:szCs w:val="21"/>
        </w:rPr>
      </w:pPr>
      <w:r>
        <w:rPr>
          <w:rFonts w:ascii="宋体" w:hAnsi="宋体" w:cs="宋体" w:eastAsia="宋体" w:hint="default"/>
          <w:b/>
          <w:bCs/>
          <w:sz w:val="21"/>
          <w:szCs w:val="21"/>
        </w:rPr>
        <w:t>合并股东权益变动表</w:t>
      </w:r>
      <w:r>
        <w:rPr>
          <w:rFonts w:ascii="宋体" w:hAnsi="宋体" w:cs="宋体" w:eastAsia="宋体" w:hint="default"/>
          <w:b/>
          <w:bCs/>
          <w:w w:val="100"/>
          <w:sz w:val="21"/>
          <w:szCs w:val="21"/>
        </w:rPr>
        <w:t> </w:t>
      </w: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tabs>
          <w:tab w:pos="12553" w:val="left" w:leader="none"/>
        </w:tabs>
        <w:spacing w:before="36"/>
        <w:ind w:left="0" w:right="1"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编制单位：同方股份有限公司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11"/>
        <w:rPr>
          <w:rFonts w:ascii="宋体" w:hAnsi="宋体" w:cs="宋体" w:eastAsia="宋体" w:hint="default"/>
          <w:b/>
          <w:bCs/>
          <w:sz w:val="6"/>
          <w:szCs w:val="6"/>
        </w:rPr>
      </w:pPr>
    </w:p>
    <w:tbl>
      <w:tblPr>
        <w:tblW w:w="0" w:type="auto"/>
        <w:jc w:val="left"/>
        <w:tblInd w:w="119" w:type="dxa"/>
        <w:tblLayout w:type="fixed"/>
        <w:tblCellMar>
          <w:top w:w="0" w:type="dxa"/>
          <w:left w:w="0" w:type="dxa"/>
          <w:bottom w:w="0" w:type="dxa"/>
          <w:right w:w="0" w:type="dxa"/>
        </w:tblCellMar>
        <w:tblLook w:val="01E0"/>
      </w:tblPr>
      <w:tblGrid>
        <w:gridCol w:w="3908"/>
        <w:gridCol w:w="1508"/>
        <w:gridCol w:w="1668"/>
        <w:gridCol w:w="871"/>
        <w:gridCol w:w="1388"/>
        <w:gridCol w:w="1507"/>
        <w:gridCol w:w="1510"/>
        <w:gridCol w:w="1507"/>
        <w:gridCol w:w="1601"/>
      </w:tblGrid>
      <w:tr>
        <w:trPr>
          <w:trHeight w:val="242" w:hRule="exact"/>
        </w:trPr>
        <w:tc>
          <w:tcPr>
            <w:tcW w:w="390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tabs>
                <w:tab w:pos="453"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8452"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6"/>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50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60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588" w:hRule="exact"/>
        </w:trPr>
        <w:tc>
          <w:tcPr>
            <w:tcW w:w="3908" w:type="dxa"/>
            <w:vMerge/>
            <w:tcBorders>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67"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2"/>
              <w:ind w:left="338" w:right="101" w:hanging="236"/>
              <w:jc w:val="left"/>
              <w:rPr>
                <w:rFonts w:ascii="宋体" w:hAnsi="宋体" w:cs="宋体" w:eastAsia="宋体" w:hint="default"/>
                <w:sz w:val="18"/>
                <w:szCs w:val="18"/>
              </w:rPr>
            </w:pPr>
            <w:r>
              <w:rPr>
                <w:rFonts w:ascii="宋体" w:hAnsi="宋体" w:cs="宋体" w:eastAsia="宋体" w:hint="default"/>
                <w:b/>
                <w:bCs/>
                <w:spacing w:val="-17"/>
                <w:w w:val="99"/>
                <w:sz w:val="18"/>
                <w:szCs w:val="18"/>
              </w:rPr>
              <w:t>减：库存</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45"/>
              <w:jc w:val="right"/>
              <w:rPr>
                <w:rFonts w:ascii="宋体" w:hAnsi="宋体" w:cs="宋体" w:eastAsia="宋体" w:hint="default"/>
                <w:sz w:val="18"/>
                <w:szCs w:val="18"/>
              </w:rPr>
            </w:pPr>
            <w:r>
              <w:rPr>
                <w:rFonts w:ascii="宋体" w:hAnsi="宋体" w:cs="宋体" w:eastAsia="宋体" w:hint="default"/>
                <w:b/>
                <w:bCs/>
                <w:w w:val="95"/>
                <w:sz w:val="18"/>
                <w:szCs w:val="18"/>
              </w:rPr>
              <w:t>其他综合收益</w:t>
            </w:r>
            <w:r>
              <w:rPr>
                <w:rFonts w:ascii="宋体" w:hAnsi="宋体" w:cs="宋体" w:eastAsia="宋体" w:hint="default"/>
                <w:sz w:val="18"/>
                <w:szCs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86"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97"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507" w:type="dxa"/>
            <w:vMerge/>
            <w:tcBorders>
              <w:left w:val="single" w:sz="4" w:space="0" w:color="000000"/>
              <w:bottom w:val="single" w:sz="4" w:space="0" w:color="000000"/>
              <w:right w:val="single" w:sz="4" w:space="0" w:color="000000"/>
            </w:tcBorders>
          </w:tcPr>
          <w:p>
            <w:pPr/>
          </w:p>
        </w:tc>
        <w:tc>
          <w:tcPr>
            <w:tcW w:w="1601" w:type="dxa"/>
            <w:vMerge/>
            <w:tcBorders>
              <w:left w:val="single" w:sz="4" w:space="0" w:color="000000"/>
              <w:bottom w:val="single" w:sz="4" w:space="0" w:color="000000"/>
              <w:right w:val="single" w:sz="4" w:space="0" w:color="000000"/>
            </w:tcBorders>
          </w:tcPr>
          <w:p>
            <w:pPr/>
          </w:p>
        </w:tc>
      </w:tr>
      <w:tr>
        <w:trPr>
          <w:trHeight w:val="269"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6"/>
              <w:jc w:val="right"/>
              <w:rPr>
                <w:rFonts w:ascii="Times New Roman" w:hAnsi="Times New Roman" w:cs="Times New Roman" w:eastAsia="Times New Roman" w:hint="default"/>
                <w:sz w:val="18"/>
                <w:szCs w:val="18"/>
              </w:rPr>
            </w:pPr>
            <w:r>
              <w:rPr>
                <w:rFonts w:ascii="Times New Roman"/>
                <w:b/>
                <w:spacing w:val="-1"/>
                <w:sz w:val="18"/>
              </w:rPr>
              <w:t>2,963,898,951.00</w:t>
            </w:r>
            <w:r>
              <w:rPr>
                <w:rFonts w:ascii="Times New Roman"/>
                <w:spacing w:val="-1"/>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Times New Roman" w:hAnsi="Times New Roman" w:cs="Times New Roman" w:eastAsia="Times New Roman" w:hint="default"/>
                <w:sz w:val="18"/>
                <w:szCs w:val="18"/>
              </w:rPr>
            </w:pPr>
            <w:r>
              <w:rPr>
                <w:rFonts w:ascii="Times New Roman"/>
                <w:b/>
                <w:spacing w:val="-1"/>
                <w:sz w:val="18"/>
              </w:rPr>
              <w:t>9,331,433,136.68</w:t>
            </w:r>
            <w:r>
              <w:rPr>
                <w:rFonts w:ascii="Times New Roman"/>
                <w:spacing w:val="-1"/>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b/>
                <w:spacing w:val="-1"/>
                <w:sz w:val="18"/>
              </w:rPr>
              <w:t>282,695,752.77</w:t>
            </w:r>
            <w:r>
              <w:rPr>
                <w:rFonts w:ascii="Times New Roman"/>
                <w:spacing w:val="-1"/>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Times New Roman" w:hAnsi="Times New Roman" w:cs="Times New Roman" w:eastAsia="Times New Roman" w:hint="default"/>
                <w:sz w:val="18"/>
                <w:szCs w:val="18"/>
              </w:rPr>
            </w:pPr>
            <w:r>
              <w:rPr>
                <w:rFonts w:ascii="Times New Roman"/>
                <w:b/>
                <w:spacing w:val="-1"/>
                <w:sz w:val="18"/>
              </w:rPr>
              <w:t>1,314,511,100.64</w:t>
            </w:r>
            <w:r>
              <w:rPr>
                <w:rFonts w:ascii="Times New Roman"/>
                <w:spacing w:val="-1"/>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4"/>
              <w:jc w:val="right"/>
              <w:rPr>
                <w:rFonts w:ascii="Times New Roman" w:hAnsi="Times New Roman" w:cs="Times New Roman" w:eastAsia="Times New Roman" w:hint="default"/>
                <w:sz w:val="18"/>
                <w:szCs w:val="18"/>
              </w:rPr>
            </w:pPr>
            <w:r>
              <w:rPr>
                <w:rFonts w:ascii="Times New Roman"/>
                <w:b/>
                <w:spacing w:val="-1"/>
                <w:sz w:val="18"/>
              </w:rPr>
              <w:t>7,897,458,148.30</w:t>
            </w:r>
            <w:r>
              <w:rPr>
                <w:rFonts w:ascii="Times New Roman"/>
                <w:spacing w:val="-1"/>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3"/>
              <w:jc w:val="right"/>
              <w:rPr>
                <w:rFonts w:ascii="Times New Roman" w:hAnsi="Times New Roman" w:cs="Times New Roman" w:eastAsia="Times New Roman" w:hint="default"/>
                <w:sz w:val="18"/>
                <w:szCs w:val="18"/>
              </w:rPr>
            </w:pPr>
            <w:r>
              <w:rPr>
                <w:rFonts w:ascii="Times New Roman"/>
                <w:b/>
                <w:spacing w:val="-1"/>
                <w:sz w:val="18"/>
              </w:rPr>
              <w:t>2,766,349,743.52</w:t>
            </w:r>
            <w:r>
              <w:rPr>
                <w:rFonts w:ascii="Times New Roman"/>
                <w:spacing w:val="-1"/>
                <w:sz w:val="18"/>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Times New Roman" w:hAnsi="Times New Roman" w:cs="Times New Roman" w:eastAsia="Times New Roman" w:hint="default"/>
                <w:sz w:val="18"/>
                <w:szCs w:val="18"/>
              </w:rPr>
            </w:pPr>
            <w:r>
              <w:rPr>
                <w:rFonts w:ascii="Times New Roman"/>
                <w:b/>
                <w:spacing w:val="-1"/>
                <w:sz w:val="18"/>
              </w:rPr>
              <w:t>24,556,346,832.91</w:t>
            </w:r>
            <w:r>
              <w:rPr>
                <w:rFonts w:ascii="Times New Roman"/>
                <w:spacing w:val="-1"/>
                <w:sz w:val="18"/>
              </w:rPr>
            </w:r>
          </w:p>
        </w:tc>
      </w:tr>
      <w:tr>
        <w:trPr>
          <w:trHeight w:val="269"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9"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82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71"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825"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9"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8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9"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6"/>
              <w:jc w:val="right"/>
              <w:rPr>
                <w:rFonts w:ascii="Times New Roman" w:hAnsi="Times New Roman" w:cs="Times New Roman" w:eastAsia="Times New Roman" w:hint="default"/>
                <w:sz w:val="18"/>
                <w:szCs w:val="18"/>
              </w:rPr>
            </w:pPr>
            <w:r>
              <w:rPr>
                <w:rFonts w:ascii="Times New Roman"/>
                <w:b/>
                <w:spacing w:val="-1"/>
                <w:sz w:val="18"/>
              </w:rPr>
              <w:t>2,963,898,951.00</w:t>
            </w:r>
            <w:r>
              <w:rPr>
                <w:rFonts w:ascii="Times New Roman"/>
                <w:spacing w:val="-1"/>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9,331,433,136.68</w:t>
            </w:r>
            <w:r>
              <w:rPr>
                <w:rFonts w:ascii="Times New Roman"/>
                <w:spacing w:val="-1"/>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282,695,752.77</w:t>
            </w:r>
            <w:r>
              <w:rPr>
                <w:rFonts w:ascii="Times New Roman"/>
                <w:spacing w:val="-1"/>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1,314,511,100.64</w:t>
            </w:r>
            <w:r>
              <w:rPr>
                <w:rFonts w:ascii="Times New Roman"/>
                <w:spacing w:val="-1"/>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4"/>
              <w:jc w:val="right"/>
              <w:rPr>
                <w:rFonts w:ascii="Times New Roman" w:hAnsi="Times New Roman" w:cs="Times New Roman" w:eastAsia="Times New Roman" w:hint="default"/>
                <w:sz w:val="18"/>
                <w:szCs w:val="18"/>
              </w:rPr>
            </w:pPr>
            <w:r>
              <w:rPr>
                <w:rFonts w:ascii="Times New Roman"/>
                <w:b/>
                <w:spacing w:val="-1"/>
                <w:sz w:val="18"/>
              </w:rPr>
              <w:t>7,897,458,148.30</w:t>
            </w:r>
            <w:r>
              <w:rPr>
                <w:rFonts w:ascii="Times New Roman"/>
                <w:spacing w:val="-1"/>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2,766,349,743.52</w:t>
            </w:r>
            <w:r>
              <w:rPr>
                <w:rFonts w:ascii="Times New Roman"/>
                <w:spacing w:val="-1"/>
                <w:sz w:val="18"/>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24,556,346,832.91</w:t>
            </w:r>
            <w:r>
              <w:rPr>
                <w:rFonts w:ascii="Times New Roman"/>
                <w:spacing w:val="-1"/>
                <w:sz w:val="18"/>
              </w:rPr>
            </w:r>
          </w:p>
        </w:tc>
      </w:tr>
      <w:tr>
        <w:trPr>
          <w:trHeight w:val="269"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宋体" w:hAnsi="宋体" w:cs="宋体" w:eastAsia="宋体"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-141,663,047.78</w:t>
            </w:r>
            <w:r>
              <w:rPr>
                <w:rFonts w:ascii="Times New Roman"/>
                <w:spacing w:val="-1"/>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259,552,034.22</w:t>
            </w:r>
            <w:r>
              <w:rPr>
                <w:rFonts w:ascii="Times New Roman"/>
                <w:spacing w:val="-1"/>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10,363,926.69</w:t>
            </w:r>
            <w:r>
              <w:rPr>
                <w:rFonts w:ascii="Times New Roman"/>
                <w:spacing w:val="-1"/>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-647,699,397.52</w:t>
            </w:r>
            <w:r>
              <w:rPr>
                <w:rFonts w:ascii="Times New Roman"/>
                <w:spacing w:val="-1"/>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730,338,395.44</w:t>
            </w:r>
            <w:r>
              <w:rPr>
                <w:rFonts w:ascii="Times New Roman"/>
                <w:spacing w:val="-1"/>
                <w:sz w:val="18"/>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210,891,911.05</w:t>
            </w:r>
            <w:r>
              <w:rPr>
                <w:rFonts w:ascii="Times New Roman"/>
                <w:spacing w:val="-1"/>
                <w:sz w:val="18"/>
              </w:rPr>
            </w:r>
          </w:p>
        </w:tc>
      </w:tr>
      <w:tr>
        <w:trPr>
          <w:trHeight w:val="269"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259,552,034.22</w:t>
            </w:r>
            <w:r>
              <w:rPr>
                <w:rFonts w:ascii="Times New Roman"/>
                <w:spacing w:val="-1"/>
                <w:sz w:val="18"/>
              </w:rPr>
            </w:r>
          </w:p>
        </w:tc>
        <w:tc>
          <w:tcPr>
            <w:tcW w:w="1507"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103,639,266.92</w:t>
            </w:r>
            <w:r>
              <w:rPr>
                <w:rFonts w:ascii="Times New Roman"/>
                <w:spacing w:val="-1"/>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389,510,496.18</w:t>
            </w:r>
            <w:r>
              <w:rPr>
                <w:rFonts w:ascii="Times New Roman"/>
                <w:spacing w:val="-1"/>
                <w:sz w:val="18"/>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752,701,797.32</w:t>
            </w:r>
            <w:r>
              <w:rPr>
                <w:rFonts w:ascii="Times New Roman"/>
                <w:spacing w:val="-1"/>
                <w:sz w:val="18"/>
              </w:rPr>
            </w:r>
          </w:p>
        </w:tc>
      </w:tr>
      <w:tr>
        <w:trPr>
          <w:trHeight w:val="269"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（二）所有者投入和减少股本</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-116,751,850.33</w:t>
            </w:r>
            <w:r>
              <w:rPr>
                <w:rFonts w:ascii="Times New Roman"/>
                <w:spacing w:val="-1"/>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385,756,067.27</w:t>
            </w:r>
            <w:r>
              <w:rPr>
                <w:rFonts w:ascii="Times New Roman"/>
                <w:spacing w:val="-1"/>
                <w:sz w:val="18"/>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269,004,216.94</w:t>
            </w:r>
            <w:r>
              <w:rPr>
                <w:rFonts w:ascii="Times New Roman"/>
                <w:spacing w:val="-1"/>
                <w:sz w:val="18"/>
              </w:rPr>
            </w:r>
          </w:p>
        </w:tc>
      </w:tr>
      <w:tr>
        <w:trPr>
          <w:trHeight w:val="269"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股东投入股本</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264,458,134.21</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264,458,134.21</w:t>
            </w:r>
            <w:r>
              <w:rPr>
                <w:rFonts w:ascii="Times New Roman"/>
                <w:spacing w:val="-1"/>
                <w:sz w:val="18"/>
              </w:rPr>
            </w:r>
          </w:p>
        </w:tc>
      </w:tr>
      <w:tr>
        <w:trPr>
          <w:trHeight w:val="269"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9"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-116,751,850.33</w:t>
            </w:r>
            <w:r>
              <w:rPr>
                <w:rFonts w:ascii="Times New Roman"/>
                <w:spacing w:val="-1"/>
                <w:sz w:val="18"/>
              </w:rPr>
            </w:r>
          </w:p>
        </w:tc>
        <w:tc>
          <w:tcPr>
            <w:tcW w:w="87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121,297,933.06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4,546,082.73</w:t>
            </w:r>
            <w:r>
              <w:rPr>
                <w:rFonts w:ascii="Times New Roman"/>
                <w:spacing w:val="-1"/>
                <w:sz w:val="18"/>
              </w:rPr>
            </w:r>
          </w:p>
        </w:tc>
      </w:tr>
      <w:tr>
        <w:trPr>
          <w:trHeight w:val="269"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10,363,926.69</w:t>
            </w:r>
            <w:r>
              <w:rPr>
                <w:rFonts w:ascii="Times New Roman"/>
                <w:spacing w:val="-1"/>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-751,338,664.44</w:t>
            </w:r>
            <w:r>
              <w:rPr>
                <w:rFonts w:ascii="Times New Roman"/>
                <w:spacing w:val="-1"/>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-51,700,000.00</w:t>
            </w:r>
            <w:r>
              <w:rPr>
                <w:rFonts w:ascii="Times New Roman"/>
                <w:spacing w:val="-1"/>
                <w:sz w:val="18"/>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-792,674,737.75</w:t>
            </w:r>
            <w:r>
              <w:rPr>
                <w:rFonts w:ascii="Times New Roman"/>
                <w:spacing w:val="-1"/>
                <w:sz w:val="18"/>
              </w:rPr>
            </w:r>
          </w:p>
        </w:tc>
      </w:tr>
      <w:tr>
        <w:trPr>
          <w:trHeight w:val="269"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10,363,926.69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4"/>
              <w:jc w:val="right"/>
              <w:rPr>
                <w:rFonts w:ascii="Times New Roman" w:hAnsi="Times New Roman" w:cs="Times New Roman" w:eastAsia="Times New Roman" w:hint="default"/>
                <w:sz w:val="18"/>
                <w:szCs w:val="18"/>
              </w:rPr>
            </w:pPr>
            <w:r>
              <w:rPr>
                <w:rFonts w:ascii="Times New Roman"/>
                <w:spacing w:val="-1"/>
                <w:sz w:val="18"/>
              </w:rPr>
              <w:t>-10,363,926.69</w:t>
            </w:r>
          </w:p>
        </w:tc>
        <w:tc>
          <w:tcPr>
            <w:tcW w:w="150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9"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-740,974,737.75</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-51,700,000.00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-792,674,737.75</w:t>
            </w:r>
            <w:r>
              <w:rPr>
                <w:rFonts w:ascii="Times New Roman"/>
                <w:spacing w:val="-1"/>
                <w:sz w:val="18"/>
              </w:rPr>
            </w:r>
          </w:p>
        </w:tc>
      </w:tr>
      <w:tr>
        <w:trPr>
          <w:trHeight w:val="271"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9"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9"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9"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9"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9"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设定收益计划变动额结转留存收益</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9"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9"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（五）其他</w:t>
            </w:r>
          </w:p>
        </w:tc>
        <w:tc>
          <w:tcPr>
            <w:tcW w:w="150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-24,911,197.45</w:t>
            </w:r>
            <w:r>
              <w:rPr>
                <w:rFonts w:ascii="Times New Roman"/>
                <w:spacing w:val="-1"/>
                <w:sz w:val="18"/>
              </w:rPr>
            </w:r>
          </w:p>
        </w:tc>
        <w:tc>
          <w:tcPr>
            <w:tcW w:w="871"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6,771,831.99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-18,139,365.46</w:t>
            </w:r>
            <w:r>
              <w:rPr>
                <w:rFonts w:ascii="Times New Roman"/>
                <w:spacing w:val="-1"/>
                <w:sz w:val="18"/>
              </w:rPr>
            </w:r>
          </w:p>
        </w:tc>
      </w:tr>
      <w:tr>
        <w:trPr>
          <w:trHeight w:val="269"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6"/>
              <w:jc w:val="right"/>
              <w:rPr>
                <w:rFonts w:ascii="Times New Roman" w:hAnsi="Times New Roman" w:cs="Times New Roman" w:eastAsia="Times New Roman" w:hint="default"/>
                <w:sz w:val="18"/>
                <w:szCs w:val="18"/>
              </w:rPr>
            </w:pPr>
            <w:r>
              <w:rPr>
                <w:rFonts w:ascii="Times New Roman"/>
                <w:b/>
                <w:spacing w:val="-1"/>
                <w:sz w:val="18"/>
              </w:rPr>
              <w:t>2,963,898,951.00</w:t>
            </w:r>
            <w:r>
              <w:rPr>
                <w:rFonts w:ascii="Times New Roman"/>
                <w:spacing w:val="-1"/>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9,189,770,088.90</w:t>
            </w:r>
            <w:r>
              <w:rPr>
                <w:rFonts w:ascii="Times New Roman"/>
                <w:spacing w:val="-1"/>
                <w:sz w:val="18"/>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542,247,786.99</w:t>
            </w:r>
            <w:r>
              <w:rPr>
                <w:rFonts w:ascii="Times New Roman"/>
                <w:spacing w:val="-1"/>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1,324,875,027.33</w:t>
            </w:r>
            <w:r>
              <w:rPr>
                <w:rFonts w:ascii="Times New Roman"/>
                <w:spacing w:val="-1"/>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4"/>
              <w:jc w:val="right"/>
              <w:rPr>
                <w:rFonts w:ascii="Times New Roman" w:hAnsi="Times New Roman" w:cs="Times New Roman" w:eastAsia="Times New Roman" w:hint="default"/>
                <w:sz w:val="18"/>
                <w:szCs w:val="18"/>
              </w:rPr>
            </w:pPr>
            <w:r>
              <w:rPr>
                <w:rFonts w:ascii="Times New Roman"/>
                <w:b/>
                <w:spacing w:val="-1"/>
                <w:sz w:val="18"/>
              </w:rPr>
              <w:t>7,249,758,750.78</w:t>
            </w:r>
            <w:r>
              <w:rPr>
                <w:rFonts w:ascii="Times New Roman"/>
                <w:spacing w:val="-1"/>
                <w:sz w:val="18"/>
              </w:rPr>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3,496,688,138.96</w:t>
            </w:r>
            <w:r>
              <w:rPr>
                <w:rFonts w:ascii="Times New Roman"/>
                <w:spacing w:val="-1"/>
                <w:sz w:val="18"/>
              </w:rPr>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24,767,238,743.96</w:t>
            </w:r>
            <w:r>
              <w:rPr>
                <w:rFonts w:ascii="Times New Roman"/>
                <w:spacing w:val="-1"/>
                <w:sz w:val="18"/>
              </w:rPr>
            </w:r>
          </w:p>
        </w:tc>
      </w:tr>
    </w:tbl>
    <w:p>
      <w:pPr>
        <w:tabs>
          <w:tab w:pos="7264" w:val="left" w:leader="none"/>
          <w:tab w:pos="12409" w:val="left" w:leader="none"/>
        </w:tabs>
        <w:spacing w:line="241" w:lineRule="exact" w:before="0"/>
        <w:ind w:left="858"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法定代表人：周立业</w:t>
        <w:tab/>
      </w:r>
      <w:r>
        <w:rPr>
          <w:rFonts w:ascii="宋体" w:hAnsi="宋体" w:cs="宋体" w:eastAsia="宋体" w:hint="default"/>
          <w:spacing w:val="-2"/>
          <w:sz w:val="21"/>
          <w:szCs w:val="21"/>
        </w:rPr>
        <w:t>财务负责人：周海英</w:t>
        <w:tab/>
        <w:t>会计机构负责人：周海英</w:t>
      </w:r>
    </w:p>
    <w:p>
      <w:pPr>
        <w:spacing w:after="0" w:line="241" w:lineRule="exact"/>
        <w:jc w:val="left"/>
        <w:rPr>
          <w:rFonts w:ascii="宋体" w:hAnsi="宋体" w:cs="宋体" w:eastAsia="宋体" w:hint="default"/>
          <w:sz w:val="21"/>
          <w:szCs w:val="21"/>
        </w:rPr>
        <w:sectPr>
          <w:pgSz w:w="16840" w:h="11910" w:orient="landscape"/>
          <w:pgMar w:header="0" w:footer="1053" w:top="1100" w:bottom="1240" w:left="560" w:right="5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line="272" w:lineRule="exact" w:before="64"/>
        <w:ind w:left="6864" w:right="6857" w:firstLine="0"/>
        <w:jc w:val="center"/>
        <w:rPr>
          <w:rFonts w:ascii="宋体" w:hAnsi="宋体" w:cs="宋体" w:eastAsia="宋体" w:hint="default"/>
          <w:sz w:val="21"/>
          <w:szCs w:val="21"/>
        </w:rPr>
      </w:pPr>
      <w:r>
        <w:rPr>
          <w:rFonts w:ascii="宋体" w:hAnsi="宋体" w:cs="宋体" w:eastAsia="宋体" w:hint="default"/>
          <w:b/>
          <w:bCs/>
          <w:sz w:val="21"/>
          <w:szCs w:val="21"/>
        </w:rPr>
        <w:t>母公司股东权益变动表</w:t>
      </w:r>
      <w:r>
        <w:rPr>
          <w:rFonts w:ascii="宋体" w:hAnsi="宋体" w:cs="宋体" w:eastAsia="宋体" w:hint="default"/>
          <w:b/>
          <w:bCs/>
          <w:w w:val="100"/>
          <w:sz w:val="21"/>
          <w:szCs w:val="21"/>
        </w:rPr>
        <w:t> </w:t>
      </w: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tabs>
          <w:tab w:pos="12553" w:val="left" w:leader="none"/>
        </w:tabs>
        <w:spacing w:before="36"/>
        <w:ind w:left="0" w:right="1"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编制单位：同方股份有限公司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11"/>
        <w:rPr>
          <w:rFonts w:ascii="宋体" w:hAnsi="宋体" w:cs="宋体" w:eastAsia="宋体" w:hint="default"/>
          <w:b/>
          <w:bCs/>
          <w:sz w:val="6"/>
          <w:szCs w:val="6"/>
        </w:rPr>
      </w:pPr>
    </w:p>
    <w:tbl>
      <w:tblPr>
        <w:tblW w:w="0" w:type="auto"/>
        <w:jc w:val="left"/>
        <w:tblInd w:w="111" w:type="dxa"/>
        <w:tblLayout w:type="fixed"/>
        <w:tblCellMar>
          <w:top w:w="0" w:type="dxa"/>
          <w:left w:w="0" w:type="dxa"/>
          <w:bottom w:w="0" w:type="dxa"/>
          <w:right w:w="0" w:type="dxa"/>
        </w:tblCellMar>
        <w:tblLook w:val="01E0"/>
      </w:tblPr>
      <w:tblGrid>
        <w:gridCol w:w="4512"/>
        <w:gridCol w:w="1630"/>
        <w:gridCol w:w="1670"/>
        <w:gridCol w:w="1301"/>
        <w:gridCol w:w="1476"/>
        <w:gridCol w:w="1671"/>
        <w:gridCol w:w="1670"/>
        <w:gridCol w:w="1670"/>
      </w:tblGrid>
      <w:tr>
        <w:trPr>
          <w:trHeight w:val="602" w:hRule="exact"/>
        </w:trPr>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67"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94"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89" w:right="0"/>
              <w:jc w:val="left"/>
              <w:rPr>
                <w:rFonts w:ascii="宋体" w:hAnsi="宋体" w:cs="宋体" w:eastAsia="宋体" w:hint="default"/>
                <w:sz w:val="18"/>
                <w:szCs w:val="18"/>
              </w:rPr>
            </w:pPr>
            <w:r>
              <w:rPr>
                <w:rFonts w:ascii="宋体" w:hAnsi="宋体" w:cs="宋体" w:eastAsia="宋体" w:hint="default"/>
                <w:b/>
                <w:bCs/>
                <w:sz w:val="18"/>
                <w:szCs w:val="18"/>
              </w:rPr>
              <w:t>其他综合收益</w:t>
            </w:r>
            <w:r>
              <w:rPr>
                <w:rFonts w:ascii="宋体" w:hAnsi="宋体" w:cs="宋体" w:eastAsia="宋体" w:hint="default"/>
                <w:sz w:val="18"/>
                <w:szCs w:val="18"/>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65"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79"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96"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286" w:hRule="exact"/>
        </w:trPr>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Times New Roman" w:hAnsi="Times New Roman" w:cs="Times New Roman" w:eastAsia="Times New Roman" w:hint="default"/>
                <w:sz w:val="18"/>
                <w:szCs w:val="18"/>
              </w:rPr>
            </w:pPr>
            <w:r>
              <w:rPr>
                <w:rFonts w:ascii="Times New Roman"/>
                <w:b/>
                <w:spacing w:val="-1"/>
                <w:sz w:val="18"/>
              </w:rPr>
              <w:t>2,963,898,951.00</w:t>
            </w:r>
            <w:r>
              <w:rPr>
                <w:rFonts w:ascii="Times New Roman"/>
                <w:spacing w:val="-1"/>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9,208,344,409.55</w:t>
            </w:r>
            <w:r>
              <w:rPr>
                <w:rFonts w:ascii="Times New Roman"/>
                <w:spacing w:val="-1"/>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b/>
                <w:spacing w:val="-1"/>
                <w:sz w:val="18"/>
              </w:rPr>
              <w:t>-105,613,723.97</w:t>
            </w:r>
            <w:r>
              <w:rPr>
                <w:rFonts w:ascii="Times New Roman"/>
                <w:spacing w:val="-1"/>
                <w:sz w:val="18"/>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6"/>
              <w:jc w:val="right"/>
              <w:rPr>
                <w:rFonts w:ascii="Times New Roman" w:hAnsi="Times New Roman" w:cs="Times New Roman" w:eastAsia="Times New Roman" w:hint="default"/>
                <w:sz w:val="18"/>
                <w:szCs w:val="18"/>
              </w:rPr>
            </w:pPr>
            <w:r>
              <w:rPr>
                <w:rFonts w:ascii="Times New Roman"/>
                <w:b/>
                <w:spacing w:val="-1"/>
                <w:sz w:val="18"/>
              </w:rPr>
              <w:t>1,323,757,038.95</w:t>
            </w:r>
            <w:r>
              <w:rPr>
                <w:rFonts w:ascii="Times New Roman"/>
                <w:spacing w:val="-1"/>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1,819,658,920.36</w:t>
            </w:r>
            <w:r>
              <w:rPr>
                <w:rFonts w:ascii="Times New Roman"/>
                <w:spacing w:val="-1"/>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06" w:right="0"/>
              <w:jc w:val="left"/>
              <w:rPr>
                <w:rFonts w:ascii="Times New Roman" w:hAnsi="Times New Roman" w:cs="Times New Roman" w:eastAsia="Times New Roman" w:hint="default"/>
                <w:sz w:val="18"/>
                <w:szCs w:val="18"/>
              </w:rPr>
            </w:pPr>
            <w:r>
              <w:rPr>
                <w:rFonts w:ascii="Times New Roman"/>
                <w:b/>
                <w:sz w:val="18"/>
              </w:rPr>
              <w:t>15,210,045,595.89</w:t>
            </w:r>
            <w:r>
              <w:rPr>
                <w:rFonts w:ascii="Times New Roman"/>
                <w:sz w:val="18"/>
              </w:rPr>
            </w:r>
          </w:p>
        </w:tc>
      </w:tr>
      <w:tr>
        <w:trPr>
          <w:trHeight w:val="286" w:hRule="exact"/>
        </w:trPr>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6" w:hRule="exact"/>
        </w:trPr>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82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3" w:hRule="exact"/>
        </w:trPr>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8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6" w:hRule="exact"/>
        </w:trPr>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Times New Roman" w:hAnsi="Times New Roman" w:cs="Times New Roman" w:eastAsia="Times New Roman" w:hint="default"/>
                <w:sz w:val="18"/>
                <w:szCs w:val="18"/>
              </w:rPr>
            </w:pPr>
            <w:r>
              <w:rPr>
                <w:rFonts w:ascii="Times New Roman"/>
                <w:b/>
                <w:spacing w:val="-1"/>
                <w:sz w:val="18"/>
              </w:rPr>
              <w:t>2,963,898,951.00</w:t>
            </w:r>
            <w:r>
              <w:rPr>
                <w:rFonts w:ascii="Times New Roman"/>
                <w:spacing w:val="-1"/>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9,208,344,409.55</w:t>
            </w:r>
            <w:r>
              <w:rPr>
                <w:rFonts w:ascii="Times New Roman"/>
                <w:spacing w:val="-1"/>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b/>
                <w:spacing w:val="-1"/>
                <w:sz w:val="18"/>
              </w:rPr>
              <w:t>-105,613,723.97</w:t>
            </w:r>
            <w:r>
              <w:rPr>
                <w:rFonts w:ascii="Times New Roman"/>
                <w:spacing w:val="-1"/>
                <w:sz w:val="18"/>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6"/>
              <w:jc w:val="right"/>
              <w:rPr>
                <w:rFonts w:ascii="Times New Roman" w:hAnsi="Times New Roman" w:cs="Times New Roman" w:eastAsia="Times New Roman" w:hint="default"/>
                <w:sz w:val="18"/>
                <w:szCs w:val="18"/>
              </w:rPr>
            </w:pPr>
            <w:r>
              <w:rPr>
                <w:rFonts w:ascii="Times New Roman"/>
                <w:b/>
                <w:spacing w:val="-1"/>
                <w:sz w:val="18"/>
              </w:rPr>
              <w:t>1,323,757,038.95</w:t>
            </w:r>
            <w:r>
              <w:rPr>
                <w:rFonts w:ascii="Times New Roman"/>
                <w:spacing w:val="-1"/>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1,819,658,920.36</w:t>
            </w:r>
            <w:r>
              <w:rPr>
                <w:rFonts w:ascii="Times New Roman"/>
                <w:spacing w:val="-1"/>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06" w:right="0"/>
              <w:jc w:val="left"/>
              <w:rPr>
                <w:rFonts w:ascii="Times New Roman" w:hAnsi="Times New Roman" w:cs="Times New Roman" w:eastAsia="Times New Roman" w:hint="default"/>
                <w:sz w:val="18"/>
                <w:szCs w:val="18"/>
              </w:rPr>
            </w:pPr>
            <w:r>
              <w:rPr>
                <w:rFonts w:ascii="Times New Roman"/>
                <w:b/>
                <w:sz w:val="18"/>
              </w:rPr>
              <w:t>15,210,045,595.89</w:t>
            </w:r>
            <w:r>
              <w:rPr>
                <w:rFonts w:ascii="Times New Roman"/>
                <w:sz w:val="18"/>
              </w:rPr>
            </w:r>
          </w:p>
        </w:tc>
      </w:tr>
      <w:tr>
        <w:trPr>
          <w:trHeight w:val="286" w:hRule="exact"/>
        </w:trPr>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38,277,736.50</w:t>
            </w:r>
            <w:r>
              <w:rPr>
                <w:rFonts w:ascii="Times New Roman"/>
                <w:spacing w:val="-1"/>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-80,917,044.82</w:t>
            </w:r>
            <w:r>
              <w:rPr>
                <w:rFonts w:ascii="Times New Roman"/>
                <w:spacing w:val="-1"/>
                <w:sz w:val="18"/>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Times New Roman" w:hAnsi="Times New Roman" w:cs="Times New Roman" w:eastAsia="Times New Roman" w:hint="default"/>
                <w:sz w:val="18"/>
                <w:szCs w:val="18"/>
              </w:rPr>
            </w:pPr>
            <w:r>
              <w:rPr>
                <w:rFonts w:ascii="Times New Roman"/>
                <w:b/>
                <w:spacing w:val="-1"/>
                <w:sz w:val="18"/>
              </w:rPr>
              <w:t>-1,718,818,915.41</w:t>
            </w:r>
            <w:r>
              <w:rPr>
                <w:rFonts w:ascii="Times New Roman"/>
                <w:spacing w:val="-1"/>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5" w:right="0"/>
              <w:jc w:val="left"/>
              <w:rPr>
                <w:rFonts w:ascii="Times New Roman" w:hAnsi="Times New Roman" w:cs="Times New Roman" w:eastAsia="Times New Roman" w:hint="default"/>
                <w:sz w:val="18"/>
                <w:szCs w:val="18"/>
              </w:rPr>
            </w:pPr>
            <w:r>
              <w:rPr>
                <w:rFonts w:ascii="Times New Roman"/>
                <w:b/>
                <w:sz w:val="18"/>
              </w:rPr>
              <w:t>-1,761,458,223.73</w:t>
            </w:r>
            <w:r>
              <w:rPr>
                <w:rFonts w:ascii="Times New Roman"/>
                <w:sz w:val="18"/>
              </w:rPr>
            </w:r>
          </w:p>
        </w:tc>
      </w:tr>
      <w:tr>
        <w:trPr>
          <w:trHeight w:val="286" w:hRule="exact"/>
        </w:trPr>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b/>
                <w:spacing w:val="-1"/>
                <w:sz w:val="18"/>
              </w:rPr>
              <w:t>-80,917,044.82</w:t>
            </w:r>
            <w:r>
              <w:rPr>
                <w:rFonts w:ascii="Times New Roman"/>
                <w:spacing w:val="-1"/>
                <w:sz w:val="18"/>
              </w:rPr>
            </w: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b/>
                <w:spacing w:val="-1"/>
                <w:sz w:val="18"/>
              </w:rPr>
              <w:t>-1,674,360,419.77</w:t>
            </w:r>
            <w:r>
              <w:rPr>
                <w:rFonts w:ascii="Times New Roman"/>
                <w:spacing w:val="-1"/>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5" w:right="0"/>
              <w:jc w:val="left"/>
              <w:rPr>
                <w:rFonts w:ascii="Times New Roman" w:hAnsi="Times New Roman" w:cs="Times New Roman" w:eastAsia="Times New Roman" w:hint="default"/>
                <w:sz w:val="18"/>
                <w:szCs w:val="18"/>
              </w:rPr>
            </w:pPr>
            <w:r>
              <w:rPr>
                <w:rFonts w:ascii="Times New Roman"/>
                <w:b/>
                <w:sz w:val="18"/>
              </w:rPr>
              <w:t>-1,755,277,464.59</w:t>
            </w:r>
            <w:r>
              <w:rPr>
                <w:rFonts w:ascii="Times New Roman"/>
                <w:sz w:val="18"/>
              </w:rPr>
            </w:r>
          </w:p>
        </w:tc>
      </w:tr>
      <w:tr>
        <w:trPr>
          <w:trHeight w:val="283" w:hRule="exact"/>
        </w:trPr>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（二）所有者投入和减少股本</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6" w:hRule="exact"/>
        </w:trPr>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股东投入股本</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6" w:hRule="exact"/>
        </w:trPr>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6" w:hRule="exact"/>
        </w:trPr>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3" w:hRule="exact"/>
        </w:trPr>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b/>
                <w:spacing w:val="-1"/>
                <w:sz w:val="18"/>
              </w:rPr>
              <w:t>-44,458,495.64</w:t>
            </w:r>
            <w:r>
              <w:rPr>
                <w:rFonts w:ascii="Times New Roman"/>
                <w:spacing w:val="-1"/>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b/>
                <w:spacing w:val="-1"/>
                <w:sz w:val="18"/>
              </w:rPr>
              <w:t>-44,458,495.64</w:t>
            </w:r>
            <w:r>
              <w:rPr>
                <w:rFonts w:ascii="Times New Roman"/>
                <w:spacing w:val="-1"/>
                <w:sz w:val="18"/>
              </w:rPr>
            </w:r>
          </w:p>
        </w:tc>
      </w:tr>
      <w:tr>
        <w:trPr>
          <w:trHeight w:val="286" w:hRule="exact"/>
        </w:trPr>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6" w:hRule="exact"/>
        </w:trPr>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spacing w:val="-1"/>
                <w:sz w:val="18"/>
              </w:rPr>
              <w:t>-44,458,495.64</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-44,458,495.64</w:t>
            </w:r>
            <w:r>
              <w:rPr>
                <w:rFonts w:ascii="Times New Roman"/>
                <w:spacing w:val="-1"/>
                <w:sz w:val="18"/>
              </w:rPr>
            </w:r>
          </w:p>
        </w:tc>
      </w:tr>
      <w:tr>
        <w:trPr>
          <w:trHeight w:val="286" w:hRule="exact"/>
        </w:trPr>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3" w:hRule="exact"/>
        </w:trPr>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6" w:hRule="exact"/>
        </w:trPr>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6" w:hRule="exact"/>
        </w:trPr>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6" w:hRule="exact"/>
        </w:trPr>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3" w:hRule="exact"/>
        </w:trPr>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设定收益计划变动额结转留存收益</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6" w:hRule="exact"/>
        </w:trPr>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6" w:hRule="exact"/>
        </w:trPr>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（五）其他</w:t>
            </w:r>
          </w:p>
        </w:tc>
        <w:tc>
          <w:tcPr>
            <w:tcW w:w="163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spacing w:val="-1"/>
                <w:sz w:val="18"/>
              </w:rPr>
              <w:t>38,277,736.50</w:t>
            </w:r>
          </w:p>
        </w:tc>
        <w:tc>
          <w:tcPr>
            <w:tcW w:w="1301"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38,277,736.50</w:t>
            </w:r>
            <w:r>
              <w:rPr>
                <w:rFonts w:ascii="Times New Roman"/>
                <w:spacing w:val="-1"/>
                <w:sz w:val="18"/>
              </w:rPr>
            </w:r>
          </w:p>
        </w:tc>
      </w:tr>
      <w:tr>
        <w:trPr>
          <w:trHeight w:val="286" w:hRule="exact"/>
        </w:trPr>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b/>
                <w:spacing w:val="-1"/>
                <w:sz w:val="18"/>
              </w:rPr>
              <w:t>2,963,898,951.00</w:t>
            </w:r>
            <w:r>
              <w:rPr>
                <w:rFonts w:ascii="Times New Roman"/>
                <w:spacing w:val="-1"/>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b/>
                <w:spacing w:val="-1"/>
                <w:sz w:val="18"/>
              </w:rPr>
              <w:t>9,246,622,146.05</w:t>
            </w:r>
            <w:r>
              <w:rPr>
                <w:rFonts w:ascii="Times New Roman"/>
                <w:spacing w:val="-1"/>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spacing w:val="-1"/>
                <w:sz w:val="18"/>
              </w:rPr>
              <w:t>-186,530,768.79</w:t>
            </w:r>
            <w:r>
              <w:rPr>
                <w:rFonts w:ascii="Times New Roman"/>
                <w:spacing w:val="-1"/>
                <w:sz w:val="18"/>
              </w:rPr>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b/>
                <w:spacing w:val="-1"/>
                <w:sz w:val="18"/>
              </w:rPr>
              <w:t>1,323,757,038.95</w:t>
            </w:r>
            <w:r>
              <w:rPr>
                <w:rFonts w:ascii="Times New Roman"/>
                <w:spacing w:val="-1"/>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b/>
                <w:spacing w:val="-1"/>
                <w:sz w:val="18"/>
              </w:rPr>
              <w:t>100,840,004.95</w:t>
            </w:r>
            <w:r>
              <w:rPr>
                <w:rFonts w:ascii="Times New Roman"/>
                <w:spacing w:val="-1"/>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06" w:right="0"/>
              <w:jc w:val="left"/>
              <w:rPr>
                <w:rFonts w:ascii="Times New Roman" w:hAnsi="Times New Roman" w:cs="Times New Roman" w:eastAsia="Times New Roman" w:hint="default"/>
                <w:sz w:val="18"/>
                <w:szCs w:val="18"/>
              </w:rPr>
            </w:pPr>
            <w:r>
              <w:rPr>
                <w:rFonts w:ascii="Times New Roman"/>
                <w:b/>
                <w:sz w:val="18"/>
              </w:rPr>
              <w:t>13,448,587,372.16</w:t>
            </w:r>
            <w:r>
              <w:rPr>
                <w:rFonts w:ascii="Times New Roman"/>
                <w:sz w:val="18"/>
              </w:rPr>
            </w:r>
          </w:p>
        </w:tc>
      </w:tr>
    </w:tbl>
    <w:p>
      <w:pPr>
        <w:tabs>
          <w:tab w:pos="7324" w:val="left" w:leader="none"/>
          <w:tab w:pos="12469" w:val="left" w:leader="none"/>
        </w:tabs>
        <w:spacing w:line="241" w:lineRule="exact" w:before="0"/>
        <w:ind w:left="918"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法定代表人：周立业</w:t>
        <w:tab/>
      </w:r>
      <w:r>
        <w:rPr>
          <w:rFonts w:ascii="宋体" w:hAnsi="宋体" w:cs="宋体" w:eastAsia="宋体" w:hint="default"/>
          <w:spacing w:val="-2"/>
          <w:sz w:val="21"/>
          <w:szCs w:val="21"/>
        </w:rPr>
        <w:t>财务负责人：周海英</w:t>
        <w:tab/>
        <w:t>会计机构负责人：周海英</w:t>
      </w:r>
    </w:p>
    <w:p>
      <w:pPr>
        <w:spacing w:after="0" w:line="241" w:lineRule="exact"/>
        <w:jc w:val="left"/>
        <w:rPr>
          <w:rFonts w:ascii="宋体" w:hAnsi="宋体" w:cs="宋体" w:eastAsia="宋体" w:hint="default"/>
          <w:sz w:val="21"/>
          <w:szCs w:val="21"/>
        </w:rPr>
        <w:sectPr>
          <w:pgSz w:w="16840" w:h="11910" w:orient="landscape"/>
          <w:pgMar w:header="0" w:footer="1053" w:top="1100" w:bottom="1240" w:left="500" w:right="50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line="272" w:lineRule="exact" w:before="64"/>
        <w:ind w:left="7124" w:right="7117" w:firstLine="0"/>
        <w:jc w:val="center"/>
        <w:rPr>
          <w:rFonts w:ascii="宋体" w:hAnsi="宋体" w:cs="宋体" w:eastAsia="宋体" w:hint="default"/>
          <w:sz w:val="21"/>
          <w:szCs w:val="21"/>
        </w:rPr>
      </w:pPr>
      <w:r>
        <w:rPr>
          <w:rFonts w:ascii="宋体" w:hAnsi="宋体" w:cs="宋体" w:eastAsia="宋体" w:hint="default"/>
          <w:b/>
          <w:bCs/>
          <w:sz w:val="21"/>
          <w:szCs w:val="21"/>
        </w:rPr>
        <w:t>母公司股东权益变动表</w:t>
      </w:r>
      <w:r>
        <w:rPr>
          <w:rFonts w:ascii="宋体" w:hAnsi="宋体" w:cs="宋体" w:eastAsia="宋体" w:hint="default"/>
          <w:b/>
          <w:bCs/>
          <w:w w:val="100"/>
          <w:sz w:val="21"/>
          <w:szCs w:val="21"/>
        </w:rPr>
        <w:t> </w:t>
      </w: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tabs>
          <w:tab w:pos="12553" w:val="left" w:leader="none"/>
        </w:tabs>
        <w:spacing w:before="36"/>
        <w:ind w:left="0" w:right="37"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编制单位：同方股份有限公司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11"/>
        <w:rPr>
          <w:rFonts w:ascii="宋体" w:hAnsi="宋体" w:cs="宋体" w:eastAsia="宋体" w:hint="default"/>
          <w:b/>
          <w:bCs/>
          <w:sz w:val="6"/>
          <w:szCs w:val="6"/>
        </w:rPr>
      </w:pPr>
    </w:p>
    <w:tbl>
      <w:tblPr>
        <w:tblW w:w="0" w:type="auto"/>
        <w:jc w:val="left"/>
        <w:tblInd w:w="117" w:type="dxa"/>
        <w:tblLayout w:type="fixed"/>
        <w:tblCellMar>
          <w:top w:w="0" w:type="dxa"/>
          <w:left w:w="0" w:type="dxa"/>
          <w:bottom w:w="0" w:type="dxa"/>
          <w:right w:w="0" w:type="dxa"/>
        </w:tblCellMar>
        <w:tblLook w:val="01E0"/>
      </w:tblPr>
      <w:tblGrid>
        <w:gridCol w:w="4671"/>
        <w:gridCol w:w="1688"/>
        <w:gridCol w:w="1730"/>
        <w:gridCol w:w="1289"/>
        <w:gridCol w:w="1543"/>
        <w:gridCol w:w="1731"/>
        <w:gridCol w:w="1730"/>
        <w:gridCol w:w="1731"/>
      </w:tblGrid>
      <w:tr>
        <w:trPr>
          <w:trHeight w:val="602"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99"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87"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3" w:right="0"/>
              <w:jc w:val="left"/>
              <w:rPr>
                <w:rFonts w:ascii="宋体" w:hAnsi="宋体" w:cs="宋体" w:eastAsia="宋体" w:hint="default"/>
                <w:sz w:val="18"/>
                <w:szCs w:val="18"/>
              </w:rPr>
            </w:pPr>
            <w:r>
              <w:rPr>
                <w:rFonts w:ascii="宋体" w:hAnsi="宋体" w:cs="宋体" w:eastAsia="宋体" w:hint="default"/>
                <w:b/>
                <w:bCs/>
                <w:sz w:val="18"/>
                <w:szCs w:val="18"/>
              </w:rPr>
              <w:t>其他综合收益</w:t>
            </w:r>
            <w:r>
              <w:rPr>
                <w:rFonts w:ascii="宋体" w:hAnsi="宋体" w:cs="宋体" w:eastAsia="宋体" w:hint="default"/>
                <w:sz w:val="18"/>
                <w:szCs w:val="18"/>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99"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408"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27"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288"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Times New Roman" w:hAnsi="Times New Roman" w:cs="Times New Roman" w:eastAsia="Times New Roman" w:hint="default"/>
                <w:sz w:val="18"/>
                <w:szCs w:val="18"/>
              </w:rPr>
            </w:pPr>
            <w:r>
              <w:rPr>
                <w:rFonts w:ascii="Times New Roman"/>
                <w:b/>
                <w:spacing w:val="-1"/>
                <w:sz w:val="18"/>
              </w:rPr>
              <w:t>2,963,898,951.00</w:t>
            </w:r>
            <w:r>
              <w:rPr>
                <w:rFonts w:ascii="Times New Roman"/>
                <w:spacing w:val="-1"/>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9,255,830,448.87</w:t>
            </w:r>
            <w:r>
              <w:rPr>
                <w:rFonts w:ascii="Times New Roman"/>
                <w:spacing w:val="-1"/>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b/>
                <w:spacing w:val="-1"/>
                <w:sz w:val="18"/>
              </w:rPr>
              <w:t>-277,036,204.37</w:t>
            </w:r>
            <w:r>
              <w:rPr>
                <w:rFonts w:ascii="Times New Roman"/>
                <w:spacing w:val="-1"/>
                <w:sz w:val="18"/>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Times New Roman" w:hAnsi="Times New Roman" w:cs="Times New Roman" w:eastAsia="Times New Roman" w:hint="default"/>
                <w:sz w:val="18"/>
                <w:szCs w:val="18"/>
              </w:rPr>
            </w:pPr>
            <w:r>
              <w:rPr>
                <w:rFonts w:ascii="Times New Roman"/>
                <w:b/>
                <w:spacing w:val="-1"/>
                <w:sz w:val="18"/>
              </w:rPr>
              <w:t>1,313,393,112.26</w:t>
            </w:r>
            <w:r>
              <w:rPr>
                <w:rFonts w:ascii="Times New Roman"/>
                <w:spacing w:val="-1"/>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3,004,750,386.98</w:t>
            </w:r>
            <w:r>
              <w:rPr>
                <w:rFonts w:ascii="Times New Roman"/>
                <w:spacing w:val="-1"/>
                <w:sz w:val="18"/>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16,260,836,694.74</w:t>
            </w:r>
            <w:r>
              <w:rPr>
                <w:rFonts w:ascii="Times New Roman"/>
                <w:spacing w:val="-1"/>
                <w:sz w:val="18"/>
              </w:rPr>
            </w:r>
          </w:p>
        </w:tc>
      </w:tr>
      <w:tr>
        <w:trPr>
          <w:trHeight w:val="289"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6"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82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8"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6"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Times New Roman" w:hAnsi="Times New Roman" w:cs="Times New Roman" w:eastAsia="Times New Roman" w:hint="default"/>
                <w:sz w:val="18"/>
                <w:szCs w:val="18"/>
              </w:rPr>
            </w:pPr>
            <w:r>
              <w:rPr>
                <w:rFonts w:ascii="Times New Roman"/>
                <w:b/>
                <w:spacing w:val="-1"/>
                <w:sz w:val="18"/>
              </w:rPr>
              <w:t>2,963,898,951.00</w:t>
            </w:r>
            <w:r>
              <w:rPr>
                <w:rFonts w:ascii="Times New Roman"/>
                <w:spacing w:val="-1"/>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9,255,830,448.87</w:t>
            </w:r>
            <w:r>
              <w:rPr>
                <w:rFonts w:ascii="Times New Roman"/>
                <w:spacing w:val="-1"/>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b/>
                <w:spacing w:val="-1"/>
                <w:sz w:val="18"/>
              </w:rPr>
              <w:t>-277,036,204.37</w:t>
            </w:r>
            <w:r>
              <w:rPr>
                <w:rFonts w:ascii="Times New Roman"/>
                <w:spacing w:val="-1"/>
                <w:sz w:val="18"/>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Times New Roman" w:hAnsi="Times New Roman" w:cs="Times New Roman" w:eastAsia="Times New Roman" w:hint="default"/>
                <w:sz w:val="18"/>
                <w:szCs w:val="18"/>
              </w:rPr>
            </w:pPr>
            <w:r>
              <w:rPr>
                <w:rFonts w:ascii="Times New Roman"/>
                <w:b/>
                <w:spacing w:val="-1"/>
                <w:sz w:val="18"/>
              </w:rPr>
              <w:t>1,313,393,112.26</w:t>
            </w:r>
            <w:r>
              <w:rPr>
                <w:rFonts w:ascii="Times New Roman"/>
                <w:spacing w:val="-1"/>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3,004,750,386.98</w:t>
            </w:r>
            <w:r>
              <w:rPr>
                <w:rFonts w:ascii="Times New Roman"/>
                <w:spacing w:val="-1"/>
                <w:sz w:val="18"/>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16,260,836,694.74</w:t>
            </w:r>
            <w:r>
              <w:rPr>
                <w:rFonts w:ascii="Times New Roman"/>
                <w:spacing w:val="-1"/>
                <w:sz w:val="18"/>
              </w:rPr>
            </w:r>
          </w:p>
        </w:tc>
      </w:tr>
      <w:tr>
        <w:trPr>
          <w:trHeight w:val="288"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宋体" w:hAnsi="宋体" w:cs="宋体" w:eastAsia="宋体"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-47,486,039.32</w:t>
            </w:r>
            <w:r>
              <w:rPr>
                <w:rFonts w:ascii="Times New Roman"/>
                <w:spacing w:val="-1"/>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b/>
                <w:spacing w:val="-1"/>
                <w:sz w:val="18"/>
              </w:rPr>
              <w:t>171,422,480.40</w:t>
            </w:r>
            <w:r>
              <w:rPr>
                <w:rFonts w:ascii="Times New Roman"/>
                <w:spacing w:val="-1"/>
                <w:sz w:val="18"/>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Times New Roman" w:hAnsi="Times New Roman" w:cs="Times New Roman" w:eastAsia="Times New Roman" w:hint="default"/>
                <w:sz w:val="18"/>
                <w:szCs w:val="18"/>
              </w:rPr>
            </w:pPr>
            <w:r>
              <w:rPr>
                <w:rFonts w:ascii="Times New Roman"/>
                <w:b/>
                <w:spacing w:val="-1"/>
                <w:sz w:val="18"/>
              </w:rPr>
              <w:t>10,363,926.69</w:t>
            </w:r>
            <w:r>
              <w:rPr>
                <w:rFonts w:ascii="Times New Roman"/>
                <w:spacing w:val="-1"/>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Times New Roman" w:hAnsi="Times New Roman" w:cs="Times New Roman" w:eastAsia="Times New Roman" w:hint="default"/>
                <w:sz w:val="18"/>
                <w:szCs w:val="18"/>
              </w:rPr>
            </w:pPr>
            <w:r>
              <w:rPr>
                <w:rFonts w:ascii="Times New Roman"/>
                <w:b/>
                <w:spacing w:val="-1"/>
                <w:sz w:val="18"/>
              </w:rPr>
              <w:t>-1,185,091,466.62</w:t>
            </w:r>
            <w:r>
              <w:rPr>
                <w:rFonts w:ascii="Times New Roman"/>
                <w:spacing w:val="-1"/>
                <w:sz w:val="18"/>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Times New Roman" w:hAnsi="Times New Roman" w:cs="Times New Roman" w:eastAsia="Times New Roman" w:hint="default"/>
                <w:sz w:val="18"/>
                <w:szCs w:val="18"/>
              </w:rPr>
            </w:pPr>
            <w:r>
              <w:rPr>
                <w:rFonts w:ascii="Times New Roman"/>
                <w:b/>
                <w:spacing w:val="-1"/>
                <w:sz w:val="18"/>
              </w:rPr>
              <w:t>-1,050,791,098.85</w:t>
            </w:r>
            <w:r>
              <w:rPr>
                <w:rFonts w:ascii="Times New Roman"/>
                <w:spacing w:val="-1"/>
                <w:sz w:val="18"/>
              </w:rPr>
            </w:r>
          </w:p>
        </w:tc>
      </w:tr>
      <w:tr>
        <w:trPr>
          <w:trHeight w:val="288"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b/>
                <w:spacing w:val="-1"/>
                <w:sz w:val="18"/>
              </w:rPr>
              <w:t>171,422,480.40</w:t>
            </w:r>
            <w:r>
              <w:rPr>
                <w:rFonts w:ascii="Times New Roman"/>
                <w:spacing w:val="-1"/>
                <w:sz w:val="18"/>
              </w:rPr>
            </w:r>
          </w:p>
        </w:tc>
        <w:tc>
          <w:tcPr>
            <w:tcW w:w="1731"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b/>
                <w:spacing w:val="-1"/>
                <w:sz w:val="18"/>
              </w:rPr>
              <w:t>-433,752,802.18</w:t>
            </w:r>
            <w:r>
              <w:rPr>
                <w:rFonts w:ascii="Times New Roman"/>
                <w:spacing w:val="-1"/>
                <w:sz w:val="18"/>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b/>
                <w:spacing w:val="-1"/>
                <w:sz w:val="18"/>
              </w:rPr>
              <w:t>-262,330,321.78</w:t>
            </w:r>
            <w:r>
              <w:rPr>
                <w:rFonts w:ascii="Times New Roman"/>
                <w:spacing w:val="-1"/>
                <w:sz w:val="18"/>
              </w:rPr>
            </w:r>
          </w:p>
        </w:tc>
      </w:tr>
      <w:tr>
        <w:trPr>
          <w:trHeight w:val="286"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（二）所有者投入和减少股本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8"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股东投入股本</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6"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8"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6"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Times New Roman" w:hAnsi="Times New Roman" w:cs="Times New Roman" w:eastAsia="Times New Roman" w:hint="default"/>
                <w:sz w:val="18"/>
                <w:szCs w:val="18"/>
              </w:rPr>
            </w:pPr>
            <w:r>
              <w:rPr>
                <w:rFonts w:ascii="Times New Roman"/>
                <w:b/>
                <w:spacing w:val="-1"/>
                <w:sz w:val="18"/>
              </w:rPr>
              <w:t>10,363,926.69</w:t>
            </w:r>
            <w:r>
              <w:rPr>
                <w:rFonts w:ascii="Times New Roman"/>
                <w:spacing w:val="-1"/>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b/>
                <w:spacing w:val="-1"/>
                <w:sz w:val="18"/>
              </w:rPr>
              <w:t>-751,338,664.44</w:t>
            </w:r>
            <w:r>
              <w:rPr>
                <w:rFonts w:ascii="Times New Roman"/>
                <w:spacing w:val="-1"/>
                <w:sz w:val="18"/>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b/>
                <w:spacing w:val="-1"/>
                <w:sz w:val="18"/>
              </w:rPr>
              <w:t>-740,974,737.75</w:t>
            </w:r>
            <w:r>
              <w:rPr>
                <w:rFonts w:ascii="Times New Roman"/>
                <w:spacing w:val="-1"/>
                <w:sz w:val="18"/>
              </w:rPr>
            </w:r>
          </w:p>
        </w:tc>
      </w:tr>
      <w:tr>
        <w:trPr>
          <w:trHeight w:val="288"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4"/>
              <w:jc w:val="right"/>
              <w:rPr>
                <w:rFonts w:ascii="Times New Roman" w:hAnsi="Times New Roman" w:cs="Times New Roman" w:eastAsia="Times New Roman" w:hint="default"/>
                <w:sz w:val="18"/>
                <w:szCs w:val="18"/>
              </w:rPr>
            </w:pPr>
            <w:r>
              <w:rPr>
                <w:rFonts w:ascii="Times New Roman"/>
                <w:spacing w:val="-1"/>
                <w:sz w:val="18"/>
              </w:rPr>
              <w:t>10,363,926.69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3"/>
              <w:jc w:val="right"/>
              <w:rPr>
                <w:rFonts w:ascii="Times New Roman" w:hAnsi="Times New Roman" w:cs="Times New Roman" w:eastAsia="Times New Roman" w:hint="default"/>
                <w:sz w:val="18"/>
                <w:szCs w:val="18"/>
              </w:rPr>
            </w:pPr>
            <w:r>
              <w:rPr>
                <w:rFonts w:ascii="Times New Roman"/>
                <w:spacing w:val="-1"/>
                <w:sz w:val="18"/>
              </w:rPr>
              <w:t>-10,363,926.69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8"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-740,974,737.75</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b/>
                <w:spacing w:val="-1"/>
                <w:sz w:val="18"/>
              </w:rPr>
              <w:t>-740,974,737.75</w:t>
            </w:r>
            <w:r>
              <w:rPr>
                <w:rFonts w:ascii="Times New Roman"/>
                <w:spacing w:val="-1"/>
                <w:sz w:val="18"/>
              </w:rPr>
            </w:r>
          </w:p>
        </w:tc>
      </w:tr>
      <w:tr>
        <w:trPr>
          <w:trHeight w:val="286"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8"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6"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9"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8"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6"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设定收益计划变动额结转留存收益</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8"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86"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（五）其他</w:t>
            </w:r>
          </w:p>
        </w:tc>
        <w:tc>
          <w:tcPr>
            <w:tcW w:w="168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-47,486,039.32</w:t>
            </w:r>
          </w:p>
        </w:tc>
        <w:tc>
          <w:tcPr>
            <w:tcW w:w="1289"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b/>
                <w:spacing w:val="-1"/>
                <w:sz w:val="18"/>
              </w:rPr>
              <w:t>-47,486,039.32</w:t>
            </w:r>
            <w:r>
              <w:rPr>
                <w:rFonts w:ascii="Times New Roman"/>
                <w:spacing w:val="-1"/>
                <w:sz w:val="18"/>
              </w:rPr>
            </w:r>
          </w:p>
        </w:tc>
      </w:tr>
      <w:tr>
        <w:trPr>
          <w:trHeight w:val="288"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Times New Roman" w:hAnsi="Times New Roman" w:cs="Times New Roman" w:eastAsia="Times New Roman" w:hint="default"/>
                <w:sz w:val="18"/>
                <w:szCs w:val="18"/>
              </w:rPr>
            </w:pPr>
            <w:r>
              <w:rPr>
                <w:rFonts w:ascii="Times New Roman"/>
                <w:b/>
                <w:spacing w:val="-1"/>
                <w:sz w:val="18"/>
              </w:rPr>
              <w:t>2,963,898,951.00</w:t>
            </w:r>
            <w:r>
              <w:rPr>
                <w:rFonts w:ascii="Times New Roman"/>
                <w:spacing w:val="-1"/>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9,208,344,409.55</w:t>
            </w:r>
            <w:r>
              <w:rPr>
                <w:rFonts w:ascii="Times New Roman"/>
                <w:spacing w:val="-1"/>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b/>
                <w:spacing w:val="-1"/>
                <w:sz w:val="18"/>
              </w:rPr>
              <w:t>-105,613,723.97</w:t>
            </w:r>
            <w:r>
              <w:rPr>
                <w:rFonts w:ascii="Times New Roman"/>
                <w:spacing w:val="-1"/>
                <w:sz w:val="18"/>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Times New Roman" w:hAnsi="Times New Roman" w:cs="Times New Roman" w:eastAsia="Times New Roman" w:hint="default"/>
                <w:sz w:val="18"/>
                <w:szCs w:val="18"/>
              </w:rPr>
            </w:pPr>
            <w:r>
              <w:rPr>
                <w:rFonts w:ascii="Times New Roman"/>
                <w:b/>
                <w:spacing w:val="-1"/>
                <w:sz w:val="18"/>
              </w:rPr>
              <w:t>1,323,757,038.95</w:t>
            </w:r>
            <w:r>
              <w:rPr>
                <w:rFonts w:ascii="Times New Roman"/>
                <w:spacing w:val="-1"/>
                <w:sz w:val="18"/>
              </w:rPr>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18"/>
                <w:szCs w:val="18"/>
              </w:rPr>
            </w:pPr>
            <w:r>
              <w:rPr>
                <w:rFonts w:ascii="Times New Roman"/>
                <w:b/>
                <w:spacing w:val="-1"/>
                <w:sz w:val="18"/>
              </w:rPr>
              <w:t>1,819,658,920.36</w:t>
            </w:r>
            <w:r>
              <w:rPr>
                <w:rFonts w:ascii="Times New Roman"/>
                <w:spacing w:val="-1"/>
                <w:sz w:val="18"/>
              </w:rPr>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15,210,045,595.89</w:t>
            </w:r>
            <w:r>
              <w:rPr>
                <w:rFonts w:ascii="Times New Roman"/>
                <w:spacing w:val="-1"/>
                <w:sz w:val="18"/>
              </w:rPr>
            </w:r>
          </w:p>
        </w:tc>
      </w:tr>
    </w:tbl>
    <w:p>
      <w:pPr>
        <w:tabs>
          <w:tab w:pos="7584" w:val="left" w:leader="none"/>
          <w:tab w:pos="12729" w:val="left" w:leader="none"/>
        </w:tabs>
        <w:spacing w:line="241" w:lineRule="exact" w:before="0"/>
        <w:ind w:left="1178"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法定代表人：周立业</w:t>
        <w:tab/>
      </w:r>
      <w:r>
        <w:rPr>
          <w:rFonts w:ascii="宋体" w:hAnsi="宋体" w:cs="宋体" w:eastAsia="宋体" w:hint="default"/>
          <w:spacing w:val="-2"/>
          <w:sz w:val="21"/>
          <w:szCs w:val="21"/>
        </w:rPr>
        <w:t>财务负责人：周海英</w:t>
        <w:tab/>
        <w:t>会计机构负责人：周海英</w:t>
      </w:r>
    </w:p>
    <w:p>
      <w:pPr>
        <w:spacing w:after="0" w:line="241" w:lineRule="exact"/>
        <w:jc w:val="left"/>
        <w:rPr>
          <w:rFonts w:ascii="宋体" w:hAnsi="宋体" w:cs="宋体" w:eastAsia="宋体" w:hint="default"/>
          <w:sz w:val="21"/>
          <w:szCs w:val="21"/>
        </w:rPr>
        <w:sectPr>
          <w:pgSz w:w="16840" w:h="11910" w:orient="landscape"/>
          <w:pgMar w:header="0" w:footer="1053" w:top="1100" w:bottom="1240" w:left="240" w:right="240"/>
        </w:sectPr>
      </w:pPr>
    </w:p>
    <w:p>
      <w:pPr>
        <w:pStyle w:val="Heading2"/>
        <w:spacing w:line="240" w:lineRule="auto" w:before="4"/>
        <w:ind w:left="102" w:right="0"/>
        <w:jc w:val="both"/>
        <w:rPr>
          <w:b w:val="0"/>
          <w:bCs w:val="0"/>
        </w:rPr>
      </w:pPr>
      <w:r>
        <w:rPr/>
        <w:t>财务报表附注：</w:t>
      </w:r>
      <w:r>
        <w:rPr>
          <w:b w:val="0"/>
          <w:bCs w:val="0"/>
        </w:rPr>
      </w:r>
    </w:p>
    <w:p>
      <w:pPr>
        <w:spacing w:line="240" w:lineRule="auto" w:before="8"/>
        <w:rPr>
          <w:rFonts w:ascii="宋体" w:hAnsi="宋体" w:cs="宋体" w:eastAsia="宋体" w:hint="default"/>
          <w:b/>
          <w:bCs/>
          <w:sz w:val="28"/>
          <w:szCs w:val="28"/>
        </w:rPr>
      </w:pPr>
    </w:p>
    <w:p>
      <w:pPr>
        <w:spacing w:before="0"/>
        <w:ind w:left="102" w:right="0" w:firstLine="0"/>
        <w:jc w:val="both"/>
        <w:rPr>
          <w:rFonts w:ascii="宋体" w:hAnsi="宋体" w:cs="宋体" w:eastAsia="宋体" w:hint="default"/>
          <w:sz w:val="21"/>
          <w:szCs w:val="21"/>
        </w:rPr>
      </w:pPr>
      <w:r>
        <w:rPr>
          <w:rFonts w:ascii="宋体" w:hAnsi="宋体" w:cs="宋体" w:eastAsia="宋体" w:hint="default"/>
          <w:b/>
          <w:bCs/>
          <w:sz w:val="21"/>
          <w:szCs w:val="21"/>
        </w:rPr>
        <w:t>一、公司的基本情况</w:t>
      </w:r>
      <w:r>
        <w:rPr>
          <w:rFonts w:ascii="宋体" w:hAnsi="宋体" w:cs="宋体" w:eastAsia="宋体" w:hint="default"/>
          <w:sz w:val="21"/>
          <w:szCs w:val="21"/>
        </w:rPr>
      </w:r>
    </w:p>
    <w:p>
      <w:pPr>
        <w:spacing w:line="297" w:lineRule="auto" w:before="54"/>
        <w:ind w:left="102" w:right="213" w:firstLine="439"/>
        <w:jc w:val="both"/>
        <w:rPr>
          <w:rFonts w:ascii="宋体" w:hAnsi="宋体" w:cs="宋体" w:eastAsia="宋体" w:hint="default"/>
          <w:sz w:val="22"/>
          <w:szCs w:val="22"/>
        </w:rPr>
      </w:pPr>
      <w:r>
        <w:rPr>
          <w:rFonts w:ascii="宋体" w:hAnsi="宋体" w:cs="宋体" w:eastAsia="宋体" w:hint="default"/>
          <w:spacing w:val="-4"/>
          <w:sz w:val="22"/>
          <w:szCs w:val="22"/>
        </w:rPr>
        <w:t>同方股份有限公司（原名“清华同方股份有限公司”，自</w:t>
      </w:r>
      <w:r>
        <w:rPr>
          <w:rFonts w:ascii="宋体" w:hAnsi="宋体" w:cs="宋体" w:eastAsia="宋体" w:hint="default"/>
          <w:spacing w:val="-51"/>
          <w:sz w:val="22"/>
          <w:szCs w:val="22"/>
        </w:rPr>
        <w:t> </w:t>
      </w:r>
      <w:r>
        <w:rPr>
          <w:rFonts w:ascii="宋体" w:hAnsi="宋体" w:cs="宋体" w:eastAsia="宋体" w:hint="default"/>
          <w:sz w:val="22"/>
          <w:szCs w:val="22"/>
        </w:rPr>
        <w:t>2006</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宋体" w:hAnsi="宋体" w:cs="宋体" w:eastAsia="宋体" w:hint="default"/>
          <w:sz w:val="22"/>
          <w:szCs w:val="22"/>
        </w:rPr>
        <w:t>5</w:t>
      </w:r>
      <w:r>
        <w:rPr>
          <w:rFonts w:ascii="宋体" w:hAnsi="宋体" w:cs="宋体" w:eastAsia="宋体" w:hint="default"/>
          <w:spacing w:val="-51"/>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宋体" w:hAnsi="宋体" w:cs="宋体" w:eastAsia="宋体" w:hint="default"/>
          <w:sz w:val="22"/>
          <w:szCs w:val="22"/>
        </w:rPr>
        <w:t>30</w:t>
      </w:r>
      <w:r>
        <w:rPr>
          <w:rFonts w:ascii="宋体" w:hAnsi="宋体" w:cs="宋体" w:eastAsia="宋体" w:hint="default"/>
          <w:spacing w:val="-54"/>
          <w:sz w:val="22"/>
          <w:szCs w:val="22"/>
        </w:rPr>
        <w:t> </w:t>
      </w:r>
      <w:r>
        <w:rPr>
          <w:rFonts w:ascii="宋体" w:hAnsi="宋体" w:cs="宋体" w:eastAsia="宋体" w:hint="default"/>
          <w:sz w:val="22"/>
          <w:szCs w:val="22"/>
        </w:rPr>
        <w:t>日起更名为</w:t>
      </w:r>
      <w:r>
        <w:rPr>
          <w:rFonts w:ascii="宋体" w:hAnsi="宋体" w:cs="宋体" w:eastAsia="宋体" w:hint="default"/>
          <w:w w:val="100"/>
          <w:sz w:val="22"/>
          <w:szCs w:val="22"/>
        </w:rPr>
        <w:t> </w:t>
      </w:r>
      <w:r>
        <w:rPr>
          <w:rFonts w:ascii="宋体" w:hAnsi="宋体" w:cs="宋体" w:eastAsia="宋体" w:hint="default"/>
          <w:spacing w:val="-3"/>
          <w:sz w:val="22"/>
          <w:szCs w:val="22"/>
        </w:rPr>
        <w:t>“同方股份有限公司”，以下简称“公司”或“本公司”）是经国家体改委和国家教委批</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准，由清华控股有限公司（原“北京清华大学企业集团”）作为主要发起人，以社会募集</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8"/>
          <w:w w:val="100"/>
          <w:sz w:val="22"/>
          <w:szCs w:val="22"/>
        </w:rPr>
        <w:t>方式设立的股份有限公司。公司于</w:t>
      </w:r>
      <w:r>
        <w:rPr>
          <w:rFonts w:ascii="宋体" w:hAnsi="宋体" w:cs="宋体" w:eastAsia="宋体" w:hint="default"/>
          <w:spacing w:val="-50"/>
          <w:w w:val="100"/>
          <w:sz w:val="22"/>
          <w:szCs w:val="22"/>
        </w:rPr>
        <w:t> </w:t>
      </w:r>
      <w:r>
        <w:rPr>
          <w:rFonts w:ascii="宋体" w:hAnsi="宋体" w:cs="宋体" w:eastAsia="宋体" w:hint="default"/>
          <w:w w:val="100"/>
          <w:sz w:val="22"/>
          <w:szCs w:val="22"/>
        </w:rPr>
        <w:t>1997</w:t>
      </w:r>
      <w:r>
        <w:rPr>
          <w:rFonts w:ascii="宋体" w:hAnsi="宋体" w:cs="宋体" w:eastAsia="宋体" w:hint="default"/>
          <w:spacing w:val="-54"/>
          <w:w w:val="100"/>
          <w:sz w:val="22"/>
          <w:szCs w:val="22"/>
        </w:rPr>
        <w:t> </w:t>
      </w:r>
      <w:r>
        <w:rPr>
          <w:rFonts w:ascii="宋体" w:hAnsi="宋体" w:cs="宋体" w:eastAsia="宋体" w:hint="default"/>
          <w:w w:val="100"/>
          <w:sz w:val="22"/>
          <w:szCs w:val="22"/>
        </w:rPr>
        <w:t>年</w:t>
      </w:r>
      <w:r>
        <w:rPr>
          <w:rFonts w:ascii="宋体" w:hAnsi="宋体" w:cs="宋体" w:eastAsia="宋体" w:hint="default"/>
          <w:spacing w:val="-50"/>
          <w:w w:val="100"/>
          <w:sz w:val="22"/>
          <w:szCs w:val="22"/>
        </w:rPr>
        <w:t> </w:t>
      </w:r>
      <w:r>
        <w:rPr>
          <w:rFonts w:ascii="宋体" w:hAnsi="宋体" w:cs="宋体" w:eastAsia="宋体" w:hint="default"/>
          <w:w w:val="100"/>
          <w:sz w:val="22"/>
          <w:szCs w:val="22"/>
        </w:rPr>
        <w:t>6</w:t>
      </w:r>
      <w:r>
        <w:rPr>
          <w:rFonts w:ascii="宋体" w:hAnsi="宋体" w:cs="宋体" w:eastAsia="宋体" w:hint="default"/>
          <w:spacing w:val="-50"/>
          <w:w w:val="100"/>
          <w:sz w:val="22"/>
          <w:szCs w:val="22"/>
        </w:rPr>
        <w:t> </w:t>
      </w:r>
      <w:r>
        <w:rPr>
          <w:rFonts w:ascii="宋体" w:hAnsi="宋体" w:cs="宋体" w:eastAsia="宋体" w:hint="default"/>
          <w:spacing w:val="-6"/>
          <w:w w:val="100"/>
          <w:sz w:val="22"/>
          <w:szCs w:val="22"/>
        </w:rPr>
        <w:t>月经中国证券监督管理委员会（以下简称“中</w:t>
      </w:r>
    </w:p>
    <w:p>
      <w:pPr>
        <w:spacing w:line="297" w:lineRule="auto" w:before="17"/>
        <w:ind w:left="102" w:right="211" w:firstLine="0"/>
        <w:jc w:val="both"/>
        <w:rPr>
          <w:rFonts w:ascii="宋体" w:hAnsi="宋体" w:cs="宋体" w:eastAsia="宋体" w:hint="default"/>
          <w:sz w:val="22"/>
          <w:szCs w:val="22"/>
        </w:rPr>
      </w:pPr>
      <w:r>
        <w:rPr>
          <w:rFonts w:ascii="宋体" w:hAnsi="宋体" w:cs="宋体" w:eastAsia="宋体" w:hint="default"/>
          <w:sz w:val="22"/>
          <w:szCs w:val="22"/>
        </w:rPr>
        <w:t>国证监会”）证监发</w:t>
      </w:r>
      <w:r>
        <w:rPr>
          <w:rFonts w:ascii="宋体" w:hAnsi="宋体" w:cs="宋体" w:eastAsia="宋体" w:hint="default"/>
          <w:sz w:val="22"/>
          <w:szCs w:val="22"/>
        </w:rPr>
        <w:t>[1997] 316 </w:t>
      </w:r>
      <w:r>
        <w:rPr>
          <w:rFonts w:ascii="宋体" w:hAnsi="宋体" w:cs="宋体" w:eastAsia="宋体" w:hint="default"/>
          <w:spacing w:val="-5"/>
          <w:sz w:val="22"/>
          <w:szCs w:val="22"/>
        </w:rPr>
        <w:t>号文批准，首次发行人民币普通股 </w:t>
      </w:r>
      <w:r>
        <w:rPr>
          <w:rFonts w:ascii="宋体" w:hAnsi="宋体" w:cs="宋体" w:eastAsia="宋体" w:hint="default"/>
          <w:sz w:val="22"/>
          <w:szCs w:val="22"/>
        </w:rPr>
        <w:t>110,700,000</w:t>
      </w:r>
      <w:r>
        <w:rPr>
          <w:rFonts w:ascii="宋体" w:hAnsi="宋体" w:cs="宋体" w:eastAsia="宋体" w:hint="default"/>
          <w:spacing w:val="-60"/>
          <w:sz w:val="22"/>
          <w:szCs w:val="22"/>
        </w:rPr>
        <w:t> </w:t>
      </w:r>
      <w:r>
        <w:rPr>
          <w:rFonts w:ascii="宋体" w:hAnsi="宋体" w:cs="宋体" w:eastAsia="宋体" w:hint="default"/>
          <w:spacing w:val="-17"/>
          <w:sz w:val="22"/>
          <w:szCs w:val="22"/>
        </w:rPr>
        <w:t>股，其</w:t>
      </w:r>
      <w:r>
        <w:rPr>
          <w:rFonts w:ascii="宋体" w:hAnsi="宋体" w:cs="宋体" w:eastAsia="宋体" w:hint="default"/>
          <w:w w:val="100"/>
          <w:sz w:val="22"/>
          <w:szCs w:val="22"/>
        </w:rPr>
        <w:t> </w:t>
      </w:r>
      <w:r>
        <w:rPr>
          <w:rFonts w:ascii="宋体" w:hAnsi="宋体" w:cs="宋体" w:eastAsia="宋体" w:hint="default"/>
          <w:spacing w:val="12"/>
          <w:sz w:val="22"/>
          <w:szCs w:val="22"/>
        </w:rPr>
        <w:t>中，发起人持有</w:t>
      </w:r>
      <w:r>
        <w:rPr>
          <w:rFonts w:ascii="宋体" w:hAnsi="宋体" w:cs="宋体" w:eastAsia="宋体" w:hint="default"/>
          <w:spacing w:val="38"/>
          <w:sz w:val="22"/>
          <w:szCs w:val="22"/>
        </w:rPr>
        <w:t> </w:t>
      </w:r>
      <w:r>
        <w:rPr>
          <w:rFonts w:ascii="宋体" w:hAnsi="宋体" w:cs="宋体" w:eastAsia="宋体" w:hint="default"/>
          <w:sz w:val="22"/>
          <w:szCs w:val="22"/>
        </w:rPr>
        <w:t>68,700,000</w:t>
      </w:r>
      <w:r>
        <w:rPr>
          <w:rFonts w:ascii="宋体" w:hAnsi="宋体" w:cs="宋体" w:eastAsia="宋体" w:hint="default"/>
          <w:spacing w:val="37"/>
          <w:sz w:val="22"/>
          <w:szCs w:val="22"/>
        </w:rPr>
        <w:t> </w:t>
      </w:r>
      <w:r>
        <w:rPr>
          <w:rFonts w:ascii="宋体" w:hAnsi="宋体" w:cs="宋体" w:eastAsia="宋体" w:hint="default"/>
          <w:spacing w:val="13"/>
          <w:sz w:val="22"/>
          <w:szCs w:val="22"/>
        </w:rPr>
        <w:t>股，占公司股份总数的</w:t>
      </w:r>
      <w:r>
        <w:rPr>
          <w:rFonts w:ascii="宋体" w:hAnsi="宋体" w:cs="宋体" w:eastAsia="宋体" w:hint="default"/>
          <w:spacing w:val="40"/>
          <w:sz w:val="22"/>
          <w:szCs w:val="22"/>
        </w:rPr>
        <w:t> </w:t>
      </w:r>
      <w:r>
        <w:rPr>
          <w:rFonts w:ascii="宋体" w:hAnsi="宋体" w:cs="宋体" w:eastAsia="宋体" w:hint="default"/>
          <w:spacing w:val="8"/>
          <w:sz w:val="22"/>
          <w:szCs w:val="22"/>
        </w:rPr>
        <w:t>62.06%</w:t>
      </w:r>
      <w:r>
        <w:rPr>
          <w:rFonts w:ascii="宋体" w:hAnsi="宋体" w:cs="宋体" w:eastAsia="宋体" w:hint="default"/>
          <w:spacing w:val="8"/>
          <w:sz w:val="22"/>
          <w:szCs w:val="22"/>
        </w:rPr>
        <w:t>，向境内社会公众发行</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42,000,000</w:t>
      </w:r>
      <w:r>
        <w:rPr>
          <w:rFonts w:ascii="宋体" w:hAnsi="宋体" w:cs="宋体" w:eastAsia="宋体" w:hint="default"/>
          <w:spacing w:val="-50"/>
          <w:sz w:val="22"/>
          <w:szCs w:val="22"/>
        </w:rPr>
        <w:t> </w:t>
      </w:r>
      <w:r>
        <w:rPr>
          <w:rFonts w:ascii="宋体" w:hAnsi="宋体" w:cs="宋体" w:eastAsia="宋体" w:hint="default"/>
          <w:sz w:val="22"/>
          <w:szCs w:val="22"/>
        </w:rPr>
        <w:t>股，占公司股份总数的</w:t>
      </w:r>
      <w:r>
        <w:rPr>
          <w:rFonts w:ascii="宋体" w:hAnsi="宋体" w:cs="宋体" w:eastAsia="宋体" w:hint="default"/>
          <w:spacing w:val="-50"/>
          <w:sz w:val="22"/>
          <w:szCs w:val="22"/>
        </w:rPr>
        <w:t> </w:t>
      </w:r>
      <w:r>
        <w:rPr>
          <w:rFonts w:ascii="宋体" w:hAnsi="宋体" w:cs="宋体" w:eastAsia="宋体" w:hint="default"/>
          <w:sz w:val="22"/>
          <w:szCs w:val="22"/>
        </w:rPr>
        <w:t>37.94%</w:t>
      </w:r>
      <w:r>
        <w:rPr>
          <w:rFonts w:ascii="宋体" w:hAnsi="宋体" w:cs="宋体" w:eastAsia="宋体" w:hint="default"/>
          <w:sz w:val="22"/>
          <w:szCs w:val="22"/>
        </w:rPr>
        <w:t>。公司于</w:t>
      </w:r>
      <w:r>
        <w:rPr>
          <w:rFonts w:ascii="宋体" w:hAnsi="宋体" w:cs="宋体" w:eastAsia="宋体" w:hint="default"/>
          <w:spacing w:val="-50"/>
          <w:sz w:val="22"/>
          <w:szCs w:val="22"/>
        </w:rPr>
        <w:t> </w:t>
      </w:r>
      <w:r>
        <w:rPr>
          <w:rFonts w:ascii="宋体" w:hAnsi="宋体" w:cs="宋体" w:eastAsia="宋体" w:hint="default"/>
          <w:sz w:val="22"/>
          <w:szCs w:val="22"/>
        </w:rPr>
        <w:t>1997</w:t>
      </w:r>
      <w:r>
        <w:rPr>
          <w:rFonts w:ascii="宋体" w:hAnsi="宋体" w:cs="宋体" w:eastAsia="宋体" w:hint="default"/>
          <w:spacing w:val="-50"/>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6</w:t>
      </w:r>
      <w:r>
        <w:rPr>
          <w:rFonts w:ascii="宋体" w:hAnsi="宋体" w:cs="宋体" w:eastAsia="宋体" w:hint="default"/>
          <w:spacing w:val="-53"/>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25</w:t>
      </w:r>
      <w:r>
        <w:rPr>
          <w:rFonts w:ascii="宋体" w:hAnsi="宋体" w:cs="宋体" w:eastAsia="宋体" w:hint="default"/>
          <w:spacing w:val="-53"/>
          <w:sz w:val="22"/>
          <w:szCs w:val="22"/>
        </w:rPr>
        <w:t> </w:t>
      </w:r>
      <w:r>
        <w:rPr>
          <w:rFonts w:ascii="宋体" w:hAnsi="宋体" w:cs="宋体" w:eastAsia="宋体" w:hint="default"/>
          <w:sz w:val="22"/>
          <w:szCs w:val="22"/>
        </w:rPr>
        <w:t>日在国家工商行政管</w:t>
      </w:r>
    </w:p>
    <w:p>
      <w:pPr>
        <w:spacing w:before="17"/>
        <w:ind w:left="102" w:right="0" w:firstLine="0"/>
        <w:jc w:val="both"/>
        <w:rPr>
          <w:rFonts w:ascii="宋体" w:hAnsi="宋体" w:cs="宋体" w:eastAsia="宋体" w:hint="default"/>
          <w:sz w:val="22"/>
          <w:szCs w:val="22"/>
        </w:rPr>
      </w:pPr>
      <w:r>
        <w:rPr>
          <w:rFonts w:ascii="宋体" w:hAnsi="宋体" w:cs="宋体" w:eastAsia="宋体" w:hint="default"/>
          <w:spacing w:val="-3"/>
          <w:sz w:val="22"/>
          <w:szCs w:val="22"/>
        </w:rPr>
        <w:t>理局登记注册，设立时注册资本为人民币 </w:t>
      </w:r>
      <w:r>
        <w:rPr>
          <w:rFonts w:ascii="宋体" w:hAnsi="宋体" w:cs="宋体" w:eastAsia="宋体" w:hint="default"/>
          <w:sz w:val="22"/>
          <w:szCs w:val="22"/>
        </w:rPr>
        <w:t>110,700,000</w:t>
      </w:r>
      <w:r>
        <w:rPr>
          <w:rFonts w:ascii="宋体" w:hAnsi="宋体" w:cs="宋体" w:eastAsia="宋体" w:hint="default"/>
          <w:spacing w:val="-73"/>
          <w:sz w:val="22"/>
          <w:szCs w:val="22"/>
        </w:rPr>
        <w:t> </w:t>
      </w:r>
      <w:r>
        <w:rPr>
          <w:rFonts w:ascii="宋体" w:hAnsi="宋体" w:cs="宋体" w:eastAsia="宋体" w:hint="default"/>
          <w:spacing w:val="-4"/>
          <w:sz w:val="22"/>
          <w:szCs w:val="22"/>
        </w:rPr>
        <w:t>元。公司首次发行的社会公众股于</w:t>
      </w:r>
    </w:p>
    <w:p>
      <w:pPr>
        <w:spacing w:before="68"/>
        <w:ind w:left="102" w:right="0" w:firstLine="0"/>
        <w:jc w:val="both"/>
        <w:rPr>
          <w:rFonts w:ascii="宋体" w:hAnsi="宋体" w:cs="宋体" w:eastAsia="宋体" w:hint="default"/>
          <w:sz w:val="22"/>
          <w:szCs w:val="22"/>
        </w:rPr>
      </w:pPr>
      <w:r>
        <w:rPr>
          <w:rFonts w:ascii="宋体" w:hAnsi="宋体" w:cs="宋体" w:eastAsia="宋体" w:hint="default"/>
          <w:sz w:val="22"/>
          <w:szCs w:val="22"/>
        </w:rPr>
        <w:t>1997</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6</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27</w:t>
      </w:r>
      <w:r>
        <w:rPr>
          <w:rFonts w:ascii="宋体" w:hAnsi="宋体" w:cs="宋体" w:eastAsia="宋体" w:hint="default"/>
          <w:spacing w:val="-58"/>
          <w:sz w:val="22"/>
          <w:szCs w:val="22"/>
        </w:rPr>
        <w:t> </w:t>
      </w:r>
      <w:r>
        <w:rPr>
          <w:rFonts w:ascii="宋体" w:hAnsi="宋体" w:cs="宋体" w:eastAsia="宋体" w:hint="default"/>
          <w:sz w:val="22"/>
          <w:szCs w:val="22"/>
        </w:rPr>
        <w:t>日在上海证券交易所挂牌交易。</w:t>
      </w:r>
    </w:p>
    <w:p>
      <w:pPr>
        <w:spacing w:before="129"/>
        <w:ind w:left="541" w:right="105" w:firstLine="0"/>
        <w:jc w:val="left"/>
        <w:rPr>
          <w:rFonts w:ascii="宋体" w:hAnsi="宋体" w:cs="宋体" w:eastAsia="宋体" w:hint="default"/>
          <w:sz w:val="22"/>
          <w:szCs w:val="22"/>
        </w:rPr>
      </w:pPr>
      <w:r>
        <w:rPr>
          <w:rFonts w:ascii="宋体" w:hAnsi="宋体" w:cs="宋体" w:eastAsia="宋体" w:hint="default"/>
          <w:sz w:val="22"/>
          <w:szCs w:val="22"/>
        </w:rPr>
        <w:t>公司于 </w:t>
      </w:r>
      <w:r>
        <w:rPr>
          <w:rFonts w:ascii="宋体" w:hAnsi="宋体" w:cs="宋体" w:eastAsia="宋体" w:hint="default"/>
          <w:sz w:val="22"/>
          <w:szCs w:val="22"/>
        </w:rPr>
        <w:t>1998 </w:t>
      </w:r>
      <w:r>
        <w:rPr>
          <w:rFonts w:ascii="宋体" w:hAnsi="宋体" w:cs="宋体" w:eastAsia="宋体" w:hint="default"/>
          <w:sz w:val="22"/>
          <w:szCs w:val="22"/>
        </w:rPr>
        <w:t>年 </w:t>
      </w:r>
      <w:r>
        <w:rPr>
          <w:rFonts w:ascii="宋体" w:hAnsi="宋体" w:cs="宋体" w:eastAsia="宋体" w:hint="default"/>
          <w:sz w:val="22"/>
          <w:szCs w:val="22"/>
        </w:rPr>
        <w:t>1 </w:t>
      </w:r>
      <w:r>
        <w:rPr>
          <w:rFonts w:ascii="宋体" w:hAnsi="宋体" w:cs="宋体" w:eastAsia="宋体" w:hint="default"/>
          <w:sz w:val="22"/>
          <w:szCs w:val="22"/>
        </w:rPr>
        <w:t>月以 </w:t>
      </w:r>
      <w:r>
        <w:rPr>
          <w:rFonts w:ascii="宋体" w:hAnsi="宋体" w:cs="宋体" w:eastAsia="宋体" w:hint="default"/>
          <w:sz w:val="22"/>
          <w:szCs w:val="22"/>
        </w:rPr>
        <w:t>10:5</w:t>
      </w:r>
      <w:r>
        <w:rPr>
          <w:rFonts w:ascii="宋体" w:hAnsi="宋体" w:cs="宋体" w:eastAsia="宋体" w:hint="default"/>
          <w:spacing w:val="33"/>
          <w:sz w:val="22"/>
          <w:szCs w:val="22"/>
        </w:rPr>
        <w:t> </w:t>
      </w:r>
      <w:r>
        <w:rPr>
          <w:rFonts w:ascii="宋体" w:hAnsi="宋体" w:cs="宋体" w:eastAsia="宋体" w:hint="default"/>
          <w:sz w:val="22"/>
          <w:szCs w:val="22"/>
        </w:rPr>
        <w:t>的比例实施资本公积金转增股本，致使股份总数增至</w:t>
      </w:r>
    </w:p>
    <w:p>
      <w:pPr>
        <w:spacing w:before="69"/>
        <w:ind w:left="102" w:right="0" w:firstLine="0"/>
        <w:jc w:val="both"/>
        <w:rPr>
          <w:rFonts w:ascii="宋体" w:hAnsi="宋体" w:cs="宋体" w:eastAsia="宋体" w:hint="default"/>
          <w:sz w:val="22"/>
          <w:szCs w:val="22"/>
        </w:rPr>
      </w:pPr>
      <w:r>
        <w:rPr>
          <w:rFonts w:ascii="宋体" w:hAnsi="宋体" w:cs="宋体" w:eastAsia="宋体" w:hint="default"/>
          <w:sz w:val="22"/>
          <w:szCs w:val="22"/>
        </w:rPr>
        <w:t>166,050,000</w:t>
      </w:r>
      <w:r>
        <w:rPr>
          <w:rFonts w:ascii="宋体" w:hAnsi="宋体" w:cs="宋体" w:eastAsia="宋体" w:hint="default"/>
          <w:spacing w:val="-48"/>
          <w:sz w:val="22"/>
          <w:szCs w:val="22"/>
        </w:rPr>
        <w:t> </w:t>
      </w:r>
      <w:r>
        <w:rPr>
          <w:rFonts w:ascii="宋体" w:hAnsi="宋体" w:cs="宋体" w:eastAsia="宋体" w:hint="default"/>
          <w:spacing w:val="-5"/>
          <w:sz w:val="22"/>
          <w:szCs w:val="22"/>
        </w:rPr>
        <w:t>股，其中，发起人持有</w:t>
      </w:r>
      <w:r>
        <w:rPr>
          <w:rFonts w:ascii="宋体" w:hAnsi="宋体" w:cs="宋体" w:eastAsia="宋体" w:hint="default"/>
          <w:spacing w:val="-48"/>
          <w:sz w:val="22"/>
          <w:szCs w:val="22"/>
        </w:rPr>
        <w:t> </w:t>
      </w:r>
      <w:r>
        <w:rPr>
          <w:rFonts w:ascii="宋体" w:hAnsi="宋体" w:cs="宋体" w:eastAsia="宋体" w:hint="default"/>
          <w:sz w:val="22"/>
          <w:szCs w:val="22"/>
        </w:rPr>
        <w:t>103,050,000</w:t>
      </w:r>
      <w:r>
        <w:rPr>
          <w:rFonts w:ascii="宋体" w:hAnsi="宋体" w:cs="宋体" w:eastAsia="宋体" w:hint="default"/>
          <w:spacing w:val="-50"/>
          <w:sz w:val="22"/>
          <w:szCs w:val="22"/>
        </w:rPr>
        <w:t> </w:t>
      </w:r>
      <w:r>
        <w:rPr>
          <w:rFonts w:ascii="宋体" w:hAnsi="宋体" w:cs="宋体" w:eastAsia="宋体" w:hint="default"/>
          <w:spacing w:val="-3"/>
          <w:sz w:val="22"/>
          <w:szCs w:val="22"/>
        </w:rPr>
        <w:t>股，占公司股份总数的</w:t>
      </w:r>
      <w:r>
        <w:rPr>
          <w:rFonts w:ascii="宋体" w:hAnsi="宋体" w:cs="宋体" w:eastAsia="宋体" w:hint="default"/>
          <w:spacing w:val="-48"/>
          <w:sz w:val="22"/>
          <w:szCs w:val="22"/>
        </w:rPr>
        <w:t> </w:t>
      </w:r>
      <w:r>
        <w:rPr>
          <w:rFonts w:ascii="宋体" w:hAnsi="宋体" w:cs="宋体" w:eastAsia="宋体" w:hint="default"/>
          <w:spacing w:val="-3"/>
          <w:sz w:val="22"/>
          <w:szCs w:val="22"/>
        </w:rPr>
        <w:t>62.06%</w:t>
      </w:r>
      <w:r>
        <w:rPr>
          <w:rFonts w:ascii="宋体" w:hAnsi="宋体" w:cs="宋体" w:eastAsia="宋体" w:hint="default"/>
          <w:spacing w:val="-3"/>
          <w:sz w:val="22"/>
          <w:szCs w:val="22"/>
        </w:rPr>
        <w:t>；公司于</w:t>
      </w:r>
    </w:p>
    <w:p>
      <w:pPr>
        <w:spacing w:before="67"/>
        <w:ind w:left="102" w:right="0" w:firstLine="0"/>
        <w:jc w:val="both"/>
        <w:rPr>
          <w:rFonts w:ascii="宋体" w:hAnsi="宋体" w:cs="宋体" w:eastAsia="宋体" w:hint="default"/>
          <w:sz w:val="22"/>
          <w:szCs w:val="22"/>
        </w:rPr>
      </w:pPr>
      <w:r>
        <w:rPr>
          <w:rFonts w:ascii="宋体" w:hAnsi="宋体" w:cs="宋体" w:eastAsia="宋体" w:hint="default"/>
          <w:sz w:val="22"/>
          <w:szCs w:val="22"/>
        </w:rPr>
        <w:t>1999</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6</w:t>
      </w:r>
      <w:r>
        <w:rPr>
          <w:rFonts w:ascii="宋体" w:hAnsi="宋体" w:cs="宋体" w:eastAsia="宋体" w:hint="default"/>
          <w:spacing w:val="-58"/>
          <w:sz w:val="22"/>
          <w:szCs w:val="22"/>
        </w:rPr>
        <w:t> </w:t>
      </w:r>
      <w:r>
        <w:rPr>
          <w:rFonts w:ascii="宋体" w:hAnsi="宋体" w:cs="宋体" w:eastAsia="宋体" w:hint="default"/>
          <w:sz w:val="22"/>
          <w:szCs w:val="22"/>
        </w:rPr>
        <w:t>月以</w:t>
      </w:r>
      <w:r>
        <w:rPr>
          <w:rFonts w:ascii="宋体" w:hAnsi="宋体" w:cs="宋体" w:eastAsia="宋体" w:hint="default"/>
          <w:spacing w:val="-55"/>
          <w:sz w:val="22"/>
          <w:szCs w:val="22"/>
        </w:rPr>
        <w:t> </w:t>
      </w:r>
      <w:r>
        <w:rPr>
          <w:rFonts w:ascii="宋体" w:hAnsi="宋体" w:cs="宋体" w:eastAsia="宋体" w:hint="default"/>
          <w:sz w:val="22"/>
          <w:szCs w:val="22"/>
        </w:rPr>
        <w:t>10:3</w:t>
      </w:r>
      <w:r>
        <w:rPr>
          <w:rFonts w:ascii="宋体" w:hAnsi="宋体" w:cs="宋体" w:eastAsia="宋体" w:hint="default"/>
          <w:spacing w:val="-55"/>
          <w:sz w:val="22"/>
          <w:szCs w:val="22"/>
        </w:rPr>
        <w:t> </w:t>
      </w:r>
      <w:r>
        <w:rPr>
          <w:rFonts w:ascii="宋体" w:hAnsi="宋体" w:cs="宋体" w:eastAsia="宋体" w:hint="default"/>
          <w:sz w:val="22"/>
          <w:szCs w:val="22"/>
        </w:rPr>
        <w:t>的比例实施配股，配股后股份总数增至</w:t>
      </w:r>
      <w:r>
        <w:rPr>
          <w:rFonts w:ascii="宋体" w:hAnsi="宋体" w:cs="宋体" w:eastAsia="宋体" w:hint="default"/>
          <w:spacing w:val="-57"/>
          <w:sz w:val="22"/>
          <w:szCs w:val="22"/>
        </w:rPr>
        <w:t> </w:t>
      </w:r>
      <w:r>
        <w:rPr>
          <w:rFonts w:ascii="宋体" w:hAnsi="宋体" w:cs="宋体" w:eastAsia="宋体" w:hint="default"/>
          <w:sz w:val="22"/>
          <w:szCs w:val="22"/>
        </w:rPr>
        <w:t>189,800,000</w:t>
      </w:r>
      <w:r>
        <w:rPr>
          <w:rFonts w:ascii="宋体" w:hAnsi="宋体" w:cs="宋体" w:eastAsia="宋体" w:hint="default"/>
          <w:spacing w:val="-57"/>
          <w:sz w:val="22"/>
          <w:szCs w:val="22"/>
        </w:rPr>
        <w:t> </w:t>
      </w:r>
      <w:r>
        <w:rPr>
          <w:rFonts w:ascii="宋体" w:hAnsi="宋体" w:cs="宋体" w:eastAsia="宋体" w:hint="default"/>
          <w:spacing w:val="-3"/>
          <w:sz w:val="22"/>
          <w:szCs w:val="22"/>
        </w:rPr>
        <w:t>股，其中，发起</w:t>
      </w:r>
    </w:p>
    <w:p>
      <w:pPr>
        <w:spacing w:line="297" w:lineRule="auto" w:before="69"/>
        <w:ind w:left="102" w:right="210" w:firstLine="0"/>
        <w:jc w:val="both"/>
        <w:rPr>
          <w:rFonts w:ascii="宋体" w:hAnsi="宋体" w:cs="宋体" w:eastAsia="宋体" w:hint="default"/>
          <w:sz w:val="22"/>
          <w:szCs w:val="22"/>
        </w:rPr>
      </w:pPr>
      <w:r>
        <w:rPr>
          <w:rFonts w:ascii="宋体" w:hAnsi="宋体" w:cs="宋体" w:eastAsia="宋体" w:hint="default"/>
          <w:sz w:val="22"/>
          <w:szCs w:val="22"/>
        </w:rPr>
        <w:t>人持有</w:t>
      </w:r>
      <w:r>
        <w:rPr>
          <w:rFonts w:ascii="宋体" w:hAnsi="宋体" w:cs="宋体" w:eastAsia="宋体" w:hint="default"/>
          <w:spacing w:val="-58"/>
          <w:sz w:val="22"/>
          <w:szCs w:val="22"/>
        </w:rPr>
        <w:t> </w:t>
      </w:r>
      <w:r>
        <w:rPr>
          <w:rFonts w:ascii="宋体" w:hAnsi="宋体" w:cs="宋体" w:eastAsia="宋体" w:hint="default"/>
          <w:sz w:val="22"/>
          <w:szCs w:val="22"/>
        </w:rPr>
        <w:t>107,900,000</w:t>
      </w:r>
      <w:r>
        <w:rPr>
          <w:rFonts w:ascii="宋体" w:hAnsi="宋体" w:cs="宋体" w:eastAsia="宋体" w:hint="default"/>
          <w:spacing w:val="-58"/>
          <w:sz w:val="22"/>
          <w:szCs w:val="22"/>
        </w:rPr>
        <w:t> </w:t>
      </w:r>
      <w:r>
        <w:rPr>
          <w:rFonts w:ascii="宋体" w:hAnsi="宋体" w:cs="宋体" w:eastAsia="宋体" w:hint="default"/>
          <w:sz w:val="22"/>
          <w:szCs w:val="22"/>
        </w:rPr>
        <w:t>股，占公司股份总数的</w:t>
      </w:r>
      <w:r>
        <w:rPr>
          <w:rFonts w:ascii="宋体" w:hAnsi="宋体" w:cs="宋体" w:eastAsia="宋体" w:hint="default"/>
          <w:spacing w:val="-58"/>
          <w:sz w:val="22"/>
          <w:szCs w:val="22"/>
        </w:rPr>
        <w:t> </w:t>
      </w:r>
      <w:r>
        <w:rPr>
          <w:rFonts w:ascii="宋体" w:hAnsi="宋体" w:cs="宋体" w:eastAsia="宋体" w:hint="default"/>
          <w:sz w:val="22"/>
          <w:szCs w:val="22"/>
        </w:rPr>
        <w:t>56.85%</w:t>
      </w:r>
      <w:r>
        <w:rPr>
          <w:rFonts w:ascii="宋体" w:hAnsi="宋体" w:cs="宋体" w:eastAsia="宋体" w:hint="default"/>
          <w:sz w:val="22"/>
          <w:szCs w:val="22"/>
        </w:rPr>
        <w:t>；公司于</w:t>
      </w:r>
      <w:r>
        <w:rPr>
          <w:rFonts w:ascii="宋体" w:hAnsi="宋体" w:cs="宋体" w:eastAsia="宋体" w:hint="default"/>
          <w:spacing w:val="-58"/>
          <w:sz w:val="22"/>
          <w:szCs w:val="22"/>
        </w:rPr>
        <w:t> </w:t>
      </w:r>
      <w:r>
        <w:rPr>
          <w:rFonts w:ascii="宋体" w:hAnsi="宋体" w:cs="宋体" w:eastAsia="宋体" w:hint="default"/>
          <w:sz w:val="22"/>
          <w:szCs w:val="22"/>
        </w:rPr>
        <w:t>1999</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61"/>
          <w:sz w:val="22"/>
          <w:szCs w:val="22"/>
        </w:rPr>
        <w:t> </w:t>
      </w:r>
      <w:r>
        <w:rPr>
          <w:rFonts w:ascii="宋体" w:hAnsi="宋体" w:cs="宋体" w:eastAsia="宋体" w:hint="default"/>
          <w:sz w:val="22"/>
          <w:szCs w:val="22"/>
        </w:rPr>
        <w:t>6</w:t>
      </w:r>
      <w:r>
        <w:rPr>
          <w:rFonts w:ascii="宋体" w:hAnsi="宋体" w:cs="宋体" w:eastAsia="宋体" w:hint="default"/>
          <w:spacing w:val="-58"/>
          <w:sz w:val="22"/>
          <w:szCs w:val="22"/>
        </w:rPr>
        <w:t> </w:t>
      </w:r>
      <w:r>
        <w:rPr>
          <w:rFonts w:ascii="宋体" w:hAnsi="宋体" w:cs="宋体" w:eastAsia="宋体" w:hint="default"/>
          <w:sz w:val="22"/>
          <w:szCs w:val="22"/>
        </w:rPr>
        <w:t>月经中国证监会证</w:t>
      </w:r>
      <w:r>
        <w:rPr>
          <w:rFonts w:ascii="宋体" w:hAnsi="宋体" w:cs="宋体" w:eastAsia="宋体" w:hint="default"/>
          <w:w w:val="100"/>
          <w:sz w:val="22"/>
          <w:szCs w:val="22"/>
        </w:rPr>
        <w:t> </w:t>
      </w:r>
      <w:r>
        <w:rPr>
          <w:rFonts w:ascii="宋体" w:hAnsi="宋体" w:cs="宋体" w:eastAsia="宋体" w:hint="default"/>
          <w:sz w:val="22"/>
          <w:szCs w:val="22"/>
        </w:rPr>
        <w:t>监公司</w:t>
      </w:r>
      <w:r>
        <w:rPr>
          <w:rFonts w:ascii="宋体" w:hAnsi="宋体" w:cs="宋体" w:eastAsia="宋体" w:hint="default"/>
          <w:sz w:val="22"/>
          <w:szCs w:val="22"/>
        </w:rPr>
        <w:t>[1999]23</w:t>
      </w:r>
      <w:r>
        <w:rPr>
          <w:rFonts w:ascii="宋体" w:hAnsi="宋体" w:cs="宋体" w:eastAsia="宋体" w:hint="default"/>
          <w:spacing w:val="-30"/>
          <w:sz w:val="22"/>
          <w:szCs w:val="22"/>
        </w:rPr>
        <w:t> </w:t>
      </w:r>
      <w:r>
        <w:rPr>
          <w:rFonts w:ascii="宋体" w:hAnsi="宋体" w:cs="宋体" w:eastAsia="宋体" w:hint="default"/>
          <w:spacing w:val="-5"/>
          <w:sz w:val="22"/>
          <w:szCs w:val="22"/>
        </w:rPr>
        <w:t>号文批准，以换股方式合并山东鲁颖电子股份有限公司（现已更名为“山</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3"/>
          <w:sz w:val="22"/>
          <w:szCs w:val="22"/>
        </w:rPr>
        <w:t>东同方鲁颖电子有限公司”），向山东鲁颖电子股份有限公司全体股东定向增发人民币普</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通股</w:t>
      </w:r>
      <w:r>
        <w:rPr>
          <w:rFonts w:ascii="宋体" w:hAnsi="宋体" w:cs="宋体" w:eastAsia="宋体" w:hint="default"/>
          <w:spacing w:val="-51"/>
          <w:sz w:val="22"/>
          <w:szCs w:val="22"/>
        </w:rPr>
        <w:t> </w:t>
      </w:r>
      <w:r>
        <w:rPr>
          <w:rFonts w:ascii="宋体" w:hAnsi="宋体" w:cs="宋体" w:eastAsia="宋体" w:hint="default"/>
          <w:sz w:val="22"/>
          <w:szCs w:val="22"/>
        </w:rPr>
        <w:t>15,172,328</w:t>
      </w:r>
      <w:r>
        <w:rPr>
          <w:rFonts w:ascii="宋体" w:hAnsi="宋体" w:cs="宋体" w:eastAsia="宋体" w:hint="default"/>
          <w:spacing w:val="-54"/>
          <w:sz w:val="22"/>
          <w:szCs w:val="22"/>
        </w:rPr>
        <w:t> </w:t>
      </w:r>
      <w:r>
        <w:rPr>
          <w:rFonts w:ascii="宋体" w:hAnsi="宋体" w:cs="宋体" w:eastAsia="宋体" w:hint="default"/>
          <w:spacing w:val="-5"/>
          <w:sz w:val="22"/>
          <w:szCs w:val="22"/>
        </w:rPr>
        <w:t>股，致使股份总数增至</w:t>
      </w:r>
      <w:r>
        <w:rPr>
          <w:rFonts w:ascii="宋体" w:hAnsi="宋体" w:cs="宋体" w:eastAsia="宋体" w:hint="default"/>
          <w:spacing w:val="-53"/>
          <w:sz w:val="22"/>
          <w:szCs w:val="22"/>
        </w:rPr>
        <w:t> </w:t>
      </w:r>
      <w:r>
        <w:rPr>
          <w:rFonts w:ascii="宋体" w:hAnsi="宋体" w:cs="宋体" w:eastAsia="宋体" w:hint="default"/>
          <w:sz w:val="22"/>
          <w:szCs w:val="22"/>
        </w:rPr>
        <w:t>204,972,328</w:t>
      </w:r>
      <w:r>
        <w:rPr>
          <w:rFonts w:ascii="宋体" w:hAnsi="宋体" w:cs="宋体" w:eastAsia="宋体" w:hint="default"/>
          <w:spacing w:val="-51"/>
          <w:sz w:val="22"/>
          <w:szCs w:val="22"/>
        </w:rPr>
        <w:t> </w:t>
      </w:r>
      <w:r>
        <w:rPr>
          <w:rFonts w:ascii="宋体" w:hAnsi="宋体" w:cs="宋体" w:eastAsia="宋体" w:hint="default"/>
          <w:spacing w:val="-10"/>
          <w:sz w:val="22"/>
          <w:szCs w:val="22"/>
        </w:rPr>
        <w:t>股，其中，发起人持有</w:t>
      </w:r>
      <w:r>
        <w:rPr>
          <w:rFonts w:ascii="宋体" w:hAnsi="宋体" w:cs="宋体" w:eastAsia="宋体" w:hint="default"/>
          <w:spacing w:val="-50"/>
          <w:sz w:val="22"/>
          <w:szCs w:val="22"/>
        </w:rPr>
        <w:t> </w:t>
      </w:r>
      <w:r>
        <w:rPr>
          <w:rFonts w:ascii="宋体" w:hAnsi="宋体" w:cs="宋体" w:eastAsia="宋体" w:hint="default"/>
          <w:sz w:val="22"/>
          <w:szCs w:val="22"/>
        </w:rPr>
        <w:t>113,504,444</w:t>
      </w:r>
    </w:p>
    <w:p>
      <w:pPr>
        <w:spacing w:before="14"/>
        <w:ind w:left="102" w:right="0" w:firstLine="0"/>
        <w:jc w:val="both"/>
        <w:rPr>
          <w:rFonts w:ascii="宋体" w:hAnsi="宋体" w:cs="宋体" w:eastAsia="宋体" w:hint="default"/>
          <w:sz w:val="22"/>
          <w:szCs w:val="22"/>
        </w:rPr>
      </w:pPr>
      <w:r>
        <w:rPr>
          <w:rFonts w:ascii="宋体" w:hAnsi="宋体" w:cs="宋体" w:eastAsia="宋体" w:hint="default"/>
          <w:sz w:val="22"/>
          <w:szCs w:val="22"/>
        </w:rPr>
        <w:t>股，占公司股份总数的</w:t>
      </w:r>
      <w:r>
        <w:rPr>
          <w:rFonts w:ascii="宋体" w:hAnsi="宋体" w:cs="宋体" w:eastAsia="宋体" w:hint="default"/>
          <w:spacing w:val="-53"/>
          <w:sz w:val="22"/>
          <w:szCs w:val="22"/>
        </w:rPr>
        <w:t> </w:t>
      </w:r>
      <w:r>
        <w:rPr>
          <w:rFonts w:ascii="宋体" w:hAnsi="宋体" w:cs="宋体" w:eastAsia="宋体" w:hint="default"/>
          <w:sz w:val="22"/>
          <w:szCs w:val="22"/>
        </w:rPr>
        <w:t>55.38%</w:t>
      </w:r>
      <w:r>
        <w:rPr>
          <w:rFonts w:ascii="宋体" w:hAnsi="宋体" w:cs="宋体" w:eastAsia="宋体" w:hint="default"/>
          <w:sz w:val="22"/>
          <w:szCs w:val="22"/>
        </w:rPr>
        <w:t>；公司于</w:t>
      </w:r>
      <w:r>
        <w:rPr>
          <w:rFonts w:ascii="宋体" w:hAnsi="宋体" w:cs="宋体" w:eastAsia="宋体" w:hint="default"/>
          <w:spacing w:val="-51"/>
          <w:sz w:val="22"/>
          <w:szCs w:val="22"/>
        </w:rPr>
        <w:t> </w:t>
      </w:r>
      <w:r>
        <w:rPr>
          <w:rFonts w:ascii="宋体" w:hAnsi="宋体" w:cs="宋体" w:eastAsia="宋体" w:hint="default"/>
          <w:sz w:val="22"/>
          <w:szCs w:val="22"/>
        </w:rPr>
        <w:t>1999</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宋体" w:hAnsi="宋体" w:cs="宋体" w:eastAsia="宋体" w:hint="default"/>
          <w:sz w:val="22"/>
          <w:szCs w:val="22"/>
        </w:rPr>
        <w:t>9</w:t>
      </w:r>
      <w:r>
        <w:rPr>
          <w:rFonts w:ascii="宋体" w:hAnsi="宋体" w:cs="宋体" w:eastAsia="宋体" w:hint="default"/>
          <w:spacing w:val="-54"/>
          <w:sz w:val="22"/>
          <w:szCs w:val="22"/>
        </w:rPr>
        <w:t> </w:t>
      </w:r>
      <w:r>
        <w:rPr>
          <w:rFonts w:ascii="宋体" w:hAnsi="宋体" w:cs="宋体" w:eastAsia="宋体" w:hint="default"/>
          <w:sz w:val="22"/>
          <w:szCs w:val="22"/>
        </w:rPr>
        <w:t>月以</w:t>
      </w:r>
      <w:r>
        <w:rPr>
          <w:rFonts w:ascii="宋体" w:hAnsi="宋体" w:cs="宋体" w:eastAsia="宋体" w:hint="default"/>
          <w:spacing w:val="-51"/>
          <w:sz w:val="22"/>
          <w:szCs w:val="22"/>
        </w:rPr>
        <w:t> </w:t>
      </w:r>
      <w:r>
        <w:rPr>
          <w:rFonts w:ascii="宋体" w:hAnsi="宋体" w:cs="宋体" w:eastAsia="宋体" w:hint="default"/>
          <w:sz w:val="22"/>
          <w:szCs w:val="22"/>
        </w:rPr>
        <w:t>10:3</w:t>
      </w:r>
      <w:r>
        <w:rPr>
          <w:rFonts w:ascii="宋体" w:hAnsi="宋体" w:cs="宋体" w:eastAsia="宋体" w:hint="default"/>
          <w:spacing w:val="-51"/>
          <w:sz w:val="22"/>
          <w:szCs w:val="22"/>
        </w:rPr>
        <w:t> </w:t>
      </w:r>
      <w:r>
        <w:rPr>
          <w:rFonts w:ascii="宋体" w:hAnsi="宋体" w:cs="宋体" w:eastAsia="宋体" w:hint="default"/>
          <w:sz w:val="22"/>
          <w:szCs w:val="22"/>
        </w:rPr>
        <w:t>的比例派送红股</w:t>
      </w:r>
      <w:r>
        <w:rPr>
          <w:rFonts w:ascii="宋体" w:hAnsi="宋体" w:cs="宋体" w:eastAsia="宋体" w:hint="default"/>
          <w:spacing w:val="-51"/>
          <w:sz w:val="22"/>
          <w:szCs w:val="22"/>
        </w:rPr>
        <w:t> </w:t>
      </w:r>
      <w:r>
        <w:rPr>
          <w:rFonts w:ascii="宋体" w:hAnsi="宋体" w:cs="宋体" w:eastAsia="宋体" w:hint="default"/>
          <w:sz w:val="22"/>
          <w:szCs w:val="22"/>
        </w:rPr>
        <w:t>54,366,696</w:t>
      </w:r>
    </w:p>
    <w:p>
      <w:pPr>
        <w:spacing w:before="69"/>
        <w:ind w:left="102" w:right="0" w:firstLine="0"/>
        <w:jc w:val="both"/>
        <w:rPr>
          <w:rFonts w:ascii="宋体" w:hAnsi="宋体" w:cs="宋体" w:eastAsia="宋体" w:hint="default"/>
          <w:sz w:val="22"/>
          <w:szCs w:val="22"/>
        </w:rPr>
      </w:pPr>
      <w:r>
        <w:rPr>
          <w:rFonts w:ascii="宋体" w:hAnsi="宋体" w:cs="宋体" w:eastAsia="宋体" w:hint="default"/>
          <w:spacing w:val="-3"/>
          <w:sz w:val="22"/>
          <w:szCs w:val="22"/>
        </w:rPr>
        <w:t>股，致使股份总数增至</w:t>
      </w:r>
      <w:r>
        <w:rPr>
          <w:rFonts w:ascii="宋体" w:hAnsi="宋体" w:cs="宋体" w:eastAsia="宋体" w:hint="default"/>
          <w:spacing w:val="-47"/>
          <w:sz w:val="22"/>
          <w:szCs w:val="22"/>
        </w:rPr>
        <w:t> </w:t>
      </w:r>
      <w:r>
        <w:rPr>
          <w:rFonts w:ascii="宋体" w:hAnsi="宋体" w:cs="宋体" w:eastAsia="宋体" w:hint="default"/>
          <w:sz w:val="22"/>
          <w:szCs w:val="22"/>
        </w:rPr>
        <w:t>259,339,024</w:t>
      </w:r>
      <w:r>
        <w:rPr>
          <w:rFonts w:ascii="宋体" w:hAnsi="宋体" w:cs="宋体" w:eastAsia="宋体" w:hint="default"/>
          <w:spacing w:val="-47"/>
          <w:sz w:val="22"/>
          <w:szCs w:val="22"/>
        </w:rPr>
        <w:t> </w:t>
      </w:r>
      <w:r>
        <w:rPr>
          <w:rFonts w:ascii="宋体" w:hAnsi="宋体" w:cs="宋体" w:eastAsia="宋体" w:hint="default"/>
          <w:spacing w:val="-5"/>
          <w:sz w:val="22"/>
          <w:szCs w:val="22"/>
        </w:rPr>
        <w:t>股，其中，发起人持有</w:t>
      </w:r>
      <w:r>
        <w:rPr>
          <w:rFonts w:ascii="宋体" w:hAnsi="宋体" w:cs="宋体" w:eastAsia="宋体" w:hint="default"/>
          <w:spacing w:val="-50"/>
          <w:sz w:val="22"/>
          <w:szCs w:val="22"/>
        </w:rPr>
        <w:t> </w:t>
      </w:r>
      <w:r>
        <w:rPr>
          <w:rFonts w:ascii="宋体" w:hAnsi="宋体" w:cs="宋体" w:eastAsia="宋体" w:hint="default"/>
          <w:sz w:val="22"/>
          <w:szCs w:val="22"/>
        </w:rPr>
        <w:t>143,610,199</w:t>
      </w:r>
      <w:r>
        <w:rPr>
          <w:rFonts w:ascii="宋体" w:hAnsi="宋体" w:cs="宋体" w:eastAsia="宋体" w:hint="default"/>
          <w:spacing w:val="-50"/>
          <w:sz w:val="22"/>
          <w:szCs w:val="22"/>
        </w:rPr>
        <w:t> </w:t>
      </w:r>
      <w:r>
        <w:rPr>
          <w:rFonts w:ascii="宋体" w:hAnsi="宋体" w:cs="宋体" w:eastAsia="宋体" w:hint="default"/>
          <w:spacing w:val="-4"/>
          <w:sz w:val="22"/>
          <w:szCs w:val="22"/>
        </w:rPr>
        <w:t>股，占公司股份</w:t>
      </w:r>
    </w:p>
    <w:p>
      <w:pPr>
        <w:spacing w:before="67"/>
        <w:ind w:left="102" w:right="0" w:firstLine="0"/>
        <w:jc w:val="both"/>
        <w:rPr>
          <w:rFonts w:ascii="宋体" w:hAnsi="宋体" w:cs="宋体" w:eastAsia="宋体" w:hint="default"/>
          <w:sz w:val="22"/>
          <w:szCs w:val="22"/>
        </w:rPr>
      </w:pPr>
      <w:r>
        <w:rPr>
          <w:rFonts w:ascii="宋体" w:hAnsi="宋体" w:cs="宋体" w:eastAsia="宋体" w:hint="default"/>
          <w:sz w:val="22"/>
          <w:szCs w:val="22"/>
        </w:rPr>
        <w:t>总数的</w:t>
      </w:r>
      <w:r>
        <w:rPr>
          <w:rFonts w:ascii="宋体" w:hAnsi="宋体" w:cs="宋体" w:eastAsia="宋体" w:hint="default"/>
          <w:spacing w:val="-43"/>
          <w:sz w:val="22"/>
          <w:szCs w:val="22"/>
        </w:rPr>
        <w:t> </w:t>
      </w:r>
      <w:r>
        <w:rPr>
          <w:rFonts w:ascii="宋体" w:hAnsi="宋体" w:cs="宋体" w:eastAsia="宋体" w:hint="default"/>
          <w:sz w:val="22"/>
          <w:szCs w:val="22"/>
        </w:rPr>
        <w:t>55.38%</w:t>
      </w:r>
      <w:r>
        <w:rPr>
          <w:rFonts w:ascii="宋体" w:hAnsi="宋体" w:cs="宋体" w:eastAsia="宋体" w:hint="default"/>
          <w:sz w:val="22"/>
          <w:szCs w:val="22"/>
        </w:rPr>
        <w:t>；公司于</w:t>
      </w:r>
      <w:r>
        <w:rPr>
          <w:rFonts w:ascii="宋体" w:hAnsi="宋体" w:cs="宋体" w:eastAsia="宋体" w:hint="default"/>
          <w:spacing w:val="-43"/>
          <w:sz w:val="22"/>
          <w:szCs w:val="22"/>
        </w:rPr>
        <w:t> </w:t>
      </w:r>
      <w:r>
        <w:rPr>
          <w:rFonts w:ascii="宋体" w:hAnsi="宋体" w:cs="宋体" w:eastAsia="宋体" w:hint="default"/>
          <w:sz w:val="22"/>
          <w:szCs w:val="22"/>
        </w:rPr>
        <w:t>2000</w:t>
      </w:r>
      <w:r>
        <w:rPr>
          <w:rFonts w:ascii="宋体" w:hAnsi="宋体" w:cs="宋体" w:eastAsia="宋体" w:hint="default"/>
          <w:spacing w:val="-43"/>
          <w:sz w:val="22"/>
          <w:szCs w:val="22"/>
        </w:rPr>
        <w:t> </w:t>
      </w:r>
      <w:r>
        <w:rPr>
          <w:rFonts w:ascii="宋体" w:hAnsi="宋体" w:cs="宋体" w:eastAsia="宋体" w:hint="default"/>
          <w:sz w:val="22"/>
          <w:szCs w:val="22"/>
        </w:rPr>
        <w:t>年</w:t>
      </w:r>
      <w:r>
        <w:rPr>
          <w:rFonts w:ascii="宋体" w:hAnsi="宋体" w:cs="宋体" w:eastAsia="宋体" w:hint="default"/>
          <w:spacing w:val="-43"/>
          <w:sz w:val="22"/>
          <w:szCs w:val="22"/>
        </w:rPr>
        <w:t> </w:t>
      </w:r>
      <w:r>
        <w:rPr>
          <w:rFonts w:ascii="宋体" w:hAnsi="宋体" w:cs="宋体" w:eastAsia="宋体" w:hint="default"/>
          <w:sz w:val="22"/>
          <w:szCs w:val="22"/>
        </w:rPr>
        <w:t>5</w:t>
      </w:r>
      <w:r>
        <w:rPr>
          <w:rFonts w:ascii="宋体" w:hAnsi="宋体" w:cs="宋体" w:eastAsia="宋体" w:hint="default"/>
          <w:spacing w:val="-43"/>
          <w:sz w:val="22"/>
          <w:szCs w:val="22"/>
        </w:rPr>
        <w:t> </w:t>
      </w:r>
      <w:r>
        <w:rPr>
          <w:rFonts w:ascii="宋体" w:hAnsi="宋体" w:cs="宋体" w:eastAsia="宋体" w:hint="default"/>
          <w:sz w:val="22"/>
          <w:szCs w:val="22"/>
        </w:rPr>
        <w:t>月以</w:t>
      </w:r>
      <w:r>
        <w:rPr>
          <w:rFonts w:ascii="宋体" w:hAnsi="宋体" w:cs="宋体" w:eastAsia="宋体" w:hint="default"/>
          <w:spacing w:val="-43"/>
          <w:sz w:val="22"/>
          <w:szCs w:val="22"/>
        </w:rPr>
        <w:t> </w:t>
      </w:r>
      <w:r>
        <w:rPr>
          <w:rFonts w:ascii="宋体" w:hAnsi="宋体" w:cs="宋体" w:eastAsia="宋体" w:hint="default"/>
          <w:sz w:val="22"/>
          <w:szCs w:val="22"/>
        </w:rPr>
        <w:t>10:4</w:t>
      </w:r>
      <w:r>
        <w:rPr>
          <w:rFonts w:ascii="宋体" w:hAnsi="宋体" w:cs="宋体" w:eastAsia="宋体" w:hint="default"/>
          <w:spacing w:val="-43"/>
          <w:sz w:val="22"/>
          <w:szCs w:val="22"/>
        </w:rPr>
        <w:t> </w:t>
      </w:r>
      <w:r>
        <w:rPr>
          <w:rFonts w:ascii="宋体" w:hAnsi="宋体" w:cs="宋体" w:eastAsia="宋体" w:hint="default"/>
          <w:sz w:val="22"/>
          <w:szCs w:val="22"/>
        </w:rPr>
        <w:t>的比例实施资本公积金转增股本，致使股份</w:t>
      </w:r>
    </w:p>
    <w:p>
      <w:pPr>
        <w:spacing w:before="69"/>
        <w:ind w:left="102" w:right="0" w:firstLine="0"/>
        <w:jc w:val="both"/>
        <w:rPr>
          <w:rFonts w:ascii="宋体" w:hAnsi="宋体" w:cs="宋体" w:eastAsia="宋体" w:hint="default"/>
          <w:sz w:val="22"/>
          <w:szCs w:val="22"/>
        </w:rPr>
      </w:pPr>
      <w:r>
        <w:rPr>
          <w:rFonts w:ascii="宋体" w:hAnsi="宋体" w:cs="宋体" w:eastAsia="宋体" w:hint="default"/>
          <w:sz w:val="22"/>
          <w:szCs w:val="22"/>
        </w:rPr>
        <w:t>总数增至</w:t>
      </w:r>
      <w:r>
        <w:rPr>
          <w:rFonts w:ascii="宋体" w:hAnsi="宋体" w:cs="宋体" w:eastAsia="宋体" w:hint="default"/>
          <w:spacing w:val="-53"/>
          <w:sz w:val="22"/>
          <w:szCs w:val="22"/>
        </w:rPr>
        <w:t> </w:t>
      </w:r>
      <w:r>
        <w:rPr>
          <w:rFonts w:ascii="宋体" w:hAnsi="宋体" w:cs="宋体" w:eastAsia="宋体" w:hint="default"/>
          <w:sz w:val="22"/>
          <w:szCs w:val="22"/>
        </w:rPr>
        <w:t>363,074,634</w:t>
      </w:r>
      <w:r>
        <w:rPr>
          <w:rFonts w:ascii="宋体" w:hAnsi="宋体" w:cs="宋体" w:eastAsia="宋体" w:hint="default"/>
          <w:spacing w:val="-52"/>
          <w:sz w:val="22"/>
          <w:szCs w:val="22"/>
        </w:rPr>
        <w:t> </w:t>
      </w:r>
      <w:r>
        <w:rPr>
          <w:rFonts w:ascii="宋体" w:hAnsi="宋体" w:cs="宋体" w:eastAsia="宋体" w:hint="default"/>
          <w:spacing w:val="-8"/>
          <w:sz w:val="22"/>
          <w:szCs w:val="22"/>
        </w:rPr>
        <w:t>股，其中发起人持有</w:t>
      </w:r>
      <w:r>
        <w:rPr>
          <w:rFonts w:ascii="宋体" w:hAnsi="宋体" w:cs="宋体" w:eastAsia="宋体" w:hint="default"/>
          <w:spacing w:val="-53"/>
          <w:sz w:val="22"/>
          <w:szCs w:val="22"/>
        </w:rPr>
        <w:t> </w:t>
      </w:r>
      <w:r>
        <w:rPr>
          <w:rFonts w:ascii="宋体" w:hAnsi="宋体" w:cs="宋体" w:eastAsia="宋体" w:hint="default"/>
          <w:sz w:val="22"/>
          <w:szCs w:val="22"/>
        </w:rPr>
        <w:t>201,054,279</w:t>
      </w:r>
      <w:r>
        <w:rPr>
          <w:rFonts w:ascii="宋体" w:hAnsi="宋体" w:cs="宋体" w:eastAsia="宋体" w:hint="default"/>
          <w:spacing w:val="-50"/>
          <w:sz w:val="22"/>
          <w:szCs w:val="22"/>
        </w:rPr>
        <w:t> </w:t>
      </w:r>
      <w:r>
        <w:rPr>
          <w:rFonts w:ascii="宋体" w:hAnsi="宋体" w:cs="宋体" w:eastAsia="宋体" w:hint="default"/>
          <w:spacing w:val="-8"/>
          <w:sz w:val="22"/>
          <w:szCs w:val="22"/>
        </w:rPr>
        <w:t>股，占公司股份总数的</w:t>
      </w:r>
      <w:r>
        <w:rPr>
          <w:rFonts w:ascii="宋体" w:hAnsi="宋体" w:cs="宋体" w:eastAsia="宋体" w:hint="default"/>
          <w:spacing w:val="-50"/>
          <w:sz w:val="22"/>
          <w:szCs w:val="22"/>
        </w:rPr>
        <w:t> </w:t>
      </w:r>
      <w:r>
        <w:rPr>
          <w:rFonts w:ascii="宋体" w:hAnsi="宋体" w:cs="宋体" w:eastAsia="宋体" w:hint="default"/>
          <w:sz w:val="22"/>
          <w:szCs w:val="22"/>
        </w:rPr>
        <w:t>55.38%</w:t>
      </w:r>
      <w:r>
        <w:rPr>
          <w:rFonts w:ascii="宋体" w:hAnsi="宋体" w:cs="宋体" w:eastAsia="宋体" w:hint="default"/>
          <w:sz w:val="22"/>
          <w:szCs w:val="22"/>
        </w:rPr>
        <w:t>；</w:t>
      </w:r>
    </w:p>
    <w:p>
      <w:pPr>
        <w:spacing w:before="69"/>
        <w:ind w:left="102" w:right="0" w:firstLine="0"/>
        <w:jc w:val="both"/>
        <w:rPr>
          <w:rFonts w:ascii="宋体" w:hAnsi="宋体" w:cs="宋体" w:eastAsia="宋体" w:hint="default"/>
          <w:sz w:val="22"/>
          <w:szCs w:val="22"/>
        </w:rPr>
      </w:pPr>
      <w:r>
        <w:rPr>
          <w:rFonts w:ascii="宋体" w:hAnsi="宋体" w:cs="宋体" w:eastAsia="宋体" w:hint="default"/>
          <w:sz w:val="22"/>
          <w:szCs w:val="22"/>
        </w:rPr>
        <w:t>公司于</w:t>
      </w:r>
      <w:r>
        <w:rPr>
          <w:rFonts w:ascii="宋体" w:hAnsi="宋体" w:cs="宋体" w:eastAsia="宋体" w:hint="default"/>
          <w:spacing w:val="-51"/>
          <w:sz w:val="22"/>
          <w:szCs w:val="22"/>
        </w:rPr>
        <w:t> </w:t>
      </w:r>
      <w:r>
        <w:rPr>
          <w:rFonts w:ascii="宋体" w:hAnsi="宋体" w:cs="宋体" w:eastAsia="宋体" w:hint="default"/>
          <w:sz w:val="22"/>
          <w:szCs w:val="22"/>
        </w:rPr>
        <w:t>2000</w:t>
      </w:r>
      <w:r>
        <w:rPr>
          <w:rFonts w:ascii="宋体" w:hAnsi="宋体" w:cs="宋体" w:eastAsia="宋体" w:hint="default"/>
          <w:spacing w:val="-50"/>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50"/>
          <w:sz w:val="22"/>
          <w:szCs w:val="22"/>
        </w:rPr>
        <w:t> </w:t>
      </w:r>
      <w:r>
        <w:rPr>
          <w:rFonts w:ascii="宋体" w:hAnsi="宋体" w:cs="宋体" w:eastAsia="宋体" w:hint="default"/>
          <w:sz w:val="22"/>
          <w:szCs w:val="22"/>
        </w:rPr>
        <w:t>月向境内社会公众增发人民币普通股</w:t>
      </w:r>
      <w:r>
        <w:rPr>
          <w:rFonts w:ascii="宋体" w:hAnsi="宋体" w:cs="宋体" w:eastAsia="宋体" w:hint="default"/>
          <w:spacing w:val="-49"/>
          <w:sz w:val="22"/>
          <w:szCs w:val="22"/>
        </w:rPr>
        <w:t> </w:t>
      </w:r>
      <w:r>
        <w:rPr>
          <w:rFonts w:ascii="宋体" w:hAnsi="宋体" w:cs="宋体" w:eastAsia="宋体" w:hint="default"/>
          <w:sz w:val="22"/>
          <w:szCs w:val="22"/>
        </w:rPr>
        <w:t>20,000,000</w:t>
      </w:r>
      <w:r>
        <w:rPr>
          <w:rFonts w:ascii="宋体" w:hAnsi="宋体" w:cs="宋体" w:eastAsia="宋体" w:hint="default"/>
          <w:spacing w:val="-50"/>
          <w:sz w:val="22"/>
          <w:szCs w:val="22"/>
        </w:rPr>
        <w:t> </w:t>
      </w:r>
      <w:r>
        <w:rPr>
          <w:rFonts w:ascii="宋体" w:hAnsi="宋体" w:cs="宋体" w:eastAsia="宋体" w:hint="default"/>
          <w:sz w:val="22"/>
          <w:szCs w:val="22"/>
        </w:rPr>
        <w:t>股，致使股份总数增</w:t>
      </w:r>
    </w:p>
    <w:p>
      <w:pPr>
        <w:spacing w:before="67"/>
        <w:ind w:left="102" w:right="0" w:firstLine="0"/>
        <w:jc w:val="both"/>
        <w:rPr>
          <w:rFonts w:ascii="宋体" w:hAnsi="宋体" w:cs="宋体" w:eastAsia="宋体" w:hint="default"/>
          <w:sz w:val="22"/>
          <w:szCs w:val="22"/>
        </w:rPr>
      </w:pPr>
      <w:r>
        <w:rPr>
          <w:rFonts w:ascii="宋体" w:hAnsi="宋体" w:cs="宋体" w:eastAsia="宋体" w:hint="default"/>
          <w:sz w:val="22"/>
          <w:szCs w:val="22"/>
        </w:rPr>
        <w:t>至</w:t>
      </w:r>
      <w:r>
        <w:rPr>
          <w:rFonts w:ascii="宋体" w:hAnsi="宋体" w:cs="宋体" w:eastAsia="宋体" w:hint="default"/>
          <w:spacing w:val="-40"/>
          <w:sz w:val="22"/>
          <w:szCs w:val="22"/>
        </w:rPr>
        <w:t> </w:t>
      </w:r>
      <w:r>
        <w:rPr>
          <w:rFonts w:ascii="宋体" w:hAnsi="宋体" w:cs="宋体" w:eastAsia="宋体" w:hint="default"/>
          <w:sz w:val="22"/>
          <w:szCs w:val="22"/>
        </w:rPr>
        <w:t>383,074,634</w:t>
      </w:r>
      <w:r>
        <w:rPr>
          <w:rFonts w:ascii="宋体" w:hAnsi="宋体" w:cs="宋体" w:eastAsia="宋体" w:hint="default"/>
          <w:spacing w:val="-40"/>
          <w:sz w:val="22"/>
          <w:szCs w:val="22"/>
        </w:rPr>
        <w:t> </w:t>
      </w:r>
      <w:r>
        <w:rPr>
          <w:rFonts w:ascii="宋体" w:hAnsi="宋体" w:cs="宋体" w:eastAsia="宋体" w:hint="default"/>
          <w:sz w:val="22"/>
          <w:szCs w:val="22"/>
        </w:rPr>
        <w:t>股，其中，发起人持有</w:t>
      </w:r>
      <w:r>
        <w:rPr>
          <w:rFonts w:ascii="宋体" w:hAnsi="宋体" w:cs="宋体" w:eastAsia="宋体" w:hint="default"/>
          <w:spacing w:val="-39"/>
          <w:sz w:val="22"/>
          <w:szCs w:val="22"/>
        </w:rPr>
        <w:t> </w:t>
      </w:r>
      <w:r>
        <w:rPr>
          <w:rFonts w:ascii="宋体" w:hAnsi="宋体" w:cs="宋体" w:eastAsia="宋体" w:hint="default"/>
          <w:sz w:val="22"/>
          <w:szCs w:val="22"/>
        </w:rPr>
        <w:t>201,054,279</w:t>
      </w:r>
      <w:r>
        <w:rPr>
          <w:rFonts w:ascii="宋体" w:hAnsi="宋体" w:cs="宋体" w:eastAsia="宋体" w:hint="default"/>
          <w:spacing w:val="-40"/>
          <w:sz w:val="22"/>
          <w:szCs w:val="22"/>
        </w:rPr>
        <w:t> </w:t>
      </w:r>
      <w:r>
        <w:rPr>
          <w:rFonts w:ascii="宋体" w:hAnsi="宋体" w:cs="宋体" w:eastAsia="宋体" w:hint="default"/>
          <w:sz w:val="22"/>
          <w:szCs w:val="22"/>
        </w:rPr>
        <w:t>股，占公司股份总数的</w:t>
      </w:r>
      <w:r>
        <w:rPr>
          <w:rFonts w:ascii="宋体" w:hAnsi="宋体" w:cs="宋体" w:eastAsia="宋体" w:hint="default"/>
          <w:spacing w:val="-39"/>
          <w:sz w:val="22"/>
          <w:szCs w:val="22"/>
        </w:rPr>
        <w:t> </w:t>
      </w:r>
      <w:r>
        <w:rPr>
          <w:rFonts w:ascii="宋体" w:hAnsi="宋体" w:cs="宋体" w:eastAsia="宋体" w:hint="default"/>
          <w:sz w:val="22"/>
          <w:szCs w:val="22"/>
        </w:rPr>
        <w:t>52.48%</w:t>
      </w:r>
      <w:r>
        <w:rPr>
          <w:rFonts w:ascii="宋体" w:hAnsi="宋体" w:cs="宋体" w:eastAsia="宋体" w:hint="default"/>
          <w:sz w:val="22"/>
          <w:szCs w:val="22"/>
        </w:rPr>
        <w:t>；公</w:t>
      </w:r>
    </w:p>
    <w:p>
      <w:pPr>
        <w:spacing w:line="295" w:lineRule="auto" w:before="69"/>
        <w:ind w:left="102" w:right="215" w:firstLine="0"/>
        <w:jc w:val="both"/>
        <w:rPr>
          <w:rFonts w:ascii="宋体" w:hAnsi="宋体" w:cs="宋体" w:eastAsia="宋体" w:hint="default"/>
          <w:sz w:val="22"/>
          <w:szCs w:val="22"/>
        </w:rPr>
      </w:pPr>
      <w:r>
        <w:rPr>
          <w:rFonts w:ascii="宋体" w:hAnsi="宋体" w:cs="宋体" w:eastAsia="宋体" w:hint="default"/>
          <w:sz w:val="22"/>
          <w:szCs w:val="22"/>
        </w:rPr>
        <w:t>司于</w:t>
      </w:r>
      <w:r>
        <w:rPr>
          <w:rFonts w:ascii="宋体" w:hAnsi="宋体" w:cs="宋体" w:eastAsia="宋体" w:hint="default"/>
          <w:spacing w:val="-58"/>
          <w:sz w:val="22"/>
          <w:szCs w:val="22"/>
        </w:rPr>
        <w:t> </w:t>
      </w:r>
      <w:r>
        <w:rPr>
          <w:rFonts w:ascii="宋体" w:hAnsi="宋体" w:cs="宋体" w:eastAsia="宋体" w:hint="default"/>
          <w:sz w:val="22"/>
          <w:szCs w:val="22"/>
        </w:rPr>
        <w:t>2001</w:t>
      </w:r>
      <w:r>
        <w:rPr>
          <w:rFonts w:ascii="宋体" w:hAnsi="宋体" w:cs="宋体" w:eastAsia="宋体" w:hint="default"/>
          <w:spacing w:val="-61"/>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5</w:t>
      </w:r>
      <w:r>
        <w:rPr>
          <w:rFonts w:ascii="宋体" w:hAnsi="宋体" w:cs="宋体" w:eastAsia="宋体" w:hint="default"/>
          <w:spacing w:val="-58"/>
          <w:sz w:val="22"/>
          <w:szCs w:val="22"/>
        </w:rPr>
        <w:t> </w:t>
      </w:r>
      <w:r>
        <w:rPr>
          <w:rFonts w:ascii="宋体" w:hAnsi="宋体" w:cs="宋体" w:eastAsia="宋体" w:hint="default"/>
          <w:sz w:val="22"/>
          <w:szCs w:val="22"/>
        </w:rPr>
        <w:t>月以</w:t>
      </w:r>
      <w:r>
        <w:rPr>
          <w:rFonts w:ascii="宋体" w:hAnsi="宋体" w:cs="宋体" w:eastAsia="宋体" w:hint="default"/>
          <w:spacing w:val="-58"/>
          <w:sz w:val="22"/>
          <w:szCs w:val="22"/>
        </w:rPr>
        <w:t> </w:t>
      </w:r>
      <w:r>
        <w:rPr>
          <w:rFonts w:ascii="宋体" w:hAnsi="宋体" w:cs="宋体" w:eastAsia="宋体" w:hint="default"/>
          <w:sz w:val="22"/>
          <w:szCs w:val="22"/>
        </w:rPr>
        <w:t>10:5</w:t>
      </w:r>
      <w:r>
        <w:rPr>
          <w:rFonts w:ascii="宋体" w:hAnsi="宋体" w:cs="宋体" w:eastAsia="宋体" w:hint="default"/>
          <w:spacing w:val="-61"/>
          <w:sz w:val="22"/>
          <w:szCs w:val="22"/>
        </w:rPr>
        <w:t> </w:t>
      </w:r>
      <w:r>
        <w:rPr>
          <w:rFonts w:ascii="宋体" w:hAnsi="宋体" w:cs="宋体" w:eastAsia="宋体" w:hint="default"/>
          <w:sz w:val="22"/>
          <w:szCs w:val="22"/>
        </w:rPr>
        <w:t>的比例实施资本公积金转增股本，使股份总数增至</w:t>
      </w:r>
      <w:r>
        <w:rPr>
          <w:rFonts w:ascii="宋体" w:hAnsi="宋体" w:cs="宋体" w:eastAsia="宋体" w:hint="default"/>
          <w:spacing w:val="-57"/>
          <w:sz w:val="22"/>
          <w:szCs w:val="22"/>
        </w:rPr>
        <w:t> </w:t>
      </w:r>
      <w:r>
        <w:rPr>
          <w:rFonts w:ascii="宋体" w:hAnsi="宋体" w:cs="宋体" w:eastAsia="宋体" w:hint="default"/>
          <w:sz w:val="22"/>
          <w:szCs w:val="22"/>
        </w:rPr>
        <w:t>574,612,295</w:t>
      </w:r>
      <w:r>
        <w:rPr>
          <w:rFonts w:ascii="宋体" w:hAnsi="宋体" w:cs="宋体" w:eastAsia="宋体" w:hint="default"/>
          <w:w w:val="100"/>
          <w:sz w:val="22"/>
          <w:szCs w:val="22"/>
        </w:rPr>
        <w:t> </w:t>
      </w:r>
      <w:r>
        <w:rPr>
          <w:rFonts w:ascii="宋体" w:hAnsi="宋体" w:cs="宋体" w:eastAsia="宋体" w:hint="default"/>
          <w:sz w:val="22"/>
          <w:szCs w:val="22"/>
        </w:rPr>
        <w:t>股，其中，发起人持有</w:t>
      </w:r>
      <w:r>
        <w:rPr>
          <w:rFonts w:ascii="宋体" w:hAnsi="宋体" w:cs="宋体" w:eastAsia="宋体" w:hint="default"/>
          <w:spacing w:val="-57"/>
          <w:sz w:val="22"/>
          <w:szCs w:val="22"/>
        </w:rPr>
        <w:t> </w:t>
      </w:r>
      <w:r>
        <w:rPr>
          <w:rFonts w:ascii="宋体" w:hAnsi="宋体" w:cs="宋体" w:eastAsia="宋体" w:hint="default"/>
          <w:sz w:val="22"/>
          <w:szCs w:val="22"/>
        </w:rPr>
        <w:t>301,581,762</w:t>
      </w:r>
      <w:r>
        <w:rPr>
          <w:rFonts w:ascii="宋体" w:hAnsi="宋体" w:cs="宋体" w:eastAsia="宋体" w:hint="default"/>
          <w:spacing w:val="-55"/>
          <w:sz w:val="22"/>
          <w:szCs w:val="22"/>
        </w:rPr>
        <w:t> </w:t>
      </w:r>
      <w:r>
        <w:rPr>
          <w:rFonts w:ascii="宋体" w:hAnsi="宋体" w:cs="宋体" w:eastAsia="宋体" w:hint="default"/>
          <w:sz w:val="22"/>
          <w:szCs w:val="22"/>
        </w:rPr>
        <w:t>股，仍占公司股份总数的</w:t>
      </w:r>
      <w:r>
        <w:rPr>
          <w:rFonts w:ascii="宋体" w:hAnsi="宋体" w:cs="宋体" w:eastAsia="宋体" w:hint="default"/>
          <w:spacing w:val="-55"/>
          <w:sz w:val="22"/>
          <w:szCs w:val="22"/>
        </w:rPr>
        <w:t> </w:t>
      </w:r>
      <w:r>
        <w:rPr>
          <w:rFonts w:ascii="宋体" w:hAnsi="宋体" w:cs="宋体" w:eastAsia="宋体" w:hint="default"/>
          <w:sz w:val="22"/>
          <w:szCs w:val="22"/>
        </w:rPr>
        <w:t>52.48%</w:t>
      </w:r>
      <w:r>
        <w:rPr>
          <w:rFonts w:ascii="宋体" w:hAnsi="宋体" w:cs="宋体" w:eastAsia="宋体" w:hint="default"/>
          <w:sz w:val="22"/>
          <w:szCs w:val="22"/>
        </w:rPr>
        <w:t>。</w:t>
      </w:r>
    </w:p>
    <w:p>
      <w:pPr>
        <w:spacing w:before="79"/>
        <w:ind w:left="541" w:right="105" w:firstLine="0"/>
        <w:jc w:val="left"/>
        <w:rPr>
          <w:rFonts w:ascii="宋体" w:hAnsi="宋体" w:cs="宋体" w:eastAsia="宋体" w:hint="default"/>
          <w:sz w:val="22"/>
          <w:szCs w:val="22"/>
        </w:rPr>
      </w:pPr>
      <w:r>
        <w:rPr>
          <w:rFonts w:ascii="宋体" w:hAnsi="宋体" w:cs="宋体" w:eastAsia="宋体" w:hint="default"/>
          <w:sz w:val="22"/>
          <w:szCs w:val="22"/>
        </w:rPr>
        <w:t>经国务院国有资产监督管理委员会批准，公司于</w:t>
      </w:r>
      <w:r>
        <w:rPr>
          <w:rFonts w:ascii="宋体" w:hAnsi="宋体" w:cs="宋体" w:eastAsia="宋体" w:hint="default"/>
          <w:spacing w:val="-48"/>
          <w:sz w:val="22"/>
          <w:szCs w:val="22"/>
        </w:rPr>
        <w:t> </w:t>
      </w:r>
      <w:r>
        <w:rPr>
          <w:rFonts w:ascii="宋体" w:hAnsi="宋体" w:cs="宋体" w:eastAsia="宋体" w:hint="default"/>
          <w:sz w:val="22"/>
          <w:szCs w:val="22"/>
        </w:rPr>
        <w:t>2006</w:t>
      </w:r>
      <w:r>
        <w:rPr>
          <w:rFonts w:ascii="宋体" w:hAnsi="宋体" w:cs="宋体" w:eastAsia="宋体" w:hint="default"/>
          <w:spacing w:val="-47"/>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宋体" w:hAnsi="宋体" w:cs="宋体" w:eastAsia="宋体" w:hint="default"/>
          <w:sz w:val="22"/>
          <w:szCs w:val="22"/>
        </w:rPr>
        <w:t>2</w:t>
      </w:r>
      <w:r>
        <w:rPr>
          <w:rFonts w:ascii="宋体" w:hAnsi="宋体" w:cs="宋体" w:eastAsia="宋体" w:hint="default"/>
          <w:spacing w:val="-47"/>
          <w:sz w:val="22"/>
          <w:szCs w:val="22"/>
        </w:rPr>
        <w:t> </w:t>
      </w:r>
      <w:r>
        <w:rPr>
          <w:rFonts w:ascii="宋体" w:hAnsi="宋体" w:cs="宋体" w:eastAsia="宋体" w:hint="default"/>
          <w:sz w:val="22"/>
          <w:szCs w:val="22"/>
        </w:rPr>
        <w:t>月实施了股权分置改革，</w:t>
      </w:r>
    </w:p>
    <w:p>
      <w:pPr>
        <w:spacing w:before="69"/>
        <w:ind w:left="102" w:right="0" w:firstLine="0"/>
        <w:jc w:val="both"/>
        <w:rPr>
          <w:rFonts w:ascii="宋体" w:hAnsi="宋体" w:cs="宋体" w:eastAsia="宋体" w:hint="default"/>
          <w:sz w:val="22"/>
          <w:szCs w:val="22"/>
        </w:rPr>
      </w:pPr>
      <w:r>
        <w:rPr>
          <w:rFonts w:ascii="宋体" w:hAnsi="宋体" w:cs="宋体" w:eastAsia="宋体" w:hint="default"/>
          <w:sz w:val="22"/>
          <w:szCs w:val="22"/>
        </w:rPr>
        <w:t>由非流通股股东向流通股股东按 </w:t>
      </w:r>
      <w:r>
        <w:rPr>
          <w:rFonts w:ascii="宋体" w:hAnsi="宋体" w:cs="宋体" w:eastAsia="宋体" w:hint="default"/>
          <w:sz w:val="22"/>
          <w:szCs w:val="22"/>
        </w:rPr>
        <w:t>10:3.8</w:t>
      </w:r>
      <w:r>
        <w:rPr>
          <w:rFonts w:ascii="宋体" w:hAnsi="宋体" w:cs="宋体" w:eastAsia="宋体" w:hint="default"/>
          <w:spacing w:val="-80"/>
          <w:sz w:val="22"/>
          <w:szCs w:val="22"/>
        </w:rPr>
        <w:t> </w:t>
      </w:r>
      <w:r>
        <w:rPr>
          <w:rFonts w:ascii="宋体" w:hAnsi="宋体" w:cs="宋体" w:eastAsia="宋体" w:hint="default"/>
          <w:sz w:val="22"/>
          <w:szCs w:val="22"/>
        </w:rPr>
        <w:t>的比例支付获取非流通股份上市流通权的对价共</w:t>
      </w:r>
    </w:p>
    <w:p>
      <w:pPr>
        <w:spacing w:before="67"/>
        <w:ind w:left="102" w:right="0" w:firstLine="0"/>
        <w:jc w:val="both"/>
        <w:rPr>
          <w:rFonts w:ascii="宋体" w:hAnsi="宋体" w:cs="宋体" w:eastAsia="宋体" w:hint="default"/>
          <w:sz w:val="22"/>
          <w:szCs w:val="22"/>
        </w:rPr>
      </w:pPr>
      <w:r>
        <w:rPr>
          <w:rFonts w:ascii="宋体" w:hAnsi="宋体" w:cs="宋体" w:eastAsia="宋体" w:hint="default"/>
          <w:sz w:val="22"/>
          <w:szCs w:val="22"/>
        </w:rPr>
        <w:t>计 </w:t>
      </w:r>
      <w:r>
        <w:rPr>
          <w:rFonts w:ascii="宋体" w:hAnsi="宋体" w:cs="宋体" w:eastAsia="宋体" w:hint="default"/>
          <w:sz w:val="22"/>
          <w:szCs w:val="22"/>
        </w:rPr>
        <w:t>103,751,603</w:t>
      </w:r>
      <w:r>
        <w:rPr>
          <w:rFonts w:ascii="宋体" w:hAnsi="宋体" w:cs="宋体" w:eastAsia="宋体" w:hint="default"/>
          <w:spacing w:val="-62"/>
          <w:sz w:val="22"/>
          <w:szCs w:val="22"/>
        </w:rPr>
        <w:t> </w:t>
      </w:r>
      <w:r>
        <w:rPr>
          <w:rFonts w:ascii="宋体" w:hAnsi="宋体" w:cs="宋体" w:eastAsia="宋体" w:hint="default"/>
          <w:spacing w:val="-4"/>
          <w:sz w:val="22"/>
          <w:szCs w:val="22"/>
        </w:rPr>
        <w:t>股。股权分置改革后，公司股份总数不变，其中，发起人持有股份减少至</w:t>
      </w:r>
    </w:p>
    <w:p>
      <w:pPr>
        <w:spacing w:before="69"/>
        <w:ind w:left="102" w:right="0" w:firstLine="0"/>
        <w:jc w:val="both"/>
        <w:rPr>
          <w:rFonts w:ascii="宋体" w:hAnsi="宋体" w:cs="宋体" w:eastAsia="宋体" w:hint="default"/>
          <w:sz w:val="22"/>
          <w:szCs w:val="22"/>
        </w:rPr>
      </w:pPr>
      <w:r>
        <w:rPr>
          <w:rFonts w:ascii="宋体" w:hAnsi="宋体" w:cs="宋体" w:eastAsia="宋体" w:hint="default"/>
          <w:sz w:val="22"/>
          <w:szCs w:val="22"/>
        </w:rPr>
        <w:t>197,830,159</w:t>
      </w:r>
      <w:r>
        <w:rPr>
          <w:rFonts w:ascii="宋体" w:hAnsi="宋体" w:cs="宋体" w:eastAsia="宋体" w:hint="default"/>
          <w:spacing w:val="-57"/>
          <w:sz w:val="22"/>
          <w:szCs w:val="22"/>
        </w:rPr>
        <w:t> </w:t>
      </w:r>
      <w:r>
        <w:rPr>
          <w:rFonts w:ascii="宋体" w:hAnsi="宋体" w:cs="宋体" w:eastAsia="宋体" w:hint="default"/>
          <w:sz w:val="22"/>
          <w:szCs w:val="22"/>
        </w:rPr>
        <w:t>股，占公司股份总数的</w:t>
      </w:r>
      <w:r>
        <w:rPr>
          <w:rFonts w:ascii="宋体" w:hAnsi="宋体" w:cs="宋体" w:eastAsia="宋体" w:hint="default"/>
          <w:spacing w:val="-57"/>
          <w:sz w:val="22"/>
          <w:szCs w:val="22"/>
        </w:rPr>
        <w:t> </w:t>
      </w:r>
      <w:r>
        <w:rPr>
          <w:rFonts w:ascii="宋体" w:hAnsi="宋体" w:cs="宋体" w:eastAsia="宋体" w:hint="default"/>
          <w:sz w:val="22"/>
          <w:szCs w:val="22"/>
        </w:rPr>
        <w:t>34.43%</w:t>
      </w:r>
      <w:r>
        <w:rPr>
          <w:rFonts w:ascii="宋体" w:hAnsi="宋体" w:cs="宋体" w:eastAsia="宋体" w:hint="default"/>
          <w:sz w:val="22"/>
          <w:szCs w:val="22"/>
        </w:rPr>
        <w:t>。</w:t>
      </w:r>
    </w:p>
    <w:p>
      <w:pPr>
        <w:spacing w:before="128"/>
        <w:ind w:left="541" w:right="105" w:firstLine="0"/>
        <w:jc w:val="left"/>
        <w:rPr>
          <w:rFonts w:ascii="宋体" w:hAnsi="宋体" w:cs="宋体" w:eastAsia="宋体" w:hint="default"/>
          <w:sz w:val="22"/>
          <w:szCs w:val="22"/>
        </w:rPr>
      </w:pPr>
      <w:r>
        <w:rPr>
          <w:rFonts w:ascii="宋体" w:hAnsi="宋体" w:cs="宋体" w:eastAsia="宋体" w:hint="default"/>
          <w:sz w:val="22"/>
          <w:szCs w:val="22"/>
        </w:rPr>
        <w:t>2007</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7</w:t>
      </w:r>
      <w:r>
        <w:rPr>
          <w:rFonts w:ascii="宋体" w:hAnsi="宋体" w:cs="宋体" w:eastAsia="宋体" w:hint="default"/>
          <w:spacing w:val="-58"/>
          <w:sz w:val="22"/>
          <w:szCs w:val="22"/>
        </w:rPr>
        <w:t> </w:t>
      </w:r>
      <w:r>
        <w:rPr>
          <w:rFonts w:ascii="宋体" w:hAnsi="宋体" w:cs="宋体" w:eastAsia="宋体" w:hint="default"/>
          <w:sz w:val="22"/>
          <w:szCs w:val="22"/>
        </w:rPr>
        <w:t>月，公司向特定对象非公开发行人民币普通股</w:t>
      </w:r>
      <w:r>
        <w:rPr>
          <w:rFonts w:ascii="宋体" w:hAnsi="宋体" w:cs="宋体" w:eastAsia="宋体" w:hint="default"/>
          <w:spacing w:val="-54"/>
          <w:sz w:val="22"/>
          <w:szCs w:val="22"/>
        </w:rPr>
        <w:t> </w:t>
      </w:r>
      <w:r>
        <w:rPr>
          <w:rFonts w:ascii="宋体" w:hAnsi="宋体" w:cs="宋体" w:eastAsia="宋体" w:hint="default"/>
          <w:sz w:val="22"/>
          <w:szCs w:val="22"/>
        </w:rPr>
        <w:t>54,000,000</w:t>
      </w:r>
      <w:r>
        <w:rPr>
          <w:rFonts w:ascii="宋体" w:hAnsi="宋体" w:cs="宋体" w:eastAsia="宋体" w:hint="default"/>
          <w:spacing w:val="-55"/>
          <w:sz w:val="22"/>
          <w:szCs w:val="22"/>
        </w:rPr>
        <w:t> </w:t>
      </w:r>
      <w:r>
        <w:rPr>
          <w:rFonts w:ascii="宋体" w:hAnsi="宋体" w:cs="宋体" w:eastAsia="宋体" w:hint="default"/>
          <w:spacing w:val="-3"/>
          <w:sz w:val="22"/>
          <w:szCs w:val="22"/>
        </w:rPr>
        <w:t>股，致使股份总</w:t>
      </w:r>
    </w:p>
    <w:p>
      <w:pPr>
        <w:spacing w:before="69"/>
        <w:ind w:left="102" w:right="0" w:firstLine="0"/>
        <w:jc w:val="both"/>
        <w:rPr>
          <w:rFonts w:ascii="宋体" w:hAnsi="宋体" w:cs="宋体" w:eastAsia="宋体" w:hint="default"/>
          <w:sz w:val="22"/>
          <w:szCs w:val="22"/>
        </w:rPr>
      </w:pPr>
      <w:r>
        <w:rPr>
          <w:rFonts w:ascii="宋体" w:hAnsi="宋体" w:cs="宋体" w:eastAsia="宋体" w:hint="default"/>
          <w:sz w:val="22"/>
          <w:szCs w:val="22"/>
        </w:rPr>
        <w:t>数增至</w:t>
      </w:r>
      <w:r>
        <w:rPr>
          <w:rFonts w:ascii="宋体" w:hAnsi="宋体" w:cs="宋体" w:eastAsia="宋体" w:hint="default"/>
          <w:spacing w:val="-48"/>
          <w:sz w:val="22"/>
          <w:szCs w:val="22"/>
        </w:rPr>
        <w:t> </w:t>
      </w:r>
      <w:r>
        <w:rPr>
          <w:rFonts w:ascii="宋体" w:hAnsi="宋体" w:cs="宋体" w:eastAsia="宋体" w:hint="default"/>
          <w:sz w:val="22"/>
          <w:szCs w:val="22"/>
        </w:rPr>
        <w:t>628,612,295</w:t>
      </w:r>
      <w:r>
        <w:rPr>
          <w:rFonts w:ascii="宋体" w:hAnsi="宋体" w:cs="宋体" w:eastAsia="宋体" w:hint="default"/>
          <w:spacing w:val="-48"/>
          <w:sz w:val="22"/>
          <w:szCs w:val="22"/>
        </w:rPr>
        <w:t> </w:t>
      </w:r>
      <w:r>
        <w:rPr>
          <w:rFonts w:ascii="宋体" w:hAnsi="宋体" w:cs="宋体" w:eastAsia="宋体" w:hint="default"/>
          <w:spacing w:val="-5"/>
          <w:sz w:val="22"/>
          <w:szCs w:val="22"/>
        </w:rPr>
        <w:t>股，其中：有限售条件的流通股</w:t>
      </w:r>
      <w:r>
        <w:rPr>
          <w:rFonts w:ascii="宋体" w:hAnsi="宋体" w:cs="宋体" w:eastAsia="宋体" w:hint="default"/>
          <w:spacing w:val="-48"/>
          <w:sz w:val="22"/>
          <w:szCs w:val="22"/>
        </w:rPr>
        <w:t> </w:t>
      </w:r>
      <w:r>
        <w:rPr>
          <w:rFonts w:ascii="宋体" w:hAnsi="宋体" w:cs="宋体" w:eastAsia="宋体" w:hint="default"/>
          <w:sz w:val="22"/>
          <w:szCs w:val="22"/>
        </w:rPr>
        <w:t>243,986,980</w:t>
      </w:r>
      <w:r>
        <w:rPr>
          <w:rFonts w:ascii="宋体" w:hAnsi="宋体" w:cs="宋体" w:eastAsia="宋体" w:hint="default"/>
          <w:spacing w:val="-51"/>
          <w:sz w:val="22"/>
          <w:szCs w:val="22"/>
        </w:rPr>
        <w:t> </w:t>
      </w:r>
      <w:r>
        <w:rPr>
          <w:rFonts w:ascii="宋体" w:hAnsi="宋体" w:cs="宋体" w:eastAsia="宋体" w:hint="default"/>
          <w:spacing w:val="-4"/>
          <w:sz w:val="22"/>
          <w:szCs w:val="22"/>
        </w:rPr>
        <w:t>股，无限售条件的流通</w:t>
      </w:r>
    </w:p>
    <w:p>
      <w:pPr>
        <w:spacing w:before="69"/>
        <w:ind w:left="102" w:right="0" w:firstLine="0"/>
        <w:jc w:val="both"/>
        <w:rPr>
          <w:rFonts w:ascii="宋体" w:hAnsi="宋体" w:cs="宋体" w:eastAsia="宋体" w:hint="default"/>
          <w:sz w:val="22"/>
          <w:szCs w:val="22"/>
        </w:rPr>
      </w:pPr>
      <w:r>
        <w:rPr>
          <w:rFonts w:ascii="宋体" w:hAnsi="宋体" w:cs="宋体" w:eastAsia="宋体" w:hint="default"/>
          <w:sz w:val="22"/>
          <w:szCs w:val="22"/>
        </w:rPr>
        <w:t>股</w:t>
      </w:r>
      <w:r>
        <w:rPr>
          <w:rFonts w:ascii="宋体" w:hAnsi="宋体" w:cs="宋体" w:eastAsia="宋体" w:hint="default"/>
          <w:spacing w:val="-54"/>
          <w:sz w:val="22"/>
          <w:szCs w:val="22"/>
        </w:rPr>
        <w:t> </w:t>
      </w:r>
      <w:r>
        <w:rPr>
          <w:rFonts w:ascii="宋体" w:hAnsi="宋体" w:cs="宋体" w:eastAsia="宋体" w:hint="default"/>
          <w:sz w:val="22"/>
          <w:szCs w:val="22"/>
        </w:rPr>
        <w:t>384,625,315</w:t>
      </w:r>
      <w:r>
        <w:rPr>
          <w:rFonts w:ascii="宋体" w:hAnsi="宋体" w:cs="宋体" w:eastAsia="宋体" w:hint="default"/>
          <w:spacing w:val="-57"/>
          <w:sz w:val="22"/>
          <w:szCs w:val="22"/>
        </w:rPr>
        <w:t> </w:t>
      </w:r>
      <w:r>
        <w:rPr>
          <w:rFonts w:ascii="宋体" w:hAnsi="宋体" w:cs="宋体" w:eastAsia="宋体" w:hint="default"/>
          <w:sz w:val="22"/>
          <w:szCs w:val="22"/>
        </w:rPr>
        <w:t>股。</w:t>
      </w:r>
    </w:p>
    <w:p>
      <w:pPr>
        <w:spacing w:before="127"/>
        <w:ind w:left="541" w:right="0" w:firstLine="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43"/>
          <w:sz w:val="22"/>
          <w:szCs w:val="22"/>
        </w:rPr>
        <w:t> </w:t>
      </w:r>
      <w:r>
        <w:rPr>
          <w:rFonts w:ascii="宋体" w:hAnsi="宋体" w:cs="宋体" w:eastAsia="宋体" w:hint="default"/>
          <w:sz w:val="22"/>
          <w:szCs w:val="22"/>
        </w:rPr>
        <w:t>年</w:t>
      </w:r>
      <w:r>
        <w:rPr>
          <w:rFonts w:ascii="宋体" w:hAnsi="宋体" w:cs="宋体" w:eastAsia="宋体" w:hint="default"/>
          <w:spacing w:val="-43"/>
          <w:sz w:val="22"/>
          <w:szCs w:val="22"/>
        </w:rPr>
        <w:t> </w:t>
      </w:r>
      <w:r>
        <w:rPr>
          <w:rFonts w:ascii="宋体" w:hAnsi="宋体" w:cs="宋体" w:eastAsia="宋体" w:hint="default"/>
          <w:sz w:val="22"/>
          <w:szCs w:val="22"/>
        </w:rPr>
        <w:t>5</w:t>
      </w:r>
      <w:r>
        <w:rPr>
          <w:rFonts w:ascii="宋体" w:hAnsi="宋体" w:cs="宋体" w:eastAsia="宋体" w:hint="default"/>
          <w:spacing w:val="-43"/>
          <w:sz w:val="22"/>
          <w:szCs w:val="22"/>
        </w:rPr>
        <w:t> </w:t>
      </w:r>
      <w:r>
        <w:rPr>
          <w:rFonts w:ascii="宋体" w:hAnsi="宋体" w:cs="宋体" w:eastAsia="宋体" w:hint="default"/>
          <w:sz w:val="22"/>
          <w:szCs w:val="22"/>
        </w:rPr>
        <w:t>月，公司以</w:t>
      </w:r>
      <w:r>
        <w:rPr>
          <w:rFonts w:ascii="宋体" w:hAnsi="宋体" w:cs="宋体" w:eastAsia="宋体" w:hint="default"/>
          <w:spacing w:val="-43"/>
          <w:sz w:val="22"/>
          <w:szCs w:val="22"/>
        </w:rPr>
        <w:t> </w:t>
      </w:r>
      <w:r>
        <w:rPr>
          <w:rFonts w:ascii="宋体" w:hAnsi="宋体" w:cs="宋体" w:eastAsia="宋体" w:hint="default"/>
          <w:sz w:val="22"/>
          <w:szCs w:val="22"/>
        </w:rPr>
        <w:t>10:2</w:t>
      </w:r>
      <w:r>
        <w:rPr>
          <w:rFonts w:ascii="宋体" w:hAnsi="宋体" w:cs="宋体" w:eastAsia="宋体" w:hint="default"/>
          <w:spacing w:val="-43"/>
          <w:sz w:val="22"/>
          <w:szCs w:val="22"/>
        </w:rPr>
        <w:t> </w:t>
      </w:r>
      <w:r>
        <w:rPr>
          <w:rFonts w:ascii="宋体" w:hAnsi="宋体" w:cs="宋体" w:eastAsia="宋体" w:hint="default"/>
          <w:sz w:val="22"/>
          <w:szCs w:val="22"/>
        </w:rPr>
        <w:t>的比例实施配股，配股后股份总数增至</w:t>
      </w:r>
      <w:r>
        <w:rPr>
          <w:rFonts w:ascii="宋体" w:hAnsi="宋体" w:cs="宋体" w:eastAsia="宋体" w:hint="default"/>
          <w:spacing w:val="-42"/>
          <w:sz w:val="22"/>
          <w:szCs w:val="22"/>
        </w:rPr>
        <w:t> </w:t>
      </w:r>
      <w:r>
        <w:rPr>
          <w:rFonts w:ascii="宋体" w:hAnsi="宋体" w:cs="宋体" w:eastAsia="宋体" w:hint="default"/>
          <w:sz w:val="22"/>
          <w:szCs w:val="22"/>
        </w:rPr>
        <w:t>751,515,811</w:t>
      </w:r>
      <w:r>
        <w:rPr>
          <w:rFonts w:ascii="宋体" w:hAnsi="宋体" w:cs="宋体" w:eastAsia="宋体" w:hint="default"/>
          <w:spacing w:val="-43"/>
          <w:sz w:val="22"/>
          <w:szCs w:val="22"/>
        </w:rPr>
        <w:t> </w:t>
      </w:r>
      <w:r>
        <w:rPr>
          <w:rFonts w:ascii="宋体" w:hAnsi="宋体" w:cs="宋体" w:eastAsia="宋体" w:hint="default"/>
          <w:sz w:val="22"/>
          <w:szCs w:val="22"/>
        </w:rPr>
        <w:t>股，</w:t>
      </w:r>
    </w:p>
    <w:p>
      <w:pPr>
        <w:spacing w:before="69"/>
        <w:ind w:left="102" w:right="0" w:firstLine="0"/>
        <w:jc w:val="both"/>
        <w:rPr>
          <w:rFonts w:ascii="宋体" w:hAnsi="宋体" w:cs="宋体" w:eastAsia="宋体" w:hint="default"/>
          <w:sz w:val="22"/>
          <w:szCs w:val="22"/>
        </w:rPr>
      </w:pPr>
      <w:r>
        <w:rPr>
          <w:rFonts w:ascii="宋体" w:hAnsi="宋体" w:cs="宋体" w:eastAsia="宋体" w:hint="default"/>
          <w:sz w:val="22"/>
          <w:szCs w:val="22"/>
        </w:rPr>
        <w:t>其中：有限售条件的流通股</w:t>
      </w:r>
      <w:r>
        <w:rPr>
          <w:rFonts w:ascii="宋体" w:hAnsi="宋体" w:cs="宋体" w:eastAsia="宋体" w:hint="default"/>
          <w:spacing w:val="-56"/>
          <w:sz w:val="22"/>
          <w:szCs w:val="22"/>
        </w:rPr>
        <w:t> </w:t>
      </w:r>
      <w:r>
        <w:rPr>
          <w:rFonts w:ascii="宋体" w:hAnsi="宋体" w:cs="宋体" w:eastAsia="宋体" w:hint="default"/>
          <w:sz w:val="22"/>
          <w:szCs w:val="22"/>
        </w:rPr>
        <w:t>243,986,980</w:t>
      </w:r>
      <w:r>
        <w:rPr>
          <w:rFonts w:ascii="宋体" w:hAnsi="宋体" w:cs="宋体" w:eastAsia="宋体" w:hint="default"/>
          <w:spacing w:val="-59"/>
          <w:sz w:val="22"/>
          <w:szCs w:val="22"/>
        </w:rPr>
        <w:t> </w:t>
      </w:r>
      <w:r>
        <w:rPr>
          <w:rFonts w:ascii="宋体" w:hAnsi="宋体" w:cs="宋体" w:eastAsia="宋体" w:hint="default"/>
          <w:sz w:val="22"/>
          <w:szCs w:val="22"/>
        </w:rPr>
        <w:t>股，无限售条件的流通股</w:t>
      </w:r>
      <w:r>
        <w:rPr>
          <w:rFonts w:ascii="宋体" w:hAnsi="宋体" w:cs="宋体" w:eastAsia="宋体" w:hint="default"/>
          <w:spacing w:val="-58"/>
          <w:sz w:val="22"/>
          <w:szCs w:val="22"/>
        </w:rPr>
        <w:t> </w:t>
      </w:r>
      <w:r>
        <w:rPr>
          <w:rFonts w:ascii="宋体" w:hAnsi="宋体" w:cs="宋体" w:eastAsia="宋体" w:hint="default"/>
          <w:sz w:val="22"/>
          <w:szCs w:val="22"/>
        </w:rPr>
        <w:t>507,528,831</w:t>
      </w:r>
      <w:r>
        <w:rPr>
          <w:rFonts w:ascii="宋体" w:hAnsi="宋体" w:cs="宋体" w:eastAsia="宋体" w:hint="default"/>
          <w:spacing w:val="-56"/>
          <w:sz w:val="22"/>
          <w:szCs w:val="22"/>
        </w:rPr>
        <w:t> </w:t>
      </w:r>
      <w:r>
        <w:rPr>
          <w:rFonts w:ascii="宋体" w:hAnsi="宋体" w:cs="宋体" w:eastAsia="宋体" w:hint="default"/>
          <w:sz w:val="22"/>
          <w:szCs w:val="22"/>
        </w:rPr>
        <w:t>股。</w:t>
      </w:r>
    </w:p>
    <w:p>
      <w:pPr>
        <w:spacing w:before="127"/>
        <w:ind w:left="541" w:right="105" w:firstLine="0"/>
        <w:jc w:val="left"/>
        <w:rPr>
          <w:rFonts w:ascii="宋体" w:hAnsi="宋体" w:cs="宋体" w:eastAsia="宋体" w:hint="default"/>
          <w:sz w:val="22"/>
          <w:szCs w:val="22"/>
        </w:rPr>
      </w:pPr>
      <w:r>
        <w:rPr>
          <w:rFonts w:ascii="宋体" w:hAnsi="宋体" w:cs="宋体" w:eastAsia="宋体" w:hint="default"/>
          <w:sz w:val="22"/>
          <w:szCs w:val="22"/>
        </w:rPr>
        <w:t>2008</w:t>
      </w:r>
      <w:r>
        <w:rPr>
          <w:rFonts w:ascii="宋体" w:hAnsi="宋体" w:cs="宋体" w:eastAsia="宋体" w:hint="default"/>
          <w:spacing w:val="-22"/>
          <w:sz w:val="22"/>
          <w:szCs w:val="22"/>
        </w:rPr>
        <w:t> </w:t>
      </w:r>
      <w:r>
        <w:rPr>
          <w:rFonts w:ascii="宋体" w:hAnsi="宋体" w:cs="宋体" w:eastAsia="宋体" w:hint="default"/>
          <w:sz w:val="22"/>
          <w:szCs w:val="22"/>
        </w:rPr>
        <w:t>年</w:t>
      </w:r>
      <w:r>
        <w:rPr>
          <w:rFonts w:ascii="宋体" w:hAnsi="宋体" w:cs="宋体" w:eastAsia="宋体" w:hint="default"/>
          <w:spacing w:val="-22"/>
          <w:sz w:val="22"/>
          <w:szCs w:val="22"/>
        </w:rPr>
        <w:t> </w:t>
      </w:r>
      <w:r>
        <w:rPr>
          <w:rFonts w:ascii="宋体" w:hAnsi="宋体" w:cs="宋体" w:eastAsia="宋体" w:hint="default"/>
          <w:sz w:val="22"/>
          <w:szCs w:val="22"/>
        </w:rPr>
        <w:t>8</w:t>
      </w:r>
      <w:r>
        <w:rPr>
          <w:rFonts w:ascii="宋体" w:hAnsi="宋体" w:cs="宋体" w:eastAsia="宋体" w:hint="default"/>
          <w:spacing w:val="-22"/>
          <w:sz w:val="22"/>
          <w:szCs w:val="22"/>
        </w:rPr>
        <w:t> </w:t>
      </w:r>
      <w:r>
        <w:rPr>
          <w:rFonts w:ascii="宋体" w:hAnsi="宋体" w:cs="宋体" w:eastAsia="宋体" w:hint="default"/>
          <w:sz w:val="22"/>
          <w:szCs w:val="22"/>
        </w:rPr>
        <w:t>月，公司完成资本公积金转增股本，以公司</w:t>
      </w:r>
      <w:r>
        <w:rPr>
          <w:rFonts w:ascii="宋体" w:hAnsi="宋体" w:cs="宋体" w:eastAsia="宋体" w:hint="default"/>
          <w:spacing w:val="-21"/>
          <w:sz w:val="22"/>
          <w:szCs w:val="22"/>
        </w:rPr>
        <w:t> </w:t>
      </w:r>
      <w:r>
        <w:rPr>
          <w:rFonts w:ascii="宋体" w:hAnsi="宋体" w:cs="宋体" w:eastAsia="宋体" w:hint="default"/>
          <w:sz w:val="22"/>
          <w:szCs w:val="22"/>
        </w:rPr>
        <w:t>2008</w:t>
      </w:r>
      <w:r>
        <w:rPr>
          <w:rFonts w:ascii="宋体" w:hAnsi="宋体" w:cs="宋体" w:eastAsia="宋体" w:hint="default"/>
          <w:spacing w:val="-22"/>
          <w:sz w:val="22"/>
          <w:szCs w:val="22"/>
        </w:rPr>
        <w:t> </w:t>
      </w:r>
      <w:r>
        <w:rPr>
          <w:rFonts w:ascii="宋体" w:hAnsi="宋体" w:cs="宋体" w:eastAsia="宋体" w:hint="default"/>
          <w:sz w:val="22"/>
          <w:szCs w:val="22"/>
        </w:rPr>
        <w:t>年</w:t>
      </w:r>
      <w:r>
        <w:rPr>
          <w:rFonts w:ascii="宋体" w:hAnsi="宋体" w:cs="宋体" w:eastAsia="宋体" w:hint="default"/>
          <w:spacing w:val="-22"/>
          <w:sz w:val="22"/>
          <w:szCs w:val="22"/>
        </w:rPr>
        <w:t> </w:t>
      </w:r>
      <w:r>
        <w:rPr>
          <w:rFonts w:ascii="宋体" w:hAnsi="宋体" w:cs="宋体" w:eastAsia="宋体" w:hint="default"/>
          <w:sz w:val="22"/>
          <w:szCs w:val="22"/>
        </w:rPr>
        <w:t>5</w:t>
      </w:r>
      <w:r>
        <w:rPr>
          <w:rFonts w:ascii="宋体" w:hAnsi="宋体" w:cs="宋体" w:eastAsia="宋体" w:hint="default"/>
          <w:spacing w:val="-21"/>
          <w:sz w:val="22"/>
          <w:szCs w:val="22"/>
        </w:rPr>
        <w:t> </w:t>
      </w:r>
      <w:r>
        <w:rPr>
          <w:rFonts w:ascii="宋体" w:hAnsi="宋体" w:cs="宋体" w:eastAsia="宋体" w:hint="default"/>
          <w:sz w:val="22"/>
          <w:szCs w:val="22"/>
        </w:rPr>
        <w:t>月</w:t>
      </w:r>
      <w:r>
        <w:rPr>
          <w:rFonts w:ascii="宋体" w:hAnsi="宋体" w:cs="宋体" w:eastAsia="宋体" w:hint="default"/>
          <w:spacing w:val="-22"/>
          <w:sz w:val="22"/>
          <w:szCs w:val="22"/>
        </w:rPr>
        <w:t> </w:t>
      </w:r>
      <w:r>
        <w:rPr>
          <w:rFonts w:ascii="宋体" w:hAnsi="宋体" w:cs="宋体" w:eastAsia="宋体" w:hint="default"/>
          <w:sz w:val="22"/>
          <w:szCs w:val="22"/>
        </w:rPr>
        <w:t>30</w:t>
      </w:r>
      <w:r>
        <w:rPr>
          <w:rFonts w:ascii="宋体" w:hAnsi="宋体" w:cs="宋体" w:eastAsia="宋体" w:hint="default"/>
          <w:spacing w:val="-22"/>
          <w:sz w:val="22"/>
          <w:szCs w:val="22"/>
        </w:rPr>
        <w:t> </w:t>
      </w:r>
      <w:r>
        <w:rPr>
          <w:rFonts w:ascii="宋体" w:hAnsi="宋体" w:cs="宋体" w:eastAsia="宋体" w:hint="default"/>
          <w:sz w:val="22"/>
          <w:szCs w:val="22"/>
        </w:rPr>
        <w:t>日的总股本</w:t>
      </w:r>
    </w:p>
    <w:p>
      <w:pPr>
        <w:spacing w:before="69"/>
        <w:ind w:left="102" w:right="0" w:firstLine="0"/>
        <w:jc w:val="both"/>
        <w:rPr>
          <w:rFonts w:ascii="宋体" w:hAnsi="宋体" w:cs="宋体" w:eastAsia="宋体" w:hint="default"/>
          <w:sz w:val="22"/>
          <w:szCs w:val="22"/>
        </w:rPr>
      </w:pPr>
      <w:r>
        <w:rPr>
          <w:rFonts w:ascii="宋体" w:hAnsi="宋体" w:cs="宋体" w:eastAsia="宋体" w:hint="default"/>
          <w:sz w:val="22"/>
          <w:szCs w:val="22"/>
        </w:rPr>
        <w:t>751,515,811</w:t>
      </w:r>
      <w:r>
        <w:rPr>
          <w:rFonts w:ascii="宋体" w:hAnsi="宋体" w:cs="宋体" w:eastAsia="宋体" w:hint="default"/>
          <w:spacing w:val="-40"/>
          <w:sz w:val="22"/>
          <w:szCs w:val="22"/>
        </w:rPr>
        <w:t> </w:t>
      </w:r>
      <w:r>
        <w:rPr>
          <w:rFonts w:ascii="宋体" w:hAnsi="宋体" w:cs="宋体" w:eastAsia="宋体" w:hint="default"/>
          <w:sz w:val="22"/>
          <w:szCs w:val="22"/>
        </w:rPr>
        <w:t>为基数，向全体股东以</w:t>
      </w:r>
      <w:r>
        <w:rPr>
          <w:rFonts w:ascii="宋体" w:hAnsi="宋体" w:cs="宋体" w:eastAsia="宋体" w:hint="default"/>
          <w:spacing w:val="-36"/>
          <w:sz w:val="22"/>
          <w:szCs w:val="22"/>
        </w:rPr>
        <w:t> </w:t>
      </w:r>
      <w:r>
        <w:rPr>
          <w:rFonts w:ascii="宋体" w:hAnsi="宋体" w:cs="宋体" w:eastAsia="宋体" w:hint="default"/>
          <w:sz w:val="22"/>
          <w:szCs w:val="22"/>
        </w:rPr>
        <w:t>10:3</w:t>
      </w:r>
      <w:r>
        <w:rPr>
          <w:rFonts w:ascii="宋体" w:hAnsi="宋体" w:cs="宋体" w:eastAsia="宋体" w:hint="default"/>
          <w:spacing w:val="-37"/>
          <w:sz w:val="22"/>
          <w:szCs w:val="22"/>
        </w:rPr>
        <w:t> </w:t>
      </w:r>
      <w:r>
        <w:rPr>
          <w:rFonts w:ascii="宋体" w:hAnsi="宋体" w:cs="宋体" w:eastAsia="宋体" w:hint="default"/>
          <w:sz w:val="22"/>
          <w:szCs w:val="22"/>
        </w:rPr>
        <w:t>的比例转增</w:t>
      </w:r>
      <w:r>
        <w:rPr>
          <w:rFonts w:ascii="宋体" w:hAnsi="宋体" w:cs="宋体" w:eastAsia="宋体" w:hint="default"/>
          <w:spacing w:val="-37"/>
          <w:sz w:val="22"/>
          <w:szCs w:val="22"/>
        </w:rPr>
        <w:t> </w:t>
      </w:r>
      <w:r>
        <w:rPr>
          <w:rFonts w:ascii="宋体" w:hAnsi="宋体" w:cs="宋体" w:eastAsia="宋体" w:hint="default"/>
          <w:sz w:val="22"/>
          <w:szCs w:val="22"/>
        </w:rPr>
        <w:t>225,454,743</w:t>
      </w:r>
      <w:r>
        <w:rPr>
          <w:rFonts w:ascii="宋体" w:hAnsi="宋体" w:cs="宋体" w:eastAsia="宋体" w:hint="default"/>
          <w:spacing w:val="-39"/>
          <w:sz w:val="22"/>
          <w:szCs w:val="22"/>
        </w:rPr>
        <w:t> </w:t>
      </w:r>
      <w:r>
        <w:rPr>
          <w:rFonts w:ascii="宋体" w:hAnsi="宋体" w:cs="宋体" w:eastAsia="宋体" w:hint="default"/>
          <w:sz w:val="22"/>
          <w:szCs w:val="22"/>
        </w:rPr>
        <w:t>股，转增完成后，公</w:t>
      </w:r>
    </w:p>
    <w:p>
      <w:pPr>
        <w:spacing w:after="0"/>
        <w:jc w:val="both"/>
        <w:rPr>
          <w:rFonts w:ascii="宋体" w:hAnsi="宋体" w:cs="宋体" w:eastAsia="宋体" w:hint="default"/>
          <w:sz w:val="22"/>
          <w:szCs w:val="22"/>
        </w:rPr>
        <w:sectPr>
          <w:footerReference w:type="default" r:id="rId29"/>
          <w:pgSz w:w="11910" w:h="16840"/>
          <w:pgMar w:footer="1054" w:header="0" w:top="1360" w:bottom="1240" w:left="1600" w:right="1480"/>
          <w:pgNumType w:start="94"/>
        </w:sectPr>
      </w:pPr>
    </w:p>
    <w:p>
      <w:pPr>
        <w:spacing w:before="6"/>
        <w:ind w:left="102" w:right="0" w:firstLine="0"/>
        <w:jc w:val="both"/>
        <w:rPr>
          <w:rFonts w:ascii="宋体" w:hAnsi="宋体" w:cs="宋体" w:eastAsia="宋体" w:hint="default"/>
          <w:sz w:val="22"/>
          <w:szCs w:val="22"/>
        </w:rPr>
      </w:pPr>
      <w:r>
        <w:rPr>
          <w:rFonts w:ascii="宋体" w:hAnsi="宋体" w:cs="宋体" w:eastAsia="宋体" w:hint="default"/>
          <w:sz w:val="22"/>
          <w:szCs w:val="22"/>
        </w:rPr>
        <w:t>司总股本增至</w:t>
      </w:r>
      <w:r>
        <w:rPr>
          <w:rFonts w:ascii="宋体" w:hAnsi="宋体" w:cs="宋体" w:eastAsia="宋体" w:hint="default"/>
          <w:spacing w:val="-48"/>
          <w:sz w:val="22"/>
          <w:szCs w:val="22"/>
        </w:rPr>
        <w:t> </w:t>
      </w:r>
      <w:r>
        <w:rPr>
          <w:rFonts w:ascii="宋体" w:hAnsi="宋体" w:cs="宋体" w:eastAsia="宋体" w:hint="default"/>
          <w:sz w:val="22"/>
          <w:szCs w:val="22"/>
        </w:rPr>
        <w:t>976,970,554</w:t>
      </w:r>
      <w:r>
        <w:rPr>
          <w:rFonts w:ascii="宋体" w:hAnsi="宋体" w:cs="宋体" w:eastAsia="宋体" w:hint="default"/>
          <w:spacing w:val="-48"/>
          <w:sz w:val="22"/>
          <w:szCs w:val="22"/>
        </w:rPr>
        <w:t> </w:t>
      </w:r>
      <w:r>
        <w:rPr>
          <w:rFonts w:ascii="宋体" w:hAnsi="宋体" w:cs="宋体" w:eastAsia="宋体" w:hint="default"/>
          <w:spacing w:val="-5"/>
          <w:sz w:val="22"/>
          <w:szCs w:val="22"/>
        </w:rPr>
        <w:t>股，其中：有限售条件的流通股</w:t>
      </w:r>
      <w:r>
        <w:rPr>
          <w:rFonts w:ascii="宋体" w:hAnsi="宋体" w:cs="宋体" w:eastAsia="宋体" w:hint="default"/>
          <w:spacing w:val="-50"/>
          <w:sz w:val="22"/>
          <w:szCs w:val="22"/>
        </w:rPr>
        <w:t> </w:t>
      </w:r>
      <w:r>
        <w:rPr>
          <w:rFonts w:ascii="宋体" w:hAnsi="宋体" w:cs="宋体" w:eastAsia="宋体" w:hint="default"/>
          <w:sz w:val="22"/>
          <w:szCs w:val="22"/>
        </w:rPr>
        <w:t>246,983,074</w:t>
      </w:r>
      <w:r>
        <w:rPr>
          <w:rFonts w:ascii="宋体" w:hAnsi="宋体" w:cs="宋体" w:eastAsia="宋体" w:hint="default"/>
          <w:spacing w:val="-50"/>
          <w:sz w:val="22"/>
          <w:szCs w:val="22"/>
        </w:rPr>
        <w:t> </w:t>
      </w:r>
      <w:r>
        <w:rPr>
          <w:rFonts w:ascii="宋体" w:hAnsi="宋体" w:cs="宋体" w:eastAsia="宋体" w:hint="default"/>
          <w:spacing w:val="-5"/>
          <w:sz w:val="22"/>
          <w:szCs w:val="22"/>
        </w:rPr>
        <w:t>股，无限售条件</w:t>
      </w:r>
    </w:p>
    <w:p>
      <w:pPr>
        <w:spacing w:before="67"/>
        <w:ind w:left="102" w:right="0" w:firstLine="0"/>
        <w:jc w:val="both"/>
        <w:rPr>
          <w:rFonts w:ascii="宋体" w:hAnsi="宋体" w:cs="宋体" w:eastAsia="宋体" w:hint="default"/>
          <w:sz w:val="22"/>
          <w:szCs w:val="22"/>
        </w:rPr>
      </w:pPr>
      <w:r>
        <w:rPr>
          <w:rFonts w:ascii="宋体" w:hAnsi="宋体" w:cs="宋体" w:eastAsia="宋体" w:hint="default"/>
          <w:sz w:val="22"/>
          <w:szCs w:val="22"/>
        </w:rPr>
        <w:t>的流通股</w:t>
      </w:r>
      <w:r>
        <w:rPr>
          <w:rFonts w:ascii="宋体" w:hAnsi="宋体" w:cs="宋体" w:eastAsia="宋体" w:hint="default"/>
          <w:spacing w:val="-55"/>
          <w:sz w:val="22"/>
          <w:szCs w:val="22"/>
        </w:rPr>
        <w:t> </w:t>
      </w:r>
      <w:r>
        <w:rPr>
          <w:rFonts w:ascii="宋体" w:hAnsi="宋体" w:cs="宋体" w:eastAsia="宋体" w:hint="default"/>
          <w:sz w:val="22"/>
          <w:szCs w:val="22"/>
        </w:rPr>
        <w:t>729,987,480</w:t>
      </w:r>
      <w:r>
        <w:rPr>
          <w:rFonts w:ascii="宋体" w:hAnsi="宋体" w:cs="宋体" w:eastAsia="宋体" w:hint="default"/>
          <w:spacing w:val="-54"/>
          <w:sz w:val="22"/>
          <w:szCs w:val="22"/>
        </w:rPr>
        <w:t> </w:t>
      </w:r>
      <w:r>
        <w:rPr>
          <w:rFonts w:ascii="宋体" w:hAnsi="宋体" w:cs="宋体" w:eastAsia="宋体" w:hint="default"/>
          <w:spacing w:val="-3"/>
          <w:sz w:val="22"/>
          <w:szCs w:val="22"/>
        </w:rPr>
        <w:t>股。</w:t>
      </w:r>
      <w:r>
        <w:rPr>
          <w:rFonts w:ascii="宋体" w:hAnsi="宋体" w:cs="宋体" w:eastAsia="宋体" w:hint="default"/>
          <w:sz w:val="22"/>
          <w:szCs w:val="22"/>
        </w:rPr>
      </w:r>
    </w:p>
    <w:p>
      <w:pPr>
        <w:spacing w:before="129"/>
        <w:ind w:left="541" w:right="0" w:firstLine="0"/>
        <w:jc w:val="left"/>
        <w:rPr>
          <w:rFonts w:ascii="宋体" w:hAnsi="宋体" w:cs="宋体" w:eastAsia="宋体" w:hint="default"/>
          <w:sz w:val="22"/>
          <w:szCs w:val="22"/>
        </w:rPr>
      </w:pPr>
      <w:r>
        <w:rPr>
          <w:rFonts w:ascii="宋体" w:hAnsi="宋体" w:cs="宋体" w:eastAsia="宋体" w:hint="default"/>
          <w:sz w:val="22"/>
          <w:szCs w:val="22"/>
        </w:rPr>
        <w:t>2009</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宋体" w:hAnsi="宋体" w:cs="宋体" w:eastAsia="宋体" w:hint="default"/>
          <w:sz w:val="22"/>
          <w:szCs w:val="22"/>
        </w:rPr>
        <w:t>2</w:t>
      </w:r>
      <w:r>
        <w:rPr>
          <w:rFonts w:ascii="宋体" w:hAnsi="宋体" w:cs="宋体" w:eastAsia="宋体" w:hint="default"/>
          <w:spacing w:val="-53"/>
          <w:sz w:val="22"/>
          <w:szCs w:val="22"/>
        </w:rPr>
        <w:t> </w:t>
      </w:r>
      <w:r>
        <w:rPr>
          <w:rFonts w:ascii="宋体" w:hAnsi="宋体" w:cs="宋体" w:eastAsia="宋体" w:hint="default"/>
          <w:sz w:val="22"/>
          <w:szCs w:val="22"/>
        </w:rPr>
        <w:t>月，有限售条件的流通股</w:t>
      </w:r>
      <w:r>
        <w:rPr>
          <w:rFonts w:ascii="宋体" w:hAnsi="宋体" w:cs="宋体" w:eastAsia="宋体" w:hint="default"/>
          <w:spacing w:val="-52"/>
          <w:sz w:val="22"/>
          <w:szCs w:val="22"/>
        </w:rPr>
        <w:t> </w:t>
      </w:r>
      <w:r>
        <w:rPr>
          <w:rFonts w:ascii="宋体" w:hAnsi="宋体" w:cs="宋体" w:eastAsia="宋体" w:hint="default"/>
          <w:sz w:val="22"/>
          <w:szCs w:val="22"/>
        </w:rPr>
        <w:t>246,983,074</w:t>
      </w:r>
      <w:r>
        <w:rPr>
          <w:rFonts w:ascii="宋体" w:hAnsi="宋体" w:cs="宋体" w:eastAsia="宋体" w:hint="default"/>
          <w:spacing w:val="-55"/>
          <w:sz w:val="22"/>
          <w:szCs w:val="22"/>
        </w:rPr>
        <w:t> </w:t>
      </w:r>
      <w:r>
        <w:rPr>
          <w:rFonts w:ascii="宋体" w:hAnsi="宋体" w:cs="宋体" w:eastAsia="宋体" w:hint="default"/>
          <w:sz w:val="22"/>
          <w:szCs w:val="22"/>
        </w:rPr>
        <w:t>股上市流通。截至</w:t>
      </w:r>
      <w:r>
        <w:rPr>
          <w:rFonts w:ascii="宋体" w:hAnsi="宋体" w:cs="宋体" w:eastAsia="宋体" w:hint="default"/>
          <w:spacing w:val="-52"/>
          <w:sz w:val="22"/>
          <w:szCs w:val="22"/>
        </w:rPr>
        <w:t> </w:t>
      </w:r>
      <w:r>
        <w:rPr>
          <w:rFonts w:ascii="宋体" w:hAnsi="宋体" w:cs="宋体" w:eastAsia="宋体" w:hint="default"/>
          <w:sz w:val="22"/>
          <w:szCs w:val="22"/>
        </w:rPr>
        <w:t>2009</w:t>
      </w:r>
      <w:r>
        <w:rPr>
          <w:rFonts w:ascii="宋体" w:hAnsi="宋体" w:cs="宋体" w:eastAsia="宋体" w:hint="default"/>
          <w:spacing w:val="-53"/>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宋体" w:hAnsi="宋体" w:cs="宋体" w:eastAsia="宋体" w:hint="default"/>
          <w:sz w:val="22"/>
          <w:szCs w:val="22"/>
        </w:rPr>
        <w:t>12</w:t>
      </w:r>
      <w:r>
        <w:rPr>
          <w:rFonts w:ascii="宋体" w:hAnsi="宋体" w:cs="宋体" w:eastAsia="宋体" w:hint="default"/>
          <w:spacing w:val="-53"/>
          <w:sz w:val="22"/>
          <w:szCs w:val="22"/>
        </w:rPr>
        <w:t> </w:t>
      </w:r>
      <w:r>
        <w:rPr>
          <w:rFonts w:ascii="宋体" w:hAnsi="宋体" w:cs="宋体" w:eastAsia="宋体" w:hint="default"/>
          <w:sz w:val="22"/>
          <w:szCs w:val="22"/>
        </w:rPr>
        <w:t>月</w:t>
      </w:r>
      <w:r>
        <w:rPr>
          <w:rFonts w:ascii="宋体" w:hAnsi="宋体" w:cs="宋体" w:eastAsia="宋体" w:hint="default"/>
          <w:spacing w:val="-53"/>
          <w:sz w:val="22"/>
          <w:szCs w:val="22"/>
        </w:rPr>
        <w:t> </w:t>
      </w:r>
      <w:r>
        <w:rPr>
          <w:rFonts w:ascii="宋体" w:hAnsi="宋体" w:cs="宋体" w:eastAsia="宋体" w:hint="default"/>
          <w:sz w:val="22"/>
          <w:szCs w:val="22"/>
        </w:rPr>
        <w:t>31</w:t>
      </w:r>
    </w:p>
    <w:p>
      <w:pPr>
        <w:spacing w:before="69"/>
        <w:ind w:left="102" w:right="0" w:firstLine="0"/>
        <w:jc w:val="both"/>
        <w:rPr>
          <w:rFonts w:ascii="宋体" w:hAnsi="宋体" w:cs="宋体" w:eastAsia="宋体" w:hint="default"/>
          <w:sz w:val="22"/>
          <w:szCs w:val="22"/>
        </w:rPr>
      </w:pPr>
      <w:r>
        <w:rPr>
          <w:rFonts w:ascii="宋体" w:hAnsi="宋体" w:cs="宋体" w:eastAsia="宋体" w:hint="default"/>
          <w:sz w:val="22"/>
          <w:szCs w:val="22"/>
        </w:rPr>
        <w:t>日，公司总股本</w:t>
      </w:r>
      <w:r>
        <w:rPr>
          <w:rFonts w:ascii="宋体" w:hAnsi="宋体" w:cs="宋体" w:eastAsia="宋体" w:hint="default"/>
          <w:spacing w:val="-58"/>
          <w:sz w:val="22"/>
          <w:szCs w:val="22"/>
        </w:rPr>
        <w:t> </w:t>
      </w:r>
      <w:r>
        <w:rPr>
          <w:rFonts w:ascii="宋体" w:hAnsi="宋体" w:cs="宋体" w:eastAsia="宋体" w:hint="default"/>
          <w:sz w:val="22"/>
          <w:szCs w:val="22"/>
        </w:rPr>
        <w:t>976,970,554</w:t>
      </w:r>
      <w:r>
        <w:rPr>
          <w:rFonts w:ascii="宋体" w:hAnsi="宋体" w:cs="宋体" w:eastAsia="宋体" w:hint="default"/>
          <w:spacing w:val="-55"/>
          <w:sz w:val="22"/>
          <w:szCs w:val="22"/>
        </w:rPr>
        <w:t> </w:t>
      </w:r>
      <w:r>
        <w:rPr>
          <w:rFonts w:ascii="宋体" w:hAnsi="宋体" w:cs="宋体" w:eastAsia="宋体" w:hint="default"/>
          <w:sz w:val="22"/>
          <w:szCs w:val="22"/>
        </w:rPr>
        <w:t>股，全部为无限售条件的流通股。</w:t>
      </w:r>
    </w:p>
    <w:p>
      <w:pPr>
        <w:spacing w:before="127"/>
        <w:ind w:left="541" w:right="0" w:firstLine="0"/>
        <w:jc w:val="left"/>
        <w:rPr>
          <w:rFonts w:ascii="宋体" w:hAnsi="宋体" w:cs="宋体" w:eastAsia="宋体" w:hint="default"/>
          <w:sz w:val="22"/>
          <w:szCs w:val="22"/>
        </w:rPr>
      </w:pPr>
      <w:r>
        <w:rPr>
          <w:rFonts w:ascii="宋体" w:hAnsi="宋体" w:cs="宋体" w:eastAsia="宋体" w:hint="default"/>
          <w:sz w:val="22"/>
          <w:szCs w:val="22"/>
        </w:rPr>
        <w:t>2010</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7</w:t>
      </w:r>
      <w:r>
        <w:rPr>
          <w:rFonts w:ascii="宋体" w:hAnsi="宋体" w:cs="宋体" w:eastAsia="宋体" w:hint="default"/>
          <w:spacing w:val="-58"/>
          <w:sz w:val="22"/>
          <w:szCs w:val="22"/>
        </w:rPr>
        <w:t> </w:t>
      </w:r>
      <w:r>
        <w:rPr>
          <w:rFonts w:ascii="宋体" w:hAnsi="宋体" w:cs="宋体" w:eastAsia="宋体" w:hint="default"/>
          <w:sz w:val="22"/>
          <w:szCs w:val="22"/>
        </w:rPr>
        <w:t>月，公司向唐山晶源电子科技有限公司定向增发</w:t>
      </w:r>
      <w:r>
        <w:rPr>
          <w:rFonts w:ascii="宋体" w:hAnsi="宋体" w:cs="宋体" w:eastAsia="宋体" w:hint="default"/>
          <w:spacing w:val="-57"/>
          <w:sz w:val="22"/>
          <w:szCs w:val="22"/>
        </w:rPr>
        <w:t> </w:t>
      </w:r>
      <w:r>
        <w:rPr>
          <w:rFonts w:ascii="宋体" w:hAnsi="宋体" w:cs="宋体" w:eastAsia="宋体" w:hint="default"/>
          <w:sz w:val="22"/>
          <w:szCs w:val="22"/>
        </w:rPr>
        <w:t>16,880,000</w:t>
      </w:r>
      <w:r>
        <w:rPr>
          <w:rFonts w:ascii="宋体" w:hAnsi="宋体" w:cs="宋体" w:eastAsia="宋体" w:hint="default"/>
          <w:spacing w:val="-55"/>
          <w:sz w:val="22"/>
          <w:szCs w:val="22"/>
        </w:rPr>
        <w:t> </w:t>
      </w:r>
      <w:r>
        <w:rPr>
          <w:rFonts w:ascii="宋体" w:hAnsi="宋体" w:cs="宋体" w:eastAsia="宋体" w:hint="default"/>
          <w:spacing w:val="-3"/>
          <w:sz w:val="22"/>
          <w:szCs w:val="22"/>
        </w:rPr>
        <w:t>股，致使股份</w:t>
      </w:r>
    </w:p>
    <w:p>
      <w:pPr>
        <w:spacing w:before="69"/>
        <w:ind w:left="102" w:right="0" w:firstLine="0"/>
        <w:jc w:val="both"/>
        <w:rPr>
          <w:rFonts w:ascii="宋体" w:hAnsi="宋体" w:cs="宋体" w:eastAsia="宋体" w:hint="default"/>
          <w:sz w:val="22"/>
          <w:szCs w:val="22"/>
        </w:rPr>
      </w:pPr>
      <w:r>
        <w:rPr>
          <w:rFonts w:ascii="宋体" w:hAnsi="宋体" w:cs="宋体" w:eastAsia="宋体" w:hint="default"/>
          <w:sz w:val="22"/>
          <w:szCs w:val="22"/>
        </w:rPr>
        <w:t>总数增至</w:t>
      </w:r>
      <w:r>
        <w:rPr>
          <w:rFonts w:ascii="宋体" w:hAnsi="宋体" w:cs="宋体" w:eastAsia="宋体" w:hint="default"/>
          <w:spacing w:val="-49"/>
          <w:sz w:val="22"/>
          <w:szCs w:val="22"/>
        </w:rPr>
        <w:t> </w:t>
      </w:r>
      <w:r>
        <w:rPr>
          <w:rFonts w:ascii="宋体" w:hAnsi="宋体" w:cs="宋体" w:eastAsia="宋体" w:hint="default"/>
          <w:sz w:val="22"/>
          <w:szCs w:val="22"/>
        </w:rPr>
        <w:t>993,850,554</w:t>
      </w:r>
      <w:r>
        <w:rPr>
          <w:rFonts w:ascii="宋体" w:hAnsi="宋体" w:cs="宋体" w:eastAsia="宋体" w:hint="default"/>
          <w:spacing w:val="-48"/>
          <w:sz w:val="22"/>
          <w:szCs w:val="22"/>
        </w:rPr>
        <w:t> </w:t>
      </w:r>
      <w:r>
        <w:rPr>
          <w:rFonts w:ascii="宋体" w:hAnsi="宋体" w:cs="宋体" w:eastAsia="宋体" w:hint="default"/>
          <w:sz w:val="22"/>
          <w:szCs w:val="22"/>
        </w:rPr>
        <w:t>股，其中：有限售条件的流通股</w:t>
      </w:r>
      <w:r>
        <w:rPr>
          <w:rFonts w:ascii="宋体" w:hAnsi="宋体" w:cs="宋体" w:eastAsia="宋体" w:hint="default"/>
          <w:spacing w:val="-48"/>
          <w:sz w:val="22"/>
          <w:szCs w:val="22"/>
        </w:rPr>
        <w:t> </w:t>
      </w:r>
      <w:r>
        <w:rPr>
          <w:rFonts w:ascii="宋体" w:hAnsi="宋体" w:cs="宋体" w:eastAsia="宋体" w:hint="default"/>
          <w:sz w:val="22"/>
          <w:szCs w:val="22"/>
        </w:rPr>
        <w:t>16,880,000</w:t>
      </w:r>
      <w:r>
        <w:rPr>
          <w:rFonts w:ascii="宋体" w:hAnsi="宋体" w:cs="宋体" w:eastAsia="宋体" w:hint="default"/>
          <w:spacing w:val="-49"/>
          <w:sz w:val="22"/>
          <w:szCs w:val="22"/>
        </w:rPr>
        <w:t> </w:t>
      </w:r>
      <w:r>
        <w:rPr>
          <w:rFonts w:ascii="宋体" w:hAnsi="宋体" w:cs="宋体" w:eastAsia="宋体" w:hint="default"/>
          <w:sz w:val="22"/>
          <w:szCs w:val="22"/>
        </w:rPr>
        <w:t>股，无限售条件的流</w:t>
      </w:r>
    </w:p>
    <w:p>
      <w:pPr>
        <w:spacing w:before="67"/>
        <w:ind w:left="102" w:right="0" w:firstLine="0"/>
        <w:jc w:val="both"/>
        <w:rPr>
          <w:rFonts w:ascii="宋体" w:hAnsi="宋体" w:cs="宋体" w:eastAsia="宋体" w:hint="default"/>
          <w:sz w:val="22"/>
          <w:szCs w:val="22"/>
        </w:rPr>
      </w:pPr>
      <w:r>
        <w:rPr>
          <w:rFonts w:ascii="宋体" w:hAnsi="宋体" w:cs="宋体" w:eastAsia="宋体" w:hint="default"/>
          <w:sz w:val="22"/>
          <w:szCs w:val="22"/>
        </w:rPr>
        <w:t>通股</w:t>
      </w:r>
      <w:r>
        <w:rPr>
          <w:rFonts w:ascii="宋体" w:hAnsi="宋体" w:cs="宋体" w:eastAsia="宋体" w:hint="default"/>
          <w:spacing w:val="-55"/>
          <w:sz w:val="22"/>
          <w:szCs w:val="22"/>
        </w:rPr>
        <w:t> </w:t>
      </w:r>
      <w:r>
        <w:rPr>
          <w:rFonts w:ascii="宋体" w:hAnsi="宋体" w:cs="宋体" w:eastAsia="宋体" w:hint="default"/>
          <w:sz w:val="22"/>
          <w:szCs w:val="22"/>
        </w:rPr>
        <w:t>976,970,554</w:t>
      </w:r>
      <w:r>
        <w:rPr>
          <w:rFonts w:ascii="宋体" w:hAnsi="宋体" w:cs="宋体" w:eastAsia="宋体" w:hint="default"/>
          <w:spacing w:val="-55"/>
          <w:sz w:val="22"/>
          <w:szCs w:val="22"/>
        </w:rPr>
        <w:t> </w:t>
      </w:r>
      <w:r>
        <w:rPr>
          <w:rFonts w:ascii="宋体" w:hAnsi="宋体" w:cs="宋体" w:eastAsia="宋体" w:hint="default"/>
          <w:sz w:val="22"/>
          <w:szCs w:val="22"/>
        </w:rPr>
        <w:t>股。</w:t>
      </w:r>
    </w:p>
    <w:p>
      <w:pPr>
        <w:spacing w:before="129"/>
        <w:ind w:left="541" w:right="0" w:firstLine="0"/>
        <w:jc w:val="left"/>
        <w:rPr>
          <w:rFonts w:ascii="宋体" w:hAnsi="宋体" w:cs="宋体" w:eastAsia="宋体" w:hint="default"/>
          <w:sz w:val="22"/>
          <w:szCs w:val="22"/>
        </w:rPr>
      </w:pPr>
      <w:r>
        <w:rPr>
          <w:rFonts w:ascii="宋体" w:hAnsi="宋体" w:cs="宋体" w:eastAsia="宋体" w:hint="default"/>
          <w:sz w:val="22"/>
          <w:szCs w:val="22"/>
        </w:rPr>
        <w:t>2011</w:t>
      </w:r>
      <w:r>
        <w:rPr>
          <w:rFonts w:ascii="宋体" w:hAnsi="宋体" w:cs="宋体" w:eastAsia="宋体" w:hint="default"/>
          <w:spacing w:val="-34"/>
          <w:sz w:val="22"/>
          <w:szCs w:val="22"/>
        </w:rPr>
        <w:t> </w:t>
      </w:r>
      <w:r>
        <w:rPr>
          <w:rFonts w:ascii="宋体" w:hAnsi="宋体" w:cs="宋体" w:eastAsia="宋体" w:hint="default"/>
          <w:sz w:val="22"/>
          <w:szCs w:val="22"/>
        </w:rPr>
        <w:t>年</w:t>
      </w:r>
      <w:r>
        <w:rPr>
          <w:rFonts w:ascii="宋体" w:hAnsi="宋体" w:cs="宋体" w:eastAsia="宋体" w:hint="default"/>
          <w:spacing w:val="-34"/>
          <w:sz w:val="22"/>
          <w:szCs w:val="22"/>
        </w:rPr>
        <w:t> </w:t>
      </w:r>
      <w:r>
        <w:rPr>
          <w:rFonts w:ascii="宋体" w:hAnsi="宋体" w:cs="宋体" w:eastAsia="宋体" w:hint="default"/>
          <w:sz w:val="22"/>
          <w:szCs w:val="22"/>
        </w:rPr>
        <w:t>5</w:t>
      </w:r>
      <w:r>
        <w:rPr>
          <w:rFonts w:ascii="宋体" w:hAnsi="宋体" w:cs="宋体" w:eastAsia="宋体" w:hint="default"/>
          <w:spacing w:val="-34"/>
          <w:sz w:val="22"/>
          <w:szCs w:val="22"/>
        </w:rPr>
        <w:t> </w:t>
      </w:r>
      <w:r>
        <w:rPr>
          <w:rFonts w:ascii="宋体" w:hAnsi="宋体" w:cs="宋体" w:eastAsia="宋体" w:hint="default"/>
          <w:sz w:val="22"/>
          <w:szCs w:val="22"/>
        </w:rPr>
        <w:t>月，公司完成资本公积金转增股本，以公司</w:t>
      </w:r>
      <w:r>
        <w:rPr>
          <w:rFonts w:ascii="宋体" w:hAnsi="宋体" w:cs="宋体" w:eastAsia="宋体" w:hint="default"/>
          <w:spacing w:val="-33"/>
          <w:sz w:val="22"/>
          <w:szCs w:val="22"/>
        </w:rPr>
        <w:t> </w:t>
      </w:r>
      <w:r>
        <w:rPr>
          <w:rFonts w:ascii="宋体" w:hAnsi="宋体" w:cs="宋体" w:eastAsia="宋体" w:hint="default"/>
          <w:sz w:val="22"/>
          <w:szCs w:val="22"/>
        </w:rPr>
        <w:t>2010</w:t>
      </w:r>
      <w:r>
        <w:rPr>
          <w:rFonts w:ascii="宋体" w:hAnsi="宋体" w:cs="宋体" w:eastAsia="宋体" w:hint="default"/>
          <w:spacing w:val="-34"/>
          <w:sz w:val="22"/>
          <w:szCs w:val="22"/>
        </w:rPr>
        <w:t> </w:t>
      </w:r>
      <w:r>
        <w:rPr>
          <w:rFonts w:ascii="宋体" w:hAnsi="宋体" w:cs="宋体" w:eastAsia="宋体" w:hint="default"/>
          <w:sz w:val="22"/>
          <w:szCs w:val="22"/>
        </w:rPr>
        <w:t>年</w:t>
      </w:r>
      <w:r>
        <w:rPr>
          <w:rFonts w:ascii="宋体" w:hAnsi="宋体" w:cs="宋体" w:eastAsia="宋体" w:hint="default"/>
          <w:spacing w:val="-34"/>
          <w:sz w:val="22"/>
          <w:szCs w:val="22"/>
        </w:rPr>
        <w:t> </w:t>
      </w:r>
      <w:r>
        <w:rPr>
          <w:rFonts w:ascii="宋体" w:hAnsi="宋体" w:cs="宋体" w:eastAsia="宋体" w:hint="default"/>
          <w:sz w:val="22"/>
          <w:szCs w:val="22"/>
        </w:rPr>
        <w:t>12</w:t>
      </w:r>
      <w:r>
        <w:rPr>
          <w:rFonts w:ascii="宋体" w:hAnsi="宋体" w:cs="宋体" w:eastAsia="宋体" w:hint="default"/>
          <w:spacing w:val="-33"/>
          <w:sz w:val="22"/>
          <w:szCs w:val="22"/>
        </w:rPr>
        <w:t> </w:t>
      </w:r>
      <w:r>
        <w:rPr>
          <w:rFonts w:ascii="宋体" w:hAnsi="宋体" w:cs="宋体" w:eastAsia="宋体" w:hint="default"/>
          <w:sz w:val="22"/>
          <w:szCs w:val="22"/>
        </w:rPr>
        <w:t>月</w:t>
      </w:r>
      <w:r>
        <w:rPr>
          <w:rFonts w:ascii="宋体" w:hAnsi="宋体" w:cs="宋体" w:eastAsia="宋体" w:hint="default"/>
          <w:spacing w:val="-34"/>
          <w:sz w:val="22"/>
          <w:szCs w:val="22"/>
        </w:rPr>
        <w:t> </w:t>
      </w:r>
      <w:r>
        <w:rPr>
          <w:rFonts w:ascii="宋体" w:hAnsi="宋体" w:cs="宋体" w:eastAsia="宋体" w:hint="default"/>
          <w:sz w:val="22"/>
          <w:szCs w:val="22"/>
        </w:rPr>
        <w:t>31</w:t>
      </w:r>
      <w:r>
        <w:rPr>
          <w:rFonts w:ascii="宋体" w:hAnsi="宋体" w:cs="宋体" w:eastAsia="宋体" w:hint="default"/>
          <w:spacing w:val="-34"/>
          <w:sz w:val="22"/>
          <w:szCs w:val="22"/>
        </w:rPr>
        <w:t> </w:t>
      </w:r>
      <w:r>
        <w:rPr>
          <w:rFonts w:ascii="宋体" w:hAnsi="宋体" w:cs="宋体" w:eastAsia="宋体" w:hint="default"/>
          <w:sz w:val="22"/>
          <w:szCs w:val="22"/>
        </w:rPr>
        <w:t>日的总股本</w:t>
      </w:r>
    </w:p>
    <w:p>
      <w:pPr>
        <w:spacing w:before="69"/>
        <w:ind w:left="102" w:right="0" w:firstLine="0"/>
        <w:jc w:val="both"/>
        <w:rPr>
          <w:rFonts w:ascii="宋体" w:hAnsi="宋体" w:cs="宋体" w:eastAsia="宋体" w:hint="default"/>
          <w:sz w:val="22"/>
          <w:szCs w:val="22"/>
        </w:rPr>
      </w:pPr>
      <w:r>
        <w:rPr>
          <w:rFonts w:ascii="宋体" w:hAnsi="宋体" w:cs="宋体" w:eastAsia="宋体" w:hint="default"/>
          <w:sz w:val="22"/>
          <w:szCs w:val="22"/>
        </w:rPr>
        <w:t>993,850,554</w:t>
      </w:r>
      <w:r>
        <w:rPr>
          <w:rFonts w:ascii="宋体" w:hAnsi="宋体" w:cs="宋体" w:eastAsia="宋体" w:hint="default"/>
          <w:spacing w:val="-56"/>
          <w:sz w:val="22"/>
          <w:szCs w:val="22"/>
        </w:rPr>
        <w:t> </w:t>
      </w:r>
      <w:r>
        <w:rPr>
          <w:rFonts w:ascii="宋体" w:hAnsi="宋体" w:cs="宋体" w:eastAsia="宋体" w:hint="default"/>
          <w:spacing w:val="-3"/>
          <w:sz w:val="22"/>
          <w:szCs w:val="22"/>
        </w:rPr>
        <w:t>股为基数，每</w:t>
      </w:r>
      <w:r>
        <w:rPr>
          <w:rFonts w:ascii="宋体" w:hAnsi="宋体" w:cs="宋体" w:eastAsia="宋体" w:hint="default"/>
          <w:spacing w:val="-56"/>
          <w:sz w:val="22"/>
          <w:szCs w:val="22"/>
        </w:rPr>
        <w:t> </w:t>
      </w:r>
      <w:r>
        <w:rPr>
          <w:rFonts w:ascii="宋体" w:hAnsi="宋体" w:cs="宋体" w:eastAsia="宋体" w:hint="default"/>
          <w:sz w:val="22"/>
          <w:szCs w:val="22"/>
        </w:rPr>
        <w:t>10</w:t>
      </w:r>
      <w:r>
        <w:rPr>
          <w:rFonts w:ascii="宋体" w:hAnsi="宋体" w:cs="宋体" w:eastAsia="宋体" w:hint="default"/>
          <w:spacing w:val="-56"/>
          <w:sz w:val="22"/>
          <w:szCs w:val="22"/>
        </w:rPr>
        <w:t> </w:t>
      </w:r>
      <w:r>
        <w:rPr>
          <w:rFonts w:ascii="宋体" w:hAnsi="宋体" w:cs="宋体" w:eastAsia="宋体" w:hint="default"/>
          <w:sz w:val="22"/>
          <w:szCs w:val="22"/>
        </w:rPr>
        <w:t>股转增</w:t>
      </w:r>
      <w:r>
        <w:rPr>
          <w:rFonts w:ascii="宋体" w:hAnsi="宋体" w:cs="宋体" w:eastAsia="宋体" w:hint="default"/>
          <w:spacing w:val="-56"/>
          <w:sz w:val="22"/>
          <w:szCs w:val="22"/>
        </w:rPr>
        <w:t> </w:t>
      </w:r>
      <w:r>
        <w:rPr>
          <w:rFonts w:ascii="宋体" w:hAnsi="宋体" w:cs="宋体" w:eastAsia="宋体" w:hint="default"/>
          <w:sz w:val="22"/>
          <w:szCs w:val="22"/>
        </w:rPr>
        <w:t>10</w:t>
      </w:r>
      <w:r>
        <w:rPr>
          <w:rFonts w:ascii="宋体" w:hAnsi="宋体" w:cs="宋体" w:eastAsia="宋体" w:hint="default"/>
          <w:spacing w:val="-59"/>
          <w:sz w:val="22"/>
          <w:szCs w:val="22"/>
        </w:rPr>
        <w:t> </w:t>
      </w:r>
      <w:r>
        <w:rPr>
          <w:rFonts w:ascii="宋体" w:hAnsi="宋体" w:cs="宋体" w:eastAsia="宋体" w:hint="default"/>
          <w:sz w:val="22"/>
          <w:szCs w:val="22"/>
        </w:rPr>
        <w:t>股。实施完成后，公司总股本由</w:t>
      </w:r>
      <w:r>
        <w:rPr>
          <w:rFonts w:ascii="宋体" w:hAnsi="宋体" w:cs="宋体" w:eastAsia="宋体" w:hint="default"/>
          <w:spacing w:val="-55"/>
          <w:sz w:val="22"/>
          <w:szCs w:val="22"/>
        </w:rPr>
        <w:t> </w:t>
      </w:r>
      <w:r>
        <w:rPr>
          <w:rFonts w:ascii="宋体" w:hAnsi="宋体" w:cs="宋体" w:eastAsia="宋体" w:hint="default"/>
          <w:sz w:val="22"/>
          <w:szCs w:val="22"/>
        </w:rPr>
        <w:t>993,850,554</w:t>
      </w:r>
      <w:r>
        <w:rPr>
          <w:rFonts w:ascii="宋体" w:hAnsi="宋体" w:cs="宋体" w:eastAsia="宋体" w:hint="default"/>
          <w:spacing w:val="-56"/>
          <w:sz w:val="22"/>
          <w:szCs w:val="22"/>
        </w:rPr>
        <w:t> </w:t>
      </w:r>
      <w:r>
        <w:rPr>
          <w:rFonts w:ascii="宋体" w:hAnsi="宋体" w:cs="宋体" w:eastAsia="宋体" w:hint="default"/>
          <w:sz w:val="22"/>
          <w:szCs w:val="22"/>
        </w:rPr>
        <w:t>股</w:t>
      </w:r>
    </w:p>
    <w:p>
      <w:pPr>
        <w:spacing w:before="67"/>
        <w:ind w:left="102" w:right="0" w:firstLine="0"/>
        <w:jc w:val="both"/>
        <w:rPr>
          <w:rFonts w:ascii="宋体" w:hAnsi="宋体" w:cs="宋体" w:eastAsia="宋体" w:hint="default"/>
          <w:sz w:val="22"/>
          <w:szCs w:val="22"/>
        </w:rPr>
      </w:pPr>
      <w:r>
        <w:rPr>
          <w:rFonts w:ascii="宋体" w:hAnsi="宋体" w:cs="宋体" w:eastAsia="宋体" w:hint="default"/>
          <w:sz w:val="22"/>
          <w:szCs w:val="22"/>
        </w:rPr>
        <w:t>增至</w:t>
      </w:r>
      <w:r>
        <w:rPr>
          <w:rFonts w:ascii="宋体" w:hAnsi="宋体" w:cs="宋体" w:eastAsia="宋体" w:hint="default"/>
          <w:spacing w:val="-54"/>
          <w:sz w:val="22"/>
          <w:szCs w:val="22"/>
        </w:rPr>
        <w:t> </w:t>
      </w:r>
      <w:r>
        <w:rPr>
          <w:rFonts w:ascii="宋体" w:hAnsi="宋体" w:cs="宋体" w:eastAsia="宋体" w:hint="default"/>
          <w:sz w:val="22"/>
          <w:szCs w:val="22"/>
        </w:rPr>
        <w:t>1,987,701,108</w:t>
      </w:r>
      <w:r>
        <w:rPr>
          <w:rFonts w:ascii="宋体" w:hAnsi="宋体" w:cs="宋体" w:eastAsia="宋体" w:hint="default"/>
          <w:spacing w:val="-54"/>
          <w:sz w:val="22"/>
          <w:szCs w:val="22"/>
        </w:rPr>
        <w:t> </w:t>
      </w:r>
      <w:r>
        <w:rPr>
          <w:rFonts w:ascii="宋体" w:hAnsi="宋体" w:cs="宋体" w:eastAsia="宋体" w:hint="default"/>
          <w:spacing w:val="-3"/>
          <w:sz w:val="22"/>
          <w:szCs w:val="22"/>
        </w:rPr>
        <w:t>股。</w:t>
      </w:r>
      <w:r>
        <w:rPr>
          <w:rFonts w:ascii="宋体" w:hAnsi="宋体" w:cs="宋体" w:eastAsia="宋体" w:hint="default"/>
          <w:sz w:val="22"/>
          <w:szCs w:val="22"/>
        </w:rPr>
      </w:r>
    </w:p>
    <w:p>
      <w:pPr>
        <w:spacing w:before="129"/>
        <w:ind w:left="541" w:right="0" w:firstLine="0"/>
        <w:jc w:val="left"/>
        <w:rPr>
          <w:rFonts w:ascii="宋体" w:hAnsi="宋体" w:cs="宋体" w:eastAsia="宋体" w:hint="default"/>
          <w:sz w:val="22"/>
          <w:szCs w:val="22"/>
        </w:rPr>
      </w:pPr>
      <w:r>
        <w:rPr>
          <w:rFonts w:ascii="宋体" w:hAnsi="宋体" w:cs="宋体" w:eastAsia="宋体" w:hint="default"/>
          <w:sz w:val="22"/>
          <w:szCs w:val="22"/>
        </w:rPr>
        <w:t>2013 </w:t>
      </w:r>
      <w:r>
        <w:rPr>
          <w:rFonts w:ascii="宋体" w:hAnsi="宋体" w:cs="宋体" w:eastAsia="宋体" w:hint="default"/>
          <w:sz w:val="22"/>
          <w:szCs w:val="22"/>
        </w:rPr>
        <w:t>年 </w:t>
      </w:r>
      <w:r>
        <w:rPr>
          <w:rFonts w:ascii="宋体" w:hAnsi="宋体" w:cs="宋体" w:eastAsia="宋体" w:hint="default"/>
          <w:sz w:val="22"/>
          <w:szCs w:val="22"/>
        </w:rPr>
        <w:t>8 </w:t>
      </w:r>
      <w:r>
        <w:rPr>
          <w:rFonts w:ascii="宋体" w:hAnsi="宋体" w:cs="宋体" w:eastAsia="宋体" w:hint="default"/>
          <w:sz w:val="22"/>
          <w:szCs w:val="22"/>
        </w:rPr>
        <w:t>月，公司向特定对象非公开发行人民币普通股 </w:t>
      </w:r>
      <w:r>
        <w:rPr>
          <w:rFonts w:ascii="宋体" w:hAnsi="宋体" w:cs="宋体" w:eastAsia="宋体" w:hint="default"/>
          <w:sz w:val="22"/>
          <w:szCs w:val="22"/>
        </w:rPr>
        <w:t>210,181,130</w:t>
      </w:r>
      <w:r>
        <w:rPr>
          <w:rFonts w:ascii="宋体" w:hAnsi="宋体" w:cs="宋体" w:eastAsia="宋体" w:hint="default"/>
          <w:spacing w:val="36"/>
          <w:sz w:val="22"/>
          <w:szCs w:val="22"/>
        </w:rPr>
        <w:t> </w:t>
      </w:r>
      <w:r>
        <w:rPr>
          <w:rFonts w:ascii="宋体" w:hAnsi="宋体" w:cs="宋体" w:eastAsia="宋体" w:hint="default"/>
          <w:sz w:val="22"/>
          <w:szCs w:val="22"/>
        </w:rPr>
        <w:t>股，其中，</w:t>
      </w:r>
    </w:p>
    <w:p>
      <w:pPr>
        <w:spacing w:line="297" w:lineRule="auto" w:before="68"/>
        <w:ind w:left="102" w:right="112" w:firstLine="0"/>
        <w:jc w:val="both"/>
        <w:rPr>
          <w:rFonts w:ascii="宋体" w:hAnsi="宋体" w:cs="宋体" w:eastAsia="宋体" w:hint="default"/>
          <w:sz w:val="22"/>
          <w:szCs w:val="22"/>
        </w:rPr>
      </w:pPr>
      <w:r>
        <w:rPr>
          <w:rFonts w:ascii="宋体" w:hAnsi="宋体" w:cs="宋体" w:eastAsia="宋体" w:hint="default"/>
          <w:sz w:val="22"/>
          <w:szCs w:val="22"/>
        </w:rPr>
        <w:t>157,724,483 </w:t>
      </w:r>
      <w:r>
        <w:rPr>
          <w:rFonts w:ascii="宋体" w:hAnsi="宋体" w:cs="宋体" w:eastAsia="宋体" w:hint="default"/>
          <w:sz w:val="22"/>
          <w:szCs w:val="22"/>
        </w:rPr>
        <w:t>股直接用作北京壹人壹本信息科技有限公司</w:t>
      </w:r>
      <w:r>
        <w:rPr>
          <w:rFonts w:ascii="宋体" w:hAnsi="宋体" w:cs="宋体" w:eastAsia="宋体" w:hint="default"/>
          <w:spacing w:val="-78"/>
          <w:sz w:val="22"/>
          <w:szCs w:val="22"/>
        </w:rPr>
        <w:t> </w:t>
      </w:r>
      <w:r>
        <w:rPr>
          <w:rFonts w:ascii="宋体" w:hAnsi="宋体" w:cs="宋体" w:eastAsia="宋体" w:hint="default"/>
          <w:sz w:val="22"/>
          <w:szCs w:val="22"/>
        </w:rPr>
        <w:t>75.27265%</w:t>
      </w:r>
      <w:r>
        <w:rPr>
          <w:rFonts w:ascii="宋体" w:hAnsi="宋体" w:cs="宋体" w:eastAsia="宋体" w:hint="default"/>
          <w:sz w:val="22"/>
          <w:szCs w:val="22"/>
        </w:rPr>
        <w:t>股权的收购对价，其</w:t>
      </w:r>
      <w:r>
        <w:rPr>
          <w:rFonts w:ascii="宋体" w:hAnsi="宋体" w:cs="宋体" w:eastAsia="宋体" w:hint="default"/>
          <w:w w:val="100"/>
          <w:sz w:val="22"/>
          <w:szCs w:val="22"/>
        </w:rPr>
        <w:t> </w:t>
      </w:r>
      <w:r>
        <w:rPr>
          <w:rFonts w:ascii="宋体" w:hAnsi="宋体" w:cs="宋体" w:eastAsia="宋体" w:hint="default"/>
          <w:sz w:val="22"/>
          <w:szCs w:val="22"/>
        </w:rPr>
        <w:t>余 </w:t>
      </w:r>
      <w:r>
        <w:rPr>
          <w:rFonts w:ascii="宋体" w:hAnsi="宋体" w:cs="宋体" w:eastAsia="宋体" w:hint="default"/>
          <w:sz w:val="22"/>
          <w:szCs w:val="22"/>
        </w:rPr>
        <w:t>52,456,647 </w:t>
      </w:r>
      <w:r>
        <w:rPr>
          <w:rFonts w:ascii="宋体" w:hAnsi="宋体" w:cs="宋体" w:eastAsia="宋体" w:hint="default"/>
          <w:sz w:val="22"/>
          <w:szCs w:val="22"/>
        </w:rPr>
        <w:t>股所募集配套资金用于支付北京壹人壹本信息科技有限公司</w:t>
      </w:r>
      <w:r>
        <w:rPr>
          <w:rFonts w:ascii="宋体" w:hAnsi="宋体" w:cs="宋体" w:eastAsia="宋体" w:hint="default"/>
          <w:spacing w:val="-76"/>
          <w:sz w:val="22"/>
          <w:szCs w:val="22"/>
        </w:rPr>
        <w:t> </w:t>
      </w:r>
      <w:r>
        <w:rPr>
          <w:rFonts w:ascii="宋体" w:hAnsi="宋体" w:cs="宋体" w:eastAsia="宋体" w:hint="default"/>
          <w:sz w:val="22"/>
          <w:szCs w:val="22"/>
        </w:rPr>
        <w:t>24.72735%</w:t>
      </w:r>
      <w:r>
        <w:rPr>
          <w:rFonts w:ascii="宋体" w:hAnsi="宋体" w:cs="宋体" w:eastAsia="宋体" w:hint="default"/>
          <w:sz w:val="22"/>
          <w:szCs w:val="22"/>
        </w:rPr>
        <w:t>股</w:t>
      </w:r>
      <w:r>
        <w:rPr>
          <w:rFonts w:ascii="宋体" w:hAnsi="宋体" w:cs="宋体" w:eastAsia="宋体" w:hint="default"/>
          <w:w w:val="100"/>
          <w:sz w:val="22"/>
          <w:szCs w:val="22"/>
        </w:rPr>
        <w:t> </w:t>
      </w:r>
      <w:r>
        <w:rPr>
          <w:rFonts w:ascii="宋体" w:hAnsi="宋体" w:cs="宋体" w:eastAsia="宋体" w:hint="default"/>
          <w:sz w:val="22"/>
          <w:szCs w:val="22"/>
        </w:rPr>
        <w:t>权的收购价款。本次非公开发行致使公司股份总数增至</w:t>
      </w:r>
      <w:r>
        <w:rPr>
          <w:rFonts w:ascii="宋体" w:hAnsi="宋体" w:cs="宋体" w:eastAsia="宋体" w:hint="default"/>
          <w:spacing w:val="-63"/>
          <w:sz w:val="22"/>
          <w:szCs w:val="22"/>
        </w:rPr>
        <w:t> </w:t>
      </w:r>
      <w:r>
        <w:rPr>
          <w:rFonts w:ascii="宋体" w:hAnsi="宋体" w:cs="宋体" w:eastAsia="宋体" w:hint="default"/>
          <w:sz w:val="22"/>
          <w:szCs w:val="22"/>
        </w:rPr>
        <w:t>2,197,882,238</w:t>
      </w:r>
      <w:r>
        <w:rPr>
          <w:rFonts w:ascii="宋体" w:hAnsi="宋体" w:cs="宋体" w:eastAsia="宋体" w:hint="default"/>
          <w:spacing w:val="-64"/>
          <w:sz w:val="22"/>
          <w:szCs w:val="22"/>
        </w:rPr>
        <w:t> </w:t>
      </w:r>
      <w:r>
        <w:rPr>
          <w:rFonts w:ascii="宋体" w:hAnsi="宋体" w:cs="宋体" w:eastAsia="宋体" w:hint="default"/>
          <w:spacing w:val="-8"/>
          <w:sz w:val="22"/>
          <w:szCs w:val="22"/>
        </w:rPr>
        <w:t>股，其中：无限售</w:t>
      </w:r>
    </w:p>
    <w:p>
      <w:pPr>
        <w:spacing w:before="14"/>
        <w:ind w:left="102" w:right="0" w:firstLine="0"/>
        <w:jc w:val="both"/>
        <w:rPr>
          <w:rFonts w:ascii="宋体" w:hAnsi="宋体" w:cs="宋体" w:eastAsia="宋体" w:hint="default"/>
          <w:sz w:val="22"/>
          <w:szCs w:val="22"/>
        </w:rPr>
      </w:pPr>
      <w:r>
        <w:rPr>
          <w:rFonts w:ascii="宋体" w:hAnsi="宋体" w:cs="宋体" w:eastAsia="宋体" w:hint="default"/>
          <w:sz w:val="22"/>
          <w:szCs w:val="22"/>
        </w:rPr>
        <w:t>条件的流通股为</w:t>
      </w:r>
      <w:r>
        <w:rPr>
          <w:rFonts w:ascii="宋体" w:hAnsi="宋体" w:cs="宋体" w:eastAsia="宋体" w:hint="default"/>
          <w:spacing w:val="-59"/>
          <w:sz w:val="22"/>
          <w:szCs w:val="22"/>
        </w:rPr>
        <w:t> </w:t>
      </w:r>
      <w:r>
        <w:rPr>
          <w:rFonts w:ascii="宋体" w:hAnsi="宋体" w:cs="宋体" w:eastAsia="宋体" w:hint="default"/>
          <w:sz w:val="22"/>
          <w:szCs w:val="22"/>
        </w:rPr>
        <w:t>1,987,701,108</w:t>
      </w:r>
      <w:r>
        <w:rPr>
          <w:rFonts w:ascii="宋体" w:hAnsi="宋体" w:cs="宋体" w:eastAsia="宋体" w:hint="default"/>
          <w:spacing w:val="-56"/>
          <w:sz w:val="22"/>
          <w:szCs w:val="22"/>
        </w:rPr>
        <w:t> </w:t>
      </w:r>
      <w:r>
        <w:rPr>
          <w:rFonts w:ascii="宋体" w:hAnsi="宋体" w:cs="宋体" w:eastAsia="宋体" w:hint="default"/>
          <w:sz w:val="22"/>
          <w:szCs w:val="22"/>
        </w:rPr>
        <w:t>股，有限售条件的流通股为</w:t>
      </w:r>
      <w:r>
        <w:rPr>
          <w:rFonts w:ascii="宋体" w:hAnsi="宋体" w:cs="宋体" w:eastAsia="宋体" w:hint="default"/>
          <w:spacing w:val="-56"/>
          <w:sz w:val="22"/>
          <w:szCs w:val="22"/>
        </w:rPr>
        <w:t> </w:t>
      </w:r>
      <w:r>
        <w:rPr>
          <w:rFonts w:ascii="宋体" w:hAnsi="宋体" w:cs="宋体" w:eastAsia="宋体" w:hint="default"/>
          <w:sz w:val="22"/>
          <w:szCs w:val="22"/>
        </w:rPr>
        <w:t>210,181,130</w:t>
      </w:r>
      <w:r>
        <w:rPr>
          <w:rFonts w:ascii="宋体" w:hAnsi="宋体" w:cs="宋体" w:eastAsia="宋体" w:hint="default"/>
          <w:spacing w:val="-58"/>
          <w:sz w:val="22"/>
          <w:szCs w:val="22"/>
        </w:rPr>
        <w:t> </w:t>
      </w:r>
      <w:r>
        <w:rPr>
          <w:rFonts w:ascii="宋体" w:hAnsi="宋体" w:cs="宋体" w:eastAsia="宋体" w:hint="default"/>
          <w:sz w:val="22"/>
          <w:szCs w:val="22"/>
        </w:rPr>
        <w:t>股。</w:t>
      </w:r>
    </w:p>
    <w:p>
      <w:pPr>
        <w:spacing w:line="295" w:lineRule="auto" w:before="129"/>
        <w:ind w:left="102" w:right="106" w:firstLine="439"/>
        <w:jc w:val="left"/>
        <w:rPr>
          <w:rFonts w:ascii="宋体" w:hAnsi="宋体" w:cs="宋体" w:eastAsia="宋体" w:hint="default"/>
          <w:sz w:val="22"/>
          <w:szCs w:val="22"/>
        </w:rPr>
      </w:pPr>
      <w:r>
        <w:rPr>
          <w:rFonts w:ascii="宋体" w:hAnsi="宋体" w:cs="宋体" w:eastAsia="宋体" w:hint="default"/>
          <w:sz w:val="22"/>
          <w:szCs w:val="22"/>
        </w:rPr>
        <w:t>2015</w:t>
      </w:r>
      <w:r>
        <w:rPr>
          <w:rFonts w:ascii="宋体" w:hAnsi="宋体" w:cs="宋体" w:eastAsia="宋体" w:hint="default"/>
          <w:spacing w:val="-39"/>
          <w:sz w:val="22"/>
          <w:szCs w:val="22"/>
        </w:rPr>
        <w:t> </w:t>
      </w:r>
      <w:r>
        <w:rPr>
          <w:rFonts w:ascii="宋体" w:hAnsi="宋体" w:cs="宋体" w:eastAsia="宋体" w:hint="default"/>
          <w:sz w:val="22"/>
          <w:szCs w:val="22"/>
        </w:rPr>
        <w:t>年</w:t>
      </w:r>
      <w:r>
        <w:rPr>
          <w:rFonts w:ascii="宋体" w:hAnsi="宋体" w:cs="宋体" w:eastAsia="宋体" w:hint="default"/>
          <w:spacing w:val="-37"/>
          <w:sz w:val="22"/>
          <w:szCs w:val="22"/>
        </w:rPr>
        <w:t> </w:t>
      </w:r>
      <w:r>
        <w:rPr>
          <w:rFonts w:ascii="宋体" w:hAnsi="宋体" w:cs="宋体" w:eastAsia="宋体" w:hint="default"/>
          <w:sz w:val="22"/>
          <w:szCs w:val="22"/>
        </w:rPr>
        <w:t>2</w:t>
      </w:r>
      <w:r>
        <w:rPr>
          <w:rFonts w:ascii="宋体" w:hAnsi="宋体" w:cs="宋体" w:eastAsia="宋体" w:hint="default"/>
          <w:spacing w:val="-39"/>
          <w:sz w:val="22"/>
          <w:szCs w:val="22"/>
        </w:rPr>
        <w:t> </w:t>
      </w:r>
      <w:r>
        <w:rPr>
          <w:rFonts w:ascii="宋体" w:hAnsi="宋体" w:cs="宋体" w:eastAsia="宋体" w:hint="default"/>
          <w:sz w:val="22"/>
          <w:szCs w:val="22"/>
        </w:rPr>
        <w:t>月，公司向特定对象非公开发行人民币普通股</w:t>
      </w:r>
      <w:r>
        <w:rPr>
          <w:rFonts w:ascii="宋体" w:hAnsi="宋体" w:cs="宋体" w:eastAsia="宋体" w:hint="default"/>
          <w:spacing w:val="-38"/>
          <w:sz w:val="22"/>
          <w:szCs w:val="22"/>
        </w:rPr>
        <w:t> </w:t>
      </w:r>
      <w:r>
        <w:rPr>
          <w:rFonts w:ascii="宋体" w:hAnsi="宋体" w:cs="宋体" w:eastAsia="宋体" w:hint="default"/>
          <w:sz w:val="22"/>
          <w:szCs w:val="22"/>
        </w:rPr>
        <w:t>766,016,713</w:t>
      </w:r>
      <w:r>
        <w:rPr>
          <w:rFonts w:ascii="宋体" w:hAnsi="宋体" w:cs="宋体" w:eastAsia="宋体" w:hint="default"/>
          <w:spacing w:val="-36"/>
          <w:sz w:val="22"/>
          <w:szCs w:val="22"/>
        </w:rPr>
        <w:t> </w:t>
      </w:r>
      <w:r>
        <w:rPr>
          <w:rFonts w:ascii="宋体" w:hAnsi="宋体" w:cs="宋体" w:eastAsia="宋体" w:hint="default"/>
          <w:sz w:val="22"/>
          <w:szCs w:val="22"/>
        </w:rPr>
        <w:t>股，全部为有</w:t>
      </w:r>
      <w:r>
        <w:rPr>
          <w:rFonts w:ascii="宋体" w:hAnsi="宋体" w:cs="宋体" w:eastAsia="宋体" w:hint="default"/>
          <w:w w:val="100"/>
          <w:sz w:val="22"/>
          <w:szCs w:val="22"/>
        </w:rPr>
        <w:t> </w:t>
      </w:r>
      <w:r>
        <w:rPr>
          <w:rFonts w:ascii="宋体" w:hAnsi="宋体" w:cs="宋体" w:eastAsia="宋体" w:hint="default"/>
          <w:sz w:val="22"/>
          <w:szCs w:val="22"/>
        </w:rPr>
        <w:t>限售条件的流通股。</w:t>
      </w:r>
    </w:p>
    <w:p>
      <w:pPr>
        <w:spacing w:before="79"/>
        <w:ind w:left="541" w:right="0" w:firstLine="0"/>
        <w:jc w:val="left"/>
        <w:rPr>
          <w:rFonts w:ascii="宋体" w:hAnsi="宋体" w:cs="宋体" w:eastAsia="宋体" w:hint="default"/>
          <w:sz w:val="22"/>
          <w:szCs w:val="22"/>
        </w:rPr>
      </w:pPr>
      <w:r>
        <w:rPr>
          <w:rFonts w:ascii="宋体" w:hAnsi="宋体" w:cs="宋体" w:eastAsia="宋体" w:hint="default"/>
          <w:sz w:val="22"/>
          <w:szCs w:val="22"/>
        </w:rPr>
        <w:t>截止</w:t>
      </w:r>
      <w:r>
        <w:rPr>
          <w:rFonts w:ascii="宋体" w:hAnsi="宋体" w:cs="宋体" w:eastAsia="宋体" w:hint="default"/>
          <w:spacing w:val="-51"/>
          <w:sz w:val="22"/>
          <w:szCs w:val="22"/>
        </w:rPr>
        <w:t> </w:t>
      </w:r>
      <w:r>
        <w:rPr>
          <w:rFonts w:ascii="宋体" w:hAnsi="宋体" w:cs="宋体" w:eastAsia="宋体" w:hint="default"/>
          <w:sz w:val="22"/>
          <w:szCs w:val="22"/>
        </w:rPr>
        <w:t>2018</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宋体" w:hAnsi="宋体" w:cs="宋体" w:eastAsia="宋体" w:hint="default"/>
          <w:sz w:val="22"/>
          <w:szCs w:val="22"/>
        </w:rPr>
        <w:t>12</w:t>
      </w:r>
      <w:r>
        <w:rPr>
          <w:rFonts w:ascii="宋体" w:hAnsi="宋体" w:cs="宋体" w:eastAsia="宋体" w:hint="default"/>
          <w:spacing w:val="-51"/>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宋体" w:hAnsi="宋体" w:cs="宋体" w:eastAsia="宋体" w:hint="default"/>
          <w:sz w:val="22"/>
          <w:szCs w:val="22"/>
        </w:rPr>
        <w:t>31</w:t>
      </w:r>
      <w:r>
        <w:rPr>
          <w:rFonts w:ascii="宋体" w:hAnsi="宋体" w:cs="宋体" w:eastAsia="宋体" w:hint="default"/>
          <w:spacing w:val="-51"/>
          <w:sz w:val="22"/>
          <w:szCs w:val="22"/>
        </w:rPr>
        <w:t> </w:t>
      </w:r>
      <w:r>
        <w:rPr>
          <w:rFonts w:ascii="宋体" w:hAnsi="宋体" w:cs="宋体" w:eastAsia="宋体" w:hint="default"/>
          <w:sz w:val="22"/>
          <w:szCs w:val="22"/>
        </w:rPr>
        <w:t>日，本公司股份总数</w:t>
      </w:r>
      <w:r>
        <w:rPr>
          <w:rFonts w:ascii="宋体" w:hAnsi="宋体" w:cs="宋体" w:eastAsia="宋体" w:hint="default"/>
          <w:spacing w:val="-51"/>
          <w:sz w:val="22"/>
          <w:szCs w:val="22"/>
        </w:rPr>
        <w:t> </w:t>
      </w:r>
      <w:r>
        <w:rPr>
          <w:rFonts w:ascii="宋体" w:hAnsi="宋体" w:cs="宋体" w:eastAsia="宋体" w:hint="default"/>
          <w:sz w:val="22"/>
          <w:szCs w:val="22"/>
        </w:rPr>
        <w:t>2,963,898,951</w:t>
      </w:r>
      <w:r>
        <w:rPr>
          <w:rFonts w:ascii="宋体" w:hAnsi="宋体" w:cs="宋体" w:eastAsia="宋体" w:hint="default"/>
          <w:spacing w:val="-54"/>
          <w:sz w:val="22"/>
          <w:szCs w:val="22"/>
        </w:rPr>
        <w:t> </w:t>
      </w:r>
      <w:r>
        <w:rPr>
          <w:rFonts w:ascii="宋体" w:hAnsi="宋体" w:cs="宋体" w:eastAsia="宋体" w:hint="default"/>
          <w:sz w:val="22"/>
          <w:szCs w:val="22"/>
        </w:rPr>
        <w:t>股，其中：无限售条件的</w:t>
      </w:r>
    </w:p>
    <w:p>
      <w:pPr>
        <w:spacing w:line="345" w:lineRule="auto" w:before="69"/>
        <w:ind w:left="541" w:right="117" w:hanging="440"/>
        <w:jc w:val="left"/>
        <w:rPr>
          <w:rFonts w:ascii="宋体" w:hAnsi="宋体" w:cs="宋体" w:eastAsia="宋体" w:hint="default"/>
          <w:sz w:val="22"/>
          <w:szCs w:val="22"/>
        </w:rPr>
      </w:pPr>
      <w:r>
        <w:rPr>
          <w:rFonts w:ascii="宋体" w:hAnsi="宋体" w:cs="宋体" w:eastAsia="宋体" w:hint="default"/>
          <w:sz w:val="22"/>
          <w:szCs w:val="22"/>
        </w:rPr>
        <w:t>流通股为</w:t>
      </w:r>
      <w:r>
        <w:rPr>
          <w:rFonts w:ascii="宋体" w:hAnsi="宋体" w:cs="宋体" w:eastAsia="宋体" w:hint="default"/>
          <w:spacing w:val="-58"/>
          <w:sz w:val="22"/>
          <w:szCs w:val="22"/>
        </w:rPr>
        <w:t> </w:t>
      </w:r>
      <w:r>
        <w:rPr>
          <w:rFonts w:ascii="宋体" w:hAnsi="宋体" w:cs="宋体" w:eastAsia="宋体" w:hint="default"/>
          <w:sz w:val="22"/>
          <w:szCs w:val="22"/>
        </w:rPr>
        <w:t>2,963,898,951</w:t>
      </w:r>
      <w:r>
        <w:rPr>
          <w:rFonts w:ascii="宋体" w:hAnsi="宋体" w:cs="宋体" w:eastAsia="宋体" w:hint="default"/>
          <w:spacing w:val="-57"/>
          <w:sz w:val="22"/>
          <w:szCs w:val="22"/>
        </w:rPr>
        <w:t> </w:t>
      </w:r>
      <w:r>
        <w:rPr>
          <w:rFonts w:ascii="宋体" w:hAnsi="宋体" w:cs="宋体" w:eastAsia="宋体" w:hint="default"/>
          <w:sz w:val="22"/>
          <w:szCs w:val="22"/>
        </w:rPr>
        <w:t>股。</w:t>
      </w:r>
      <w:r>
        <w:rPr>
          <w:rFonts w:ascii="宋体" w:hAnsi="宋体" w:cs="宋体" w:eastAsia="宋体" w:hint="default"/>
          <w:spacing w:val="-107"/>
          <w:sz w:val="22"/>
          <w:szCs w:val="22"/>
        </w:rPr>
        <w:t> </w:t>
      </w:r>
      <w:r>
        <w:rPr>
          <w:rFonts w:ascii="宋体" w:hAnsi="宋体" w:cs="宋体" w:eastAsia="宋体" w:hint="default"/>
          <w:spacing w:val="-3"/>
          <w:sz w:val="22"/>
          <w:szCs w:val="22"/>
        </w:rPr>
        <w:t>互联网信息服务业务不含新闻、出版、医疗保健、药品和医疗器械等内容；对外派遣</w:t>
      </w:r>
    </w:p>
    <w:p>
      <w:pPr>
        <w:spacing w:line="261" w:lineRule="exact" w:before="0"/>
        <w:ind w:left="102" w:right="0" w:firstLine="0"/>
        <w:jc w:val="both"/>
        <w:rPr>
          <w:rFonts w:ascii="宋体" w:hAnsi="宋体" w:cs="宋体" w:eastAsia="宋体" w:hint="default"/>
          <w:sz w:val="22"/>
          <w:szCs w:val="22"/>
        </w:rPr>
      </w:pPr>
      <w:r>
        <w:rPr>
          <w:rFonts w:ascii="宋体" w:hAnsi="宋体" w:cs="宋体" w:eastAsia="宋体" w:hint="default"/>
          <w:spacing w:val="-3"/>
          <w:sz w:val="22"/>
          <w:szCs w:val="22"/>
        </w:rPr>
        <w:t>实施与出口自产成套设备相关的境外工程所需的劳务人员；商用密码产品生产；商用密码</w:t>
      </w:r>
    </w:p>
    <w:p>
      <w:pPr>
        <w:spacing w:line="297" w:lineRule="auto" w:before="67"/>
        <w:ind w:left="102" w:right="111" w:firstLine="0"/>
        <w:jc w:val="both"/>
        <w:rPr>
          <w:rFonts w:ascii="宋体" w:hAnsi="宋体" w:cs="宋体" w:eastAsia="宋体" w:hint="default"/>
          <w:sz w:val="22"/>
          <w:szCs w:val="22"/>
        </w:rPr>
      </w:pPr>
      <w:r>
        <w:rPr>
          <w:rFonts w:ascii="宋体" w:hAnsi="宋体" w:cs="宋体" w:eastAsia="宋体" w:hint="default"/>
          <w:spacing w:val="-3"/>
          <w:sz w:val="22"/>
          <w:szCs w:val="22"/>
        </w:rPr>
        <w:t>产品销售；社会公共安全设备、交通工程设备、建筑智能化及市政工程机电设备、电力工</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程机电设备、节能；人工环境控制设备、通信电子产品、微电子集成电路、办公设备、仪</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器仪表、光机电一体化设备的生产；水景喷泉制造；第一类增值电信业务中的互联网接入</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服务业务（北京以及长春、南昌）；从事互联网文化活动；计算机及周边设备的生产、销</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售、技术服务和维修；社会公共安全设备、交通工程设备、建筑智能化及市政工程机电设</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3"/>
          <w:sz w:val="22"/>
          <w:szCs w:val="22"/>
        </w:rPr>
        <w:t>备、电力工程机电设备、节能；人工环境控制设备、通信电子产品、微电子集成电路、办</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9"/>
          <w:sz w:val="22"/>
          <w:szCs w:val="22"/>
        </w:rPr>
        <w:t>公设备的销售及工程安装；仪器仪表、光机电一体化设备的开发、销售；消防产品的销售；</w:t>
      </w:r>
      <w:r>
        <w:rPr>
          <w:rFonts w:ascii="宋体" w:hAnsi="宋体" w:cs="宋体" w:eastAsia="宋体" w:hint="default"/>
          <w:spacing w:val="-49"/>
          <w:sz w:val="22"/>
          <w:szCs w:val="22"/>
        </w:rPr>
        <w:t> </w:t>
      </w:r>
      <w:r>
        <w:rPr>
          <w:rFonts w:ascii="宋体" w:hAnsi="宋体" w:cs="宋体" w:eastAsia="宋体" w:hint="default"/>
          <w:spacing w:val="-49"/>
          <w:sz w:val="22"/>
          <w:szCs w:val="22"/>
        </w:rPr>
      </w:r>
      <w:r>
        <w:rPr>
          <w:rFonts w:ascii="宋体" w:hAnsi="宋体" w:cs="宋体" w:eastAsia="宋体" w:hint="default"/>
          <w:spacing w:val="-3"/>
          <w:sz w:val="22"/>
          <w:szCs w:val="22"/>
        </w:rPr>
        <w:t>高科技项目的咨询、高新技术的转让与服务；物业管理；进出口业务；机电安装工程施工</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3"/>
          <w:sz w:val="22"/>
          <w:szCs w:val="22"/>
        </w:rPr>
        <w:t>总承包；建筑智能化、城市及道路照明、电子工程专业承包；室内空气净化工程；计算机</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9"/>
          <w:sz w:val="22"/>
          <w:szCs w:val="22"/>
        </w:rPr>
        <w:t>系统集成；建筑智能化系统集成（不含消防子系统）专项工程设计；水景喷泉设计、安装、</w:t>
      </w:r>
      <w:r>
        <w:rPr>
          <w:rFonts w:ascii="宋体" w:hAnsi="宋体" w:cs="宋体" w:eastAsia="宋体" w:hint="default"/>
          <w:spacing w:val="-50"/>
          <w:sz w:val="22"/>
          <w:szCs w:val="22"/>
        </w:rPr>
        <w:t> </w:t>
      </w:r>
      <w:r>
        <w:rPr>
          <w:rFonts w:ascii="宋体" w:hAnsi="宋体" w:cs="宋体" w:eastAsia="宋体" w:hint="default"/>
          <w:spacing w:val="-50"/>
          <w:sz w:val="22"/>
          <w:szCs w:val="22"/>
        </w:rPr>
      </w:r>
      <w:r>
        <w:rPr>
          <w:rFonts w:ascii="宋体" w:hAnsi="宋体" w:cs="宋体" w:eastAsia="宋体" w:hint="default"/>
          <w:spacing w:val="-3"/>
          <w:sz w:val="22"/>
          <w:szCs w:val="22"/>
        </w:rPr>
        <w:t>调试；安防工程（设计、施工）；有线电视共用天线设计安装；广告发布与代理；船只租</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pacing w:val="-9"/>
          <w:sz w:val="22"/>
          <w:szCs w:val="22"/>
        </w:rPr>
        <w:t>赁；工程勘察设计；设计、销售照明器具；基础软件服务、应用软件服务；销售机械设备、</w:t>
      </w:r>
      <w:r>
        <w:rPr>
          <w:rFonts w:ascii="宋体" w:hAnsi="宋体" w:cs="宋体" w:eastAsia="宋体" w:hint="default"/>
          <w:spacing w:val="-45"/>
          <w:sz w:val="22"/>
          <w:szCs w:val="22"/>
        </w:rPr>
        <w:t> </w:t>
      </w:r>
      <w:r>
        <w:rPr>
          <w:rFonts w:ascii="宋体" w:hAnsi="宋体" w:cs="宋体" w:eastAsia="宋体" w:hint="default"/>
          <w:spacing w:val="-45"/>
          <w:sz w:val="22"/>
          <w:szCs w:val="22"/>
        </w:rPr>
      </w:r>
      <w:r>
        <w:rPr>
          <w:rFonts w:ascii="宋体" w:hAnsi="宋体" w:cs="宋体" w:eastAsia="宋体" w:hint="default"/>
          <w:spacing w:val="-3"/>
          <w:sz w:val="22"/>
          <w:szCs w:val="22"/>
        </w:rPr>
        <w:t>五金、交电、家用电器、软件及辅助设备、广播电视设备、通讯设备、电子产品。（企业</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3"/>
          <w:sz w:val="22"/>
          <w:szCs w:val="22"/>
        </w:rPr>
        <w:t>依法自主选择经营项目，开展经营活动；依法须经批准的项目，经相关部门批准后依批准</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的内容开展经营活动；不得从事本市产业政策禁止和限制类项目的经营活动。）</w:t>
      </w:r>
    </w:p>
    <w:p>
      <w:pPr>
        <w:spacing w:after="0" w:line="297" w:lineRule="auto"/>
        <w:jc w:val="both"/>
        <w:rPr>
          <w:rFonts w:ascii="宋体" w:hAnsi="宋体" w:cs="宋体" w:eastAsia="宋体" w:hint="default"/>
          <w:sz w:val="22"/>
          <w:szCs w:val="22"/>
        </w:rPr>
        <w:sectPr>
          <w:pgSz w:w="11910" w:h="16840"/>
          <w:pgMar w:header="0" w:footer="1054" w:top="1360" w:bottom="1240" w:left="1600" w:right="1580"/>
        </w:sectPr>
      </w:pPr>
    </w:p>
    <w:p>
      <w:pPr>
        <w:spacing w:before="10"/>
        <w:ind w:left="102" w:right="117" w:firstLine="0"/>
        <w:jc w:val="left"/>
        <w:rPr>
          <w:rFonts w:ascii="宋体" w:hAnsi="宋体" w:cs="宋体" w:eastAsia="宋体" w:hint="default"/>
          <w:sz w:val="21"/>
          <w:szCs w:val="21"/>
        </w:rPr>
      </w:pPr>
      <w:r>
        <w:rPr>
          <w:rFonts w:ascii="宋体" w:hAnsi="宋体" w:cs="宋体" w:eastAsia="宋体" w:hint="default"/>
          <w:b/>
          <w:bCs/>
          <w:sz w:val="21"/>
          <w:szCs w:val="21"/>
        </w:rPr>
        <w:t>二、合并财务报表范围</w:t>
      </w:r>
      <w:r>
        <w:rPr>
          <w:rFonts w:ascii="宋体" w:hAnsi="宋体" w:cs="宋体" w:eastAsia="宋体" w:hint="default"/>
          <w:sz w:val="21"/>
          <w:szCs w:val="21"/>
        </w:rPr>
      </w:r>
    </w:p>
    <w:p>
      <w:pPr>
        <w:spacing w:line="297" w:lineRule="auto" w:before="52"/>
        <w:ind w:left="102" w:right="117" w:firstLine="439"/>
        <w:jc w:val="left"/>
        <w:rPr>
          <w:rFonts w:ascii="宋体" w:hAnsi="宋体" w:cs="宋体" w:eastAsia="宋体" w:hint="default"/>
          <w:sz w:val="22"/>
          <w:szCs w:val="22"/>
        </w:rPr>
      </w:pPr>
      <w:r>
        <w:rPr>
          <w:rFonts w:ascii="宋体" w:hAnsi="宋体" w:cs="宋体" w:eastAsia="宋体" w:hint="default"/>
          <w:spacing w:val="-3"/>
          <w:sz w:val="22"/>
          <w:szCs w:val="22"/>
        </w:rPr>
        <w:t>本公司合并财务报表范围包括同方威视技术股份有限公司、同方计算机有限公司、同</w:t>
      </w:r>
      <w:r>
        <w:rPr>
          <w:rFonts w:ascii="宋体" w:hAnsi="宋体" w:cs="宋体" w:eastAsia="宋体" w:hint="default"/>
          <w:w w:val="100"/>
          <w:sz w:val="22"/>
          <w:szCs w:val="22"/>
        </w:rPr>
        <w:t> </w:t>
      </w:r>
      <w:r>
        <w:rPr>
          <w:rFonts w:ascii="宋体" w:hAnsi="宋体" w:cs="宋体" w:eastAsia="宋体" w:hint="default"/>
          <w:sz w:val="22"/>
          <w:szCs w:val="22"/>
        </w:rPr>
        <w:t>方泰德国际科技有限公司和同方人工环境有限公司等</w:t>
      </w:r>
      <w:r>
        <w:rPr>
          <w:rFonts w:ascii="宋体" w:hAnsi="宋体" w:cs="宋体" w:eastAsia="宋体" w:hint="default"/>
          <w:spacing w:val="-57"/>
          <w:sz w:val="22"/>
          <w:szCs w:val="22"/>
        </w:rPr>
        <w:t> </w:t>
      </w:r>
      <w:r>
        <w:rPr>
          <w:rFonts w:ascii="宋体" w:hAnsi="宋体" w:cs="宋体" w:eastAsia="宋体" w:hint="default"/>
          <w:sz w:val="22"/>
          <w:szCs w:val="22"/>
        </w:rPr>
        <w:t>227</w:t>
      </w:r>
      <w:r>
        <w:rPr>
          <w:rFonts w:ascii="宋体" w:hAnsi="宋体" w:cs="宋体" w:eastAsia="宋体" w:hint="default"/>
          <w:spacing w:val="-58"/>
          <w:sz w:val="22"/>
          <w:szCs w:val="22"/>
        </w:rPr>
        <w:t> </w:t>
      </w:r>
      <w:r>
        <w:rPr>
          <w:rFonts w:ascii="宋体" w:hAnsi="宋体" w:cs="宋体" w:eastAsia="宋体" w:hint="default"/>
          <w:sz w:val="22"/>
          <w:szCs w:val="22"/>
        </w:rPr>
        <w:t>家公司。</w:t>
      </w:r>
    </w:p>
    <w:p>
      <w:pPr>
        <w:spacing w:before="77"/>
        <w:ind w:left="541" w:right="0" w:firstLine="0"/>
        <w:jc w:val="both"/>
        <w:rPr>
          <w:rFonts w:ascii="宋体" w:hAnsi="宋体" w:cs="宋体" w:eastAsia="宋体" w:hint="default"/>
          <w:sz w:val="22"/>
          <w:szCs w:val="22"/>
        </w:rPr>
      </w:pPr>
      <w:r>
        <w:rPr>
          <w:rFonts w:ascii="宋体" w:hAnsi="宋体" w:cs="宋体" w:eastAsia="宋体" w:hint="default"/>
          <w:sz w:val="22"/>
          <w:szCs w:val="22"/>
        </w:rPr>
        <w:t>详见本附注“七、在其他主体中的权益”相关内容。</w:t>
      </w:r>
    </w:p>
    <w:p>
      <w:pPr>
        <w:spacing w:before="131"/>
        <w:ind w:left="102" w:right="117" w:firstLine="0"/>
        <w:jc w:val="left"/>
        <w:rPr>
          <w:rFonts w:ascii="宋体" w:hAnsi="宋体" w:cs="宋体" w:eastAsia="宋体" w:hint="default"/>
          <w:sz w:val="21"/>
          <w:szCs w:val="21"/>
        </w:rPr>
      </w:pPr>
      <w:r>
        <w:rPr>
          <w:rFonts w:ascii="宋体" w:hAnsi="宋体" w:cs="宋体" w:eastAsia="宋体" w:hint="default"/>
          <w:b/>
          <w:bCs/>
          <w:sz w:val="21"/>
          <w:szCs w:val="21"/>
        </w:rPr>
        <w:t>三、财务报表的编制基础</w:t>
      </w:r>
      <w:r>
        <w:rPr>
          <w:rFonts w:ascii="宋体" w:hAnsi="宋体" w:cs="宋体" w:eastAsia="宋体" w:hint="default"/>
          <w:sz w:val="21"/>
          <w:szCs w:val="21"/>
        </w:rPr>
      </w:r>
    </w:p>
    <w:p>
      <w:pPr>
        <w:spacing w:before="54"/>
        <w:ind w:left="601" w:right="0" w:firstLine="0"/>
        <w:jc w:val="both"/>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1"/>
          <w:sz w:val="22"/>
          <w:szCs w:val="22"/>
        </w:rPr>
        <w:t> </w:t>
      </w:r>
      <w:r>
        <w:rPr>
          <w:rFonts w:ascii="宋体" w:hAnsi="宋体" w:cs="宋体" w:eastAsia="宋体" w:hint="default"/>
          <w:sz w:val="22"/>
          <w:szCs w:val="22"/>
        </w:rPr>
        <w:t>编制基础</w:t>
      </w:r>
    </w:p>
    <w:p>
      <w:pPr>
        <w:spacing w:line="297" w:lineRule="auto" w:before="131"/>
        <w:ind w:left="521" w:right="112" w:firstLine="0"/>
        <w:jc w:val="both"/>
        <w:rPr>
          <w:rFonts w:ascii="宋体" w:hAnsi="宋体" w:cs="宋体" w:eastAsia="宋体" w:hint="default"/>
          <w:sz w:val="21"/>
          <w:szCs w:val="21"/>
        </w:rPr>
      </w:pPr>
      <w:r>
        <w:rPr>
          <w:rFonts w:ascii="宋体" w:hAnsi="宋体" w:cs="宋体" w:eastAsia="宋体" w:hint="default"/>
          <w:spacing w:val="-5"/>
          <w:sz w:val="21"/>
          <w:szCs w:val="21"/>
        </w:rPr>
        <w:t>本公司财务报表以持续经营为基础，根据实际发生的交易和事项，按照财政部颁布的《企</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5"/>
          <w:sz w:val="21"/>
          <w:szCs w:val="21"/>
        </w:rPr>
        <w:t>业会计准则》及相关规定，并基于本附注“四、重要会计政策及会计估计”所述会计政策</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和会计估计编制。</w:t>
      </w:r>
    </w:p>
    <w:p>
      <w:pPr>
        <w:spacing w:before="71"/>
        <w:ind w:left="601" w:right="0" w:firstLine="0"/>
        <w:jc w:val="both"/>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71"/>
          <w:sz w:val="22"/>
          <w:szCs w:val="22"/>
        </w:rPr>
        <w:t> </w:t>
      </w:r>
      <w:r>
        <w:rPr>
          <w:rFonts w:ascii="宋体" w:hAnsi="宋体" w:cs="宋体" w:eastAsia="宋体" w:hint="default"/>
          <w:sz w:val="22"/>
          <w:szCs w:val="22"/>
        </w:rPr>
        <w:t>持续经营</w:t>
      </w:r>
    </w:p>
    <w:p>
      <w:pPr>
        <w:spacing w:line="297" w:lineRule="auto" w:before="131"/>
        <w:ind w:left="521" w:right="112" w:firstLine="0"/>
        <w:jc w:val="both"/>
        <w:rPr>
          <w:rFonts w:ascii="宋体" w:hAnsi="宋体" w:cs="宋体" w:eastAsia="宋体" w:hint="default"/>
          <w:sz w:val="21"/>
          <w:szCs w:val="21"/>
        </w:rPr>
      </w:pPr>
      <w:r>
        <w:rPr>
          <w:rFonts w:ascii="宋体" w:hAnsi="宋体" w:cs="宋体" w:eastAsia="宋体" w:hint="default"/>
          <w:spacing w:val="-5"/>
          <w:sz w:val="21"/>
          <w:szCs w:val="21"/>
        </w:rPr>
        <w:t>本公司管理层综合考虑了宏观政策风险、市场经营风险、公司目前和长期的盈利能力、偿</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债能力、财务弹性以及管理层改变经营政策的意向等因素，认为本公司自报告期末起</w:t>
      </w:r>
      <w:r>
        <w:rPr>
          <w:rFonts w:ascii="宋体" w:hAnsi="宋体" w:cs="宋体" w:eastAsia="宋体" w:hint="default"/>
          <w:spacing w:val="-2"/>
          <w:sz w:val="21"/>
          <w:szCs w:val="21"/>
        </w:rPr>
        <w:t> </w:t>
      </w:r>
      <w:r>
        <w:rPr>
          <w:rFonts w:ascii="宋体" w:hAnsi="宋体" w:cs="宋体" w:eastAsia="宋体" w:hint="default"/>
          <w:spacing w:val="-3"/>
          <w:sz w:val="21"/>
          <w:szCs w:val="21"/>
        </w:rPr>
        <w:t>12</w:t>
      </w:r>
      <w:r>
        <w:rPr>
          <w:rFonts w:ascii="宋体" w:hAnsi="宋体" w:cs="宋体" w:eastAsia="宋体" w:hint="default"/>
          <w:spacing w:val="-3"/>
          <w:w w:val="100"/>
          <w:sz w:val="21"/>
          <w:szCs w:val="21"/>
        </w:rPr>
        <w:t> </w:t>
      </w:r>
      <w:r>
        <w:rPr>
          <w:rFonts w:ascii="宋体" w:hAnsi="宋体" w:cs="宋体" w:eastAsia="宋体" w:hint="default"/>
          <w:sz w:val="21"/>
          <w:szCs w:val="21"/>
        </w:rPr>
        <w:t>个月内不存在影响持续经营能力的事项。</w:t>
      </w:r>
    </w:p>
    <w:p>
      <w:pPr>
        <w:spacing w:line="290" w:lineRule="auto" w:before="75"/>
        <w:ind w:left="541" w:right="117" w:hanging="440"/>
        <w:jc w:val="left"/>
        <w:rPr>
          <w:rFonts w:ascii="宋体" w:hAnsi="宋体" w:cs="宋体" w:eastAsia="宋体" w:hint="default"/>
          <w:sz w:val="21"/>
          <w:szCs w:val="21"/>
        </w:rPr>
      </w:pPr>
      <w:r>
        <w:rPr>
          <w:rFonts w:ascii="宋体" w:hAnsi="宋体" w:cs="宋体" w:eastAsia="宋体" w:hint="default"/>
          <w:b/>
          <w:bCs/>
          <w:sz w:val="21"/>
          <w:szCs w:val="21"/>
        </w:rPr>
        <w:t>四、重要会计政策及会计估计</w:t>
      </w:r>
      <w:r>
        <w:rPr>
          <w:rFonts w:ascii="宋体" w:hAnsi="宋体" w:cs="宋体" w:eastAsia="宋体" w:hint="default"/>
          <w:b/>
          <w:bCs/>
          <w:w w:val="100"/>
          <w:sz w:val="21"/>
          <w:szCs w:val="21"/>
        </w:rPr>
        <w:t> </w:t>
      </w:r>
      <w:r>
        <w:rPr>
          <w:rFonts w:ascii="宋体" w:hAnsi="宋体" w:cs="宋体" w:eastAsia="宋体" w:hint="default"/>
          <w:sz w:val="21"/>
          <w:szCs w:val="21"/>
        </w:rPr>
        <w:t>本公司根据实际生产经营特点制定的具体会计政策和会计估计包括营业周期、应收款项</w:t>
      </w:r>
    </w:p>
    <w:p>
      <w:pPr>
        <w:spacing w:line="297" w:lineRule="auto" w:before="22"/>
        <w:ind w:left="102" w:right="117" w:firstLine="0"/>
        <w:jc w:val="left"/>
        <w:rPr>
          <w:rFonts w:ascii="宋体" w:hAnsi="宋体" w:cs="宋体" w:eastAsia="宋体" w:hint="default"/>
          <w:sz w:val="21"/>
          <w:szCs w:val="21"/>
        </w:rPr>
      </w:pPr>
      <w:r>
        <w:rPr>
          <w:rFonts w:ascii="宋体" w:hAnsi="宋体" w:cs="宋体" w:eastAsia="宋体" w:hint="default"/>
          <w:spacing w:val="-4"/>
          <w:sz w:val="21"/>
          <w:szCs w:val="21"/>
        </w:rPr>
        <w:t>坏账准备的确认和计量、发出存货计量、固定资产分类及折旧方法、无形资产摊销、研发费用</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资本化条件、收入确认和计量等。</w:t>
      </w:r>
    </w:p>
    <w:p>
      <w:pPr>
        <w:spacing w:before="71"/>
        <w:ind w:left="555" w:right="0" w:firstLine="0"/>
        <w:jc w:val="both"/>
        <w:rPr>
          <w:rFonts w:ascii="宋体" w:hAnsi="宋体" w:cs="宋体" w:eastAsia="宋体" w:hint="default"/>
          <w:sz w:val="22"/>
          <w:szCs w:val="22"/>
        </w:rPr>
      </w:pPr>
      <w:r>
        <w:rPr>
          <w:rFonts w:ascii="宋体" w:hAnsi="宋体" w:cs="宋体" w:eastAsia="宋体" w:hint="default"/>
          <w:b/>
          <w:bCs/>
          <w:sz w:val="22"/>
          <w:szCs w:val="22"/>
        </w:rPr>
        <w:t>1. </w:t>
      </w:r>
      <w:r>
        <w:rPr>
          <w:rFonts w:ascii="宋体" w:hAnsi="宋体" w:cs="宋体" w:eastAsia="宋体" w:hint="default"/>
          <w:b/>
          <w:bCs/>
          <w:spacing w:val="9"/>
          <w:sz w:val="22"/>
          <w:szCs w:val="22"/>
        </w:rPr>
        <w:t> </w:t>
      </w:r>
      <w:r>
        <w:rPr>
          <w:rFonts w:ascii="宋体" w:hAnsi="宋体" w:cs="宋体" w:eastAsia="宋体" w:hint="default"/>
          <w:sz w:val="22"/>
          <w:szCs w:val="22"/>
        </w:rPr>
        <w:t>遵循企业会计准则的声明</w:t>
      </w:r>
    </w:p>
    <w:p>
      <w:pPr>
        <w:spacing w:line="297" w:lineRule="auto" w:before="62"/>
        <w:ind w:left="102" w:right="117" w:firstLine="439"/>
        <w:jc w:val="left"/>
        <w:rPr>
          <w:rFonts w:ascii="宋体" w:hAnsi="宋体" w:cs="宋体" w:eastAsia="宋体" w:hint="default"/>
          <w:sz w:val="21"/>
          <w:szCs w:val="21"/>
        </w:rPr>
      </w:pPr>
      <w:r>
        <w:rPr>
          <w:rFonts w:ascii="宋体" w:hAnsi="宋体" w:cs="宋体" w:eastAsia="宋体" w:hint="default"/>
          <w:sz w:val="21"/>
          <w:szCs w:val="21"/>
        </w:rPr>
        <w:t>本公司编制的财务报表符合企业会计准则的要求，真实、完整地反映了本公司的财务状</w:t>
      </w:r>
      <w:r>
        <w:rPr>
          <w:rFonts w:ascii="宋体" w:hAnsi="宋体" w:cs="宋体" w:eastAsia="宋体" w:hint="default"/>
          <w:w w:val="100"/>
          <w:sz w:val="21"/>
          <w:szCs w:val="21"/>
        </w:rPr>
        <w:t> </w:t>
      </w:r>
      <w:r>
        <w:rPr>
          <w:rFonts w:ascii="宋体" w:hAnsi="宋体" w:cs="宋体" w:eastAsia="宋体" w:hint="default"/>
          <w:sz w:val="21"/>
          <w:szCs w:val="21"/>
        </w:rPr>
        <w:t>况、经营成果和现金流量等有关信息。</w:t>
      </w:r>
    </w:p>
    <w:p>
      <w:pPr>
        <w:spacing w:before="68"/>
        <w:ind w:left="555" w:right="0" w:firstLine="0"/>
        <w:jc w:val="both"/>
        <w:rPr>
          <w:rFonts w:ascii="宋体" w:hAnsi="宋体" w:cs="宋体" w:eastAsia="宋体" w:hint="default"/>
          <w:sz w:val="22"/>
          <w:szCs w:val="22"/>
        </w:rPr>
      </w:pPr>
      <w:r>
        <w:rPr>
          <w:rFonts w:ascii="宋体" w:hAnsi="宋体" w:cs="宋体" w:eastAsia="宋体" w:hint="default"/>
          <w:b/>
          <w:bCs/>
          <w:sz w:val="22"/>
          <w:szCs w:val="22"/>
        </w:rPr>
        <w:t>2. </w:t>
      </w:r>
      <w:r>
        <w:rPr>
          <w:rFonts w:ascii="宋体" w:hAnsi="宋体" w:cs="宋体" w:eastAsia="宋体" w:hint="default"/>
          <w:b/>
          <w:bCs/>
          <w:spacing w:val="13"/>
          <w:sz w:val="22"/>
          <w:szCs w:val="22"/>
        </w:rPr>
        <w:t> </w:t>
      </w:r>
      <w:r>
        <w:rPr>
          <w:rFonts w:ascii="宋体" w:hAnsi="宋体" w:cs="宋体" w:eastAsia="宋体" w:hint="default"/>
          <w:sz w:val="22"/>
          <w:szCs w:val="22"/>
        </w:rPr>
        <w:t>会计期间</w:t>
      </w:r>
    </w:p>
    <w:p>
      <w:pPr>
        <w:spacing w:before="58"/>
        <w:ind w:left="541" w:right="0" w:firstLine="0"/>
        <w:jc w:val="both"/>
        <w:rPr>
          <w:rFonts w:ascii="宋体" w:hAnsi="宋体" w:cs="宋体" w:eastAsia="宋体" w:hint="default"/>
          <w:sz w:val="22"/>
          <w:szCs w:val="22"/>
        </w:rPr>
      </w:pPr>
      <w:r>
        <w:rPr>
          <w:rFonts w:ascii="宋体" w:hAnsi="宋体" w:cs="宋体" w:eastAsia="宋体" w:hint="default"/>
          <w:sz w:val="22"/>
          <w:szCs w:val="22"/>
        </w:rPr>
        <w:t>本公司的会计期间为公历</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日至</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pacing w:val="-3"/>
          <w:sz w:val="22"/>
          <w:szCs w:val="22"/>
        </w:rPr>
        <w:t>日。</w:t>
      </w:r>
      <w:r>
        <w:rPr>
          <w:rFonts w:ascii="宋体" w:hAnsi="宋体" w:cs="宋体" w:eastAsia="宋体" w:hint="default"/>
          <w:sz w:val="22"/>
          <w:szCs w:val="22"/>
        </w:rPr>
      </w:r>
    </w:p>
    <w:p>
      <w:pPr>
        <w:spacing w:before="129"/>
        <w:ind w:left="555" w:right="0" w:firstLine="0"/>
        <w:jc w:val="both"/>
        <w:rPr>
          <w:rFonts w:ascii="宋体" w:hAnsi="宋体" w:cs="宋体" w:eastAsia="宋体" w:hint="default"/>
          <w:sz w:val="22"/>
          <w:szCs w:val="22"/>
        </w:rPr>
      </w:pPr>
      <w:r>
        <w:rPr>
          <w:rFonts w:ascii="宋体" w:hAnsi="宋体" w:cs="宋体" w:eastAsia="宋体" w:hint="default"/>
          <w:b/>
          <w:bCs/>
          <w:sz w:val="22"/>
          <w:szCs w:val="22"/>
        </w:rPr>
        <w:t>3. </w:t>
      </w:r>
      <w:r>
        <w:rPr>
          <w:rFonts w:ascii="宋体" w:hAnsi="宋体" w:cs="宋体" w:eastAsia="宋体" w:hint="default"/>
          <w:b/>
          <w:bCs/>
          <w:spacing w:val="13"/>
          <w:sz w:val="22"/>
          <w:szCs w:val="22"/>
        </w:rPr>
        <w:t> </w:t>
      </w:r>
      <w:r>
        <w:rPr>
          <w:rFonts w:ascii="宋体" w:hAnsi="宋体" w:cs="宋体" w:eastAsia="宋体" w:hint="default"/>
          <w:sz w:val="22"/>
          <w:szCs w:val="22"/>
        </w:rPr>
        <w:t>营业周期</w:t>
      </w:r>
    </w:p>
    <w:p>
      <w:pPr>
        <w:spacing w:before="57"/>
        <w:ind w:left="541" w:right="0" w:firstLine="0"/>
        <w:jc w:val="both"/>
        <w:rPr>
          <w:rFonts w:ascii="宋体" w:hAnsi="宋体" w:cs="宋体" w:eastAsia="宋体" w:hint="default"/>
          <w:sz w:val="22"/>
          <w:szCs w:val="22"/>
        </w:rPr>
      </w:pPr>
      <w:r>
        <w:rPr>
          <w:rFonts w:ascii="宋体" w:hAnsi="宋体" w:cs="宋体" w:eastAsia="宋体" w:hint="default"/>
          <w:sz w:val="22"/>
          <w:szCs w:val="22"/>
        </w:rPr>
        <w:t>本公司以</w:t>
      </w:r>
      <w:r>
        <w:rPr>
          <w:rFonts w:ascii="宋体" w:hAnsi="宋体" w:cs="宋体" w:eastAsia="宋体" w:hint="default"/>
          <w:spacing w:val="-57"/>
          <w:sz w:val="22"/>
          <w:szCs w:val="22"/>
        </w:rPr>
        <w:t> </w:t>
      </w: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个月作为正常营业周期。</w:t>
      </w:r>
    </w:p>
    <w:p>
      <w:pPr>
        <w:tabs>
          <w:tab w:pos="1009" w:val="left" w:leader="none"/>
        </w:tabs>
        <w:spacing w:line="288" w:lineRule="auto" w:before="127"/>
        <w:ind w:left="541" w:right="5104" w:firstLine="14"/>
        <w:jc w:val="left"/>
        <w:rPr>
          <w:rFonts w:ascii="宋体" w:hAnsi="宋体" w:cs="宋体" w:eastAsia="宋体" w:hint="default"/>
          <w:sz w:val="22"/>
          <w:szCs w:val="22"/>
        </w:rPr>
      </w:pPr>
      <w:r>
        <w:rPr>
          <w:rFonts w:ascii="宋体" w:hAnsi="宋体" w:cs="宋体" w:eastAsia="宋体" w:hint="default"/>
          <w:b/>
          <w:bCs/>
          <w:w w:val="95"/>
          <w:sz w:val="22"/>
          <w:szCs w:val="22"/>
        </w:rPr>
        <w:t>4.</w:t>
        <w:tab/>
      </w:r>
      <w:r>
        <w:rPr>
          <w:rFonts w:ascii="宋体" w:hAnsi="宋体" w:cs="宋体" w:eastAsia="宋体" w:hint="default"/>
          <w:sz w:val="22"/>
          <w:szCs w:val="22"/>
        </w:rPr>
        <w:t>记账本位币</w:t>
      </w:r>
      <w:r>
        <w:rPr>
          <w:rFonts w:ascii="宋体" w:hAnsi="宋体" w:cs="宋体" w:eastAsia="宋体" w:hint="default"/>
          <w:w w:val="100"/>
          <w:sz w:val="22"/>
          <w:szCs w:val="22"/>
        </w:rPr>
        <w:t> </w:t>
      </w:r>
      <w:r>
        <w:rPr>
          <w:rFonts w:ascii="宋体" w:hAnsi="宋体" w:cs="宋体" w:eastAsia="宋体" w:hint="default"/>
          <w:spacing w:val="-1"/>
          <w:sz w:val="22"/>
          <w:szCs w:val="22"/>
        </w:rPr>
        <w:t>本公司以人民币为记账本位币。</w:t>
      </w:r>
    </w:p>
    <w:p>
      <w:pPr>
        <w:spacing w:before="85"/>
        <w:ind w:left="555" w:right="0" w:firstLine="0"/>
        <w:jc w:val="both"/>
        <w:rPr>
          <w:rFonts w:ascii="宋体" w:hAnsi="宋体" w:cs="宋体" w:eastAsia="宋体" w:hint="default"/>
          <w:sz w:val="22"/>
          <w:szCs w:val="22"/>
        </w:rPr>
      </w:pPr>
      <w:r>
        <w:rPr>
          <w:rFonts w:ascii="宋体" w:hAnsi="宋体" w:cs="宋体" w:eastAsia="宋体" w:hint="default"/>
          <w:b/>
          <w:bCs/>
          <w:sz w:val="22"/>
          <w:szCs w:val="22"/>
        </w:rPr>
        <w:t>5. </w:t>
      </w:r>
      <w:r>
        <w:rPr>
          <w:rFonts w:ascii="宋体" w:hAnsi="宋体" w:cs="宋体" w:eastAsia="宋体" w:hint="default"/>
          <w:b/>
          <w:bCs/>
          <w:spacing w:val="4"/>
          <w:sz w:val="22"/>
          <w:szCs w:val="22"/>
        </w:rPr>
        <w:t> </w:t>
      </w:r>
      <w:r>
        <w:rPr>
          <w:rFonts w:ascii="宋体" w:hAnsi="宋体" w:cs="宋体" w:eastAsia="宋体" w:hint="default"/>
          <w:sz w:val="22"/>
          <w:szCs w:val="22"/>
        </w:rPr>
        <w:t>同一控制下和非同一控制下企业合并的会计处理方法</w:t>
      </w:r>
    </w:p>
    <w:p>
      <w:pPr>
        <w:spacing w:line="297" w:lineRule="auto" w:before="57"/>
        <w:ind w:left="102" w:right="116" w:firstLine="479"/>
        <w:jc w:val="both"/>
        <w:rPr>
          <w:rFonts w:ascii="宋体" w:hAnsi="宋体" w:cs="宋体" w:eastAsia="宋体" w:hint="default"/>
          <w:sz w:val="22"/>
          <w:szCs w:val="22"/>
        </w:rPr>
      </w:pPr>
      <w:r>
        <w:rPr>
          <w:rFonts w:ascii="宋体" w:hAnsi="宋体" w:cs="宋体" w:eastAsia="宋体" w:hint="default"/>
          <w:sz w:val="22"/>
          <w:szCs w:val="22"/>
        </w:rPr>
        <w:t>本公司作为合并方，在同一控制下企业合并中取得的资产和负债，在合并日按被合</w:t>
      </w:r>
      <w:r>
        <w:rPr>
          <w:rFonts w:ascii="宋体" w:hAnsi="宋体" w:cs="宋体" w:eastAsia="宋体" w:hint="default"/>
          <w:spacing w:val="2"/>
          <w:w w:val="100"/>
          <w:sz w:val="22"/>
          <w:szCs w:val="22"/>
        </w:rPr>
        <w:t> </w:t>
      </w:r>
      <w:r>
        <w:rPr>
          <w:rFonts w:ascii="宋体" w:hAnsi="宋体" w:cs="宋体" w:eastAsia="宋体" w:hint="default"/>
          <w:spacing w:val="-3"/>
          <w:sz w:val="22"/>
          <w:szCs w:val="22"/>
        </w:rPr>
        <w:t>并方在最终控制方合并报表中的账面价值计量。取得的净资产账面价值与支付的合并对价</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账面价值的差额，调整资本公积；资本公积不足冲减的，调整留存收益。</w:t>
      </w:r>
    </w:p>
    <w:p>
      <w:pPr>
        <w:spacing w:line="297" w:lineRule="auto" w:before="77"/>
        <w:ind w:left="102" w:right="115" w:firstLine="479"/>
        <w:jc w:val="both"/>
        <w:rPr>
          <w:rFonts w:ascii="宋体" w:hAnsi="宋体" w:cs="宋体" w:eastAsia="宋体" w:hint="default"/>
          <w:sz w:val="22"/>
          <w:szCs w:val="22"/>
        </w:rPr>
      </w:pPr>
      <w:r>
        <w:rPr>
          <w:rFonts w:ascii="宋体" w:hAnsi="宋体" w:cs="宋体" w:eastAsia="宋体" w:hint="default"/>
          <w:sz w:val="22"/>
          <w:szCs w:val="22"/>
        </w:rPr>
        <w:t>在非同一控制下企业合并中取得的被购买方可辨认资产、负债及或有负债在购买日</w:t>
      </w:r>
      <w:r>
        <w:rPr>
          <w:rFonts w:ascii="宋体" w:hAnsi="宋体" w:cs="宋体" w:eastAsia="宋体" w:hint="default"/>
          <w:spacing w:val="2"/>
          <w:w w:val="100"/>
          <w:sz w:val="22"/>
          <w:szCs w:val="22"/>
        </w:rPr>
        <w:t> </w:t>
      </w:r>
      <w:r>
        <w:rPr>
          <w:rFonts w:ascii="宋体" w:hAnsi="宋体" w:cs="宋体" w:eastAsia="宋体" w:hint="default"/>
          <w:spacing w:val="-3"/>
          <w:sz w:val="22"/>
          <w:szCs w:val="22"/>
        </w:rPr>
        <w:t>以公允价值计量。合并成本为本公司在购买日为取得对被购买方的控制权而支付的现金或</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非现金资产、发生或承担的负债、发行的权益性工具或债务性工具等的公允价值之和。合</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并成本大于合并中取得的被购买方可辨认净资产公允价值份额的差额，确认为商誉；合并</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3"/>
          <w:sz w:val="22"/>
          <w:szCs w:val="22"/>
        </w:rPr>
        <w:t>成本小于合并中取得的被购买方可辨认净资产公允价值份额的，首先对合并中取得的各项</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可辨认资产、负债及或有负债的公允价值、以及合并对价的非现金资产或发行的权益性证</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券等的公允价值进行复核，经复核后，合并成本仍小于合并中取得的被购买方可辨认净资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产公允价值份额的，将其差额计入合并当期营业外收入。</w:t>
      </w:r>
    </w:p>
    <w:p>
      <w:pPr>
        <w:spacing w:after="0" w:line="297" w:lineRule="auto"/>
        <w:jc w:val="both"/>
        <w:rPr>
          <w:rFonts w:ascii="宋体" w:hAnsi="宋体" w:cs="宋体" w:eastAsia="宋体" w:hint="default"/>
          <w:sz w:val="22"/>
          <w:szCs w:val="22"/>
        </w:rPr>
        <w:sectPr>
          <w:pgSz w:w="11910" w:h="16840"/>
          <w:pgMar w:header="0" w:footer="1054" w:top="1360" w:bottom="1240" w:left="1600" w:right="1580"/>
        </w:sectPr>
      </w:pPr>
    </w:p>
    <w:p>
      <w:pPr>
        <w:tabs>
          <w:tab w:pos="1009" w:val="left" w:leader="none"/>
        </w:tabs>
        <w:spacing w:line="288" w:lineRule="auto" w:before="6"/>
        <w:ind w:left="541" w:right="3346" w:firstLine="14"/>
        <w:jc w:val="left"/>
        <w:rPr>
          <w:rFonts w:ascii="宋体" w:hAnsi="宋体" w:cs="宋体" w:eastAsia="宋体" w:hint="default"/>
          <w:sz w:val="22"/>
          <w:szCs w:val="22"/>
        </w:rPr>
      </w:pPr>
      <w:r>
        <w:rPr>
          <w:rFonts w:ascii="宋体" w:hAnsi="宋体" w:cs="宋体" w:eastAsia="宋体" w:hint="default"/>
          <w:b/>
          <w:bCs/>
          <w:w w:val="95"/>
          <w:sz w:val="22"/>
          <w:szCs w:val="22"/>
        </w:rPr>
        <w:t>6.</w:t>
        <w:tab/>
      </w:r>
      <w:r>
        <w:rPr>
          <w:rFonts w:ascii="宋体" w:hAnsi="宋体" w:cs="宋体" w:eastAsia="宋体" w:hint="default"/>
          <w:sz w:val="22"/>
          <w:szCs w:val="22"/>
        </w:rPr>
        <w:t>合并财务报表的编制方法</w:t>
      </w:r>
      <w:r>
        <w:rPr>
          <w:rFonts w:ascii="宋体" w:hAnsi="宋体" w:cs="宋体" w:eastAsia="宋体" w:hint="default"/>
          <w:w w:val="100"/>
          <w:sz w:val="22"/>
          <w:szCs w:val="22"/>
        </w:rPr>
        <w:t> </w:t>
      </w:r>
      <w:r>
        <w:rPr>
          <w:rFonts w:ascii="宋体" w:hAnsi="宋体" w:cs="宋体" w:eastAsia="宋体" w:hint="default"/>
          <w:spacing w:val="-2"/>
          <w:sz w:val="22"/>
          <w:szCs w:val="22"/>
        </w:rPr>
        <w:t>本公司将所有控制的子公司纳入合并财务报表范围。</w:t>
      </w:r>
    </w:p>
    <w:p>
      <w:pPr>
        <w:spacing w:line="297" w:lineRule="auto" w:before="83"/>
        <w:ind w:left="102" w:right="337" w:firstLine="439"/>
        <w:jc w:val="both"/>
        <w:rPr>
          <w:rFonts w:ascii="宋体" w:hAnsi="宋体" w:cs="宋体" w:eastAsia="宋体" w:hint="default"/>
          <w:sz w:val="22"/>
          <w:szCs w:val="22"/>
        </w:rPr>
      </w:pPr>
      <w:r>
        <w:rPr>
          <w:rFonts w:ascii="宋体" w:hAnsi="宋体" w:cs="宋体" w:eastAsia="宋体" w:hint="default"/>
          <w:spacing w:val="-3"/>
          <w:sz w:val="22"/>
          <w:szCs w:val="22"/>
        </w:rPr>
        <w:t>在编制合并财务报表时，子公司与本公司采用的会计政策或会计期间不一致的，按照</w:t>
      </w:r>
      <w:r>
        <w:rPr>
          <w:rFonts w:ascii="宋体" w:hAnsi="宋体" w:cs="宋体" w:eastAsia="宋体" w:hint="default"/>
          <w:w w:val="100"/>
          <w:sz w:val="22"/>
          <w:szCs w:val="22"/>
        </w:rPr>
        <w:t> </w:t>
      </w:r>
      <w:r>
        <w:rPr>
          <w:rFonts w:ascii="宋体" w:hAnsi="宋体" w:cs="宋体" w:eastAsia="宋体" w:hint="default"/>
          <w:sz w:val="22"/>
          <w:szCs w:val="22"/>
        </w:rPr>
        <w:t>本公司的会计政策或会计期间对子公司财务报表进行必要的调整。</w:t>
      </w:r>
    </w:p>
    <w:p>
      <w:pPr>
        <w:spacing w:line="297" w:lineRule="auto" w:before="77"/>
        <w:ind w:left="102" w:right="106" w:firstLine="439"/>
        <w:jc w:val="left"/>
        <w:rPr>
          <w:rFonts w:ascii="宋体" w:hAnsi="宋体" w:cs="宋体" w:eastAsia="宋体" w:hint="default"/>
          <w:sz w:val="22"/>
          <w:szCs w:val="22"/>
        </w:rPr>
      </w:pPr>
      <w:r>
        <w:rPr>
          <w:rFonts w:ascii="宋体" w:hAnsi="宋体" w:cs="宋体" w:eastAsia="宋体" w:hint="default"/>
          <w:spacing w:val="-3"/>
          <w:sz w:val="22"/>
          <w:szCs w:val="22"/>
        </w:rPr>
        <w:t>合并范围内的所有重大内部交易、往来余额及未实现利润在合并报表编制时予以抵销。</w:t>
      </w:r>
      <w:r>
        <w:rPr>
          <w:rFonts w:ascii="宋体" w:hAnsi="宋体" w:cs="宋体" w:eastAsia="宋体" w:hint="default"/>
          <w:w w:val="100"/>
          <w:sz w:val="22"/>
          <w:szCs w:val="22"/>
        </w:rPr>
        <w:t> </w:t>
      </w:r>
      <w:r>
        <w:rPr>
          <w:rFonts w:ascii="宋体" w:hAnsi="宋体" w:cs="宋体" w:eastAsia="宋体" w:hint="default"/>
          <w:spacing w:val="-3"/>
          <w:sz w:val="22"/>
          <w:szCs w:val="22"/>
        </w:rPr>
        <w:t>子公司的所有者权益中不属于母公司的份额以及当期净损益、其他综合收益及综合收益总</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额中属于少数股东权益的份额，分别在合并财务报表“少数股东权益、少数股东损益、归</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属于少数股东的其他综合收益及归属于少数股东的综合收益总额”项目列示。</w:t>
      </w:r>
    </w:p>
    <w:p>
      <w:pPr>
        <w:spacing w:line="297" w:lineRule="auto" w:before="77"/>
        <w:ind w:left="102" w:right="337" w:firstLine="439"/>
        <w:jc w:val="both"/>
        <w:rPr>
          <w:rFonts w:ascii="宋体" w:hAnsi="宋体" w:cs="宋体" w:eastAsia="宋体" w:hint="default"/>
          <w:sz w:val="22"/>
          <w:szCs w:val="22"/>
        </w:rPr>
      </w:pPr>
      <w:r>
        <w:rPr>
          <w:rFonts w:ascii="宋体" w:hAnsi="宋体" w:cs="宋体" w:eastAsia="宋体" w:hint="default"/>
          <w:spacing w:val="-3"/>
          <w:sz w:val="22"/>
          <w:szCs w:val="22"/>
        </w:rPr>
        <w:t>对于同一控制下企业合并取得的子公司，其经营成果和现金流量自合并当期期初纳入</w:t>
      </w:r>
      <w:r>
        <w:rPr>
          <w:rFonts w:ascii="宋体" w:hAnsi="宋体" w:cs="宋体" w:eastAsia="宋体" w:hint="default"/>
          <w:w w:val="100"/>
          <w:sz w:val="22"/>
          <w:szCs w:val="22"/>
        </w:rPr>
        <w:t> </w:t>
      </w:r>
      <w:r>
        <w:rPr>
          <w:rFonts w:ascii="宋体" w:hAnsi="宋体" w:cs="宋体" w:eastAsia="宋体" w:hint="default"/>
          <w:spacing w:val="-3"/>
          <w:sz w:val="22"/>
          <w:szCs w:val="22"/>
        </w:rPr>
        <w:t>合并财务报表。编制比较合并财务报表时，对上年财务报表的相关项目进行调整，视同合</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并后形成的报告主体自最终控制方开始控制时点起一直存在。</w:t>
      </w:r>
    </w:p>
    <w:p>
      <w:pPr>
        <w:spacing w:line="297" w:lineRule="auto" w:before="77"/>
        <w:ind w:left="102" w:right="337" w:firstLine="439"/>
        <w:jc w:val="both"/>
        <w:rPr>
          <w:rFonts w:ascii="宋体" w:hAnsi="宋体" w:cs="宋体" w:eastAsia="宋体" w:hint="default"/>
          <w:sz w:val="22"/>
          <w:szCs w:val="22"/>
        </w:rPr>
      </w:pPr>
      <w:r>
        <w:rPr>
          <w:rFonts w:ascii="宋体" w:hAnsi="宋体" w:cs="宋体" w:eastAsia="宋体" w:hint="default"/>
          <w:spacing w:val="-3"/>
          <w:sz w:val="22"/>
          <w:szCs w:val="22"/>
        </w:rPr>
        <w:t>对于非同一控制下企业合并取得子公司，经营成果和现金流量自本公司取得控制权之</w:t>
      </w:r>
      <w:r>
        <w:rPr>
          <w:rFonts w:ascii="宋体" w:hAnsi="宋体" w:cs="宋体" w:eastAsia="宋体" w:hint="default"/>
          <w:w w:val="100"/>
          <w:sz w:val="22"/>
          <w:szCs w:val="22"/>
        </w:rPr>
        <w:t> </w:t>
      </w:r>
      <w:r>
        <w:rPr>
          <w:rFonts w:ascii="宋体" w:hAnsi="宋体" w:cs="宋体" w:eastAsia="宋体" w:hint="default"/>
          <w:spacing w:val="-3"/>
          <w:sz w:val="22"/>
          <w:szCs w:val="22"/>
        </w:rPr>
        <w:t>日起纳入合并财务报表。在编制合并财务报表时，以购买日确定的各项可辨认资产、负债</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及或有负债的公允价值为基础对子公司的财务报表进行调整。</w:t>
      </w:r>
    </w:p>
    <w:p>
      <w:pPr>
        <w:spacing w:line="297" w:lineRule="auto" w:before="77"/>
        <w:ind w:left="102" w:right="337" w:firstLine="439"/>
        <w:jc w:val="both"/>
        <w:rPr>
          <w:rFonts w:ascii="宋体" w:hAnsi="宋体" w:cs="宋体" w:eastAsia="宋体" w:hint="default"/>
          <w:sz w:val="22"/>
          <w:szCs w:val="22"/>
        </w:rPr>
      </w:pPr>
      <w:r>
        <w:rPr>
          <w:rFonts w:ascii="宋体" w:hAnsi="宋体" w:cs="宋体" w:eastAsia="宋体" w:hint="default"/>
          <w:spacing w:val="-3"/>
          <w:sz w:val="22"/>
          <w:szCs w:val="22"/>
        </w:rPr>
        <w:t>通过多次交易分步取得非同一控制下被投资单位的股权，最终形成企业合并，编制合</w:t>
      </w:r>
      <w:r>
        <w:rPr>
          <w:rFonts w:ascii="宋体" w:hAnsi="宋体" w:cs="宋体" w:eastAsia="宋体" w:hint="default"/>
          <w:w w:val="100"/>
          <w:sz w:val="22"/>
          <w:szCs w:val="22"/>
        </w:rPr>
        <w:t> </w:t>
      </w:r>
      <w:r>
        <w:rPr>
          <w:rFonts w:ascii="宋体" w:hAnsi="宋体" w:cs="宋体" w:eastAsia="宋体" w:hint="default"/>
          <w:spacing w:val="-3"/>
          <w:sz w:val="22"/>
          <w:szCs w:val="22"/>
        </w:rPr>
        <w:t>并报表时，应首先判断分步交易是否属于一揽子交易。如果分步取得对子公司股权投资直</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至取得控制权的各项交易属于一揽子交易，应当将各项交易作为一项取得子公司控制权的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交易进行会计处理。如果不属于一揽子交易，对于购买日之前持有的被购买方的股权，按</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pacing w:val="-3"/>
          <w:sz w:val="22"/>
          <w:szCs w:val="22"/>
        </w:rPr>
        <w:t>照该股权在购买日的公允价值进行重新计量，公允价值与其账面价值的差额计入当期投资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收益；与其相关的购买日之前持有的被购买方的股权涉及权益法核算下的其他综合收益以</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及除净损益、其他综合收益和利润分配外的其他所有者权益变动，在购买日所属当期转为</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投资损益，由于被投资方重新计量设定受益计划净负债或净资产变动而产生的其他综合收</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益除外。</w:t>
      </w:r>
    </w:p>
    <w:p>
      <w:pPr>
        <w:spacing w:line="297" w:lineRule="auto" w:before="77"/>
        <w:ind w:left="102" w:right="227" w:firstLine="439"/>
        <w:jc w:val="both"/>
        <w:rPr>
          <w:rFonts w:ascii="宋体" w:hAnsi="宋体" w:cs="宋体" w:eastAsia="宋体" w:hint="default"/>
          <w:sz w:val="22"/>
          <w:szCs w:val="22"/>
        </w:rPr>
      </w:pPr>
      <w:r>
        <w:rPr>
          <w:rFonts w:ascii="宋体" w:hAnsi="宋体" w:cs="宋体" w:eastAsia="宋体" w:hint="default"/>
          <w:spacing w:val="-3"/>
          <w:sz w:val="22"/>
          <w:szCs w:val="22"/>
        </w:rPr>
        <w:t>本公司在不丧失控制权的情况下部分处置对子公司的长期股权投资，在合并财务报表</w:t>
      </w:r>
      <w:r>
        <w:rPr>
          <w:rFonts w:ascii="宋体" w:hAnsi="宋体" w:cs="宋体" w:eastAsia="宋体" w:hint="default"/>
          <w:w w:val="100"/>
          <w:sz w:val="22"/>
          <w:szCs w:val="22"/>
        </w:rPr>
        <w:t> </w:t>
      </w:r>
      <w:r>
        <w:rPr>
          <w:rFonts w:ascii="宋体" w:hAnsi="宋体" w:cs="宋体" w:eastAsia="宋体" w:hint="default"/>
          <w:spacing w:val="-3"/>
          <w:sz w:val="22"/>
          <w:szCs w:val="22"/>
        </w:rPr>
        <w:t>中，处置价款与处置长期股权投资相对应享有子公司自购买日或合并日开始持续计算的净</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资产份额之间的差额，调整资本溢价或股本溢价，资本公积不足冲减的，调整留存收益。</w:t>
      </w:r>
    </w:p>
    <w:p>
      <w:pPr>
        <w:spacing w:line="297" w:lineRule="auto" w:before="77"/>
        <w:ind w:left="102" w:right="106" w:firstLine="439"/>
        <w:jc w:val="left"/>
        <w:rPr>
          <w:rFonts w:ascii="宋体" w:hAnsi="宋体" w:cs="宋体" w:eastAsia="宋体" w:hint="default"/>
          <w:sz w:val="22"/>
          <w:szCs w:val="22"/>
        </w:rPr>
      </w:pPr>
      <w:r>
        <w:rPr>
          <w:rFonts w:ascii="宋体" w:hAnsi="宋体" w:cs="宋体" w:eastAsia="宋体" w:hint="default"/>
          <w:spacing w:val="-3"/>
          <w:sz w:val="22"/>
          <w:szCs w:val="22"/>
        </w:rPr>
        <w:t>本公司因处置部分股权投资等原因丧失了对被投资方的控制权的，在编制合并财务报</w:t>
      </w:r>
      <w:r>
        <w:rPr>
          <w:rFonts w:ascii="宋体" w:hAnsi="宋体" w:cs="宋体" w:eastAsia="宋体" w:hint="default"/>
          <w:w w:val="100"/>
          <w:sz w:val="22"/>
          <w:szCs w:val="22"/>
        </w:rPr>
        <w:t> </w:t>
      </w:r>
      <w:r>
        <w:rPr>
          <w:rFonts w:ascii="宋体" w:hAnsi="宋体" w:cs="宋体" w:eastAsia="宋体" w:hint="default"/>
          <w:spacing w:val="-3"/>
          <w:sz w:val="22"/>
          <w:szCs w:val="22"/>
        </w:rPr>
        <w:t>表时，对于剩余股权，按照其在丧失控制权日的公允价值进行重新计量。处置股权取得的</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对价与剩余股权公允价值之和，减去按原持股比例计算应享有原有子公司自购买日或合并</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日开始持续计算的净资产的份额之间的差额，计入丧失控制权当期的投资损益，同时冲减</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6"/>
          <w:w w:val="100"/>
          <w:sz w:val="22"/>
          <w:szCs w:val="22"/>
        </w:rPr>
        <w:t>商誉。与原有子公司股权投资相关的其他综合收益等，在丧失控制权时转为当期投资损益</w:t>
      </w:r>
      <w:r>
        <w:rPr>
          <w:rFonts w:ascii="宋体" w:hAnsi="宋体" w:cs="宋体" w:eastAsia="宋体" w:hint="default"/>
          <w:spacing w:val="12"/>
          <w:w w:val="100"/>
          <w:sz w:val="22"/>
          <w:szCs w:val="22"/>
        </w:rPr>
        <w:t> </w:t>
      </w:r>
      <w:r>
        <w:rPr>
          <w:rFonts w:ascii="宋体" w:hAnsi="宋体" w:cs="宋体" w:eastAsia="宋体" w:hint="default"/>
          <w:w w:val="100"/>
          <w:sz w:val="22"/>
          <w:szCs w:val="22"/>
        </w:rPr>
        <w:t>。</w:t>
      </w:r>
    </w:p>
    <w:p>
      <w:pPr>
        <w:tabs>
          <w:tab w:pos="1009" w:val="left" w:leader="none"/>
        </w:tabs>
        <w:spacing w:line="288" w:lineRule="auto" w:before="77"/>
        <w:ind w:left="541" w:right="3346" w:firstLine="14"/>
        <w:jc w:val="left"/>
        <w:rPr>
          <w:rFonts w:ascii="宋体" w:hAnsi="宋体" w:cs="宋体" w:eastAsia="宋体" w:hint="default"/>
          <w:sz w:val="22"/>
          <w:szCs w:val="22"/>
        </w:rPr>
      </w:pPr>
      <w:r>
        <w:rPr>
          <w:rFonts w:ascii="宋体" w:hAnsi="宋体" w:cs="宋体" w:eastAsia="宋体" w:hint="default"/>
          <w:b/>
          <w:bCs/>
          <w:w w:val="95"/>
          <w:sz w:val="22"/>
          <w:szCs w:val="22"/>
        </w:rPr>
        <w:t>7.</w:t>
        <w:tab/>
      </w:r>
      <w:r>
        <w:rPr>
          <w:rFonts w:ascii="宋体" w:hAnsi="宋体" w:cs="宋体" w:eastAsia="宋体" w:hint="default"/>
          <w:sz w:val="22"/>
          <w:szCs w:val="22"/>
        </w:rPr>
        <w:t>合营安排分类及共同经营会计处理方法</w:t>
      </w:r>
      <w:r>
        <w:rPr>
          <w:rFonts w:ascii="宋体" w:hAnsi="宋体" w:cs="宋体" w:eastAsia="宋体" w:hint="default"/>
          <w:w w:val="100"/>
          <w:sz w:val="22"/>
          <w:szCs w:val="22"/>
        </w:rPr>
        <w:t> </w:t>
      </w:r>
      <w:r>
        <w:rPr>
          <w:rFonts w:ascii="宋体" w:hAnsi="宋体" w:cs="宋体" w:eastAsia="宋体" w:hint="default"/>
          <w:sz w:val="22"/>
          <w:szCs w:val="22"/>
        </w:rPr>
        <w:t>本公司的合营安排包括共同经营和合营企业。</w:t>
      </w:r>
    </w:p>
    <w:p>
      <w:pPr>
        <w:spacing w:line="297" w:lineRule="auto" w:before="83"/>
        <w:ind w:left="102" w:right="337" w:firstLine="439"/>
        <w:jc w:val="both"/>
        <w:rPr>
          <w:rFonts w:ascii="宋体" w:hAnsi="宋体" w:cs="宋体" w:eastAsia="宋体" w:hint="default"/>
          <w:sz w:val="22"/>
          <w:szCs w:val="22"/>
        </w:rPr>
      </w:pPr>
      <w:r>
        <w:rPr>
          <w:rFonts w:ascii="宋体" w:hAnsi="宋体" w:cs="宋体" w:eastAsia="宋体" w:hint="default"/>
          <w:spacing w:val="-3"/>
          <w:sz w:val="22"/>
          <w:szCs w:val="22"/>
        </w:rPr>
        <w:t>对于共同经营项目，本公司作为共同经营中的合营方确认单独持有的资产和承担的负</w:t>
      </w:r>
      <w:r>
        <w:rPr>
          <w:rFonts w:ascii="宋体" w:hAnsi="宋体" w:cs="宋体" w:eastAsia="宋体" w:hint="default"/>
          <w:w w:val="100"/>
          <w:sz w:val="22"/>
          <w:szCs w:val="22"/>
        </w:rPr>
        <w:t> </w:t>
      </w:r>
      <w:r>
        <w:rPr>
          <w:rFonts w:ascii="宋体" w:hAnsi="宋体" w:cs="宋体" w:eastAsia="宋体" w:hint="default"/>
          <w:spacing w:val="-3"/>
          <w:sz w:val="22"/>
          <w:szCs w:val="22"/>
        </w:rPr>
        <w:t>债，以及按份额确认持有的资产和承担的负债，根据相关约定单独或按份额确认相关的收</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入和费用。与共同经营发生购买、销售不构成业务的资产交易的，仅确认因该交易产生的</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损益中归属于共同经营其他参与方的部分。</w:t>
      </w:r>
    </w:p>
    <w:p>
      <w:pPr>
        <w:spacing w:after="0" w:line="297" w:lineRule="auto"/>
        <w:jc w:val="both"/>
        <w:rPr>
          <w:rFonts w:ascii="宋体" w:hAnsi="宋体" w:cs="宋体" w:eastAsia="宋体" w:hint="default"/>
          <w:sz w:val="22"/>
          <w:szCs w:val="22"/>
        </w:rPr>
        <w:sectPr>
          <w:pgSz w:w="11910" w:h="16840"/>
          <w:pgMar w:header="0" w:footer="1054" w:top="1360" w:bottom="1240" w:left="1600" w:right="1360"/>
        </w:sectPr>
      </w:pPr>
    </w:p>
    <w:p>
      <w:pPr>
        <w:spacing w:line="297" w:lineRule="auto" w:before="6"/>
        <w:ind w:left="102" w:right="209" w:firstLine="439"/>
        <w:jc w:val="left"/>
        <w:rPr>
          <w:rFonts w:ascii="宋体" w:hAnsi="宋体" w:cs="宋体" w:eastAsia="宋体" w:hint="default"/>
          <w:sz w:val="22"/>
          <w:szCs w:val="22"/>
        </w:rPr>
      </w:pPr>
      <w:r>
        <w:rPr>
          <w:rFonts w:ascii="宋体" w:hAnsi="宋体" w:cs="宋体" w:eastAsia="宋体" w:hint="default"/>
          <w:spacing w:val="-3"/>
          <w:sz w:val="22"/>
          <w:szCs w:val="22"/>
        </w:rPr>
        <w:t>对于合营企业，本公司作为合营方按照《企业会计准则第 </w:t>
      </w:r>
      <w:r>
        <w:rPr>
          <w:rFonts w:ascii="宋体" w:hAnsi="宋体" w:cs="宋体" w:eastAsia="宋体" w:hint="default"/>
          <w:sz w:val="22"/>
          <w:szCs w:val="22"/>
        </w:rPr>
        <w:t>2</w:t>
      </w:r>
      <w:r>
        <w:rPr>
          <w:rFonts w:ascii="宋体" w:hAnsi="宋体" w:cs="宋体" w:eastAsia="宋体" w:hint="default"/>
          <w:spacing w:val="-81"/>
          <w:sz w:val="22"/>
          <w:szCs w:val="22"/>
        </w:rPr>
        <w:t> </w:t>
      </w:r>
      <w:r>
        <w:rPr>
          <w:rFonts w:ascii="宋体" w:hAnsi="宋体" w:cs="宋体" w:eastAsia="宋体" w:hint="default"/>
          <w:spacing w:val="-3"/>
          <w:sz w:val="22"/>
          <w:szCs w:val="22"/>
        </w:rPr>
        <w:t>号——长期股权投资》的</w:t>
      </w:r>
      <w:r>
        <w:rPr>
          <w:rFonts w:ascii="宋体" w:hAnsi="宋体" w:cs="宋体" w:eastAsia="宋体" w:hint="default"/>
          <w:w w:val="100"/>
          <w:sz w:val="22"/>
          <w:szCs w:val="22"/>
        </w:rPr>
        <w:t> </w:t>
      </w:r>
      <w:r>
        <w:rPr>
          <w:rFonts w:ascii="宋体" w:hAnsi="宋体" w:cs="宋体" w:eastAsia="宋体" w:hint="default"/>
          <w:sz w:val="22"/>
          <w:szCs w:val="22"/>
        </w:rPr>
        <w:t>规定对合营企业的投资进行会计处理。</w:t>
      </w:r>
    </w:p>
    <w:p>
      <w:pPr>
        <w:tabs>
          <w:tab w:pos="1009" w:val="left" w:leader="none"/>
        </w:tabs>
        <w:spacing w:line="288" w:lineRule="auto" w:before="77"/>
        <w:ind w:left="541" w:right="217" w:firstLine="14"/>
        <w:jc w:val="left"/>
        <w:rPr>
          <w:rFonts w:ascii="宋体" w:hAnsi="宋体" w:cs="宋体" w:eastAsia="宋体" w:hint="default"/>
          <w:sz w:val="22"/>
          <w:szCs w:val="22"/>
        </w:rPr>
      </w:pPr>
      <w:r>
        <w:rPr>
          <w:rFonts w:ascii="宋体" w:hAnsi="宋体" w:cs="宋体" w:eastAsia="宋体" w:hint="default"/>
          <w:b/>
          <w:bCs/>
          <w:w w:val="95"/>
          <w:sz w:val="22"/>
          <w:szCs w:val="22"/>
        </w:rPr>
        <w:t>8.</w:t>
        <w:tab/>
      </w:r>
      <w:r>
        <w:rPr>
          <w:rFonts w:ascii="宋体" w:hAnsi="宋体" w:cs="宋体" w:eastAsia="宋体" w:hint="default"/>
          <w:sz w:val="22"/>
          <w:szCs w:val="22"/>
        </w:rPr>
        <w:t>现金及现金等价物</w:t>
      </w:r>
      <w:r>
        <w:rPr>
          <w:rFonts w:ascii="宋体" w:hAnsi="宋体" w:cs="宋体" w:eastAsia="宋体" w:hint="default"/>
          <w:w w:val="100"/>
          <w:sz w:val="22"/>
          <w:szCs w:val="22"/>
        </w:rPr>
        <w:t> </w:t>
      </w:r>
      <w:r>
        <w:rPr>
          <w:rFonts w:ascii="宋体" w:hAnsi="宋体" w:cs="宋体" w:eastAsia="宋体" w:hint="default"/>
          <w:spacing w:val="-3"/>
          <w:sz w:val="22"/>
          <w:szCs w:val="22"/>
        </w:rPr>
        <w:t>本公司现金流量表之现金指库存现金以及可以随时用于支付的存款。现金流量表之现</w:t>
      </w:r>
    </w:p>
    <w:p>
      <w:pPr>
        <w:spacing w:line="295" w:lineRule="auto" w:before="25"/>
        <w:ind w:left="102" w:right="210" w:firstLine="0"/>
        <w:jc w:val="left"/>
        <w:rPr>
          <w:rFonts w:ascii="宋体" w:hAnsi="宋体" w:cs="宋体" w:eastAsia="宋体" w:hint="default"/>
          <w:sz w:val="22"/>
          <w:szCs w:val="22"/>
        </w:rPr>
      </w:pPr>
      <w:r>
        <w:rPr>
          <w:rFonts w:ascii="宋体" w:hAnsi="宋体" w:cs="宋体" w:eastAsia="宋体" w:hint="default"/>
          <w:sz w:val="22"/>
          <w:szCs w:val="22"/>
        </w:rPr>
        <w:t>金等价物指持有期限不超过</w:t>
      </w:r>
      <w:r>
        <w:rPr>
          <w:rFonts w:ascii="宋体" w:hAnsi="宋体" w:cs="宋体" w:eastAsia="宋体" w:hint="default"/>
          <w:spacing w:val="-45"/>
          <w:sz w:val="22"/>
          <w:szCs w:val="22"/>
        </w:rPr>
        <w:t> </w:t>
      </w:r>
      <w:r>
        <w:rPr>
          <w:rFonts w:ascii="宋体" w:hAnsi="宋体" w:cs="宋体" w:eastAsia="宋体" w:hint="default"/>
          <w:sz w:val="22"/>
          <w:szCs w:val="22"/>
        </w:rPr>
        <w:t>3</w:t>
      </w:r>
      <w:r>
        <w:rPr>
          <w:rFonts w:ascii="宋体" w:hAnsi="宋体" w:cs="宋体" w:eastAsia="宋体" w:hint="default"/>
          <w:spacing w:val="-45"/>
          <w:sz w:val="22"/>
          <w:szCs w:val="22"/>
        </w:rPr>
        <w:t> </w:t>
      </w:r>
      <w:r>
        <w:rPr>
          <w:rFonts w:ascii="宋体" w:hAnsi="宋体" w:cs="宋体" w:eastAsia="宋体" w:hint="default"/>
          <w:spacing w:val="-4"/>
          <w:sz w:val="22"/>
          <w:szCs w:val="22"/>
        </w:rPr>
        <w:t>个月、流动性强、易于转换为已知金额现金且价值变动风险</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很小的投资。</w:t>
      </w:r>
    </w:p>
    <w:p>
      <w:pPr>
        <w:tabs>
          <w:tab w:pos="1009" w:val="left" w:leader="none"/>
        </w:tabs>
        <w:spacing w:before="79"/>
        <w:ind w:left="555" w:right="105" w:firstLine="0"/>
        <w:jc w:val="left"/>
        <w:rPr>
          <w:rFonts w:ascii="宋体" w:hAnsi="宋体" w:cs="宋体" w:eastAsia="宋体" w:hint="default"/>
          <w:sz w:val="22"/>
          <w:szCs w:val="22"/>
        </w:rPr>
      </w:pPr>
      <w:r>
        <w:rPr>
          <w:rFonts w:ascii="宋体" w:hAnsi="宋体" w:cs="宋体" w:eastAsia="宋体" w:hint="default"/>
          <w:b/>
          <w:bCs/>
          <w:w w:val="95"/>
          <w:sz w:val="22"/>
          <w:szCs w:val="22"/>
        </w:rPr>
        <w:t>9.</w:t>
        <w:tab/>
      </w:r>
      <w:r>
        <w:rPr>
          <w:rFonts w:ascii="宋体" w:hAnsi="宋体" w:cs="宋体" w:eastAsia="宋体" w:hint="default"/>
          <w:sz w:val="22"/>
          <w:szCs w:val="22"/>
        </w:rPr>
        <w:t>外币业务和外币财务报表折算</w:t>
      </w:r>
    </w:p>
    <w:p>
      <w:pPr>
        <w:spacing w:line="345" w:lineRule="auto" w:before="57"/>
        <w:ind w:left="541" w:right="105" w:firstLine="14"/>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9"/>
          <w:sz w:val="22"/>
          <w:szCs w:val="22"/>
        </w:rPr>
        <w:t> </w:t>
      </w:r>
      <w:r>
        <w:rPr>
          <w:rFonts w:ascii="宋体" w:hAnsi="宋体" w:cs="宋体" w:eastAsia="宋体" w:hint="default"/>
          <w:sz w:val="22"/>
          <w:szCs w:val="22"/>
        </w:rPr>
        <w:t>外币交易</w:t>
      </w:r>
      <w:r>
        <w:rPr>
          <w:rFonts w:ascii="宋体" w:hAnsi="宋体" w:cs="宋体" w:eastAsia="宋体" w:hint="default"/>
          <w:w w:val="100"/>
          <w:sz w:val="22"/>
          <w:szCs w:val="22"/>
        </w:rPr>
        <w:t> </w:t>
      </w:r>
      <w:r>
        <w:rPr>
          <w:rFonts w:ascii="宋体" w:hAnsi="宋体" w:cs="宋体" w:eastAsia="宋体" w:hint="default"/>
          <w:spacing w:val="-3"/>
          <w:sz w:val="22"/>
          <w:szCs w:val="22"/>
        </w:rPr>
        <w:t>本公司外币交易按交易发生日的即期汇率将外币金额折算为人民币金额。于资产负债</w:t>
      </w:r>
    </w:p>
    <w:p>
      <w:pPr>
        <w:spacing w:line="261" w:lineRule="exact" w:before="0"/>
        <w:ind w:left="102" w:right="105" w:firstLine="0"/>
        <w:jc w:val="left"/>
        <w:rPr>
          <w:rFonts w:ascii="宋体" w:hAnsi="宋体" w:cs="宋体" w:eastAsia="宋体" w:hint="default"/>
          <w:sz w:val="22"/>
          <w:szCs w:val="22"/>
        </w:rPr>
      </w:pPr>
      <w:r>
        <w:rPr>
          <w:rFonts w:ascii="宋体" w:hAnsi="宋体" w:cs="宋体" w:eastAsia="宋体" w:hint="default"/>
          <w:spacing w:val="-3"/>
          <w:sz w:val="22"/>
          <w:szCs w:val="22"/>
        </w:rPr>
        <w:t>表日，外币货币性项目采用资产负债表日的即期汇率折算为人民币，所产生的折算差额除</w:t>
      </w:r>
    </w:p>
    <w:p>
      <w:pPr>
        <w:spacing w:line="297" w:lineRule="auto" w:before="67"/>
        <w:ind w:left="102" w:right="215" w:firstLine="0"/>
        <w:jc w:val="both"/>
        <w:rPr>
          <w:rFonts w:ascii="宋体" w:hAnsi="宋体" w:cs="宋体" w:eastAsia="宋体" w:hint="default"/>
          <w:sz w:val="22"/>
          <w:szCs w:val="22"/>
        </w:rPr>
      </w:pPr>
      <w:r>
        <w:rPr>
          <w:rFonts w:ascii="宋体" w:hAnsi="宋体" w:cs="宋体" w:eastAsia="宋体" w:hint="default"/>
          <w:spacing w:val="2"/>
          <w:sz w:val="22"/>
          <w:szCs w:val="22"/>
        </w:rPr>
        <w:t>了为购建或生产符合资本化条件的资产而借入的外币专门借款产生的汇兑差额按资本化</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3"/>
          <w:sz w:val="22"/>
          <w:szCs w:val="22"/>
        </w:rPr>
        <w:t>的原则处理外，直接计入当期损益。以公允价值计量的外币非货币性项目，采用公允价值</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pacing w:val="-3"/>
          <w:sz w:val="22"/>
          <w:szCs w:val="22"/>
        </w:rPr>
        <w:t>确定日的即期汇率折算，折算后的记账本位币与原记账本位币金额的差额，属于可供出售</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金融资产的外币非货币性项目，其差额计入其他综合收益；属于以公允价值计量且其变动</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计入当期损益的外币非货币性项目，其差额计入当期损益。以历史成本计量的外币非货币</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性项目，仍采用交易发生日的即期汇率折算，不改变其人民币金额。</w:t>
      </w:r>
    </w:p>
    <w:p>
      <w:pPr>
        <w:spacing w:line="348" w:lineRule="auto" w:before="77"/>
        <w:ind w:left="541" w:right="105" w:firstLine="14"/>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9"/>
          <w:sz w:val="22"/>
          <w:szCs w:val="22"/>
        </w:rPr>
        <w:t> </w:t>
      </w:r>
      <w:r>
        <w:rPr>
          <w:rFonts w:ascii="宋体" w:hAnsi="宋体" w:cs="宋体" w:eastAsia="宋体" w:hint="default"/>
          <w:sz w:val="22"/>
          <w:szCs w:val="22"/>
        </w:rPr>
        <w:t>外币财务报表的折算</w:t>
      </w:r>
      <w:r>
        <w:rPr>
          <w:rFonts w:ascii="宋体" w:hAnsi="宋体" w:cs="宋体" w:eastAsia="宋体" w:hint="default"/>
          <w:w w:val="100"/>
          <w:sz w:val="22"/>
          <w:szCs w:val="22"/>
        </w:rPr>
        <w:t> </w:t>
      </w:r>
      <w:r>
        <w:rPr>
          <w:rFonts w:ascii="宋体" w:hAnsi="宋体" w:cs="宋体" w:eastAsia="宋体" w:hint="default"/>
          <w:spacing w:val="-3"/>
          <w:sz w:val="22"/>
          <w:szCs w:val="22"/>
        </w:rPr>
        <w:t>境外经营的资产负债表中的资产和负债项目，采用资产负债表日的即期汇率折算，股</w:t>
      </w:r>
    </w:p>
    <w:p>
      <w:pPr>
        <w:spacing w:line="256" w:lineRule="exact" w:before="0"/>
        <w:ind w:left="102" w:right="105" w:firstLine="0"/>
        <w:jc w:val="left"/>
        <w:rPr>
          <w:rFonts w:ascii="宋体" w:hAnsi="宋体" w:cs="宋体" w:eastAsia="宋体" w:hint="default"/>
          <w:sz w:val="22"/>
          <w:szCs w:val="22"/>
        </w:rPr>
      </w:pPr>
      <w:r>
        <w:rPr>
          <w:rFonts w:ascii="宋体" w:hAnsi="宋体" w:cs="宋体" w:eastAsia="宋体" w:hint="default"/>
          <w:spacing w:val="-3"/>
          <w:sz w:val="22"/>
          <w:szCs w:val="22"/>
        </w:rPr>
        <w:t>东权益项目除未分配利润项目外，其他项目采用发生时的即期汇率折算。境外经营的利润</w:t>
      </w:r>
    </w:p>
    <w:p>
      <w:pPr>
        <w:spacing w:line="297" w:lineRule="auto" w:before="69"/>
        <w:ind w:left="102" w:right="105" w:firstLine="0"/>
        <w:jc w:val="left"/>
        <w:rPr>
          <w:rFonts w:ascii="宋体" w:hAnsi="宋体" w:cs="宋体" w:eastAsia="宋体" w:hint="default"/>
          <w:sz w:val="22"/>
          <w:szCs w:val="22"/>
        </w:rPr>
      </w:pPr>
      <w:r>
        <w:rPr>
          <w:rFonts w:ascii="宋体" w:hAnsi="宋体" w:cs="宋体" w:eastAsia="宋体" w:hint="default"/>
          <w:spacing w:val="-3"/>
          <w:sz w:val="22"/>
          <w:szCs w:val="22"/>
        </w:rPr>
        <w:t>表中的收入与费用项目，采用交易发生日的即期汇率的近似汇率折算。上述折算产生的外</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6"/>
          <w:w w:val="100"/>
          <w:sz w:val="22"/>
          <w:szCs w:val="22"/>
        </w:rPr>
        <w:t>币报表折算差额，在其他综合收益列示。实质上构成对境外经营净投资的外币货币性项目，</w:t>
      </w:r>
      <w:r>
        <w:rPr>
          <w:rFonts w:ascii="宋体" w:hAnsi="宋体" w:cs="宋体" w:eastAsia="宋体" w:hint="default"/>
          <w:spacing w:val="-93"/>
          <w:w w:val="100"/>
          <w:sz w:val="22"/>
          <w:szCs w:val="22"/>
        </w:rPr>
        <w:t> </w:t>
      </w:r>
      <w:r>
        <w:rPr>
          <w:rFonts w:ascii="宋体" w:hAnsi="宋体" w:cs="宋体" w:eastAsia="宋体" w:hint="default"/>
          <w:spacing w:val="-93"/>
          <w:w w:val="100"/>
          <w:sz w:val="22"/>
          <w:szCs w:val="22"/>
        </w:rPr>
      </w:r>
      <w:r>
        <w:rPr>
          <w:rFonts w:ascii="宋体" w:hAnsi="宋体" w:cs="宋体" w:eastAsia="宋体" w:hint="default"/>
          <w:spacing w:val="-3"/>
          <w:sz w:val="22"/>
          <w:szCs w:val="22"/>
        </w:rPr>
        <w:t>因汇率变动而产生的汇兑差额，在编制合并财务报表时，也作为其他综合收益列示。处置</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境外经营时，与该境外经营有关的其他综合收益，按比例转入处置当期损益。</w:t>
      </w:r>
    </w:p>
    <w:p>
      <w:pPr>
        <w:spacing w:line="297" w:lineRule="auto" w:before="74"/>
        <w:ind w:left="102" w:right="105" w:firstLine="439"/>
        <w:jc w:val="left"/>
        <w:rPr>
          <w:rFonts w:ascii="宋体" w:hAnsi="宋体" w:cs="宋体" w:eastAsia="宋体" w:hint="default"/>
          <w:sz w:val="22"/>
          <w:szCs w:val="22"/>
        </w:rPr>
      </w:pPr>
      <w:r>
        <w:rPr>
          <w:rFonts w:ascii="宋体" w:hAnsi="宋体" w:cs="宋体" w:eastAsia="宋体" w:hint="default"/>
          <w:spacing w:val="2"/>
          <w:sz w:val="22"/>
          <w:szCs w:val="22"/>
        </w:rPr>
        <w:t>外币现金流量以及境外子公司的现金流量采用现金流量发生日的即期汇率的近似汇</w:t>
      </w:r>
      <w:r>
        <w:rPr>
          <w:rFonts w:ascii="宋体" w:hAnsi="宋体" w:cs="宋体" w:eastAsia="宋体" w:hint="default"/>
          <w:w w:val="100"/>
          <w:sz w:val="22"/>
          <w:szCs w:val="22"/>
        </w:rPr>
        <w:t> </w:t>
      </w:r>
      <w:r>
        <w:rPr>
          <w:rFonts w:ascii="宋体" w:hAnsi="宋体" w:cs="宋体" w:eastAsia="宋体" w:hint="default"/>
          <w:sz w:val="22"/>
          <w:szCs w:val="22"/>
        </w:rPr>
        <w:t>率折算。汇率变动对现金的影响额，在现金流量表中单独列示。</w:t>
      </w:r>
    </w:p>
    <w:p>
      <w:pPr>
        <w:spacing w:line="288" w:lineRule="auto" w:before="74"/>
        <w:ind w:left="541" w:right="105" w:firstLine="14"/>
        <w:jc w:val="left"/>
        <w:rPr>
          <w:rFonts w:ascii="宋体" w:hAnsi="宋体" w:cs="宋体" w:eastAsia="宋体" w:hint="default"/>
          <w:sz w:val="22"/>
          <w:szCs w:val="22"/>
        </w:rPr>
      </w:pPr>
      <w:r>
        <w:rPr>
          <w:rFonts w:ascii="宋体" w:hAnsi="宋体" w:cs="宋体" w:eastAsia="宋体" w:hint="default"/>
          <w:b/>
          <w:bCs/>
          <w:sz w:val="22"/>
          <w:szCs w:val="22"/>
        </w:rPr>
        <w:t>10.</w:t>
      </w:r>
      <w:r>
        <w:rPr>
          <w:rFonts w:ascii="宋体" w:hAnsi="宋体" w:cs="宋体" w:eastAsia="宋体" w:hint="default"/>
          <w:b/>
          <w:bCs/>
          <w:spacing w:val="9"/>
          <w:sz w:val="22"/>
          <w:szCs w:val="22"/>
        </w:rPr>
        <w:t> </w:t>
      </w:r>
      <w:r>
        <w:rPr>
          <w:rFonts w:ascii="宋体" w:hAnsi="宋体" w:cs="宋体" w:eastAsia="宋体" w:hint="default"/>
          <w:sz w:val="22"/>
          <w:szCs w:val="22"/>
        </w:rPr>
        <w:t>金融资产和金融负债</w:t>
      </w:r>
      <w:r>
        <w:rPr>
          <w:rFonts w:ascii="宋体" w:hAnsi="宋体" w:cs="宋体" w:eastAsia="宋体" w:hint="default"/>
          <w:w w:val="100"/>
          <w:sz w:val="22"/>
          <w:szCs w:val="22"/>
        </w:rPr>
        <w:t> </w:t>
      </w:r>
      <w:r>
        <w:rPr>
          <w:rFonts w:ascii="宋体" w:hAnsi="宋体" w:cs="宋体" w:eastAsia="宋体" w:hint="default"/>
          <w:spacing w:val="-1"/>
          <w:sz w:val="22"/>
          <w:szCs w:val="22"/>
        </w:rPr>
        <w:t>本公司成为金融工具合同的一方时确认一项金融资产或金融负债。</w:t>
      </w:r>
    </w:p>
    <w:p>
      <w:pPr>
        <w:spacing w:after="0" w:line="288" w:lineRule="auto"/>
        <w:jc w:val="left"/>
        <w:rPr>
          <w:rFonts w:ascii="宋体" w:hAnsi="宋体" w:cs="宋体" w:eastAsia="宋体" w:hint="default"/>
          <w:sz w:val="22"/>
          <w:szCs w:val="22"/>
        </w:rPr>
        <w:sectPr>
          <w:pgSz w:w="11910" w:h="16840"/>
          <w:pgMar w:header="0" w:footer="1054" w:top="1360" w:bottom="1240" w:left="1600" w:right="1480"/>
        </w:sectPr>
      </w:pPr>
    </w:p>
    <w:p>
      <w:pPr>
        <w:spacing w:before="6"/>
        <w:ind w:left="555" w:right="105"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12"/>
          <w:sz w:val="22"/>
          <w:szCs w:val="22"/>
        </w:rPr>
        <w:t> </w:t>
      </w:r>
      <w:r>
        <w:rPr>
          <w:rFonts w:ascii="宋体" w:hAnsi="宋体" w:cs="宋体" w:eastAsia="宋体" w:hint="default"/>
          <w:sz w:val="22"/>
          <w:szCs w:val="22"/>
        </w:rPr>
        <w:t>金融资产</w:t>
      </w:r>
    </w:p>
    <w:p>
      <w:pPr>
        <w:tabs>
          <w:tab w:pos="1001" w:val="left" w:leader="none"/>
        </w:tabs>
        <w:spacing w:line="328" w:lineRule="auto" w:before="127"/>
        <w:ind w:left="541" w:right="223" w:firstLine="6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tab/>
      </w:r>
      <w:r>
        <w:rPr>
          <w:rFonts w:ascii="宋体" w:hAnsi="宋体" w:cs="宋体" w:eastAsia="宋体" w:hint="default"/>
          <w:sz w:val="22"/>
          <w:szCs w:val="22"/>
        </w:rPr>
        <w:t>金融资产分类、确认依据和计量方法</w:t>
      </w:r>
      <w:r>
        <w:rPr>
          <w:rFonts w:ascii="宋体" w:hAnsi="宋体" w:cs="宋体" w:eastAsia="宋体" w:hint="default"/>
          <w:w w:val="100"/>
          <w:sz w:val="22"/>
          <w:szCs w:val="22"/>
        </w:rPr>
        <w:t> </w:t>
      </w:r>
      <w:r>
        <w:rPr>
          <w:rFonts w:ascii="宋体" w:hAnsi="宋体" w:cs="宋体" w:eastAsia="宋体" w:hint="default"/>
          <w:spacing w:val="2"/>
          <w:sz w:val="22"/>
          <w:szCs w:val="22"/>
        </w:rPr>
        <w:t>本公司按投资目的和经济实质对拥有的金融资产分类为以公允价值计量且其变动计</w:t>
      </w:r>
    </w:p>
    <w:p>
      <w:pPr>
        <w:spacing w:line="345" w:lineRule="auto" w:before="0"/>
        <w:ind w:left="541" w:right="105" w:hanging="440"/>
        <w:jc w:val="left"/>
        <w:rPr>
          <w:rFonts w:ascii="宋体" w:hAnsi="宋体" w:cs="宋体" w:eastAsia="宋体" w:hint="default"/>
          <w:sz w:val="22"/>
          <w:szCs w:val="22"/>
        </w:rPr>
      </w:pPr>
      <w:r>
        <w:rPr>
          <w:rFonts w:ascii="宋体" w:hAnsi="宋体" w:cs="宋体" w:eastAsia="宋体" w:hint="default"/>
          <w:sz w:val="22"/>
          <w:szCs w:val="22"/>
        </w:rPr>
        <w:t>入当期损益的金融资产、持有至到期投资、应收款项及可供出售金融资产。</w:t>
      </w:r>
      <w:r>
        <w:rPr>
          <w:rFonts w:ascii="宋体" w:hAnsi="宋体" w:cs="宋体" w:eastAsia="宋体" w:hint="default"/>
          <w:w w:val="100"/>
          <w:sz w:val="22"/>
          <w:szCs w:val="22"/>
        </w:rPr>
        <w:t> </w:t>
      </w:r>
      <w:r>
        <w:rPr>
          <w:rFonts w:ascii="宋体" w:hAnsi="宋体" w:cs="宋体" w:eastAsia="宋体" w:hint="default"/>
          <w:spacing w:val="-3"/>
          <w:sz w:val="22"/>
          <w:szCs w:val="22"/>
        </w:rPr>
        <w:t>以公允价值计量且其变动计入当期损益的金融资产，包括交易性金融资产和在初始确</w:t>
      </w:r>
    </w:p>
    <w:p>
      <w:pPr>
        <w:spacing w:line="261" w:lineRule="exact" w:before="0"/>
        <w:ind w:left="102" w:right="0" w:firstLine="0"/>
        <w:jc w:val="both"/>
        <w:rPr>
          <w:rFonts w:ascii="宋体" w:hAnsi="宋体" w:cs="宋体" w:eastAsia="宋体" w:hint="default"/>
          <w:sz w:val="22"/>
          <w:szCs w:val="22"/>
        </w:rPr>
      </w:pPr>
      <w:r>
        <w:rPr>
          <w:rFonts w:ascii="宋体" w:hAnsi="宋体" w:cs="宋体" w:eastAsia="宋体" w:hint="default"/>
          <w:spacing w:val="-3"/>
          <w:sz w:val="22"/>
          <w:szCs w:val="22"/>
        </w:rPr>
        <w:t>认时指定为以公允价值计量且其变动计入当期损益的金融资产。本公司将满足下列条件之</w:t>
      </w:r>
    </w:p>
    <w:p>
      <w:pPr>
        <w:spacing w:line="297" w:lineRule="auto" w:before="67"/>
        <w:ind w:left="102" w:right="215" w:firstLine="0"/>
        <w:jc w:val="both"/>
        <w:rPr>
          <w:rFonts w:ascii="宋体" w:hAnsi="宋体" w:cs="宋体" w:eastAsia="宋体" w:hint="default"/>
          <w:sz w:val="22"/>
          <w:szCs w:val="22"/>
        </w:rPr>
      </w:pPr>
      <w:r>
        <w:rPr>
          <w:rFonts w:ascii="宋体" w:hAnsi="宋体" w:cs="宋体" w:eastAsia="宋体" w:hint="default"/>
          <w:spacing w:val="-3"/>
          <w:sz w:val="22"/>
          <w:szCs w:val="22"/>
        </w:rPr>
        <w:t>一的金融资产归类为交易性金融资产：取得该金融资产的目的是为了在短期内出售；属于</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进行集中管理的可辨认金融工具组合的一部分，且有客观证据表明公司近期采用短期获利</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方式对该组合进行管理；属于衍生工具，但是，被指定且为有效套期工具的衍生工具、属</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于财务担保合同的衍生工具、与在活跃市场中没有报价且其公允价值不能可靠计量的权益</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工具投资挂钩并须通过交付该权益工具结算的衍生工具除外。本公司将只有符合下列条件</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之一的金融工具，才可在初始确认时指定为以公允价值计量且其变动计入当期损益的金融</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资产：该指定可以消除或明显减少由于该金融工具的计量基础不同所导致的相关利得或损</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失在确认或计量方面不一致的情况；公司风险管理或投资策略的正式书面文件已载明，该</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金融工具组合以公允价值为基础进行管理、评价并向关键管理人员报告；包含一项或多项</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嵌入衍生工具的混合工具，除非嵌入衍生工具对混合工具的现金流量没有重大改变，或所</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嵌入的衍生工具明显不应当从相关混合工具中分拆；包含需要分拆但无法在取得时或后续</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的资产负债表日对其进行单独计量的嵌入衍生工具的混合工具。对此类金融资产，采用公</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3"/>
          <w:sz w:val="22"/>
          <w:szCs w:val="22"/>
        </w:rPr>
        <w:t>允价值进行后续计量。公允价值变动计入公允价值变动损益；在资产持有期间所取得的利</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息或现金股利，确认为投资收益；处置时，其公允价值与初始入账金额之间的差额确认为</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投资损益，同时调整公允价值变动损益。</w:t>
      </w:r>
    </w:p>
    <w:p>
      <w:pPr>
        <w:spacing w:line="297" w:lineRule="auto" w:before="75"/>
        <w:ind w:left="102" w:right="217" w:firstLine="659"/>
        <w:jc w:val="both"/>
        <w:rPr>
          <w:rFonts w:ascii="宋体" w:hAnsi="宋体" w:cs="宋体" w:eastAsia="宋体" w:hint="default"/>
          <w:sz w:val="22"/>
          <w:szCs w:val="22"/>
        </w:rPr>
      </w:pPr>
      <w:r>
        <w:rPr>
          <w:rFonts w:ascii="宋体" w:hAnsi="宋体" w:cs="宋体" w:eastAsia="宋体" w:hint="default"/>
          <w:spacing w:val="-4"/>
          <w:sz w:val="22"/>
          <w:szCs w:val="22"/>
        </w:rPr>
        <w:t>持有至到期投资，是指到期日固定、回收金额固定或可确定，且本公司有明确意图</w:t>
      </w:r>
      <w:r>
        <w:rPr>
          <w:rFonts w:ascii="宋体" w:hAnsi="宋体" w:cs="宋体" w:eastAsia="宋体" w:hint="default"/>
          <w:w w:val="100"/>
          <w:sz w:val="22"/>
          <w:szCs w:val="22"/>
        </w:rPr>
        <w:t> </w:t>
      </w:r>
      <w:r>
        <w:rPr>
          <w:rFonts w:ascii="宋体" w:hAnsi="宋体" w:cs="宋体" w:eastAsia="宋体" w:hint="default"/>
          <w:spacing w:val="-3"/>
          <w:sz w:val="22"/>
          <w:szCs w:val="22"/>
        </w:rPr>
        <w:t>和能力持有至到期的非衍生金融资产。持有至到期投资采用实际利率法，按照摊余成本进</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行后续计量，其摊销或减值以及终止确认产生的利得或损失，均计入当期损益。</w:t>
      </w:r>
    </w:p>
    <w:p>
      <w:pPr>
        <w:spacing w:line="297" w:lineRule="auto" w:before="74"/>
        <w:ind w:left="102" w:right="105" w:firstLine="439"/>
        <w:jc w:val="left"/>
        <w:rPr>
          <w:rFonts w:ascii="宋体" w:hAnsi="宋体" w:cs="宋体" w:eastAsia="宋体" w:hint="default"/>
          <w:sz w:val="22"/>
          <w:szCs w:val="22"/>
        </w:rPr>
      </w:pPr>
      <w:r>
        <w:rPr>
          <w:rFonts w:ascii="宋体" w:hAnsi="宋体" w:cs="宋体" w:eastAsia="宋体" w:hint="default"/>
          <w:sz w:val="22"/>
          <w:szCs w:val="22"/>
        </w:rPr>
        <w:t>应收款项，是指在活跃市场中没有报价，回收金额固定或可确定的非衍生金融资产。</w:t>
      </w:r>
      <w:r>
        <w:rPr>
          <w:rFonts w:ascii="宋体" w:hAnsi="宋体" w:cs="宋体" w:eastAsia="宋体" w:hint="default"/>
          <w:w w:val="100"/>
          <w:sz w:val="22"/>
          <w:szCs w:val="22"/>
        </w:rPr>
        <w:t> </w:t>
      </w:r>
      <w:r>
        <w:rPr>
          <w:rFonts w:ascii="宋体" w:hAnsi="宋体" w:cs="宋体" w:eastAsia="宋体" w:hint="default"/>
          <w:spacing w:val="-3"/>
          <w:sz w:val="22"/>
          <w:szCs w:val="22"/>
        </w:rPr>
        <w:t>应收款项按照摊余成本进行后续计量，其摊销或减值以及终止确认产生的利得或损失，均</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计入当期损益。</w:t>
      </w:r>
    </w:p>
    <w:p>
      <w:pPr>
        <w:spacing w:line="297" w:lineRule="auto" w:before="77"/>
        <w:ind w:left="102" w:right="215" w:firstLine="439"/>
        <w:jc w:val="both"/>
        <w:rPr>
          <w:rFonts w:ascii="宋体" w:hAnsi="宋体" w:cs="宋体" w:eastAsia="宋体" w:hint="default"/>
          <w:sz w:val="22"/>
          <w:szCs w:val="22"/>
        </w:rPr>
      </w:pPr>
      <w:r>
        <w:rPr>
          <w:rFonts w:ascii="宋体" w:hAnsi="宋体" w:cs="宋体" w:eastAsia="宋体" w:hint="default"/>
          <w:spacing w:val="-3"/>
          <w:sz w:val="22"/>
          <w:szCs w:val="22"/>
        </w:rPr>
        <w:t>可供出售金融资产，是指初始确认时即被指定为可供出售的非衍生金融资产，以及未</w:t>
      </w:r>
      <w:r>
        <w:rPr>
          <w:rFonts w:ascii="宋体" w:hAnsi="宋体" w:cs="宋体" w:eastAsia="宋体" w:hint="default"/>
          <w:w w:val="100"/>
          <w:sz w:val="22"/>
          <w:szCs w:val="22"/>
        </w:rPr>
        <w:t> </w:t>
      </w:r>
      <w:r>
        <w:rPr>
          <w:rFonts w:ascii="宋体" w:hAnsi="宋体" w:cs="宋体" w:eastAsia="宋体" w:hint="default"/>
          <w:spacing w:val="-3"/>
          <w:sz w:val="22"/>
          <w:szCs w:val="22"/>
        </w:rPr>
        <w:t>被划分为其他类的金融资产。这类资产中，在活跃市场中没有报价且其公允价值不能可靠</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计量的权益工具投资以及与该权益工具挂钩并须通过交付该权益工具结算的衍生金融资</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3"/>
          <w:sz w:val="22"/>
          <w:szCs w:val="22"/>
        </w:rPr>
        <w:t>产，按成本进行计量；其他存在活跃市场报价或虽没有活跃市场报价但公允价值能够可靠</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计量的，按公允价值计量，公允价值变动计入其他综合收益。对于此类金融资产采用公允</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pacing w:val="-3"/>
          <w:sz w:val="22"/>
          <w:szCs w:val="22"/>
        </w:rPr>
        <w:t>价值进行后续计量，除减值损失及外币货币性金融资产形成的汇兑差额外，可供出售金融</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3"/>
          <w:sz w:val="22"/>
          <w:szCs w:val="22"/>
        </w:rPr>
        <w:t>资产公允价值变动直接计入股东权益，待该金融资产终止确认时，原直接计入权益的公允</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3"/>
          <w:sz w:val="22"/>
          <w:szCs w:val="22"/>
        </w:rPr>
        <w:t>价值变动累计额转入当期损益。可供出售债务工具投资在持有期间按实际利率法计算的利</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息，以及被投资单位宣告发放的与可供出售权益工具投资相关的现金股利，作为投资收益</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计入当期损益。</w:t>
      </w:r>
    </w:p>
    <w:p>
      <w:pPr>
        <w:tabs>
          <w:tab w:pos="1001" w:val="left" w:leader="none"/>
        </w:tabs>
        <w:spacing w:before="77"/>
        <w:ind w:left="605" w:right="105"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tab/>
      </w:r>
      <w:r>
        <w:rPr>
          <w:rFonts w:ascii="宋体" w:hAnsi="宋体" w:cs="宋体" w:eastAsia="宋体" w:hint="default"/>
          <w:sz w:val="22"/>
          <w:szCs w:val="22"/>
        </w:rPr>
        <w:t>金融资产转移的确认依据和计量方法</w:t>
      </w:r>
    </w:p>
    <w:p>
      <w:pPr>
        <w:spacing w:after="0"/>
        <w:jc w:val="left"/>
        <w:rPr>
          <w:rFonts w:ascii="宋体" w:hAnsi="宋体" w:cs="宋体" w:eastAsia="宋体" w:hint="default"/>
          <w:sz w:val="22"/>
          <w:szCs w:val="22"/>
        </w:rPr>
        <w:sectPr>
          <w:pgSz w:w="11910" w:h="16840"/>
          <w:pgMar w:header="0" w:footer="1054" w:top="1360" w:bottom="1240" w:left="1600" w:right="1480"/>
        </w:sectPr>
      </w:pPr>
    </w:p>
    <w:p>
      <w:pPr>
        <w:spacing w:line="297" w:lineRule="auto" w:before="6"/>
        <w:ind w:left="102" w:right="335" w:firstLine="439"/>
        <w:jc w:val="both"/>
        <w:rPr>
          <w:rFonts w:ascii="宋体" w:hAnsi="宋体" w:cs="宋体" w:eastAsia="宋体" w:hint="default"/>
          <w:sz w:val="22"/>
          <w:szCs w:val="22"/>
        </w:rPr>
      </w:pPr>
      <w:r>
        <w:rPr>
          <w:rFonts w:ascii="宋体" w:hAnsi="宋体" w:cs="宋体" w:eastAsia="宋体" w:hint="default"/>
          <w:spacing w:val="-3"/>
          <w:sz w:val="22"/>
          <w:szCs w:val="22"/>
        </w:rPr>
        <w:t>金融资产满足下列条件之一的，予以终止确认：①收取该金融资产现金流量的合同权</w:t>
      </w:r>
      <w:r>
        <w:rPr>
          <w:rFonts w:ascii="宋体" w:hAnsi="宋体" w:cs="宋体" w:eastAsia="宋体" w:hint="default"/>
          <w:w w:val="100"/>
          <w:sz w:val="22"/>
          <w:szCs w:val="22"/>
        </w:rPr>
        <w:t> </w:t>
      </w:r>
      <w:r>
        <w:rPr>
          <w:rFonts w:ascii="宋体" w:hAnsi="宋体" w:cs="宋体" w:eastAsia="宋体" w:hint="default"/>
          <w:spacing w:val="-3"/>
          <w:sz w:val="22"/>
          <w:szCs w:val="22"/>
        </w:rPr>
        <w:t>利终止；②该金融资产已转移，且本公司将金融资产所有权上几乎所有的风险和报酬转移</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给转入方；③该金融资产已转移，虽然本公司既没有转移也没有保留金融资产所有权上几</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乎所有的风险和报酬，但是放弃了对该金融资产控制。</w:t>
      </w:r>
    </w:p>
    <w:p>
      <w:pPr>
        <w:spacing w:line="297" w:lineRule="auto" w:before="74"/>
        <w:ind w:left="102" w:right="337" w:firstLine="439"/>
        <w:jc w:val="both"/>
        <w:rPr>
          <w:rFonts w:ascii="宋体" w:hAnsi="宋体" w:cs="宋体" w:eastAsia="宋体" w:hint="default"/>
          <w:sz w:val="22"/>
          <w:szCs w:val="22"/>
        </w:rPr>
      </w:pPr>
      <w:r>
        <w:rPr>
          <w:rFonts w:ascii="宋体" w:hAnsi="宋体" w:cs="宋体" w:eastAsia="宋体" w:hint="default"/>
          <w:spacing w:val="-3"/>
          <w:sz w:val="22"/>
          <w:szCs w:val="22"/>
        </w:rPr>
        <w:t>企业既没有转移也没有保留金融资产所有权上几乎所有的风险和报酬，且未放弃对该</w:t>
      </w:r>
      <w:r>
        <w:rPr>
          <w:rFonts w:ascii="宋体" w:hAnsi="宋体" w:cs="宋体" w:eastAsia="宋体" w:hint="default"/>
          <w:w w:val="100"/>
          <w:sz w:val="22"/>
          <w:szCs w:val="22"/>
        </w:rPr>
        <w:t> </w:t>
      </w:r>
      <w:r>
        <w:rPr>
          <w:rFonts w:ascii="宋体" w:hAnsi="宋体" w:cs="宋体" w:eastAsia="宋体" w:hint="default"/>
          <w:spacing w:val="-3"/>
          <w:sz w:val="22"/>
          <w:szCs w:val="22"/>
        </w:rPr>
        <w:t>金融资产控制的，则按照其继续涉入所转移金融资产的程度确认有关金融资产，并相应确</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认有关负债。</w:t>
      </w:r>
    </w:p>
    <w:p>
      <w:pPr>
        <w:spacing w:line="297" w:lineRule="auto" w:before="77"/>
        <w:ind w:left="102" w:right="337" w:firstLine="439"/>
        <w:jc w:val="both"/>
        <w:rPr>
          <w:rFonts w:ascii="宋体" w:hAnsi="宋体" w:cs="宋体" w:eastAsia="宋体" w:hint="default"/>
          <w:sz w:val="22"/>
          <w:szCs w:val="22"/>
        </w:rPr>
      </w:pPr>
      <w:r>
        <w:rPr>
          <w:rFonts w:ascii="宋体" w:hAnsi="宋体" w:cs="宋体" w:eastAsia="宋体" w:hint="default"/>
          <w:spacing w:val="-3"/>
          <w:sz w:val="22"/>
          <w:szCs w:val="22"/>
        </w:rPr>
        <w:t>金融资产整体转移满足终止确认条件的，将所转移金融资产的账面价值，与因转移而</w:t>
      </w:r>
      <w:r>
        <w:rPr>
          <w:rFonts w:ascii="宋体" w:hAnsi="宋体" w:cs="宋体" w:eastAsia="宋体" w:hint="default"/>
          <w:w w:val="100"/>
          <w:sz w:val="22"/>
          <w:szCs w:val="22"/>
        </w:rPr>
        <w:t> </w:t>
      </w:r>
      <w:r>
        <w:rPr>
          <w:rFonts w:ascii="宋体" w:hAnsi="宋体" w:cs="宋体" w:eastAsia="宋体" w:hint="default"/>
          <w:sz w:val="22"/>
          <w:szCs w:val="22"/>
        </w:rPr>
        <w:t>收到的对价及原计入其他综合收益的公允价值变动累计额之和的差额计入当期损益。</w:t>
      </w:r>
    </w:p>
    <w:p>
      <w:pPr>
        <w:spacing w:line="297" w:lineRule="auto" w:before="74"/>
        <w:ind w:left="102" w:right="336" w:firstLine="439"/>
        <w:jc w:val="both"/>
        <w:rPr>
          <w:rFonts w:ascii="宋体" w:hAnsi="宋体" w:cs="宋体" w:eastAsia="宋体" w:hint="default"/>
          <w:sz w:val="22"/>
          <w:szCs w:val="22"/>
        </w:rPr>
      </w:pPr>
      <w:r>
        <w:rPr>
          <w:rFonts w:ascii="宋体" w:hAnsi="宋体" w:cs="宋体" w:eastAsia="宋体" w:hint="default"/>
          <w:spacing w:val="-3"/>
          <w:sz w:val="22"/>
          <w:szCs w:val="22"/>
        </w:rPr>
        <w:t>金融资产部分转移满足终止确认条件的，将所转移金融资产整体的账面价值，在终止</w:t>
      </w:r>
      <w:r>
        <w:rPr>
          <w:rFonts w:ascii="宋体" w:hAnsi="宋体" w:cs="宋体" w:eastAsia="宋体" w:hint="default"/>
          <w:w w:val="100"/>
          <w:sz w:val="22"/>
          <w:szCs w:val="22"/>
        </w:rPr>
        <w:t> </w:t>
      </w:r>
      <w:r>
        <w:rPr>
          <w:rFonts w:ascii="宋体" w:hAnsi="宋体" w:cs="宋体" w:eastAsia="宋体" w:hint="default"/>
          <w:spacing w:val="-3"/>
          <w:sz w:val="22"/>
          <w:szCs w:val="22"/>
        </w:rPr>
        <w:t>确认部分和未终止确认部分之间，按照各自的相对公允价值进行分摊，并将因转移而收到</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的对价及应分摊至终止确认部分的原计入其他综合收益的公允价值变动累计额之和，与分</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摊的前述账面金额的差额计入当期损益。</w:t>
      </w:r>
    </w:p>
    <w:p>
      <w:pPr>
        <w:tabs>
          <w:tab w:pos="1001" w:val="left" w:leader="none"/>
        </w:tabs>
        <w:spacing w:line="326" w:lineRule="auto" w:before="77"/>
        <w:ind w:left="541" w:right="337" w:firstLine="6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tab/>
      </w:r>
      <w:r>
        <w:rPr>
          <w:rFonts w:ascii="宋体" w:hAnsi="宋体" w:cs="宋体" w:eastAsia="宋体" w:hint="default"/>
          <w:sz w:val="22"/>
          <w:szCs w:val="22"/>
        </w:rPr>
        <w:t>金融资产减值的测试方法及会计处理方法</w:t>
      </w:r>
      <w:r>
        <w:rPr>
          <w:rFonts w:ascii="宋体" w:hAnsi="宋体" w:cs="宋体" w:eastAsia="宋体" w:hint="default"/>
          <w:w w:val="100"/>
          <w:sz w:val="22"/>
          <w:szCs w:val="22"/>
        </w:rPr>
        <w:t> </w:t>
      </w:r>
      <w:r>
        <w:rPr>
          <w:rFonts w:ascii="宋体" w:hAnsi="宋体" w:cs="宋体" w:eastAsia="宋体" w:hint="default"/>
          <w:spacing w:val="-3"/>
          <w:sz w:val="22"/>
          <w:szCs w:val="22"/>
        </w:rPr>
        <w:t>除以公允价值计量且其变动计入当期损益的金融资产外，本公司于资产负债表日对其</w:t>
      </w:r>
    </w:p>
    <w:p>
      <w:pPr>
        <w:spacing w:line="297" w:lineRule="auto" w:before="0"/>
        <w:ind w:left="102" w:right="106" w:firstLine="0"/>
        <w:jc w:val="left"/>
        <w:rPr>
          <w:rFonts w:ascii="宋体" w:hAnsi="宋体" w:cs="宋体" w:eastAsia="宋体" w:hint="default"/>
          <w:sz w:val="22"/>
          <w:szCs w:val="22"/>
        </w:rPr>
      </w:pPr>
      <w:r>
        <w:rPr>
          <w:rFonts w:ascii="宋体" w:hAnsi="宋体" w:cs="宋体" w:eastAsia="宋体" w:hint="default"/>
          <w:spacing w:val="-3"/>
          <w:sz w:val="22"/>
          <w:szCs w:val="22"/>
        </w:rPr>
        <w:t>他金融资产的账面价值进行检查，如果有客观证据表明某项金融资产发生减值的，计提减</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值准备。如果可供出售金融资产的公允价值发生较大幅度或非暂时性下降，原直接计入股</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东权益的因公允价值下降形成的累计损失计入减值损失。对已确认减值损失的可供出售债</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务工具投资，在期后公允价值上升且客观上与确认原减值损失确认后发生的事项有关的，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6"/>
          <w:w w:val="100"/>
          <w:sz w:val="22"/>
          <w:szCs w:val="22"/>
        </w:rPr>
        <w:t>原确认的减值损失予以转回，计入当期损益。对已确认减值损失的可供出售权益工具投资，</w:t>
      </w:r>
      <w:r>
        <w:rPr>
          <w:rFonts w:ascii="宋体" w:hAnsi="宋体" w:cs="宋体" w:eastAsia="宋体" w:hint="default"/>
          <w:spacing w:val="-93"/>
          <w:w w:val="100"/>
          <w:sz w:val="22"/>
          <w:szCs w:val="22"/>
        </w:rPr>
        <w:t> </w:t>
      </w:r>
      <w:r>
        <w:rPr>
          <w:rFonts w:ascii="宋体" w:hAnsi="宋体" w:cs="宋体" w:eastAsia="宋体" w:hint="default"/>
          <w:spacing w:val="-93"/>
          <w:w w:val="100"/>
          <w:sz w:val="22"/>
          <w:szCs w:val="22"/>
        </w:rPr>
      </w:r>
      <w:r>
        <w:rPr>
          <w:rFonts w:ascii="宋体" w:hAnsi="宋体" w:cs="宋体" w:eastAsia="宋体" w:hint="default"/>
          <w:spacing w:val="-3"/>
          <w:sz w:val="22"/>
          <w:szCs w:val="22"/>
        </w:rPr>
        <w:t>在期后公允价值上升且客观上与确认原减值损失确认后发生的事项有关的，原确认的减值</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3"/>
          <w:sz w:val="22"/>
          <w:szCs w:val="22"/>
        </w:rPr>
        <w:t>损失予以转回，计入股东权益。在活跃市场中没有报价且其公允价值不能可靠计量的权益</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工具投资发生的减值损失，不予转回。</w:t>
      </w:r>
    </w:p>
    <w:p>
      <w:pPr>
        <w:spacing w:before="77"/>
        <w:ind w:left="555" w:right="3346"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2"/>
          <w:sz w:val="22"/>
          <w:szCs w:val="22"/>
        </w:rPr>
        <w:t> </w:t>
      </w:r>
      <w:r>
        <w:rPr>
          <w:rFonts w:ascii="宋体" w:hAnsi="宋体" w:cs="宋体" w:eastAsia="宋体" w:hint="default"/>
          <w:sz w:val="22"/>
          <w:szCs w:val="22"/>
        </w:rPr>
        <w:t>金融负债</w:t>
      </w:r>
    </w:p>
    <w:p>
      <w:pPr>
        <w:tabs>
          <w:tab w:pos="1001" w:val="left" w:leader="none"/>
        </w:tabs>
        <w:spacing w:before="127"/>
        <w:ind w:left="55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tab/>
      </w:r>
      <w:r>
        <w:rPr>
          <w:rFonts w:ascii="宋体" w:hAnsi="宋体" w:cs="宋体" w:eastAsia="宋体" w:hint="default"/>
          <w:sz w:val="22"/>
          <w:szCs w:val="22"/>
        </w:rPr>
        <w:t>金融负债分类、确认依据和计量方法</w:t>
      </w:r>
    </w:p>
    <w:p>
      <w:pPr>
        <w:spacing w:line="295" w:lineRule="auto" w:before="113"/>
        <w:ind w:left="102" w:right="345" w:firstLine="465"/>
        <w:jc w:val="both"/>
        <w:rPr>
          <w:rFonts w:ascii="宋体" w:hAnsi="宋体" w:cs="宋体" w:eastAsia="宋体" w:hint="default"/>
          <w:sz w:val="22"/>
          <w:szCs w:val="22"/>
        </w:rPr>
      </w:pPr>
      <w:r>
        <w:rPr>
          <w:rFonts w:ascii="宋体" w:hAnsi="宋体" w:cs="宋体" w:eastAsia="宋体" w:hint="default"/>
          <w:spacing w:val="2"/>
          <w:sz w:val="22"/>
          <w:szCs w:val="22"/>
        </w:rPr>
        <w:t>本公司的金融负债于初始确认时分类为以公允价值计量且其变动计入当期损益的金</w:t>
      </w:r>
      <w:r>
        <w:rPr>
          <w:rFonts w:ascii="宋体" w:hAnsi="宋体" w:cs="宋体" w:eastAsia="宋体" w:hint="default"/>
          <w:w w:val="100"/>
          <w:sz w:val="22"/>
          <w:szCs w:val="22"/>
        </w:rPr>
        <w:t> </w:t>
      </w:r>
      <w:r>
        <w:rPr>
          <w:rFonts w:ascii="宋体" w:hAnsi="宋体" w:cs="宋体" w:eastAsia="宋体" w:hint="default"/>
          <w:sz w:val="22"/>
          <w:szCs w:val="22"/>
        </w:rPr>
        <w:t>融负债和其他金融负债。</w:t>
      </w:r>
    </w:p>
    <w:p>
      <w:pPr>
        <w:spacing w:line="297" w:lineRule="auto" w:before="79"/>
        <w:ind w:left="102" w:right="106" w:firstLine="465"/>
        <w:jc w:val="left"/>
        <w:rPr>
          <w:rFonts w:ascii="宋体" w:hAnsi="宋体" w:cs="宋体" w:eastAsia="宋体" w:hint="default"/>
          <w:sz w:val="22"/>
          <w:szCs w:val="22"/>
        </w:rPr>
      </w:pPr>
      <w:r>
        <w:rPr>
          <w:rFonts w:ascii="宋体" w:hAnsi="宋体" w:cs="宋体" w:eastAsia="宋体" w:hint="default"/>
          <w:spacing w:val="-4"/>
          <w:w w:val="100"/>
          <w:sz w:val="22"/>
          <w:szCs w:val="22"/>
        </w:rPr>
        <w:t>以公允价值计量且其变动计入当期损益的金融负债，包括交易性金融负债和初始确认</w:t>
      </w:r>
      <w:r>
        <w:rPr>
          <w:rFonts w:ascii="宋体" w:hAnsi="宋体" w:cs="宋体" w:eastAsia="宋体" w:hint="default"/>
          <w:w w:val="100"/>
          <w:sz w:val="22"/>
          <w:szCs w:val="22"/>
        </w:rPr>
        <w:t> </w:t>
      </w:r>
      <w:r>
        <w:rPr>
          <w:rFonts w:ascii="宋体" w:hAnsi="宋体" w:cs="宋体" w:eastAsia="宋体" w:hint="default"/>
          <w:spacing w:val="-3"/>
          <w:sz w:val="22"/>
          <w:szCs w:val="22"/>
        </w:rPr>
        <w:t>时指定为以公允价值计量且其变动计入当期损益的金融负债。按照公允价值进行后续计量，</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z w:val="22"/>
          <w:szCs w:val="22"/>
        </w:rPr>
        <w:t>公允价值变动形成的利得或损失以及与该金融负债相关的股利和利息支出计入当期损益。</w:t>
      </w:r>
    </w:p>
    <w:p>
      <w:pPr>
        <w:spacing w:line="295" w:lineRule="auto" w:before="77"/>
        <w:ind w:left="102" w:right="106" w:firstLine="465"/>
        <w:jc w:val="left"/>
        <w:rPr>
          <w:rFonts w:ascii="宋体" w:hAnsi="宋体" w:cs="宋体" w:eastAsia="宋体" w:hint="default"/>
          <w:sz w:val="22"/>
          <w:szCs w:val="22"/>
        </w:rPr>
      </w:pPr>
      <w:r>
        <w:rPr>
          <w:rFonts w:ascii="宋体" w:hAnsi="宋体" w:cs="宋体" w:eastAsia="宋体" w:hint="default"/>
          <w:spacing w:val="-1"/>
          <w:sz w:val="22"/>
          <w:szCs w:val="22"/>
        </w:rPr>
        <w:t>其他金融负债，包括公司</w:t>
      </w:r>
      <w:hyperlink r:id="rId31">
        <w:r>
          <w:rPr>
            <w:rFonts w:ascii="宋体" w:hAnsi="宋体" w:cs="宋体" w:eastAsia="宋体" w:hint="default"/>
            <w:spacing w:val="-1"/>
            <w:sz w:val="22"/>
            <w:szCs w:val="22"/>
          </w:rPr>
          <w:t>发行的债券</w:t>
        </w:r>
      </w:hyperlink>
      <w:r>
        <w:rPr>
          <w:rFonts w:ascii="宋体" w:hAnsi="宋体" w:cs="宋体" w:eastAsia="宋体" w:hint="default"/>
          <w:spacing w:val="-1"/>
          <w:sz w:val="22"/>
          <w:szCs w:val="22"/>
        </w:rPr>
        <w:t>、因购买商品产生的应付账款、长期应付款等。</w:t>
      </w:r>
      <w:r>
        <w:rPr>
          <w:rFonts w:ascii="宋体" w:hAnsi="宋体" w:cs="宋体" w:eastAsia="宋体" w:hint="default"/>
          <w:w w:val="100"/>
          <w:sz w:val="22"/>
          <w:szCs w:val="22"/>
        </w:rPr>
        <w:t> </w:t>
      </w:r>
      <w:r>
        <w:rPr>
          <w:rFonts w:ascii="宋体" w:hAnsi="宋体" w:cs="宋体" w:eastAsia="宋体" w:hint="default"/>
          <w:sz w:val="22"/>
          <w:szCs w:val="22"/>
        </w:rPr>
        <w:t>采用实际利率法，按照摊余成本进行后续计量。</w:t>
      </w:r>
    </w:p>
    <w:p>
      <w:pPr>
        <w:spacing w:after="0" w:line="295" w:lineRule="auto"/>
        <w:jc w:val="left"/>
        <w:rPr>
          <w:rFonts w:ascii="宋体" w:hAnsi="宋体" w:cs="宋体" w:eastAsia="宋体" w:hint="default"/>
          <w:sz w:val="22"/>
          <w:szCs w:val="22"/>
        </w:rPr>
        <w:sectPr>
          <w:footerReference w:type="default" r:id="rId30"/>
          <w:pgSz w:w="11910" w:h="16840"/>
          <w:pgMar w:footer="1054" w:header="0" w:top="1360" w:bottom="1240" w:left="1600" w:right="1360"/>
        </w:sectPr>
      </w:pPr>
    </w:p>
    <w:p>
      <w:pPr>
        <w:tabs>
          <w:tab w:pos="1061" w:val="left" w:leader="none"/>
        </w:tabs>
        <w:spacing w:line="326" w:lineRule="auto" w:before="6"/>
        <w:ind w:left="627" w:right="214" w:firstLine="38"/>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tab/>
      </w:r>
      <w:r>
        <w:rPr>
          <w:rFonts w:ascii="宋体" w:hAnsi="宋体" w:cs="宋体" w:eastAsia="宋体" w:hint="default"/>
          <w:sz w:val="22"/>
          <w:szCs w:val="22"/>
        </w:rPr>
        <w:t>金融负债终止确认条件</w:t>
      </w:r>
      <w:r>
        <w:rPr>
          <w:rFonts w:ascii="宋体" w:hAnsi="宋体" w:cs="宋体" w:eastAsia="宋体" w:hint="default"/>
          <w:w w:val="100"/>
          <w:sz w:val="22"/>
          <w:szCs w:val="22"/>
        </w:rPr>
        <w:t> </w:t>
      </w:r>
      <w:r>
        <w:rPr>
          <w:rFonts w:ascii="宋体" w:hAnsi="宋体" w:cs="宋体" w:eastAsia="宋体" w:hint="default"/>
          <w:spacing w:val="-4"/>
          <w:w w:val="100"/>
          <w:sz w:val="22"/>
          <w:szCs w:val="22"/>
        </w:rPr>
        <w:t>当金融负债的现时义务全部或部分已经解除时，终止确认该金融负债或义务已解除的</w:t>
      </w:r>
    </w:p>
    <w:p>
      <w:pPr>
        <w:spacing w:line="297" w:lineRule="auto" w:before="0"/>
        <w:ind w:left="162" w:right="217" w:firstLine="0"/>
        <w:jc w:val="both"/>
        <w:rPr>
          <w:rFonts w:ascii="宋体" w:hAnsi="宋体" w:cs="宋体" w:eastAsia="宋体" w:hint="default"/>
          <w:sz w:val="22"/>
          <w:szCs w:val="22"/>
        </w:rPr>
      </w:pPr>
      <w:r>
        <w:rPr>
          <w:rFonts w:ascii="宋体" w:hAnsi="宋体" w:cs="宋体" w:eastAsia="宋体" w:hint="default"/>
          <w:spacing w:val="-3"/>
          <w:sz w:val="22"/>
          <w:szCs w:val="22"/>
        </w:rPr>
        <w:t>部分。公司与债权人之间签订协议，以承担新金融负债方式替换现存金融负债，且新金融</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pacing w:val="-3"/>
          <w:sz w:val="22"/>
          <w:szCs w:val="22"/>
        </w:rPr>
        <w:t>负债与现存金融负债的合同条款实质上不同的，终止确认现存金融负债，并同时确认新金</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融负债。公司对现存金融负债全部或部分的合同条款作出实质性修改的，终止确认现存金</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融负债或其一部分，同时将修改条款后的金融负债确认为一项新金融负债。终止确认部分</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的账面价值与支付的对价之间的差额，计入当期损益。</w:t>
      </w:r>
    </w:p>
    <w:p>
      <w:pPr>
        <w:spacing w:line="348" w:lineRule="auto" w:before="77"/>
        <w:ind w:left="601" w:right="0" w:firstLine="14"/>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9"/>
          <w:sz w:val="22"/>
          <w:szCs w:val="22"/>
        </w:rPr>
        <w:t> </w:t>
      </w:r>
      <w:r>
        <w:rPr>
          <w:rFonts w:ascii="宋体" w:hAnsi="宋体" w:cs="宋体" w:eastAsia="宋体" w:hint="default"/>
          <w:sz w:val="22"/>
          <w:szCs w:val="22"/>
        </w:rPr>
        <w:t>金融资产和金融负债的公允价值确定方法</w:t>
      </w:r>
      <w:r>
        <w:rPr>
          <w:rFonts w:ascii="宋体" w:hAnsi="宋体" w:cs="宋体" w:eastAsia="宋体" w:hint="default"/>
          <w:w w:val="100"/>
          <w:sz w:val="22"/>
          <w:szCs w:val="22"/>
        </w:rPr>
        <w:t> </w:t>
      </w:r>
      <w:r>
        <w:rPr>
          <w:rFonts w:ascii="宋体" w:hAnsi="宋体" w:cs="宋体" w:eastAsia="宋体" w:hint="default"/>
          <w:sz w:val="22"/>
          <w:szCs w:val="22"/>
        </w:rPr>
        <w:t>本公司以主要市场的价格计量金融资产和金融负债的公允价值，不存在主要市场的，</w:t>
      </w:r>
    </w:p>
    <w:p>
      <w:pPr>
        <w:spacing w:line="256" w:lineRule="exact" w:before="0"/>
        <w:ind w:left="162" w:right="0" w:firstLine="0"/>
        <w:jc w:val="both"/>
        <w:rPr>
          <w:rFonts w:ascii="宋体" w:hAnsi="宋体" w:cs="宋体" w:eastAsia="宋体" w:hint="default"/>
          <w:sz w:val="22"/>
          <w:szCs w:val="22"/>
        </w:rPr>
      </w:pPr>
      <w:r>
        <w:rPr>
          <w:rFonts w:ascii="宋体" w:hAnsi="宋体" w:cs="宋体" w:eastAsia="宋体" w:hint="default"/>
          <w:spacing w:val="-3"/>
          <w:sz w:val="22"/>
          <w:szCs w:val="22"/>
        </w:rPr>
        <w:t>以最有利市场的价格计量金融资产和金融负债的公允价值，并且采用当时适用并且有足够</w:t>
      </w:r>
    </w:p>
    <w:p>
      <w:pPr>
        <w:spacing w:line="297" w:lineRule="auto" w:before="69"/>
        <w:ind w:left="162" w:right="215" w:firstLine="0"/>
        <w:jc w:val="both"/>
        <w:rPr>
          <w:rFonts w:ascii="宋体" w:hAnsi="宋体" w:cs="宋体" w:eastAsia="宋体" w:hint="default"/>
          <w:sz w:val="22"/>
          <w:szCs w:val="22"/>
        </w:rPr>
      </w:pPr>
      <w:r>
        <w:rPr>
          <w:rFonts w:ascii="宋体" w:hAnsi="宋体" w:cs="宋体" w:eastAsia="宋体" w:hint="default"/>
          <w:spacing w:val="-3"/>
          <w:sz w:val="22"/>
          <w:szCs w:val="22"/>
        </w:rPr>
        <w:t>可利用数据和其他信息支持的估值技术。公允价值计量所使用的输入值分为三个层次，即</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第一层次输入值是计量日能够取得的相同资产或负债在活跃市场上未经调整的报价；第二</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层次输入值是除第一层次输入值外相关资产或负债直接或间接可观察的输入值；第三层次</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输入值是相关资产或负债的不可观察输入值。本公司优先使用第一层次输入值，最后再使</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用第三层次输入值，以公允价值计量且其变动计入当期损益的金融资产、其他存在活跃市</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2"/>
          <w:sz w:val="22"/>
          <w:szCs w:val="22"/>
        </w:rPr>
        <w:t>场报价或虽没有活跃市场报价但公允价值能够可靠计量的可供出售金融资产和以公允价</w:t>
      </w:r>
      <w:r>
        <w:rPr>
          <w:rFonts w:ascii="宋体" w:hAnsi="宋体" w:cs="宋体" w:eastAsia="宋体" w:hint="default"/>
          <w:spacing w:val="-50"/>
          <w:sz w:val="22"/>
          <w:szCs w:val="22"/>
        </w:rPr>
        <w:t> </w:t>
      </w:r>
      <w:r>
        <w:rPr>
          <w:rFonts w:ascii="宋体" w:hAnsi="宋体" w:cs="宋体" w:eastAsia="宋体" w:hint="default"/>
          <w:spacing w:val="-50"/>
          <w:sz w:val="22"/>
          <w:szCs w:val="22"/>
        </w:rPr>
      </w:r>
      <w:r>
        <w:rPr>
          <w:rFonts w:ascii="宋体" w:hAnsi="宋体" w:cs="宋体" w:eastAsia="宋体" w:hint="default"/>
          <w:spacing w:val="-3"/>
          <w:sz w:val="22"/>
          <w:szCs w:val="22"/>
        </w:rPr>
        <w:t>值计量且其变动计入当期损益的金融负债使用第一层次输入值，在活跃市场中没有报价且</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2"/>
          <w:sz w:val="22"/>
          <w:szCs w:val="22"/>
        </w:rPr>
        <w:t>其公允价值不能可靠计量的权益工具投资以及与该权益工具挂钩并须通过交付该权益工</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3"/>
          <w:sz w:val="22"/>
          <w:szCs w:val="22"/>
        </w:rPr>
        <w:t>具结算的衍生金融资产使用第三层次输入值。公允价值计量结果所属的层次，由对公允价</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值计量整体而言具有重大意义的输入值所属的最低层次决定。</w:t>
      </w:r>
    </w:p>
    <w:p>
      <w:pPr>
        <w:spacing w:line="288" w:lineRule="auto" w:before="77"/>
        <w:ind w:left="601" w:right="0" w:firstLine="14"/>
        <w:jc w:val="left"/>
        <w:rPr>
          <w:rFonts w:ascii="宋体" w:hAnsi="宋体" w:cs="宋体" w:eastAsia="宋体" w:hint="default"/>
          <w:sz w:val="22"/>
          <w:szCs w:val="22"/>
        </w:rPr>
      </w:pPr>
      <w:r>
        <w:rPr>
          <w:rFonts w:ascii="宋体" w:hAnsi="宋体" w:cs="宋体" w:eastAsia="宋体" w:hint="default"/>
          <w:b/>
          <w:bCs/>
          <w:sz w:val="22"/>
          <w:szCs w:val="22"/>
        </w:rPr>
        <w:t>11.</w:t>
      </w:r>
      <w:r>
        <w:rPr>
          <w:rFonts w:ascii="宋体" w:hAnsi="宋体" w:cs="宋体" w:eastAsia="宋体" w:hint="default"/>
          <w:b/>
          <w:bCs/>
          <w:spacing w:val="9"/>
          <w:sz w:val="22"/>
          <w:szCs w:val="22"/>
        </w:rPr>
        <w:t> </w:t>
      </w:r>
      <w:r>
        <w:rPr>
          <w:rFonts w:ascii="宋体" w:hAnsi="宋体" w:cs="宋体" w:eastAsia="宋体" w:hint="default"/>
          <w:sz w:val="22"/>
          <w:szCs w:val="22"/>
        </w:rPr>
        <w:t>应收款项坏账准备</w:t>
      </w:r>
      <w:r>
        <w:rPr>
          <w:rFonts w:ascii="宋体" w:hAnsi="宋体" w:cs="宋体" w:eastAsia="宋体" w:hint="default"/>
          <w:w w:val="100"/>
          <w:sz w:val="22"/>
          <w:szCs w:val="22"/>
        </w:rPr>
        <w:t> </w:t>
      </w:r>
      <w:r>
        <w:rPr>
          <w:rFonts w:ascii="宋体" w:hAnsi="宋体" w:cs="宋体" w:eastAsia="宋体" w:hint="default"/>
          <w:sz w:val="22"/>
          <w:szCs w:val="22"/>
        </w:rPr>
        <w:t>本公司在资产负债表日对应收款项账面价值进行检查，对存在债务单位撤销、破产、</w:t>
      </w:r>
    </w:p>
    <w:p>
      <w:pPr>
        <w:spacing w:line="297" w:lineRule="auto" w:before="23"/>
        <w:ind w:left="162" w:right="215" w:firstLine="0"/>
        <w:jc w:val="both"/>
        <w:rPr>
          <w:rFonts w:ascii="宋体" w:hAnsi="宋体" w:cs="宋体" w:eastAsia="宋体" w:hint="default"/>
          <w:sz w:val="22"/>
          <w:szCs w:val="22"/>
        </w:rPr>
      </w:pPr>
      <w:r>
        <w:rPr>
          <w:rFonts w:ascii="宋体" w:hAnsi="宋体" w:cs="宋体" w:eastAsia="宋体" w:hint="default"/>
          <w:spacing w:val="-3"/>
          <w:sz w:val="22"/>
          <w:szCs w:val="22"/>
        </w:rPr>
        <w:t>资不抵债、现金流量严重不足、发生严重自然灾害等导致停产而在可预见的时间内无法偿</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3"/>
          <w:sz w:val="22"/>
          <w:szCs w:val="22"/>
        </w:rPr>
        <w:t>付债务等；其他确凿证据表明确实无法收回或收回的可能性不大的应收款项，计提坏账准</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备。</w:t>
      </w:r>
    </w:p>
    <w:p>
      <w:pPr>
        <w:spacing w:line="297" w:lineRule="auto" w:before="74"/>
        <w:ind w:left="162" w:right="217" w:firstLine="439"/>
        <w:jc w:val="both"/>
        <w:rPr>
          <w:rFonts w:ascii="宋体" w:hAnsi="宋体" w:cs="宋体" w:eastAsia="宋体" w:hint="default"/>
          <w:sz w:val="22"/>
          <w:szCs w:val="22"/>
        </w:rPr>
      </w:pPr>
      <w:r>
        <w:rPr>
          <w:rFonts w:ascii="宋体" w:hAnsi="宋体" w:cs="宋体" w:eastAsia="宋体" w:hint="default"/>
          <w:spacing w:val="-3"/>
          <w:sz w:val="22"/>
          <w:szCs w:val="22"/>
        </w:rPr>
        <w:t>对可能发生的坏账损失采用备抵法核算，年末单独或按组合进行减值测试，计提坏账</w:t>
      </w:r>
      <w:r>
        <w:rPr>
          <w:rFonts w:ascii="宋体" w:hAnsi="宋体" w:cs="宋体" w:eastAsia="宋体" w:hint="default"/>
          <w:w w:val="100"/>
          <w:sz w:val="22"/>
          <w:szCs w:val="22"/>
        </w:rPr>
        <w:t> </w:t>
      </w:r>
      <w:r>
        <w:rPr>
          <w:rFonts w:ascii="宋体" w:hAnsi="宋体" w:cs="宋体" w:eastAsia="宋体" w:hint="default"/>
          <w:spacing w:val="-3"/>
          <w:sz w:val="22"/>
          <w:szCs w:val="22"/>
        </w:rPr>
        <w:t>准备，计入当期损益。对于有确凿证据表明确实无法收回的应收款项，经本公司按规定程</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z w:val="22"/>
          <w:szCs w:val="22"/>
        </w:rPr>
        <w:t>序批准后列作坏账损失，冲销提取的坏账准备。</w:t>
      </w:r>
    </w:p>
    <w:p>
      <w:pPr>
        <w:spacing w:before="77"/>
        <w:ind w:left="615" w:right="214"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单项金额重大并单项计提坏账准备的应收款项</w:t>
      </w:r>
    </w:p>
    <w:p>
      <w:pPr>
        <w:spacing w:line="240" w:lineRule="auto" w:before="11"/>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712"/>
        <w:gridCol w:w="4910"/>
      </w:tblGrid>
      <w:tr>
        <w:trPr>
          <w:trHeight w:val="586" w:hRule="exact"/>
        </w:trPr>
        <w:tc>
          <w:tcPr>
            <w:tcW w:w="3712" w:type="dxa"/>
            <w:tcBorders>
              <w:top w:val="single" w:sz="12" w:space="0" w:color="000000"/>
              <w:left w:val="nil" w:sz="6" w:space="0" w:color="auto"/>
              <w:bottom w:val="single" w:sz="4" w:space="0" w:color="000000"/>
              <w:right w:val="nil" w:sz="6" w:space="0" w:color="auto"/>
            </w:tcBorders>
          </w:tcPr>
          <w:p>
            <w:pPr>
              <w:pStyle w:val="TableParagraph"/>
              <w:spacing w:line="240" w:lineRule="auto" w:before="137"/>
              <w:ind w:left="57"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910" w:type="dxa"/>
            <w:tcBorders>
              <w:top w:val="single" w:sz="12" w:space="0" w:color="000000"/>
              <w:left w:val="nil" w:sz="6" w:space="0" w:color="auto"/>
              <w:bottom w:val="single" w:sz="4" w:space="0" w:color="000000"/>
              <w:right w:val="nil" w:sz="6" w:space="0" w:color="auto"/>
            </w:tcBorders>
          </w:tcPr>
          <w:p>
            <w:pPr>
              <w:pStyle w:val="TableParagraph"/>
              <w:spacing w:line="240" w:lineRule="auto" w:before="137"/>
              <w:ind w:left="51"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6"/>
                <w:sz w:val="18"/>
                <w:szCs w:val="18"/>
              </w:rPr>
              <w:t> </w:t>
            </w:r>
            <w:r>
              <w:rPr>
                <w:rFonts w:ascii="宋体" w:hAnsi="宋体" w:cs="宋体" w:eastAsia="宋体" w:hint="default"/>
                <w:sz w:val="18"/>
                <w:szCs w:val="18"/>
              </w:rPr>
              <w:t>1000</w:t>
            </w:r>
            <w:r>
              <w:rPr>
                <w:rFonts w:ascii="宋体" w:hAnsi="宋体" w:cs="宋体" w:eastAsia="宋体" w:hint="default"/>
                <w:spacing w:val="-45"/>
                <w:sz w:val="18"/>
                <w:szCs w:val="18"/>
              </w:rPr>
              <w:t> </w:t>
            </w:r>
            <w:r>
              <w:rPr>
                <w:rFonts w:ascii="宋体" w:hAnsi="宋体" w:cs="宋体" w:eastAsia="宋体" w:hint="default"/>
                <w:sz w:val="18"/>
                <w:szCs w:val="18"/>
              </w:rPr>
              <w:t>万元的应收款项视为重大应收款项</w:t>
            </w:r>
          </w:p>
        </w:tc>
      </w:tr>
      <w:tr>
        <w:trPr>
          <w:trHeight w:val="588" w:hRule="exact"/>
        </w:trPr>
        <w:tc>
          <w:tcPr>
            <w:tcW w:w="3712" w:type="dxa"/>
            <w:tcBorders>
              <w:top w:val="single" w:sz="4" w:space="0" w:color="000000"/>
              <w:left w:val="nil" w:sz="6" w:space="0" w:color="auto"/>
              <w:bottom w:val="single" w:sz="12" w:space="0" w:color="000000"/>
              <w:right w:val="nil" w:sz="6" w:space="0" w:color="auto"/>
            </w:tcBorders>
          </w:tcPr>
          <w:p>
            <w:pPr>
              <w:pStyle w:val="TableParagraph"/>
              <w:spacing w:line="240" w:lineRule="auto" w:before="20"/>
              <w:ind w:left="57" w:right="49"/>
              <w:jc w:val="left"/>
              <w:rPr>
                <w:rFonts w:ascii="宋体" w:hAnsi="宋体" w:cs="宋体" w:eastAsia="宋体" w:hint="default"/>
                <w:sz w:val="18"/>
                <w:szCs w:val="18"/>
              </w:rPr>
            </w:pPr>
            <w:r>
              <w:rPr>
                <w:rFonts w:ascii="宋体" w:hAnsi="宋体" w:cs="宋体" w:eastAsia="宋体" w:hint="default"/>
                <w:spacing w:val="9"/>
                <w:sz w:val="18"/>
                <w:szCs w:val="18"/>
              </w:rPr>
              <w:t>单项金额重大并单项计提坏账准备的计提方 </w:t>
            </w:r>
            <w:r>
              <w:rPr>
                <w:rFonts w:ascii="宋体" w:hAnsi="宋体" w:cs="宋体" w:eastAsia="宋体" w:hint="default"/>
                <w:sz w:val="18"/>
                <w:szCs w:val="18"/>
              </w:rPr>
              <w:t>法</w:t>
            </w:r>
          </w:p>
        </w:tc>
        <w:tc>
          <w:tcPr>
            <w:tcW w:w="4910" w:type="dxa"/>
            <w:tcBorders>
              <w:top w:val="single" w:sz="4" w:space="0" w:color="000000"/>
              <w:left w:val="nil" w:sz="6" w:space="0" w:color="auto"/>
              <w:bottom w:val="single" w:sz="12" w:space="0" w:color="000000"/>
              <w:right w:val="nil" w:sz="6" w:space="0" w:color="auto"/>
            </w:tcBorders>
          </w:tcPr>
          <w:p>
            <w:pPr>
              <w:pStyle w:val="TableParagraph"/>
              <w:spacing w:line="240" w:lineRule="auto" w:before="20"/>
              <w:ind w:left="51" w:right="56"/>
              <w:jc w:val="left"/>
              <w:rPr>
                <w:rFonts w:ascii="宋体" w:hAnsi="宋体" w:cs="宋体" w:eastAsia="宋体" w:hint="default"/>
                <w:sz w:val="18"/>
                <w:szCs w:val="18"/>
              </w:rPr>
            </w:pPr>
            <w:r>
              <w:rPr>
                <w:rFonts w:ascii="宋体" w:hAnsi="宋体" w:cs="宋体" w:eastAsia="宋体" w:hint="default"/>
                <w:spacing w:val="-3"/>
                <w:sz w:val="18"/>
                <w:szCs w:val="18"/>
              </w:rPr>
              <w:t>根据其未来现金流量现值低于其账面价值的差额，计提坏账准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备</w:t>
            </w:r>
          </w:p>
        </w:tc>
      </w:tr>
    </w:tbl>
    <w:p>
      <w:pPr>
        <w:spacing w:line="348" w:lineRule="auto" w:before="21"/>
        <w:ind w:left="601" w:right="214" w:firstLine="14"/>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9"/>
          <w:sz w:val="22"/>
          <w:szCs w:val="22"/>
        </w:rPr>
        <w:t> </w:t>
      </w:r>
      <w:r>
        <w:rPr>
          <w:rFonts w:ascii="宋体" w:hAnsi="宋体" w:cs="宋体" w:eastAsia="宋体" w:hint="default"/>
          <w:sz w:val="22"/>
          <w:szCs w:val="22"/>
        </w:rPr>
        <w:t>按组合计提坏账准备的应收款项</w:t>
      </w:r>
      <w:r>
        <w:rPr>
          <w:rFonts w:ascii="宋体" w:hAnsi="宋体" w:cs="宋体" w:eastAsia="宋体" w:hint="default"/>
          <w:w w:val="100"/>
          <w:sz w:val="22"/>
          <w:szCs w:val="22"/>
        </w:rPr>
        <w:t> </w:t>
      </w:r>
      <w:r>
        <w:rPr>
          <w:rFonts w:ascii="宋体" w:hAnsi="宋体" w:cs="宋体" w:eastAsia="宋体" w:hint="default"/>
          <w:spacing w:val="-3"/>
          <w:sz w:val="22"/>
          <w:szCs w:val="22"/>
        </w:rPr>
        <w:t>对于单项金额非重大的应收款项，本公司将其与经单独测试后未减值的应收款项一起</w:t>
      </w:r>
    </w:p>
    <w:p>
      <w:pPr>
        <w:spacing w:line="256" w:lineRule="exact" w:before="0"/>
        <w:ind w:left="162" w:right="214" w:firstLine="0"/>
        <w:jc w:val="left"/>
        <w:rPr>
          <w:rFonts w:ascii="宋体" w:hAnsi="宋体" w:cs="宋体" w:eastAsia="宋体" w:hint="default"/>
          <w:sz w:val="22"/>
          <w:szCs w:val="22"/>
        </w:rPr>
      </w:pPr>
      <w:r>
        <w:rPr>
          <w:rFonts w:ascii="宋体" w:hAnsi="宋体" w:cs="宋体" w:eastAsia="宋体" w:hint="default"/>
          <w:spacing w:val="-3"/>
          <w:sz w:val="22"/>
          <w:szCs w:val="22"/>
        </w:rPr>
        <w:t>以应收款项的账龄、交易对象、款项性质等为信用风险特征划分组合，根据以前年度与之</w:t>
      </w:r>
    </w:p>
    <w:p>
      <w:pPr>
        <w:spacing w:before="69"/>
        <w:ind w:left="162" w:right="214" w:firstLine="0"/>
        <w:jc w:val="left"/>
        <w:rPr>
          <w:rFonts w:ascii="宋体" w:hAnsi="宋体" w:cs="宋体" w:eastAsia="宋体" w:hint="default"/>
          <w:sz w:val="22"/>
          <w:szCs w:val="22"/>
        </w:rPr>
      </w:pPr>
      <w:r>
        <w:rPr>
          <w:rFonts w:ascii="宋体" w:hAnsi="宋体" w:cs="宋体" w:eastAsia="宋体" w:hint="default"/>
          <w:spacing w:val="-3"/>
          <w:sz w:val="22"/>
          <w:szCs w:val="22"/>
        </w:rPr>
        <w:t>相同或相类似的、具有类似信用风险特征的应收账款组合的实际损失率为基础，结合现时</w:t>
      </w:r>
    </w:p>
    <w:p>
      <w:pPr>
        <w:spacing w:after="0"/>
        <w:jc w:val="left"/>
        <w:rPr>
          <w:rFonts w:ascii="宋体" w:hAnsi="宋体" w:cs="宋体" w:eastAsia="宋体" w:hint="default"/>
          <w:sz w:val="22"/>
          <w:szCs w:val="22"/>
        </w:rPr>
        <w:sectPr>
          <w:footerReference w:type="default" r:id="rId32"/>
          <w:pgSz w:w="11910" w:h="16840"/>
          <w:pgMar w:footer="1054" w:header="0" w:top="1360" w:bottom="1240" w:left="1540" w:right="1480"/>
          <w:pgNumType w:start="101"/>
        </w:sectPr>
      </w:pPr>
    </w:p>
    <w:p>
      <w:pPr>
        <w:spacing w:line="297" w:lineRule="auto" w:before="6"/>
        <w:ind w:left="222" w:right="0" w:firstLine="0"/>
        <w:jc w:val="left"/>
        <w:rPr>
          <w:rFonts w:ascii="宋体" w:hAnsi="宋体" w:cs="宋体" w:eastAsia="宋体" w:hint="default"/>
          <w:sz w:val="22"/>
          <w:szCs w:val="22"/>
        </w:rPr>
      </w:pPr>
      <w:r>
        <w:rPr>
          <w:rFonts w:ascii="宋体" w:hAnsi="宋体" w:cs="宋体" w:eastAsia="宋体" w:hint="default"/>
          <w:spacing w:val="-3"/>
          <w:sz w:val="22"/>
          <w:szCs w:val="22"/>
        </w:rPr>
        <w:t>情况确定本年度各项组合计提坏账准备的比例，据此计算本年度应计提的坏账准备。账龄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组合按账龄分析计提坏账准备，其他组合以其信用风险特征来确定。</w:t>
      </w:r>
    </w:p>
    <w:p>
      <w:pPr>
        <w:spacing w:before="77"/>
        <w:ind w:left="661" w:right="0" w:firstLine="0"/>
        <w:jc w:val="left"/>
        <w:rPr>
          <w:rFonts w:ascii="宋体" w:hAnsi="宋体" w:cs="宋体" w:eastAsia="宋体" w:hint="default"/>
          <w:sz w:val="22"/>
          <w:szCs w:val="22"/>
        </w:rPr>
      </w:pPr>
      <w:r>
        <w:rPr>
          <w:rFonts w:ascii="宋体" w:hAnsi="宋体" w:cs="宋体" w:eastAsia="宋体" w:hint="default"/>
          <w:sz w:val="22"/>
          <w:szCs w:val="22"/>
        </w:rPr>
        <w:t>应收款项按账龄划分组合的坏账准备计提比例如下：</w:t>
      </w:r>
    </w:p>
    <w:p>
      <w:pPr>
        <w:spacing w:line="240" w:lineRule="auto" w:before="11"/>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212"/>
        <w:gridCol w:w="3558"/>
        <w:gridCol w:w="2955"/>
      </w:tblGrid>
      <w:tr>
        <w:trPr>
          <w:trHeight w:val="305" w:hRule="exact"/>
        </w:trPr>
        <w:tc>
          <w:tcPr>
            <w:tcW w:w="2212"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558"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left="740" w:right="0"/>
              <w:jc w:val="center"/>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宋体" w:hAnsi="宋体" w:cs="宋体" w:eastAsia="宋体" w:hint="default"/>
                <w:sz w:val="18"/>
                <w:szCs w:val="18"/>
              </w:rPr>
            </w:r>
          </w:p>
        </w:tc>
        <w:tc>
          <w:tcPr>
            <w:tcW w:w="2955"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left="44" w:right="0"/>
              <w:jc w:val="center"/>
              <w:rPr>
                <w:rFonts w:ascii="宋体" w:hAnsi="宋体" w:cs="宋体" w:eastAsia="宋体" w:hint="default"/>
                <w:sz w:val="18"/>
                <w:szCs w:val="18"/>
              </w:rPr>
            </w:pPr>
            <w:r>
              <w:rPr>
                <w:rFonts w:ascii="宋体" w:hAnsi="宋体" w:cs="宋体" w:eastAsia="宋体" w:hint="default"/>
                <w:b/>
                <w:bCs/>
                <w:sz w:val="18"/>
                <w:szCs w:val="18"/>
              </w:rPr>
              <w:t>其他应收款计提比例</w:t>
            </w:r>
            <w:r>
              <w:rPr>
                <w:rFonts w:ascii="宋体" w:hAnsi="宋体" w:cs="宋体" w:eastAsia="宋体" w:hint="default"/>
                <w:sz w:val="18"/>
                <w:szCs w:val="18"/>
              </w:rPr>
            </w:r>
          </w:p>
        </w:tc>
      </w:tr>
      <w:tr>
        <w:trPr>
          <w:trHeight w:val="315" w:hRule="exact"/>
        </w:trPr>
        <w:tc>
          <w:tcPr>
            <w:tcW w:w="221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355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740" w:right="0"/>
              <w:jc w:val="center"/>
              <w:rPr>
                <w:rFonts w:ascii="宋体" w:hAnsi="宋体" w:cs="宋体" w:eastAsia="宋体" w:hint="default"/>
                <w:sz w:val="18"/>
                <w:szCs w:val="18"/>
              </w:rPr>
            </w:pPr>
            <w:r>
              <w:rPr>
                <w:rFonts w:ascii="宋体"/>
                <w:sz w:val="18"/>
              </w:rPr>
              <w:t>1%</w:t>
            </w:r>
          </w:p>
        </w:tc>
        <w:tc>
          <w:tcPr>
            <w:tcW w:w="295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46" w:right="0"/>
              <w:jc w:val="center"/>
              <w:rPr>
                <w:rFonts w:ascii="宋体" w:hAnsi="宋体" w:cs="宋体" w:eastAsia="宋体" w:hint="default"/>
                <w:sz w:val="18"/>
                <w:szCs w:val="18"/>
              </w:rPr>
            </w:pPr>
            <w:r>
              <w:rPr>
                <w:rFonts w:ascii="宋体"/>
                <w:sz w:val="18"/>
              </w:rPr>
              <w:t>1%</w:t>
            </w:r>
          </w:p>
        </w:tc>
      </w:tr>
      <w:tr>
        <w:trPr>
          <w:trHeight w:val="284"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558" w:type="dxa"/>
            <w:tcBorders>
              <w:top w:val="nil" w:sz="6" w:space="0" w:color="auto"/>
              <w:left w:val="nil" w:sz="6" w:space="0" w:color="auto"/>
              <w:bottom w:val="nil" w:sz="6" w:space="0" w:color="auto"/>
              <w:right w:val="nil" w:sz="6" w:space="0" w:color="auto"/>
            </w:tcBorders>
          </w:tcPr>
          <w:p>
            <w:pPr>
              <w:pStyle w:val="TableParagraph"/>
              <w:spacing w:line="232" w:lineRule="exact"/>
              <w:ind w:left="740" w:right="0"/>
              <w:jc w:val="center"/>
              <w:rPr>
                <w:rFonts w:ascii="宋体" w:hAnsi="宋体" w:cs="宋体" w:eastAsia="宋体" w:hint="default"/>
                <w:sz w:val="18"/>
                <w:szCs w:val="18"/>
              </w:rPr>
            </w:pPr>
            <w:r>
              <w:rPr>
                <w:rFonts w:ascii="宋体"/>
                <w:sz w:val="18"/>
              </w:rPr>
              <w:t>5%</w:t>
            </w:r>
          </w:p>
        </w:tc>
        <w:tc>
          <w:tcPr>
            <w:tcW w:w="2955" w:type="dxa"/>
            <w:tcBorders>
              <w:top w:val="nil" w:sz="6" w:space="0" w:color="auto"/>
              <w:left w:val="nil" w:sz="6" w:space="0" w:color="auto"/>
              <w:bottom w:val="nil" w:sz="6" w:space="0" w:color="auto"/>
              <w:right w:val="nil" w:sz="6" w:space="0" w:color="auto"/>
            </w:tcBorders>
          </w:tcPr>
          <w:p>
            <w:pPr>
              <w:pStyle w:val="TableParagraph"/>
              <w:spacing w:line="232" w:lineRule="exact"/>
              <w:ind w:left="46" w:right="0"/>
              <w:jc w:val="center"/>
              <w:rPr>
                <w:rFonts w:ascii="宋体" w:hAnsi="宋体" w:cs="宋体" w:eastAsia="宋体" w:hint="default"/>
                <w:sz w:val="18"/>
                <w:szCs w:val="18"/>
              </w:rPr>
            </w:pPr>
            <w:r>
              <w:rPr>
                <w:rFonts w:ascii="宋体"/>
                <w:sz w:val="18"/>
              </w:rPr>
              <w:t>5%</w:t>
            </w:r>
          </w:p>
        </w:tc>
      </w:tr>
      <w:tr>
        <w:trPr>
          <w:trHeight w:val="286"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558" w:type="dxa"/>
            <w:tcBorders>
              <w:top w:val="nil" w:sz="6" w:space="0" w:color="auto"/>
              <w:left w:val="nil" w:sz="6" w:space="0" w:color="auto"/>
              <w:bottom w:val="nil" w:sz="6" w:space="0" w:color="auto"/>
              <w:right w:val="nil" w:sz="6" w:space="0" w:color="auto"/>
            </w:tcBorders>
          </w:tcPr>
          <w:p>
            <w:pPr>
              <w:pStyle w:val="TableParagraph"/>
              <w:spacing w:line="233" w:lineRule="exact"/>
              <w:ind w:left="740" w:right="0"/>
              <w:jc w:val="center"/>
              <w:rPr>
                <w:rFonts w:ascii="宋体" w:hAnsi="宋体" w:cs="宋体" w:eastAsia="宋体" w:hint="default"/>
                <w:sz w:val="18"/>
                <w:szCs w:val="18"/>
              </w:rPr>
            </w:pPr>
            <w:r>
              <w:rPr>
                <w:rFonts w:ascii="宋体"/>
                <w:sz w:val="18"/>
              </w:rPr>
              <w:t>15%</w:t>
            </w:r>
          </w:p>
        </w:tc>
        <w:tc>
          <w:tcPr>
            <w:tcW w:w="2955" w:type="dxa"/>
            <w:tcBorders>
              <w:top w:val="nil" w:sz="6" w:space="0" w:color="auto"/>
              <w:left w:val="nil" w:sz="6" w:space="0" w:color="auto"/>
              <w:bottom w:val="nil" w:sz="6" w:space="0" w:color="auto"/>
              <w:right w:val="nil" w:sz="6" w:space="0" w:color="auto"/>
            </w:tcBorders>
          </w:tcPr>
          <w:p>
            <w:pPr>
              <w:pStyle w:val="TableParagraph"/>
              <w:spacing w:line="233" w:lineRule="exact"/>
              <w:ind w:left="46" w:right="0"/>
              <w:jc w:val="center"/>
              <w:rPr>
                <w:rFonts w:ascii="宋体" w:hAnsi="宋体" w:cs="宋体" w:eastAsia="宋体" w:hint="default"/>
                <w:sz w:val="18"/>
                <w:szCs w:val="18"/>
              </w:rPr>
            </w:pPr>
            <w:r>
              <w:rPr>
                <w:rFonts w:ascii="宋体"/>
                <w:sz w:val="18"/>
              </w:rPr>
              <w:t>15%</w:t>
            </w:r>
          </w:p>
        </w:tc>
      </w:tr>
      <w:tr>
        <w:trPr>
          <w:trHeight w:val="286"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558" w:type="dxa"/>
            <w:tcBorders>
              <w:top w:val="nil" w:sz="6" w:space="0" w:color="auto"/>
              <w:left w:val="nil" w:sz="6" w:space="0" w:color="auto"/>
              <w:bottom w:val="nil" w:sz="6" w:space="0" w:color="auto"/>
              <w:right w:val="nil" w:sz="6" w:space="0" w:color="auto"/>
            </w:tcBorders>
          </w:tcPr>
          <w:p>
            <w:pPr>
              <w:pStyle w:val="TableParagraph"/>
              <w:spacing w:line="233" w:lineRule="exact"/>
              <w:ind w:left="740" w:right="0"/>
              <w:jc w:val="center"/>
              <w:rPr>
                <w:rFonts w:ascii="宋体" w:hAnsi="宋体" w:cs="宋体" w:eastAsia="宋体" w:hint="default"/>
                <w:sz w:val="18"/>
                <w:szCs w:val="18"/>
              </w:rPr>
            </w:pPr>
            <w:r>
              <w:rPr>
                <w:rFonts w:ascii="宋体"/>
                <w:sz w:val="18"/>
              </w:rPr>
              <w:t>30%</w:t>
            </w:r>
          </w:p>
        </w:tc>
        <w:tc>
          <w:tcPr>
            <w:tcW w:w="2955" w:type="dxa"/>
            <w:tcBorders>
              <w:top w:val="nil" w:sz="6" w:space="0" w:color="auto"/>
              <w:left w:val="nil" w:sz="6" w:space="0" w:color="auto"/>
              <w:bottom w:val="nil" w:sz="6" w:space="0" w:color="auto"/>
              <w:right w:val="nil" w:sz="6" w:space="0" w:color="auto"/>
            </w:tcBorders>
          </w:tcPr>
          <w:p>
            <w:pPr>
              <w:pStyle w:val="TableParagraph"/>
              <w:spacing w:line="233" w:lineRule="exact"/>
              <w:ind w:left="46" w:right="0"/>
              <w:jc w:val="center"/>
              <w:rPr>
                <w:rFonts w:ascii="宋体" w:hAnsi="宋体" w:cs="宋体" w:eastAsia="宋体" w:hint="default"/>
                <w:sz w:val="18"/>
                <w:szCs w:val="18"/>
              </w:rPr>
            </w:pPr>
            <w:r>
              <w:rPr>
                <w:rFonts w:ascii="宋体"/>
                <w:sz w:val="18"/>
              </w:rPr>
              <w:t>30%</w:t>
            </w:r>
          </w:p>
        </w:tc>
      </w:tr>
      <w:tr>
        <w:trPr>
          <w:trHeight w:val="284"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558" w:type="dxa"/>
            <w:tcBorders>
              <w:top w:val="nil" w:sz="6" w:space="0" w:color="auto"/>
              <w:left w:val="nil" w:sz="6" w:space="0" w:color="auto"/>
              <w:bottom w:val="nil" w:sz="6" w:space="0" w:color="auto"/>
              <w:right w:val="nil" w:sz="6" w:space="0" w:color="auto"/>
            </w:tcBorders>
          </w:tcPr>
          <w:p>
            <w:pPr>
              <w:pStyle w:val="TableParagraph"/>
              <w:spacing w:line="233" w:lineRule="exact"/>
              <w:ind w:left="740" w:right="0"/>
              <w:jc w:val="center"/>
              <w:rPr>
                <w:rFonts w:ascii="宋体" w:hAnsi="宋体" w:cs="宋体" w:eastAsia="宋体" w:hint="default"/>
                <w:sz w:val="18"/>
                <w:szCs w:val="18"/>
              </w:rPr>
            </w:pPr>
            <w:r>
              <w:rPr>
                <w:rFonts w:ascii="宋体"/>
                <w:sz w:val="18"/>
              </w:rPr>
              <w:t>50%</w:t>
            </w:r>
          </w:p>
        </w:tc>
        <w:tc>
          <w:tcPr>
            <w:tcW w:w="2955" w:type="dxa"/>
            <w:tcBorders>
              <w:top w:val="nil" w:sz="6" w:space="0" w:color="auto"/>
              <w:left w:val="nil" w:sz="6" w:space="0" w:color="auto"/>
              <w:bottom w:val="nil" w:sz="6" w:space="0" w:color="auto"/>
              <w:right w:val="nil" w:sz="6" w:space="0" w:color="auto"/>
            </w:tcBorders>
          </w:tcPr>
          <w:p>
            <w:pPr>
              <w:pStyle w:val="TableParagraph"/>
              <w:spacing w:line="233" w:lineRule="exact"/>
              <w:ind w:left="46" w:right="0"/>
              <w:jc w:val="center"/>
              <w:rPr>
                <w:rFonts w:ascii="宋体" w:hAnsi="宋体" w:cs="宋体" w:eastAsia="宋体" w:hint="default"/>
                <w:sz w:val="18"/>
                <w:szCs w:val="18"/>
              </w:rPr>
            </w:pPr>
            <w:r>
              <w:rPr>
                <w:rFonts w:ascii="宋体"/>
                <w:sz w:val="18"/>
              </w:rPr>
              <w:t>50%</w:t>
            </w:r>
          </w:p>
        </w:tc>
      </w:tr>
      <w:tr>
        <w:trPr>
          <w:trHeight w:val="276" w:hRule="exact"/>
        </w:trPr>
        <w:tc>
          <w:tcPr>
            <w:tcW w:w="2212" w:type="dxa"/>
            <w:tcBorders>
              <w:top w:val="nil" w:sz="6" w:space="0" w:color="auto"/>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558" w:type="dxa"/>
            <w:tcBorders>
              <w:top w:val="nil" w:sz="6" w:space="0" w:color="auto"/>
              <w:left w:val="nil" w:sz="6" w:space="0" w:color="auto"/>
              <w:bottom w:val="single" w:sz="12" w:space="0" w:color="000000"/>
              <w:right w:val="nil" w:sz="6" w:space="0" w:color="auto"/>
            </w:tcBorders>
          </w:tcPr>
          <w:p>
            <w:pPr>
              <w:pStyle w:val="TableParagraph"/>
              <w:spacing w:line="232" w:lineRule="exact"/>
              <w:ind w:left="741" w:right="0"/>
              <w:jc w:val="center"/>
              <w:rPr>
                <w:rFonts w:ascii="宋体" w:hAnsi="宋体" w:cs="宋体" w:eastAsia="宋体" w:hint="default"/>
                <w:sz w:val="18"/>
                <w:szCs w:val="18"/>
              </w:rPr>
            </w:pPr>
            <w:r>
              <w:rPr>
                <w:rFonts w:ascii="宋体"/>
                <w:sz w:val="18"/>
              </w:rPr>
              <w:t>100%</w:t>
            </w:r>
          </w:p>
        </w:tc>
        <w:tc>
          <w:tcPr>
            <w:tcW w:w="2955" w:type="dxa"/>
            <w:tcBorders>
              <w:top w:val="nil" w:sz="6" w:space="0" w:color="auto"/>
              <w:left w:val="nil" w:sz="6" w:space="0" w:color="auto"/>
              <w:bottom w:val="single" w:sz="12" w:space="0" w:color="000000"/>
              <w:right w:val="nil" w:sz="6" w:space="0" w:color="auto"/>
            </w:tcBorders>
          </w:tcPr>
          <w:p>
            <w:pPr>
              <w:pStyle w:val="TableParagraph"/>
              <w:spacing w:line="232" w:lineRule="exact"/>
              <w:ind w:left="47" w:right="0"/>
              <w:jc w:val="center"/>
              <w:rPr>
                <w:rFonts w:ascii="宋体" w:hAnsi="宋体" w:cs="宋体" w:eastAsia="宋体" w:hint="default"/>
                <w:sz w:val="18"/>
                <w:szCs w:val="18"/>
              </w:rPr>
            </w:pPr>
            <w:r>
              <w:rPr>
                <w:rFonts w:ascii="宋体"/>
                <w:sz w:val="18"/>
              </w:rPr>
              <w:t>100%</w:t>
            </w:r>
          </w:p>
        </w:tc>
      </w:tr>
    </w:tbl>
    <w:p>
      <w:pPr>
        <w:spacing w:before="21"/>
        <w:ind w:left="675"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6"/>
          <w:sz w:val="22"/>
          <w:szCs w:val="22"/>
        </w:rPr>
        <w:t> </w:t>
      </w:r>
      <w:r>
        <w:rPr>
          <w:rFonts w:ascii="宋体" w:hAnsi="宋体" w:cs="宋体" w:eastAsia="宋体" w:hint="default"/>
          <w:sz w:val="22"/>
          <w:szCs w:val="22"/>
        </w:rPr>
        <w:t>单项金额虽不重大但单项计提坏账准备的应收款项</w:t>
      </w:r>
    </w:p>
    <w:p>
      <w:pPr>
        <w:spacing w:line="240" w:lineRule="auto" w:before="11"/>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229"/>
        <w:gridCol w:w="6497"/>
      </w:tblGrid>
      <w:tr>
        <w:trPr>
          <w:trHeight w:val="586" w:hRule="exact"/>
        </w:trPr>
        <w:tc>
          <w:tcPr>
            <w:tcW w:w="2229" w:type="dxa"/>
            <w:tcBorders>
              <w:top w:val="single" w:sz="12" w:space="0" w:color="000000"/>
              <w:left w:val="nil" w:sz="6" w:space="0" w:color="auto"/>
              <w:bottom w:val="single" w:sz="4" w:space="0" w:color="000000"/>
              <w:right w:val="nil" w:sz="6" w:space="0" w:color="auto"/>
            </w:tcBorders>
          </w:tcPr>
          <w:p>
            <w:pPr>
              <w:pStyle w:val="TableParagraph"/>
              <w:spacing w:line="240" w:lineRule="auto" w:before="138"/>
              <w:ind w:left="108"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497" w:type="dxa"/>
            <w:tcBorders>
              <w:top w:val="single" w:sz="12" w:space="0" w:color="000000"/>
              <w:left w:val="nil" w:sz="6" w:space="0" w:color="auto"/>
              <w:bottom w:val="single" w:sz="4" w:space="0" w:color="000000"/>
              <w:right w:val="nil" w:sz="6" w:space="0" w:color="auto"/>
            </w:tcBorders>
          </w:tcPr>
          <w:p>
            <w:pPr>
              <w:pStyle w:val="TableParagraph"/>
              <w:spacing w:line="240" w:lineRule="auto" w:before="138"/>
              <w:ind w:left="140" w:right="0"/>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单项金额不重大且按照组合计提坏账准备不能反映其风险特征的应收款项</w:t>
            </w:r>
          </w:p>
        </w:tc>
      </w:tr>
      <w:tr>
        <w:trPr>
          <w:trHeight w:val="588" w:hRule="exact"/>
        </w:trPr>
        <w:tc>
          <w:tcPr>
            <w:tcW w:w="2229" w:type="dxa"/>
            <w:tcBorders>
              <w:top w:val="single" w:sz="4" w:space="0" w:color="000000"/>
              <w:left w:val="nil" w:sz="6" w:space="0" w:color="auto"/>
              <w:bottom w:val="single" w:sz="12"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497" w:type="dxa"/>
            <w:tcBorders>
              <w:top w:val="single" w:sz="4" w:space="0" w:color="000000"/>
              <w:left w:val="nil" w:sz="6" w:space="0" w:color="auto"/>
              <w:bottom w:val="single" w:sz="12" w:space="0" w:color="000000"/>
              <w:right w:val="nil" w:sz="6" w:space="0" w:color="auto"/>
            </w:tcBorders>
          </w:tcPr>
          <w:p>
            <w:pPr>
              <w:pStyle w:val="TableParagraph"/>
              <w:spacing w:line="240" w:lineRule="auto" w:before="137"/>
              <w:ind w:left="140"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88" w:lineRule="auto" w:before="21"/>
        <w:ind w:left="661" w:right="0" w:firstLine="14"/>
        <w:jc w:val="left"/>
        <w:rPr>
          <w:rFonts w:ascii="宋体" w:hAnsi="宋体" w:cs="宋体" w:eastAsia="宋体" w:hint="default"/>
          <w:sz w:val="22"/>
          <w:szCs w:val="22"/>
        </w:rPr>
      </w:pPr>
      <w:r>
        <w:rPr>
          <w:rFonts w:ascii="宋体" w:hAnsi="宋体" w:cs="宋体" w:eastAsia="宋体" w:hint="default"/>
          <w:b/>
          <w:bCs/>
          <w:sz w:val="22"/>
          <w:szCs w:val="22"/>
        </w:rPr>
        <w:t>12.</w:t>
      </w:r>
      <w:r>
        <w:rPr>
          <w:rFonts w:ascii="宋体" w:hAnsi="宋体" w:cs="宋体" w:eastAsia="宋体" w:hint="default"/>
          <w:b/>
          <w:bCs/>
          <w:spacing w:val="9"/>
          <w:sz w:val="22"/>
          <w:szCs w:val="22"/>
        </w:rPr>
        <w:t> </w:t>
      </w:r>
      <w:r>
        <w:rPr>
          <w:rFonts w:ascii="宋体" w:hAnsi="宋体" w:cs="宋体" w:eastAsia="宋体" w:hint="default"/>
          <w:sz w:val="22"/>
          <w:szCs w:val="22"/>
        </w:rPr>
        <w:t>存货</w:t>
      </w:r>
      <w:r>
        <w:rPr>
          <w:rFonts w:ascii="宋体" w:hAnsi="宋体" w:cs="宋体" w:eastAsia="宋体" w:hint="default"/>
          <w:w w:val="100"/>
          <w:sz w:val="22"/>
          <w:szCs w:val="22"/>
        </w:rPr>
        <w:t> </w:t>
      </w:r>
      <w:r>
        <w:rPr>
          <w:rFonts w:ascii="宋体" w:hAnsi="宋体" w:cs="宋体" w:eastAsia="宋体" w:hint="default"/>
          <w:spacing w:val="-3"/>
          <w:sz w:val="22"/>
          <w:szCs w:val="22"/>
        </w:rPr>
        <w:t>本公司存货主要包括在途物资、原材料、低值易耗品、包装物、委托加工物资、在产</w:t>
      </w:r>
    </w:p>
    <w:p>
      <w:pPr>
        <w:spacing w:line="295" w:lineRule="auto" w:before="25"/>
        <w:ind w:left="222" w:right="0" w:firstLine="0"/>
        <w:jc w:val="left"/>
        <w:rPr>
          <w:rFonts w:ascii="宋体" w:hAnsi="宋体" w:cs="宋体" w:eastAsia="宋体" w:hint="default"/>
          <w:sz w:val="22"/>
          <w:szCs w:val="22"/>
        </w:rPr>
      </w:pPr>
      <w:r>
        <w:rPr>
          <w:rFonts w:ascii="宋体" w:hAnsi="宋体" w:cs="宋体" w:eastAsia="宋体" w:hint="default"/>
          <w:spacing w:val="-3"/>
          <w:sz w:val="22"/>
          <w:szCs w:val="22"/>
        </w:rPr>
        <w:t>品、产成品、库存商品、委托代销商品、发出商品和工程施工等，按成本与可变现净值孰</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低列示。</w:t>
      </w:r>
    </w:p>
    <w:p>
      <w:pPr>
        <w:spacing w:line="297" w:lineRule="auto" w:before="79"/>
        <w:ind w:left="222" w:right="334" w:firstLine="439"/>
        <w:jc w:val="both"/>
        <w:rPr>
          <w:rFonts w:ascii="宋体" w:hAnsi="宋体" w:cs="宋体" w:eastAsia="宋体" w:hint="default"/>
          <w:sz w:val="22"/>
          <w:szCs w:val="22"/>
        </w:rPr>
      </w:pPr>
      <w:r>
        <w:rPr>
          <w:rFonts w:ascii="宋体" w:hAnsi="宋体" w:cs="宋体" w:eastAsia="宋体" w:hint="default"/>
          <w:spacing w:val="-9"/>
          <w:w w:val="100"/>
          <w:sz w:val="22"/>
          <w:szCs w:val="22"/>
        </w:rPr>
        <w:t>存货取得和发出的计价方法：公司存货在取得时，按实际成本入账，实行永续盘存制。</w:t>
      </w:r>
      <w:r>
        <w:rPr>
          <w:rFonts w:ascii="宋体" w:hAnsi="宋体" w:cs="宋体" w:eastAsia="宋体" w:hint="default"/>
          <w:w w:val="100"/>
          <w:sz w:val="22"/>
          <w:szCs w:val="22"/>
        </w:rPr>
        <w:t> </w:t>
      </w:r>
      <w:r>
        <w:rPr>
          <w:rFonts w:ascii="宋体" w:hAnsi="宋体" w:cs="宋体" w:eastAsia="宋体" w:hint="default"/>
          <w:spacing w:val="-3"/>
          <w:sz w:val="22"/>
          <w:szCs w:val="22"/>
        </w:rPr>
        <w:t>领用和发出时，包装物、低值易耗品采用一次摊销法，其他各类存货采用加权平均法确定</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其实际成本。</w:t>
      </w:r>
    </w:p>
    <w:p>
      <w:pPr>
        <w:spacing w:line="297" w:lineRule="auto" w:before="77"/>
        <w:ind w:left="222" w:right="336" w:firstLine="439"/>
        <w:jc w:val="both"/>
        <w:rPr>
          <w:rFonts w:ascii="宋体" w:hAnsi="宋体" w:cs="宋体" w:eastAsia="宋体" w:hint="default"/>
          <w:sz w:val="22"/>
          <w:szCs w:val="22"/>
        </w:rPr>
      </w:pPr>
      <w:r>
        <w:rPr>
          <w:rFonts w:ascii="宋体" w:hAnsi="宋体" w:cs="宋体" w:eastAsia="宋体" w:hint="default"/>
          <w:spacing w:val="-3"/>
          <w:sz w:val="22"/>
          <w:szCs w:val="22"/>
        </w:rPr>
        <w:t>生产成本的归集和结转方法：公司主要经营业务大致划分为生产销售各类高新技术和</w:t>
      </w:r>
      <w:r>
        <w:rPr>
          <w:rFonts w:ascii="宋体" w:hAnsi="宋体" w:cs="宋体" w:eastAsia="宋体" w:hint="default"/>
          <w:w w:val="100"/>
          <w:sz w:val="22"/>
          <w:szCs w:val="22"/>
        </w:rPr>
        <w:t> </w:t>
      </w:r>
      <w:r>
        <w:rPr>
          <w:rFonts w:ascii="宋体" w:hAnsi="宋体" w:cs="宋体" w:eastAsia="宋体" w:hint="default"/>
          <w:spacing w:val="-3"/>
          <w:sz w:val="22"/>
          <w:szCs w:val="22"/>
        </w:rPr>
        <w:t>消费电子产品，承接各种信息网络、人工环境、能源环保、机电工程项目，以及提供相关</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3"/>
          <w:sz w:val="22"/>
          <w:szCs w:val="22"/>
        </w:rPr>
        <w:t>技术支持和咨询服务，其中，各种高新技术产品按照工业企业成本核算流程进行成本的归</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集和分配；各项工程区别工程直接与间接费用进行成本的归集和分配。</w:t>
      </w:r>
    </w:p>
    <w:p>
      <w:pPr>
        <w:spacing w:line="297" w:lineRule="auto" w:before="74"/>
        <w:ind w:left="222" w:right="337" w:firstLine="439"/>
        <w:jc w:val="both"/>
        <w:rPr>
          <w:rFonts w:ascii="宋体" w:hAnsi="宋体" w:cs="宋体" w:eastAsia="宋体" w:hint="default"/>
          <w:sz w:val="22"/>
          <w:szCs w:val="22"/>
        </w:rPr>
      </w:pPr>
      <w:r>
        <w:rPr>
          <w:rFonts w:ascii="宋体" w:hAnsi="宋体" w:cs="宋体" w:eastAsia="宋体" w:hint="default"/>
          <w:spacing w:val="-3"/>
          <w:sz w:val="22"/>
          <w:szCs w:val="22"/>
        </w:rPr>
        <w:t>年末存货计价原则及存货跌价准备确认标准和计提方法：年末存货按成本与可变现净</w:t>
      </w:r>
      <w:r>
        <w:rPr>
          <w:rFonts w:ascii="宋体" w:hAnsi="宋体" w:cs="宋体" w:eastAsia="宋体" w:hint="default"/>
          <w:w w:val="100"/>
          <w:sz w:val="22"/>
          <w:szCs w:val="22"/>
        </w:rPr>
        <w:t> </w:t>
      </w:r>
      <w:r>
        <w:rPr>
          <w:rFonts w:ascii="宋体" w:hAnsi="宋体" w:cs="宋体" w:eastAsia="宋体" w:hint="default"/>
          <w:spacing w:val="-3"/>
          <w:sz w:val="22"/>
          <w:szCs w:val="22"/>
        </w:rPr>
        <w:t>值孰低原则计价；年末，在对存货进行全面盘点的基础上，对于存货因遭受毁损、全部或</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部分陈旧过时或销售价格低于成本等原因，预计其成本不可收回的部分，提取存货跌价准</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备。产成品及大宗原材料的存货跌价准备按单个存货项目的成本高于其可变现净值的差额</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提取；其他数量繁多、单价较低的原辅材料按类别提取存货跌价准备。</w:t>
      </w:r>
    </w:p>
    <w:p>
      <w:pPr>
        <w:spacing w:line="297" w:lineRule="auto" w:before="74"/>
        <w:ind w:left="222" w:right="0" w:firstLine="439"/>
        <w:jc w:val="left"/>
        <w:rPr>
          <w:rFonts w:ascii="宋体" w:hAnsi="宋体" w:cs="宋体" w:eastAsia="宋体" w:hint="default"/>
          <w:sz w:val="22"/>
          <w:szCs w:val="22"/>
        </w:rPr>
      </w:pPr>
      <w:r>
        <w:rPr>
          <w:rFonts w:ascii="宋体" w:hAnsi="宋体" w:cs="宋体" w:eastAsia="宋体" w:hint="default"/>
          <w:spacing w:val="-3"/>
          <w:sz w:val="22"/>
          <w:szCs w:val="22"/>
        </w:rPr>
        <w:t>存货可变现净值确定方法：库存商品、在产品和用于出售的材料等直接用于出售的商</w:t>
      </w:r>
      <w:r>
        <w:rPr>
          <w:rFonts w:ascii="宋体" w:hAnsi="宋体" w:cs="宋体" w:eastAsia="宋体" w:hint="default"/>
          <w:w w:val="100"/>
          <w:sz w:val="22"/>
          <w:szCs w:val="22"/>
        </w:rPr>
        <w:t> </w:t>
      </w:r>
      <w:r>
        <w:rPr>
          <w:rFonts w:ascii="宋体" w:hAnsi="宋体" w:cs="宋体" w:eastAsia="宋体" w:hint="default"/>
          <w:spacing w:val="-3"/>
          <w:sz w:val="22"/>
          <w:szCs w:val="22"/>
        </w:rPr>
        <w:t>品存货，其可变现净值按该存货的估计售价减去估计的销售费用和相关税费后的金额确定；</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pacing w:val="-3"/>
          <w:sz w:val="22"/>
          <w:szCs w:val="22"/>
        </w:rPr>
        <w:t>用于生产而持有的材料存货，其可变现净值按所生产的产成品的估计售价减去至完工时估</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计将要发生的成本、估计的销售费用和相关税费后的金额确定；为执行销售合同或者劳务</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合同而持有的存货，其可变现净值以合同价格为基础计算；公司持有存货的数量多于销售</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合同订购数量的，超出部分的存货可变现净值以一般销售价格为基础计算。</w:t>
      </w:r>
    </w:p>
    <w:p>
      <w:pPr>
        <w:spacing w:line="288" w:lineRule="auto" w:before="77"/>
        <w:ind w:left="661" w:right="0" w:firstLine="14"/>
        <w:jc w:val="left"/>
        <w:rPr>
          <w:rFonts w:ascii="宋体" w:hAnsi="宋体" w:cs="宋体" w:eastAsia="宋体" w:hint="default"/>
          <w:sz w:val="22"/>
          <w:szCs w:val="22"/>
        </w:rPr>
      </w:pPr>
      <w:r>
        <w:rPr>
          <w:rFonts w:ascii="宋体" w:hAnsi="宋体" w:cs="宋体" w:eastAsia="宋体" w:hint="default"/>
          <w:b/>
          <w:bCs/>
          <w:sz w:val="22"/>
          <w:szCs w:val="22"/>
        </w:rPr>
        <w:t>13.</w:t>
      </w:r>
      <w:r>
        <w:rPr>
          <w:rFonts w:ascii="宋体" w:hAnsi="宋体" w:cs="宋体" w:eastAsia="宋体" w:hint="default"/>
          <w:b/>
          <w:bCs/>
          <w:spacing w:val="9"/>
          <w:sz w:val="22"/>
          <w:szCs w:val="22"/>
        </w:rPr>
        <w:t> </w:t>
      </w:r>
      <w:r>
        <w:rPr>
          <w:rFonts w:ascii="宋体" w:hAnsi="宋体" w:cs="宋体" w:eastAsia="宋体" w:hint="default"/>
          <w:sz w:val="22"/>
          <w:szCs w:val="22"/>
        </w:rPr>
        <w:t>长期股权投资</w:t>
      </w:r>
      <w:r>
        <w:rPr>
          <w:rFonts w:ascii="宋体" w:hAnsi="宋体" w:cs="宋体" w:eastAsia="宋体" w:hint="default"/>
          <w:w w:val="100"/>
          <w:sz w:val="22"/>
          <w:szCs w:val="22"/>
        </w:rPr>
        <w:t> </w:t>
      </w:r>
      <w:r>
        <w:rPr>
          <w:rFonts w:ascii="宋体" w:hAnsi="宋体" w:cs="宋体" w:eastAsia="宋体" w:hint="default"/>
          <w:spacing w:val="-3"/>
          <w:sz w:val="22"/>
          <w:szCs w:val="22"/>
        </w:rPr>
        <w:t>本公司长期股权投资主要是对子公司的投资、对联营企业的投资和对合营企业的投资。</w:t>
      </w:r>
    </w:p>
    <w:p>
      <w:pPr>
        <w:spacing w:after="0" w:line="288" w:lineRule="auto"/>
        <w:jc w:val="left"/>
        <w:rPr>
          <w:rFonts w:ascii="宋体" w:hAnsi="宋体" w:cs="宋体" w:eastAsia="宋体" w:hint="default"/>
          <w:sz w:val="22"/>
          <w:szCs w:val="22"/>
        </w:rPr>
        <w:sectPr>
          <w:pgSz w:w="11910" w:h="16840"/>
          <w:pgMar w:header="0" w:footer="1054" w:top="1360" w:bottom="1240" w:left="1480" w:right="1360"/>
        </w:sectPr>
      </w:pPr>
    </w:p>
    <w:p>
      <w:pPr>
        <w:spacing w:line="297" w:lineRule="auto" w:before="6"/>
        <w:ind w:left="102" w:right="217" w:firstLine="439"/>
        <w:jc w:val="both"/>
        <w:rPr>
          <w:rFonts w:ascii="宋体" w:hAnsi="宋体" w:cs="宋体" w:eastAsia="宋体" w:hint="default"/>
          <w:sz w:val="22"/>
          <w:szCs w:val="22"/>
        </w:rPr>
      </w:pPr>
      <w:r>
        <w:rPr>
          <w:rFonts w:ascii="宋体" w:hAnsi="宋体" w:cs="宋体" w:eastAsia="宋体" w:hint="default"/>
          <w:spacing w:val="-3"/>
          <w:sz w:val="22"/>
          <w:szCs w:val="22"/>
        </w:rPr>
        <w:t>本公司对共同控制的判断依据是所有参与方或参与方组合集体控制该安排，并且该安</w:t>
      </w:r>
      <w:r>
        <w:rPr>
          <w:rFonts w:ascii="宋体" w:hAnsi="宋体" w:cs="宋体" w:eastAsia="宋体" w:hint="default"/>
          <w:w w:val="100"/>
          <w:sz w:val="22"/>
          <w:szCs w:val="22"/>
        </w:rPr>
        <w:t> </w:t>
      </w:r>
      <w:r>
        <w:rPr>
          <w:rFonts w:ascii="宋体" w:hAnsi="宋体" w:cs="宋体" w:eastAsia="宋体" w:hint="default"/>
          <w:sz w:val="22"/>
          <w:szCs w:val="22"/>
        </w:rPr>
        <w:t>排相关活动的政策必须经过这些集体控制该安排的参与方一致同意。</w:t>
      </w:r>
    </w:p>
    <w:p>
      <w:pPr>
        <w:spacing w:line="297" w:lineRule="auto" w:before="77"/>
        <w:ind w:left="102" w:right="213" w:firstLine="439"/>
        <w:jc w:val="both"/>
        <w:rPr>
          <w:rFonts w:ascii="宋体" w:hAnsi="宋体" w:cs="宋体" w:eastAsia="宋体" w:hint="default"/>
          <w:sz w:val="22"/>
          <w:szCs w:val="22"/>
        </w:rPr>
      </w:pPr>
      <w:r>
        <w:rPr>
          <w:rFonts w:ascii="宋体" w:hAnsi="宋体" w:cs="宋体" w:eastAsia="宋体" w:hint="default"/>
          <w:spacing w:val="-1"/>
          <w:w w:val="100"/>
          <w:sz w:val="22"/>
          <w:szCs w:val="22"/>
        </w:rPr>
        <w:t>本公司直接或通过子公司间接拥有被投资单位</w:t>
      </w:r>
      <w:r>
        <w:rPr>
          <w:rFonts w:ascii="宋体" w:hAnsi="宋体" w:cs="宋体" w:eastAsia="宋体" w:hint="default"/>
          <w:spacing w:val="-51"/>
          <w:w w:val="100"/>
          <w:sz w:val="22"/>
          <w:szCs w:val="22"/>
        </w:rPr>
        <w:t> </w:t>
      </w:r>
      <w:r>
        <w:rPr>
          <w:rFonts w:ascii="宋体" w:hAnsi="宋体" w:cs="宋体" w:eastAsia="宋体" w:hint="default"/>
          <w:spacing w:val="-18"/>
          <w:w w:val="100"/>
          <w:sz w:val="22"/>
          <w:szCs w:val="22"/>
        </w:rPr>
        <w:t>20%</w:t>
      </w:r>
      <w:r>
        <w:rPr>
          <w:rFonts w:ascii="宋体" w:hAnsi="宋体" w:cs="宋体" w:eastAsia="宋体" w:hint="default"/>
          <w:spacing w:val="-18"/>
          <w:w w:val="100"/>
          <w:sz w:val="22"/>
          <w:szCs w:val="22"/>
        </w:rPr>
        <w:t>（含）以上但低于</w:t>
      </w:r>
      <w:r>
        <w:rPr>
          <w:rFonts w:ascii="宋体" w:hAnsi="宋体" w:cs="宋体" w:eastAsia="宋体" w:hint="default"/>
          <w:spacing w:val="-52"/>
          <w:w w:val="100"/>
          <w:sz w:val="22"/>
          <w:szCs w:val="22"/>
        </w:rPr>
        <w:t> </w:t>
      </w:r>
      <w:r>
        <w:rPr>
          <w:rFonts w:ascii="宋体" w:hAnsi="宋体" w:cs="宋体" w:eastAsia="宋体" w:hint="default"/>
          <w:spacing w:val="-1"/>
          <w:w w:val="100"/>
          <w:sz w:val="22"/>
          <w:szCs w:val="22"/>
        </w:rPr>
        <w:t>50%</w:t>
      </w:r>
      <w:r>
        <w:rPr>
          <w:rFonts w:ascii="宋体" w:hAnsi="宋体" w:cs="宋体" w:eastAsia="宋体" w:hint="default"/>
          <w:spacing w:val="-1"/>
          <w:w w:val="100"/>
          <w:sz w:val="22"/>
          <w:szCs w:val="22"/>
        </w:rPr>
        <w:t>的表决权时，</w:t>
      </w:r>
      <w:r>
        <w:rPr>
          <w:rFonts w:ascii="宋体" w:hAnsi="宋体" w:cs="宋体" w:eastAsia="宋体" w:hint="default"/>
          <w:w w:val="100"/>
          <w:sz w:val="22"/>
          <w:szCs w:val="22"/>
        </w:rPr>
        <w:t> </w:t>
      </w:r>
      <w:r>
        <w:rPr>
          <w:rFonts w:ascii="宋体" w:hAnsi="宋体" w:cs="宋体" w:eastAsia="宋体" w:hint="default"/>
          <w:spacing w:val="-2"/>
          <w:sz w:val="22"/>
          <w:szCs w:val="22"/>
        </w:rPr>
        <w:t>通常认为对被投资单位具有重大影响。持有被投资单位</w:t>
      </w:r>
      <w:r>
        <w:rPr>
          <w:rFonts w:ascii="宋体" w:hAnsi="宋体" w:cs="宋体" w:eastAsia="宋体" w:hint="default"/>
          <w:sz w:val="22"/>
          <w:szCs w:val="22"/>
        </w:rPr>
        <w:t> </w:t>
      </w:r>
      <w:r>
        <w:rPr>
          <w:rFonts w:ascii="宋体" w:hAnsi="宋体" w:cs="宋体" w:eastAsia="宋体" w:hint="default"/>
          <w:spacing w:val="-2"/>
          <w:sz w:val="22"/>
          <w:szCs w:val="22"/>
        </w:rPr>
        <w:t>20%</w:t>
      </w:r>
      <w:r>
        <w:rPr>
          <w:rFonts w:ascii="宋体" w:hAnsi="宋体" w:cs="宋体" w:eastAsia="宋体" w:hint="default"/>
          <w:spacing w:val="-2"/>
          <w:sz w:val="22"/>
          <w:szCs w:val="22"/>
        </w:rPr>
        <w:t>以下表决权的，还需要综合考</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pacing w:val="-3"/>
          <w:sz w:val="22"/>
          <w:szCs w:val="22"/>
        </w:rPr>
        <w:t>虑在被投资单位的董事会或类似权力机构中派有代表、或参与被投资单位财务和经营政策</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制定过程、或与被投资单位之间发生重要交易、或向被投资单位派出管理人员、或向被投</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资单位提供关键技术资料等事实和情况判断对被投资单位具有重大影响。</w:t>
      </w:r>
    </w:p>
    <w:p>
      <w:pPr>
        <w:spacing w:line="297" w:lineRule="auto" w:before="77"/>
        <w:ind w:left="102" w:right="215" w:firstLine="439"/>
        <w:jc w:val="both"/>
        <w:rPr>
          <w:rFonts w:ascii="宋体" w:hAnsi="宋体" w:cs="宋体" w:eastAsia="宋体" w:hint="default"/>
          <w:sz w:val="22"/>
          <w:szCs w:val="22"/>
        </w:rPr>
      </w:pPr>
      <w:r>
        <w:rPr>
          <w:rFonts w:ascii="宋体" w:hAnsi="宋体" w:cs="宋体" w:eastAsia="宋体" w:hint="default"/>
          <w:spacing w:val="-3"/>
          <w:sz w:val="22"/>
          <w:szCs w:val="22"/>
        </w:rPr>
        <w:t>对被投资单位形成控制的，为本公司的子公司。通过同一控制下的企业合并取得的长</w:t>
      </w:r>
      <w:r>
        <w:rPr>
          <w:rFonts w:ascii="宋体" w:hAnsi="宋体" w:cs="宋体" w:eastAsia="宋体" w:hint="default"/>
          <w:w w:val="100"/>
          <w:sz w:val="22"/>
          <w:szCs w:val="22"/>
        </w:rPr>
        <w:t> </w:t>
      </w:r>
      <w:r>
        <w:rPr>
          <w:rFonts w:ascii="宋体" w:hAnsi="宋体" w:cs="宋体" w:eastAsia="宋体" w:hint="default"/>
          <w:spacing w:val="-3"/>
          <w:sz w:val="22"/>
          <w:szCs w:val="22"/>
        </w:rPr>
        <w:t>期股权投资，在合并日按照取得被合并方在最终控制方合并报表中净资产的账面价值的份</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3"/>
          <w:sz w:val="22"/>
          <w:szCs w:val="22"/>
        </w:rPr>
        <w:t>额作为长期股权投资的初始投资成本。被合并方在合并日的净资产账面价值为负数的，长</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期股权投资成本按零确定。</w:t>
      </w:r>
    </w:p>
    <w:p>
      <w:pPr>
        <w:spacing w:line="297" w:lineRule="auto" w:before="75"/>
        <w:ind w:left="102" w:right="105" w:firstLine="439"/>
        <w:jc w:val="left"/>
        <w:rPr>
          <w:rFonts w:ascii="宋体" w:hAnsi="宋体" w:cs="宋体" w:eastAsia="宋体" w:hint="default"/>
          <w:sz w:val="22"/>
          <w:szCs w:val="22"/>
        </w:rPr>
      </w:pPr>
      <w:r>
        <w:rPr>
          <w:rFonts w:ascii="宋体" w:hAnsi="宋体" w:cs="宋体" w:eastAsia="宋体" w:hint="default"/>
          <w:spacing w:val="-3"/>
          <w:sz w:val="22"/>
          <w:szCs w:val="22"/>
        </w:rPr>
        <w:t>通过多次交易分步取得同一控制下被投资单位的股权，最终形成企业合并，属于一揽</w:t>
      </w:r>
      <w:r>
        <w:rPr>
          <w:rFonts w:ascii="宋体" w:hAnsi="宋体" w:cs="宋体" w:eastAsia="宋体" w:hint="default"/>
          <w:w w:val="100"/>
          <w:sz w:val="22"/>
          <w:szCs w:val="22"/>
        </w:rPr>
        <w:t> </w:t>
      </w:r>
      <w:r>
        <w:rPr>
          <w:rFonts w:ascii="宋体" w:hAnsi="宋体" w:cs="宋体" w:eastAsia="宋体" w:hint="default"/>
          <w:spacing w:val="-3"/>
          <w:sz w:val="22"/>
          <w:szCs w:val="22"/>
        </w:rPr>
        <w:t>子交易的，本公司将各项交易作为一项取得控制权的交易进行会计处理。不属于一揽子交</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易的，在合并日，根据合并后享有被合并方净资产在最终控制方合并财务报表中的账面价</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值的份额作为长期股权投资的初始投资成本。初始投资成本与达到合并前的长期股权投资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账面价值加上合并日进一步取得股份新支付对价的账面价值之和的差额，调整资本公积，</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资本公积不足冲减的，调整留存收益。</w:t>
      </w:r>
    </w:p>
    <w:p>
      <w:pPr>
        <w:spacing w:line="348" w:lineRule="auto" w:before="77"/>
        <w:ind w:left="541" w:right="105" w:firstLine="0"/>
        <w:jc w:val="left"/>
        <w:rPr>
          <w:rFonts w:ascii="宋体" w:hAnsi="宋体" w:cs="宋体" w:eastAsia="宋体" w:hint="default"/>
          <w:sz w:val="22"/>
          <w:szCs w:val="22"/>
        </w:rPr>
      </w:pPr>
      <w:r>
        <w:rPr>
          <w:rFonts w:ascii="宋体" w:hAnsi="宋体" w:cs="宋体" w:eastAsia="宋体" w:hint="default"/>
          <w:sz w:val="22"/>
          <w:szCs w:val="22"/>
        </w:rPr>
        <w:t>通过非同一控制下的企业合并取得的长期股权投资，以合并成本作为初始投资成本。</w:t>
      </w:r>
      <w:r>
        <w:rPr>
          <w:rFonts w:ascii="宋体" w:hAnsi="宋体" w:cs="宋体" w:eastAsia="宋体" w:hint="default"/>
          <w:spacing w:val="-79"/>
          <w:sz w:val="22"/>
          <w:szCs w:val="22"/>
        </w:rPr>
        <w:t> </w:t>
      </w:r>
      <w:r>
        <w:rPr>
          <w:rFonts w:ascii="宋体" w:hAnsi="宋体" w:cs="宋体" w:eastAsia="宋体" w:hint="default"/>
          <w:spacing w:val="-79"/>
          <w:sz w:val="22"/>
          <w:szCs w:val="22"/>
        </w:rPr>
      </w:r>
      <w:r>
        <w:rPr>
          <w:rFonts w:ascii="宋体" w:hAnsi="宋体" w:cs="宋体" w:eastAsia="宋体" w:hint="default"/>
          <w:spacing w:val="-3"/>
          <w:sz w:val="22"/>
          <w:szCs w:val="22"/>
        </w:rPr>
        <w:t>通过多次交易分步取得非同一控制下被投资单位的股权，最终形成企业合并，属于一</w:t>
      </w:r>
    </w:p>
    <w:p>
      <w:pPr>
        <w:spacing w:line="256" w:lineRule="exact" w:before="0"/>
        <w:ind w:left="102" w:right="0" w:firstLine="0"/>
        <w:jc w:val="both"/>
        <w:rPr>
          <w:rFonts w:ascii="宋体" w:hAnsi="宋体" w:cs="宋体" w:eastAsia="宋体" w:hint="default"/>
          <w:sz w:val="22"/>
          <w:szCs w:val="22"/>
        </w:rPr>
      </w:pPr>
      <w:r>
        <w:rPr>
          <w:rFonts w:ascii="宋体" w:hAnsi="宋体" w:cs="宋体" w:eastAsia="宋体" w:hint="default"/>
          <w:spacing w:val="-3"/>
          <w:sz w:val="22"/>
          <w:szCs w:val="22"/>
        </w:rPr>
        <w:t>揽子交易的，本公司将各项交易作为一项取得控制权的交易进行会计处理。不属于一揽子</w:t>
      </w:r>
    </w:p>
    <w:p>
      <w:pPr>
        <w:spacing w:line="297" w:lineRule="auto" w:before="69"/>
        <w:ind w:left="102" w:right="217" w:firstLine="0"/>
        <w:jc w:val="both"/>
        <w:rPr>
          <w:rFonts w:ascii="宋体" w:hAnsi="宋体" w:cs="宋体" w:eastAsia="宋体" w:hint="default"/>
          <w:sz w:val="22"/>
          <w:szCs w:val="22"/>
        </w:rPr>
      </w:pPr>
      <w:r>
        <w:rPr>
          <w:rFonts w:ascii="宋体" w:hAnsi="宋体" w:cs="宋体" w:eastAsia="宋体" w:hint="default"/>
          <w:spacing w:val="-3"/>
          <w:sz w:val="22"/>
          <w:szCs w:val="22"/>
        </w:rPr>
        <w:t>交易的，按照原持有的股权投资账面价值加上新增投资成本之和，作为改按成本法核算的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初始投资成本。购买日之前持有的股权采用权益法核算的，原权益法核算的相关其他综合</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收益暂不做调整，在处置该项投资时采用与被投资单位直接处置相关资产或负债相同的基</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础进行会计处理。购买日之前持有的股权在可供出售金融资产中采用公允价值核算的，原</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计入其他综合收益的累计公允价值变动在合并日转入当期投资损益。</w:t>
      </w:r>
    </w:p>
    <w:p>
      <w:pPr>
        <w:spacing w:line="297" w:lineRule="auto" w:before="77"/>
        <w:ind w:left="102" w:right="216" w:firstLine="439"/>
        <w:jc w:val="both"/>
        <w:rPr>
          <w:rFonts w:ascii="宋体" w:hAnsi="宋体" w:cs="宋体" w:eastAsia="宋体" w:hint="default"/>
          <w:sz w:val="22"/>
          <w:szCs w:val="22"/>
        </w:rPr>
      </w:pPr>
      <w:r>
        <w:rPr>
          <w:rFonts w:ascii="宋体" w:hAnsi="宋体" w:cs="宋体" w:eastAsia="宋体" w:hint="default"/>
          <w:spacing w:val="-3"/>
          <w:sz w:val="22"/>
          <w:szCs w:val="22"/>
        </w:rPr>
        <w:t>除上述通过企业合并取得的长期股权投资外，以支付现金取得的长期股权投资，按照</w:t>
      </w:r>
      <w:r>
        <w:rPr>
          <w:rFonts w:ascii="宋体" w:hAnsi="宋体" w:cs="宋体" w:eastAsia="宋体" w:hint="default"/>
          <w:w w:val="100"/>
          <w:sz w:val="22"/>
          <w:szCs w:val="22"/>
        </w:rPr>
        <w:t> </w:t>
      </w:r>
      <w:r>
        <w:rPr>
          <w:rFonts w:ascii="宋体" w:hAnsi="宋体" w:cs="宋体" w:eastAsia="宋体" w:hint="default"/>
          <w:spacing w:val="-3"/>
          <w:sz w:val="22"/>
          <w:szCs w:val="22"/>
        </w:rPr>
        <w:t>实际支付的购买价款作为投资成本；以发行权益性证券取得的长期股权投资，按照发行权</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益性证券的公允价值作为投资成本；通过非货币性资产交换取得的长期股权投资，其初始</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投资成本按照《企业会计准则第 </w:t>
      </w:r>
      <w:r>
        <w:rPr>
          <w:rFonts w:ascii="宋体" w:hAnsi="宋体" w:cs="宋体" w:eastAsia="宋体" w:hint="default"/>
          <w:sz w:val="22"/>
          <w:szCs w:val="22"/>
        </w:rPr>
        <w:t>7</w:t>
      </w:r>
      <w:r>
        <w:rPr>
          <w:rFonts w:ascii="宋体" w:hAnsi="宋体" w:cs="宋体" w:eastAsia="宋体" w:hint="default"/>
          <w:spacing w:val="-53"/>
          <w:sz w:val="22"/>
          <w:szCs w:val="22"/>
        </w:rPr>
        <w:t> </w:t>
      </w:r>
      <w:r>
        <w:rPr>
          <w:rFonts w:ascii="宋体" w:hAnsi="宋体" w:cs="宋体" w:eastAsia="宋体" w:hint="default"/>
          <w:spacing w:val="-4"/>
          <w:sz w:val="22"/>
          <w:szCs w:val="22"/>
        </w:rPr>
        <w:t>号——非货币性资产交换》的有关规定确定；通过债务</w:t>
      </w:r>
    </w:p>
    <w:p>
      <w:pPr>
        <w:spacing w:line="297" w:lineRule="auto" w:before="14"/>
        <w:ind w:left="102" w:right="215" w:firstLine="0"/>
        <w:jc w:val="both"/>
        <w:rPr>
          <w:rFonts w:ascii="宋体" w:hAnsi="宋体" w:cs="宋体" w:eastAsia="宋体" w:hint="default"/>
          <w:sz w:val="22"/>
          <w:szCs w:val="22"/>
        </w:rPr>
      </w:pPr>
      <w:r>
        <w:rPr>
          <w:rFonts w:ascii="宋体" w:hAnsi="宋体" w:cs="宋体" w:eastAsia="宋体" w:hint="default"/>
          <w:sz w:val="22"/>
          <w:szCs w:val="22"/>
        </w:rPr>
        <w:t>重组取得的长期股权投资，其初始投资成本按照《企业会计准则第 </w:t>
      </w:r>
      <w:r>
        <w:rPr>
          <w:rFonts w:ascii="宋体" w:hAnsi="宋体" w:cs="宋体" w:eastAsia="宋体" w:hint="default"/>
          <w:sz w:val="22"/>
          <w:szCs w:val="22"/>
        </w:rPr>
        <w:t>12</w:t>
      </w:r>
      <w:r>
        <w:rPr>
          <w:rFonts w:ascii="宋体" w:hAnsi="宋体" w:cs="宋体" w:eastAsia="宋体" w:hint="default"/>
          <w:spacing w:val="-79"/>
          <w:sz w:val="22"/>
          <w:szCs w:val="22"/>
        </w:rPr>
        <w:t> </w:t>
      </w:r>
      <w:r>
        <w:rPr>
          <w:rFonts w:ascii="宋体" w:hAnsi="宋体" w:cs="宋体" w:eastAsia="宋体" w:hint="default"/>
          <w:sz w:val="22"/>
          <w:szCs w:val="22"/>
        </w:rPr>
        <w:t>号——债务重组》</w:t>
      </w:r>
      <w:r>
        <w:rPr>
          <w:rFonts w:ascii="宋体" w:hAnsi="宋体" w:cs="宋体" w:eastAsia="宋体" w:hint="default"/>
          <w:w w:val="100"/>
          <w:sz w:val="22"/>
          <w:szCs w:val="22"/>
        </w:rPr>
        <w:t> </w:t>
      </w:r>
      <w:r>
        <w:rPr>
          <w:rFonts w:ascii="宋体" w:hAnsi="宋体" w:cs="宋体" w:eastAsia="宋体" w:hint="default"/>
          <w:sz w:val="22"/>
          <w:szCs w:val="22"/>
        </w:rPr>
        <w:t>的有关规定确定。</w:t>
      </w:r>
    </w:p>
    <w:p>
      <w:pPr>
        <w:spacing w:line="348" w:lineRule="auto" w:before="75"/>
        <w:ind w:left="541" w:right="105" w:firstLine="0"/>
        <w:jc w:val="left"/>
        <w:rPr>
          <w:rFonts w:ascii="宋体" w:hAnsi="宋体" w:cs="宋体" w:eastAsia="宋体" w:hint="default"/>
          <w:sz w:val="22"/>
          <w:szCs w:val="22"/>
        </w:rPr>
      </w:pPr>
      <w:r>
        <w:rPr>
          <w:rFonts w:ascii="宋体" w:hAnsi="宋体" w:cs="宋体" w:eastAsia="宋体" w:hint="default"/>
          <w:sz w:val="22"/>
          <w:szCs w:val="22"/>
        </w:rPr>
        <w:t>本公司对子公司投资采用成本法核算，对合营企业及联营企业投资采用权益法核算。</w:t>
      </w:r>
      <w:r>
        <w:rPr>
          <w:rFonts w:ascii="宋体" w:hAnsi="宋体" w:cs="宋体" w:eastAsia="宋体" w:hint="default"/>
          <w:spacing w:val="-79"/>
          <w:sz w:val="22"/>
          <w:szCs w:val="22"/>
        </w:rPr>
        <w:t> </w:t>
      </w:r>
      <w:r>
        <w:rPr>
          <w:rFonts w:ascii="宋体" w:hAnsi="宋体" w:cs="宋体" w:eastAsia="宋体" w:hint="default"/>
          <w:spacing w:val="-79"/>
          <w:sz w:val="22"/>
          <w:szCs w:val="22"/>
        </w:rPr>
      </w:r>
      <w:r>
        <w:rPr>
          <w:rFonts w:ascii="宋体" w:hAnsi="宋体" w:cs="宋体" w:eastAsia="宋体" w:hint="default"/>
          <w:spacing w:val="-3"/>
          <w:sz w:val="22"/>
          <w:szCs w:val="22"/>
        </w:rPr>
        <w:t>后续计量采用成本法核算的长期股权投资，在追加或收回投资时调整长期股权投资的</w:t>
      </w:r>
    </w:p>
    <w:p>
      <w:pPr>
        <w:spacing w:line="259" w:lineRule="exact" w:before="0"/>
        <w:ind w:left="102" w:right="0" w:firstLine="0"/>
        <w:jc w:val="both"/>
        <w:rPr>
          <w:rFonts w:ascii="宋体" w:hAnsi="宋体" w:cs="宋体" w:eastAsia="宋体" w:hint="default"/>
          <w:sz w:val="22"/>
          <w:szCs w:val="22"/>
        </w:rPr>
      </w:pPr>
      <w:r>
        <w:rPr>
          <w:rFonts w:ascii="宋体" w:hAnsi="宋体" w:cs="宋体" w:eastAsia="宋体" w:hint="default"/>
          <w:sz w:val="22"/>
          <w:szCs w:val="22"/>
        </w:rPr>
        <w:t>成本。被投资单位宣告分派的现金股利或利润，应当确认为当期投资收益。</w:t>
      </w:r>
    </w:p>
    <w:p>
      <w:pPr>
        <w:spacing w:line="297" w:lineRule="auto" w:before="127"/>
        <w:ind w:left="102" w:right="105" w:firstLine="439"/>
        <w:jc w:val="left"/>
        <w:rPr>
          <w:rFonts w:ascii="宋体" w:hAnsi="宋体" w:cs="宋体" w:eastAsia="宋体" w:hint="default"/>
          <w:sz w:val="22"/>
          <w:szCs w:val="22"/>
        </w:rPr>
      </w:pPr>
      <w:r>
        <w:rPr>
          <w:rFonts w:ascii="宋体" w:hAnsi="宋体" w:cs="宋体" w:eastAsia="宋体" w:hint="default"/>
          <w:spacing w:val="-3"/>
          <w:sz w:val="22"/>
          <w:szCs w:val="22"/>
        </w:rPr>
        <w:t>后续计量采用权益法核算的长期股权投资，随着被投资单位所有者权益的变动相应调</w:t>
      </w:r>
      <w:r>
        <w:rPr>
          <w:rFonts w:ascii="宋体" w:hAnsi="宋体" w:cs="宋体" w:eastAsia="宋体" w:hint="default"/>
          <w:w w:val="100"/>
          <w:sz w:val="22"/>
          <w:szCs w:val="22"/>
        </w:rPr>
        <w:t> </w:t>
      </w:r>
      <w:r>
        <w:rPr>
          <w:rFonts w:ascii="宋体" w:hAnsi="宋体" w:cs="宋体" w:eastAsia="宋体" w:hint="default"/>
          <w:sz w:val="22"/>
          <w:szCs w:val="22"/>
        </w:rPr>
        <w:t>整增加或减少长期股权投资的账面价值。其中在确认应享有被投资单位净损益的份额时，</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以取得投资时被投资单位各项可辨认净资产的公允价值为基础，按照本公司的会计政策及</w:t>
      </w:r>
    </w:p>
    <w:p>
      <w:pPr>
        <w:spacing w:after="0" w:line="297" w:lineRule="auto"/>
        <w:jc w:val="left"/>
        <w:rPr>
          <w:rFonts w:ascii="宋体" w:hAnsi="宋体" w:cs="宋体" w:eastAsia="宋体" w:hint="default"/>
          <w:sz w:val="22"/>
          <w:szCs w:val="22"/>
        </w:rPr>
        <w:sectPr>
          <w:pgSz w:w="11910" w:h="16840"/>
          <w:pgMar w:header="0" w:footer="1054" w:top="1360" w:bottom="1240" w:left="1600" w:right="1480"/>
        </w:sectPr>
      </w:pPr>
    </w:p>
    <w:p>
      <w:pPr>
        <w:spacing w:line="297" w:lineRule="auto" w:before="6"/>
        <w:ind w:left="102" w:right="115" w:firstLine="0"/>
        <w:jc w:val="both"/>
        <w:rPr>
          <w:rFonts w:ascii="宋体" w:hAnsi="宋体" w:cs="宋体" w:eastAsia="宋体" w:hint="default"/>
          <w:sz w:val="22"/>
          <w:szCs w:val="22"/>
        </w:rPr>
      </w:pPr>
      <w:r>
        <w:rPr>
          <w:rFonts w:ascii="宋体" w:hAnsi="宋体" w:cs="宋体" w:eastAsia="宋体" w:hint="default"/>
          <w:spacing w:val="-3"/>
          <w:sz w:val="22"/>
          <w:szCs w:val="22"/>
        </w:rPr>
        <w:t>会计期间，并抵销与联营企业及合营企业之间发生的内部交易损益按照持股比例计算归属</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于本公司的部分，对被投资单位的净利润进行调整后确认。</w:t>
      </w:r>
    </w:p>
    <w:p>
      <w:pPr>
        <w:spacing w:line="297" w:lineRule="auto" w:before="77"/>
        <w:ind w:left="102" w:right="117" w:firstLine="439"/>
        <w:jc w:val="both"/>
        <w:rPr>
          <w:rFonts w:ascii="宋体" w:hAnsi="宋体" w:cs="宋体" w:eastAsia="宋体" w:hint="default"/>
          <w:sz w:val="22"/>
          <w:szCs w:val="22"/>
        </w:rPr>
      </w:pPr>
      <w:r>
        <w:rPr>
          <w:rFonts w:ascii="宋体" w:hAnsi="宋体" w:cs="宋体" w:eastAsia="宋体" w:hint="default"/>
          <w:spacing w:val="-3"/>
          <w:sz w:val="22"/>
          <w:szCs w:val="22"/>
        </w:rPr>
        <w:t>处置长期股权投资，其账面价值与实际取得价款的差额，计入当期投资收益。采用权</w:t>
      </w:r>
      <w:r>
        <w:rPr>
          <w:rFonts w:ascii="宋体" w:hAnsi="宋体" w:cs="宋体" w:eastAsia="宋体" w:hint="default"/>
          <w:w w:val="100"/>
          <w:sz w:val="22"/>
          <w:szCs w:val="22"/>
        </w:rPr>
        <w:t> </w:t>
      </w:r>
      <w:r>
        <w:rPr>
          <w:rFonts w:ascii="宋体" w:hAnsi="宋体" w:cs="宋体" w:eastAsia="宋体" w:hint="default"/>
          <w:spacing w:val="-3"/>
          <w:sz w:val="22"/>
          <w:szCs w:val="22"/>
        </w:rPr>
        <w:t>益法核算的长期股权投资，因被投资单位除净损益以外所有者权益的其他变动而计入所有</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者权益的，处置该项投资时将原计入所有者权益的部分按相应比例转入当期投资损益。</w:t>
      </w:r>
    </w:p>
    <w:p>
      <w:pPr>
        <w:spacing w:line="297" w:lineRule="auto" w:before="77"/>
        <w:ind w:left="102" w:right="115" w:firstLine="439"/>
        <w:jc w:val="both"/>
        <w:rPr>
          <w:rFonts w:ascii="宋体" w:hAnsi="宋体" w:cs="宋体" w:eastAsia="宋体" w:hint="default"/>
          <w:sz w:val="22"/>
          <w:szCs w:val="22"/>
        </w:rPr>
      </w:pPr>
      <w:r>
        <w:rPr>
          <w:rFonts w:ascii="宋体" w:hAnsi="宋体" w:cs="宋体" w:eastAsia="宋体" w:hint="default"/>
          <w:spacing w:val="-3"/>
          <w:sz w:val="22"/>
          <w:szCs w:val="22"/>
        </w:rPr>
        <w:t>因处置部分股权投资等原因丧失了对被投资单位的共同控制或重大影响的，处置后的</w:t>
      </w:r>
      <w:r>
        <w:rPr>
          <w:rFonts w:ascii="宋体" w:hAnsi="宋体" w:cs="宋体" w:eastAsia="宋体" w:hint="default"/>
          <w:w w:val="100"/>
          <w:sz w:val="22"/>
          <w:szCs w:val="22"/>
        </w:rPr>
        <w:t> </w:t>
      </w:r>
      <w:r>
        <w:rPr>
          <w:rFonts w:ascii="宋体" w:hAnsi="宋体" w:cs="宋体" w:eastAsia="宋体" w:hint="default"/>
          <w:spacing w:val="-3"/>
          <w:sz w:val="22"/>
          <w:szCs w:val="22"/>
        </w:rPr>
        <w:t>剩余股权改按可供出售金融资产核算，剩余股权在丧失共同控制或重大影响之日的公允价</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值与账面价值之间的差额计入当期损益。原股权投资因采用权益法核算而确认的其他综合</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3"/>
          <w:sz w:val="22"/>
          <w:szCs w:val="22"/>
        </w:rPr>
        <w:t>收益，在终止采用权益法核算时采用与被投资单位直接处置相关资产或负债相同的基础进</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行会计处理。</w:t>
      </w:r>
    </w:p>
    <w:p>
      <w:pPr>
        <w:spacing w:line="297" w:lineRule="auto" w:before="77"/>
        <w:ind w:left="102" w:right="117" w:firstLine="439"/>
        <w:jc w:val="both"/>
        <w:rPr>
          <w:rFonts w:ascii="宋体" w:hAnsi="宋体" w:cs="宋体" w:eastAsia="宋体" w:hint="default"/>
          <w:sz w:val="22"/>
          <w:szCs w:val="22"/>
        </w:rPr>
      </w:pPr>
      <w:r>
        <w:rPr>
          <w:rFonts w:ascii="宋体" w:hAnsi="宋体" w:cs="宋体" w:eastAsia="宋体" w:hint="default"/>
          <w:spacing w:val="-3"/>
          <w:sz w:val="22"/>
          <w:szCs w:val="22"/>
        </w:rPr>
        <w:t>因处置部分长期股权投资丧失了对被投资单位控制的，处置后的剩余股权能够对被投</w:t>
      </w:r>
      <w:r>
        <w:rPr>
          <w:rFonts w:ascii="宋体" w:hAnsi="宋体" w:cs="宋体" w:eastAsia="宋体" w:hint="default"/>
          <w:w w:val="100"/>
          <w:sz w:val="22"/>
          <w:szCs w:val="22"/>
        </w:rPr>
        <w:t> </w:t>
      </w:r>
      <w:r>
        <w:rPr>
          <w:rFonts w:ascii="宋体" w:hAnsi="宋体" w:cs="宋体" w:eastAsia="宋体" w:hint="default"/>
          <w:spacing w:val="-3"/>
          <w:sz w:val="22"/>
          <w:szCs w:val="22"/>
        </w:rPr>
        <w:t>资单位实施共同控制或施加重大影响的，改按权益法核算，处置股权账面价值和处置对价</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的差额计入投资收益，并对该剩余股权视同自取得时即采用权益法核算进行调整；处置后</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的剩余股权不能对被投资单位实施共同控制或施加重大影响的，改按可供出售金融资产的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有关规定进行会计处理，处置股权账面价值和处置对价的差额计入投资收益，剩余股权在</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丧失控制之日的公允价值与账面价值间的差额计入当期投资损益。</w:t>
      </w:r>
    </w:p>
    <w:p>
      <w:pPr>
        <w:spacing w:line="297" w:lineRule="auto" w:before="74"/>
        <w:ind w:left="102" w:right="117" w:firstLine="439"/>
        <w:jc w:val="both"/>
        <w:rPr>
          <w:rFonts w:ascii="宋体" w:hAnsi="宋体" w:cs="宋体" w:eastAsia="宋体" w:hint="default"/>
          <w:sz w:val="22"/>
          <w:szCs w:val="22"/>
        </w:rPr>
      </w:pPr>
      <w:r>
        <w:rPr>
          <w:rFonts w:ascii="宋体" w:hAnsi="宋体" w:cs="宋体" w:eastAsia="宋体" w:hint="default"/>
          <w:spacing w:val="-3"/>
          <w:sz w:val="22"/>
          <w:szCs w:val="22"/>
        </w:rPr>
        <w:t>本公司对于分步处置股权至丧失控股权的各项交易不属于一揽子交易的，对每一项交</w:t>
      </w:r>
      <w:r>
        <w:rPr>
          <w:rFonts w:ascii="宋体" w:hAnsi="宋体" w:cs="宋体" w:eastAsia="宋体" w:hint="default"/>
          <w:w w:val="100"/>
          <w:sz w:val="22"/>
          <w:szCs w:val="22"/>
        </w:rPr>
        <w:t> </w:t>
      </w:r>
      <w:r>
        <w:rPr>
          <w:rFonts w:ascii="宋体" w:hAnsi="宋体" w:cs="宋体" w:eastAsia="宋体" w:hint="default"/>
          <w:spacing w:val="-3"/>
          <w:sz w:val="22"/>
          <w:szCs w:val="22"/>
        </w:rPr>
        <w:t>易分别进行会计处理。属于一揽子交易的，将各项交易作为一项处置子公司并丧失控制权</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的交易进行会计处理，但是，在丧失控制权之前每一次交易处置价款与所处置的股权对应</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的长期股权投资账面价值之间的差额，确认为其他综合收益，到丧失控制权时再一并转入</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丧失控制权的当期损益。</w:t>
      </w:r>
    </w:p>
    <w:p>
      <w:pPr>
        <w:spacing w:before="75"/>
        <w:ind w:left="555" w:right="117" w:firstLine="0"/>
        <w:jc w:val="left"/>
        <w:rPr>
          <w:rFonts w:ascii="宋体" w:hAnsi="宋体" w:cs="宋体" w:eastAsia="宋体" w:hint="default"/>
          <w:sz w:val="22"/>
          <w:szCs w:val="22"/>
        </w:rPr>
      </w:pPr>
      <w:r>
        <w:rPr>
          <w:rFonts w:ascii="宋体" w:hAnsi="宋体" w:cs="宋体" w:eastAsia="宋体" w:hint="default"/>
          <w:b/>
          <w:bCs/>
          <w:sz w:val="22"/>
          <w:szCs w:val="22"/>
        </w:rPr>
        <w:t>14.</w:t>
      </w:r>
      <w:r>
        <w:rPr>
          <w:rFonts w:ascii="宋体" w:hAnsi="宋体" w:cs="宋体" w:eastAsia="宋体" w:hint="default"/>
          <w:b/>
          <w:bCs/>
          <w:spacing w:val="11"/>
          <w:sz w:val="22"/>
          <w:szCs w:val="22"/>
        </w:rPr>
        <w:t> </w:t>
      </w:r>
      <w:r>
        <w:rPr>
          <w:rFonts w:ascii="宋体" w:hAnsi="宋体" w:cs="宋体" w:eastAsia="宋体" w:hint="default"/>
          <w:sz w:val="22"/>
          <w:szCs w:val="22"/>
        </w:rPr>
        <w:t>投资性房地产</w:t>
      </w:r>
    </w:p>
    <w:p>
      <w:pPr>
        <w:spacing w:line="348" w:lineRule="auto" w:before="57"/>
        <w:ind w:left="541" w:right="117" w:firstLine="14"/>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9"/>
          <w:sz w:val="22"/>
          <w:szCs w:val="22"/>
        </w:rPr>
        <w:t> </w:t>
      </w:r>
      <w:r>
        <w:rPr>
          <w:rFonts w:ascii="宋体" w:hAnsi="宋体" w:cs="宋体" w:eastAsia="宋体" w:hint="default"/>
          <w:sz w:val="22"/>
          <w:szCs w:val="22"/>
        </w:rPr>
        <w:t>投资性房地产分类</w:t>
      </w:r>
      <w:r>
        <w:rPr>
          <w:rFonts w:ascii="宋体" w:hAnsi="宋体" w:cs="宋体" w:eastAsia="宋体" w:hint="default"/>
          <w:w w:val="100"/>
          <w:sz w:val="22"/>
          <w:szCs w:val="22"/>
        </w:rPr>
        <w:t> </w:t>
      </w:r>
      <w:r>
        <w:rPr>
          <w:rFonts w:ascii="宋体" w:hAnsi="宋体" w:cs="宋体" w:eastAsia="宋体" w:hint="default"/>
          <w:spacing w:val="-3"/>
          <w:sz w:val="22"/>
          <w:szCs w:val="22"/>
        </w:rPr>
        <w:t>本公司将持有的未赚取租金或资本增值，或两者兼有而持有的房地产划分为投资性房</w:t>
      </w:r>
    </w:p>
    <w:p>
      <w:pPr>
        <w:spacing w:line="259" w:lineRule="exact" w:before="0"/>
        <w:ind w:left="102" w:right="0" w:firstLine="0"/>
        <w:jc w:val="both"/>
        <w:rPr>
          <w:rFonts w:ascii="宋体" w:hAnsi="宋体" w:cs="宋体" w:eastAsia="宋体" w:hint="default"/>
          <w:sz w:val="22"/>
          <w:szCs w:val="22"/>
        </w:rPr>
      </w:pPr>
      <w:r>
        <w:rPr>
          <w:rFonts w:ascii="宋体" w:hAnsi="宋体" w:cs="宋体" w:eastAsia="宋体" w:hint="default"/>
          <w:sz w:val="22"/>
          <w:szCs w:val="22"/>
        </w:rPr>
        <w:t>地产。包括确定出租的建筑物和土地使用权。</w:t>
      </w:r>
    </w:p>
    <w:p>
      <w:pPr>
        <w:spacing w:line="348" w:lineRule="auto" w:before="127"/>
        <w:ind w:left="555" w:right="117"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9"/>
          <w:sz w:val="22"/>
          <w:szCs w:val="22"/>
        </w:rPr>
        <w:t> </w:t>
      </w:r>
      <w:r>
        <w:rPr>
          <w:rFonts w:ascii="宋体" w:hAnsi="宋体" w:cs="宋体" w:eastAsia="宋体" w:hint="default"/>
          <w:sz w:val="22"/>
          <w:szCs w:val="22"/>
        </w:rPr>
        <w:t>投资性房地产计量</w:t>
      </w:r>
      <w:r>
        <w:rPr>
          <w:rFonts w:ascii="宋体" w:hAnsi="宋体" w:cs="宋体" w:eastAsia="宋体" w:hint="default"/>
          <w:w w:val="100"/>
          <w:sz w:val="22"/>
          <w:szCs w:val="22"/>
        </w:rPr>
        <w:t> </w:t>
      </w:r>
      <w:r>
        <w:rPr>
          <w:rFonts w:ascii="宋体" w:hAnsi="宋体" w:cs="宋体" w:eastAsia="宋体" w:hint="default"/>
          <w:spacing w:val="-4"/>
          <w:sz w:val="22"/>
          <w:szCs w:val="22"/>
        </w:rPr>
        <w:t>外购投资性房地产按其取得时的成本进行初始计量，取得时的成本包括买价、相关税</w:t>
      </w:r>
    </w:p>
    <w:p>
      <w:pPr>
        <w:spacing w:line="256" w:lineRule="exact" w:before="0"/>
        <w:ind w:left="102" w:right="0" w:firstLine="0"/>
        <w:jc w:val="both"/>
        <w:rPr>
          <w:rFonts w:ascii="宋体" w:hAnsi="宋体" w:cs="宋体" w:eastAsia="宋体" w:hint="default"/>
          <w:sz w:val="22"/>
          <w:szCs w:val="22"/>
        </w:rPr>
      </w:pPr>
      <w:r>
        <w:rPr>
          <w:rFonts w:ascii="宋体" w:hAnsi="宋体" w:cs="宋体" w:eastAsia="宋体" w:hint="default"/>
          <w:spacing w:val="-3"/>
          <w:sz w:val="22"/>
          <w:szCs w:val="22"/>
        </w:rPr>
        <w:t>费和可直接归属于该资产的支出；自行建造的投资性房地产成本由为使投资性房地产达到</w:t>
      </w:r>
    </w:p>
    <w:p>
      <w:pPr>
        <w:spacing w:line="297" w:lineRule="auto" w:before="69"/>
        <w:ind w:left="102" w:right="117" w:firstLine="0"/>
        <w:jc w:val="both"/>
        <w:rPr>
          <w:rFonts w:ascii="宋体" w:hAnsi="宋体" w:cs="宋体" w:eastAsia="宋体" w:hint="default"/>
          <w:sz w:val="22"/>
          <w:szCs w:val="22"/>
        </w:rPr>
      </w:pPr>
      <w:r>
        <w:rPr>
          <w:rFonts w:ascii="宋体" w:hAnsi="宋体" w:cs="宋体" w:eastAsia="宋体" w:hint="default"/>
          <w:spacing w:val="-3"/>
          <w:sz w:val="22"/>
          <w:szCs w:val="22"/>
        </w:rPr>
        <w:t>预定可使用状态前所必要的支出构成。本集团对投资性房地产采用公允价值模式进行后续</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计量，本公司的投资性房地产符合采用公允价值计量条件：</w:t>
      </w:r>
      <w:r>
        <w:rPr>
          <w:rFonts w:ascii="宋体" w:hAnsi="宋体" w:cs="宋体" w:eastAsia="宋体" w:hint="default"/>
          <w:sz w:val="22"/>
          <w:szCs w:val="22"/>
        </w:rPr>
        <w:t>1</w:t>
      </w:r>
      <w:r>
        <w:rPr>
          <w:rFonts w:ascii="宋体" w:hAnsi="宋体" w:cs="宋体" w:eastAsia="宋体" w:hint="default"/>
          <w:sz w:val="22"/>
          <w:szCs w:val="22"/>
        </w:rPr>
        <w:t>）投资性房地产所在地有活</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跃的房地产交易市场；</w:t>
      </w:r>
      <w:r>
        <w:rPr>
          <w:rFonts w:ascii="宋体" w:hAnsi="宋体" w:cs="宋体" w:eastAsia="宋体" w:hint="default"/>
          <w:sz w:val="22"/>
          <w:szCs w:val="22"/>
        </w:rPr>
        <w:t>2</w:t>
      </w:r>
      <w:r>
        <w:rPr>
          <w:rFonts w:ascii="宋体" w:hAnsi="宋体" w:cs="宋体" w:eastAsia="宋体" w:hint="default"/>
          <w:sz w:val="22"/>
          <w:szCs w:val="22"/>
        </w:rPr>
        <w:t>）企业能够从房地产交易市场上取得同类或类似房地产的市场价</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格及其他相关信息，从而对投资性房地产的公允价值做出科学合理的估计。</w:t>
      </w:r>
    </w:p>
    <w:p>
      <w:pPr>
        <w:spacing w:line="297" w:lineRule="auto" w:before="74"/>
        <w:ind w:left="102" w:right="114" w:firstLine="453"/>
        <w:jc w:val="both"/>
        <w:rPr>
          <w:rFonts w:ascii="宋体" w:hAnsi="宋体" w:cs="宋体" w:eastAsia="宋体" w:hint="default"/>
          <w:sz w:val="22"/>
          <w:szCs w:val="22"/>
        </w:rPr>
      </w:pPr>
      <w:r>
        <w:rPr>
          <w:rFonts w:ascii="宋体" w:hAnsi="宋体" w:cs="宋体" w:eastAsia="宋体" w:hint="default"/>
          <w:spacing w:val="-4"/>
          <w:sz w:val="22"/>
          <w:szCs w:val="22"/>
        </w:rPr>
        <w:t>本公司确定投资性房地产的公允价值时，参照活跃市场上同类或类似房地产的现行市</w:t>
      </w:r>
      <w:r>
        <w:rPr>
          <w:rFonts w:ascii="宋体" w:hAnsi="宋体" w:cs="宋体" w:eastAsia="宋体" w:hint="default"/>
          <w:w w:val="100"/>
          <w:sz w:val="22"/>
          <w:szCs w:val="22"/>
        </w:rPr>
        <w:t> </w:t>
      </w:r>
      <w:r>
        <w:rPr>
          <w:rFonts w:ascii="宋体" w:hAnsi="宋体" w:cs="宋体" w:eastAsia="宋体" w:hint="default"/>
          <w:spacing w:val="-3"/>
          <w:sz w:val="22"/>
          <w:szCs w:val="22"/>
        </w:rPr>
        <w:t>场价格（市场公开报价）；无法取得同类或类似房地产的现行市场价格的，参照活跃市场</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9"/>
          <w:w w:val="100"/>
          <w:sz w:val="22"/>
          <w:szCs w:val="22"/>
        </w:rPr>
        <w:t>上同类或类或类似房地产的最近交易价格，并考虑交易情况、交易日期、所在区域等因素，</w:t>
      </w:r>
      <w:r>
        <w:rPr>
          <w:rFonts w:ascii="宋体" w:hAnsi="宋体" w:cs="宋体" w:eastAsia="宋体" w:hint="default"/>
          <w:spacing w:val="-79"/>
          <w:w w:val="100"/>
          <w:sz w:val="22"/>
          <w:szCs w:val="22"/>
        </w:rPr>
        <w:t> </w:t>
      </w:r>
      <w:r>
        <w:rPr>
          <w:rFonts w:ascii="宋体" w:hAnsi="宋体" w:cs="宋体" w:eastAsia="宋体" w:hint="default"/>
          <w:spacing w:val="-79"/>
          <w:w w:val="100"/>
          <w:sz w:val="22"/>
          <w:szCs w:val="22"/>
        </w:rPr>
      </w:r>
      <w:r>
        <w:rPr>
          <w:rFonts w:ascii="宋体" w:hAnsi="宋体" w:cs="宋体" w:eastAsia="宋体" w:hint="default"/>
          <w:spacing w:val="-3"/>
          <w:sz w:val="22"/>
          <w:szCs w:val="22"/>
        </w:rPr>
        <w:t>从而对投资性房地产的公允价值作出合理的估计；也可以基于预计未来获得的租金收益和</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有关现金流量的现值计量。在资产负债表日以投资性房地产的公允价值为基础调整其账面</w:t>
      </w:r>
    </w:p>
    <w:p>
      <w:pPr>
        <w:spacing w:after="0" w:line="297" w:lineRule="auto"/>
        <w:jc w:val="both"/>
        <w:rPr>
          <w:rFonts w:ascii="宋体" w:hAnsi="宋体" w:cs="宋体" w:eastAsia="宋体" w:hint="default"/>
          <w:sz w:val="22"/>
          <w:szCs w:val="22"/>
        </w:rPr>
        <w:sectPr>
          <w:pgSz w:w="11910" w:h="16840"/>
          <w:pgMar w:header="0" w:footer="1054" w:top="1360" w:bottom="1240" w:left="1600" w:right="1580"/>
        </w:sectPr>
      </w:pPr>
    </w:p>
    <w:p>
      <w:pPr>
        <w:spacing w:line="297" w:lineRule="auto" w:before="6"/>
        <w:ind w:left="222" w:right="105" w:firstLine="0"/>
        <w:jc w:val="both"/>
        <w:rPr>
          <w:rFonts w:ascii="宋体" w:hAnsi="宋体" w:cs="宋体" w:eastAsia="宋体" w:hint="default"/>
          <w:sz w:val="22"/>
          <w:szCs w:val="22"/>
        </w:rPr>
      </w:pPr>
      <w:r>
        <w:rPr>
          <w:rFonts w:ascii="宋体" w:hAnsi="宋体" w:cs="宋体" w:eastAsia="宋体" w:hint="default"/>
          <w:spacing w:val="-3"/>
          <w:sz w:val="22"/>
          <w:szCs w:val="22"/>
        </w:rPr>
        <w:t>价值，公允价值与账面价值之间的差额计入当期损益。对于在建投资性房地产，如果其公</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pacing w:val="-3"/>
          <w:sz w:val="22"/>
          <w:szCs w:val="22"/>
        </w:rPr>
        <w:t>允价值无法可靠确定但预期该房地产完工后的公允价值能够持续可靠取得的，以成本计量</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6"/>
          <w:w w:val="100"/>
          <w:sz w:val="22"/>
          <w:szCs w:val="22"/>
        </w:rPr>
        <w:t>该在建投资性房地产，其公允价值可靠计量时或其完工后</w:t>
      </w:r>
      <w:r>
        <w:rPr>
          <w:rFonts w:ascii="宋体" w:hAnsi="宋体" w:cs="宋体" w:eastAsia="宋体" w:hint="default"/>
          <w:spacing w:val="-6"/>
          <w:w w:val="100"/>
          <w:sz w:val="22"/>
          <w:szCs w:val="22"/>
        </w:rPr>
        <w:t>(</w:t>
      </w:r>
      <w:r>
        <w:rPr>
          <w:rFonts w:ascii="宋体" w:hAnsi="宋体" w:cs="宋体" w:eastAsia="宋体" w:hint="default"/>
          <w:spacing w:val="-6"/>
          <w:w w:val="100"/>
          <w:sz w:val="22"/>
          <w:szCs w:val="22"/>
        </w:rPr>
        <w:t>两者孰早</w:t>
      </w:r>
      <w:r>
        <w:rPr>
          <w:rFonts w:ascii="宋体" w:hAnsi="宋体" w:cs="宋体" w:eastAsia="宋体" w:hint="default"/>
          <w:spacing w:val="-6"/>
          <w:w w:val="100"/>
          <w:sz w:val="22"/>
          <w:szCs w:val="22"/>
        </w:rPr>
        <w:t>)</w:t>
      </w:r>
      <w:r>
        <w:rPr>
          <w:rFonts w:ascii="宋体" w:hAnsi="宋体" w:cs="宋体" w:eastAsia="宋体" w:hint="default"/>
          <w:spacing w:val="-6"/>
          <w:w w:val="100"/>
          <w:sz w:val="22"/>
          <w:szCs w:val="22"/>
        </w:rPr>
        <w:t>，再以公允价值计量。</w:t>
      </w:r>
    </w:p>
    <w:p>
      <w:pPr>
        <w:spacing w:before="77"/>
        <w:ind w:left="675" w:right="3346" w:firstLine="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pacing w:val="-31"/>
          <w:sz w:val="24"/>
          <w:szCs w:val="24"/>
        </w:rPr>
        <w:t> </w:t>
      </w:r>
      <w:r>
        <w:rPr>
          <w:rFonts w:ascii="宋体" w:hAnsi="宋体" w:cs="宋体" w:eastAsia="宋体" w:hint="default"/>
          <w:sz w:val="24"/>
          <w:szCs w:val="24"/>
        </w:rPr>
        <w:t>投资性房地产的处置</w:t>
      </w:r>
    </w:p>
    <w:p>
      <w:pPr>
        <w:spacing w:line="297" w:lineRule="auto" w:before="134"/>
        <w:ind w:left="222" w:right="106" w:firstLine="453"/>
        <w:jc w:val="left"/>
        <w:rPr>
          <w:rFonts w:ascii="宋体" w:hAnsi="宋体" w:cs="宋体" w:eastAsia="宋体" w:hint="default"/>
          <w:sz w:val="22"/>
          <w:szCs w:val="22"/>
        </w:rPr>
      </w:pPr>
      <w:r>
        <w:rPr>
          <w:rFonts w:ascii="宋体" w:hAnsi="宋体" w:cs="宋体" w:eastAsia="宋体" w:hint="default"/>
          <w:spacing w:val="-1"/>
          <w:sz w:val="22"/>
          <w:szCs w:val="22"/>
        </w:rPr>
        <w:t>当投资性房地产被处置，或者永久退出使用且预计不能从其处置中取得经济利益时，</w:t>
      </w:r>
      <w:r>
        <w:rPr>
          <w:rFonts w:ascii="宋体" w:hAnsi="宋体" w:cs="宋体" w:eastAsia="宋体" w:hint="default"/>
          <w:w w:val="100"/>
          <w:sz w:val="22"/>
          <w:szCs w:val="22"/>
        </w:rPr>
        <w:t> </w:t>
      </w:r>
      <w:r>
        <w:rPr>
          <w:rFonts w:ascii="宋体" w:hAnsi="宋体" w:cs="宋体" w:eastAsia="宋体" w:hint="default"/>
          <w:spacing w:val="-3"/>
          <w:sz w:val="22"/>
          <w:szCs w:val="22"/>
        </w:rPr>
        <w:t>终止确认该项投资性房地产。投资性房地产出售、转让、报废或毁损的处置收入扣除其账</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面价值和相关税费后的金额计入当期损益。</w:t>
      </w:r>
    </w:p>
    <w:p>
      <w:pPr>
        <w:spacing w:line="295" w:lineRule="auto" w:before="77"/>
        <w:ind w:left="222" w:right="106" w:firstLine="453"/>
        <w:jc w:val="left"/>
        <w:rPr>
          <w:rFonts w:ascii="宋体" w:hAnsi="宋体" w:cs="宋体" w:eastAsia="宋体" w:hint="default"/>
          <w:sz w:val="22"/>
          <w:szCs w:val="22"/>
        </w:rPr>
      </w:pPr>
      <w:r>
        <w:rPr>
          <w:rFonts w:ascii="宋体" w:hAnsi="宋体" w:cs="宋体" w:eastAsia="宋体" w:hint="default"/>
          <w:spacing w:val="-4"/>
          <w:sz w:val="22"/>
          <w:szCs w:val="22"/>
        </w:rPr>
        <w:t>当投资性房地产的用途改变为自用时，以转换当日的公允价值作为自用房地产的账面</w:t>
      </w:r>
      <w:r>
        <w:rPr>
          <w:rFonts w:ascii="宋体" w:hAnsi="宋体" w:cs="宋体" w:eastAsia="宋体" w:hint="default"/>
          <w:w w:val="100"/>
          <w:sz w:val="22"/>
          <w:szCs w:val="22"/>
        </w:rPr>
        <w:t> </w:t>
      </w:r>
      <w:r>
        <w:rPr>
          <w:rFonts w:ascii="宋体" w:hAnsi="宋体" w:cs="宋体" w:eastAsia="宋体" w:hint="default"/>
          <w:sz w:val="22"/>
          <w:szCs w:val="22"/>
        </w:rPr>
        <w:t>价值，公允价值与原账面价值的差额计入当期损益。</w:t>
      </w:r>
    </w:p>
    <w:p>
      <w:pPr>
        <w:spacing w:line="345" w:lineRule="auto" w:before="79"/>
        <w:ind w:left="675" w:right="106"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9"/>
          <w:sz w:val="22"/>
          <w:szCs w:val="22"/>
        </w:rPr>
        <w:t> </w:t>
      </w:r>
      <w:r>
        <w:rPr>
          <w:rFonts w:ascii="宋体" w:hAnsi="宋体" w:cs="宋体" w:eastAsia="宋体" w:hint="default"/>
          <w:sz w:val="22"/>
          <w:szCs w:val="22"/>
        </w:rPr>
        <w:t>投资性房地产的转换</w:t>
      </w:r>
      <w:r>
        <w:rPr>
          <w:rFonts w:ascii="宋体" w:hAnsi="宋体" w:cs="宋体" w:eastAsia="宋体" w:hint="default"/>
          <w:w w:val="100"/>
          <w:sz w:val="22"/>
          <w:szCs w:val="22"/>
        </w:rPr>
        <w:t> </w:t>
      </w:r>
      <w:r>
        <w:rPr>
          <w:rFonts w:ascii="宋体" w:hAnsi="宋体" w:cs="宋体" w:eastAsia="宋体" w:hint="default"/>
          <w:spacing w:val="-1"/>
          <w:sz w:val="22"/>
          <w:szCs w:val="22"/>
        </w:rPr>
        <w:t>本公司有确凿证据表明房地产用途发生改变，将投资性房地产转换为自用房地产时，</w:t>
      </w:r>
    </w:p>
    <w:p>
      <w:pPr>
        <w:spacing w:line="261" w:lineRule="exact" w:before="0"/>
        <w:ind w:left="222" w:right="0" w:firstLine="0"/>
        <w:jc w:val="both"/>
        <w:rPr>
          <w:rFonts w:ascii="宋体" w:hAnsi="宋体" w:cs="宋体" w:eastAsia="宋体" w:hint="default"/>
          <w:sz w:val="22"/>
          <w:szCs w:val="22"/>
        </w:rPr>
      </w:pPr>
      <w:r>
        <w:rPr>
          <w:rFonts w:ascii="宋体" w:hAnsi="宋体" w:cs="宋体" w:eastAsia="宋体" w:hint="default"/>
          <w:spacing w:val="-3"/>
          <w:sz w:val="22"/>
          <w:szCs w:val="22"/>
        </w:rPr>
        <w:t>以其转换当日的公允价值作为自用房地产的账面价值，公允价值与原账面价值的差额计入</w:t>
      </w:r>
    </w:p>
    <w:p>
      <w:pPr>
        <w:spacing w:line="297" w:lineRule="auto" w:before="69"/>
        <w:ind w:left="222" w:right="217" w:firstLine="0"/>
        <w:jc w:val="both"/>
        <w:rPr>
          <w:rFonts w:ascii="宋体" w:hAnsi="宋体" w:cs="宋体" w:eastAsia="宋体" w:hint="default"/>
          <w:sz w:val="22"/>
          <w:szCs w:val="22"/>
        </w:rPr>
      </w:pPr>
      <w:r>
        <w:rPr>
          <w:rFonts w:ascii="宋体" w:hAnsi="宋体" w:cs="宋体" w:eastAsia="宋体" w:hint="default"/>
          <w:spacing w:val="-3"/>
          <w:sz w:val="22"/>
          <w:szCs w:val="22"/>
        </w:rPr>
        <w:t>当期损益。自用房地产或存货转换为采用公允价值模式计量的投资性房地产时，投资性房</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地产按照转换当日的公允价值计价，转换当日的公允价值小于原账面价值的，其差额计入</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当期损益；转换当日的公允价值大于原账面价值的，其差额计入其他综合收益。</w:t>
      </w:r>
    </w:p>
    <w:p>
      <w:pPr>
        <w:spacing w:line="288" w:lineRule="auto" w:before="74"/>
        <w:ind w:left="661" w:right="106" w:firstLine="14"/>
        <w:jc w:val="left"/>
        <w:rPr>
          <w:rFonts w:ascii="宋体" w:hAnsi="宋体" w:cs="宋体" w:eastAsia="宋体" w:hint="default"/>
          <w:sz w:val="22"/>
          <w:szCs w:val="22"/>
        </w:rPr>
      </w:pPr>
      <w:r>
        <w:rPr>
          <w:rFonts w:ascii="宋体" w:hAnsi="宋体" w:cs="宋体" w:eastAsia="宋体" w:hint="default"/>
          <w:b/>
          <w:bCs/>
          <w:sz w:val="22"/>
          <w:szCs w:val="22"/>
        </w:rPr>
        <w:t>15.</w:t>
      </w:r>
      <w:r>
        <w:rPr>
          <w:rFonts w:ascii="宋体" w:hAnsi="宋体" w:cs="宋体" w:eastAsia="宋体" w:hint="default"/>
          <w:b/>
          <w:bCs/>
          <w:spacing w:val="9"/>
          <w:sz w:val="22"/>
          <w:szCs w:val="22"/>
        </w:rPr>
        <w:t> </w:t>
      </w:r>
      <w:r>
        <w:rPr>
          <w:rFonts w:ascii="宋体" w:hAnsi="宋体" w:cs="宋体" w:eastAsia="宋体" w:hint="default"/>
          <w:sz w:val="22"/>
          <w:szCs w:val="22"/>
        </w:rPr>
        <w:t>固定资产</w:t>
      </w:r>
      <w:r>
        <w:rPr>
          <w:rFonts w:ascii="宋体" w:hAnsi="宋体" w:cs="宋体" w:eastAsia="宋体" w:hint="default"/>
          <w:w w:val="100"/>
          <w:sz w:val="22"/>
          <w:szCs w:val="22"/>
        </w:rPr>
        <w:t> </w:t>
      </w:r>
      <w:r>
        <w:rPr>
          <w:rFonts w:ascii="宋体" w:hAnsi="宋体" w:cs="宋体" w:eastAsia="宋体" w:hint="default"/>
          <w:spacing w:val="-3"/>
          <w:sz w:val="22"/>
          <w:szCs w:val="22"/>
        </w:rPr>
        <w:t>本公司固定资产是指同时具有以下特征，即为生产商品、提供劳务、出租（不包括出</w:t>
      </w:r>
    </w:p>
    <w:p>
      <w:pPr>
        <w:spacing w:line="345" w:lineRule="auto" w:before="25"/>
        <w:ind w:left="661" w:right="106" w:hanging="440"/>
        <w:jc w:val="left"/>
        <w:rPr>
          <w:rFonts w:ascii="宋体" w:hAnsi="宋体" w:cs="宋体" w:eastAsia="宋体" w:hint="default"/>
          <w:sz w:val="22"/>
          <w:szCs w:val="22"/>
        </w:rPr>
      </w:pPr>
      <w:r>
        <w:rPr>
          <w:rFonts w:ascii="宋体" w:hAnsi="宋体" w:cs="宋体" w:eastAsia="宋体" w:hint="default"/>
          <w:sz w:val="22"/>
          <w:szCs w:val="22"/>
        </w:rPr>
        <w:t>租的房屋建筑物）或经营管理而持有的，使用年限超过一年的有形资产。</w:t>
      </w:r>
      <w:r>
        <w:rPr>
          <w:rFonts w:ascii="宋体" w:hAnsi="宋体" w:cs="宋体" w:eastAsia="宋体" w:hint="default"/>
          <w:w w:val="100"/>
          <w:sz w:val="22"/>
          <w:szCs w:val="22"/>
        </w:rPr>
        <w:t> </w:t>
      </w:r>
      <w:r>
        <w:rPr>
          <w:rFonts w:ascii="宋体" w:hAnsi="宋体" w:cs="宋体" w:eastAsia="宋体" w:hint="default"/>
          <w:spacing w:val="-9"/>
          <w:w w:val="100"/>
          <w:sz w:val="22"/>
          <w:szCs w:val="22"/>
        </w:rPr>
        <w:t>固定资产包括房屋建筑物、设备及车辆，按其取得时的实际成本作为入账价值，其中，</w:t>
      </w:r>
    </w:p>
    <w:p>
      <w:pPr>
        <w:spacing w:line="261" w:lineRule="exact" w:before="0"/>
        <w:ind w:left="222" w:right="0" w:firstLine="0"/>
        <w:jc w:val="both"/>
        <w:rPr>
          <w:rFonts w:ascii="宋体" w:hAnsi="宋体" w:cs="宋体" w:eastAsia="宋体" w:hint="default"/>
          <w:sz w:val="22"/>
          <w:szCs w:val="22"/>
        </w:rPr>
      </w:pPr>
      <w:r>
        <w:rPr>
          <w:rFonts w:ascii="宋体" w:hAnsi="宋体" w:cs="宋体" w:eastAsia="宋体" w:hint="default"/>
          <w:spacing w:val="-3"/>
          <w:sz w:val="22"/>
          <w:szCs w:val="22"/>
        </w:rPr>
        <w:t>外购的固定资产的成本包括买价、进口关税等相关税费，以及为使固定资产达到预定可使</w:t>
      </w:r>
    </w:p>
    <w:p>
      <w:pPr>
        <w:spacing w:line="297" w:lineRule="auto" w:before="70"/>
        <w:ind w:left="222" w:right="217" w:firstLine="0"/>
        <w:jc w:val="both"/>
        <w:rPr>
          <w:rFonts w:ascii="宋体" w:hAnsi="宋体" w:cs="宋体" w:eastAsia="宋体" w:hint="default"/>
          <w:sz w:val="22"/>
          <w:szCs w:val="22"/>
        </w:rPr>
      </w:pPr>
      <w:r>
        <w:rPr>
          <w:rFonts w:ascii="宋体" w:hAnsi="宋体" w:cs="宋体" w:eastAsia="宋体" w:hint="default"/>
          <w:spacing w:val="-3"/>
          <w:sz w:val="22"/>
          <w:szCs w:val="22"/>
        </w:rPr>
        <w:t>用状态前所发生的可直接归属于该资产的其他支出；自行建造固定资产的成本，由建造该</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项资产达到预定可使用状态前所发生的必要支出构成；投资者投入的固定资产，按投资合</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同或协议约定的价值作为入账价值，但合同或协议约定价值不公允的按公允价值入账；融</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资租赁租入的固定资产，按租赁开始日租赁资产公允价值与最低租赁付款额的现值两者中</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较低者，作为入账价值。</w:t>
      </w:r>
    </w:p>
    <w:p>
      <w:pPr>
        <w:spacing w:line="297" w:lineRule="auto" w:before="77"/>
        <w:ind w:left="222" w:right="214" w:firstLine="439"/>
        <w:jc w:val="both"/>
        <w:rPr>
          <w:rFonts w:ascii="宋体" w:hAnsi="宋体" w:cs="宋体" w:eastAsia="宋体" w:hint="default"/>
          <w:sz w:val="22"/>
          <w:szCs w:val="22"/>
        </w:rPr>
      </w:pPr>
      <w:r>
        <w:rPr>
          <w:rFonts w:ascii="宋体" w:hAnsi="宋体" w:cs="宋体" w:eastAsia="宋体" w:hint="default"/>
          <w:spacing w:val="-3"/>
          <w:sz w:val="22"/>
          <w:szCs w:val="22"/>
        </w:rPr>
        <w:t>除已提足折旧仍继续使用的固定资产外，公司对所有固定资产计提折旧。固定资产采</w:t>
      </w:r>
      <w:r>
        <w:rPr>
          <w:rFonts w:ascii="宋体" w:hAnsi="宋体" w:cs="宋体" w:eastAsia="宋体" w:hint="default"/>
          <w:w w:val="100"/>
          <w:sz w:val="22"/>
          <w:szCs w:val="22"/>
        </w:rPr>
        <w:t> </w:t>
      </w:r>
      <w:r>
        <w:rPr>
          <w:rFonts w:ascii="宋体" w:hAnsi="宋体" w:cs="宋体" w:eastAsia="宋体" w:hint="default"/>
          <w:spacing w:val="-3"/>
          <w:sz w:val="22"/>
          <w:szCs w:val="22"/>
        </w:rPr>
        <w:t>用平均年限法计提折旧。根据固定资产的类别、估计经济使用年限、预计残值（残值率为</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3-5%</w:t>
      </w:r>
      <w:r>
        <w:rPr>
          <w:rFonts w:ascii="宋体" w:hAnsi="宋体" w:cs="宋体" w:eastAsia="宋体" w:hint="default"/>
          <w:sz w:val="22"/>
          <w:szCs w:val="22"/>
        </w:rPr>
        <w:t>）确定折旧率如下：</w:t>
      </w:r>
    </w:p>
    <w:p>
      <w:pPr>
        <w:spacing w:line="240" w:lineRule="auto" w:before="8"/>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2907"/>
        <w:gridCol w:w="2841"/>
        <w:gridCol w:w="2978"/>
      </w:tblGrid>
      <w:tr>
        <w:trPr>
          <w:trHeight w:val="307" w:hRule="exact"/>
        </w:trPr>
        <w:tc>
          <w:tcPr>
            <w:tcW w:w="2907" w:type="dxa"/>
            <w:tcBorders>
              <w:top w:val="single" w:sz="12" w:space="0" w:color="000000"/>
              <w:left w:val="nil" w:sz="6" w:space="0" w:color="auto"/>
              <w:bottom w:val="single" w:sz="4" w:space="0" w:color="000000"/>
              <w:right w:val="nil" w:sz="6" w:space="0" w:color="auto"/>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资产类别</w:t>
            </w:r>
            <w:r>
              <w:rPr>
                <w:rFonts w:ascii="宋体" w:hAnsi="宋体" w:cs="宋体" w:eastAsia="宋体" w:hint="default"/>
                <w:sz w:val="18"/>
                <w:szCs w:val="18"/>
              </w:rPr>
            </w:r>
          </w:p>
        </w:tc>
        <w:tc>
          <w:tcPr>
            <w:tcW w:w="2841"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66" w:right="0"/>
              <w:jc w:val="center"/>
              <w:rPr>
                <w:rFonts w:ascii="宋体" w:hAnsi="宋体" w:cs="宋体" w:eastAsia="宋体" w:hint="default"/>
                <w:sz w:val="18"/>
                <w:szCs w:val="18"/>
              </w:rPr>
            </w:pPr>
            <w:r>
              <w:rPr>
                <w:rFonts w:ascii="宋体" w:hAnsi="宋体" w:cs="宋体" w:eastAsia="宋体" w:hint="default"/>
                <w:b/>
                <w:bCs/>
                <w:sz w:val="18"/>
                <w:szCs w:val="18"/>
              </w:rPr>
              <w:t>折旧年限</w:t>
            </w:r>
            <w:r>
              <w:rPr>
                <w:rFonts w:ascii="宋体" w:hAnsi="宋体" w:cs="宋体" w:eastAsia="宋体" w:hint="default"/>
                <w:sz w:val="18"/>
                <w:szCs w:val="18"/>
              </w:rPr>
            </w:r>
          </w:p>
        </w:tc>
        <w:tc>
          <w:tcPr>
            <w:tcW w:w="297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66" w:right="0"/>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sz w:val="18"/>
                <w:szCs w:val="18"/>
              </w:rPr>
            </w:r>
          </w:p>
        </w:tc>
      </w:tr>
      <w:tr>
        <w:trPr>
          <w:trHeight w:val="288" w:hRule="exact"/>
        </w:trPr>
        <w:tc>
          <w:tcPr>
            <w:tcW w:w="2907"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841" w:type="dxa"/>
            <w:tcBorders>
              <w:top w:val="single" w:sz="4" w:space="0" w:color="000000"/>
              <w:left w:val="nil" w:sz="6" w:space="0" w:color="auto"/>
              <w:bottom w:val="nil" w:sz="6" w:space="0" w:color="auto"/>
              <w:right w:val="nil" w:sz="6" w:space="0" w:color="auto"/>
            </w:tcBorders>
          </w:tcPr>
          <w:p>
            <w:pPr>
              <w:pStyle w:val="TableParagraph"/>
              <w:spacing w:line="232" w:lineRule="exact"/>
              <w:ind w:left="69" w:right="0"/>
              <w:jc w:val="center"/>
              <w:rPr>
                <w:rFonts w:ascii="宋体" w:hAnsi="宋体" w:cs="宋体" w:eastAsia="宋体" w:hint="default"/>
                <w:sz w:val="18"/>
                <w:szCs w:val="18"/>
              </w:rPr>
            </w:pPr>
            <w:r>
              <w:rPr>
                <w:rFonts w:ascii="宋体" w:hAnsi="宋体" w:cs="宋体" w:eastAsia="宋体" w:hint="default"/>
                <w:sz w:val="18"/>
                <w:szCs w:val="18"/>
              </w:rPr>
              <w:t>30-50</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978" w:type="dxa"/>
            <w:tcBorders>
              <w:top w:val="single" w:sz="4" w:space="0" w:color="000000"/>
              <w:left w:val="nil" w:sz="6" w:space="0" w:color="auto"/>
              <w:bottom w:val="nil" w:sz="6" w:space="0" w:color="auto"/>
              <w:right w:val="nil" w:sz="6" w:space="0" w:color="auto"/>
            </w:tcBorders>
          </w:tcPr>
          <w:p>
            <w:pPr>
              <w:pStyle w:val="TableParagraph"/>
              <w:spacing w:line="232" w:lineRule="exact"/>
              <w:ind w:left="1072" w:right="0"/>
              <w:jc w:val="left"/>
              <w:rPr>
                <w:rFonts w:ascii="宋体" w:hAnsi="宋体" w:cs="宋体" w:eastAsia="宋体" w:hint="default"/>
                <w:sz w:val="18"/>
                <w:szCs w:val="18"/>
              </w:rPr>
            </w:pPr>
            <w:r>
              <w:rPr>
                <w:rFonts w:ascii="宋体"/>
                <w:sz w:val="18"/>
              </w:rPr>
              <w:t>2.11-3.23%</w:t>
            </w:r>
          </w:p>
        </w:tc>
      </w:tr>
      <w:tr>
        <w:trPr>
          <w:trHeight w:val="285" w:hRule="exact"/>
        </w:trPr>
        <w:tc>
          <w:tcPr>
            <w:tcW w:w="290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2841" w:type="dxa"/>
            <w:tcBorders>
              <w:top w:val="nil" w:sz="6" w:space="0" w:color="auto"/>
              <w:left w:val="nil" w:sz="6" w:space="0" w:color="auto"/>
              <w:bottom w:val="nil" w:sz="6" w:space="0" w:color="auto"/>
              <w:right w:val="nil" w:sz="6" w:space="0" w:color="auto"/>
            </w:tcBorders>
          </w:tcPr>
          <w:p>
            <w:pPr>
              <w:pStyle w:val="TableParagraph"/>
              <w:spacing w:line="232" w:lineRule="exact"/>
              <w:ind w:left="71" w:right="0"/>
              <w:jc w:val="center"/>
              <w:rPr>
                <w:rFonts w:ascii="宋体" w:hAnsi="宋体" w:cs="宋体" w:eastAsia="宋体" w:hint="default"/>
                <w:sz w:val="18"/>
                <w:szCs w:val="18"/>
              </w:rPr>
            </w:pPr>
            <w:r>
              <w:rPr>
                <w:rFonts w:ascii="宋体" w:hAnsi="宋体" w:cs="宋体" w:eastAsia="宋体" w:hint="default"/>
                <w:sz w:val="18"/>
                <w:szCs w:val="18"/>
              </w:rPr>
              <w:t>5-10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978" w:type="dxa"/>
            <w:tcBorders>
              <w:top w:val="nil" w:sz="6" w:space="0" w:color="auto"/>
              <w:left w:val="nil" w:sz="6" w:space="0" w:color="auto"/>
              <w:bottom w:val="nil" w:sz="6" w:space="0" w:color="auto"/>
              <w:right w:val="nil" w:sz="6" w:space="0" w:color="auto"/>
            </w:tcBorders>
          </w:tcPr>
          <w:p>
            <w:pPr>
              <w:pStyle w:val="TableParagraph"/>
              <w:spacing w:line="232" w:lineRule="exact"/>
              <w:ind w:left="1026" w:right="0"/>
              <w:jc w:val="left"/>
              <w:rPr>
                <w:rFonts w:ascii="宋体" w:hAnsi="宋体" w:cs="宋体" w:eastAsia="宋体" w:hint="default"/>
                <w:sz w:val="18"/>
                <w:szCs w:val="18"/>
              </w:rPr>
            </w:pPr>
            <w:r>
              <w:rPr>
                <w:rFonts w:ascii="宋体"/>
                <w:sz w:val="18"/>
              </w:rPr>
              <w:t>9.50-19.40%</w:t>
            </w:r>
          </w:p>
        </w:tc>
      </w:tr>
      <w:tr>
        <w:trPr>
          <w:trHeight w:val="303" w:hRule="exact"/>
        </w:trPr>
        <w:tc>
          <w:tcPr>
            <w:tcW w:w="2907" w:type="dxa"/>
            <w:tcBorders>
              <w:top w:val="nil" w:sz="6" w:space="0" w:color="auto"/>
              <w:left w:val="nil" w:sz="6" w:space="0" w:color="auto"/>
              <w:bottom w:val="single" w:sz="1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2841" w:type="dxa"/>
            <w:tcBorders>
              <w:top w:val="nil" w:sz="6" w:space="0" w:color="auto"/>
              <w:left w:val="nil" w:sz="6" w:space="0" w:color="auto"/>
              <w:bottom w:val="single" w:sz="12" w:space="0" w:color="000000"/>
              <w:right w:val="nil" w:sz="6" w:space="0" w:color="auto"/>
            </w:tcBorders>
          </w:tcPr>
          <w:p>
            <w:pPr>
              <w:pStyle w:val="TableParagraph"/>
              <w:spacing w:line="233" w:lineRule="exact"/>
              <w:ind w:left="69"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2"/>
                <w:sz w:val="18"/>
                <w:szCs w:val="18"/>
              </w:rPr>
              <w:t> </w:t>
            </w:r>
            <w:r>
              <w:rPr>
                <w:rFonts w:ascii="宋体" w:hAnsi="宋体" w:cs="宋体" w:eastAsia="宋体" w:hint="default"/>
                <w:sz w:val="18"/>
                <w:szCs w:val="18"/>
              </w:rPr>
              <w:t>年</w:t>
            </w:r>
          </w:p>
        </w:tc>
        <w:tc>
          <w:tcPr>
            <w:tcW w:w="2978" w:type="dxa"/>
            <w:tcBorders>
              <w:top w:val="nil" w:sz="6" w:space="0" w:color="auto"/>
              <w:left w:val="nil" w:sz="6" w:space="0" w:color="auto"/>
              <w:bottom w:val="single" w:sz="12" w:space="0" w:color="000000"/>
              <w:right w:val="nil" w:sz="6" w:space="0" w:color="auto"/>
            </w:tcBorders>
          </w:tcPr>
          <w:p>
            <w:pPr>
              <w:pStyle w:val="TableParagraph"/>
              <w:spacing w:line="233" w:lineRule="exact"/>
              <w:ind w:left="1072" w:right="0"/>
              <w:jc w:val="left"/>
              <w:rPr>
                <w:rFonts w:ascii="宋体" w:hAnsi="宋体" w:cs="宋体" w:eastAsia="宋体" w:hint="default"/>
                <w:sz w:val="18"/>
                <w:szCs w:val="18"/>
              </w:rPr>
            </w:pPr>
            <w:r>
              <w:rPr>
                <w:rFonts w:ascii="宋体"/>
                <w:sz w:val="18"/>
              </w:rPr>
              <w:t>9.50-9.70%</w:t>
            </w:r>
          </w:p>
        </w:tc>
      </w:tr>
    </w:tbl>
    <w:p>
      <w:pPr>
        <w:spacing w:line="297" w:lineRule="auto" w:before="21"/>
        <w:ind w:left="222" w:right="217" w:firstLine="439"/>
        <w:jc w:val="both"/>
        <w:rPr>
          <w:rFonts w:ascii="宋体" w:hAnsi="宋体" w:cs="宋体" w:eastAsia="宋体" w:hint="default"/>
          <w:sz w:val="22"/>
          <w:szCs w:val="22"/>
        </w:rPr>
      </w:pPr>
      <w:r>
        <w:rPr>
          <w:rFonts w:ascii="宋体" w:hAnsi="宋体" w:cs="宋体" w:eastAsia="宋体" w:hint="default"/>
          <w:spacing w:val="-3"/>
          <w:sz w:val="22"/>
          <w:szCs w:val="22"/>
        </w:rPr>
        <w:t>固定资产后续支出的处理：固定资产的后续支出主要包括更新改良支出、修理支出等</w:t>
      </w:r>
      <w:r>
        <w:rPr>
          <w:rFonts w:ascii="宋体" w:hAnsi="宋体" w:cs="宋体" w:eastAsia="宋体" w:hint="default"/>
          <w:w w:val="100"/>
          <w:sz w:val="22"/>
          <w:szCs w:val="22"/>
        </w:rPr>
        <w:t> </w:t>
      </w:r>
      <w:r>
        <w:rPr>
          <w:rFonts w:ascii="宋体" w:hAnsi="宋体" w:cs="宋体" w:eastAsia="宋体" w:hint="default"/>
          <w:spacing w:val="-3"/>
          <w:sz w:val="22"/>
          <w:szCs w:val="22"/>
        </w:rPr>
        <w:t>内容，在相关的经济利益很可能流入且其成本能够可靠的计量时，计入固定资产成本，对</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于被替换的部分，终止确认其账面价值；所有其他后续支出于发生时计入当期损益。</w:t>
      </w:r>
    </w:p>
    <w:p>
      <w:pPr>
        <w:spacing w:line="297" w:lineRule="auto" w:before="74"/>
        <w:ind w:left="222" w:right="217" w:firstLine="439"/>
        <w:jc w:val="both"/>
        <w:rPr>
          <w:rFonts w:ascii="宋体" w:hAnsi="宋体" w:cs="宋体" w:eastAsia="宋体" w:hint="default"/>
          <w:sz w:val="22"/>
          <w:szCs w:val="22"/>
        </w:rPr>
      </w:pPr>
      <w:r>
        <w:rPr>
          <w:rFonts w:ascii="宋体" w:hAnsi="宋体" w:cs="宋体" w:eastAsia="宋体" w:hint="default"/>
          <w:spacing w:val="-3"/>
          <w:sz w:val="22"/>
          <w:szCs w:val="22"/>
        </w:rPr>
        <w:t>本公司于每个资产负债表日，对固定资产的预计使用寿命、预计净残值和折旧方法进</w:t>
      </w:r>
      <w:r>
        <w:rPr>
          <w:rFonts w:ascii="宋体" w:hAnsi="宋体" w:cs="宋体" w:eastAsia="宋体" w:hint="default"/>
          <w:w w:val="100"/>
          <w:sz w:val="22"/>
          <w:szCs w:val="22"/>
        </w:rPr>
        <w:t> </w:t>
      </w:r>
      <w:r>
        <w:rPr>
          <w:rFonts w:ascii="宋体" w:hAnsi="宋体" w:cs="宋体" w:eastAsia="宋体" w:hint="default"/>
          <w:sz w:val="22"/>
          <w:szCs w:val="22"/>
        </w:rPr>
        <w:t>行复核，如发生改变，则作为会计估计变更处理。</w:t>
      </w:r>
    </w:p>
    <w:p>
      <w:pPr>
        <w:spacing w:after="0" w:line="297" w:lineRule="auto"/>
        <w:jc w:val="both"/>
        <w:rPr>
          <w:rFonts w:ascii="宋体" w:hAnsi="宋体" w:cs="宋体" w:eastAsia="宋体" w:hint="default"/>
          <w:sz w:val="22"/>
          <w:szCs w:val="22"/>
        </w:rPr>
        <w:sectPr>
          <w:pgSz w:w="11910" w:h="16840"/>
          <w:pgMar w:header="0" w:footer="1054" w:top="1360" w:bottom="1240" w:left="1480" w:right="1480"/>
        </w:sectPr>
      </w:pPr>
    </w:p>
    <w:p>
      <w:pPr>
        <w:spacing w:line="297" w:lineRule="auto" w:before="6"/>
        <w:ind w:left="102" w:right="337" w:firstLine="439"/>
        <w:jc w:val="both"/>
        <w:rPr>
          <w:rFonts w:ascii="宋体" w:hAnsi="宋体" w:cs="宋体" w:eastAsia="宋体" w:hint="default"/>
          <w:sz w:val="22"/>
          <w:szCs w:val="22"/>
        </w:rPr>
      </w:pPr>
      <w:r>
        <w:rPr>
          <w:rFonts w:ascii="宋体" w:hAnsi="宋体" w:cs="宋体" w:eastAsia="宋体" w:hint="default"/>
          <w:spacing w:val="-3"/>
          <w:sz w:val="22"/>
          <w:szCs w:val="22"/>
        </w:rPr>
        <w:t>当固定资产被处置、或者预期通过使用或处置不能产生经济利益时，终止确认该固定</w:t>
      </w:r>
      <w:r>
        <w:rPr>
          <w:rFonts w:ascii="宋体" w:hAnsi="宋体" w:cs="宋体" w:eastAsia="宋体" w:hint="default"/>
          <w:w w:val="100"/>
          <w:sz w:val="22"/>
          <w:szCs w:val="22"/>
        </w:rPr>
        <w:t> </w:t>
      </w:r>
      <w:r>
        <w:rPr>
          <w:rFonts w:ascii="宋体" w:hAnsi="宋体" w:cs="宋体" w:eastAsia="宋体" w:hint="default"/>
          <w:spacing w:val="-3"/>
          <w:sz w:val="22"/>
          <w:szCs w:val="22"/>
        </w:rPr>
        <w:t>资产。固定资产出售、转让、报废或毁损的处置收入扣除其账面价值和相关税费后的金额</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z w:val="22"/>
          <w:szCs w:val="22"/>
        </w:rPr>
        <w:t>计入当期损益。</w:t>
      </w:r>
    </w:p>
    <w:p>
      <w:pPr>
        <w:spacing w:line="288" w:lineRule="auto" w:before="77"/>
        <w:ind w:left="541" w:right="106" w:firstLine="14"/>
        <w:jc w:val="left"/>
        <w:rPr>
          <w:rFonts w:ascii="宋体" w:hAnsi="宋体" w:cs="宋体" w:eastAsia="宋体" w:hint="default"/>
          <w:sz w:val="22"/>
          <w:szCs w:val="22"/>
        </w:rPr>
      </w:pPr>
      <w:r>
        <w:rPr>
          <w:rFonts w:ascii="宋体" w:hAnsi="宋体" w:cs="宋体" w:eastAsia="宋体" w:hint="default"/>
          <w:b/>
          <w:bCs/>
          <w:sz w:val="22"/>
          <w:szCs w:val="22"/>
        </w:rPr>
        <w:t>16.</w:t>
      </w:r>
      <w:r>
        <w:rPr>
          <w:rFonts w:ascii="宋体" w:hAnsi="宋体" w:cs="宋体" w:eastAsia="宋体" w:hint="default"/>
          <w:b/>
          <w:bCs/>
          <w:spacing w:val="9"/>
          <w:sz w:val="22"/>
          <w:szCs w:val="22"/>
        </w:rPr>
        <w:t> </w:t>
      </w:r>
      <w:r>
        <w:rPr>
          <w:rFonts w:ascii="宋体" w:hAnsi="宋体" w:cs="宋体" w:eastAsia="宋体" w:hint="default"/>
          <w:sz w:val="22"/>
          <w:szCs w:val="22"/>
        </w:rPr>
        <w:t>在建工程</w:t>
      </w:r>
      <w:r>
        <w:rPr>
          <w:rFonts w:ascii="宋体" w:hAnsi="宋体" w:cs="宋体" w:eastAsia="宋体" w:hint="default"/>
          <w:w w:val="100"/>
          <w:sz w:val="22"/>
          <w:szCs w:val="22"/>
        </w:rPr>
        <w:t> </w:t>
      </w:r>
      <w:r>
        <w:rPr>
          <w:rFonts w:ascii="宋体" w:hAnsi="宋体" w:cs="宋体" w:eastAsia="宋体" w:hint="default"/>
          <w:spacing w:val="-3"/>
          <w:sz w:val="22"/>
          <w:szCs w:val="22"/>
        </w:rPr>
        <w:t>在建工程按实际发生的成本计量。自营工程按直接材料、直接工资、直接施工费等计</w:t>
      </w:r>
    </w:p>
    <w:p>
      <w:pPr>
        <w:spacing w:line="297" w:lineRule="auto" w:before="23"/>
        <w:ind w:left="102" w:right="106" w:firstLine="0"/>
        <w:jc w:val="left"/>
        <w:rPr>
          <w:rFonts w:ascii="宋体" w:hAnsi="宋体" w:cs="宋体" w:eastAsia="宋体" w:hint="default"/>
          <w:sz w:val="22"/>
          <w:szCs w:val="22"/>
        </w:rPr>
      </w:pPr>
      <w:r>
        <w:rPr>
          <w:rFonts w:ascii="宋体" w:hAnsi="宋体" w:cs="宋体" w:eastAsia="宋体" w:hint="default"/>
          <w:spacing w:val="-9"/>
          <w:w w:val="100"/>
          <w:sz w:val="22"/>
          <w:szCs w:val="22"/>
        </w:rPr>
        <w:t>量；出包工程按应支付的工程价款等计量；设备安装工程按所安装设备的价值、安装费用、</w:t>
      </w:r>
      <w:r>
        <w:rPr>
          <w:rFonts w:ascii="宋体" w:hAnsi="宋体" w:cs="宋体" w:eastAsia="宋体" w:hint="default"/>
          <w:spacing w:val="-80"/>
          <w:w w:val="100"/>
          <w:sz w:val="22"/>
          <w:szCs w:val="22"/>
        </w:rPr>
        <w:t> </w:t>
      </w:r>
      <w:r>
        <w:rPr>
          <w:rFonts w:ascii="宋体" w:hAnsi="宋体" w:cs="宋体" w:eastAsia="宋体" w:hint="default"/>
          <w:spacing w:val="-80"/>
          <w:w w:val="100"/>
          <w:sz w:val="22"/>
          <w:szCs w:val="22"/>
        </w:rPr>
      </w:r>
      <w:r>
        <w:rPr>
          <w:rFonts w:ascii="宋体" w:hAnsi="宋体" w:cs="宋体" w:eastAsia="宋体" w:hint="default"/>
          <w:spacing w:val="-3"/>
          <w:sz w:val="22"/>
          <w:szCs w:val="22"/>
        </w:rPr>
        <w:t>工程试运转等所发生的支出等确定工程成本。在建工程成本还包括应当资本化的借款费用。</w:t>
      </w:r>
    </w:p>
    <w:p>
      <w:pPr>
        <w:spacing w:line="297" w:lineRule="auto" w:before="74"/>
        <w:ind w:left="102" w:right="337" w:firstLine="439"/>
        <w:jc w:val="both"/>
        <w:rPr>
          <w:rFonts w:ascii="宋体" w:hAnsi="宋体" w:cs="宋体" w:eastAsia="宋体" w:hint="default"/>
          <w:sz w:val="22"/>
          <w:szCs w:val="22"/>
        </w:rPr>
      </w:pPr>
      <w:r>
        <w:rPr>
          <w:rFonts w:ascii="宋体" w:hAnsi="宋体" w:cs="宋体" w:eastAsia="宋体" w:hint="default"/>
          <w:spacing w:val="-3"/>
          <w:sz w:val="22"/>
          <w:szCs w:val="22"/>
        </w:rPr>
        <w:t>本公司建造的固定资产在达到预定可使用状态之日起，根据工程预算、造价或工程实</w:t>
      </w:r>
      <w:r>
        <w:rPr>
          <w:rFonts w:ascii="宋体" w:hAnsi="宋体" w:cs="宋体" w:eastAsia="宋体" w:hint="default"/>
          <w:w w:val="100"/>
          <w:sz w:val="22"/>
          <w:szCs w:val="22"/>
        </w:rPr>
        <w:t> </w:t>
      </w:r>
      <w:r>
        <w:rPr>
          <w:rFonts w:ascii="宋体" w:hAnsi="宋体" w:cs="宋体" w:eastAsia="宋体" w:hint="default"/>
          <w:spacing w:val="-3"/>
          <w:sz w:val="22"/>
          <w:szCs w:val="22"/>
        </w:rPr>
        <w:t>际成本等，按估计的价值结转固定资产，次月起开始计提折旧。待办理了竣工决算手续后</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再对固定资产原值差异作调整。</w:t>
      </w:r>
    </w:p>
    <w:p>
      <w:pPr>
        <w:spacing w:line="288" w:lineRule="auto" w:before="74"/>
        <w:ind w:left="541" w:right="106" w:firstLine="14"/>
        <w:jc w:val="left"/>
        <w:rPr>
          <w:rFonts w:ascii="宋体" w:hAnsi="宋体" w:cs="宋体" w:eastAsia="宋体" w:hint="default"/>
          <w:sz w:val="22"/>
          <w:szCs w:val="22"/>
        </w:rPr>
      </w:pPr>
      <w:r>
        <w:rPr>
          <w:rFonts w:ascii="宋体" w:hAnsi="宋体" w:cs="宋体" w:eastAsia="宋体" w:hint="default"/>
          <w:b/>
          <w:bCs/>
          <w:sz w:val="22"/>
          <w:szCs w:val="22"/>
        </w:rPr>
        <w:t>17.</w:t>
      </w:r>
      <w:r>
        <w:rPr>
          <w:rFonts w:ascii="宋体" w:hAnsi="宋体" w:cs="宋体" w:eastAsia="宋体" w:hint="default"/>
          <w:b/>
          <w:bCs/>
          <w:spacing w:val="9"/>
          <w:sz w:val="22"/>
          <w:szCs w:val="22"/>
        </w:rPr>
        <w:t> </w:t>
      </w:r>
      <w:r>
        <w:rPr>
          <w:rFonts w:ascii="宋体" w:hAnsi="宋体" w:cs="宋体" w:eastAsia="宋体" w:hint="default"/>
          <w:sz w:val="22"/>
          <w:szCs w:val="22"/>
        </w:rPr>
        <w:t>借款费用</w:t>
      </w:r>
      <w:r>
        <w:rPr>
          <w:rFonts w:ascii="宋体" w:hAnsi="宋体" w:cs="宋体" w:eastAsia="宋体" w:hint="default"/>
          <w:w w:val="100"/>
          <w:sz w:val="22"/>
          <w:szCs w:val="22"/>
        </w:rPr>
        <w:t> </w:t>
      </w:r>
      <w:r>
        <w:rPr>
          <w:rFonts w:ascii="宋体" w:hAnsi="宋体" w:cs="宋体" w:eastAsia="宋体" w:hint="default"/>
          <w:spacing w:val="-3"/>
          <w:sz w:val="22"/>
          <w:szCs w:val="22"/>
        </w:rPr>
        <w:t>借款费用资本化的确认原则：本公司将发生的、可直接归属于符合资本化条件的资产</w:t>
      </w:r>
    </w:p>
    <w:p>
      <w:pPr>
        <w:spacing w:line="297" w:lineRule="auto" w:before="25"/>
        <w:ind w:left="102" w:right="337" w:firstLine="0"/>
        <w:jc w:val="both"/>
        <w:rPr>
          <w:rFonts w:ascii="宋体" w:hAnsi="宋体" w:cs="宋体" w:eastAsia="宋体" w:hint="default"/>
          <w:sz w:val="22"/>
          <w:szCs w:val="22"/>
        </w:rPr>
      </w:pPr>
      <w:r>
        <w:rPr>
          <w:rFonts w:ascii="宋体" w:hAnsi="宋体" w:cs="宋体" w:eastAsia="宋体" w:hint="default"/>
          <w:spacing w:val="-3"/>
          <w:sz w:val="22"/>
          <w:szCs w:val="22"/>
        </w:rPr>
        <w:t>的购建或者生产的借款费用予以资本化，计入相关资产成本；其他借款费用，在发生时根</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据其发生额确认为费用，计入当期损益。符合资本化条件的资产，是指需要经过相当长时</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8"/>
          <w:sz w:val="22"/>
          <w:szCs w:val="22"/>
        </w:rPr>
        <w:t>间（通常指</w:t>
      </w:r>
      <w:r>
        <w:rPr>
          <w:rFonts w:ascii="宋体" w:hAnsi="宋体" w:cs="宋体" w:eastAsia="宋体" w:hint="default"/>
          <w:spacing w:val="-29"/>
          <w:sz w:val="22"/>
          <w:szCs w:val="22"/>
        </w:rPr>
        <w:t> </w:t>
      </w:r>
      <w:r>
        <w:rPr>
          <w:rFonts w:ascii="宋体" w:hAnsi="宋体" w:cs="宋体" w:eastAsia="宋体" w:hint="default"/>
          <w:sz w:val="22"/>
          <w:szCs w:val="22"/>
        </w:rPr>
        <w:t>1</w:t>
      </w:r>
      <w:r>
        <w:rPr>
          <w:rFonts w:ascii="宋体" w:hAnsi="宋体" w:cs="宋体" w:eastAsia="宋体" w:hint="default"/>
          <w:spacing w:val="-29"/>
          <w:sz w:val="22"/>
          <w:szCs w:val="22"/>
        </w:rPr>
        <w:t> </w:t>
      </w:r>
      <w:r>
        <w:rPr>
          <w:rFonts w:ascii="宋体" w:hAnsi="宋体" w:cs="宋体" w:eastAsia="宋体" w:hint="default"/>
          <w:spacing w:val="-3"/>
          <w:sz w:val="22"/>
          <w:szCs w:val="22"/>
        </w:rPr>
        <w:t>年以上）的购建或者生产活动才能达到预定可使用或者可销售状态的固定资</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产、无形资产和存货等资产。</w:t>
      </w:r>
    </w:p>
    <w:p>
      <w:pPr>
        <w:spacing w:line="297" w:lineRule="auto" w:before="77"/>
        <w:ind w:left="102" w:right="336" w:firstLine="439"/>
        <w:jc w:val="both"/>
        <w:rPr>
          <w:rFonts w:ascii="宋体" w:hAnsi="宋体" w:cs="宋体" w:eastAsia="宋体" w:hint="default"/>
          <w:sz w:val="22"/>
          <w:szCs w:val="22"/>
        </w:rPr>
      </w:pPr>
      <w:r>
        <w:rPr>
          <w:rFonts w:ascii="宋体" w:hAnsi="宋体" w:cs="宋体" w:eastAsia="宋体" w:hint="default"/>
          <w:spacing w:val="-3"/>
          <w:sz w:val="22"/>
          <w:szCs w:val="22"/>
        </w:rPr>
        <w:t>借款费用资本化的期间：当资产支出已经发生、借款费用已经发生且为使资产达到预</w:t>
      </w:r>
      <w:r>
        <w:rPr>
          <w:rFonts w:ascii="宋体" w:hAnsi="宋体" w:cs="宋体" w:eastAsia="宋体" w:hint="default"/>
          <w:w w:val="100"/>
          <w:sz w:val="22"/>
          <w:szCs w:val="22"/>
        </w:rPr>
        <w:t> </w:t>
      </w:r>
      <w:r>
        <w:rPr>
          <w:rFonts w:ascii="宋体" w:hAnsi="宋体" w:cs="宋体" w:eastAsia="宋体" w:hint="default"/>
          <w:spacing w:val="-3"/>
          <w:sz w:val="22"/>
          <w:szCs w:val="22"/>
        </w:rPr>
        <w:t>定可使用或者可销售状态所必要的购建或者生产活动已经开始时，本公司将与符合资本化</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条件的资产相关的借款费用开始资本化。若符合资本化条件的资产在购建或者生产过程中</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发生非正常中断、且中断时间连续超过</w:t>
      </w:r>
      <w:r>
        <w:rPr>
          <w:rFonts w:ascii="宋体" w:hAnsi="宋体" w:cs="宋体" w:eastAsia="宋体" w:hint="default"/>
          <w:spacing w:val="-29"/>
          <w:sz w:val="22"/>
          <w:szCs w:val="22"/>
        </w:rPr>
        <w:t> </w:t>
      </w:r>
      <w:r>
        <w:rPr>
          <w:rFonts w:ascii="宋体" w:hAnsi="宋体" w:cs="宋体" w:eastAsia="宋体" w:hint="default"/>
          <w:sz w:val="22"/>
          <w:szCs w:val="22"/>
        </w:rPr>
        <w:t>3</w:t>
      </w:r>
      <w:r>
        <w:rPr>
          <w:rFonts w:ascii="宋体" w:hAnsi="宋体" w:cs="宋体" w:eastAsia="宋体" w:hint="default"/>
          <w:spacing w:val="-34"/>
          <w:sz w:val="22"/>
          <w:szCs w:val="22"/>
        </w:rPr>
        <w:t> </w:t>
      </w:r>
      <w:r>
        <w:rPr>
          <w:rFonts w:ascii="宋体" w:hAnsi="宋体" w:cs="宋体" w:eastAsia="宋体" w:hint="default"/>
          <w:spacing w:val="-4"/>
          <w:sz w:val="22"/>
          <w:szCs w:val="22"/>
        </w:rPr>
        <w:t>个月，则暂停借款费用的资本化；当购建或者生</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产符合资本化条件的资产达到预定可使用或者可销售状态时，借款费用停止资本化。</w:t>
      </w:r>
    </w:p>
    <w:p>
      <w:pPr>
        <w:spacing w:line="297" w:lineRule="auto" w:before="77"/>
        <w:ind w:left="102" w:right="335" w:firstLine="439"/>
        <w:jc w:val="both"/>
        <w:rPr>
          <w:rFonts w:ascii="宋体" w:hAnsi="宋体" w:cs="宋体" w:eastAsia="宋体" w:hint="default"/>
          <w:sz w:val="22"/>
          <w:szCs w:val="22"/>
        </w:rPr>
      </w:pPr>
      <w:r>
        <w:rPr>
          <w:rFonts w:ascii="宋体" w:hAnsi="宋体" w:cs="宋体" w:eastAsia="宋体" w:hint="default"/>
          <w:spacing w:val="-3"/>
          <w:sz w:val="22"/>
          <w:szCs w:val="22"/>
        </w:rPr>
        <w:t>借款费用资本化金额的计算方法：为购建或者生产符合资本化条件的资产而借入专门</w:t>
      </w:r>
      <w:r>
        <w:rPr>
          <w:rFonts w:ascii="宋体" w:hAnsi="宋体" w:cs="宋体" w:eastAsia="宋体" w:hint="default"/>
          <w:w w:val="100"/>
          <w:sz w:val="22"/>
          <w:szCs w:val="22"/>
        </w:rPr>
        <w:t> </w:t>
      </w:r>
      <w:r>
        <w:rPr>
          <w:rFonts w:ascii="宋体" w:hAnsi="宋体" w:cs="宋体" w:eastAsia="宋体" w:hint="default"/>
          <w:spacing w:val="-3"/>
          <w:sz w:val="22"/>
          <w:szCs w:val="22"/>
        </w:rPr>
        <w:t>借款时，本公司以专门借款当期实际发生的利息费用扣除将尚未动用的借款资金存入银行</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取得的利息收入或进行暂时性投资取得的投资收益后的差额作为专门借款利息的资本化</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3"/>
          <w:sz w:val="22"/>
          <w:szCs w:val="22"/>
        </w:rPr>
        <w:t>金额。为购建或者生产符合资本化条件的资产占用一般借款时，本公司根据累计资产支出</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3"/>
          <w:sz w:val="22"/>
          <w:szCs w:val="22"/>
        </w:rPr>
        <w:t>超过专门借款部分的资产支出加权平均数乘以所占用一般借款的加权平均利率，计算确定</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一般借款应予资本化的利息金额。</w:t>
      </w:r>
    </w:p>
    <w:p>
      <w:pPr>
        <w:spacing w:line="285" w:lineRule="auto" w:before="77"/>
        <w:ind w:left="541" w:right="106" w:firstLine="14"/>
        <w:jc w:val="left"/>
        <w:rPr>
          <w:rFonts w:ascii="宋体" w:hAnsi="宋体" w:cs="宋体" w:eastAsia="宋体" w:hint="default"/>
          <w:sz w:val="22"/>
          <w:szCs w:val="22"/>
        </w:rPr>
      </w:pPr>
      <w:r>
        <w:rPr>
          <w:rFonts w:ascii="宋体" w:hAnsi="宋体" w:cs="宋体" w:eastAsia="宋体" w:hint="default"/>
          <w:b/>
          <w:bCs/>
          <w:sz w:val="22"/>
          <w:szCs w:val="22"/>
        </w:rPr>
        <w:t>18.</w:t>
      </w:r>
      <w:r>
        <w:rPr>
          <w:rFonts w:ascii="宋体" w:hAnsi="宋体" w:cs="宋体" w:eastAsia="宋体" w:hint="default"/>
          <w:b/>
          <w:bCs/>
          <w:spacing w:val="9"/>
          <w:sz w:val="22"/>
          <w:szCs w:val="22"/>
        </w:rPr>
        <w:t> </w:t>
      </w:r>
      <w:r>
        <w:rPr>
          <w:rFonts w:ascii="宋体" w:hAnsi="宋体" w:cs="宋体" w:eastAsia="宋体" w:hint="default"/>
          <w:sz w:val="22"/>
          <w:szCs w:val="22"/>
        </w:rPr>
        <w:t>无形资产</w:t>
      </w:r>
      <w:r>
        <w:rPr>
          <w:rFonts w:ascii="宋体" w:hAnsi="宋体" w:cs="宋体" w:eastAsia="宋体" w:hint="default"/>
          <w:w w:val="100"/>
          <w:sz w:val="22"/>
          <w:szCs w:val="22"/>
        </w:rPr>
        <w:t> </w:t>
      </w:r>
      <w:r>
        <w:rPr>
          <w:rFonts w:ascii="宋体" w:hAnsi="宋体" w:cs="宋体" w:eastAsia="宋体" w:hint="default"/>
          <w:spacing w:val="-9"/>
          <w:sz w:val="22"/>
          <w:szCs w:val="22"/>
        </w:rPr>
        <w:t>本公司无形资产主要包括土地、房屋使用权、专利及专有技术、特许经营权、商标权、</w:t>
      </w:r>
    </w:p>
    <w:p>
      <w:pPr>
        <w:spacing w:line="297" w:lineRule="auto" w:before="28"/>
        <w:ind w:left="102" w:right="337" w:firstLine="0"/>
        <w:jc w:val="both"/>
        <w:rPr>
          <w:rFonts w:ascii="宋体" w:hAnsi="宋体" w:cs="宋体" w:eastAsia="宋体" w:hint="default"/>
          <w:sz w:val="22"/>
          <w:szCs w:val="22"/>
        </w:rPr>
      </w:pPr>
      <w:r>
        <w:rPr>
          <w:rFonts w:ascii="宋体" w:hAnsi="宋体" w:cs="宋体" w:eastAsia="宋体" w:hint="default"/>
          <w:spacing w:val="-3"/>
          <w:sz w:val="22"/>
          <w:szCs w:val="22"/>
        </w:rPr>
        <w:t>软件及其他等。购入的无形资产，按实际支付的价款和相关的其他支出作为实际成本。投</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pacing w:val="-3"/>
          <w:sz w:val="22"/>
          <w:szCs w:val="22"/>
        </w:rPr>
        <w:t>资者投入的无形资产，按投资合同或协议约定的价值确定实际成本，但合同或协议约定价</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值不公允的，按公允价值确定实际成本。</w:t>
      </w:r>
    </w:p>
    <w:p>
      <w:pPr>
        <w:spacing w:line="297" w:lineRule="auto" w:before="77"/>
        <w:ind w:left="102" w:right="335" w:firstLine="439"/>
        <w:jc w:val="both"/>
        <w:rPr>
          <w:rFonts w:ascii="宋体" w:hAnsi="宋体" w:cs="宋体" w:eastAsia="宋体" w:hint="default"/>
          <w:sz w:val="22"/>
          <w:szCs w:val="22"/>
        </w:rPr>
      </w:pPr>
      <w:r>
        <w:rPr>
          <w:rFonts w:ascii="宋体" w:hAnsi="宋体" w:cs="宋体" w:eastAsia="宋体" w:hint="default"/>
          <w:spacing w:val="-3"/>
          <w:sz w:val="22"/>
          <w:szCs w:val="22"/>
        </w:rPr>
        <w:t>本公司的土地使用权从出让起始日起，按其出让年限平均摊销；本公司专利及专有技</w:t>
      </w:r>
      <w:r>
        <w:rPr>
          <w:rFonts w:ascii="宋体" w:hAnsi="宋体" w:cs="宋体" w:eastAsia="宋体" w:hint="default"/>
          <w:w w:val="100"/>
          <w:sz w:val="22"/>
          <w:szCs w:val="22"/>
        </w:rPr>
        <w:t> </w:t>
      </w:r>
      <w:r>
        <w:rPr>
          <w:rFonts w:ascii="宋体" w:hAnsi="宋体" w:cs="宋体" w:eastAsia="宋体" w:hint="default"/>
          <w:spacing w:val="-3"/>
          <w:sz w:val="22"/>
          <w:szCs w:val="22"/>
        </w:rPr>
        <w:t>术、软件及其他无形资产按预计使用年限、合同规定的受益年限和法律规定的有效年限三</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者中最短者分期平均摊销。摊销金额计入当期损益或按其受益对象计入相关资产成本。</w:t>
      </w:r>
    </w:p>
    <w:p>
      <w:pPr>
        <w:spacing w:line="295" w:lineRule="auto" w:before="77"/>
        <w:ind w:left="102" w:right="337" w:firstLine="439"/>
        <w:jc w:val="both"/>
        <w:rPr>
          <w:rFonts w:ascii="宋体" w:hAnsi="宋体" w:cs="宋体" w:eastAsia="宋体" w:hint="default"/>
          <w:sz w:val="22"/>
          <w:szCs w:val="22"/>
        </w:rPr>
      </w:pPr>
      <w:r>
        <w:rPr>
          <w:rFonts w:ascii="宋体" w:hAnsi="宋体" w:cs="宋体" w:eastAsia="宋体" w:hint="default"/>
          <w:spacing w:val="-3"/>
          <w:sz w:val="22"/>
          <w:szCs w:val="22"/>
        </w:rPr>
        <w:t>本公司于每年年度终了，对使用寿命有限的无形资产的预计使用寿命及摊销方法进行</w:t>
      </w:r>
      <w:r>
        <w:rPr>
          <w:rFonts w:ascii="宋体" w:hAnsi="宋体" w:cs="宋体" w:eastAsia="宋体" w:hint="default"/>
          <w:w w:val="100"/>
          <w:sz w:val="22"/>
          <w:szCs w:val="22"/>
        </w:rPr>
        <w:t> </w:t>
      </w:r>
      <w:r>
        <w:rPr>
          <w:rFonts w:ascii="宋体" w:hAnsi="宋体" w:cs="宋体" w:eastAsia="宋体" w:hint="default"/>
          <w:spacing w:val="-3"/>
          <w:sz w:val="22"/>
          <w:szCs w:val="22"/>
        </w:rPr>
        <w:t>复核，如有改变则进行调整；于每个会计期间，对使用寿命不确定的无形资产的预计使用</w:t>
      </w:r>
    </w:p>
    <w:p>
      <w:pPr>
        <w:spacing w:after="0" w:line="295" w:lineRule="auto"/>
        <w:jc w:val="both"/>
        <w:rPr>
          <w:rFonts w:ascii="宋体" w:hAnsi="宋体" w:cs="宋体" w:eastAsia="宋体" w:hint="default"/>
          <w:sz w:val="22"/>
          <w:szCs w:val="22"/>
        </w:rPr>
        <w:sectPr>
          <w:pgSz w:w="11910" w:h="16840"/>
          <w:pgMar w:header="0" w:footer="1054" w:top="1360" w:bottom="1240" w:left="1600" w:right="1360"/>
        </w:sectPr>
      </w:pPr>
    </w:p>
    <w:p>
      <w:pPr>
        <w:spacing w:line="297" w:lineRule="auto" w:before="6"/>
        <w:ind w:left="102" w:right="337" w:firstLine="0"/>
        <w:jc w:val="both"/>
        <w:rPr>
          <w:rFonts w:ascii="宋体" w:hAnsi="宋体" w:cs="宋体" w:eastAsia="宋体" w:hint="default"/>
          <w:sz w:val="22"/>
          <w:szCs w:val="22"/>
        </w:rPr>
      </w:pPr>
      <w:r>
        <w:rPr>
          <w:rFonts w:ascii="宋体" w:hAnsi="宋体" w:cs="宋体" w:eastAsia="宋体" w:hint="default"/>
          <w:spacing w:val="-3"/>
          <w:sz w:val="22"/>
          <w:szCs w:val="22"/>
        </w:rPr>
        <w:t>寿命进行复核，对于有证据表明无形资产的使用寿命是有限的，则估计其使用寿命并在预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计使用寿命内摊销。</w:t>
      </w:r>
    </w:p>
    <w:p>
      <w:pPr>
        <w:spacing w:line="297" w:lineRule="auto" w:before="77"/>
        <w:ind w:left="102" w:right="106" w:firstLine="439"/>
        <w:jc w:val="left"/>
        <w:rPr>
          <w:rFonts w:ascii="宋体" w:hAnsi="宋体" w:cs="宋体" w:eastAsia="宋体" w:hint="default"/>
          <w:sz w:val="22"/>
          <w:szCs w:val="22"/>
        </w:rPr>
      </w:pPr>
      <w:r>
        <w:rPr>
          <w:rFonts w:ascii="宋体" w:hAnsi="宋体" w:cs="宋体" w:eastAsia="宋体" w:hint="default"/>
          <w:spacing w:val="2"/>
          <w:sz w:val="22"/>
          <w:szCs w:val="22"/>
        </w:rPr>
        <w:t>本公司内部研究开发项目支出根据其性质以及研发活动最终形成无形资产是否具有</w:t>
      </w:r>
      <w:r>
        <w:rPr>
          <w:rFonts w:ascii="宋体" w:hAnsi="宋体" w:cs="宋体" w:eastAsia="宋体" w:hint="default"/>
          <w:w w:val="100"/>
          <w:sz w:val="22"/>
          <w:szCs w:val="22"/>
        </w:rPr>
        <w:t> </w:t>
      </w:r>
      <w:r>
        <w:rPr>
          <w:rFonts w:ascii="宋体" w:hAnsi="宋体" w:cs="宋体" w:eastAsia="宋体" w:hint="default"/>
          <w:sz w:val="22"/>
          <w:szCs w:val="22"/>
        </w:rPr>
        <w:t>较大不确定性，分为研究阶段支出和开发阶段支出。</w:t>
      </w:r>
    </w:p>
    <w:p>
      <w:pPr>
        <w:spacing w:line="297" w:lineRule="auto" w:before="74"/>
        <w:ind w:left="102" w:right="106" w:firstLine="439"/>
        <w:jc w:val="left"/>
        <w:rPr>
          <w:rFonts w:ascii="宋体" w:hAnsi="宋体" w:cs="宋体" w:eastAsia="宋体" w:hint="default"/>
          <w:sz w:val="22"/>
          <w:szCs w:val="22"/>
        </w:rPr>
      </w:pPr>
      <w:r>
        <w:rPr>
          <w:rFonts w:ascii="宋体" w:hAnsi="宋体" w:cs="宋体" w:eastAsia="宋体" w:hint="default"/>
          <w:spacing w:val="-3"/>
          <w:sz w:val="22"/>
          <w:szCs w:val="22"/>
        </w:rPr>
        <w:t>自行研究开发的无形资产，其研究阶段的支出，于发生时计入当期损益；其开发阶段</w:t>
      </w:r>
      <w:r>
        <w:rPr>
          <w:rFonts w:ascii="宋体" w:hAnsi="宋体" w:cs="宋体" w:eastAsia="宋体" w:hint="default"/>
          <w:w w:val="100"/>
          <w:sz w:val="22"/>
          <w:szCs w:val="22"/>
        </w:rPr>
        <w:t> </w:t>
      </w:r>
      <w:r>
        <w:rPr>
          <w:rFonts w:ascii="宋体" w:hAnsi="宋体" w:cs="宋体" w:eastAsia="宋体" w:hint="default"/>
          <w:sz w:val="22"/>
          <w:szCs w:val="22"/>
        </w:rPr>
        <w:t>的支出，同时满足下列条件的，确认为资产：</w:t>
      </w:r>
    </w:p>
    <w:p>
      <w:pPr>
        <w:spacing w:before="74"/>
        <w:ind w:left="555" w:right="106"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4"/>
          <w:sz w:val="22"/>
          <w:szCs w:val="22"/>
        </w:rPr>
        <w:t> </w:t>
      </w:r>
      <w:r>
        <w:rPr>
          <w:rFonts w:ascii="宋体" w:hAnsi="宋体" w:cs="宋体" w:eastAsia="宋体" w:hint="default"/>
          <w:sz w:val="22"/>
          <w:szCs w:val="22"/>
        </w:rPr>
        <w:t>完成该无形资产以使其能够使用或出售在技术上具有可行性；</w:t>
      </w:r>
    </w:p>
    <w:p>
      <w:pPr>
        <w:spacing w:before="129"/>
        <w:ind w:left="555" w:right="3346"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具有完成该无形资产并使用或出售的意图；</w:t>
      </w:r>
    </w:p>
    <w:p>
      <w:pPr>
        <w:spacing w:before="129"/>
        <w:ind w:left="555" w:right="106"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5"/>
          <w:sz w:val="22"/>
          <w:szCs w:val="22"/>
        </w:rPr>
        <w:t> </w:t>
      </w:r>
      <w:r>
        <w:rPr>
          <w:rFonts w:ascii="宋体" w:hAnsi="宋体" w:cs="宋体" w:eastAsia="宋体" w:hint="default"/>
          <w:sz w:val="22"/>
          <w:szCs w:val="22"/>
        </w:rPr>
        <w:t>运用该无形资产生产的产品存在市场或无形资产自身存在市场；</w:t>
      </w:r>
    </w:p>
    <w:p>
      <w:pPr>
        <w:spacing w:line="297" w:lineRule="auto" w:before="127"/>
        <w:ind w:left="102" w:right="324" w:firstLine="453"/>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46"/>
          <w:sz w:val="22"/>
          <w:szCs w:val="22"/>
        </w:rPr>
        <w:t> </w:t>
      </w:r>
      <w:r>
        <w:rPr>
          <w:rFonts w:ascii="宋体" w:hAnsi="宋体" w:cs="宋体" w:eastAsia="宋体" w:hint="default"/>
          <w:spacing w:val="-4"/>
          <w:sz w:val="22"/>
          <w:szCs w:val="22"/>
        </w:rPr>
        <w:t>有足够的技术、财务资源和其他资源支持，以完成该无形资产的开发，并有能力</w:t>
      </w:r>
      <w:r>
        <w:rPr>
          <w:rFonts w:ascii="宋体" w:hAnsi="宋体" w:cs="宋体" w:eastAsia="宋体" w:hint="default"/>
          <w:w w:val="100"/>
          <w:sz w:val="22"/>
          <w:szCs w:val="22"/>
        </w:rPr>
        <w:t> </w:t>
      </w:r>
      <w:r>
        <w:rPr>
          <w:rFonts w:ascii="宋体" w:hAnsi="宋体" w:cs="宋体" w:eastAsia="宋体" w:hint="default"/>
          <w:sz w:val="22"/>
          <w:szCs w:val="22"/>
        </w:rPr>
        <w:t>使用或出售该无形资产；</w:t>
      </w:r>
    </w:p>
    <w:p>
      <w:pPr>
        <w:spacing w:line="348" w:lineRule="auto" w:before="74"/>
        <w:ind w:left="541" w:right="106" w:firstLine="14"/>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8"/>
          <w:sz w:val="22"/>
          <w:szCs w:val="22"/>
        </w:rPr>
        <w:t> </w:t>
      </w:r>
      <w:r>
        <w:rPr>
          <w:rFonts w:ascii="宋体" w:hAnsi="宋体" w:cs="宋体" w:eastAsia="宋体" w:hint="default"/>
          <w:sz w:val="22"/>
          <w:szCs w:val="22"/>
        </w:rPr>
        <w:t>归属于该无形资产开发阶段的支出能够可靠地计量。</w:t>
      </w:r>
      <w:r>
        <w:rPr>
          <w:rFonts w:ascii="宋体" w:hAnsi="宋体" w:cs="宋体" w:eastAsia="宋体" w:hint="default"/>
          <w:w w:val="100"/>
          <w:sz w:val="22"/>
          <w:szCs w:val="22"/>
        </w:rPr>
        <w:t> </w:t>
      </w:r>
      <w:r>
        <w:rPr>
          <w:rFonts w:ascii="宋体" w:hAnsi="宋体" w:cs="宋体" w:eastAsia="宋体" w:hint="default"/>
          <w:spacing w:val="-3"/>
          <w:sz w:val="22"/>
          <w:szCs w:val="22"/>
        </w:rPr>
        <w:t>不满足上述条件的开发阶段的支出，于发生时计入当期损益。前期已计入损益的开发</w:t>
      </w:r>
    </w:p>
    <w:p>
      <w:pPr>
        <w:spacing w:line="259" w:lineRule="exact" w:before="0"/>
        <w:ind w:left="102" w:right="106" w:firstLine="0"/>
        <w:jc w:val="left"/>
        <w:rPr>
          <w:rFonts w:ascii="宋体" w:hAnsi="宋体" w:cs="宋体" w:eastAsia="宋体" w:hint="default"/>
          <w:sz w:val="22"/>
          <w:szCs w:val="22"/>
        </w:rPr>
      </w:pPr>
      <w:r>
        <w:rPr>
          <w:rFonts w:ascii="宋体" w:hAnsi="宋体" w:cs="宋体" w:eastAsia="宋体" w:hint="default"/>
          <w:spacing w:val="-3"/>
          <w:sz w:val="22"/>
          <w:szCs w:val="22"/>
        </w:rPr>
        <w:t>支出不在以后期间确认为资产。已资本化的开发阶段的支出在资产负债表上列示为开发支</w:t>
      </w:r>
    </w:p>
    <w:p>
      <w:pPr>
        <w:spacing w:line="348" w:lineRule="auto" w:before="67"/>
        <w:ind w:left="555" w:right="3060" w:hanging="454"/>
        <w:jc w:val="left"/>
        <w:rPr>
          <w:rFonts w:ascii="宋体" w:hAnsi="宋体" w:cs="宋体" w:eastAsia="宋体" w:hint="default"/>
          <w:sz w:val="22"/>
          <w:szCs w:val="22"/>
        </w:rPr>
      </w:pPr>
      <w:r>
        <w:rPr>
          <w:rFonts w:ascii="宋体" w:hAnsi="宋体" w:cs="宋体" w:eastAsia="宋体" w:hint="default"/>
          <w:spacing w:val="-1"/>
          <w:sz w:val="22"/>
          <w:szCs w:val="22"/>
        </w:rPr>
        <w:t>出，自该项目达到预定可使用状态之日起转为无形资产。</w:t>
      </w:r>
      <w:r>
        <w:rPr>
          <w:rFonts w:ascii="宋体" w:hAnsi="宋体" w:cs="宋体" w:eastAsia="宋体" w:hint="default"/>
          <w:spacing w:val="-89"/>
          <w:sz w:val="22"/>
          <w:szCs w:val="22"/>
        </w:rPr>
        <w:t> </w:t>
      </w:r>
      <w:r>
        <w:rPr>
          <w:rFonts w:ascii="宋体" w:hAnsi="宋体" w:cs="宋体" w:eastAsia="宋体" w:hint="default"/>
          <w:spacing w:val="-89"/>
          <w:sz w:val="22"/>
          <w:szCs w:val="22"/>
        </w:rPr>
      </w:r>
      <w:r>
        <w:rPr>
          <w:rFonts w:ascii="宋体" w:hAnsi="宋体" w:cs="宋体" w:eastAsia="宋体" w:hint="default"/>
          <w:b/>
          <w:bCs/>
          <w:sz w:val="22"/>
          <w:szCs w:val="22"/>
        </w:rPr>
        <w:t>19.</w:t>
      </w:r>
      <w:r>
        <w:rPr>
          <w:rFonts w:ascii="宋体" w:hAnsi="宋体" w:cs="宋体" w:eastAsia="宋体" w:hint="default"/>
          <w:b/>
          <w:bCs/>
          <w:spacing w:val="11"/>
          <w:sz w:val="22"/>
          <w:szCs w:val="22"/>
        </w:rPr>
        <w:t> </w:t>
      </w:r>
      <w:r>
        <w:rPr>
          <w:rFonts w:ascii="宋体" w:hAnsi="宋体" w:cs="宋体" w:eastAsia="宋体" w:hint="default"/>
          <w:sz w:val="22"/>
          <w:szCs w:val="22"/>
        </w:rPr>
        <w:t>商誉</w:t>
      </w:r>
    </w:p>
    <w:p>
      <w:pPr>
        <w:spacing w:line="247" w:lineRule="exact" w:before="0"/>
        <w:ind w:left="541" w:right="106" w:firstLine="0"/>
        <w:jc w:val="left"/>
        <w:rPr>
          <w:rFonts w:ascii="宋体" w:hAnsi="宋体" w:cs="宋体" w:eastAsia="宋体" w:hint="default"/>
          <w:sz w:val="22"/>
          <w:szCs w:val="22"/>
        </w:rPr>
      </w:pPr>
      <w:r>
        <w:rPr>
          <w:rFonts w:ascii="宋体" w:hAnsi="宋体" w:cs="宋体" w:eastAsia="宋体" w:hint="default"/>
          <w:spacing w:val="2"/>
          <w:sz w:val="22"/>
          <w:szCs w:val="22"/>
        </w:rPr>
        <w:t>商誉为股权投资成本或非同一控制下企业合并成本超过应享有的或企业合并中取得</w:t>
      </w:r>
    </w:p>
    <w:p>
      <w:pPr>
        <w:spacing w:line="348" w:lineRule="auto" w:before="67"/>
        <w:ind w:left="541" w:right="106" w:hanging="440"/>
        <w:jc w:val="left"/>
        <w:rPr>
          <w:rFonts w:ascii="宋体" w:hAnsi="宋体" w:cs="宋体" w:eastAsia="宋体" w:hint="default"/>
          <w:sz w:val="22"/>
          <w:szCs w:val="22"/>
        </w:rPr>
      </w:pPr>
      <w:r>
        <w:rPr>
          <w:rFonts w:ascii="宋体" w:hAnsi="宋体" w:cs="宋体" w:eastAsia="宋体" w:hint="default"/>
          <w:sz w:val="22"/>
          <w:szCs w:val="22"/>
        </w:rPr>
        <w:t>的被投资单位或被购买方可辨认净资产于取得日或购买日的公允价值份额的差额。</w:t>
      </w:r>
      <w:r>
        <w:rPr>
          <w:rFonts w:ascii="宋体" w:hAnsi="宋体" w:cs="宋体" w:eastAsia="宋体" w:hint="default"/>
          <w:w w:val="100"/>
          <w:sz w:val="22"/>
          <w:szCs w:val="22"/>
        </w:rPr>
        <w:t> </w:t>
      </w:r>
      <w:r>
        <w:rPr>
          <w:rFonts w:ascii="宋体" w:hAnsi="宋体" w:cs="宋体" w:eastAsia="宋体" w:hint="default"/>
          <w:spacing w:val="-3"/>
          <w:sz w:val="22"/>
          <w:szCs w:val="22"/>
        </w:rPr>
        <w:t>与子公司有关的商誉在合并财务报表上单独列示，与联营企业和合营企业有关的商誉，</w:t>
      </w:r>
    </w:p>
    <w:p>
      <w:pPr>
        <w:spacing w:line="259" w:lineRule="exact" w:before="0"/>
        <w:ind w:left="102" w:right="3346" w:firstLine="0"/>
        <w:jc w:val="left"/>
        <w:rPr>
          <w:rFonts w:ascii="宋体" w:hAnsi="宋体" w:cs="宋体" w:eastAsia="宋体" w:hint="default"/>
          <w:sz w:val="22"/>
          <w:szCs w:val="22"/>
        </w:rPr>
      </w:pPr>
      <w:r>
        <w:rPr>
          <w:rFonts w:ascii="宋体" w:hAnsi="宋体" w:cs="宋体" w:eastAsia="宋体" w:hint="default"/>
          <w:sz w:val="22"/>
          <w:szCs w:val="22"/>
        </w:rPr>
        <w:t>包含在长期股权投资的账面价值中。</w:t>
      </w:r>
    </w:p>
    <w:p>
      <w:pPr>
        <w:spacing w:line="288" w:lineRule="auto" w:before="127"/>
        <w:ind w:left="541" w:right="106" w:firstLine="14"/>
        <w:jc w:val="left"/>
        <w:rPr>
          <w:rFonts w:ascii="宋体" w:hAnsi="宋体" w:cs="宋体" w:eastAsia="宋体" w:hint="default"/>
          <w:sz w:val="22"/>
          <w:szCs w:val="22"/>
        </w:rPr>
      </w:pPr>
      <w:r>
        <w:rPr>
          <w:rFonts w:ascii="宋体" w:hAnsi="宋体" w:cs="宋体" w:eastAsia="宋体" w:hint="default"/>
          <w:b/>
          <w:bCs/>
          <w:sz w:val="22"/>
          <w:szCs w:val="22"/>
        </w:rPr>
        <w:t>20.</w:t>
      </w:r>
      <w:r>
        <w:rPr>
          <w:rFonts w:ascii="宋体" w:hAnsi="宋体" w:cs="宋体" w:eastAsia="宋体" w:hint="default"/>
          <w:b/>
          <w:bCs/>
          <w:spacing w:val="9"/>
          <w:sz w:val="22"/>
          <w:szCs w:val="22"/>
        </w:rPr>
        <w:t> </w:t>
      </w:r>
      <w:r>
        <w:rPr>
          <w:rFonts w:ascii="宋体" w:hAnsi="宋体" w:cs="宋体" w:eastAsia="宋体" w:hint="default"/>
          <w:sz w:val="22"/>
          <w:szCs w:val="22"/>
        </w:rPr>
        <w:t>长期资产减值</w:t>
      </w:r>
      <w:r>
        <w:rPr>
          <w:rFonts w:ascii="宋体" w:hAnsi="宋体" w:cs="宋体" w:eastAsia="宋体" w:hint="default"/>
          <w:w w:val="100"/>
          <w:sz w:val="22"/>
          <w:szCs w:val="22"/>
        </w:rPr>
        <w:t> </w:t>
      </w:r>
      <w:r>
        <w:rPr>
          <w:rFonts w:ascii="宋体" w:hAnsi="宋体" w:cs="宋体" w:eastAsia="宋体" w:hint="default"/>
          <w:spacing w:val="-3"/>
          <w:sz w:val="22"/>
          <w:szCs w:val="22"/>
        </w:rPr>
        <w:t>本公司于每一资产负债表日对子公司、合营企业和联营企业的长期股权投资、固定资</w:t>
      </w:r>
    </w:p>
    <w:p>
      <w:pPr>
        <w:spacing w:line="297" w:lineRule="auto" w:before="25"/>
        <w:ind w:left="102" w:right="337" w:firstLine="0"/>
        <w:jc w:val="both"/>
        <w:rPr>
          <w:rFonts w:ascii="宋体" w:hAnsi="宋体" w:cs="宋体" w:eastAsia="宋体" w:hint="default"/>
          <w:sz w:val="22"/>
          <w:szCs w:val="22"/>
        </w:rPr>
      </w:pPr>
      <w:r>
        <w:rPr>
          <w:rFonts w:ascii="宋体" w:hAnsi="宋体" w:cs="宋体" w:eastAsia="宋体" w:hint="default"/>
          <w:spacing w:val="-3"/>
          <w:sz w:val="22"/>
          <w:szCs w:val="22"/>
        </w:rPr>
        <w:t>产、在建工程、使用寿命确定的无形资产等项目进行检查，当存在下列迹象时，表明资产</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可能发生了减值，本公司将进行减值测试；对商誉和受益年限不确定的无形资产，无论是</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pacing w:val="-3"/>
          <w:sz w:val="22"/>
          <w:szCs w:val="22"/>
        </w:rPr>
        <w:t>否存在减值迹象，每年末均进行减值测试。难以对单项资产的可收回金额进行测试的，以</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z w:val="22"/>
          <w:szCs w:val="22"/>
        </w:rPr>
        <w:t>该资产所属的资产组或资产组组合为基础测试。</w:t>
      </w:r>
    </w:p>
    <w:p>
      <w:pPr>
        <w:spacing w:line="297" w:lineRule="auto" w:before="77"/>
        <w:ind w:left="102" w:right="337" w:firstLine="439"/>
        <w:jc w:val="both"/>
        <w:rPr>
          <w:rFonts w:ascii="宋体" w:hAnsi="宋体" w:cs="宋体" w:eastAsia="宋体" w:hint="default"/>
          <w:sz w:val="22"/>
          <w:szCs w:val="22"/>
        </w:rPr>
      </w:pPr>
      <w:r>
        <w:rPr>
          <w:rFonts w:ascii="宋体" w:hAnsi="宋体" w:cs="宋体" w:eastAsia="宋体" w:hint="default"/>
          <w:spacing w:val="-3"/>
          <w:sz w:val="22"/>
          <w:szCs w:val="22"/>
        </w:rPr>
        <w:t>减值测试后，若该资产的账面价值超过其可收回金额，其差额确认为减值损失，上述</w:t>
      </w:r>
      <w:r>
        <w:rPr>
          <w:rFonts w:ascii="宋体" w:hAnsi="宋体" w:cs="宋体" w:eastAsia="宋体" w:hint="default"/>
          <w:w w:val="100"/>
          <w:sz w:val="22"/>
          <w:szCs w:val="22"/>
        </w:rPr>
        <w:t> </w:t>
      </w:r>
      <w:r>
        <w:rPr>
          <w:rFonts w:ascii="宋体" w:hAnsi="宋体" w:cs="宋体" w:eastAsia="宋体" w:hint="default"/>
          <w:spacing w:val="-3"/>
          <w:sz w:val="22"/>
          <w:szCs w:val="22"/>
        </w:rPr>
        <w:t>资产的减值损失一经确认，在以后会计期间不予转回。资产的可收回金额是指资产的公允</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价值减去处置费用后的净额与资产预计未来现金流量的现值两者之间的较高者。</w:t>
      </w:r>
    </w:p>
    <w:p>
      <w:pPr>
        <w:spacing w:before="77"/>
        <w:ind w:left="541" w:right="3346" w:firstLine="0"/>
        <w:jc w:val="left"/>
        <w:rPr>
          <w:rFonts w:ascii="宋体" w:hAnsi="宋体" w:cs="宋体" w:eastAsia="宋体" w:hint="default"/>
          <w:sz w:val="22"/>
          <w:szCs w:val="22"/>
        </w:rPr>
      </w:pPr>
      <w:r>
        <w:rPr>
          <w:rFonts w:ascii="宋体" w:hAnsi="宋体" w:cs="宋体" w:eastAsia="宋体" w:hint="default"/>
          <w:sz w:val="22"/>
          <w:szCs w:val="22"/>
        </w:rPr>
        <w:t>出现减值的迹象如下：</w:t>
      </w:r>
    </w:p>
    <w:p>
      <w:pPr>
        <w:spacing w:line="297" w:lineRule="auto" w:before="128"/>
        <w:ind w:left="102" w:right="328" w:firstLine="453"/>
        <w:jc w:val="left"/>
        <w:rPr>
          <w:rFonts w:ascii="宋体" w:hAnsi="宋体" w:cs="宋体" w:eastAsia="宋体" w:hint="default"/>
          <w:sz w:val="22"/>
          <w:szCs w:val="22"/>
        </w:rPr>
      </w:pPr>
      <w:r>
        <w:rPr>
          <w:rFonts w:ascii="宋体" w:hAnsi="宋体" w:cs="宋体" w:eastAsia="宋体" w:hint="default"/>
          <w:b/>
          <w:bCs/>
          <w:w w:val="99"/>
          <w:sz w:val="22"/>
          <w:szCs w:val="22"/>
        </w:rPr>
        <w:t>(1)</w:t>
      </w:r>
      <w:r>
        <w:rPr>
          <w:rFonts w:ascii="宋体" w:hAnsi="宋体" w:cs="宋体" w:eastAsia="宋体" w:hint="default"/>
          <w:b/>
          <w:bCs/>
          <w:spacing w:val="16"/>
          <w:w w:val="99"/>
          <w:sz w:val="22"/>
          <w:szCs w:val="22"/>
        </w:rPr>
        <w:t> </w:t>
      </w:r>
      <w:r>
        <w:rPr>
          <w:rFonts w:ascii="宋体" w:hAnsi="宋体" w:cs="宋体" w:eastAsia="宋体" w:hint="default"/>
          <w:spacing w:val="-4"/>
          <w:w w:val="100"/>
          <w:sz w:val="22"/>
          <w:szCs w:val="22"/>
        </w:rPr>
        <w:t>资产的市价当期大幅度下跌，其跌幅明显高于因时间的推移或者正常使用而预计</w:t>
      </w:r>
      <w:r>
        <w:rPr>
          <w:rFonts w:ascii="宋体" w:hAnsi="宋体" w:cs="宋体" w:eastAsia="宋体" w:hint="default"/>
          <w:w w:val="100"/>
          <w:sz w:val="22"/>
          <w:szCs w:val="22"/>
        </w:rPr>
        <w:t> </w:t>
      </w:r>
      <w:r>
        <w:rPr>
          <w:rFonts w:ascii="宋体" w:hAnsi="宋体" w:cs="宋体" w:eastAsia="宋体" w:hint="default"/>
          <w:sz w:val="22"/>
          <w:szCs w:val="22"/>
        </w:rPr>
        <w:t>的下跌；</w:t>
      </w:r>
    </w:p>
    <w:p>
      <w:pPr>
        <w:spacing w:line="295" w:lineRule="auto" w:before="77"/>
        <w:ind w:left="102" w:right="328" w:firstLine="453"/>
        <w:jc w:val="left"/>
        <w:rPr>
          <w:rFonts w:ascii="宋体" w:hAnsi="宋体" w:cs="宋体" w:eastAsia="宋体" w:hint="default"/>
          <w:sz w:val="22"/>
          <w:szCs w:val="22"/>
        </w:rPr>
      </w:pPr>
      <w:r>
        <w:rPr>
          <w:rFonts w:ascii="宋体" w:hAnsi="宋体" w:cs="宋体" w:eastAsia="宋体" w:hint="default"/>
          <w:b/>
          <w:bCs/>
          <w:w w:val="99"/>
          <w:sz w:val="22"/>
          <w:szCs w:val="22"/>
        </w:rPr>
        <w:t>(2)</w:t>
      </w:r>
      <w:r>
        <w:rPr>
          <w:rFonts w:ascii="宋体" w:hAnsi="宋体" w:cs="宋体" w:eastAsia="宋体" w:hint="default"/>
          <w:b/>
          <w:bCs/>
          <w:spacing w:val="16"/>
          <w:w w:val="99"/>
          <w:sz w:val="22"/>
          <w:szCs w:val="22"/>
        </w:rPr>
        <w:t> </w:t>
      </w:r>
      <w:r>
        <w:rPr>
          <w:rFonts w:ascii="宋体" w:hAnsi="宋体" w:cs="宋体" w:eastAsia="宋体" w:hint="default"/>
          <w:spacing w:val="-4"/>
          <w:w w:val="100"/>
          <w:sz w:val="22"/>
          <w:szCs w:val="22"/>
        </w:rPr>
        <w:t>企业经营所处的经济、技术或者法律等环境以及资产所处的市场在当期或者将在</w:t>
      </w:r>
      <w:r>
        <w:rPr>
          <w:rFonts w:ascii="宋体" w:hAnsi="宋体" w:cs="宋体" w:eastAsia="宋体" w:hint="default"/>
          <w:w w:val="100"/>
          <w:sz w:val="22"/>
          <w:szCs w:val="22"/>
        </w:rPr>
        <w:t> </w:t>
      </w:r>
      <w:r>
        <w:rPr>
          <w:rFonts w:ascii="宋体" w:hAnsi="宋体" w:cs="宋体" w:eastAsia="宋体" w:hint="default"/>
          <w:sz w:val="22"/>
          <w:szCs w:val="22"/>
        </w:rPr>
        <w:t>近期发生重大变化，从而对企业产生不利影响；</w:t>
      </w:r>
    </w:p>
    <w:p>
      <w:pPr>
        <w:spacing w:line="295" w:lineRule="auto" w:before="79"/>
        <w:ind w:left="102" w:right="328" w:firstLine="453"/>
        <w:jc w:val="left"/>
        <w:rPr>
          <w:rFonts w:ascii="宋体" w:hAnsi="宋体" w:cs="宋体" w:eastAsia="宋体" w:hint="default"/>
          <w:sz w:val="22"/>
          <w:szCs w:val="22"/>
        </w:rPr>
      </w:pPr>
      <w:r>
        <w:rPr>
          <w:rFonts w:ascii="宋体" w:hAnsi="宋体" w:cs="宋体" w:eastAsia="宋体" w:hint="default"/>
          <w:b/>
          <w:bCs/>
          <w:w w:val="99"/>
          <w:sz w:val="22"/>
          <w:szCs w:val="22"/>
        </w:rPr>
        <w:t>(3)</w:t>
      </w:r>
      <w:r>
        <w:rPr>
          <w:rFonts w:ascii="宋体" w:hAnsi="宋体" w:cs="宋体" w:eastAsia="宋体" w:hint="default"/>
          <w:b/>
          <w:bCs/>
          <w:spacing w:val="16"/>
          <w:w w:val="99"/>
          <w:sz w:val="22"/>
          <w:szCs w:val="22"/>
        </w:rPr>
        <w:t> </w:t>
      </w:r>
      <w:r>
        <w:rPr>
          <w:rFonts w:ascii="宋体" w:hAnsi="宋体" w:cs="宋体" w:eastAsia="宋体" w:hint="default"/>
          <w:spacing w:val="-4"/>
          <w:w w:val="100"/>
          <w:sz w:val="22"/>
          <w:szCs w:val="22"/>
        </w:rPr>
        <w:t>市场利率或者其他市场投资报酬率在当期已经提高，从而影响企业计算资产预计</w:t>
      </w:r>
      <w:r>
        <w:rPr>
          <w:rFonts w:ascii="宋体" w:hAnsi="宋体" w:cs="宋体" w:eastAsia="宋体" w:hint="default"/>
          <w:w w:val="100"/>
          <w:sz w:val="22"/>
          <w:szCs w:val="22"/>
        </w:rPr>
        <w:t> </w:t>
      </w:r>
      <w:r>
        <w:rPr>
          <w:rFonts w:ascii="宋体" w:hAnsi="宋体" w:cs="宋体" w:eastAsia="宋体" w:hint="default"/>
          <w:sz w:val="22"/>
          <w:szCs w:val="22"/>
        </w:rPr>
        <w:t>未来现金流量现值的折现率，导致资产可收回金额大幅度降低；</w:t>
      </w:r>
    </w:p>
    <w:p>
      <w:pPr>
        <w:spacing w:after="0" w:line="295" w:lineRule="auto"/>
        <w:jc w:val="left"/>
        <w:rPr>
          <w:rFonts w:ascii="宋体" w:hAnsi="宋体" w:cs="宋体" w:eastAsia="宋体" w:hint="default"/>
          <w:sz w:val="22"/>
          <w:szCs w:val="22"/>
        </w:rPr>
        <w:sectPr>
          <w:pgSz w:w="11910" w:h="16840"/>
          <w:pgMar w:header="0" w:footer="1054" w:top="1360" w:bottom="1240" w:left="1600" w:right="1360"/>
        </w:sectPr>
      </w:pPr>
    </w:p>
    <w:p>
      <w:pPr>
        <w:spacing w:before="6"/>
        <w:ind w:left="555" w:right="105"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4"/>
          <w:sz w:val="22"/>
          <w:szCs w:val="22"/>
        </w:rPr>
        <w:t> </w:t>
      </w:r>
      <w:r>
        <w:rPr>
          <w:rFonts w:ascii="宋体" w:hAnsi="宋体" w:cs="宋体" w:eastAsia="宋体" w:hint="default"/>
          <w:sz w:val="22"/>
          <w:szCs w:val="22"/>
        </w:rPr>
        <w:t>有证据表明资产已经陈旧过时或者其实体已经损坏；</w:t>
      </w:r>
    </w:p>
    <w:p>
      <w:pPr>
        <w:spacing w:before="127"/>
        <w:ind w:left="555" w:right="105" w:firstLine="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4"/>
          <w:sz w:val="22"/>
          <w:szCs w:val="22"/>
        </w:rPr>
        <w:t> </w:t>
      </w:r>
      <w:r>
        <w:rPr>
          <w:rFonts w:ascii="宋体" w:hAnsi="宋体" w:cs="宋体" w:eastAsia="宋体" w:hint="default"/>
          <w:sz w:val="22"/>
          <w:szCs w:val="22"/>
        </w:rPr>
        <w:t>资产已经或者将被闲置、终止使用或者计划提前处置；</w:t>
      </w:r>
    </w:p>
    <w:p>
      <w:pPr>
        <w:spacing w:line="297" w:lineRule="auto" w:before="129"/>
        <w:ind w:left="102" w:right="217" w:firstLine="453"/>
        <w:jc w:val="both"/>
        <w:rPr>
          <w:rFonts w:ascii="宋体" w:hAnsi="宋体" w:cs="宋体" w:eastAsia="宋体" w:hint="default"/>
          <w:sz w:val="22"/>
          <w:szCs w:val="22"/>
        </w:rPr>
      </w:pPr>
      <w:r>
        <w:rPr>
          <w:rFonts w:ascii="宋体" w:hAnsi="宋体" w:cs="宋体" w:eastAsia="宋体" w:hint="default"/>
          <w:b/>
          <w:bCs/>
          <w:w w:val="99"/>
          <w:sz w:val="22"/>
          <w:szCs w:val="22"/>
        </w:rPr>
        <w:t>(6)</w:t>
      </w:r>
      <w:r>
        <w:rPr>
          <w:rFonts w:ascii="宋体" w:hAnsi="宋体" w:cs="宋体" w:eastAsia="宋体" w:hint="default"/>
          <w:b/>
          <w:bCs/>
          <w:spacing w:val="16"/>
          <w:w w:val="99"/>
          <w:sz w:val="22"/>
          <w:szCs w:val="22"/>
        </w:rPr>
        <w:t> </w:t>
      </w:r>
      <w:r>
        <w:rPr>
          <w:rFonts w:ascii="宋体" w:hAnsi="宋体" w:cs="宋体" w:eastAsia="宋体" w:hint="default"/>
          <w:spacing w:val="-4"/>
          <w:w w:val="100"/>
          <w:sz w:val="22"/>
          <w:szCs w:val="22"/>
        </w:rPr>
        <w:t>企业内部报告的证据表明资产的经济绩效已经低于或者将低于预期，如资产所创</w:t>
      </w:r>
      <w:r>
        <w:rPr>
          <w:rFonts w:ascii="宋体" w:hAnsi="宋体" w:cs="宋体" w:eastAsia="宋体" w:hint="default"/>
          <w:w w:val="100"/>
          <w:sz w:val="22"/>
          <w:szCs w:val="22"/>
        </w:rPr>
        <w:t> </w:t>
      </w:r>
      <w:r>
        <w:rPr>
          <w:rFonts w:ascii="宋体" w:hAnsi="宋体" w:cs="宋体" w:eastAsia="宋体" w:hint="default"/>
          <w:sz w:val="22"/>
          <w:szCs w:val="22"/>
        </w:rPr>
        <w:t>造的净现金流量或者实现的营业利润（或者亏损）远远低于（或者高于）预计金额等；</w:t>
      </w:r>
    </w:p>
    <w:p>
      <w:pPr>
        <w:spacing w:before="74"/>
        <w:ind w:left="555" w:right="105" w:firstLine="0"/>
        <w:jc w:val="left"/>
        <w:rPr>
          <w:rFonts w:ascii="宋体" w:hAnsi="宋体" w:cs="宋体" w:eastAsia="宋体" w:hint="default"/>
          <w:sz w:val="22"/>
          <w:szCs w:val="22"/>
        </w:rPr>
      </w:pPr>
      <w:r>
        <w:rPr>
          <w:rFonts w:ascii="宋体" w:hAnsi="宋体" w:cs="宋体" w:eastAsia="宋体" w:hint="default"/>
          <w:b/>
          <w:bCs/>
          <w:sz w:val="22"/>
          <w:szCs w:val="22"/>
        </w:rPr>
        <w:t>(7)</w:t>
      </w:r>
      <w:r>
        <w:rPr>
          <w:rFonts w:ascii="宋体" w:hAnsi="宋体" w:cs="宋体" w:eastAsia="宋体" w:hint="default"/>
          <w:b/>
          <w:bCs/>
          <w:spacing w:val="9"/>
          <w:sz w:val="22"/>
          <w:szCs w:val="22"/>
        </w:rPr>
        <w:t> </w:t>
      </w:r>
      <w:r>
        <w:rPr>
          <w:rFonts w:ascii="宋体" w:hAnsi="宋体" w:cs="宋体" w:eastAsia="宋体" w:hint="default"/>
          <w:sz w:val="22"/>
          <w:szCs w:val="22"/>
        </w:rPr>
        <w:t>其他表明资产可能已经发生减值的迹象。</w:t>
      </w:r>
    </w:p>
    <w:p>
      <w:pPr>
        <w:spacing w:before="129"/>
        <w:ind w:left="555" w:right="105" w:firstLine="0"/>
        <w:jc w:val="left"/>
        <w:rPr>
          <w:rFonts w:ascii="宋体" w:hAnsi="宋体" w:cs="宋体" w:eastAsia="宋体" w:hint="default"/>
          <w:sz w:val="22"/>
          <w:szCs w:val="22"/>
        </w:rPr>
      </w:pPr>
      <w:r>
        <w:rPr>
          <w:rFonts w:ascii="宋体" w:hAnsi="宋体" w:cs="宋体" w:eastAsia="宋体" w:hint="default"/>
          <w:b/>
          <w:bCs/>
          <w:sz w:val="22"/>
          <w:szCs w:val="22"/>
        </w:rPr>
        <w:t>21.</w:t>
      </w:r>
      <w:r>
        <w:rPr>
          <w:rFonts w:ascii="宋体" w:hAnsi="宋体" w:cs="宋体" w:eastAsia="宋体" w:hint="default"/>
          <w:b/>
          <w:bCs/>
          <w:spacing w:val="11"/>
          <w:sz w:val="22"/>
          <w:szCs w:val="22"/>
        </w:rPr>
        <w:t> </w:t>
      </w:r>
      <w:r>
        <w:rPr>
          <w:rFonts w:ascii="宋体" w:hAnsi="宋体" w:cs="宋体" w:eastAsia="宋体" w:hint="default"/>
          <w:sz w:val="22"/>
          <w:szCs w:val="22"/>
        </w:rPr>
        <w:t>长期待摊费用</w:t>
      </w:r>
    </w:p>
    <w:p>
      <w:pPr>
        <w:spacing w:before="57"/>
        <w:ind w:left="541" w:right="105" w:firstLine="0"/>
        <w:jc w:val="left"/>
        <w:rPr>
          <w:rFonts w:ascii="宋体" w:hAnsi="宋体" w:cs="宋体" w:eastAsia="宋体" w:hint="default"/>
          <w:sz w:val="22"/>
          <w:szCs w:val="22"/>
        </w:rPr>
      </w:pPr>
      <w:r>
        <w:rPr>
          <w:rFonts w:ascii="宋体" w:hAnsi="宋体" w:cs="宋体" w:eastAsia="宋体" w:hint="default"/>
          <w:spacing w:val="-4"/>
          <w:sz w:val="22"/>
          <w:szCs w:val="22"/>
        </w:rPr>
        <w:t>本公司长期待摊费用是指已经支出，但应由当期及以后各期承担的摊销期限在 </w:t>
      </w:r>
      <w:r>
        <w:rPr>
          <w:rFonts w:ascii="宋体" w:hAnsi="宋体" w:cs="宋体" w:eastAsia="宋体" w:hint="default"/>
          <w:sz w:val="22"/>
          <w:szCs w:val="22"/>
        </w:rPr>
        <w:t>1</w:t>
      </w:r>
      <w:r>
        <w:rPr>
          <w:rFonts w:ascii="宋体" w:hAnsi="宋体" w:cs="宋体" w:eastAsia="宋体" w:hint="default"/>
          <w:spacing w:val="-47"/>
          <w:sz w:val="22"/>
          <w:szCs w:val="22"/>
        </w:rPr>
        <w:t> </w:t>
      </w:r>
      <w:r>
        <w:rPr>
          <w:rFonts w:ascii="宋体" w:hAnsi="宋体" w:cs="宋体" w:eastAsia="宋体" w:hint="default"/>
          <w:sz w:val="22"/>
          <w:szCs w:val="22"/>
        </w:rPr>
        <w:t>年以</w:t>
      </w:r>
    </w:p>
    <w:p>
      <w:pPr>
        <w:spacing w:line="297" w:lineRule="auto" w:before="67"/>
        <w:ind w:left="102" w:right="214" w:firstLine="0"/>
        <w:jc w:val="both"/>
        <w:rPr>
          <w:rFonts w:ascii="宋体" w:hAnsi="宋体" w:cs="宋体" w:eastAsia="宋体" w:hint="default"/>
          <w:sz w:val="22"/>
          <w:szCs w:val="22"/>
        </w:rPr>
      </w:pPr>
      <w:r>
        <w:rPr>
          <w:rFonts w:ascii="宋体" w:hAnsi="宋体" w:cs="宋体" w:eastAsia="宋体" w:hint="default"/>
          <w:spacing w:val="-5"/>
          <w:sz w:val="22"/>
          <w:szCs w:val="22"/>
        </w:rPr>
        <w:t>上（不含</w:t>
      </w:r>
      <w:r>
        <w:rPr>
          <w:rFonts w:ascii="宋体" w:hAnsi="宋体" w:cs="宋体" w:eastAsia="宋体" w:hint="default"/>
          <w:spacing w:val="-34"/>
          <w:sz w:val="22"/>
          <w:szCs w:val="22"/>
        </w:rPr>
        <w:t> </w:t>
      </w:r>
      <w:r>
        <w:rPr>
          <w:rFonts w:ascii="宋体" w:hAnsi="宋体" w:cs="宋体" w:eastAsia="宋体" w:hint="default"/>
          <w:sz w:val="22"/>
          <w:szCs w:val="22"/>
        </w:rPr>
        <w:t>1</w:t>
      </w:r>
      <w:r>
        <w:rPr>
          <w:rFonts w:ascii="宋体" w:hAnsi="宋体" w:cs="宋体" w:eastAsia="宋体" w:hint="default"/>
          <w:spacing w:val="-38"/>
          <w:sz w:val="22"/>
          <w:szCs w:val="22"/>
        </w:rPr>
        <w:t> </w:t>
      </w:r>
      <w:r>
        <w:rPr>
          <w:rFonts w:ascii="宋体" w:hAnsi="宋体" w:cs="宋体" w:eastAsia="宋体" w:hint="default"/>
          <w:spacing w:val="-3"/>
          <w:sz w:val="22"/>
          <w:szCs w:val="22"/>
        </w:rPr>
        <w:t>年）的各项费用，该等费用在受益期内平均摊销。如果长期待摊费用项目不能</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使以后会计期间受益，则将尚未摊销的该项目的摊余价值全部转入当期损益。</w:t>
      </w:r>
    </w:p>
    <w:p>
      <w:pPr>
        <w:spacing w:line="285" w:lineRule="auto" w:before="77"/>
        <w:ind w:left="541" w:right="105" w:firstLine="14"/>
        <w:jc w:val="left"/>
        <w:rPr>
          <w:rFonts w:ascii="宋体" w:hAnsi="宋体" w:cs="宋体" w:eastAsia="宋体" w:hint="default"/>
          <w:sz w:val="22"/>
          <w:szCs w:val="22"/>
        </w:rPr>
      </w:pPr>
      <w:r>
        <w:rPr>
          <w:rFonts w:ascii="宋体" w:hAnsi="宋体" w:cs="宋体" w:eastAsia="宋体" w:hint="default"/>
          <w:b/>
          <w:bCs/>
          <w:sz w:val="22"/>
          <w:szCs w:val="22"/>
        </w:rPr>
        <w:t>22.</w:t>
      </w:r>
      <w:r>
        <w:rPr>
          <w:rFonts w:ascii="宋体" w:hAnsi="宋体" w:cs="宋体" w:eastAsia="宋体" w:hint="default"/>
          <w:b/>
          <w:bCs/>
          <w:spacing w:val="9"/>
          <w:sz w:val="22"/>
          <w:szCs w:val="22"/>
        </w:rPr>
        <w:t> </w:t>
      </w:r>
      <w:r>
        <w:rPr>
          <w:rFonts w:ascii="宋体" w:hAnsi="宋体" w:cs="宋体" w:eastAsia="宋体" w:hint="default"/>
          <w:sz w:val="22"/>
          <w:szCs w:val="22"/>
        </w:rPr>
        <w:t>职工薪酬</w:t>
      </w:r>
      <w:r>
        <w:rPr>
          <w:rFonts w:ascii="宋体" w:hAnsi="宋体" w:cs="宋体" w:eastAsia="宋体" w:hint="default"/>
          <w:w w:val="100"/>
          <w:sz w:val="22"/>
          <w:szCs w:val="22"/>
        </w:rPr>
        <w:t> </w:t>
      </w:r>
      <w:r>
        <w:rPr>
          <w:rFonts w:ascii="宋体" w:hAnsi="宋体" w:cs="宋体" w:eastAsia="宋体" w:hint="default"/>
          <w:sz w:val="22"/>
          <w:szCs w:val="22"/>
        </w:rPr>
        <w:t>本公司职工薪酬包括短期薪酬、离职后福利、辞退福利和其他长期福利。</w:t>
      </w:r>
    </w:p>
    <w:p>
      <w:pPr>
        <w:spacing w:line="297" w:lineRule="auto" w:before="88"/>
        <w:ind w:left="102" w:right="216" w:firstLine="439"/>
        <w:jc w:val="both"/>
        <w:rPr>
          <w:rFonts w:ascii="宋体" w:hAnsi="宋体" w:cs="宋体" w:eastAsia="宋体" w:hint="default"/>
          <w:sz w:val="22"/>
          <w:szCs w:val="22"/>
        </w:rPr>
      </w:pPr>
      <w:r>
        <w:rPr>
          <w:rFonts w:ascii="宋体" w:hAnsi="宋体" w:cs="宋体" w:eastAsia="宋体" w:hint="default"/>
          <w:spacing w:val="-3"/>
          <w:sz w:val="22"/>
          <w:szCs w:val="22"/>
        </w:rPr>
        <w:t>短期薪酬主要包括职工工资、奖金、津贴和补贴、职工福利费、住房公积金、工会经</w:t>
      </w:r>
      <w:r>
        <w:rPr>
          <w:rFonts w:ascii="宋体" w:hAnsi="宋体" w:cs="宋体" w:eastAsia="宋体" w:hint="default"/>
          <w:w w:val="100"/>
          <w:sz w:val="22"/>
          <w:szCs w:val="22"/>
        </w:rPr>
        <w:t> </w:t>
      </w:r>
      <w:r>
        <w:rPr>
          <w:rFonts w:ascii="宋体" w:hAnsi="宋体" w:cs="宋体" w:eastAsia="宋体" w:hint="default"/>
          <w:spacing w:val="-3"/>
          <w:sz w:val="22"/>
          <w:szCs w:val="22"/>
        </w:rPr>
        <w:t>费和职工教育经费以及医疗保险费、工伤保险费、生育保险费等社会保险费等，在职工提</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供服务的会计期间，将实际发生的短期薪酬确认为负债，并按照受益对象计入当期损益或</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相关资产成本。</w:t>
      </w:r>
    </w:p>
    <w:p>
      <w:pPr>
        <w:spacing w:line="297" w:lineRule="auto" w:before="74"/>
        <w:ind w:left="102" w:right="217" w:firstLine="439"/>
        <w:jc w:val="both"/>
        <w:rPr>
          <w:rFonts w:ascii="宋体" w:hAnsi="宋体" w:cs="宋体" w:eastAsia="宋体" w:hint="default"/>
          <w:sz w:val="22"/>
          <w:szCs w:val="22"/>
        </w:rPr>
      </w:pPr>
      <w:r>
        <w:rPr>
          <w:rFonts w:ascii="宋体" w:hAnsi="宋体" w:cs="宋体" w:eastAsia="宋体" w:hint="default"/>
          <w:spacing w:val="-3"/>
          <w:sz w:val="22"/>
          <w:szCs w:val="22"/>
        </w:rPr>
        <w:t>离职后福利主要包括基本养老保险费、失业保险费、企业年金缴费等，按照公司承担</w:t>
      </w:r>
      <w:r>
        <w:rPr>
          <w:rFonts w:ascii="宋体" w:hAnsi="宋体" w:cs="宋体" w:eastAsia="宋体" w:hint="default"/>
          <w:w w:val="100"/>
          <w:sz w:val="22"/>
          <w:szCs w:val="22"/>
        </w:rPr>
        <w:t> </w:t>
      </w:r>
      <w:r>
        <w:rPr>
          <w:rFonts w:ascii="宋体" w:hAnsi="宋体" w:cs="宋体" w:eastAsia="宋体" w:hint="default"/>
          <w:spacing w:val="-3"/>
          <w:sz w:val="22"/>
          <w:szCs w:val="22"/>
        </w:rPr>
        <w:t>的风险和义务，分类为设定提存计划，根据在资产负债表日为换取职工在会计期间提供的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服务而向单独主体缴存的提存金确认为负债，并按照受益对象计入当期损益或相关资产成</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本。</w:t>
      </w:r>
    </w:p>
    <w:p>
      <w:pPr>
        <w:spacing w:line="297" w:lineRule="auto" w:before="77"/>
        <w:ind w:left="102" w:right="215" w:firstLine="439"/>
        <w:jc w:val="both"/>
        <w:rPr>
          <w:rFonts w:ascii="宋体" w:hAnsi="宋体" w:cs="宋体" w:eastAsia="宋体" w:hint="default"/>
          <w:sz w:val="22"/>
          <w:szCs w:val="22"/>
        </w:rPr>
      </w:pPr>
      <w:r>
        <w:rPr>
          <w:rFonts w:ascii="宋体" w:hAnsi="宋体" w:cs="宋体" w:eastAsia="宋体" w:hint="default"/>
          <w:spacing w:val="-3"/>
          <w:sz w:val="22"/>
          <w:szCs w:val="22"/>
        </w:rPr>
        <w:t>辞退福利是由于本公司在职工劳动合同到期之前解除与职工的劳动关系产生，在本公</w:t>
      </w:r>
      <w:r>
        <w:rPr>
          <w:rFonts w:ascii="宋体" w:hAnsi="宋体" w:cs="宋体" w:eastAsia="宋体" w:hint="default"/>
          <w:w w:val="100"/>
          <w:sz w:val="22"/>
          <w:szCs w:val="22"/>
        </w:rPr>
        <w:t> </w:t>
      </w:r>
      <w:r>
        <w:rPr>
          <w:rFonts w:ascii="宋体" w:hAnsi="宋体" w:cs="宋体" w:eastAsia="宋体" w:hint="default"/>
          <w:spacing w:val="2"/>
          <w:sz w:val="22"/>
          <w:szCs w:val="22"/>
        </w:rPr>
        <w:t>司不能单方面撤回因解除劳动关系计划或裁减建议所提供的辞退福利时和本公司确认与</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涉及支付辞退福利的重组相关的成本或费用时两者孰早日确认辞退福利产生的职工薪酬</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负债，并计入当期损益，其中对超过一年予以支付的补偿款，折现后计入当期损益。</w:t>
      </w:r>
    </w:p>
    <w:p>
      <w:pPr>
        <w:spacing w:line="297" w:lineRule="auto" w:before="74"/>
        <w:ind w:left="102" w:right="217" w:firstLine="439"/>
        <w:jc w:val="both"/>
        <w:rPr>
          <w:rFonts w:ascii="宋体" w:hAnsi="宋体" w:cs="宋体" w:eastAsia="宋体" w:hint="default"/>
          <w:sz w:val="22"/>
          <w:szCs w:val="22"/>
        </w:rPr>
      </w:pPr>
      <w:r>
        <w:rPr>
          <w:rFonts w:ascii="宋体" w:hAnsi="宋体" w:cs="宋体" w:eastAsia="宋体" w:hint="default"/>
          <w:spacing w:val="-3"/>
          <w:sz w:val="22"/>
          <w:szCs w:val="22"/>
        </w:rPr>
        <w:t>其他长期福利主要包括长期奖励计划和长期福利等，本公司按照设定提存计划的有关</w:t>
      </w:r>
      <w:r>
        <w:rPr>
          <w:rFonts w:ascii="宋体" w:hAnsi="宋体" w:cs="宋体" w:eastAsia="宋体" w:hint="default"/>
          <w:w w:val="100"/>
          <w:sz w:val="22"/>
          <w:szCs w:val="22"/>
        </w:rPr>
        <w:t> </w:t>
      </w:r>
      <w:r>
        <w:rPr>
          <w:rFonts w:ascii="宋体" w:hAnsi="宋体" w:cs="宋体" w:eastAsia="宋体" w:hint="default"/>
          <w:sz w:val="22"/>
          <w:szCs w:val="22"/>
        </w:rPr>
        <w:t>规定进行会计处理。</w:t>
      </w:r>
    </w:p>
    <w:p>
      <w:pPr>
        <w:spacing w:line="288" w:lineRule="auto" w:before="74"/>
        <w:ind w:left="541" w:right="105" w:firstLine="14"/>
        <w:jc w:val="left"/>
        <w:rPr>
          <w:rFonts w:ascii="宋体" w:hAnsi="宋体" w:cs="宋体" w:eastAsia="宋体" w:hint="default"/>
          <w:sz w:val="22"/>
          <w:szCs w:val="22"/>
        </w:rPr>
      </w:pPr>
      <w:r>
        <w:rPr>
          <w:rFonts w:ascii="宋体" w:hAnsi="宋体" w:cs="宋体" w:eastAsia="宋体" w:hint="default"/>
          <w:b/>
          <w:bCs/>
          <w:sz w:val="22"/>
          <w:szCs w:val="22"/>
        </w:rPr>
        <w:t>23.</w:t>
      </w:r>
      <w:r>
        <w:rPr>
          <w:rFonts w:ascii="宋体" w:hAnsi="宋体" w:cs="宋体" w:eastAsia="宋体" w:hint="default"/>
          <w:b/>
          <w:bCs/>
          <w:spacing w:val="9"/>
          <w:sz w:val="22"/>
          <w:szCs w:val="22"/>
        </w:rPr>
        <w:t> </w:t>
      </w:r>
      <w:r>
        <w:rPr>
          <w:rFonts w:ascii="宋体" w:hAnsi="宋体" w:cs="宋体" w:eastAsia="宋体" w:hint="default"/>
          <w:sz w:val="22"/>
          <w:szCs w:val="22"/>
        </w:rPr>
        <w:t>预计负债</w:t>
      </w:r>
      <w:r>
        <w:rPr>
          <w:rFonts w:ascii="宋体" w:hAnsi="宋体" w:cs="宋体" w:eastAsia="宋体" w:hint="default"/>
          <w:w w:val="100"/>
          <w:sz w:val="22"/>
          <w:szCs w:val="22"/>
        </w:rPr>
        <w:t> </w:t>
      </w:r>
      <w:r>
        <w:rPr>
          <w:rFonts w:ascii="宋体" w:hAnsi="宋体" w:cs="宋体" w:eastAsia="宋体" w:hint="default"/>
          <w:sz w:val="22"/>
          <w:szCs w:val="22"/>
        </w:rPr>
        <w:t>当与对外担保、未决诉讼或仲裁、产品质量保证、裁员计划、亏损合同、重组义务、</w:t>
      </w:r>
    </w:p>
    <w:p>
      <w:pPr>
        <w:spacing w:line="297" w:lineRule="auto" w:before="25"/>
        <w:ind w:left="102" w:right="217" w:firstLine="0"/>
        <w:jc w:val="both"/>
        <w:rPr>
          <w:rFonts w:ascii="宋体" w:hAnsi="宋体" w:cs="宋体" w:eastAsia="宋体" w:hint="default"/>
          <w:sz w:val="22"/>
          <w:szCs w:val="22"/>
        </w:rPr>
      </w:pPr>
      <w:r>
        <w:rPr>
          <w:rFonts w:ascii="宋体" w:hAnsi="宋体" w:cs="宋体" w:eastAsia="宋体" w:hint="default"/>
          <w:spacing w:val="-3"/>
          <w:sz w:val="22"/>
          <w:szCs w:val="22"/>
        </w:rPr>
        <w:t>环境污染整治、承诺、固定资产弃置义务等或有事项相关的业务同时符合以下条件时，本</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公司将其确认为负债：该义务是本公司承担的现时义务；该义务的履行很可能导致经济利</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益流出企业；该义务的金额能够可靠地计量。</w:t>
      </w:r>
    </w:p>
    <w:p>
      <w:pPr>
        <w:spacing w:line="297" w:lineRule="auto" w:before="77"/>
        <w:ind w:left="102" w:right="217" w:firstLine="439"/>
        <w:jc w:val="both"/>
        <w:rPr>
          <w:rFonts w:ascii="宋体" w:hAnsi="宋体" w:cs="宋体" w:eastAsia="宋体" w:hint="default"/>
          <w:sz w:val="22"/>
          <w:szCs w:val="22"/>
        </w:rPr>
      </w:pPr>
      <w:r>
        <w:rPr>
          <w:rFonts w:ascii="宋体" w:hAnsi="宋体" w:cs="宋体" w:eastAsia="宋体" w:hint="default"/>
          <w:spacing w:val="-3"/>
          <w:sz w:val="22"/>
          <w:szCs w:val="22"/>
        </w:rPr>
        <w:t>预计负债按照履行相关现时义务所需支出的最佳估计数进行初始计量，并综合考虑与</w:t>
      </w:r>
      <w:r>
        <w:rPr>
          <w:rFonts w:ascii="宋体" w:hAnsi="宋体" w:cs="宋体" w:eastAsia="宋体" w:hint="default"/>
          <w:w w:val="100"/>
          <w:sz w:val="22"/>
          <w:szCs w:val="22"/>
        </w:rPr>
        <w:t> </w:t>
      </w:r>
      <w:r>
        <w:rPr>
          <w:rFonts w:ascii="宋体" w:hAnsi="宋体" w:cs="宋体" w:eastAsia="宋体" w:hint="default"/>
          <w:spacing w:val="-3"/>
          <w:sz w:val="22"/>
          <w:szCs w:val="22"/>
        </w:rPr>
        <w:t>或有事项有关的风险、不确定性和货币时间价值等因素。货币时间价值影响重大的，通过</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pacing w:val="-3"/>
          <w:sz w:val="22"/>
          <w:szCs w:val="22"/>
        </w:rPr>
        <w:t>对相关未来现金流出进行折现后确定最佳估计数。于资产负债表日对预计负债的账面价值</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进行复核，如有改变则对账面价值进行调整以反映当前最佳估计数。</w:t>
      </w:r>
    </w:p>
    <w:p>
      <w:pPr>
        <w:spacing w:line="297" w:lineRule="auto" w:before="77"/>
        <w:ind w:left="102" w:right="217" w:firstLine="439"/>
        <w:jc w:val="both"/>
        <w:rPr>
          <w:rFonts w:ascii="宋体" w:hAnsi="宋体" w:cs="宋体" w:eastAsia="宋体" w:hint="default"/>
          <w:sz w:val="22"/>
          <w:szCs w:val="22"/>
        </w:rPr>
      </w:pPr>
      <w:r>
        <w:rPr>
          <w:rFonts w:ascii="宋体" w:hAnsi="宋体" w:cs="宋体" w:eastAsia="宋体" w:hint="default"/>
          <w:spacing w:val="-3"/>
          <w:sz w:val="22"/>
          <w:szCs w:val="22"/>
        </w:rPr>
        <w:t>对过去的交易或事项形成的潜在义务，其存在需通过未来不确定事项的发生或不发生</w:t>
      </w:r>
      <w:r>
        <w:rPr>
          <w:rFonts w:ascii="宋体" w:hAnsi="宋体" w:cs="宋体" w:eastAsia="宋体" w:hint="default"/>
          <w:w w:val="100"/>
          <w:sz w:val="22"/>
          <w:szCs w:val="22"/>
        </w:rPr>
        <w:t> </w:t>
      </w:r>
      <w:r>
        <w:rPr>
          <w:rFonts w:ascii="宋体" w:hAnsi="宋体" w:cs="宋体" w:eastAsia="宋体" w:hint="default"/>
          <w:spacing w:val="-3"/>
          <w:sz w:val="22"/>
          <w:szCs w:val="22"/>
        </w:rPr>
        <w:t>予以证实；或过去的交易或者事项形成的现时义务，履行该义务不是很可能导致经济利益</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流出本公司或该义务的金额不能可靠计量，则本公司会将该潜在义务或现时义务披露为或</w:t>
      </w:r>
    </w:p>
    <w:p>
      <w:pPr>
        <w:spacing w:after="0" w:line="297" w:lineRule="auto"/>
        <w:jc w:val="both"/>
        <w:rPr>
          <w:rFonts w:ascii="宋体" w:hAnsi="宋体" w:cs="宋体" w:eastAsia="宋体" w:hint="default"/>
          <w:sz w:val="22"/>
          <w:szCs w:val="22"/>
        </w:rPr>
        <w:sectPr>
          <w:pgSz w:w="11910" w:h="16840"/>
          <w:pgMar w:header="0" w:footer="1054" w:top="1360" w:bottom="1240" w:left="1600" w:right="1480"/>
        </w:sectPr>
      </w:pPr>
    </w:p>
    <w:p>
      <w:pPr>
        <w:spacing w:before="6"/>
        <w:ind w:left="102" w:right="0" w:firstLine="0"/>
        <w:jc w:val="both"/>
        <w:rPr>
          <w:rFonts w:ascii="宋体" w:hAnsi="宋体" w:cs="宋体" w:eastAsia="宋体" w:hint="default"/>
          <w:sz w:val="22"/>
          <w:szCs w:val="22"/>
        </w:rPr>
      </w:pPr>
      <w:r>
        <w:rPr>
          <w:rFonts w:ascii="宋体" w:hAnsi="宋体" w:cs="宋体" w:eastAsia="宋体" w:hint="default"/>
          <w:sz w:val="22"/>
          <w:szCs w:val="22"/>
        </w:rPr>
        <w:t>有负债。</w:t>
      </w:r>
    </w:p>
    <w:p>
      <w:pPr>
        <w:spacing w:line="288" w:lineRule="auto" w:before="127"/>
        <w:ind w:left="541" w:right="117" w:firstLine="14"/>
        <w:jc w:val="left"/>
        <w:rPr>
          <w:rFonts w:ascii="宋体" w:hAnsi="宋体" w:cs="宋体" w:eastAsia="宋体" w:hint="default"/>
          <w:sz w:val="22"/>
          <w:szCs w:val="22"/>
        </w:rPr>
      </w:pPr>
      <w:r>
        <w:rPr>
          <w:rFonts w:ascii="宋体" w:hAnsi="宋体" w:cs="宋体" w:eastAsia="宋体" w:hint="default"/>
          <w:b/>
          <w:bCs/>
          <w:sz w:val="22"/>
          <w:szCs w:val="22"/>
        </w:rPr>
        <w:t>24.</w:t>
      </w:r>
      <w:r>
        <w:rPr>
          <w:rFonts w:ascii="宋体" w:hAnsi="宋体" w:cs="宋体" w:eastAsia="宋体" w:hint="default"/>
          <w:b/>
          <w:bCs/>
          <w:spacing w:val="9"/>
          <w:sz w:val="22"/>
          <w:szCs w:val="22"/>
        </w:rPr>
        <w:t> </w:t>
      </w:r>
      <w:r>
        <w:rPr>
          <w:rFonts w:ascii="宋体" w:hAnsi="宋体" w:cs="宋体" w:eastAsia="宋体" w:hint="default"/>
          <w:sz w:val="22"/>
          <w:szCs w:val="22"/>
        </w:rPr>
        <w:t>收入确认原则和计量方法</w:t>
      </w:r>
      <w:r>
        <w:rPr>
          <w:rFonts w:ascii="宋体" w:hAnsi="宋体" w:cs="宋体" w:eastAsia="宋体" w:hint="default"/>
          <w:w w:val="100"/>
          <w:sz w:val="22"/>
          <w:szCs w:val="22"/>
        </w:rPr>
        <w:t> </w:t>
      </w:r>
      <w:r>
        <w:rPr>
          <w:rFonts w:ascii="宋体" w:hAnsi="宋体" w:cs="宋体" w:eastAsia="宋体" w:hint="default"/>
          <w:spacing w:val="-3"/>
          <w:sz w:val="22"/>
          <w:szCs w:val="22"/>
        </w:rPr>
        <w:t>本公司的营业收入主要包括销售商品收入、提供劳务收入、让渡资产使用权收入、建</w:t>
      </w:r>
    </w:p>
    <w:p>
      <w:pPr>
        <w:spacing w:line="297" w:lineRule="auto" w:before="25"/>
        <w:ind w:left="102" w:right="116" w:firstLine="0"/>
        <w:jc w:val="both"/>
        <w:rPr>
          <w:rFonts w:ascii="宋体" w:hAnsi="宋体" w:cs="宋体" w:eastAsia="宋体" w:hint="default"/>
          <w:sz w:val="22"/>
          <w:szCs w:val="22"/>
        </w:rPr>
      </w:pPr>
      <w:r>
        <w:rPr>
          <w:rFonts w:ascii="宋体" w:hAnsi="宋体" w:cs="宋体" w:eastAsia="宋体" w:hint="default"/>
          <w:sz w:val="22"/>
          <w:szCs w:val="22"/>
        </w:rPr>
        <w:t>造合同收入和采用建设经营移交方式（</w:t>
      </w:r>
      <w:r>
        <w:rPr>
          <w:rFonts w:ascii="宋体" w:hAnsi="宋体" w:cs="宋体" w:eastAsia="宋体" w:hint="default"/>
          <w:sz w:val="22"/>
          <w:szCs w:val="22"/>
        </w:rPr>
        <w:t>BOT</w:t>
      </w:r>
      <w:r>
        <w:rPr>
          <w:rFonts w:ascii="宋体" w:hAnsi="宋体" w:cs="宋体" w:eastAsia="宋体" w:hint="default"/>
          <w:sz w:val="22"/>
          <w:szCs w:val="22"/>
        </w:rPr>
        <w:t>）的收入。与交易相关的经济利益能够流入本</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pacing w:val="-3"/>
          <w:sz w:val="22"/>
          <w:szCs w:val="22"/>
        </w:rPr>
        <w:t>公司，相关的收入能够可靠计量且满足下列各项经营活动的特定收入确认标准时，确认相</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关的收入。</w:t>
      </w:r>
    </w:p>
    <w:p>
      <w:pPr>
        <w:spacing w:line="345" w:lineRule="auto" w:before="77"/>
        <w:ind w:left="541" w:right="117" w:firstLine="14"/>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9"/>
          <w:sz w:val="22"/>
          <w:szCs w:val="22"/>
        </w:rPr>
        <w:t> </w:t>
      </w:r>
      <w:r>
        <w:rPr>
          <w:rFonts w:ascii="宋体" w:hAnsi="宋体" w:cs="宋体" w:eastAsia="宋体" w:hint="default"/>
          <w:sz w:val="22"/>
          <w:szCs w:val="22"/>
        </w:rPr>
        <w:t>销售商品收入</w:t>
      </w:r>
      <w:r>
        <w:rPr>
          <w:rFonts w:ascii="宋体" w:hAnsi="宋体" w:cs="宋体" w:eastAsia="宋体" w:hint="default"/>
          <w:w w:val="100"/>
          <w:sz w:val="22"/>
          <w:szCs w:val="22"/>
        </w:rPr>
        <w:t> </w:t>
      </w:r>
      <w:r>
        <w:rPr>
          <w:rFonts w:ascii="宋体" w:hAnsi="宋体" w:cs="宋体" w:eastAsia="宋体" w:hint="default"/>
          <w:spacing w:val="-3"/>
          <w:sz w:val="22"/>
          <w:szCs w:val="22"/>
        </w:rPr>
        <w:t>公司在商品所有权上的主要风险和报酬转移给买方、公司不再对该商品实施继续管理</w:t>
      </w:r>
    </w:p>
    <w:p>
      <w:pPr>
        <w:spacing w:line="261" w:lineRule="exact" w:before="0"/>
        <w:ind w:left="102" w:right="0" w:firstLine="0"/>
        <w:jc w:val="both"/>
        <w:rPr>
          <w:rFonts w:ascii="宋体" w:hAnsi="宋体" w:cs="宋体" w:eastAsia="宋体" w:hint="default"/>
          <w:sz w:val="22"/>
          <w:szCs w:val="22"/>
        </w:rPr>
      </w:pPr>
      <w:r>
        <w:rPr>
          <w:rFonts w:ascii="宋体" w:hAnsi="宋体" w:cs="宋体" w:eastAsia="宋体" w:hint="default"/>
          <w:spacing w:val="-3"/>
          <w:sz w:val="22"/>
          <w:szCs w:val="22"/>
        </w:rPr>
        <w:t>权和实际控制权、与交易相关的经济利益能够流入企业、并且相关收入和成本能够可靠地</w:t>
      </w:r>
    </w:p>
    <w:p>
      <w:pPr>
        <w:spacing w:line="345" w:lineRule="auto" w:before="69"/>
        <w:ind w:left="555" w:right="6198" w:hanging="454"/>
        <w:jc w:val="left"/>
        <w:rPr>
          <w:rFonts w:ascii="宋体" w:hAnsi="宋体" w:cs="宋体" w:eastAsia="宋体" w:hint="default"/>
          <w:sz w:val="22"/>
          <w:szCs w:val="22"/>
        </w:rPr>
      </w:pPr>
      <w:r>
        <w:rPr>
          <w:rFonts w:ascii="宋体" w:hAnsi="宋体" w:cs="宋体" w:eastAsia="宋体" w:hint="default"/>
          <w:spacing w:val="-1"/>
          <w:sz w:val="22"/>
          <w:szCs w:val="22"/>
        </w:rPr>
        <w:t>计量时确认收入的实现。</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b/>
          <w:bCs/>
          <w:sz w:val="22"/>
          <w:szCs w:val="22"/>
        </w:rPr>
        <w:t>(2)</w:t>
      </w:r>
      <w:r>
        <w:rPr>
          <w:rFonts w:ascii="宋体" w:hAnsi="宋体" w:cs="宋体" w:eastAsia="宋体" w:hint="default"/>
          <w:b/>
          <w:bCs/>
          <w:spacing w:val="11"/>
          <w:sz w:val="22"/>
          <w:szCs w:val="22"/>
        </w:rPr>
        <w:t> </w:t>
      </w:r>
      <w:r>
        <w:rPr>
          <w:rFonts w:ascii="宋体" w:hAnsi="宋体" w:cs="宋体" w:eastAsia="宋体" w:hint="default"/>
          <w:sz w:val="22"/>
          <w:szCs w:val="22"/>
        </w:rPr>
        <w:t>提供劳务收入</w:t>
      </w:r>
    </w:p>
    <w:p>
      <w:pPr>
        <w:spacing w:line="297" w:lineRule="auto" w:before="33"/>
        <w:ind w:left="102" w:right="117" w:firstLine="439"/>
        <w:jc w:val="both"/>
        <w:rPr>
          <w:rFonts w:ascii="宋体" w:hAnsi="宋体" w:cs="宋体" w:eastAsia="宋体" w:hint="default"/>
          <w:sz w:val="22"/>
          <w:szCs w:val="22"/>
        </w:rPr>
      </w:pPr>
      <w:r>
        <w:rPr>
          <w:rFonts w:ascii="宋体" w:hAnsi="宋体" w:cs="宋体" w:eastAsia="宋体" w:hint="default"/>
          <w:spacing w:val="-3"/>
          <w:sz w:val="22"/>
          <w:szCs w:val="22"/>
        </w:rPr>
        <w:t>提供劳务在同一年度内开始并完成的，应当在完成劳务时确认收入。如劳务的开始和</w:t>
      </w:r>
      <w:r>
        <w:rPr>
          <w:rFonts w:ascii="宋体" w:hAnsi="宋体" w:cs="宋体" w:eastAsia="宋体" w:hint="default"/>
          <w:w w:val="100"/>
          <w:sz w:val="22"/>
          <w:szCs w:val="22"/>
        </w:rPr>
        <w:t> </w:t>
      </w:r>
      <w:r>
        <w:rPr>
          <w:rFonts w:ascii="宋体" w:hAnsi="宋体" w:cs="宋体" w:eastAsia="宋体" w:hint="default"/>
          <w:spacing w:val="-3"/>
          <w:sz w:val="22"/>
          <w:szCs w:val="22"/>
        </w:rPr>
        <w:t>完成分属不同的会计年度，在提供劳务交易的结果能够可靠估计的情况下，公司在资产负</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债表日按完工百分比法确认相关的劳务收入；在提供劳务交易的结果不能可靠估计的情况</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下，公司在资产负债表日对收入分别以下情况予以确认和计量：</w:t>
      </w:r>
    </w:p>
    <w:p>
      <w:pPr>
        <w:spacing w:line="280" w:lineRule="auto" w:before="74"/>
        <w:ind w:left="102" w:right="116" w:firstLine="503"/>
        <w:jc w:val="both"/>
        <w:rPr>
          <w:rFonts w:ascii="宋体" w:hAnsi="宋体" w:cs="宋体" w:eastAsia="宋体" w:hint="default"/>
          <w:sz w:val="22"/>
          <w:szCs w:val="22"/>
        </w:rPr>
      </w:pPr>
      <w:r>
        <w:rPr>
          <w:rFonts w:ascii="Times New Roman" w:hAnsi="Times New Roman" w:cs="Times New Roman" w:eastAsia="Times New Roman" w:hint="default"/>
          <w:b/>
          <w:bCs/>
          <w:w w:val="100"/>
          <w:sz w:val="22"/>
          <w:szCs w:val="22"/>
        </w:rPr>
        <w:t>1)</w:t>
      </w:r>
      <w:r>
        <w:rPr>
          <w:rFonts w:ascii="Times New Roman" w:hAnsi="Times New Roman" w:cs="Times New Roman" w:eastAsia="Times New Roman" w:hint="default"/>
          <w:b/>
          <w:bCs/>
          <w:spacing w:val="3"/>
          <w:w w:val="100"/>
          <w:sz w:val="22"/>
          <w:szCs w:val="22"/>
        </w:rPr>
        <w:t> </w:t>
      </w:r>
      <w:r>
        <w:rPr>
          <w:rFonts w:ascii="宋体" w:hAnsi="宋体" w:cs="宋体" w:eastAsia="宋体" w:hint="default"/>
          <w:spacing w:val="-4"/>
          <w:w w:val="100"/>
          <w:sz w:val="22"/>
          <w:szCs w:val="22"/>
        </w:rPr>
        <w:t>如果已经发生的劳务成本预计能够得到补偿，按已经发生的劳务成本金额确认收</w:t>
      </w:r>
      <w:r>
        <w:rPr>
          <w:rFonts w:ascii="宋体" w:hAnsi="宋体" w:cs="宋体" w:eastAsia="宋体" w:hint="default"/>
          <w:w w:val="100"/>
          <w:sz w:val="22"/>
          <w:szCs w:val="22"/>
        </w:rPr>
        <w:t> </w:t>
      </w:r>
      <w:r>
        <w:rPr>
          <w:rFonts w:ascii="宋体" w:hAnsi="宋体" w:cs="宋体" w:eastAsia="宋体" w:hint="default"/>
          <w:sz w:val="22"/>
          <w:szCs w:val="22"/>
        </w:rPr>
        <w:t>入，并按相同金额结转成本；</w:t>
      </w:r>
    </w:p>
    <w:p>
      <w:pPr>
        <w:spacing w:line="290" w:lineRule="auto" w:before="90"/>
        <w:ind w:left="102" w:right="117" w:firstLine="503"/>
        <w:jc w:val="both"/>
        <w:rPr>
          <w:rFonts w:ascii="宋体" w:hAnsi="宋体" w:cs="宋体" w:eastAsia="宋体" w:hint="default"/>
          <w:sz w:val="22"/>
          <w:szCs w:val="22"/>
        </w:rPr>
      </w:pPr>
      <w:r>
        <w:rPr>
          <w:rFonts w:ascii="Times New Roman" w:hAnsi="Times New Roman" w:cs="Times New Roman" w:eastAsia="Times New Roman" w:hint="default"/>
          <w:b/>
          <w:bCs/>
          <w:w w:val="100"/>
          <w:sz w:val="22"/>
          <w:szCs w:val="22"/>
        </w:rPr>
        <w:t>2)</w:t>
      </w:r>
      <w:r>
        <w:rPr>
          <w:rFonts w:ascii="Times New Roman" w:hAnsi="Times New Roman" w:cs="Times New Roman" w:eastAsia="Times New Roman" w:hint="default"/>
          <w:b/>
          <w:bCs/>
          <w:spacing w:val="3"/>
          <w:w w:val="100"/>
          <w:sz w:val="22"/>
          <w:szCs w:val="22"/>
        </w:rPr>
        <w:t> </w:t>
      </w:r>
      <w:r>
        <w:rPr>
          <w:rFonts w:ascii="宋体" w:hAnsi="宋体" w:cs="宋体" w:eastAsia="宋体" w:hint="default"/>
          <w:spacing w:val="-4"/>
          <w:w w:val="100"/>
          <w:sz w:val="22"/>
          <w:szCs w:val="22"/>
        </w:rPr>
        <w:t>如果已经发生的劳务成本预计不能全部得到补偿，按能够得到补偿的劳务成本金</w:t>
      </w:r>
      <w:r>
        <w:rPr>
          <w:rFonts w:ascii="宋体" w:hAnsi="宋体" w:cs="宋体" w:eastAsia="宋体" w:hint="default"/>
          <w:w w:val="100"/>
          <w:sz w:val="22"/>
          <w:szCs w:val="22"/>
        </w:rPr>
        <w:t> </w:t>
      </w:r>
      <w:r>
        <w:rPr>
          <w:rFonts w:ascii="宋体" w:hAnsi="宋体" w:cs="宋体" w:eastAsia="宋体" w:hint="default"/>
          <w:spacing w:val="-3"/>
          <w:sz w:val="22"/>
          <w:szCs w:val="22"/>
        </w:rPr>
        <w:t>额确认收入，并按已经发生的劳务成本，结转当期成本，确认的金额小于已经发生的劳务</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成本的差额，作为当期损失；</w:t>
      </w:r>
    </w:p>
    <w:p>
      <w:pPr>
        <w:spacing w:line="280" w:lineRule="auto" w:before="81"/>
        <w:ind w:left="102" w:right="117" w:firstLine="503"/>
        <w:jc w:val="both"/>
        <w:rPr>
          <w:rFonts w:ascii="宋体" w:hAnsi="宋体" w:cs="宋体" w:eastAsia="宋体" w:hint="default"/>
          <w:sz w:val="22"/>
          <w:szCs w:val="22"/>
        </w:rPr>
      </w:pPr>
      <w:r>
        <w:rPr>
          <w:rFonts w:ascii="Times New Roman" w:hAnsi="Times New Roman" w:cs="Times New Roman" w:eastAsia="Times New Roman" w:hint="default"/>
          <w:b/>
          <w:bCs/>
          <w:w w:val="100"/>
          <w:sz w:val="22"/>
          <w:szCs w:val="22"/>
        </w:rPr>
        <w:t>3)</w:t>
      </w:r>
      <w:r>
        <w:rPr>
          <w:rFonts w:ascii="Times New Roman" w:hAnsi="Times New Roman" w:cs="Times New Roman" w:eastAsia="Times New Roman" w:hint="default"/>
          <w:b/>
          <w:bCs/>
          <w:spacing w:val="3"/>
          <w:w w:val="100"/>
          <w:sz w:val="22"/>
          <w:szCs w:val="22"/>
        </w:rPr>
        <w:t> </w:t>
      </w:r>
      <w:r>
        <w:rPr>
          <w:rFonts w:ascii="宋体" w:hAnsi="宋体" w:cs="宋体" w:eastAsia="宋体" w:hint="default"/>
          <w:spacing w:val="-4"/>
          <w:w w:val="100"/>
          <w:sz w:val="22"/>
          <w:szCs w:val="22"/>
        </w:rPr>
        <w:t>如果已经发生的劳务成本全部不能得到补偿，应按已经发生的劳务成本作为当期</w:t>
      </w:r>
      <w:r>
        <w:rPr>
          <w:rFonts w:ascii="宋体" w:hAnsi="宋体" w:cs="宋体" w:eastAsia="宋体" w:hint="default"/>
          <w:w w:val="100"/>
          <w:sz w:val="22"/>
          <w:szCs w:val="22"/>
        </w:rPr>
        <w:t> </w:t>
      </w:r>
      <w:r>
        <w:rPr>
          <w:rFonts w:ascii="宋体" w:hAnsi="宋体" w:cs="宋体" w:eastAsia="宋体" w:hint="default"/>
          <w:sz w:val="22"/>
          <w:szCs w:val="22"/>
        </w:rPr>
        <w:t>费用，不确认收入。</w:t>
      </w:r>
    </w:p>
    <w:p>
      <w:pPr>
        <w:spacing w:line="348" w:lineRule="auto" w:before="90"/>
        <w:ind w:left="541" w:right="117" w:firstLine="14"/>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9"/>
          <w:sz w:val="22"/>
          <w:szCs w:val="22"/>
        </w:rPr>
        <w:t> </w:t>
      </w:r>
      <w:r>
        <w:rPr>
          <w:rFonts w:ascii="宋体" w:hAnsi="宋体" w:cs="宋体" w:eastAsia="宋体" w:hint="default"/>
          <w:sz w:val="22"/>
          <w:szCs w:val="22"/>
        </w:rPr>
        <w:t>让渡资产使用权收入</w:t>
      </w:r>
      <w:r>
        <w:rPr>
          <w:rFonts w:ascii="宋体" w:hAnsi="宋体" w:cs="宋体" w:eastAsia="宋体" w:hint="default"/>
          <w:w w:val="100"/>
          <w:sz w:val="22"/>
          <w:szCs w:val="22"/>
        </w:rPr>
        <w:t> </w:t>
      </w:r>
      <w:r>
        <w:rPr>
          <w:rFonts w:ascii="宋体" w:hAnsi="宋体" w:cs="宋体" w:eastAsia="宋体" w:hint="default"/>
          <w:spacing w:val="-3"/>
          <w:sz w:val="22"/>
          <w:szCs w:val="22"/>
        </w:rPr>
        <w:t>以与交易相关的经济利益能够流入本公司，收入的金额能够可靠地计量时，确认让渡</w:t>
      </w:r>
    </w:p>
    <w:p>
      <w:pPr>
        <w:spacing w:line="259" w:lineRule="exact" w:before="0"/>
        <w:ind w:left="102" w:right="0" w:firstLine="0"/>
        <w:jc w:val="both"/>
        <w:rPr>
          <w:rFonts w:ascii="宋体" w:hAnsi="宋体" w:cs="宋体" w:eastAsia="宋体" w:hint="default"/>
          <w:sz w:val="22"/>
          <w:szCs w:val="22"/>
        </w:rPr>
      </w:pPr>
      <w:r>
        <w:rPr>
          <w:rFonts w:ascii="宋体" w:hAnsi="宋体" w:cs="宋体" w:eastAsia="宋体" w:hint="default"/>
          <w:sz w:val="22"/>
          <w:szCs w:val="22"/>
        </w:rPr>
        <w:t>资产使用权收入的实现。</w:t>
      </w:r>
    </w:p>
    <w:p>
      <w:pPr>
        <w:tabs>
          <w:tab w:pos="1001" w:val="left" w:leader="none"/>
        </w:tabs>
        <w:spacing w:before="127"/>
        <w:ind w:left="605"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tab/>
      </w:r>
      <w:r>
        <w:rPr>
          <w:rFonts w:ascii="宋体" w:hAnsi="宋体" w:cs="宋体" w:eastAsia="宋体" w:hint="default"/>
          <w:sz w:val="22"/>
          <w:szCs w:val="22"/>
        </w:rPr>
        <w:t>利息收入按照他人使用本公司货币资金的时间和实际利率计算确定；</w:t>
      </w:r>
    </w:p>
    <w:p>
      <w:pPr>
        <w:tabs>
          <w:tab w:pos="1001" w:val="left" w:leader="none"/>
        </w:tabs>
        <w:spacing w:before="113"/>
        <w:ind w:left="605"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tab/>
      </w:r>
      <w:r>
        <w:rPr>
          <w:rFonts w:ascii="宋体" w:hAnsi="宋体" w:cs="宋体" w:eastAsia="宋体" w:hint="default"/>
          <w:sz w:val="22"/>
          <w:szCs w:val="22"/>
        </w:rPr>
        <w:t>使用费收入按照有关合同或协议约定的收费时间和方法计算确定；</w:t>
      </w:r>
    </w:p>
    <w:p>
      <w:pPr>
        <w:tabs>
          <w:tab w:pos="1001" w:val="left" w:leader="none"/>
        </w:tabs>
        <w:spacing w:before="110"/>
        <w:ind w:left="605" w:right="11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tab/>
      </w:r>
      <w:r>
        <w:rPr>
          <w:rFonts w:ascii="宋体" w:hAnsi="宋体" w:cs="宋体" w:eastAsia="宋体" w:hint="default"/>
          <w:sz w:val="22"/>
          <w:szCs w:val="22"/>
        </w:rPr>
        <w:t>经营租赁收入按照直线法在租赁期内确认。</w:t>
      </w:r>
    </w:p>
    <w:p>
      <w:pPr>
        <w:spacing w:line="297" w:lineRule="auto" w:before="113"/>
        <w:ind w:left="102" w:right="117" w:firstLine="453"/>
        <w:jc w:val="both"/>
        <w:rPr>
          <w:rFonts w:ascii="宋体" w:hAnsi="宋体" w:cs="宋体" w:eastAsia="宋体" w:hint="default"/>
          <w:sz w:val="22"/>
          <w:szCs w:val="22"/>
        </w:rPr>
      </w:pPr>
      <w:r>
        <w:rPr>
          <w:rFonts w:ascii="宋体" w:hAnsi="宋体" w:cs="宋体" w:eastAsia="宋体" w:hint="default"/>
          <w:b/>
          <w:bCs/>
          <w:w w:val="99"/>
          <w:sz w:val="22"/>
          <w:szCs w:val="22"/>
        </w:rPr>
        <w:t>(4)</w:t>
      </w:r>
      <w:r>
        <w:rPr>
          <w:rFonts w:ascii="宋体" w:hAnsi="宋体" w:cs="宋体" w:eastAsia="宋体" w:hint="default"/>
          <w:b/>
          <w:bCs/>
          <w:spacing w:val="16"/>
          <w:w w:val="99"/>
          <w:sz w:val="22"/>
          <w:szCs w:val="22"/>
        </w:rPr>
        <w:t> </w:t>
      </w:r>
      <w:r>
        <w:rPr>
          <w:rFonts w:ascii="宋体" w:hAnsi="宋体" w:cs="宋体" w:eastAsia="宋体" w:hint="default"/>
          <w:spacing w:val="-4"/>
          <w:w w:val="100"/>
          <w:sz w:val="22"/>
          <w:szCs w:val="22"/>
        </w:rPr>
        <w:t>建造合同的结果能够可靠估计的，于资产负债表日按完工百分比法确认合同收入</w:t>
      </w:r>
      <w:r>
        <w:rPr>
          <w:rFonts w:ascii="宋体" w:hAnsi="宋体" w:cs="宋体" w:eastAsia="宋体" w:hint="default"/>
          <w:w w:val="100"/>
          <w:sz w:val="22"/>
          <w:szCs w:val="22"/>
        </w:rPr>
        <w:t> </w:t>
      </w:r>
      <w:r>
        <w:rPr>
          <w:rFonts w:ascii="宋体" w:hAnsi="宋体" w:cs="宋体" w:eastAsia="宋体" w:hint="default"/>
          <w:spacing w:val="-3"/>
          <w:sz w:val="22"/>
          <w:szCs w:val="22"/>
        </w:rPr>
        <w:t>和合同费用；在建造合同的结果不能可靠地估计时，如果合同成本能够收回的，合同收入</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pacing w:val="-3"/>
          <w:sz w:val="22"/>
          <w:szCs w:val="22"/>
        </w:rPr>
        <w:t>根据能够收回的实际合同成本加以确认，合同成本在其发生的当期确认为费用。如果合同</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成本不可能收回的，应在发生时立即确认为费用，不确认收入。合同预计总成本将超过合</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同预计总收入时，将预计损失确认为当期费用。</w:t>
      </w:r>
    </w:p>
    <w:p>
      <w:pPr>
        <w:spacing w:before="77"/>
        <w:ind w:left="555" w:right="0" w:firstLine="0"/>
        <w:jc w:val="left"/>
        <w:rPr>
          <w:rFonts w:ascii="宋体" w:hAnsi="宋体" w:cs="宋体" w:eastAsia="宋体" w:hint="default"/>
          <w:sz w:val="22"/>
          <w:szCs w:val="22"/>
        </w:rPr>
      </w:pPr>
      <w:r>
        <w:rPr>
          <w:rFonts w:ascii="宋体" w:hAnsi="宋体" w:cs="宋体" w:eastAsia="宋体" w:hint="default"/>
          <w:b/>
          <w:bCs/>
          <w:sz w:val="22"/>
          <w:szCs w:val="22"/>
        </w:rPr>
        <w:t>(5)</w:t>
      </w:r>
      <w:r>
        <w:rPr>
          <w:rFonts w:ascii="宋体" w:hAnsi="宋体" w:cs="宋体" w:eastAsia="宋体" w:hint="default"/>
          <w:b/>
          <w:bCs/>
          <w:spacing w:val="5"/>
          <w:sz w:val="22"/>
          <w:szCs w:val="22"/>
        </w:rPr>
        <w:t> </w:t>
      </w:r>
      <w:r>
        <w:rPr>
          <w:rFonts w:ascii="宋体" w:hAnsi="宋体" w:cs="宋体" w:eastAsia="宋体" w:hint="default"/>
          <w:sz w:val="22"/>
          <w:szCs w:val="22"/>
        </w:rPr>
        <w:t>采用建设经营移交方式（</w:t>
      </w:r>
      <w:r>
        <w:rPr>
          <w:rFonts w:ascii="宋体" w:hAnsi="宋体" w:cs="宋体" w:eastAsia="宋体" w:hint="default"/>
          <w:sz w:val="22"/>
          <w:szCs w:val="22"/>
        </w:rPr>
        <w:t>BOT</w:t>
      </w:r>
      <w:r>
        <w:rPr>
          <w:rFonts w:ascii="宋体" w:hAnsi="宋体" w:cs="宋体" w:eastAsia="宋体" w:hint="default"/>
          <w:sz w:val="22"/>
          <w:szCs w:val="22"/>
        </w:rPr>
        <w:t>）参与公共基础设施建设业务收入确认原则如下：</w:t>
      </w:r>
    </w:p>
    <w:p>
      <w:pPr>
        <w:spacing w:line="280" w:lineRule="auto" w:before="129"/>
        <w:ind w:left="102" w:right="113" w:firstLine="503"/>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本公司采用建设经营移交方式（</w:t>
      </w:r>
      <w:r>
        <w:rPr>
          <w:rFonts w:ascii="宋体" w:hAnsi="宋体" w:cs="宋体" w:eastAsia="宋体" w:hint="default"/>
          <w:sz w:val="22"/>
          <w:szCs w:val="22"/>
        </w:rPr>
        <w:t>BOT</w:t>
      </w:r>
      <w:r>
        <w:rPr>
          <w:rFonts w:ascii="宋体" w:hAnsi="宋体" w:cs="宋体" w:eastAsia="宋体" w:hint="default"/>
          <w:sz w:val="22"/>
          <w:szCs w:val="22"/>
        </w:rPr>
        <w:t>）参与公共基础设施建设业务，将基础设施</w:t>
      </w:r>
      <w:r>
        <w:rPr>
          <w:rFonts w:ascii="宋体" w:hAnsi="宋体" w:cs="宋体" w:eastAsia="宋体" w:hint="default"/>
          <w:w w:val="100"/>
          <w:sz w:val="22"/>
          <w:szCs w:val="22"/>
        </w:rPr>
        <w:t> </w:t>
      </w:r>
      <w:r>
        <w:rPr>
          <w:rFonts w:ascii="宋体" w:hAnsi="宋体" w:cs="宋体" w:eastAsia="宋体" w:hint="default"/>
          <w:spacing w:val="-3"/>
          <w:sz w:val="22"/>
          <w:szCs w:val="22"/>
        </w:rPr>
        <w:t>建造发包给其他方未提供实际建造服务的，本公司不确认建造服务收入，按照建造过程中</w:t>
      </w:r>
    </w:p>
    <w:p>
      <w:pPr>
        <w:spacing w:after="0" w:line="280" w:lineRule="auto"/>
        <w:jc w:val="both"/>
        <w:rPr>
          <w:rFonts w:ascii="宋体" w:hAnsi="宋体" w:cs="宋体" w:eastAsia="宋体" w:hint="default"/>
          <w:sz w:val="22"/>
          <w:szCs w:val="22"/>
        </w:rPr>
        <w:sectPr>
          <w:pgSz w:w="11910" w:h="16840"/>
          <w:pgMar w:header="0" w:footer="1054" w:top="1360" w:bottom="1240" w:left="1600" w:right="1580"/>
        </w:sectPr>
      </w:pPr>
    </w:p>
    <w:p>
      <w:pPr>
        <w:spacing w:line="297" w:lineRule="auto" w:before="6"/>
        <w:ind w:left="102" w:right="0" w:firstLine="0"/>
        <w:jc w:val="left"/>
        <w:rPr>
          <w:rFonts w:ascii="宋体" w:hAnsi="宋体" w:cs="宋体" w:eastAsia="宋体" w:hint="default"/>
          <w:sz w:val="22"/>
          <w:szCs w:val="22"/>
        </w:rPr>
      </w:pPr>
      <w:r>
        <w:rPr>
          <w:rFonts w:ascii="宋体" w:hAnsi="宋体" w:cs="宋体" w:eastAsia="宋体" w:hint="default"/>
          <w:spacing w:val="-3"/>
          <w:sz w:val="22"/>
          <w:szCs w:val="22"/>
        </w:rPr>
        <w:t>支付的工程价款等考虑合同规定，确认金融资产或无形资产。合同规定本公司在有关基础</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设施建成后，在从事经营的一定期间内可以自合同授予方收取确定金额的货币资金或其他</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金融资产的，或在项目公司提供经营服务的收费低于某一限定金额的情况下，合同授予方</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6"/>
          <w:w w:val="100"/>
          <w:sz w:val="22"/>
          <w:szCs w:val="22"/>
        </w:rPr>
        <w:t>按照合同规定负责将有关差价补偿给项目公司的，确认为金融资产；如收费金额不确定的，</w:t>
      </w:r>
      <w:r>
        <w:rPr>
          <w:rFonts w:ascii="宋体" w:hAnsi="宋体" w:cs="宋体" w:eastAsia="宋体" w:hint="default"/>
          <w:spacing w:val="-92"/>
          <w:w w:val="100"/>
          <w:sz w:val="22"/>
          <w:szCs w:val="22"/>
        </w:rPr>
        <w:t> </w:t>
      </w:r>
      <w:r>
        <w:rPr>
          <w:rFonts w:ascii="宋体" w:hAnsi="宋体" w:cs="宋体" w:eastAsia="宋体" w:hint="default"/>
          <w:spacing w:val="-92"/>
          <w:w w:val="100"/>
          <w:sz w:val="22"/>
          <w:szCs w:val="22"/>
        </w:rPr>
      </w:r>
      <w:r>
        <w:rPr>
          <w:rFonts w:ascii="宋体" w:hAnsi="宋体" w:cs="宋体" w:eastAsia="宋体" w:hint="default"/>
          <w:sz w:val="22"/>
          <w:szCs w:val="22"/>
        </w:rPr>
        <w:t>确认为无形资产。</w:t>
      </w:r>
    </w:p>
    <w:p>
      <w:pPr>
        <w:tabs>
          <w:tab w:pos="1001" w:val="left" w:leader="none"/>
        </w:tabs>
        <w:spacing w:line="292" w:lineRule="auto" w:before="77"/>
        <w:ind w:left="102" w:right="106" w:firstLine="50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tab/>
      </w:r>
      <w:r>
        <w:rPr>
          <w:rFonts w:ascii="宋体" w:hAnsi="宋体" w:cs="宋体" w:eastAsia="宋体" w:hint="default"/>
          <w:sz w:val="22"/>
          <w:szCs w:val="22"/>
        </w:rPr>
        <w:t>以 </w:t>
      </w:r>
      <w:r>
        <w:rPr>
          <w:rFonts w:ascii="宋体" w:hAnsi="宋体" w:cs="宋体" w:eastAsia="宋体" w:hint="default"/>
          <w:sz w:val="22"/>
          <w:szCs w:val="22"/>
        </w:rPr>
        <w:t>BOT</w:t>
      </w:r>
      <w:r>
        <w:rPr>
          <w:rFonts w:ascii="宋体" w:hAnsi="宋体" w:cs="宋体" w:eastAsia="宋体" w:hint="default"/>
          <w:spacing w:val="17"/>
          <w:sz w:val="22"/>
          <w:szCs w:val="22"/>
        </w:rPr>
        <w:t> </w:t>
      </w:r>
      <w:r>
        <w:rPr>
          <w:rFonts w:ascii="宋体" w:hAnsi="宋体" w:cs="宋体" w:eastAsia="宋体" w:hint="default"/>
          <w:sz w:val="22"/>
          <w:szCs w:val="22"/>
        </w:rPr>
        <w:t>方式建设公共基础设施，基础设施建成后的会计处理，分别二种情况确</w:t>
      </w:r>
      <w:r>
        <w:rPr>
          <w:rFonts w:ascii="宋体" w:hAnsi="宋体" w:cs="宋体" w:eastAsia="宋体" w:hint="default"/>
          <w:w w:val="100"/>
          <w:sz w:val="22"/>
          <w:szCs w:val="22"/>
        </w:rPr>
        <w:t> </w:t>
      </w:r>
      <w:r>
        <w:rPr>
          <w:rFonts w:ascii="宋体" w:hAnsi="宋体" w:cs="宋体" w:eastAsia="宋体" w:hint="default"/>
          <w:sz w:val="22"/>
          <w:szCs w:val="22"/>
        </w:rPr>
        <w:t>认运营收入：特许经营权确认为无形资产的项目，运营期间内获得的收入均为运营收入；</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运营后不直接向获取服务的对象收费而由政府偿付确认为金融资产的项目，先根据合理的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成本、报酬率，确认该项运营收入，再采用实际利率法对长期应收款以摊余成本计量，该</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项金融资产的利息收益在投资收益中反映。</w:t>
      </w:r>
    </w:p>
    <w:p>
      <w:pPr>
        <w:tabs>
          <w:tab w:pos="1001" w:val="left" w:leader="none"/>
        </w:tabs>
        <w:spacing w:before="81"/>
        <w:ind w:left="605" w:right="105" w:firstLine="0"/>
        <w:jc w:val="left"/>
        <w:rPr>
          <w:rFonts w:ascii="宋体" w:hAnsi="宋体" w:cs="宋体" w:eastAsia="宋体" w:hint="default"/>
          <w:sz w:val="22"/>
          <w:szCs w:val="22"/>
        </w:rPr>
      </w:pPr>
      <w:r>
        <w:rPr>
          <w:rFonts w:ascii="Times New Roman" w:hAnsi="Times New Roman" w:cs="Times New Roman" w:eastAsia="Times New Roman" w:hint="default"/>
          <w:b/>
          <w:bCs/>
          <w:w w:val="100"/>
          <w:sz w:val="22"/>
          <w:szCs w:val="22"/>
        </w:rPr>
        <w:t>3)</w:t>
      </w:r>
      <w:r>
        <w:rPr>
          <w:rFonts w:ascii="Times New Roman" w:hAnsi="Times New Roman" w:cs="Times New Roman" w:eastAsia="Times New Roman" w:hint="default"/>
          <w:b/>
          <w:bCs/>
          <w:sz w:val="22"/>
          <w:szCs w:val="22"/>
        </w:rPr>
        <w:tab/>
      </w:r>
      <w:r>
        <w:rPr>
          <w:rFonts w:ascii="宋体" w:hAnsi="宋体" w:cs="宋体" w:eastAsia="宋体" w:hint="default"/>
          <w:w w:val="100"/>
          <w:sz w:val="22"/>
          <w:szCs w:val="22"/>
        </w:rPr>
        <w:t>按照合</w:t>
      </w:r>
      <w:r>
        <w:rPr>
          <w:rFonts w:ascii="宋体" w:hAnsi="宋体" w:cs="宋体" w:eastAsia="宋体" w:hint="default"/>
          <w:spacing w:val="-3"/>
          <w:w w:val="100"/>
          <w:sz w:val="22"/>
          <w:szCs w:val="22"/>
        </w:rPr>
        <w:t>同</w:t>
      </w:r>
      <w:r>
        <w:rPr>
          <w:rFonts w:ascii="宋体" w:hAnsi="宋体" w:cs="宋体" w:eastAsia="宋体" w:hint="default"/>
          <w:w w:val="100"/>
          <w:sz w:val="22"/>
          <w:szCs w:val="22"/>
        </w:rPr>
        <w:t>规定</w:t>
      </w:r>
      <w:r>
        <w:rPr>
          <w:rFonts w:ascii="宋体" w:hAnsi="宋体" w:cs="宋体" w:eastAsia="宋体" w:hint="default"/>
          <w:spacing w:val="-94"/>
          <w:w w:val="100"/>
          <w:sz w:val="22"/>
          <w:szCs w:val="22"/>
        </w:rPr>
        <w:t>，</w:t>
      </w:r>
      <w:r>
        <w:rPr>
          <w:rFonts w:ascii="宋体" w:hAnsi="宋体" w:cs="宋体" w:eastAsia="宋体" w:hint="default"/>
          <w:spacing w:val="-3"/>
          <w:w w:val="100"/>
          <w:sz w:val="22"/>
          <w:szCs w:val="22"/>
        </w:rPr>
        <w:t>本</w:t>
      </w:r>
      <w:r>
        <w:rPr>
          <w:rFonts w:ascii="宋体" w:hAnsi="宋体" w:cs="宋体" w:eastAsia="宋体" w:hint="default"/>
          <w:w w:val="100"/>
          <w:sz w:val="22"/>
          <w:szCs w:val="22"/>
        </w:rPr>
        <w:t>公司</w:t>
      </w:r>
      <w:r>
        <w:rPr>
          <w:rFonts w:ascii="宋体" w:hAnsi="宋体" w:cs="宋体" w:eastAsia="宋体" w:hint="default"/>
          <w:spacing w:val="-3"/>
          <w:w w:val="100"/>
          <w:sz w:val="22"/>
          <w:szCs w:val="22"/>
        </w:rPr>
        <w:t>为</w:t>
      </w:r>
      <w:r>
        <w:rPr>
          <w:rFonts w:ascii="宋体" w:hAnsi="宋体" w:cs="宋体" w:eastAsia="宋体" w:hint="default"/>
          <w:w w:val="100"/>
          <w:sz w:val="22"/>
          <w:szCs w:val="22"/>
        </w:rPr>
        <w:t>使有关</w:t>
      </w:r>
      <w:r>
        <w:rPr>
          <w:rFonts w:ascii="宋体" w:hAnsi="宋体" w:cs="宋体" w:eastAsia="宋体" w:hint="default"/>
          <w:spacing w:val="-3"/>
          <w:w w:val="100"/>
          <w:sz w:val="22"/>
          <w:szCs w:val="22"/>
        </w:rPr>
        <w:t>基</w:t>
      </w:r>
      <w:r>
        <w:rPr>
          <w:rFonts w:ascii="宋体" w:hAnsi="宋体" w:cs="宋体" w:eastAsia="宋体" w:hint="default"/>
          <w:w w:val="100"/>
          <w:sz w:val="22"/>
          <w:szCs w:val="22"/>
        </w:rPr>
        <w:t>础设</w:t>
      </w:r>
      <w:r>
        <w:rPr>
          <w:rFonts w:ascii="宋体" w:hAnsi="宋体" w:cs="宋体" w:eastAsia="宋体" w:hint="default"/>
          <w:spacing w:val="-3"/>
          <w:w w:val="100"/>
          <w:sz w:val="22"/>
          <w:szCs w:val="22"/>
        </w:rPr>
        <w:t>施</w:t>
      </w:r>
      <w:r>
        <w:rPr>
          <w:rFonts w:ascii="宋体" w:hAnsi="宋体" w:cs="宋体" w:eastAsia="宋体" w:hint="default"/>
          <w:w w:val="100"/>
          <w:sz w:val="22"/>
          <w:szCs w:val="22"/>
        </w:rPr>
        <w:t>保持</w:t>
      </w:r>
      <w:r>
        <w:rPr>
          <w:rFonts w:ascii="宋体" w:hAnsi="宋体" w:cs="宋体" w:eastAsia="宋体" w:hint="default"/>
          <w:spacing w:val="-3"/>
          <w:w w:val="100"/>
          <w:sz w:val="22"/>
          <w:szCs w:val="22"/>
        </w:rPr>
        <w:t>一定</w:t>
      </w:r>
      <w:r>
        <w:rPr>
          <w:rFonts w:ascii="宋体" w:hAnsi="宋体" w:cs="宋体" w:eastAsia="宋体" w:hint="default"/>
          <w:w w:val="100"/>
          <w:sz w:val="22"/>
          <w:szCs w:val="22"/>
        </w:rPr>
        <w:t>的服务</w:t>
      </w:r>
      <w:r>
        <w:rPr>
          <w:rFonts w:ascii="宋体" w:hAnsi="宋体" w:cs="宋体" w:eastAsia="宋体" w:hint="default"/>
          <w:spacing w:val="-3"/>
          <w:w w:val="100"/>
          <w:sz w:val="22"/>
          <w:szCs w:val="22"/>
        </w:rPr>
        <w:t>能</w:t>
      </w:r>
      <w:r>
        <w:rPr>
          <w:rFonts w:ascii="宋体" w:hAnsi="宋体" w:cs="宋体" w:eastAsia="宋体" w:hint="default"/>
          <w:w w:val="100"/>
          <w:sz w:val="22"/>
          <w:szCs w:val="22"/>
        </w:rPr>
        <w:t>力或</w:t>
      </w:r>
      <w:r>
        <w:rPr>
          <w:rFonts w:ascii="宋体" w:hAnsi="宋体" w:cs="宋体" w:eastAsia="宋体" w:hint="default"/>
          <w:spacing w:val="-3"/>
          <w:w w:val="100"/>
          <w:sz w:val="22"/>
          <w:szCs w:val="22"/>
        </w:rPr>
        <w:t>在</w:t>
      </w:r>
      <w:r>
        <w:rPr>
          <w:rFonts w:ascii="宋体" w:hAnsi="宋体" w:cs="宋体" w:eastAsia="宋体" w:hint="default"/>
          <w:w w:val="100"/>
          <w:sz w:val="22"/>
          <w:szCs w:val="22"/>
        </w:rPr>
        <w:t>移交</w:t>
      </w:r>
      <w:r>
        <w:rPr>
          <w:rFonts w:ascii="宋体" w:hAnsi="宋体" w:cs="宋体" w:eastAsia="宋体" w:hint="default"/>
          <w:spacing w:val="-3"/>
          <w:w w:val="100"/>
          <w:sz w:val="22"/>
          <w:szCs w:val="22"/>
        </w:rPr>
        <w:t>给合</w:t>
      </w:r>
      <w:r>
        <w:rPr>
          <w:rFonts w:ascii="宋体" w:hAnsi="宋体" w:cs="宋体" w:eastAsia="宋体" w:hint="default"/>
          <w:w w:val="100"/>
          <w:sz w:val="22"/>
          <w:szCs w:val="22"/>
        </w:rPr>
        <w:t>同授</w:t>
      </w:r>
    </w:p>
    <w:p>
      <w:pPr>
        <w:spacing w:line="297" w:lineRule="auto" w:before="51"/>
        <w:ind w:left="102" w:right="202" w:firstLine="0"/>
        <w:jc w:val="left"/>
        <w:rPr>
          <w:rFonts w:ascii="宋体" w:hAnsi="宋体" w:cs="宋体" w:eastAsia="宋体" w:hint="default"/>
          <w:sz w:val="22"/>
          <w:szCs w:val="22"/>
        </w:rPr>
      </w:pPr>
      <w:r>
        <w:rPr>
          <w:rFonts w:ascii="宋体" w:hAnsi="宋体" w:cs="宋体" w:eastAsia="宋体" w:hint="default"/>
          <w:sz w:val="22"/>
          <w:szCs w:val="22"/>
        </w:rPr>
        <w:t>予方之前保持一定的使用状态，预计将发生的支出，按照《企业会计准则第 </w:t>
      </w:r>
      <w:r>
        <w:rPr>
          <w:rFonts w:ascii="宋体" w:hAnsi="宋体" w:cs="宋体" w:eastAsia="宋体" w:hint="default"/>
          <w:sz w:val="22"/>
          <w:szCs w:val="22"/>
        </w:rPr>
        <w:t>13</w:t>
      </w:r>
      <w:r>
        <w:rPr>
          <w:rFonts w:ascii="宋体" w:hAnsi="宋体" w:cs="宋体" w:eastAsia="宋体" w:hint="default"/>
          <w:spacing w:val="-76"/>
          <w:sz w:val="22"/>
          <w:szCs w:val="22"/>
        </w:rPr>
        <w:t> </w:t>
      </w:r>
      <w:r>
        <w:rPr>
          <w:rFonts w:ascii="宋体" w:hAnsi="宋体" w:cs="宋体" w:eastAsia="宋体" w:hint="default"/>
          <w:sz w:val="22"/>
          <w:szCs w:val="22"/>
        </w:rPr>
        <w:t>号——或</w:t>
      </w:r>
      <w:r>
        <w:rPr>
          <w:rFonts w:ascii="宋体" w:hAnsi="宋体" w:cs="宋体" w:eastAsia="宋体" w:hint="default"/>
          <w:w w:val="100"/>
          <w:sz w:val="22"/>
          <w:szCs w:val="22"/>
        </w:rPr>
        <w:t> </w:t>
      </w:r>
      <w:r>
        <w:rPr>
          <w:rFonts w:ascii="宋体" w:hAnsi="宋体" w:cs="宋体" w:eastAsia="宋体" w:hint="default"/>
          <w:sz w:val="22"/>
          <w:szCs w:val="22"/>
        </w:rPr>
        <w:t>有事项》的规定确认预计负债。</w:t>
      </w:r>
    </w:p>
    <w:p>
      <w:pPr>
        <w:spacing w:line="288" w:lineRule="auto" w:before="77"/>
        <w:ind w:left="102" w:right="217" w:firstLine="503"/>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Times New Roman" w:hAnsi="Times New Roman" w:cs="Times New Roman" w:eastAsia="Times New Roman" w:hint="default"/>
          <w:b/>
          <w:bCs/>
          <w:spacing w:val="31"/>
          <w:sz w:val="22"/>
          <w:szCs w:val="22"/>
        </w:rPr>
        <w:t> </w:t>
      </w:r>
      <w:r>
        <w:rPr>
          <w:rFonts w:ascii="宋体" w:hAnsi="宋体" w:cs="宋体" w:eastAsia="宋体" w:hint="default"/>
          <w:spacing w:val="-4"/>
          <w:sz w:val="22"/>
          <w:szCs w:val="22"/>
        </w:rPr>
        <w:t>本公司对于相关服务协议规定的，属于提供日常维护管理费的，直接计入提供服</w:t>
      </w:r>
      <w:r>
        <w:rPr>
          <w:rFonts w:ascii="宋体" w:hAnsi="宋体" w:cs="宋体" w:eastAsia="宋体" w:hint="default"/>
          <w:w w:val="100"/>
          <w:sz w:val="22"/>
          <w:szCs w:val="22"/>
        </w:rPr>
        <w:t> </w:t>
      </w:r>
      <w:r>
        <w:rPr>
          <w:rFonts w:ascii="宋体" w:hAnsi="宋体" w:cs="宋体" w:eastAsia="宋体" w:hint="default"/>
          <w:spacing w:val="-3"/>
          <w:sz w:val="22"/>
          <w:szCs w:val="22"/>
        </w:rPr>
        <w:t>务期间的损益。如果确定可收到或收到政府对相关维护管理费补偿时，在提供服务时计入</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营业收人，与相关的费用配比。</w:t>
      </w:r>
    </w:p>
    <w:p>
      <w:pPr>
        <w:tabs>
          <w:tab w:pos="1001" w:val="left" w:leader="none"/>
        </w:tabs>
        <w:spacing w:line="280" w:lineRule="auto" w:before="83"/>
        <w:ind w:left="102" w:right="217" w:firstLine="50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w:t>
        <w:tab/>
      </w:r>
      <w:r>
        <w:rPr>
          <w:rFonts w:ascii="宋体" w:hAnsi="宋体" w:cs="宋体" w:eastAsia="宋体" w:hint="default"/>
          <w:spacing w:val="-4"/>
          <w:sz w:val="22"/>
          <w:szCs w:val="22"/>
        </w:rPr>
        <w:t>某些情况下，本公司为服务协议目的建造或从第三方购买的基础设施，或合同授</w:t>
      </w:r>
      <w:r>
        <w:rPr>
          <w:rFonts w:ascii="宋体" w:hAnsi="宋体" w:cs="宋体" w:eastAsia="宋体" w:hint="default"/>
          <w:w w:val="100"/>
          <w:sz w:val="22"/>
          <w:szCs w:val="22"/>
        </w:rPr>
        <w:t> </w:t>
      </w:r>
      <w:r>
        <w:rPr>
          <w:rFonts w:ascii="宋体" w:hAnsi="宋体" w:cs="宋体" w:eastAsia="宋体" w:hint="default"/>
          <w:sz w:val="22"/>
          <w:szCs w:val="22"/>
        </w:rPr>
        <w:t>予方基于服务协议目的提供给本公司经营的现有基础设施，比照 </w:t>
      </w:r>
      <w:r>
        <w:rPr>
          <w:rFonts w:ascii="宋体" w:hAnsi="宋体" w:cs="宋体" w:eastAsia="宋体" w:hint="default"/>
          <w:sz w:val="22"/>
          <w:szCs w:val="22"/>
        </w:rPr>
        <w:t>BOT</w:t>
      </w:r>
      <w:r>
        <w:rPr>
          <w:rFonts w:ascii="宋体" w:hAnsi="宋体" w:cs="宋体" w:eastAsia="宋体" w:hint="default"/>
          <w:spacing w:val="-60"/>
          <w:sz w:val="22"/>
          <w:szCs w:val="22"/>
        </w:rPr>
        <w:t> </w:t>
      </w:r>
      <w:r>
        <w:rPr>
          <w:rFonts w:ascii="宋体" w:hAnsi="宋体" w:cs="宋体" w:eastAsia="宋体" w:hint="default"/>
          <w:sz w:val="22"/>
          <w:szCs w:val="22"/>
        </w:rPr>
        <w:t>业务的处理原则。</w:t>
      </w:r>
    </w:p>
    <w:p>
      <w:pPr>
        <w:spacing w:line="288" w:lineRule="auto" w:before="92"/>
        <w:ind w:left="541" w:right="105" w:firstLine="14"/>
        <w:jc w:val="left"/>
        <w:rPr>
          <w:rFonts w:ascii="宋体" w:hAnsi="宋体" w:cs="宋体" w:eastAsia="宋体" w:hint="default"/>
          <w:sz w:val="22"/>
          <w:szCs w:val="22"/>
        </w:rPr>
      </w:pPr>
      <w:r>
        <w:rPr>
          <w:rFonts w:ascii="宋体" w:hAnsi="宋体" w:cs="宋体" w:eastAsia="宋体" w:hint="default"/>
          <w:b/>
          <w:bCs/>
          <w:sz w:val="22"/>
          <w:szCs w:val="22"/>
        </w:rPr>
        <w:t>25.</w:t>
      </w:r>
      <w:r>
        <w:rPr>
          <w:rFonts w:ascii="宋体" w:hAnsi="宋体" w:cs="宋体" w:eastAsia="宋体" w:hint="default"/>
          <w:b/>
          <w:bCs/>
          <w:spacing w:val="9"/>
          <w:sz w:val="22"/>
          <w:szCs w:val="22"/>
        </w:rPr>
        <w:t> </w:t>
      </w:r>
      <w:r>
        <w:rPr>
          <w:rFonts w:ascii="宋体" w:hAnsi="宋体" w:cs="宋体" w:eastAsia="宋体" w:hint="default"/>
          <w:sz w:val="22"/>
          <w:szCs w:val="22"/>
        </w:rPr>
        <w:t>政府补助</w:t>
      </w:r>
      <w:r>
        <w:rPr>
          <w:rFonts w:ascii="宋体" w:hAnsi="宋体" w:cs="宋体" w:eastAsia="宋体" w:hint="default"/>
          <w:w w:val="100"/>
          <w:sz w:val="22"/>
          <w:szCs w:val="22"/>
        </w:rPr>
        <w:t> </w:t>
      </w:r>
      <w:r>
        <w:rPr>
          <w:rFonts w:ascii="宋体" w:hAnsi="宋体" w:cs="宋体" w:eastAsia="宋体" w:hint="default"/>
          <w:spacing w:val="-3"/>
          <w:sz w:val="22"/>
          <w:szCs w:val="22"/>
        </w:rPr>
        <w:t>政府补助在本公司能够满足其所附的条件以及能够收到时，予以确认。政府补助为货</w:t>
      </w:r>
    </w:p>
    <w:p>
      <w:pPr>
        <w:spacing w:before="23"/>
        <w:ind w:left="0" w:right="214" w:firstLine="0"/>
        <w:jc w:val="right"/>
        <w:rPr>
          <w:rFonts w:ascii="宋体" w:hAnsi="宋体" w:cs="宋体" w:eastAsia="宋体" w:hint="default"/>
          <w:sz w:val="22"/>
          <w:szCs w:val="22"/>
        </w:rPr>
      </w:pPr>
      <w:r>
        <w:rPr>
          <w:rFonts w:ascii="宋体" w:hAnsi="宋体" w:cs="宋体" w:eastAsia="宋体" w:hint="default"/>
          <w:w w:val="100"/>
          <w:sz w:val="22"/>
          <w:szCs w:val="22"/>
        </w:rPr>
        <w:t>币性资</w:t>
      </w:r>
      <w:r>
        <w:rPr>
          <w:rFonts w:ascii="宋体" w:hAnsi="宋体" w:cs="宋体" w:eastAsia="宋体" w:hint="default"/>
          <w:spacing w:val="-3"/>
          <w:w w:val="100"/>
          <w:sz w:val="22"/>
          <w:szCs w:val="22"/>
        </w:rPr>
        <w:t>产</w:t>
      </w:r>
      <w:r>
        <w:rPr>
          <w:rFonts w:ascii="宋体" w:hAnsi="宋体" w:cs="宋体" w:eastAsia="宋体" w:hint="default"/>
          <w:w w:val="100"/>
          <w:sz w:val="22"/>
          <w:szCs w:val="22"/>
        </w:rPr>
        <w:t>的</w:t>
      </w:r>
      <w:r>
        <w:rPr>
          <w:rFonts w:ascii="宋体" w:hAnsi="宋体" w:cs="宋体" w:eastAsia="宋体" w:hint="default"/>
          <w:spacing w:val="-99"/>
          <w:w w:val="100"/>
          <w:sz w:val="22"/>
          <w:szCs w:val="22"/>
        </w:rPr>
        <w:t>，</w:t>
      </w:r>
      <w:r>
        <w:rPr>
          <w:rFonts w:ascii="宋体" w:hAnsi="宋体" w:cs="宋体" w:eastAsia="宋体" w:hint="default"/>
          <w:w w:val="100"/>
          <w:sz w:val="22"/>
          <w:szCs w:val="22"/>
        </w:rPr>
        <w:t>按</w:t>
      </w:r>
      <w:r>
        <w:rPr>
          <w:rFonts w:ascii="宋体" w:hAnsi="宋体" w:cs="宋体" w:eastAsia="宋体" w:hint="default"/>
          <w:spacing w:val="-3"/>
          <w:w w:val="100"/>
          <w:sz w:val="22"/>
          <w:szCs w:val="22"/>
        </w:rPr>
        <w:t>照</w:t>
      </w:r>
      <w:r>
        <w:rPr>
          <w:rFonts w:ascii="宋体" w:hAnsi="宋体" w:cs="宋体" w:eastAsia="宋体" w:hint="default"/>
          <w:w w:val="100"/>
          <w:sz w:val="22"/>
          <w:szCs w:val="22"/>
        </w:rPr>
        <w:t>收到</w:t>
      </w:r>
      <w:r>
        <w:rPr>
          <w:rFonts w:ascii="宋体" w:hAnsi="宋体" w:cs="宋体" w:eastAsia="宋体" w:hint="default"/>
          <w:spacing w:val="-3"/>
          <w:w w:val="100"/>
          <w:sz w:val="22"/>
          <w:szCs w:val="22"/>
        </w:rPr>
        <w:t>或</w:t>
      </w:r>
      <w:r>
        <w:rPr>
          <w:rFonts w:ascii="宋体" w:hAnsi="宋体" w:cs="宋体" w:eastAsia="宋体" w:hint="default"/>
          <w:w w:val="100"/>
          <w:sz w:val="22"/>
          <w:szCs w:val="22"/>
        </w:rPr>
        <w:t>应收的</w:t>
      </w:r>
      <w:r>
        <w:rPr>
          <w:rFonts w:ascii="宋体" w:hAnsi="宋体" w:cs="宋体" w:eastAsia="宋体" w:hint="default"/>
          <w:spacing w:val="-3"/>
          <w:w w:val="100"/>
          <w:sz w:val="22"/>
          <w:szCs w:val="22"/>
        </w:rPr>
        <w:t>金</w:t>
      </w:r>
      <w:r>
        <w:rPr>
          <w:rFonts w:ascii="宋体" w:hAnsi="宋体" w:cs="宋体" w:eastAsia="宋体" w:hint="default"/>
          <w:w w:val="100"/>
          <w:sz w:val="22"/>
          <w:szCs w:val="22"/>
        </w:rPr>
        <w:t>额计量</w:t>
      </w:r>
      <w:r>
        <w:rPr>
          <w:rFonts w:ascii="宋体" w:hAnsi="宋体" w:cs="宋体" w:eastAsia="宋体" w:hint="default"/>
          <w:spacing w:val="-101"/>
          <w:w w:val="100"/>
          <w:sz w:val="22"/>
          <w:szCs w:val="22"/>
        </w:rPr>
        <w:t>；</w:t>
      </w:r>
      <w:r>
        <w:rPr>
          <w:rFonts w:ascii="宋体" w:hAnsi="宋体" w:cs="宋体" w:eastAsia="宋体" w:hint="default"/>
          <w:w w:val="100"/>
          <w:sz w:val="22"/>
          <w:szCs w:val="22"/>
        </w:rPr>
        <w:t>政府</w:t>
      </w:r>
      <w:r>
        <w:rPr>
          <w:rFonts w:ascii="宋体" w:hAnsi="宋体" w:cs="宋体" w:eastAsia="宋体" w:hint="default"/>
          <w:spacing w:val="-3"/>
          <w:w w:val="100"/>
          <w:sz w:val="22"/>
          <w:szCs w:val="22"/>
        </w:rPr>
        <w:t>补</w:t>
      </w:r>
      <w:r>
        <w:rPr>
          <w:rFonts w:ascii="宋体" w:hAnsi="宋体" w:cs="宋体" w:eastAsia="宋体" w:hint="default"/>
          <w:w w:val="100"/>
          <w:sz w:val="22"/>
          <w:szCs w:val="22"/>
        </w:rPr>
        <w:t>助为非</w:t>
      </w:r>
      <w:r>
        <w:rPr>
          <w:rFonts w:ascii="宋体" w:hAnsi="宋体" w:cs="宋体" w:eastAsia="宋体" w:hint="default"/>
          <w:spacing w:val="-3"/>
          <w:w w:val="100"/>
          <w:sz w:val="22"/>
          <w:szCs w:val="22"/>
        </w:rPr>
        <w:t>货</w:t>
      </w:r>
      <w:r>
        <w:rPr>
          <w:rFonts w:ascii="宋体" w:hAnsi="宋体" w:cs="宋体" w:eastAsia="宋体" w:hint="default"/>
          <w:w w:val="100"/>
          <w:sz w:val="22"/>
          <w:szCs w:val="22"/>
        </w:rPr>
        <w:t>币资</w:t>
      </w:r>
      <w:r>
        <w:rPr>
          <w:rFonts w:ascii="宋体" w:hAnsi="宋体" w:cs="宋体" w:eastAsia="宋体" w:hint="default"/>
          <w:spacing w:val="-3"/>
          <w:w w:val="100"/>
          <w:sz w:val="22"/>
          <w:szCs w:val="22"/>
        </w:rPr>
        <w:t>产</w:t>
      </w:r>
      <w:r>
        <w:rPr>
          <w:rFonts w:ascii="宋体" w:hAnsi="宋体" w:cs="宋体" w:eastAsia="宋体" w:hint="default"/>
          <w:w w:val="100"/>
          <w:sz w:val="22"/>
          <w:szCs w:val="22"/>
        </w:rPr>
        <w:t>的</w:t>
      </w:r>
      <w:r>
        <w:rPr>
          <w:rFonts w:ascii="宋体" w:hAnsi="宋体" w:cs="宋体" w:eastAsia="宋体" w:hint="default"/>
          <w:spacing w:val="-99"/>
          <w:w w:val="100"/>
          <w:sz w:val="22"/>
          <w:szCs w:val="22"/>
        </w:rPr>
        <w:t>，</w:t>
      </w:r>
      <w:r>
        <w:rPr>
          <w:rFonts w:ascii="宋体" w:hAnsi="宋体" w:cs="宋体" w:eastAsia="宋体" w:hint="default"/>
          <w:w w:val="100"/>
          <w:sz w:val="22"/>
          <w:szCs w:val="22"/>
        </w:rPr>
        <w:t>按</w:t>
      </w:r>
      <w:r>
        <w:rPr>
          <w:rFonts w:ascii="宋体" w:hAnsi="宋体" w:cs="宋体" w:eastAsia="宋体" w:hint="default"/>
          <w:spacing w:val="-3"/>
          <w:w w:val="100"/>
          <w:sz w:val="22"/>
          <w:szCs w:val="22"/>
        </w:rPr>
        <w:t>照</w:t>
      </w:r>
      <w:r>
        <w:rPr>
          <w:rFonts w:ascii="宋体" w:hAnsi="宋体" w:cs="宋体" w:eastAsia="宋体" w:hint="default"/>
          <w:w w:val="100"/>
          <w:sz w:val="22"/>
          <w:szCs w:val="22"/>
        </w:rPr>
        <w:t>公允价</w:t>
      </w:r>
      <w:r>
        <w:rPr>
          <w:rFonts w:ascii="宋体" w:hAnsi="宋体" w:cs="宋体" w:eastAsia="宋体" w:hint="default"/>
          <w:spacing w:val="-3"/>
          <w:w w:val="100"/>
          <w:sz w:val="22"/>
          <w:szCs w:val="22"/>
        </w:rPr>
        <w:t>值</w:t>
      </w:r>
      <w:r>
        <w:rPr>
          <w:rFonts w:ascii="宋体" w:hAnsi="宋体" w:cs="宋体" w:eastAsia="宋体" w:hint="default"/>
          <w:w w:val="100"/>
          <w:sz w:val="22"/>
          <w:szCs w:val="22"/>
        </w:rPr>
        <w:t>计</w:t>
      </w:r>
      <w:r>
        <w:rPr>
          <w:rFonts w:ascii="宋体" w:hAnsi="宋体" w:cs="宋体" w:eastAsia="宋体" w:hint="default"/>
          <w:spacing w:val="-3"/>
          <w:w w:val="100"/>
          <w:sz w:val="22"/>
          <w:szCs w:val="22"/>
        </w:rPr>
        <w:t>量</w:t>
      </w:r>
      <w:r>
        <w:rPr>
          <w:rFonts w:ascii="宋体" w:hAnsi="宋体" w:cs="宋体" w:eastAsia="宋体" w:hint="default"/>
          <w:w w:val="100"/>
          <w:sz w:val="22"/>
          <w:szCs w:val="22"/>
        </w:rPr>
        <w:t>。</w:t>
      </w:r>
    </w:p>
    <w:p>
      <w:pPr>
        <w:spacing w:line="297" w:lineRule="auto" w:before="130"/>
        <w:ind w:left="102" w:right="214" w:firstLine="439"/>
        <w:jc w:val="both"/>
        <w:rPr>
          <w:rFonts w:ascii="宋体" w:hAnsi="宋体" w:cs="宋体" w:eastAsia="宋体" w:hint="default"/>
          <w:sz w:val="22"/>
          <w:szCs w:val="22"/>
        </w:rPr>
      </w:pPr>
      <w:r>
        <w:rPr>
          <w:rFonts w:ascii="宋体" w:hAnsi="宋体" w:cs="宋体" w:eastAsia="宋体" w:hint="default"/>
          <w:spacing w:val="-3"/>
          <w:sz w:val="22"/>
          <w:szCs w:val="22"/>
        </w:rPr>
        <w:t>与资产相关的政府补助确认为递延收益，并在相关资产使用寿命内按照合理、系统的</w:t>
      </w:r>
      <w:r>
        <w:rPr>
          <w:rFonts w:ascii="宋体" w:hAnsi="宋体" w:cs="宋体" w:eastAsia="宋体" w:hint="default"/>
          <w:w w:val="100"/>
          <w:sz w:val="22"/>
          <w:szCs w:val="22"/>
        </w:rPr>
        <w:t> </w:t>
      </w:r>
      <w:r>
        <w:rPr>
          <w:rFonts w:ascii="宋体" w:hAnsi="宋体" w:cs="宋体" w:eastAsia="宋体" w:hint="default"/>
          <w:spacing w:val="-3"/>
          <w:sz w:val="22"/>
          <w:szCs w:val="22"/>
        </w:rPr>
        <w:t>方法分期计入损益。与收益相关的政府补助，用于补偿本公司以后期间的相关成本费用或</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损失的，确认为递延收益，并在确认相关成本费用或损失的期间，计入当期损益；用于补</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偿本公司已发生的相关成本费用或损失的，直接计入当期损益。</w:t>
      </w:r>
    </w:p>
    <w:p>
      <w:pPr>
        <w:spacing w:line="297" w:lineRule="auto" w:before="74"/>
        <w:ind w:left="102" w:right="105" w:firstLine="439"/>
        <w:jc w:val="left"/>
        <w:rPr>
          <w:rFonts w:ascii="宋体" w:hAnsi="宋体" w:cs="宋体" w:eastAsia="宋体" w:hint="default"/>
          <w:sz w:val="22"/>
          <w:szCs w:val="22"/>
        </w:rPr>
      </w:pPr>
      <w:r>
        <w:rPr>
          <w:rFonts w:ascii="宋体" w:hAnsi="宋体" w:cs="宋体" w:eastAsia="宋体" w:hint="default"/>
          <w:spacing w:val="-3"/>
          <w:sz w:val="22"/>
          <w:szCs w:val="22"/>
        </w:rPr>
        <w:t>与本公司日常活动相关的政府补助，按照经济业务实质，计入其他收益；与本公司日</w:t>
      </w:r>
      <w:r>
        <w:rPr>
          <w:rFonts w:ascii="宋体" w:hAnsi="宋体" w:cs="宋体" w:eastAsia="宋体" w:hint="default"/>
          <w:w w:val="100"/>
          <w:sz w:val="22"/>
          <w:szCs w:val="22"/>
        </w:rPr>
        <w:t> </w:t>
      </w:r>
      <w:r>
        <w:rPr>
          <w:rFonts w:ascii="宋体" w:hAnsi="宋体" w:cs="宋体" w:eastAsia="宋体" w:hint="default"/>
          <w:sz w:val="22"/>
          <w:szCs w:val="22"/>
        </w:rPr>
        <w:t>常活动无关的政府补助，计入营业外收入。</w:t>
      </w:r>
    </w:p>
    <w:p>
      <w:pPr>
        <w:spacing w:before="74"/>
        <w:ind w:left="555" w:right="105" w:firstLine="0"/>
        <w:jc w:val="left"/>
        <w:rPr>
          <w:rFonts w:ascii="宋体" w:hAnsi="宋体" w:cs="宋体" w:eastAsia="宋体" w:hint="default"/>
          <w:sz w:val="22"/>
          <w:szCs w:val="22"/>
        </w:rPr>
      </w:pPr>
      <w:r>
        <w:rPr>
          <w:rFonts w:ascii="宋体" w:hAnsi="宋体" w:cs="宋体" w:eastAsia="宋体" w:hint="default"/>
          <w:b/>
          <w:bCs/>
          <w:sz w:val="22"/>
          <w:szCs w:val="22"/>
        </w:rPr>
        <w:t>26.</w:t>
      </w:r>
      <w:r>
        <w:rPr>
          <w:rFonts w:ascii="宋体" w:hAnsi="宋体" w:cs="宋体" w:eastAsia="宋体" w:hint="default"/>
          <w:b/>
          <w:bCs/>
          <w:spacing w:val="9"/>
          <w:sz w:val="22"/>
          <w:szCs w:val="22"/>
        </w:rPr>
        <w:t> </w:t>
      </w:r>
      <w:r>
        <w:rPr>
          <w:rFonts w:ascii="宋体" w:hAnsi="宋体" w:cs="宋体" w:eastAsia="宋体" w:hint="default"/>
          <w:sz w:val="22"/>
          <w:szCs w:val="22"/>
        </w:rPr>
        <w:t>递延所得税资产和递延所得税负债</w:t>
      </w:r>
    </w:p>
    <w:p>
      <w:pPr>
        <w:spacing w:line="297" w:lineRule="auto" w:before="57"/>
        <w:ind w:left="102" w:right="105" w:firstLine="479"/>
        <w:jc w:val="left"/>
        <w:rPr>
          <w:rFonts w:ascii="宋体" w:hAnsi="宋体" w:cs="宋体" w:eastAsia="宋体" w:hint="default"/>
          <w:sz w:val="22"/>
          <w:szCs w:val="22"/>
        </w:rPr>
      </w:pPr>
      <w:r>
        <w:rPr>
          <w:rFonts w:ascii="宋体" w:hAnsi="宋体" w:cs="宋体" w:eastAsia="宋体" w:hint="default"/>
          <w:sz w:val="22"/>
          <w:szCs w:val="22"/>
        </w:rPr>
        <w:t>本公司递延所得税资产和递延所得税负债根据资产和负债的计税基础与其账面价值</w:t>
      </w:r>
      <w:r>
        <w:rPr>
          <w:rFonts w:ascii="宋体" w:hAnsi="宋体" w:cs="宋体" w:eastAsia="宋体" w:hint="default"/>
          <w:w w:val="100"/>
          <w:sz w:val="22"/>
          <w:szCs w:val="22"/>
        </w:rPr>
        <w:t> </w:t>
      </w:r>
      <w:r>
        <w:rPr>
          <w:rFonts w:ascii="宋体" w:hAnsi="宋体" w:cs="宋体" w:eastAsia="宋体" w:hint="default"/>
          <w:spacing w:val="-3"/>
          <w:sz w:val="22"/>
          <w:szCs w:val="22"/>
        </w:rPr>
        <w:t>的差额（暂时性差异）计算确认。对于按照税法规定能够于以后年度抵减应纳税所得额的</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pacing w:val="-3"/>
          <w:sz w:val="22"/>
          <w:szCs w:val="22"/>
        </w:rPr>
        <w:t>可抵扣亏损，确认相应的递延所得税资产。对于商誉的初始确认产生的暂时性差异，不确</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pacing w:val="-6"/>
          <w:w w:val="100"/>
          <w:sz w:val="22"/>
          <w:szCs w:val="22"/>
        </w:rPr>
        <w:t>认相应的递延所得税负债。对于既不影响会计利润也不影响应纳税所得额（或可抵扣亏损）</w:t>
      </w:r>
      <w:r>
        <w:rPr>
          <w:rFonts w:ascii="宋体" w:hAnsi="宋体" w:cs="宋体" w:eastAsia="宋体" w:hint="default"/>
          <w:spacing w:val="-93"/>
          <w:w w:val="100"/>
          <w:sz w:val="22"/>
          <w:szCs w:val="22"/>
        </w:rPr>
        <w:t> </w:t>
      </w:r>
      <w:r>
        <w:rPr>
          <w:rFonts w:ascii="宋体" w:hAnsi="宋体" w:cs="宋体" w:eastAsia="宋体" w:hint="default"/>
          <w:spacing w:val="-93"/>
          <w:w w:val="100"/>
          <w:sz w:val="22"/>
          <w:szCs w:val="22"/>
        </w:rPr>
      </w:r>
      <w:r>
        <w:rPr>
          <w:rFonts w:ascii="宋体" w:hAnsi="宋体" w:cs="宋体" w:eastAsia="宋体" w:hint="default"/>
          <w:spacing w:val="-3"/>
          <w:sz w:val="22"/>
          <w:szCs w:val="22"/>
        </w:rPr>
        <w:t>的非企业合并的交易中产生的资产或负债的初始确认形成的暂时性差异，不确认相应的递</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延所得税资产和递延所得税负债。于资产负债表日，递延所得税资产和递延所得税负债，</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按照预期收回该资产或清偿该负债期间的适用税率计量。</w:t>
      </w:r>
    </w:p>
    <w:p>
      <w:pPr>
        <w:spacing w:line="297" w:lineRule="auto" w:before="74"/>
        <w:ind w:left="102" w:right="105" w:firstLine="439"/>
        <w:jc w:val="left"/>
        <w:rPr>
          <w:rFonts w:ascii="宋体" w:hAnsi="宋体" w:cs="宋体" w:eastAsia="宋体" w:hint="default"/>
          <w:sz w:val="22"/>
          <w:szCs w:val="22"/>
        </w:rPr>
      </w:pPr>
      <w:r>
        <w:rPr>
          <w:rFonts w:ascii="宋体" w:hAnsi="宋体" w:cs="宋体" w:eastAsia="宋体" w:hint="default"/>
          <w:spacing w:val="-3"/>
          <w:sz w:val="22"/>
          <w:szCs w:val="22"/>
        </w:rPr>
        <w:t>本公司以很可能取得用来抵扣可抵扣暂时性差异、可抵扣亏损和税款抵减的未来应纳</w:t>
      </w:r>
      <w:r>
        <w:rPr>
          <w:rFonts w:ascii="宋体" w:hAnsi="宋体" w:cs="宋体" w:eastAsia="宋体" w:hint="default"/>
          <w:w w:val="100"/>
          <w:sz w:val="22"/>
          <w:szCs w:val="22"/>
        </w:rPr>
        <w:t> </w:t>
      </w:r>
      <w:r>
        <w:rPr>
          <w:rFonts w:ascii="宋体" w:hAnsi="宋体" w:cs="宋体" w:eastAsia="宋体" w:hint="default"/>
          <w:sz w:val="22"/>
          <w:szCs w:val="22"/>
        </w:rPr>
        <w:t>税所得额为限，确认递延所得税资产。</w:t>
      </w:r>
    </w:p>
    <w:p>
      <w:pPr>
        <w:spacing w:after="0" w:line="297" w:lineRule="auto"/>
        <w:jc w:val="left"/>
        <w:rPr>
          <w:rFonts w:ascii="宋体" w:hAnsi="宋体" w:cs="宋体" w:eastAsia="宋体" w:hint="default"/>
          <w:sz w:val="22"/>
          <w:szCs w:val="22"/>
        </w:rPr>
        <w:sectPr>
          <w:footerReference w:type="default" r:id="rId33"/>
          <w:pgSz w:w="11910" w:h="16840"/>
          <w:pgMar w:footer="1054" w:header="0" w:top="1360" w:bottom="1240" w:left="1600" w:right="1480"/>
        </w:sectPr>
      </w:pPr>
    </w:p>
    <w:p>
      <w:pPr>
        <w:spacing w:line="288" w:lineRule="auto" w:before="6"/>
        <w:ind w:left="661" w:right="106" w:firstLine="14"/>
        <w:jc w:val="left"/>
        <w:rPr>
          <w:rFonts w:ascii="宋体" w:hAnsi="宋体" w:cs="宋体" w:eastAsia="宋体" w:hint="default"/>
          <w:sz w:val="22"/>
          <w:szCs w:val="22"/>
        </w:rPr>
      </w:pPr>
      <w:r>
        <w:rPr>
          <w:rFonts w:ascii="宋体" w:hAnsi="宋体" w:cs="宋体" w:eastAsia="宋体" w:hint="default"/>
          <w:b/>
          <w:bCs/>
          <w:sz w:val="22"/>
          <w:szCs w:val="22"/>
        </w:rPr>
        <w:t>27.</w:t>
      </w:r>
      <w:r>
        <w:rPr>
          <w:rFonts w:ascii="宋体" w:hAnsi="宋体" w:cs="宋体" w:eastAsia="宋体" w:hint="default"/>
          <w:b/>
          <w:bCs/>
          <w:spacing w:val="9"/>
          <w:sz w:val="22"/>
          <w:szCs w:val="22"/>
        </w:rPr>
        <w:t> </w:t>
      </w:r>
      <w:r>
        <w:rPr>
          <w:rFonts w:ascii="宋体" w:hAnsi="宋体" w:cs="宋体" w:eastAsia="宋体" w:hint="default"/>
          <w:sz w:val="22"/>
          <w:szCs w:val="22"/>
        </w:rPr>
        <w:t>租赁</w:t>
      </w:r>
      <w:r>
        <w:rPr>
          <w:rFonts w:ascii="宋体" w:hAnsi="宋体" w:cs="宋体" w:eastAsia="宋体" w:hint="default"/>
          <w:w w:val="100"/>
          <w:sz w:val="22"/>
          <w:szCs w:val="22"/>
        </w:rPr>
        <w:t> </w:t>
      </w:r>
      <w:r>
        <w:rPr>
          <w:rFonts w:ascii="宋体" w:hAnsi="宋体" w:cs="宋体" w:eastAsia="宋体" w:hint="default"/>
          <w:spacing w:val="-3"/>
          <w:sz w:val="22"/>
          <w:szCs w:val="22"/>
        </w:rPr>
        <w:t>本公司租赁分为经营租赁和融资租赁。实质上转移了与资产所有权有关的全部风险和</w:t>
      </w:r>
    </w:p>
    <w:p>
      <w:pPr>
        <w:spacing w:line="348" w:lineRule="auto" w:before="23"/>
        <w:ind w:left="661" w:right="106" w:hanging="440"/>
        <w:jc w:val="left"/>
        <w:rPr>
          <w:rFonts w:ascii="宋体" w:hAnsi="宋体" w:cs="宋体" w:eastAsia="宋体" w:hint="default"/>
          <w:sz w:val="22"/>
          <w:szCs w:val="22"/>
        </w:rPr>
      </w:pPr>
      <w:r>
        <w:rPr>
          <w:rFonts w:ascii="宋体" w:hAnsi="宋体" w:cs="宋体" w:eastAsia="宋体" w:hint="default"/>
          <w:sz w:val="22"/>
          <w:szCs w:val="22"/>
        </w:rPr>
        <w:t>报酬的租赁为融资租赁。其他的租赁为经营租赁。</w:t>
      </w:r>
      <w:r>
        <w:rPr>
          <w:rFonts w:ascii="宋体" w:hAnsi="宋体" w:cs="宋体" w:eastAsia="宋体" w:hint="default"/>
          <w:w w:val="100"/>
          <w:sz w:val="22"/>
          <w:szCs w:val="22"/>
        </w:rPr>
        <w:t> </w:t>
      </w:r>
      <w:r>
        <w:rPr>
          <w:rFonts w:ascii="宋体" w:hAnsi="宋体" w:cs="宋体" w:eastAsia="宋体" w:hint="default"/>
          <w:sz w:val="22"/>
          <w:szCs w:val="22"/>
        </w:rPr>
        <w:t>经营租赁的租金收入或支出在租赁期内按照直线法计入相关资产成本或当期损益。</w:t>
      </w:r>
      <w:r>
        <w:rPr>
          <w:rFonts w:ascii="宋体" w:hAnsi="宋体" w:cs="宋体" w:eastAsia="宋体" w:hint="default"/>
          <w:w w:val="100"/>
          <w:sz w:val="22"/>
          <w:szCs w:val="22"/>
        </w:rPr>
        <w:t> </w:t>
      </w:r>
      <w:r>
        <w:rPr>
          <w:rFonts w:ascii="宋体" w:hAnsi="宋体" w:cs="宋体" w:eastAsia="宋体" w:hint="default"/>
          <w:spacing w:val="2"/>
          <w:sz w:val="22"/>
          <w:szCs w:val="22"/>
        </w:rPr>
        <w:t>融资租赁按租赁资产的公允价值与最低租赁付款额的现值两者中较低者作为租入资</w:t>
      </w:r>
    </w:p>
    <w:p>
      <w:pPr>
        <w:spacing w:line="256" w:lineRule="exact" w:before="0"/>
        <w:ind w:left="222" w:right="106" w:firstLine="0"/>
        <w:jc w:val="left"/>
        <w:rPr>
          <w:rFonts w:ascii="宋体" w:hAnsi="宋体" w:cs="宋体" w:eastAsia="宋体" w:hint="default"/>
          <w:sz w:val="22"/>
          <w:szCs w:val="22"/>
        </w:rPr>
      </w:pPr>
      <w:r>
        <w:rPr>
          <w:rFonts w:ascii="宋体" w:hAnsi="宋体" w:cs="宋体" w:eastAsia="宋体" w:hint="default"/>
          <w:spacing w:val="-3"/>
          <w:sz w:val="22"/>
          <w:szCs w:val="22"/>
        </w:rPr>
        <w:t>产的入账价值，租入资产的入账价值与最低租赁付款额之间的差额为未确认融资费用，在</w:t>
      </w:r>
    </w:p>
    <w:p>
      <w:pPr>
        <w:spacing w:line="295" w:lineRule="auto" w:before="69"/>
        <w:ind w:left="222" w:right="215" w:firstLine="0"/>
        <w:jc w:val="both"/>
        <w:rPr>
          <w:rFonts w:ascii="宋体" w:hAnsi="宋体" w:cs="宋体" w:eastAsia="宋体" w:hint="default"/>
          <w:sz w:val="22"/>
          <w:szCs w:val="22"/>
        </w:rPr>
      </w:pPr>
      <w:r>
        <w:rPr>
          <w:rFonts w:ascii="宋体" w:hAnsi="宋体" w:cs="宋体" w:eastAsia="宋体" w:hint="default"/>
          <w:spacing w:val="-3"/>
          <w:sz w:val="22"/>
          <w:szCs w:val="22"/>
        </w:rPr>
        <w:t>租赁期内按实际利率法摊销。最低租赁付款额扣除未确认融资费用后的余额以长期应付款</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列示。</w:t>
      </w:r>
    </w:p>
    <w:p>
      <w:pPr>
        <w:spacing w:before="79"/>
        <w:ind w:left="675" w:right="3346" w:firstLine="0"/>
        <w:jc w:val="left"/>
        <w:rPr>
          <w:rFonts w:ascii="宋体" w:hAnsi="宋体" w:cs="宋体" w:eastAsia="宋体" w:hint="default"/>
          <w:sz w:val="22"/>
          <w:szCs w:val="22"/>
        </w:rPr>
      </w:pPr>
      <w:r>
        <w:rPr>
          <w:rFonts w:ascii="宋体" w:hAnsi="宋体" w:cs="宋体" w:eastAsia="宋体" w:hint="default"/>
          <w:b/>
          <w:bCs/>
          <w:sz w:val="22"/>
          <w:szCs w:val="22"/>
        </w:rPr>
        <w:t>28.</w:t>
      </w:r>
      <w:r>
        <w:rPr>
          <w:rFonts w:ascii="宋体" w:hAnsi="宋体" w:cs="宋体" w:eastAsia="宋体" w:hint="default"/>
          <w:b/>
          <w:bCs/>
          <w:spacing w:val="8"/>
          <w:sz w:val="22"/>
          <w:szCs w:val="22"/>
        </w:rPr>
        <w:t> </w:t>
      </w:r>
      <w:r>
        <w:rPr>
          <w:rFonts w:ascii="宋体" w:hAnsi="宋体" w:cs="宋体" w:eastAsia="宋体" w:hint="default"/>
          <w:sz w:val="22"/>
          <w:szCs w:val="22"/>
        </w:rPr>
        <w:t>重要会计政策和会计估计变更</w:t>
      </w:r>
    </w:p>
    <w:p>
      <w:pPr>
        <w:spacing w:line="348" w:lineRule="auto" w:before="57"/>
        <w:ind w:left="661" w:right="4471" w:firstLine="14"/>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9"/>
          <w:sz w:val="22"/>
          <w:szCs w:val="22"/>
        </w:rPr>
        <w:t> </w:t>
      </w:r>
      <w:r>
        <w:rPr>
          <w:rFonts w:ascii="宋体" w:hAnsi="宋体" w:cs="宋体" w:eastAsia="宋体" w:hint="default"/>
          <w:sz w:val="22"/>
          <w:szCs w:val="22"/>
        </w:rPr>
        <w:t>重要会计政策变更</w:t>
      </w:r>
      <w:r>
        <w:rPr>
          <w:rFonts w:ascii="宋体" w:hAnsi="宋体" w:cs="宋体" w:eastAsia="宋体" w:hint="default"/>
          <w:w w:val="100"/>
          <w:sz w:val="22"/>
          <w:szCs w:val="22"/>
        </w:rPr>
        <w:t> </w:t>
      </w:r>
      <w:r>
        <w:rPr>
          <w:rFonts w:ascii="宋体" w:hAnsi="宋体" w:cs="宋体" w:eastAsia="宋体" w:hint="default"/>
          <w:spacing w:val="-1"/>
          <w:sz w:val="22"/>
          <w:szCs w:val="22"/>
        </w:rPr>
        <w:t>本公司本年度无重要会计政策变更。</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b/>
          <w:bCs/>
          <w:sz w:val="22"/>
          <w:szCs w:val="22"/>
        </w:rPr>
        <w:t>(2)</w:t>
      </w:r>
      <w:r>
        <w:rPr>
          <w:rFonts w:ascii="宋体" w:hAnsi="宋体" w:cs="宋体" w:eastAsia="宋体" w:hint="default"/>
          <w:b/>
          <w:bCs/>
          <w:spacing w:val="9"/>
          <w:sz w:val="22"/>
          <w:szCs w:val="22"/>
        </w:rPr>
        <w:t> </w:t>
      </w:r>
      <w:r>
        <w:rPr>
          <w:rFonts w:ascii="宋体" w:hAnsi="宋体" w:cs="宋体" w:eastAsia="宋体" w:hint="default"/>
          <w:sz w:val="22"/>
          <w:szCs w:val="22"/>
        </w:rPr>
        <w:t>重要会计估计变更</w:t>
      </w:r>
      <w:r>
        <w:rPr>
          <w:rFonts w:ascii="宋体" w:hAnsi="宋体" w:cs="宋体" w:eastAsia="宋体" w:hint="default"/>
          <w:w w:val="100"/>
          <w:sz w:val="22"/>
          <w:szCs w:val="22"/>
        </w:rPr>
        <w:t> </w:t>
      </w:r>
      <w:r>
        <w:rPr>
          <w:rFonts w:ascii="宋体" w:hAnsi="宋体" w:cs="宋体" w:eastAsia="宋体" w:hint="default"/>
          <w:spacing w:val="-1"/>
          <w:sz w:val="22"/>
          <w:szCs w:val="22"/>
        </w:rPr>
        <w:t>本公司本年度无重要会计估计变更。</w:t>
      </w:r>
    </w:p>
    <w:p>
      <w:pPr>
        <w:spacing w:before="32"/>
        <w:ind w:left="222" w:right="3346" w:firstLine="0"/>
        <w:jc w:val="left"/>
        <w:rPr>
          <w:rFonts w:ascii="宋体" w:hAnsi="宋体" w:cs="宋体" w:eastAsia="宋体" w:hint="default"/>
          <w:sz w:val="21"/>
          <w:szCs w:val="21"/>
        </w:rPr>
      </w:pPr>
      <w:r>
        <w:rPr>
          <w:rFonts w:ascii="宋体" w:hAnsi="宋体" w:cs="宋体" w:eastAsia="宋体" w:hint="default"/>
          <w:b/>
          <w:bCs/>
          <w:sz w:val="21"/>
          <w:szCs w:val="21"/>
        </w:rPr>
        <w:t>五、税项</w:t>
      </w:r>
      <w:r>
        <w:rPr>
          <w:rFonts w:ascii="宋体" w:hAnsi="宋体" w:cs="宋体" w:eastAsia="宋体" w:hint="default"/>
          <w:sz w:val="21"/>
          <w:szCs w:val="21"/>
        </w:rPr>
      </w:r>
    </w:p>
    <w:p>
      <w:pPr>
        <w:spacing w:before="54"/>
        <w:ind w:left="661" w:right="3346" w:firstLine="0"/>
        <w:jc w:val="left"/>
        <w:rPr>
          <w:rFonts w:ascii="宋体" w:hAnsi="宋体" w:cs="宋体" w:eastAsia="宋体" w:hint="default"/>
          <w:sz w:val="22"/>
          <w:szCs w:val="22"/>
        </w:rPr>
      </w:pPr>
      <w:r>
        <w:rPr>
          <w:rFonts w:ascii="宋体" w:hAnsi="宋体" w:cs="宋体" w:eastAsia="宋体" w:hint="default"/>
          <w:sz w:val="22"/>
          <w:szCs w:val="22"/>
        </w:rPr>
        <w:t>本公司适用的主要税种及税率如下：</w:t>
      </w:r>
    </w:p>
    <w:p>
      <w:pPr>
        <w:tabs>
          <w:tab w:pos="1021" w:val="left" w:leader="none"/>
        </w:tabs>
        <w:spacing w:line="328" w:lineRule="auto" w:before="127"/>
        <w:ind w:left="675" w:right="1724" w:hanging="51"/>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tab/>
      </w:r>
      <w:r>
        <w:rPr>
          <w:rFonts w:ascii="宋体" w:hAnsi="宋体" w:cs="宋体" w:eastAsia="宋体" w:hint="default"/>
          <w:sz w:val="22"/>
          <w:szCs w:val="22"/>
        </w:rPr>
        <w:t>企业所得税</w:t>
      </w:r>
      <w:r>
        <w:rPr>
          <w:rFonts w:ascii="宋体" w:hAnsi="宋体" w:cs="宋体" w:eastAsia="宋体" w:hint="default"/>
          <w:w w:val="100"/>
          <w:sz w:val="22"/>
          <w:szCs w:val="22"/>
        </w:rPr>
        <w:t> </w:t>
      </w:r>
      <w:r>
        <w:rPr>
          <w:rFonts w:ascii="宋体" w:hAnsi="宋体" w:cs="宋体" w:eastAsia="宋体" w:hint="default"/>
          <w:sz w:val="22"/>
          <w:szCs w:val="22"/>
        </w:rPr>
        <w:t>除下述公司外，本公司之境内各子公司适用的企业所得税率为</w:t>
      </w:r>
      <w:r>
        <w:rPr>
          <w:rFonts w:ascii="宋体" w:hAnsi="宋体" w:cs="宋体" w:eastAsia="宋体" w:hint="default"/>
          <w:spacing w:val="-60"/>
          <w:sz w:val="22"/>
          <w:szCs w:val="22"/>
        </w:rPr>
        <w:t> </w:t>
      </w:r>
      <w:r>
        <w:rPr>
          <w:rFonts w:ascii="宋体" w:hAnsi="宋体" w:cs="宋体" w:eastAsia="宋体" w:hint="default"/>
          <w:sz w:val="22"/>
          <w:szCs w:val="22"/>
        </w:rPr>
        <w:t>25%</w:t>
      </w:r>
      <w:r>
        <w:rPr>
          <w:rFonts w:ascii="宋体" w:hAnsi="宋体" w:cs="宋体" w:eastAsia="宋体" w:hint="default"/>
          <w:sz w:val="22"/>
          <w:szCs w:val="22"/>
        </w:rPr>
        <w:t>。</w:t>
      </w:r>
    </w:p>
    <w:p>
      <w:pPr>
        <w:spacing w:before="46"/>
        <w:ind w:left="675" w:right="106" w:firstLine="0"/>
        <w:jc w:val="left"/>
        <w:rPr>
          <w:rFonts w:ascii="宋体" w:hAnsi="宋体" w:cs="宋体" w:eastAsia="宋体" w:hint="default"/>
          <w:sz w:val="22"/>
          <w:szCs w:val="22"/>
        </w:rPr>
      </w:pPr>
      <w:r>
        <w:rPr>
          <w:rFonts w:ascii="宋体" w:hAnsi="宋体" w:cs="宋体" w:eastAsia="宋体" w:hint="default"/>
          <w:b/>
          <w:bCs/>
          <w:sz w:val="22"/>
          <w:szCs w:val="22"/>
        </w:rPr>
        <w:t>(1) </w:t>
      </w:r>
      <w:r>
        <w:rPr>
          <w:rFonts w:ascii="宋体" w:hAnsi="宋体" w:cs="宋体" w:eastAsia="宋体" w:hint="default"/>
          <w:sz w:val="22"/>
          <w:szCs w:val="22"/>
        </w:rPr>
        <w:t>根据《高新技术企业认定管理办法》（国科发火</w:t>
      </w:r>
      <w:r>
        <w:rPr>
          <w:rFonts w:ascii="宋体" w:hAnsi="宋体" w:cs="宋体" w:eastAsia="宋体" w:hint="default"/>
          <w:sz w:val="22"/>
          <w:szCs w:val="22"/>
        </w:rPr>
        <w:t>[2016]32</w:t>
      </w:r>
      <w:r>
        <w:rPr>
          <w:rFonts w:ascii="宋体" w:hAnsi="宋体" w:cs="宋体" w:eastAsia="宋体" w:hint="default"/>
          <w:spacing w:val="19"/>
          <w:sz w:val="22"/>
          <w:szCs w:val="22"/>
        </w:rPr>
        <w:t> </w:t>
      </w:r>
      <w:r>
        <w:rPr>
          <w:rFonts w:ascii="宋体" w:hAnsi="宋体" w:cs="宋体" w:eastAsia="宋体" w:hint="default"/>
          <w:sz w:val="22"/>
          <w:szCs w:val="22"/>
        </w:rPr>
        <w:t>号），国家发展和改</w:t>
      </w:r>
    </w:p>
    <w:p>
      <w:pPr>
        <w:spacing w:line="297" w:lineRule="auto" w:before="69"/>
        <w:ind w:left="222" w:right="215" w:firstLine="0"/>
        <w:jc w:val="both"/>
        <w:rPr>
          <w:rFonts w:ascii="宋体" w:hAnsi="宋体" w:cs="宋体" w:eastAsia="宋体" w:hint="default"/>
          <w:sz w:val="22"/>
          <w:szCs w:val="22"/>
        </w:rPr>
      </w:pPr>
      <w:r>
        <w:rPr>
          <w:rFonts w:ascii="宋体" w:hAnsi="宋体" w:cs="宋体" w:eastAsia="宋体" w:hint="default"/>
          <w:spacing w:val="-4"/>
          <w:sz w:val="22"/>
          <w:szCs w:val="22"/>
        </w:rPr>
        <w:t>革委员会、工业和信息化部、财政部、商务部、国家税务总局《关于印发</w:t>
      </w:r>
      <w:r>
        <w:rPr>
          <w:rFonts w:ascii="宋体" w:hAnsi="宋体" w:cs="宋体" w:eastAsia="宋体" w:hint="default"/>
          <w:spacing w:val="-34"/>
          <w:sz w:val="22"/>
          <w:szCs w:val="22"/>
        </w:rPr>
        <w:t> </w:t>
      </w:r>
      <w:r>
        <w:rPr>
          <w:rFonts w:ascii="宋体" w:hAnsi="宋体" w:cs="宋体" w:eastAsia="宋体" w:hint="default"/>
          <w:sz w:val="22"/>
          <w:szCs w:val="22"/>
        </w:rPr>
        <w:t>2013-2014</w:t>
      </w:r>
      <w:r>
        <w:rPr>
          <w:rFonts w:ascii="宋体" w:hAnsi="宋体" w:cs="宋体" w:eastAsia="宋体" w:hint="default"/>
          <w:spacing w:val="-36"/>
          <w:sz w:val="22"/>
          <w:szCs w:val="22"/>
        </w:rPr>
        <w:t> </w:t>
      </w:r>
      <w:r>
        <w:rPr>
          <w:rFonts w:ascii="宋体" w:hAnsi="宋体" w:cs="宋体" w:eastAsia="宋体" w:hint="default"/>
          <w:sz w:val="22"/>
          <w:szCs w:val="22"/>
        </w:rPr>
        <w:t>年度</w:t>
      </w:r>
      <w:r>
        <w:rPr>
          <w:rFonts w:ascii="宋体" w:hAnsi="宋体" w:cs="宋体" w:eastAsia="宋体" w:hint="default"/>
          <w:spacing w:val="-105"/>
          <w:sz w:val="22"/>
          <w:szCs w:val="22"/>
        </w:rPr>
        <w:t> </w:t>
      </w:r>
      <w:r>
        <w:rPr>
          <w:rFonts w:ascii="宋体" w:hAnsi="宋体" w:cs="宋体" w:eastAsia="宋体" w:hint="default"/>
          <w:spacing w:val="2"/>
          <w:sz w:val="22"/>
          <w:szCs w:val="22"/>
        </w:rPr>
        <w:t>国家规划布局内重点软件企业和集成电路设计企业名单的通知》（发改高技</w:t>
      </w:r>
      <w:r>
        <w:rPr>
          <w:rFonts w:ascii="宋体" w:hAnsi="宋体" w:cs="宋体" w:eastAsia="宋体" w:hint="default"/>
          <w:spacing w:val="2"/>
          <w:sz w:val="22"/>
          <w:szCs w:val="22"/>
        </w:rPr>
        <w:t>[2013]2458</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
          <w:sz w:val="22"/>
          <w:szCs w:val="22"/>
        </w:rPr>
        <w:t>号）、《关于进一步鼓励软件产业和集成电路产业发展企业所得税政策的通知》（财税</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[2012]27</w:t>
      </w:r>
      <w:r>
        <w:rPr>
          <w:rFonts w:ascii="宋体" w:hAnsi="宋体" w:cs="宋体" w:eastAsia="宋体" w:hint="default"/>
          <w:spacing w:val="-59"/>
          <w:sz w:val="22"/>
          <w:szCs w:val="22"/>
        </w:rPr>
        <w:t> </w:t>
      </w:r>
      <w:r>
        <w:rPr>
          <w:rFonts w:ascii="宋体" w:hAnsi="宋体" w:cs="宋体" w:eastAsia="宋体" w:hint="default"/>
          <w:sz w:val="22"/>
          <w:szCs w:val="22"/>
        </w:rPr>
        <w:t>号）之规定。相关境内子公司享受税收优惠如下：</w:t>
      </w:r>
    </w:p>
    <w:p>
      <w:pPr>
        <w:spacing w:line="240" w:lineRule="auto" w:before="8"/>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3545"/>
        <w:gridCol w:w="1935"/>
        <w:gridCol w:w="3246"/>
      </w:tblGrid>
      <w:tr>
        <w:trPr>
          <w:trHeight w:val="307" w:hRule="exact"/>
        </w:trPr>
        <w:tc>
          <w:tcPr>
            <w:tcW w:w="3545" w:type="dxa"/>
            <w:tcBorders>
              <w:top w:val="single" w:sz="12" w:space="0" w:color="000000"/>
              <w:left w:val="nil" w:sz="6" w:space="0" w:color="auto"/>
              <w:bottom w:val="single" w:sz="4" w:space="0" w:color="000000"/>
              <w:right w:val="nil" w:sz="6" w:space="0" w:color="auto"/>
            </w:tcBorders>
          </w:tcPr>
          <w:p>
            <w:pPr>
              <w:pStyle w:val="TableParagraph"/>
              <w:spacing w:line="234" w:lineRule="exact"/>
              <w:ind w:right="142"/>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35" w:type="dxa"/>
            <w:tcBorders>
              <w:top w:val="single" w:sz="12" w:space="0" w:color="000000"/>
              <w:left w:val="nil" w:sz="6" w:space="0" w:color="auto"/>
              <w:bottom w:val="single" w:sz="4" w:space="0" w:color="000000"/>
              <w:right w:val="nil" w:sz="6" w:space="0" w:color="auto"/>
            </w:tcBorders>
          </w:tcPr>
          <w:p>
            <w:pPr>
              <w:pStyle w:val="TableParagraph"/>
              <w:spacing w:line="234" w:lineRule="exact"/>
              <w:ind w:right="96"/>
              <w:jc w:val="center"/>
              <w:rPr>
                <w:rFonts w:ascii="宋体" w:hAnsi="宋体" w:cs="宋体" w:eastAsia="宋体" w:hint="default"/>
                <w:sz w:val="18"/>
                <w:szCs w:val="18"/>
              </w:rPr>
            </w:pPr>
            <w:r>
              <w:rPr>
                <w:rFonts w:ascii="宋体" w:hAnsi="宋体" w:cs="宋体" w:eastAsia="宋体" w:hint="default"/>
                <w:b/>
                <w:bCs/>
                <w:sz w:val="18"/>
                <w:szCs w:val="18"/>
              </w:rPr>
              <w:t>优惠税率</w:t>
            </w:r>
            <w:r>
              <w:rPr>
                <w:rFonts w:ascii="宋体" w:hAnsi="宋体" w:cs="宋体" w:eastAsia="宋体" w:hint="default"/>
                <w:sz w:val="18"/>
                <w:szCs w:val="18"/>
              </w:rPr>
            </w:r>
          </w:p>
        </w:tc>
        <w:tc>
          <w:tcPr>
            <w:tcW w:w="3246"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45" w:right="0"/>
              <w:jc w:val="center"/>
              <w:rPr>
                <w:rFonts w:ascii="宋体" w:hAnsi="宋体" w:cs="宋体" w:eastAsia="宋体" w:hint="default"/>
                <w:sz w:val="18"/>
                <w:szCs w:val="18"/>
              </w:rPr>
            </w:pPr>
            <w:r>
              <w:rPr>
                <w:rFonts w:ascii="宋体" w:hAnsi="宋体" w:cs="宋体" w:eastAsia="宋体" w:hint="default"/>
                <w:b/>
                <w:bCs/>
                <w:sz w:val="18"/>
                <w:szCs w:val="18"/>
              </w:rPr>
              <w:t>优惠原因</w:t>
            </w:r>
            <w:r>
              <w:rPr>
                <w:rFonts w:ascii="宋体" w:hAnsi="宋体" w:cs="宋体" w:eastAsia="宋体" w:hint="default"/>
                <w:sz w:val="18"/>
                <w:szCs w:val="18"/>
              </w:rPr>
            </w:r>
          </w:p>
        </w:tc>
      </w:tr>
      <w:tr>
        <w:trPr>
          <w:trHeight w:val="288" w:hRule="exact"/>
        </w:trPr>
        <w:tc>
          <w:tcPr>
            <w:tcW w:w="3545"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935" w:type="dxa"/>
            <w:tcBorders>
              <w:top w:val="single" w:sz="4" w:space="0" w:color="000000"/>
              <w:left w:val="nil" w:sz="6" w:space="0" w:color="auto"/>
              <w:bottom w:val="nil" w:sz="6" w:space="0" w:color="auto"/>
              <w:right w:val="nil" w:sz="6" w:space="0" w:color="auto"/>
            </w:tcBorders>
          </w:tcPr>
          <w:p>
            <w:pPr>
              <w:pStyle w:val="TableParagraph"/>
              <w:spacing w:line="232" w:lineRule="exact"/>
              <w:ind w:right="93"/>
              <w:jc w:val="center"/>
              <w:rPr>
                <w:rFonts w:ascii="宋体" w:hAnsi="宋体" w:cs="宋体" w:eastAsia="宋体" w:hint="default"/>
                <w:sz w:val="18"/>
                <w:szCs w:val="18"/>
              </w:rPr>
            </w:pPr>
            <w:r>
              <w:rPr>
                <w:rFonts w:ascii="宋体"/>
                <w:sz w:val="18"/>
              </w:rPr>
              <w:t>15%</w:t>
            </w:r>
          </w:p>
        </w:tc>
        <w:tc>
          <w:tcPr>
            <w:tcW w:w="3246" w:type="dxa"/>
            <w:tcBorders>
              <w:top w:val="single" w:sz="4" w:space="0" w:color="000000"/>
              <w:left w:val="nil" w:sz="6" w:space="0" w:color="auto"/>
              <w:bottom w:val="nil" w:sz="6" w:space="0" w:color="auto"/>
              <w:right w:val="nil" w:sz="6" w:space="0" w:color="auto"/>
            </w:tcBorders>
          </w:tcPr>
          <w:p>
            <w:pPr>
              <w:pStyle w:val="TableParagraph"/>
              <w:spacing w:line="232"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4"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1935" w:type="dxa"/>
            <w:tcBorders>
              <w:top w:val="nil" w:sz="6" w:space="0" w:color="auto"/>
              <w:left w:val="nil" w:sz="6" w:space="0" w:color="auto"/>
              <w:bottom w:val="nil" w:sz="6" w:space="0" w:color="auto"/>
              <w:right w:val="nil" w:sz="6" w:space="0" w:color="auto"/>
            </w:tcBorders>
          </w:tcPr>
          <w:p>
            <w:pPr>
              <w:pStyle w:val="TableParagraph"/>
              <w:spacing w:line="232" w:lineRule="exact"/>
              <w:ind w:right="93"/>
              <w:jc w:val="center"/>
              <w:rPr>
                <w:rFonts w:ascii="宋体" w:hAnsi="宋体" w:cs="宋体" w:eastAsia="宋体" w:hint="default"/>
                <w:sz w:val="18"/>
                <w:szCs w:val="18"/>
              </w:rPr>
            </w:pPr>
            <w:r>
              <w:rPr>
                <w:rFonts w:ascii="宋体"/>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32"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6"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1935" w:type="dxa"/>
            <w:tcBorders>
              <w:top w:val="nil" w:sz="6" w:space="0" w:color="auto"/>
              <w:left w:val="nil" w:sz="6" w:space="0" w:color="auto"/>
              <w:bottom w:val="nil" w:sz="6" w:space="0" w:color="auto"/>
              <w:right w:val="nil" w:sz="6" w:space="0" w:color="auto"/>
            </w:tcBorders>
          </w:tcPr>
          <w:p>
            <w:pPr>
              <w:pStyle w:val="TableParagraph"/>
              <w:spacing w:line="233" w:lineRule="exact"/>
              <w:ind w:right="93"/>
              <w:jc w:val="center"/>
              <w:rPr>
                <w:rFonts w:ascii="宋体" w:hAnsi="宋体" w:cs="宋体" w:eastAsia="宋体" w:hint="default"/>
                <w:sz w:val="18"/>
                <w:szCs w:val="18"/>
              </w:rPr>
            </w:pPr>
            <w:r>
              <w:rPr>
                <w:rFonts w:ascii="宋体"/>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33"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6"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同方计算机有限公司</w:t>
            </w:r>
          </w:p>
        </w:tc>
        <w:tc>
          <w:tcPr>
            <w:tcW w:w="1935" w:type="dxa"/>
            <w:tcBorders>
              <w:top w:val="nil" w:sz="6" w:space="0" w:color="auto"/>
              <w:left w:val="nil" w:sz="6" w:space="0" w:color="auto"/>
              <w:bottom w:val="nil" w:sz="6" w:space="0" w:color="auto"/>
              <w:right w:val="nil" w:sz="6" w:space="0" w:color="auto"/>
            </w:tcBorders>
          </w:tcPr>
          <w:p>
            <w:pPr>
              <w:pStyle w:val="TableParagraph"/>
              <w:spacing w:line="233" w:lineRule="exact"/>
              <w:ind w:right="93"/>
              <w:jc w:val="center"/>
              <w:rPr>
                <w:rFonts w:ascii="宋体" w:hAnsi="宋体" w:cs="宋体" w:eastAsia="宋体" w:hint="default"/>
                <w:sz w:val="18"/>
                <w:szCs w:val="18"/>
              </w:rPr>
            </w:pPr>
            <w:r>
              <w:rPr>
                <w:rFonts w:ascii="宋体"/>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33"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4"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同方知网（北京）技术有限公司</w:t>
            </w:r>
          </w:p>
        </w:tc>
        <w:tc>
          <w:tcPr>
            <w:tcW w:w="1935" w:type="dxa"/>
            <w:tcBorders>
              <w:top w:val="nil" w:sz="6" w:space="0" w:color="auto"/>
              <w:left w:val="nil" w:sz="6" w:space="0" w:color="auto"/>
              <w:bottom w:val="nil" w:sz="6" w:space="0" w:color="auto"/>
              <w:right w:val="nil" w:sz="6" w:space="0" w:color="auto"/>
            </w:tcBorders>
          </w:tcPr>
          <w:p>
            <w:pPr>
              <w:pStyle w:val="TableParagraph"/>
              <w:spacing w:line="233" w:lineRule="exact"/>
              <w:ind w:right="93"/>
              <w:jc w:val="center"/>
              <w:rPr>
                <w:rFonts w:ascii="宋体" w:hAnsi="宋体" w:cs="宋体" w:eastAsia="宋体" w:hint="default"/>
                <w:sz w:val="18"/>
                <w:szCs w:val="18"/>
              </w:rPr>
            </w:pPr>
            <w:r>
              <w:rPr>
                <w:rFonts w:ascii="宋体"/>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33"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4"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同方知网数字出版股份有限公司</w:t>
            </w:r>
          </w:p>
        </w:tc>
        <w:tc>
          <w:tcPr>
            <w:tcW w:w="1935" w:type="dxa"/>
            <w:tcBorders>
              <w:top w:val="nil" w:sz="6" w:space="0" w:color="auto"/>
              <w:left w:val="nil" w:sz="6" w:space="0" w:color="auto"/>
              <w:bottom w:val="nil" w:sz="6" w:space="0" w:color="auto"/>
              <w:right w:val="nil" w:sz="6" w:space="0" w:color="auto"/>
            </w:tcBorders>
          </w:tcPr>
          <w:p>
            <w:pPr>
              <w:pStyle w:val="TableParagraph"/>
              <w:spacing w:line="232" w:lineRule="exact"/>
              <w:ind w:right="93"/>
              <w:jc w:val="center"/>
              <w:rPr>
                <w:rFonts w:ascii="宋体" w:hAnsi="宋体" w:cs="宋体" w:eastAsia="宋体" w:hint="default"/>
                <w:sz w:val="18"/>
                <w:szCs w:val="18"/>
              </w:rPr>
            </w:pPr>
            <w:r>
              <w:rPr>
                <w:rFonts w:ascii="宋体"/>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32"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6"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北京同方光盘股份有限公司</w:t>
            </w:r>
          </w:p>
        </w:tc>
        <w:tc>
          <w:tcPr>
            <w:tcW w:w="1935" w:type="dxa"/>
            <w:tcBorders>
              <w:top w:val="nil" w:sz="6" w:space="0" w:color="auto"/>
              <w:left w:val="nil" w:sz="6" w:space="0" w:color="auto"/>
              <w:bottom w:val="nil" w:sz="6" w:space="0" w:color="auto"/>
              <w:right w:val="nil" w:sz="6" w:space="0" w:color="auto"/>
            </w:tcBorders>
          </w:tcPr>
          <w:p>
            <w:pPr>
              <w:pStyle w:val="TableParagraph"/>
              <w:spacing w:line="233" w:lineRule="exact"/>
              <w:ind w:right="93"/>
              <w:jc w:val="center"/>
              <w:rPr>
                <w:rFonts w:ascii="宋体" w:hAnsi="宋体" w:cs="宋体" w:eastAsia="宋体" w:hint="default"/>
                <w:sz w:val="18"/>
                <w:szCs w:val="18"/>
              </w:rPr>
            </w:pPr>
            <w:r>
              <w:rPr>
                <w:rFonts w:ascii="宋体"/>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33"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6"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同方健康科技（北京）股份有限公司</w:t>
            </w:r>
          </w:p>
        </w:tc>
        <w:tc>
          <w:tcPr>
            <w:tcW w:w="1935" w:type="dxa"/>
            <w:tcBorders>
              <w:top w:val="nil" w:sz="6" w:space="0" w:color="auto"/>
              <w:left w:val="nil" w:sz="6" w:space="0" w:color="auto"/>
              <w:bottom w:val="nil" w:sz="6" w:space="0" w:color="auto"/>
              <w:right w:val="nil" w:sz="6" w:space="0" w:color="auto"/>
            </w:tcBorders>
          </w:tcPr>
          <w:p>
            <w:pPr>
              <w:pStyle w:val="TableParagraph"/>
              <w:spacing w:line="233" w:lineRule="exact"/>
              <w:ind w:right="93"/>
              <w:jc w:val="center"/>
              <w:rPr>
                <w:rFonts w:ascii="宋体" w:hAnsi="宋体" w:cs="宋体" w:eastAsia="宋体" w:hint="default"/>
                <w:sz w:val="18"/>
                <w:szCs w:val="18"/>
              </w:rPr>
            </w:pPr>
            <w:r>
              <w:rPr>
                <w:rFonts w:ascii="宋体"/>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33"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5"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山东同方鲁颖电子有限公司</w:t>
            </w:r>
          </w:p>
        </w:tc>
        <w:tc>
          <w:tcPr>
            <w:tcW w:w="1935" w:type="dxa"/>
            <w:tcBorders>
              <w:top w:val="nil" w:sz="6" w:space="0" w:color="auto"/>
              <w:left w:val="nil" w:sz="6" w:space="0" w:color="auto"/>
              <w:bottom w:val="nil" w:sz="6" w:space="0" w:color="auto"/>
              <w:right w:val="nil" w:sz="6" w:space="0" w:color="auto"/>
            </w:tcBorders>
          </w:tcPr>
          <w:p>
            <w:pPr>
              <w:pStyle w:val="TableParagraph"/>
              <w:spacing w:line="233" w:lineRule="exact"/>
              <w:ind w:right="93"/>
              <w:jc w:val="center"/>
              <w:rPr>
                <w:rFonts w:ascii="宋体" w:hAnsi="宋体" w:cs="宋体" w:eastAsia="宋体" w:hint="default"/>
                <w:sz w:val="18"/>
                <w:szCs w:val="18"/>
              </w:rPr>
            </w:pPr>
            <w:r>
              <w:rPr>
                <w:rFonts w:ascii="宋体"/>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33"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5"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北京同方软件股份有限公司</w:t>
            </w:r>
          </w:p>
        </w:tc>
        <w:tc>
          <w:tcPr>
            <w:tcW w:w="1935" w:type="dxa"/>
            <w:tcBorders>
              <w:top w:val="nil" w:sz="6" w:space="0" w:color="auto"/>
              <w:left w:val="nil" w:sz="6" w:space="0" w:color="auto"/>
              <w:bottom w:val="nil" w:sz="6" w:space="0" w:color="auto"/>
              <w:right w:val="nil" w:sz="6" w:space="0" w:color="auto"/>
            </w:tcBorders>
          </w:tcPr>
          <w:p>
            <w:pPr>
              <w:pStyle w:val="TableParagraph"/>
              <w:spacing w:line="232" w:lineRule="exact"/>
              <w:ind w:right="93"/>
              <w:jc w:val="center"/>
              <w:rPr>
                <w:rFonts w:ascii="宋体" w:hAnsi="宋体" w:cs="宋体" w:eastAsia="宋体" w:hint="default"/>
                <w:sz w:val="18"/>
                <w:szCs w:val="18"/>
              </w:rPr>
            </w:pPr>
            <w:r>
              <w:rPr>
                <w:rFonts w:ascii="宋体"/>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32"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6"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北京同方吉兆科技有限公司</w:t>
            </w:r>
          </w:p>
        </w:tc>
        <w:tc>
          <w:tcPr>
            <w:tcW w:w="1935" w:type="dxa"/>
            <w:tcBorders>
              <w:top w:val="nil" w:sz="6" w:space="0" w:color="auto"/>
              <w:left w:val="nil" w:sz="6" w:space="0" w:color="auto"/>
              <w:bottom w:val="nil" w:sz="6" w:space="0" w:color="auto"/>
              <w:right w:val="nil" w:sz="6" w:space="0" w:color="auto"/>
            </w:tcBorders>
          </w:tcPr>
          <w:p>
            <w:pPr>
              <w:pStyle w:val="TableParagraph"/>
              <w:spacing w:line="233" w:lineRule="exact"/>
              <w:ind w:right="93"/>
              <w:jc w:val="center"/>
              <w:rPr>
                <w:rFonts w:ascii="宋体" w:hAnsi="宋体" w:cs="宋体" w:eastAsia="宋体" w:hint="default"/>
                <w:sz w:val="18"/>
                <w:szCs w:val="18"/>
              </w:rPr>
            </w:pPr>
            <w:r>
              <w:rPr>
                <w:rFonts w:ascii="宋体"/>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33"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6"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北京同方凌讯科技有限公司</w:t>
            </w:r>
          </w:p>
        </w:tc>
        <w:tc>
          <w:tcPr>
            <w:tcW w:w="1935" w:type="dxa"/>
            <w:tcBorders>
              <w:top w:val="nil" w:sz="6" w:space="0" w:color="auto"/>
              <w:left w:val="nil" w:sz="6" w:space="0" w:color="auto"/>
              <w:bottom w:val="nil" w:sz="6" w:space="0" w:color="auto"/>
              <w:right w:val="nil" w:sz="6" w:space="0" w:color="auto"/>
            </w:tcBorders>
          </w:tcPr>
          <w:p>
            <w:pPr>
              <w:pStyle w:val="TableParagraph"/>
              <w:spacing w:line="233" w:lineRule="exact"/>
              <w:ind w:right="93"/>
              <w:jc w:val="center"/>
              <w:rPr>
                <w:rFonts w:ascii="宋体" w:hAnsi="宋体" w:cs="宋体" w:eastAsia="宋体" w:hint="default"/>
                <w:sz w:val="18"/>
                <w:szCs w:val="18"/>
              </w:rPr>
            </w:pPr>
            <w:r>
              <w:rPr>
                <w:rFonts w:ascii="宋体"/>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33"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4"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沈阳同方多媒体科技有限公司</w:t>
            </w:r>
          </w:p>
        </w:tc>
        <w:tc>
          <w:tcPr>
            <w:tcW w:w="1935" w:type="dxa"/>
            <w:tcBorders>
              <w:top w:val="nil" w:sz="6" w:space="0" w:color="auto"/>
              <w:left w:val="nil" w:sz="6" w:space="0" w:color="auto"/>
              <w:bottom w:val="nil" w:sz="6" w:space="0" w:color="auto"/>
              <w:right w:val="nil" w:sz="6" w:space="0" w:color="auto"/>
            </w:tcBorders>
          </w:tcPr>
          <w:p>
            <w:pPr>
              <w:pStyle w:val="TableParagraph"/>
              <w:spacing w:line="233" w:lineRule="exact"/>
              <w:ind w:right="93"/>
              <w:jc w:val="center"/>
              <w:rPr>
                <w:rFonts w:ascii="宋体" w:hAnsi="宋体" w:cs="宋体" w:eastAsia="宋体" w:hint="default"/>
                <w:sz w:val="18"/>
                <w:szCs w:val="18"/>
              </w:rPr>
            </w:pPr>
            <w:r>
              <w:rPr>
                <w:rFonts w:ascii="宋体"/>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33"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4"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1935" w:type="dxa"/>
            <w:tcBorders>
              <w:top w:val="nil" w:sz="6" w:space="0" w:color="auto"/>
              <w:left w:val="nil" w:sz="6" w:space="0" w:color="auto"/>
              <w:bottom w:val="nil" w:sz="6" w:space="0" w:color="auto"/>
              <w:right w:val="nil" w:sz="6" w:space="0" w:color="auto"/>
            </w:tcBorders>
          </w:tcPr>
          <w:p>
            <w:pPr>
              <w:pStyle w:val="TableParagraph"/>
              <w:spacing w:line="232" w:lineRule="exact"/>
              <w:ind w:right="93"/>
              <w:jc w:val="center"/>
              <w:rPr>
                <w:rFonts w:ascii="宋体" w:hAnsi="宋体" w:cs="宋体" w:eastAsia="宋体" w:hint="default"/>
                <w:sz w:val="18"/>
                <w:szCs w:val="18"/>
              </w:rPr>
            </w:pPr>
            <w:r>
              <w:rPr>
                <w:rFonts w:ascii="宋体"/>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32"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6"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同方工业有限公司</w:t>
            </w:r>
          </w:p>
        </w:tc>
        <w:tc>
          <w:tcPr>
            <w:tcW w:w="1935" w:type="dxa"/>
            <w:tcBorders>
              <w:top w:val="nil" w:sz="6" w:space="0" w:color="auto"/>
              <w:left w:val="nil" w:sz="6" w:space="0" w:color="auto"/>
              <w:bottom w:val="nil" w:sz="6" w:space="0" w:color="auto"/>
              <w:right w:val="nil" w:sz="6" w:space="0" w:color="auto"/>
            </w:tcBorders>
          </w:tcPr>
          <w:p>
            <w:pPr>
              <w:pStyle w:val="TableParagraph"/>
              <w:spacing w:line="233" w:lineRule="exact"/>
              <w:ind w:right="93"/>
              <w:jc w:val="center"/>
              <w:rPr>
                <w:rFonts w:ascii="宋体" w:hAnsi="宋体" w:cs="宋体" w:eastAsia="宋体" w:hint="default"/>
                <w:sz w:val="18"/>
                <w:szCs w:val="18"/>
              </w:rPr>
            </w:pPr>
            <w:r>
              <w:rPr>
                <w:rFonts w:ascii="宋体"/>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33"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301" w:hRule="exact"/>
        </w:trPr>
        <w:tc>
          <w:tcPr>
            <w:tcW w:w="3545" w:type="dxa"/>
            <w:tcBorders>
              <w:top w:val="nil" w:sz="6" w:space="0" w:color="auto"/>
              <w:left w:val="nil" w:sz="6" w:space="0" w:color="auto"/>
              <w:bottom w:val="single" w:sz="1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北京壹人壹本信息科技有限公司</w:t>
            </w:r>
          </w:p>
        </w:tc>
        <w:tc>
          <w:tcPr>
            <w:tcW w:w="1935" w:type="dxa"/>
            <w:tcBorders>
              <w:top w:val="nil" w:sz="6" w:space="0" w:color="auto"/>
              <w:left w:val="nil" w:sz="6" w:space="0" w:color="auto"/>
              <w:bottom w:val="single" w:sz="12" w:space="0" w:color="000000"/>
              <w:right w:val="nil" w:sz="6" w:space="0" w:color="auto"/>
            </w:tcBorders>
          </w:tcPr>
          <w:p>
            <w:pPr>
              <w:pStyle w:val="TableParagraph"/>
              <w:spacing w:line="233" w:lineRule="exact"/>
              <w:ind w:right="93"/>
              <w:jc w:val="center"/>
              <w:rPr>
                <w:rFonts w:ascii="宋体" w:hAnsi="宋体" w:cs="宋体" w:eastAsia="宋体" w:hint="default"/>
                <w:sz w:val="18"/>
                <w:szCs w:val="18"/>
              </w:rPr>
            </w:pPr>
            <w:r>
              <w:rPr>
                <w:rFonts w:ascii="宋体"/>
                <w:sz w:val="18"/>
              </w:rPr>
              <w:t>15%</w:t>
            </w:r>
          </w:p>
        </w:tc>
        <w:tc>
          <w:tcPr>
            <w:tcW w:w="3246" w:type="dxa"/>
            <w:tcBorders>
              <w:top w:val="nil" w:sz="6" w:space="0" w:color="auto"/>
              <w:left w:val="nil" w:sz="6" w:space="0" w:color="auto"/>
              <w:bottom w:val="single" w:sz="12" w:space="0" w:color="000000"/>
              <w:right w:val="nil" w:sz="6" w:space="0" w:color="auto"/>
            </w:tcBorders>
          </w:tcPr>
          <w:p>
            <w:pPr>
              <w:pStyle w:val="TableParagraph"/>
              <w:spacing w:line="233" w:lineRule="exact"/>
              <w:ind w:left="45" w:right="0"/>
              <w:jc w:val="center"/>
              <w:rPr>
                <w:rFonts w:ascii="宋体" w:hAnsi="宋体" w:cs="宋体" w:eastAsia="宋体" w:hint="default"/>
                <w:sz w:val="18"/>
                <w:szCs w:val="18"/>
              </w:rPr>
            </w:pPr>
            <w:r>
              <w:rPr>
                <w:rFonts w:ascii="宋体" w:hAnsi="宋体" w:cs="宋体" w:eastAsia="宋体" w:hint="default"/>
                <w:sz w:val="18"/>
                <w:szCs w:val="18"/>
              </w:rPr>
              <w:t>高新技术企业、软件企业</w:t>
            </w:r>
          </w:p>
        </w:tc>
      </w:tr>
    </w:tbl>
    <w:p>
      <w:pPr>
        <w:spacing w:before="81"/>
        <w:ind w:left="675" w:right="106"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4"/>
          <w:sz w:val="22"/>
          <w:szCs w:val="22"/>
        </w:rPr>
        <w:t> </w:t>
      </w:r>
      <w:r>
        <w:rPr>
          <w:rFonts w:ascii="宋体" w:hAnsi="宋体" w:cs="宋体" w:eastAsia="宋体" w:hint="default"/>
          <w:sz w:val="22"/>
          <w:szCs w:val="22"/>
        </w:rPr>
        <w:t>本公司本报告期内境外子公司所得税税率列示如下：</w:t>
      </w:r>
    </w:p>
    <w:p>
      <w:pPr>
        <w:spacing w:after="0"/>
        <w:jc w:val="left"/>
        <w:rPr>
          <w:rFonts w:ascii="宋体" w:hAnsi="宋体" w:cs="宋体" w:eastAsia="宋体" w:hint="default"/>
          <w:sz w:val="22"/>
          <w:szCs w:val="22"/>
        </w:rPr>
        <w:sectPr>
          <w:footerReference w:type="default" r:id="rId34"/>
          <w:pgSz w:w="11910" w:h="16840"/>
          <w:pgMar w:footer="1054" w:header="0" w:top="1360" w:bottom="1240" w:left="1480" w:right="1480"/>
          <w:pgNumType w:start="111"/>
        </w:sectPr>
      </w:pPr>
    </w:p>
    <w:p>
      <w:pPr>
        <w:spacing w:line="240" w:lineRule="auto" w:before="6"/>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5780"/>
        <w:gridCol w:w="2946"/>
      </w:tblGrid>
      <w:tr>
        <w:trPr>
          <w:trHeight w:val="310" w:hRule="exact"/>
        </w:trPr>
        <w:tc>
          <w:tcPr>
            <w:tcW w:w="5780" w:type="dxa"/>
            <w:tcBorders>
              <w:top w:val="single" w:sz="12" w:space="0" w:color="000000"/>
              <w:left w:val="nil" w:sz="6" w:space="0" w:color="auto"/>
              <w:bottom w:val="single" w:sz="8" w:space="0" w:color="000000"/>
              <w:right w:val="nil" w:sz="6" w:space="0" w:color="auto"/>
            </w:tcBorders>
          </w:tcPr>
          <w:p>
            <w:pPr>
              <w:pStyle w:val="TableParagraph"/>
              <w:spacing w:line="232" w:lineRule="exact"/>
              <w:ind w:left="1020"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946" w:type="dxa"/>
            <w:tcBorders>
              <w:top w:val="single" w:sz="12" w:space="0" w:color="000000"/>
              <w:left w:val="nil" w:sz="6" w:space="0" w:color="auto"/>
              <w:bottom w:val="single" w:sz="8" w:space="0" w:color="000000"/>
              <w:right w:val="nil" w:sz="6" w:space="0" w:color="auto"/>
            </w:tcBorders>
          </w:tcPr>
          <w:p>
            <w:pPr>
              <w:pStyle w:val="TableParagraph"/>
              <w:spacing w:line="232" w:lineRule="exact"/>
              <w:ind w:right="779"/>
              <w:jc w:val="right"/>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r>
      <w:tr>
        <w:trPr>
          <w:trHeight w:val="295" w:hRule="exact"/>
        </w:trPr>
        <w:tc>
          <w:tcPr>
            <w:tcW w:w="5780" w:type="dxa"/>
            <w:tcBorders>
              <w:top w:val="single" w:sz="8"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sz w:val="18"/>
              </w:rPr>
              <w:t>Resuccess Investments</w:t>
            </w:r>
            <w:r>
              <w:rPr>
                <w:rFonts w:ascii="宋体"/>
                <w:spacing w:val="-11"/>
                <w:sz w:val="18"/>
              </w:rPr>
              <w:t> </w:t>
            </w:r>
            <w:r>
              <w:rPr>
                <w:rFonts w:ascii="宋体"/>
                <w:sz w:val="18"/>
              </w:rPr>
              <w:t>Limited</w:t>
            </w:r>
          </w:p>
        </w:tc>
        <w:tc>
          <w:tcPr>
            <w:tcW w:w="2946" w:type="dxa"/>
            <w:tcBorders>
              <w:top w:val="single" w:sz="8" w:space="0" w:color="000000"/>
              <w:left w:val="nil" w:sz="6" w:space="0" w:color="auto"/>
              <w:bottom w:val="nil" w:sz="6" w:space="0" w:color="auto"/>
              <w:right w:val="nil" w:sz="6" w:space="0" w:color="auto"/>
            </w:tcBorders>
          </w:tcPr>
          <w:p>
            <w:pPr>
              <w:pStyle w:val="TableParagraph"/>
              <w:spacing w:line="232" w:lineRule="exact"/>
              <w:ind w:left="1892" w:right="0"/>
              <w:jc w:val="left"/>
              <w:rPr>
                <w:rFonts w:ascii="宋体" w:hAnsi="宋体" w:cs="宋体" w:eastAsia="宋体" w:hint="default"/>
                <w:sz w:val="18"/>
                <w:szCs w:val="18"/>
              </w:rPr>
            </w:pPr>
            <w:r>
              <w:rPr>
                <w:rFonts w:ascii="宋体"/>
                <w:sz w:val="18"/>
              </w:rPr>
              <w:t>0%</w:t>
            </w:r>
          </w:p>
        </w:tc>
      </w:tr>
      <w:tr>
        <w:trPr>
          <w:trHeight w:val="286" w:hRule="exact"/>
        </w:trPr>
        <w:tc>
          <w:tcPr>
            <w:tcW w:w="5780"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sz w:val="18"/>
              </w:rPr>
              <w:t>Technovator International</w:t>
            </w:r>
            <w:r>
              <w:rPr>
                <w:rFonts w:ascii="宋体"/>
                <w:spacing w:val="-13"/>
                <w:sz w:val="18"/>
              </w:rPr>
              <w:t> </w:t>
            </w:r>
            <w:r>
              <w:rPr>
                <w:rFonts w:ascii="宋体"/>
                <w:sz w:val="18"/>
              </w:rPr>
              <w:t>Limited</w:t>
            </w:r>
          </w:p>
        </w:tc>
        <w:tc>
          <w:tcPr>
            <w:tcW w:w="2946" w:type="dxa"/>
            <w:tcBorders>
              <w:top w:val="nil" w:sz="6" w:space="0" w:color="auto"/>
              <w:left w:val="nil" w:sz="6" w:space="0" w:color="auto"/>
              <w:bottom w:val="nil" w:sz="6" w:space="0" w:color="auto"/>
              <w:right w:val="nil" w:sz="6" w:space="0" w:color="auto"/>
            </w:tcBorders>
          </w:tcPr>
          <w:p>
            <w:pPr>
              <w:pStyle w:val="TableParagraph"/>
              <w:spacing w:line="233" w:lineRule="exact"/>
              <w:ind w:right="823"/>
              <w:jc w:val="right"/>
              <w:rPr>
                <w:rFonts w:ascii="宋体" w:hAnsi="宋体" w:cs="宋体" w:eastAsia="宋体" w:hint="default"/>
                <w:sz w:val="18"/>
                <w:szCs w:val="18"/>
              </w:rPr>
            </w:pPr>
            <w:r>
              <w:rPr>
                <w:rFonts w:ascii="宋体"/>
                <w:sz w:val="18"/>
              </w:rPr>
              <w:t>17%</w:t>
            </w:r>
          </w:p>
        </w:tc>
      </w:tr>
      <w:tr>
        <w:trPr>
          <w:trHeight w:val="284" w:hRule="exact"/>
        </w:trPr>
        <w:tc>
          <w:tcPr>
            <w:tcW w:w="5780"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同方光电（香港）有限公司</w:t>
            </w:r>
          </w:p>
        </w:tc>
        <w:tc>
          <w:tcPr>
            <w:tcW w:w="2946" w:type="dxa"/>
            <w:tcBorders>
              <w:top w:val="nil" w:sz="6" w:space="0" w:color="auto"/>
              <w:left w:val="nil" w:sz="6" w:space="0" w:color="auto"/>
              <w:bottom w:val="nil" w:sz="6" w:space="0" w:color="auto"/>
              <w:right w:val="nil" w:sz="6" w:space="0" w:color="auto"/>
            </w:tcBorders>
          </w:tcPr>
          <w:p>
            <w:pPr>
              <w:pStyle w:val="TableParagraph"/>
              <w:spacing w:line="233" w:lineRule="exact"/>
              <w:ind w:right="690"/>
              <w:jc w:val="right"/>
              <w:rPr>
                <w:rFonts w:ascii="宋体" w:hAnsi="宋体" w:cs="宋体" w:eastAsia="宋体" w:hint="default"/>
                <w:sz w:val="18"/>
                <w:szCs w:val="18"/>
              </w:rPr>
            </w:pPr>
            <w:r>
              <w:rPr>
                <w:rFonts w:ascii="宋体"/>
                <w:spacing w:val="-1"/>
                <w:sz w:val="18"/>
              </w:rPr>
              <w:t>16.50%</w:t>
            </w:r>
          </w:p>
        </w:tc>
      </w:tr>
      <w:tr>
        <w:trPr>
          <w:trHeight w:val="284" w:hRule="exact"/>
        </w:trPr>
        <w:tc>
          <w:tcPr>
            <w:tcW w:w="578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sz w:val="18"/>
              </w:rPr>
              <w:t>Tongfang HongKong</w:t>
            </w:r>
            <w:r>
              <w:rPr>
                <w:rFonts w:ascii="宋体"/>
                <w:spacing w:val="-9"/>
                <w:sz w:val="18"/>
              </w:rPr>
              <w:t> </w:t>
            </w:r>
            <w:r>
              <w:rPr>
                <w:rFonts w:ascii="宋体"/>
                <w:sz w:val="18"/>
              </w:rPr>
              <w:t>Limited</w:t>
            </w:r>
          </w:p>
        </w:tc>
        <w:tc>
          <w:tcPr>
            <w:tcW w:w="2946" w:type="dxa"/>
            <w:tcBorders>
              <w:top w:val="nil" w:sz="6" w:space="0" w:color="auto"/>
              <w:left w:val="nil" w:sz="6" w:space="0" w:color="auto"/>
              <w:bottom w:val="nil" w:sz="6" w:space="0" w:color="auto"/>
              <w:right w:val="nil" w:sz="6" w:space="0" w:color="auto"/>
            </w:tcBorders>
          </w:tcPr>
          <w:p>
            <w:pPr>
              <w:pStyle w:val="TableParagraph"/>
              <w:spacing w:line="232" w:lineRule="exact"/>
              <w:ind w:right="690"/>
              <w:jc w:val="right"/>
              <w:rPr>
                <w:rFonts w:ascii="宋体" w:hAnsi="宋体" w:cs="宋体" w:eastAsia="宋体" w:hint="default"/>
                <w:sz w:val="18"/>
                <w:szCs w:val="18"/>
              </w:rPr>
            </w:pPr>
            <w:r>
              <w:rPr>
                <w:rFonts w:ascii="宋体"/>
                <w:spacing w:val="-1"/>
                <w:sz w:val="18"/>
              </w:rPr>
              <w:t>16.50%</w:t>
            </w:r>
          </w:p>
        </w:tc>
      </w:tr>
      <w:tr>
        <w:trPr>
          <w:trHeight w:val="286" w:hRule="exact"/>
        </w:trPr>
        <w:tc>
          <w:tcPr>
            <w:tcW w:w="5780"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sz w:val="18"/>
              </w:rPr>
              <w:t>Tongfang Global</w:t>
            </w:r>
            <w:r>
              <w:rPr>
                <w:rFonts w:ascii="宋体"/>
                <w:spacing w:val="-8"/>
                <w:sz w:val="18"/>
              </w:rPr>
              <w:t> </w:t>
            </w:r>
            <w:r>
              <w:rPr>
                <w:rFonts w:ascii="宋体"/>
                <w:sz w:val="18"/>
              </w:rPr>
              <w:t>Limited</w:t>
            </w:r>
          </w:p>
        </w:tc>
        <w:tc>
          <w:tcPr>
            <w:tcW w:w="2946" w:type="dxa"/>
            <w:tcBorders>
              <w:top w:val="nil" w:sz="6" w:space="0" w:color="auto"/>
              <w:left w:val="nil" w:sz="6" w:space="0" w:color="auto"/>
              <w:bottom w:val="nil" w:sz="6" w:space="0" w:color="auto"/>
              <w:right w:val="nil" w:sz="6" w:space="0" w:color="auto"/>
            </w:tcBorders>
          </w:tcPr>
          <w:p>
            <w:pPr>
              <w:pStyle w:val="TableParagraph"/>
              <w:spacing w:line="233" w:lineRule="exact"/>
              <w:ind w:right="690"/>
              <w:jc w:val="right"/>
              <w:rPr>
                <w:rFonts w:ascii="宋体" w:hAnsi="宋体" w:cs="宋体" w:eastAsia="宋体" w:hint="default"/>
                <w:sz w:val="18"/>
                <w:szCs w:val="18"/>
              </w:rPr>
            </w:pPr>
            <w:r>
              <w:rPr>
                <w:rFonts w:ascii="宋体"/>
                <w:spacing w:val="-1"/>
                <w:sz w:val="18"/>
              </w:rPr>
              <w:t>16.50%</w:t>
            </w:r>
          </w:p>
        </w:tc>
      </w:tr>
      <w:tr>
        <w:trPr>
          <w:trHeight w:val="286" w:hRule="exact"/>
        </w:trPr>
        <w:tc>
          <w:tcPr>
            <w:tcW w:w="5780"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sz w:val="18"/>
              </w:rPr>
              <w:t>THTF USA,</w:t>
            </w:r>
            <w:r>
              <w:rPr>
                <w:rFonts w:ascii="宋体"/>
                <w:spacing w:val="-5"/>
                <w:sz w:val="18"/>
              </w:rPr>
              <w:t> </w:t>
            </w:r>
            <w:r>
              <w:rPr>
                <w:rFonts w:ascii="宋体"/>
                <w:sz w:val="18"/>
              </w:rPr>
              <w:t>Inc.</w:t>
            </w:r>
          </w:p>
        </w:tc>
        <w:tc>
          <w:tcPr>
            <w:tcW w:w="2946" w:type="dxa"/>
            <w:tcBorders>
              <w:top w:val="nil" w:sz="6" w:space="0" w:color="auto"/>
              <w:left w:val="nil" w:sz="6" w:space="0" w:color="auto"/>
              <w:bottom w:val="nil" w:sz="6" w:space="0" w:color="auto"/>
              <w:right w:val="nil" w:sz="6" w:space="0" w:color="auto"/>
            </w:tcBorders>
          </w:tcPr>
          <w:p>
            <w:pPr>
              <w:pStyle w:val="TableParagraph"/>
              <w:spacing w:line="233" w:lineRule="exact"/>
              <w:ind w:right="823"/>
              <w:jc w:val="right"/>
              <w:rPr>
                <w:rFonts w:ascii="宋体" w:hAnsi="宋体" w:cs="宋体" w:eastAsia="宋体" w:hint="default"/>
                <w:sz w:val="18"/>
                <w:szCs w:val="18"/>
              </w:rPr>
            </w:pPr>
            <w:r>
              <w:rPr>
                <w:rFonts w:ascii="宋体"/>
                <w:sz w:val="18"/>
              </w:rPr>
              <w:t>31%</w:t>
            </w:r>
          </w:p>
        </w:tc>
      </w:tr>
      <w:tr>
        <w:trPr>
          <w:trHeight w:val="301" w:hRule="exact"/>
        </w:trPr>
        <w:tc>
          <w:tcPr>
            <w:tcW w:w="5780" w:type="dxa"/>
            <w:tcBorders>
              <w:top w:val="nil" w:sz="6" w:space="0" w:color="auto"/>
              <w:left w:val="nil" w:sz="6" w:space="0" w:color="auto"/>
              <w:bottom w:val="single" w:sz="1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sz w:val="18"/>
              </w:rPr>
              <w:t>Tongfang Asia Pacific (R&amp;D Center) Pte.</w:t>
            </w:r>
            <w:r>
              <w:rPr>
                <w:rFonts w:ascii="宋体"/>
                <w:spacing w:val="-17"/>
                <w:sz w:val="18"/>
              </w:rPr>
              <w:t> </w:t>
            </w:r>
            <w:r>
              <w:rPr>
                <w:rFonts w:ascii="宋体"/>
                <w:sz w:val="18"/>
              </w:rPr>
              <w:t>Ltd.</w:t>
            </w:r>
          </w:p>
        </w:tc>
        <w:tc>
          <w:tcPr>
            <w:tcW w:w="2946" w:type="dxa"/>
            <w:tcBorders>
              <w:top w:val="nil" w:sz="6" w:space="0" w:color="auto"/>
              <w:left w:val="nil" w:sz="6" w:space="0" w:color="auto"/>
              <w:bottom w:val="single" w:sz="12" w:space="0" w:color="000000"/>
              <w:right w:val="nil" w:sz="6" w:space="0" w:color="auto"/>
            </w:tcBorders>
          </w:tcPr>
          <w:p>
            <w:pPr>
              <w:pStyle w:val="TableParagraph"/>
              <w:spacing w:line="233" w:lineRule="exact"/>
              <w:ind w:right="823"/>
              <w:jc w:val="right"/>
              <w:rPr>
                <w:rFonts w:ascii="宋体" w:hAnsi="宋体" w:cs="宋体" w:eastAsia="宋体" w:hint="default"/>
                <w:sz w:val="18"/>
                <w:szCs w:val="18"/>
              </w:rPr>
            </w:pPr>
            <w:r>
              <w:rPr>
                <w:rFonts w:ascii="宋体"/>
                <w:sz w:val="18"/>
              </w:rPr>
              <w:t>17%</w:t>
            </w:r>
          </w:p>
        </w:tc>
      </w:tr>
    </w:tbl>
    <w:p>
      <w:pPr>
        <w:tabs>
          <w:tab w:pos="1021" w:val="left" w:leader="none"/>
        </w:tabs>
        <w:spacing w:line="328" w:lineRule="auto" w:before="81"/>
        <w:ind w:left="661" w:right="215" w:hanging="36"/>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tab/>
      </w:r>
      <w:r>
        <w:rPr>
          <w:rFonts w:ascii="宋体" w:hAnsi="宋体" w:cs="宋体" w:eastAsia="宋体" w:hint="default"/>
          <w:sz w:val="22"/>
          <w:szCs w:val="22"/>
        </w:rPr>
        <w:t>增值税</w:t>
      </w:r>
      <w:r>
        <w:rPr>
          <w:rFonts w:ascii="宋体" w:hAnsi="宋体" w:cs="宋体" w:eastAsia="宋体" w:hint="default"/>
          <w:spacing w:val="-108"/>
          <w:sz w:val="22"/>
          <w:szCs w:val="22"/>
        </w:rPr>
        <w:t> </w:t>
      </w:r>
      <w:r>
        <w:rPr>
          <w:rFonts w:ascii="宋体" w:hAnsi="宋体" w:cs="宋体" w:eastAsia="宋体" w:hint="default"/>
          <w:spacing w:val="-9"/>
          <w:w w:val="100"/>
          <w:sz w:val="22"/>
          <w:szCs w:val="22"/>
        </w:rPr>
        <w:t>根据财政部与国家税务总局联合发布的《关于调整增值税税率的通知》（财税〔</w:t>
      </w:r>
      <w:r>
        <w:rPr>
          <w:rFonts w:ascii="宋体" w:hAnsi="宋体" w:cs="宋体" w:eastAsia="宋体" w:hint="default"/>
          <w:spacing w:val="-9"/>
          <w:w w:val="100"/>
          <w:sz w:val="22"/>
          <w:szCs w:val="22"/>
        </w:rPr>
        <w:t>2018</w:t>
      </w:r>
      <w:r>
        <w:rPr>
          <w:rFonts w:ascii="宋体" w:hAnsi="宋体" w:cs="宋体" w:eastAsia="宋体" w:hint="default"/>
          <w:spacing w:val="-9"/>
          <w:w w:val="100"/>
          <w:sz w:val="22"/>
          <w:szCs w:val="22"/>
        </w:rPr>
        <w:t>〕</w:t>
      </w:r>
    </w:p>
    <w:p>
      <w:pPr>
        <w:spacing w:line="274" w:lineRule="exact" w:before="0"/>
        <w:ind w:left="222" w:right="0" w:firstLine="0"/>
        <w:jc w:val="both"/>
        <w:rPr>
          <w:rFonts w:ascii="宋体" w:hAnsi="宋体" w:cs="宋体" w:eastAsia="宋体" w:hint="default"/>
          <w:sz w:val="22"/>
          <w:szCs w:val="22"/>
        </w:rPr>
      </w:pPr>
      <w:r>
        <w:rPr>
          <w:rFonts w:ascii="宋体" w:hAnsi="宋体" w:cs="宋体" w:eastAsia="宋体" w:hint="default"/>
          <w:sz w:val="22"/>
          <w:szCs w:val="22"/>
        </w:rPr>
        <w:t>32</w:t>
      </w:r>
      <w:r>
        <w:rPr>
          <w:rFonts w:ascii="宋体" w:hAnsi="宋体" w:cs="宋体" w:eastAsia="宋体" w:hint="default"/>
          <w:spacing w:val="-56"/>
          <w:sz w:val="22"/>
          <w:szCs w:val="22"/>
        </w:rPr>
        <w:t> </w:t>
      </w:r>
      <w:r>
        <w:rPr>
          <w:rFonts w:ascii="宋体" w:hAnsi="宋体" w:cs="宋体" w:eastAsia="宋体" w:hint="default"/>
          <w:spacing w:val="-4"/>
          <w:sz w:val="22"/>
          <w:szCs w:val="22"/>
        </w:rPr>
        <w:t>号），自</w:t>
      </w:r>
      <w:r>
        <w:rPr>
          <w:rFonts w:ascii="宋体" w:hAnsi="宋体" w:cs="宋体" w:eastAsia="宋体" w:hint="default"/>
          <w:spacing w:val="-56"/>
          <w:sz w:val="22"/>
          <w:szCs w:val="22"/>
        </w:rPr>
        <w:t> </w:t>
      </w:r>
      <w:r>
        <w:rPr>
          <w:rFonts w:ascii="宋体" w:hAnsi="宋体" w:cs="宋体" w:eastAsia="宋体" w:hint="default"/>
          <w:sz w:val="22"/>
          <w:szCs w:val="22"/>
        </w:rPr>
        <w:t>2018</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5</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日起，纳税人发生增值税应税销售行为或者进口货物，原适用</w:t>
      </w:r>
    </w:p>
    <w:p>
      <w:pPr>
        <w:spacing w:line="297" w:lineRule="auto" w:before="69"/>
        <w:ind w:left="222" w:right="213" w:firstLine="0"/>
        <w:jc w:val="both"/>
        <w:rPr>
          <w:rFonts w:ascii="宋体" w:hAnsi="宋体" w:cs="宋体" w:eastAsia="宋体" w:hint="default"/>
          <w:sz w:val="22"/>
          <w:szCs w:val="22"/>
        </w:rPr>
      </w:pPr>
      <w:r>
        <w:rPr>
          <w:rFonts w:ascii="宋体" w:hAnsi="宋体" w:cs="宋体" w:eastAsia="宋体" w:hint="default"/>
          <w:sz w:val="22"/>
          <w:szCs w:val="22"/>
        </w:rPr>
        <w:t>17%</w:t>
      </w:r>
      <w:r>
        <w:rPr>
          <w:rFonts w:ascii="宋体" w:hAnsi="宋体" w:cs="宋体" w:eastAsia="宋体" w:hint="default"/>
          <w:sz w:val="22"/>
          <w:szCs w:val="22"/>
        </w:rPr>
        <w:t>和 </w:t>
      </w:r>
      <w:r>
        <w:rPr>
          <w:rFonts w:ascii="宋体" w:hAnsi="宋体" w:cs="宋体" w:eastAsia="宋体" w:hint="default"/>
          <w:sz w:val="22"/>
          <w:szCs w:val="22"/>
        </w:rPr>
        <w:t>11%</w:t>
      </w:r>
      <w:r>
        <w:rPr>
          <w:rFonts w:ascii="宋体" w:hAnsi="宋体" w:cs="宋体" w:eastAsia="宋体" w:hint="default"/>
          <w:sz w:val="22"/>
          <w:szCs w:val="22"/>
        </w:rPr>
        <w:t>税率的，税率分别调整为</w:t>
      </w:r>
      <w:r>
        <w:rPr>
          <w:rFonts w:ascii="宋体" w:hAnsi="宋体" w:cs="宋体" w:eastAsia="宋体" w:hint="default"/>
          <w:spacing w:val="-79"/>
          <w:sz w:val="22"/>
          <w:szCs w:val="22"/>
        </w:rPr>
        <w:t> </w:t>
      </w:r>
      <w:r>
        <w:rPr>
          <w:rFonts w:ascii="宋体" w:hAnsi="宋体" w:cs="宋体" w:eastAsia="宋体" w:hint="default"/>
          <w:sz w:val="22"/>
          <w:szCs w:val="22"/>
        </w:rPr>
        <w:t>16%</w:t>
      </w:r>
      <w:r>
        <w:rPr>
          <w:rFonts w:ascii="宋体" w:hAnsi="宋体" w:cs="宋体" w:eastAsia="宋体" w:hint="default"/>
          <w:sz w:val="22"/>
          <w:szCs w:val="22"/>
        </w:rPr>
        <w:t>、</w:t>
      </w:r>
      <w:r>
        <w:rPr>
          <w:rFonts w:ascii="宋体" w:hAnsi="宋体" w:cs="宋体" w:eastAsia="宋体" w:hint="default"/>
          <w:sz w:val="22"/>
          <w:szCs w:val="22"/>
        </w:rPr>
        <w:t>10%</w:t>
      </w:r>
      <w:r>
        <w:rPr>
          <w:rFonts w:ascii="宋体" w:hAnsi="宋体" w:cs="宋体" w:eastAsia="宋体" w:hint="default"/>
          <w:sz w:val="22"/>
          <w:szCs w:val="22"/>
        </w:rPr>
        <w:t>。本公司的商品和产品销售收入、加工及修</w:t>
      </w:r>
      <w:r>
        <w:rPr>
          <w:rFonts w:ascii="宋体" w:hAnsi="宋体" w:cs="宋体" w:eastAsia="宋体" w:hint="default"/>
          <w:w w:val="100"/>
          <w:sz w:val="22"/>
          <w:szCs w:val="22"/>
        </w:rPr>
        <w:t> </w:t>
      </w:r>
      <w:r>
        <w:rPr>
          <w:rFonts w:ascii="宋体" w:hAnsi="宋体" w:cs="宋体" w:eastAsia="宋体" w:hint="default"/>
          <w:sz w:val="22"/>
          <w:szCs w:val="22"/>
        </w:rPr>
        <w:t>理修配劳务收入应缴纳增值税，国内销项税率由原 </w:t>
      </w:r>
      <w:r>
        <w:rPr>
          <w:rFonts w:ascii="宋体" w:hAnsi="宋体" w:cs="宋体" w:eastAsia="宋体" w:hint="default"/>
          <w:sz w:val="22"/>
          <w:szCs w:val="22"/>
        </w:rPr>
        <w:t>17%</w:t>
      </w:r>
      <w:r>
        <w:rPr>
          <w:rFonts w:ascii="宋体" w:hAnsi="宋体" w:cs="宋体" w:eastAsia="宋体" w:hint="default"/>
          <w:sz w:val="22"/>
          <w:szCs w:val="22"/>
        </w:rPr>
        <w:t>调整为</w:t>
      </w:r>
      <w:r>
        <w:rPr>
          <w:rFonts w:ascii="宋体" w:hAnsi="宋体" w:cs="宋体" w:eastAsia="宋体" w:hint="default"/>
          <w:spacing w:val="-77"/>
          <w:sz w:val="22"/>
          <w:szCs w:val="22"/>
        </w:rPr>
        <w:t> </w:t>
      </w:r>
      <w:r>
        <w:rPr>
          <w:rFonts w:ascii="宋体" w:hAnsi="宋体" w:cs="宋体" w:eastAsia="宋体" w:hint="default"/>
          <w:sz w:val="22"/>
          <w:szCs w:val="22"/>
        </w:rPr>
        <w:t>16%</w:t>
      </w:r>
      <w:r>
        <w:rPr>
          <w:rFonts w:ascii="宋体" w:hAnsi="宋体" w:cs="宋体" w:eastAsia="宋体" w:hint="default"/>
          <w:sz w:val="22"/>
          <w:szCs w:val="22"/>
        </w:rPr>
        <w:t>；建筑服务（主要为工</w:t>
      </w:r>
      <w:r>
        <w:rPr>
          <w:rFonts w:ascii="宋体" w:hAnsi="宋体" w:cs="宋体" w:eastAsia="宋体" w:hint="default"/>
          <w:w w:val="100"/>
          <w:sz w:val="22"/>
          <w:szCs w:val="22"/>
        </w:rPr>
        <w:t> </w:t>
      </w:r>
      <w:r>
        <w:rPr>
          <w:rFonts w:ascii="宋体" w:hAnsi="宋体" w:cs="宋体" w:eastAsia="宋体" w:hint="default"/>
          <w:spacing w:val="-3"/>
          <w:sz w:val="22"/>
          <w:szCs w:val="22"/>
        </w:rPr>
        <w:t>程和安装服务）收入、不动产租赁服务收入、不动产销售和土地使用权转让收入如选用一</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般计税方法销项税率由原 </w:t>
      </w:r>
      <w:r>
        <w:rPr>
          <w:rFonts w:ascii="宋体" w:hAnsi="宋体" w:cs="宋体" w:eastAsia="宋体" w:hint="default"/>
          <w:sz w:val="22"/>
          <w:szCs w:val="22"/>
        </w:rPr>
        <w:t>11%</w:t>
      </w:r>
      <w:r>
        <w:rPr>
          <w:rFonts w:ascii="宋体" w:hAnsi="宋体" w:cs="宋体" w:eastAsia="宋体" w:hint="default"/>
          <w:sz w:val="22"/>
          <w:szCs w:val="22"/>
        </w:rPr>
        <w:t>调整为</w:t>
      </w:r>
      <w:r>
        <w:rPr>
          <w:rFonts w:ascii="宋体" w:hAnsi="宋体" w:cs="宋体" w:eastAsia="宋体" w:hint="default"/>
          <w:spacing w:val="-77"/>
          <w:sz w:val="22"/>
          <w:szCs w:val="22"/>
        </w:rPr>
        <w:t> </w:t>
      </w:r>
      <w:r>
        <w:rPr>
          <w:rFonts w:ascii="宋体" w:hAnsi="宋体" w:cs="宋体" w:eastAsia="宋体" w:hint="default"/>
          <w:sz w:val="22"/>
          <w:szCs w:val="22"/>
        </w:rPr>
        <w:t>10%</w:t>
      </w:r>
      <w:r>
        <w:rPr>
          <w:rFonts w:ascii="宋体" w:hAnsi="宋体" w:cs="宋体" w:eastAsia="宋体" w:hint="default"/>
          <w:sz w:val="22"/>
          <w:szCs w:val="22"/>
        </w:rPr>
        <w:t>。购买原材料等所支付的增值税进项税额可以抵</w:t>
      </w:r>
      <w:r>
        <w:rPr>
          <w:rFonts w:ascii="宋体" w:hAnsi="宋体" w:cs="宋体" w:eastAsia="宋体" w:hint="default"/>
          <w:w w:val="100"/>
          <w:sz w:val="22"/>
          <w:szCs w:val="22"/>
        </w:rPr>
        <w:t> </w:t>
      </w:r>
      <w:r>
        <w:rPr>
          <w:rFonts w:ascii="宋体" w:hAnsi="宋体" w:cs="宋体" w:eastAsia="宋体" w:hint="default"/>
          <w:sz w:val="22"/>
          <w:szCs w:val="22"/>
        </w:rPr>
        <w:t>扣销项税。</w:t>
      </w:r>
    </w:p>
    <w:p>
      <w:pPr>
        <w:spacing w:line="297" w:lineRule="auto" w:before="77"/>
        <w:ind w:left="222" w:right="215" w:firstLine="439"/>
        <w:jc w:val="both"/>
        <w:rPr>
          <w:rFonts w:ascii="宋体" w:hAnsi="宋体" w:cs="宋体" w:eastAsia="宋体" w:hint="default"/>
          <w:sz w:val="22"/>
          <w:szCs w:val="22"/>
        </w:rPr>
      </w:pPr>
      <w:r>
        <w:rPr>
          <w:rFonts w:ascii="宋体" w:hAnsi="宋体" w:cs="宋体" w:eastAsia="宋体" w:hint="default"/>
          <w:spacing w:val="-3"/>
          <w:sz w:val="22"/>
          <w:szCs w:val="22"/>
        </w:rPr>
        <w:t>根据财政部、国家税务总局《关于在全国开展交通运输业和部分现代服务业营业税改</w:t>
      </w:r>
      <w:r>
        <w:rPr>
          <w:rFonts w:ascii="宋体" w:hAnsi="宋体" w:cs="宋体" w:eastAsia="宋体" w:hint="default"/>
          <w:w w:val="100"/>
          <w:sz w:val="22"/>
          <w:szCs w:val="22"/>
        </w:rPr>
        <w:t> </w:t>
      </w:r>
      <w:r>
        <w:rPr>
          <w:rFonts w:ascii="宋体" w:hAnsi="宋体" w:cs="宋体" w:eastAsia="宋体" w:hint="default"/>
          <w:sz w:val="22"/>
          <w:szCs w:val="22"/>
        </w:rPr>
        <w:t>征增值税试点税收政策的通知》（财税</w:t>
      </w:r>
      <w:r>
        <w:rPr>
          <w:rFonts w:ascii="宋体" w:hAnsi="宋体" w:cs="宋体" w:eastAsia="宋体" w:hint="default"/>
          <w:sz w:val="22"/>
          <w:szCs w:val="22"/>
        </w:rPr>
        <w:t>[2013]37</w:t>
      </w:r>
      <w:r>
        <w:rPr>
          <w:rFonts w:ascii="宋体" w:hAnsi="宋体" w:cs="宋体" w:eastAsia="宋体" w:hint="default"/>
          <w:spacing w:val="31"/>
          <w:sz w:val="22"/>
          <w:szCs w:val="22"/>
        </w:rPr>
        <w:t> </w:t>
      </w:r>
      <w:r>
        <w:rPr>
          <w:rFonts w:ascii="宋体" w:hAnsi="宋体" w:cs="宋体" w:eastAsia="宋体" w:hint="default"/>
          <w:sz w:val="22"/>
          <w:szCs w:val="22"/>
        </w:rPr>
        <w:t>号）有关规定，本公司的研发和技术服</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务、信息技术服务、文化创意服务、鉴证咨询服务及其他现代服务业收入按</w:t>
      </w:r>
      <w:r>
        <w:rPr>
          <w:rFonts w:ascii="宋体" w:hAnsi="宋体" w:cs="宋体" w:eastAsia="宋体" w:hint="default"/>
          <w:spacing w:val="36"/>
          <w:sz w:val="22"/>
          <w:szCs w:val="22"/>
        </w:rPr>
        <w:t> </w:t>
      </w:r>
      <w:r>
        <w:rPr>
          <w:rFonts w:ascii="宋体" w:hAnsi="宋体" w:cs="宋体" w:eastAsia="宋体" w:hint="default"/>
          <w:sz w:val="22"/>
          <w:szCs w:val="22"/>
        </w:rPr>
        <w:t>6%</w:t>
      </w:r>
      <w:r>
        <w:rPr>
          <w:rFonts w:ascii="宋体" w:hAnsi="宋体" w:cs="宋体" w:eastAsia="宋体" w:hint="default"/>
          <w:sz w:val="22"/>
          <w:szCs w:val="22"/>
        </w:rPr>
        <w:t>计缴增值</w:t>
      </w:r>
      <w:r>
        <w:rPr>
          <w:rFonts w:ascii="宋体" w:hAnsi="宋体" w:cs="宋体" w:eastAsia="宋体" w:hint="default"/>
          <w:w w:val="100"/>
          <w:sz w:val="22"/>
          <w:szCs w:val="22"/>
        </w:rPr>
        <w:t> </w:t>
      </w:r>
      <w:r>
        <w:rPr>
          <w:rFonts w:ascii="宋体" w:hAnsi="宋体" w:cs="宋体" w:eastAsia="宋体" w:hint="default"/>
          <w:sz w:val="22"/>
          <w:szCs w:val="22"/>
        </w:rPr>
        <w:t>税。</w:t>
      </w:r>
    </w:p>
    <w:p>
      <w:pPr>
        <w:spacing w:line="297" w:lineRule="auto" w:before="74"/>
        <w:ind w:left="222" w:right="211" w:firstLine="439"/>
        <w:jc w:val="both"/>
        <w:rPr>
          <w:rFonts w:ascii="宋体" w:hAnsi="宋体" w:cs="宋体" w:eastAsia="宋体" w:hint="default"/>
          <w:sz w:val="22"/>
          <w:szCs w:val="22"/>
        </w:rPr>
      </w:pPr>
      <w:r>
        <w:rPr>
          <w:rFonts w:ascii="宋体" w:hAnsi="宋体" w:cs="宋体" w:eastAsia="宋体" w:hint="default"/>
          <w:spacing w:val="2"/>
          <w:sz w:val="22"/>
          <w:szCs w:val="22"/>
        </w:rPr>
        <w:t>根据财政部、国家税务总局《关于全面推开营业税改征增值税试点的通知》（财税</w:t>
      </w:r>
      <w:r>
        <w:rPr>
          <w:rFonts w:ascii="宋体" w:hAnsi="宋体" w:cs="宋体" w:eastAsia="宋体" w:hint="default"/>
          <w:w w:val="100"/>
          <w:sz w:val="22"/>
          <w:szCs w:val="22"/>
        </w:rPr>
        <w:t> </w:t>
      </w:r>
      <w:r>
        <w:rPr>
          <w:rFonts w:ascii="宋体" w:hAnsi="宋体" w:cs="宋体" w:eastAsia="宋体" w:hint="default"/>
          <w:sz w:val="22"/>
          <w:szCs w:val="22"/>
        </w:rPr>
        <w:t>[2016]36</w:t>
      </w:r>
      <w:r>
        <w:rPr>
          <w:rFonts w:ascii="宋体" w:hAnsi="宋体" w:cs="宋体" w:eastAsia="宋体" w:hint="default"/>
          <w:spacing w:val="-60"/>
          <w:sz w:val="22"/>
          <w:szCs w:val="22"/>
        </w:rPr>
        <w:t> </w:t>
      </w:r>
      <w:r>
        <w:rPr>
          <w:rFonts w:ascii="宋体" w:hAnsi="宋体" w:cs="宋体" w:eastAsia="宋体" w:hint="default"/>
          <w:sz w:val="22"/>
          <w:szCs w:val="22"/>
        </w:rPr>
        <w:t>号）有关规定，自</w:t>
      </w:r>
      <w:r>
        <w:rPr>
          <w:rFonts w:ascii="宋体" w:hAnsi="宋体" w:cs="宋体" w:eastAsia="宋体" w:hint="default"/>
          <w:spacing w:val="-57"/>
          <w:sz w:val="22"/>
          <w:szCs w:val="22"/>
        </w:rPr>
        <w:t> </w:t>
      </w:r>
      <w:r>
        <w:rPr>
          <w:rFonts w:ascii="宋体" w:hAnsi="宋体" w:cs="宋体" w:eastAsia="宋体" w:hint="default"/>
          <w:sz w:val="22"/>
          <w:szCs w:val="22"/>
        </w:rPr>
        <w:t>2016</w:t>
      </w:r>
      <w:r>
        <w:rPr>
          <w:rFonts w:ascii="宋体" w:hAnsi="宋体" w:cs="宋体" w:eastAsia="宋体" w:hint="default"/>
          <w:spacing w:val="-60"/>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5</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日起，本公司的建筑服务（主要为工程和安装</w:t>
      </w:r>
      <w:r>
        <w:rPr>
          <w:rFonts w:ascii="宋体" w:hAnsi="宋体" w:cs="宋体" w:eastAsia="宋体" w:hint="default"/>
          <w:w w:val="100"/>
          <w:sz w:val="22"/>
          <w:szCs w:val="22"/>
        </w:rPr>
        <w:t> </w:t>
      </w:r>
      <w:r>
        <w:rPr>
          <w:rFonts w:ascii="宋体" w:hAnsi="宋体" w:cs="宋体" w:eastAsia="宋体" w:hint="default"/>
          <w:spacing w:val="-3"/>
          <w:sz w:val="22"/>
          <w:szCs w:val="22"/>
        </w:rPr>
        <w:t>服务）收入、不动产租赁服务收入、不动产销售和土地使用权转让收入如如选用简易计税</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方法应分别按</w:t>
      </w:r>
      <w:r>
        <w:rPr>
          <w:rFonts w:ascii="宋体" w:hAnsi="宋体" w:cs="宋体" w:eastAsia="宋体" w:hint="default"/>
          <w:spacing w:val="-56"/>
          <w:sz w:val="22"/>
          <w:szCs w:val="22"/>
        </w:rPr>
        <w:t> </w:t>
      </w:r>
      <w:r>
        <w:rPr>
          <w:rFonts w:ascii="宋体" w:hAnsi="宋体" w:cs="宋体" w:eastAsia="宋体" w:hint="default"/>
          <w:sz w:val="22"/>
          <w:szCs w:val="22"/>
        </w:rPr>
        <w:t>3%</w:t>
      </w:r>
      <w:r>
        <w:rPr>
          <w:rFonts w:ascii="宋体" w:hAnsi="宋体" w:cs="宋体" w:eastAsia="宋体" w:hint="default"/>
          <w:sz w:val="22"/>
          <w:szCs w:val="22"/>
        </w:rPr>
        <w:t>和</w:t>
      </w:r>
      <w:r>
        <w:rPr>
          <w:rFonts w:ascii="宋体" w:hAnsi="宋体" w:cs="宋体" w:eastAsia="宋体" w:hint="default"/>
          <w:spacing w:val="-56"/>
          <w:sz w:val="22"/>
          <w:szCs w:val="22"/>
        </w:rPr>
        <w:t> </w:t>
      </w:r>
      <w:r>
        <w:rPr>
          <w:rFonts w:ascii="宋体" w:hAnsi="宋体" w:cs="宋体" w:eastAsia="宋体" w:hint="default"/>
          <w:sz w:val="22"/>
          <w:szCs w:val="22"/>
        </w:rPr>
        <w:t>5%</w:t>
      </w:r>
      <w:r>
        <w:rPr>
          <w:rFonts w:ascii="宋体" w:hAnsi="宋体" w:cs="宋体" w:eastAsia="宋体" w:hint="default"/>
          <w:sz w:val="22"/>
          <w:szCs w:val="22"/>
        </w:rPr>
        <w:t>计缴增值税；利息收入应按</w:t>
      </w:r>
      <w:r>
        <w:rPr>
          <w:rFonts w:ascii="宋体" w:hAnsi="宋体" w:cs="宋体" w:eastAsia="宋体" w:hint="default"/>
          <w:spacing w:val="-56"/>
          <w:sz w:val="22"/>
          <w:szCs w:val="22"/>
        </w:rPr>
        <w:t> </w:t>
      </w:r>
      <w:r>
        <w:rPr>
          <w:rFonts w:ascii="宋体" w:hAnsi="宋体" w:cs="宋体" w:eastAsia="宋体" w:hint="default"/>
          <w:sz w:val="22"/>
          <w:szCs w:val="22"/>
        </w:rPr>
        <w:t>6%</w:t>
      </w:r>
      <w:r>
        <w:rPr>
          <w:rFonts w:ascii="宋体" w:hAnsi="宋体" w:cs="宋体" w:eastAsia="宋体" w:hint="default"/>
          <w:sz w:val="22"/>
          <w:szCs w:val="22"/>
        </w:rPr>
        <w:t>计缴增值税。</w:t>
      </w:r>
    </w:p>
    <w:p>
      <w:pPr>
        <w:spacing w:line="295" w:lineRule="auto" w:before="77"/>
        <w:ind w:left="222" w:right="217" w:firstLine="439"/>
        <w:jc w:val="both"/>
        <w:rPr>
          <w:rFonts w:ascii="宋体" w:hAnsi="宋体" w:cs="宋体" w:eastAsia="宋体" w:hint="default"/>
          <w:sz w:val="22"/>
          <w:szCs w:val="22"/>
        </w:rPr>
      </w:pPr>
      <w:r>
        <w:rPr>
          <w:rFonts w:ascii="宋体" w:hAnsi="宋体" w:cs="宋体" w:eastAsia="宋体" w:hint="default"/>
          <w:spacing w:val="-3"/>
          <w:sz w:val="22"/>
          <w:szCs w:val="22"/>
        </w:rPr>
        <w:t>增值税应纳税额为当期销项税抵减当期进项税后的余额；为出口产品而支付的进项税</w:t>
      </w:r>
      <w:r>
        <w:rPr>
          <w:rFonts w:ascii="宋体" w:hAnsi="宋体" w:cs="宋体" w:eastAsia="宋体" w:hint="default"/>
          <w:w w:val="100"/>
          <w:sz w:val="22"/>
          <w:szCs w:val="22"/>
        </w:rPr>
        <w:t> </w:t>
      </w:r>
      <w:r>
        <w:rPr>
          <w:rFonts w:ascii="宋体" w:hAnsi="宋体" w:cs="宋体" w:eastAsia="宋体" w:hint="default"/>
          <w:sz w:val="22"/>
          <w:szCs w:val="22"/>
        </w:rPr>
        <w:t>可申请退税。</w:t>
      </w:r>
    </w:p>
    <w:p>
      <w:pPr>
        <w:tabs>
          <w:tab w:pos="1021" w:val="left" w:leader="none"/>
        </w:tabs>
        <w:spacing w:line="328" w:lineRule="auto" w:before="79"/>
        <w:ind w:left="661" w:right="104" w:hanging="36"/>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tab/>
      </w:r>
      <w:r>
        <w:rPr>
          <w:rFonts w:ascii="宋体" w:hAnsi="宋体" w:cs="宋体" w:eastAsia="宋体" w:hint="default"/>
          <w:sz w:val="22"/>
          <w:szCs w:val="22"/>
        </w:rPr>
        <w:t>城建税及教育费附加</w:t>
      </w:r>
      <w:r>
        <w:rPr>
          <w:rFonts w:ascii="宋体" w:hAnsi="宋体" w:cs="宋体" w:eastAsia="宋体" w:hint="default"/>
          <w:w w:val="100"/>
          <w:sz w:val="22"/>
          <w:szCs w:val="22"/>
        </w:rPr>
        <w:t> </w:t>
      </w:r>
      <w:r>
        <w:rPr>
          <w:rFonts w:ascii="宋体" w:hAnsi="宋体" w:cs="宋体" w:eastAsia="宋体" w:hint="default"/>
          <w:spacing w:val="-7"/>
          <w:w w:val="100"/>
          <w:sz w:val="22"/>
          <w:szCs w:val="22"/>
        </w:rPr>
        <w:t>本公司城建税、教育费附加均以应纳增值税为计税依据，适用税率分别为</w:t>
      </w:r>
      <w:r>
        <w:rPr>
          <w:rFonts w:ascii="宋体" w:hAnsi="宋体" w:cs="宋体" w:eastAsia="宋体" w:hint="default"/>
          <w:spacing w:val="-50"/>
          <w:w w:val="100"/>
          <w:sz w:val="22"/>
          <w:szCs w:val="22"/>
        </w:rPr>
        <w:t> </w:t>
      </w:r>
      <w:r>
        <w:rPr>
          <w:rFonts w:ascii="宋体" w:hAnsi="宋体" w:cs="宋体" w:eastAsia="宋体" w:hint="default"/>
          <w:spacing w:val="-1"/>
          <w:w w:val="100"/>
          <w:sz w:val="22"/>
          <w:szCs w:val="22"/>
        </w:rPr>
        <w:t>1%-7%</w:t>
      </w:r>
      <w:r>
        <w:rPr>
          <w:rFonts w:ascii="宋体" w:hAnsi="宋体" w:cs="宋体" w:eastAsia="宋体" w:hint="default"/>
          <w:spacing w:val="-1"/>
          <w:w w:val="100"/>
          <w:sz w:val="22"/>
          <w:szCs w:val="22"/>
        </w:rPr>
        <w:t>和</w:t>
      </w:r>
      <w:r>
        <w:rPr>
          <w:rFonts w:ascii="宋体" w:hAnsi="宋体" w:cs="宋体" w:eastAsia="宋体" w:hint="default"/>
          <w:spacing w:val="-49"/>
          <w:w w:val="100"/>
          <w:sz w:val="22"/>
          <w:szCs w:val="22"/>
        </w:rPr>
        <w:t> </w:t>
      </w:r>
      <w:r>
        <w:rPr>
          <w:rFonts w:ascii="宋体" w:hAnsi="宋体" w:cs="宋体" w:eastAsia="宋体" w:hint="default"/>
          <w:w w:val="100"/>
          <w:sz w:val="22"/>
          <w:szCs w:val="22"/>
        </w:rPr>
        <w:t>3%</w:t>
      </w:r>
      <w:r>
        <w:rPr>
          <w:rFonts w:ascii="宋体" w:hAnsi="宋体" w:cs="宋体" w:eastAsia="宋体" w:hint="default"/>
          <w:w w:val="100"/>
          <w:sz w:val="22"/>
          <w:szCs w:val="22"/>
        </w:rPr>
        <w:t>，</w:t>
      </w:r>
    </w:p>
    <w:p>
      <w:pPr>
        <w:spacing w:line="274" w:lineRule="exact" w:before="0"/>
        <w:ind w:left="222" w:right="0" w:firstLine="0"/>
        <w:jc w:val="both"/>
        <w:rPr>
          <w:rFonts w:ascii="宋体" w:hAnsi="宋体" w:cs="宋体" w:eastAsia="宋体" w:hint="default"/>
          <w:sz w:val="22"/>
          <w:szCs w:val="22"/>
        </w:rPr>
      </w:pPr>
      <w:r>
        <w:rPr>
          <w:rFonts w:ascii="宋体" w:hAnsi="宋体" w:cs="宋体" w:eastAsia="宋体" w:hint="default"/>
          <w:sz w:val="22"/>
          <w:szCs w:val="22"/>
        </w:rPr>
        <w:t>地方教育费附加税率为</w:t>
      </w:r>
      <w:r>
        <w:rPr>
          <w:rFonts w:ascii="宋体" w:hAnsi="宋体" w:cs="宋体" w:eastAsia="宋体" w:hint="default"/>
          <w:spacing w:val="-57"/>
          <w:sz w:val="22"/>
          <w:szCs w:val="22"/>
        </w:rPr>
        <w:t> </w:t>
      </w:r>
      <w:r>
        <w:rPr>
          <w:rFonts w:ascii="宋体" w:hAnsi="宋体" w:cs="宋体" w:eastAsia="宋体" w:hint="default"/>
          <w:sz w:val="22"/>
          <w:szCs w:val="22"/>
        </w:rPr>
        <w:t>2%</w:t>
      </w:r>
      <w:r>
        <w:rPr>
          <w:rFonts w:ascii="宋体" w:hAnsi="宋体" w:cs="宋体" w:eastAsia="宋体" w:hint="default"/>
          <w:sz w:val="22"/>
          <w:szCs w:val="22"/>
        </w:rPr>
        <w:t>。</w:t>
      </w:r>
    </w:p>
    <w:p>
      <w:pPr>
        <w:tabs>
          <w:tab w:pos="1021" w:val="left" w:leader="none"/>
        </w:tabs>
        <w:spacing w:before="129"/>
        <w:ind w:left="62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tab/>
      </w:r>
      <w:r>
        <w:rPr>
          <w:rFonts w:ascii="宋体" w:hAnsi="宋体" w:cs="宋体" w:eastAsia="宋体" w:hint="default"/>
          <w:sz w:val="22"/>
          <w:szCs w:val="22"/>
        </w:rPr>
        <w:t>房产税</w:t>
      </w:r>
    </w:p>
    <w:p>
      <w:pPr>
        <w:spacing w:line="348" w:lineRule="auto" w:before="110"/>
        <w:ind w:left="661" w:right="1233" w:firstLine="0"/>
        <w:jc w:val="left"/>
        <w:rPr>
          <w:rFonts w:ascii="宋体" w:hAnsi="宋体" w:cs="宋体" w:eastAsia="宋体" w:hint="default"/>
          <w:sz w:val="22"/>
          <w:szCs w:val="22"/>
        </w:rPr>
      </w:pPr>
      <w:r>
        <w:rPr>
          <w:rFonts w:ascii="宋体" w:hAnsi="宋体" w:cs="宋体" w:eastAsia="宋体" w:hint="default"/>
          <w:sz w:val="22"/>
          <w:szCs w:val="22"/>
        </w:rPr>
        <w:t>公司自用房产以房产原值的</w:t>
      </w:r>
      <w:r>
        <w:rPr>
          <w:rFonts w:ascii="宋体" w:hAnsi="宋体" w:cs="宋体" w:eastAsia="宋体" w:hint="default"/>
          <w:spacing w:val="-58"/>
          <w:sz w:val="22"/>
          <w:szCs w:val="22"/>
        </w:rPr>
        <w:t> </w:t>
      </w:r>
      <w:r>
        <w:rPr>
          <w:rFonts w:ascii="宋体" w:hAnsi="宋体" w:cs="宋体" w:eastAsia="宋体" w:hint="default"/>
          <w:sz w:val="22"/>
          <w:szCs w:val="22"/>
        </w:rPr>
        <w:t>70%</w:t>
      </w:r>
      <w:r>
        <w:rPr>
          <w:rFonts w:ascii="宋体" w:hAnsi="宋体" w:cs="宋体" w:eastAsia="宋体" w:hint="default"/>
          <w:sz w:val="22"/>
          <w:szCs w:val="22"/>
        </w:rPr>
        <w:t>为计税依据，按</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z w:val="22"/>
          <w:szCs w:val="22"/>
        </w:rPr>
        <w:t>的税率计缴房产税。</w:t>
      </w:r>
      <w:r>
        <w:rPr>
          <w:rFonts w:ascii="宋体" w:hAnsi="宋体" w:cs="宋体" w:eastAsia="宋体" w:hint="default"/>
          <w:w w:val="100"/>
          <w:sz w:val="22"/>
          <w:szCs w:val="22"/>
        </w:rPr>
        <w:t> </w:t>
      </w:r>
      <w:r>
        <w:rPr>
          <w:rFonts w:ascii="宋体" w:hAnsi="宋体" w:cs="宋体" w:eastAsia="宋体" w:hint="default"/>
          <w:sz w:val="22"/>
          <w:szCs w:val="22"/>
        </w:rPr>
        <w:t>公司出租房产以租金为计税依据，按</w:t>
      </w:r>
      <w:r>
        <w:rPr>
          <w:rFonts w:ascii="宋体" w:hAnsi="宋体" w:cs="宋体" w:eastAsia="宋体" w:hint="default"/>
          <w:spacing w:val="-60"/>
          <w:sz w:val="22"/>
          <w:szCs w:val="22"/>
        </w:rPr>
        <w:t> </w:t>
      </w:r>
      <w:r>
        <w:rPr>
          <w:rFonts w:ascii="宋体" w:hAnsi="宋体" w:cs="宋体" w:eastAsia="宋体" w:hint="default"/>
          <w:sz w:val="22"/>
          <w:szCs w:val="22"/>
        </w:rPr>
        <w:t>12%</w:t>
      </w:r>
      <w:r>
        <w:rPr>
          <w:rFonts w:ascii="宋体" w:hAnsi="宋体" w:cs="宋体" w:eastAsia="宋体" w:hint="default"/>
          <w:sz w:val="22"/>
          <w:szCs w:val="22"/>
        </w:rPr>
        <w:t>的税率计缴房产税。</w:t>
      </w:r>
    </w:p>
    <w:p>
      <w:pPr>
        <w:tabs>
          <w:tab w:pos="1021" w:val="left" w:leader="none"/>
        </w:tabs>
        <w:spacing w:line="326" w:lineRule="auto" w:before="30"/>
        <w:ind w:left="661" w:right="4104" w:hanging="36"/>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w:t>
        <w:tab/>
      </w:r>
      <w:r>
        <w:rPr>
          <w:rFonts w:ascii="宋体" w:hAnsi="宋体" w:cs="宋体" w:eastAsia="宋体" w:hint="default"/>
          <w:sz w:val="22"/>
          <w:szCs w:val="22"/>
        </w:rPr>
        <w:t>其他税项</w:t>
      </w:r>
      <w:r>
        <w:rPr>
          <w:rFonts w:ascii="宋体" w:hAnsi="宋体" w:cs="宋体" w:eastAsia="宋体" w:hint="default"/>
          <w:spacing w:val="-107"/>
          <w:sz w:val="22"/>
          <w:szCs w:val="22"/>
        </w:rPr>
        <w:t> </w:t>
      </w:r>
      <w:r>
        <w:rPr>
          <w:rFonts w:ascii="宋体" w:hAnsi="宋体" w:cs="宋体" w:eastAsia="宋体" w:hint="default"/>
          <w:spacing w:val="-1"/>
          <w:sz w:val="22"/>
          <w:szCs w:val="22"/>
        </w:rPr>
        <w:t>公司的其他税项按国家有关规定计算缴纳。</w:t>
      </w:r>
    </w:p>
    <w:p>
      <w:pPr>
        <w:spacing w:before="55"/>
        <w:ind w:left="222" w:right="0" w:firstLine="0"/>
        <w:jc w:val="both"/>
        <w:rPr>
          <w:rFonts w:ascii="宋体" w:hAnsi="宋体" w:cs="宋体" w:eastAsia="宋体" w:hint="default"/>
          <w:sz w:val="21"/>
          <w:szCs w:val="21"/>
        </w:rPr>
      </w:pPr>
      <w:r>
        <w:rPr>
          <w:rFonts w:ascii="宋体" w:hAnsi="宋体" w:cs="宋体" w:eastAsia="宋体" w:hint="default"/>
          <w:b/>
          <w:bCs/>
          <w:sz w:val="21"/>
          <w:szCs w:val="21"/>
        </w:rPr>
        <w:t>六、合并财务报表主要项目注释</w:t>
      </w:r>
      <w:r>
        <w:rPr>
          <w:rFonts w:ascii="宋体" w:hAnsi="宋体" w:cs="宋体" w:eastAsia="宋体" w:hint="default"/>
          <w:sz w:val="21"/>
          <w:szCs w:val="21"/>
        </w:rPr>
      </w:r>
    </w:p>
    <w:p>
      <w:pPr>
        <w:spacing w:before="52"/>
        <w:ind w:left="661" w:right="106" w:firstLine="0"/>
        <w:jc w:val="left"/>
        <w:rPr>
          <w:rFonts w:ascii="宋体" w:hAnsi="宋体" w:cs="宋体" w:eastAsia="宋体" w:hint="default"/>
          <w:sz w:val="22"/>
          <w:szCs w:val="22"/>
        </w:rPr>
      </w:pPr>
      <w:r>
        <w:rPr>
          <w:rFonts w:ascii="宋体" w:hAnsi="宋体" w:cs="宋体" w:eastAsia="宋体" w:hint="default"/>
          <w:spacing w:val="-6"/>
          <w:sz w:val="22"/>
          <w:szCs w:val="22"/>
        </w:rPr>
        <w:t>下列所披露的财务报表数据，除特别注明之外，“年初”系指</w:t>
      </w:r>
      <w:r>
        <w:rPr>
          <w:rFonts w:ascii="宋体" w:hAnsi="宋体" w:cs="宋体" w:eastAsia="宋体" w:hint="default"/>
          <w:spacing w:val="-48"/>
          <w:sz w:val="22"/>
          <w:szCs w:val="22"/>
        </w:rPr>
        <w:t> </w:t>
      </w:r>
      <w:r>
        <w:rPr>
          <w:rFonts w:ascii="宋体" w:hAnsi="宋体" w:cs="宋体" w:eastAsia="宋体" w:hint="default"/>
          <w:sz w:val="22"/>
          <w:szCs w:val="22"/>
        </w:rPr>
        <w:t>2018</w:t>
      </w:r>
      <w:r>
        <w:rPr>
          <w:rFonts w:ascii="宋体" w:hAnsi="宋体" w:cs="宋体" w:eastAsia="宋体" w:hint="default"/>
          <w:spacing w:val="-50"/>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宋体" w:hAnsi="宋体" w:cs="宋体" w:eastAsia="宋体" w:hint="default"/>
          <w:sz w:val="22"/>
          <w:szCs w:val="22"/>
        </w:rPr>
        <w:t>1</w:t>
      </w:r>
      <w:r>
        <w:rPr>
          <w:rFonts w:ascii="宋体" w:hAnsi="宋体" w:cs="宋体" w:eastAsia="宋体" w:hint="default"/>
          <w:spacing w:val="-51"/>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宋体" w:hAnsi="宋体" w:cs="宋体" w:eastAsia="宋体" w:hint="default"/>
          <w:sz w:val="22"/>
          <w:szCs w:val="22"/>
        </w:rPr>
        <w:t>1</w:t>
      </w:r>
      <w:r>
        <w:rPr>
          <w:rFonts w:ascii="宋体" w:hAnsi="宋体" w:cs="宋体" w:eastAsia="宋体" w:hint="default"/>
          <w:spacing w:val="-48"/>
          <w:sz w:val="22"/>
          <w:szCs w:val="22"/>
        </w:rPr>
        <w:t> </w:t>
      </w:r>
      <w:r>
        <w:rPr>
          <w:rFonts w:ascii="宋体" w:hAnsi="宋体" w:cs="宋体" w:eastAsia="宋体" w:hint="default"/>
          <w:spacing w:val="-16"/>
          <w:sz w:val="22"/>
          <w:szCs w:val="22"/>
        </w:rPr>
        <w:t>日，“年</w:t>
      </w:r>
    </w:p>
    <w:p>
      <w:pPr>
        <w:spacing w:before="69"/>
        <w:ind w:left="222" w:right="0" w:firstLine="0"/>
        <w:jc w:val="both"/>
        <w:rPr>
          <w:rFonts w:ascii="宋体" w:hAnsi="宋体" w:cs="宋体" w:eastAsia="宋体" w:hint="default"/>
          <w:sz w:val="22"/>
          <w:szCs w:val="22"/>
        </w:rPr>
      </w:pPr>
      <w:r>
        <w:rPr>
          <w:rFonts w:ascii="宋体" w:hAnsi="宋体" w:cs="宋体" w:eastAsia="宋体" w:hint="default"/>
          <w:w w:val="100"/>
          <w:sz w:val="22"/>
          <w:szCs w:val="22"/>
        </w:rPr>
        <w:t>末</w:t>
      </w:r>
      <w:r>
        <w:rPr>
          <w:rFonts w:ascii="宋体" w:hAnsi="宋体" w:cs="宋体" w:eastAsia="宋体" w:hint="default"/>
          <w:spacing w:val="-1"/>
          <w:w w:val="100"/>
          <w:sz w:val="22"/>
          <w:szCs w:val="22"/>
        </w:rPr>
        <w:t>”</w:t>
      </w:r>
      <w:r>
        <w:rPr>
          <w:rFonts w:ascii="宋体" w:hAnsi="宋体" w:cs="宋体" w:eastAsia="宋体" w:hint="default"/>
          <w:w w:val="100"/>
          <w:sz w:val="22"/>
          <w:szCs w:val="22"/>
        </w:rPr>
        <w:t>系指</w:t>
      </w:r>
      <w:r>
        <w:rPr>
          <w:rFonts w:ascii="宋体" w:hAnsi="宋体" w:cs="宋体" w:eastAsia="宋体" w:hint="default"/>
          <w:spacing w:val="-58"/>
          <w:sz w:val="22"/>
          <w:szCs w:val="22"/>
        </w:rPr>
        <w:t> </w:t>
      </w:r>
      <w:r>
        <w:rPr>
          <w:rFonts w:ascii="宋体" w:hAnsi="宋体" w:cs="宋体" w:eastAsia="宋体" w:hint="default"/>
          <w:w w:val="100"/>
          <w:sz w:val="22"/>
          <w:szCs w:val="22"/>
        </w:rPr>
        <w:t>2018</w:t>
      </w:r>
      <w:r>
        <w:rPr>
          <w:rFonts w:ascii="宋体" w:hAnsi="宋体" w:cs="宋体" w:eastAsia="宋体" w:hint="default"/>
          <w:spacing w:val="-58"/>
          <w:sz w:val="22"/>
          <w:szCs w:val="22"/>
        </w:rPr>
        <w:t> </w:t>
      </w:r>
      <w:r>
        <w:rPr>
          <w:rFonts w:ascii="宋体" w:hAnsi="宋体" w:cs="宋体" w:eastAsia="宋体" w:hint="default"/>
          <w:w w:val="100"/>
          <w:sz w:val="22"/>
          <w:szCs w:val="22"/>
        </w:rPr>
        <w:t>年</w:t>
      </w:r>
      <w:r>
        <w:rPr>
          <w:rFonts w:ascii="宋体" w:hAnsi="宋体" w:cs="宋体" w:eastAsia="宋体" w:hint="default"/>
          <w:spacing w:val="-55"/>
          <w:sz w:val="22"/>
          <w:szCs w:val="22"/>
        </w:rPr>
        <w:t> </w:t>
      </w:r>
      <w:r>
        <w:rPr>
          <w:rFonts w:ascii="宋体" w:hAnsi="宋体" w:cs="宋体" w:eastAsia="宋体" w:hint="default"/>
          <w:w w:val="100"/>
          <w:sz w:val="22"/>
          <w:szCs w:val="22"/>
        </w:rPr>
        <w:t>12</w:t>
      </w:r>
      <w:r>
        <w:rPr>
          <w:rFonts w:ascii="宋体" w:hAnsi="宋体" w:cs="宋体" w:eastAsia="宋体" w:hint="default"/>
          <w:spacing w:val="-55"/>
          <w:sz w:val="22"/>
          <w:szCs w:val="22"/>
        </w:rPr>
        <w:t> </w:t>
      </w:r>
      <w:r>
        <w:rPr>
          <w:rFonts w:ascii="宋体" w:hAnsi="宋体" w:cs="宋体" w:eastAsia="宋体" w:hint="default"/>
          <w:w w:val="100"/>
          <w:sz w:val="22"/>
          <w:szCs w:val="22"/>
        </w:rPr>
        <w:t>月</w:t>
      </w:r>
      <w:r>
        <w:rPr>
          <w:rFonts w:ascii="宋体" w:hAnsi="宋体" w:cs="宋体" w:eastAsia="宋体" w:hint="default"/>
          <w:spacing w:val="-58"/>
          <w:sz w:val="22"/>
          <w:szCs w:val="22"/>
        </w:rPr>
        <w:t> </w:t>
      </w:r>
      <w:r>
        <w:rPr>
          <w:rFonts w:ascii="宋体" w:hAnsi="宋体" w:cs="宋体" w:eastAsia="宋体" w:hint="default"/>
          <w:spacing w:val="-3"/>
          <w:w w:val="100"/>
          <w:sz w:val="22"/>
          <w:szCs w:val="22"/>
        </w:rPr>
        <w:t>3</w:t>
      </w:r>
      <w:r>
        <w:rPr>
          <w:rFonts w:ascii="宋体" w:hAnsi="宋体" w:cs="宋体" w:eastAsia="宋体" w:hint="default"/>
          <w:w w:val="100"/>
          <w:sz w:val="22"/>
          <w:szCs w:val="22"/>
        </w:rPr>
        <w:t>1</w:t>
      </w:r>
      <w:r>
        <w:rPr>
          <w:rFonts w:ascii="宋体" w:hAnsi="宋体" w:cs="宋体" w:eastAsia="宋体" w:hint="default"/>
          <w:spacing w:val="-55"/>
          <w:sz w:val="22"/>
          <w:szCs w:val="22"/>
        </w:rPr>
        <w:t> </w:t>
      </w:r>
      <w:r>
        <w:rPr>
          <w:rFonts w:ascii="宋体" w:hAnsi="宋体" w:cs="宋体" w:eastAsia="宋体" w:hint="default"/>
          <w:w w:val="100"/>
          <w:sz w:val="22"/>
          <w:szCs w:val="22"/>
        </w:rPr>
        <w:t>日</w:t>
      </w:r>
      <w:r>
        <w:rPr>
          <w:rFonts w:ascii="宋体" w:hAnsi="宋体" w:cs="宋体" w:eastAsia="宋体" w:hint="default"/>
          <w:spacing w:val="-92"/>
          <w:w w:val="100"/>
          <w:sz w:val="22"/>
          <w:szCs w:val="22"/>
        </w:rPr>
        <w:t>，</w:t>
      </w:r>
      <w:r>
        <w:rPr>
          <w:rFonts w:ascii="宋体" w:hAnsi="宋体" w:cs="宋体" w:eastAsia="宋体" w:hint="default"/>
          <w:spacing w:val="-3"/>
          <w:w w:val="100"/>
          <w:sz w:val="22"/>
          <w:szCs w:val="22"/>
        </w:rPr>
        <w:t>“</w:t>
      </w:r>
      <w:r>
        <w:rPr>
          <w:rFonts w:ascii="宋体" w:hAnsi="宋体" w:cs="宋体" w:eastAsia="宋体" w:hint="default"/>
          <w:w w:val="100"/>
          <w:sz w:val="22"/>
          <w:szCs w:val="22"/>
        </w:rPr>
        <w:t>本年</w:t>
      </w:r>
      <w:r>
        <w:rPr>
          <w:rFonts w:ascii="宋体" w:hAnsi="宋体" w:cs="宋体" w:eastAsia="宋体" w:hint="default"/>
          <w:spacing w:val="-3"/>
          <w:w w:val="100"/>
          <w:sz w:val="22"/>
          <w:szCs w:val="22"/>
        </w:rPr>
        <w:t>”</w:t>
      </w:r>
      <w:r>
        <w:rPr>
          <w:rFonts w:ascii="宋体" w:hAnsi="宋体" w:cs="宋体" w:eastAsia="宋体" w:hint="default"/>
          <w:w w:val="100"/>
          <w:sz w:val="22"/>
          <w:szCs w:val="22"/>
        </w:rPr>
        <w:t>系指</w:t>
      </w:r>
      <w:r>
        <w:rPr>
          <w:rFonts w:ascii="宋体" w:hAnsi="宋体" w:cs="宋体" w:eastAsia="宋体" w:hint="default"/>
          <w:spacing w:val="-55"/>
          <w:sz w:val="22"/>
          <w:szCs w:val="22"/>
        </w:rPr>
        <w:t> </w:t>
      </w:r>
      <w:r>
        <w:rPr>
          <w:rFonts w:ascii="宋体" w:hAnsi="宋体" w:cs="宋体" w:eastAsia="宋体" w:hint="default"/>
          <w:w w:val="100"/>
          <w:sz w:val="22"/>
          <w:szCs w:val="22"/>
        </w:rPr>
        <w:t>2</w:t>
      </w:r>
      <w:r>
        <w:rPr>
          <w:rFonts w:ascii="宋体" w:hAnsi="宋体" w:cs="宋体" w:eastAsia="宋体" w:hint="default"/>
          <w:spacing w:val="-3"/>
          <w:w w:val="100"/>
          <w:sz w:val="22"/>
          <w:szCs w:val="22"/>
        </w:rPr>
        <w:t>0</w:t>
      </w:r>
      <w:r>
        <w:rPr>
          <w:rFonts w:ascii="宋体" w:hAnsi="宋体" w:cs="宋体" w:eastAsia="宋体" w:hint="default"/>
          <w:w w:val="100"/>
          <w:sz w:val="22"/>
          <w:szCs w:val="22"/>
        </w:rPr>
        <w:t>18</w:t>
      </w:r>
      <w:r>
        <w:rPr>
          <w:rFonts w:ascii="宋体" w:hAnsi="宋体" w:cs="宋体" w:eastAsia="宋体" w:hint="default"/>
          <w:spacing w:val="-57"/>
          <w:sz w:val="22"/>
          <w:szCs w:val="22"/>
        </w:rPr>
        <w:t> </w:t>
      </w:r>
      <w:r>
        <w:rPr>
          <w:rFonts w:ascii="宋体" w:hAnsi="宋体" w:cs="宋体" w:eastAsia="宋体" w:hint="default"/>
          <w:w w:val="100"/>
          <w:sz w:val="22"/>
          <w:szCs w:val="22"/>
        </w:rPr>
        <w:t>年</w:t>
      </w:r>
      <w:r>
        <w:rPr>
          <w:rFonts w:ascii="宋体" w:hAnsi="宋体" w:cs="宋体" w:eastAsia="宋体" w:hint="default"/>
          <w:spacing w:val="-55"/>
          <w:sz w:val="22"/>
          <w:szCs w:val="22"/>
        </w:rPr>
        <w:t> </w:t>
      </w:r>
      <w:r>
        <w:rPr>
          <w:rFonts w:ascii="宋体" w:hAnsi="宋体" w:cs="宋体" w:eastAsia="宋体" w:hint="default"/>
          <w:w w:val="100"/>
          <w:sz w:val="22"/>
          <w:szCs w:val="22"/>
        </w:rPr>
        <w:t>1</w:t>
      </w:r>
      <w:r>
        <w:rPr>
          <w:rFonts w:ascii="宋体" w:hAnsi="宋体" w:cs="宋体" w:eastAsia="宋体" w:hint="default"/>
          <w:spacing w:val="-55"/>
          <w:sz w:val="22"/>
          <w:szCs w:val="22"/>
        </w:rPr>
        <w:t> </w:t>
      </w:r>
      <w:r>
        <w:rPr>
          <w:rFonts w:ascii="宋体" w:hAnsi="宋体" w:cs="宋体" w:eastAsia="宋体" w:hint="default"/>
          <w:w w:val="100"/>
          <w:sz w:val="22"/>
          <w:szCs w:val="22"/>
        </w:rPr>
        <w:t>月</w:t>
      </w:r>
      <w:r>
        <w:rPr>
          <w:rFonts w:ascii="宋体" w:hAnsi="宋体" w:cs="宋体" w:eastAsia="宋体" w:hint="default"/>
          <w:spacing w:val="-55"/>
          <w:sz w:val="22"/>
          <w:szCs w:val="22"/>
        </w:rPr>
        <w:t> </w:t>
      </w:r>
      <w:r>
        <w:rPr>
          <w:rFonts w:ascii="宋体" w:hAnsi="宋体" w:cs="宋体" w:eastAsia="宋体" w:hint="default"/>
          <w:w w:val="100"/>
          <w:sz w:val="22"/>
          <w:szCs w:val="22"/>
        </w:rPr>
        <w:t>1</w:t>
      </w:r>
      <w:r>
        <w:rPr>
          <w:rFonts w:ascii="宋体" w:hAnsi="宋体" w:cs="宋体" w:eastAsia="宋体" w:hint="default"/>
          <w:spacing w:val="-58"/>
          <w:sz w:val="22"/>
          <w:szCs w:val="22"/>
        </w:rPr>
        <w:t> </w:t>
      </w:r>
      <w:r>
        <w:rPr>
          <w:rFonts w:ascii="宋体" w:hAnsi="宋体" w:cs="宋体" w:eastAsia="宋体" w:hint="default"/>
          <w:w w:val="100"/>
          <w:sz w:val="22"/>
          <w:szCs w:val="22"/>
        </w:rPr>
        <w:t>日至</w:t>
      </w:r>
      <w:r>
        <w:rPr>
          <w:rFonts w:ascii="宋体" w:hAnsi="宋体" w:cs="宋体" w:eastAsia="宋体" w:hint="default"/>
          <w:spacing w:val="-55"/>
          <w:sz w:val="22"/>
          <w:szCs w:val="22"/>
        </w:rPr>
        <w:t> </w:t>
      </w:r>
      <w:r>
        <w:rPr>
          <w:rFonts w:ascii="宋体" w:hAnsi="宋体" w:cs="宋体" w:eastAsia="宋体" w:hint="default"/>
          <w:w w:val="100"/>
          <w:sz w:val="22"/>
          <w:szCs w:val="22"/>
        </w:rPr>
        <w:t>12</w:t>
      </w:r>
      <w:r>
        <w:rPr>
          <w:rFonts w:ascii="宋体" w:hAnsi="宋体" w:cs="宋体" w:eastAsia="宋体" w:hint="default"/>
          <w:spacing w:val="-58"/>
          <w:sz w:val="22"/>
          <w:szCs w:val="22"/>
        </w:rPr>
        <w:t> </w:t>
      </w:r>
      <w:r>
        <w:rPr>
          <w:rFonts w:ascii="宋体" w:hAnsi="宋体" w:cs="宋体" w:eastAsia="宋体" w:hint="default"/>
          <w:w w:val="100"/>
          <w:sz w:val="22"/>
          <w:szCs w:val="22"/>
        </w:rPr>
        <w:t>月</w:t>
      </w:r>
      <w:r>
        <w:rPr>
          <w:rFonts w:ascii="宋体" w:hAnsi="宋体" w:cs="宋体" w:eastAsia="宋体" w:hint="default"/>
          <w:spacing w:val="-55"/>
          <w:sz w:val="22"/>
          <w:szCs w:val="22"/>
        </w:rPr>
        <w:t> </w:t>
      </w:r>
      <w:r>
        <w:rPr>
          <w:rFonts w:ascii="宋体" w:hAnsi="宋体" w:cs="宋体" w:eastAsia="宋体" w:hint="default"/>
          <w:w w:val="100"/>
          <w:sz w:val="22"/>
          <w:szCs w:val="22"/>
        </w:rPr>
        <w:t>31</w:t>
      </w:r>
      <w:r>
        <w:rPr>
          <w:rFonts w:ascii="宋体" w:hAnsi="宋体" w:cs="宋体" w:eastAsia="宋体" w:hint="default"/>
          <w:spacing w:val="-58"/>
          <w:sz w:val="22"/>
          <w:szCs w:val="22"/>
        </w:rPr>
        <w:t> </w:t>
      </w:r>
      <w:r>
        <w:rPr>
          <w:rFonts w:ascii="宋体" w:hAnsi="宋体" w:cs="宋体" w:eastAsia="宋体" w:hint="default"/>
          <w:spacing w:val="-3"/>
          <w:w w:val="100"/>
          <w:sz w:val="22"/>
          <w:szCs w:val="22"/>
        </w:rPr>
        <w:t>日</w:t>
      </w:r>
      <w:r>
        <w:rPr>
          <w:rFonts w:ascii="宋体" w:hAnsi="宋体" w:cs="宋体" w:eastAsia="宋体" w:hint="default"/>
          <w:spacing w:val="-92"/>
          <w:w w:val="100"/>
          <w:sz w:val="22"/>
          <w:szCs w:val="22"/>
        </w:rPr>
        <w:t>，</w:t>
      </w:r>
      <w:r>
        <w:rPr>
          <w:rFonts w:ascii="宋体" w:hAnsi="宋体" w:cs="宋体" w:eastAsia="宋体" w:hint="default"/>
          <w:w w:val="100"/>
          <w:sz w:val="22"/>
          <w:szCs w:val="22"/>
        </w:rPr>
        <w:t>“上</w:t>
      </w:r>
      <w:r>
        <w:rPr>
          <w:rFonts w:ascii="宋体" w:hAnsi="宋体" w:cs="宋体" w:eastAsia="宋体" w:hint="default"/>
          <w:spacing w:val="-3"/>
          <w:w w:val="100"/>
          <w:sz w:val="22"/>
          <w:szCs w:val="22"/>
        </w:rPr>
        <w:t>年</w:t>
      </w:r>
      <w:r>
        <w:rPr>
          <w:rFonts w:ascii="宋体" w:hAnsi="宋体" w:cs="宋体" w:eastAsia="宋体" w:hint="default"/>
          <w:w w:val="100"/>
          <w:sz w:val="22"/>
          <w:szCs w:val="22"/>
        </w:rPr>
        <w:t>”</w:t>
      </w:r>
      <w:r>
        <w:rPr>
          <w:rFonts w:ascii="宋体" w:hAnsi="宋体" w:cs="宋体" w:eastAsia="宋体" w:hint="default"/>
          <w:sz w:val="22"/>
          <w:szCs w:val="22"/>
        </w:rPr>
        <w:t> </w:t>
      </w:r>
      <w:r>
        <w:rPr>
          <w:rFonts w:ascii="宋体" w:hAnsi="宋体" w:cs="宋体" w:eastAsia="宋体" w:hint="default"/>
          <w:w w:val="100"/>
          <w:sz w:val="22"/>
          <w:szCs w:val="22"/>
        </w:rPr>
        <w:t>系</w:t>
      </w:r>
    </w:p>
    <w:p>
      <w:pPr>
        <w:spacing w:before="67"/>
        <w:ind w:left="222" w:right="0" w:firstLine="0"/>
        <w:jc w:val="both"/>
        <w:rPr>
          <w:rFonts w:ascii="宋体" w:hAnsi="宋体" w:cs="宋体" w:eastAsia="宋体" w:hint="default"/>
          <w:sz w:val="22"/>
          <w:szCs w:val="22"/>
        </w:rPr>
      </w:pPr>
      <w:r>
        <w:rPr>
          <w:rFonts w:ascii="宋体" w:hAnsi="宋体" w:cs="宋体" w:eastAsia="宋体" w:hint="default"/>
          <w:sz w:val="22"/>
          <w:szCs w:val="22"/>
        </w:rPr>
        <w:t>指</w:t>
      </w:r>
      <w:r>
        <w:rPr>
          <w:rFonts w:ascii="宋体" w:hAnsi="宋体" w:cs="宋体" w:eastAsia="宋体" w:hint="default"/>
          <w:spacing w:val="-55"/>
          <w:sz w:val="22"/>
          <w:szCs w:val="22"/>
        </w:rPr>
        <w:t> </w:t>
      </w:r>
      <w:r>
        <w:rPr>
          <w:rFonts w:ascii="宋体" w:hAnsi="宋体" w:cs="宋体" w:eastAsia="宋体" w:hint="default"/>
          <w:sz w:val="22"/>
          <w:szCs w:val="22"/>
        </w:rPr>
        <w:t>2017</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8"/>
          <w:sz w:val="22"/>
          <w:szCs w:val="22"/>
        </w:rPr>
        <w:t> </w:t>
      </w:r>
      <w:r>
        <w:rPr>
          <w:rFonts w:ascii="宋体" w:hAnsi="宋体" w:cs="宋体" w:eastAsia="宋体" w:hint="default"/>
          <w:sz w:val="22"/>
          <w:szCs w:val="22"/>
        </w:rPr>
        <w:t>日至</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z w:val="22"/>
          <w:szCs w:val="22"/>
        </w:rPr>
        <w:t>日，货币单位为人民币元。</w:t>
      </w:r>
    </w:p>
    <w:p>
      <w:pPr>
        <w:spacing w:after="0"/>
        <w:jc w:val="both"/>
        <w:rPr>
          <w:rFonts w:ascii="宋体" w:hAnsi="宋体" w:cs="宋体" w:eastAsia="宋体" w:hint="default"/>
          <w:sz w:val="22"/>
          <w:szCs w:val="22"/>
        </w:rPr>
        <w:sectPr>
          <w:pgSz w:w="11910" w:h="16840"/>
          <w:pgMar w:header="0" w:footer="1054" w:top="1320" w:bottom="1240" w:left="1480" w:right="1480"/>
        </w:sectPr>
      </w:pPr>
    </w:p>
    <w:p>
      <w:pPr>
        <w:spacing w:before="6"/>
        <w:ind w:left="67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8"/>
          <w:sz w:val="22"/>
          <w:szCs w:val="22"/>
        </w:rPr>
        <w:t> </w:t>
      </w:r>
      <w:r>
        <w:rPr>
          <w:rFonts w:ascii="宋体" w:hAnsi="宋体" w:cs="宋体" w:eastAsia="宋体" w:hint="default"/>
          <w:sz w:val="22"/>
          <w:szCs w:val="22"/>
        </w:rPr>
        <w:t>货币资金</w:t>
      </w:r>
    </w:p>
    <w:p>
      <w:pPr>
        <w:spacing w:line="240" w:lineRule="auto" w:before="6"/>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3815"/>
        <w:gridCol w:w="3084"/>
        <w:gridCol w:w="1827"/>
      </w:tblGrid>
      <w:tr>
        <w:trPr>
          <w:trHeight w:val="307" w:hRule="exact"/>
        </w:trPr>
        <w:tc>
          <w:tcPr>
            <w:tcW w:w="381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8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59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827"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47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8" w:hRule="exact"/>
        </w:trPr>
        <w:tc>
          <w:tcPr>
            <w:tcW w:w="3815"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084" w:type="dxa"/>
            <w:tcBorders>
              <w:top w:val="single" w:sz="4" w:space="0" w:color="000000"/>
              <w:left w:val="nil" w:sz="6" w:space="0" w:color="auto"/>
              <w:bottom w:val="nil" w:sz="6" w:space="0" w:color="auto"/>
              <w:right w:val="nil" w:sz="6" w:space="0" w:color="auto"/>
            </w:tcBorders>
          </w:tcPr>
          <w:p>
            <w:pPr>
              <w:pStyle w:val="TableParagraph"/>
              <w:spacing w:line="232" w:lineRule="exact"/>
              <w:ind w:right="262"/>
              <w:jc w:val="right"/>
              <w:rPr>
                <w:rFonts w:ascii="宋体" w:hAnsi="宋体" w:cs="宋体" w:eastAsia="宋体" w:hint="default"/>
                <w:sz w:val="18"/>
                <w:szCs w:val="18"/>
              </w:rPr>
            </w:pPr>
            <w:r>
              <w:rPr>
                <w:rFonts w:ascii="宋体"/>
                <w:spacing w:val="-1"/>
                <w:sz w:val="18"/>
              </w:rPr>
              <w:t>14,112,394.81</w:t>
            </w:r>
          </w:p>
        </w:tc>
        <w:tc>
          <w:tcPr>
            <w:tcW w:w="1827" w:type="dxa"/>
            <w:tcBorders>
              <w:top w:val="single" w:sz="4" w:space="0" w:color="000000"/>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9,157,681.58</w:t>
            </w:r>
          </w:p>
        </w:tc>
      </w:tr>
      <w:tr>
        <w:trPr>
          <w:trHeight w:val="284" w:hRule="exact"/>
        </w:trPr>
        <w:tc>
          <w:tcPr>
            <w:tcW w:w="381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084" w:type="dxa"/>
            <w:tcBorders>
              <w:top w:val="nil" w:sz="6" w:space="0" w:color="auto"/>
              <w:left w:val="nil" w:sz="6" w:space="0" w:color="auto"/>
              <w:bottom w:val="nil" w:sz="6" w:space="0" w:color="auto"/>
              <w:right w:val="nil" w:sz="6" w:space="0" w:color="auto"/>
            </w:tcBorders>
          </w:tcPr>
          <w:p>
            <w:pPr>
              <w:pStyle w:val="TableParagraph"/>
              <w:spacing w:line="232" w:lineRule="exact"/>
              <w:ind w:right="262"/>
              <w:jc w:val="right"/>
              <w:rPr>
                <w:rFonts w:ascii="宋体" w:hAnsi="宋体" w:cs="宋体" w:eastAsia="宋体" w:hint="default"/>
                <w:sz w:val="18"/>
                <w:szCs w:val="18"/>
              </w:rPr>
            </w:pPr>
            <w:r>
              <w:rPr>
                <w:rFonts w:ascii="宋体"/>
                <w:spacing w:val="-1"/>
                <w:sz w:val="18"/>
              </w:rPr>
              <w:t>9,110,361,060.58</w:t>
            </w:r>
          </w:p>
        </w:tc>
        <w:tc>
          <w:tcPr>
            <w:tcW w:w="1827"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9,411,938,340.51</w:t>
            </w:r>
          </w:p>
        </w:tc>
      </w:tr>
      <w:tr>
        <w:trPr>
          <w:trHeight w:val="291" w:hRule="exact"/>
        </w:trPr>
        <w:tc>
          <w:tcPr>
            <w:tcW w:w="3815"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084" w:type="dxa"/>
            <w:tcBorders>
              <w:top w:val="nil" w:sz="6" w:space="0" w:color="auto"/>
              <w:left w:val="nil" w:sz="6" w:space="0" w:color="auto"/>
              <w:bottom w:val="single" w:sz="4" w:space="0" w:color="000000"/>
              <w:right w:val="nil" w:sz="6" w:space="0" w:color="auto"/>
            </w:tcBorders>
          </w:tcPr>
          <w:p>
            <w:pPr>
              <w:pStyle w:val="TableParagraph"/>
              <w:spacing w:line="233" w:lineRule="exact"/>
              <w:ind w:right="262"/>
              <w:jc w:val="right"/>
              <w:rPr>
                <w:rFonts w:ascii="宋体" w:hAnsi="宋体" w:cs="宋体" w:eastAsia="宋体" w:hint="default"/>
                <w:sz w:val="18"/>
                <w:szCs w:val="18"/>
              </w:rPr>
            </w:pPr>
            <w:r>
              <w:rPr>
                <w:rFonts w:ascii="宋体"/>
                <w:spacing w:val="-1"/>
                <w:sz w:val="18"/>
              </w:rPr>
              <w:t>362,885,714.93</w:t>
            </w:r>
          </w:p>
        </w:tc>
        <w:tc>
          <w:tcPr>
            <w:tcW w:w="1827" w:type="dxa"/>
            <w:tcBorders>
              <w:top w:val="nil" w:sz="6" w:space="0" w:color="auto"/>
              <w:left w:val="nil" w:sz="6" w:space="0" w:color="auto"/>
              <w:bottom w:val="single" w:sz="4" w:space="0" w:color="000000"/>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345,038,231.66</w:t>
            </w:r>
          </w:p>
        </w:tc>
      </w:tr>
      <w:tr>
        <w:trPr>
          <w:trHeight w:val="295" w:hRule="exact"/>
        </w:trPr>
        <w:tc>
          <w:tcPr>
            <w:tcW w:w="3815"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84"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262"/>
              <w:jc w:val="right"/>
              <w:rPr>
                <w:rFonts w:ascii="宋体" w:hAnsi="宋体" w:cs="宋体" w:eastAsia="宋体" w:hint="default"/>
                <w:sz w:val="18"/>
                <w:szCs w:val="18"/>
              </w:rPr>
            </w:pPr>
            <w:r>
              <w:rPr>
                <w:rFonts w:ascii="宋体"/>
                <w:b/>
                <w:w w:val="95"/>
                <w:sz w:val="18"/>
              </w:rPr>
              <w:t>9,487,359,170.32</w:t>
            </w:r>
            <w:r>
              <w:rPr>
                <w:rFonts w:ascii="宋体"/>
                <w:sz w:val="18"/>
              </w:rPr>
            </w:r>
          </w:p>
        </w:tc>
        <w:tc>
          <w:tcPr>
            <w:tcW w:w="1827"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9,766,134,253.75</w:t>
            </w:r>
            <w:r>
              <w:rPr>
                <w:rFonts w:ascii="宋体"/>
                <w:sz w:val="18"/>
              </w:rPr>
            </w:r>
          </w:p>
        </w:tc>
      </w:tr>
      <w:tr>
        <w:trPr>
          <w:trHeight w:val="305" w:hRule="exact"/>
        </w:trPr>
        <w:tc>
          <w:tcPr>
            <w:tcW w:w="3815"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084"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62"/>
              <w:jc w:val="right"/>
              <w:rPr>
                <w:rFonts w:ascii="宋体" w:hAnsi="宋体" w:cs="宋体" w:eastAsia="宋体" w:hint="default"/>
                <w:sz w:val="18"/>
                <w:szCs w:val="18"/>
              </w:rPr>
            </w:pPr>
            <w:r>
              <w:rPr>
                <w:rFonts w:ascii="宋体"/>
                <w:spacing w:val="-1"/>
                <w:sz w:val="18"/>
              </w:rPr>
              <w:t>1,749,893,272.79</w:t>
            </w:r>
          </w:p>
        </w:tc>
        <w:tc>
          <w:tcPr>
            <w:tcW w:w="1827"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1,847,430,432.74</w:t>
            </w:r>
          </w:p>
        </w:tc>
      </w:tr>
    </w:tbl>
    <w:p>
      <w:pPr>
        <w:spacing w:before="81"/>
        <w:ind w:left="661" w:right="106" w:firstLine="0"/>
        <w:jc w:val="left"/>
        <w:rPr>
          <w:rFonts w:ascii="宋体" w:hAnsi="宋体" w:cs="宋体" w:eastAsia="宋体" w:hint="default"/>
          <w:sz w:val="22"/>
          <w:szCs w:val="22"/>
        </w:rPr>
      </w:pPr>
      <w:r>
        <w:rPr>
          <w:rFonts w:ascii="宋体" w:hAnsi="宋体" w:cs="宋体" w:eastAsia="宋体" w:hint="default"/>
          <w:sz w:val="22"/>
          <w:szCs w:val="22"/>
        </w:rPr>
        <w:t>截止</w:t>
      </w:r>
      <w:r>
        <w:rPr>
          <w:rFonts w:ascii="宋体" w:hAnsi="宋体" w:cs="宋体" w:eastAsia="宋体" w:hint="default"/>
          <w:spacing w:val="-55"/>
          <w:sz w:val="22"/>
          <w:szCs w:val="22"/>
        </w:rPr>
        <w:t> </w:t>
      </w:r>
      <w:r>
        <w:rPr>
          <w:rFonts w:ascii="宋体" w:hAnsi="宋体" w:cs="宋体" w:eastAsia="宋体" w:hint="default"/>
          <w:sz w:val="22"/>
          <w:szCs w:val="22"/>
        </w:rPr>
        <w:t>2018</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z w:val="22"/>
          <w:szCs w:val="22"/>
        </w:rPr>
        <w:t>日，货币资金中包含受限资金</w:t>
      </w:r>
      <w:r>
        <w:rPr>
          <w:rFonts w:ascii="宋体" w:hAnsi="宋体" w:cs="宋体" w:eastAsia="宋体" w:hint="default"/>
          <w:spacing w:val="-55"/>
          <w:sz w:val="22"/>
          <w:szCs w:val="22"/>
        </w:rPr>
        <w:t> </w:t>
      </w:r>
      <w:r>
        <w:rPr>
          <w:rFonts w:ascii="宋体" w:hAnsi="宋体" w:cs="宋体" w:eastAsia="宋体" w:hint="default"/>
          <w:sz w:val="22"/>
          <w:szCs w:val="22"/>
        </w:rPr>
        <w:t>316,407,957.47</w:t>
      </w:r>
      <w:r>
        <w:rPr>
          <w:rFonts w:ascii="宋体" w:hAnsi="宋体" w:cs="宋体" w:eastAsia="宋体" w:hint="default"/>
          <w:spacing w:val="-55"/>
          <w:sz w:val="22"/>
          <w:szCs w:val="22"/>
        </w:rPr>
        <w:t> </w:t>
      </w:r>
      <w:r>
        <w:rPr>
          <w:rFonts w:ascii="宋体" w:hAnsi="宋体" w:cs="宋体" w:eastAsia="宋体" w:hint="default"/>
          <w:sz w:val="22"/>
          <w:szCs w:val="22"/>
        </w:rPr>
        <w:t>元。</w:t>
      </w:r>
    </w:p>
    <w:p>
      <w:pPr>
        <w:spacing w:after="0"/>
        <w:jc w:val="left"/>
        <w:rPr>
          <w:rFonts w:ascii="宋体" w:hAnsi="宋体" w:cs="宋体" w:eastAsia="宋体" w:hint="default"/>
          <w:sz w:val="22"/>
          <w:szCs w:val="22"/>
        </w:rPr>
        <w:sectPr>
          <w:pgSz w:w="11910" w:h="16840"/>
          <w:pgMar w:header="0" w:footer="1054" w:top="1360" w:bottom="1240" w:left="1480" w:right="1480"/>
        </w:sectPr>
      </w:pPr>
    </w:p>
    <w:p>
      <w:pPr>
        <w:tabs>
          <w:tab w:pos="1981" w:val="left" w:leader="none"/>
        </w:tabs>
        <w:spacing w:before="6"/>
        <w:ind w:left="158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tab/>
      </w:r>
      <w:r>
        <w:rPr>
          <w:rFonts w:ascii="宋体" w:hAnsi="宋体" w:cs="宋体" w:eastAsia="宋体" w:hint="default"/>
          <w:sz w:val="22"/>
          <w:szCs w:val="22"/>
        </w:rPr>
        <w:t>以公允价值计量且其变动计入当期损益的金融资产</w:t>
      </w:r>
    </w:p>
    <w:p>
      <w:pPr>
        <w:spacing w:line="240" w:lineRule="auto" w:before="6"/>
        <w:rPr>
          <w:rFonts w:ascii="宋体" w:hAnsi="宋体" w:cs="宋体" w:eastAsia="宋体" w:hint="default"/>
          <w:sz w:val="11"/>
          <w:szCs w:val="11"/>
        </w:rPr>
      </w:pPr>
    </w:p>
    <w:tbl>
      <w:tblPr>
        <w:tblW w:w="0" w:type="auto"/>
        <w:jc w:val="left"/>
        <w:tblInd w:w="1074" w:type="dxa"/>
        <w:tblLayout w:type="fixed"/>
        <w:tblCellMar>
          <w:top w:w="0" w:type="dxa"/>
          <w:left w:w="0" w:type="dxa"/>
          <w:bottom w:w="0" w:type="dxa"/>
          <w:right w:w="0" w:type="dxa"/>
        </w:tblCellMar>
        <w:tblLook w:val="01E0"/>
      </w:tblPr>
      <w:tblGrid>
        <w:gridCol w:w="4992"/>
        <w:gridCol w:w="2004"/>
        <w:gridCol w:w="1729"/>
      </w:tblGrid>
      <w:tr>
        <w:trPr>
          <w:trHeight w:val="307" w:hRule="exact"/>
        </w:trPr>
        <w:tc>
          <w:tcPr>
            <w:tcW w:w="499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0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41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729"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8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8" w:hRule="exact"/>
        </w:trPr>
        <w:tc>
          <w:tcPr>
            <w:tcW w:w="4992"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004" w:type="dxa"/>
            <w:tcBorders>
              <w:top w:val="single" w:sz="4" w:space="0" w:color="000000"/>
              <w:left w:val="nil" w:sz="6" w:space="0" w:color="auto"/>
              <w:bottom w:val="nil" w:sz="6" w:space="0" w:color="auto"/>
              <w:right w:val="nil" w:sz="6" w:space="0" w:color="auto"/>
            </w:tcBorders>
          </w:tcPr>
          <w:p>
            <w:pPr>
              <w:pStyle w:val="TableParagraph"/>
              <w:spacing w:line="232" w:lineRule="exact"/>
              <w:ind w:left="394" w:right="0"/>
              <w:jc w:val="left"/>
              <w:rPr>
                <w:rFonts w:ascii="宋体" w:hAnsi="宋体" w:cs="宋体" w:eastAsia="宋体" w:hint="default"/>
                <w:sz w:val="18"/>
                <w:szCs w:val="18"/>
              </w:rPr>
            </w:pPr>
            <w:r>
              <w:rPr>
                <w:rFonts w:ascii="宋体"/>
                <w:sz w:val="18"/>
              </w:rPr>
              <w:t>205,948,205.52</w:t>
            </w:r>
          </w:p>
        </w:tc>
        <w:tc>
          <w:tcPr>
            <w:tcW w:w="1729" w:type="dxa"/>
            <w:tcBorders>
              <w:top w:val="single" w:sz="4" w:space="0" w:color="000000"/>
              <w:left w:val="nil" w:sz="6" w:space="0" w:color="auto"/>
              <w:bottom w:val="nil" w:sz="6" w:space="0" w:color="auto"/>
              <w:right w:val="nil" w:sz="6" w:space="0" w:color="auto"/>
            </w:tcBorders>
          </w:tcPr>
          <w:p>
            <w:pPr>
              <w:pStyle w:val="TableParagraph"/>
              <w:spacing w:line="232" w:lineRule="exact"/>
              <w:ind w:left="359" w:right="0"/>
              <w:jc w:val="left"/>
              <w:rPr>
                <w:rFonts w:ascii="宋体" w:hAnsi="宋体" w:cs="宋体" w:eastAsia="宋体" w:hint="default"/>
                <w:sz w:val="18"/>
                <w:szCs w:val="18"/>
              </w:rPr>
            </w:pPr>
            <w:r>
              <w:rPr>
                <w:rFonts w:ascii="宋体"/>
                <w:sz w:val="18"/>
              </w:rPr>
              <w:t>176,253,012.39</w:t>
            </w:r>
          </w:p>
        </w:tc>
      </w:tr>
      <w:tr>
        <w:trPr>
          <w:trHeight w:val="284"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color w:val="212121"/>
                <w:sz w:val="18"/>
                <w:szCs w:val="18"/>
              </w:rPr>
              <w:t>其中：权益工具投资</w:t>
            </w:r>
            <w:r>
              <w:rPr>
                <w:rFonts w:ascii="宋体" w:hAnsi="宋体" w:cs="宋体" w:eastAsia="宋体" w:hint="default"/>
                <w:sz w:val="18"/>
                <w:szCs w:val="18"/>
              </w:rPr>
            </w:r>
          </w:p>
        </w:tc>
        <w:tc>
          <w:tcPr>
            <w:tcW w:w="2004" w:type="dxa"/>
            <w:tcBorders>
              <w:top w:val="nil" w:sz="6" w:space="0" w:color="auto"/>
              <w:left w:val="nil" w:sz="6" w:space="0" w:color="auto"/>
              <w:bottom w:val="nil" w:sz="6" w:space="0" w:color="auto"/>
              <w:right w:val="nil" w:sz="6" w:space="0" w:color="auto"/>
            </w:tcBorders>
          </w:tcPr>
          <w:p>
            <w:pPr>
              <w:pStyle w:val="TableParagraph"/>
              <w:spacing w:line="232" w:lineRule="exact"/>
              <w:ind w:left="394" w:right="0"/>
              <w:jc w:val="left"/>
              <w:rPr>
                <w:rFonts w:ascii="宋体" w:hAnsi="宋体" w:cs="宋体" w:eastAsia="宋体" w:hint="default"/>
                <w:sz w:val="18"/>
                <w:szCs w:val="18"/>
              </w:rPr>
            </w:pPr>
            <w:r>
              <w:rPr>
                <w:rFonts w:ascii="宋体"/>
                <w:sz w:val="18"/>
              </w:rPr>
              <w:t>205,948,205.52</w:t>
            </w:r>
          </w:p>
        </w:tc>
        <w:tc>
          <w:tcPr>
            <w:tcW w:w="1729" w:type="dxa"/>
            <w:tcBorders>
              <w:top w:val="nil" w:sz="6" w:space="0" w:color="auto"/>
              <w:left w:val="nil" w:sz="6" w:space="0" w:color="auto"/>
              <w:bottom w:val="nil" w:sz="6" w:space="0" w:color="auto"/>
              <w:right w:val="nil" w:sz="6" w:space="0" w:color="auto"/>
            </w:tcBorders>
          </w:tcPr>
          <w:p>
            <w:pPr>
              <w:pStyle w:val="TableParagraph"/>
              <w:spacing w:line="232" w:lineRule="exact"/>
              <w:ind w:left="359" w:right="0"/>
              <w:jc w:val="left"/>
              <w:rPr>
                <w:rFonts w:ascii="宋体" w:hAnsi="宋体" w:cs="宋体" w:eastAsia="宋体" w:hint="default"/>
                <w:sz w:val="18"/>
                <w:szCs w:val="18"/>
              </w:rPr>
            </w:pPr>
            <w:r>
              <w:rPr>
                <w:rFonts w:ascii="宋体"/>
                <w:sz w:val="18"/>
              </w:rPr>
              <w:t>176,253,012.39</w:t>
            </w:r>
          </w:p>
        </w:tc>
      </w:tr>
      <w:tr>
        <w:trPr>
          <w:trHeight w:val="286" w:hRule="exact"/>
        </w:trPr>
        <w:tc>
          <w:tcPr>
            <w:tcW w:w="4992"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color w:val="212121"/>
                <w:sz w:val="18"/>
                <w:szCs w:val="18"/>
              </w:rPr>
              <w:t>指定为以公允价值计量且其变动计入当期损益的金融资产</w:t>
            </w:r>
            <w:r>
              <w:rPr>
                <w:rFonts w:ascii="宋体" w:hAnsi="宋体" w:cs="宋体" w:eastAsia="宋体" w:hint="default"/>
                <w:sz w:val="18"/>
                <w:szCs w:val="18"/>
              </w:rPr>
            </w:r>
          </w:p>
        </w:tc>
        <w:tc>
          <w:tcPr>
            <w:tcW w:w="2004" w:type="dxa"/>
            <w:tcBorders>
              <w:top w:val="nil" w:sz="6" w:space="0" w:color="auto"/>
              <w:left w:val="nil" w:sz="6" w:space="0" w:color="auto"/>
              <w:bottom w:val="nil" w:sz="6" w:space="0" w:color="auto"/>
              <w:right w:val="nil" w:sz="6" w:space="0" w:color="auto"/>
            </w:tcBorders>
          </w:tcPr>
          <w:p>
            <w:pPr>
              <w:pStyle w:val="TableParagraph"/>
              <w:spacing w:line="233" w:lineRule="exact"/>
              <w:ind w:left="394" w:right="0"/>
              <w:jc w:val="left"/>
              <w:rPr>
                <w:rFonts w:ascii="宋体" w:hAnsi="宋体" w:cs="宋体" w:eastAsia="宋体" w:hint="default"/>
                <w:sz w:val="18"/>
                <w:szCs w:val="18"/>
              </w:rPr>
            </w:pPr>
            <w:r>
              <w:rPr>
                <w:rFonts w:ascii="宋体"/>
                <w:sz w:val="18"/>
              </w:rPr>
              <w:t>307,666,278.25</w:t>
            </w:r>
          </w:p>
        </w:tc>
        <w:tc>
          <w:tcPr>
            <w:tcW w:w="1729" w:type="dxa"/>
            <w:tcBorders>
              <w:top w:val="nil" w:sz="6" w:space="0" w:color="auto"/>
              <w:left w:val="nil" w:sz="6" w:space="0" w:color="auto"/>
              <w:bottom w:val="nil" w:sz="6" w:space="0" w:color="auto"/>
              <w:right w:val="nil" w:sz="6" w:space="0" w:color="auto"/>
            </w:tcBorders>
          </w:tcPr>
          <w:p>
            <w:pPr>
              <w:pStyle w:val="TableParagraph"/>
              <w:spacing w:line="233" w:lineRule="exact"/>
              <w:ind w:left="359" w:right="0"/>
              <w:jc w:val="left"/>
              <w:rPr>
                <w:rFonts w:ascii="宋体" w:hAnsi="宋体" w:cs="宋体" w:eastAsia="宋体" w:hint="default"/>
                <w:sz w:val="18"/>
                <w:szCs w:val="18"/>
              </w:rPr>
            </w:pPr>
            <w:r>
              <w:rPr>
                <w:rFonts w:ascii="宋体"/>
                <w:sz w:val="18"/>
              </w:rPr>
              <w:t>405,614,975.67</w:t>
            </w:r>
          </w:p>
        </w:tc>
      </w:tr>
      <w:tr>
        <w:trPr>
          <w:trHeight w:val="291" w:hRule="exact"/>
        </w:trPr>
        <w:tc>
          <w:tcPr>
            <w:tcW w:w="4992"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color w:val="212121"/>
                <w:sz w:val="18"/>
                <w:szCs w:val="18"/>
              </w:rPr>
              <w:t>其中：权益工具投资</w:t>
            </w:r>
            <w:r>
              <w:rPr>
                <w:rFonts w:ascii="宋体" w:hAnsi="宋体" w:cs="宋体" w:eastAsia="宋体" w:hint="default"/>
                <w:sz w:val="18"/>
                <w:szCs w:val="18"/>
              </w:rPr>
            </w:r>
          </w:p>
        </w:tc>
        <w:tc>
          <w:tcPr>
            <w:tcW w:w="2004" w:type="dxa"/>
            <w:tcBorders>
              <w:top w:val="nil" w:sz="6" w:space="0" w:color="auto"/>
              <w:left w:val="nil" w:sz="6" w:space="0" w:color="auto"/>
              <w:bottom w:val="single" w:sz="4" w:space="0" w:color="000000"/>
              <w:right w:val="nil" w:sz="6" w:space="0" w:color="auto"/>
            </w:tcBorders>
          </w:tcPr>
          <w:p>
            <w:pPr>
              <w:pStyle w:val="TableParagraph"/>
              <w:spacing w:line="233" w:lineRule="exact"/>
              <w:ind w:left="394" w:right="0"/>
              <w:jc w:val="left"/>
              <w:rPr>
                <w:rFonts w:ascii="宋体" w:hAnsi="宋体" w:cs="宋体" w:eastAsia="宋体" w:hint="default"/>
                <w:sz w:val="18"/>
                <w:szCs w:val="18"/>
              </w:rPr>
            </w:pPr>
            <w:r>
              <w:rPr>
                <w:rFonts w:ascii="宋体"/>
                <w:sz w:val="18"/>
              </w:rPr>
              <w:t>307,666,278.25</w:t>
            </w:r>
          </w:p>
        </w:tc>
        <w:tc>
          <w:tcPr>
            <w:tcW w:w="1729" w:type="dxa"/>
            <w:tcBorders>
              <w:top w:val="nil" w:sz="6" w:space="0" w:color="auto"/>
              <w:left w:val="nil" w:sz="6" w:space="0" w:color="auto"/>
              <w:bottom w:val="single" w:sz="4" w:space="0" w:color="000000"/>
              <w:right w:val="nil" w:sz="6" w:space="0" w:color="auto"/>
            </w:tcBorders>
          </w:tcPr>
          <w:p>
            <w:pPr>
              <w:pStyle w:val="TableParagraph"/>
              <w:spacing w:line="233" w:lineRule="exact"/>
              <w:ind w:left="359" w:right="0"/>
              <w:jc w:val="left"/>
              <w:rPr>
                <w:rFonts w:ascii="宋体" w:hAnsi="宋体" w:cs="宋体" w:eastAsia="宋体" w:hint="default"/>
                <w:sz w:val="18"/>
                <w:szCs w:val="18"/>
              </w:rPr>
            </w:pPr>
            <w:r>
              <w:rPr>
                <w:rFonts w:ascii="宋体"/>
                <w:sz w:val="18"/>
              </w:rPr>
              <w:t>405,614,975.67</w:t>
            </w:r>
          </w:p>
        </w:tc>
      </w:tr>
      <w:tr>
        <w:trPr>
          <w:trHeight w:val="305" w:hRule="exact"/>
        </w:trPr>
        <w:tc>
          <w:tcPr>
            <w:tcW w:w="4992"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04"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384" w:right="0"/>
              <w:jc w:val="left"/>
              <w:rPr>
                <w:rFonts w:ascii="宋体" w:hAnsi="宋体" w:cs="宋体" w:eastAsia="宋体" w:hint="default"/>
                <w:sz w:val="18"/>
                <w:szCs w:val="18"/>
              </w:rPr>
            </w:pPr>
            <w:r>
              <w:rPr>
                <w:rFonts w:ascii="宋体"/>
                <w:b/>
                <w:sz w:val="18"/>
              </w:rPr>
              <w:t>513,614,483.77</w:t>
            </w:r>
            <w:r>
              <w:rPr>
                <w:rFonts w:ascii="宋体"/>
                <w:sz w:val="18"/>
              </w:rPr>
            </w:r>
          </w:p>
        </w:tc>
        <w:tc>
          <w:tcPr>
            <w:tcW w:w="1729"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349" w:right="0"/>
              <w:jc w:val="left"/>
              <w:rPr>
                <w:rFonts w:ascii="宋体" w:hAnsi="宋体" w:cs="宋体" w:eastAsia="宋体" w:hint="default"/>
                <w:sz w:val="18"/>
                <w:szCs w:val="18"/>
              </w:rPr>
            </w:pPr>
            <w:r>
              <w:rPr>
                <w:rFonts w:ascii="宋体"/>
                <w:b/>
                <w:sz w:val="18"/>
              </w:rPr>
              <w:t>581,867,988.06</w:t>
            </w:r>
            <w:r>
              <w:rPr>
                <w:rFonts w:ascii="宋体"/>
                <w:sz w:val="18"/>
              </w:rPr>
            </w:r>
          </w:p>
        </w:tc>
      </w:tr>
    </w:tbl>
    <w:p>
      <w:pPr>
        <w:tabs>
          <w:tab w:pos="1981" w:val="left" w:leader="none"/>
        </w:tabs>
        <w:spacing w:before="81"/>
        <w:ind w:left="158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tab/>
      </w:r>
      <w:r>
        <w:rPr>
          <w:rFonts w:ascii="宋体" w:hAnsi="宋体" w:cs="宋体" w:eastAsia="宋体" w:hint="default"/>
          <w:sz w:val="22"/>
          <w:szCs w:val="22"/>
        </w:rPr>
        <w:t>应收票据及应收账款</w:t>
      </w:r>
    </w:p>
    <w:p>
      <w:pPr>
        <w:spacing w:line="240" w:lineRule="auto" w:before="8"/>
        <w:rPr>
          <w:rFonts w:ascii="宋体" w:hAnsi="宋体" w:cs="宋体" w:eastAsia="宋体" w:hint="default"/>
          <w:sz w:val="11"/>
          <w:szCs w:val="11"/>
        </w:rPr>
      </w:pPr>
    </w:p>
    <w:tbl>
      <w:tblPr>
        <w:tblW w:w="0" w:type="auto"/>
        <w:jc w:val="left"/>
        <w:tblInd w:w="1074" w:type="dxa"/>
        <w:tblLayout w:type="fixed"/>
        <w:tblCellMar>
          <w:top w:w="0" w:type="dxa"/>
          <w:left w:w="0" w:type="dxa"/>
          <w:bottom w:w="0" w:type="dxa"/>
          <w:right w:w="0" w:type="dxa"/>
        </w:tblCellMar>
        <w:tblLook w:val="01E0"/>
      </w:tblPr>
      <w:tblGrid>
        <w:gridCol w:w="2225"/>
        <w:gridCol w:w="3895"/>
        <w:gridCol w:w="2605"/>
      </w:tblGrid>
      <w:tr>
        <w:trPr>
          <w:trHeight w:val="305" w:hRule="exact"/>
        </w:trPr>
        <w:tc>
          <w:tcPr>
            <w:tcW w:w="222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95"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376"/>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60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6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9" w:hRule="exact"/>
        </w:trPr>
        <w:tc>
          <w:tcPr>
            <w:tcW w:w="2225"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895" w:type="dxa"/>
            <w:tcBorders>
              <w:top w:val="single" w:sz="4" w:space="0" w:color="000000"/>
              <w:left w:val="nil" w:sz="6" w:space="0" w:color="auto"/>
              <w:bottom w:val="nil" w:sz="6" w:space="0" w:color="auto"/>
              <w:right w:val="nil" w:sz="6" w:space="0" w:color="auto"/>
            </w:tcBorders>
          </w:tcPr>
          <w:p>
            <w:pPr>
              <w:pStyle w:val="TableParagraph"/>
              <w:spacing w:line="232" w:lineRule="exact"/>
              <w:ind w:right="662"/>
              <w:jc w:val="right"/>
              <w:rPr>
                <w:rFonts w:ascii="宋体" w:hAnsi="宋体" w:cs="宋体" w:eastAsia="宋体" w:hint="default"/>
                <w:sz w:val="18"/>
                <w:szCs w:val="18"/>
              </w:rPr>
            </w:pPr>
            <w:r>
              <w:rPr>
                <w:rFonts w:ascii="宋体"/>
                <w:spacing w:val="-1"/>
                <w:sz w:val="18"/>
              </w:rPr>
              <w:t>164,348,594.49</w:t>
            </w:r>
          </w:p>
        </w:tc>
        <w:tc>
          <w:tcPr>
            <w:tcW w:w="2605"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117,617,801.49</w:t>
            </w:r>
          </w:p>
        </w:tc>
      </w:tr>
      <w:tr>
        <w:trPr>
          <w:trHeight w:val="291" w:hRule="exact"/>
        </w:trPr>
        <w:tc>
          <w:tcPr>
            <w:tcW w:w="2225"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895" w:type="dxa"/>
            <w:tcBorders>
              <w:top w:val="nil" w:sz="6" w:space="0" w:color="auto"/>
              <w:left w:val="nil" w:sz="6" w:space="0" w:color="auto"/>
              <w:bottom w:val="single" w:sz="4" w:space="0" w:color="000000"/>
              <w:right w:val="nil" w:sz="6" w:space="0" w:color="auto"/>
            </w:tcBorders>
          </w:tcPr>
          <w:p>
            <w:pPr>
              <w:pStyle w:val="TableParagraph"/>
              <w:spacing w:line="233" w:lineRule="exact"/>
              <w:ind w:right="662"/>
              <w:jc w:val="right"/>
              <w:rPr>
                <w:rFonts w:ascii="宋体" w:hAnsi="宋体" w:cs="宋体" w:eastAsia="宋体" w:hint="default"/>
                <w:sz w:val="18"/>
                <w:szCs w:val="18"/>
              </w:rPr>
            </w:pPr>
            <w:r>
              <w:rPr>
                <w:rFonts w:ascii="宋体"/>
                <w:spacing w:val="-1"/>
                <w:sz w:val="18"/>
              </w:rPr>
              <w:t>8,146,589,520.29</w:t>
            </w:r>
          </w:p>
        </w:tc>
        <w:tc>
          <w:tcPr>
            <w:tcW w:w="2605" w:type="dxa"/>
            <w:tcBorders>
              <w:top w:val="nil" w:sz="6" w:space="0" w:color="auto"/>
              <w:left w:val="nil" w:sz="6" w:space="0" w:color="auto"/>
              <w:bottom w:val="single" w:sz="4"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7,150,244,020.49</w:t>
            </w:r>
          </w:p>
        </w:tc>
      </w:tr>
      <w:tr>
        <w:trPr>
          <w:trHeight w:val="305" w:hRule="exact"/>
        </w:trPr>
        <w:tc>
          <w:tcPr>
            <w:tcW w:w="2225"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9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662"/>
              <w:jc w:val="right"/>
              <w:rPr>
                <w:rFonts w:ascii="宋体" w:hAnsi="宋体" w:cs="宋体" w:eastAsia="宋体" w:hint="default"/>
                <w:sz w:val="18"/>
                <w:szCs w:val="18"/>
              </w:rPr>
            </w:pPr>
            <w:r>
              <w:rPr>
                <w:rFonts w:ascii="宋体"/>
                <w:b/>
                <w:w w:val="95"/>
                <w:sz w:val="18"/>
              </w:rPr>
              <w:t>8,310,938,114.78</w:t>
            </w:r>
            <w:r>
              <w:rPr>
                <w:rFonts w:ascii="宋体"/>
                <w:sz w:val="18"/>
              </w:rPr>
            </w:r>
          </w:p>
        </w:tc>
        <w:tc>
          <w:tcPr>
            <w:tcW w:w="260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7,267,861,821.98</w:t>
            </w:r>
            <w:r>
              <w:rPr>
                <w:rFonts w:ascii="宋体"/>
                <w:sz w:val="18"/>
              </w:rPr>
            </w:r>
          </w:p>
        </w:tc>
      </w:tr>
    </w:tbl>
    <w:p>
      <w:pPr>
        <w:spacing w:before="82"/>
        <w:ind w:left="1606" w:right="0" w:firstLine="0"/>
        <w:jc w:val="left"/>
        <w:rPr>
          <w:rFonts w:ascii="宋体" w:hAnsi="宋体" w:cs="宋体" w:eastAsia="宋体" w:hint="default"/>
          <w:sz w:val="22"/>
          <w:szCs w:val="22"/>
        </w:rPr>
      </w:pPr>
      <w:r>
        <w:rPr>
          <w:rFonts w:ascii="宋体" w:hAnsi="宋体" w:cs="宋体" w:eastAsia="宋体" w:hint="default"/>
          <w:b/>
          <w:bCs/>
          <w:sz w:val="22"/>
          <w:szCs w:val="22"/>
        </w:rPr>
        <w:t>3.1</w:t>
      </w:r>
      <w:r>
        <w:rPr>
          <w:rFonts w:ascii="宋体" w:hAnsi="宋体" w:cs="宋体" w:eastAsia="宋体" w:hint="default"/>
          <w:b/>
          <w:bCs/>
          <w:spacing w:val="-67"/>
          <w:sz w:val="22"/>
          <w:szCs w:val="22"/>
        </w:rPr>
        <w:t> </w:t>
      </w:r>
      <w:r>
        <w:rPr>
          <w:rFonts w:ascii="宋体" w:hAnsi="宋体" w:cs="宋体" w:eastAsia="宋体" w:hint="default"/>
          <w:sz w:val="22"/>
          <w:szCs w:val="22"/>
        </w:rPr>
        <w:t>应收票据</w:t>
      </w:r>
    </w:p>
    <w:p>
      <w:pPr>
        <w:spacing w:line="240" w:lineRule="auto" w:before="11"/>
        <w:rPr>
          <w:rFonts w:ascii="宋体" w:hAnsi="宋体" w:cs="宋体" w:eastAsia="宋体" w:hint="default"/>
          <w:sz w:val="12"/>
          <w:szCs w:val="12"/>
        </w:rPr>
      </w:pPr>
    </w:p>
    <w:tbl>
      <w:tblPr>
        <w:tblW w:w="0" w:type="auto"/>
        <w:jc w:val="left"/>
        <w:tblInd w:w="1074" w:type="dxa"/>
        <w:tblLayout w:type="fixed"/>
        <w:tblCellMar>
          <w:top w:w="0" w:type="dxa"/>
          <w:left w:w="0" w:type="dxa"/>
          <w:bottom w:w="0" w:type="dxa"/>
          <w:right w:w="0" w:type="dxa"/>
        </w:tblCellMar>
        <w:tblLook w:val="01E0"/>
      </w:tblPr>
      <w:tblGrid>
        <w:gridCol w:w="2405"/>
        <w:gridCol w:w="3715"/>
        <w:gridCol w:w="2605"/>
      </w:tblGrid>
      <w:tr>
        <w:trPr>
          <w:trHeight w:val="305" w:hRule="exact"/>
        </w:trPr>
        <w:tc>
          <w:tcPr>
            <w:tcW w:w="240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1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21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60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6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9" w:hRule="exact"/>
        </w:trPr>
        <w:tc>
          <w:tcPr>
            <w:tcW w:w="2405"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715" w:type="dxa"/>
            <w:tcBorders>
              <w:top w:val="single" w:sz="4" w:space="0" w:color="000000"/>
              <w:left w:val="nil" w:sz="6" w:space="0" w:color="auto"/>
              <w:bottom w:val="nil" w:sz="6" w:space="0" w:color="auto"/>
              <w:right w:val="nil" w:sz="6" w:space="0" w:color="auto"/>
            </w:tcBorders>
          </w:tcPr>
          <w:p>
            <w:pPr>
              <w:pStyle w:val="TableParagraph"/>
              <w:spacing w:line="232" w:lineRule="exact"/>
              <w:ind w:right="662"/>
              <w:jc w:val="right"/>
              <w:rPr>
                <w:rFonts w:ascii="宋体" w:hAnsi="宋体" w:cs="宋体" w:eastAsia="宋体" w:hint="default"/>
                <w:sz w:val="18"/>
                <w:szCs w:val="18"/>
              </w:rPr>
            </w:pPr>
            <w:r>
              <w:rPr>
                <w:rFonts w:ascii="宋体"/>
                <w:spacing w:val="-1"/>
                <w:sz w:val="18"/>
              </w:rPr>
              <w:t>127,187,928.53</w:t>
            </w:r>
          </w:p>
        </w:tc>
        <w:tc>
          <w:tcPr>
            <w:tcW w:w="2605"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107,186,199.12</w:t>
            </w:r>
          </w:p>
        </w:tc>
      </w:tr>
      <w:tr>
        <w:trPr>
          <w:trHeight w:val="291" w:hRule="exact"/>
        </w:trPr>
        <w:tc>
          <w:tcPr>
            <w:tcW w:w="2405"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715" w:type="dxa"/>
            <w:tcBorders>
              <w:top w:val="nil" w:sz="6" w:space="0" w:color="auto"/>
              <w:left w:val="nil" w:sz="6" w:space="0" w:color="auto"/>
              <w:bottom w:val="single" w:sz="4" w:space="0" w:color="000000"/>
              <w:right w:val="nil" w:sz="6" w:space="0" w:color="auto"/>
            </w:tcBorders>
          </w:tcPr>
          <w:p>
            <w:pPr>
              <w:pStyle w:val="TableParagraph"/>
              <w:spacing w:line="233" w:lineRule="exact"/>
              <w:ind w:right="662"/>
              <w:jc w:val="right"/>
              <w:rPr>
                <w:rFonts w:ascii="宋体" w:hAnsi="宋体" w:cs="宋体" w:eastAsia="宋体" w:hint="default"/>
                <w:sz w:val="18"/>
                <w:szCs w:val="18"/>
              </w:rPr>
            </w:pPr>
            <w:r>
              <w:rPr>
                <w:rFonts w:ascii="宋体"/>
                <w:spacing w:val="-1"/>
                <w:sz w:val="18"/>
              </w:rPr>
              <w:t>37,160,665.96</w:t>
            </w:r>
          </w:p>
        </w:tc>
        <w:tc>
          <w:tcPr>
            <w:tcW w:w="2605" w:type="dxa"/>
            <w:tcBorders>
              <w:top w:val="nil" w:sz="6" w:space="0" w:color="auto"/>
              <w:left w:val="nil" w:sz="6" w:space="0" w:color="auto"/>
              <w:bottom w:val="single" w:sz="4"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10,431,602.37</w:t>
            </w:r>
          </w:p>
        </w:tc>
      </w:tr>
      <w:tr>
        <w:trPr>
          <w:trHeight w:val="305" w:hRule="exact"/>
        </w:trPr>
        <w:tc>
          <w:tcPr>
            <w:tcW w:w="2405"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1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662"/>
              <w:jc w:val="right"/>
              <w:rPr>
                <w:rFonts w:ascii="宋体" w:hAnsi="宋体" w:cs="宋体" w:eastAsia="宋体" w:hint="default"/>
                <w:sz w:val="18"/>
                <w:szCs w:val="18"/>
              </w:rPr>
            </w:pPr>
            <w:r>
              <w:rPr>
                <w:rFonts w:ascii="宋体"/>
                <w:b/>
                <w:w w:val="95"/>
                <w:sz w:val="18"/>
              </w:rPr>
              <w:t>164,348,594.49</w:t>
            </w:r>
            <w:r>
              <w:rPr>
                <w:rFonts w:ascii="宋体"/>
                <w:sz w:val="18"/>
              </w:rPr>
            </w:r>
          </w:p>
        </w:tc>
        <w:tc>
          <w:tcPr>
            <w:tcW w:w="260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117,617,801.49</w:t>
            </w:r>
            <w:r>
              <w:rPr>
                <w:rFonts w:ascii="宋体"/>
                <w:sz w:val="18"/>
              </w:rPr>
            </w:r>
          </w:p>
        </w:tc>
      </w:tr>
    </w:tbl>
    <w:p>
      <w:pPr>
        <w:spacing w:before="81"/>
        <w:ind w:left="1609" w:right="0" w:firstLine="0"/>
        <w:jc w:val="left"/>
        <w:rPr>
          <w:rFonts w:ascii="宋体" w:hAnsi="宋体" w:cs="宋体" w:eastAsia="宋体" w:hint="default"/>
          <w:sz w:val="22"/>
          <w:szCs w:val="22"/>
        </w:rPr>
      </w:pPr>
      <w:r>
        <w:rPr>
          <w:rFonts w:ascii="宋体" w:hAnsi="宋体" w:cs="宋体" w:eastAsia="宋体" w:hint="default"/>
          <w:b/>
          <w:bCs/>
          <w:sz w:val="22"/>
          <w:szCs w:val="22"/>
        </w:rPr>
        <w:t>3.2</w:t>
      </w:r>
      <w:r>
        <w:rPr>
          <w:rFonts w:ascii="宋体" w:hAnsi="宋体" w:cs="宋体" w:eastAsia="宋体" w:hint="default"/>
          <w:b/>
          <w:bCs/>
          <w:spacing w:val="-70"/>
          <w:sz w:val="22"/>
          <w:szCs w:val="22"/>
        </w:rPr>
        <w:t> </w:t>
      </w:r>
      <w:r>
        <w:rPr>
          <w:rFonts w:ascii="宋体" w:hAnsi="宋体" w:cs="宋体" w:eastAsia="宋体" w:hint="default"/>
          <w:sz w:val="22"/>
          <w:szCs w:val="22"/>
        </w:rPr>
        <w:t>应收账款</w:t>
      </w:r>
    </w:p>
    <w:p>
      <w:pPr>
        <w:spacing w:before="129"/>
        <w:ind w:left="1635" w:right="0" w:firstLine="0"/>
        <w:jc w:val="left"/>
        <w:rPr>
          <w:rFonts w:ascii="宋体" w:hAnsi="宋体" w:cs="宋体" w:eastAsia="宋体" w:hint="default"/>
          <w:sz w:val="22"/>
          <w:szCs w:val="22"/>
        </w:rPr>
      </w:pPr>
      <w:r>
        <w:rPr/>
        <w:pict>
          <v:group style="position:absolute;margin-left:173.419998pt;margin-top:59.617657pt;width:283.2pt;height:.5pt;mso-position-horizontal-relative:page;mso-position-vertical-relative:paragraph;z-index:-1227592" coordorigin="3468,1192" coordsize="5664,10">
            <v:group style="position:absolute;left:3473;top:1197;width:1753;height:2" coordorigin="3473,1197" coordsize="1753,2">
              <v:shape style="position:absolute;left:3473;top:1197;width:1753;height:2" coordorigin="3473,1197" coordsize="1753,0" path="m3473,1197l5226,1197e" filled="false" stroked="true" strokeweight=".48001pt" strokecolor="#000000">
                <v:path arrowok="t"/>
              </v:shape>
            </v:group>
            <v:group style="position:absolute;left:5226;top:1197;width:10;height:2" coordorigin="5226,1197" coordsize="10,2">
              <v:shape style="position:absolute;left:5226;top:1197;width:10;height:2" coordorigin="5226,1197" coordsize="10,0" path="m5226,1197l5235,1197e" filled="false" stroked="true" strokeweight=".48001pt" strokecolor="#000000">
                <v:path arrowok="t"/>
              </v:shape>
            </v:group>
            <v:group style="position:absolute;left:5235;top:1197;width:1050;height:2" coordorigin="5235,1197" coordsize="1050,2">
              <v:shape style="position:absolute;left:5235;top:1197;width:1050;height:2" coordorigin="5235,1197" coordsize="1050,0" path="m5235,1197l6285,1197e" filled="false" stroked="true" strokeweight=".48001pt" strokecolor="#000000">
                <v:path arrowok="t"/>
              </v:shape>
            </v:group>
            <v:group style="position:absolute;left:6285;top:1197;width:10;height:2" coordorigin="6285,1197" coordsize="10,2">
              <v:shape style="position:absolute;left:6285;top:1197;width:10;height:2" coordorigin="6285,1197" coordsize="10,0" path="m6285,1197l6294,1197e" filled="false" stroked="true" strokeweight=".48001pt" strokecolor="#000000">
                <v:path arrowok="t"/>
              </v:shape>
            </v:group>
            <v:group style="position:absolute;left:6294;top:1197;width:1668;height:2" coordorigin="6294,1197" coordsize="1668,2">
              <v:shape style="position:absolute;left:6294;top:1197;width:1668;height:2" coordorigin="6294,1197" coordsize="1668,0" path="m6294,1197l7962,1197e" filled="false" stroked="true" strokeweight=".48001pt" strokecolor="#000000">
                <v:path arrowok="t"/>
              </v:shape>
            </v:group>
            <v:group style="position:absolute;left:7962;top:1197;width:10;height:2" coordorigin="7962,1197" coordsize="10,2">
              <v:shape style="position:absolute;left:7962;top:1197;width:10;height:2" coordorigin="7962,1197" coordsize="10,0" path="m7962,1197l7972,1197e" filled="false" stroked="true" strokeweight=".48001pt" strokecolor="#000000">
                <v:path arrowok="t"/>
              </v:shape>
            </v:group>
            <v:group style="position:absolute;left:7972;top:1197;width:1155;height:2" coordorigin="7972,1197" coordsize="1155,2">
              <v:shape style="position:absolute;left:7972;top:1197;width:1155;height:2" coordorigin="7972,1197" coordsize="1155,0" path="m7972,1197l9127,1197e" filled="false" stroked="true" strokeweight=".48001pt" strokecolor="#000000">
                <v:path arrowok="t"/>
              </v:shape>
            </v:group>
            <w10:wrap type="none"/>
          </v:group>
        </w:pict>
      </w:r>
      <w:r>
        <w:rPr>
          <w:rFonts w:ascii="宋体" w:hAnsi="宋体" w:cs="宋体" w:eastAsia="宋体" w:hint="default"/>
          <w:b/>
          <w:bCs/>
          <w:sz w:val="22"/>
          <w:szCs w:val="22"/>
        </w:rPr>
        <w:t>(1)</w:t>
      </w:r>
      <w:r>
        <w:rPr>
          <w:rFonts w:ascii="宋体" w:hAnsi="宋体" w:cs="宋体" w:eastAsia="宋体" w:hint="default"/>
          <w:b/>
          <w:bCs/>
          <w:spacing w:val="11"/>
          <w:sz w:val="22"/>
          <w:szCs w:val="22"/>
        </w:rPr>
        <w:t> </w:t>
      </w:r>
      <w:r>
        <w:rPr>
          <w:rFonts w:ascii="宋体" w:hAnsi="宋体" w:cs="宋体" w:eastAsia="宋体" w:hint="default"/>
          <w:sz w:val="22"/>
          <w:szCs w:val="22"/>
        </w:rPr>
        <w:t>应收账款分类</w:t>
      </w: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842"/>
        <w:gridCol w:w="1917"/>
        <w:gridCol w:w="957"/>
        <w:gridCol w:w="1676"/>
        <w:gridCol w:w="1340"/>
        <w:gridCol w:w="1902"/>
      </w:tblGrid>
      <w:tr>
        <w:trPr>
          <w:trHeight w:val="312" w:hRule="exact"/>
        </w:trPr>
        <w:tc>
          <w:tcPr>
            <w:tcW w:w="2842" w:type="dxa"/>
            <w:tcBorders>
              <w:top w:val="single" w:sz="12" w:space="0" w:color="000000"/>
              <w:left w:val="nil" w:sz="6" w:space="0" w:color="auto"/>
              <w:bottom w:val="nil" w:sz="6" w:space="0" w:color="auto"/>
              <w:right w:val="nil" w:sz="6" w:space="0" w:color="auto"/>
            </w:tcBorders>
          </w:tcPr>
          <w:p>
            <w:pPr/>
          </w:p>
        </w:tc>
        <w:tc>
          <w:tcPr>
            <w:tcW w:w="1917" w:type="dxa"/>
            <w:tcBorders>
              <w:top w:val="single" w:sz="12" w:space="0" w:color="000000"/>
              <w:left w:val="nil" w:sz="6" w:space="0" w:color="auto"/>
              <w:bottom w:val="single" w:sz="4" w:space="0" w:color="000000"/>
              <w:right w:val="nil" w:sz="6" w:space="0" w:color="auto"/>
            </w:tcBorders>
          </w:tcPr>
          <w:p>
            <w:pPr/>
          </w:p>
        </w:tc>
        <w:tc>
          <w:tcPr>
            <w:tcW w:w="957" w:type="dxa"/>
            <w:tcBorders>
              <w:top w:val="single" w:sz="12" w:space="0" w:color="000000"/>
              <w:left w:val="nil" w:sz="6" w:space="0" w:color="auto"/>
              <w:bottom w:val="single" w:sz="4" w:space="0" w:color="000000"/>
              <w:right w:val="nil" w:sz="6" w:space="0" w:color="auto"/>
            </w:tcBorders>
          </w:tcPr>
          <w:p>
            <w:pPr/>
          </w:p>
        </w:tc>
        <w:tc>
          <w:tcPr>
            <w:tcW w:w="1676" w:type="dxa"/>
            <w:tcBorders>
              <w:top w:val="single" w:sz="12" w:space="0" w:color="000000"/>
              <w:left w:val="nil" w:sz="6" w:space="0" w:color="auto"/>
              <w:bottom w:val="single" w:sz="4" w:space="0" w:color="000000"/>
              <w:right w:val="nil" w:sz="6" w:space="0" w:color="auto"/>
            </w:tcBorders>
          </w:tcPr>
          <w:p>
            <w:pPr>
              <w:pStyle w:val="TableParagraph"/>
              <w:spacing w:line="240" w:lineRule="auto" w:before="1"/>
              <w:ind w:left="660"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340" w:type="dxa"/>
            <w:tcBorders>
              <w:top w:val="single" w:sz="12" w:space="0" w:color="000000"/>
              <w:left w:val="nil" w:sz="6" w:space="0" w:color="auto"/>
              <w:bottom w:val="single" w:sz="4" w:space="0" w:color="000000"/>
              <w:right w:val="nil" w:sz="6" w:space="0" w:color="auto"/>
            </w:tcBorders>
          </w:tcPr>
          <w:p>
            <w:pPr/>
          </w:p>
        </w:tc>
        <w:tc>
          <w:tcPr>
            <w:tcW w:w="1902" w:type="dxa"/>
            <w:tcBorders>
              <w:top w:val="single" w:sz="12" w:space="0" w:color="000000"/>
              <w:left w:val="nil" w:sz="6" w:space="0" w:color="auto"/>
              <w:bottom w:val="single" w:sz="4" w:space="0" w:color="000000"/>
              <w:right w:val="nil" w:sz="6" w:space="0" w:color="auto"/>
            </w:tcBorders>
          </w:tcPr>
          <w:p>
            <w:pPr/>
          </w:p>
        </w:tc>
      </w:tr>
      <w:tr>
        <w:trPr>
          <w:trHeight w:val="223"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
              <w:ind w:left="14"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917" w:type="dxa"/>
            <w:tcBorders>
              <w:top w:val="single" w:sz="4" w:space="0" w:color="000000"/>
              <w:left w:val="nil" w:sz="6" w:space="0" w:color="auto"/>
              <w:bottom w:val="nil" w:sz="6" w:space="0" w:color="auto"/>
              <w:right w:val="nil" w:sz="6" w:space="0" w:color="auto"/>
            </w:tcBorders>
          </w:tcPr>
          <w:p>
            <w:pPr>
              <w:pStyle w:val="TableParagraph"/>
              <w:spacing w:line="234" w:lineRule="exact"/>
              <w:ind w:right="148"/>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c>
        <w:tc>
          <w:tcPr>
            <w:tcW w:w="957" w:type="dxa"/>
            <w:tcBorders>
              <w:top w:val="single" w:sz="4" w:space="0" w:color="000000"/>
              <w:left w:val="nil" w:sz="6" w:space="0" w:color="auto"/>
              <w:bottom w:val="nil" w:sz="6" w:space="0" w:color="auto"/>
              <w:right w:val="nil" w:sz="6" w:space="0" w:color="auto"/>
            </w:tcBorders>
          </w:tcPr>
          <w:p>
            <w:pPr/>
          </w:p>
        </w:tc>
        <w:tc>
          <w:tcPr>
            <w:tcW w:w="1676" w:type="dxa"/>
            <w:tcBorders>
              <w:top w:val="single" w:sz="4" w:space="0" w:color="000000"/>
              <w:left w:val="nil" w:sz="6" w:space="0" w:color="auto"/>
              <w:bottom w:val="nil" w:sz="6" w:space="0" w:color="auto"/>
              <w:right w:val="nil" w:sz="6" w:space="0" w:color="auto"/>
            </w:tcBorders>
          </w:tcPr>
          <w:p>
            <w:pPr>
              <w:pStyle w:val="TableParagraph"/>
              <w:spacing w:line="234" w:lineRule="exact"/>
              <w:ind w:left="996" w:right="-43"/>
              <w:jc w:val="lef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c>
          <w:tcPr>
            <w:tcW w:w="1340" w:type="dxa"/>
            <w:tcBorders>
              <w:top w:val="single" w:sz="4" w:space="0" w:color="000000"/>
              <w:left w:val="nil" w:sz="6" w:space="0" w:color="auto"/>
              <w:bottom w:val="nil" w:sz="6" w:space="0" w:color="auto"/>
              <w:right w:val="nil" w:sz="6" w:space="0" w:color="auto"/>
            </w:tcBorders>
          </w:tcPr>
          <w:p>
            <w:pPr/>
          </w:p>
        </w:tc>
        <w:tc>
          <w:tcPr>
            <w:tcW w:w="1902" w:type="dxa"/>
            <w:tcBorders>
              <w:top w:val="single" w:sz="4" w:space="0" w:color="000000"/>
              <w:left w:val="nil" w:sz="6" w:space="0" w:color="auto"/>
              <w:bottom w:val="nil" w:sz="6" w:space="0" w:color="auto"/>
              <w:right w:val="nil" w:sz="6" w:space="0" w:color="auto"/>
            </w:tcBorders>
          </w:tcPr>
          <w:p>
            <w:pPr/>
          </w:p>
        </w:tc>
      </w:tr>
      <w:tr>
        <w:trPr>
          <w:trHeight w:val="150" w:hRule="exact"/>
        </w:trPr>
        <w:tc>
          <w:tcPr>
            <w:tcW w:w="2842" w:type="dxa"/>
            <w:tcBorders>
              <w:top w:val="nil" w:sz="6" w:space="0" w:color="auto"/>
              <w:left w:val="nil" w:sz="6" w:space="0" w:color="auto"/>
              <w:bottom w:val="nil" w:sz="6" w:space="0" w:color="auto"/>
              <w:right w:val="nil" w:sz="6" w:space="0" w:color="auto"/>
            </w:tcBorders>
          </w:tcPr>
          <w:p>
            <w:pPr/>
          </w:p>
        </w:tc>
        <w:tc>
          <w:tcPr>
            <w:tcW w:w="1917"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c>
          <w:tcPr>
            <w:tcW w:w="1902" w:type="dxa"/>
            <w:tcBorders>
              <w:top w:val="nil" w:sz="6" w:space="0" w:color="auto"/>
              <w:left w:val="nil" w:sz="6" w:space="0" w:color="auto"/>
              <w:bottom w:val="nil" w:sz="6" w:space="0" w:color="auto"/>
              <w:right w:val="nil" w:sz="6" w:space="0" w:color="auto"/>
            </w:tcBorders>
          </w:tcPr>
          <w:p>
            <w:pPr>
              <w:pStyle w:val="TableParagraph"/>
              <w:spacing w:line="164" w:lineRule="exact"/>
              <w:ind w:left="471"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27" w:hRule="exact"/>
        </w:trPr>
        <w:tc>
          <w:tcPr>
            <w:tcW w:w="2842" w:type="dxa"/>
            <w:tcBorders>
              <w:top w:val="nil" w:sz="6" w:space="0" w:color="auto"/>
              <w:left w:val="nil" w:sz="6" w:space="0" w:color="auto"/>
              <w:bottom w:val="single" w:sz="4" w:space="0" w:color="000000"/>
              <w:right w:val="nil" w:sz="6" w:space="0" w:color="auto"/>
            </w:tcBorders>
          </w:tcPr>
          <w:p>
            <w:pPr/>
          </w:p>
        </w:tc>
        <w:tc>
          <w:tcPr>
            <w:tcW w:w="1917" w:type="dxa"/>
            <w:tcBorders>
              <w:top w:val="nil" w:sz="6" w:space="0" w:color="auto"/>
              <w:left w:val="nil" w:sz="6" w:space="0" w:color="auto"/>
              <w:bottom w:val="single" w:sz="4" w:space="0" w:color="000000"/>
              <w:right w:val="nil" w:sz="6" w:space="0" w:color="auto"/>
            </w:tcBorders>
          </w:tcPr>
          <w:p>
            <w:pPr>
              <w:pStyle w:val="TableParagraph"/>
              <w:spacing w:line="166" w:lineRule="exact"/>
              <w:ind w:right="16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57" w:type="dxa"/>
            <w:tcBorders>
              <w:top w:val="nil" w:sz="6" w:space="0" w:color="auto"/>
              <w:left w:val="nil" w:sz="6" w:space="0" w:color="auto"/>
              <w:bottom w:val="single" w:sz="4" w:space="0" w:color="000000"/>
              <w:right w:val="nil" w:sz="6" w:space="0" w:color="auto"/>
            </w:tcBorders>
          </w:tcPr>
          <w:p>
            <w:pPr>
              <w:pStyle w:val="TableParagraph"/>
              <w:spacing w:line="166" w:lineRule="exact"/>
              <w:ind w:left="18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676" w:type="dxa"/>
            <w:tcBorders>
              <w:top w:val="nil" w:sz="6" w:space="0" w:color="auto"/>
              <w:left w:val="nil" w:sz="6" w:space="0" w:color="auto"/>
              <w:bottom w:val="single" w:sz="4" w:space="0" w:color="000000"/>
              <w:right w:val="nil" w:sz="6" w:space="0" w:color="auto"/>
            </w:tcBorders>
          </w:tcPr>
          <w:p>
            <w:pPr>
              <w:pStyle w:val="TableParagraph"/>
              <w:spacing w:line="166" w:lineRule="exact"/>
              <w:ind w:right="118"/>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40" w:type="dxa"/>
            <w:tcBorders>
              <w:top w:val="nil" w:sz="6" w:space="0" w:color="auto"/>
              <w:left w:val="nil" w:sz="6" w:space="0" w:color="auto"/>
              <w:bottom w:val="single" w:sz="4" w:space="0" w:color="000000"/>
              <w:right w:val="nil" w:sz="6" w:space="0" w:color="auto"/>
            </w:tcBorders>
          </w:tcPr>
          <w:p>
            <w:pPr>
              <w:pStyle w:val="TableParagraph"/>
              <w:spacing w:line="166" w:lineRule="exact"/>
              <w:ind w:left="160"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902" w:type="dxa"/>
            <w:tcBorders>
              <w:top w:val="nil" w:sz="6" w:space="0" w:color="auto"/>
              <w:left w:val="nil" w:sz="6" w:space="0" w:color="auto"/>
              <w:bottom w:val="single" w:sz="4" w:space="0" w:color="000000"/>
              <w:right w:val="nil" w:sz="6" w:space="0" w:color="auto"/>
            </w:tcBorders>
          </w:tcPr>
          <w:p>
            <w:pPr/>
          </w:p>
        </w:tc>
      </w:tr>
      <w:tr>
        <w:trPr>
          <w:trHeight w:val="585" w:hRule="exact"/>
        </w:trPr>
        <w:tc>
          <w:tcPr>
            <w:tcW w:w="2842" w:type="dxa"/>
            <w:tcBorders>
              <w:top w:val="single" w:sz="4" w:space="0" w:color="000000"/>
              <w:left w:val="nil" w:sz="6" w:space="0" w:color="auto"/>
              <w:bottom w:val="nil" w:sz="6" w:space="0" w:color="auto"/>
              <w:right w:val="nil" w:sz="6" w:space="0" w:color="auto"/>
            </w:tcBorders>
          </w:tcPr>
          <w:p>
            <w:pPr>
              <w:pStyle w:val="TableParagraph"/>
              <w:spacing w:line="232" w:lineRule="exact" w:before="52"/>
              <w:ind w:left="122" w:right="106"/>
              <w:jc w:val="left"/>
              <w:rPr>
                <w:rFonts w:ascii="宋体" w:hAnsi="宋体" w:cs="宋体" w:eastAsia="宋体" w:hint="default"/>
                <w:sz w:val="18"/>
                <w:szCs w:val="18"/>
              </w:rPr>
            </w:pPr>
            <w:r>
              <w:rPr>
                <w:rFonts w:ascii="宋体" w:hAnsi="宋体" w:cs="宋体" w:eastAsia="宋体" w:hint="default"/>
                <w:spacing w:val="6"/>
                <w:sz w:val="18"/>
                <w:szCs w:val="18"/>
              </w:rPr>
              <w:t>单项金额重大并单项计提坏账准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备的应收账款</w:t>
            </w:r>
          </w:p>
        </w:tc>
        <w:tc>
          <w:tcPr>
            <w:tcW w:w="1917"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left="473" w:right="0"/>
              <w:jc w:val="left"/>
              <w:rPr>
                <w:rFonts w:ascii="宋体" w:hAnsi="宋体" w:cs="宋体" w:eastAsia="宋体" w:hint="default"/>
                <w:sz w:val="18"/>
                <w:szCs w:val="18"/>
              </w:rPr>
            </w:pPr>
            <w:r>
              <w:rPr>
                <w:rFonts w:ascii="宋体"/>
                <w:sz w:val="18"/>
              </w:rPr>
              <w:t>83,321,422.85</w:t>
            </w:r>
          </w:p>
        </w:tc>
        <w:tc>
          <w:tcPr>
            <w:tcW w:w="957"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167"/>
              <w:jc w:val="right"/>
              <w:rPr>
                <w:rFonts w:ascii="宋体" w:hAnsi="宋体" w:cs="宋体" w:eastAsia="宋体" w:hint="default"/>
                <w:sz w:val="18"/>
                <w:szCs w:val="18"/>
              </w:rPr>
            </w:pPr>
            <w:r>
              <w:rPr>
                <w:rFonts w:ascii="宋体"/>
                <w:sz w:val="18"/>
              </w:rPr>
              <w:t>0.85%</w:t>
            </w:r>
          </w:p>
        </w:tc>
        <w:tc>
          <w:tcPr>
            <w:tcW w:w="1676"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left="336" w:right="0"/>
              <w:jc w:val="left"/>
              <w:rPr>
                <w:rFonts w:ascii="宋体" w:hAnsi="宋体" w:cs="宋体" w:eastAsia="宋体" w:hint="default"/>
                <w:sz w:val="18"/>
                <w:szCs w:val="18"/>
              </w:rPr>
            </w:pPr>
            <w:r>
              <w:rPr>
                <w:rFonts w:ascii="宋体"/>
                <w:sz w:val="18"/>
              </w:rPr>
              <w:t>83,321,422.85</w:t>
            </w:r>
          </w:p>
        </w:tc>
        <w:tc>
          <w:tcPr>
            <w:tcW w:w="1340"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341"/>
              <w:jc w:val="right"/>
              <w:rPr>
                <w:rFonts w:ascii="宋体" w:hAnsi="宋体" w:cs="宋体" w:eastAsia="宋体" w:hint="default"/>
                <w:sz w:val="18"/>
                <w:szCs w:val="18"/>
              </w:rPr>
            </w:pPr>
            <w:r>
              <w:rPr>
                <w:rFonts w:ascii="宋体"/>
                <w:sz w:val="18"/>
              </w:rPr>
              <w:t>100.00%</w:t>
            </w:r>
          </w:p>
        </w:tc>
        <w:tc>
          <w:tcPr>
            <w:tcW w:w="1902" w:type="dxa"/>
            <w:tcBorders>
              <w:top w:val="single" w:sz="4" w:space="0" w:color="000000"/>
              <w:left w:val="nil" w:sz="6" w:space="0" w:color="auto"/>
              <w:bottom w:val="nil" w:sz="6" w:space="0" w:color="auto"/>
              <w:right w:val="nil" w:sz="6" w:space="0" w:color="auto"/>
            </w:tcBorders>
          </w:tcPr>
          <w:p>
            <w:pPr>
              <w:pStyle w:val="TableParagraph"/>
              <w:spacing w:line="240" w:lineRule="auto" w:before="143"/>
              <w:ind w:right="105"/>
              <w:jc w:val="right"/>
              <w:rPr>
                <w:rFonts w:ascii="宋体" w:hAnsi="宋体" w:cs="宋体" w:eastAsia="宋体" w:hint="default"/>
                <w:sz w:val="18"/>
                <w:szCs w:val="18"/>
              </w:rPr>
            </w:pPr>
            <w:r>
              <w:rPr>
                <w:rFonts w:ascii="宋体"/>
                <w:sz w:val="18"/>
              </w:rPr>
              <w:t>0.00</w:t>
            </w:r>
          </w:p>
        </w:tc>
      </w:tr>
      <w:tr>
        <w:trPr>
          <w:trHeight w:val="581" w:hRule="exact"/>
        </w:trPr>
        <w:tc>
          <w:tcPr>
            <w:tcW w:w="2842" w:type="dxa"/>
            <w:tcBorders>
              <w:top w:val="nil" w:sz="6" w:space="0" w:color="auto"/>
              <w:left w:val="nil" w:sz="6" w:space="0" w:color="auto"/>
              <w:bottom w:val="nil" w:sz="6" w:space="0" w:color="auto"/>
              <w:right w:val="nil" w:sz="6" w:space="0" w:color="auto"/>
            </w:tcBorders>
          </w:tcPr>
          <w:p>
            <w:pPr>
              <w:pStyle w:val="TableParagraph"/>
              <w:spacing w:line="232" w:lineRule="exact" w:before="53"/>
              <w:ind w:left="122" w:right="106"/>
              <w:jc w:val="left"/>
              <w:rPr>
                <w:rFonts w:ascii="宋体" w:hAnsi="宋体" w:cs="宋体" w:eastAsia="宋体" w:hint="default"/>
                <w:sz w:val="18"/>
                <w:szCs w:val="18"/>
              </w:rPr>
            </w:pPr>
            <w:r>
              <w:rPr>
                <w:rFonts w:ascii="宋体" w:hAnsi="宋体" w:cs="宋体" w:eastAsia="宋体" w:hint="default"/>
                <w:spacing w:val="6"/>
                <w:sz w:val="18"/>
                <w:szCs w:val="18"/>
              </w:rPr>
              <w:t>按信用风险特征组合计提坏账准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备的应收账款</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204" w:right="0"/>
              <w:jc w:val="left"/>
              <w:rPr>
                <w:rFonts w:ascii="宋体" w:hAnsi="宋体" w:cs="宋体" w:eastAsia="宋体" w:hint="default"/>
                <w:sz w:val="18"/>
                <w:szCs w:val="18"/>
              </w:rPr>
            </w:pPr>
            <w:r>
              <w:rPr>
                <w:rFonts w:ascii="宋体"/>
                <w:sz w:val="18"/>
              </w:rPr>
              <w:t>9,750,188,388.59</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67"/>
              <w:jc w:val="right"/>
              <w:rPr>
                <w:rFonts w:ascii="宋体" w:hAnsi="宋体" w:cs="宋体" w:eastAsia="宋体" w:hint="default"/>
                <w:sz w:val="18"/>
                <w:szCs w:val="18"/>
              </w:rPr>
            </w:pPr>
            <w:r>
              <w:rPr>
                <w:rFonts w:ascii="宋体"/>
                <w:spacing w:val="-1"/>
                <w:sz w:val="18"/>
              </w:rPr>
              <w:t>99.09%</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80" w:right="0"/>
              <w:jc w:val="left"/>
              <w:rPr>
                <w:rFonts w:ascii="宋体" w:hAnsi="宋体" w:cs="宋体" w:eastAsia="宋体" w:hint="default"/>
                <w:sz w:val="18"/>
                <w:szCs w:val="18"/>
              </w:rPr>
            </w:pPr>
            <w:r>
              <w:rPr>
                <w:rFonts w:ascii="宋体"/>
                <w:spacing w:val="-7"/>
                <w:sz w:val="18"/>
              </w:rPr>
              <w:t>1,603,598,868.30</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41"/>
              <w:jc w:val="right"/>
              <w:rPr>
                <w:rFonts w:ascii="宋体" w:hAnsi="宋体" w:cs="宋体" w:eastAsia="宋体" w:hint="default"/>
                <w:sz w:val="18"/>
                <w:szCs w:val="18"/>
              </w:rPr>
            </w:pPr>
            <w:r>
              <w:rPr>
                <w:rFonts w:ascii="宋体"/>
                <w:spacing w:val="-1"/>
                <w:sz w:val="18"/>
              </w:rPr>
              <w:t>16.45%</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6"/>
              <w:jc w:val="right"/>
              <w:rPr>
                <w:rFonts w:ascii="宋体" w:hAnsi="宋体" w:cs="宋体" w:eastAsia="宋体" w:hint="default"/>
                <w:sz w:val="18"/>
                <w:szCs w:val="18"/>
              </w:rPr>
            </w:pPr>
            <w:r>
              <w:rPr>
                <w:rFonts w:ascii="宋体"/>
                <w:spacing w:val="-1"/>
                <w:sz w:val="18"/>
              </w:rPr>
              <w:t>8,146,589,520.29</w:t>
            </w:r>
          </w:p>
        </w:tc>
      </w:tr>
      <w:tr>
        <w:trPr>
          <w:trHeight w:val="587" w:hRule="exact"/>
        </w:trPr>
        <w:tc>
          <w:tcPr>
            <w:tcW w:w="2842" w:type="dxa"/>
            <w:tcBorders>
              <w:top w:val="nil" w:sz="6" w:space="0" w:color="auto"/>
              <w:left w:val="nil" w:sz="6" w:space="0" w:color="auto"/>
              <w:bottom w:val="single" w:sz="4" w:space="0" w:color="000000"/>
              <w:right w:val="nil" w:sz="6" w:space="0" w:color="auto"/>
            </w:tcBorders>
          </w:tcPr>
          <w:p>
            <w:pPr>
              <w:pStyle w:val="TableParagraph"/>
              <w:spacing w:line="232" w:lineRule="exact" w:before="53"/>
              <w:ind w:left="122" w:right="106"/>
              <w:jc w:val="left"/>
              <w:rPr>
                <w:rFonts w:ascii="宋体" w:hAnsi="宋体" w:cs="宋体" w:eastAsia="宋体" w:hint="default"/>
                <w:sz w:val="18"/>
                <w:szCs w:val="18"/>
              </w:rPr>
            </w:pPr>
            <w:r>
              <w:rPr>
                <w:rFonts w:ascii="宋体" w:hAnsi="宋体" w:cs="宋体" w:eastAsia="宋体" w:hint="default"/>
                <w:spacing w:val="6"/>
                <w:sz w:val="18"/>
                <w:szCs w:val="18"/>
              </w:rPr>
              <w:t>单项金额不重大但单项计提坏账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准备的应收账款</w:t>
            </w:r>
          </w:p>
        </w:tc>
        <w:tc>
          <w:tcPr>
            <w:tcW w:w="1917"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270"/>
              <w:jc w:val="right"/>
              <w:rPr>
                <w:rFonts w:ascii="宋体" w:hAnsi="宋体" w:cs="宋体" w:eastAsia="宋体" w:hint="default"/>
                <w:sz w:val="18"/>
                <w:szCs w:val="18"/>
              </w:rPr>
            </w:pPr>
            <w:r>
              <w:rPr>
                <w:rFonts w:ascii="宋体"/>
                <w:spacing w:val="-1"/>
                <w:sz w:val="18"/>
              </w:rPr>
              <w:t>5,913,139.46</w:t>
            </w:r>
          </w:p>
        </w:tc>
        <w:tc>
          <w:tcPr>
            <w:tcW w:w="957"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167"/>
              <w:jc w:val="right"/>
              <w:rPr>
                <w:rFonts w:ascii="宋体" w:hAnsi="宋体" w:cs="宋体" w:eastAsia="宋体" w:hint="default"/>
                <w:sz w:val="18"/>
                <w:szCs w:val="18"/>
              </w:rPr>
            </w:pPr>
            <w:r>
              <w:rPr>
                <w:rFonts w:ascii="宋体"/>
                <w:sz w:val="18"/>
              </w:rPr>
              <w:t>0.06%</w:t>
            </w:r>
          </w:p>
        </w:tc>
        <w:tc>
          <w:tcPr>
            <w:tcW w:w="1676"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left="427" w:right="0"/>
              <w:jc w:val="left"/>
              <w:rPr>
                <w:rFonts w:ascii="宋体" w:hAnsi="宋体" w:cs="宋体" w:eastAsia="宋体" w:hint="default"/>
                <w:sz w:val="18"/>
                <w:szCs w:val="18"/>
              </w:rPr>
            </w:pPr>
            <w:r>
              <w:rPr>
                <w:rFonts w:ascii="宋体"/>
                <w:sz w:val="18"/>
              </w:rPr>
              <w:t>5,913,139.46</w:t>
            </w:r>
          </w:p>
        </w:tc>
        <w:tc>
          <w:tcPr>
            <w:tcW w:w="1340"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341"/>
              <w:jc w:val="right"/>
              <w:rPr>
                <w:rFonts w:ascii="宋体" w:hAnsi="宋体" w:cs="宋体" w:eastAsia="宋体" w:hint="default"/>
                <w:sz w:val="18"/>
                <w:szCs w:val="18"/>
              </w:rPr>
            </w:pPr>
            <w:r>
              <w:rPr>
                <w:rFonts w:ascii="宋体"/>
                <w:sz w:val="18"/>
              </w:rPr>
              <w:t>100.00%</w:t>
            </w:r>
          </w:p>
        </w:tc>
        <w:tc>
          <w:tcPr>
            <w:tcW w:w="1902" w:type="dxa"/>
            <w:tcBorders>
              <w:top w:val="nil" w:sz="6" w:space="0" w:color="auto"/>
              <w:left w:val="nil" w:sz="6" w:space="0" w:color="auto"/>
              <w:bottom w:val="single" w:sz="4" w:space="0" w:color="000000"/>
              <w:right w:val="nil" w:sz="6" w:space="0" w:color="auto"/>
            </w:tcBorders>
          </w:tcPr>
          <w:p>
            <w:pPr>
              <w:pStyle w:val="TableParagraph"/>
              <w:spacing w:line="240" w:lineRule="auto" w:before="143"/>
              <w:ind w:right="105"/>
              <w:jc w:val="right"/>
              <w:rPr>
                <w:rFonts w:ascii="宋体" w:hAnsi="宋体" w:cs="宋体" w:eastAsia="宋体" w:hint="default"/>
                <w:sz w:val="18"/>
                <w:szCs w:val="18"/>
              </w:rPr>
            </w:pPr>
            <w:r>
              <w:rPr>
                <w:rFonts w:ascii="宋体"/>
                <w:sz w:val="18"/>
              </w:rPr>
              <w:t>0.00</w:t>
            </w:r>
          </w:p>
        </w:tc>
      </w:tr>
      <w:tr>
        <w:trPr>
          <w:trHeight w:val="312" w:hRule="exact"/>
        </w:trPr>
        <w:tc>
          <w:tcPr>
            <w:tcW w:w="2842" w:type="dxa"/>
            <w:tcBorders>
              <w:top w:val="single" w:sz="4" w:space="0" w:color="000000"/>
              <w:left w:val="nil" w:sz="6" w:space="0" w:color="auto"/>
              <w:bottom w:val="single" w:sz="12" w:space="0" w:color="000000"/>
              <w:right w:val="nil" w:sz="6" w:space="0" w:color="auto"/>
            </w:tcBorders>
          </w:tcPr>
          <w:p>
            <w:pPr>
              <w:pStyle w:val="TableParagraph"/>
              <w:spacing w:line="240" w:lineRule="auto" w:before="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17" w:type="dxa"/>
            <w:tcBorders>
              <w:top w:val="single" w:sz="4" w:space="0" w:color="000000"/>
              <w:left w:val="nil" w:sz="6" w:space="0" w:color="auto"/>
              <w:bottom w:val="single" w:sz="12" w:space="0" w:color="000000"/>
              <w:right w:val="nil" w:sz="6" w:space="0" w:color="auto"/>
            </w:tcBorders>
          </w:tcPr>
          <w:p>
            <w:pPr>
              <w:pStyle w:val="TableParagraph"/>
              <w:spacing w:line="234" w:lineRule="exact"/>
              <w:ind w:left="192" w:right="0"/>
              <w:jc w:val="left"/>
              <w:rPr>
                <w:rFonts w:ascii="宋体" w:hAnsi="宋体" w:cs="宋体" w:eastAsia="宋体" w:hint="default"/>
                <w:sz w:val="18"/>
                <w:szCs w:val="18"/>
              </w:rPr>
            </w:pPr>
            <w:r>
              <w:rPr>
                <w:rFonts w:ascii="宋体"/>
                <w:b/>
                <w:sz w:val="18"/>
              </w:rPr>
              <w:t>9,839,422,950.90</w:t>
            </w:r>
            <w:r>
              <w:rPr>
                <w:rFonts w:ascii="宋体"/>
                <w:sz w:val="18"/>
              </w:rPr>
            </w:r>
          </w:p>
        </w:tc>
        <w:tc>
          <w:tcPr>
            <w:tcW w:w="957" w:type="dxa"/>
            <w:tcBorders>
              <w:top w:val="single" w:sz="4" w:space="0" w:color="000000"/>
              <w:left w:val="nil" w:sz="6" w:space="0" w:color="auto"/>
              <w:bottom w:val="single" w:sz="12" w:space="0" w:color="000000"/>
              <w:right w:val="nil" w:sz="6" w:space="0" w:color="auto"/>
            </w:tcBorders>
          </w:tcPr>
          <w:p>
            <w:pPr>
              <w:pStyle w:val="TableParagraph"/>
              <w:spacing w:line="234" w:lineRule="exact"/>
              <w:ind w:right="166"/>
              <w:jc w:val="right"/>
              <w:rPr>
                <w:rFonts w:ascii="宋体" w:hAnsi="宋体" w:cs="宋体" w:eastAsia="宋体" w:hint="default"/>
                <w:sz w:val="18"/>
                <w:szCs w:val="18"/>
              </w:rPr>
            </w:pPr>
            <w:r>
              <w:rPr>
                <w:rFonts w:ascii="宋体"/>
                <w:b/>
                <w:sz w:val="18"/>
              </w:rPr>
              <w:t>100.00%</w:t>
            </w:r>
            <w:r>
              <w:rPr>
                <w:rFonts w:ascii="宋体"/>
                <w:sz w:val="18"/>
              </w:rPr>
            </w:r>
          </w:p>
        </w:tc>
        <w:tc>
          <w:tcPr>
            <w:tcW w:w="1676" w:type="dxa"/>
            <w:tcBorders>
              <w:top w:val="single" w:sz="4" w:space="0" w:color="000000"/>
              <w:left w:val="nil" w:sz="6" w:space="0" w:color="auto"/>
              <w:bottom w:val="single" w:sz="12" w:space="0" w:color="000000"/>
              <w:right w:val="nil" w:sz="6" w:space="0" w:color="auto"/>
            </w:tcBorders>
          </w:tcPr>
          <w:p>
            <w:pPr>
              <w:pStyle w:val="TableParagraph"/>
              <w:spacing w:line="234" w:lineRule="exact"/>
              <w:ind w:left="168" w:right="0"/>
              <w:jc w:val="left"/>
              <w:rPr>
                <w:rFonts w:ascii="宋体" w:hAnsi="宋体" w:cs="宋体" w:eastAsia="宋体" w:hint="default"/>
                <w:sz w:val="18"/>
                <w:szCs w:val="18"/>
              </w:rPr>
            </w:pPr>
            <w:r>
              <w:rPr>
                <w:rFonts w:ascii="宋体"/>
                <w:b/>
                <w:spacing w:val="-8"/>
                <w:sz w:val="18"/>
              </w:rPr>
              <w:t>1,692,833,430.61</w:t>
            </w:r>
            <w:r>
              <w:rPr>
                <w:rFonts w:ascii="宋体"/>
                <w:sz w:val="18"/>
              </w:rPr>
            </w:r>
          </w:p>
        </w:tc>
        <w:tc>
          <w:tcPr>
            <w:tcW w:w="1340" w:type="dxa"/>
            <w:tcBorders>
              <w:top w:val="single" w:sz="4" w:space="0" w:color="000000"/>
              <w:left w:val="nil" w:sz="6" w:space="0" w:color="auto"/>
              <w:bottom w:val="single" w:sz="12" w:space="0" w:color="000000"/>
              <w:right w:val="nil" w:sz="6" w:space="0" w:color="auto"/>
            </w:tcBorders>
          </w:tcPr>
          <w:p>
            <w:pPr>
              <w:pStyle w:val="TableParagraph"/>
              <w:spacing w:line="234" w:lineRule="exact"/>
              <w:ind w:right="341"/>
              <w:jc w:val="right"/>
              <w:rPr>
                <w:rFonts w:ascii="宋体" w:hAnsi="宋体" w:cs="宋体" w:eastAsia="宋体" w:hint="default"/>
                <w:sz w:val="18"/>
                <w:szCs w:val="18"/>
              </w:rPr>
            </w:pPr>
            <w:r>
              <w:rPr>
                <w:rFonts w:ascii="宋体"/>
                <w:b/>
                <w:sz w:val="18"/>
              </w:rPr>
              <w:t>17.20%</w:t>
            </w:r>
            <w:r>
              <w:rPr>
                <w:rFonts w:ascii="宋体"/>
                <w:sz w:val="18"/>
              </w:rPr>
            </w:r>
          </w:p>
        </w:tc>
        <w:tc>
          <w:tcPr>
            <w:tcW w:w="1902" w:type="dxa"/>
            <w:tcBorders>
              <w:top w:val="single" w:sz="4" w:space="0" w:color="000000"/>
              <w:left w:val="nil" w:sz="6" w:space="0" w:color="auto"/>
              <w:bottom w:val="single" w:sz="12" w:space="0" w:color="000000"/>
              <w:right w:val="nil" w:sz="6" w:space="0" w:color="auto"/>
            </w:tcBorders>
          </w:tcPr>
          <w:p>
            <w:pPr>
              <w:pStyle w:val="TableParagraph"/>
              <w:spacing w:line="234" w:lineRule="exact"/>
              <w:ind w:right="106"/>
              <w:jc w:val="right"/>
              <w:rPr>
                <w:rFonts w:ascii="宋体" w:hAnsi="宋体" w:cs="宋体" w:eastAsia="宋体" w:hint="default"/>
                <w:sz w:val="18"/>
                <w:szCs w:val="18"/>
              </w:rPr>
            </w:pPr>
            <w:r>
              <w:rPr>
                <w:rFonts w:ascii="宋体"/>
                <w:b/>
                <w:w w:val="95"/>
                <w:sz w:val="18"/>
              </w:rPr>
              <w:t>8,146,589,520.29</w:t>
            </w:r>
            <w:r>
              <w:rPr>
                <w:rFonts w:ascii="宋体"/>
                <w:sz w:val="18"/>
              </w:rPr>
            </w:r>
          </w:p>
        </w:tc>
      </w:tr>
    </w:tbl>
    <w:p>
      <w:pPr>
        <w:spacing w:before="21"/>
        <w:ind w:left="1587" w:right="0" w:firstLine="0"/>
        <w:jc w:val="left"/>
        <w:rPr>
          <w:rFonts w:ascii="宋体" w:hAnsi="宋体" w:cs="宋体" w:eastAsia="宋体" w:hint="default"/>
          <w:sz w:val="22"/>
          <w:szCs w:val="22"/>
        </w:rPr>
      </w:pPr>
      <w:r>
        <w:rPr/>
        <w:pict>
          <v:group style="position:absolute;margin-left:78.984001pt;margin-top:20.737656pt;width:437.75pt;height:1.45pt;mso-position-horizontal-relative:page;mso-position-vertical-relative:paragraph;z-index:-1227568" coordorigin="1580,415" coordsize="8755,29">
            <v:group style="position:absolute;left:1594;top:429;width:2134;height:2" coordorigin="1594,429" coordsize="2134,2">
              <v:shape style="position:absolute;left:1594;top:429;width:2134;height:2" coordorigin="1594,429" coordsize="2134,0" path="m1594,429l3728,429e" filled="false" stroked="true" strokeweight="1.44pt" strokecolor="#000000">
                <v:path arrowok="t"/>
              </v:shape>
            </v:group>
            <v:group style="position:absolute;left:3728;top:429;width:29;height:2" coordorigin="3728,429" coordsize="29,2">
              <v:shape style="position:absolute;left:3728;top:429;width:29;height:2" coordorigin="3728,429" coordsize="29,0" path="m3728,429l3757,429e" filled="false" stroked="true" strokeweight="1.44pt" strokecolor="#000000">
                <v:path arrowok="t"/>
              </v:shape>
            </v:group>
            <v:group style="position:absolute;left:3757;top:429;width:6563;height:2" coordorigin="3757,429" coordsize="6563,2">
              <v:shape style="position:absolute;left:3757;top:429;width:6563;height:2" coordorigin="3757,429" coordsize="6563,0" path="m3757,429l10320,429e" filled="false" stroked="true" strokeweight="1.44pt" strokecolor="#000000">
                <v:path arrowok="t"/>
              </v:shape>
            </v:group>
            <w10:wrap type="none"/>
          </v:group>
        </w:pict>
      </w:r>
      <w:r>
        <w:rPr>
          <w:rFonts w:ascii="宋体" w:hAnsi="宋体" w:cs="宋体" w:eastAsia="宋体" w:hint="default"/>
          <w:sz w:val="22"/>
          <w:szCs w:val="22"/>
        </w:rPr>
        <w:t>（续）</w:t>
      </w:r>
    </w:p>
    <w:p>
      <w:pPr>
        <w:spacing w:after="0"/>
        <w:jc w:val="left"/>
        <w:rPr>
          <w:rFonts w:ascii="宋体" w:hAnsi="宋体" w:cs="宋体" w:eastAsia="宋体" w:hint="default"/>
          <w:sz w:val="22"/>
          <w:szCs w:val="22"/>
        </w:rPr>
        <w:sectPr>
          <w:pgSz w:w="11910" w:h="16840"/>
          <w:pgMar w:header="0" w:footer="1054" w:top="1360" w:bottom="1240" w:left="520" w:right="540"/>
        </w:sectPr>
      </w:pPr>
    </w:p>
    <w:p>
      <w:pPr>
        <w:spacing w:before="131"/>
        <w:ind w:left="0" w:right="1111" w:firstLine="0"/>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p>
      <w:pPr>
        <w:tabs>
          <w:tab w:pos="4105" w:val="left" w:leader="none"/>
          <w:tab w:pos="6566" w:val="left" w:leader="none"/>
        </w:tabs>
        <w:spacing w:line="296" w:lineRule="exact" w:before="59"/>
        <w:ind w:left="1959" w:right="-19" w:firstLine="0"/>
        <w:jc w:val="left"/>
        <w:rPr>
          <w:rFonts w:ascii="宋体" w:hAnsi="宋体" w:cs="宋体" w:eastAsia="宋体" w:hint="default"/>
          <w:sz w:val="18"/>
          <w:szCs w:val="18"/>
        </w:rPr>
      </w:pPr>
      <w:r>
        <w:rPr/>
        <w:pict>
          <v:group style="position:absolute;margin-left:186.169983pt;margin-top:2.661677pt;width:330.05pt;height:.5pt;mso-position-horizontal-relative:page;mso-position-vertical-relative:paragraph;z-index:-1227544" coordorigin="3723,53" coordsize="6601,10">
            <v:group style="position:absolute;left:3728;top:58;width:2521;height:2" coordorigin="3728,58" coordsize="2521,2">
              <v:shape style="position:absolute;left:3728;top:58;width:2521;height:2" coordorigin="3728,58" coordsize="2521,0" path="m3728,58l6249,58e" filled="false" stroked="true" strokeweight=".48004pt" strokecolor="#000000">
                <v:path arrowok="t"/>
              </v:shape>
            </v:group>
            <v:group style="position:absolute;left:6249;top:58;width:10;height:2" coordorigin="6249,58" coordsize="10,2">
              <v:shape style="position:absolute;left:6249;top:58;width:10;height:2" coordorigin="6249,58" coordsize="10,0" path="m6249,58l6258,58e" filled="false" stroked="true" strokeweight=".48004pt" strokecolor="#000000">
                <v:path arrowok="t"/>
              </v:shape>
            </v:group>
            <v:group style="position:absolute;left:6258;top:58;width:2394;height:2" coordorigin="6258,58" coordsize="2394,2">
              <v:shape style="position:absolute;left:6258;top:58;width:2394;height:2" coordorigin="6258,58" coordsize="2394,0" path="m6258,58l8651,58e" filled="false" stroked="true" strokeweight=".48004pt" strokecolor="#000000">
                <v:path arrowok="t"/>
              </v:shape>
            </v:group>
            <v:group style="position:absolute;left:8652;top:58;width:10;height:2" coordorigin="8652,58" coordsize="10,2">
              <v:shape style="position:absolute;left:8652;top:58;width:10;height:2" coordorigin="8652,58" coordsize="10,0" path="m8652,58l8661,58e" filled="false" stroked="true" strokeweight=".48004pt" strokecolor="#000000">
                <v:path arrowok="t"/>
              </v:shape>
            </v:group>
            <v:group style="position:absolute;left:8661;top:58;width:1659;height:2" coordorigin="8661,58" coordsize="1659,2">
              <v:shape style="position:absolute;left:8661;top:58;width:1659;height:2" coordorigin="8661,58" coordsize="1659,0" path="m8661,58l10320,58e" filled="false" stroked="true" strokeweight=".48004pt" strokecolor="#000000">
                <v:path arrowok="t"/>
              </v:shape>
            </v:group>
            <w10:wrap type="none"/>
          </v:group>
        </w:pict>
      </w:r>
      <w:r>
        <w:rPr/>
        <w:pict>
          <v:group style="position:absolute;margin-left:186.169983pt;margin-top:17.421677pt;width:246.65pt;height:.5pt;mso-position-horizontal-relative:page;mso-position-vertical-relative:paragraph;z-index:-1227520" coordorigin="3723,348" coordsize="4933,10">
            <v:group style="position:absolute;left:3728;top:353;width:1668;height:2" coordorigin="3728,353" coordsize="1668,2">
              <v:shape style="position:absolute;left:3728;top:353;width:1668;height:2" coordorigin="3728,353" coordsize="1668,0" path="m3728,353l5396,353e" filled="false" stroked="true" strokeweight=".48004pt" strokecolor="#000000">
                <v:path arrowok="t"/>
              </v:shape>
            </v:group>
            <v:group style="position:absolute;left:5396;top:353;width:10;height:2" coordorigin="5396,353" coordsize="10,2">
              <v:shape style="position:absolute;left:5396;top:353;width:10;height:2" coordorigin="5396,353" coordsize="10,0" path="m5396,353l5406,353e" filled="false" stroked="true" strokeweight=".48004pt" strokecolor="#000000">
                <v:path arrowok="t"/>
              </v:shape>
            </v:group>
            <v:group style="position:absolute;left:5406;top:353;width:843;height:2" coordorigin="5406,353" coordsize="843,2">
              <v:shape style="position:absolute;left:5406;top:353;width:843;height:2" coordorigin="5406,353" coordsize="843,0" path="m5406,353l6249,353e" filled="false" stroked="true" strokeweight=".48004pt" strokecolor="#000000">
                <v:path arrowok="t"/>
              </v:shape>
            </v:group>
            <v:group style="position:absolute;left:6249;top:353;width:10;height:2" coordorigin="6249,353" coordsize="10,2">
              <v:shape style="position:absolute;left:6249;top:353;width:10;height:2" coordorigin="6249,353" coordsize="10,0" path="m6249,353l6258,353e" filled="false" stroked="true" strokeweight=".48004pt" strokecolor="#000000">
                <v:path arrowok="t"/>
              </v:shape>
            </v:group>
            <v:group style="position:absolute;left:6258;top:353;width:1546;height:2" coordorigin="6258,353" coordsize="1546,2">
              <v:shape style="position:absolute;left:6258;top:353;width:1546;height:2" coordorigin="6258,353" coordsize="1546,0" path="m6258,353l7804,353e" filled="false" stroked="true" strokeweight=".48004pt" strokecolor="#000000">
                <v:path arrowok="t"/>
              </v:shape>
            </v:group>
            <v:group style="position:absolute;left:7804;top:353;width:10;height:2" coordorigin="7804,353" coordsize="10,2">
              <v:shape style="position:absolute;left:7804;top:353;width:10;height:2" coordorigin="7804,353" coordsize="10,0" path="m7804,353l7813,353e" filled="false" stroked="true" strokeweight=".48004pt" strokecolor="#000000">
                <v:path arrowok="t"/>
              </v:shape>
            </v:group>
            <v:group style="position:absolute;left:7813;top:353;width:839;height:2" coordorigin="7813,353" coordsize="839,2">
              <v:shape style="position:absolute;left:7813;top:353;width:839;height:2" coordorigin="7813,353" coordsize="839,0" path="m7813,353l8651,353e" filled="false" stroked="true" strokeweight=".48004pt" strokecolor="#000000">
                <v:path arrowok="t"/>
              </v:shape>
            </v:group>
            <w10:wrap type="none"/>
          </v:group>
        </w:pict>
      </w:r>
      <w:r>
        <w:rPr>
          <w:rFonts w:ascii="宋体" w:hAnsi="宋体" w:cs="宋体" w:eastAsia="宋体" w:hint="default"/>
          <w:b/>
          <w:bCs/>
          <w:position w:val="-8"/>
          <w:sz w:val="18"/>
          <w:szCs w:val="18"/>
        </w:rPr>
        <w:t>类别</w:t>
        <w:tab/>
      </w:r>
      <w:r>
        <w:rPr>
          <w:rFonts w:ascii="宋体" w:hAnsi="宋体" w:cs="宋体" w:eastAsia="宋体" w:hint="default"/>
          <w:b/>
          <w:bCs/>
          <w:w w:val="95"/>
          <w:sz w:val="18"/>
          <w:szCs w:val="18"/>
        </w:rPr>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p>
      <w:pPr>
        <w:tabs>
          <w:tab w:pos="5120" w:val="left" w:leader="none"/>
          <w:tab w:pos="6321" w:val="left" w:leader="none"/>
          <w:tab w:pos="7434" w:val="left" w:leader="none"/>
        </w:tabs>
        <w:spacing w:line="326" w:lineRule="exact" w:before="0"/>
        <w:ind w:left="3861" w:right="-19" w:firstLine="0"/>
        <w:jc w:val="left"/>
        <w:rPr>
          <w:rFonts w:ascii="宋体" w:hAnsi="宋体" w:cs="宋体" w:eastAsia="宋体" w:hint="default"/>
          <w:sz w:val="18"/>
          <w:szCs w:val="18"/>
        </w:rPr>
      </w:pPr>
      <w:r>
        <w:rPr/>
        <w:pict>
          <v:shape style="position:absolute;margin-left:79.704002pt;margin-top:13.178674pt;width:436.3pt;height:119.85pt;mso-position-horizontal-relative:page;mso-position-vertical-relative:paragraph;z-index:2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02"/>
                    <w:gridCol w:w="852"/>
                    <w:gridCol w:w="1558"/>
                    <w:gridCol w:w="844"/>
                    <w:gridCol w:w="1668"/>
                  </w:tblGrid>
                  <w:tr>
                    <w:trPr>
                      <w:trHeight w:val="212" w:hRule="exact"/>
                    </w:trPr>
                    <w:tc>
                      <w:tcPr>
                        <w:tcW w:w="6213" w:type="dxa"/>
                        <w:gridSpan w:val="3"/>
                        <w:tcBorders>
                          <w:top w:val="nil" w:sz="6" w:space="0" w:color="auto"/>
                          <w:left w:val="nil" w:sz="6" w:space="0" w:color="auto"/>
                          <w:bottom w:val="single" w:sz="4" w:space="0" w:color="000000"/>
                          <w:right w:val="nil" w:sz="6" w:space="0" w:color="auto"/>
                        </w:tcBorders>
                      </w:tcPr>
                      <w:p>
                        <w:pPr/>
                      </w:p>
                    </w:tc>
                    <w:tc>
                      <w:tcPr>
                        <w:tcW w:w="844"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1668" w:type="dxa"/>
                        <w:tcBorders>
                          <w:top w:val="nil" w:sz="6" w:space="0" w:color="auto"/>
                          <w:left w:val="nil" w:sz="6" w:space="0" w:color="auto"/>
                          <w:bottom w:val="single" w:sz="4" w:space="0" w:color="000000"/>
                          <w:right w:val="nil" w:sz="6" w:space="0" w:color="auto"/>
                        </w:tcBorders>
                      </w:tcPr>
                      <w:p>
                        <w:pPr/>
                      </w:p>
                    </w:tc>
                  </w:tr>
                  <w:tr>
                    <w:trPr>
                      <w:trHeight w:val="574" w:hRule="exact"/>
                    </w:trPr>
                    <w:tc>
                      <w:tcPr>
                        <w:tcW w:w="3802" w:type="dxa"/>
                        <w:tcBorders>
                          <w:top w:val="single" w:sz="4" w:space="0" w:color="000000"/>
                          <w:left w:val="nil" w:sz="6" w:space="0" w:color="auto"/>
                          <w:bottom w:val="nil" w:sz="6" w:space="0" w:color="auto"/>
                          <w:right w:val="nil" w:sz="6" w:space="0" w:color="auto"/>
                        </w:tcBorders>
                      </w:tcPr>
                      <w:p>
                        <w:pPr>
                          <w:pStyle w:val="TableParagraph"/>
                          <w:tabs>
                            <w:tab w:pos="2522" w:val="left" w:leader="none"/>
                          </w:tabs>
                          <w:spacing w:line="117" w:lineRule="auto" w:before="130"/>
                          <w:ind w:left="108" w:right="105"/>
                          <w:jc w:val="left"/>
                          <w:rPr>
                            <w:rFonts w:ascii="宋体" w:hAnsi="宋体" w:cs="宋体" w:eastAsia="宋体" w:hint="default"/>
                            <w:sz w:val="18"/>
                            <w:szCs w:val="18"/>
                          </w:rPr>
                        </w:pPr>
                        <w:r>
                          <w:rPr>
                            <w:rFonts w:ascii="宋体" w:hAnsi="宋体" w:cs="宋体" w:eastAsia="宋体" w:hint="default"/>
                            <w:spacing w:val="10"/>
                            <w:sz w:val="18"/>
                            <w:szCs w:val="18"/>
                          </w:rPr>
                          <w:t>单项金额重大并单项计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position w:val="-11"/>
                            <w:sz w:val="18"/>
                            <w:szCs w:val="18"/>
                          </w:rPr>
                          <w:t>提坏账准备的应收账款</w:t>
                          <w:tab/>
                        </w:r>
                        <w:r>
                          <w:rPr>
                            <w:rFonts w:ascii="宋体" w:hAnsi="宋体" w:cs="宋体" w:eastAsia="宋体" w:hint="default"/>
                            <w:sz w:val="18"/>
                            <w:szCs w:val="18"/>
                          </w:rPr>
                          <w:t>72,741,362.85</w:t>
                        </w:r>
                      </w:p>
                    </w:tc>
                    <w:tc>
                      <w:tcPr>
                        <w:tcW w:w="852"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right="105"/>
                          <w:jc w:val="right"/>
                          <w:rPr>
                            <w:rFonts w:ascii="宋体" w:hAnsi="宋体" w:cs="宋体" w:eastAsia="宋体" w:hint="default"/>
                            <w:sz w:val="18"/>
                            <w:szCs w:val="18"/>
                          </w:rPr>
                        </w:pPr>
                        <w:r>
                          <w:rPr>
                            <w:rFonts w:ascii="宋体"/>
                            <w:sz w:val="18"/>
                          </w:rPr>
                          <w:t>0.86%</w:t>
                        </w:r>
                      </w:p>
                    </w:tc>
                    <w:tc>
                      <w:tcPr>
                        <w:tcW w:w="1558"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right="111"/>
                          <w:jc w:val="right"/>
                          <w:rPr>
                            <w:rFonts w:ascii="宋体" w:hAnsi="宋体" w:cs="宋体" w:eastAsia="宋体" w:hint="default"/>
                            <w:sz w:val="18"/>
                            <w:szCs w:val="18"/>
                          </w:rPr>
                        </w:pPr>
                        <w:r>
                          <w:rPr>
                            <w:rFonts w:ascii="宋体"/>
                            <w:spacing w:val="-1"/>
                            <w:sz w:val="18"/>
                          </w:rPr>
                          <w:t>72,741,362.85</w:t>
                        </w:r>
                      </w:p>
                    </w:tc>
                    <w:tc>
                      <w:tcPr>
                        <w:tcW w:w="844"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right="0"/>
                          <w:jc w:val="center"/>
                          <w:rPr>
                            <w:rFonts w:ascii="宋体" w:hAnsi="宋体" w:cs="宋体" w:eastAsia="宋体" w:hint="default"/>
                            <w:sz w:val="18"/>
                            <w:szCs w:val="18"/>
                          </w:rPr>
                        </w:pPr>
                        <w:r>
                          <w:rPr>
                            <w:rFonts w:ascii="宋体"/>
                            <w:sz w:val="18"/>
                          </w:rPr>
                          <w:t>100.00%</w:t>
                        </w:r>
                      </w:p>
                    </w:tc>
                    <w:tc>
                      <w:tcPr>
                        <w:tcW w:w="1668"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right="107"/>
                          <w:jc w:val="right"/>
                          <w:rPr>
                            <w:rFonts w:ascii="宋体" w:hAnsi="宋体" w:cs="宋体" w:eastAsia="宋体" w:hint="default"/>
                            <w:sz w:val="18"/>
                            <w:szCs w:val="18"/>
                          </w:rPr>
                        </w:pPr>
                        <w:r>
                          <w:rPr>
                            <w:rFonts w:ascii="宋体"/>
                            <w:sz w:val="18"/>
                          </w:rPr>
                          <w:t>0.00</w:t>
                        </w:r>
                      </w:p>
                    </w:tc>
                  </w:tr>
                  <w:tr>
                    <w:trPr>
                      <w:trHeight w:val="602" w:hRule="exact"/>
                    </w:trPr>
                    <w:tc>
                      <w:tcPr>
                        <w:tcW w:w="3802" w:type="dxa"/>
                        <w:tcBorders>
                          <w:top w:val="nil" w:sz="6" w:space="0" w:color="auto"/>
                          <w:left w:val="nil" w:sz="6" w:space="0" w:color="auto"/>
                          <w:bottom w:val="nil" w:sz="6" w:space="0" w:color="auto"/>
                          <w:right w:val="nil" w:sz="6" w:space="0" w:color="auto"/>
                        </w:tcBorders>
                      </w:tcPr>
                      <w:p>
                        <w:pPr>
                          <w:pStyle w:val="TableParagraph"/>
                          <w:tabs>
                            <w:tab w:pos="2254" w:val="left" w:leader="none"/>
                          </w:tabs>
                          <w:spacing w:line="120" w:lineRule="auto" w:before="127"/>
                          <w:ind w:left="108" w:right="106"/>
                          <w:jc w:val="left"/>
                          <w:rPr>
                            <w:rFonts w:ascii="宋体" w:hAnsi="宋体" w:cs="宋体" w:eastAsia="宋体" w:hint="default"/>
                            <w:sz w:val="18"/>
                            <w:szCs w:val="18"/>
                          </w:rPr>
                        </w:pPr>
                        <w:r>
                          <w:rPr>
                            <w:rFonts w:ascii="宋体" w:hAnsi="宋体" w:cs="宋体" w:eastAsia="宋体" w:hint="default"/>
                            <w:spacing w:val="10"/>
                            <w:sz w:val="18"/>
                            <w:szCs w:val="18"/>
                          </w:rPr>
                          <w:t>按信用风险特征组合计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position w:val="-11"/>
                            <w:sz w:val="18"/>
                            <w:szCs w:val="18"/>
                          </w:rPr>
                          <w:t>提坏账准备的应收账款</w:t>
                          <w:tab/>
                        </w:r>
                        <w:r>
                          <w:rPr>
                            <w:rFonts w:ascii="宋体" w:hAnsi="宋体" w:cs="宋体" w:eastAsia="宋体" w:hint="default"/>
                            <w:spacing w:val="-1"/>
                            <w:sz w:val="18"/>
                            <w:szCs w:val="18"/>
                          </w:rPr>
                          <w:t>8,322,688,117.65</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5"/>
                          <w:jc w:val="right"/>
                          <w:rPr>
                            <w:rFonts w:ascii="宋体" w:hAnsi="宋体" w:cs="宋体" w:eastAsia="宋体" w:hint="default"/>
                            <w:sz w:val="18"/>
                            <w:szCs w:val="18"/>
                          </w:rPr>
                        </w:pPr>
                        <w:r>
                          <w:rPr>
                            <w:rFonts w:ascii="宋体"/>
                            <w:spacing w:val="-1"/>
                            <w:sz w:val="18"/>
                          </w:rPr>
                          <w:t>98.55%</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2"/>
                          <w:jc w:val="right"/>
                          <w:rPr>
                            <w:rFonts w:ascii="宋体" w:hAnsi="宋体" w:cs="宋体" w:eastAsia="宋体" w:hint="default"/>
                            <w:sz w:val="18"/>
                            <w:szCs w:val="18"/>
                          </w:rPr>
                        </w:pPr>
                        <w:r>
                          <w:rPr>
                            <w:rFonts w:ascii="宋体"/>
                            <w:spacing w:val="-7"/>
                            <w:sz w:val="18"/>
                          </w:rPr>
                          <w:t>1,172,444,097.16</w:t>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88" w:right="0"/>
                          <w:jc w:val="center"/>
                          <w:rPr>
                            <w:rFonts w:ascii="宋体" w:hAnsi="宋体" w:cs="宋体" w:eastAsia="宋体" w:hint="default"/>
                            <w:sz w:val="18"/>
                            <w:szCs w:val="18"/>
                          </w:rPr>
                        </w:pPr>
                        <w:r>
                          <w:rPr>
                            <w:rFonts w:ascii="宋体"/>
                            <w:sz w:val="18"/>
                          </w:rPr>
                          <w:t>14.09%</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8"/>
                          <w:jc w:val="right"/>
                          <w:rPr>
                            <w:rFonts w:ascii="宋体" w:hAnsi="宋体" w:cs="宋体" w:eastAsia="宋体" w:hint="default"/>
                            <w:sz w:val="18"/>
                            <w:szCs w:val="18"/>
                          </w:rPr>
                        </w:pPr>
                        <w:r>
                          <w:rPr>
                            <w:rFonts w:ascii="宋体"/>
                            <w:spacing w:val="-1"/>
                            <w:sz w:val="18"/>
                          </w:rPr>
                          <w:t>7,150,244,020.49</w:t>
                        </w:r>
                      </w:p>
                    </w:tc>
                  </w:tr>
                  <w:tr>
                    <w:trPr>
                      <w:trHeight w:val="674" w:hRule="exact"/>
                    </w:trPr>
                    <w:tc>
                      <w:tcPr>
                        <w:tcW w:w="3802" w:type="dxa"/>
                        <w:tcBorders>
                          <w:top w:val="nil" w:sz="6" w:space="0" w:color="auto"/>
                          <w:left w:val="nil" w:sz="6" w:space="0" w:color="auto"/>
                          <w:bottom w:val="single" w:sz="4" w:space="0" w:color="000000"/>
                          <w:right w:val="nil" w:sz="6" w:space="0" w:color="auto"/>
                        </w:tcBorders>
                      </w:tcPr>
                      <w:p>
                        <w:pPr>
                          <w:pStyle w:val="TableParagraph"/>
                          <w:spacing w:line="173" w:lineRule="exact"/>
                          <w:ind w:left="108" w:right="0"/>
                          <w:jc w:val="left"/>
                          <w:rPr>
                            <w:rFonts w:ascii="宋体" w:hAnsi="宋体" w:cs="宋体" w:eastAsia="宋体" w:hint="default"/>
                            <w:sz w:val="18"/>
                            <w:szCs w:val="18"/>
                          </w:rPr>
                        </w:pPr>
                        <w:r>
                          <w:rPr>
                            <w:rFonts w:ascii="宋体" w:hAnsi="宋体" w:cs="宋体" w:eastAsia="宋体" w:hint="default"/>
                            <w:spacing w:val="10"/>
                            <w:sz w:val="18"/>
                            <w:szCs w:val="18"/>
                          </w:rPr>
                          <w:t>单项金额不重大但单项</w:t>
                        </w:r>
                      </w:p>
                      <w:p>
                        <w:pPr>
                          <w:pStyle w:val="TableParagraph"/>
                          <w:tabs>
                            <w:tab w:pos="2522" w:val="left" w:leader="none"/>
                          </w:tabs>
                          <w:spacing w:line="240" w:lineRule="auto"/>
                          <w:ind w:left="108" w:right="105"/>
                          <w:jc w:val="left"/>
                          <w:rPr>
                            <w:rFonts w:ascii="宋体" w:hAnsi="宋体" w:cs="宋体" w:eastAsia="宋体" w:hint="default"/>
                            <w:sz w:val="18"/>
                            <w:szCs w:val="18"/>
                          </w:rPr>
                        </w:pPr>
                        <w:r>
                          <w:rPr>
                            <w:rFonts w:ascii="宋体" w:hAnsi="宋体" w:cs="宋体" w:eastAsia="宋体" w:hint="default"/>
                            <w:spacing w:val="10"/>
                            <w:sz w:val="18"/>
                            <w:szCs w:val="18"/>
                          </w:rPr>
                          <w:t>计提坏账准备的应收账</w:t>
                          <w:tab/>
                        </w:r>
                        <w:r>
                          <w:rPr>
                            <w:rFonts w:ascii="宋体" w:hAnsi="宋体" w:cs="宋体" w:eastAsia="宋体" w:hint="default"/>
                            <w:sz w:val="18"/>
                            <w:szCs w:val="18"/>
                          </w:rPr>
                          <w:t>49,642,455.50 </w:t>
                        </w:r>
                        <w:r>
                          <w:rPr>
                            <w:rFonts w:ascii="宋体" w:hAnsi="宋体" w:cs="宋体" w:eastAsia="宋体" w:hint="default"/>
                            <w:sz w:val="18"/>
                            <w:szCs w:val="18"/>
                          </w:rPr>
                          <w:t>款</w:t>
                        </w:r>
                      </w:p>
                    </w:tc>
                    <w:tc>
                      <w:tcPr>
                        <w:tcW w:w="85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0.59%</w:t>
                        </w: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11"/>
                          <w:jc w:val="right"/>
                          <w:rPr>
                            <w:rFonts w:ascii="宋体" w:hAnsi="宋体" w:cs="宋体" w:eastAsia="宋体" w:hint="default"/>
                            <w:sz w:val="18"/>
                            <w:szCs w:val="18"/>
                          </w:rPr>
                        </w:pPr>
                        <w:r>
                          <w:rPr>
                            <w:rFonts w:ascii="宋体"/>
                            <w:spacing w:val="-1"/>
                            <w:sz w:val="18"/>
                          </w:rPr>
                          <w:t>49,642,455.50</w:t>
                        </w:r>
                      </w:p>
                    </w:tc>
                    <w:tc>
                      <w:tcPr>
                        <w:tcW w:w="84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166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0.00</w:t>
                        </w:r>
                      </w:p>
                    </w:tc>
                  </w:tr>
                  <w:tr>
                    <w:trPr>
                      <w:trHeight w:val="305" w:hRule="exact"/>
                    </w:trPr>
                    <w:tc>
                      <w:tcPr>
                        <w:tcW w:w="3802" w:type="dxa"/>
                        <w:tcBorders>
                          <w:top w:val="single" w:sz="4" w:space="0" w:color="000000"/>
                          <w:left w:val="nil" w:sz="6" w:space="0" w:color="auto"/>
                          <w:bottom w:val="single" w:sz="12" w:space="0" w:color="000000"/>
                          <w:right w:val="nil" w:sz="6" w:space="0" w:color="auto"/>
                        </w:tcBorders>
                      </w:tcPr>
                      <w:p>
                        <w:pPr>
                          <w:pStyle w:val="TableParagraph"/>
                          <w:tabs>
                            <w:tab w:pos="2242" w:val="left" w:leader="none"/>
                          </w:tabs>
                          <w:spacing w:line="262" w:lineRule="exact"/>
                          <w:ind w:left="108" w:right="0"/>
                          <w:jc w:val="left"/>
                          <w:rPr>
                            <w:rFonts w:ascii="宋体" w:hAnsi="宋体" w:cs="宋体" w:eastAsia="宋体" w:hint="default"/>
                            <w:sz w:val="18"/>
                            <w:szCs w:val="18"/>
                          </w:rPr>
                        </w:pPr>
                        <w:r>
                          <w:rPr>
                            <w:rFonts w:ascii="宋体" w:hAnsi="宋体" w:cs="宋体" w:eastAsia="宋体" w:hint="default"/>
                            <w:b/>
                            <w:bCs/>
                            <w:position w:val="-2"/>
                            <w:sz w:val="18"/>
                            <w:szCs w:val="18"/>
                          </w:rPr>
                          <w:t>合计</w:t>
                          <w:tab/>
                        </w:r>
                        <w:r>
                          <w:rPr>
                            <w:rFonts w:ascii="宋体" w:hAnsi="宋体" w:cs="宋体" w:eastAsia="宋体" w:hint="default"/>
                            <w:b/>
                            <w:bCs/>
                            <w:sz w:val="18"/>
                            <w:szCs w:val="18"/>
                          </w:rPr>
                          <w:t>8,445,071,936.00</w:t>
                        </w:r>
                        <w:r>
                          <w:rPr>
                            <w:rFonts w:ascii="宋体" w:hAnsi="宋体" w:cs="宋体" w:eastAsia="宋体" w:hint="default"/>
                            <w:sz w:val="18"/>
                            <w:szCs w:val="18"/>
                          </w:rPr>
                        </w:r>
                      </w:p>
                    </w:tc>
                    <w:tc>
                      <w:tcPr>
                        <w:tcW w:w="852"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3"/>
                          <w:jc w:val="right"/>
                          <w:rPr>
                            <w:rFonts w:ascii="宋体" w:hAnsi="宋体" w:cs="宋体" w:eastAsia="宋体" w:hint="default"/>
                            <w:sz w:val="18"/>
                            <w:szCs w:val="18"/>
                          </w:rPr>
                        </w:pPr>
                        <w:r>
                          <w:rPr>
                            <w:rFonts w:ascii="宋体"/>
                            <w:b/>
                            <w:sz w:val="18"/>
                          </w:rPr>
                          <w:t>100.00%</w:t>
                        </w:r>
                        <w:r>
                          <w:rPr>
                            <w:rFonts w:ascii="宋体"/>
                            <w:sz w:val="18"/>
                          </w:rPr>
                        </w:r>
                      </w:p>
                    </w:tc>
                    <w:tc>
                      <w:tcPr>
                        <w:tcW w:w="1558"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9"/>
                          <w:jc w:val="right"/>
                          <w:rPr>
                            <w:rFonts w:ascii="宋体" w:hAnsi="宋体" w:cs="宋体" w:eastAsia="宋体" w:hint="default"/>
                            <w:sz w:val="18"/>
                            <w:szCs w:val="18"/>
                          </w:rPr>
                        </w:pPr>
                        <w:r>
                          <w:rPr>
                            <w:rFonts w:ascii="宋体"/>
                            <w:b/>
                            <w:spacing w:val="-8"/>
                            <w:sz w:val="18"/>
                          </w:rPr>
                          <w:t>1,294,827,915.51</w:t>
                        </w:r>
                        <w:r>
                          <w:rPr>
                            <w:rFonts w:ascii="宋体"/>
                            <w:sz w:val="18"/>
                          </w:rPr>
                        </w:r>
                      </w:p>
                    </w:tc>
                    <w:tc>
                      <w:tcPr>
                        <w:tcW w:w="844"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85" w:right="0"/>
                          <w:jc w:val="center"/>
                          <w:rPr>
                            <w:rFonts w:ascii="宋体" w:hAnsi="宋体" w:cs="宋体" w:eastAsia="宋体" w:hint="default"/>
                            <w:sz w:val="18"/>
                            <w:szCs w:val="18"/>
                          </w:rPr>
                        </w:pPr>
                        <w:r>
                          <w:rPr>
                            <w:rFonts w:ascii="宋体"/>
                            <w:b/>
                            <w:sz w:val="18"/>
                          </w:rPr>
                          <w:t>15.33%</w:t>
                        </w:r>
                        <w:r>
                          <w:rPr>
                            <w:rFonts w:ascii="宋体"/>
                            <w:sz w:val="18"/>
                          </w:rPr>
                        </w:r>
                      </w:p>
                    </w:tc>
                    <w:tc>
                      <w:tcPr>
                        <w:tcW w:w="1668"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7,150,244,020.49</w:t>
                        </w:r>
                        <w:r>
                          <w:rPr>
                            <w:rFonts w:ascii="宋体"/>
                            <w:sz w:val="18"/>
                          </w:rPr>
                        </w:r>
                      </w:p>
                    </w:tc>
                  </w:tr>
                </w:tbl>
                <w:p>
                  <w:pPr/>
                </w:p>
              </w:txbxContent>
            </v:textbox>
            <w10:wrap type="none"/>
          </v:shape>
        </w:pict>
      </w:r>
      <w:r>
        <w:rPr>
          <w:rFonts w:ascii="宋体" w:hAnsi="宋体" w:cs="宋体" w:eastAsia="宋体" w:hint="default"/>
          <w:b/>
          <w:bCs/>
          <w:sz w:val="18"/>
          <w:szCs w:val="18"/>
        </w:rPr>
        <w:t>金额</w:t>
        <w:tab/>
        <w:t>比例</w:t>
        <w:tab/>
        <w:t>金额</w:t>
        <w:tab/>
      </w:r>
      <w:r>
        <w:rPr>
          <w:rFonts w:ascii="宋体" w:hAnsi="宋体" w:cs="宋体" w:eastAsia="宋体" w:hint="default"/>
          <w:b/>
          <w:bCs/>
          <w:position w:val="12"/>
          <w:sz w:val="18"/>
          <w:szCs w:val="18"/>
        </w:rPr>
        <w:t>计提比</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14"/>
          <w:szCs w:val="14"/>
        </w:rPr>
      </w:pPr>
    </w:p>
    <w:p>
      <w:pPr>
        <w:spacing w:before="0"/>
        <w:ind w:left="584"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00" w:bottom="280" w:left="520" w:right="540"/>
          <w:cols w:num="2" w:equalWidth="0">
            <w:col w:w="7978" w:space="40"/>
            <w:col w:w="2832"/>
          </w:cols>
        </w:sectPr>
      </w:pPr>
    </w:p>
    <w:p>
      <w:pPr>
        <w:spacing w:before="6"/>
        <w:ind w:left="774" w:right="105"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年末单项金额重大并单独计提坏账准备的应收账款</w:t>
      </w:r>
    </w:p>
    <w:p>
      <w:pPr>
        <w:spacing w:line="240" w:lineRule="auto" w:before="6"/>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372"/>
        <w:gridCol w:w="1491"/>
        <w:gridCol w:w="1426"/>
        <w:gridCol w:w="948"/>
        <w:gridCol w:w="1488"/>
      </w:tblGrid>
      <w:tr>
        <w:trPr>
          <w:trHeight w:val="485" w:hRule="exact"/>
        </w:trPr>
        <w:tc>
          <w:tcPr>
            <w:tcW w:w="3372" w:type="dxa"/>
            <w:tcBorders>
              <w:top w:val="single" w:sz="12" w:space="0" w:color="000000"/>
              <w:left w:val="nil" w:sz="6" w:space="0" w:color="auto"/>
              <w:bottom w:val="single" w:sz="2" w:space="0" w:color="000000"/>
              <w:right w:val="nil" w:sz="6" w:space="0" w:color="auto"/>
            </w:tcBorders>
          </w:tcPr>
          <w:p>
            <w:pPr>
              <w:pStyle w:val="TableParagraph"/>
              <w:spacing w:line="240" w:lineRule="auto" w:before="89"/>
              <w:ind w:left="10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91" w:type="dxa"/>
            <w:tcBorders>
              <w:top w:val="single" w:sz="12" w:space="0" w:color="000000"/>
              <w:left w:val="nil" w:sz="6" w:space="0" w:color="auto"/>
              <w:bottom w:val="single" w:sz="2" w:space="0" w:color="000000"/>
              <w:right w:val="nil" w:sz="6" w:space="0" w:color="auto"/>
            </w:tcBorders>
          </w:tcPr>
          <w:p>
            <w:pPr>
              <w:pStyle w:val="TableParagraph"/>
              <w:spacing w:line="240" w:lineRule="auto" w:before="89"/>
              <w:ind w:left="90"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26" w:type="dxa"/>
            <w:tcBorders>
              <w:top w:val="single" w:sz="12" w:space="0" w:color="000000"/>
              <w:left w:val="nil" w:sz="6" w:space="0" w:color="auto"/>
              <w:bottom w:val="single" w:sz="2" w:space="0" w:color="000000"/>
              <w:right w:val="nil" w:sz="6" w:space="0" w:color="auto"/>
            </w:tcBorders>
          </w:tcPr>
          <w:p>
            <w:pPr>
              <w:pStyle w:val="TableParagraph"/>
              <w:spacing w:line="240" w:lineRule="auto" w:before="89"/>
              <w:ind w:right="34"/>
              <w:jc w:val="center"/>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948" w:type="dxa"/>
            <w:tcBorders>
              <w:top w:val="single" w:sz="12" w:space="0" w:color="000000"/>
              <w:left w:val="nil" w:sz="6" w:space="0" w:color="auto"/>
              <w:bottom w:val="single" w:sz="2" w:space="0" w:color="000000"/>
              <w:right w:val="nil" w:sz="6" w:space="0" w:color="auto"/>
            </w:tcBorders>
          </w:tcPr>
          <w:p>
            <w:pPr>
              <w:pStyle w:val="TableParagraph"/>
              <w:spacing w:line="206" w:lineRule="exact"/>
              <w:ind w:right="96"/>
              <w:jc w:val="center"/>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sz w:val="18"/>
                <w:szCs w:val="18"/>
              </w:rPr>
            </w:r>
          </w:p>
          <w:p>
            <w:pPr>
              <w:pStyle w:val="TableParagraph"/>
              <w:spacing w:line="234" w:lineRule="exact"/>
              <w:ind w:right="94"/>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1488" w:type="dxa"/>
            <w:tcBorders>
              <w:top w:val="single" w:sz="12" w:space="0" w:color="000000"/>
              <w:left w:val="nil" w:sz="6" w:space="0" w:color="auto"/>
              <w:bottom w:val="single" w:sz="2" w:space="0" w:color="000000"/>
              <w:right w:val="nil" w:sz="6" w:space="0" w:color="auto"/>
            </w:tcBorders>
          </w:tcPr>
          <w:p>
            <w:pPr>
              <w:pStyle w:val="TableParagraph"/>
              <w:spacing w:line="240" w:lineRule="auto" w:before="89"/>
              <w:ind w:right="67"/>
              <w:jc w:val="center"/>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287" w:hRule="exact"/>
        </w:trPr>
        <w:tc>
          <w:tcPr>
            <w:tcW w:w="3372" w:type="dxa"/>
            <w:tcBorders>
              <w:top w:val="single" w:sz="2"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中广传播集团有限公司</w:t>
            </w:r>
          </w:p>
        </w:tc>
        <w:tc>
          <w:tcPr>
            <w:tcW w:w="1491" w:type="dxa"/>
            <w:tcBorders>
              <w:top w:val="single" w:sz="2" w:space="0" w:color="000000"/>
              <w:left w:val="nil" w:sz="6" w:space="0" w:color="auto"/>
              <w:bottom w:val="nil" w:sz="6" w:space="0" w:color="auto"/>
              <w:right w:val="nil" w:sz="6" w:space="0" w:color="auto"/>
            </w:tcBorders>
          </w:tcPr>
          <w:p>
            <w:pPr>
              <w:pStyle w:val="TableParagraph"/>
              <w:spacing w:line="232" w:lineRule="exact"/>
              <w:ind w:left="103" w:right="0"/>
              <w:jc w:val="center"/>
              <w:rPr>
                <w:rFonts w:ascii="宋体" w:hAnsi="宋体" w:cs="宋体" w:eastAsia="宋体" w:hint="default"/>
                <w:sz w:val="18"/>
                <w:szCs w:val="18"/>
              </w:rPr>
            </w:pPr>
            <w:r>
              <w:rPr>
                <w:rFonts w:ascii="宋体"/>
                <w:sz w:val="18"/>
              </w:rPr>
              <w:t>72,741,362.85</w:t>
            </w:r>
          </w:p>
        </w:tc>
        <w:tc>
          <w:tcPr>
            <w:tcW w:w="1426" w:type="dxa"/>
            <w:tcBorders>
              <w:top w:val="single" w:sz="2" w:space="0" w:color="000000"/>
              <w:left w:val="nil" w:sz="6" w:space="0" w:color="auto"/>
              <w:bottom w:val="nil" w:sz="6" w:space="0" w:color="auto"/>
              <w:right w:val="nil" w:sz="6" w:space="0" w:color="auto"/>
            </w:tcBorders>
          </w:tcPr>
          <w:p>
            <w:pPr>
              <w:pStyle w:val="TableParagraph"/>
              <w:spacing w:line="232" w:lineRule="exact"/>
              <w:ind w:right="21"/>
              <w:jc w:val="center"/>
              <w:rPr>
                <w:rFonts w:ascii="宋体" w:hAnsi="宋体" w:cs="宋体" w:eastAsia="宋体" w:hint="default"/>
                <w:sz w:val="18"/>
                <w:szCs w:val="18"/>
              </w:rPr>
            </w:pPr>
            <w:r>
              <w:rPr>
                <w:rFonts w:ascii="宋体"/>
                <w:sz w:val="18"/>
              </w:rPr>
              <w:t>72,741,362.85</w:t>
            </w:r>
          </w:p>
        </w:tc>
        <w:tc>
          <w:tcPr>
            <w:tcW w:w="948" w:type="dxa"/>
            <w:tcBorders>
              <w:top w:val="single" w:sz="2" w:space="0" w:color="000000"/>
              <w:left w:val="nil" w:sz="6" w:space="0" w:color="auto"/>
              <w:bottom w:val="nil" w:sz="6" w:space="0" w:color="auto"/>
              <w:right w:val="nil" w:sz="6" w:space="0" w:color="auto"/>
            </w:tcBorders>
          </w:tcPr>
          <w:p>
            <w:pPr>
              <w:pStyle w:val="TableParagraph"/>
              <w:spacing w:line="232" w:lineRule="exact"/>
              <w:ind w:left="143" w:right="0"/>
              <w:jc w:val="left"/>
              <w:rPr>
                <w:rFonts w:ascii="宋体" w:hAnsi="宋体" w:cs="宋体" w:eastAsia="宋体" w:hint="default"/>
                <w:sz w:val="18"/>
                <w:szCs w:val="18"/>
              </w:rPr>
            </w:pPr>
            <w:r>
              <w:rPr>
                <w:rFonts w:ascii="宋体"/>
                <w:sz w:val="18"/>
              </w:rPr>
              <w:t>100.00%</w:t>
            </w:r>
          </w:p>
        </w:tc>
        <w:tc>
          <w:tcPr>
            <w:tcW w:w="1488" w:type="dxa"/>
            <w:tcBorders>
              <w:top w:val="single" w:sz="2" w:space="0" w:color="000000"/>
              <w:left w:val="nil" w:sz="6" w:space="0" w:color="auto"/>
              <w:bottom w:val="nil" w:sz="6" w:space="0" w:color="auto"/>
              <w:right w:val="nil" w:sz="6" w:space="0" w:color="auto"/>
            </w:tcBorders>
          </w:tcPr>
          <w:p>
            <w:pPr>
              <w:pStyle w:val="TableParagraph"/>
              <w:spacing w:line="232" w:lineRule="exact"/>
              <w:ind w:right="64"/>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289" w:hRule="exact"/>
        </w:trPr>
        <w:tc>
          <w:tcPr>
            <w:tcW w:w="3372" w:type="dxa"/>
            <w:tcBorders>
              <w:top w:val="nil" w:sz="6" w:space="0" w:color="auto"/>
              <w:left w:val="nil" w:sz="6" w:space="0" w:color="auto"/>
              <w:bottom w:val="single" w:sz="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中海油田服务股份有限公司天津分公司</w:t>
            </w:r>
          </w:p>
        </w:tc>
        <w:tc>
          <w:tcPr>
            <w:tcW w:w="1491" w:type="dxa"/>
            <w:tcBorders>
              <w:top w:val="nil" w:sz="6" w:space="0" w:color="auto"/>
              <w:left w:val="nil" w:sz="6" w:space="0" w:color="auto"/>
              <w:bottom w:val="single" w:sz="2" w:space="0" w:color="000000"/>
              <w:right w:val="nil" w:sz="6" w:space="0" w:color="auto"/>
            </w:tcBorders>
          </w:tcPr>
          <w:p>
            <w:pPr>
              <w:pStyle w:val="TableParagraph"/>
              <w:spacing w:line="233" w:lineRule="exact"/>
              <w:ind w:left="103" w:right="0"/>
              <w:jc w:val="center"/>
              <w:rPr>
                <w:rFonts w:ascii="宋体" w:hAnsi="宋体" w:cs="宋体" w:eastAsia="宋体" w:hint="default"/>
                <w:sz w:val="18"/>
                <w:szCs w:val="18"/>
              </w:rPr>
            </w:pPr>
            <w:r>
              <w:rPr>
                <w:rFonts w:ascii="宋体"/>
                <w:sz w:val="18"/>
              </w:rPr>
              <w:t>10,580,060.00</w:t>
            </w:r>
          </w:p>
        </w:tc>
        <w:tc>
          <w:tcPr>
            <w:tcW w:w="1426" w:type="dxa"/>
            <w:tcBorders>
              <w:top w:val="nil" w:sz="6" w:space="0" w:color="auto"/>
              <w:left w:val="nil" w:sz="6" w:space="0" w:color="auto"/>
              <w:bottom w:val="single" w:sz="2" w:space="0" w:color="000000"/>
              <w:right w:val="nil" w:sz="6" w:space="0" w:color="auto"/>
            </w:tcBorders>
          </w:tcPr>
          <w:p>
            <w:pPr>
              <w:pStyle w:val="TableParagraph"/>
              <w:spacing w:line="233" w:lineRule="exact"/>
              <w:ind w:right="21"/>
              <w:jc w:val="center"/>
              <w:rPr>
                <w:rFonts w:ascii="宋体" w:hAnsi="宋体" w:cs="宋体" w:eastAsia="宋体" w:hint="default"/>
                <w:sz w:val="18"/>
                <w:szCs w:val="18"/>
              </w:rPr>
            </w:pPr>
            <w:r>
              <w:rPr>
                <w:rFonts w:ascii="宋体"/>
                <w:sz w:val="18"/>
              </w:rPr>
              <w:t>10,580,060.00</w:t>
            </w:r>
          </w:p>
        </w:tc>
        <w:tc>
          <w:tcPr>
            <w:tcW w:w="948" w:type="dxa"/>
            <w:tcBorders>
              <w:top w:val="nil" w:sz="6" w:space="0" w:color="auto"/>
              <w:left w:val="nil" w:sz="6" w:space="0" w:color="auto"/>
              <w:bottom w:val="single" w:sz="2" w:space="0" w:color="000000"/>
              <w:right w:val="nil" w:sz="6" w:space="0" w:color="auto"/>
            </w:tcBorders>
          </w:tcPr>
          <w:p>
            <w:pPr>
              <w:pStyle w:val="TableParagraph"/>
              <w:spacing w:line="233" w:lineRule="exact"/>
              <w:ind w:left="143" w:right="0"/>
              <w:jc w:val="left"/>
              <w:rPr>
                <w:rFonts w:ascii="宋体" w:hAnsi="宋体" w:cs="宋体" w:eastAsia="宋体" w:hint="default"/>
                <w:sz w:val="18"/>
                <w:szCs w:val="18"/>
              </w:rPr>
            </w:pPr>
            <w:r>
              <w:rPr>
                <w:rFonts w:ascii="宋体"/>
                <w:sz w:val="18"/>
              </w:rPr>
              <w:t>100.00%</w:t>
            </w:r>
          </w:p>
        </w:tc>
        <w:tc>
          <w:tcPr>
            <w:tcW w:w="1488" w:type="dxa"/>
            <w:tcBorders>
              <w:top w:val="nil" w:sz="6" w:space="0" w:color="auto"/>
              <w:left w:val="nil" w:sz="6" w:space="0" w:color="auto"/>
              <w:bottom w:val="single" w:sz="2" w:space="0" w:color="000000"/>
              <w:right w:val="nil" w:sz="6" w:space="0" w:color="auto"/>
            </w:tcBorders>
          </w:tcPr>
          <w:p>
            <w:pPr>
              <w:pStyle w:val="TableParagraph"/>
              <w:spacing w:line="233" w:lineRule="exact"/>
              <w:ind w:right="64"/>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02" w:hRule="exact"/>
        </w:trPr>
        <w:tc>
          <w:tcPr>
            <w:tcW w:w="3372" w:type="dxa"/>
            <w:tcBorders>
              <w:top w:val="single" w:sz="2"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91" w:type="dxa"/>
            <w:tcBorders>
              <w:top w:val="single" w:sz="2" w:space="0" w:color="000000"/>
              <w:left w:val="nil" w:sz="6" w:space="0" w:color="auto"/>
              <w:bottom w:val="single" w:sz="12" w:space="0" w:color="000000"/>
              <w:right w:val="nil" w:sz="6" w:space="0" w:color="auto"/>
            </w:tcBorders>
          </w:tcPr>
          <w:p>
            <w:pPr>
              <w:pStyle w:val="TableParagraph"/>
              <w:spacing w:line="232" w:lineRule="exact"/>
              <w:ind w:left="95" w:right="0"/>
              <w:jc w:val="center"/>
              <w:rPr>
                <w:rFonts w:ascii="宋体" w:hAnsi="宋体" w:cs="宋体" w:eastAsia="宋体" w:hint="default"/>
                <w:sz w:val="18"/>
                <w:szCs w:val="18"/>
              </w:rPr>
            </w:pPr>
            <w:r>
              <w:rPr>
                <w:rFonts w:ascii="宋体"/>
                <w:b/>
                <w:sz w:val="18"/>
              </w:rPr>
              <w:t>83,321,422.85</w:t>
            </w:r>
            <w:r>
              <w:rPr>
                <w:rFonts w:ascii="宋体"/>
                <w:sz w:val="18"/>
              </w:rPr>
            </w:r>
          </w:p>
        </w:tc>
        <w:tc>
          <w:tcPr>
            <w:tcW w:w="1426" w:type="dxa"/>
            <w:tcBorders>
              <w:top w:val="single" w:sz="2" w:space="0" w:color="000000"/>
              <w:left w:val="nil" w:sz="6" w:space="0" w:color="auto"/>
              <w:bottom w:val="single" w:sz="12" w:space="0" w:color="000000"/>
              <w:right w:val="nil" w:sz="6" w:space="0" w:color="auto"/>
            </w:tcBorders>
          </w:tcPr>
          <w:p>
            <w:pPr>
              <w:pStyle w:val="TableParagraph"/>
              <w:spacing w:line="232" w:lineRule="exact"/>
              <w:ind w:right="29"/>
              <w:jc w:val="center"/>
              <w:rPr>
                <w:rFonts w:ascii="宋体" w:hAnsi="宋体" w:cs="宋体" w:eastAsia="宋体" w:hint="default"/>
                <w:sz w:val="18"/>
                <w:szCs w:val="18"/>
              </w:rPr>
            </w:pPr>
            <w:r>
              <w:rPr>
                <w:rFonts w:ascii="宋体"/>
                <w:b/>
                <w:sz w:val="18"/>
              </w:rPr>
              <w:t>83,321,422.85</w:t>
            </w:r>
            <w:r>
              <w:rPr>
                <w:rFonts w:ascii="宋体"/>
                <w:sz w:val="18"/>
              </w:rPr>
            </w:r>
          </w:p>
        </w:tc>
        <w:tc>
          <w:tcPr>
            <w:tcW w:w="948" w:type="dxa"/>
            <w:tcBorders>
              <w:top w:val="single" w:sz="2" w:space="0" w:color="000000"/>
              <w:left w:val="nil" w:sz="6" w:space="0" w:color="auto"/>
              <w:bottom w:val="single" w:sz="12" w:space="0" w:color="000000"/>
              <w:right w:val="nil" w:sz="6" w:space="0" w:color="auto"/>
            </w:tcBorders>
          </w:tcPr>
          <w:p>
            <w:pPr>
              <w:pStyle w:val="TableParagraph"/>
              <w:spacing w:line="232" w:lineRule="exact"/>
              <w:ind w:left="139" w:right="0"/>
              <w:jc w:val="left"/>
              <w:rPr>
                <w:rFonts w:ascii="宋体" w:hAnsi="宋体" w:cs="宋体" w:eastAsia="宋体" w:hint="default"/>
                <w:sz w:val="18"/>
                <w:szCs w:val="18"/>
              </w:rPr>
            </w:pPr>
            <w:r>
              <w:rPr>
                <w:rFonts w:ascii="宋体"/>
                <w:b/>
                <w:sz w:val="18"/>
              </w:rPr>
              <w:t>100.00%</w:t>
            </w:r>
            <w:r>
              <w:rPr>
                <w:rFonts w:ascii="宋体"/>
                <w:sz w:val="18"/>
              </w:rPr>
            </w:r>
          </w:p>
        </w:tc>
        <w:tc>
          <w:tcPr>
            <w:tcW w:w="1488" w:type="dxa"/>
            <w:tcBorders>
              <w:top w:val="single" w:sz="2" w:space="0" w:color="000000"/>
              <w:left w:val="nil" w:sz="6" w:space="0" w:color="auto"/>
              <w:bottom w:val="single" w:sz="12" w:space="0" w:color="000000"/>
              <w:right w:val="nil" w:sz="6" w:space="0" w:color="auto"/>
            </w:tcBorders>
          </w:tcPr>
          <w:p>
            <w:pPr>
              <w:pStyle w:val="TableParagraph"/>
              <w:spacing w:line="232" w:lineRule="exact"/>
              <w:ind w:right="67"/>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before="81"/>
        <w:ind w:left="774" w:right="105"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组合中，按账龄分析法计提坏账准备的应收账款</w:t>
      </w:r>
    </w:p>
    <w:p>
      <w:pPr>
        <w:spacing w:line="240" w:lineRule="auto" w:before="8"/>
        <w:rPr>
          <w:rFonts w:ascii="宋体" w:hAnsi="宋体" w:cs="宋体" w:eastAsia="宋体" w:hint="default"/>
          <w:sz w:val="11"/>
          <w:szCs w:val="11"/>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2377;height:2" coordorigin="14,14" coordsize="2377,2">
              <v:shape style="position:absolute;left:14;top:14;width:2377;height:2" coordorigin="14,14" coordsize="2377,0" path="m14,14l2391,14e" filled="false" stroked="true" strokeweight="1.44pt" strokecolor="#000000">
                <v:path arrowok="t"/>
              </v:shape>
            </v:group>
            <v:group style="position:absolute;left:2391;top:14;width:29;height:2" coordorigin="2391,14" coordsize="29,2">
              <v:shape style="position:absolute;left:2391;top:14;width:29;height:2" coordorigin="2391,14" coordsize="29,0" path="m2391,14l2420,14e" filled="false" stroked="true" strokeweight="1.44pt" strokecolor="#000000">
                <v:path arrowok="t"/>
              </v:shape>
            </v:group>
            <v:group style="position:absolute;left:2420;top:14;width:6321;height:2" coordorigin="2420,14" coordsize="6321,2">
              <v:shape style="position:absolute;left:2420;top:14;width:6321;height:2" coordorigin="2420,14" coordsize="6321,0" path="m2420,14l8740,14e" filled="false" stroked="true" strokeweight="1.44pt" strokecolor="#000000">
                <v:path arrowok="t"/>
              </v:shape>
            </v:group>
          </v:group>
        </w:pict>
      </w:r>
      <w:r>
        <w:rPr>
          <w:rFonts w:ascii="宋体" w:hAnsi="宋体" w:cs="宋体" w:eastAsia="宋体" w:hint="default"/>
          <w:position w:val="0"/>
          <w:sz w:val="2"/>
          <w:szCs w:val="2"/>
        </w:rPr>
      </w:r>
    </w:p>
    <w:p>
      <w:pPr>
        <w:spacing w:line="194" w:lineRule="exact" w:before="0"/>
        <w:ind w:left="2276" w:right="0" w:firstLine="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p>
      <w:pPr>
        <w:spacing w:line="157" w:lineRule="exact" w:before="0"/>
        <w:ind w:left="242" w:right="105" w:firstLine="0"/>
        <w:jc w:val="left"/>
        <w:rPr>
          <w:rFonts w:ascii="宋体" w:hAnsi="宋体" w:cs="宋体" w:eastAsia="宋体" w:hint="default"/>
          <w:sz w:val="18"/>
          <w:szCs w:val="18"/>
        </w:rPr>
      </w:pPr>
      <w:r>
        <w:rPr/>
        <w:pict>
          <v:group style="position:absolute;margin-left:198.289993pt;margin-top:4.623045pt;width:317.95pt;height:.5pt;mso-position-horizontal-relative:page;mso-position-vertical-relative:paragraph;z-index:2896" coordorigin="3966,92" coordsize="6359,10">
            <v:group style="position:absolute;left:3971;top:97;width:2115;height:2" coordorigin="3971,97" coordsize="2115,2">
              <v:shape style="position:absolute;left:3971;top:97;width:2115;height:2" coordorigin="3971,97" coordsize="2115,0" path="m3971,97l6085,97e" filled="false" stroked="true" strokeweight=".48pt" strokecolor="#000000">
                <v:path arrowok="t"/>
              </v:shape>
            </v:group>
            <v:group style="position:absolute;left:6085;top:97;width:10;height:2" coordorigin="6085,97" coordsize="10,2">
              <v:shape style="position:absolute;left:6085;top:97;width:10;height:2" coordorigin="6085,97" coordsize="10,0" path="m6085,97l6095,97e" filled="false" stroked="true" strokeweight=".48pt" strokecolor="#000000">
                <v:path arrowok="t"/>
              </v:shape>
            </v:group>
            <v:group style="position:absolute;left:6095;top:97;width:2105;height:2" coordorigin="6095,97" coordsize="2105,2">
              <v:shape style="position:absolute;left:6095;top:97;width:2105;height:2" coordorigin="6095,97" coordsize="2105,0" path="m6095,97l8200,97e" filled="false" stroked="true" strokeweight=".48pt" strokecolor="#000000">
                <v:path arrowok="t"/>
              </v:shape>
            </v:group>
            <v:group style="position:absolute;left:8200;top:97;width:10;height:2" coordorigin="8200,97" coordsize="10,2">
              <v:shape style="position:absolute;left:8200;top:97;width:10;height:2" coordorigin="8200,97" coordsize="10,0" path="m8200,97l8209,97e" filled="false" stroked="true" strokeweight=".48pt" strokecolor="#000000">
                <v:path arrowok="t"/>
              </v:shape>
            </v:group>
            <v:group style="position:absolute;left:8209;top:97;width:2110;height:2" coordorigin="8209,97" coordsize="2110,2">
              <v:shape style="position:absolute;left:8209;top:97;width:2110;height:2" coordorigin="8209,97" coordsize="2110,0" path="m8209,97l10319,97e" filled="false" stroked="true" strokeweight=".48pt" strokecolor="#000000">
                <v:path arrowok="t"/>
              </v:shape>
            </v:group>
            <w10:wrap type="none"/>
          </v:group>
        </w:pict>
      </w:r>
      <w:r>
        <w:rPr>
          <w:rFonts w:ascii="宋体" w:hAnsi="宋体" w:cs="宋体" w:eastAsia="宋体" w:hint="default"/>
          <w:b/>
          <w:bCs/>
          <w:sz w:val="18"/>
          <w:szCs w:val="18"/>
        </w:rPr>
        <w:t>账龄</w:t>
      </w:r>
      <w:r>
        <w:rPr>
          <w:rFonts w:ascii="宋体" w:hAnsi="宋体" w:cs="宋体" w:eastAsia="宋体" w:hint="default"/>
          <w:sz w:val="18"/>
          <w:szCs w:val="18"/>
        </w:rPr>
      </w:r>
    </w:p>
    <w:p>
      <w:pPr>
        <w:tabs>
          <w:tab w:pos="4573" w:val="left" w:leader="none"/>
          <w:tab w:pos="6510" w:val="left" w:leader="none"/>
        </w:tabs>
        <w:spacing w:line="196" w:lineRule="exact" w:before="0"/>
        <w:ind w:left="2278" w:right="0" w:firstLine="0"/>
        <w:jc w:val="center"/>
        <w:rPr>
          <w:rFonts w:ascii="宋体" w:hAnsi="宋体" w:cs="宋体" w:eastAsia="宋体" w:hint="default"/>
          <w:sz w:val="18"/>
          <w:szCs w:val="18"/>
        </w:rPr>
      </w:pPr>
      <w:r>
        <w:rPr>
          <w:rFonts w:ascii="宋体" w:hAnsi="宋体" w:cs="宋体" w:eastAsia="宋体" w:hint="default"/>
          <w:b/>
          <w:bCs/>
          <w:w w:val="95"/>
          <w:sz w:val="18"/>
          <w:szCs w:val="18"/>
        </w:rPr>
        <w:t>应收账款</w:t>
        <w:tab/>
      </w:r>
      <w:r>
        <w:rPr>
          <w:rFonts w:ascii="宋体" w:hAnsi="宋体" w:cs="宋体" w:eastAsia="宋体" w:hint="default"/>
          <w:b/>
          <w:bCs/>
          <w:sz w:val="18"/>
          <w:szCs w:val="18"/>
        </w:rPr>
        <w:t>比重</w:t>
        <w:tab/>
        <w:t>坏账准备</w:t>
      </w:r>
      <w:r>
        <w:rPr>
          <w:rFonts w:ascii="宋体" w:hAnsi="宋体" w:cs="宋体" w:eastAsia="宋体" w:hint="default"/>
          <w:sz w:val="18"/>
          <w:szCs w:val="18"/>
        </w:rPr>
      </w:r>
    </w:p>
    <w:p>
      <w:pPr>
        <w:spacing w:line="240" w:lineRule="auto" w:before="6"/>
        <w:rPr>
          <w:rFonts w:ascii="宋体" w:hAnsi="宋体" w:cs="宋体" w:eastAsia="宋体" w:hint="default"/>
          <w:b/>
          <w:bCs/>
          <w:sz w:val="4"/>
          <w:szCs w:val="4"/>
        </w:rPr>
      </w:pPr>
    </w:p>
    <w:tbl>
      <w:tblPr>
        <w:tblW w:w="0" w:type="auto"/>
        <w:jc w:val="left"/>
        <w:tblInd w:w="134" w:type="dxa"/>
        <w:tblLayout w:type="fixed"/>
        <w:tblCellMar>
          <w:top w:w="0" w:type="dxa"/>
          <w:left w:w="0" w:type="dxa"/>
          <w:bottom w:w="0" w:type="dxa"/>
          <w:right w:w="0" w:type="dxa"/>
        </w:tblCellMar>
        <w:tblLook w:val="01E0"/>
      </w:tblPr>
      <w:tblGrid>
        <w:gridCol w:w="1858"/>
        <w:gridCol w:w="3264"/>
        <w:gridCol w:w="1710"/>
        <w:gridCol w:w="1892"/>
      </w:tblGrid>
      <w:tr>
        <w:trPr>
          <w:trHeight w:val="289" w:hRule="exact"/>
        </w:trPr>
        <w:tc>
          <w:tcPr>
            <w:tcW w:w="1858"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3264" w:type="dxa"/>
            <w:tcBorders>
              <w:top w:val="single" w:sz="4" w:space="0" w:color="000000"/>
              <w:left w:val="nil" w:sz="6" w:space="0" w:color="auto"/>
              <w:bottom w:val="nil" w:sz="6" w:space="0" w:color="auto"/>
              <w:right w:val="nil" w:sz="6" w:space="0" w:color="auto"/>
            </w:tcBorders>
          </w:tcPr>
          <w:p>
            <w:pPr>
              <w:pStyle w:val="TableParagraph"/>
              <w:spacing w:line="232" w:lineRule="exact"/>
              <w:ind w:right="737"/>
              <w:jc w:val="right"/>
              <w:rPr>
                <w:rFonts w:ascii="宋体" w:hAnsi="宋体" w:cs="宋体" w:eastAsia="宋体" w:hint="default"/>
                <w:sz w:val="18"/>
                <w:szCs w:val="18"/>
              </w:rPr>
            </w:pPr>
            <w:r>
              <w:rPr>
                <w:rFonts w:ascii="宋体"/>
                <w:spacing w:val="-1"/>
                <w:sz w:val="18"/>
              </w:rPr>
              <w:t>6,030,542,330.42</w:t>
            </w:r>
          </w:p>
        </w:tc>
        <w:tc>
          <w:tcPr>
            <w:tcW w:w="1710" w:type="dxa"/>
            <w:tcBorders>
              <w:top w:val="single" w:sz="4" w:space="0" w:color="000000"/>
              <w:left w:val="nil" w:sz="6" w:space="0" w:color="auto"/>
              <w:bottom w:val="nil" w:sz="6" w:space="0" w:color="auto"/>
              <w:right w:val="nil" w:sz="6" w:space="0" w:color="auto"/>
            </w:tcBorders>
          </w:tcPr>
          <w:p>
            <w:pPr>
              <w:pStyle w:val="TableParagraph"/>
              <w:spacing w:line="232" w:lineRule="exact"/>
              <w:ind w:right="332"/>
              <w:jc w:val="right"/>
              <w:rPr>
                <w:rFonts w:ascii="宋体" w:hAnsi="宋体" w:cs="宋体" w:eastAsia="宋体" w:hint="default"/>
                <w:sz w:val="18"/>
                <w:szCs w:val="18"/>
              </w:rPr>
            </w:pPr>
            <w:r>
              <w:rPr>
                <w:rFonts w:ascii="宋体"/>
                <w:spacing w:val="-1"/>
                <w:sz w:val="18"/>
              </w:rPr>
              <w:t>61.85%</w:t>
            </w:r>
          </w:p>
        </w:tc>
        <w:tc>
          <w:tcPr>
            <w:tcW w:w="1892"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60,301,885.44</w:t>
            </w:r>
          </w:p>
        </w:tc>
      </w:tr>
      <w:tr>
        <w:trPr>
          <w:trHeight w:val="286" w:hRule="exact"/>
        </w:trPr>
        <w:tc>
          <w:tcPr>
            <w:tcW w:w="185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264" w:type="dxa"/>
            <w:tcBorders>
              <w:top w:val="nil" w:sz="6" w:space="0" w:color="auto"/>
              <w:left w:val="nil" w:sz="6" w:space="0" w:color="auto"/>
              <w:bottom w:val="nil" w:sz="6" w:space="0" w:color="auto"/>
              <w:right w:val="nil" w:sz="6" w:space="0" w:color="auto"/>
            </w:tcBorders>
          </w:tcPr>
          <w:p>
            <w:pPr>
              <w:pStyle w:val="TableParagraph"/>
              <w:spacing w:line="233" w:lineRule="exact"/>
              <w:ind w:right="737"/>
              <w:jc w:val="right"/>
              <w:rPr>
                <w:rFonts w:ascii="宋体" w:hAnsi="宋体" w:cs="宋体" w:eastAsia="宋体" w:hint="default"/>
                <w:sz w:val="18"/>
                <w:szCs w:val="18"/>
              </w:rPr>
            </w:pPr>
            <w:r>
              <w:rPr>
                <w:rFonts w:ascii="宋体"/>
                <w:spacing w:val="-1"/>
                <w:sz w:val="18"/>
              </w:rPr>
              <w:t>913,606,680.61</w:t>
            </w:r>
          </w:p>
        </w:tc>
        <w:tc>
          <w:tcPr>
            <w:tcW w:w="1710" w:type="dxa"/>
            <w:tcBorders>
              <w:top w:val="nil" w:sz="6" w:space="0" w:color="auto"/>
              <w:left w:val="nil" w:sz="6" w:space="0" w:color="auto"/>
              <w:bottom w:val="nil" w:sz="6" w:space="0" w:color="auto"/>
              <w:right w:val="nil" w:sz="6" w:space="0" w:color="auto"/>
            </w:tcBorders>
          </w:tcPr>
          <w:p>
            <w:pPr>
              <w:pStyle w:val="TableParagraph"/>
              <w:spacing w:line="233" w:lineRule="exact"/>
              <w:ind w:right="332"/>
              <w:jc w:val="right"/>
              <w:rPr>
                <w:rFonts w:ascii="宋体" w:hAnsi="宋体" w:cs="宋体" w:eastAsia="宋体" w:hint="default"/>
                <w:sz w:val="18"/>
                <w:szCs w:val="18"/>
              </w:rPr>
            </w:pPr>
            <w:r>
              <w:rPr>
                <w:rFonts w:ascii="宋体"/>
                <w:sz w:val="18"/>
              </w:rPr>
              <w:t>9.37%</w:t>
            </w:r>
          </w:p>
        </w:tc>
        <w:tc>
          <w:tcPr>
            <w:tcW w:w="1892"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45,680,334.05</w:t>
            </w:r>
          </w:p>
        </w:tc>
      </w:tr>
      <w:tr>
        <w:trPr>
          <w:trHeight w:val="286" w:hRule="exact"/>
        </w:trPr>
        <w:tc>
          <w:tcPr>
            <w:tcW w:w="185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264" w:type="dxa"/>
            <w:tcBorders>
              <w:top w:val="nil" w:sz="6" w:space="0" w:color="auto"/>
              <w:left w:val="nil" w:sz="6" w:space="0" w:color="auto"/>
              <w:bottom w:val="nil" w:sz="6" w:space="0" w:color="auto"/>
              <w:right w:val="nil" w:sz="6" w:space="0" w:color="auto"/>
            </w:tcBorders>
          </w:tcPr>
          <w:p>
            <w:pPr>
              <w:pStyle w:val="TableParagraph"/>
              <w:spacing w:line="233" w:lineRule="exact"/>
              <w:ind w:right="737"/>
              <w:jc w:val="right"/>
              <w:rPr>
                <w:rFonts w:ascii="宋体" w:hAnsi="宋体" w:cs="宋体" w:eastAsia="宋体" w:hint="default"/>
                <w:sz w:val="18"/>
                <w:szCs w:val="18"/>
              </w:rPr>
            </w:pPr>
            <w:r>
              <w:rPr>
                <w:rFonts w:ascii="宋体"/>
                <w:spacing w:val="-1"/>
                <w:sz w:val="18"/>
              </w:rPr>
              <w:t>1,097,924,332.61</w:t>
            </w:r>
          </w:p>
        </w:tc>
        <w:tc>
          <w:tcPr>
            <w:tcW w:w="1710" w:type="dxa"/>
            <w:tcBorders>
              <w:top w:val="nil" w:sz="6" w:space="0" w:color="auto"/>
              <w:left w:val="nil" w:sz="6" w:space="0" w:color="auto"/>
              <w:bottom w:val="nil" w:sz="6" w:space="0" w:color="auto"/>
              <w:right w:val="nil" w:sz="6" w:space="0" w:color="auto"/>
            </w:tcBorders>
          </w:tcPr>
          <w:p>
            <w:pPr>
              <w:pStyle w:val="TableParagraph"/>
              <w:spacing w:line="233" w:lineRule="exact"/>
              <w:ind w:right="332"/>
              <w:jc w:val="right"/>
              <w:rPr>
                <w:rFonts w:ascii="宋体" w:hAnsi="宋体" w:cs="宋体" w:eastAsia="宋体" w:hint="default"/>
                <w:sz w:val="18"/>
                <w:szCs w:val="18"/>
              </w:rPr>
            </w:pPr>
            <w:r>
              <w:rPr>
                <w:rFonts w:ascii="宋体"/>
                <w:spacing w:val="-1"/>
                <w:sz w:val="18"/>
              </w:rPr>
              <w:t>11.26%</w:t>
            </w:r>
          </w:p>
        </w:tc>
        <w:tc>
          <w:tcPr>
            <w:tcW w:w="1892"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164,692,187.83</w:t>
            </w:r>
          </w:p>
        </w:tc>
      </w:tr>
      <w:tr>
        <w:trPr>
          <w:trHeight w:val="285" w:hRule="exact"/>
        </w:trPr>
        <w:tc>
          <w:tcPr>
            <w:tcW w:w="185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264" w:type="dxa"/>
            <w:tcBorders>
              <w:top w:val="nil" w:sz="6" w:space="0" w:color="auto"/>
              <w:left w:val="nil" w:sz="6" w:space="0" w:color="auto"/>
              <w:bottom w:val="nil" w:sz="6" w:space="0" w:color="auto"/>
              <w:right w:val="nil" w:sz="6" w:space="0" w:color="auto"/>
            </w:tcBorders>
          </w:tcPr>
          <w:p>
            <w:pPr>
              <w:pStyle w:val="TableParagraph"/>
              <w:spacing w:line="233" w:lineRule="exact"/>
              <w:ind w:right="737"/>
              <w:jc w:val="right"/>
              <w:rPr>
                <w:rFonts w:ascii="宋体" w:hAnsi="宋体" w:cs="宋体" w:eastAsia="宋体" w:hint="default"/>
                <w:sz w:val="18"/>
                <w:szCs w:val="18"/>
              </w:rPr>
            </w:pPr>
            <w:r>
              <w:rPr>
                <w:rFonts w:ascii="宋体"/>
                <w:spacing w:val="-1"/>
                <w:sz w:val="18"/>
              </w:rPr>
              <w:t>410,282,704.95</w:t>
            </w:r>
          </w:p>
        </w:tc>
        <w:tc>
          <w:tcPr>
            <w:tcW w:w="1710" w:type="dxa"/>
            <w:tcBorders>
              <w:top w:val="nil" w:sz="6" w:space="0" w:color="auto"/>
              <w:left w:val="nil" w:sz="6" w:space="0" w:color="auto"/>
              <w:bottom w:val="nil" w:sz="6" w:space="0" w:color="auto"/>
              <w:right w:val="nil" w:sz="6" w:space="0" w:color="auto"/>
            </w:tcBorders>
          </w:tcPr>
          <w:p>
            <w:pPr>
              <w:pStyle w:val="TableParagraph"/>
              <w:spacing w:line="233" w:lineRule="exact"/>
              <w:ind w:right="332"/>
              <w:jc w:val="right"/>
              <w:rPr>
                <w:rFonts w:ascii="宋体" w:hAnsi="宋体" w:cs="宋体" w:eastAsia="宋体" w:hint="default"/>
                <w:sz w:val="18"/>
                <w:szCs w:val="18"/>
              </w:rPr>
            </w:pPr>
            <w:r>
              <w:rPr>
                <w:rFonts w:ascii="宋体"/>
                <w:sz w:val="18"/>
              </w:rPr>
              <w:t>4.21%</w:t>
            </w:r>
          </w:p>
        </w:tc>
        <w:tc>
          <w:tcPr>
            <w:tcW w:w="1892"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123,084,811.47</w:t>
            </w:r>
          </w:p>
        </w:tc>
      </w:tr>
      <w:tr>
        <w:trPr>
          <w:trHeight w:val="284" w:hRule="exact"/>
        </w:trPr>
        <w:tc>
          <w:tcPr>
            <w:tcW w:w="185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264" w:type="dxa"/>
            <w:tcBorders>
              <w:top w:val="nil" w:sz="6" w:space="0" w:color="auto"/>
              <w:left w:val="nil" w:sz="6" w:space="0" w:color="auto"/>
              <w:bottom w:val="nil" w:sz="6" w:space="0" w:color="auto"/>
              <w:right w:val="nil" w:sz="6" w:space="0" w:color="auto"/>
            </w:tcBorders>
          </w:tcPr>
          <w:p>
            <w:pPr>
              <w:pStyle w:val="TableParagraph"/>
              <w:spacing w:line="232" w:lineRule="exact"/>
              <w:ind w:right="737"/>
              <w:jc w:val="right"/>
              <w:rPr>
                <w:rFonts w:ascii="宋体" w:hAnsi="宋体" w:cs="宋体" w:eastAsia="宋体" w:hint="default"/>
                <w:sz w:val="18"/>
                <w:szCs w:val="18"/>
              </w:rPr>
            </w:pPr>
            <w:r>
              <w:rPr>
                <w:rFonts w:ascii="宋体"/>
                <w:spacing w:val="-1"/>
                <w:sz w:val="18"/>
              </w:rPr>
              <w:t>175,985,381.39</w:t>
            </w:r>
          </w:p>
        </w:tc>
        <w:tc>
          <w:tcPr>
            <w:tcW w:w="1710" w:type="dxa"/>
            <w:tcBorders>
              <w:top w:val="nil" w:sz="6" w:space="0" w:color="auto"/>
              <w:left w:val="nil" w:sz="6" w:space="0" w:color="auto"/>
              <w:bottom w:val="nil" w:sz="6" w:space="0" w:color="auto"/>
              <w:right w:val="nil" w:sz="6" w:space="0" w:color="auto"/>
            </w:tcBorders>
          </w:tcPr>
          <w:p>
            <w:pPr>
              <w:pStyle w:val="TableParagraph"/>
              <w:spacing w:line="232" w:lineRule="exact"/>
              <w:ind w:right="332"/>
              <w:jc w:val="right"/>
              <w:rPr>
                <w:rFonts w:ascii="宋体" w:hAnsi="宋体" w:cs="宋体" w:eastAsia="宋体" w:hint="default"/>
                <w:sz w:val="18"/>
                <w:szCs w:val="18"/>
              </w:rPr>
            </w:pPr>
            <w:r>
              <w:rPr>
                <w:rFonts w:ascii="宋体"/>
                <w:sz w:val="18"/>
              </w:rPr>
              <w:t>1.80%</w:t>
            </w:r>
          </w:p>
        </w:tc>
        <w:tc>
          <w:tcPr>
            <w:tcW w:w="1892"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87,992,690.89</w:t>
            </w:r>
          </w:p>
        </w:tc>
      </w:tr>
      <w:tr>
        <w:trPr>
          <w:trHeight w:val="291" w:hRule="exact"/>
        </w:trPr>
        <w:tc>
          <w:tcPr>
            <w:tcW w:w="1858"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264" w:type="dxa"/>
            <w:tcBorders>
              <w:top w:val="nil" w:sz="6" w:space="0" w:color="auto"/>
              <w:left w:val="nil" w:sz="6" w:space="0" w:color="auto"/>
              <w:bottom w:val="single" w:sz="4" w:space="0" w:color="000000"/>
              <w:right w:val="nil" w:sz="6" w:space="0" w:color="auto"/>
            </w:tcBorders>
          </w:tcPr>
          <w:p>
            <w:pPr>
              <w:pStyle w:val="TableParagraph"/>
              <w:spacing w:line="233" w:lineRule="exact"/>
              <w:ind w:right="737"/>
              <w:jc w:val="right"/>
              <w:rPr>
                <w:rFonts w:ascii="宋体" w:hAnsi="宋体" w:cs="宋体" w:eastAsia="宋体" w:hint="default"/>
                <w:sz w:val="18"/>
                <w:szCs w:val="18"/>
              </w:rPr>
            </w:pPr>
            <w:r>
              <w:rPr>
                <w:rFonts w:ascii="宋体"/>
                <w:spacing w:val="-1"/>
                <w:sz w:val="18"/>
              </w:rPr>
              <w:t>1,121,846,958.61</w:t>
            </w:r>
          </w:p>
        </w:tc>
        <w:tc>
          <w:tcPr>
            <w:tcW w:w="1710" w:type="dxa"/>
            <w:tcBorders>
              <w:top w:val="nil" w:sz="6" w:space="0" w:color="auto"/>
              <w:left w:val="nil" w:sz="6" w:space="0" w:color="auto"/>
              <w:bottom w:val="single" w:sz="4" w:space="0" w:color="000000"/>
              <w:right w:val="nil" w:sz="6" w:space="0" w:color="auto"/>
            </w:tcBorders>
          </w:tcPr>
          <w:p>
            <w:pPr>
              <w:pStyle w:val="TableParagraph"/>
              <w:spacing w:line="233" w:lineRule="exact"/>
              <w:ind w:right="332"/>
              <w:jc w:val="right"/>
              <w:rPr>
                <w:rFonts w:ascii="宋体" w:hAnsi="宋体" w:cs="宋体" w:eastAsia="宋体" w:hint="default"/>
                <w:sz w:val="18"/>
                <w:szCs w:val="18"/>
              </w:rPr>
            </w:pPr>
            <w:r>
              <w:rPr>
                <w:rFonts w:ascii="宋体"/>
                <w:spacing w:val="-1"/>
                <w:sz w:val="18"/>
              </w:rPr>
              <w:t>11.51%</w:t>
            </w:r>
          </w:p>
        </w:tc>
        <w:tc>
          <w:tcPr>
            <w:tcW w:w="1892" w:type="dxa"/>
            <w:tcBorders>
              <w:top w:val="nil" w:sz="6" w:space="0" w:color="auto"/>
              <w:left w:val="nil" w:sz="6" w:space="0" w:color="auto"/>
              <w:bottom w:val="single" w:sz="4"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1,121,846,958.62</w:t>
            </w:r>
          </w:p>
        </w:tc>
      </w:tr>
      <w:tr>
        <w:trPr>
          <w:trHeight w:val="307" w:hRule="exact"/>
        </w:trPr>
        <w:tc>
          <w:tcPr>
            <w:tcW w:w="1858"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64"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737"/>
              <w:jc w:val="right"/>
              <w:rPr>
                <w:rFonts w:ascii="宋体" w:hAnsi="宋体" w:cs="宋体" w:eastAsia="宋体" w:hint="default"/>
                <w:sz w:val="18"/>
                <w:szCs w:val="18"/>
              </w:rPr>
            </w:pPr>
            <w:r>
              <w:rPr>
                <w:rFonts w:ascii="宋体"/>
                <w:b/>
                <w:w w:val="95"/>
                <w:sz w:val="18"/>
              </w:rPr>
              <w:t>9,750,188,388.59</w:t>
            </w:r>
            <w:r>
              <w:rPr>
                <w:rFonts w:ascii="宋体"/>
                <w:sz w:val="18"/>
              </w:rPr>
            </w:r>
          </w:p>
        </w:tc>
        <w:tc>
          <w:tcPr>
            <w:tcW w:w="1710"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330"/>
              <w:jc w:val="right"/>
              <w:rPr>
                <w:rFonts w:ascii="宋体" w:hAnsi="宋体" w:cs="宋体" w:eastAsia="宋体" w:hint="default"/>
                <w:sz w:val="18"/>
                <w:szCs w:val="18"/>
              </w:rPr>
            </w:pPr>
            <w:r>
              <w:rPr>
                <w:rFonts w:ascii="宋体"/>
                <w:b/>
                <w:sz w:val="18"/>
              </w:rPr>
              <w:t>100.00%</w:t>
            </w:r>
            <w:r>
              <w:rPr>
                <w:rFonts w:ascii="宋体"/>
                <w:sz w:val="18"/>
              </w:rPr>
            </w:r>
          </w:p>
        </w:tc>
        <w:tc>
          <w:tcPr>
            <w:tcW w:w="1892"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1,603,598,868.30</w:t>
            </w:r>
            <w:r>
              <w:rPr>
                <w:rFonts w:ascii="宋体"/>
                <w:sz w:val="18"/>
              </w:rPr>
            </w:r>
          </w:p>
        </w:tc>
      </w:tr>
    </w:tbl>
    <w:p>
      <w:pPr>
        <w:spacing w:before="67"/>
        <w:ind w:left="695" w:right="105"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3"/>
          <w:sz w:val="22"/>
          <w:szCs w:val="22"/>
        </w:rPr>
        <w:t> </w:t>
      </w:r>
      <w:r>
        <w:rPr>
          <w:rFonts w:ascii="宋体" w:hAnsi="宋体" w:cs="宋体" w:eastAsia="宋体" w:hint="default"/>
          <w:sz w:val="22"/>
          <w:szCs w:val="22"/>
        </w:rPr>
        <w:t>年末单项金额虽不重大但单独计提坏账准备的应收账款</w:t>
      </w:r>
    </w:p>
    <w:p>
      <w:pPr>
        <w:spacing w:line="240" w:lineRule="auto" w:before="5"/>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531"/>
        <w:gridCol w:w="1505"/>
        <w:gridCol w:w="1354"/>
        <w:gridCol w:w="1005"/>
        <w:gridCol w:w="1331"/>
      </w:tblGrid>
      <w:tr>
        <w:trPr>
          <w:trHeight w:val="302" w:hRule="exact"/>
        </w:trPr>
        <w:tc>
          <w:tcPr>
            <w:tcW w:w="3531"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05"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54" w:type="dxa"/>
            <w:tcBorders>
              <w:top w:val="single" w:sz="12" w:space="0" w:color="000000"/>
              <w:left w:val="nil" w:sz="6" w:space="0" w:color="auto"/>
              <w:bottom w:val="single" w:sz="2" w:space="0" w:color="000000"/>
              <w:right w:val="nil" w:sz="6" w:space="0" w:color="auto"/>
            </w:tcBorders>
          </w:tcPr>
          <w:p>
            <w:pPr>
              <w:pStyle w:val="TableParagraph"/>
              <w:spacing w:line="232" w:lineRule="exact"/>
              <w:ind w:right="48"/>
              <w:jc w:val="center"/>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005" w:type="dxa"/>
            <w:tcBorders>
              <w:top w:val="single" w:sz="12" w:space="0" w:color="000000"/>
              <w:left w:val="nil" w:sz="6" w:space="0" w:color="auto"/>
              <w:bottom w:val="single" w:sz="2" w:space="0" w:color="000000"/>
              <w:right w:val="nil" w:sz="6" w:space="0" w:color="auto"/>
            </w:tcBorders>
          </w:tcPr>
          <w:p>
            <w:pPr>
              <w:pStyle w:val="TableParagraph"/>
              <w:spacing w:line="232" w:lineRule="exact"/>
              <w:ind w:right="162"/>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宋体" w:hAnsi="宋体" w:cs="宋体" w:eastAsia="宋体" w:hint="default"/>
                <w:sz w:val="18"/>
                <w:szCs w:val="18"/>
              </w:rPr>
            </w:r>
          </w:p>
        </w:tc>
        <w:tc>
          <w:tcPr>
            <w:tcW w:w="1331" w:type="dxa"/>
            <w:tcBorders>
              <w:top w:val="single" w:sz="12" w:space="0" w:color="000000"/>
              <w:left w:val="nil" w:sz="6" w:space="0" w:color="auto"/>
              <w:bottom w:val="single" w:sz="2" w:space="0" w:color="000000"/>
              <w:right w:val="nil" w:sz="6" w:space="0" w:color="auto"/>
            </w:tcBorders>
          </w:tcPr>
          <w:p>
            <w:pPr>
              <w:pStyle w:val="TableParagraph"/>
              <w:spacing w:line="232" w:lineRule="exact"/>
              <w:ind w:right="37"/>
              <w:jc w:val="center"/>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290" w:hRule="exact"/>
        </w:trPr>
        <w:tc>
          <w:tcPr>
            <w:tcW w:w="3531" w:type="dxa"/>
            <w:tcBorders>
              <w:top w:val="single" w:sz="2" w:space="0" w:color="000000"/>
              <w:left w:val="nil" w:sz="6" w:space="0" w:color="auto"/>
              <w:bottom w:val="single" w:sz="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黑龙江省龙视网络有限责任公司等</w:t>
            </w:r>
            <w:r>
              <w:rPr>
                <w:rFonts w:ascii="宋体" w:hAnsi="宋体" w:cs="宋体" w:eastAsia="宋体" w:hint="default"/>
                <w:spacing w:val="-44"/>
                <w:sz w:val="18"/>
                <w:szCs w:val="18"/>
              </w:rPr>
              <w:t> </w:t>
            </w: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家</w:t>
            </w:r>
          </w:p>
        </w:tc>
        <w:tc>
          <w:tcPr>
            <w:tcW w:w="1505" w:type="dxa"/>
            <w:tcBorders>
              <w:top w:val="single" w:sz="2" w:space="0" w:color="000000"/>
              <w:left w:val="nil" w:sz="6" w:space="0" w:color="auto"/>
              <w:bottom w:val="single" w:sz="2" w:space="0" w:color="000000"/>
              <w:right w:val="nil" w:sz="6" w:space="0" w:color="auto"/>
            </w:tcBorders>
          </w:tcPr>
          <w:p>
            <w:pPr>
              <w:pStyle w:val="TableParagraph"/>
              <w:spacing w:line="232" w:lineRule="exact"/>
              <w:ind w:left="278" w:right="0"/>
              <w:jc w:val="left"/>
              <w:rPr>
                <w:rFonts w:ascii="宋体" w:hAnsi="宋体" w:cs="宋体" w:eastAsia="宋体" w:hint="default"/>
                <w:sz w:val="18"/>
                <w:szCs w:val="18"/>
              </w:rPr>
            </w:pPr>
            <w:r>
              <w:rPr>
                <w:rFonts w:ascii="宋体"/>
                <w:sz w:val="18"/>
              </w:rPr>
              <w:t>5,913,139.46</w:t>
            </w:r>
          </w:p>
        </w:tc>
        <w:tc>
          <w:tcPr>
            <w:tcW w:w="1354" w:type="dxa"/>
            <w:tcBorders>
              <w:top w:val="single" w:sz="2" w:space="0" w:color="000000"/>
              <w:left w:val="nil" w:sz="6" w:space="0" w:color="auto"/>
              <w:bottom w:val="single" w:sz="2" w:space="0" w:color="000000"/>
              <w:right w:val="nil" w:sz="6" w:space="0" w:color="auto"/>
            </w:tcBorders>
          </w:tcPr>
          <w:p>
            <w:pPr>
              <w:pStyle w:val="TableParagraph"/>
              <w:spacing w:line="232" w:lineRule="exact"/>
              <w:ind w:left="38" w:right="0"/>
              <w:jc w:val="center"/>
              <w:rPr>
                <w:rFonts w:ascii="宋体" w:hAnsi="宋体" w:cs="宋体" w:eastAsia="宋体" w:hint="default"/>
                <w:sz w:val="18"/>
                <w:szCs w:val="18"/>
              </w:rPr>
            </w:pPr>
            <w:r>
              <w:rPr>
                <w:rFonts w:ascii="宋体"/>
                <w:sz w:val="18"/>
              </w:rPr>
              <w:t>5,913,139.46</w:t>
            </w:r>
          </w:p>
        </w:tc>
        <w:tc>
          <w:tcPr>
            <w:tcW w:w="1005" w:type="dxa"/>
            <w:tcBorders>
              <w:top w:val="single" w:sz="2" w:space="0" w:color="000000"/>
              <w:left w:val="nil" w:sz="6" w:space="0" w:color="auto"/>
              <w:bottom w:val="single" w:sz="2" w:space="0" w:color="000000"/>
              <w:right w:val="nil" w:sz="6" w:space="0" w:color="auto"/>
            </w:tcBorders>
          </w:tcPr>
          <w:p>
            <w:pPr>
              <w:pStyle w:val="TableParagraph"/>
              <w:spacing w:line="232" w:lineRule="exact"/>
              <w:ind w:right="140"/>
              <w:jc w:val="right"/>
              <w:rPr>
                <w:rFonts w:ascii="宋体" w:hAnsi="宋体" w:cs="宋体" w:eastAsia="宋体" w:hint="default"/>
                <w:sz w:val="18"/>
                <w:szCs w:val="18"/>
              </w:rPr>
            </w:pPr>
            <w:r>
              <w:rPr>
                <w:rFonts w:ascii="宋体"/>
                <w:sz w:val="18"/>
              </w:rPr>
              <w:t>100.00%</w:t>
            </w:r>
          </w:p>
        </w:tc>
        <w:tc>
          <w:tcPr>
            <w:tcW w:w="1331" w:type="dxa"/>
            <w:tcBorders>
              <w:top w:val="single" w:sz="2" w:space="0" w:color="000000"/>
              <w:left w:val="nil" w:sz="6" w:space="0" w:color="auto"/>
              <w:bottom w:val="single" w:sz="2" w:space="0" w:color="000000"/>
              <w:right w:val="nil" w:sz="6" w:space="0" w:color="auto"/>
            </w:tcBorders>
          </w:tcPr>
          <w:p>
            <w:pPr>
              <w:pStyle w:val="TableParagraph"/>
              <w:spacing w:line="232" w:lineRule="exact"/>
              <w:ind w:left="30" w:right="0"/>
              <w:jc w:val="center"/>
              <w:rPr>
                <w:rFonts w:ascii="宋体" w:hAnsi="宋体" w:cs="宋体" w:eastAsia="宋体" w:hint="default"/>
                <w:sz w:val="18"/>
                <w:szCs w:val="18"/>
              </w:rPr>
            </w:pPr>
            <w:r>
              <w:rPr>
                <w:rFonts w:ascii="宋体" w:hAnsi="宋体" w:cs="宋体" w:eastAsia="宋体" w:hint="default"/>
                <w:sz w:val="18"/>
                <w:szCs w:val="18"/>
              </w:rPr>
              <w:t>款项无法收回</w:t>
            </w:r>
          </w:p>
        </w:tc>
      </w:tr>
      <w:tr>
        <w:trPr>
          <w:trHeight w:val="305" w:hRule="exact"/>
        </w:trPr>
        <w:tc>
          <w:tcPr>
            <w:tcW w:w="3531" w:type="dxa"/>
            <w:tcBorders>
              <w:top w:val="single" w:sz="2" w:space="0" w:color="000000"/>
              <w:left w:val="nil" w:sz="6" w:space="0" w:color="auto"/>
              <w:bottom w:val="single" w:sz="12" w:space="0" w:color="000000"/>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05" w:type="dxa"/>
            <w:tcBorders>
              <w:top w:val="single" w:sz="2" w:space="0" w:color="000000"/>
              <w:left w:val="nil" w:sz="6" w:space="0" w:color="auto"/>
              <w:bottom w:val="single" w:sz="12" w:space="0" w:color="000000"/>
              <w:right w:val="nil" w:sz="6" w:space="0" w:color="auto"/>
            </w:tcBorders>
          </w:tcPr>
          <w:p>
            <w:pPr>
              <w:pStyle w:val="TableParagraph"/>
              <w:spacing w:line="232" w:lineRule="exact"/>
              <w:ind w:left="268" w:right="0"/>
              <w:jc w:val="left"/>
              <w:rPr>
                <w:rFonts w:ascii="宋体" w:hAnsi="宋体" w:cs="宋体" w:eastAsia="宋体" w:hint="default"/>
                <w:sz w:val="18"/>
                <w:szCs w:val="18"/>
              </w:rPr>
            </w:pPr>
            <w:r>
              <w:rPr>
                <w:rFonts w:ascii="宋体"/>
                <w:b/>
                <w:sz w:val="18"/>
              </w:rPr>
              <w:t>5,913,139.46</w:t>
            </w:r>
            <w:r>
              <w:rPr>
                <w:rFonts w:ascii="宋体"/>
                <w:sz w:val="18"/>
              </w:rPr>
            </w:r>
          </w:p>
        </w:tc>
        <w:tc>
          <w:tcPr>
            <w:tcW w:w="1354" w:type="dxa"/>
            <w:tcBorders>
              <w:top w:val="single" w:sz="2" w:space="0" w:color="000000"/>
              <w:left w:val="nil" w:sz="6" w:space="0" w:color="auto"/>
              <w:bottom w:val="single" w:sz="12" w:space="0" w:color="000000"/>
              <w:right w:val="nil" w:sz="6" w:space="0" w:color="auto"/>
            </w:tcBorders>
          </w:tcPr>
          <w:p>
            <w:pPr>
              <w:pStyle w:val="TableParagraph"/>
              <w:spacing w:line="232" w:lineRule="exact"/>
              <w:ind w:left="28" w:right="0"/>
              <w:jc w:val="center"/>
              <w:rPr>
                <w:rFonts w:ascii="宋体" w:hAnsi="宋体" w:cs="宋体" w:eastAsia="宋体" w:hint="default"/>
                <w:sz w:val="18"/>
                <w:szCs w:val="18"/>
              </w:rPr>
            </w:pPr>
            <w:r>
              <w:rPr>
                <w:rFonts w:ascii="宋体"/>
                <w:b/>
                <w:sz w:val="18"/>
              </w:rPr>
              <w:t>5,913,139.46</w:t>
            </w:r>
            <w:r>
              <w:rPr>
                <w:rFonts w:ascii="宋体"/>
                <w:sz w:val="18"/>
              </w:rPr>
            </w:r>
          </w:p>
        </w:tc>
        <w:tc>
          <w:tcPr>
            <w:tcW w:w="1005" w:type="dxa"/>
            <w:tcBorders>
              <w:top w:val="single" w:sz="2" w:space="0" w:color="000000"/>
              <w:left w:val="nil" w:sz="6" w:space="0" w:color="auto"/>
              <w:bottom w:val="single" w:sz="12" w:space="0" w:color="000000"/>
              <w:right w:val="nil" w:sz="6" w:space="0" w:color="auto"/>
            </w:tcBorders>
          </w:tcPr>
          <w:p>
            <w:pPr>
              <w:pStyle w:val="TableParagraph"/>
              <w:spacing w:line="232" w:lineRule="exact"/>
              <w:ind w:right="138"/>
              <w:jc w:val="right"/>
              <w:rPr>
                <w:rFonts w:ascii="宋体" w:hAnsi="宋体" w:cs="宋体" w:eastAsia="宋体" w:hint="default"/>
                <w:sz w:val="18"/>
                <w:szCs w:val="18"/>
              </w:rPr>
            </w:pPr>
            <w:r>
              <w:rPr>
                <w:rFonts w:ascii="宋体"/>
                <w:b/>
                <w:sz w:val="18"/>
              </w:rPr>
              <w:t>100.00%</w:t>
            </w:r>
            <w:r>
              <w:rPr>
                <w:rFonts w:ascii="宋体"/>
                <w:sz w:val="18"/>
              </w:rPr>
            </w:r>
          </w:p>
        </w:tc>
        <w:tc>
          <w:tcPr>
            <w:tcW w:w="1331" w:type="dxa"/>
            <w:tcBorders>
              <w:top w:val="single" w:sz="2" w:space="0" w:color="000000"/>
              <w:left w:val="nil" w:sz="6" w:space="0" w:color="auto"/>
              <w:bottom w:val="single" w:sz="12" w:space="0" w:color="000000"/>
              <w:right w:val="nil" w:sz="6" w:space="0" w:color="auto"/>
            </w:tcBorders>
          </w:tcPr>
          <w:p>
            <w:pPr>
              <w:pStyle w:val="TableParagraph"/>
              <w:spacing w:line="240" w:lineRule="auto" w:before="22"/>
              <w:ind w:right="37"/>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line="297" w:lineRule="auto" w:before="81"/>
        <w:ind w:left="242" w:right="105" w:firstLine="453"/>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6"/>
          <w:sz w:val="22"/>
          <w:szCs w:val="22"/>
        </w:rPr>
        <w:t> </w:t>
      </w:r>
      <w:r>
        <w:rPr>
          <w:rFonts w:ascii="宋体" w:hAnsi="宋体" w:cs="宋体" w:eastAsia="宋体" w:hint="default"/>
          <w:sz w:val="22"/>
          <w:szCs w:val="22"/>
        </w:rPr>
        <w:t>本年按欠款方归集的年末余额前五名应收账款汇总金额为</w:t>
      </w:r>
      <w:r>
        <w:rPr>
          <w:rFonts w:ascii="宋体" w:hAnsi="宋体" w:cs="宋体" w:eastAsia="宋体" w:hint="default"/>
          <w:spacing w:val="-50"/>
          <w:sz w:val="22"/>
          <w:szCs w:val="22"/>
        </w:rPr>
        <w:t> </w:t>
      </w:r>
      <w:r>
        <w:rPr>
          <w:rFonts w:ascii="宋体" w:hAnsi="宋体" w:cs="宋体" w:eastAsia="宋体" w:hint="default"/>
          <w:sz w:val="22"/>
          <w:szCs w:val="22"/>
        </w:rPr>
        <w:t>1,752,116,065.85</w:t>
      </w:r>
      <w:r>
        <w:rPr>
          <w:rFonts w:ascii="宋体" w:hAnsi="宋体" w:cs="宋体" w:eastAsia="宋体" w:hint="default"/>
          <w:spacing w:val="-51"/>
          <w:sz w:val="22"/>
          <w:szCs w:val="22"/>
        </w:rPr>
        <w:t> </w:t>
      </w:r>
      <w:r>
        <w:rPr>
          <w:rFonts w:ascii="宋体" w:hAnsi="宋体" w:cs="宋体" w:eastAsia="宋体" w:hint="default"/>
          <w:sz w:val="22"/>
          <w:szCs w:val="22"/>
        </w:rPr>
        <w:t>元，</w:t>
      </w:r>
      <w:r>
        <w:rPr>
          <w:rFonts w:ascii="宋体" w:hAnsi="宋体" w:cs="宋体" w:eastAsia="宋体" w:hint="default"/>
          <w:w w:val="100"/>
          <w:sz w:val="22"/>
          <w:szCs w:val="22"/>
        </w:rPr>
        <w:t> </w:t>
      </w:r>
      <w:r>
        <w:rPr>
          <w:rFonts w:ascii="宋体" w:hAnsi="宋体" w:cs="宋体" w:eastAsia="宋体" w:hint="default"/>
          <w:spacing w:val="5"/>
          <w:sz w:val="22"/>
          <w:szCs w:val="22"/>
        </w:rPr>
        <w:t>占应收账款年末余额合计数的比例 </w:t>
      </w:r>
      <w:r>
        <w:rPr>
          <w:rFonts w:ascii="宋体" w:hAnsi="宋体" w:cs="宋体" w:eastAsia="宋体" w:hint="default"/>
          <w:spacing w:val="4"/>
          <w:sz w:val="22"/>
          <w:szCs w:val="22"/>
        </w:rPr>
        <w:t>17.81%</w:t>
      </w:r>
      <w:r>
        <w:rPr>
          <w:rFonts w:ascii="宋体" w:hAnsi="宋体" w:cs="宋体" w:eastAsia="宋体" w:hint="default"/>
          <w:spacing w:val="4"/>
          <w:sz w:val="22"/>
          <w:szCs w:val="22"/>
        </w:rPr>
        <w:t>，相应计提的坏账准备年末余额汇总金额为</w:t>
      </w:r>
      <w:r>
        <w:rPr>
          <w:rFonts w:ascii="宋体" w:hAnsi="宋体" w:cs="宋体" w:eastAsia="宋体" w:hint="default"/>
          <w:spacing w:val="-40"/>
          <w:sz w:val="22"/>
          <w:szCs w:val="22"/>
        </w:rPr>
        <w:t> </w:t>
      </w:r>
      <w:r>
        <w:rPr>
          <w:rFonts w:ascii="宋体" w:hAnsi="宋体" w:cs="宋体" w:eastAsia="宋体" w:hint="default"/>
          <w:spacing w:val="-40"/>
          <w:sz w:val="22"/>
          <w:szCs w:val="22"/>
        </w:rPr>
      </w:r>
      <w:r>
        <w:rPr>
          <w:rFonts w:ascii="宋体" w:hAnsi="宋体" w:cs="宋体" w:eastAsia="宋体" w:hint="default"/>
          <w:sz w:val="22"/>
          <w:szCs w:val="22"/>
        </w:rPr>
        <w:t>474,362,134.91</w:t>
      </w:r>
      <w:r>
        <w:rPr>
          <w:rFonts w:ascii="宋体" w:hAnsi="宋体" w:cs="宋体" w:eastAsia="宋体" w:hint="default"/>
          <w:spacing w:val="-54"/>
          <w:sz w:val="22"/>
          <w:szCs w:val="22"/>
        </w:rPr>
        <w:t> </w:t>
      </w:r>
      <w:r>
        <w:rPr>
          <w:rFonts w:ascii="宋体" w:hAnsi="宋体" w:cs="宋体" w:eastAsia="宋体" w:hint="default"/>
          <w:sz w:val="22"/>
          <w:szCs w:val="22"/>
        </w:rPr>
        <w:t>元。</w:t>
      </w:r>
    </w:p>
    <w:p>
      <w:pPr>
        <w:tabs>
          <w:tab w:pos="1041" w:val="left" w:leader="none"/>
        </w:tabs>
        <w:spacing w:before="75"/>
        <w:ind w:left="645" w:right="105"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tab/>
      </w:r>
      <w:r>
        <w:rPr>
          <w:rFonts w:ascii="宋体" w:hAnsi="宋体" w:cs="宋体" w:eastAsia="宋体" w:hint="default"/>
          <w:sz w:val="22"/>
          <w:szCs w:val="22"/>
        </w:rPr>
        <w:t>预付款项</w:t>
      </w:r>
    </w:p>
    <w:p>
      <w:pPr>
        <w:spacing w:before="113"/>
        <w:ind w:left="695" w:right="105"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11"/>
          <w:sz w:val="22"/>
          <w:szCs w:val="22"/>
        </w:rPr>
        <w:t> </w:t>
      </w:r>
      <w:r>
        <w:rPr>
          <w:rFonts w:ascii="宋体" w:hAnsi="宋体" w:cs="宋体" w:eastAsia="宋体" w:hint="default"/>
          <w:sz w:val="22"/>
          <w:szCs w:val="22"/>
        </w:rPr>
        <w:t>预付款项账龄</w:t>
      </w:r>
    </w:p>
    <w:p>
      <w:pPr>
        <w:spacing w:line="240" w:lineRule="auto" w:before="11"/>
        <w:rPr>
          <w:rFonts w:ascii="宋体" w:hAnsi="宋体" w:cs="宋体" w:eastAsia="宋体" w:hint="default"/>
          <w:sz w:val="12"/>
          <w:szCs w:val="12"/>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2120;height:2" coordorigin="14,14" coordsize="2120,2">
              <v:shape style="position:absolute;left:14;top:14;width:2120;height:2" coordorigin="14,14" coordsize="2120,0" path="m14,14l2134,14e" filled="false" stroked="true" strokeweight="1.44pt" strokecolor="#000000">
                <v:path arrowok="t"/>
              </v:shape>
            </v:group>
            <v:group style="position:absolute;left:2134;top:14;width:29;height:2" coordorigin="2134,14" coordsize="29,2">
              <v:shape style="position:absolute;left:2134;top:14;width:29;height:2" coordorigin="2134,14" coordsize="29,0" path="m2134,14l2163,14e" filled="false" stroked="true" strokeweight="1.44pt" strokecolor="#000000">
                <v:path arrowok="t"/>
              </v:shape>
            </v:group>
            <v:group style="position:absolute;left:2163;top:14;width:3262;height:2" coordorigin="2163,14" coordsize="3262,2">
              <v:shape style="position:absolute;left:2163;top:14;width:3262;height:2" coordorigin="2163,14" coordsize="3262,0" path="m2163,14l5425,14e" filled="false" stroked="true" strokeweight="1.44pt" strokecolor="#000000">
                <v:path arrowok="t"/>
              </v:shape>
            </v:group>
            <v:group style="position:absolute;left:5425;top:14;width:29;height:2" coordorigin="5425,14" coordsize="29,2">
              <v:shape style="position:absolute;left:5425;top:14;width:29;height:2" coordorigin="5425,14" coordsize="29,0" path="m5425,14l5454,14e" filled="false" stroked="true" strokeweight="1.44pt" strokecolor="#000000">
                <v:path arrowok="t"/>
              </v:shape>
            </v:group>
            <v:group style="position:absolute;left:5454;top:14;width:3286;height:2" coordorigin="5454,14" coordsize="3286,2">
              <v:shape style="position:absolute;left:5454;top:14;width:3286;height:2" coordorigin="5454,14" coordsize="3286,0" path="m5454,14l8740,14e" filled="false" stroked="true" strokeweight="1.44pt" strokecolor="#000000">
                <v:path arrowok="t"/>
              </v:shape>
            </v:group>
          </v:group>
        </w:pict>
      </w:r>
      <w:r>
        <w:rPr>
          <w:rFonts w:ascii="宋体" w:hAnsi="宋体" w:cs="宋体" w:eastAsia="宋体" w:hint="default"/>
          <w:position w:val="0"/>
          <w:sz w:val="2"/>
          <w:szCs w:val="2"/>
        </w:rPr>
      </w:r>
    </w:p>
    <w:p>
      <w:pPr>
        <w:tabs>
          <w:tab w:pos="5309" w:val="left" w:leader="none"/>
        </w:tabs>
        <w:spacing w:line="188" w:lineRule="exact" w:before="0"/>
        <w:ind w:left="2006" w:right="0" w:firstLine="0"/>
        <w:jc w:val="center"/>
        <w:rPr>
          <w:rFonts w:ascii="宋体" w:hAnsi="宋体" w:cs="宋体" w:eastAsia="宋体" w:hint="default"/>
          <w:sz w:val="18"/>
          <w:szCs w:val="18"/>
        </w:rPr>
      </w:pP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148" w:lineRule="exact" w:before="0"/>
        <w:ind w:left="242" w:right="105" w:firstLine="0"/>
        <w:jc w:val="left"/>
        <w:rPr>
          <w:rFonts w:ascii="宋体" w:hAnsi="宋体" w:cs="宋体" w:eastAsia="宋体" w:hint="default"/>
          <w:sz w:val="18"/>
          <w:szCs w:val="18"/>
        </w:rPr>
      </w:pPr>
      <w:r>
        <w:rPr/>
        <w:pict>
          <v:group style="position:absolute;margin-left:185.450012pt;margin-top:4.923057pt;width:330.8pt;height:.5pt;mso-position-horizontal-relative:page;mso-position-vertical-relative:paragraph;z-index:2920" coordorigin="3709,98" coordsize="6616,10">
            <v:group style="position:absolute;left:3714;top:103;width:1644;height:2" coordorigin="3714,103" coordsize="1644,2">
              <v:shape style="position:absolute;left:3714;top:103;width:1644;height:2" coordorigin="3714,103" coordsize="1644,0" path="m3714,103l5358,103e" filled="false" stroked="true" strokeweight=".47998pt" strokecolor="#000000">
                <v:path arrowok="t"/>
              </v:shape>
            </v:group>
            <v:group style="position:absolute;left:5358;top:103;width:10;height:2" coordorigin="5358,103" coordsize="10,2">
              <v:shape style="position:absolute;left:5358;top:103;width:10;height:2" coordorigin="5358,103" coordsize="10,0" path="m5358,103l5367,103e" filled="false" stroked="true" strokeweight=".47998pt" strokecolor="#000000">
                <v:path arrowok="t"/>
              </v:shape>
            </v:group>
            <v:group style="position:absolute;left:5367;top:103;width:1638;height:2" coordorigin="5367,103" coordsize="1638,2">
              <v:shape style="position:absolute;left:5367;top:103;width:1638;height:2" coordorigin="5367,103" coordsize="1638,0" path="m5367,103l7005,103e" filled="false" stroked="true" strokeweight=".47998pt" strokecolor="#000000">
                <v:path arrowok="t"/>
              </v:shape>
            </v:group>
            <v:group style="position:absolute;left:7005;top:103;width:10;height:2" coordorigin="7005,103" coordsize="10,2">
              <v:shape style="position:absolute;left:7005;top:103;width:10;height:2" coordorigin="7005,103" coordsize="10,0" path="m7005,103l7014,103e" filled="false" stroked="true" strokeweight=".47998pt" strokecolor="#000000">
                <v:path arrowok="t"/>
              </v:shape>
            </v:group>
            <v:group style="position:absolute;left:7014;top:103;width:1659;height:2" coordorigin="7014,103" coordsize="1659,2">
              <v:shape style="position:absolute;left:7014;top:103;width:1659;height:2" coordorigin="7014,103" coordsize="1659,0" path="m7014,103l8673,103e" filled="false" stroked="true" strokeweight=".47998pt" strokecolor="#000000">
                <v:path arrowok="t"/>
              </v:shape>
            </v:group>
            <v:group style="position:absolute;left:8673;top:103;width:10;height:2" coordorigin="8673,103" coordsize="10,2">
              <v:shape style="position:absolute;left:8673;top:103;width:10;height:2" coordorigin="8673,103" coordsize="10,0" path="m8673,103l8683,103e" filled="false" stroked="true" strokeweight=".47998pt" strokecolor="#000000">
                <v:path arrowok="t"/>
              </v:shape>
            </v:group>
            <v:group style="position:absolute;left:8683;top:103;width:1637;height:2" coordorigin="8683,103" coordsize="1637,2">
              <v:shape style="position:absolute;left:8683;top:103;width:1637;height:2" coordorigin="8683,103" coordsize="1637,0" path="m8683,103l10320,103e" filled="false" stroked="true" strokeweight=".47998pt" strokecolor="#000000">
                <v:path arrowok="t"/>
              </v:shape>
            </v:group>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tabs>
          <w:tab w:pos="3668" w:val="left" w:leader="none"/>
          <w:tab w:pos="5327" w:val="left" w:leader="none"/>
          <w:tab w:pos="6983" w:val="left" w:leader="none"/>
        </w:tabs>
        <w:spacing w:line="192" w:lineRule="exact" w:before="0"/>
        <w:ind w:left="2022" w:right="0" w:firstLine="0"/>
        <w:jc w:val="center"/>
        <w:rPr>
          <w:rFonts w:ascii="宋体" w:hAnsi="宋体" w:cs="宋体" w:eastAsia="宋体" w:hint="default"/>
          <w:sz w:val="18"/>
          <w:szCs w:val="18"/>
        </w:rPr>
      </w:pPr>
      <w:r>
        <w:rPr>
          <w:rFonts w:ascii="宋体" w:hAnsi="宋体" w:cs="宋体" w:eastAsia="宋体" w:hint="default"/>
          <w:b/>
          <w:bCs/>
          <w:sz w:val="18"/>
          <w:szCs w:val="18"/>
        </w:rPr>
        <w:t>金额</w:t>
        <w:tab/>
        <w:t>比例</w:t>
        <w:tab/>
        <w:t>金额</w:t>
        <w:tab/>
        <w:t>比例</w:t>
      </w:r>
      <w:r>
        <w:rPr>
          <w:rFonts w:ascii="宋体" w:hAnsi="宋体" w:cs="宋体" w:eastAsia="宋体" w:hint="default"/>
          <w:sz w:val="18"/>
          <w:szCs w:val="18"/>
        </w:rPr>
      </w:r>
    </w:p>
    <w:p>
      <w:pPr>
        <w:spacing w:line="240" w:lineRule="auto" w:before="6"/>
        <w:rPr>
          <w:rFonts w:ascii="宋体" w:hAnsi="宋体" w:cs="宋体" w:eastAsia="宋体" w:hint="default"/>
          <w:b/>
          <w:bCs/>
          <w:sz w:val="4"/>
          <w:szCs w:val="4"/>
        </w:rPr>
      </w:pPr>
    </w:p>
    <w:tbl>
      <w:tblPr>
        <w:tblW w:w="0" w:type="auto"/>
        <w:jc w:val="left"/>
        <w:tblInd w:w="134" w:type="dxa"/>
        <w:tblLayout w:type="fixed"/>
        <w:tblCellMar>
          <w:top w:w="0" w:type="dxa"/>
          <w:left w:w="0" w:type="dxa"/>
          <w:bottom w:w="0" w:type="dxa"/>
          <w:right w:w="0" w:type="dxa"/>
        </w:tblCellMar>
        <w:tblLook w:val="01E0"/>
      </w:tblPr>
      <w:tblGrid>
        <w:gridCol w:w="1585"/>
        <w:gridCol w:w="2576"/>
        <w:gridCol w:w="1251"/>
        <w:gridCol w:w="2063"/>
        <w:gridCol w:w="1251"/>
      </w:tblGrid>
      <w:tr>
        <w:trPr>
          <w:trHeight w:val="288" w:hRule="exact"/>
        </w:trPr>
        <w:tc>
          <w:tcPr>
            <w:tcW w:w="1585"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576" w:type="dxa"/>
            <w:tcBorders>
              <w:top w:val="single" w:sz="4" w:space="0" w:color="000000"/>
              <w:left w:val="nil" w:sz="6" w:space="0" w:color="auto"/>
              <w:bottom w:val="nil" w:sz="6" w:space="0" w:color="auto"/>
              <w:right w:val="nil" w:sz="6" w:space="0" w:color="auto"/>
            </w:tcBorders>
          </w:tcPr>
          <w:p>
            <w:pPr>
              <w:pStyle w:val="TableParagraph"/>
              <w:spacing w:line="232" w:lineRule="exact"/>
              <w:ind w:right="503"/>
              <w:jc w:val="right"/>
              <w:rPr>
                <w:rFonts w:ascii="宋体" w:hAnsi="宋体" w:cs="宋体" w:eastAsia="宋体" w:hint="default"/>
                <w:sz w:val="18"/>
                <w:szCs w:val="18"/>
              </w:rPr>
            </w:pPr>
            <w:r>
              <w:rPr>
                <w:rFonts w:ascii="宋体"/>
                <w:spacing w:val="-1"/>
                <w:sz w:val="18"/>
              </w:rPr>
              <w:t>546,969,513.20</w:t>
            </w:r>
          </w:p>
        </w:tc>
        <w:tc>
          <w:tcPr>
            <w:tcW w:w="1251" w:type="dxa"/>
            <w:tcBorders>
              <w:top w:val="single" w:sz="4" w:space="0" w:color="000000"/>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pacing w:val="-1"/>
                <w:sz w:val="18"/>
              </w:rPr>
              <w:t>62.37%</w:t>
            </w:r>
          </w:p>
        </w:tc>
        <w:tc>
          <w:tcPr>
            <w:tcW w:w="2063" w:type="dxa"/>
            <w:tcBorders>
              <w:top w:val="single" w:sz="4" w:space="0" w:color="000000"/>
              <w:left w:val="nil" w:sz="6" w:space="0" w:color="auto"/>
              <w:bottom w:val="nil" w:sz="6" w:space="0" w:color="auto"/>
              <w:right w:val="nil" w:sz="6" w:space="0" w:color="auto"/>
            </w:tcBorders>
          </w:tcPr>
          <w:p>
            <w:pPr>
              <w:pStyle w:val="TableParagraph"/>
              <w:spacing w:line="232" w:lineRule="exact"/>
              <w:ind w:right="502"/>
              <w:jc w:val="right"/>
              <w:rPr>
                <w:rFonts w:ascii="宋体" w:hAnsi="宋体" w:cs="宋体" w:eastAsia="宋体" w:hint="default"/>
                <w:sz w:val="18"/>
                <w:szCs w:val="18"/>
              </w:rPr>
            </w:pPr>
            <w:r>
              <w:rPr>
                <w:rFonts w:ascii="宋体"/>
                <w:spacing w:val="-1"/>
                <w:sz w:val="18"/>
              </w:rPr>
              <w:t>661,055,591.72</w:t>
            </w:r>
          </w:p>
        </w:tc>
        <w:tc>
          <w:tcPr>
            <w:tcW w:w="1251" w:type="dxa"/>
            <w:tcBorders>
              <w:top w:val="single" w:sz="4" w:space="0" w:color="000000"/>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pacing w:val="-1"/>
                <w:sz w:val="18"/>
              </w:rPr>
              <w:t>63.70%</w:t>
            </w:r>
          </w:p>
        </w:tc>
      </w:tr>
      <w:tr>
        <w:trPr>
          <w:trHeight w:val="284"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576" w:type="dxa"/>
            <w:tcBorders>
              <w:top w:val="nil" w:sz="6" w:space="0" w:color="auto"/>
              <w:left w:val="nil" w:sz="6" w:space="0" w:color="auto"/>
              <w:bottom w:val="nil" w:sz="6" w:space="0" w:color="auto"/>
              <w:right w:val="nil" w:sz="6" w:space="0" w:color="auto"/>
            </w:tcBorders>
          </w:tcPr>
          <w:p>
            <w:pPr>
              <w:pStyle w:val="TableParagraph"/>
              <w:spacing w:line="232" w:lineRule="exact"/>
              <w:ind w:right="503"/>
              <w:jc w:val="right"/>
              <w:rPr>
                <w:rFonts w:ascii="宋体" w:hAnsi="宋体" w:cs="宋体" w:eastAsia="宋体" w:hint="default"/>
                <w:sz w:val="18"/>
                <w:szCs w:val="18"/>
              </w:rPr>
            </w:pPr>
            <w:r>
              <w:rPr>
                <w:rFonts w:ascii="宋体"/>
                <w:spacing w:val="-1"/>
                <w:sz w:val="18"/>
              </w:rPr>
              <w:t>130,931,932.69</w:t>
            </w:r>
          </w:p>
        </w:tc>
        <w:tc>
          <w:tcPr>
            <w:tcW w:w="1251"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pacing w:val="-1"/>
                <w:sz w:val="18"/>
              </w:rPr>
              <w:t>14.93%</w:t>
            </w:r>
          </w:p>
        </w:tc>
        <w:tc>
          <w:tcPr>
            <w:tcW w:w="2063" w:type="dxa"/>
            <w:tcBorders>
              <w:top w:val="nil" w:sz="6" w:space="0" w:color="auto"/>
              <w:left w:val="nil" w:sz="6" w:space="0" w:color="auto"/>
              <w:bottom w:val="nil" w:sz="6" w:space="0" w:color="auto"/>
              <w:right w:val="nil" w:sz="6" w:space="0" w:color="auto"/>
            </w:tcBorders>
          </w:tcPr>
          <w:p>
            <w:pPr>
              <w:pStyle w:val="TableParagraph"/>
              <w:spacing w:line="232" w:lineRule="exact"/>
              <w:ind w:right="502"/>
              <w:jc w:val="right"/>
              <w:rPr>
                <w:rFonts w:ascii="宋体" w:hAnsi="宋体" w:cs="宋体" w:eastAsia="宋体" w:hint="default"/>
                <w:sz w:val="18"/>
                <w:szCs w:val="18"/>
              </w:rPr>
            </w:pPr>
            <w:r>
              <w:rPr>
                <w:rFonts w:ascii="宋体"/>
                <w:spacing w:val="-1"/>
                <w:sz w:val="18"/>
              </w:rPr>
              <w:t>149,630,498.76</w:t>
            </w:r>
          </w:p>
        </w:tc>
        <w:tc>
          <w:tcPr>
            <w:tcW w:w="1251"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pacing w:val="-1"/>
                <w:sz w:val="18"/>
              </w:rPr>
              <w:t>14.42%</w:t>
            </w:r>
          </w:p>
        </w:tc>
      </w:tr>
      <w:tr>
        <w:trPr>
          <w:trHeight w:val="286"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576" w:type="dxa"/>
            <w:tcBorders>
              <w:top w:val="nil" w:sz="6" w:space="0" w:color="auto"/>
              <w:left w:val="nil" w:sz="6" w:space="0" w:color="auto"/>
              <w:bottom w:val="nil" w:sz="6" w:space="0" w:color="auto"/>
              <w:right w:val="nil" w:sz="6" w:space="0" w:color="auto"/>
            </w:tcBorders>
          </w:tcPr>
          <w:p>
            <w:pPr>
              <w:pStyle w:val="TableParagraph"/>
              <w:spacing w:line="233" w:lineRule="exact"/>
              <w:ind w:right="503"/>
              <w:jc w:val="right"/>
              <w:rPr>
                <w:rFonts w:ascii="宋体" w:hAnsi="宋体" w:cs="宋体" w:eastAsia="宋体" w:hint="default"/>
                <w:sz w:val="18"/>
                <w:szCs w:val="18"/>
              </w:rPr>
            </w:pPr>
            <w:r>
              <w:rPr>
                <w:rFonts w:ascii="宋体"/>
                <w:spacing w:val="-1"/>
                <w:sz w:val="18"/>
              </w:rPr>
              <w:t>77,977,386.71</w:t>
            </w:r>
          </w:p>
        </w:tc>
        <w:tc>
          <w:tcPr>
            <w:tcW w:w="1251" w:type="dxa"/>
            <w:tcBorders>
              <w:top w:val="nil" w:sz="6" w:space="0" w:color="auto"/>
              <w:left w:val="nil" w:sz="6" w:space="0" w:color="auto"/>
              <w:bottom w:val="nil" w:sz="6" w:space="0" w:color="auto"/>
              <w:right w:val="nil" w:sz="6" w:space="0" w:color="auto"/>
            </w:tcBorders>
          </w:tcPr>
          <w:p>
            <w:pPr>
              <w:pStyle w:val="TableParagraph"/>
              <w:spacing w:line="233" w:lineRule="exact"/>
              <w:ind w:right="106"/>
              <w:jc w:val="right"/>
              <w:rPr>
                <w:rFonts w:ascii="宋体" w:hAnsi="宋体" w:cs="宋体" w:eastAsia="宋体" w:hint="default"/>
                <w:sz w:val="18"/>
                <w:szCs w:val="18"/>
              </w:rPr>
            </w:pPr>
            <w:r>
              <w:rPr>
                <w:rFonts w:ascii="宋体"/>
                <w:sz w:val="18"/>
              </w:rPr>
              <w:t>8.89%</w:t>
            </w:r>
          </w:p>
        </w:tc>
        <w:tc>
          <w:tcPr>
            <w:tcW w:w="2063" w:type="dxa"/>
            <w:tcBorders>
              <w:top w:val="nil" w:sz="6" w:space="0" w:color="auto"/>
              <w:left w:val="nil" w:sz="6" w:space="0" w:color="auto"/>
              <w:bottom w:val="nil" w:sz="6" w:space="0" w:color="auto"/>
              <w:right w:val="nil" w:sz="6" w:space="0" w:color="auto"/>
            </w:tcBorders>
          </w:tcPr>
          <w:p>
            <w:pPr>
              <w:pStyle w:val="TableParagraph"/>
              <w:spacing w:line="233" w:lineRule="exact"/>
              <w:ind w:right="502"/>
              <w:jc w:val="right"/>
              <w:rPr>
                <w:rFonts w:ascii="宋体" w:hAnsi="宋体" w:cs="宋体" w:eastAsia="宋体" w:hint="default"/>
                <w:sz w:val="18"/>
                <w:szCs w:val="18"/>
              </w:rPr>
            </w:pPr>
            <w:r>
              <w:rPr>
                <w:rFonts w:ascii="宋体"/>
                <w:spacing w:val="-1"/>
                <w:sz w:val="18"/>
              </w:rPr>
              <w:t>140,204,494.49</w:t>
            </w:r>
          </w:p>
        </w:tc>
        <w:tc>
          <w:tcPr>
            <w:tcW w:w="1251"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13.51%</w:t>
            </w:r>
          </w:p>
        </w:tc>
      </w:tr>
      <w:tr>
        <w:trPr>
          <w:trHeight w:val="291" w:hRule="exact"/>
        </w:trPr>
        <w:tc>
          <w:tcPr>
            <w:tcW w:w="1585"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576" w:type="dxa"/>
            <w:tcBorders>
              <w:top w:val="nil" w:sz="6" w:space="0" w:color="auto"/>
              <w:left w:val="nil" w:sz="6" w:space="0" w:color="auto"/>
              <w:bottom w:val="single" w:sz="4" w:space="0" w:color="000000"/>
              <w:right w:val="nil" w:sz="6" w:space="0" w:color="auto"/>
            </w:tcBorders>
          </w:tcPr>
          <w:p>
            <w:pPr>
              <w:pStyle w:val="TableParagraph"/>
              <w:spacing w:line="233" w:lineRule="exact"/>
              <w:ind w:right="503"/>
              <w:jc w:val="right"/>
              <w:rPr>
                <w:rFonts w:ascii="宋体" w:hAnsi="宋体" w:cs="宋体" w:eastAsia="宋体" w:hint="default"/>
                <w:sz w:val="18"/>
                <w:szCs w:val="18"/>
              </w:rPr>
            </w:pPr>
            <w:r>
              <w:rPr>
                <w:rFonts w:ascii="宋体"/>
                <w:spacing w:val="-1"/>
                <w:sz w:val="18"/>
              </w:rPr>
              <w:t>121,113,240.93</w:t>
            </w:r>
          </w:p>
        </w:tc>
        <w:tc>
          <w:tcPr>
            <w:tcW w:w="1251" w:type="dxa"/>
            <w:tcBorders>
              <w:top w:val="nil" w:sz="6" w:space="0" w:color="auto"/>
              <w:left w:val="nil" w:sz="6" w:space="0" w:color="auto"/>
              <w:bottom w:val="single" w:sz="4" w:space="0" w:color="000000"/>
              <w:right w:val="nil" w:sz="6" w:space="0" w:color="auto"/>
            </w:tcBorders>
          </w:tcPr>
          <w:p>
            <w:pPr>
              <w:pStyle w:val="TableParagraph"/>
              <w:spacing w:line="233" w:lineRule="exact"/>
              <w:ind w:right="106"/>
              <w:jc w:val="right"/>
              <w:rPr>
                <w:rFonts w:ascii="宋体" w:hAnsi="宋体" w:cs="宋体" w:eastAsia="宋体" w:hint="default"/>
                <w:sz w:val="18"/>
                <w:szCs w:val="18"/>
              </w:rPr>
            </w:pPr>
            <w:r>
              <w:rPr>
                <w:rFonts w:ascii="宋体"/>
                <w:spacing w:val="-1"/>
                <w:sz w:val="18"/>
              </w:rPr>
              <w:t>13.81%</w:t>
            </w:r>
          </w:p>
        </w:tc>
        <w:tc>
          <w:tcPr>
            <w:tcW w:w="2063" w:type="dxa"/>
            <w:tcBorders>
              <w:top w:val="nil" w:sz="6" w:space="0" w:color="auto"/>
              <w:left w:val="nil" w:sz="6" w:space="0" w:color="auto"/>
              <w:bottom w:val="single" w:sz="4" w:space="0" w:color="000000"/>
              <w:right w:val="nil" w:sz="6" w:space="0" w:color="auto"/>
            </w:tcBorders>
          </w:tcPr>
          <w:p>
            <w:pPr>
              <w:pStyle w:val="TableParagraph"/>
              <w:spacing w:line="233" w:lineRule="exact"/>
              <w:ind w:right="502"/>
              <w:jc w:val="right"/>
              <w:rPr>
                <w:rFonts w:ascii="宋体" w:hAnsi="宋体" w:cs="宋体" w:eastAsia="宋体" w:hint="default"/>
                <w:sz w:val="18"/>
                <w:szCs w:val="18"/>
              </w:rPr>
            </w:pPr>
            <w:r>
              <w:rPr>
                <w:rFonts w:ascii="宋体"/>
                <w:spacing w:val="-1"/>
                <w:sz w:val="18"/>
              </w:rPr>
              <w:t>86,913,184.97</w:t>
            </w:r>
          </w:p>
        </w:tc>
        <w:tc>
          <w:tcPr>
            <w:tcW w:w="1251" w:type="dxa"/>
            <w:tcBorders>
              <w:top w:val="nil" w:sz="6" w:space="0" w:color="auto"/>
              <w:left w:val="nil" w:sz="6" w:space="0" w:color="auto"/>
              <w:bottom w:val="single" w:sz="4" w:space="0" w:color="000000"/>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8.37%</w:t>
            </w:r>
          </w:p>
        </w:tc>
      </w:tr>
      <w:tr>
        <w:trPr>
          <w:trHeight w:val="305" w:hRule="exact"/>
        </w:trPr>
        <w:tc>
          <w:tcPr>
            <w:tcW w:w="1585"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76"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503"/>
              <w:jc w:val="right"/>
              <w:rPr>
                <w:rFonts w:ascii="宋体" w:hAnsi="宋体" w:cs="宋体" w:eastAsia="宋体" w:hint="default"/>
                <w:sz w:val="18"/>
                <w:szCs w:val="18"/>
              </w:rPr>
            </w:pPr>
            <w:r>
              <w:rPr>
                <w:rFonts w:ascii="宋体"/>
                <w:b/>
                <w:w w:val="95"/>
                <w:sz w:val="18"/>
              </w:rPr>
              <w:t>876,992,073.53</w:t>
            </w:r>
            <w:r>
              <w:rPr>
                <w:rFonts w:ascii="宋体"/>
                <w:sz w:val="18"/>
              </w:rPr>
            </w:r>
          </w:p>
        </w:tc>
        <w:tc>
          <w:tcPr>
            <w:tcW w:w="1251"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b/>
                <w:sz w:val="18"/>
              </w:rPr>
              <w:t>100.00%</w:t>
            </w:r>
            <w:r>
              <w:rPr>
                <w:rFonts w:ascii="宋体"/>
                <w:sz w:val="18"/>
              </w:rPr>
            </w:r>
          </w:p>
        </w:tc>
        <w:tc>
          <w:tcPr>
            <w:tcW w:w="2063"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502"/>
              <w:jc w:val="right"/>
              <w:rPr>
                <w:rFonts w:ascii="宋体" w:hAnsi="宋体" w:cs="宋体" w:eastAsia="宋体" w:hint="default"/>
                <w:sz w:val="18"/>
                <w:szCs w:val="18"/>
              </w:rPr>
            </w:pPr>
            <w:r>
              <w:rPr>
                <w:rFonts w:ascii="宋体"/>
                <w:b/>
                <w:w w:val="95"/>
                <w:sz w:val="18"/>
              </w:rPr>
              <w:t>1,037,803,769.94</w:t>
            </w:r>
            <w:r>
              <w:rPr>
                <w:rFonts w:ascii="宋体"/>
                <w:sz w:val="18"/>
              </w:rPr>
            </w:r>
          </w:p>
        </w:tc>
        <w:tc>
          <w:tcPr>
            <w:tcW w:w="1251"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b/>
                <w:sz w:val="18"/>
              </w:rPr>
              <w:t>100.00%</w:t>
            </w:r>
            <w:r>
              <w:rPr>
                <w:rFonts w:ascii="宋体"/>
                <w:sz w:val="18"/>
              </w:rPr>
            </w:r>
          </w:p>
        </w:tc>
      </w:tr>
    </w:tbl>
    <w:p>
      <w:pPr>
        <w:spacing w:line="297" w:lineRule="auto" w:before="67"/>
        <w:ind w:left="242" w:right="216" w:firstLine="453"/>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8"/>
          <w:sz w:val="22"/>
          <w:szCs w:val="22"/>
        </w:rPr>
        <w:t> </w:t>
      </w:r>
      <w:r>
        <w:rPr>
          <w:rFonts w:ascii="宋体" w:hAnsi="宋体" w:cs="宋体" w:eastAsia="宋体" w:hint="default"/>
          <w:sz w:val="22"/>
          <w:szCs w:val="22"/>
        </w:rPr>
        <w:t>本年按预付对象归集的年末余额前五名预付款项汇总金额为</w:t>
      </w:r>
      <w:r>
        <w:rPr>
          <w:rFonts w:ascii="宋体" w:hAnsi="宋体" w:cs="宋体" w:eastAsia="宋体" w:hint="default"/>
          <w:spacing w:val="-50"/>
          <w:sz w:val="22"/>
          <w:szCs w:val="22"/>
        </w:rPr>
        <w:t> </w:t>
      </w:r>
      <w:r>
        <w:rPr>
          <w:rFonts w:ascii="宋体" w:hAnsi="宋体" w:cs="宋体" w:eastAsia="宋体" w:hint="default"/>
          <w:sz w:val="22"/>
          <w:szCs w:val="22"/>
        </w:rPr>
        <w:t>93,821,980.89</w:t>
      </w:r>
      <w:r>
        <w:rPr>
          <w:rFonts w:ascii="宋体" w:hAnsi="宋体" w:cs="宋体" w:eastAsia="宋体" w:hint="default"/>
          <w:spacing w:val="-54"/>
          <w:sz w:val="22"/>
          <w:szCs w:val="22"/>
        </w:rPr>
        <w:t> </w:t>
      </w:r>
      <w:r>
        <w:rPr>
          <w:rFonts w:ascii="宋体" w:hAnsi="宋体" w:cs="宋体" w:eastAsia="宋体" w:hint="default"/>
          <w:sz w:val="22"/>
          <w:szCs w:val="22"/>
        </w:rPr>
        <w:t>元，</w:t>
      </w:r>
      <w:r>
        <w:rPr>
          <w:rFonts w:ascii="宋体" w:hAnsi="宋体" w:cs="宋体" w:eastAsia="宋体" w:hint="default"/>
          <w:w w:val="100"/>
          <w:sz w:val="22"/>
          <w:szCs w:val="22"/>
        </w:rPr>
        <w:t> </w:t>
      </w:r>
      <w:r>
        <w:rPr>
          <w:rFonts w:ascii="宋体" w:hAnsi="宋体" w:cs="宋体" w:eastAsia="宋体" w:hint="default"/>
          <w:sz w:val="22"/>
          <w:szCs w:val="22"/>
        </w:rPr>
        <w:t>占预付款项年末余额合计数的比例</w:t>
      </w:r>
      <w:r>
        <w:rPr>
          <w:rFonts w:ascii="宋体" w:hAnsi="宋体" w:cs="宋体" w:eastAsia="宋体" w:hint="default"/>
          <w:spacing w:val="-57"/>
          <w:sz w:val="22"/>
          <w:szCs w:val="22"/>
        </w:rPr>
        <w:t> </w:t>
      </w:r>
      <w:r>
        <w:rPr>
          <w:rFonts w:ascii="宋体" w:hAnsi="宋体" w:cs="宋体" w:eastAsia="宋体" w:hint="default"/>
          <w:sz w:val="22"/>
          <w:szCs w:val="22"/>
        </w:rPr>
        <w:t>10.70%</w:t>
      </w:r>
      <w:r>
        <w:rPr>
          <w:rFonts w:ascii="宋体" w:hAnsi="宋体" w:cs="宋体" w:eastAsia="宋体" w:hint="default"/>
          <w:sz w:val="22"/>
          <w:szCs w:val="22"/>
        </w:rPr>
        <w:t>。</w:t>
      </w:r>
    </w:p>
    <w:p>
      <w:pPr>
        <w:tabs>
          <w:tab w:pos="1041" w:val="left" w:leader="none"/>
        </w:tabs>
        <w:spacing w:before="77"/>
        <w:ind w:left="645" w:right="105"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w:t>
        <w:tab/>
      </w:r>
      <w:r>
        <w:rPr>
          <w:rFonts w:ascii="宋体" w:hAnsi="宋体" w:cs="宋体" w:eastAsia="宋体" w:hint="default"/>
          <w:sz w:val="22"/>
          <w:szCs w:val="22"/>
        </w:rPr>
        <w:t>其他应收款</w:t>
      </w:r>
    </w:p>
    <w:p>
      <w:pPr>
        <w:spacing w:line="240" w:lineRule="auto" w:before="5"/>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585"/>
        <w:gridCol w:w="3724"/>
        <w:gridCol w:w="2417"/>
      </w:tblGrid>
      <w:tr>
        <w:trPr>
          <w:trHeight w:val="305" w:hRule="exact"/>
        </w:trPr>
        <w:tc>
          <w:tcPr>
            <w:tcW w:w="258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372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48"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1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9" w:hRule="exact"/>
        </w:trPr>
        <w:tc>
          <w:tcPr>
            <w:tcW w:w="2585"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724" w:type="dxa"/>
            <w:tcBorders>
              <w:top w:val="single" w:sz="4" w:space="0" w:color="000000"/>
              <w:left w:val="nil" w:sz="6" w:space="0" w:color="auto"/>
              <w:bottom w:val="nil" w:sz="6" w:space="0" w:color="auto"/>
              <w:right w:val="nil" w:sz="6" w:space="0" w:color="auto"/>
            </w:tcBorders>
          </w:tcPr>
          <w:p>
            <w:pPr>
              <w:pStyle w:val="TableParagraph"/>
              <w:spacing w:line="232" w:lineRule="exact"/>
              <w:ind w:right="598"/>
              <w:jc w:val="right"/>
              <w:rPr>
                <w:rFonts w:ascii="宋体" w:hAnsi="宋体" w:cs="宋体" w:eastAsia="宋体" w:hint="default"/>
                <w:sz w:val="18"/>
                <w:szCs w:val="18"/>
              </w:rPr>
            </w:pPr>
            <w:r>
              <w:rPr>
                <w:rFonts w:ascii="宋体"/>
                <w:spacing w:val="-1"/>
                <w:sz w:val="18"/>
              </w:rPr>
              <w:t>8,370,184.76</w:t>
            </w:r>
          </w:p>
        </w:tc>
        <w:tc>
          <w:tcPr>
            <w:tcW w:w="2417" w:type="dxa"/>
            <w:tcBorders>
              <w:top w:val="single" w:sz="4" w:space="0" w:color="000000"/>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8,682,739.73</w:t>
            </w:r>
          </w:p>
        </w:tc>
      </w:tr>
      <w:tr>
        <w:trPr>
          <w:trHeight w:val="286" w:hRule="exact"/>
        </w:trPr>
        <w:tc>
          <w:tcPr>
            <w:tcW w:w="258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724" w:type="dxa"/>
            <w:tcBorders>
              <w:top w:val="nil" w:sz="6" w:space="0" w:color="auto"/>
              <w:left w:val="nil" w:sz="6" w:space="0" w:color="auto"/>
              <w:bottom w:val="nil" w:sz="6" w:space="0" w:color="auto"/>
              <w:right w:val="nil" w:sz="6" w:space="0" w:color="auto"/>
            </w:tcBorders>
          </w:tcPr>
          <w:p>
            <w:pPr>
              <w:pStyle w:val="TableParagraph"/>
              <w:spacing w:line="233" w:lineRule="exact"/>
              <w:ind w:right="598"/>
              <w:jc w:val="right"/>
              <w:rPr>
                <w:rFonts w:ascii="宋体" w:hAnsi="宋体" w:cs="宋体" w:eastAsia="宋体" w:hint="default"/>
                <w:sz w:val="18"/>
                <w:szCs w:val="18"/>
              </w:rPr>
            </w:pPr>
            <w:r>
              <w:rPr>
                <w:rFonts w:ascii="宋体"/>
                <w:spacing w:val="-1"/>
                <w:sz w:val="18"/>
              </w:rPr>
              <w:t>338,775,000.00</w:t>
            </w:r>
          </w:p>
        </w:tc>
        <w:tc>
          <w:tcPr>
            <w:tcW w:w="2417"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0.00</w:t>
            </w:r>
          </w:p>
        </w:tc>
      </w:tr>
      <w:tr>
        <w:trPr>
          <w:trHeight w:val="291" w:hRule="exact"/>
        </w:trPr>
        <w:tc>
          <w:tcPr>
            <w:tcW w:w="2585"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724" w:type="dxa"/>
            <w:tcBorders>
              <w:top w:val="nil" w:sz="6" w:space="0" w:color="auto"/>
              <w:left w:val="nil" w:sz="6" w:space="0" w:color="auto"/>
              <w:bottom w:val="single" w:sz="4" w:space="0" w:color="000000"/>
              <w:right w:val="nil" w:sz="6" w:space="0" w:color="auto"/>
            </w:tcBorders>
          </w:tcPr>
          <w:p>
            <w:pPr>
              <w:pStyle w:val="TableParagraph"/>
              <w:spacing w:line="233" w:lineRule="exact"/>
              <w:ind w:right="598"/>
              <w:jc w:val="right"/>
              <w:rPr>
                <w:rFonts w:ascii="宋体" w:hAnsi="宋体" w:cs="宋体" w:eastAsia="宋体" w:hint="default"/>
                <w:sz w:val="18"/>
                <w:szCs w:val="18"/>
              </w:rPr>
            </w:pPr>
            <w:r>
              <w:rPr>
                <w:rFonts w:ascii="宋体"/>
                <w:spacing w:val="-1"/>
                <w:sz w:val="18"/>
              </w:rPr>
              <w:t>1,460,840,057.15</w:t>
            </w:r>
          </w:p>
        </w:tc>
        <w:tc>
          <w:tcPr>
            <w:tcW w:w="2417" w:type="dxa"/>
            <w:tcBorders>
              <w:top w:val="nil" w:sz="6" w:space="0" w:color="auto"/>
              <w:left w:val="nil" w:sz="6" w:space="0" w:color="auto"/>
              <w:bottom w:val="single" w:sz="4" w:space="0" w:color="000000"/>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861,269,164.19</w:t>
            </w:r>
          </w:p>
        </w:tc>
      </w:tr>
      <w:tr>
        <w:trPr>
          <w:trHeight w:val="305" w:hRule="exact"/>
        </w:trPr>
        <w:tc>
          <w:tcPr>
            <w:tcW w:w="2585"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24"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599"/>
              <w:jc w:val="right"/>
              <w:rPr>
                <w:rFonts w:ascii="宋体" w:hAnsi="宋体" w:cs="宋体" w:eastAsia="宋体" w:hint="default"/>
                <w:sz w:val="18"/>
                <w:szCs w:val="18"/>
              </w:rPr>
            </w:pPr>
            <w:r>
              <w:rPr>
                <w:rFonts w:ascii="宋体"/>
                <w:b/>
                <w:w w:val="95"/>
                <w:sz w:val="18"/>
              </w:rPr>
              <w:t>1,807,985,241.91</w:t>
            </w:r>
            <w:r>
              <w:rPr>
                <w:rFonts w:ascii="宋体"/>
                <w:sz w:val="18"/>
              </w:rPr>
            </w:r>
          </w:p>
        </w:tc>
        <w:tc>
          <w:tcPr>
            <w:tcW w:w="2417"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869,951,903.92</w:t>
            </w:r>
            <w:r>
              <w:rPr>
                <w:rFonts w:ascii="宋体"/>
                <w:sz w:val="18"/>
              </w:rPr>
            </w:r>
          </w:p>
        </w:tc>
      </w:tr>
    </w:tbl>
    <w:p>
      <w:pPr>
        <w:spacing w:before="21"/>
        <w:ind w:left="669" w:right="105" w:firstLine="0"/>
        <w:jc w:val="left"/>
        <w:rPr>
          <w:rFonts w:ascii="宋体" w:hAnsi="宋体" w:cs="宋体" w:eastAsia="宋体" w:hint="default"/>
          <w:sz w:val="22"/>
          <w:szCs w:val="22"/>
        </w:rPr>
      </w:pPr>
      <w:r>
        <w:rPr>
          <w:rFonts w:ascii="宋体" w:hAnsi="宋体" w:cs="宋体" w:eastAsia="宋体" w:hint="default"/>
          <w:b/>
          <w:bCs/>
          <w:sz w:val="22"/>
          <w:szCs w:val="22"/>
        </w:rPr>
        <w:t>5.1</w:t>
      </w:r>
      <w:r>
        <w:rPr>
          <w:rFonts w:ascii="宋体" w:hAnsi="宋体" w:cs="宋体" w:eastAsia="宋体" w:hint="default"/>
          <w:b/>
          <w:bCs/>
          <w:spacing w:val="-70"/>
          <w:sz w:val="22"/>
          <w:szCs w:val="22"/>
        </w:rPr>
        <w:t> </w:t>
      </w:r>
      <w:r>
        <w:rPr>
          <w:rFonts w:ascii="宋体" w:hAnsi="宋体" w:cs="宋体" w:eastAsia="宋体" w:hint="default"/>
          <w:sz w:val="22"/>
          <w:szCs w:val="22"/>
        </w:rPr>
        <w:t>应收利息</w:t>
      </w:r>
    </w:p>
    <w:p>
      <w:pPr>
        <w:spacing w:after="0"/>
        <w:jc w:val="left"/>
        <w:rPr>
          <w:rFonts w:ascii="宋体" w:hAnsi="宋体" w:cs="宋体" w:eastAsia="宋体" w:hint="default"/>
          <w:sz w:val="22"/>
          <w:szCs w:val="22"/>
        </w:rPr>
        <w:sectPr>
          <w:pgSz w:w="11910" w:h="16840"/>
          <w:pgMar w:header="0" w:footer="1054" w:top="1480" w:bottom="1240" w:left="1460" w:right="1360"/>
        </w:sectPr>
      </w:pPr>
    </w:p>
    <w:p>
      <w:pPr>
        <w:spacing w:line="240" w:lineRule="auto" w:before="6"/>
        <w:rPr>
          <w:rFonts w:ascii="宋体" w:hAnsi="宋体" w:cs="宋体" w:eastAsia="宋体" w:hint="default"/>
          <w:sz w:val="6"/>
          <w:szCs w:val="6"/>
        </w:rPr>
      </w:pPr>
    </w:p>
    <w:tbl>
      <w:tblPr>
        <w:tblW w:w="0" w:type="auto"/>
        <w:jc w:val="left"/>
        <w:tblInd w:w="134" w:type="dxa"/>
        <w:tblLayout w:type="fixed"/>
        <w:tblCellMar>
          <w:top w:w="0" w:type="dxa"/>
          <w:left w:w="0" w:type="dxa"/>
          <w:bottom w:w="0" w:type="dxa"/>
          <w:right w:w="0" w:type="dxa"/>
        </w:tblCellMar>
        <w:tblLook w:val="01E0"/>
      </w:tblPr>
      <w:tblGrid>
        <w:gridCol w:w="3124"/>
        <w:gridCol w:w="3185"/>
        <w:gridCol w:w="2417"/>
      </w:tblGrid>
      <w:tr>
        <w:trPr>
          <w:trHeight w:val="305" w:hRule="exact"/>
        </w:trPr>
        <w:tc>
          <w:tcPr>
            <w:tcW w:w="312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8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3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1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6" w:hRule="exact"/>
        </w:trPr>
        <w:tc>
          <w:tcPr>
            <w:tcW w:w="3124"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应收可续期公司债券利息</w:t>
            </w:r>
          </w:p>
        </w:tc>
        <w:tc>
          <w:tcPr>
            <w:tcW w:w="3185"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598"/>
              <w:jc w:val="right"/>
              <w:rPr>
                <w:rFonts w:ascii="宋体" w:hAnsi="宋体" w:cs="宋体" w:eastAsia="宋体" w:hint="default"/>
                <w:sz w:val="18"/>
                <w:szCs w:val="18"/>
              </w:rPr>
            </w:pPr>
            <w:r>
              <w:rPr>
                <w:rFonts w:ascii="宋体"/>
                <w:spacing w:val="-1"/>
                <w:sz w:val="18"/>
              </w:rPr>
              <w:t>8,370,184.76</w:t>
            </w:r>
          </w:p>
        </w:tc>
        <w:tc>
          <w:tcPr>
            <w:tcW w:w="2417"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8,682,739.73</w:t>
            </w:r>
          </w:p>
        </w:tc>
      </w:tr>
      <w:tr>
        <w:trPr>
          <w:trHeight w:val="305" w:hRule="exact"/>
        </w:trPr>
        <w:tc>
          <w:tcPr>
            <w:tcW w:w="3124"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8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598"/>
              <w:jc w:val="right"/>
              <w:rPr>
                <w:rFonts w:ascii="宋体" w:hAnsi="宋体" w:cs="宋体" w:eastAsia="宋体" w:hint="default"/>
                <w:sz w:val="18"/>
                <w:szCs w:val="18"/>
              </w:rPr>
            </w:pPr>
            <w:r>
              <w:rPr>
                <w:rFonts w:ascii="宋体"/>
                <w:b/>
                <w:w w:val="95"/>
                <w:sz w:val="18"/>
              </w:rPr>
              <w:t>8,370,184.76</w:t>
            </w:r>
            <w:r>
              <w:rPr>
                <w:rFonts w:ascii="宋体"/>
                <w:sz w:val="18"/>
              </w:rPr>
            </w:r>
          </w:p>
        </w:tc>
        <w:tc>
          <w:tcPr>
            <w:tcW w:w="2417"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8,682,739.73</w:t>
            </w:r>
            <w:r>
              <w:rPr>
                <w:rFonts w:ascii="宋体"/>
                <w:sz w:val="18"/>
              </w:rPr>
            </w:r>
          </w:p>
        </w:tc>
      </w:tr>
    </w:tbl>
    <w:p>
      <w:pPr>
        <w:spacing w:before="21"/>
        <w:ind w:left="666" w:right="0" w:firstLine="0"/>
        <w:jc w:val="left"/>
        <w:rPr>
          <w:rFonts w:ascii="宋体" w:hAnsi="宋体" w:cs="宋体" w:eastAsia="宋体" w:hint="default"/>
          <w:sz w:val="22"/>
          <w:szCs w:val="22"/>
        </w:rPr>
      </w:pPr>
      <w:r>
        <w:rPr>
          <w:rFonts w:ascii="宋体" w:hAnsi="宋体" w:cs="宋体" w:eastAsia="宋体" w:hint="default"/>
          <w:b/>
          <w:bCs/>
          <w:sz w:val="22"/>
          <w:szCs w:val="22"/>
        </w:rPr>
        <w:t>5.2</w:t>
      </w:r>
      <w:r>
        <w:rPr>
          <w:rFonts w:ascii="宋体" w:hAnsi="宋体" w:cs="宋体" w:eastAsia="宋体" w:hint="default"/>
          <w:b/>
          <w:bCs/>
          <w:spacing w:val="-67"/>
          <w:sz w:val="22"/>
          <w:szCs w:val="22"/>
        </w:rPr>
        <w:t> </w:t>
      </w:r>
      <w:r>
        <w:rPr>
          <w:rFonts w:ascii="宋体" w:hAnsi="宋体" w:cs="宋体" w:eastAsia="宋体" w:hint="default"/>
          <w:sz w:val="22"/>
          <w:szCs w:val="22"/>
        </w:rPr>
        <w:t>应收股利</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214"/>
        <w:gridCol w:w="3095"/>
        <w:gridCol w:w="2417"/>
      </w:tblGrid>
      <w:tr>
        <w:trPr>
          <w:trHeight w:val="305" w:hRule="exact"/>
        </w:trPr>
        <w:tc>
          <w:tcPr>
            <w:tcW w:w="321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309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94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1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5" w:hRule="exact"/>
        </w:trPr>
        <w:tc>
          <w:tcPr>
            <w:tcW w:w="3214"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同方国信投资控股有限公司</w:t>
            </w:r>
          </w:p>
        </w:tc>
        <w:tc>
          <w:tcPr>
            <w:tcW w:w="3095"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598"/>
              <w:jc w:val="right"/>
              <w:rPr>
                <w:rFonts w:ascii="宋体" w:hAnsi="宋体" w:cs="宋体" w:eastAsia="宋体" w:hint="default"/>
                <w:sz w:val="18"/>
                <w:szCs w:val="18"/>
              </w:rPr>
            </w:pPr>
            <w:r>
              <w:rPr>
                <w:rFonts w:ascii="宋体"/>
                <w:spacing w:val="-1"/>
                <w:sz w:val="18"/>
              </w:rPr>
              <w:t>338,775,000.00</w:t>
            </w:r>
          </w:p>
        </w:tc>
        <w:tc>
          <w:tcPr>
            <w:tcW w:w="2417"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307" w:hRule="exact"/>
        </w:trPr>
        <w:tc>
          <w:tcPr>
            <w:tcW w:w="3214"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9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598"/>
              <w:jc w:val="right"/>
              <w:rPr>
                <w:rFonts w:ascii="宋体" w:hAnsi="宋体" w:cs="宋体" w:eastAsia="宋体" w:hint="default"/>
                <w:sz w:val="18"/>
                <w:szCs w:val="18"/>
              </w:rPr>
            </w:pPr>
            <w:r>
              <w:rPr>
                <w:rFonts w:ascii="宋体"/>
                <w:b/>
                <w:w w:val="95"/>
                <w:sz w:val="18"/>
              </w:rPr>
              <w:t>338,775,000.00</w:t>
            </w:r>
            <w:r>
              <w:rPr>
                <w:rFonts w:ascii="宋体"/>
                <w:sz w:val="18"/>
              </w:rPr>
            </w:r>
          </w:p>
        </w:tc>
        <w:tc>
          <w:tcPr>
            <w:tcW w:w="2417"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b/>
                <w:w w:val="95"/>
                <w:sz w:val="18"/>
              </w:rPr>
              <w:t>0.00</w:t>
            </w:r>
            <w:r>
              <w:rPr>
                <w:rFonts w:ascii="宋体"/>
                <w:sz w:val="18"/>
              </w:rPr>
            </w:r>
          </w:p>
        </w:tc>
      </w:tr>
    </w:tbl>
    <w:p>
      <w:pPr>
        <w:spacing w:before="21"/>
        <w:ind w:left="666" w:right="0" w:firstLine="0"/>
        <w:jc w:val="left"/>
        <w:rPr>
          <w:rFonts w:ascii="宋体" w:hAnsi="宋体" w:cs="宋体" w:eastAsia="宋体" w:hint="default"/>
          <w:sz w:val="22"/>
          <w:szCs w:val="22"/>
        </w:rPr>
      </w:pPr>
      <w:r>
        <w:rPr>
          <w:rFonts w:ascii="宋体" w:hAnsi="宋体" w:cs="宋体" w:eastAsia="宋体" w:hint="default"/>
          <w:b/>
          <w:bCs/>
          <w:sz w:val="22"/>
          <w:szCs w:val="22"/>
        </w:rPr>
        <w:t>5.3</w:t>
      </w:r>
      <w:r>
        <w:rPr>
          <w:rFonts w:ascii="宋体" w:hAnsi="宋体" w:cs="宋体" w:eastAsia="宋体" w:hint="default"/>
          <w:b/>
          <w:bCs/>
          <w:spacing w:val="-69"/>
          <w:sz w:val="22"/>
          <w:szCs w:val="22"/>
        </w:rPr>
        <w:t> </w:t>
      </w:r>
      <w:r>
        <w:rPr>
          <w:rFonts w:ascii="宋体" w:hAnsi="宋体" w:cs="宋体" w:eastAsia="宋体" w:hint="default"/>
          <w:sz w:val="22"/>
          <w:szCs w:val="22"/>
        </w:rPr>
        <w:t>其他应收款</w:t>
      </w:r>
    </w:p>
    <w:p>
      <w:pPr>
        <w:spacing w:before="127"/>
        <w:ind w:left="621"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24"/>
          <w:sz w:val="22"/>
          <w:szCs w:val="22"/>
        </w:rPr>
        <w:t> </w:t>
      </w:r>
      <w:r>
        <w:rPr>
          <w:rFonts w:ascii="宋体" w:hAnsi="宋体" w:cs="宋体" w:eastAsia="宋体" w:hint="default"/>
          <w:sz w:val="22"/>
          <w:szCs w:val="22"/>
        </w:rPr>
        <w:t>其他应收款分类</w:t>
      </w:r>
    </w:p>
    <w:p>
      <w:pPr>
        <w:spacing w:line="240" w:lineRule="auto" w:before="0"/>
        <w:rPr>
          <w:rFonts w:ascii="宋体" w:hAnsi="宋体" w:cs="宋体" w:eastAsia="宋体" w:hint="default"/>
          <w:sz w:val="11"/>
          <w:szCs w:val="11"/>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2204;height:2" coordorigin="14,14" coordsize="2204,2">
              <v:shape style="position:absolute;left:14;top:14;width:2204;height:2" coordorigin="14,14" coordsize="2204,0" path="m14,14l2218,14e" filled="false" stroked="true" strokeweight="1.44pt" strokecolor="#000000">
                <v:path arrowok="t"/>
              </v:shape>
            </v:group>
            <v:group style="position:absolute;left:2218;top:14;width:29;height:2" coordorigin="2218,14" coordsize="29,2">
              <v:shape style="position:absolute;left:2218;top:14;width:29;height:2" coordorigin="2218,14" coordsize="29,0" path="m2218,14l2247,14e" filled="false" stroked="true" strokeweight="1.44pt" strokecolor="#000000">
                <v:path arrowok="t"/>
              </v:shape>
            </v:group>
            <v:group style="position:absolute;left:2247;top:14;width:6493;height:2" coordorigin="2247,14" coordsize="6493,2">
              <v:shape style="position:absolute;left:2247;top:14;width:6493;height:2" coordorigin="2247,14" coordsize="6493,0" path="m2247,14l8740,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0" w:footer="1054" w:top="1320" w:bottom="1240" w:left="1460" w:right="1460"/>
        </w:sectPr>
      </w:pPr>
    </w:p>
    <w:p>
      <w:pPr>
        <w:spacing w:line="233" w:lineRule="exact" w:before="0"/>
        <w:ind w:left="0" w:right="1079" w:firstLine="0"/>
        <w:jc w:val="right"/>
        <w:rPr>
          <w:rFonts w:ascii="宋体" w:hAnsi="宋体" w:cs="宋体" w:eastAsia="宋体" w:hint="default"/>
          <w:sz w:val="18"/>
          <w:szCs w:val="18"/>
        </w:rPr>
      </w:pPr>
      <w:r>
        <w:rPr>
          <w:rFonts w:ascii="宋体" w:hAnsi="宋体" w:cs="宋体" w:eastAsia="宋体" w:hint="default"/>
          <w:b/>
          <w:bCs/>
          <w:w w:val="95"/>
          <w:sz w:val="18"/>
          <w:szCs w:val="18"/>
        </w:rPr>
        <w:t>年末余额</w:t>
      </w:r>
      <w:r>
        <w:rPr>
          <w:rFonts w:ascii="宋体" w:hAnsi="宋体" w:cs="宋体" w:eastAsia="宋体" w:hint="default"/>
          <w:sz w:val="18"/>
          <w:szCs w:val="18"/>
        </w:rPr>
      </w:r>
    </w:p>
    <w:p>
      <w:pPr>
        <w:tabs>
          <w:tab w:pos="3235" w:val="left" w:leader="none"/>
          <w:tab w:pos="5662" w:val="left" w:leader="none"/>
        </w:tabs>
        <w:spacing w:line="296" w:lineRule="exact" w:before="59"/>
        <w:ind w:left="1053" w:right="-19" w:firstLine="0"/>
        <w:jc w:val="left"/>
        <w:rPr>
          <w:rFonts w:ascii="宋体" w:hAnsi="宋体" w:cs="宋体" w:eastAsia="宋体" w:hint="default"/>
          <w:sz w:val="18"/>
          <w:szCs w:val="18"/>
        </w:rPr>
      </w:pPr>
      <w:r>
        <w:rPr/>
        <w:pict>
          <v:group style="position:absolute;margin-left:189.649994pt;margin-top:2.661702pt;width:326.6pt;height:.5pt;mso-position-horizontal-relative:page;mso-position-vertical-relative:paragraph;z-index:-1227304" coordorigin="3793,53" coordsize="6532,10">
            <v:group style="position:absolute;left:3798;top:58;width:2521;height:2" coordorigin="3798,58" coordsize="2521,2">
              <v:shape style="position:absolute;left:3798;top:58;width:2521;height:2" coordorigin="3798,58" coordsize="2521,0" path="m3798,58l6318,58e" filled="false" stroked="true" strokeweight=".48pt" strokecolor="#000000">
                <v:path arrowok="t"/>
              </v:shape>
            </v:group>
            <v:group style="position:absolute;left:6318;top:58;width:10;height:2" coordorigin="6318,58" coordsize="10,2">
              <v:shape style="position:absolute;left:6318;top:58;width:10;height:2" coordorigin="6318,58" coordsize="10,0" path="m6318,58l6328,58e" filled="false" stroked="true" strokeweight=".48pt" strokecolor="#000000">
                <v:path arrowok="t"/>
              </v:shape>
            </v:group>
            <v:group style="position:absolute;left:6328;top:58;width:2324;height:2" coordorigin="6328,58" coordsize="2324,2">
              <v:shape style="position:absolute;left:6328;top:58;width:2324;height:2" coordorigin="6328,58" coordsize="2324,0" path="m6328,58l8651,58e" filled="false" stroked="true" strokeweight=".48pt" strokecolor="#000000">
                <v:path arrowok="t"/>
              </v:shape>
            </v:group>
            <v:group style="position:absolute;left:8652;top:58;width:10;height:2" coordorigin="8652,58" coordsize="10,2">
              <v:shape style="position:absolute;left:8652;top:58;width:10;height:2" coordorigin="8652,58" coordsize="10,0" path="m8652,58l8661,58e" filled="false" stroked="true" strokeweight=".48pt" strokecolor="#000000">
                <v:path arrowok="t"/>
              </v:shape>
            </v:group>
            <v:group style="position:absolute;left:8661;top:58;width:1659;height:2" coordorigin="8661,58" coordsize="1659,2">
              <v:shape style="position:absolute;left:8661;top:58;width:1659;height:2" coordorigin="8661,58" coordsize="1659,0" path="m8661,58l10320,58e" filled="false" stroked="true" strokeweight=".48pt" strokecolor="#000000">
                <v:path arrowok="t"/>
              </v:shape>
            </v:group>
            <w10:wrap type="none"/>
          </v:group>
        </w:pict>
      </w:r>
      <w:r>
        <w:rPr/>
        <w:pict>
          <v:group style="position:absolute;margin-left:189.649994pt;margin-top:17.421692pt;width:243.2pt;height:.5pt;mso-position-horizontal-relative:page;mso-position-vertical-relative:paragraph;z-index:-1227280" coordorigin="3793,348" coordsize="4864,10">
            <v:group style="position:absolute;left:3798;top:353;width:1668;height:2" coordorigin="3798,353" coordsize="1668,2">
              <v:shape style="position:absolute;left:3798;top:353;width:1668;height:2" coordorigin="3798,353" coordsize="1668,0" path="m3798,353l5466,353e" filled="false" stroked="true" strokeweight=".48001pt" strokecolor="#000000">
                <v:path arrowok="t"/>
              </v:shape>
            </v:group>
            <v:group style="position:absolute;left:5466;top:353;width:10;height:2" coordorigin="5466,353" coordsize="10,2">
              <v:shape style="position:absolute;left:5466;top:353;width:10;height:2" coordorigin="5466,353" coordsize="10,0" path="m5466,353l5475,353e" filled="false" stroked="true" strokeweight=".48001pt" strokecolor="#000000">
                <v:path arrowok="t"/>
              </v:shape>
            </v:group>
            <v:group style="position:absolute;left:5475;top:353;width:843;height:2" coordorigin="5475,353" coordsize="843,2">
              <v:shape style="position:absolute;left:5475;top:353;width:843;height:2" coordorigin="5475,353" coordsize="843,0" path="m5475,353l6318,353e" filled="false" stroked="true" strokeweight=".48001pt" strokecolor="#000000">
                <v:path arrowok="t"/>
              </v:shape>
            </v:group>
            <v:group style="position:absolute;left:6318;top:353;width:10;height:2" coordorigin="6318,353" coordsize="10,2">
              <v:shape style="position:absolute;left:6318;top:353;width:10;height:2" coordorigin="6318,353" coordsize="10,0" path="m6318,353l6328,353e" filled="false" stroked="true" strokeweight=".48001pt" strokecolor="#000000">
                <v:path arrowok="t"/>
              </v:shape>
            </v:group>
            <v:group style="position:absolute;left:6328;top:353;width:1476;height:2" coordorigin="6328,353" coordsize="1476,2">
              <v:shape style="position:absolute;left:6328;top:353;width:1476;height:2" coordorigin="6328,353" coordsize="1476,0" path="m6328,353l7804,353e" filled="false" stroked="true" strokeweight=".48001pt" strokecolor="#000000">
                <v:path arrowok="t"/>
              </v:shape>
            </v:group>
            <v:group style="position:absolute;left:7804;top:353;width:10;height:2" coordorigin="7804,353" coordsize="10,2">
              <v:shape style="position:absolute;left:7804;top:353;width:10;height:2" coordorigin="7804,353" coordsize="10,0" path="m7804,353l7813,353e" filled="false" stroked="true" strokeweight=".48001pt" strokecolor="#000000">
                <v:path arrowok="t"/>
              </v:shape>
            </v:group>
            <v:group style="position:absolute;left:7813;top:353;width:839;height:2" coordorigin="7813,353" coordsize="839,2">
              <v:shape style="position:absolute;left:7813;top:353;width:839;height:2" coordorigin="7813,353" coordsize="839,0" path="m7813,353l8651,353e" filled="false" stroked="true" strokeweight=".48001pt" strokecolor="#000000">
                <v:path arrowok="t"/>
              </v:shape>
            </v:group>
            <w10:wrap type="none"/>
          </v:group>
        </w:pict>
      </w:r>
      <w:r>
        <w:rPr>
          <w:rFonts w:ascii="宋体" w:hAnsi="宋体" w:cs="宋体" w:eastAsia="宋体" w:hint="default"/>
          <w:b/>
          <w:bCs/>
          <w:position w:val="-8"/>
          <w:sz w:val="18"/>
          <w:szCs w:val="18"/>
        </w:rPr>
        <w:t>类别</w:t>
        <w:tab/>
      </w:r>
      <w:r>
        <w:rPr>
          <w:rFonts w:ascii="宋体" w:hAnsi="宋体" w:cs="宋体" w:eastAsia="宋体" w:hint="default"/>
          <w:b/>
          <w:bCs/>
          <w:w w:val="95"/>
          <w:sz w:val="18"/>
          <w:szCs w:val="18"/>
        </w:rPr>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p>
      <w:pPr>
        <w:tabs>
          <w:tab w:pos="4250" w:val="left" w:leader="none"/>
          <w:tab w:pos="5419" w:val="left" w:leader="none"/>
          <w:tab w:pos="6494" w:val="left" w:leader="none"/>
        </w:tabs>
        <w:spacing w:line="326" w:lineRule="exact" w:before="0"/>
        <w:ind w:left="2990" w:right="-19" w:firstLine="0"/>
        <w:jc w:val="left"/>
        <w:rPr>
          <w:rFonts w:ascii="宋体" w:hAnsi="宋体" w:cs="宋体" w:eastAsia="宋体" w:hint="default"/>
          <w:sz w:val="18"/>
          <w:szCs w:val="18"/>
        </w:rPr>
      </w:pPr>
      <w:r>
        <w:rPr/>
        <w:pict>
          <v:shape style="position:absolute;margin-left:79.704002pt;margin-top:13.073667pt;width:436.3pt;height:113.5pt;mso-position-horizontal-relative:page;mso-position-vertical-relative:paragraph;z-index:3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72"/>
                    <w:gridCol w:w="853"/>
                    <w:gridCol w:w="1485"/>
                    <w:gridCol w:w="847"/>
                    <w:gridCol w:w="1668"/>
                  </w:tblGrid>
                  <w:tr>
                    <w:trPr>
                      <w:trHeight w:val="215" w:hRule="exact"/>
                    </w:trPr>
                    <w:tc>
                      <w:tcPr>
                        <w:tcW w:w="6210" w:type="dxa"/>
                        <w:gridSpan w:val="3"/>
                        <w:tcBorders>
                          <w:top w:val="nil" w:sz="6" w:space="0" w:color="auto"/>
                          <w:left w:val="nil" w:sz="6" w:space="0" w:color="auto"/>
                          <w:bottom w:val="single" w:sz="4" w:space="0" w:color="000000"/>
                          <w:right w:val="nil" w:sz="6" w:space="0" w:color="auto"/>
                        </w:tcBorders>
                      </w:tcPr>
                      <w:p>
                        <w:pPr/>
                      </w:p>
                    </w:tc>
                    <w:tc>
                      <w:tcPr>
                        <w:tcW w:w="847"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1668" w:type="dxa"/>
                        <w:tcBorders>
                          <w:top w:val="nil" w:sz="6" w:space="0" w:color="auto"/>
                          <w:left w:val="nil" w:sz="6" w:space="0" w:color="auto"/>
                          <w:bottom w:val="single" w:sz="4" w:space="0" w:color="000000"/>
                          <w:right w:val="nil" w:sz="6" w:space="0" w:color="auto"/>
                        </w:tcBorders>
                      </w:tcPr>
                      <w:p>
                        <w:pPr/>
                      </w:p>
                    </w:tc>
                  </w:tr>
                  <w:tr>
                    <w:trPr>
                      <w:trHeight w:val="573" w:hRule="exact"/>
                    </w:trPr>
                    <w:tc>
                      <w:tcPr>
                        <w:tcW w:w="3872" w:type="dxa"/>
                        <w:tcBorders>
                          <w:top w:val="single" w:sz="4" w:space="0" w:color="000000"/>
                          <w:left w:val="nil" w:sz="6" w:space="0" w:color="auto"/>
                          <w:bottom w:val="nil" w:sz="6" w:space="0" w:color="auto"/>
                          <w:right w:val="nil" w:sz="6" w:space="0" w:color="auto"/>
                        </w:tcBorders>
                      </w:tcPr>
                      <w:p>
                        <w:pPr>
                          <w:pStyle w:val="TableParagraph"/>
                          <w:tabs>
                            <w:tab w:pos="2592" w:val="left" w:leader="none"/>
                          </w:tabs>
                          <w:spacing w:line="120" w:lineRule="auto" w:before="125"/>
                          <w:ind w:left="108" w:right="106"/>
                          <w:jc w:val="left"/>
                          <w:rPr>
                            <w:rFonts w:ascii="宋体" w:hAnsi="宋体" w:cs="宋体" w:eastAsia="宋体" w:hint="default"/>
                            <w:sz w:val="18"/>
                            <w:szCs w:val="18"/>
                          </w:rPr>
                        </w:pPr>
                        <w:r>
                          <w:rPr>
                            <w:rFonts w:ascii="宋体" w:hAnsi="宋体" w:cs="宋体" w:eastAsia="宋体" w:hint="default"/>
                            <w:sz w:val="18"/>
                            <w:szCs w:val="18"/>
                          </w:rPr>
                          <w:t>单项金额重大并单项计提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position w:val="-11"/>
                            <w:sz w:val="18"/>
                            <w:szCs w:val="18"/>
                          </w:rPr>
                          <w:t>坏账准备的其他应收款</w:t>
                          <w:tab/>
                        </w:r>
                        <w:r>
                          <w:rPr>
                            <w:rFonts w:ascii="宋体" w:hAnsi="宋体" w:cs="宋体" w:eastAsia="宋体" w:hint="default"/>
                            <w:sz w:val="18"/>
                            <w:szCs w:val="18"/>
                          </w:rPr>
                          <w:t>44,859,905.21</w:t>
                        </w:r>
                      </w:p>
                    </w:tc>
                    <w:tc>
                      <w:tcPr>
                        <w:tcW w:w="853"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right="106"/>
                          <w:jc w:val="right"/>
                          <w:rPr>
                            <w:rFonts w:ascii="宋体" w:hAnsi="宋体" w:cs="宋体" w:eastAsia="宋体" w:hint="default"/>
                            <w:sz w:val="18"/>
                            <w:szCs w:val="18"/>
                          </w:rPr>
                        </w:pPr>
                        <w:r>
                          <w:rPr>
                            <w:rFonts w:ascii="宋体"/>
                            <w:sz w:val="18"/>
                          </w:rPr>
                          <w:t>2.37%</w:t>
                        </w:r>
                      </w:p>
                    </w:tc>
                    <w:tc>
                      <w:tcPr>
                        <w:tcW w:w="1485"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right="106"/>
                          <w:jc w:val="right"/>
                          <w:rPr>
                            <w:rFonts w:ascii="宋体" w:hAnsi="宋体" w:cs="宋体" w:eastAsia="宋体" w:hint="default"/>
                            <w:sz w:val="18"/>
                            <w:szCs w:val="18"/>
                          </w:rPr>
                        </w:pPr>
                        <w:r>
                          <w:rPr>
                            <w:rFonts w:ascii="宋体"/>
                            <w:spacing w:val="-1"/>
                            <w:sz w:val="18"/>
                          </w:rPr>
                          <w:t>44,859,905.21</w:t>
                        </w:r>
                      </w:p>
                    </w:tc>
                    <w:tc>
                      <w:tcPr>
                        <w:tcW w:w="847"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100.00%</w:t>
                        </w:r>
                      </w:p>
                    </w:tc>
                    <w:tc>
                      <w:tcPr>
                        <w:tcW w:w="1668" w:type="dxa"/>
                        <w:tcBorders>
                          <w:top w:val="single" w:sz="4" w:space="0" w:color="000000"/>
                          <w:left w:val="nil" w:sz="6" w:space="0" w:color="auto"/>
                          <w:bottom w:val="nil" w:sz="6" w:space="0" w:color="auto"/>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0.00</w:t>
                        </w:r>
                      </w:p>
                    </w:tc>
                  </w:tr>
                  <w:tr>
                    <w:trPr>
                      <w:trHeight w:val="570" w:hRule="exact"/>
                    </w:trPr>
                    <w:tc>
                      <w:tcPr>
                        <w:tcW w:w="3872" w:type="dxa"/>
                        <w:tcBorders>
                          <w:top w:val="nil" w:sz="6" w:space="0" w:color="auto"/>
                          <w:left w:val="nil" w:sz="6" w:space="0" w:color="auto"/>
                          <w:bottom w:val="nil" w:sz="6" w:space="0" w:color="auto"/>
                          <w:right w:val="nil" w:sz="6" w:space="0" w:color="auto"/>
                        </w:tcBorders>
                      </w:tcPr>
                      <w:p>
                        <w:pPr>
                          <w:pStyle w:val="TableParagraph"/>
                          <w:tabs>
                            <w:tab w:pos="2323" w:val="left" w:leader="none"/>
                          </w:tabs>
                          <w:spacing w:line="117" w:lineRule="auto" w:before="131"/>
                          <w:ind w:left="108" w:right="106"/>
                          <w:jc w:val="left"/>
                          <w:rPr>
                            <w:rFonts w:ascii="宋体" w:hAnsi="宋体" w:cs="宋体" w:eastAsia="宋体" w:hint="default"/>
                            <w:sz w:val="18"/>
                            <w:szCs w:val="18"/>
                          </w:rPr>
                        </w:pPr>
                        <w:r>
                          <w:rPr>
                            <w:rFonts w:ascii="宋体" w:hAnsi="宋体" w:cs="宋体" w:eastAsia="宋体" w:hint="default"/>
                            <w:sz w:val="18"/>
                            <w:szCs w:val="18"/>
                          </w:rPr>
                          <w:t>按信用风险特征组合计提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position w:val="-11"/>
                            <w:sz w:val="18"/>
                            <w:szCs w:val="18"/>
                          </w:rPr>
                          <w:t>坏账准备的其他应收款</w:t>
                          <w:tab/>
                        </w:r>
                        <w:r>
                          <w:rPr>
                            <w:rFonts w:ascii="宋体" w:hAnsi="宋体" w:cs="宋体" w:eastAsia="宋体" w:hint="default"/>
                            <w:spacing w:val="-1"/>
                            <w:sz w:val="18"/>
                            <w:szCs w:val="18"/>
                          </w:rPr>
                          <w:t>1,841,294,184.73</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6"/>
                          <w:jc w:val="right"/>
                          <w:rPr>
                            <w:rFonts w:ascii="宋体" w:hAnsi="宋体" w:cs="宋体" w:eastAsia="宋体" w:hint="default"/>
                            <w:sz w:val="18"/>
                            <w:szCs w:val="18"/>
                          </w:rPr>
                        </w:pPr>
                        <w:r>
                          <w:rPr>
                            <w:rFonts w:ascii="宋体"/>
                            <w:spacing w:val="-1"/>
                            <w:sz w:val="18"/>
                          </w:rPr>
                          <w:t>97.49%</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6"/>
                          <w:jc w:val="right"/>
                          <w:rPr>
                            <w:rFonts w:ascii="宋体" w:hAnsi="宋体" w:cs="宋体" w:eastAsia="宋体" w:hint="default"/>
                            <w:sz w:val="18"/>
                            <w:szCs w:val="18"/>
                          </w:rPr>
                        </w:pPr>
                        <w:r>
                          <w:rPr>
                            <w:rFonts w:ascii="宋体"/>
                            <w:spacing w:val="-1"/>
                            <w:sz w:val="18"/>
                          </w:rPr>
                          <w:t>380,454,127.58</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91" w:right="0"/>
                          <w:jc w:val="center"/>
                          <w:rPr>
                            <w:rFonts w:ascii="宋体" w:hAnsi="宋体" w:cs="宋体" w:eastAsia="宋体" w:hint="default"/>
                            <w:sz w:val="18"/>
                            <w:szCs w:val="18"/>
                          </w:rPr>
                        </w:pPr>
                        <w:r>
                          <w:rPr>
                            <w:rFonts w:ascii="宋体"/>
                            <w:sz w:val="18"/>
                          </w:rPr>
                          <w:t>20.66%</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8"/>
                          <w:jc w:val="right"/>
                          <w:rPr>
                            <w:rFonts w:ascii="宋体" w:hAnsi="宋体" w:cs="宋体" w:eastAsia="宋体" w:hint="default"/>
                            <w:sz w:val="18"/>
                            <w:szCs w:val="18"/>
                          </w:rPr>
                        </w:pPr>
                        <w:r>
                          <w:rPr>
                            <w:rFonts w:ascii="宋体"/>
                            <w:spacing w:val="-1"/>
                            <w:sz w:val="18"/>
                          </w:rPr>
                          <w:t>1,460,840,057.15</w:t>
                        </w:r>
                      </w:p>
                    </w:tc>
                  </w:tr>
                  <w:tr>
                    <w:trPr>
                      <w:trHeight w:val="576" w:hRule="exact"/>
                    </w:trPr>
                    <w:tc>
                      <w:tcPr>
                        <w:tcW w:w="3872" w:type="dxa"/>
                        <w:tcBorders>
                          <w:top w:val="nil" w:sz="6" w:space="0" w:color="auto"/>
                          <w:left w:val="nil" w:sz="6" w:space="0" w:color="auto"/>
                          <w:bottom w:val="single" w:sz="4" w:space="0" w:color="000000"/>
                          <w:right w:val="nil" w:sz="6" w:space="0" w:color="auto"/>
                        </w:tcBorders>
                      </w:tcPr>
                      <w:p>
                        <w:pPr>
                          <w:pStyle w:val="TableParagraph"/>
                          <w:tabs>
                            <w:tab w:pos="2683" w:val="left" w:leader="none"/>
                          </w:tabs>
                          <w:spacing w:line="120" w:lineRule="auto" w:before="127"/>
                          <w:ind w:left="108" w:right="105"/>
                          <w:jc w:val="left"/>
                          <w:rPr>
                            <w:rFonts w:ascii="宋体" w:hAnsi="宋体" w:cs="宋体" w:eastAsia="宋体" w:hint="default"/>
                            <w:sz w:val="18"/>
                            <w:szCs w:val="18"/>
                          </w:rPr>
                        </w:pPr>
                        <w:r>
                          <w:rPr>
                            <w:rFonts w:ascii="宋体" w:hAnsi="宋体" w:cs="宋体" w:eastAsia="宋体" w:hint="default"/>
                            <w:sz w:val="18"/>
                            <w:szCs w:val="18"/>
                          </w:rPr>
                          <w:t>单项金额不重大但单项计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position w:val="-11"/>
                            <w:sz w:val="18"/>
                            <w:szCs w:val="18"/>
                          </w:rPr>
                          <w:t>提坏账准备的其他应收款</w:t>
                          <w:tab/>
                        </w:r>
                        <w:r>
                          <w:rPr>
                            <w:rFonts w:ascii="宋体" w:hAnsi="宋体" w:cs="宋体" w:eastAsia="宋体" w:hint="default"/>
                            <w:sz w:val="18"/>
                            <w:szCs w:val="18"/>
                          </w:rPr>
                          <w:t>2,573,271.80</w:t>
                        </w:r>
                      </w:p>
                    </w:tc>
                    <w:tc>
                      <w:tcPr>
                        <w:tcW w:w="853" w:type="dxa"/>
                        <w:tcBorders>
                          <w:top w:val="nil" w:sz="6" w:space="0" w:color="auto"/>
                          <w:left w:val="nil" w:sz="6" w:space="0" w:color="auto"/>
                          <w:bottom w:val="single" w:sz="4" w:space="0" w:color="000000"/>
                          <w:right w:val="nil" w:sz="6" w:space="0" w:color="auto"/>
                        </w:tcBorders>
                      </w:tcPr>
                      <w:p>
                        <w:pPr>
                          <w:pStyle w:val="TableParagraph"/>
                          <w:spacing w:line="240" w:lineRule="auto" w:before="140"/>
                          <w:ind w:right="106"/>
                          <w:jc w:val="right"/>
                          <w:rPr>
                            <w:rFonts w:ascii="宋体" w:hAnsi="宋体" w:cs="宋体" w:eastAsia="宋体" w:hint="default"/>
                            <w:sz w:val="18"/>
                            <w:szCs w:val="18"/>
                          </w:rPr>
                        </w:pPr>
                        <w:r>
                          <w:rPr>
                            <w:rFonts w:ascii="宋体"/>
                            <w:sz w:val="18"/>
                          </w:rPr>
                          <w:t>0.14%</w:t>
                        </w:r>
                      </w:p>
                    </w:tc>
                    <w:tc>
                      <w:tcPr>
                        <w:tcW w:w="1485" w:type="dxa"/>
                        <w:tcBorders>
                          <w:top w:val="nil" w:sz="6" w:space="0" w:color="auto"/>
                          <w:left w:val="nil" w:sz="6" w:space="0" w:color="auto"/>
                          <w:bottom w:val="single" w:sz="4" w:space="0" w:color="000000"/>
                          <w:right w:val="nil" w:sz="6" w:space="0" w:color="auto"/>
                        </w:tcBorders>
                      </w:tcPr>
                      <w:p>
                        <w:pPr>
                          <w:pStyle w:val="TableParagraph"/>
                          <w:spacing w:line="240" w:lineRule="auto" w:before="140"/>
                          <w:ind w:right="105"/>
                          <w:jc w:val="right"/>
                          <w:rPr>
                            <w:rFonts w:ascii="宋体" w:hAnsi="宋体" w:cs="宋体" w:eastAsia="宋体" w:hint="default"/>
                            <w:sz w:val="18"/>
                            <w:szCs w:val="18"/>
                          </w:rPr>
                        </w:pPr>
                        <w:r>
                          <w:rPr>
                            <w:rFonts w:ascii="宋体"/>
                            <w:spacing w:val="-1"/>
                            <w:sz w:val="18"/>
                          </w:rPr>
                          <w:t>2,573,271.80</w:t>
                        </w:r>
                      </w:p>
                    </w:tc>
                    <w:tc>
                      <w:tcPr>
                        <w:tcW w:w="847" w:type="dxa"/>
                        <w:tcBorders>
                          <w:top w:val="nil" w:sz="6" w:space="0" w:color="auto"/>
                          <w:left w:val="nil" w:sz="6" w:space="0" w:color="auto"/>
                          <w:bottom w:val="single" w:sz="4" w:space="0" w:color="000000"/>
                          <w:right w:val="nil" w:sz="6" w:space="0" w:color="auto"/>
                        </w:tcBorders>
                      </w:tcPr>
                      <w:p>
                        <w:pPr>
                          <w:pStyle w:val="TableParagraph"/>
                          <w:spacing w:line="240" w:lineRule="auto" w:before="140"/>
                          <w:ind w:right="0"/>
                          <w:jc w:val="center"/>
                          <w:rPr>
                            <w:rFonts w:ascii="宋体" w:hAnsi="宋体" w:cs="宋体" w:eastAsia="宋体" w:hint="default"/>
                            <w:sz w:val="18"/>
                            <w:szCs w:val="18"/>
                          </w:rPr>
                        </w:pPr>
                        <w:r>
                          <w:rPr>
                            <w:rFonts w:ascii="宋体"/>
                            <w:sz w:val="18"/>
                          </w:rPr>
                          <w:t>100.00%</w:t>
                        </w:r>
                      </w:p>
                    </w:tc>
                    <w:tc>
                      <w:tcPr>
                        <w:tcW w:w="1668" w:type="dxa"/>
                        <w:tcBorders>
                          <w:top w:val="nil" w:sz="6" w:space="0" w:color="auto"/>
                          <w:left w:val="nil" w:sz="6" w:space="0" w:color="auto"/>
                          <w:bottom w:val="single" w:sz="4" w:space="0" w:color="000000"/>
                          <w:right w:val="nil" w:sz="6" w:space="0" w:color="auto"/>
                        </w:tcBorders>
                      </w:tcPr>
                      <w:p>
                        <w:pPr>
                          <w:pStyle w:val="TableParagraph"/>
                          <w:spacing w:line="240" w:lineRule="auto" w:before="140"/>
                          <w:ind w:right="107"/>
                          <w:jc w:val="right"/>
                          <w:rPr>
                            <w:rFonts w:ascii="宋体" w:hAnsi="宋体" w:cs="宋体" w:eastAsia="宋体" w:hint="default"/>
                            <w:sz w:val="18"/>
                            <w:szCs w:val="18"/>
                          </w:rPr>
                        </w:pPr>
                        <w:r>
                          <w:rPr>
                            <w:rFonts w:ascii="宋体"/>
                            <w:sz w:val="18"/>
                          </w:rPr>
                          <w:t>0.00</w:t>
                        </w:r>
                      </w:p>
                    </w:tc>
                  </w:tr>
                  <w:tr>
                    <w:trPr>
                      <w:trHeight w:val="307" w:hRule="exact"/>
                    </w:trPr>
                    <w:tc>
                      <w:tcPr>
                        <w:tcW w:w="3872" w:type="dxa"/>
                        <w:tcBorders>
                          <w:top w:val="single" w:sz="4" w:space="0" w:color="000000"/>
                          <w:left w:val="nil" w:sz="6" w:space="0" w:color="auto"/>
                          <w:bottom w:val="single" w:sz="12" w:space="0" w:color="000000"/>
                          <w:right w:val="nil" w:sz="6" w:space="0" w:color="auto"/>
                        </w:tcBorders>
                      </w:tcPr>
                      <w:p>
                        <w:pPr>
                          <w:pStyle w:val="TableParagraph"/>
                          <w:tabs>
                            <w:tab w:pos="2311" w:val="left" w:leader="none"/>
                          </w:tabs>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tab/>
                        </w:r>
                        <w:r>
                          <w:rPr>
                            <w:rFonts w:ascii="宋体" w:hAnsi="宋体" w:cs="宋体" w:eastAsia="宋体" w:hint="default"/>
                            <w:b/>
                            <w:bCs/>
                            <w:sz w:val="18"/>
                            <w:szCs w:val="18"/>
                          </w:rPr>
                          <w:t>1,888,727,361.74</w:t>
                        </w:r>
                        <w:r>
                          <w:rPr>
                            <w:rFonts w:ascii="宋体" w:hAnsi="宋体" w:cs="宋体" w:eastAsia="宋体" w:hint="default"/>
                            <w:sz w:val="18"/>
                            <w:szCs w:val="18"/>
                          </w:rPr>
                        </w:r>
                      </w:p>
                    </w:tc>
                    <w:tc>
                      <w:tcPr>
                        <w:tcW w:w="853"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sz w:val="18"/>
                          </w:rPr>
                          <w:t>100.00%</w:t>
                        </w:r>
                        <w:r>
                          <w:rPr>
                            <w:rFonts w:ascii="宋体"/>
                            <w:sz w:val="18"/>
                          </w:rPr>
                        </w:r>
                      </w:p>
                    </w:tc>
                    <w:tc>
                      <w:tcPr>
                        <w:tcW w:w="148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427,887,304.59</w:t>
                        </w:r>
                        <w:r>
                          <w:rPr>
                            <w:rFonts w:ascii="宋体"/>
                            <w:sz w:val="18"/>
                          </w:rPr>
                        </w:r>
                      </w:p>
                    </w:tc>
                    <w:tc>
                      <w:tcPr>
                        <w:tcW w:w="847"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88" w:right="0"/>
                          <w:jc w:val="center"/>
                          <w:rPr>
                            <w:rFonts w:ascii="宋体" w:hAnsi="宋体" w:cs="宋体" w:eastAsia="宋体" w:hint="default"/>
                            <w:sz w:val="18"/>
                            <w:szCs w:val="18"/>
                          </w:rPr>
                        </w:pPr>
                        <w:r>
                          <w:rPr>
                            <w:rFonts w:ascii="宋体"/>
                            <w:b/>
                            <w:sz w:val="18"/>
                          </w:rPr>
                          <w:t>22.65%</w:t>
                        </w:r>
                        <w:r>
                          <w:rPr>
                            <w:rFonts w:ascii="宋体"/>
                            <w:sz w:val="18"/>
                          </w:rPr>
                        </w:r>
                      </w:p>
                    </w:tc>
                    <w:tc>
                      <w:tcPr>
                        <w:tcW w:w="1668"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1,460,840,057.15</w:t>
                        </w:r>
                        <w:r>
                          <w:rPr>
                            <w:rFonts w:ascii="宋体"/>
                            <w:sz w:val="18"/>
                          </w:rPr>
                        </w:r>
                      </w:p>
                    </w:tc>
                  </w:tr>
                </w:tbl>
                <w:p>
                  <w:pPr/>
                </w:p>
              </w:txbxContent>
            </v:textbox>
            <w10:wrap type="none"/>
          </v:shape>
        </w:pict>
      </w:r>
      <w:r>
        <w:rPr>
          <w:rFonts w:ascii="宋体" w:hAnsi="宋体" w:cs="宋体" w:eastAsia="宋体" w:hint="default"/>
          <w:b/>
          <w:bCs/>
          <w:sz w:val="18"/>
          <w:szCs w:val="18"/>
        </w:rPr>
        <w:t>金额</w:t>
        <w:tab/>
        <w:t>比例</w:t>
        <w:tab/>
        <w:t>金额</w:t>
        <w:tab/>
      </w:r>
      <w:r>
        <w:rPr>
          <w:rFonts w:ascii="宋体" w:hAnsi="宋体" w:cs="宋体" w:eastAsia="宋体" w:hint="default"/>
          <w:b/>
          <w:bCs/>
          <w:position w:val="12"/>
          <w:sz w:val="18"/>
          <w:szCs w:val="18"/>
        </w:rPr>
        <w:t>计提比</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6"/>
        <w:rPr>
          <w:rFonts w:ascii="宋体" w:hAnsi="宋体" w:cs="宋体" w:eastAsia="宋体" w:hint="default"/>
          <w:b/>
          <w:bCs/>
          <w:sz w:val="22"/>
          <w:szCs w:val="22"/>
        </w:rPr>
      </w:pPr>
    </w:p>
    <w:p>
      <w:pPr>
        <w:spacing w:before="0"/>
        <w:ind w:left="584"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00" w:bottom="280" w:left="1460" w:right="1460"/>
          <w:cols w:num="2" w:equalWidth="0">
            <w:col w:w="7038" w:space="40"/>
            <w:col w:w="1912"/>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before="32"/>
        <w:ind w:left="633" w:right="0" w:firstLine="0"/>
        <w:jc w:val="left"/>
        <w:rPr>
          <w:rFonts w:ascii="宋体" w:hAnsi="宋体" w:cs="宋体" w:eastAsia="宋体" w:hint="default"/>
          <w:sz w:val="22"/>
          <w:szCs w:val="22"/>
        </w:rPr>
      </w:pPr>
      <w:r>
        <w:rPr>
          <w:rFonts w:ascii="宋体" w:hAnsi="宋体" w:cs="宋体" w:eastAsia="宋体" w:hint="default"/>
          <w:sz w:val="22"/>
          <w:szCs w:val="22"/>
        </w:rPr>
        <w:t>（续）</w:t>
      </w:r>
    </w:p>
    <w:p>
      <w:pPr>
        <w:spacing w:line="240" w:lineRule="auto" w:before="9"/>
        <w:rPr>
          <w:rFonts w:ascii="宋体" w:hAnsi="宋体" w:cs="宋体" w:eastAsia="宋体" w:hint="default"/>
          <w:sz w:val="12"/>
          <w:szCs w:val="12"/>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2324;height:2" coordorigin="14,14" coordsize="2324,2">
              <v:shape style="position:absolute;left:14;top:14;width:2324;height:2" coordorigin="14,14" coordsize="2324,0" path="m14,14l2338,14e" filled="false" stroked="true" strokeweight="1.44pt" strokecolor="#000000">
                <v:path arrowok="t"/>
              </v:shape>
            </v:group>
            <v:group style="position:absolute;left:2338;top:14;width:29;height:2" coordorigin="2338,14" coordsize="29,2">
              <v:shape style="position:absolute;left:2338;top:14;width:29;height:2" coordorigin="2338,14" coordsize="29,0" path="m2338,14l2367,14e" filled="false" stroked="true" strokeweight="1.44pt" strokecolor="#000000">
                <v:path arrowok="t"/>
              </v:shape>
            </v:group>
            <v:group style="position:absolute;left:2367;top:14;width:6373;height:2" coordorigin="2367,14" coordsize="6373,2">
              <v:shape style="position:absolute;left:2367;top:14;width:6373;height:2" coordorigin="2367,14" coordsize="6373,0" path="m2367,14l8740,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type w:val="continuous"/>
          <w:pgSz w:w="11910" w:h="16840"/>
          <w:pgMar w:top="1000" w:bottom="280" w:left="1460" w:right="1460"/>
        </w:sectPr>
      </w:pPr>
    </w:p>
    <w:p>
      <w:pPr>
        <w:spacing w:line="240" w:lineRule="auto" w:before="0"/>
        <w:rPr>
          <w:rFonts w:ascii="宋体" w:hAnsi="宋体" w:cs="宋体" w:eastAsia="宋体" w:hint="default"/>
          <w:sz w:val="18"/>
          <w:szCs w:val="18"/>
        </w:rPr>
      </w:pPr>
    </w:p>
    <w:p>
      <w:pPr>
        <w:spacing w:before="148"/>
        <w:ind w:left="245" w:right="0" w:firstLine="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18"/>
          <w:szCs w:val="18"/>
        </w:rPr>
      </w:pPr>
    </w:p>
    <w:p>
      <w:pPr>
        <w:spacing w:before="0"/>
        <w:ind w:left="242" w:right="0" w:firstLine="0"/>
        <w:jc w:val="center"/>
        <w:rPr>
          <w:rFonts w:ascii="宋体" w:hAnsi="宋体" w:cs="宋体" w:eastAsia="宋体" w:hint="default"/>
          <w:sz w:val="18"/>
          <w:szCs w:val="18"/>
        </w:rPr>
      </w:pPr>
      <w:r>
        <w:rPr/>
        <w:pict>
          <v:group style="position:absolute;margin-left:79.463997pt;margin-top:-1.608303pt;width:436.8pt;height:.5pt;mso-position-horizontal-relative:page;mso-position-vertical-relative:paragraph;z-index:3112" coordorigin="1589,-32" coordsize="8736,10">
            <v:group style="position:absolute;left:1594;top:-27;width:2324;height:2" coordorigin="1594,-27" coordsize="2324,2">
              <v:shape style="position:absolute;left:1594;top:-27;width:2324;height:2" coordorigin="1594,-27" coordsize="2324,0" path="m1594,-27l3918,-27e" filled="false" stroked="true" strokeweight=".48001pt" strokecolor="#000000">
                <v:path arrowok="t"/>
              </v:shape>
            </v:group>
            <v:group style="position:absolute;left:3918;top:-27;width:10;height:2" coordorigin="3918,-27" coordsize="10,2">
              <v:shape style="position:absolute;left:3918;top:-27;width:10;height:2" coordorigin="3918,-27" coordsize="10,0" path="m3918,-27l3927,-27e" filled="false" stroked="true" strokeweight=".48001pt" strokecolor="#000000">
                <v:path arrowok="t"/>
              </v:shape>
            </v:group>
            <v:group style="position:absolute;left:3927;top:-27;width:1659;height:2" coordorigin="3927,-27" coordsize="1659,2">
              <v:shape style="position:absolute;left:3927;top:-27;width:1659;height:2" coordorigin="3927,-27" coordsize="1659,0" path="m3927,-27l5586,-27e" filled="false" stroked="true" strokeweight=".48001pt" strokecolor="#000000">
                <v:path arrowok="t"/>
              </v:shape>
            </v:group>
            <v:group style="position:absolute;left:5586;top:-27;width:10;height:2" coordorigin="5586,-27" coordsize="10,2">
              <v:shape style="position:absolute;left:5586;top:-27;width:10;height:2" coordorigin="5586,-27" coordsize="10,0" path="m5586,-27l5595,-27e" filled="false" stroked="true" strokeweight=".48001pt" strokecolor="#000000">
                <v:path arrowok="t"/>
              </v:shape>
            </v:group>
            <v:group style="position:absolute;left:5595;top:-27;width:848;height:2" coordorigin="5595,-27" coordsize="848,2">
              <v:shape style="position:absolute;left:5595;top:-27;width:848;height:2" coordorigin="5595,-27" coordsize="848,0" path="m5595,-27l6443,-27e" filled="false" stroked="true" strokeweight=".48001pt" strokecolor="#000000">
                <v:path arrowok="t"/>
              </v:shape>
            </v:group>
            <v:group style="position:absolute;left:6443;top:-27;width:10;height:2" coordorigin="6443,-27" coordsize="10,2">
              <v:shape style="position:absolute;left:6443;top:-27;width:10;height:2" coordorigin="6443,-27" coordsize="10,0" path="m6443,-27l6453,-27e" filled="false" stroked="true" strokeweight=".48001pt" strokecolor="#000000">
                <v:path arrowok="t"/>
              </v:shape>
            </v:group>
            <v:group style="position:absolute;left:6453;top:-27;width:1479;height:2" coordorigin="6453,-27" coordsize="1479,2">
              <v:shape style="position:absolute;left:6453;top:-27;width:1479;height:2" coordorigin="6453,-27" coordsize="1479,0" path="m6453,-27l7931,-27e" filled="false" stroked="true" strokeweight=".48001pt" strokecolor="#000000">
                <v:path arrowok="t"/>
              </v:shape>
            </v:group>
            <v:group style="position:absolute;left:7931;top:-27;width:10;height:2" coordorigin="7931,-27" coordsize="10,2">
              <v:shape style="position:absolute;left:7931;top:-27;width:10;height:2" coordorigin="7931,-27" coordsize="10,0" path="m7931,-27l7941,-27e" filled="false" stroked="true" strokeweight=".48001pt" strokecolor="#000000">
                <v:path arrowok="t"/>
              </v:shape>
            </v:group>
            <v:group style="position:absolute;left:7941;top:-27;width:891;height:2" coordorigin="7941,-27" coordsize="891,2">
              <v:shape style="position:absolute;left:7941;top:-27;width:891;height:2" coordorigin="7941,-27" coordsize="891,0" path="m7941,-27l8831,-27e" filled="false" stroked="true" strokeweight=".48001pt" strokecolor="#000000">
                <v:path arrowok="t"/>
              </v:shape>
            </v:group>
            <v:group style="position:absolute;left:8832;top:-27;width:10;height:2" coordorigin="8832,-27" coordsize="10,2">
              <v:shape style="position:absolute;left:8832;top:-27;width:10;height:2" coordorigin="8832,-27" coordsize="10,0" path="m8832,-27l8841,-27e" filled="false" stroked="true" strokeweight=".48001pt" strokecolor="#000000">
                <v:path arrowok="t"/>
              </v:shape>
            </v:group>
            <v:group style="position:absolute;left:8841;top:-27;width:1479;height:2" coordorigin="8841,-27" coordsize="1479,2">
              <v:shape style="position:absolute;left:8841;top:-27;width:1479;height:2" coordorigin="8841,-27" coordsize="1479,0" path="m8841,-27l10320,-27e" filled="false" stroked="true" strokeweight=".48001pt" strokecolor="#000000">
                <v:path arrowok="t"/>
              </v:shape>
            </v:group>
            <w10:wrap type="none"/>
          </v:group>
        </w:pict>
      </w:r>
      <w:r>
        <w:rPr/>
        <w:pict>
          <v:shape style="position:absolute;margin-left:79.704002pt;margin-top:8.537332pt;width:436.3pt;height:92.85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93"/>
                    <w:gridCol w:w="857"/>
                    <w:gridCol w:w="1513"/>
                    <w:gridCol w:w="876"/>
                    <w:gridCol w:w="1487"/>
                  </w:tblGrid>
                  <w:tr>
                    <w:trPr>
                      <w:trHeight w:val="376" w:hRule="exact"/>
                    </w:trPr>
                    <w:tc>
                      <w:tcPr>
                        <w:tcW w:w="3993" w:type="dxa"/>
                        <w:tcBorders>
                          <w:top w:val="nil" w:sz="6" w:space="0" w:color="auto"/>
                          <w:left w:val="nil" w:sz="6" w:space="0" w:color="auto"/>
                          <w:bottom w:val="nil" w:sz="6" w:space="0" w:color="auto"/>
                          <w:right w:val="nil" w:sz="6" w:space="0" w:color="auto"/>
                        </w:tcBorders>
                      </w:tcPr>
                      <w:p>
                        <w:pPr>
                          <w:pStyle w:val="TableParagraph"/>
                          <w:tabs>
                            <w:tab w:pos="2710" w:val="left" w:leader="none"/>
                          </w:tabs>
                          <w:spacing w:line="300" w:lineRule="exact"/>
                          <w:ind w:left="108" w:right="0"/>
                          <w:jc w:val="left"/>
                          <w:rPr>
                            <w:rFonts w:ascii="宋体" w:hAnsi="宋体" w:cs="宋体" w:eastAsia="宋体" w:hint="default"/>
                            <w:sz w:val="18"/>
                            <w:szCs w:val="18"/>
                          </w:rPr>
                        </w:pPr>
                        <w:r>
                          <w:rPr>
                            <w:rFonts w:ascii="宋体" w:hAnsi="宋体" w:cs="宋体" w:eastAsia="宋体" w:hint="default"/>
                            <w:position w:val="-11"/>
                            <w:sz w:val="18"/>
                            <w:szCs w:val="18"/>
                          </w:rPr>
                          <w:t>坏账准备的其他应收款</w:t>
                          <w:tab/>
                        </w:r>
                        <w:r>
                          <w:rPr>
                            <w:rFonts w:ascii="宋体" w:hAnsi="宋体" w:cs="宋体" w:eastAsia="宋体" w:hint="default"/>
                            <w:sz w:val="18"/>
                            <w:szCs w:val="18"/>
                          </w:rPr>
                          <w:t>44,859,905.21</w:t>
                        </w:r>
                      </w:p>
                    </w:tc>
                    <w:tc>
                      <w:tcPr>
                        <w:tcW w:w="857" w:type="dxa"/>
                        <w:tcBorders>
                          <w:top w:val="nil" w:sz="6" w:space="0" w:color="auto"/>
                          <w:left w:val="nil" w:sz="6" w:space="0" w:color="auto"/>
                          <w:bottom w:val="nil" w:sz="6" w:space="0" w:color="auto"/>
                          <w:right w:val="nil" w:sz="6" w:space="0" w:color="auto"/>
                        </w:tcBorders>
                      </w:tcPr>
                      <w:p>
                        <w:pPr>
                          <w:pStyle w:val="TableParagraph"/>
                          <w:spacing w:line="180" w:lineRule="exact"/>
                          <w:ind w:right="106"/>
                          <w:jc w:val="right"/>
                          <w:rPr>
                            <w:rFonts w:ascii="宋体" w:hAnsi="宋体" w:cs="宋体" w:eastAsia="宋体" w:hint="default"/>
                            <w:sz w:val="18"/>
                            <w:szCs w:val="18"/>
                          </w:rPr>
                        </w:pPr>
                        <w:r>
                          <w:rPr>
                            <w:rFonts w:ascii="宋体"/>
                            <w:sz w:val="18"/>
                          </w:rPr>
                          <w:t>3.63%</w:t>
                        </w:r>
                      </w:p>
                    </w:tc>
                    <w:tc>
                      <w:tcPr>
                        <w:tcW w:w="1513" w:type="dxa"/>
                        <w:tcBorders>
                          <w:top w:val="nil" w:sz="6" w:space="0" w:color="auto"/>
                          <w:left w:val="nil" w:sz="6" w:space="0" w:color="auto"/>
                          <w:bottom w:val="nil" w:sz="6" w:space="0" w:color="auto"/>
                          <w:right w:val="nil" w:sz="6" w:space="0" w:color="auto"/>
                        </w:tcBorders>
                      </w:tcPr>
                      <w:p>
                        <w:pPr>
                          <w:pStyle w:val="TableParagraph"/>
                          <w:spacing w:line="180" w:lineRule="exact"/>
                          <w:ind w:right="135"/>
                          <w:jc w:val="right"/>
                          <w:rPr>
                            <w:rFonts w:ascii="宋体" w:hAnsi="宋体" w:cs="宋体" w:eastAsia="宋体" w:hint="default"/>
                            <w:sz w:val="18"/>
                            <w:szCs w:val="18"/>
                          </w:rPr>
                        </w:pPr>
                        <w:r>
                          <w:rPr>
                            <w:rFonts w:ascii="宋体"/>
                            <w:spacing w:val="-1"/>
                            <w:sz w:val="18"/>
                          </w:rPr>
                          <w:t>44,859,905.21</w:t>
                        </w:r>
                      </w:p>
                    </w:tc>
                    <w:tc>
                      <w:tcPr>
                        <w:tcW w:w="876" w:type="dxa"/>
                        <w:tcBorders>
                          <w:top w:val="nil" w:sz="6" w:space="0" w:color="auto"/>
                          <w:left w:val="nil" w:sz="6" w:space="0" w:color="auto"/>
                          <w:bottom w:val="nil" w:sz="6" w:space="0" w:color="auto"/>
                          <w:right w:val="nil" w:sz="6" w:space="0" w:color="auto"/>
                        </w:tcBorders>
                      </w:tcPr>
                      <w:p>
                        <w:pPr>
                          <w:pStyle w:val="TableParagraph"/>
                          <w:spacing w:line="180" w:lineRule="exact"/>
                          <w:ind w:right="106"/>
                          <w:jc w:val="right"/>
                          <w:rPr>
                            <w:rFonts w:ascii="宋体" w:hAnsi="宋体" w:cs="宋体" w:eastAsia="宋体" w:hint="default"/>
                            <w:sz w:val="18"/>
                            <w:szCs w:val="18"/>
                          </w:rPr>
                        </w:pPr>
                        <w:r>
                          <w:rPr>
                            <w:rFonts w:ascii="宋体"/>
                            <w:sz w:val="18"/>
                          </w:rPr>
                          <w:t>100.00%</w:t>
                        </w:r>
                      </w:p>
                    </w:tc>
                    <w:tc>
                      <w:tcPr>
                        <w:tcW w:w="1487" w:type="dxa"/>
                        <w:tcBorders>
                          <w:top w:val="nil" w:sz="6" w:space="0" w:color="auto"/>
                          <w:left w:val="nil" w:sz="6" w:space="0" w:color="auto"/>
                          <w:bottom w:val="nil" w:sz="6" w:space="0" w:color="auto"/>
                          <w:right w:val="nil" w:sz="6" w:space="0" w:color="auto"/>
                        </w:tcBorders>
                      </w:tcPr>
                      <w:p>
                        <w:pPr>
                          <w:pStyle w:val="TableParagraph"/>
                          <w:spacing w:line="180" w:lineRule="exact"/>
                          <w:ind w:right="107"/>
                          <w:jc w:val="right"/>
                          <w:rPr>
                            <w:rFonts w:ascii="宋体" w:hAnsi="宋体" w:cs="宋体" w:eastAsia="宋体" w:hint="default"/>
                            <w:sz w:val="18"/>
                            <w:szCs w:val="18"/>
                          </w:rPr>
                        </w:pPr>
                        <w:r>
                          <w:rPr>
                            <w:rFonts w:ascii="宋体"/>
                            <w:sz w:val="18"/>
                          </w:rPr>
                          <w:t>0.00</w:t>
                        </w:r>
                      </w:p>
                    </w:tc>
                  </w:tr>
                  <w:tr>
                    <w:trPr>
                      <w:trHeight w:val="570" w:hRule="exact"/>
                    </w:trPr>
                    <w:tc>
                      <w:tcPr>
                        <w:tcW w:w="3993" w:type="dxa"/>
                        <w:tcBorders>
                          <w:top w:val="nil" w:sz="6" w:space="0" w:color="auto"/>
                          <w:left w:val="nil" w:sz="6" w:space="0" w:color="auto"/>
                          <w:bottom w:val="nil" w:sz="6" w:space="0" w:color="auto"/>
                          <w:right w:val="nil" w:sz="6" w:space="0" w:color="auto"/>
                        </w:tcBorders>
                      </w:tcPr>
                      <w:p>
                        <w:pPr>
                          <w:pStyle w:val="TableParagraph"/>
                          <w:tabs>
                            <w:tab w:pos="2441" w:val="left" w:leader="none"/>
                          </w:tabs>
                          <w:spacing w:line="120" w:lineRule="auto" w:before="127"/>
                          <w:ind w:left="108" w:right="110"/>
                          <w:jc w:val="left"/>
                          <w:rPr>
                            <w:rFonts w:ascii="宋体" w:hAnsi="宋体" w:cs="宋体" w:eastAsia="宋体" w:hint="default"/>
                            <w:sz w:val="18"/>
                            <w:szCs w:val="18"/>
                          </w:rPr>
                        </w:pPr>
                        <w:r>
                          <w:rPr>
                            <w:rFonts w:ascii="宋体" w:hAnsi="宋体" w:cs="宋体" w:eastAsia="宋体" w:hint="default"/>
                            <w:spacing w:val="10"/>
                            <w:sz w:val="18"/>
                            <w:szCs w:val="18"/>
                          </w:rPr>
                          <w:t>按信用风险特征组合计提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position w:val="-11"/>
                            <w:sz w:val="18"/>
                            <w:szCs w:val="18"/>
                          </w:rPr>
                          <w:t>坏账准备的其他应收款</w:t>
                          <w:tab/>
                        </w:r>
                        <w:r>
                          <w:rPr>
                            <w:rFonts w:ascii="宋体" w:hAnsi="宋体" w:cs="宋体" w:eastAsia="宋体" w:hint="default"/>
                            <w:spacing w:val="-1"/>
                            <w:sz w:val="18"/>
                            <w:szCs w:val="18"/>
                          </w:rPr>
                          <w:t>1,190,334,903.59</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6"/>
                          <w:jc w:val="right"/>
                          <w:rPr>
                            <w:rFonts w:ascii="宋体" w:hAnsi="宋体" w:cs="宋体" w:eastAsia="宋体" w:hint="default"/>
                            <w:sz w:val="18"/>
                            <w:szCs w:val="18"/>
                          </w:rPr>
                        </w:pPr>
                        <w:r>
                          <w:rPr>
                            <w:rFonts w:ascii="宋体"/>
                            <w:spacing w:val="-1"/>
                            <w:sz w:val="18"/>
                          </w:rPr>
                          <w:t>96.37%</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34"/>
                          <w:jc w:val="right"/>
                          <w:rPr>
                            <w:rFonts w:ascii="宋体" w:hAnsi="宋体" w:cs="宋体" w:eastAsia="宋体" w:hint="default"/>
                            <w:sz w:val="18"/>
                            <w:szCs w:val="18"/>
                          </w:rPr>
                        </w:pPr>
                        <w:r>
                          <w:rPr>
                            <w:rFonts w:ascii="宋体"/>
                            <w:spacing w:val="-1"/>
                            <w:sz w:val="18"/>
                          </w:rPr>
                          <w:t>329,065,739.40</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6"/>
                          <w:jc w:val="right"/>
                          <w:rPr>
                            <w:rFonts w:ascii="宋体" w:hAnsi="宋体" w:cs="宋体" w:eastAsia="宋体" w:hint="default"/>
                            <w:sz w:val="18"/>
                            <w:szCs w:val="18"/>
                          </w:rPr>
                        </w:pPr>
                        <w:r>
                          <w:rPr>
                            <w:rFonts w:ascii="宋体"/>
                            <w:spacing w:val="-1"/>
                            <w:sz w:val="18"/>
                          </w:rPr>
                          <w:t>27.64%</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8"/>
                          <w:jc w:val="right"/>
                          <w:rPr>
                            <w:rFonts w:ascii="宋体" w:hAnsi="宋体" w:cs="宋体" w:eastAsia="宋体" w:hint="default"/>
                            <w:sz w:val="18"/>
                            <w:szCs w:val="18"/>
                          </w:rPr>
                        </w:pPr>
                        <w:r>
                          <w:rPr>
                            <w:rFonts w:ascii="宋体"/>
                            <w:spacing w:val="-1"/>
                            <w:sz w:val="18"/>
                          </w:rPr>
                          <w:t>861,269,164.19</w:t>
                        </w:r>
                      </w:p>
                    </w:tc>
                  </w:tr>
                  <w:tr>
                    <w:trPr>
                      <w:trHeight w:val="577" w:hRule="exact"/>
                    </w:trPr>
                    <w:tc>
                      <w:tcPr>
                        <w:tcW w:w="3993" w:type="dxa"/>
                        <w:tcBorders>
                          <w:top w:val="nil" w:sz="6" w:space="0" w:color="auto"/>
                          <w:left w:val="nil" w:sz="6" w:space="0" w:color="auto"/>
                          <w:bottom w:val="single" w:sz="4" w:space="0" w:color="000000"/>
                          <w:right w:val="nil" w:sz="6" w:space="0" w:color="auto"/>
                        </w:tcBorders>
                      </w:tcPr>
                      <w:p>
                        <w:pPr>
                          <w:pStyle w:val="TableParagraph"/>
                          <w:tabs>
                            <w:tab w:pos="3521" w:val="left" w:leader="none"/>
                          </w:tabs>
                          <w:spacing w:line="115" w:lineRule="auto" w:before="133"/>
                          <w:ind w:left="108" w:right="109"/>
                          <w:jc w:val="left"/>
                          <w:rPr>
                            <w:rFonts w:ascii="宋体" w:hAnsi="宋体" w:cs="宋体" w:eastAsia="宋体" w:hint="default"/>
                            <w:sz w:val="18"/>
                            <w:szCs w:val="18"/>
                          </w:rPr>
                        </w:pPr>
                        <w:r>
                          <w:rPr>
                            <w:rFonts w:ascii="宋体" w:hAnsi="宋体" w:cs="宋体" w:eastAsia="宋体" w:hint="default"/>
                            <w:spacing w:val="10"/>
                            <w:sz w:val="18"/>
                            <w:szCs w:val="18"/>
                          </w:rPr>
                          <w:t>单项金额不重大但单项计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提坏账准备的其他应收款</w:t>
                        </w:r>
                        <w:r>
                          <w:rPr>
                            <w:rFonts w:ascii="宋体" w:hAnsi="宋体" w:cs="宋体" w:eastAsia="宋体" w:hint="default"/>
                            <w:position w:val="12"/>
                            <w:sz w:val="18"/>
                            <w:szCs w:val="18"/>
                          </w:rPr>
                          <w:tab/>
                          <w:t>0.00</w:t>
                        </w:r>
                        <w:r>
                          <w:rPr>
                            <w:rFonts w:ascii="宋体" w:hAnsi="宋体" w:cs="宋体" w:eastAsia="宋体" w:hint="default"/>
                            <w:sz w:val="18"/>
                            <w:szCs w:val="18"/>
                          </w:rPr>
                        </w:r>
                      </w:p>
                    </w:tc>
                    <w:tc>
                      <w:tcPr>
                        <w:tcW w:w="857" w:type="dxa"/>
                        <w:tcBorders>
                          <w:top w:val="nil" w:sz="6" w:space="0" w:color="auto"/>
                          <w:left w:val="nil" w:sz="6" w:space="0" w:color="auto"/>
                          <w:bottom w:val="single" w:sz="4" w:space="0" w:color="000000"/>
                          <w:right w:val="nil" w:sz="6" w:space="0" w:color="auto"/>
                        </w:tcBorders>
                      </w:tcPr>
                      <w:p>
                        <w:pPr>
                          <w:pStyle w:val="TableParagraph"/>
                          <w:spacing w:line="240" w:lineRule="auto" w:before="139"/>
                          <w:ind w:right="106"/>
                          <w:jc w:val="right"/>
                          <w:rPr>
                            <w:rFonts w:ascii="宋体" w:hAnsi="宋体" w:cs="宋体" w:eastAsia="宋体" w:hint="default"/>
                            <w:sz w:val="18"/>
                            <w:szCs w:val="18"/>
                          </w:rPr>
                        </w:pPr>
                        <w:r>
                          <w:rPr>
                            <w:rFonts w:ascii="宋体"/>
                            <w:sz w:val="18"/>
                          </w:rPr>
                          <w:t>0.00%</w:t>
                        </w:r>
                      </w:p>
                    </w:tc>
                    <w:tc>
                      <w:tcPr>
                        <w:tcW w:w="1513" w:type="dxa"/>
                        <w:tcBorders>
                          <w:top w:val="nil" w:sz="6" w:space="0" w:color="auto"/>
                          <w:left w:val="nil" w:sz="6" w:space="0" w:color="auto"/>
                          <w:bottom w:val="single" w:sz="4" w:space="0" w:color="000000"/>
                          <w:right w:val="nil" w:sz="6" w:space="0" w:color="auto"/>
                        </w:tcBorders>
                      </w:tcPr>
                      <w:p>
                        <w:pPr>
                          <w:pStyle w:val="TableParagraph"/>
                          <w:spacing w:line="240" w:lineRule="auto" w:before="139"/>
                          <w:ind w:right="133"/>
                          <w:jc w:val="right"/>
                          <w:rPr>
                            <w:rFonts w:ascii="宋体" w:hAnsi="宋体" w:cs="宋体" w:eastAsia="宋体" w:hint="default"/>
                            <w:sz w:val="18"/>
                            <w:szCs w:val="18"/>
                          </w:rPr>
                        </w:pPr>
                        <w:r>
                          <w:rPr>
                            <w:rFonts w:ascii="宋体"/>
                            <w:sz w:val="18"/>
                          </w:rPr>
                          <w:t>0.00</w:t>
                        </w:r>
                      </w:p>
                    </w:tc>
                    <w:tc>
                      <w:tcPr>
                        <w:tcW w:w="876" w:type="dxa"/>
                        <w:tcBorders>
                          <w:top w:val="nil" w:sz="6" w:space="0" w:color="auto"/>
                          <w:left w:val="nil" w:sz="6" w:space="0" w:color="auto"/>
                          <w:bottom w:val="single" w:sz="4" w:space="0" w:color="000000"/>
                          <w:right w:val="nil" w:sz="6" w:space="0" w:color="auto"/>
                        </w:tcBorders>
                      </w:tcPr>
                      <w:p>
                        <w:pPr>
                          <w:pStyle w:val="TableParagraph"/>
                          <w:spacing w:line="240" w:lineRule="auto" w:before="139"/>
                          <w:ind w:right="106"/>
                          <w:jc w:val="right"/>
                          <w:rPr>
                            <w:rFonts w:ascii="宋体" w:hAnsi="宋体" w:cs="宋体" w:eastAsia="宋体" w:hint="default"/>
                            <w:sz w:val="18"/>
                            <w:szCs w:val="18"/>
                          </w:rPr>
                        </w:pPr>
                        <w:r>
                          <w:rPr>
                            <w:rFonts w:ascii="宋体"/>
                            <w:sz w:val="18"/>
                          </w:rPr>
                          <w:t>0.00%</w:t>
                        </w: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139"/>
                          <w:ind w:right="107"/>
                          <w:jc w:val="right"/>
                          <w:rPr>
                            <w:rFonts w:ascii="宋体" w:hAnsi="宋体" w:cs="宋体" w:eastAsia="宋体" w:hint="default"/>
                            <w:sz w:val="18"/>
                            <w:szCs w:val="18"/>
                          </w:rPr>
                        </w:pPr>
                        <w:r>
                          <w:rPr>
                            <w:rFonts w:ascii="宋体"/>
                            <w:sz w:val="18"/>
                          </w:rPr>
                          <w:t>0.00</w:t>
                        </w:r>
                      </w:p>
                    </w:tc>
                  </w:tr>
                  <w:tr>
                    <w:trPr>
                      <w:trHeight w:val="305" w:hRule="exact"/>
                    </w:trPr>
                    <w:tc>
                      <w:tcPr>
                        <w:tcW w:w="3993" w:type="dxa"/>
                        <w:tcBorders>
                          <w:top w:val="single" w:sz="4" w:space="0" w:color="000000"/>
                          <w:left w:val="nil" w:sz="6" w:space="0" w:color="auto"/>
                          <w:bottom w:val="single" w:sz="12" w:space="0" w:color="000000"/>
                          <w:right w:val="nil" w:sz="6" w:space="0" w:color="auto"/>
                        </w:tcBorders>
                      </w:tcPr>
                      <w:p>
                        <w:pPr>
                          <w:pStyle w:val="TableParagraph"/>
                          <w:tabs>
                            <w:tab w:pos="2429" w:val="left" w:leader="none"/>
                          </w:tabs>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tab/>
                        </w:r>
                        <w:r>
                          <w:rPr>
                            <w:rFonts w:ascii="宋体" w:hAnsi="宋体" w:cs="宋体" w:eastAsia="宋体" w:hint="default"/>
                            <w:b/>
                            <w:bCs/>
                            <w:sz w:val="18"/>
                            <w:szCs w:val="18"/>
                          </w:rPr>
                          <w:t>1,235,194,808.80</w:t>
                        </w:r>
                        <w:r>
                          <w:rPr>
                            <w:rFonts w:ascii="宋体" w:hAnsi="宋体" w:cs="宋体" w:eastAsia="宋体" w:hint="default"/>
                            <w:sz w:val="18"/>
                            <w:szCs w:val="18"/>
                          </w:rPr>
                        </w:r>
                      </w:p>
                    </w:tc>
                    <w:tc>
                      <w:tcPr>
                        <w:tcW w:w="857"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sz w:val="18"/>
                          </w:rPr>
                          <w:t>100.00%</w:t>
                        </w:r>
                        <w:r>
                          <w:rPr>
                            <w:rFonts w:ascii="宋体"/>
                            <w:sz w:val="18"/>
                          </w:rPr>
                        </w:r>
                      </w:p>
                    </w:tc>
                    <w:tc>
                      <w:tcPr>
                        <w:tcW w:w="1513"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34"/>
                          <w:jc w:val="right"/>
                          <w:rPr>
                            <w:rFonts w:ascii="宋体" w:hAnsi="宋体" w:cs="宋体" w:eastAsia="宋体" w:hint="default"/>
                            <w:sz w:val="18"/>
                            <w:szCs w:val="18"/>
                          </w:rPr>
                        </w:pPr>
                        <w:r>
                          <w:rPr>
                            <w:rFonts w:ascii="宋体"/>
                            <w:b/>
                            <w:w w:val="95"/>
                            <w:sz w:val="18"/>
                          </w:rPr>
                          <w:t>373,925,644.61</w:t>
                        </w:r>
                        <w:r>
                          <w:rPr>
                            <w:rFonts w:ascii="宋体"/>
                            <w:sz w:val="18"/>
                          </w:rPr>
                        </w:r>
                      </w:p>
                    </w:tc>
                    <w:tc>
                      <w:tcPr>
                        <w:tcW w:w="876"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b/>
                            <w:sz w:val="18"/>
                          </w:rPr>
                          <w:t>30.27%</w:t>
                        </w:r>
                        <w:r>
                          <w:rPr>
                            <w:rFonts w:ascii="宋体"/>
                            <w:sz w:val="18"/>
                          </w:rPr>
                        </w:r>
                      </w:p>
                    </w:tc>
                    <w:tc>
                      <w:tcPr>
                        <w:tcW w:w="1487"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861,269,164.19</w:t>
                        </w:r>
                        <w:r>
                          <w:rPr>
                            <w:rFonts w:ascii="宋体"/>
                            <w:sz w:val="18"/>
                          </w:rPr>
                        </w:r>
                      </w:p>
                    </w:tc>
                  </w:tr>
                </w:tbl>
                <w:p>
                  <w:pPr/>
                </w:p>
              </w:txbxContent>
            </v:textbox>
            <w10:wrap type="none"/>
          </v:shape>
        </w:pict>
      </w:r>
      <w:r>
        <w:rPr>
          <w:rFonts w:ascii="宋体" w:hAnsi="宋体" w:cs="宋体" w:eastAsia="宋体" w:hint="default"/>
          <w:spacing w:val="10"/>
          <w:sz w:val="18"/>
          <w:szCs w:val="18"/>
        </w:rPr>
        <w:t>单项金额重大并单项计提</w:t>
      </w:r>
    </w:p>
    <w:p>
      <w:pPr>
        <w:spacing w:line="235" w:lineRule="exact" w:before="0"/>
        <w:ind w:left="2428"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年初余额</w:t>
      </w:r>
      <w:r>
        <w:rPr>
          <w:rFonts w:ascii="宋体" w:hAnsi="宋体" w:cs="宋体" w:eastAsia="宋体" w:hint="default"/>
          <w:sz w:val="18"/>
          <w:szCs w:val="18"/>
        </w:rPr>
      </w:r>
    </w:p>
    <w:p>
      <w:pPr>
        <w:tabs>
          <w:tab w:pos="2949" w:val="left" w:leader="none"/>
        </w:tabs>
        <w:spacing w:before="59"/>
        <w:ind w:left="491" w:right="0" w:firstLine="0"/>
        <w:jc w:val="left"/>
        <w:rPr>
          <w:rFonts w:ascii="宋体" w:hAnsi="宋体" w:cs="宋体" w:eastAsia="宋体" w:hint="default"/>
          <w:sz w:val="18"/>
          <w:szCs w:val="18"/>
        </w:rPr>
      </w:pPr>
      <w:r>
        <w:rPr/>
        <w:pict>
          <v:group style="position:absolute;margin-left:195.650009pt;margin-top:2.661742pt;width:320.6pt;height:.5pt;mso-position-horizontal-relative:page;mso-position-vertical-relative:paragraph;z-index:-1227256" coordorigin="3913,53" coordsize="6412,10">
            <v:group style="position:absolute;left:3918;top:58;width:2526;height:2" coordorigin="3918,58" coordsize="2526,2">
              <v:shape style="position:absolute;left:3918;top:58;width:2526;height:2" coordorigin="3918,58" coordsize="2526,0" path="m3918,58l6443,58e" filled="false" stroked="true" strokeweight=".47998pt" strokecolor="#000000">
                <v:path arrowok="t"/>
              </v:shape>
            </v:group>
            <v:group style="position:absolute;left:6443;top:58;width:10;height:2" coordorigin="6443,58" coordsize="10,2">
              <v:shape style="position:absolute;left:6443;top:58;width:10;height:2" coordorigin="6443,58" coordsize="10,0" path="m6443,58l6453,58e" filled="false" stroked="true" strokeweight=".47998pt" strokecolor="#000000">
                <v:path arrowok="t"/>
              </v:shape>
            </v:group>
            <v:group style="position:absolute;left:6453;top:58;width:2379;height:2" coordorigin="6453,58" coordsize="2379,2">
              <v:shape style="position:absolute;left:6453;top:58;width:2379;height:2" coordorigin="6453,58" coordsize="2379,0" path="m6453,58l8831,58e" filled="false" stroked="true" strokeweight=".47998pt" strokecolor="#000000">
                <v:path arrowok="t"/>
              </v:shape>
            </v:group>
            <v:group style="position:absolute;left:8832;top:58;width:10;height:2" coordorigin="8832,58" coordsize="10,2">
              <v:shape style="position:absolute;left:8832;top:58;width:10;height:2" coordorigin="8832,58" coordsize="10,0" path="m8832,58l8841,58e" filled="false" stroked="true" strokeweight=".47998pt" strokecolor="#000000">
                <v:path arrowok="t"/>
              </v:shape>
            </v:group>
            <v:group style="position:absolute;left:8841;top:58;width:1479;height:2" coordorigin="8841,58" coordsize="1479,2">
              <v:shape style="position:absolute;left:8841;top:58;width:1479;height:2" coordorigin="8841,58" coordsize="1479,0" path="m8841,58l10320,58e" filled="false" stroked="true" strokeweight=".47998pt" strokecolor="#000000">
                <v:path arrowok="t"/>
              </v:shape>
            </v:group>
            <w10:wrap type="none"/>
          </v:group>
        </w:pict>
      </w:r>
      <w:r>
        <w:rPr/>
        <w:pict>
          <v:group style="position:absolute;margin-left:195.649994pt;margin-top:17.421713pt;width:246.2pt;height:.5pt;mso-position-horizontal-relative:page;mso-position-vertical-relative:paragraph;z-index:3088" coordorigin="3913,348" coordsize="4924,10">
            <v:group style="position:absolute;left:3918;top:353;width:1668;height:2" coordorigin="3918,353" coordsize="1668,2">
              <v:shape style="position:absolute;left:3918;top:353;width:1668;height:2" coordorigin="3918,353" coordsize="1668,0" path="m3918,353l5586,353e" filled="false" stroked="true" strokeweight=".48001pt" strokecolor="#000000">
                <v:path arrowok="t"/>
              </v:shape>
            </v:group>
            <v:group style="position:absolute;left:5586;top:353;width:10;height:2" coordorigin="5586,353" coordsize="10,2">
              <v:shape style="position:absolute;left:5586;top:353;width:10;height:2" coordorigin="5586,353" coordsize="10,0" path="m5586,353l5595,353e" filled="false" stroked="true" strokeweight=".48001pt" strokecolor="#000000">
                <v:path arrowok="t"/>
              </v:shape>
            </v:group>
            <v:group style="position:absolute;left:5595;top:353;width:848;height:2" coordorigin="5595,353" coordsize="848,2">
              <v:shape style="position:absolute;left:5595;top:353;width:848;height:2" coordorigin="5595,353" coordsize="848,0" path="m5595,353l6443,353e" filled="false" stroked="true" strokeweight=".48001pt" strokecolor="#000000">
                <v:path arrowok="t"/>
              </v:shape>
            </v:group>
            <v:group style="position:absolute;left:6443;top:353;width:10;height:2" coordorigin="6443,353" coordsize="10,2">
              <v:shape style="position:absolute;left:6443;top:353;width:10;height:2" coordorigin="6443,353" coordsize="10,0" path="m6443,353l6453,353e" filled="false" stroked="true" strokeweight=".48001pt" strokecolor="#000000">
                <v:path arrowok="t"/>
              </v:shape>
            </v:group>
            <v:group style="position:absolute;left:6453;top:353;width:1479;height:2" coordorigin="6453,353" coordsize="1479,2">
              <v:shape style="position:absolute;left:6453;top:353;width:1479;height:2" coordorigin="6453,353" coordsize="1479,0" path="m6453,353l7931,353e" filled="false" stroked="true" strokeweight=".48001pt" strokecolor="#000000">
                <v:path arrowok="t"/>
              </v:shape>
            </v:group>
            <v:group style="position:absolute;left:7931;top:353;width:10;height:2" coordorigin="7931,353" coordsize="10,2">
              <v:shape style="position:absolute;left:7931;top:353;width:10;height:2" coordorigin="7931,353" coordsize="10,0" path="m7931,353l7941,353e" filled="false" stroked="true" strokeweight=".48001pt" strokecolor="#000000">
                <v:path arrowok="t"/>
              </v:shape>
            </v:group>
            <v:group style="position:absolute;left:7941;top:353;width:891;height:2" coordorigin="7941,353" coordsize="891,2">
              <v:shape style="position:absolute;left:7941;top:353;width:891;height:2" coordorigin="7941,353" coordsize="891,0" path="m7941,353l8831,353e" filled="false" stroked="true" strokeweight=".48001pt" strokecolor="#000000">
                <v:path arrowok="t"/>
              </v:shape>
            </v:group>
            <w10:wrap type="none"/>
          </v:group>
        </w:pict>
      </w:r>
      <w:r>
        <w:rPr>
          <w:rFonts w:ascii="宋体" w:hAnsi="宋体" w:cs="宋体" w:eastAsia="宋体" w:hint="default"/>
          <w:b/>
          <w:bCs/>
          <w:w w:val="95"/>
          <w:sz w:val="18"/>
          <w:szCs w:val="18"/>
        </w:rPr>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p>
      <w:pPr>
        <w:tabs>
          <w:tab w:pos="1504" w:val="left" w:leader="none"/>
          <w:tab w:pos="2678" w:val="left" w:leader="none"/>
          <w:tab w:pos="3782" w:val="left" w:leader="none"/>
        </w:tabs>
        <w:spacing w:line="160" w:lineRule="auto" w:before="138"/>
        <w:ind w:left="3962" w:right="0" w:hanging="3721"/>
        <w:jc w:val="left"/>
        <w:rPr>
          <w:rFonts w:ascii="宋体" w:hAnsi="宋体" w:cs="宋体" w:eastAsia="宋体" w:hint="default"/>
          <w:sz w:val="18"/>
          <w:szCs w:val="18"/>
        </w:rPr>
      </w:pPr>
      <w:r>
        <w:rPr>
          <w:rFonts w:ascii="宋体" w:hAnsi="宋体" w:cs="宋体" w:eastAsia="宋体" w:hint="default"/>
          <w:b/>
          <w:bCs/>
          <w:sz w:val="18"/>
          <w:szCs w:val="18"/>
        </w:rPr>
        <w:t>金额</w:t>
        <w:tab/>
        <w:t>比例</w:t>
        <w:tab/>
        <w:t>金额</w:t>
        <w:tab/>
      </w:r>
      <w:r>
        <w:rPr>
          <w:rFonts w:ascii="宋体" w:hAnsi="宋体" w:cs="宋体" w:eastAsia="宋体" w:hint="default"/>
          <w:b/>
          <w:bCs/>
          <w:position w:val="12"/>
          <w:sz w:val="18"/>
          <w:szCs w:val="18"/>
        </w:rPr>
        <w:t>计提比</w:t>
      </w:r>
      <w:r>
        <w:rPr>
          <w:rFonts w:ascii="宋体" w:hAnsi="宋体" w:cs="宋体" w:eastAsia="宋体" w:hint="default"/>
          <w:b/>
          <w:bCs/>
          <w:w w:val="99"/>
          <w:position w:val="12"/>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22"/>
          <w:szCs w:val="22"/>
        </w:rPr>
      </w:pPr>
    </w:p>
    <w:p>
      <w:pPr>
        <w:spacing w:before="0"/>
        <w:ind w:left="242"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00" w:bottom="280" w:left="1460" w:right="1460"/>
          <w:cols w:num="3" w:equalWidth="0">
            <w:col w:w="2346" w:space="520"/>
            <w:col w:w="4325" w:space="320"/>
            <w:col w:w="1479"/>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p>
      <w:pPr>
        <w:spacing w:before="32"/>
        <w:ind w:left="808"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4"/>
          <w:sz w:val="22"/>
          <w:szCs w:val="22"/>
        </w:rPr>
        <w:t> </w:t>
      </w:r>
      <w:r>
        <w:rPr>
          <w:rFonts w:ascii="宋体" w:hAnsi="宋体" w:cs="宋体" w:eastAsia="宋体" w:hint="default"/>
          <w:sz w:val="22"/>
          <w:szCs w:val="22"/>
        </w:rPr>
        <w:t>年末单项金额重大并单独计提坏账准备的其他应收款</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363"/>
        <w:gridCol w:w="1482"/>
        <w:gridCol w:w="1429"/>
        <w:gridCol w:w="1071"/>
        <w:gridCol w:w="1380"/>
      </w:tblGrid>
      <w:tr>
        <w:trPr>
          <w:trHeight w:val="305" w:hRule="exact"/>
        </w:trPr>
        <w:tc>
          <w:tcPr>
            <w:tcW w:w="336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8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80"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29"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35"/>
              <w:jc w:val="center"/>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07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41"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380"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31"/>
              <w:jc w:val="center"/>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295" w:hRule="exact"/>
        </w:trPr>
        <w:tc>
          <w:tcPr>
            <w:tcW w:w="3363"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钦州市同方和宸精密电子科技有限公司</w:t>
            </w:r>
          </w:p>
        </w:tc>
        <w:tc>
          <w:tcPr>
            <w:tcW w:w="1482"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92" w:right="0"/>
              <w:jc w:val="center"/>
              <w:rPr>
                <w:rFonts w:ascii="宋体" w:hAnsi="宋体" w:cs="宋体" w:eastAsia="宋体" w:hint="default"/>
                <w:sz w:val="18"/>
                <w:szCs w:val="18"/>
              </w:rPr>
            </w:pPr>
            <w:r>
              <w:rPr>
                <w:rFonts w:ascii="宋体"/>
                <w:sz w:val="18"/>
              </w:rPr>
              <w:t>44,859,905.21</w:t>
            </w:r>
          </w:p>
        </w:tc>
        <w:tc>
          <w:tcPr>
            <w:tcW w:w="1429"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24"/>
              <w:jc w:val="center"/>
              <w:rPr>
                <w:rFonts w:ascii="宋体" w:hAnsi="宋体" w:cs="宋体" w:eastAsia="宋体" w:hint="default"/>
                <w:sz w:val="18"/>
                <w:szCs w:val="18"/>
              </w:rPr>
            </w:pPr>
            <w:r>
              <w:rPr>
                <w:rFonts w:ascii="宋体"/>
                <w:sz w:val="18"/>
              </w:rPr>
              <w:t>44,859,905.21</w:t>
            </w:r>
          </w:p>
        </w:tc>
        <w:tc>
          <w:tcPr>
            <w:tcW w:w="1071"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34"/>
              <w:jc w:val="right"/>
              <w:rPr>
                <w:rFonts w:ascii="宋体" w:hAnsi="宋体" w:cs="宋体" w:eastAsia="宋体" w:hint="default"/>
                <w:sz w:val="18"/>
                <w:szCs w:val="18"/>
              </w:rPr>
            </w:pPr>
            <w:r>
              <w:rPr>
                <w:rFonts w:ascii="宋体"/>
                <w:sz w:val="18"/>
              </w:rPr>
              <w:t>100.00%</w:t>
            </w:r>
          </w:p>
        </w:tc>
        <w:tc>
          <w:tcPr>
            <w:tcW w:w="1380"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28"/>
              <w:jc w:val="center"/>
              <w:rPr>
                <w:rFonts w:ascii="宋体" w:hAnsi="宋体" w:cs="宋体" w:eastAsia="宋体" w:hint="default"/>
                <w:sz w:val="18"/>
                <w:szCs w:val="18"/>
              </w:rPr>
            </w:pPr>
            <w:r>
              <w:rPr>
                <w:rFonts w:ascii="宋体" w:hAnsi="宋体" w:cs="宋体" w:eastAsia="宋体" w:hint="default"/>
                <w:sz w:val="18"/>
                <w:szCs w:val="18"/>
              </w:rPr>
              <w:t>企业信用异常</w:t>
            </w:r>
          </w:p>
        </w:tc>
      </w:tr>
      <w:tr>
        <w:trPr>
          <w:trHeight w:val="305" w:hRule="exact"/>
        </w:trPr>
        <w:tc>
          <w:tcPr>
            <w:tcW w:w="336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82"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85" w:right="0"/>
              <w:jc w:val="center"/>
              <w:rPr>
                <w:rFonts w:ascii="宋体" w:hAnsi="宋体" w:cs="宋体" w:eastAsia="宋体" w:hint="default"/>
                <w:sz w:val="18"/>
                <w:szCs w:val="18"/>
              </w:rPr>
            </w:pPr>
            <w:r>
              <w:rPr>
                <w:rFonts w:ascii="宋体"/>
                <w:b/>
                <w:sz w:val="18"/>
              </w:rPr>
              <w:t>44,859,905.21</w:t>
            </w:r>
            <w:r>
              <w:rPr>
                <w:rFonts w:ascii="宋体"/>
                <w:sz w:val="18"/>
              </w:rPr>
            </w:r>
          </w:p>
        </w:tc>
        <w:tc>
          <w:tcPr>
            <w:tcW w:w="1429"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30"/>
              <w:jc w:val="center"/>
              <w:rPr>
                <w:rFonts w:ascii="宋体" w:hAnsi="宋体" w:cs="宋体" w:eastAsia="宋体" w:hint="default"/>
                <w:sz w:val="18"/>
                <w:szCs w:val="18"/>
              </w:rPr>
            </w:pPr>
            <w:r>
              <w:rPr>
                <w:rFonts w:ascii="宋体"/>
                <w:b/>
                <w:sz w:val="18"/>
              </w:rPr>
              <w:t>44,859,905.21</w:t>
            </w:r>
            <w:r>
              <w:rPr>
                <w:rFonts w:ascii="宋体"/>
                <w:sz w:val="18"/>
              </w:rPr>
            </w:r>
          </w:p>
        </w:tc>
        <w:tc>
          <w:tcPr>
            <w:tcW w:w="1071"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32"/>
              <w:jc w:val="right"/>
              <w:rPr>
                <w:rFonts w:ascii="宋体" w:hAnsi="宋体" w:cs="宋体" w:eastAsia="宋体" w:hint="default"/>
                <w:sz w:val="18"/>
                <w:szCs w:val="18"/>
              </w:rPr>
            </w:pPr>
            <w:r>
              <w:rPr>
                <w:rFonts w:ascii="宋体"/>
                <w:b/>
                <w:sz w:val="18"/>
              </w:rPr>
              <w:t>100.00%</w:t>
            </w:r>
            <w:r>
              <w:rPr>
                <w:rFonts w:ascii="宋体"/>
                <w:sz w:val="18"/>
              </w:rPr>
            </w:r>
          </w:p>
        </w:tc>
        <w:tc>
          <w:tcPr>
            <w:tcW w:w="1380"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3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before="21"/>
        <w:ind w:left="808"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6"/>
          <w:sz w:val="22"/>
          <w:szCs w:val="22"/>
        </w:rPr>
        <w:t> </w:t>
      </w:r>
      <w:r>
        <w:rPr>
          <w:rFonts w:ascii="宋体" w:hAnsi="宋体" w:cs="宋体" w:eastAsia="宋体" w:hint="default"/>
          <w:sz w:val="22"/>
          <w:szCs w:val="22"/>
        </w:rPr>
        <w:t>组合中，按账龄分析法计提坏账准备的其他应收款</w:t>
      </w:r>
    </w:p>
    <w:p>
      <w:pPr>
        <w:spacing w:line="240" w:lineRule="auto" w:before="8"/>
        <w:rPr>
          <w:rFonts w:ascii="宋体" w:hAnsi="宋体" w:cs="宋体" w:eastAsia="宋体" w:hint="default"/>
          <w:sz w:val="11"/>
          <w:szCs w:val="11"/>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2895;height:2" coordorigin="14,14" coordsize="2895,2">
              <v:shape style="position:absolute;left:14;top:14;width:2895;height:2" coordorigin="14,14" coordsize="2895,0" path="m14,14l2909,14e" filled="false" stroked="true" strokeweight="1.44pt" strokecolor="#000000">
                <v:path arrowok="t"/>
              </v:shape>
            </v:group>
            <v:group style="position:absolute;left:2909;top:14;width:29;height:2" coordorigin="2909,14" coordsize="29,2">
              <v:shape style="position:absolute;left:2909;top:14;width:29;height:2" coordorigin="2909,14" coordsize="29,0" path="m2909,14l2938,14e" filled="false" stroked="true" strokeweight="1.44pt" strokecolor="#000000">
                <v:path arrowok="t"/>
              </v:shape>
            </v:group>
            <v:group style="position:absolute;left:2938;top:14;width:5802;height:2" coordorigin="2938,14" coordsize="5802,2">
              <v:shape style="position:absolute;left:2938;top:14;width:5802;height:2" coordorigin="2938,14" coordsize="5802,0" path="m2938,14l8740,14e" filled="false" stroked="true" strokeweight="1.44pt" strokecolor="#000000">
                <v:path arrowok="t"/>
              </v:shape>
            </v:group>
          </v:group>
        </w:pict>
      </w:r>
      <w:r>
        <w:rPr>
          <w:rFonts w:ascii="宋体" w:hAnsi="宋体" w:cs="宋体" w:eastAsia="宋体" w:hint="default"/>
          <w:position w:val="0"/>
          <w:sz w:val="2"/>
          <w:szCs w:val="2"/>
        </w:rPr>
      </w:r>
    </w:p>
    <w:p>
      <w:pPr>
        <w:spacing w:line="189" w:lineRule="exact" w:before="0"/>
        <w:ind w:left="5580" w:right="0" w:firstLine="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p>
      <w:pPr>
        <w:spacing w:line="192" w:lineRule="exact" w:before="0"/>
        <w:ind w:left="242" w:right="0" w:firstLine="0"/>
        <w:jc w:val="left"/>
        <w:rPr>
          <w:rFonts w:ascii="宋体" w:hAnsi="宋体" w:cs="宋体" w:eastAsia="宋体" w:hint="default"/>
          <w:sz w:val="18"/>
          <w:szCs w:val="18"/>
        </w:rPr>
      </w:pPr>
      <w:r>
        <w:rPr/>
        <w:pict>
          <v:shape style="position:absolute;margin-left:79.704002pt;margin-top:5.103053pt;width:436.3pt;height:88.6pt;mso-position-horizontal-relative:page;mso-position-vertical-relative:paragraph;z-index:31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95"/>
                    <w:gridCol w:w="2285"/>
                    <w:gridCol w:w="885"/>
                    <w:gridCol w:w="969"/>
                    <w:gridCol w:w="1692"/>
                  </w:tblGrid>
                  <w:tr>
                    <w:trPr>
                      <w:trHeight w:val="295" w:hRule="exact"/>
                    </w:trPr>
                    <w:tc>
                      <w:tcPr>
                        <w:tcW w:w="2895" w:type="dxa"/>
                        <w:tcBorders>
                          <w:top w:val="nil" w:sz="6" w:space="0" w:color="auto"/>
                          <w:left w:val="nil" w:sz="6" w:space="0" w:color="auto"/>
                          <w:bottom w:val="single" w:sz="4" w:space="0" w:color="000000"/>
                          <w:right w:val="nil" w:sz="6" w:space="0" w:color="auto"/>
                        </w:tcBorders>
                      </w:tcPr>
                      <w:p>
                        <w:pPr/>
                      </w:p>
                    </w:tc>
                    <w:tc>
                      <w:tcPr>
                        <w:tcW w:w="2285"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520"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885"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448" w:right="0"/>
                          <w:jc w:val="left"/>
                          <w:rPr>
                            <w:rFonts w:ascii="宋体" w:hAnsi="宋体" w:cs="宋体" w:eastAsia="宋体" w:hint="default"/>
                            <w:sz w:val="18"/>
                            <w:szCs w:val="18"/>
                          </w:rPr>
                        </w:pPr>
                        <w:r>
                          <w:rPr>
                            <w:rFonts w:ascii="宋体" w:hAnsi="宋体" w:cs="宋体" w:eastAsia="宋体" w:hint="default"/>
                            <w:b/>
                            <w:bCs/>
                            <w:sz w:val="18"/>
                            <w:szCs w:val="18"/>
                          </w:rPr>
                          <w:t>比重</w:t>
                        </w:r>
                        <w:r>
                          <w:rPr>
                            <w:rFonts w:ascii="宋体" w:hAnsi="宋体" w:cs="宋体" w:eastAsia="宋体" w:hint="default"/>
                            <w:sz w:val="18"/>
                            <w:szCs w:val="18"/>
                          </w:rPr>
                        </w:r>
                      </w:p>
                    </w:tc>
                    <w:tc>
                      <w:tcPr>
                        <w:tcW w:w="969" w:type="dxa"/>
                        <w:tcBorders>
                          <w:top w:val="single" w:sz="4" w:space="0" w:color="000000"/>
                          <w:left w:val="nil" w:sz="6" w:space="0" w:color="auto"/>
                          <w:bottom w:val="single" w:sz="4" w:space="0" w:color="000000"/>
                          <w:right w:val="nil" w:sz="6" w:space="0" w:color="auto"/>
                        </w:tcBorders>
                      </w:tcPr>
                      <w:p>
                        <w:pPr/>
                      </w:p>
                    </w:tc>
                    <w:tc>
                      <w:tcPr>
                        <w:tcW w:w="1692"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35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89" w:hRule="exact"/>
                    </w:trPr>
                    <w:tc>
                      <w:tcPr>
                        <w:tcW w:w="2895"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285" w:type="dxa"/>
                        <w:tcBorders>
                          <w:top w:val="single" w:sz="4" w:space="0" w:color="000000"/>
                          <w:left w:val="nil" w:sz="6" w:space="0" w:color="auto"/>
                          <w:bottom w:val="nil" w:sz="6" w:space="0" w:color="auto"/>
                          <w:right w:val="nil" w:sz="6" w:space="0" w:color="auto"/>
                        </w:tcBorders>
                      </w:tcPr>
                      <w:p>
                        <w:pPr>
                          <w:pStyle w:val="TableParagraph"/>
                          <w:spacing w:line="232" w:lineRule="exact"/>
                          <w:ind w:right="447"/>
                          <w:jc w:val="right"/>
                          <w:rPr>
                            <w:rFonts w:ascii="宋体" w:hAnsi="宋体" w:cs="宋体" w:eastAsia="宋体" w:hint="default"/>
                            <w:sz w:val="18"/>
                            <w:szCs w:val="18"/>
                          </w:rPr>
                        </w:pPr>
                        <w:r>
                          <w:rPr>
                            <w:rFonts w:ascii="宋体"/>
                            <w:spacing w:val="-1"/>
                            <w:sz w:val="18"/>
                          </w:rPr>
                          <w:t>1,032,621,286.93</w:t>
                        </w:r>
                      </w:p>
                    </w:tc>
                    <w:tc>
                      <w:tcPr>
                        <w:tcW w:w="885" w:type="dxa"/>
                        <w:tcBorders>
                          <w:top w:val="single" w:sz="4" w:space="0" w:color="000000"/>
                          <w:left w:val="nil" w:sz="6" w:space="0" w:color="auto"/>
                          <w:bottom w:val="nil" w:sz="6" w:space="0" w:color="auto"/>
                          <w:right w:val="nil" w:sz="6" w:space="0" w:color="auto"/>
                        </w:tcBorders>
                      </w:tcPr>
                      <w:p>
                        <w:pPr/>
                      </w:p>
                    </w:tc>
                    <w:tc>
                      <w:tcPr>
                        <w:tcW w:w="969" w:type="dxa"/>
                        <w:tcBorders>
                          <w:top w:val="single" w:sz="4" w:space="0" w:color="000000"/>
                          <w:left w:val="nil" w:sz="6" w:space="0" w:color="auto"/>
                          <w:bottom w:val="nil" w:sz="6" w:space="0" w:color="auto"/>
                          <w:right w:val="nil" w:sz="6" w:space="0" w:color="auto"/>
                        </w:tcBorders>
                      </w:tcPr>
                      <w:p>
                        <w:pPr>
                          <w:pStyle w:val="TableParagraph"/>
                          <w:spacing w:line="232" w:lineRule="exact"/>
                          <w:ind w:right="355"/>
                          <w:jc w:val="right"/>
                          <w:rPr>
                            <w:rFonts w:ascii="宋体" w:hAnsi="宋体" w:cs="宋体" w:eastAsia="宋体" w:hint="default"/>
                            <w:sz w:val="18"/>
                            <w:szCs w:val="18"/>
                          </w:rPr>
                        </w:pPr>
                        <w:r>
                          <w:rPr>
                            <w:rFonts w:ascii="宋体"/>
                            <w:spacing w:val="-1"/>
                            <w:sz w:val="18"/>
                          </w:rPr>
                          <w:t>56.08%</w:t>
                        </w:r>
                      </w:p>
                    </w:tc>
                    <w:tc>
                      <w:tcPr>
                        <w:tcW w:w="1692" w:type="dxa"/>
                        <w:tcBorders>
                          <w:top w:val="single" w:sz="4" w:space="0" w:color="000000"/>
                          <w:left w:val="nil" w:sz="6" w:space="0" w:color="auto"/>
                          <w:bottom w:val="nil" w:sz="6" w:space="0" w:color="auto"/>
                          <w:right w:val="nil" w:sz="6" w:space="0" w:color="auto"/>
                        </w:tcBorders>
                      </w:tcPr>
                      <w:p>
                        <w:pPr>
                          <w:pStyle w:val="TableParagraph"/>
                          <w:spacing w:line="232" w:lineRule="exact"/>
                          <w:ind w:left="410" w:right="0"/>
                          <w:jc w:val="left"/>
                          <w:rPr>
                            <w:rFonts w:ascii="宋体" w:hAnsi="宋体" w:cs="宋体" w:eastAsia="宋体" w:hint="default"/>
                            <w:sz w:val="18"/>
                            <w:szCs w:val="18"/>
                          </w:rPr>
                        </w:pPr>
                        <w:r>
                          <w:rPr>
                            <w:rFonts w:ascii="宋体"/>
                            <w:sz w:val="18"/>
                          </w:rPr>
                          <w:t>10,326,213.00</w:t>
                        </w:r>
                      </w:p>
                    </w:tc>
                  </w:tr>
                  <w:tr>
                    <w:trPr>
                      <w:trHeight w:val="286"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285" w:type="dxa"/>
                        <w:tcBorders>
                          <w:top w:val="nil" w:sz="6" w:space="0" w:color="auto"/>
                          <w:left w:val="nil" w:sz="6" w:space="0" w:color="auto"/>
                          <w:bottom w:val="nil" w:sz="6" w:space="0" w:color="auto"/>
                          <w:right w:val="nil" w:sz="6" w:space="0" w:color="auto"/>
                        </w:tcBorders>
                      </w:tcPr>
                      <w:p>
                        <w:pPr>
                          <w:pStyle w:val="TableParagraph"/>
                          <w:spacing w:line="233" w:lineRule="exact"/>
                          <w:ind w:right="447"/>
                          <w:jc w:val="right"/>
                          <w:rPr>
                            <w:rFonts w:ascii="宋体" w:hAnsi="宋体" w:cs="宋体" w:eastAsia="宋体" w:hint="default"/>
                            <w:sz w:val="18"/>
                            <w:szCs w:val="18"/>
                          </w:rPr>
                        </w:pPr>
                        <w:r>
                          <w:rPr>
                            <w:rFonts w:ascii="宋体"/>
                            <w:spacing w:val="-1"/>
                            <w:sz w:val="18"/>
                          </w:rPr>
                          <w:t>258,069,165.26</w:t>
                        </w:r>
                      </w:p>
                    </w:tc>
                    <w:tc>
                      <w:tcPr>
                        <w:tcW w:w="885" w:type="dxa"/>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Style w:val="TableParagraph"/>
                          <w:spacing w:line="233" w:lineRule="exact"/>
                          <w:ind w:right="355"/>
                          <w:jc w:val="right"/>
                          <w:rPr>
                            <w:rFonts w:ascii="宋体" w:hAnsi="宋体" w:cs="宋体" w:eastAsia="宋体" w:hint="default"/>
                            <w:sz w:val="18"/>
                            <w:szCs w:val="18"/>
                          </w:rPr>
                        </w:pPr>
                        <w:r>
                          <w:rPr>
                            <w:rFonts w:ascii="宋体"/>
                            <w:spacing w:val="-1"/>
                            <w:sz w:val="18"/>
                          </w:rPr>
                          <w:t>14.02%</w:t>
                        </w:r>
                      </w:p>
                    </w:tc>
                    <w:tc>
                      <w:tcPr>
                        <w:tcW w:w="1692" w:type="dxa"/>
                        <w:tcBorders>
                          <w:top w:val="nil" w:sz="6" w:space="0" w:color="auto"/>
                          <w:left w:val="nil" w:sz="6" w:space="0" w:color="auto"/>
                          <w:bottom w:val="nil" w:sz="6" w:space="0" w:color="auto"/>
                          <w:right w:val="nil" w:sz="6" w:space="0" w:color="auto"/>
                        </w:tcBorders>
                      </w:tcPr>
                      <w:p>
                        <w:pPr>
                          <w:pStyle w:val="TableParagraph"/>
                          <w:spacing w:line="233" w:lineRule="exact"/>
                          <w:ind w:left="410" w:right="0"/>
                          <w:jc w:val="left"/>
                          <w:rPr>
                            <w:rFonts w:ascii="宋体" w:hAnsi="宋体" w:cs="宋体" w:eastAsia="宋体" w:hint="default"/>
                            <w:sz w:val="18"/>
                            <w:szCs w:val="18"/>
                          </w:rPr>
                        </w:pPr>
                        <w:r>
                          <w:rPr>
                            <w:rFonts w:ascii="宋体"/>
                            <w:sz w:val="18"/>
                          </w:rPr>
                          <w:t>12,903,458.30</w:t>
                        </w:r>
                      </w:p>
                    </w:tc>
                  </w:tr>
                  <w:tr>
                    <w:trPr>
                      <w:trHeight w:val="284"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285" w:type="dxa"/>
                        <w:tcBorders>
                          <w:top w:val="nil" w:sz="6" w:space="0" w:color="auto"/>
                          <w:left w:val="nil" w:sz="6" w:space="0" w:color="auto"/>
                          <w:bottom w:val="nil" w:sz="6" w:space="0" w:color="auto"/>
                          <w:right w:val="nil" w:sz="6" w:space="0" w:color="auto"/>
                        </w:tcBorders>
                      </w:tcPr>
                      <w:p>
                        <w:pPr>
                          <w:pStyle w:val="TableParagraph"/>
                          <w:spacing w:line="233" w:lineRule="exact"/>
                          <w:ind w:right="447"/>
                          <w:jc w:val="right"/>
                          <w:rPr>
                            <w:rFonts w:ascii="宋体" w:hAnsi="宋体" w:cs="宋体" w:eastAsia="宋体" w:hint="default"/>
                            <w:sz w:val="18"/>
                            <w:szCs w:val="18"/>
                          </w:rPr>
                        </w:pPr>
                        <w:r>
                          <w:rPr>
                            <w:rFonts w:ascii="宋体"/>
                            <w:spacing w:val="-1"/>
                            <w:sz w:val="18"/>
                          </w:rPr>
                          <w:t>111,178,699.74</w:t>
                        </w:r>
                      </w:p>
                    </w:tc>
                    <w:tc>
                      <w:tcPr>
                        <w:tcW w:w="885" w:type="dxa"/>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Style w:val="TableParagraph"/>
                          <w:spacing w:line="233" w:lineRule="exact"/>
                          <w:ind w:right="355"/>
                          <w:jc w:val="right"/>
                          <w:rPr>
                            <w:rFonts w:ascii="宋体" w:hAnsi="宋体" w:cs="宋体" w:eastAsia="宋体" w:hint="default"/>
                            <w:sz w:val="18"/>
                            <w:szCs w:val="18"/>
                          </w:rPr>
                        </w:pPr>
                        <w:r>
                          <w:rPr>
                            <w:rFonts w:ascii="宋体"/>
                            <w:sz w:val="18"/>
                          </w:rPr>
                          <w:t>6.04%</w:t>
                        </w:r>
                      </w:p>
                    </w:tc>
                    <w:tc>
                      <w:tcPr>
                        <w:tcW w:w="1692" w:type="dxa"/>
                        <w:tcBorders>
                          <w:top w:val="nil" w:sz="6" w:space="0" w:color="auto"/>
                          <w:left w:val="nil" w:sz="6" w:space="0" w:color="auto"/>
                          <w:bottom w:val="nil" w:sz="6" w:space="0" w:color="auto"/>
                          <w:right w:val="nil" w:sz="6" w:space="0" w:color="auto"/>
                        </w:tcBorders>
                      </w:tcPr>
                      <w:p>
                        <w:pPr>
                          <w:pStyle w:val="TableParagraph"/>
                          <w:spacing w:line="233" w:lineRule="exact"/>
                          <w:ind w:left="410" w:right="0"/>
                          <w:jc w:val="left"/>
                          <w:rPr>
                            <w:rFonts w:ascii="宋体" w:hAnsi="宋体" w:cs="宋体" w:eastAsia="宋体" w:hint="default"/>
                            <w:sz w:val="18"/>
                            <w:szCs w:val="18"/>
                          </w:rPr>
                        </w:pPr>
                        <w:r>
                          <w:rPr>
                            <w:rFonts w:ascii="宋体"/>
                            <w:sz w:val="18"/>
                          </w:rPr>
                          <w:t>16,676,804.96</w:t>
                        </w:r>
                      </w:p>
                    </w:tc>
                  </w:tr>
                  <w:tr>
                    <w:trPr>
                      <w:trHeight w:val="284"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285" w:type="dxa"/>
                        <w:tcBorders>
                          <w:top w:val="nil" w:sz="6" w:space="0" w:color="auto"/>
                          <w:left w:val="nil" w:sz="6" w:space="0" w:color="auto"/>
                          <w:bottom w:val="nil" w:sz="6" w:space="0" w:color="auto"/>
                          <w:right w:val="nil" w:sz="6" w:space="0" w:color="auto"/>
                        </w:tcBorders>
                      </w:tcPr>
                      <w:p>
                        <w:pPr>
                          <w:pStyle w:val="TableParagraph"/>
                          <w:spacing w:line="232" w:lineRule="exact"/>
                          <w:ind w:right="446"/>
                          <w:jc w:val="right"/>
                          <w:rPr>
                            <w:rFonts w:ascii="宋体" w:hAnsi="宋体" w:cs="宋体" w:eastAsia="宋体" w:hint="default"/>
                            <w:sz w:val="18"/>
                            <w:szCs w:val="18"/>
                          </w:rPr>
                        </w:pPr>
                        <w:r>
                          <w:rPr>
                            <w:rFonts w:ascii="宋体"/>
                            <w:spacing w:val="-1"/>
                            <w:sz w:val="18"/>
                          </w:rPr>
                          <w:t>97,117,171.44</w:t>
                        </w:r>
                      </w:p>
                    </w:tc>
                    <w:tc>
                      <w:tcPr>
                        <w:tcW w:w="885" w:type="dxa"/>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Style w:val="TableParagraph"/>
                          <w:spacing w:line="232" w:lineRule="exact"/>
                          <w:ind w:right="355"/>
                          <w:jc w:val="right"/>
                          <w:rPr>
                            <w:rFonts w:ascii="宋体" w:hAnsi="宋体" w:cs="宋体" w:eastAsia="宋体" w:hint="default"/>
                            <w:sz w:val="18"/>
                            <w:szCs w:val="18"/>
                          </w:rPr>
                        </w:pPr>
                        <w:r>
                          <w:rPr>
                            <w:rFonts w:ascii="宋体"/>
                            <w:sz w:val="18"/>
                          </w:rPr>
                          <w:t>5.27%</w:t>
                        </w:r>
                      </w:p>
                    </w:tc>
                    <w:tc>
                      <w:tcPr>
                        <w:tcW w:w="1692" w:type="dxa"/>
                        <w:tcBorders>
                          <w:top w:val="nil" w:sz="6" w:space="0" w:color="auto"/>
                          <w:left w:val="nil" w:sz="6" w:space="0" w:color="auto"/>
                          <w:bottom w:val="nil" w:sz="6" w:space="0" w:color="auto"/>
                          <w:right w:val="nil" w:sz="6" w:space="0" w:color="auto"/>
                        </w:tcBorders>
                      </w:tcPr>
                      <w:p>
                        <w:pPr>
                          <w:pStyle w:val="TableParagraph"/>
                          <w:spacing w:line="232" w:lineRule="exact"/>
                          <w:ind w:left="410" w:right="0"/>
                          <w:jc w:val="left"/>
                          <w:rPr>
                            <w:rFonts w:ascii="宋体" w:hAnsi="宋体" w:cs="宋体" w:eastAsia="宋体" w:hint="default"/>
                            <w:sz w:val="18"/>
                            <w:szCs w:val="18"/>
                          </w:rPr>
                        </w:pPr>
                        <w:r>
                          <w:rPr>
                            <w:rFonts w:ascii="宋体"/>
                            <w:sz w:val="18"/>
                          </w:rPr>
                          <w:t>29,135,151.40</w:t>
                        </w:r>
                      </w:p>
                    </w:tc>
                  </w:tr>
                  <w:tr>
                    <w:trPr>
                      <w:trHeight w:val="333"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285" w:type="dxa"/>
                        <w:tcBorders>
                          <w:top w:val="nil" w:sz="6" w:space="0" w:color="auto"/>
                          <w:left w:val="nil" w:sz="6" w:space="0" w:color="auto"/>
                          <w:bottom w:val="nil" w:sz="6" w:space="0" w:color="auto"/>
                          <w:right w:val="nil" w:sz="6" w:space="0" w:color="auto"/>
                        </w:tcBorders>
                      </w:tcPr>
                      <w:p>
                        <w:pPr>
                          <w:pStyle w:val="TableParagraph"/>
                          <w:spacing w:line="233" w:lineRule="exact"/>
                          <w:ind w:right="446"/>
                          <w:jc w:val="right"/>
                          <w:rPr>
                            <w:rFonts w:ascii="宋体" w:hAnsi="宋体" w:cs="宋体" w:eastAsia="宋体" w:hint="default"/>
                            <w:sz w:val="18"/>
                            <w:szCs w:val="18"/>
                          </w:rPr>
                        </w:pPr>
                        <w:r>
                          <w:rPr>
                            <w:rFonts w:ascii="宋体"/>
                            <w:spacing w:val="-1"/>
                            <w:sz w:val="18"/>
                          </w:rPr>
                          <w:t>61,790,722.95</w:t>
                        </w:r>
                      </w:p>
                    </w:tc>
                    <w:tc>
                      <w:tcPr>
                        <w:tcW w:w="885" w:type="dxa"/>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Style w:val="TableParagraph"/>
                          <w:spacing w:line="233" w:lineRule="exact"/>
                          <w:ind w:right="355"/>
                          <w:jc w:val="right"/>
                          <w:rPr>
                            <w:rFonts w:ascii="宋体" w:hAnsi="宋体" w:cs="宋体" w:eastAsia="宋体" w:hint="default"/>
                            <w:sz w:val="18"/>
                            <w:szCs w:val="18"/>
                          </w:rPr>
                        </w:pPr>
                        <w:r>
                          <w:rPr>
                            <w:rFonts w:ascii="宋体"/>
                            <w:sz w:val="18"/>
                          </w:rPr>
                          <w:t>3.36%</w:t>
                        </w:r>
                      </w:p>
                    </w:tc>
                    <w:tc>
                      <w:tcPr>
                        <w:tcW w:w="1692" w:type="dxa"/>
                        <w:tcBorders>
                          <w:top w:val="nil" w:sz="6" w:space="0" w:color="auto"/>
                          <w:left w:val="nil" w:sz="6" w:space="0" w:color="auto"/>
                          <w:bottom w:val="nil" w:sz="6" w:space="0" w:color="auto"/>
                          <w:right w:val="nil" w:sz="6" w:space="0" w:color="auto"/>
                        </w:tcBorders>
                      </w:tcPr>
                      <w:p>
                        <w:pPr>
                          <w:pStyle w:val="TableParagraph"/>
                          <w:spacing w:line="233" w:lineRule="exact"/>
                          <w:ind w:left="410" w:right="0"/>
                          <w:jc w:val="left"/>
                          <w:rPr>
                            <w:rFonts w:ascii="宋体" w:hAnsi="宋体" w:cs="宋体" w:eastAsia="宋体" w:hint="default"/>
                            <w:sz w:val="18"/>
                            <w:szCs w:val="18"/>
                          </w:rPr>
                        </w:pPr>
                        <w:r>
                          <w:rPr>
                            <w:rFonts w:ascii="宋体"/>
                            <w:sz w:val="18"/>
                          </w:rPr>
                          <w:t>30,895,361.51</w:t>
                        </w:r>
                      </w:p>
                    </w:tc>
                  </w:tr>
                </w:tbl>
                <w:p>
                  <w:pPr/>
                </w:p>
              </w:txbxContent>
            </v:textbox>
            <w10:wrap type="none"/>
          </v:shape>
        </w:pict>
      </w:r>
      <w:r>
        <w:rPr>
          <w:rFonts w:ascii="宋体" w:hAnsi="宋体" w:cs="宋体" w:eastAsia="宋体" w:hint="default"/>
          <w:b/>
          <w:bCs/>
          <w:sz w:val="18"/>
          <w:szCs w:val="18"/>
        </w:rPr>
        <w:t>账龄</w:t>
      </w:r>
      <w:r>
        <w:rPr>
          <w:rFonts w:ascii="宋体" w:hAnsi="宋体" w:cs="宋体" w:eastAsia="宋体" w:hint="default"/>
          <w:sz w:val="18"/>
          <w:szCs w:val="18"/>
        </w:rPr>
      </w:r>
    </w:p>
    <w:p>
      <w:pPr>
        <w:spacing w:after="0" w:line="192" w:lineRule="exact"/>
        <w:jc w:val="left"/>
        <w:rPr>
          <w:rFonts w:ascii="宋体" w:hAnsi="宋体" w:cs="宋体" w:eastAsia="宋体" w:hint="default"/>
          <w:sz w:val="18"/>
          <w:szCs w:val="18"/>
        </w:rPr>
        <w:sectPr>
          <w:type w:val="continuous"/>
          <w:pgSz w:w="11910" w:h="16840"/>
          <w:pgMar w:top="1000" w:bottom="280" w:left="1460" w:right="1460"/>
        </w:sectPr>
      </w:pPr>
    </w:p>
    <w:p>
      <w:pPr>
        <w:spacing w:line="240" w:lineRule="auto" w:before="6"/>
        <w:rPr>
          <w:rFonts w:ascii="宋体" w:hAnsi="宋体" w:cs="宋体" w:eastAsia="宋体" w:hint="default"/>
          <w:b/>
          <w:bCs/>
          <w:sz w:val="6"/>
          <w:szCs w:val="6"/>
        </w:rPr>
      </w:pPr>
    </w:p>
    <w:p>
      <w:pPr>
        <w:spacing w:line="28" w:lineRule="exact"/>
        <w:ind w:left="77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2895;height:2" coordorigin="14,14" coordsize="2895,2">
              <v:shape style="position:absolute;left:14;top:14;width:2895;height:2" coordorigin="14,14" coordsize="2895,0" path="m14,14l2909,14e" filled="false" stroked="true" strokeweight="1.44pt" strokecolor="#000000">
                <v:path arrowok="t"/>
              </v:shape>
            </v:group>
            <v:group style="position:absolute;left:2909;top:14;width:29;height:2" coordorigin="2909,14" coordsize="29,2">
              <v:shape style="position:absolute;left:2909;top:14;width:29;height:2" coordorigin="2909,14" coordsize="29,0" path="m2909,14l2938,14e" filled="false" stroked="true" strokeweight="1.44pt" strokecolor="#000000">
                <v:path arrowok="t"/>
              </v:shape>
            </v:group>
            <v:group style="position:absolute;left:2938;top:14;width:5802;height:2" coordorigin="2938,14" coordsize="5802,2">
              <v:shape style="position:absolute;left:2938;top:14;width:5802;height:2" coordorigin="2938,14" coordsize="5802,0" path="m2938,14l8740,14e" filled="false" stroked="true" strokeweight="1.44pt" strokecolor="#000000">
                <v:path arrowok="t"/>
              </v:shape>
            </v:group>
          </v:group>
        </w:pict>
      </w:r>
      <w:r>
        <w:rPr>
          <w:rFonts w:ascii="宋体" w:hAnsi="宋体" w:cs="宋体" w:eastAsia="宋体" w:hint="default"/>
          <w:position w:val="0"/>
          <w:sz w:val="2"/>
          <w:szCs w:val="2"/>
        </w:rPr>
      </w:r>
    </w:p>
    <w:p>
      <w:pPr>
        <w:spacing w:line="188" w:lineRule="exact" w:before="0"/>
        <w:ind w:left="6240" w:right="796" w:firstLine="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p>
      <w:pPr>
        <w:spacing w:line="192" w:lineRule="exact" w:before="0"/>
        <w:ind w:left="902" w:right="796" w:firstLine="0"/>
        <w:jc w:val="left"/>
        <w:rPr>
          <w:rFonts w:ascii="宋体" w:hAnsi="宋体" w:cs="宋体" w:eastAsia="宋体" w:hint="default"/>
          <w:sz w:val="18"/>
          <w:szCs w:val="18"/>
        </w:rPr>
      </w:pPr>
      <w:r>
        <w:rPr/>
        <w:pict>
          <v:shape style="position:absolute;margin-left:79.704002pt;margin-top:5.103045pt;width:436.3pt;height:46.25pt;mso-position-horizontal-relative:page;mso-position-vertical-relative:paragraph;z-index:3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95"/>
                    <w:gridCol w:w="2285"/>
                    <w:gridCol w:w="837"/>
                    <w:gridCol w:w="995"/>
                    <w:gridCol w:w="1714"/>
                  </w:tblGrid>
                  <w:tr>
                    <w:trPr>
                      <w:trHeight w:val="296" w:hRule="exact"/>
                    </w:trPr>
                    <w:tc>
                      <w:tcPr>
                        <w:tcW w:w="2895" w:type="dxa"/>
                        <w:tcBorders>
                          <w:top w:val="nil" w:sz="6" w:space="0" w:color="auto"/>
                          <w:left w:val="nil" w:sz="6" w:space="0" w:color="auto"/>
                          <w:bottom w:val="single" w:sz="4" w:space="0" w:color="000000"/>
                          <w:right w:val="nil" w:sz="6" w:space="0" w:color="auto"/>
                        </w:tcBorders>
                      </w:tcPr>
                      <w:p>
                        <w:pPr/>
                      </w:p>
                    </w:tc>
                    <w:tc>
                      <w:tcPr>
                        <w:tcW w:w="2285"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520"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837"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448" w:right="0"/>
                          <w:jc w:val="left"/>
                          <w:rPr>
                            <w:rFonts w:ascii="宋体" w:hAnsi="宋体" w:cs="宋体" w:eastAsia="宋体" w:hint="default"/>
                            <w:sz w:val="18"/>
                            <w:szCs w:val="18"/>
                          </w:rPr>
                        </w:pPr>
                        <w:r>
                          <w:rPr>
                            <w:rFonts w:ascii="宋体" w:hAnsi="宋体" w:cs="宋体" w:eastAsia="宋体" w:hint="default"/>
                            <w:b/>
                            <w:bCs/>
                            <w:sz w:val="18"/>
                            <w:szCs w:val="18"/>
                          </w:rPr>
                          <w:t>比重</w:t>
                        </w:r>
                        <w:r>
                          <w:rPr>
                            <w:rFonts w:ascii="宋体" w:hAnsi="宋体" w:cs="宋体" w:eastAsia="宋体" w:hint="default"/>
                            <w:sz w:val="18"/>
                            <w:szCs w:val="18"/>
                          </w:rPr>
                        </w:r>
                      </w:p>
                    </w:tc>
                    <w:tc>
                      <w:tcPr>
                        <w:tcW w:w="995" w:type="dxa"/>
                        <w:tcBorders>
                          <w:top w:val="single" w:sz="4" w:space="0" w:color="000000"/>
                          <w:left w:val="nil" w:sz="6" w:space="0" w:color="auto"/>
                          <w:bottom w:val="single" w:sz="4" w:space="0" w:color="000000"/>
                          <w:right w:val="nil" w:sz="6" w:space="0" w:color="auto"/>
                        </w:tcBorders>
                      </w:tcPr>
                      <w:p>
                        <w:pP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379"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5" w:hRule="exact"/>
                    </w:trPr>
                    <w:tc>
                      <w:tcPr>
                        <w:tcW w:w="2895"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285"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448"/>
                          <w:jc w:val="right"/>
                          <w:rPr>
                            <w:rFonts w:ascii="宋体" w:hAnsi="宋体" w:cs="宋体" w:eastAsia="宋体" w:hint="default"/>
                            <w:sz w:val="18"/>
                            <w:szCs w:val="18"/>
                          </w:rPr>
                        </w:pPr>
                        <w:r>
                          <w:rPr>
                            <w:rFonts w:ascii="宋体"/>
                            <w:spacing w:val="-1"/>
                            <w:sz w:val="18"/>
                          </w:rPr>
                          <w:t>280,517,138.41</w:t>
                        </w:r>
                      </w:p>
                    </w:tc>
                    <w:tc>
                      <w:tcPr>
                        <w:tcW w:w="837" w:type="dxa"/>
                        <w:tcBorders>
                          <w:top w:val="single" w:sz="4" w:space="0" w:color="000000"/>
                          <w:left w:val="nil" w:sz="6" w:space="0" w:color="auto"/>
                          <w:bottom w:val="single" w:sz="4" w:space="0" w:color="000000"/>
                          <w:right w:val="nil" w:sz="6" w:space="0" w:color="auto"/>
                        </w:tcBorders>
                      </w:tcPr>
                      <w:p>
                        <w:pPr/>
                      </w:p>
                    </w:tc>
                    <w:tc>
                      <w:tcPr>
                        <w:tcW w:w="995"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333"/>
                          <w:jc w:val="right"/>
                          <w:rPr>
                            <w:rFonts w:ascii="宋体" w:hAnsi="宋体" w:cs="宋体" w:eastAsia="宋体" w:hint="default"/>
                            <w:sz w:val="18"/>
                            <w:szCs w:val="18"/>
                          </w:rPr>
                        </w:pPr>
                        <w:r>
                          <w:rPr>
                            <w:rFonts w:ascii="宋体"/>
                            <w:spacing w:val="-1"/>
                            <w:sz w:val="18"/>
                          </w:rPr>
                          <w:t>15.23%</w:t>
                        </w: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343" w:right="0"/>
                          <w:jc w:val="left"/>
                          <w:rPr>
                            <w:rFonts w:ascii="宋体" w:hAnsi="宋体" w:cs="宋体" w:eastAsia="宋体" w:hint="default"/>
                            <w:sz w:val="18"/>
                            <w:szCs w:val="18"/>
                          </w:rPr>
                        </w:pPr>
                        <w:r>
                          <w:rPr>
                            <w:rFonts w:ascii="宋体"/>
                            <w:sz w:val="18"/>
                          </w:rPr>
                          <w:t>280,517,138.41</w:t>
                        </w:r>
                      </w:p>
                    </w:tc>
                  </w:tr>
                  <w:tr>
                    <w:trPr>
                      <w:trHeight w:val="305" w:hRule="exact"/>
                    </w:trPr>
                    <w:tc>
                      <w:tcPr>
                        <w:tcW w:w="2895"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8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447"/>
                          <w:jc w:val="right"/>
                          <w:rPr>
                            <w:rFonts w:ascii="宋体" w:hAnsi="宋体" w:cs="宋体" w:eastAsia="宋体" w:hint="default"/>
                            <w:sz w:val="18"/>
                            <w:szCs w:val="18"/>
                          </w:rPr>
                        </w:pPr>
                        <w:r>
                          <w:rPr>
                            <w:rFonts w:ascii="宋体"/>
                            <w:b/>
                            <w:w w:val="95"/>
                            <w:sz w:val="18"/>
                          </w:rPr>
                          <w:t>1,841,294,184.73</w:t>
                        </w:r>
                        <w:r>
                          <w:rPr>
                            <w:rFonts w:ascii="宋体"/>
                            <w:sz w:val="18"/>
                          </w:rPr>
                        </w:r>
                      </w:p>
                    </w:tc>
                    <w:tc>
                      <w:tcPr>
                        <w:tcW w:w="837" w:type="dxa"/>
                        <w:tcBorders>
                          <w:top w:val="single" w:sz="4" w:space="0" w:color="000000"/>
                          <w:left w:val="nil" w:sz="6" w:space="0" w:color="auto"/>
                          <w:bottom w:val="single" w:sz="12" w:space="0" w:color="000000"/>
                          <w:right w:val="nil" w:sz="6" w:space="0" w:color="auto"/>
                        </w:tcBorders>
                      </w:tcPr>
                      <w:p>
                        <w:pPr/>
                      </w:p>
                    </w:tc>
                    <w:tc>
                      <w:tcPr>
                        <w:tcW w:w="99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331"/>
                          <w:jc w:val="right"/>
                          <w:rPr>
                            <w:rFonts w:ascii="宋体" w:hAnsi="宋体" w:cs="宋体" w:eastAsia="宋体" w:hint="default"/>
                            <w:sz w:val="18"/>
                            <w:szCs w:val="18"/>
                          </w:rPr>
                        </w:pPr>
                        <w:r>
                          <w:rPr>
                            <w:rFonts w:ascii="宋体"/>
                            <w:b/>
                            <w:sz w:val="18"/>
                          </w:rPr>
                          <w:t>100.00%</w:t>
                        </w:r>
                        <w:r>
                          <w:rPr>
                            <w:rFonts w:ascii="宋体"/>
                            <w:sz w:val="18"/>
                          </w:rPr>
                        </w:r>
                      </w:p>
                    </w:tc>
                    <w:tc>
                      <w:tcPr>
                        <w:tcW w:w="1714"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333" w:right="0"/>
                          <w:jc w:val="left"/>
                          <w:rPr>
                            <w:rFonts w:ascii="宋体" w:hAnsi="宋体" w:cs="宋体" w:eastAsia="宋体" w:hint="default"/>
                            <w:sz w:val="18"/>
                            <w:szCs w:val="18"/>
                          </w:rPr>
                        </w:pPr>
                        <w:r>
                          <w:rPr>
                            <w:rFonts w:ascii="宋体"/>
                            <w:b/>
                            <w:sz w:val="18"/>
                          </w:rPr>
                          <w:t>380,454,127.58</w:t>
                        </w:r>
                        <w:r>
                          <w:rPr>
                            <w:rFonts w:ascii="宋体"/>
                            <w:sz w:val="18"/>
                          </w:rPr>
                        </w:r>
                      </w:p>
                    </w:tc>
                  </w:tr>
                </w:tbl>
                <w:p>
                  <w:pPr/>
                </w:p>
              </w:txbxContent>
            </v:textbox>
            <w10:wrap type="none"/>
          </v:shape>
        </w:pict>
      </w:r>
      <w:r>
        <w:rPr>
          <w:rFonts w:ascii="宋体" w:hAnsi="宋体" w:cs="宋体" w:eastAsia="宋体" w:hint="default"/>
          <w:b/>
          <w:bCs/>
          <w:sz w:val="18"/>
          <w:szCs w:val="18"/>
        </w:rPr>
        <w:t>账龄</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spacing w:before="32"/>
        <w:ind w:left="1281" w:right="796"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28"/>
          <w:sz w:val="22"/>
          <w:szCs w:val="22"/>
        </w:rPr>
        <w:t> </w:t>
      </w:r>
      <w:r>
        <w:rPr>
          <w:rFonts w:ascii="宋体" w:hAnsi="宋体" w:cs="宋体" w:eastAsia="宋体" w:hint="default"/>
          <w:sz w:val="22"/>
          <w:szCs w:val="22"/>
        </w:rPr>
        <w:t>其他应收款按款项性质分类情况</w:t>
      </w:r>
    </w:p>
    <w:p>
      <w:pPr>
        <w:spacing w:line="240" w:lineRule="auto" w:before="0"/>
        <w:rPr>
          <w:rFonts w:ascii="宋体" w:hAnsi="宋体" w:cs="宋体" w:eastAsia="宋体" w:hint="default"/>
          <w:sz w:val="11"/>
          <w:szCs w:val="11"/>
        </w:rPr>
      </w:pPr>
    </w:p>
    <w:tbl>
      <w:tblPr>
        <w:tblW w:w="0" w:type="auto"/>
        <w:jc w:val="left"/>
        <w:tblInd w:w="794" w:type="dxa"/>
        <w:tblLayout w:type="fixed"/>
        <w:tblCellMar>
          <w:top w:w="0" w:type="dxa"/>
          <w:left w:w="0" w:type="dxa"/>
          <w:bottom w:w="0" w:type="dxa"/>
          <w:right w:w="0" w:type="dxa"/>
        </w:tblCellMar>
        <w:tblLook w:val="01E0"/>
      </w:tblPr>
      <w:tblGrid>
        <w:gridCol w:w="2773"/>
        <w:gridCol w:w="3445"/>
        <w:gridCol w:w="2507"/>
      </w:tblGrid>
      <w:tr>
        <w:trPr>
          <w:trHeight w:val="305" w:hRule="exact"/>
        </w:trPr>
        <w:tc>
          <w:tcPr>
            <w:tcW w:w="277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44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45" w:right="0"/>
              <w:jc w:val="left"/>
              <w:rPr>
                <w:rFonts w:ascii="宋体" w:hAnsi="宋体" w:cs="宋体" w:eastAsia="宋体" w:hint="default"/>
                <w:sz w:val="18"/>
                <w:szCs w:val="18"/>
              </w:rPr>
            </w:pPr>
            <w:r>
              <w:rPr>
                <w:rFonts w:ascii="宋体" w:hAnsi="宋体" w:cs="宋体" w:eastAsia="宋体" w:hint="default"/>
                <w:b/>
                <w:bCs/>
                <w:sz w:val="18"/>
                <w:szCs w:val="18"/>
              </w:rPr>
              <w:t>年末账面余额</w:t>
            </w:r>
            <w:r>
              <w:rPr>
                <w:rFonts w:ascii="宋体" w:hAnsi="宋体" w:cs="宋体" w:eastAsia="宋体" w:hint="default"/>
                <w:sz w:val="18"/>
                <w:szCs w:val="18"/>
              </w:rPr>
            </w:r>
          </w:p>
        </w:tc>
        <w:tc>
          <w:tcPr>
            <w:tcW w:w="250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09" w:right="0"/>
              <w:jc w:val="left"/>
              <w:rPr>
                <w:rFonts w:ascii="宋体" w:hAnsi="宋体" w:cs="宋体" w:eastAsia="宋体" w:hint="default"/>
                <w:sz w:val="18"/>
                <w:szCs w:val="18"/>
              </w:rPr>
            </w:pPr>
            <w:r>
              <w:rPr>
                <w:rFonts w:ascii="宋体" w:hAnsi="宋体" w:cs="宋体" w:eastAsia="宋体" w:hint="default"/>
                <w:b/>
                <w:bCs/>
                <w:sz w:val="18"/>
                <w:szCs w:val="18"/>
              </w:rPr>
              <w:t>年初账面余额</w:t>
            </w:r>
            <w:r>
              <w:rPr>
                <w:rFonts w:ascii="宋体" w:hAnsi="宋体" w:cs="宋体" w:eastAsia="宋体" w:hint="default"/>
                <w:sz w:val="18"/>
                <w:szCs w:val="18"/>
              </w:rPr>
            </w:r>
          </w:p>
        </w:tc>
      </w:tr>
      <w:tr>
        <w:trPr>
          <w:trHeight w:val="289" w:hRule="exact"/>
        </w:trPr>
        <w:tc>
          <w:tcPr>
            <w:tcW w:w="2773"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445" w:type="dxa"/>
            <w:tcBorders>
              <w:top w:val="single" w:sz="4" w:space="0" w:color="000000"/>
              <w:left w:val="nil" w:sz="6" w:space="0" w:color="auto"/>
              <w:bottom w:val="nil" w:sz="6" w:space="0" w:color="auto"/>
              <w:right w:val="nil" w:sz="6" w:space="0" w:color="auto"/>
            </w:tcBorders>
          </w:tcPr>
          <w:p>
            <w:pPr>
              <w:pStyle w:val="TableParagraph"/>
              <w:spacing w:line="232" w:lineRule="exact"/>
              <w:ind w:right="508"/>
              <w:jc w:val="right"/>
              <w:rPr>
                <w:rFonts w:ascii="宋体" w:hAnsi="宋体" w:cs="宋体" w:eastAsia="宋体" w:hint="default"/>
                <w:sz w:val="18"/>
                <w:szCs w:val="18"/>
              </w:rPr>
            </w:pPr>
            <w:r>
              <w:rPr>
                <w:rFonts w:ascii="宋体"/>
                <w:spacing w:val="-1"/>
                <w:sz w:val="18"/>
              </w:rPr>
              <w:t>883,491,580.01</w:t>
            </w:r>
          </w:p>
        </w:tc>
        <w:tc>
          <w:tcPr>
            <w:tcW w:w="2507"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586,828,819.09</w:t>
            </w:r>
          </w:p>
        </w:tc>
      </w:tr>
      <w:tr>
        <w:trPr>
          <w:trHeight w:val="286"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445" w:type="dxa"/>
            <w:tcBorders>
              <w:top w:val="nil" w:sz="6" w:space="0" w:color="auto"/>
              <w:left w:val="nil" w:sz="6" w:space="0" w:color="auto"/>
              <w:bottom w:val="nil" w:sz="6" w:space="0" w:color="auto"/>
              <w:right w:val="nil" w:sz="6" w:space="0" w:color="auto"/>
            </w:tcBorders>
          </w:tcPr>
          <w:p>
            <w:pPr>
              <w:pStyle w:val="TableParagraph"/>
              <w:spacing w:line="233" w:lineRule="exact"/>
              <w:ind w:right="508"/>
              <w:jc w:val="right"/>
              <w:rPr>
                <w:rFonts w:ascii="宋体" w:hAnsi="宋体" w:cs="宋体" w:eastAsia="宋体" w:hint="default"/>
                <w:sz w:val="18"/>
                <w:szCs w:val="18"/>
              </w:rPr>
            </w:pPr>
            <w:r>
              <w:rPr>
                <w:rFonts w:ascii="宋体"/>
                <w:spacing w:val="-1"/>
                <w:sz w:val="18"/>
              </w:rPr>
              <w:t>727,080,501.94</w:t>
            </w:r>
          </w:p>
        </w:tc>
        <w:tc>
          <w:tcPr>
            <w:tcW w:w="2507"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324,220,404.40</w:t>
            </w:r>
          </w:p>
        </w:tc>
      </w:tr>
      <w:tr>
        <w:trPr>
          <w:trHeight w:val="284"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445" w:type="dxa"/>
            <w:tcBorders>
              <w:top w:val="nil" w:sz="6" w:space="0" w:color="auto"/>
              <w:left w:val="nil" w:sz="6" w:space="0" w:color="auto"/>
              <w:bottom w:val="nil" w:sz="6" w:space="0" w:color="auto"/>
              <w:right w:val="nil" w:sz="6" w:space="0" w:color="auto"/>
            </w:tcBorders>
          </w:tcPr>
          <w:p>
            <w:pPr>
              <w:pStyle w:val="TableParagraph"/>
              <w:spacing w:line="233" w:lineRule="exact"/>
              <w:ind w:right="508"/>
              <w:jc w:val="right"/>
              <w:rPr>
                <w:rFonts w:ascii="宋体" w:hAnsi="宋体" w:cs="宋体" w:eastAsia="宋体" w:hint="default"/>
                <w:sz w:val="18"/>
                <w:szCs w:val="18"/>
              </w:rPr>
            </w:pPr>
            <w:r>
              <w:rPr>
                <w:rFonts w:ascii="宋体"/>
                <w:spacing w:val="-1"/>
                <w:sz w:val="18"/>
              </w:rPr>
              <w:t>126,732,452.77</w:t>
            </w:r>
          </w:p>
        </w:tc>
        <w:tc>
          <w:tcPr>
            <w:tcW w:w="2507"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104,268,640.99</w:t>
            </w:r>
          </w:p>
        </w:tc>
      </w:tr>
      <w:tr>
        <w:trPr>
          <w:trHeight w:val="284"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445" w:type="dxa"/>
            <w:tcBorders>
              <w:top w:val="nil" w:sz="6" w:space="0" w:color="auto"/>
              <w:left w:val="nil" w:sz="6" w:space="0" w:color="auto"/>
              <w:bottom w:val="nil" w:sz="6" w:space="0" w:color="auto"/>
              <w:right w:val="nil" w:sz="6" w:space="0" w:color="auto"/>
            </w:tcBorders>
          </w:tcPr>
          <w:p>
            <w:pPr>
              <w:pStyle w:val="TableParagraph"/>
              <w:spacing w:line="232" w:lineRule="exact"/>
              <w:ind w:right="507"/>
              <w:jc w:val="right"/>
              <w:rPr>
                <w:rFonts w:ascii="宋体" w:hAnsi="宋体" w:cs="宋体" w:eastAsia="宋体" w:hint="default"/>
                <w:sz w:val="18"/>
                <w:szCs w:val="18"/>
              </w:rPr>
            </w:pPr>
            <w:r>
              <w:rPr>
                <w:rFonts w:ascii="宋体"/>
                <w:spacing w:val="-1"/>
                <w:sz w:val="18"/>
              </w:rPr>
              <w:t>60,862,446.63</w:t>
            </w:r>
          </w:p>
        </w:tc>
        <w:tc>
          <w:tcPr>
            <w:tcW w:w="2507"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38,822,048.35</w:t>
            </w:r>
          </w:p>
        </w:tc>
      </w:tr>
      <w:tr>
        <w:trPr>
          <w:trHeight w:val="286"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445" w:type="dxa"/>
            <w:tcBorders>
              <w:top w:val="nil" w:sz="6" w:space="0" w:color="auto"/>
              <w:left w:val="nil" w:sz="6" w:space="0" w:color="auto"/>
              <w:bottom w:val="nil" w:sz="6" w:space="0" w:color="auto"/>
              <w:right w:val="nil" w:sz="6" w:space="0" w:color="auto"/>
            </w:tcBorders>
          </w:tcPr>
          <w:p>
            <w:pPr>
              <w:pStyle w:val="TableParagraph"/>
              <w:spacing w:line="233" w:lineRule="exact"/>
              <w:ind w:right="507"/>
              <w:jc w:val="right"/>
              <w:rPr>
                <w:rFonts w:ascii="宋体" w:hAnsi="宋体" w:cs="宋体" w:eastAsia="宋体" w:hint="default"/>
                <w:sz w:val="18"/>
                <w:szCs w:val="18"/>
              </w:rPr>
            </w:pPr>
            <w:r>
              <w:rPr>
                <w:rFonts w:ascii="宋体"/>
                <w:spacing w:val="-1"/>
                <w:sz w:val="18"/>
              </w:rPr>
              <w:t>50,476,883.41</w:t>
            </w:r>
          </w:p>
        </w:tc>
        <w:tc>
          <w:tcPr>
            <w:tcW w:w="2507"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126,462,953.52</w:t>
            </w:r>
          </w:p>
        </w:tc>
      </w:tr>
      <w:tr>
        <w:trPr>
          <w:trHeight w:val="286"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税费返还、出口退税</w:t>
            </w:r>
          </w:p>
        </w:tc>
        <w:tc>
          <w:tcPr>
            <w:tcW w:w="3445" w:type="dxa"/>
            <w:tcBorders>
              <w:top w:val="nil" w:sz="6" w:space="0" w:color="auto"/>
              <w:left w:val="nil" w:sz="6" w:space="0" w:color="auto"/>
              <w:bottom w:val="nil" w:sz="6" w:space="0" w:color="auto"/>
              <w:right w:val="nil" w:sz="6" w:space="0" w:color="auto"/>
            </w:tcBorders>
          </w:tcPr>
          <w:p>
            <w:pPr>
              <w:pStyle w:val="TableParagraph"/>
              <w:spacing w:line="233" w:lineRule="exact"/>
              <w:ind w:right="507"/>
              <w:jc w:val="right"/>
              <w:rPr>
                <w:rFonts w:ascii="宋体" w:hAnsi="宋体" w:cs="宋体" w:eastAsia="宋体" w:hint="default"/>
                <w:sz w:val="18"/>
                <w:szCs w:val="18"/>
              </w:rPr>
            </w:pPr>
            <w:r>
              <w:rPr>
                <w:rFonts w:ascii="宋体"/>
                <w:spacing w:val="-1"/>
                <w:sz w:val="18"/>
              </w:rPr>
              <w:t>13,333,813.86</w:t>
            </w:r>
          </w:p>
        </w:tc>
        <w:tc>
          <w:tcPr>
            <w:tcW w:w="2507"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17,004,746.68</w:t>
            </w:r>
          </w:p>
        </w:tc>
      </w:tr>
      <w:tr>
        <w:trPr>
          <w:trHeight w:val="291" w:hRule="exact"/>
        </w:trPr>
        <w:tc>
          <w:tcPr>
            <w:tcW w:w="2773"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445" w:type="dxa"/>
            <w:tcBorders>
              <w:top w:val="nil" w:sz="6" w:space="0" w:color="auto"/>
              <w:left w:val="nil" w:sz="6" w:space="0" w:color="auto"/>
              <w:bottom w:val="single" w:sz="4" w:space="0" w:color="000000"/>
              <w:right w:val="nil" w:sz="6" w:space="0" w:color="auto"/>
            </w:tcBorders>
          </w:tcPr>
          <w:p>
            <w:pPr>
              <w:pStyle w:val="TableParagraph"/>
              <w:spacing w:line="233" w:lineRule="exact"/>
              <w:ind w:right="507"/>
              <w:jc w:val="right"/>
              <w:rPr>
                <w:rFonts w:ascii="宋体" w:hAnsi="宋体" w:cs="宋体" w:eastAsia="宋体" w:hint="default"/>
                <w:sz w:val="18"/>
                <w:szCs w:val="18"/>
              </w:rPr>
            </w:pPr>
            <w:r>
              <w:rPr>
                <w:rFonts w:ascii="宋体"/>
                <w:spacing w:val="-1"/>
                <w:sz w:val="18"/>
              </w:rPr>
              <w:t>26,749,683.12</w:t>
            </w:r>
          </w:p>
        </w:tc>
        <w:tc>
          <w:tcPr>
            <w:tcW w:w="2507" w:type="dxa"/>
            <w:tcBorders>
              <w:top w:val="nil" w:sz="6" w:space="0" w:color="auto"/>
              <w:left w:val="nil" w:sz="6" w:space="0" w:color="auto"/>
              <w:bottom w:val="single" w:sz="4"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37,587,195.77</w:t>
            </w:r>
          </w:p>
        </w:tc>
      </w:tr>
      <w:tr>
        <w:trPr>
          <w:trHeight w:val="305" w:hRule="exact"/>
        </w:trPr>
        <w:tc>
          <w:tcPr>
            <w:tcW w:w="277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44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508"/>
              <w:jc w:val="right"/>
              <w:rPr>
                <w:rFonts w:ascii="宋体" w:hAnsi="宋体" w:cs="宋体" w:eastAsia="宋体" w:hint="default"/>
                <w:sz w:val="18"/>
                <w:szCs w:val="18"/>
              </w:rPr>
            </w:pPr>
            <w:r>
              <w:rPr>
                <w:rFonts w:ascii="宋体"/>
                <w:b/>
                <w:w w:val="95"/>
                <w:sz w:val="18"/>
              </w:rPr>
              <w:t>1,888,727,361.74</w:t>
            </w:r>
            <w:r>
              <w:rPr>
                <w:rFonts w:ascii="宋体"/>
                <w:sz w:val="18"/>
              </w:rPr>
            </w:r>
          </w:p>
        </w:tc>
        <w:tc>
          <w:tcPr>
            <w:tcW w:w="2507"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b/>
                <w:w w:val="95"/>
                <w:sz w:val="18"/>
              </w:rPr>
              <w:t>1,235,194,808.80</w:t>
            </w:r>
            <w:r>
              <w:rPr>
                <w:rFonts w:ascii="宋体"/>
                <w:sz w:val="18"/>
              </w:rPr>
            </w:r>
          </w:p>
        </w:tc>
      </w:tr>
    </w:tbl>
    <w:p>
      <w:pPr>
        <w:spacing w:line="297" w:lineRule="auto" w:before="45"/>
        <w:ind w:left="916" w:right="796" w:firstLine="364"/>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1"/>
          <w:sz w:val="22"/>
          <w:szCs w:val="22"/>
        </w:rPr>
        <w:t> </w:t>
      </w:r>
      <w:r>
        <w:rPr>
          <w:rFonts w:ascii="宋体" w:hAnsi="宋体" w:cs="宋体" w:eastAsia="宋体" w:hint="default"/>
          <w:sz w:val="22"/>
          <w:szCs w:val="22"/>
        </w:rPr>
        <w:t>本年按欠款方归集的年末余额前五名其他应收款汇总金额为</w:t>
      </w:r>
      <w:r>
        <w:rPr>
          <w:rFonts w:ascii="宋体" w:hAnsi="宋体" w:cs="宋体" w:eastAsia="宋体" w:hint="default"/>
          <w:spacing w:val="-67"/>
          <w:sz w:val="22"/>
          <w:szCs w:val="22"/>
        </w:rPr>
        <w:t> </w:t>
      </w:r>
      <w:r>
        <w:rPr>
          <w:rFonts w:ascii="宋体" w:hAnsi="宋体" w:cs="宋体" w:eastAsia="宋体" w:hint="default"/>
          <w:sz w:val="22"/>
          <w:szCs w:val="22"/>
        </w:rPr>
        <w:t>836,406,863.35</w:t>
      </w:r>
      <w:r>
        <w:rPr>
          <w:rFonts w:ascii="宋体" w:hAnsi="宋体" w:cs="宋体" w:eastAsia="宋体" w:hint="default"/>
          <w:spacing w:val="-65"/>
          <w:sz w:val="22"/>
          <w:szCs w:val="22"/>
        </w:rPr>
        <w:t> </w:t>
      </w:r>
      <w:r>
        <w:rPr>
          <w:rFonts w:ascii="宋体" w:hAnsi="宋体" w:cs="宋体" w:eastAsia="宋体" w:hint="default"/>
          <w:sz w:val="22"/>
          <w:szCs w:val="22"/>
        </w:rPr>
        <w:t>元，</w:t>
      </w:r>
      <w:r>
        <w:rPr>
          <w:rFonts w:ascii="宋体" w:hAnsi="宋体" w:cs="宋体" w:eastAsia="宋体" w:hint="default"/>
          <w:w w:val="100"/>
          <w:sz w:val="22"/>
          <w:szCs w:val="22"/>
        </w:rPr>
        <w:t> </w:t>
      </w:r>
      <w:r>
        <w:rPr>
          <w:rFonts w:ascii="宋体" w:hAnsi="宋体" w:cs="宋体" w:eastAsia="宋体" w:hint="default"/>
          <w:sz w:val="22"/>
          <w:szCs w:val="22"/>
        </w:rPr>
        <w:t>占其他应收款年末余额合计数的比例 </w:t>
      </w:r>
      <w:r>
        <w:rPr>
          <w:rFonts w:ascii="宋体" w:hAnsi="宋体" w:cs="宋体" w:eastAsia="宋体" w:hint="default"/>
          <w:sz w:val="22"/>
          <w:szCs w:val="22"/>
        </w:rPr>
        <w:t>44.28%</w:t>
      </w:r>
      <w:r>
        <w:rPr>
          <w:rFonts w:ascii="宋体" w:hAnsi="宋体" w:cs="宋体" w:eastAsia="宋体" w:hint="default"/>
          <w:sz w:val="22"/>
          <w:szCs w:val="22"/>
        </w:rPr>
        <w:t>，相应计提的坏账准备年末余额汇总金额为</w:t>
      </w:r>
      <w:r>
        <w:rPr>
          <w:rFonts w:ascii="宋体" w:hAnsi="宋体" w:cs="宋体" w:eastAsia="宋体" w:hint="default"/>
          <w:spacing w:val="-89"/>
          <w:sz w:val="22"/>
          <w:szCs w:val="22"/>
        </w:rPr>
        <w:t> </w:t>
      </w:r>
      <w:r>
        <w:rPr>
          <w:rFonts w:ascii="宋体" w:hAnsi="宋体" w:cs="宋体" w:eastAsia="宋体" w:hint="default"/>
          <w:spacing w:val="-89"/>
          <w:sz w:val="22"/>
          <w:szCs w:val="22"/>
        </w:rPr>
      </w:r>
      <w:r>
        <w:rPr>
          <w:rFonts w:ascii="宋体" w:hAnsi="宋体" w:cs="宋体" w:eastAsia="宋体" w:hint="default"/>
          <w:sz w:val="22"/>
          <w:szCs w:val="22"/>
        </w:rPr>
        <w:t>69,096,240.67</w:t>
      </w:r>
      <w:r>
        <w:rPr>
          <w:rFonts w:ascii="宋体" w:hAnsi="宋体" w:cs="宋体" w:eastAsia="宋体" w:hint="default"/>
          <w:spacing w:val="-55"/>
          <w:sz w:val="22"/>
          <w:szCs w:val="22"/>
        </w:rPr>
        <w:t> </w:t>
      </w:r>
      <w:r>
        <w:rPr>
          <w:rFonts w:ascii="宋体" w:hAnsi="宋体" w:cs="宋体" w:eastAsia="宋体" w:hint="default"/>
          <w:sz w:val="22"/>
          <w:szCs w:val="22"/>
        </w:rPr>
        <w:t>元。</w:t>
      </w:r>
    </w:p>
    <w:p>
      <w:pPr>
        <w:tabs>
          <w:tab w:pos="1701" w:val="left" w:leader="none"/>
        </w:tabs>
        <w:spacing w:before="77"/>
        <w:ind w:left="1305" w:right="79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6.</w:t>
        <w:tab/>
      </w:r>
      <w:r>
        <w:rPr>
          <w:rFonts w:ascii="宋体" w:hAnsi="宋体" w:cs="宋体" w:eastAsia="宋体" w:hint="default"/>
          <w:sz w:val="22"/>
          <w:szCs w:val="22"/>
        </w:rPr>
        <w:t>存货</w:t>
      </w:r>
    </w:p>
    <w:p>
      <w:pPr>
        <w:spacing w:before="101"/>
        <w:ind w:left="1355" w:right="796"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12"/>
          <w:sz w:val="22"/>
          <w:szCs w:val="22"/>
        </w:rPr>
        <w:t> </w:t>
      </w:r>
      <w:r>
        <w:rPr>
          <w:rFonts w:ascii="宋体" w:hAnsi="宋体" w:cs="宋体" w:eastAsia="宋体" w:hint="default"/>
          <w:sz w:val="22"/>
          <w:szCs w:val="22"/>
        </w:rPr>
        <w:t>存货分类</w:t>
      </w:r>
    </w:p>
    <w:p>
      <w:pPr>
        <w:spacing w:line="240" w:lineRule="auto" w:before="5"/>
        <w:rPr>
          <w:rFonts w:ascii="宋体" w:hAnsi="宋体" w:cs="宋体" w:eastAsia="宋体" w:hint="default"/>
          <w:sz w:val="7"/>
          <w:szCs w:val="7"/>
        </w:rPr>
      </w:pPr>
    </w:p>
    <w:p>
      <w:pPr>
        <w:spacing w:line="28" w:lineRule="exact"/>
        <w:ind w:left="100" w:right="0" w:firstLine="0"/>
        <w:rPr>
          <w:rFonts w:ascii="宋体" w:hAnsi="宋体" w:cs="宋体" w:eastAsia="宋体" w:hint="default"/>
          <w:sz w:val="2"/>
          <w:szCs w:val="2"/>
        </w:rPr>
      </w:pPr>
      <w:r>
        <w:rPr>
          <w:rFonts w:ascii="宋体" w:hAnsi="宋体" w:cs="宋体" w:eastAsia="宋体" w:hint="default"/>
          <w:position w:val="0"/>
          <w:sz w:val="2"/>
          <w:szCs w:val="2"/>
        </w:rPr>
        <w:pict>
          <v:group style="width:505.6pt;height:1.45pt;mso-position-horizontal-relative:char;mso-position-vertical-relative:line" coordorigin="0,0" coordsize="10112,29">
            <v:group style="position:absolute;left:14;top:14;width:1220;height:2" coordorigin="14,14" coordsize="1220,2">
              <v:shape style="position:absolute;left:14;top:14;width:1220;height:2" coordorigin="14,14" coordsize="1220,0" path="m14,14l1234,14e" filled="false" stroked="true" strokeweight="1.44pt" strokecolor="#000000">
                <v:path arrowok="t"/>
              </v:shape>
            </v:group>
            <v:group style="position:absolute;left:1234;top:14;width:29;height:2" coordorigin="1234,14" coordsize="29,2">
              <v:shape style="position:absolute;left:1234;top:14;width:29;height:2" coordorigin="1234,14" coordsize="29,0" path="m1234,14l1263,14e" filled="false" stroked="true" strokeweight="1.44pt" strokecolor="#000000">
                <v:path arrowok="t"/>
              </v:shape>
            </v:group>
            <v:group style="position:absolute;left:1263;top:14;width:4377;height:2" coordorigin="1263,14" coordsize="4377,2">
              <v:shape style="position:absolute;left:1263;top:14;width:4377;height:2" coordorigin="1263,14" coordsize="4377,0" path="m1263,14l5639,14e" filled="false" stroked="true" strokeweight="1.44pt" strokecolor="#000000">
                <v:path arrowok="t"/>
              </v:shape>
            </v:group>
            <v:group style="position:absolute;left:5639;top:14;width:29;height:2" coordorigin="5639,14" coordsize="29,2">
              <v:shape style="position:absolute;left:5639;top:14;width:29;height:2" coordorigin="5639,14" coordsize="29,0" path="m5639,14l5668,14e" filled="false" stroked="true" strokeweight="1.44pt" strokecolor="#000000">
                <v:path arrowok="t"/>
              </v:shape>
            </v:group>
            <v:group style="position:absolute;left:5668;top:14;width:4429;height:2" coordorigin="5668,14" coordsize="4429,2">
              <v:shape style="position:absolute;left:5668;top:14;width:4429;height:2" coordorigin="5668,14" coordsize="4429,0" path="m5668,14l10097,14e" filled="false" stroked="true" strokeweight="1.44pt" strokecolor="#000000">
                <v:path arrowok="t"/>
              </v:shape>
            </v:group>
          </v:group>
        </w:pict>
      </w:r>
      <w:r>
        <w:rPr>
          <w:rFonts w:ascii="宋体" w:hAnsi="宋体" w:cs="宋体" w:eastAsia="宋体" w:hint="default"/>
          <w:position w:val="0"/>
          <w:sz w:val="2"/>
          <w:szCs w:val="2"/>
        </w:rPr>
      </w:r>
    </w:p>
    <w:p>
      <w:pPr>
        <w:tabs>
          <w:tab w:pos="7637" w:val="left" w:leader="none"/>
        </w:tabs>
        <w:spacing w:line="182" w:lineRule="exact" w:before="0"/>
        <w:ind w:left="3206" w:right="796" w:firstLine="0"/>
        <w:jc w:val="left"/>
        <w:rPr>
          <w:rFonts w:ascii="宋体" w:hAnsi="宋体" w:cs="宋体" w:eastAsia="宋体" w:hint="default"/>
          <w:sz w:val="18"/>
          <w:szCs w:val="18"/>
        </w:rPr>
      </w:pPr>
      <w:r>
        <w:rPr>
          <w:rFonts w:ascii="宋体" w:hAnsi="宋体" w:cs="宋体" w:eastAsia="宋体" w:hint="default"/>
          <w:b/>
          <w:bCs/>
          <w:spacing w:val="-12"/>
          <w:sz w:val="18"/>
          <w:szCs w:val="18"/>
        </w:rPr>
        <w:t>年末余额</w:t>
        <w:tab/>
      </w:r>
      <w:r>
        <w:rPr>
          <w:rFonts w:ascii="宋体" w:hAnsi="宋体" w:cs="宋体" w:eastAsia="宋体" w:hint="default"/>
          <w:b/>
          <w:bCs/>
          <w:spacing w:val="-16"/>
          <w:sz w:val="18"/>
          <w:szCs w:val="18"/>
        </w:rPr>
        <w:t>年初余额</w:t>
      </w:r>
      <w:r>
        <w:rPr>
          <w:rFonts w:ascii="宋体" w:hAnsi="宋体" w:cs="宋体" w:eastAsia="宋体" w:hint="default"/>
          <w:sz w:val="18"/>
          <w:szCs w:val="18"/>
        </w:rPr>
      </w:r>
    </w:p>
    <w:p>
      <w:pPr>
        <w:spacing w:line="190" w:lineRule="exact" w:before="0"/>
        <w:ind w:left="172" w:right="796" w:firstLine="0"/>
        <w:jc w:val="left"/>
        <w:rPr>
          <w:rFonts w:ascii="宋体" w:hAnsi="宋体" w:cs="宋体" w:eastAsia="宋体" w:hint="default"/>
          <w:sz w:val="18"/>
          <w:szCs w:val="18"/>
        </w:rPr>
      </w:pPr>
      <w:r>
        <w:rPr/>
        <w:pict>
          <v:shape style="position:absolute;margin-left:45.720001pt;margin-top:4.983042pt;width:504.15pt;height:169.1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20"/>
                    <w:gridCol w:w="1543"/>
                    <w:gridCol w:w="1443"/>
                    <w:gridCol w:w="1444"/>
                    <w:gridCol w:w="1536"/>
                    <w:gridCol w:w="1409"/>
                    <w:gridCol w:w="1488"/>
                  </w:tblGrid>
                  <w:tr>
                    <w:trPr>
                      <w:trHeight w:val="286" w:hRule="exact"/>
                    </w:trPr>
                    <w:tc>
                      <w:tcPr>
                        <w:tcW w:w="1220" w:type="dxa"/>
                        <w:tcBorders>
                          <w:top w:val="nil" w:sz="6" w:space="0" w:color="auto"/>
                          <w:left w:val="nil" w:sz="6" w:space="0" w:color="auto"/>
                          <w:bottom w:val="single" w:sz="4" w:space="0" w:color="000000"/>
                          <w:right w:val="nil" w:sz="6" w:space="0" w:color="auto"/>
                        </w:tcBorders>
                      </w:tcPr>
                      <w:p>
                        <w:pPr/>
                      </w:p>
                    </w:tc>
                    <w:tc>
                      <w:tcPr>
                        <w:tcW w:w="1543"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429" w:right="0"/>
                          <w:jc w:val="left"/>
                          <w:rPr>
                            <w:rFonts w:ascii="宋体" w:hAnsi="宋体" w:cs="宋体" w:eastAsia="宋体" w:hint="default"/>
                            <w:sz w:val="18"/>
                            <w:szCs w:val="18"/>
                          </w:rPr>
                        </w:pPr>
                        <w:r>
                          <w:rPr>
                            <w:rFonts w:ascii="宋体" w:hAnsi="宋体" w:cs="宋体" w:eastAsia="宋体" w:hint="default"/>
                            <w:b/>
                            <w:bCs/>
                            <w:spacing w:val="-16"/>
                            <w:sz w:val="18"/>
                            <w:szCs w:val="18"/>
                          </w:rPr>
                          <w:t>账面余额</w:t>
                        </w:r>
                        <w:r>
                          <w:rPr>
                            <w:rFonts w:ascii="宋体" w:hAnsi="宋体" w:cs="宋体" w:eastAsia="宋体" w:hint="default"/>
                            <w:sz w:val="18"/>
                            <w:szCs w:val="18"/>
                          </w:rPr>
                        </w:r>
                      </w:p>
                    </w:tc>
                    <w:tc>
                      <w:tcPr>
                        <w:tcW w:w="1443"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341" w:right="0"/>
                          <w:jc w:val="left"/>
                          <w:rPr>
                            <w:rFonts w:ascii="宋体" w:hAnsi="宋体" w:cs="宋体" w:eastAsia="宋体" w:hint="default"/>
                            <w:sz w:val="18"/>
                            <w:szCs w:val="18"/>
                          </w:rPr>
                        </w:pPr>
                        <w:r>
                          <w:rPr>
                            <w:rFonts w:ascii="宋体" w:hAnsi="宋体" w:cs="宋体" w:eastAsia="宋体" w:hint="default"/>
                            <w:b/>
                            <w:bCs/>
                            <w:spacing w:val="-16"/>
                            <w:sz w:val="18"/>
                            <w:szCs w:val="18"/>
                          </w:rPr>
                          <w:t>跌价准备</w:t>
                        </w:r>
                        <w:r>
                          <w:rPr>
                            <w:rFonts w:ascii="宋体" w:hAnsi="宋体" w:cs="宋体" w:eastAsia="宋体" w:hint="default"/>
                            <w:sz w:val="18"/>
                            <w:szCs w:val="18"/>
                          </w:rPr>
                        </w:r>
                      </w:p>
                    </w:tc>
                    <w:tc>
                      <w:tcPr>
                        <w:tcW w:w="1444"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341" w:right="0"/>
                          <w:jc w:val="left"/>
                          <w:rPr>
                            <w:rFonts w:ascii="宋体" w:hAnsi="宋体" w:cs="宋体" w:eastAsia="宋体" w:hint="default"/>
                            <w:sz w:val="18"/>
                            <w:szCs w:val="18"/>
                          </w:rPr>
                        </w:pPr>
                        <w:r>
                          <w:rPr>
                            <w:rFonts w:ascii="宋体" w:hAnsi="宋体" w:cs="宋体" w:eastAsia="宋体" w:hint="default"/>
                            <w:b/>
                            <w:bCs/>
                            <w:spacing w:val="-16"/>
                            <w:sz w:val="18"/>
                            <w:szCs w:val="18"/>
                          </w:rPr>
                          <w:t>账面价值</w:t>
                        </w:r>
                        <w:r>
                          <w:rPr>
                            <w:rFonts w:ascii="宋体" w:hAnsi="宋体" w:cs="宋体" w:eastAsia="宋体" w:hint="default"/>
                            <w:sz w:val="18"/>
                            <w:szCs w:val="18"/>
                          </w:rPr>
                        </w:r>
                      </w:p>
                    </w:tc>
                    <w:tc>
                      <w:tcPr>
                        <w:tcW w:w="1536"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383" w:right="0"/>
                          <w:jc w:val="left"/>
                          <w:rPr>
                            <w:rFonts w:ascii="宋体" w:hAnsi="宋体" w:cs="宋体" w:eastAsia="宋体" w:hint="default"/>
                            <w:sz w:val="18"/>
                            <w:szCs w:val="18"/>
                          </w:rPr>
                        </w:pPr>
                        <w:r>
                          <w:rPr>
                            <w:rFonts w:ascii="宋体" w:hAnsi="宋体" w:cs="宋体" w:eastAsia="宋体" w:hint="default"/>
                            <w:b/>
                            <w:bCs/>
                            <w:spacing w:val="-16"/>
                            <w:sz w:val="18"/>
                            <w:szCs w:val="18"/>
                          </w:rPr>
                          <w:t>账面余额</w:t>
                        </w:r>
                        <w:r>
                          <w:rPr>
                            <w:rFonts w:ascii="宋体" w:hAnsi="宋体" w:cs="宋体" w:eastAsia="宋体" w:hint="default"/>
                            <w:sz w:val="18"/>
                            <w:szCs w:val="18"/>
                          </w:rPr>
                        </w:r>
                      </w:p>
                    </w:tc>
                    <w:tc>
                      <w:tcPr>
                        <w:tcW w:w="1409"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261" w:right="0"/>
                          <w:jc w:val="left"/>
                          <w:rPr>
                            <w:rFonts w:ascii="宋体" w:hAnsi="宋体" w:cs="宋体" w:eastAsia="宋体" w:hint="default"/>
                            <w:sz w:val="18"/>
                            <w:szCs w:val="18"/>
                          </w:rPr>
                        </w:pPr>
                        <w:r>
                          <w:rPr>
                            <w:rFonts w:ascii="宋体" w:hAnsi="宋体" w:cs="宋体" w:eastAsia="宋体" w:hint="default"/>
                            <w:b/>
                            <w:bCs/>
                            <w:spacing w:val="-16"/>
                            <w:sz w:val="18"/>
                            <w:szCs w:val="18"/>
                          </w:rPr>
                          <w:t>跌价准备</w:t>
                        </w:r>
                        <w:r>
                          <w:rPr>
                            <w:rFonts w:ascii="宋体" w:hAnsi="宋体" w:cs="宋体" w:eastAsia="宋体" w:hint="default"/>
                            <w:sz w:val="18"/>
                            <w:szCs w:val="18"/>
                          </w:rPr>
                        </w:r>
                      </w:p>
                    </w:tc>
                    <w:tc>
                      <w:tcPr>
                        <w:tcW w:w="1488" w:type="dxa"/>
                        <w:tcBorders>
                          <w:top w:val="single" w:sz="4" w:space="0" w:color="000000"/>
                          <w:left w:val="nil" w:sz="6" w:space="0" w:color="auto"/>
                          <w:bottom w:val="single" w:sz="4" w:space="0" w:color="000000"/>
                          <w:right w:val="nil" w:sz="6" w:space="0" w:color="auto"/>
                        </w:tcBorders>
                      </w:tcPr>
                      <w:p>
                        <w:pPr>
                          <w:pStyle w:val="TableParagraph"/>
                          <w:spacing w:line="227" w:lineRule="exact"/>
                          <w:ind w:left="342" w:right="0"/>
                          <w:jc w:val="left"/>
                          <w:rPr>
                            <w:rFonts w:ascii="宋体" w:hAnsi="宋体" w:cs="宋体" w:eastAsia="宋体" w:hint="default"/>
                            <w:sz w:val="18"/>
                            <w:szCs w:val="18"/>
                          </w:rPr>
                        </w:pPr>
                        <w:r>
                          <w:rPr>
                            <w:rFonts w:ascii="宋体" w:hAnsi="宋体" w:cs="宋体" w:eastAsia="宋体" w:hint="default"/>
                            <w:b/>
                            <w:bCs/>
                            <w:spacing w:val="-16"/>
                            <w:sz w:val="18"/>
                            <w:szCs w:val="18"/>
                          </w:rPr>
                          <w:t>账面价值</w:t>
                        </w:r>
                        <w:r>
                          <w:rPr>
                            <w:rFonts w:ascii="宋体" w:hAnsi="宋体" w:cs="宋体" w:eastAsia="宋体" w:hint="default"/>
                            <w:sz w:val="18"/>
                            <w:szCs w:val="18"/>
                          </w:rPr>
                        </w:r>
                      </w:p>
                    </w:tc>
                  </w:tr>
                  <w:tr>
                    <w:trPr>
                      <w:trHeight w:val="282" w:hRule="exact"/>
                    </w:trPr>
                    <w:tc>
                      <w:tcPr>
                        <w:tcW w:w="122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57" w:right="0"/>
                          <w:jc w:val="left"/>
                          <w:rPr>
                            <w:rFonts w:ascii="宋体" w:hAnsi="宋体" w:cs="宋体" w:eastAsia="宋体" w:hint="default"/>
                            <w:sz w:val="16"/>
                            <w:szCs w:val="16"/>
                          </w:rPr>
                        </w:pPr>
                        <w:r>
                          <w:rPr>
                            <w:rFonts w:ascii="宋体" w:hAnsi="宋体" w:cs="宋体" w:eastAsia="宋体" w:hint="default"/>
                            <w:sz w:val="16"/>
                            <w:szCs w:val="16"/>
                          </w:rPr>
                          <w:t>在途物资</w:t>
                        </w:r>
                      </w:p>
                    </w:tc>
                    <w:tc>
                      <w:tcPr>
                        <w:tcW w:w="154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49"/>
                          <w:jc w:val="right"/>
                          <w:rPr>
                            <w:rFonts w:ascii="宋体" w:hAnsi="宋体" w:cs="宋体" w:eastAsia="宋体" w:hint="default"/>
                            <w:sz w:val="16"/>
                            <w:szCs w:val="16"/>
                          </w:rPr>
                        </w:pPr>
                        <w:r>
                          <w:rPr>
                            <w:rFonts w:ascii="宋体"/>
                            <w:spacing w:val="-2"/>
                            <w:sz w:val="16"/>
                          </w:rPr>
                          <w:t>6,692,589.75</w:t>
                        </w: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25"/>
                          <w:jc w:val="right"/>
                          <w:rPr>
                            <w:rFonts w:ascii="宋体" w:hAnsi="宋体" w:cs="宋体" w:eastAsia="宋体" w:hint="default"/>
                            <w:sz w:val="16"/>
                            <w:szCs w:val="16"/>
                          </w:rPr>
                        </w:pPr>
                        <w:r>
                          <w:rPr>
                            <w:rFonts w:ascii="宋体"/>
                            <w:spacing w:val="-1"/>
                            <w:sz w:val="16"/>
                          </w:rPr>
                          <w:t>0.00</w:t>
                        </w:r>
                      </w:p>
                    </w:tc>
                    <w:tc>
                      <w:tcPr>
                        <w:tcW w:w="144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79"/>
                          <w:jc w:val="right"/>
                          <w:rPr>
                            <w:rFonts w:ascii="宋体" w:hAnsi="宋体" w:cs="宋体" w:eastAsia="宋体" w:hint="default"/>
                            <w:sz w:val="16"/>
                            <w:szCs w:val="16"/>
                          </w:rPr>
                        </w:pPr>
                        <w:r>
                          <w:rPr>
                            <w:rFonts w:ascii="宋体"/>
                            <w:spacing w:val="-2"/>
                            <w:sz w:val="16"/>
                          </w:rPr>
                          <w:t>6,692,589.75</w:t>
                        </w:r>
                      </w:p>
                    </w:tc>
                    <w:tc>
                      <w:tcPr>
                        <w:tcW w:w="153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39"/>
                          <w:jc w:val="right"/>
                          <w:rPr>
                            <w:rFonts w:ascii="宋体" w:hAnsi="宋体" w:cs="宋体" w:eastAsia="宋体" w:hint="default"/>
                            <w:sz w:val="16"/>
                            <w:szCs w:val="16"/>
                          </w:rPr>
                        </w:pPr>
                        <w:r>
                          <w:rPr>
                            <w:rFonts w:ascii="宋体"/>
                            <w:spacing w:val="-2"/>
                            <w:sz w:val="16"/>
                          </w:rPr>
                          <w:t>6,060,885.39</w:t>
                        </w:r>
                      </w:p>
                    </w:tc>
                    <w:tc>
                      <w:tcPr>
                        <w:tcW w:w="140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94"/>
                          <w:jc w:val="right"/>
                          <w:rPr>
                            <w:rFonts w:ascii="宋体" w:hAnsi="宋体" w:cs="宋体" w:eastAsia="宋体" w:hint="default"/>
                            <w:sz w:val="16"/>
                            <w:szCs w:val="16"/>
                          </w:rPr>
                        </w:pPr>
                        <w:r>
                          <w:rPr>
                            <w:rFonts w:ascii="宋体"/>
                            <w:spacing w:val="-1"/>
                            <w:sz w:val="16"/>
                          </w:rPr>
                          <w:t>0.00</w:t>
                        </w:r>
                      </w:p>
                    </w:tc>
                    <w:tc>
                      <w:tcPr>
                        <w:tcW w:w="148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55"/>
                          <w:jc w:val="right"/>
                          <w:rPr>
                            <w:rFonts w:ascii="宋体" w:hAnsi="宋体" w:cs="宋体" w:eastAsia="宋体" w:hint="default"/>
                            <w:sz w:val="16"/>
                            <w:szCs w:val="16"/>
                          </w:rPr>
                        </w:pPr>
                        <w:r>
                          <w:rPr>
                            <w:rFonts w:ascii="宋体"/>
                            <w:spacing w:val="-2"/>
                            <w:sz w:val="16"/>
                          </w:rPr>
                          <w:t>6,060,885.39</w:t>
                        </w:r>
                      </w:p>
                    </w:tc>
                  </w:tr>
                  <w:tr>
                    <w:trPr>
                      <w:trHeight w:val="276" w:hRule="exact"/>
                    </w:trPr>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9"/>
                          <w:ind w:left="57" w:right="0"/>
                          <w:jc w:val="left"/>
                          <w:rPr>
                            <w:rFonts w:ascii="宋体" w:hAnsi="宋体" w:cs="宋体" w:eastAsia="宋体" w:hint="default"/>
                            <w:sz w:val="16"/>
                            <w:szCs w:val="16"/>
                          </w:rPr>
                        </w:pPr>
                        <w:r>
                          <w:rPr>
                            <w:rFonts w:ascii="宋体" w:hAnsi="宋体" w:cs="宋体" w:eastAsia="宋体" w:hint="default"/>
                            <w:sz w:val="16"/>
                            <w:szCs w:val="16"/>
                          </w:rPr>
                          <w:t>原材料</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9"/>
                          <w:jc w:val="right"/>
                          <w:rPr>
                            <w:rFonts w:ascii="宋体" w:hAnsi="宋体" w:cs="宋体" w:eastAsia="宋体" w:hint="default"/>
                            <w:sz w:val="16"/>
                            <w:szCs w:val="16"/>
                          </w:rPr>
                        </w:pPr>
                        <w:r>
                          <w:rPr>
                            <w:rFonts w:ascii="宋体"/>
                            <w:spacing w:val="-2"/>
                            <w:sz w:val="16"/>
                          </w:rPr>
                          <w:t>1,883,606,763.68</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7"/>
                          <w:jc w:val="right"/>
                          <w:rPr>
                            <w:rFonts w:ascii="宋体" w:hAnsi="宋体" w:cs="宋体" w:eastAsia="宋体" w:hint="default"/>
                            <w:sz w:val="16"/>
                            <w:szCs w:val="16"/>
                          </w:rPr>
                        </w:pPr>
                        <w:r>
                          <w:rPr>
                            <w:rFonts w:ascii="宋体"/>
                            <w:spacing w:val="-2"/>
                            <w:sz w:val="16"/>
                          </w:rPr>
                          <w:t>242,601,958.53</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2"/>
                          <w:jc w:val="right"/>
                          <w:rPr>
                            <w:rFonts w:ascii="宋体" w:hAnsi="宋体" w:cs="宋体" w:eastAsia="宋体" w:hint="default"/>
                            <w:sz w:val="16"/>
                            <w:szCs w:val="16"/>
                          </w:rPr>
                        </w:pPr>
                        <w:r>
                          <w:rPr>
                            <w:rFonts w:ascii="宋体"/>
                            <w:spacing w:val="-2"/>
                            <w:sz w:val="16"/>
                          </w:rPr>
                          <w:t>1,641,004,805.15</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0"/>
                          <w:jc w:val="right"/>
                          <w:rPr>
                            <w:rFonts w:ascii="宋体" w:hAnsi="宋体" w:cs="宋体" w:eastAsia="宋体" w:hint="default"/>
                            <w:sz w:val="16"/>
                            <w:szCs w:val="16"/>
                          </w:rPr>
                        </w:pPr>
                        <w:r>
                          <w:rPr>
                            <w:rFonts w:ascii="宋体"/>
                            <w:spacing w:val="-2"/>
                            <w:sz w:val="16"/>
                          </w:rPr>
                          <w:t>1,861,245,638.66</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6"/>
                          <w:jc w:val="right"/>
                          <w:rPr>
                            <w:rFonts w:ascii="宋体" w:hAnsi="宋体" w:cs="宋体" w:eastAsia="宋体" w:hint="default"/>
                            <w:sz w:val="16"/>
                            <w:szCs w:val="16"/>
                          </w:rPr>
                        </w:pPr>
                        <w:r>
                          <w:rPr>
                            <w:rFonts w:ascii="宋体"/>
                            <w:spacing w:val="-2"/>
                            <w:sz w:val="16"/>
                          </w:rPr>
                          <w:t>142,007,354.10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
                          <w:jc w:val="right"/>
                          <w:rPr>
                            <w:rFonts w:ascii="宋体" w:hAnsi="宋体" w:cs="宋体" w:eastAsia="宋体" w:hint="default"/>
                            <w:sz w:val="16"/>
                            <w:szCs w:val="16"/>
                          </w:rPr>
                        </w:pPr>
                        <w:r>
                          <w:rPr>
                            <w:rFonts w:ascii="宋体"/>
                            <w:spacing w:val="-2"/>
                            <w:sz w:val="16"/>
                          </w:rPr>
                          <w:t>1,719,238,284.56</w:t>
                        </w:r>
                      </w:p>
                    </w:tc>
                  </w:tr>
                  <w:tr>
                    <w:trPr>
                      <w:trHeight w:val="276" w:hRule="exact"/>
                    </w:trPr>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9"/>
                          <w:ind w:left="57" w:right="0"/>
                          <w:jc w:val="left"/>
                          <w:rPr>
                            <w:rFonts w:ascii="宋体" w:hAnsi="宋体" w:cs="宋体" w:eastAsia="宋体" w:hint="default"/>
                            <w:sz w:val="16"/>
                            <w:szCs w:val="16"/>
                          </w:rPr>
                        </w:pPr>
                        <w:r>
                          <w:rPr>
                            <w:rFonts w:ascii="宋体" w:hAnsi="宋体" w:cs="宋体" w:eastAsia="宋体" w:hint="default"/>
                            <w:sz w:val="16"/>
                            <w:szCs w:val="16"/>
                          </w:rPr>
                          <w:t>包装物</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9"/>
                          <w:jc w:val="right"/>
                          <w:rPr>
                            <w:rFonts w:ascii="宋体" w:hAnsi="宋体" w:cs="宋体" w:eastAsia="宋体" w:hint="default"/>
                            <w:sz w:val="16"/>
                            <w:szCs w:val="16"/>
                          </w:rPr>
                        </w:pPr>
                        <w:r>
                          <w:rPr>
                            <w:rFonts w:ascii="宋体"/>
                            <w:spacing w:val="-2"/>
                            <w:sz w:val="16"/>
                          </w:rPr>
                          <w:t>123,921.25</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7"/>
                          <w:jc w:val="right"/>
                          <w:rPr>
                            <w:rFonts w:ascii="宋体" w:hAnsi="宋体" w:cs="宋体" w:eastAsia="宋体" w:hint="default"/>
                            <w:sz w:val="16"/>
                            <w:szCs w:val="16"/>
                          </w:rPr>
                        </w:pPr>
                        <w:r>
                          <w:rPr>
                            <w:rFonts w:ascii="宋体"/>
                            <w:spacing w:val="-2"/>
                            <w:sz w:val="16"/>
                          </w:rPr>
                          <w:t>121,466.40</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0"/>
                          <w:jc w:val="right"/>
                          <w:rPr>
                            <w:rFonts w:ascii="宋体" w:hAnsi="宋体" w:cs="宋体" w:eastAsia="宋体" w:hint="default"/>
                            <w:sz w:val="16"/>
                            <w:szCs w:val="16"/>
                          </w:rPr>
                        </w:pPr>
                        <w:r>
                          <w:rPr>
                            <w:rFonts w:ascii="宋体"/>
                            <w:spacing w:val="-1"/>
                            <w:sz w:val="16"/>
                          </w:rPr>
                          <w:t>2,454.85</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0"/>
                          <w:jc w:val="right"/>
                          <w:rPr>
                            <w:rFonts w:ascii="宋体" w:hAnsi="宋体" w:cs="宋体" w:eastAsia="宋体" w:hint="default"/>
                            <w:sz w:val="16"/>
                            <w:szCs w:val="16"/>
                          </w:rPr>
                        </w:pPr>
                        <w:r>
                          <w:rPr>
                            <w:rFonts w:ascii="宋体"/>
                            <w:spacing w:val="-2"/>
                            <w:sz w:val="16"/>
                          </w:rPr>
                          <w:t>157,419.77</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5"/>
                          <w:jc w:val="right"/>
                          <w:rPr>
                            <w:rFonts w:ascii="宋体" w:hAnsi="宋体" w:cs="宋体" w:eastAsia="宋体" w:hint="default"/>
                            <w:sz w:val="16"/>
                            <w:szCs w:val="16"/>
                          </w:rPr>
                        </w:pPr>
                        <w:r>
                          <w:rPr>
                            <w:rFonts w:ascii="宋体"/>
                            <w:spacing w:val="-2"/>
                            <w:sz w:val="16"/>
                          </w:rPr>
                          <w:t>150,939.40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
                          <w:jc w:val="right"/>
                          <w:rPr>
                            <w:rFonts w:ascii="宋体" w:hAnsi="宋体" w:cs="宋体" w:eastAsia="宋体" w:hint="default"/>
                            <w:sz w:val="16"/>
                            <w:szCs w:val="16"/>
                          </w:rPr>
                        </w:pPr>
                        <w:r>
                          <w:rPr>
                            <w:rFonts w:ascii="宋体"/>
                            <w:spacing w:val="-1"/>
                            <w:sz w:val="16"/>
                          </w:rPr>
                          <w:t>6,480.37</w:t>
                        </w:r>
                      </w:p>
                    </w:tc>
                  </w:tr>
                  <w:tr>
                    <w:trPr>
                      <w:trHeight w:val="276" w:hRule="exact"/>
                    </w:trPr>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9"/>
                          <w:ind w:left="57" w:right="0"/>
                          <w:jc w:val="left"/>
                          <w:rPr>
                            <w:rFonts w:ascii="宋体" w:hAnsi="宋体" w:cs="宋体" w:eastAsia="宋体" w:hint="default"/>
                            <w:sz w:val="16"/>
                            <w:szCs w:val="16"/>
                          </w:rPr>
                        </w:pPr>
                        <w:r>
                          <w:rPr>
                            <w:rFonts w:ascii="宋体" w:hAnsi="宋体" w:cs="宋体" w:eastAsia="宋体" w:hint="default"/>
                            <w:sz w:val="16"/>
                            <w:szCs w:val="16"/>
                          </w:rPr>
                          <w:t>低值易耗品</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9"/>
                          <w:jc w:val="right"/>
                          <w:rPr>
                            <w:rFonts w:ascii="宋体" w:hAnsi="宋体" w:cs="宋体" w:eastAsia="宋体" w:hint="default"/>
                            <w:sz w:val="16"/>
                            <w:szCs w:val="16"/>
                          </w:rPr>
                        </w:pPr>
                        <w:r>
                          <w:rPr>
                            <w:rFonts w:ascii="宋体"/>
                            <w:spacing w:val="-2"/>
                            <w:sz w:val="16"/>
                          </w:rPr>
                          <w:t>6,545,606.87</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7"/>
                          <w:jc w:val="right"/>
                          <w:rPr>
                            <w:rFonts w:ascii="宋体" w:hAnsi="宋体" w:cs="宋体" w:eastAsia="宋体" w:hint="default"/>
                            <w:sz w:val="16"/>
                            <w:szCs w:val="16"/>
                          </w:rPr>
                        </w:pPr>
                        <w:r>
                          <w:rPr>
                            <w:rFonts w:ascii="宋体"/>
                            <w:spacing w:val="-2"/>
                            <w:sz w:val="16"/>
                          </w:rPr>
                          <w:t>222,262.93</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0"/>
                          <w:jc w:val="right"/>
                          <w:rPr>
                            <w:rFonts w:ascii="宋体" w:hAnsi="宋体" w:cs="宋体" w:eastAsia="宋体" w:hint="default"/>
                            <w:sz w:val="16"/>
                            <w:szCs w:val="16"/>
                          </w:rPr>
                        </w:pPr>
                        <w:r>
                          <w:rPr>
                            <w:rFonts w:ascii="宋体"/>
                            <w:spacing w:val="-2"/>
                            <w:sz w:val="16"/>
                          </w:rPr>
                          <w:t>6,323,343.94</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0"/>
                          <w:jc w:val="right"/>
                          <w:rPr>
                            <w:rFonts w:ascii="宋体" w:hAnsi="宋体" w:cs="宋体" w:eastAsia="宋体" w:hint="default"/>
                            <w:sz w:val="16"/>
                            <w:szCs w:val="16"/>
                          </w:rPr>
                        </w:pPr>
                        <w:r>
                          <w:rPr>
                            <w:rFonts w:ascii="宋体"/>
                            <w:spacing w:val="-2"/>
                            <w:sz w:val="16"/>
                          </w:rPr>
                          <w:t>1,479,054.87</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5"/>
                          <w:jc w:val="right"/>
                          <w:rPr>
                            <w:rFonts w:ascii="宋体" w:hAnsi="宋体" w:cs="宋体" w:eastAsia="宋体" w:hint="default"/>
                            <w:sz w:val="16"/>
                            <w:szCs w:val="16"/>
                          </w:rPr>
                        </w:pPr>
                        <w:r>
                          <w:rPr>
                            <w:rFonts w:ascii="宋体"/>
                            <w:spacing w:val="-2"/>
                            <w:sz w:val="16"/>
                          </w:rPr>
                          <w:t>219,562.49</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
                          <w:jc w:val="right"/>
                          <w:rPr>
                            <w:rFonts w:ascii="宋体" w:hAnsi="宋体" w:cs="宋体" w:eastAsia="宋体" w:hint="default"/>
                            <w:sz w:val="16"/>
                            <w:szCs w:val="16"/>
                          </w:rPr>
                        </w:pPr>
                        <w:r>
                          <w:rPr>
                            <w:rFonts w:ascii="宋体"/>
                            <w:spacing w:val="-2"/>
                            <w:sz w:val="16"/>
                          </w:rPr>
                          <w:t>1,259,492.38</w:t>
                        </w:r>
                      </w:p>
                    </w:tc>
                  </w:tr>
                  <w:tr>
                    <w:trPr>
                      <w:trHeight w:val="276" w:hRule="exact"/>
                    </w:trPr>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9"/>
                          <w:ind w:left="57" w:right="0"/>
                          <w:jc w:val="left"/>
                          <w:rPr>
                            <w:rFonts w:ascii="宋体" w:hAnsi="宋体" w:cs="宋体" w:eastAsia="宋体" w:hint="default"/>
                            <w:sz w:val="16"/>
                            <w:szCs w:val="16"/>
                          </w:rPr>
                        </w:pPr>
                        <w:r>
                          <w:rPr>
                            <w:rFonts w:ascii="宋体" w:hAnsi="宋体" w:cs="宋体" w:eastAsia="宋体" w:hint="default"/>
                            <w:sz w:val="16"/>
                            <w:szCs w:val="16"/>
                          </w:rPr>
                          <w:t>库存商品</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9"/>
                          <w:jc w:val="right"/>
                          <w:rPr>
                            <w:rFonts w:ascii="宋体" w:hAnsi="宋体" w:cs="宋体" w:eastAsia="宋体" w:hint="default"/>
                            <w:sz w:val="16"/>
                            <w:szCs w:val="16"/>
                          </w:rPr>
                        </w:pPr>
                        <w:r>
                          <w:rPr>
                            <w:rFonts w:ascii="宋体"/>
                            <w:spacing w:val="-2"/>
                            <w:sz w:val="16"/>
                          </w:rPr>
                          <w:t>2,577,035,575.41</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7"/>
                          <w:jc w:val="right"/>
                          <w:rPr>
                            <w:rFonts w:ascii="宋体" w:hAnsi="宋体" w:cs="宋体" w:eastAsia="宋体" w:hint="default"/>
                            <w:sz w:val="16"/>
                            <w:szCs w:val="16"/>
                          </w:rPr>
                        </w:pPr>
                        <w:r>
                          <w:rPr>
                            <w:rFonts w:ascii="宋体"/>
                            <w:spacing w:val="-2"/>
                            <w:sz w:val="16"/>
                          </w:rPr>
                          <w:t>353,036,057.14</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2"/>
                          <w:jc w:val="right"/>
                          <w:rPr>
                            <w:rFonts w:ascii="宋体" w:hAnsi="宋体" w:cs="宋体" w:eastAsia="宋体" w:hint="default"/>
                            <w:sz w:val="16"/>
                            <w:szCs w:val="16"/>
                          </w:rPr>
                        </w:pPr>
                        <w:r>
                          <w:rPr>
                            <w:rFonts w:ascii="宋体"/>
                            <w:spacing w:val="-2"/>
                            <w:sz w:val="16"/>
                          </w:rPr>
                          <w:t>2,223,999,518.27</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0"/>
                          <w:jc w:val="right"/>
                          <w:rPr>
                            <w:rFonts w:ascii="宋体" w:hAnsi="宋体" w:cs="宋体" w:eastAsia="宋体" w:hint="default"/>
                            <w:sz w:val="16"/>
                            <w:szCs w:val="16"/>
                          </w:rPr>
                        </w:pPr>
                        <w:r>
                          <w:rPr>
                            <w:rFonts w:ascii="宋体"/>
                            <w:spacing w:val="-2"/>
                            <w:sz w:val="16"/>
                          </w:rPr>
                          <w:t>2,426,718,213.28</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6"/>
                          <w:jc w:val="right"/>
                          <w:rPr>
                            <w:rFonts w:ascii="宋体" w:hAnsi="宋体" w:cs="宋体" w:eastAsia="宋体" w:hint="default"/>
                            <w:sz w:val="16"/>
                            <w:szCs w:val="16"/>
                          </w:rPr>
                        </w:pPr>
                        <w:r>
                          <w:rPr>
                            <w:rFonts w:ascii="宋体"/>
                            <w:spacing w:val="-2"/>
                            <w:sz w:val="16"/>
                          </w:rPr>
                          <w:t>251,709,067.91</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
                          <w:jc w:val="right"/>
                          <w:rPr>
                            <w:rFonts w:ascii="宋体" w:hAnsi="宋体" w:cs="宋体" w:eastAsia="宋体" w:hint="default"/>
                            <w:sz w:val="16"/>
                            <w:szCs w:val="16"/>
                          </w:rPr>
                        </w:pPr>
                        <w:r>
                          <w:rPr>
                            <w:rFonts w:ascii="宋体"/>
                            <w:spacing w:val="-2"/>
                            <w:sz w:val="16"/>
                          </w:rPr>
                          <w:t>2,175,009,145.37</w:t>
                        </w:r>
                      </w:p>
                    </w:tc>
                  </w:tr>
                  <w:tr>
                    <w:trPr>
                      <w:trHeight w:val="276" w:hRule="exact"/>
                    </w:trPr>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9"/>
                          <w:ind w:left="57" w:right="0"/>
                          <w:jc w:val="left"/>
                          <w:rPr>
                            <w:rFonts w:ascii="宋体" w:hAnsi="宋体" w:cs="宋体" w:eastAsia="宋体" w:hint="default"/>
                            <w:sz w:val="16"/>
                            <w:szCs w:val="16"/>
                          </w:rPr>
                        </w:pPr>
                        <w:r>
                          <w:rPr>
                            <w:rFonts w:ascii="宋体" w:hAnsi="宋体" w:cs="宋体" w:eastAsia="宋体" w:hint="default"/>
                            <w:sz w:val="16"/>
                            <w:szCs w:val="16"/>
                          </w:rPr>
                          <w:t>委托加工物资</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9"/>
                          <w:jc w:val="right"/>
                          <w:rPr>
                            <w:rFonts w:ascii="宋体" w:hAnsi="宋体" w:cs="宋体" w:eastAsia="宋体" w:hint="default"/>
                            <w:sz w:val="16"/>
                            <w:szCs w:val="16"/>
                          </w:rPr>
                        </w:pPr>
                        <w:r>
                          <w:rPr>
                            <w:rFonts w:ascii="宋体"/>
                            <w:spacing w:val="-2"/>
                            <w:sz w:val="16"/>
                          </w:rPr>
                          <w:t>51,707,956.77</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7"/>
                          <w:jc w:val="right"/>
                          <w:rPr>
                            <w:rFonts w:ascii="宋体" w:hAnsi="宋体" w:cs="宋体" w:eastAsia="宋体" w:hint="default"/>
                            <w:sz w:val="16"/>
                            <w:szCs w:val="16"/>
                          </w:rPr>
                        </w:pPr>
                        <w:r>
                          <w:rPr>
                            <w:rFonts w:ascii="宋体"/>
                            <w:spacing w:val="-1"/>
                            <w:sz w:val="16"/>
                          </w:rPr>
                          <w:t>57.66</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0"/>
                          <w:jc w:val="right"/>
                          <w:rPr>
                            <w:rFonts w:ascii="宋体" w:hAnsi="宋体" w:cs="宋体" w:eastAsia="宋体" w:hint="default"/>
                            <w:sz w:val="16"/>
                            <w:szCs w:val="16"/>
                          </w:rPr>
                        </w:pPr>
                        <w:r>
                          <w:rPr>
                            <w:rFonts w:ascii="宋体"/>
                            <w:spacing w:val="-2"/>
                            <w:sz w:val="16"/>
                          </w:rPr>
                          <w:t>51,707,899.11</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0"/>
                          <w:jc w:val="right"/>
                          <w:rPr>
                            <w:rFonts w:ascii="宋体" w:hAnsi="宋体" w:cs="宋体" w:eastAsia="宋体" w:hint="default"/>
                            <w:sz w:val="16"/>
                            <w:szCs w:val="16"/>
                          </w:rPr>
                        </w:pPr>
                        <w:r>
                          <w:rPr>
                            <w:rFonts w:ascii="宋体"/>
                            <w:spacing w:val="-2"/>
                            <w:sz w:val="16"/>
                          </w:rPr>
                          <w:t>80,855,565.35</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5"/>
                          <w:jc w:val="right"/>
                          <w:rPr>
                            <w:rFonts w:ascii="宋体" w:hAnsi="宋体" w:cs="宋体" w:eastAsia="宋体" w:hint="default"/>
                            <w:sz w:val="16"/>
                            <w:szCs w:val="16"/>
                          </w:rPr>
                        </w:pPr>
                        <w:r>
                          <w:rPr>
                            <w:rFonts w:ascii="宋体"/>
                            <w:spacing w:val="-2"/>
                            <w:sz w:val="16"/>
                          </w:rPr>
                          <w:t>176,888.99</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
                          <w:jc w:val="right"/>
                          <w:rPr>
                            <w:rFonts w:ascii="宋体" w:hAnsi="宋体" w:cs="宋体" w:eastAsia="宋体" w:hint="default"/>
                            <w:sz w:val="16"/>
                            <w:szCs w:val="16"/>
                          </w:rPr>
                        </w:pPr>
                        <w:r>
                          <w:rPr>
                            <w:rFonts w:ascii="宋体"/>
                            <w:spacing w:val="-2"/>
                            <w:sz w:val="16"/>
                          </w:rPr>
                          <w:t>80,678,676.36</w:t>
                        </w:r>
                      </w:p>
                    </w:tc>
                  </w:tr>
                  <w:tr>
                    <w:trPr>
                      <w:trHeight w:val="276" w:hRule="exact"/>
                    </w:trPr>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9"/>
                          <w:ind w:left="57" w:right="0"/>
                          <w:jc w:val="left"/>
                          <w:rPr>
                            <w:rFonts w:ascii="宋体" w:hAnsi="宋体" w:cs="宋体" w:eastAsia="宋体" w:hint="default"/>
                            <w:sz w:val="16"/>
                            <w:szCs w:val="16"/>
                          </w:rPr>
                        </w:pPr>
                        <w:r>
                          <w:rPr>
                            <w:rFonts w:ascii="宋体" w:hAnsi="宋体" w:cs="宋体" w:eastAsia="宋体" w:hint="default"/>
                            <w:sz w:val="16"/>
                            <w:szCs w:val="16"/>
                          </w:rPr>
                          <w:t>委托代销商品</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9"/>
                          <w:jc w:val="right"/>
                          <w:rPr>
                            <w:rFonts w:ascii="宋体" w:hAnsi="宋体" w:cs="宋体" w:eastAsia="宋体" w:hint="default"/>
                            <w:sz w:val="16"/>
                            <w:szCs w:val="16"/>
                          </w:rPr>
                        </w:pPr>
                        <w:r>
                          <w:rPr>
                            <w:rFonts w:ascii="宋体"/>
                            <w:spacing w:val="-2"/>
                            <w:sz w:val="16"/>
                          </w:rPr>
                          <w:t>345,203.30</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7"/>
                          <w:jc w:val="right"/>
                          <w:rPr>
                            <w:rFonts w:ascii="宋体" w:hAnsi="宋体" w:cs="宋体" w:eastAsia="宋体" w:hint="default"/>
                            <w:sz w:val="16"/>
                            <w:szCs w:val="16"/>
                          </w:rPr>
                        </w:pPr>
                        <w:r>
                          <w:rPr>
                            <w:rFonts w:ascii="宋体"/>
                            <w:spacing w:val="-2"/>
                            <w:sz w:val="16"/>
                          </w:rPr>
                          <w:t>345,203.30</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0"/>
                          <w:jc w:val="right"/>
                          <w:rPr>
                            <w:rFonts w:ascii="宋体" w:hAnsi="宋体" w:cs="宋体" w:eastAsia="宋体" w:hint="default"/>
                            <w:sz w:val="16"/>
                            <w:szCs w:val="16"/>
                          </w:rPr>
                        </w:pPr>
                        <w:r>
                          <w:rPr>
                            <w:rFonts w:ascii="宋体"/>
                            <w:spacing w:val="-1"/>
                            <w:sz w:val="16"/>
                          </w:rPr>
                          <w:t>0.00</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0"/>
                          <w:jc w:val="right"/>
                          <w:rPr>
                            <w:rFonts w:ascii="宋体" w:hAnsi="宋体" w:cs="宋体" w:eastAsia="宋体" w:hint="default"/>
                            <w:sz w:val="16"/>
                            <w:szCs w:val="16"/>
                          </w:rPr>
                        </w:pPr>
                        <w:r>
                          <w:rPr>
                            <w:rFonts w:ascii="宋体"/>
                            <w:spacing w:val="-2"/>
                            <w:sz w:val="16"/>
                          </w:rPr>
                          <w:t>167,203.56</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5"/>
                          <w:jc w:val="right"/>
                          <w:rPr>
                            <w:rFonts w:ascii="宋体" w:hAnsi="宋体" w:cs="宋体" w:eastAsia="宋体" w:hint="default"/>
                            <w:sz w:val="16"/>
                            <w:szCs w:val="16"/>
                          </w:rPr>
                        </w:pPr>
                        <w:r>
                          <w:rPr>
                            <w:rFonts w:ascii="宋体"/>
                            <w:spacing w:val="-2"/>
                            <w:sz w:val="16"/>
                          </w:rPr>
                          <w:t>167,203.56</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
                          <w:jc w:val="right"/>
                          <w:rPr>
                            <w:rFonts w:ascii="宋体" w:hAnsi="宋体" w:cs="宋体" w:eastAsia="宋体" w:hint="default"/>
                            <w:sz w:val="16"/>
                            <w:szCs w:val="16"/>
                          </w:rPr>
                        </w:pPr>
                        <w:r>
                          <w:rPr>
                            <w:rFonts w:ascii="宋体"/>
                            <w:spacing w:val="-1"/>
                            <w:sz w:val="16"/>
                          </w:rPr>
                          <w:t>0.00</w:t>
                        </w:r>
                      </w:p>
                    </w:tc>
                  </w:tr>
                  <w:tr>
                    <w:trPr>
                      <w:trHeight w:val="276" w:hRule="exact"/>
                    </w:trPr>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9"/>
                          <w:ind w:left="57" w:right="0"/>
                          <w:jc w:val="left"/>
                          <w:rPr>
                            <w:rFonts w:ascii="宋体" w:hAnsi="宋体" w:cs="宋体" w:eastAsia="宋体" w:hint="default"/>
                            <w:sz w:val="16"/>
                            <w:szCs w:val="16"/>
                          </w:rPr>
                        </w:pPr>
                        <w:r>
                          <w:rPr>
                            <w:rFonts w:ascii="宋体" w:hAnsi="宋体" w:cs="宋体" w:eastAsia="宋体" w:hint="default"/>
                            <w:sz w:val="16"/>
                            <w:szCs w:val="16"/>
                          </w:rPr>
                          <w:t>发出商品</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9"/>
                          <w:jc w:val="right"/>
                          <w:rPr>
                            <w:rFonts w:ascii="宋体" w:hAnsi="宋体" w:cs="宋体" w:eastAsia="宋体" w:hint="default"/>
                            <w:sz w:val="16"/>
                            <w:szCs w:val="16"/>
                          </w:rPr>
                        </w:pPr>
                        <w:r>
                          <w:rPr>
                            <w:rFonts w:ascii="宋体"/>
                            <w:spacing w:val="-2"/>
                            <w:sz w:val="16"/>
                          </w:rPr>
                          <w:t>1,082,776,246.60</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7"/>
                          <w:jc w:val="right"/>
                          <w:rPr>
                            <w:rFonts w:ascii="宋体" w:hAnsi="宋体" w:cs="宋体" w:eastAsia="宋体" w:hint="default"/>
                            <w:sz w:val="16"/>
                            <w:szCs w:val="16"/>
                          </w:rPr>
                        </w:pPr>
                        <w:r>
                          <w:rPr>
                            <w:rFonts w:ascii="宋体"/>
                            <w:spacing w:val="-2"/>
                            <w:sz w:val="16"/>
                          </w:rPr>
                          <w:t>209,257,796.08</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1"/>
                          <w:jc w:val="right"/>
                          <w:rPr>
                            <w:rFonts w:ascii="宋体" w:hAnsi="宋体" w:cs="宋体" w:eastAsia="宋体" w:hint="default"/>
                            <w:sz w:val="16"/>
                            <w:szCs w:val="16"/>
                          </w:rPr>
                        </w:pPr>
                        <w:r>
                          <w:rPr>
                            <w:rFonts w:ascii="宋体"/>
                            <w:spacing w:val="-2"/>
                            <w:sz w:val="16"/>
                          </w:rPr>
                          <w:t>873,518,450.52</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0"/>
                          <w:jc w:val="right"/>
                          <w:rPr>
                            <w:rFonts w:ascii="宋体" w:hAnsi="宋体" w:cs="宋体" w:eastAsia="宋体" w:hint="default"/>
                            <w:sz w:val="16"/>
                            <w:szCs w:val="16"/>
                          </w:rPr>
                        </w:pPr>
                        <w:r>
                          <w:rPr>
                            <w:rFonts w:ascii="宋体"/>
                            <w:spacing w:val="-2"/>
                            <w:sz w:val="16"/>
                          </w:rPr>
                          <w:t>1,354,729,889.58</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6"/>
                          <w:jc w:val="right"/>
                          <w:rPr>
                            <w:rFonts w:ascii="宋体" w:hAnsi="宋体" w:cs="宋体" w:eastAsia="宋体" w:hint="default"/>
                            <w:sz w:val="16"/>
                            <w:szCs w:val="16"/>
                          </w:rPr>
                        </w:pPr>
                        <w:r>
                          <w:rPr>
                            <w:rFonts w:ascii="宋体"/>
                            <w:spacing w:val="-2"/>
                            <w:sz w:val="16"/>
                          </w:rPr>
                          <w:t>102,833,298.44</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
                          <w:jc w:val="right"/>
                          <w:rPr>
                            <w:rFonts w:ascii="宋体" w:hAnsi="宋体" w:cs="宋体" w:eastAsia="宋体" w:hint="default"/>
                            <w:sz w:val="16"/>
                            <w:szCs w:val="16"/>
                          </w:rPr>
                        </w:pPr>
                        <w:r>
                          <w:rPr>
                            <w:rFonts w:ascii="宋体"/>
                            <w:spacing w:val="-2"/>
                            <w:sz w:val="16"/>
                          </w:rPr>
                          <w:t>1,251,896,591.14</w:t>
                        </w:r>
                      </w:p>
                    </w:tc>
                  </w:tr>
                  <w:tr>
                    <w:trPr>
                      <w:trHeight w:val="276" w:hRule="exact"/>
                    </w:trPr>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9"/>
                          <w:ind w:left="57" w:right="0"/>
                          <w:jc w:val="left"/>
                          <w:rPr>
                            <w:rFonts w:ascii="宋体" w:hAnsi="宋体" w:cs="宋体" w:eastAsia="宋体" w:hint="default"/>
                            <w:sz w:val="16"/>
                            <w:szCs w:val="16"/>
                          </w:rPr>
                        </w:pPr>
                        <w:r>
                          <w:rPr>
                            <w:rFonts w:ascii="宋体" w:hAnsi="宋体" w:cs="宋体" w:eastAsia="宋体" w:hint="default"/>
                            <w:sz w:val="16"/>
                            <w:szCs w:val="16"/>
                          </w:rPr>
                          <w:t>在产品</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9"/>
                          <w:jc w:val="right"/>
                          <w:rPr>
                            <w:rFonts w:ascii="宋体" w:hAnsi="宋体" w:cs="宋体" w:eastAsia="宋体" w:hint="default"/>
                            <w:sz w:val="16"/>
                            <w:szCs w:val="16"/>
                          </w:rPr>
                        </w:pPr>
                        <w:r>
                          <w:rPr>
                            <w:rFonts w:ascii="宋体"/>
                            <w:spacing w:val="-2"/>
                            <w:sz w:val="16"/>
                          </w:rPr>
                          <w:t>2,996,352,821.37</w:t>
                        </w: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7"/>
                          <w:jc w:val="right"/>
                          <w:rPr>
                            <w:rFonts w:ascii="宋体" w:hAnsi="宋体" w:cs="宋体" w:eastAsia="宋体" w:hint="default"/>
                            <w:sz w:val="16"/>
                            <w:szCs w:val="16"/>
                          </w:rPr>
                        </w:pPr>
                        <w:r>
                          <w:rPr>
                            <w:rFonts w:ascii="宋体"/>
                            <w:spacing w:val="-2"/>
                            <w:sz w:val="16"/>
                          </w:rPr>
                          <w:t>139,530,116.10</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2"/>
                          <w:jc w:val="right"/>
                          <w:rPr>
                            <w:rFonts w:ascii="宋体" w:hAnsi="宋体" w:cs="宋体" w:eastAsia="宋体" w:hint="default"/>
                            <w:sz w:val="16"/>
                            <w:szCs w:val="16"/>
                          </w:rPr>
                        </w:pPr>
                        <w:r>
                          <w:rPr>
                            <w:rFonts w:ascii="宋体"/>
                            <w:spacing w:val="-2"/>
                            <w:sz w:val="16"/>
                          </w:rPr>
                          <w:t>2,856,822,705.27</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0"/>
                          <w:jc w:val="right"/>
                          <w:rPr>
                            <w:rFonts w:ascii="宋体" w:hAnsi="宋体" w:cs="宋体" w:eastAsia="宋体" w:hint="default"/>
                            <w:sz w:val="16"/>
                            <w:szCs w:val="16"/>
                          </w:rPr>
                        </w:pPr>
                        <w:r>
                          <w:rPr>
                            <w:rFonts w:ascii="宋体"/>
                            <w:spacing w:val="-2"/>
                            <w:sz w:val="16"/>
                          </w:rPr>
                          <w:t>2,803,504,842.39</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6"/>
                          <w:jc w:val="right"/>
                          <w:rPr>
                            <w:rFonts w:ascii="宋体" w:hAnsi="宋体" w:cs="宋体" w:eastAsia="宋体" w:hint="default"/>
                            <w:sz w:val="16"/>
                            <w:szCs w:val="16"/>
                          </w:rPr>
                        </w:pPr>
                        <w:r>
                          <w:rPr>
                            <w:rFonts w:ascii="宋体"/>
                            <w:spacing w:val="-2"/>
                            <w:sz w:val="16"/>
                          </w:rPr>
                          <w:t>186,643,516.83</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
                          <w:jc w:val="right"/>
                          <w:rPr>
                            <w:rFonts w:ascii="宋体" w:hAnsi="宋体" w:cs="宋体" w:eastAsia="宋体" w:hint="default"/>
                            <w:sz w:val="16"/>
                            <w:szCs w:val="16"/>
                          </w:rPr>
                        </w:pPr>
                        <w:r>
                          <w:rPr>
                            <w:rFonts w:ascii="宋体"/>
                            <w:spacing w:val="-2"/>
                            <w:sz w:val="16"/>
                          </w:rPr>
                          <w:t>2,616,861,325.56</w:t>
                        </w:r>
                      </w:p>
                    </w:tc>
                  </w:tr>
                  <w:tr>
                    <w:trPr>
                      <w:trHeight w:val="280" w:hRule="exact"/>
                    </w:trPr>
                    <w:tc>
                      <w:tcPr>
                        <w:tcW w:w="1220"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57" w:right="0"/>
                          <w:jc w:val="left"/>
                          <w:rPr>
                            <w:rFonts w:ascii="宋体" w:hAnsi="宋体" w:cs="宋体" w:eastAsia="宋体" w:hint="default"/>
                            <w:sz w:val="16"/>
                            <w:szCs w:val="16"/>
                          </w:rPr>
                        </w:pPr>
                        <w:r>
                          <w:rPr>
                            <w:rFonts w:ascii="宋体" w:hAnsi="宋体" w:cs="宋体" w:eastAsia="宋体" w:hint="default"/>
                            <w:sz w:val="16"/>
                            <w:szCs w:val="16"/>
                          </w:rPr>
                          <w:t>工程施工</w:t>
                        </w:r>
                      </w:p>
                    </w:tc>
                    <w:tc>
                      <w:tcPr>
                        <w:tcW w:w="154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49"/>
                          <w:jc w:val="right"/>
                          <w:rPr>
                            <w:rFonts w:ascii="宋体" w:hAnsi="宋体" w:cs="宋体" w:eastAsia="宋体" w:hint="default"/>
                            <w:sz w:val="16"/>
                            <w:szCs w:val="16"/>
                          </w:rPr>
                        </w:pPr>
                        <w:r>
                          <w:rPr>
                            <w:rFonts w:ascii="宋体"/>
                            <w:spacing w:val="-2"/>
                            <w:sz w:val="16"/>
                          </w:rPr>
                          <w:t>1,767,241,221.48</w:t>
                        </w:r>
                      </w:p>
                    </w:tc>
                    <w:tc>
                      <w:tcPr>
                        <w:tcW w:w="144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97"/>
                          <w:jc w:val="right"/>
                          <w:rPr>
                            <w:rFonts w:ascii="宋体" w:hAnsi="宋体" w:cs="宋体" w:eastAsia="宋体" w:hint="default"/>
                            <w:sz w:val="16"/>
                            <w:szCs w:val="16"/>
                          </w:rPr>
                        </w:pPr>
                        <w:r>
                          <w:rPr>
                            <w:rFonts w:ascii="宋体"/>
                            <w:spacing w:val="-2"/>
                            <w:sz w:val="16"/>
                          </w:rPr>
                          <w:t>306,635,137.07</w:t>
                        </w:r>
                      </w:p>
                    </w:tc>
                    <w:tc>
                      <w:tcPr>
                        <w:tcW w:w="144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52"/>
                          <w:jc w:val="right"/>
                          <w:rPr>
                            <w:rFonts w:ascii="宋体" w:hAnsi="宋体" w:cs="宋体" w:eastAsia="宋体" w:hint="default"/>
                            <w:sz w:val="16"/>
                            <w:szCs w:val="16"/>
                          </w:rPr>
                        </w:pPr>
                        <w:r>
                          <w:rPr>
                            <w:rFonts w:ascii="宋体"/>
                            <w:spacing w:val="-2"/>
                            <w:sz w:val="16"/>
                          </w:rPr>
                          <w:t>1,460,606,084.41</w:t>
                        </w:r>
                      </w:p>
                    </w:tc>
                    <w:tc>
                      <w:tcPr>
                        <w:tcW w:w="1536"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110"/>
                          <w:jc w:val="right"/>
                          <w:rPr>
                            <w:rFonts w:ascii="宋体" w:hAnsi="宋体" w:cs="宋体" w:eastAsia="宋体" w:hint="default"/>
                            <w:sz w:val="16"/>
                            <w:szCs w:val="16"/>
                          </w:rPr>
                        </w:pPr>
                        <w:r>
                          <w:rPr>
                            <w:rFonts w:ascii="宋体"/>
                            <w:spacing w:val="-2"/>
                            <w:sz w:val="16"/>
                          </w:rPr>
                          <w:t>1,531,165,676.05</w:t>
                        </w:r>
                      </w:p>
                    </w:tc>
                    <w:tc>
                      <w:tcPr>
                        <w:tcW w:w="1409"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166"/>
                          <w:jc w:val="right"/>
                          <w:rPr>
                            <w:rFonts w:ascii="宋体" w:hAnsi="宋体" w:cs="宋体" w:eastAsia="宋体" w:hint="default"/>
                            <w:sz w:val="16"/>
                            <w:szCs w:val="16"/>
                          </w:rPr>
                        </w:pPr>
                        <w:r>
                          <w:rPr>
                            <w:rFonts w:ascii="宋体"/>
                            <w:spacing w:val="-2"/>
                            <w:sz w:val="16"/>
                          </w:rPr>
                          <w:t>69,657,290.43</w:t>
                        </w:r>
                      </w:p>
                    </w:tc>
                    <w:tc>
                      <w:tcPr>
                        <w:tcW w:w="148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26"/>
                          <w:jc w:val="right"/>
                          <w:rPr>
                            <w:rFonts w:ascii="宋体" w:hAnsi="宋体" w:cs="宋体" w:eastAsia="宋体" w:hint="default"/>
                            <w:sz w:val="16"/>
                            <w:szCs w:val="16"/>
                          </w:rPr>
                        </w:pPr>
                        <w:r>
                          <w:rPr>
                            <w:rFonts w:ascii="宋体"/>
                            <w:spacing w:val="-2"/>
                            <w:sz w:val="16"/>
                          </w:rPr>
                          <w:t>1,461,508,385.62</w:t>
                        </w:r>
                      </w:p>
                    </w:tc>
                  </w:tr>
                  <w:tr>
                    <w:trPr>
                      <w:trHeight w:val="298" w:hRule="exact"/>
                    </w:trPr>
                    <w:tc>
                      <w:tcPr>
                        <w:tcW w:w="122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left="57"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54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51"/>
                          <w:jc w:val="right"/>
                          <w:rPr>
                            <w:rFonts w:ascii="宋体" w:hAnsi="宋体" w:cs="宋体" w:eastAsia="宋体" w:hint="default"/>
                            <w:sz w:val="16"/>
                            <w:szCs w:val="16"/>
                          </w:rPr>
                        </w:pPr>
                        <w:r>
                          <w:rPr>
                            <w:rFonts w:ascii="宋体"/>
                            <w:b/>
                            <w:spacing w:val="-1"/>
                            <w:sz w:val="16"/>
                          </w:rPr>
                          <w:t>10,372,427,906.48</w:t>
                        </w:r>
                        <w:r>
                          <w:rPr>
                            <w:rFonts w:ascii="宋体"/>
                            <w:spacing w:val="-1"/>
                            <w:sz w:val="16"/>
                          </w:rPr>
                        </w:r>
                      </w:p>
                    </w:tc>
                    <w:tc>
                      <w:tcPr>
                        <w:tcW w:w="144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98"/>
                          <w:jc w:val="right"/>
                          <w:rPr>
                            <w:rFonts w:ascii="宋体" w:hAnsi="宋体" w:cs="宋体" w:eastAsia="宋体" w:hint="default"/>
                            <w:sz w:val="16"/>
                            <w:szCs w:val="16"/>
                          </w:rPr>
                        </w:pPr>
                        <w:r>
                          <w:rPr>
                            <w:rFonts w:ascii="宋体"/>
                            <w:b/>
                            <w:spacing w:val="-1"/>
                            <w:sz w:val="16"/>
                          </w:rPr>
                          <w:t>1,251,750,055.21</w:t>
                        </w:r>
                        <w:r>
                          <w:rPr>
                            <w:rFonts w:ascii="宋体"/>
                            <w:spacing w:val="-1"/>
                            <w:sz w:val="16"/>
                          </w:rPr>
                        </w:r>
                      </w:p>
                    </w:tc>
                    <w:tc>
                      <w:tcPr>
                        <w:tcW w:w="144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52"/>
                          <w:jc w:val="right"/>
                          <w:rPr>
                            <w:rFonts w:ascii="宋体" w:hAnsi="宋体" w:cs="宋体" w:eastAsia="宋体" w:hint="default"/>
                            <w:sz w:val="16"/>
                            <w:szCs w:val="16"/>
                          </w:rPr>
                        </w:pPr>
                        <w:r>
                          <w:rPr>
                            <w:rFonts w:ascii="宋体"/>
                            <w:b/>
                            <w:spacing w:val="-1"/>
                            <w:sz w:val="16"/>
                          </w:rPr>
                          <w:t>9,120,677,851.27</w:t>
                        </w:r>
                        <w:r>
                          <w:rPr>
                            <w:rFonts w:ascii="宋体"/>
                            <w:spacing w:val="-1"/>
                            <w:sz w:val="16"/>
                          </w:rPr>
                        </w:r>
                      </w:p>
                    </w:tc>
                    <w:tc>
                      <w:tcPr>
                        <w:tcW w:w="153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11"/>
                          <w:jc w:val="right"/>
                          <w:rPr>
                            <w:rFonts w:ascii="宋体" w:hAnsi="宋体" w:cs="宋体" w:eastAsia="宋体" w:hint="default"/>
                            <w:sz w:val="16"/>
                            <w:szCs w:val="16"/>
                          </w:rPr>
                        </w:pPr>
                        <w:r>
                          <w:rPr>
                            <w:rFonts w:ascii="宋体"/>
                            <w:b/>
                            <w:spacing w:val="-1"/>
                            <w:sz w:val="16"/>
                          </w:rPr>
                          <w:t>10,066,084,388.90</w:t>
                        </w:r>
                        <w:r>
                          <w:rPr>
                            <w:rFonts w:ascii="宋体"/>
                            <w:spacing w:val="-1"/>
                            <w:sz w:val="16"/>
                          </w:rPr>
                        </w:r>
                      </w:p>
                    </w:tc>
                    <w:tc>
                      <w:tcPr>
                        <w:tcW w:w="140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67"/>
                          <w:jc w:val="right"/>
                          <w:rPr>
                            <w:rFonts w:ascii="宋体" w:hAnsi="宋体" w:cs="宋体" w:eastAsia="宋体" w:hint="default"/>
                            <w:sz w:val="16"/>
                            <w:szCs w:val="16"/>
                          </w:rPr>
                        </w:pPr>
                        <w:r>
                          <w:rPr>
                            <w:rFonts w:ascii="宋体"/>
                            <w:b/>
                            <w:spacing w:val="-1"/>
                            <w:sz w:val="16"/>
                          </w:rPr>
                          <w:t>753,565,122.15</w:t>
                        </w:r>
                        <w:r>
                          <w:rPr>
                            <w:rFonts w:ascii="宋体"/>
                            <w:spacing w:val="-1"/>
                            <w:sz w:val="16"/>
                          </w:rPr>
                        </w:r>
                      </w:p>
                    </w:tc>
                    <w:tc>
                      <w:tcPr>
                        <w:tcW w:w="148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28"/>
                          <w:jc w:val="right"/>
                          <w:rPr>
                            <w:rFonts w:ascii="宋体" w:hAnsi="宋体" w:cs="宋体" w:eastAsia="宋体" w:hint="default"/>
                            <w:sz w:val="16"/>
                            <w:szCs w:val="16"/>
                          </w:rPr>
                        </w:pPr>
                        <w:r>
                          <w:rPr>
                            <w:rFonts w:ascii="宋体"/>
                            <w:b/>
                            <w:spacing w:val="-1"/>
                            <w:sz w:val="16"/>
                          </w:rPr>
                          <w:t>9,312,519,266.75</w:t>
                        </w:r>
                        <w:r>
                          <w:rPr>
                            <w:rFonts w:ascii="宋体"/>
                            <w:spacing w:val="-1"/>
                            <w:sz w:val="16"/>
                          </w:rPr>
                        </w:r>
                      </w:p>
                    </w:tc>
                  </w:tr>
                </w:tbl>
                <w:p>
                  <w:pPr/>
                </w:p>
              </w:txbxContent>
            </v:textbox>
            <w10:wrap type="none"/>
          </v:shape>
        </w:pict>
      </w:r>
      <w:r>
        <w:rPr>
          <w:rFonts w:ascii="宋体" w:hAnsi="宋体" w:cs="宋体" w:eastAsia="宋体" w:hint="default"/>
          <w:b/>
          <w:bCs/>
          <w:spacing w:val="-16"/>
          <w:sz w:val="18"/>
          <w:szCs w:val="18"/>
        </w:rPr>
        <w:t>项目</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p>
      <w:pPr>
        <w:spacing w:before="32"/>
        <w:ind w:left="1355" w:right="796" w:firstLine="0"/>
        <w:jc w:val="left"/>
        <w:rPr>
          <w:rFonts w:ascii="宋体" w:hAnsi="宋体" w:cs="宋体" w:eastAsia="宋体" w:hint="default"/>
          <w:sz w:val="22"/>
          <w:szCs w:val="22"/>
        </w:rPr>
      </w:pPr>
      <w:r>
        <w:rPr/>
        <w:pict>
          <v:group style="position:absolute;margin-left:185.929977pt;margin-top:40.007614pt;width:293.45pt;height:.5pt;mso-position-horizontal-relative:page;mso-position-vertical-relative:paragraph;z-index:-1227064" coordorigin="3719,800" coordsize="5869,10">
            <v:group style="position:absolute;left:3723;top:805;width:1244;height:2" coordorigin="3723,805" coordsize="1244,2">
              <v:shape style="position:absolute;left:3723;top:805;width:1244;height:2" coordorigin="3723,805" coordsize="1244,0" path="m3723,805l4967,805e" filled="false" stroked="true" strokeweight=".48004pt" strokecolor="#000000">
                <v:path arrowok="t"/>
              </v:shape>
            </v:group>
            <v:group style="position:absolute;left:4967;top:805;width:10;height:2" coordorigin="4967,805" coordsize="10,2">
              <v:shape style="position:absolute;left:4967;top:805;width:10;height:2" coordorigin="4967,805" coordsize="10,0" path="m4967,805l4976,805e" filled="false" stroked="true" strokeweight=".48004pt" strokecolor="#000000">
                <v:path arrowok="t"/>
              </v:shape>
            </v:group>
            <v:group style="position:absolute;left:4976;top:805;width:1074;height:2" coordorigin="4976,805" coordsize="1074,2">
              <v:shape style="position:absolute;left:4976;top:805;width:1074;height:2" coordorigin="4976,805" coordsize="1074,0" path="m4976,805l6049,805e" filled="false" stroked="true" strokeweight=".48004pt" strokecolor="#000000">
                <v:path arrowok="t"/>
              </v:shape>
            </v:group>
            <v:group style="position:absolute;left:6049;top:805;width:10;height:2" coordorigin="6049,805" coordsize="10,2">
              <v:shape style="position:absolute;left:6049;top:805;width:10;height:2" coordorigin="6049,805" coordsize="10,0" path="m6049,805l6059,805e" filled="false" stroked="true" strokeweight=".48004pt" strokecolor="#000000">
                <v:path arrowok="t"/>
              </v:shape>
            </v:group>
            <v:group style="position:absolute;left:6059;top:805;width:1152;height:2" coordorigin="6059,805" coordsize="1152,2">
              <v:shape style="position:absolute;left:6059;top:805;width:1152;height:2" coordorigin="6059,805" coordsize="1152,0" path="m6059,805l7211,805e" filled="false" stroked="true" strokeweight=".48004pt" strokecolor="#000000">
                <v:path arrowok="t"/>
              </v:shape>
            </v:group>
            <v:group style="position:absolute;left:7211;top:805;width:10;height:2" coordorigin="7211,805" coordsize="10,2">
              <v:shape style="position:absolute;left:7211;top:805;width:10;height:2" coordorigin="7211,805" coordsize="10,0" path="m7211,805l7221,805e" filled="false" stroked="true" strokeweight=".48004pt" strokecolor="#000000">
                <v:path arrowok="t"/>
              </v:shape>
            </v:group>
            <v:group style="position:absolute;left:7221;top:805;width:1155;height:2" coordorigin="7221,805" coordsize="1155,2">
              <v:shape style="position:absolute;left:7221;top:805;width:1155;height:2" coordorigin="7221,805" coordsize="1155,0" path="m7221,805l8375,805e" filled="false" stroked="true" strokeweight=".48004pt" strokecolor="#000000">
                <v:path arrowok="t"/>
              </v:shape>
            </v:group>
            <v:group style="position:absolute;left:8376;top:805;width:10;height:2" coordorigin="8376,805" coordsize="10,2">
              <v:shape style="position:absolute;left:8376;top:805;width:10;height:2" coordorigin="8376,805" coordsize="10,0" path="m8376,805l8385,805e" filled="false" stroked="true" strokeweight=".48004pt" strokecolor="#000000">
                <v:path arrowok="t"/>
              </v:shape>
            </v:group>
            <v:group style="position:absolute;left:8385;top:805;width:1198;height:2" coordorigin="8385,805" coordsize="1198,2">
              <v:shape style="position:absolute;left:8385;top:805;width:1198;height:2" coordorigin="8385,805" coordsize="1198,0" path="m8385,805l9583,805e" filled="false" stroked="true" strokeweight=".48004pt" strokecolor="#000000">
                <v:path arrowok="t"/>
              </v:shape>
            </v:group>
            <w10:wrap type="none"/>
          </v:group>
        </w:pict>
      </w:r>
      <w:r>
        <w:rPr>
          <w:rFonts w:ascii="宋体" w:hAnsi="宋体" w:cs="宋体" w:eastAsia="宋体" w:hint="default"/>
          <w:b/>
          <w:bCs/>
          <w:sz w:val="22"/>
          <w:szCs w:val="22"/>
        </w:rPr>
        <w:t>(2)</w:t>
      </w:r>
      <w:r>
        <w:rPr>
          <w:rFonts w:ascii="宋体" w:hAnsi="宋体" w:cs="宋体" w:eastAsia="宋体" w:hint="default"/>
          <w:b/>
          <w:bCs/>
          <w:spacing w:val="11"/>
          <w:sz w:val="22"/>
          <w:szCs w:val="22"/>
        </w:rPr>
        <w:t> </w:t>
      </w:r>
      <w:r>
        <w:rPr>
          <w:rFonts w:ascii="宋体" w:hAnsi="宋体" w:cs="宋体" w:eastAsia="宋体" w:hint="default"/>
          <w:sz w:val="22"/>
          <w:szCs w:val="22"/>
        </w:rPr>
        <w:t>存货跌价准备</w:t>
      </w:r>
    </w:p>
    <w:p>
      <w:pPr>
        <w:spacing w:line="240" w:lineRule="auto" w:before="11"/>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333"/>
        <w:gridCol w:w="1510"/>
        <w:gridCol w:w="1244"/>
        <w:gridCol w:w="1122"/>
        <w:gridCol w:w="1122"/>
        <w:gridCol w:w="1175"/>
        <w:gridCol w:w="1265"/>
        <w:gridCol w:w="1303"/>
      </w:tblGrid>
      <w:tr>
        <w:trPr>
          <w:trHeight w:val="229" w:hRule="exact"/>
        </w:trPr>
        <w:tc>
          <w:tcPr>
            <w:tcW w:w="1333" w:type="dxa"/>
            <w:tcBorders>
              <w:top w:val="single" w:sz="12" w:space="0" w:color="000000"/>
              <w:left w:val="nil" w:sz="6" w:space="0" w:color="auto"/>
              <w:bottom w:val="nil" w:sz="6" w:space="0" w:color="auto"/>
              <w:right w:val="nil" w:sz="6" w:space="0" w:color="auto"/>
            </w:tcBorders>
          </w:tcPr>
          <w:p>
            <w:pPr/>
          </w:p>
        </w:tc>
        <w:tc>
          <w:tcPr>
            <w:tcW w:w="1510" w:type="dxa"/>
            <w:tcBorders>
              <w:top w:val="single" w:sz="12" w:space="0" w:color="000000"/>
              <w:left w:val="nil" w:sz="6" w:space="0" w:color="auto"/>
              <w:bottom w:val="nil" w:sz="6" w:space="0" w:color="auto"/>
              <w:right w:val="nil" w:sz="6" w:space="0" w:color="auto"/>
            </w:tcBorders>
          </w:tcPr>
          <w:p>
            <w:pPr/>
          </w:p>
        </w:tc>
        <w:tc>
          <w:tcPr>
            <w:tcW w:w="2366"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12"/>
              <w:ind w:right="105"/>
              <w:jc w:val="center"/>
              <w:rPr>
                <w:rFonts w:ascii="宋体" w:hAnsi="宋体" w:cs="宋体" w:eastAsia="宋体" w:hint="default"/>
                <w:sz w:val="16"/>
                <w:szCs w:val="16"/>
              </w:rPr>
            </w:pPr>
            <w:r>
              <w:rPr>
                <w:rFonts w:ascii="宋体" w:hAnsi="宋体" w:cs="宋体" w:eastAsia="宋体" w:hint="default"/>
                <w:b/>
                <w:bCs/>
                <w:sz w:val="16"/>
                <w:szCs w:val="16"/>
              </w:rPr>
              <w:t>本年增加</w:t>
            </w:r>
            <w:r>
              <w:rPr>
                <w:rFonts w:ascii="宋体" w:hAnsi="宋体" w:cs="宋体" w:eastAsia="宋体" w:hint="default"/>
                <w:sz w:val="16"/>
                <w:szCs w:val="16"/>
              </w:rPr>
            </w:r>
          </w:p>
        </w:tc>
        <w:tc>
          <w:tcPr>
            <w:tcW w:w="1122" w:type="dxa"/>
            <w:tcBorders>
              <w:top w:val="single" w:sz="12" w:space="0" w:color="000000"/>
              <w:left w:val="nil" w:sz="6" w:space="0" w:color="auto"/>
              <w:bottom w:val="nil" w:sz="6" w:space="0" w:color="auto"/>
              <w:right w:val="nil" w:sz="6" w:space="0" w:color="auto"/>
            </w:tcBorders>
          </w:tcPr>
          <w:p>
            <w:pPr/>
          </w:p>
        </w:tc>
        <w:tc>
          <w:tcPr>
            <w:tcW w:w="1175"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left="247" w:right="0"/>
              <w:jc w:val="left"/>
              <w:rPr>
                <w:rFonts w:ascii="宋体" w:hAnsi="宋体" w:cs="宋体" w:eastAsia="宋体" w:hint="default"/>
                <w:sz w:val="16"/>
                <w:szCs w:val="16"/>
              </w:rPr>
            </w:pPr>
            <w:r>
              <w:rPr>
                <w:rFonts w:ascii="宋体" w:hAnsi="宋体" w:cs="宋体" w:eastAsia="宋体" w:hint="default"/>
                <w:b/>
                <w:bCs/>
                <w:sz w:val="16"/>
                <w:szCs w:val="16"/>
              </w:rPr>
              <w:t>本年减少</w:t>
            </w:r>
            <w:r>
              <w:rPr>
                <w:rFonts w:ascii="宋体" w:hAnsi="宋体" w:cs="宋体" w:eastAsia="宋体" w:hint="default"/>
                <w:sz w:val="16"/>
                <w:szCs w:val="16"/>
              </w:rPr>
            </w:r>
          </w:p>
        </w:tc>
        <w:tc>
          <w:tcPr>
            <w:tcW w:w="1265" w:type="dxa"/>
            <w:tcBorders>
              <w:top w:val="single" w:sz="12" w:space="0" w:color="000000"/>
              <w:left w:val="nil" w:sz="6" w:space="0" w:color="auto"/>
              <w:bottom w:val="nil" w:sz="6" w:space="0" w:color="auto"/>
              <w:right w:val="nil" w:sz="6" w:space="0" w:color="auto"/>
            </w:tcBorders>
          </w:tcPr>
          <w:p>
            <w:pPr/>
          </w:p>
        </w:tc>
        <w:tc>
          <w:tcPr>
            <w:tcW w:w="1303" w:type="dxa"/>
            <w:tcBorders>
              <w:top w:val="single" w:sz="12" w:space="0" w:color="000000"/>
              <w:left w:val="nil" w:sz="6" w:space="0" w:color="auto"/>
              <w:bottom w:val="nil" w:sz="6" w:space="0" w:color="auto"/>
              <w:right w:val="nil" w:sz="6" w:space="0" w:color="auto"/>
            </w:tcBorders>
          </w:tcPr>
          <w:p>
            <w:pPr/>
          </w:p>
        </w:tc>
      </w:tr>
      <w:tr>
        <w:trPr>
          <w:trHeight w:val="146"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153" w:lineRule="exact"/>
              <w:ind w:left="72"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510" w:type="dxa"/>
            <w:tcBorders>
              <w:top w:val="nil" w:sz="6" w:space="0" w:color="auto"/>
              <w:left w:val="nil" w:sz="6" w:space="0" w:color="auto"/>
              <w:bottom w:val="nil" w:sz="6" w:space="0" w:color="auto"/>
              <w:right w:val="nil" w:sz="6" w:space="0" w:color="auto"/>
            </w:tcBorders>
          </w:tcPr>
          <w:p>
            <w:pPr>
              <w:pStyle w:val="TableParagraph"/>
              <w:spacing w:line="153" w:lineRule="exact"/>
              <w:ind w:left="534"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1244"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
        </w:tc>
        <w:tc>
          <w:tcPr>
            <w:tcW w:w="1122" w:type="dxa"/>
            <w:tcBorders>
              <w:top w:val="nil" w:sz="6" w:space="0" w:color="auto"/>
              <w:left w:val="nil" w:sz="6" w:space="0" w:color="auto"/>
              <w:bottom w:val="nil" w:sz="6" w:space="0" w:color="auto"/>
              <w:right w:val="nil" w:sz="6" w:space="0" w:color="auto"/>
            </w:tcBorders>
          </w:tcPr>
          <w:p>
            <w:pPr/>
          </w:p>
        </w:tc>
        <w:tc>
          <w:tcPr>
            <w:tcW w:w="117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153" w:lineRule="exact"/>
              <w:ind w:left="277" w:right="0"/>
              <w:jc w:val="left"/>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tc>
      </w:tr>
      <w:tr>
        <w:trPr>
          <w:trHeight w:val="220" w:hRule="exact"/>
        </w:trPr>
        <w:tc>
          <w:tcPr>
            <w:tcW w:w="1333" w:type="dxa"/>
            <w:tcBorders>
              <w:top w:val="nil" w:sz="6" w:space="0" w:color="auto"/>
              <w:left w:val="nil" w:sz="6" w:space="0" w:color="auto"/>
              <w:bottom w:val="single" w:sz="4" w:space="0" w:color="000000"/>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
        </w:tc>
        <w:tc>
          <w:tcPr>
            <w:tcW w:w="1244" w:type="dxa"/>
            <w:tcBorders>
              <w:top w:val="nil" w:sz="6" w:space="0" w:color="auto"/>
              <w:left w:val="nil" w:sz="6" w:space="0" w:color="auto"/>
              <w:bottom w:val="single" w:sz="4" w:space="0" w:color="000000"/>
              <w:right w:val="nil" w:sz="6" w:space="0" w:color="auto"/>
            </w:tcBorders>
          </w:tcPr>
          <w:p>
            <w:pPr>
              <w:pStyle w:val="TableParagraph"/>
              <w:spacing w:line="153" w:lineRule="exact"/>
              <w:ind w:right="63"/>
              <w:jc w:val="center"/>
              <w:rPr>
                <w:rFonts w:ascii="宋体" w:hAnsi="宋体" w:cs="宋体" w:eastAsia="宋体" w:hint="default"/>
                <w:sz w:val="16"/>
                <w:szCs w:val="16"/>
              </w:rPr>
            </w:pPr>
            <w:r>
              <w:rPr>
                <w:rFonts w:ascii="宋体" w:hAnsi="宋体" w:cs="宋体" w:eastAsia="宋体" w:hint="default"/>
                <w:b/>
                <w:bCs/>
                <w:sz w:val="16"/>
                <w:szCs w:val="16"/>
              </w:rPr>
              <w:t>计提</w:t>
            </w:r>
            <w:r>
              <w:rPr>
                <w:rFonts w:ascii="宋体" w:hAnsi="宋体" w:cs="宋体" w:eastAsia="宋体" w:hint="default"/>
                <w:sz w:val="16"/>
                <w:szCs w:val="16"/>
              </w:rPr>
            </w:r>
          </w:p>
        </w:tc>
        <w:tc>
          <w:tcPr>
            <w:tcW w:w="1122" w:type="dxa"/>
            <w:tcBorders>
              <w:top w:val="nil" w:sz="6" w:space="0" w:color="auto"/>
              <w:left w:val="nil" w:sz="6" w:space="0" w:color="auto"/>
              <w:bottom w:val="single" w:sz="4" w:space="0" w:color="000000"/>
              <w:right w:val="nil" w:sz="6" w:space="0" w:color="auto"/>
            </w:tcBorders>
          </w:tcPr>
          <w:p>
            <w:pPr>
              <w:pStyle w:val="TableParagraph"/>
              <w:spacing w:line="153" w:lineRule="exact"/>
              <w:ind w:left="185" w:right="0"/>
              <w:jc w:val="left"/>
              <w:rPr>
                <w:rFonts w:ascii="宋体" w:hAnsi="宋体" w:cs="宋体" w:eastAsia="宋体" w:hint="default"/>
                <w:sz w:val="16"/>
                <w:szCs w:val="16"/>
              </w:rPr>
            </w:pPr>
            <w:r>
              <w:rPr>
                <w:rFonts w:ascii="宋体" w:hAnsi="宋体" w:cs="宋体" w:eastAsia="宋体" w:hint="default"/>
                <w:b/>
                <w:bCs/>
                <w:sz w:val="16"/>
                <w:szCs w:val="16"/>
              </w:rPr>
              <w:t>汇率变动</w:t>
            </w:r>
            <w:r>
              <w:rPr>
                <w:rFonts w:ascii="宋体" w:hAnsi="宋体" w:cs="宋体" w:eastAsia="宋体" w:hint="default"/>
                <w:sz w:val="16"/>
                <w:szCs w:val="16"/>
              </w:rPr>
            </w:r>
          </w:p>
        </w:tc>
        <w:tc>
          <w:tcPr>
            <w:tcW w:w="1122" w:type="dxa"/>
            <w:tcBorders>
              <w:top w:val="nil" w:sz="6" w:space="0" w:color="auto"/>
              <w:left w:val="nil" w:sz="6" w:space="0" w:color="auto"/>
              <w:bottom w:val="single" w:sz="4" w:space="0" w:color="000000"/>
              <w:right w:val="nil" w:sz="6" w:space="0" w:color="auto"/>
            </w:tcBorders>
          </w:tcPr>
          <w:p>
            <w:pPr>
              <w:pStyle w:val="TableParagraph"/>
              <w:spacing w:line="153" w:lineRule="exact"/>
              <w:ind w:left="345" w:right="0"/>
              <w:jc w:val="left"/>
              <w:rPr>
                <w:rFonts w:ascii="宋体" w:hAnsi="宋体" w:cs="宋体" w:eastAsia="宋体" w:hint="default"/>
                <w:sz w:val="16"/>
                <w:szCs w:val="16"/>
              </w:rPr>
            </w:pPr>
            <w:r>
              <w:rPr>
                <w:rFonts w:ascii="宋体" w:hAnsi="宋体" w:cs="宋体" w:eastAsia="宋体" w:hint="default"/>
                <w:b/>
                <w:bCs/>
                <w:sz w:val="16"/>
                <w:szCs w:val="16"/>
              </w:rPr>
              <w:t>转回</w:t>
            </w:r>
            <w:r>
              <w:rPr>
                <w:rFonts w:ascii="宋体" w:hAnsi="宋体" w:cs="宋体" w:eastAsia="宋体" w:hint="default"/>
                <w:sz w:val="16"/>
                <w:szCs w:val="16"/>
              </w:rPr>
            </w:r>
          </w:p>
        </w:tc>
        <w:tc>
          <w:tcPr>
            <w:tcW w:w="1175" w:type="dxa"/>
            <w:tcBorders>
              <w:top w:val="nil" w:sz="6" w:space="0" w:color="auto"/>
              <w:left w:val="nil" w:sz="6" w:space="0" w:color="auto"/>
              <w:bottom w:val="single" w:sz="4" w:space="0" w:color="000000"/>
              <w:right w:val="nil" w:sz="6" w:space="0" w:color="auto"/>
            </w:tcBorders>
          </w:tcPr>
          <w:p>
            <w:pPr>
              <w:pStyle w:val="TableParagraph"/>
              <w:spacing w:line="153" w:lineRule="exact"/>
              <w:ind w:left="387" w:right="0"/>
              <w:jc w:val="left"/>
              <w:rPr>
                <w:rFonts w:ascii="宋体" w:hAnsi="宋体" w:cs="宋体" w:eastAsia="宋体" w:hint="default"/>
                <w:sz w:val="16"/>
                <w:szCs w:val="16"/>
              </w:rPr>
            </w:pPr>
            <w:r>
              <w:rPr>
                <w:rFonts w:ascii="宋体" w:hAnsi="宋体" w:cs="宋体" w:eastAsia="宋体" w:hint="default"/>
                <w:b/>
                <w:bCs/>
                <w:sz w:val="16"/>
                <w:szCs w:val="16"/>
              </w:rPr>
              <w:t>转出</w:t>
            </w:r>
            <w:r>
              <w:rPr>
                <w:rFonts w:ascii="宋体" w:hAnsi="宋体" w:cs="宋体" w:eastAsia="宋体" w:hint="default"/>
                <w:sz w:val="16"/>
                <w:szCs w:val="16"/>
              </w:rPr>
            </w:r>
          </w:p>
        </w:tc>
        <w:tc>
          <w:tcPr>
            <w:tcW w:w="1265" w:type="dxa"/>
            <w:tcBorders>
              <w:top w:val="nil" w:sz="6" w:space="0" w:color="auto"/>
              <w:left w:val="nil" w:sz="6" w:space="0" w:color="auto"/>
              <w:bottom w:val="single" w:sz="4" w:space="0" w:color="000000"/>
              <w:right w:val="nil" w:sz="6" w:space="0" w:color="auto"/>
            </w:tcBorders>
          </w:tcPr>
          <w:p>
            <w:pPr>
              <w:pStyle w:val="TableParagraph"/>
              <w:spacing w:line="153" w:lineRule="exact"/>
              <w:ind w:left="91" w:right="0"/>
              <w:jc w:val="left"/>
              <w:rPr>
                <w:rFonts w:ascii="宋体" w:hAnsi="宋体" w:cs="宋体" w:eastAsia="宋体" w:hint="default"/>
                <w:sz w:val="16"/>
                <w:szCs w:val="16"/>
              </w:rPr>
            </w:pPr>
            <w:r>
              <w:rPr>
                <w:rFonts w:ascii="宋体" w:hAnsi="宋体" w:cs="宋体" w:eastAsia="宋体" w:hint="default"/>
                <w:b/>
                <w:bCs/>
                <w:sz w:val="16"/>
                <w:szCs w:val="16"/>
              </w:rPr>
              <w:t>合并范围变化</w:t>
            </w:r>
            <w:r>
              <w:rPr>
                <w:rFonts w:ascii="宋体" w:hAnsi="宋体" w:cs="宋体" w:eastAsia="宋体" w:hint="default"/>
                <w:sz w:val="16"/>
                <w:szCs w:val="16"/>
              </w:rPr>
            </w:r>
          </w:p>
        </w:tc>
        <w:tc>
          <w:tcPr>
            <w:tcW w:w="1303" w:type="dxa"/>
            <w:tcBorders>
              <w:top w:val="nil" w:sz="6" w:space="0" w:color="auto"/>
              <w:left w:val="nil" w:sz="6" w:space="0" w:color="auto"/>
              <w:bottom w:val="single" w:sz="4" w:space="0" w:color="000000"/>
              <w:right w:val="nil" w:sz="6" w:space="0" w:color="auto"/>
            </w:tcBorders>
          </w:tcPr>
          <w:p>
            <w:pPr/>
          </w:p>
        </w:tc>
      </w:tr>
      <w:tr>
        <w:trPr>
          <w:trHeight w:val="288" w:hRule="exact"/>
        </w:trPr>
        <w:tc>
          <w:tcPr>
            <w:tcW w:w="1333"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43" w:right="0"/>
              <w:jc w:val="left"/>
              <w:rPr>
                <w:rFonts w:ascii="宋体" w:hAnsi="宋体" w:cs="宋体" w:eastAsia="宋体" w:hint="default"/>
                <w:sz w:val="16"/>
                <w:szCs w:val="16"/>
              </w:rPr>
            </w:pPr>
            <w:r>
              <w:rPr>
                <w:rFonts w:ascii="宋体" w:hAnsi="宋体" w:cs="宋体" w:eastAsia="宋体" w:hint="default"/>
                <w:sz w:val="16"/>
                <w:szCs w:val="16"/>
              </w:rPr>
              <w:t>原材料</w:t>
            </w: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59"/>
              <w:jc w:val="right"/>
              <w:rPr>
                <w:rFonts w:ascii="宋体" w:hAnsi="宋体" w:cs="宋体" w:eastAsia="宋体" w:hint="default"/>
                <w:sz w:val="16"/>
                <w:szCs w:val="16"/>
              </w:rPr>
            </w:pPr>
            <w:r>
              <w:rPr>
                <w:rFonts w:ascii="宋体"/>
                <w:spacing w:val="-2"/>
                <w:sz w:val="16"/>
              </w:rPr>
              <w:t>142,007,354.10</w:t>
            </w:r>
          </w:p>
        </w:tc>
        <w:tc>
          <w:tcPr>
            <w:tcW w:w="124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58"/>
              <w:jc w:val="right"/>
              <w:rPr>
                <w:rFonts w:ascii="宋体" w:hAnsi="宋体" w:cs="宋体" w:eastAsia="宋体" w:hint="default"/>
                <w:sz w:val="16"/>
                <w:szCs w:val="16"/>
              </w:rPr>
            </w:pPr>
            <w:r>
              <w:rPr>
                <w:rFonts w:ascii="宋体"/>
                <w:spacing w:val="-2"/>
                <w:sz w:val="16"/>
              </w:rPr>
              <w:t>105,088,515.14</w:t>
            </w:r>
          </w:p>
        </w:tc>
        <w:tc>
          <w:tcPr>
            <w:tcW w:w="1122"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00"/>
              <w:jc w:val="right"/>
              <w:rPr>
                <w:rFonts w:ascii="宋体" w:hAnsi="宋体" w:cs="宋体" w:eastAsia="宋体" w:hint="default"/>
                <w:sz w:val="16"/>
                <w:szCs w:val="16"/>
              </w:rPr>
            </w:pPr>
            <w:r>
              <w:rPr>
                <w:rFonts w:ascii="宋体"/>
                <w:spacing w:val="-2"/>
                <w:sz w:val="16"/>
              </w:rPr>
              <w:t>234,529.63</w:t>
            </w:r>
          </w:p>
        </w:tc>
        <w:tc>
          <w:tcPr>
            <w:tcW w:w="1122"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58"/>
              <w:jc w:val="right"/>
              <w:rPr>
                <w:rFonts w:ascii="宋体" w:hAnsi="宋体" w:cs="宋体" w:eastAsia="宋体" w:hint="default"/>
                <w:sz w:val="16"/>
                <w:szCs w:val="16"/>
              </w:rPr>
            </w:pPr>
            <w:r>
              <w:rPr>
                <w:rFonts w:ascii="宋体"/>
                <w:spacing w:val="-2"/>
                <w:sz w:val="16"/>
              </w:rPr>
              <w:t>48,495.39</w:t>
            </w:r>
          </w:p>
        </w:tc>
        <w:tc>
          <w:tcPr>
            <w:tcW w:w="1175"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69"/>
              <w:jc w:val="right"/>
              <w:rPr>
                <w:rFonts w:ascii="宋体" w:hAnsi="宋体" w:cs="宋体" w:eastAsia="宋体" w:hint="default"/>
                <w:sz w:val="16"/>
                <w:szCs w:val="16"/>
              </w:rPr>
            </w:pPr>
            <w:r>
              <w:rPr>
                <w:rFonts w:ascii="宋体"/>
                <w:spacing w:val="-2"/>
                <w:sz w:val="16"/>
              </w:rPr>
              <w:t>4,679,944.95</w:t>
            </w: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151"/>
              <w:jc w:val="right"/>
              <w:rPr>
                <w:rFonts w:ascii="宋体" w:hAnsi="宋体" w:cs="宋体" w:eastAsia="宋体" w:hint="default"/>
                <w:sz w:val="16"/>
                <w:szCs w:val="16"/>
              </w:rPr>
            </w:pPr>
            <w:r>
              <w:rPr>
                <w:rFonts w:ascii="宋体"/>
                <w:spacing w:val="-1"/>
                <w:sz w:val="16"/>
              </w:rPr>
              <w:t>0.00</w:t>
            </w:r>
          </w:p>
        </w:tc>
        <w:tc>
          <w:tcPr>
            <w:tcW w:w="1303"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6"/>
                <w:szCs w:val="16"/>
              </w:rPr>
            </w:pPr>
            <w:r>
              <w:rPr>
                <w:rFonts w:ascii="宋体"/>
                <w:spacing w:val="-2"/>
                <w:sz w:val="16"/>
              </w:rPr>
              <w:t>242,601,958.53</w:t>
            </w:r>
          </w:p>
        </w:tc>
      </w:tr>
      <w:tr>
        <w:trPr>
          <w:trHeight w:val="283"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3" w:right="0"/>
              <w:jc w:val="left"/>
              <w:rPr>
                <w:rFonts w:ascii="宋体" w:hAnsi="宋体" w:cs="宋体" w:eastAsia="宋体" w:hint="default"/>
                <w:sz w:val="16"/>
                <w:szCs w:val="16"/>
              </w:rPr>
            </w:pPr>
            <w:r>
              <w:rPr>
                <w:rFonts w:ascii="宋体" w:hAnsi="宋体" w:cs="宋体" w:eastAsia="宋体" w:hint="default"/>
                <w:sz w:val="16"/>
                <w:szCs w:val="16"/>
              </w:rPr>
              <w:t>包装物</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1"/>
              <w:jc w:val="right"/>
              <w:rPr>
                <w:rFonts w:ascii="宋体" w:hAnsi="宋体" w:cs="宋体" w:eastAsia="宋体" w:hint="default"/>
                <w:sz w:val="16"/>
                <w:szCs w:val="16"/>
              </w:rPr>
            </w:pPr>
            <w:r>
              <w:rPr>
                <w:rFonts w:ascii="宋体"/>
                <w:spacing w:val="-2"/>
                <w:sz w:val="16"/>
              </w:rPr>
              <w:t>150,939.40</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0"/>
              <w:jc w:val="right"/>
              <w:rPr>
                <w:rFonts w:ascii="宋体" w:hAnsi="宋体" w:cs="宋体" w:eastAsia="宋体" w:hint="default"/>
                <w:sz w:val="16"/>
                <w:szCs w:val="16"/>
              </w:rPr>
            </w:pPr>
            <w:r>
              <w:rPr>
                <w:rFonts w:ascii="宋体"/>
                <w:spacing w:val="-1"/>
                <w:sz w:val="16"/>
              </w:rPr>
              <w:t>0.00</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0"/>
              <w:jc w:val="right"/>
              <w:rPr>
                <w:rFonts w:ascii="宋体" w:hAnsi="宋体" w:cs="宋体" w:eastAsia="宋体" w:hint="default"/>
                <w:sz w:val="16"/>
                <w:szCs w:val="16"/>
              </w:rPr>
            </w:pPr>
            <w:r>
              <w:rPr>
                <w:rFonts w:ascii="宋体"/>
                <w:spacing w:val="-1"/>
                <w:sz w:val="16"/>
              </w:rPr>
              <w:t>0.00</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2"/>
                <w:sz w:val="16"/>
              </w:rPr>
              <w:t>29,473.00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宋体" w:hAnsi="宋体" w:cs="宋体" w:eastAsia="宋体" w:hint="default"/>
                <w:sz w:val="16"/>
                <w:szCs w:val="16"/>
              </w:rPr>
            </w:pPr>
            <w:r>
              <w:rPr>
                <w:rFonts w:ascii="宋体"/>
                <w:spacing w:val="-1"/>
                <w:sz w:val="16"/>
              </w:rPr>
              <w:t>0.00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1"/>
              <w:jc w:val="right"/>
              <w:rPr>
                <w:rFonts w:ascii="宋体" w:hAnsi="宋体" w:cs="宋体" w:eastAsia="宋体" w:hint="default"/>
                <w:sz w:val="16"/>
                <w:szCs w:val="16"/>
              </w:rPr>
            </w:pPr>
            <w:r>
              <w:rPr>
                <w:rFonts w:ascii="宋体"/>
                <w:spacing w:val="-1"/>
                <w:sz w:val="16"/>
              </w:rPr>
              <w:t>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8"/>
              <w:jc w:val="right"/>
              <w:rPr>
                <w:rFonts w:ascii="宋体" w:hAnsi="宋体" w:cs="宋体" w:eastAsia="宋体" w:hint="default"/>
                <w:sz w:val="16"/>
                <w:szCs w:val="16"/>
              </w:rPr>
            </w:pPr>
            <w:r>
              <w:rPr>
                <w:rFonts w:ascii="宋体"/>
                <w:spacing w:val="-2"/>
                <w:sz w:val="16"/>
              </w:rPr>
              <w:t>121,466.40</w:t>
            </w:r>
          </w:p>
        </w:tc>
      </w:tr>
      <w:tr>
        <w:trPr>
          <w:trHeight w:val="283"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3" w:right="0"/>
              <w:jc w:val="left"/>
              <w:rPr>
                <w:rFonts w:ascii="宋体" w:hAnsi="宋体" w:cs="宋体" w:eastAsia="宋体" w:hint="default"/>
                <w:sz w:val="16"/>
                <w:szCs w:val="16"/>
              </w:rPr>
            </w:pPr>
            <w:r>
              <w:rPr>
                <w:rFonts w:ascii="宋体" w:hAnsi="宋体" w:cs="宋体" w:eastAsia="宋体" w:hint="default"/>
                <w:sz w:val="16"/>
                <w:szCs w:val="16"/>
              </w:rPr>
              <w:t>低值易耗品</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1"/>
              <w:jc w:val="right"/>
              <w:rPr>
                <w:rFonts w:ascii="宋体" w:hAnsi="宋体" w:cs="宋体" w:eastAsia="宋体" w:hint="default"/>
                <w:sz w:val="16"/>
                <w:szCs w:val="16"/>
              </w:rPr>
            </w:pPr>
            <w:r>
              <w:rPr>
                <w:rFonts w:ascii="宋体"/>
                <w:spacing w:val="-2"/>
                <w:sz w:val="16"/>
              </w:rPr>
              <w:t>219,562.49</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1"/>
                <w:sz w:val="16"/>
              </w:rPr>
              <w:t>2,700.44</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0"/>
              <w:jc w:val="right"/>
              <w:rPr>
                <w:rFonts w:ascii="宋体" w:hAnsi="宋体" w:cs="宋体" w:eastAsia="宋体" w:hint="default"/>
                <w:sz w:val="16"/>
                <w:szCs w:val="16"/>
              </w:rPr>
            </w:pPr>
            <w:r>
              <w:rPr>
                <w:rFonts w:ascii="宋体"/>
                <w:spacing w:val="-1"/>
                <w:sz w:val="16"/>
              </w:rPr>
              <w:t>0.00</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0"/>
              <w:jc w:val="right"/>
              <w:rPr>
                <w:rFonts w:ascii="宋体" w:hAnsi="宋体" w:cs="宋体" w:eastAsia="宋体" w:hint="default"/>
                <w:sz w:val="16"/>
                <w:szCs w:val="16"/>
              </w:rPr>
            </w:pPr>
            <w:r>
              <w:rPr>
                <w:rFonts w:ascii="宋体"/>
                <w:spacing w:val="-1"/>
                <w:sz w:val="16"/>
              </w:rPr>
              <w:t>0.00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宋体" w:hAnsi="宋体" w:cs="宋体" w:eastAsia="宋体" w:hint="default"/>
                <w:sz w:val="16"/>
                <w:szCs w:val="16"/>
              </w:rPr>
            </w:pPr>
            <w:r>
              <w:rPr>
                <w:rFonts w:ascii="宋体"/>
                <w:spacing w:val="-1"/>
                <w:sz w:val="16"/>
              </w:rPr>
              <w:t>0.00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1"/>
              <w:jc w:val="right"/>
              <w:rPr>
                <w:rFonts w:ascii="宋体" w:hAnsi="宋体" w:cs="宋体" w:eastAsia="宋体" w:hint="default"/>
                <w:sz w:val="16"/>
                <w:szCs w:val="16"/>
              </w:rPr>
            </w:pPr>
            <w:r>
              <w:rPr>
                <w:rFonts w:ascii="宋体"/>
                <w:spacing w:val="-1"/>
                <w:sz w:val="16"/>
              </w:rPr>
              <w:t>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8"/>
              <w:jc w:val="right"/>
              <w:rPr>
                <w:rFonts w:ascii="宋体" w:hAnsi="宋体" w:cs="宋体" w:eastAsia="宋体" w:hint="default"/>
                <w:sz w:val="16"/>
                <w:szCs w:val="16"/>
              </w:rPr>
            </w:pPr>
            <w:r>
              <w:rPr>
                <w:rFonts w:ascii="宋体"/>
                <w:spacing w:val="-2"/>
                <w:sz w:val="16"/>
              </w:rPr>
              <w:t>222,262.93</w:t>
            </w:r>
          </w:p>
        </w:tc>
      </w:tr>
      <w:tr>
        <w:trPr>
          <w:trHeight w:val="283"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3" w:right="0"/>
              <w:jc w:val="left"/>
              <w:rPr>
                <w:rFonts w:ascii="宋体" w:hAnsi="宋体" w:cs="宋体" w:eastAsia="宋体" w:hint="default"/>
                <w:sz w:val="16"/>
                <w:szCs w:val="16"/>
              </w:rPr>
            </w:pPr>
            <w:r>
              <w:rPr>
                <w:rFonts w:ascii="宋体" w:hAnsi="宋体" w:cs="宋体" w:eastAsia="宋体" w:hint="default"/>
                <w:sz w:val="16"/>
                <w:szCs w:val="16"/>
              </w:rPr>
              <w:t>库存商品</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spacing w:val="-2"/>
                <w:sz w:val="16"/>
              </w:rPr>
              <w:t>251,709,067.91</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2"/>
                <w:sz w:val="16"/>
              </w:rPr>
              <w:t>127,865,206.10</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98"/>
              <w:jc w:val="right"/>
              <w:rPr>
                <w:rFonts w:ascii="宋体" w:hAnsi="宋体" w:cs="宋体" w:eastAsia="宋体" w:hint="default"/>
                <w:sz w:val="16"/>
                <w:szCs w:val="16"/>
              </w:rPr>
            </w:pPr>
            <w:r>
              <w:rPr>
                <w:rFonts w:ascii="宋体"/>
                <w:spacing w:val="-2"/>
                <w:sz w:val="16"/>
              </w:rPr>
              <w:t>1,628,892.73</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2"/>
                <w:sz w:val="16"/>
              </w:rPr>
              <w:t>2,803,804.47</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2"/>
              <w:jc w:val="right"/>
              <w:rPr>
                <w:rFonts w:ascii="宋体" w:hAnsi="宋体" w:cs="宋体" w:eastAsia="宋体" w:hint="default"/>
                <w:sz w:val="16"/>
                <w:szCs w:val="16"/>
              </w:rPr>
            </w:pPr>
            <w:r>
              <w:rPr>
                <w:rFonts w:ascii="宋体"/>
                <w:spacing w:val="-2"/>
                <w:sz w:val="16"/>
              </w:rPr>
              <w:t>14,952,967.80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1" w:right="0"/>
              <w:jc w:val="left"/>
              <w:rPr>
                <w:rFonts w:ascii="宋体" w:hAnsi="宋体" w:cs="宋体" w:eastAsia="宋体" w:hint="default"/>
                <w:sz w:val="16"/>
                <w:szCs w:val="16"/>
              </w:rPr>
            </w:pPr>
            <w:r>
              <w:rPr>
                <w:rFonts w:ascii="宋体"/>
                <w:sz w:val="16"/>
              </w:rPr>
              <w:t>10,410,337.33</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16"/>
                <w:szCs w:val="16"/>
              </w:rPr>
            </w:pPr>
            <w:r>
              <w:rPr>
                <w:rFonts w:ascii="宋体"/>
                <w:spacing w:val="-2"/>
                <w:sz w:val="16"/>
              </w:rPr>
              <w:t>353,036,057.14</w:t>
            </w:r>
          </w:p>
        </w:tc>
      </w:tr>
      <w:tr>
        <w:trPr>
          <w:trHeight w:val="283"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3" w:right="0"/>
              <w:jc w:val="left"/>
              <w:rPr>
                <w:rFonts w:ascii="宋体" w:hAnsi="宋体" w:cs="宋体" w:eastAsia="宋体" w:hint="default"/>
                <w:sz w:val="16"/>
                <w:szCs w:val="16"/>
              </w:rPr>
            </w:pPr>
            <w:r>
              <w:rPr>
                <w:rFonts w:ascii="宋体" w:hAnsi="宋体" w:cs="宋体" w:eastAsia="宋体" w:hint="default"/>
                <w:sz w:val="16"/>
                <w:szCs w:val="16"/>
              </w:rPr>
              <w:t>委托加工物资</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1"/>
              <w:jc w:val="right"/>
              <w:rPr>
                <w:rFonts w:ascii="宋体" w:hAnsi="宋体" w:cs="宋体" w:eastAsia="宋体" w:hint="default"/>
                <w:sz w:val="16"/>
                <w:szCs w:val="16"/>
              </w:rPr>
            </w:pPr>
            <w:r>
              <w:rPr>
                <w:rFonts w:ascii="宋体"/>
                <w:spacing w:val="-2"/>
                <w:sz w:val="16"/>
              </w:rPr>
              <w:t>176,888.99</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0"/>
              <w:jc w:val="right"/>
              <w:rPr>
                <w:rFonts w:ascii="宋体" w:hAnsi="宋体" w:cs="宋体" w:eastAsia="宋体" w:hint="default"/>
                <w:sz w:val="16"/>
                <w:szCs w:val="16"/>
              </w:rPr>
            </w:pPr>
            <w:r>
              <w:rPr>
                <w:rFonts w:ascii="宋体"/>
                <w:spacing w:val="-1"/>
                <w:sz w:val="16"/>
              </w:rPr>
              <w:t>0.00</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0"/>
              <w:jc w:val="right"/>
              <w:rPr>
                <w:rFonts w:ascii="宋体" w:hAnsi="宋体" w:cs="宋体" w:eastAsia="宋体" w:hint="default"/>
                <w:sz w:val="16"/>
                <w:szCs w:val="16"/>
              </w:rPr>
            </w:pPr>
            <w:r>
              <w:rPr>
                <w:rFonts w:ascii="宋体"/>
                <w:spacing w:val="-1"/>
                <w:sz w:val="16"/>
              </w:rPr>
              <w:t>0.00</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1"/>
              <w:jc w:val="right"/>
              <w:rPr>
                <w:rFonts w:ascii="宋体" w:hAnsi="宋体" w:cs="宋体" w:eastAsia="宋体" w:hint="default"/>
                <w:sz w:val="16"/>
                <w:szCs w:val="16"/>
              </w:rPr>
            </w:pPr>
            <w:r>
              <w:rPr>
                <w:rFonts w:ascii="宋体"/>
                <w:spacing w:val="-2"/>
                <w:sz w:val="16"/>
              </w:rPr>
              <w:t>176,831.33</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宋体" w:hAnsi="宋体" w:cs="宋体" w:eastAsia="宋体" w:hint="default"/>
                <w:sz w:val="16"/>
                <w:szCs w:val="16"/>
              </w:rPr>
            </w:pPr>
            <w:r>
              <w:rPr>
                <w:rFonts w:ascii="宋体"/>
                <w:spacing w:val="-1"/>
                <w:sz w:val="16"/>
              </w:rPr>
              <w:t>0.00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1"/>
              <w:jc w:val="right"/>
              <w:rPr>
                <w:rFonts w:ascii="宋体" w:hAnsi="宋体" w:cs="宋体" w:eastAsia="宋体" w:hint="default"/>
                <w:sz w:val="16"/>
                <w:szCs w:val="16"/>
              </w:rPr>
            </w:pPr>
            <w:r>
              <w:rPr>
                <w:rFonts w:ascii="宋体"/>
                <w:spacing w:val="-1"/>
                <w:sz w:val="16"/>
              </w:rPr>
              <w:t>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16"/>
                <w:szCs w:val="16"/>
              </w:rPr>
            </w:pPr>
            <w:r>
              <w:rPr>
                <w:rFonts w:ascii="宋体"/>
                <w:spacing w:val="-1"/>
                <w:sz w:val="16"/>
              </w:rPr>
              <w:t>57.66</w:t>
            </w:r>
          </w:p>
        </w:tc>
      </w:tr>
      <w:tr>
        <w:trPr>
          <w:trHeight w:val="283"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3" w:right="0"/>
              <w:jc w:val="left"/>
              <w:rPr>
                <w:rFonts w:ascii="宋体" w:hAnsi="宋体" w:cs="宋体" w:eastAsia="宋体" w:hint="default"/>
                <w:sz w:val="16"/>
                <w:szCs w:val="16"/>
              </w:rPr>
            </w:pPr>
            <w:r>
              <w:rPr>
                <w:rFonts w:ascii="宋体" w:hAnsi="宋体" w:cs="宋体" w:eastAsia="宋体" w:hint="default"/>
                <w:sz w:val="16"/>
                <w:szCs w:val="16"/>
              </w:rPr>
              <w:t>委托代销商品</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1"/>
              <w:jc w:val="right"/>
              <w:rPr>
                <w:rFonts w:ascii="宋体" w:hAnsi="宋体" w:cs="宋体" w:eastAsia="宋体" w:hint="default"/>
                <w:sz w:val="16"/>
                <w:szCs w:val="16"/>
              </w:rPr>
            </w:pPr>
            <w:r>
              <w:rPr>
                <w:rFonts w:ascii="宋体"/>
                <w:spacing w:val="-2"/>
                <w:sz w:val="16"/>
              </w:rPr>
              <w:t>167,203.56</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1"/>
              <w:jc w:val="right"/>
              <w:rPr>
                <w:rFonts w:ascii="宋体" w:hAnsi="宋体" w:cs="宋体" w:eastAsia="宋体" w:hint="default"/>
                <w:sz w:val="16"/>
                <w:szCs w:val="16"/>
              </w:rPr>
            </w:pPr>
            <w:r>
              <w:rPr>
                <w:rFonts w:ascii="宋体"/>
                <w:spacing w:val="-2"/>
                <w:sz w:val="16"/>
              </w:rPr>
              <w:t>177,999.74</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0"/>
              <w:jc w:val="right"/>
              <w:rPr>
                <w:rFonts w:ascii="宋体" w:hAnsi="宋体" w:cs="宋体" w:eastAsia="宋体" w:hint="default"/>
                <w:sz w:val="16"/>
                <w:szCs w:val="16"/>
              </w:rPr>
            </w:pPr>
            <w:r>
              <w:rPr>
                <w:rFonts w:ascii="宋体"/>
                <w:spacing w:val="-1"/>
                <w:sz w:val="16"/>
              </w:rPr>
              <w:t>0.00</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0"/>
              <w:jc w:val="right"/>
              <w:rPr>
                <w:rFonts w:ascii="宋体" w:hAnsi="宋体" w:cs="宋体" w:eastAsia="宋体" w:hint="default"/>
                <w:sz w:val="16"/>
                <w:szCs w:val="16"/>
              </w:rPr>
            </w:pPr>
            <w:r>
              <w:rPr>
                <w:rFonts w:ascii="宋体"/>
                <w:spacing w:val="-1"/>
                <w:sz w:val="16"/>
              </w:rPr>
              <w:t>0.00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right"/>
              <w:rPr>
                <w:rFonts w:ascii="宋体" w:hAnsi="宋体" w:cs="宋体" w:eastAsia="宋体" w:hint="default"/>
                <w:sz w:val="16"/>
                <w:szCs w:val="16"/>
              </w:rPr>
            </w:pPr>
            <w:r>
              <w:rPr>
                <w:rFonts w:ascii="宋体"/>
                <w:spacing w:val="-1"/>
                <w:sz w:val="16"/>
              </w:rPr>
              <w:t>0.00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1"/>
              <w:jc w:val="right"/>
              <w:rPr>
                <w:rFonts w:ascii="宋体" w:hAnsi="宋体" w:cs="宋体" w:eastAsia="宋体" w:hint="default"/>
                <w:sz w:val="16"/>
                <w:szCs w:val="16"/>
              </w:rPr>
            </w:pPr>
            <w:r>
              <w:rPr>
                <w:rFonts w:ascii="宋体"/>
                <w:spacing w:val="-1"/>
                <w:sz w:val="16"/>
              </w:rPr>
              <w:t>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8"/>
              <w:jc w:val="right"/>
              <w:rPr>
                <w:rFonts w:ascii="宋体" w:hAnsi="宋体" w:cs="宋体" w:eastAsia="宋体" w:hint="default"/>
                <w:sz w:val="16"/>
                <w:szCs w:val="16"/>
              </w:rPr>
            </w:pPr>
            <w:r>
              <w:rPr>
                <w:rFonts w:ascii="宋体"/>
                <w:spacing w:val="-2"/>
                <w:sz w:val="16"/>
              </w:rPr>
              <w:t>345,203.30</w:t>
            </w:r>
          </w:p>
        </w:tc>
      </w:tr>
      <w:tr>
        <w:trPr>
          <w:trHeight w:val="282"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3" w:right="0"/>
              <w:jc w:val="left"/>
              <w:rPr>
                <w:rFonts w:ascii="宋体" w:hAnsi="宋体" w:cs="宋体" w:eastAsia="宋体" w:hint="default"/>
                <w:sz w:val="16"/>
                <w:szCs w:val="16"/>
              </w:rPr>
            </w:pPr>
            <w:r>
              <w:rPr>
                <w:rFonts w:ascii="宋体" w:hAnsi="宋体" w:cs="宋体" w:eastAsia="宋体" w:hint="default"/>
                <w:sz w:val="16"/>
                <w:szCs w:val="16"/>
              </w:rPr>
              <w:t>发出商品</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9"/>
              <w:jc w:val="right"/>
              <w:rPr>
                <w:rFonts w:ascii="宋体" w:hAnsi="宋体" w:cs="宋体" w:eastAsia="宋体" w:hint="default"/>
                <w:sz w:val="16"/>
                <w:szCs w:val="16"/>
              </w:rPr>
            </w:pPr>
            <w:r>
              <w:rPr>
                <w:rFonts w:ascii="宋体"/>
                <w:spacing w:val="-2"/>
                <w:sz w:val="16"/>
              </w:rPr>
              <w:t>102,833,298.44</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2"/>
                <w:sz w:val="16"/>
              </w:rPr>
              <w:t>107,093,824.63</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0"/>
              <w:jc w:val="right"/>
              <w:rPr>
                <w:rFonts w:ascii="宋体" w:hAnsi="宋体" w:cs="宋体" w:eastAsia="宋体" w:hint="default"/>
                <w:sz w:val="16"/>
                <w:szCs w:val="16"/>
              </w:rPr>
            </w:pPr>
            <w:r>
              <w:rPr>
                <w:rFonts w:ascii="宋体"/>
                <w:spacing w:val="-1"/>
                <w:sz w:val="16"/>
              </w:rPr>
              <w:t>0.00</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0"/>
              <w:jc w:val="right"/>
              <w:rPr>
                <w:rFonts w:ascii="宋体" w:hAnsi="宋体" w:cs="宋体" w:eastAsia="宋体" w:hint="default"/>
                <w:sz w:val="16"/>
                <w:szCs w:val="16"/>
              </w:rPr>
            </w:pPr>
            <w:r>
              <w:rPr>
                <w:rFonts w:ascii="宋体"/>
                <w:spacing w:val="-1"/>
                <w:sz w:val="16"/>
              </w:rPr>
              <w:t>0.00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2"/>
              <w:jc w:val="right"/>
              <w:rPr>
                <w:rFonts w:ascii="宋体" w:hAnsi="宋体" w:cs="宋体" w:eastAsia="宋体" w:hint="default"/>
                <w:sz w:val="16"/>
                <w:szCs w:val="16"/>
              </w:rPr>
            </w:pPr>
            <w:r>
              <w:rPr>
                <w:rFonts w:ascii="宋体"/>
                <w:spacing w:val="-2"/>
                <w:sz w:val="16"/>
              </w:rPr>
              <w:t>669,326.99</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1"/>
              <w:jc w:val="right"/>
              <w:rPr>
                <w:rFonts w:ascii="宋体" w:hAnsi="宋体" w:cs="宋体" w:eastAsia="宋体" w:hint="default"/>
                <w:sz w:val="16"/>
                <w:szCs w:val="16"/>
              </w:rPr>
            </w:pPr>
            <w:r>
              <w:rPr>
                <w:rFonts w:ascii="宋体"/>
                <w:spacing w:val="-1"/>
                <w:sz w:val="16"/>
              </w:rPr>
              <w:t>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16"/>
                <w:szCs w:val="16"/>
              </w:rPr>
            </w:pPr>
            <w:r>
              <w:rPr>
                <w:rFonts w:ascii="宋体"/>
                <w:spacing w:val="-2"/>
                <w:sz w:val="16"/>
              </w:rPr>
              <w:t>209,257,796.08</w:t>
            </w:r>
          </w:p>
        </w:tc>
      </w:tr>
      <w:tr>
        <w:trPr>
          <w:trHeight w:val="282"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3" w:right="0"/>
              <w:jc w:val="left"/>
              <w:rPr>
                <w:rFonts w:ascii="宋体" w:hAnsi="宋体" w:cs="宋体" w:eastAsia="宋体" w:hint="default"/>
                <w:sz w:val="16"/>
                <w:szCs w:val="16"/>
              </w:rPr>
            </w:pPr>
            <w:r>
              <w:rPr>
                <w:rFonts w:ascii="宋体" w:hAnsi="宋体" w:cs="宋体" w:eastAsia="宋体" w:hint="default"/>
                <w:sz w:val="16"/>
                <w:szCs w:val="16"/>
              </w:rPr>
              <w:t>在产品</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9"/>
              <w:jc w:val="right"/>
              <w:rPr>
                <w:rFonts w:ascii="宋体" w:hAnsi="宋体" w:cs="宋体" w:eastAsia="宋体" w:hint="default"/>
                <w:sz w:val="16"/>
                <w:szCs w:val="16"/>
              </w:rPr>
            </w:pPr>
            <w:r>
              <w:rPr>
                <w:rFonts w:ascii="宋体"/>
                <w:spacing w:val="-2"/>
                <w:sz w:val="16"/>
              </w:rPr>
              <w:t>186,643,516.83</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8"/>
              <w:jc w:val="right"/>
              <w:rPr>
                <w:rFonts w:ascii="宋体" w:hAnsi="宋体" w:cs="宋体" w:eastAsia="宋体" w:hint="default"/>
                <w:sz w:val="16"/>
                <w:szCs w:val="16"/>
              </w:rPr>
            </w:pPr>
            <w:r>
              <w:rPr>
                <w:rFonts w:ascii="宋体"/>
                <w:spacing w:val="-2"/>
                <w:sz w:val="16"/>
              </w:rPr>
              <w:t>5,332,123.10</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0"/>
              <w:jc w:val="right"/>
              <w:rPr>
                <w:rFonts w:ascii="宋体" w:hAnsi="宋体" w:cs="宋体" w:eastAsia="宋体" w:hint="default"/>
                <w:sz w:val="16"/>
                <w:szCs w:val="16"/>
              </w:rPr>
            </w:pPr>
            <w:r>
              <w:rPr>
                <w:rFonts w:ascii="宋体"/>
                <w:spacing w:val="-2"/>
                <w:sz w:val="16"/>
              </w:rPr>
              <w:t>518,923.94</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8"/>
              <w:jc w:val="right"/>
              <w:rPr>
                <w:rFonts w:ascii="宋体" w:hAnsi="宋体" w:cs="宋体" w:eastAsia="宋体" w:hint="default"/>
                <w:sz w:val="16"/>
                <w:szCs w:val="16"/>
              </w:rPr>
            </w:pPr>
            <w:r>
              <w:rPr>
                <w:rFonts w:ascii="宋体"/>
                <w:spacing w:val="-2"/>
                <w:sz w:val="16"/>
              </w:rPr>
              <w:t>1,784,627.20</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2"/>
              <w:jc w:val="right"/>
              <w:rPr>
                <w:rFonts w:ascii="宋体" w:hAnsi="宋体" w:cs="宋体" w:eastAsia="宋体" w:hint="default"/>
                <w:sz w:val="16"/>
                <w:szCs w:val="16"/>
              </w:rPr>
            </w:pPr>
            <w:r>
              <w:rPr>
                <w:rFonts w:ascii="宋体"/>
                <w:spacing w:val="-2"/>
                <w:sz w:val="16"/>
              </w:rPr>
              <w:t>51,179,820.57</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51"/>
              <w:jc w:val="right"/>
              <w:rPr>
                <w:rFonts w:ascii="宋体" w:hAnsi="宋体" w:cs="宋体" w:eastAsia="宋体" w:hint="default"/>
                <w:sz w:val="16"/>
                <w:szCs w:val="16"/>
              </w:rPr>
            </w:pPr>
            <w:r>
              <w:rPr>
                <w:rFonts w:ascii="宋体"/>
                <w:spacing w:val="-1"/>
                <w:sz w:val="16"/>
              </w:rPr>
              <w:t>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6"/>
              <w:jc w:val="right"/>
              <w:rPr>
                <w:rFonts w:ascii="宋体" w:hAnsi="宋体" w:cs="宋体" w:eastAsia="宋体" w:hint="default"/>
                <w:sz w:val="16"/>
                <w:szCs w:val="16"/>
              </w:rPr>
            </w:pPr>
            <w:r>
              <w:rPr>
                <w:rFonts w:ascii="宋体"/>
                <w:spacing w:val="-2"/>
                <w:sz w:val="16"/>
              </w:rPr>
              <w:t>139,530,116.10</w:t>
            </w:r>
          </w:p>
        </w:tc>
      </w:tr>
      <w:tr>
        <w:trPr>
          <w:trHeight w:val="291" w:hRule="exact"/>
        </w:trPr>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left="43" w:right="0"/>
              <w:jc w:val="left"/>
              <w:rPr>
                <w:rFonts w:ascii="宋体" w:hAnsi="宋体" w:cs="宋体" w:eastAsia="宋体" w:hint="default"/>
                <w:sz w:val="16"/>
                <w:szCs w:val="16"/>
              </w:rPr>
            </w:pPr>
            <w:r>
              <w:rPr>
                <w:rFonts w:ascii="宋体" w:hAnsi="宋体" w:cs="宋体" w:eastAsia="宋体" w:hint="default"/>
                <w:sz w:val="16"/>
                <w:szCs w:val="16"/>
              </w:rPr>
              <w:t>工程施工</w:t>
            </w: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61"/>
              <w:jc w:val="right"/>
              <w:rPr>
                <w:rFonts w:ascii="宋体" w:hAnsi="宋体" w:cs="宋体" w:eastAsia="宋体" w:hint="default"/>
                <w:sz w:val="16"/>
                <w:szCs w:val="16"/>
              </w:rPr>
            </w:pPr>
            <w:r>
              <w:rPr>
                <w:rFonts w:ascii="宋体"/>
                <w:spacing w:val="-2"/>
                <w:sz w:val="16"/>
              </w:rPr>
              <w:t>69,657,290.43</w:t>
            </w:r>
          </w:p>
        </w:tc>
        <w:tc>
          <w:tcPr>
            <w:tcW w:w="1244"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2"/>
                <w:sz w:val="16"/>
              </w:rPr>
              <w:t>242,982,551.95</w:t>
            </w:r>
          </w:p>
        </w:tc>
        <w:tc>
          <w:tcPr>
            <w:tcW w:w="1122"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00"/>
              <w:jc w:val="right"/>
              <w:rPr>
                <w:rFonts w:ascii="宋体" w:hAnsi="宋体" w:cs="宋体" w:eastAsia="宋体" w:hint="default"/>
                <w:sz w:val="16"/>
                <w:szCs w:val="16"/>
              </w:rPr>
            </w:pPr>
            <w:r>
              <w:rPr>
                <w:rFonts w:ascii="宋体"/>
                <w:spacing w:val="-1"/>
                <w:sz w:val="16"/>
              </w:rPr>
              <w:t>0.00</w:t>
            </w:r>
          </w:p>
        </w:tc>
        <w:tc>
          <w:tcPr>
            <w:tcW w:w="1122"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spacing w:val="-2"/>
                <w:sz w:val="16"/>
              </w:rPr>
              <w:t>6,004,705.31</w:t>
            </w:r>
          </w:p>
        </w:tc>
        <w:tc>
          <w:tcPr>
            <w:tcW w:w="1175"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71"/>
              <w:jc w:val="right"/>
              <w:rPr>
                <w:rFonts w:ascii="宋体" w:hAnsi="宋体" w:cs="宋体" w:eastAsia="宋体" w:hint="default"/>
                <w:sz w:val="16"/>
                <w:szCs w:val="16"/>
              </w:rPr>
            </w:pPr>
            <w:r>
              <w:rPr>
                <w:rFonts w:ascii="宋体"/>
                <w:spacing w:val="-1"/>
                <w:sz w:val="16"/>
              </w:rPr>
              <w:t>0.00</w:t>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51"/>
              <w:jc w:val="right"/>
              <w:rPr>
                <w:rFonts w:ascii="宋体" w:hAnsi="宋体" w:cs="宋体" w:eastAsia="宋体" w:hint="default"/>
                <w:sz w:val="16"/>
                <w:szCs w:val="16"/>
              </w:rPr>
            </w:pPr>
            <w:r>
              <w:rPr>
                <w:rFonts w:ascii="宋体"/>
                <w:spacing w:val="-1"/>
                <w:sz w:val="16"/>
              </w:rPr>
              <w:t>0.00</w:t>
            </w:r>
          </w:p>
        </w:tc>
        <w:tc>
          <w:tcPr>
            <w:tcW w:w="1303"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26"/>
              <w:jc w:val="right"/>
              <w:rPr>
                <w:rFonts w:ascii="宋体" w:hAnsi="宋体" w:cs="宋体" w:eastAsia="宋体" w:hint="default"/>
                <w:sz w:val="16"/>
                <w:szCs w:val="16"/>
              </w:rPr>
            </w:pPr>
            <w:r>
              <w:rPr>
                <w:rFonts w:ascii="宋体"/>
                <w:spacing w:val="-2"/>
                <w:sz w:val="16"/>
              </w:rPr>
              <w:t>306,635,137.07</w:t>
            </w:r>
          </w:p>
        </w:tc>
      </w:tr>
    </w:tbl>
    <w:p>
      <w:pPr>
        <w:spacing w:after="0" w:line="240" w:lineRule="auto"/>
        <w:jc w:val="right"/>
        <w:rPr>
          <w:rFonts w:ascii="宋体" w:hAnsi="宋体" w:cs="宋体" w:eastAsia="宋体" w:hint="default"/>
          <w:sz w:val="16"/>
          <w:szCs w:val="16"/>
        </w:rPr>
        <w:sectPr>
          <w:pgSz w:w="11910" w:h="16840"/>
          <w:pgMar w:header="0" w:footer="1054" w:top="1320" w:bottom="1240" w:left="800" w:right="780"/>
        </w:sectPr>
      </w:pPr>
    </w:p>
    <w:p>
      <w:pPr>
        <w:spacing w:line="240" w:lineRule="auto" w:before="11"/>
        <w:rPr>
          <w:rFonts w:ascii="宋体" w:hAnsi="宋体" w:cs="宋体" w:eastAsia="宋体" w:hint="default"/>
          <w:sz w:val="20"/>
          <w:szCs w:val="20"/>
        </w:rPr>
      </w:pPr>
    </w:p>
    <w:p>
      <w:pPr>
        <w:tabs>
          <w:tab w:pos="1999" w:val="left" w:leader="none"/>
        </w:tabs>
        <w:spacing w:before="0"/>
        <w:ind w:left="204" w:right="-19" w:firstLine="0"/>
        <w:jc w:val="left"/>
        <w:rPr>
          <w:rFonts w:ascii="宋体" w:hAnsi="宋体" w:cs="宋体" w:eastAsia="宋体" w:hint="default"/>
          <w:sz w:val="16"/>
          <w:szCs w:val="16"/>
        </w:rPr>
      </w:pPr>
      <w:r>
        <w:rPr>
          <w:rFonts w:ascii="宋体" w:hAnsi="宋体" w:cs="宋体" w:eastAsia="宋体" w:hint="default"/>
          <w:b/>
          <w:bCs/>
          <w:sz w:val="16"/>
          <w:szCs w:val="16"/>
        </w:rPr>
        <w:t>项目</w:t>
        <w:tab/>
        <w:t>年初余额</w:t>
      </w:r>
      <w:r>
        <w:rPr>
          <w:rFonts w:ascii="宋体" w:hAnsi="宋体" w:cs="宋体" w:eastAsia="宋体" w:hint="default"/>
          <w:sz w:val="16"/>
          <w:szCs w:val="16"/>
        </w:rPr>
      </w:r>
    </w:p>
    <w:p>
      <w:pPr>
        <w:tabs>
          <w:tab w:pos="3511" w:val="left" w:leader="none"/>
        </w:tabs>
        <w:spacing w:before="126"/>
        <w:ind w:left="583" w:right="-19" w:firstLine="0"/>
        <w:jc w:val="left"/>
        <w:rPr>
          <w:rFonts w:ascii="宋体" w:hAnsi="宋体" w:cs="宋体" w:eastAsia="宋体" w:hint="default"/>
          <w:sz w:val="16"/>
          <w:szCs w:val="16"/>
        </w:rPr>
      </w:pPr>
      <w:r>
        <w:rPr/>
        <w:br w:type="column"/>
      </w:r>
      <w:r>
        <w:rPr>
          <w:rFonts w:ascii="宋体" w:hAnsi="宋体" w:cs="宋体" w:eastAsia="宋体" w:hint="default"/>
          <w:b/>
          <w:bCs/>
          <w:sz w:val="16"/>
          <w:szCs w:val="16"/>
        </w:rPr>
        <w:t>本年增加</w:t>
        <w:tab/>
        <w:t>本年减少</w:t>
      </w:r>
      <w:r>
        <w:rPr>
          <w:rFonts w:ascii="宋体" w:hAnsi="宋体" w:cs="宋体" w:eastAsia="宋体" w:hint="default"/>
          <w:sz w:val="16"/>
          <w:szCs w:val="16"/>
        </w:rPr>
      </w:r>
    </w:p>
    <w:p>
      <w:pPr>
        <w:spacing w:line="240" w:lineRule="auto" w:before="9"/>
        <w:rPr>
          <w:rFonts w:ascii="宋体" w:hAnsi="宋体" w:cs="宋体" w:eastAsia="宋体" w:hint="default"/>
          <w:b/>
          <w:bCs/>
          <w:sz w:val="4"/>
          <w:szCs w:val="4"/>
        </w:rPr>
      </w:pPr>
    </w:p>
    <w:p>
      <w:pPr>
        <w:spacing w:line="20" w:lineRule="exact"/>
        <w:ind w:left="-262" w:right="-163" w:firstLine="0"/>
        <w:rPr>
          <w:rFonts w:ascii="宋体" w:hAnsi="宋体" w:cs="宋体" w:eastAsia="宋体" w:hint="default"/>
          <w:sz w:val="2"/>
          <w:szCs w:val="2"/>
        </w:rPr>
      </w:pPr>
      <w:r>
        <w:rPr/>
        <w:pict>
          <v:group style="position:absolute;margin-left:45.599998pt;margin-top:-15.6pt;width:504.5pt;height:1.45pt;mso-position-horizontal-relative:page;mso-position-vertical-relative:paragraph;z-index:3472" coordorigin="912,-312" coordsize="10090,29">
            <v:group style="position:absolute;left:926;top:-298;width:1554;height:2" coordorigin="926,-298" coordsize="1554,2">
              <v:shape style="position:absolute;left:926;top:-298;width:1554;height:2" coordorigin="926,-298" coordsize="1554,0" path="m926,-298l2480,-298e" filled="false" stroked="true" strokeweight="1.44pt" strokecolor="#000000">
                <v:path arrowok="t"/>
              </v:shape>
            </v:group>
            <v:group style="position:absolute;left:2480;top:-298;width:29;height:2" coordorigin="2480,-298" coordsize="29,2">
              <v:shape style="position:absolute;left:2480;top:-298;width:29;height:2" coordorigin="2480,-298" coordsize="29,0" path="m2480,-298l2508,-298e" filled="false" stroked="true" strokeweight="1.44pt" strokecolor="#000000">
                <v:path arrowok="t"/>
              </v:shape>
            </v:group>
            <v:group style="position:absolute;left:2508;top:-298;width:1215;height:2" coordorigin="2508,-298" coordsize="1215,2">
              <v:shape style="position:absolute;left:2508;top:-298;width:1215;height:2" coordorigin="2508,-298" coordsize="1215,0" path="m2508,-298l3723,-298e" filled="false" stroked="true" strokeweight="1.44pt" strokecolor="#000000">
                <v:path arrowok="t"/>
              </v:shape>
            </v:group>
            <v:group style="position:absolute;left:3723;top:-298;width:29;height:2" coordorigin="3723,-298" coordsize="29,2">
              <v:shape style="position:absolute;left:3723;top:-298;width:29;height:2" coordorigin="3723,-298" coordsize="29,0" path="m3723,-298l3752,-298e" filled="false" stroked="true" strokeweight="1.44pt" strokecolor="#000000">
                <v:path arrowok="t"/>
              </v:shape>
            </v:group>
            <v:group style="position:absolute;left:3752;top:-298;width:2298;height:2" coordorigin="3752,-298" coordsize="2298,2">
              <v:shape style="position:absolute;left:3752;top:-298;width:2298;height:2" coordorigin="3752,-298" coordsize="2298,0" path="m3752,-298l6049,-298e" filled="false" stroked="true" strokeweight="1.44pt" strokecolor="#000000">
                <v:path arrowok="t"/>
              </v:shape>
            </v:group>
            <v:group style="position:absolute;left:6049;top:-298;width:29;height:2" coordorigin="6049,-298" coordsize="29,2">
              <v:shape style="position:absolute;left:6049;top:-298;width:29;height:2" coordorigin="6049,-298" coordsize="29,0" path="m6049,-298l6078,-298e" filled="false" stroked="true" strokeweight="1.44pt" strokecolor="#000000">
                <v:path arrowok="t"/>
              </v:shape>
            </v:group>
            <v:group style="position:absolute;left:6078;top:-298;width:3505;height:2" coordorigin="6078,-298" coordsize="3505,2">
              <v:shape style="position:absolute;left:6078;top:-298;width:3505;height:2" coordorigin="6078,-298" coordsize="3505,0" path="m6078,-298l9583,-298e" filled="false" stroked="true" strokeweight="1.44pt" strokecolor="#000000">
                <v:path arrowok="t"/>
              </v:shape>
            </v:group>
            <v:group style="position:absolute;left:9583;top:-298;width:29;height:2" coordorigin="9583,-298" coordsize="29,2">
              <v:shape style="position:absolute;left:9583;top:-298;width:29;height:2" coordorigin="9583,-298" coordsize="29,0" path="m9583,-298l9612,-298e" filled="false" stroked="true" strokeweight="1.44pt" strokecolor="#000000">
                <v:path arrowok="t"/>
              </v:shape>
            </v:group>
            <v:group style="position:absolute;left:9612;top:-298;width:1376;height:2" coordorigin="9612,-298" coordsize="1376,2">
              <v:shape style="position:absolute;left:9612;top:-298;width:1376;height:2" coordorigin="9612,-298" coordsize="1376,0" path="m9612,-298l10987,-298e" filled="false" stroked="true" strokeweight="1.44pt" strokecolor="#000000">
                <v:path arrowok="t"/>
              </v:shape>
            </v:group>
            <w10:wrap type="none"/>
          </v:group>
        </w:pict>
      </w:r>
      <w:r>
        <w:rPr>
          <w:rFonts w:ascii="宋体" w:hAnsi="宋体" w:cs="宋体" w:eastAsia="宋体" w:hint="default"/>
          <w:sz w:val="2"/>
          <w:szCs w:val="2"/>
        </w:rPr>
        <w:pict>
          <v:group style="width:293.45pt;height:.5pt;mso-position-horizontal-relative:char;mso-position-vertical-relative:line" coordorigin="0,0" coordsize="5869,10">
            <v:group style="position:absolute;left:5;top:5;width:1244;height:2" coordorigin="5,5" coordsize="1244,2">
              <v:shape style="position:absolute;left:5;top:5;width:1244;height:2" coordorigin="5,5" coordsize="1244,0" path="m5,5l1248,5e" filled="false" stroked="true" strokeweight=".48pt" strokecolor="#000000">
                <v:path arrowok="t"/>
              </v:shape>
            </v:group>
            <v:group style="position:absolute;left:1248;top:5;width:10;height:2" coordorigin="1248,5" coordsize="10,2">
              <v:shape style="position:absolute;left:1248;top:5;width:10;height:2" coordorigin="1248,5" coordsize="10,0" path="m1248,5l1258,5e" filled="false" stroked="true" strokeweight=".48pt" strokecolor="#000000">
                <v:path arrowok="t"/>
              </v:shape>
            </v:group>
            <v:group style="position:absolute;left:1258;top:5;width:1074;height:2" coordorigin="1258,5" coordsize="1074,2">
              <v:shape style="position:absolute;left:1258;top:5;width:1074;height:2" coordorigin="1258,5" coordsize="1074,0" path="m1258,5l2331,5e" filled="false" stroked="true" strokeweight=".48pt" strokecolor="#000000">
                <v:path arrowok="t"/>
              </v:shape>
            </v:group>
            <v:group style="position:absolute;left:2331;top:5;width:10;height:2" coordorigin="2331,5" coordsize="10,2">
              <v:shape style="position:absolute;left:2331;top:5;width:10;height:2" coordorigin="2331,5" coordsize="10,0" path="m2331,5l2340,5e" filled="false" stroked="true" strokeweight=".48pt" strokecolor="#000000">
                <v:path arrowok="t"/>
              </v:shape>
            </v:group>
            <v:group style="position:absolute;left:2340;top:5;width:1152;height:2" coordorigin="2340,5" coordsize="1152,2">
              <v:shape style="position:absolute;left:2340;top:5;width:1152;height:2" coordorigin="2340,5" coordsize="1152,0" path="m2340,5l3492,5e" filled="false" stroked="true" strokeweight=".48pt" strokecolor="#000000">
                <v:path arrowok="t"/>
              </v:shape>
            </v:group>
            <v:group style="position:absolute;left:3492;top:5;width:10;height:2" coordorigin="3492,5" coordsize="10,2">
              <v:shape style="position:absolute;left:3492;top:5;width:10;height:2" coordorigin="3492,5" coordsize="10,0" path="m3492,5l3502,5e" filled="false" stroked="true" strokeweight=".48pt" strokecolor="#000000">
                <v:path arrowok="t"/>
              </v:shape>
            </v:group>
            <v:group style="position:absolute;left:3502;top:5;width:1155;height:2" coordorigin="3502,5" coordsize="1155,2">
              <v:shape style="position:absolute;left:3502;top:5;width:1155;height:2" coordorigin="3502,5" coordsize="1155,0" path="m3502,5l4657,5e" filled="false" stroked="true" strokeweight=".48pt" strokecolor="#000000">
                <v:path arrowok="t"/>
              </v:shape>
            </v:group>
            <v:group style="position:absolute;left:4657;top:5;width:10;height:2" coordorigin="4657,5" coordsize="10,2">
              <v:shape style="position:absolute;left:4657;top:5;width:10;height:2" coordorigin="4657,5" coordsize="10,0" path="m4657,5l4667,5e" filled="false" stroked="true" strokeweight=".48pt" strokecolor="#000000">
                <v:path arrowok="t"/>
              </v:shape>
            </v:group>
            <v:group style="position:absolute;left:4667;top:5;width:1198;height:2" coordorigin="4667,5" coordsize="1198,2">
              <v:shape style="position:absolute;left:4667;top:5;width:1198;height:2" coordorigin="4667,5" coordsize="1198,0" path="m4667,5l5864,5e" filled="false" stroked="true" strokeweight=".48pt" strokecolor="#000000">
                <v:path arrowok="t"/>
              </v:shape>
            </v:group>
          </v:group>
        </w:pict>
      </w:r>
      <w:r>
        <w:rPr>
          <w:rFonts w:ascii="宋体" w:hAnsi="宋体" w:cs="宋体" w:eastAsia="宋体" w:hint="default"/>
          <w:sz w:val="2"/>
          <w:szCs w:val="2"/>
        </w:rPr>
      </w:r>
    </w:p>
    <w:p>
      <w:pPr>
        <w:tabs>
          <w:tab w:pos="1204" w:val="left" w:leader="none"/>
          <w:tab w:pos="2486" w:val="left" w:leader="none"/>
          <w:tab w:pos="3650" w:val="left" w:leader="none"/>
          <w:tab w:pos="4529" w:val="left" w:leader="none"/>
        </w:tabs>
        <w:spacing w:before="2"/>
        <w:ind w:left="204" w:right="-19" w:firstLine="0"/>
        <w:jc w:val="left"/>
        <w:rPr>
          <w:rFonts w:ascii="宋体" w:hAnsi="宋体" w:cs="宋体" w:eastAsia="宋体" w:hint="default"/>
          <w:sz w:val="16"/>
          <w:szCs w:val="16"/>
        </w:rPr>
      </w:pPr>
      <w:r>
        <w:rPr>
          <w:rFonts w:ascii="宋体" w:hAnsi="宋体" w:cs="宋体" w:eastAsia="宋体" w:hint="default"/>
          <w:b/>
          <w:bCs/>
          <w:sz w:val="16"/>
          <w:szCs w:val="16"/>
        </w:rPr>
        <w:t>计提</w:t>
        <w:tab/>
        <w:t>汇率变动</w:t>
        <w:tab/>
        <w:t>转回</w:t>
        <w:tab/>
        <w:t>转出</w:t>
        <w:tab/>
        <w:t>合并范围变化</w:t>
      </w:r>
      <w:r>
        <w:rPr>
          <w:rFonts w:ascii="宋体" w:hAnsi="宋体" w:cs="宋体" w:eastAsia="宋体" w:hint="default"/>
          <w:sz w:val="16"/>
          <w:szCs w:val="16"/>
        </w:rPr>
      </w:r>
    </w:p>
    <w:p>
      <w:pPr>
        <w:spacing w:line="240" w:lineRule="auto" w:before="11"/>
        <w:rPr>
          <w:rFonts w:ascii="宋体" w:hAnsi="宋体" w:cs="宋体" w:eastAsia="宋体" w:hint="default"/>
          <w:b/>
          <w:bCs/>
          <w:sz w:val="20"/>
          <w:szCs w:val="20"/>
        </w:rPr>
      </w:pPr>
      <w:r>
        <w:rPr/>
        <w:br w:type="column"/>
      </w:r>
      <w:r>
        <w:rPr>
          <w:rFonts w:ascii="宋体"/>
          <w:b/>
          <w:sz w:val="20"/>
        </w:rPr>
      </w:r>
    </w:p>
    <w:p>
      <w:pPr>
        <w:spacing w:before="0"/>
        <w:ind w:left="203" w:right="0" w:firstLine="0"/>
        <w:jc w:val="left"/>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p>
      <w:pPr>
        <w:spacing w:after="0"/>
        <w:jc w:val="left"/>
        <w:rPr>
          <w:rFonts w:ascii="宋体" w:hAnsi="宋体" w:cs="宋体" w:eastAsia="宋体" w:hint="default"/>
          <w:sz w:val="16"/>
          <w:szCs w:val="16"/>
        </w:rPr>
        <w:sectPr>
          <w:pgSz w:w="11910" w:h="16840"/>
          <w:pgMar w:header="0" w:footer="1054" w:top="1320" w:bottom="1240" w:left="780" w:right="800"/>
          <w:cols w:num="3" w:equalWidth="0">
            <w:col w:w="2643" w:space="557"/>
            <w:col w:w="5495" w:space="283"/>
            <w:col w:w="1352"/>
          </w:cols>
        </w:sectPr>
      </w:pPr>
    </w:p>
    <w:p>
      <w:pPr>
        <w:spacing w:line="240" w:lineRule="auto" w:before="9"/>
        <w:rPr>
          <w:rFonts w:ascii="宋体" w:hAnsi="宋体" w:cs="宋体" w:eastAsia="宋体" w:hint="default"/>
          <w:b/>
          <w:bCs/>
          <w:sz w:val="4"/>
          <w:szCs w:val="4"/>
        </w:rPr>
      </w:pPr>
    </w:p>
    <w:p>
      <w:pPr>
        <w:spacing w:line="20" w:lineRule="exact"/>
        <w:ind w:left="141" w:right="0" w:firstLine="0"/>
        <w:rPr>
          <w:rFonts w:ascii="宋体" w:hAnsi="宋体" w:cs="宋体" w:eastAsia="宋体" w:hint="default"/>
          <w:sz w:val="2"/>
          <w:szCs w:val="2"/>
        </w:rPr>
      </w:pPr>
      <w:r>
        <w:rPr>
          <w:rFonts w:ascii="宋体" w:hAnsi="宋体" w:cs="宋体" w:eastAsia="宋体" w:hint="default"/>
          <w:sz w:val="2"/>
          <w:szCs w:val="2"/>
        </w:rPr>
        <w:pict>
          <v:group style="width:503.55pt;height:.5pt;mso-position-horizontal-relative:char;mso-position-vertical-relative:line" coordorigin="0,0" coordsize="10071,10">
            <v:group style="position:absolute;left:5;top:5;width:1554;height:2" coordorigin="5,5" coordsize="1554,2">
              <v:shape style="position:absolute;left:5;top:5;width:1554;height:2" coordorigin="5,5" coordsize="1554,0" path="m5,5l1558,5e" filled="false" stroked="true" strokeweight=".48pt" strokecolor="#000000">
                <v:path arrowok="t"/>
              </v:shape>
            </v:group>
            <v:group style="position:absolute;left:1558;top:5;width:10;height:2" coordorigin="1558,5" coordsize="10,2">
              <v:shape style="position:absolute;left:1558;top:5;width:10;height:2" coordorigin="1558,5" coordsize="10,0" path="m1558,5l1568,5e" filled="false" stroked="true" strokeweight=".48pt" strokecolor="#000000">
                <v:path arrowok="t"/>
              </v:shape>
            </v:group>
            <v:group style="position:absolute;left:1568;top:5;width:1235;height:2" coordorigin="1568,5" coordsize="1235,2">
              <v:shape style="position:absolute;left:1568;top:5;width:1235;height:2" coordorigin="1568,5" coordsize="1235,0" path="m1568,5l2802,5e" filled="false" stroked="true" strokeweight=".48pt" strokecolor="#000000">
                <v:path arrowok="t"/>
              </v:shape>
            </v:group>
            <v:group style="position:absolute;left:2802;top:5;width:10;height:2" coordorigin="2802,5" coordsize="10,2">
              <v:shape style="position:absolute;left:2802;top:5;width:10;height:2" coordorigin="2802,5" coordsize="10,0" path="m2802,5l2811,5e" filled="false" stroked="true" strokeweight=".48pt" strokecolor="#000000">
                <v:path arrowok="t"/>
              </v:shape>
            </v:group>
            <v:group style="position:absolute;left:2811;top:5;width:1234;height:2" coordorigin="2811,5" coordsize="1234,2">
              <v:shape style="position:absolute;left:2811;top:5;width:1234;height:2" coordorigin="2811,5" coordsize="1234,0" path="m2811,5l4045,5e" filled="false" stroked="true" strokeweight=".48pt" strokecolor="#000000">
                <v:path arrowok="t"/>
              </v:shape>
            </v:group>
            <v:group style="position:absolute;left:4045;top:5;width:10;height:2" coordorigin="4045,5" coordsize="10,2">
              <v:shape style="position:absolute;left:4045;top:5;width:10;height:2" coordorigin="4045,5" coordsize="10,0" path="m4045,5l4055,5e" filled="false" stroked="true" strokeweight=".48pt" strokecolor="#000000">
                <v:path arrowok="t"/>
              </v:shape>
            </v:group>
            <v:group style="position:absolute;left:4055;top:5;width:1074;height:2" coordorigin="4055,5" coordsize="1074,2">
              <v:shape style="position:absolute;left:4055;top:5;width:1074;height:2" coordorigin="4055,5" coordsize="1074,0" path="m4055,5l5128,5e" filled="false" stroked="true" strokeweight=".48pt" strokecolor="#000000">
                <v:path arrowok="t"/>
              </v:shape>
            </v:group>
            <v:group style="position:absolute;left:5128;top:5;width:10;height:2" coordorigin="5128,5" coordsize="10,2">
              <v:shape style="position:absolute;left:5128;top:5;width:10;height:2" coordorigin="5128,5" coordsize="10,0" path="m5128,5l5137,5e" filled="false" stroked="true" strokeweight=".48pt" strokecolor="#000000">
                <v:path arrowok="t"/>
              </v:shape>
            </v:group>
            <v:group style="position:absolute;left:5137;top:5;width:1152;height:2" coordorigin="5137,5" coordsize="1152,2">
              <v:shape style="position:absolute;left:5137;top:5;width:1152;height:2" coordorigin="5137,5" coordsize="1152,0" path="m5137,5l6289,5e" filled="false" stroked="true" strokeweight=".48pt" strokecolor="#000000">
                <v:path arrowok="t"/>
              </v:shape>
            </v:group>
            <v:group style="position:absolute;left:6289;top:5;width:10;height:2" coordorigin="6289,5" coordsize="10,2">
              <v:shape style="position:absolute;left:6289;top:5;width:10;height:2" coordorigin="6289,5" coordsize="10,0" path="m6289,5l6299,5e" filled="false" stroked="true" strokeweight=".48pt" strokecolor="#000000">
                <v:path arrowok="t"/>
              </v:shape>
            </v:group>
            <v:group style="position:absolute;left:6299;top:5;width:1155;height:2" coordorigin="6299,5" coordsize="1155,2">
              <v:shape style="position:absolute;left:6299;top:5;width:1155;height:2" coordorigin="6299,5" coordsize="1155,0" path="m6299,5l7454,5e" filled="false" stroked="true" strokeweight=".48pt" strokecolor="#000000">
                <v:path arrowok="t"/>
              </v:shape>
            </v:group>
            <v:group style="position:absolute;left:7454;top:5;width:10;height:2" coordorigin="7454,5" coordsize="10,2">
              <v:shape style="position:absolute;left:7454;top:5;width:10;height:2" coordorigin="7454,5" coordsize="10,0" path="m7454,5l7464,5e" filled="false" stroked="true" strokeweight=".48pt" strokecolor="#000000">
                <v:path arrowok="t"/>
              </v:shape>
            </v:group>
            <v:group style="position:absolute;left:7464;top:5;width:1198;height:2" coordorigin="7464,5" coordsize="1198,2">
              <v:shape style="position:absolute;left:7464;top:5;width:1198;height:2" coordorigin="7464,5" coordsize="1198,0" path="m7464,5l8661,5e" filled="false" stroked="true" strokeweight=".48pt" strokecolor="#000000">
                <v:path arrowok="t"/>
              </v:shape>
            </v:group>
            <v:group style="position:absolute;left:8661;top:5;width:10;height:2" coordorigin="8661,5" coordsize="10,2">
              <v:shape style="position:absolute;left:8661;top:5;width:10;height:2" coordorigin="8661,5" coordsize="10,0" path="m8661,5l8671,5e" filled="false" stroked="true" strokeweight=".48pt" strokecolor="#000000">
                <v:path arrowok="t"/>
              </v:shape>
            </v:group>
            <v:group style="position:absolute;left:8671;top:5;width:1395;height:2" coordorigin="8671,5" coordsize="1395,2">
              <v:shape style="position:absolute;left:8671;top:5;width:1395;height:2" coordorigin="8671,5" coordsize="1395,0" path="m8671,5l10066,5e" filled="false" stroked="true" strokeweight=".48pt" strokecolor="#000000">
                <v:path arrowok="t"/>
              </v:shape>
            </v:group>
          </v:group>
        </w:pict>
      </w:r>
      <w:r>
        <w:rPr>
          <w:rFonts w:ascii="宋体" w:hAnsi="宋体" w:cs="宋体" w:eastAsia="宋体" w:hint="default"/>
          <w:sz w:val="2"/>
          <w:szCs w:val="2"/>
        </w:rPr>
      </w:r>
    </w:p>
    <w:p>
      <w:pPr>
        <w:tabs>
          <w:tab w:pos="1757" w:val="left" w:leader="none"/>
        </w:tabs>
        <w:spacing w:before="2"/>
        <w:ind w:left="204" w:right="0" w:firstLine="0"/>
        <w:jc w:val="left"/>
        <w:rPr>
          <w:rFonts w:ascii="宋体" w:hAnsi="宋体" w:cs="宋体" w:eastAsia="宋体" w:hint="default"/>
          <w:sz w:val="16"/>
          <w:szCs w:val="16"/>
        </w:rPr>
      </w:pPr>
      <w:r>
        <w:rPr>
          <w:rFonts w:ascii="宋体" w:hAnsi="宋体" w:cs="宋体" w:eastAsia="宋体" w:hint="default"/>
          <w:b/>
          <w:bCs/>
          <w:sz w:val="16"/>
          <w:szCs w:val="16"/>
        </w:rPr>
        <w:t>合计</w:t>
        <w:tab/>
      </w:r>
      <w:r>
        <w:rPr>
          <w:rFonts w:ascii="宋体" w:hAnsi="宋体" w:cs="宋体" w:eastAsia="宋体" w:hint="default"/>
          <w:b/>
          <w:bCs/>
          <w:sz w:val="16"/>
          <w:szCs w:val="16"/>
        </w:rPr>
        <w:t>753,565,122.15 588,542,921.10 2,382,346.30 10,847,936.70 71,482,060.31  10,410,337.33 </w:t>
      </w:r>
      <w:r>
        <w:rPr>
          <w:rFonts w:ascii="宋体" w:hAnsi="宋体" w:cs="宋体" w:eastAsia="宋体" w:hint="default"/>
          <w:b/>
          <w:bCs/>
          <w:spacing w:val="1"/>
          <w:sz w:val="16"/>
          <w:szCs w:val="16"/>
        </w:rPr>
        <w:t> </w:t>
      </w:r>
      <w:r>
        <w:rPr>
          <w:rFonts w:ascii="宋体" w:hAnsi="宋体" w:cs="宋体" w:eastAsia="宋体" w:hint="default"/>
          <w:b/>
          <w:bCs/>
          <w:sz w:val="16"/>
          <w:szCs w:val="16"/>
        </w:rPr>
        <w:t>1,251,750,055.21</w:t>
      </w:r>
      <w:r>
        <w:rPr>
          <w:rFonts w:ascii="宋体" w:hAnsi="宋体" w:cs="宋体" w:eastAsia="宋体" w:hint="default"/>
          <w:sz w:val="16"/>
          <w:szCs w:val="16"/>
        </w:rPr>
      </w:r>
    </w:p>
    <w:p>
      <w:pPr>
        <w:spacing w:line="240" w:lineRule="auto" w:before="12"/>
        <w:rPr>
          <w:rFonts w:ascii="宋体" w:hAnsi="宋体" w:cs="宋体" w:eastAsia="宋体" w:hint="default"/>
          <w:b/>
          <w:bCs/>
          <w:sz w:val="4"/>
          <w:szCs w:val="4"/>
        </w:rPr>
      </w:pPr>
    </w:p>
    <w:p>
      <w:pPr>
        <w:spacing w:line="28" w:lineRule="exact"/>
        <w:ind w:left="117" w:right="0" w:firstLine="0"/>
        <w:rPr>
          <w:rFonts w:ascii="宋体" w:hAnsi="宋体" w:cs="宋体" w:eastAsia="宋体" w:hint="default"/>
          <w:sz w:val="2"/>
          <w:szCs w:val="2"/>
        </w:rPr>
      </w:pPr>
      <w:r>
        <w:rPr>
          <w:rFonts w:ascii="宋体" w:hAnsi="宋体" w:cs="宋体" w:eastAsia="宋体" w:hint="default"/>
          <w:position w:val="0"/>
          <w:sz w:val="2"/>
          <w:szCs w:val="2"/>
        </w:rPr>
        <w:pict>
          <v:group style="width:505.25pt;height:1.45pt;mso-position-horizontal-relative:char;mso-position-vertical-relative:line" coordorigin="0,0" coordsize="10105,29">
            <v:group style="position:absolute;left:14;top:14;width:1568;height:2" coordorigin="14,14" coordsize="1568,2">
              <v:shape style="position:absolute;left:14;top:14;width:1568;height:2" coordorigin="14,14" coordsize="1568,0" path="m14,14l1582,14e" filled="false" stroked="true" strokeweight="1.44pt" strokecolor="#000000">
                <v:path arrowok="t"/>
              </v:shape>
            </v:group>
            <v:group style="position:absolute;left:1568;top:14;width:29;height:2" coordorigin="1568,14" coordsize="29,2">
              <v:shape style="position:absolute;left:1568;top:14;width:29;height:2" coordorigin="1568,14" coordsize="29,0" path="m1568,14l1596,14e" filled="false" stroked="true" strokeweight="1.44pt" strokecolor="#000000">
                <v:path arrowok="t"/>
              </v:shape>
            </v:group>
            <v:group style="position:absolute;left:1596;top:14;width:1230;height:2" coordorigin="1596,14" coordsize="1230,2">
              <v:shape style="position:absolute;left:1596;top:14;width:1230;height:2" coordorigin="1596,14" coordsize="1230,0" path="m1596,14l2826,14e" filled="false" stroked="true" strokeweight="1.44pt" strokecolor="#000000">
                <v:path arrowok="t"/>
              </v:shape>
            </v:group>
            <v:group style="position:absolute;left:2811;top:14;width:29;height:2" coordorigin="2811,14" coordsize="29,2">
              <v:shape style="position:absolute;left:2811;top:14;width:29;height:2" coordorigin="2811,14" coordsize="29,0" path="m2811,14l2840,14e" filled="false" stroked="true" strokeweight="1.44pt" strokecolor="#000000">
                <v:path arrowok="t"/>
              </v:shape>
            </v:group>
            <v:group style="position:absolute;left:2840;top:14;width:1229;height:2" coordorigin="2840,14" coordsize="1229,2">
              <v:shape style="position:absolute;left:2840;top:14;width:1229;height:2" coordorigin="2840,14" coordsize="1229,0" path="m2840,14l4069,14e" filled="false" stroked="true" strokeweight="1.44pt" strokecolor="#000000">
                <v:path arrowok="t"/>
              </v:shape>
            </v:group>
            <v:group style="position:absolute;left:4055;top:14;width:29;height:2" coordorigin="4055,14" coordsize="29,2">
              <v:shape style="position:absolute;left:4055;top:14;width:29;height:2" coordorigin="4055,14" coordsize="29,0" path="m4055,14l4083,14e" filled="false" stroked="true" strokeweight="1.44pt" strokecolor="#000000">
                <v:path arrowok="t"/>
              </v:shape>
            </v:group>
            <v:group style="position:absolute;left:4083;top:14;width:1069;height:2" coordorigin="4083,14" coordsize="1069,2">
              <v:shape style="position:absolute;left:4083;top:14;width:1069;height:2" coordorigin="4083,14" coordsize="1069,0" path="m4083,14l5152,14e" filled="false" stroked="true" strokeweight="1.44pt" strokecolor="#000000">
                <v:path arrowok="t"/>
              </v:shape>
            </v:group>
            <v:group style="position:absolute;left:5137;top:14;width:29;height:2" coordorigin="5137,14" coordsize="29,2">
              <v:shape style="position:absolute;left:5137;top:14;width:29;height:2" coordorigin="5137,14" coordsize="29,0" path="m5137,14l5166,14e" filled="false" stroked="true" strokeweight="1.44pt" strokecolor="#000000">
                <v:path arrowok="t"/>
              </v:shape>
            </v:group>
            <v:group style="position:absolute;left:5166;top:14;width:1148;height:2" coordorigin="5166,14" coordsize="1148,2">
              <v:shape style="position:absolute;left:5166;top:14;width:1148;height:2" coordorigin="5166,14" coordsize="1148,0" path="m5166,14l6313,14e" filled="false" stroked="true" strokeweight="1.44pt" strokecolor="#000000">
                <v:path arrowok="t"/>
              </v:shape>
            </v:group>
            <v:group style="position:absolute;left:6299;top:14;width:29;height:2" coordorigin="6299,14" coordsize="29,2">
              <v:shape style="position:absolute;left:6299;top:14;width:29;height:2" coordorigin="6299,14" coordsize="29,0" path="m6299,14l6328,14e" filled="false" stroked="true" strokeweight="1.44pt" strokecolor="#000000">
                <v:path arrowok="t"/>
              </v:shape>
            </v:group>
            <v:group style="position:absolute;left:6328;top:14;width:1151;height:2" coordorigin="6328,14" coordsize="1151,2">
              <v:shape style="position:absolute;left:6328;top:14;width:1151;height:2" coordorigin="6328,14" coordsize="1151,0" path="m6328,14l7478,14e" filled="false" stroked="true" strokeweight="1.44pt" strokecolor="#000000">
                <v:path arrowok="t"/>
              </v:shape>
            </v:group>
            <v:group style="position:absolute;left:7463;top:14;width:30;height:2" coordorigin="7463,14" coordsize="30,2">
              <v:shape style="position:absolute;left:7463;top:14;width:30;height:2" coordorigin="7463,14" coordsize="30,0" path="m7463,14l7492,14e" filled="false" stroked="true" strokeweight="1.44pt" strokecolor="#000000">
                <v:path arrowok="t"/>
              </v:shape>
            </v:group>
            <v:group style="position:absolute;left:7492;top:14;width:1193;height:2" coordorigin="7492,14" coordsize="1193,2">
              <v:shape style="position:absolute;left:7492;top:14;width:1193;height:2" coordorigin="7492,14" coordsize="1193,0" path="m7492,14l8685,14e" filled="false" stroked="true" strokeweight="1.44pt" strokecolor="#000000">
                <v:path arrowok="t"/>
              </v:shape>
            </v:group>
            <v:group style="position:absolute;left:8671;top:14;width:29;height:2" coordorigin="8671,14" coordsize="29,2">
              <v:shape style="position:absolute;left:8671;top:14;width:29;height:2" coordorigin="8671,14" coordsize="29,0" path="m8671,14l8700,14e" filled="false" stroked="true" strokeweight="1.44pt" strokecolor="#000000">
                <v:path arrowok="t"/>
              </v:shape>
            </v:group>
            <v:group style="position:absolute;left:8700;top:14;width:1391;height:2" coordorigin="8700,14" coordsize="1391,2">
              <v:shape style="position:absolute;left:8700;top:14;width:1391;height:2" coordorigin="8700,14" coordsize="1391,0" path="m8700,14l10090,14e" filled="false" stroked="true" strokeweight="1.44pt" strokecolor="#000000">
                <v:path arrowok="t"/>
              </v:shape>
            </v:group>
          </v:group>
        </w:pict>
      </w:r>
      <w:r>
        <w:rPr>
          <w:rFonts w:ascii="宋体" w:hAnsi="宋体" w:cs="宋体" w:eastAsia="宋体" w:hint="default"/>
          <w:position w:val="0"/>
          <w:sz w:val="2"/>
          <w:szCs w:val="2"/>
        </w:rPr>
      </w:r>
    </w:p>
    <w:p>
      <w:pPr>
        <w:tabs>
          <w:tab w:pos="1721" w:val="left" w:leader="none"/>
        </w:tabs>
        <w:spacing w:before="46"/>
        <w:ind w:left="1325" w:right="79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7.</w:t>
        <w:tab/>
      </w:r>
      <w:r>
        <w:rPr>
          <w:rFonts w:ascii="宋体" w:hAnsi="宋体" w:cs="宋体" w:eastAsia="宋体" w:hint="default"/>
          <w:sz w:val="22"/>
          <w:szCs w:val="22"/>
        </w:rPr>
        <w:t>一年内到期的非流动资产</w:t>
      </w:r>
    </w:p>
    <w:p>
      <w:pPr>
        <w:spacing w:line="240" w:lineRule="auto" w:before="10"/>
        <w:rPr>
          <w:rFonts w:ascii="宋体" w:hAnsi="宋体" w:cs="宋体" w:eastAsia="宋体" w:hint="default"/>
          <w:sz w:val="9"/>
          <w:szCs w:val="9"/>
        </w:rPr>
      </w:pPr>
    </w:p>
    <w:tbl>
      <w:tblPr>
        <w:tblW w:w="0" w:type="auto"/>
        <w:jc w:val="left"/>
        <w:tblInd w:w="878" w:type="dxa"/>
        <w:tblLayout w:type="fixed"/>
        <w:tblCellMar>
          <w:top w:w="0" w:type="dxa"/>
          <w:left w:w="0" w:type="dxa"/>
          <w:bottom w:w="0" w:type="dxa"/>
          <w:right w:w="0" w:type="dxa"/>
        </w:tblCellMar>
        <w:tblLook w:val="01E0"/>
      </w:tblPr>
      <w:tblGrid>
        <w:gridCol w:w="3786"/>
        <w:gridCol w:w="2782"/>
        <w:gridCol w:w="2092"/>
      </w:tblGrid>
      <w:tr>
        <w:trPr>
          <w:trHeight w:val="305" w:hRule="exact"/>
        </w:trPr>
        <w:tc>
          <w:tcPr>
            <w:tcW w:w="378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8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79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09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9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8" w:hRule="exact"/>
        </w:trPr>
        <w:tc>
          <w:tcPr>
            <w:tcW w:w="3786" w:type="dxa"/>
            <w:tcBorders>
              <w:top w:val="single" w:sz="4" w:space="0" w:color="000000"/>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2782" w:type="dxa"/>
            <w:tcBorders>
              <w:top w:val="single" w:sz="4" w:space="0" w:color="000000"/>
              <w:left w:val="nil" w:sz="6" w:space="0" w:color="auto"/>
              <w:bottom w:val="nil" w:sz="6" w:space="0" w:color="auto"/>
              <w:right w:val="nil" w:sz="6" w:space="0" w:color="auto"/>
            </w:tcBorders>
          </w:tcPr>
          <w:p>
            <w:pPr>
              <w:pStyle w:val="TableParagraph"/>
              <w:spacing w:line="232" w:lineRule="exact"/>
              <w:ind w:right="491"/>
              <w:jc w:val="right"/>
              <w:rPr>
                <w:rFonts w:ascii="宋体" w:hAnsi="宋体" w:cs="宋体" w:eastAsia="宋体" w:hint="default"/>
                <w:sz w:val="18"/>
                <w:szCs w:val="18"/>
              </w:rPr>
            </w:pPr>
            <w:r>
              <w:rPr>
                <w:rFonts w:ascii="宋体"/>
                <w:spacing w:val="-1"/>
                <w:sz w:val="18"/>
              </w:rPr>
              <w:t>4,175,655.85</w:t>
            </w:r>
          </w:p>
        </w:tc>
        <w:tc>
          <w:tcPr>
            <w:tcW w:w="2092" w:type="dxa"/>
            <w:tcBorders>
              <w:top w:val="single" w:sz="4" w:space="0" w:color="000000"/>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z w:val="18"/>
              </w:rPr>
              <w:t>0.00</w:t>
            </w:r>
          </w:p>
        </w:tc>
      </w:tr>
      <w:tr>
        <w:trPr>
          <w:trHeight w:val="290" w:hRule="exact"/>
        </w:trPr>
        <w:tc>
          <w:tcPr>
            <w:tcW w:w="3786" w:type="dxa"/>
            <w:tcBorders>
              <w:top w:val="nil" w:sz="6" w:space="0" w:color="auto"/>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代客户持有的现金（同方证券并入）</w:t>
            </w:r>
          </w:p>
        </w:tc>
        <w:tc>
          <w:tcPr>
            <w:tcW w:w="2782" w:type="dxa"/>
            <w:tcBorders>
              <w:top w:val="nil" w:sz="6" w:space="0" w:color="auto"/>
              <w:left w:val="nil" w:sz="6" w:space="0" w:color="auto"/>
              <w:bottom w:val="single" w:sz="4" w:space="0" w:color="000000"/>
              <w:right w:val="nil" w:sz="6" w:space="0" w:color="auto"/>
            </w:tcBorders>
          </w:tcPr>
          <w:p>
            <w:pPr>
              <w:pStyle w:val="TableParagraph"/>
              <w:spacing w:line="232" w:lineRule="exact"/>
              <w:ind w:right="491"/>
              <w:jc w:val="right"/>
              <w:rPr>
                <w:rFonts w:ascii="宋体" w:hAnsi="宋体" w:cs="宋体" w:eastAsia="宋体" w:hint="default"/>
                <w:sz w:val="18"/>
                <w:szCs w:val="18"/>
              </w:rPr>
            </w:pPr>
            <w:r>
              <w:rPr>
                <w:rFonts w:ascii="宋体"/>
                <w:spacing w:val="-1"/>
                <w:sz w:val="18"/>
              </w:rPr>
              <w:t>4,056,217.72</w:t>
            </w:r>
          </w:p>
        </w:tc>
        <w:tc>
          <w:tcPr>
            <w:tcW w:w="2092" w:type="dxa"/>
            <w:tcBorders>
              <w:top w:val="nil" w:sz="6" w:space="0" w:color="auto"/>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90,320,747.81</w:t>
            </w:r>
          </w:p>
        </w:tc>
      </w:tr>
      <w:tr>
        <w:trPr>
          <w:trHeight w:val="307" w:hRule="exact"/>
        </w:trPr>
        <w:tc>
          <w:tcPr>
            <w:tcW w:w="3786"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82"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491"/>
              <w:jc w:val="right"/>
              <w:rPr>
                <w:rFonts w:ascii="宋体" w:hAnsi="宋体" w:cs="宋体" w:eastAsia="宋体" w:hint="default"/>
                <w:sz w:val="18"/>
                <w:szCs w:val="18"/>
              </w:rPr>
            </w:pPr>
            <w:r>
              <w:rPr>
                <w:rFonts w:ascii="宋体"/>
                <w:b/>
                <w:w w:val="95"/>
                <w:sz w:val="18"/>
              </w:rPr>
              <w:t>8,231,873.57</w:t>
            </w:r>
            <w:r>
              <w:rPr>
                <w:rFonts w:ascii="宋体"/>
                <w:sz w:val="18"/>
              </w:rPr>
            </w:r>
          </w:p>
        </w:tc>
        <w:tc>
          <w:tcPr>
            <w:tcW w:w="2092"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b/>
                <w:w w:val="95"/>
                <w:sz w:val="18"/>
              </w:rPr>
              <w:t>90,320,747.81</w:t>
            </w:r>
            <w:r>
              <w:rPr>
                <w:rFonts w:ascii="宋体"/>
                <w:sz w:val="18"/>
              </w:rPr>
            </w:r>
          </w:p>
        </w:tc>
      </w:tr>
    </w:tbl>
    <w:p>
      <w:pPr>
        <w:tabs>
          <w:tab w:pos="1721" w:val="left" w:leader="none"/>
        </w:tabs>
        <w:spacing w:before="45"/>
        <w:ind w:left="1325" w:right="79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8.</w:t>
        <w:tab/>
      </w:r>
      <w:r>
        <w:rPr>
          <w:rFonts w:ascii="宋体" w:hAnsi="宋体" w:cs="宋体" w:eastAsia="宋体" w:hint="default"/>
          <w:sz w:val="22"/>
          <w:szCs w:val="22"/>
        </w:rPr>
        <w:t>其他流动资产</w:t>
      </w:r>
    </w:p>
    <w:p>
      <w:pPr>
        <w:spacing w:line="240" w:lineRule="auto" w:before="7"/>
        <w:rPr>
          <w:rFonts w:ascii="宋体" w:hAnsi="宋体" w:cs="宋体" w:eastAsia="宋体" w:hint="default"/>
          <w:sz w:val="9"/>
          <w:szCs w:val="9"/>
        </w:rPr>
      </w:pPr>
    </w:p>
    <w:tbl>
      <w:tblPr>
        <w:tblW w:w="0" w:type="auto"/>
        <w:jc w:val="left"/>
        <w:tblInd w:w="878" w:type="dxa"/>
        <w:tblLayout w:type="fixed"/>
        <w:tblCellMar>
          <w:top w:w="0" w:type="dxa"/>
          <w:left w:w="0" w:type="dxa"/>
          <w:bottom w:w="0" w:type="dxa"/>
          <w:right w:w="0" w:type="dxa"/>
        </w:tblCellMar>
        <w:tblLook w:val="01E0"/>
      </w:tblPr>
      <w:tblGrid>
        <w:gridCol w:w="3063"/>
        <w:gridCol w:w="3501"/>
        <w:gridCol w:w="2096"/>
      </w:tblGrid>
      <w:tr>
        <w:trPr>
          <w:trHeight w:val="307" w:hRule="exact"/>
        </w:trPr>
        <w:tc>
          <w:tcPr>
            <w:tcW w:w="306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01"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50"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096"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49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8" w:hRule="exact"/>
        </w:trPr>
        <w:tc>
          <w:tcPr>
            <w:tcW w:w="3063" w:type="dxa"/>
            <w:tcBorders>
              <w:top w:val="single" w:sz="4" w:space="0" w:color="000000"/>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501" w:type="dxa"/>
            <w:tcBorders>
              <w:top w:val="single" w:sz="4" w:space="0" w:color="000000"/>
              <w:left w:val="nil" w:sz="6" w:space="0" w:color="auto"/>
              <w:bottom w:val="nil" w:sz="6" w:space="0" w:color="auto"/>
              <w:right w:val="nil" w:sz="6" w:space="0" w:color="auto"/>
            </w:tcBorders>
          </w:tcPr>
          <w:p>
            <w:pPr>
              <w:pStyle w:val="TableParagraph"/>
              <w:spacing w:line="232" w:lineRule="exact"/>
              <w:ind w:right="491"/>
              <w:jc w:val="right"/>
              <w:rPr>
                <w:rFonts w:ascii="宋体" w:hAnsi="宋体" w:cs="宋体" w:eastAsia="宋体" w:hint="default"/>
                <w:sz w:val="18"/>
                <w:szCs w:val="18"/>
              </w:rPr>
            </w:pPr>
            <w:r>
              <w:rPr>
                <w:rFonts w:ascii="宋体"/>
                <w:spacing w:val="-1"/>
                <w:sz w:val="18"/>
              </w:rPr>
              <w:t>1,990,000,000.00</w:t>
            </w:r>
          </w:p>
        </w:tc>
        <w:tc>
          <w:tcPr>
            <w:tcW w:w="2096"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1,900,000,000.00</w:t>
            </w:r>
          </w:p>
        </w:tc>
      </w:tr>
      <w:tr>
        <w:trPr>
          <w:trHeight w:val="285" w:hRule="exact"/>
        </w:trPr>
        <w:tc>
          <w:tcPr>
            <w:tcW w:w="3063" w:type="dxa"/>
            <w:tcBorders>
              <w:top w:val="nil" w:sz="6" w:space="0" w:color="auto"/>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应交增值税</w:t>
            </w:r>
          </w:p>
        </w:tc>
        <w:tc>
          <w:tcPr>
            <w:tcW w:w="3501" w:type="dxa"/>
            <w:tcBorders>
              <w:top w:val="nil" w:sz="6" w:space="0" w:color="auto"/>
              <w:left w:val="nil" w:sz="6" w:space="0" w:color="auto"/>
              <w:bottom w:val="nil" w:sz="6" w:space="0" w:color="auto"/>
              <w:right w:val="nil" w:sz="6" w:space="0" w:color="auto"/>
            </w:tcBorders>
          </w:tcPr>
          <w:p>
            <w:pPr>
              <w:pStyle w:val="TableParagraph"/>
              <w:spacing w:line="232" w:lineRule="exact"/>
              <w:ind w:right="491"/>
              <w:jc w:val="right"/>
              <w:rPr>
                <w:rFonts w:ascii="宋体" w:hAnsi="宋体" w:cs="宋体" w:eastAsia="宋体" w:hint="default"/>
                <w:sz w:val="18"/>
                <w:szCs w:val="18"/>
              </w:rPr>
            </w:pPr>
            <w:r>
              <w:rPr>
                <w:rFonts w:ascii="宋体"/>
                <w:spacing w:val="-1"/>
                <w:sz w:val="18"/>
              </w:rPr>
              <w:t>231,420,961.38</w:t>
            </w:r>
          </w:p>
        </w:tc>
        <w:tc>
          <w:tcPr>
            <w:tcW w:w="2096"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204,600,371.78</w:t>
            </w:r>
          </w:p>
        </w:tc>
      </w:tr>
      <w:tr>
        <w:trPr>
          <w:trHeight w:val="292" w:hRule="exact"/>
        </w:trPr>
        <w:tc>
          <w:tcPr>
            <w:tcW w:w="3063" w:type="dxa"/>
            <w:tcBorders>
              <w:top w:val="nil" w:sz="6" w:space="0" w:color="auto"/>
              <w:left w:val="nil" w:sz="6" w:space="0" w:color="auto"/>
              <w:bottom w:val="single" w:sz="4" w:space="0" w:color="000000"/>
              <w:right w:val="nil" w:sz="6" w:space="0" w:color="auto"/>
            </w:tcBorders>
          </w:tcPr>
          <w:p>
            <w:pPr>
              <w:pStyle w:val="TableParagraph"/>
              <w:spacing w:line="233" w:lineRule="exact"/>
              <w:ind w:left="107"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501" w:type="dxa"/>
            <w:tcBorders>
              <w:top w:val="nil" w:sz="6" w:space="0" w:color="auto"/>
              <w:left w:val="nil" w:sz="6" w:space="0" w:color="auto"/>
              <w:bottom w:val="single" w:sz="4" w:space="0" w:color="000000"/>
              <w:right w:val="nil" w:sz="6" w:space="0" w:color="auto"/>
            </w:tcBorders>
          </w:tcPr>
          <w:p>
            <w:pPr>
              <w:pStyle w:val="TableParagraph"/>
              <w:spacing w:line="233" w:lineRule="exact"/>
              <w:ind w:right="491"/>
              <w:jc w:val="right"/>
              <w:rPr>
                <w:rFonts w:ascii="宋体" w:hAnsi="宋体" w:cs="宋体" w:eastAsia="宋体" w:hint="default"/>
                <w:sz w:val="18"/>
                <w:szCs w:val="18"/>
              </w:rPr>
            </w:pPr>
            <w:r>
              <w:rPr>
                <w:rFonts w:ascii="宋体"/>
                <w:spacing w:val="-1"/>
                <w:sz w:val="18"/>
              </w:rPr>
              <w:t>66,032,516.61</w:t>
            </w:r>
          </w:p>
        </w:tc>
        <w:tc>
          <w:tcPr>
            <w:tcW w:w="2096" w:type="dxa"/>
            <w:tcBorders>
              <w:top w:val="nil" w:sz="6" w:space="0" w:color="auto"/>
              <w:left w:val="nil" w:sz="6" w:space="0" w:color="auto"/>
              <w:bottom w:val="single" w:sz="4"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39,475,139.75</w:t>
            </w:r>
          </w:p>
        </w:tc>
      </w:tr>
      <w:tr>
        <w:trPr>
          <w:trHeight w:val="307" w:hRule="exact"/>
        </w:trPr>
        <w:tc>
          <w:tcPr>
            <w:tcW w:w="306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501"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492"/>
              <w:jc w:val="right"/>
              <w:rPr>
                <w:rFonts w:ascii="宋体" w:hAnsi="宋体" w:cs="宋体" w:eastAsia="宋体" w:hint="default"/>
                <w:sz w:val="18"/>
                <w:szCs w:val="18"/>
              </w:rPr>
            </w:pPr>
            <w:r>
              <w:rPr>
                <w:rFonts w:ascii="宋体"/>
                <w:b/>
                <w:w w:val="95"/>
                <w:sz w:val="18"/>
              </w:rPr>
              <w:t>2,287,453,477.99</w:t>
            </w:r>
            <w:r>
              <w:rPr>
                <w:rFonts w:ascii="宋体"/>
                <w:sz w:val="18"/>
              </w:rPr>
            </w:r>
          </w:p>
        </w:tc>
        <w:tc>
          <w:tcPr>
            <w:tcW w:w="2096"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2,144,075,511.53</w:t>
            </w:r>
            <w:r>
              <w:rPr>
                <w:rFonts w:ascii="宋体"/>
                <w:sz w:val="18"/>
              </w:rPr>
            </w:r>
          </w:p>
        </w:tc>
      </w:tr>
    </w:tbl>
    <w:p>
      <w:pPr>
        <w:tabs>
          <w:tab w:pos="1721" w:val="left" w:leader="none"/>
        </w:tabs>
        <w:spacing w:before="45"/>
        <w:ind w:left="1325" w:right="79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9.</w:t>
        <w:tab/>
      </w:r>
      <w:r>
        <w:rPr>
          <w:rFonts w:ascii="宋体" w:hAnsi="宋体" w:cs="宋体" w:eastAsia="宋体" w:hint="default"/>
          <w:sz w:val="22"/>
          <w:szCs w:val="22"/>
        </w:rPr>
        <w:t>可供出售金融资产</w:t>
      </w:r>
    </w:p>
    <w:p>
      <w:pPr>
        <w:spacing w:before="110"/>
        <w:ind w:left="1346" w:right="796"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1"/>
          <w:sz w:val="22"/>
          <w:szCs w:val="22"/>
        </w:rPr>
        <w:t> </w:t>
      </w:r>
      <w:r>
        <w:rPr>
          <w:rFonts w:ascii="宋体" w:hAnsi="宋体" w:cs="宋体" w:eastAsia="宋体" w:hint="default"/>
          <w:sz w:val="22"/>
          <w:szCs w:val="22"/>
        </w:rPr>
        <w:t>可供出售金融资产情况</w:t>
      </w:r>
    </w:p>
    <w:p>
      <w:pPr>
        <w:spacing w:line="240" w:lineRule="auto" w:before="11"/>
        <w:rPr>
          <w:rFonts w:ascii="宋体" w:hAnsi="宋体" w:cs="宋体" w:eastAsia="宋体" w:hint="default"/>
          <w:sz w:val="12"/>
          <w:szCs w:val="12"/>
        </w:rPr>
      </w:pPr>
    </w:p>
    <w:p>
      <w:pPr>
        <w:spacing w:line="28" w:lineRule="exact"/>
        <w:ind w:left="87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5.35pt;height:1.45pt;mso-position-horizontal-relative:char;mso-position-vertical-relative:line" coordorigin="0,0" coordsize="8707,29">
            <v:group style="position:absolute;left:14;top:14;width:1083;height:2" coordorigin="14,14" coordsize="1083,2">
              <v:shape style="position:absolute;left:14;top:14;width:1083;height:2" coordorigin="14,14" coordsize="1083,0" path="m14,14l1097,14e" filled="false" stroked="true" strokeweight="1.44pt" strokecolor="#000000">
                <v:path arrowok="t"/>
              </v:shape>
            </v:group>
            <v:group style="position:absolute;left:1097;top:14;width:29;height:2" coordorigin="1097,14" coordsize="29,2">
              <v:shape style="position:absolute;left:1097;top:14;width:29;height:2" coordorigin="1097,14" coordsize="29,0" path="m1097,14l1126,14e" filled="false" stroked="true" strokeweight="1.44pt" strokecolor="#000000">
                <v:path arrowok="t"/>
              </v:shape>
            </v:group>
            <v:group style="position:absolute;left:1126;top:14;width:3849;height:2" coordorigin="1126,14" coordsize="3849,2">
              <v:shape style="position:absolute;left:1126;top:14;width:3849;height:2" coordorigin="1126,14" coordsize="3849,0" path="m1126,14l4974,14e" filled="false" stroked="true" strokeweight="1.44pt" strokecolor="#000000">
                <v:path arrowok="t"/>
              </v:shape>
            </v:group>
            <v:group style="position:absolute;left:4974;top:14;width:29;height:2" coordorigin="4974,14" coordsize="29,2">
              <v:shape style="position:absolute;left:4974;top:14;width:29;height:2" coordorigin="4974,14" coordsize="29,0" path="m4974,14l5003,14e" filled="false" stroked="true" strokeweight="1.44pt" strokecolor="#000000">
                <v:path arrowok="t"/>
              </v:shape>
            </v:group>
            <v:group style="position:absolute;left:5003;top:14;width:3690;height:2" coordorigin="5003,14" coordsize="3690,2">
              <v:shape style="position:absolute;left:5003;top:14;width:3690;height:2" coordorigin="5003,14" coordsize="3690,0" path="m5003,14l8692,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type w:val="continuous"/>
          <w:pgSz w:w="11910" w:h="16840"/>
          <w:pgMar w:top="1000" w:bottom="280" w:left="780" w:right="800"/>
        </w:sectPr>
      </w:pPr>
    </w:p>
    <w:p>
      <w:pPr>
        <w:spacing w:before="143"/>
        <w:ind w:left="903" w:right="653" w:firstLine="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spacing w:line="240" w:lineRule="auto" w:before="3"/>
        <w:rPr>
          <w:rFonts w:ascii="宋体" w:hAnsi="宋体" w:cs="宋体" w:eastAsia="宋体" w:hint="default"/>
          <w:b/>
          <w:bCs/>
          <w:sz w:val="14"/>
          <w:szCs w:val="14"/>
        </w:rPr>
      </w:pPr>
    </w:p>
    <w:p>
      <w:pPr>
        <w:spacing w:line="152" w:lineRule="exact" w:before="0"/>
        <w:ind w:left="922" w:right="-10" w:firstLine="0"/>
        <w:jc w:val="left"/>
        <w:rPr>
          <w:rFonts w:ascii="宋体" w:hAnsi="宋体" w:cs="宋体" w:eastAsia="宋体" w:hint="default"/>
          <w:sz w:val="16"/>
          <w:szCs w:val="16"/>
        </w:rPr>
      </w:pPr>
      <w:r>
        <w:rPr/>
        <w:pict>
          <v:group style="position:absolute;margin-left:83.423996pt;margin-top:.823741pt;width:434.4pt;height:.5pt;mso-position-horizontal-relative:page;mso-position-vertical-relative:paragraph;z-index:-1226800" coordorigin="1668,16" coordsize="8688,10">
            <v:group style="position:absolute;left:1673;top:21;width:1083;height:2" coordorigin="1673,21" coordsize="1083,2">
              <v:shape style="position:absolute;left:1673;top:21;width:1083;height:2" coordorigin="1673,21" coordsize="1083,0" path="m1673,21l2756,21e" filled="false" stroked="true" strokeweight=".48001pt" strokecolor="#000000">
                <v:path arrowok="t"/>
              </v:shape>
            </v:group>
            <v:group style="position:absolute;left:2756;top:21;width:10;height:2" coordorigin="2756,21" coordsize="10,2">
              <v:shape style="position:absolute;left:2756;top:21;width:10;height:2" coordorigin="2756,21" coordsize="10,0" path="m2756,21l2765,21e" filled="false" stroked="true" strokeweight=".48001pt" strokecolor="#000000">
                <v:path arrowok="t"/>
              </v:shape>
            </v:group>
            <v:group style="position:absolute;left:2765;top:21;width:1338;height:2" coordorigin="2765,21" coordsize="1338,2">
              <v:shape style="position:absolute;left:2765;top:21;width:1338;height:2" coordorigin="2765,21" coordsize="1338,0" path="m2765,21l4102,21e" filled="false" stroked="true" strokeweight=".48001pt" strokecolor="#000000">
                <v:path arrowok="t"/>
              </v:shape>
            </v:group>
            <v:group style="position:absolute;left:4103;top:21;width:10;height:2" coordorigin="4103,21" coordsize="10,2">
              <v:shape style="position:absolute;left:4103;top:21;width:10;height:2" coordorigin="4103,21" coordsize="10,0" path="m4103,21l4112,21e" filled="false" stroked="true" strokeweight=".48001pt" strokecolor="#000000">
                <v:path arrowok="t"/>
              </v:shape>
            </v:group>
            <v:group style="position:absolute;left:4112;top:21;width:1174;height:2" coordorigin="4112,21" coordsize="1174,2">
              <v:shape style="position:absolute;left:4112;top:21;width:1174;height:2" coordorigin="4112,21" coordsize="1174,0" path="m4112,21l5286,21e" filled="false" stroked="true" strokeweight=".48001pt" strokecolor="#000000">
                <v:path arrowok="t"/>
              </v:shape>
            </v:group>
            <v:group style="position:absolute;left:5286;top:21;width:10;height:2" coordorigin="5286,21" coordsize="10,2">
              <v:shape style="position:absolute;left:5286;top:21;width:10;height:2" coordorigin="5286,21" coordsize="10,0" path="m5286,21l5295,21e" filled="false" stroked="true" strokeweight=".48001pt" strokecolor="#000000">
                <v:path arrowok="t"/>
              </v:shape>
            </v:group>
            <v:group style="position:absolute;left:5295;top:21;width:1338;height:2" coordorigin="5295,21" coordsize="1338,2">
              <v:shape style="position:absolute;left:5295;top:21;width:1338;height:2" coordorigin="5295,21" coordsize="1338,0" path="m5295,21l6633,21e" filled="false" stroked="true" strokeweight=".48001pt" strokecolor="#000000">
                <v:path arrowok="t"/>
              </v:shape>
            </v:group>
            <v:group style="position:absolute;left:6633;top:21;width:10;height:2" coordorigin="6633,21" coordsize="10,2">
              <v:shape style="position:absolute;left:6633;top:21;width:10;height:2" coordorigin="6633,21" coordsize="10,0" path="m6633,21l6642,21e" filled="false" stroked="true" strokeweight=".48001pt" strokecolor="#000000">
                <v:path arrowok="t"/>
              </v:shape>
            </v:group>
            <v:group style="position:absolute;left:6642;top:21;width:1337;height:2" coordorigin="6642,21" coordsize="1337,2">
              <v:shape style="position:absolute;left:6642;top:21;width:1337;height:2" coordorigin="6642,21" coordsize="1337,0" path="m6642,21l7979,21e" filled="false" stroked="true" strokeweight=".48001pt" strokecolor="#000000">
                <v:path arrowok="t"/>
              </v:shape>
            </v:group>
            <v:group style="position:absolute;left:7979;top:21;width:10;height:2" coordorigin="7979,21" coordsize="10,2">
              <v:shape style="position:absolute;left:7979;top:21;width:10;height:2" coordorigin="7979,21" coordsize="10,0" path="m7979,21l7989,21e" filled="false" stroked="true" strokeweight=".48001pt" strokecolor="#000000">
                <v:path arrowok="t"/>
              </v:shape>
            </v:group>
            <v:group style="position:absolute;left:7989;top:21;width:1016;height:2" coordorigin="7989,21" coordsize="1016,2">
              <v:shape style="position:absolute;left:7989;top:21;width:1016;height:2" coordorigin="7989,21" coordsize="1016,0" path="m7989,21l9004,21e" filled="false" stroked="true" strokeweight=".48001pt" strokecolor="#000000">
                <v:path arrowok="t"/>
              </v:shape>
            </v:group>
            <v:group style="position:absolute;left:9004;top:21;width:10;height:2" coordorigin="9004,21" coordsize="10,2">
              <v:shape style="position:absolute;left:9004;top:21;width:10;height:2" coordorigin="9004,21" coordsize="10,0" path="m9004,21l9014,21e" filled="false" stroked="true" strokeweight=".48001pt" strokecolor="#000000">
                <v:path arrowok="t"/>
              </v:shape>
            </v:group>
            <v:group style="position:absolute;left:9014;top:21;width:1337;height:2" coordorigin="9014,21" coordsize="1337,2">
              <v:shape style="position:absolute;left:9014;top:21;width:1337;height:2" coordorigin="9014,21" coordsize="1337,0" path="m9014,21l10351,21e" filled="false" stroked="true" strokeweight=".48001pt" strokecolor="#000000">
                <v:path arrowok="t"/>
              </v:shape>
            </v:group>
            <w10:wrap type="none"/>
          </v:group>
        </w:pict>
      </w:r>
      <w:r>
        <w:rPr>
          <w:rFonts w:ascii="宋体" w:hAnsi="宋体" w:cs="宋体" w:eastAsia="宋体" w:hint="default"/>
          <w:spacing w:val="11"/>
          <w:sz w:val="16"/>
          <w:szCs w:val="16"/>
        </w:rPr>
        <w:t>可供出售债务</w:t>
      </w:r>
      <w:r>
        <w:rPr>
          <w:rFonts w:ascii="宋体" w:hAnsi="宋体" w:cs="宋体" w:eastAsia="宋体" w:hint="default"/>
          <w:sz w:val="16"/>
          <w:szCs w:val="16"/>
        </w:rPr>
      </w:r>
    </w:p>
    <w:p>
      <w:pPr>
        <w:tabs>
          <w:tab w:pos="3799" w:val="left" w:leader="none"/>
        </w:tabs>
        <w:spacing w:line="233" w:lineRule="exact" w:before="0"/>
        <w:ind w:left="0" w:right="702" w:firstLine="0"/>
        <w:jc w:val="center"/>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tabs>
          <w:tab w:pos="1265" w:val="left" w:leader="none"/>
          <w:tab w:pos="2532" w:val="left" w:leader="none"/>
          <w:tab w:pos="3879" w:val="left" w:leader="none"/>
          <w:tab w:pos="5062" w:val="left" w:leader="none"/>
          <w:tab w:pos="6248" w:val="left" w:leader="none"/>
        </w:tabs>
        <w:spacing w:before="59"/>
        <w:ind w:left="0" w:right="784" w:firstLine="0"/>
        <w:jc w:val="center"/>
        <w:rPr>
          <w:rFonts w:ascii="宋体" w:hAnsi="宋体" w:cs="宋体" w:eastAsia="宋体" w:hint="default"/>
          <w:sz w:val="18"/>
          <w:szCs w:val="18"/>
        </w:rPr>
      </w:pPr>
      <w:r>
        <w:rPr/>
        <w:pict>
          <v:group style="position:absolute;margin-left:137.540009pt;margin-top:2.661751pt;width:380.25pt;height:.5pt;mso-position-horizontal-relative:page;mso-position-vertical-relative:paragraph;z-index:-1226824" coordorigin="2751,53" coordsize="7605,10">
            <v:group style="position:absolute;left:2756;top:58;width:1347;height:2" coordorigin="2756,58" coordsize="1347,2">
              <v:shape style="position:absolute;left:2756;top:58;width:1347;height:2" coordorigin="2756,58" coordsize="1347,0" path="m2756,58l4102,58e" filled="false" stroked="true" strokeweight=".47998pt" strokecolor="#000000">
                <v:path arrowok="t"/>
              </v:shape>
            </v:group>
            <v:group style="position:absolute;left:4103;top:58;width:10;height:2" coordorigin="4103,58" coordsize="10,2">
              <v:shape style="position:absolute;left:4103;top:58;width:10;height:2" coordorigin="4103,58" coordsize="10,0" path="m4103,58l4112,58e" filled="false" stroked="true" strokeweight=".47998pt" strokecolor="#000000">
                <v:path arrowok="t"/>
              </v:shape>
            </v:group>
            <v:group style="position:absolute;left:4112;top:58;width:1174;height:2" coordorigin="4112,58" coordsize="1174,2">
              <v:shape style="position:absolute;left:4112;top:58;width:1174;height:2" coordorigin="4112,58" coordsize="1174,0" path="m4112,58l5286,58e" filled="false" stroked="true" strokeweight=".47998pt" strokecolor="#000000">
                <v:path arrowok="t"/>
              </v:shape>
            </v:group>
            <v:group style="position:absolute;left:5286;top:58;width:10;height:2" coordorigin="5286,58" coordsize="10,2">
              <v:shape style="position:absolute;left:5286;top:58;width:10;height:2" coordorigin="5286,58" coordsize="10,0" path="m5286,58l5295,58e" filled="false" stroked="true" strokeweight=".47998pt" strokecolor="#000000">
                <v:path arrowok="t"/>
              </v:shape>
            </v:group>
            <v:group style="position:absolute;left:5295;top:58;width:1338;height:2" coordorigin="5295,58" coordsize="1338,2">
              <v:shape style="position:absolute;left:5295;top:58;width:1338;height:2" coordorigin="5295,58" coordsize="1338,0" path="m5295,58l6633,58e" filled="false" stroked="true" strokeweight=".47998pt" strokecolor="#000000">
                <v:path arrowok="t"/>
              </v:shape>
            </v:group>
            <v:group style="position:absolute;left:6633;top:58;width:10;height:2" coordorigin="6633,58" coordsize="10,2">
              <v:shape style="position:absolute;left:6633;top:58;width:10;height:2" coordorigin="6633,58" coordsize="10,0" path="m6633,58l6642,58e" filled="false" stroked="true" strokeweight=".47998pt" strokecolor="#000000">
                <v:path arrowok="t"/>
              </v:shape>
            </v:group>
            <v:group style="position:absolute;left:6642;top:58;width:1337;height:2" coordorigin="6642,58" coordsize="1337,2">
              <v:shape style="position:absolute;left:6642;top:58;width:1337;height:2" coordorigin="6642,58" coordsize="1337,0" path="m6642,58l7979,58e" filled="false" stroked="true" strokeweight=".47998pt" strokecolor="#000000">
                <v:path arrowok="t"/>
              </v:shape>
            </v:group>
            <v:group style="position:absolute;left:7979;top:58;width:10;height:2" coordorigin="7979,58" coordsize="10,2">
              <v:shape style="position:absolute;left:7979;top:58;width:10;height:2" coordorigin="7979,58" coordsize="10,0" path="m7979,58l7989,58e" filled="false" stroked="true" strokeweight=".47998pt" strokecolor="#000000">
                <v:path arrowok="t"/>
              </v:shape>
            </v:group>
            <v:group style="position:absolute;left:7989;top:58;width:1016;height:2" coordorigin="7989,58" coordsize="1016,2">
              <v:shape style="position:absolute;left:7989;top:58;width:1016;height:2" coordorigin="7989,58" coordsize="1016,0" path="m7989,58l9004,58e" filled="false" stroked="true" strokeweight=".47998pt" strokecolor="#000000">
                <v:path arrowok="t"/>
              </v:shape>
            </v:group>
            <v:group style="position:absolute;left:9004;top:58;width:10;height:2" coordorigin="9004,58" coordsize="10,2">
              <v:shape style="position:absolute;left:9004;top:58;width:10;height:2" coordorigin="9004,58" coordsize="10,0" path="m9004,58l9014,58e" filled="false" stroked="true" strokeweight=".47998pt" strokecolor="#000000">
                <v:path arrowok="t"/>
              </v:shape>
            </v:group>
            <v:group style="position:absolute;left:9014;top:58;width:1337;height:2" coordorigin="9014,58" coordsize="1337,2">
              <v:shape style="position:absolute;left:9014;top:58;width:1337;height:2" coordorigin="9014,58" coordsize="1337,0" path="m9014,58l10351,58e" filled="false" stroked="true" strokeweight=".47998pt" strokecolor="#000000">
                <v:path arrowok="t"/>
              </v:shape>
            </v:group>
            <w10:wrap type="none"/>
          </v:group>
        </w:pict>
      </w:r>
      <w:r>
        <w:rPr>
          <w:rFonts w:ascii="宋体" w:hAnsi="宋体" w:cs="宋体" w:eastAsia="宋体" w:hint="default"/>
          <w:b/>
          <w:bCs/>
          <w:w w:val="95"/>
          <w:sz w:val="18"/>
          <w:szCs w:val="18"/>
        </w:rPr>
        <w:t>账面余额</w:t>
        <w:tab/>
        <w:t>减值准备</w:t>
        <w:tab/>
        <w:t>账面价值</w:t>
        <w:tab/>
        <w:t>账面余额</w:t>
        <w:tab/>
        <w:t>减值准备</w:t>
        <w:tab/>
      </w: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000" w:bottom="280" w:left="780" w:right="800"/>
          <w:cols w:num="2" w:equalWidth="0">
            <w:col w:w="1959" w:space="40"/>
            <w:col w:w="8331"/>
          </w:cols>
        </w:sectPr>
      </w:pPr>
    </w:p>
    <w:p>
      <w:pPr>
        <w:tabs>
          <w:tab w:pos="2253" w:val="left" w:leader="none"/>
          <w:tab w:pos="4157" w:val="left" w:leader="none"/>
          <w:tab w:pos="4786" w:val="left" w:leader="none"/>
          <w:tab w:pos="6853" w:val="left" w:leader="none"/>
          <w:tab w:pos="7873" w:val="left" w:leader="none"/>
          <w:tab w:pos="9222" w:val="left" w:leader="none"/>
        </w:tabs>
        <w:spacing w:line="267" w:lineRule="exact" w:before="0"/>
        <w:ind w:left="922" w:right="0" w:firstLine="0"/>
        <w:jc w:val="left"/>
        <w:rPr>
          <w:rFonts w:ascii="宋体" w:hAnsi="宋体" w:cs="宋体" w:eastAsia="宋体" w:hint="default"/>
          <w:sz w:val="16"/>
          <w:szCs w:val="16"/>
        </w:rPr>
      </w:pPr>
      <w:r>
        <w:rPr>
          <w:rFonts w:ascii="宋体" w:hAnsi="宋体" w:cs="宋体" w:eastAsia="宋体" w:hint="default"/>
          <w:position w:val="-10"/>
          <w:sz w:val="16"/>
          <w:szCs w:val="16"/>
        </w:rPr>
        <w:t>工具</w:t>
        <w:tab/>
      </w:r>
      <w:r>
        <w:rPr>
          <w:rFonts w:ascii="宋体" w:hAnsi="宋体" w:cs="宋体" w:eastAsia="宋体" w:hint="default"/>
          <w:spacing w:val="-2"/>
          <w:sz w:val="16"/>
          <w:szCs w:val="16"/>
        </w:rPr>
        <w:t>66,871,398.68</w:t>
        <w:tab/>
      </w:r>
      <w:r>
        <w:rPr>
          <w:rFonts w:ascii="宋体" w:hAnsi="宋体" w:cs="宋体" w:eastAsia="宋体" w:hint="default"/>
          <w:spacing w:val="-1"/>
          <w:sz w:val="16"/>
          <w:szCs w:val="16"/>
        </w:rPr>
        <w:t>0.00</w:t>
        <w:tab/>
      </w:r>
      <w:r>
        <w:rPr>
          <w:rFonts w:ascii="宋体" w:hAnsi="宋体" w:cs="宋体" w:eastAsia="宋体" w:hint="default"/>
          <w:spacing w:val="-2"/>
          <w:sz w:val="16"/>
          <w:szCs w:val="16"/>
        </w:rPr>
        <w:t>66,871,398.68</w:t>
        <w:tab/>
      </w:r>
      <w:r>
        <w:rPr>
          <w:rFonts w:ascii="宋体" w:hAnsi="宋体" w:cs="宋体" w:eastAsia="宋体" w:hint="default"/>
          <w:spacing w:val="-1"/>
          <w:sz w:val="16"/>
          <w:szCs w:val="16"/>
        </w:rPr>
        <w:t>0.00</w:t>
        <w:tab/>
        <w:t>0.00</w:t>
        <w:tab/>
        <w:t>0.00</w:t>
      </w:r>
    </w:p>
    <w:p>
      <w:pPr>
        <w:spacing w:line="153" w:lineRule="exact" w:before="0"/>
        <w:ind w:left="922" w:right="796" w:firstLine="0"/>
        <w:jc w:val="left"/>
        <w:rPr>
          <w:rFonts w:ascii="宋体" w:hAnsi="宋体" w:cs="宋体" w:eastAsia="宋体" w:hint="default"/>
          <w:sz w:val="16"/>
          <w:szCs w:val="16"/>
        </w:rPr>
      </w:pPr>
      <w:r>
        <w:rPr>
          <w:rFonts w:ascii="宋体" w:hAnsi="宋体" w:cs="宋体" w:eastAsia="宋体" w:hint="default"/>
          <w:spacing w:val="11"/>
          <w:sz w:val="16"/>
          <w:szCs w:val="16"/>
        </w:rPr>
        <w:t>可供出售权益</w:t>
      </w:r>
      <w:r>
        <w:rPr>
          <w:rFonts w:ascii="宋体" w:hAnsi="宋体" w:cs="宋体" w:eastAsia="宋体" w:hint="default"/>
          <w:sz w:val="16"/>
          <w:szCs w:val="16"/>
        </w:rPr>
      </w:r>
    </w:p>
    <w:p>
      <w:pPr>
        <w:tabs>
          <w:tab w:pos="2013" w:val="left" w:leader="none"/>
        </w:tabs>
        <w:spacing w:line="256" w:lineRule="exact" w:before="0"/>
        <w:ind w:left="922" w:right="796" w:firstLine="0"/>
        <w:jc w:val="left"/>
        <w:rPr>
          <w:rFonts w:ascii="宋体" w:hAnsi="宋体" w:cs="宋体" w:eastAsia="宋体" w:hint="default"/>
          <w:sz w:val="16"/>
          <w:szCs w:val="16"/>
        </w:rPr>
      </w:pPr>
      <w:r>
        <w:rPr>
          <w:rFonts w:ascii="宋体" w:hAnsi="宋体" w:cs="宋体" w:eastAsia="宋体" w:hint="default"/>
          <w:position w:val="-9"/>
          <w:sz w:val="16"/>
          <w:szCs w:val="16"/>
        </w:rPr>
        <w:t>工具</w:t>
        <w:tab/>
      </w:r>
      <w:r>
        <w:rPr>
          <w:rFonts w:ascii="宋体" w:hAnsi="宋体" w:cs="宋体" w:eastAsia="宋体" w:hint="default"/>
          <w:sz w:val="16"/>
          <w:szCs w:val="16"/>
        </w:rPr>
        <w:t>3,808,969,748.65</w:t>
      </w:r>
      <w:r>
        <w:rPr>
          <w:rFonts w:ascii="宋体" w:hAnsi="宋体" w:cs="宋体" w:eastAsia="宋体" w:hint="default"/>
          <w:spacing w:val="-33"/>
          <w:sz w:val="16"/>
          <w:szCs w:val="16"/>
        </w:rPr>
        <w:t> </w:t>
      </w:r>
      <w:r>
        <w:rPr>
          <w:rFonts w:ascii="宋体" w:hAnsi="宋体" w:cs="宋体" w:eastAsia="宋体" w:hint="default"/>
          <w:sz w:val="16"/>
          <w:szCs w:val="16"/>
        </w:rPr>
        <w:t>315,987,981.55</w:t>
      </w:r>
      <w:r>
        <w:rPr>
          <w:rFonts w:ascii="宋体" w:hAnsi="宋体" w:cs="宋体" w:eastAsia="宋体" w:hint="default"/>
          <w:spacing w:val="-27"/>
          <w:sz w:val="16"/>
          <w:szCs w:val="16"/>
        </w:rPr>
        <w:t> </w:t>
      </w:r>
      <w:r>
        <w:rPr>
          <w:rFonts w:ascii="宋体" w:hAnsi="宋体" w:cs="宋体" w:eastAsia="宋体" w:hint="default"/>
          <w:sz w:val="16"/>
          <w:szCs w:val="16"/>
        </w:rPr>
        <w:t>3,492,981,767.10</w:t>
      </w:r>
      <w:r>
        <w:rPr>
          <w:rFonts w:ascii="宋体" w:hAnsi="宋体" w:cs="宋体" w:eastAsia="宋体" w:hint="default"/>
          <w:spacing w:val="-29"/>
          <w:sz w:val="16"/>
          <w:szCs w:val="16"/>
        </w:rPr>
        <w:t> </w:t>
      </w:r>
      <w:r>
        <w:rPr>
          <w:rFonts w:ascii="宋体" w:hAnsi="宋体" w:cs="宋体" w:eastAsia="宋体" w:hint="default"/>
          <w:sz w:val="16"/>
          <w:szCs w:val="16"/>
        </w:rPr>
        <w:t>5,052,522,023.47</w:t>
      </w:r>
      <w:r>
        <w:rPr>
          <w:rFonts w:ascii="宋体" w:hAnsi="宋体" w:cs="宋体" w:eastAsia="宋体" w:hint="default"/>
          <w:spacing w:val="-35"/>
          <w:sz w:val="16"/>
          <w:szCs w:val="16"/>
        </w:rPr>
        <w:t> </w:t>
      </w:r>
      <w:r>
        <w:rPr>
          <w:rFonts w:ascii="宋体" w:hAnsi="宋体" w:cs="宋体" w:eastAsia="宋体" w:hint="default"/>
          <w:sz w:val="16"/>
          <w:szCs w:val="16"/>
        </w:rPr>
        <w:t>1,777,840.46</w:t>
      </w:r>
      <w:r>
        <w:rPr>
          <w:rFonts w:ascii="宋体" w:hAnsi="宋体" w:cs="宋体" w:eastAsia="宋体" w:hint="default"/>
          <w:spacing w:val="-27"/>
          <w:sz w:val="16"/>
          <w:szCs w:val="16"/>
        </w:rPr>
        <w:t> </w:t>
      </w:r>
      <w:r>
        <w:rPr>
          <w:rFonts w:ascii="宋体" w:hAnsi="宋体" w:cs="宋体" w:eastAsia="宋体" w:hint="default"/>
          <w:sz w:val="16"/>
          <w:szCs w:val="16"/>
        </w:rPr>
        <w:t>5,050,744,183.01</w:t>
      </w:r>
    </w:p>
    <w:p>
      <w:pPr>
        <w:spacing w:line="156" w:lineRule="exact" w:before="2"/>
        <w:ind w:left="922" w:right="796" w:firstLine="0"/>
        <w:jc w:val="left"/>
        <w:rPr>
          <w:rFonts w:ascii="宋体" w:hAnsi="宋体" w:cs="宋体" w:eastAsia="宋体" w:hint="default"/>
          <w:sz w:val="16"/>
          <w:szCs w:val="16"/>
        </w:rPr>
      </w:pPr>
      <w:r>
        <w:rPr>
          <w:rFonts w:ascii="宋体" w:hAnsi="宋体" w:cs="宋体" w:eastAsia="宋体" w:hint="default"/>
          <w:spacing w:val="11"/>
          <w:sz w:val="16"/>
          <w:szCs w:val="16"/>
        </w:rPr>
        <w:t>其中：按公允</w:t>
      </w:r>
      <w:r>
        <w:rPr>
          <w:rFonts w:ascii="宋体" w:hAnsi="宋体" w:cs="宋体" w:eastAsia="宋体" w:hint="default"/>
          <w:sz w:val="16"/>
          <w:szCs w:val="16"/>
        </w:rPr>
      </w:r>
    </w:p>
    <w:p>
      <w:pPr>
        <w:tabs>
          <w:tab w:pos="2013" w:val="left" w:leader="none"/>
          <w:tab w:pos="7873" w:val="left" w:leader="none"/>
        </w:tabs>
        <w:spacing w:line="256" w:lineRule="exact" w:before="0"/>
        <w:ind w:left="922" w:right="0" w:firstLine="0"/>
        <w:jc w:val="left"/>
        <w:rPr>
          <w:rFonts w:ascii="宋体" w:hAnsi="宋体" w:cs="宋体" w:eastAsia="宋体" w:hint="default"/>
          <w:sz w:val="16"/>
          <w:szCs w:val="16"/>
        </w:rPr>
      </w:pPr>
      <w:r>
        <w:rPr>
          <w:rFonts w:ascii="宋体" w:hAnsi="宋体" w:cs="宋体" w:eastAsia="宋体" w:hint="default"/>
          <w:spacing w:val="-1"/>
          <w:position w:val="-9"/>
          <w:sz w:val="16"/>
          <w:szCs w:val="16"/>
        </w:rPr>
        <w:t>价值计量的</w:t>
        <w:tab/>
      </w:r>
      <w:r>
        <w:rPr>
          <w:rFonts w:ascii="宋体" w:hAnsi="宋体" w:cs="宋体" w:eastAsia="宋体" w:hint="default"/>
          <w:spacing w:val="-2"/>
          <w:sz w:val="16"/>
          <w:szCs w:val="16"/>
        </w:rPr>
        <w:t>3,612,717,647.71</w:t>
      </w:r>
      <w:r>
        <w:rPr>
          <w:rFonts w:ascii="宋体" w:hAnsi="宋体" w:cs="宋体" w:eastAsia="宋体" w:hint="default"/>
          <w:sz w:val="16"/>
          <w:szCs w:val="16"/>
        </w:rPr>
        <w:t> </w:t>
      </w:r>
      <w:r>
        <w:rPr>
          <w:rFonts w:ascii="宋体" w:hAnsi="宋体" w:cs="宋体" w:eastAsia="宋体" w:hint="default"/>
          <w:spacing w:val="-2"/>
          <w:sz w:val="16"/>
          <w:szCs w:val="16"/>
        </w:rPr>
        <w:t>309,634,739.38</w:t>
      </w:r>
      <w:r>
        <w:rPr>
          <w:rFonts w:ascii="宋体" w:hAnsi="宋体" w:cs="宋体" w:eastAsia="宋体" w:hint="default"/>
          <w:sz w:val="16"/>
          <w:szCs w:val="16"/>
        </w:rPr>
        <w:t> </w:t>
      </w:r>
      <w:r>
        <w:rPr>
          <w:rFonts w:ascii="宋体" w:hAnsi="宋体" w:cs="宋体" w:eastAsia="宋体" w:hint="default"/>
          <w:spacing w:val="-2"/>
          <w:sz w:val="16"/>
          <w:szCs w:val="16"/>
        </w:rPr>
        <w:t>3,303,082,908.33</w:t>
      </w:r>
      <w:r>
        <w:rPr>
          <w:rFonts w:ascii="宋体" w:hAnsi="宋体" w:cs="宋体" w:eastAsia="宋体" w:hint="default"/>
          <w:spacing w:val="30"/>
          <w:sz w:val="16"/>
          <w:szCs w:val="16"/>
        </w:rPr>
        <w:t> </w:t>
      </w:r>
      <w:r>
        <w:rPr>
          <w:rFonts w:ascii="宋体" w:hAnsi="宋体" w:cs="宋体" w:eastAsia="宋体" w:hint="default"/>
          <w:spacing w:val="-2"/>
          <w:sz w:val="16"/>
          <w:szCs w:val="16"/>
        </w:rPr>
        <w:t>4,865,643,545.96</w:t>
        <w:tab/>
      </w:r>
      <w:r>
        <w:rPr>
          <w:rFonts w:ascii="宋体" w:hAnsi="宋体" w:cs="宋体" w:eastAsia="宋体" w:hint="default"/>
          <w:spacing w:val="-1"/>
          <w:sz w:val="16"/>
          <w:szCs w:val="16"/>
        </w:rPr>
        <w:t>0.00</w:t>
      </w:r>
      <w:r>
        <w:rPr>
          <w:rFonts w:ascii="宋体" w:hAnsi="宋体" w:cs="宋体" w:eastAsia="宋体" w:hint="default"/>
          <w:spacing w:val="8"/>
          <w:sz w:val="16"/>
          <w:szCs w:val="16"/>
        </w:rPr>
        <w:t> </w:t>
      </w:r>
      <w:r>
        <w:rPr>
          <w:rFonts w:ascii="宋体" w:hAnsi="宋体" w:cs="宋体" w:eastAsia="宋体" w:hint="default"/>
          <w:spacing w:val="-2"/>
          <w:sz w:val="16"/>
          <w:szCs w:val="16"/>
        </w:rPr>
        <w:t>4,865,643,545.96</w:t>
      </w:r>
    </w:p>
    <w:p>
      <w:pPr>
        <w:spacing w:line="156" w:lineRule="exact" w:before="2"/>
        <w:ind w:left="1402" w:right="796" w:firstLine="0"/>
        <w:jc w:val="left"/>
        <w:rPr>
          <w:rFonts w:ascii="宋体" w:hAnsi="宋体" w:cs="宋体" w:eastAsia="宋体" w:hint="default"/>
          <w:sz w:val="16"/>
          <w:szCs w:val="16"/>
        </w:rPr>
      </w:pPr>
      <w:r>
        <w:rPr>
          <w:rFonts w:ascii="宋体" w:hAnsi="宋体" w:cs="宋体" w:eastAsia="宋体" w:hint="default"/>
          <w:sz w:val="16"/>
          <w:szCs w:val="16"/>
        </w:rPr>
        <w:t>按</w:t>
      </w:r>
      <w:r>
        <w:rPr>
          <w:rFonts w:ascii="宋体" w:hAnsi="宋体" w:cs="宋体" w:eastAsia="宋体" w:hint="default"/>
          <w:spacing w:val="-48"/>
          <w:sz w:val="16"/>
          <w:szCs w:val="16"/>
        </w:rPr>
        <w:t> </w:t>
      </w:r>
      <w:r>
        <w:rPr>
          <w:rFonts w:ascii="宋体" w:hAnsi="宋体" w:cs="宋体" w:eastAsia="宋体" w:hint="default"/>
          <w:sz w:val="16"/>
          <w:szCs w:val="16"/>
        </w:rPr>
        <w:t>成</w:t>
      </w:r>
      <w:r>
        <w:rPr>
          <w:rFonts w:ascii="宋体" w:hAnsi="宋体" w:cs="宋体" w:eastAsia="宋体" w:hint="default"/>
          <w:spacing w:val="-46"/>
          <w:sz w:val="16"/>
          <w:szCs w:val="16"/>
        </w:rPr>
        <w:t> </w:t>
      </w:r>
      <w:r>
        <w:rPr>
          <w:rFonts w:ascii="宋体" w:hAnsi="宋体" w:cs="宋体" w:eastAsia="宋体" w:hint="default"/>
          <w:sz w:val="16"/>
          <w:szCs w:val="16"/>
        </w:rPr>
        <w:t>本</w:t>
      </w:r>
    </w:p>
    <w:p>
      <w:pPr>
        <w:tabs>
          <w:tab w:pos="2172" w:val="left" w:leader="none"/>
          <w:tab w:pos="3516" w:val="left" w:leader="none"/>
          <w:tab w:pos="4704" w:val="left" w:leader="none"/>
          <w:tab w:pos="6051" w:val="left" w:leader="none"/>
          <w:tab w:pos="8421" w:val="left" w:leader="none"/>
        </w:tabs>
        <w:spacing w:line="256" w:lineRule="exact" w:before="0"/>
        <w:ind w:left="922" w:right="0" w:firstLine="0"/>
        <w:jc w:val="left"/>
        <w:rPr>
          <w:rFonts w:ascii="宋体" w:hAnsi="宋体" w:cs="宋体" w:eastAsia="宋体" w:hint="default"/>
          <w:sz w:val="16"/>
          <w:szCs w:val="16"/>
        </w:rPr>
      </w:pPr>
      <w:r>
        <w:rPr>
          <w:rFonts w:ascii="宋体" w:hAnsi="宋体" w:cs="宋体" w:eastAsia="宋体" w:hint="default"/>
          <w:position w:val="-9"/>
          <w:sz w:val="16"/>
          <w:szCs w:val="16"/>
        </w:rPr>
        <w:t>计量的</w:t>
        <w:tab/>
      </w:r>
      <w:r>
        <w:rPr>
          <w:rFonts w:ascii="宋体" w:hAnsi="宋体" w:cs="宋体" w:eastAsia="宋体" w:hint="default"/>
          <w:spacing w:val="-2"/>
          <w:sz w:val="16"/>
          <w:szCs w:val="16"/>
        </w:rPr>
        <w:t>196,252,100.94</w:t>
        <w:tab/>
        <w:t>6,353,242.17</w:t>
        <w:tab/>
        <w:t>189,898,858.77</w:t>
        <w:tab/>
        <w:t>186,878,477.51</w:t>
      </w:r>
      <w:r>
        <w:rPr>
          <w:rFonts w:ascii="宋体" w:hAnsi="宋体" w:cs="宋体" w:eastAsia="宋体" w:hint="default"/>
          <w:spacing w:val="11"/>
          <w:sz w:val="16"/>
          <w:szCs w:val="16"/>
        </w:rPr>
        <w:t> </w:t>
      </w:r>
      <w:r>
        <w:rPr>
          <w:rFonts w:ascii="宋体" w:hAnsi="宋体" w:cs="宋体" w:eastAsia="宋体" w:hint="default"/>
          <w:spacing w:val="-2"/>
          <w:sz w:val="16"/>
          <w:szCs w:val="16"/>
        </w:rPr>
        <w:t>1,777,840.46</w:t>
        <w:tab/>
        <w:t>185,100,637.05</w:t>
      </w:r>
    </w:p>
    <w:p>
      <w:pPr>
        <w:spacing w:line="240" w:lineRule="auto" w:before="3"/>
        <w:rPr>
          <w:rFonts w:ascii="宋体" w:hAnsi="宋体" w:cs="宋体" w:eastAsia="宋体" w:hint="default"/>
          <w:sz w:val="2"/>
          <w:szCs w:val="2"/>
        </w:rPr>
      </w:pPr>
    </w:p>
    <w:p>
      <w:pPr>
        <w:spacing w:line="20" w:lineRule="exact"/>
        <w:ind w:left="888" w:right="0" w:firstLine="0"/>
        <w:rPr>
          <w:rFonts w:ascii="宋体" w:hAnsi="宋体" w:cs="宋体" w:eastAsia="宋体" w:hint="default"/>
          <w:sz w:val="2"/>
          <w:szCs w:val="2"/>
        </w:rPr>
      </w:pPr>
      <w:r>
        <w:rPr>
          <w:rFonts w:ascii="宋体" w:hAnsi="宋体" w:cs="宋体" w:eastAsia="宋体" w:hint="default"/>
          <w:sz w:val="2"/>
          <w:szCs w:val="2"/>
        </w:rPr>
        <w:pict>
          <v:group style="width:434.4pt;height:.5pt;mso-position-horizontal-relative:char;mso-position-vertical-relative:line" coordorigin="0,0" coordsize="8688,10">
            <v:group style="position:absolute;left:5;top:5;width:1083;height:2" coordorigin="5,5" coordsize="1083,2">
              <v:shape style="position:absolute;left:5;top:5;width:1083;height:2" coordorigin="5,5" coordsize="1083,0" path="m5,5l1087,5e" filled="false" stroked="true" strokeweight=".48001pt" strokecolor="#000000">
                <v:path arrowok="t"/>
              </v:shape>
            </v:group>
            <v:group style="position:absolute;left:1087;top:5;width:10;height:2" coordorigin="1087,5" coordsize="10,2">
              <v:shape style="position:absolute;left:1087;top:5;width:10;height:2" coordorigin="1087,5" coordsize="10,0" path="m1087,5l1097,5e" filled="false" stroked="true" strokeweight=".48001pt" strokecolor="#000000">
                <v:path arrowok="t"/>
              </v:shape>
            </v:group>
            <v:group style="position:absolute;left:1097;top:5;width:1338;height:2" coordorigin="1097,5" coordsize="1338,2">
              <v:shape style="position:absolute;left:1097;top:5;width:1338;height:2" coordorigin="1097,5" coordsize="1338,0" path="m1097,5l2434,5e" filled="false" stroked="true" strokeweight=".48001pt" strokecolor="#000000">
                <v:path arrowok="t"/>
              </v:shape>
            </v:group>
            <v:group style="position:absolute;left:2434;top:5;width:10;height:2" coordorigin="2434,5" coordsize="10,2">
              <v:shape style="position:absolute;left:2434;top:5;width:10;height:2" coordorigin="2434,5" coordsize="10,0" path="m2434,5l2444,5e" filled="false" stroked="true" strokeweight=".48001pt" strokecolor="#000000">
                <v:path arrowok="t"/>
              </v:shape>
            </v:group>
            <v:group style="position:absolute;left:2444;top:5;width:1174;height:2" coordorigin="2444,5" coordsize="1174,2">
              <v:shape style="position:absolute;left:2444;top:5;width:1174;height:2" coordorigin="2444,5" coordsize="1174,0" path="m2444,5l3617,5e" filled="false" stroked="true" strokeweight=".48001pt" strokecolor="#000000">
                <v:path arrowok="t"/>
              </v:shape>
            </v:group>
            <v:group style="position:absolute;left:3617;top:5;width:10;height:2" coordorigin="3617,5" coordsize="10,2">
              <v:shape style="position:absolute;left:3617;top:5;width:10;height:2" coordorigin="3617,5" coordsize="10,0" path="m3617,5l3627,5e" filled="false" stroked="true" strokeweight=".48001pt" strokecolor="#000000">
                <v:path arrowok="t"/>
              </v:shape>
            </v:group>
            <v:group style="position:absolute;left:3627;top:5;width:1338;height:2" coordorigin="3627,5" coordsize="1338,2">
              <v:shape style="position:absolute;left:3627;top:5;width:1338;height:2" coordorigin="3627,5" coordsize="1338,0" path="m3627,5l4964,5e" filled="false" stroked="true" strokeweight=".48001pt" strokecolor="#000000">
                <v:path arrowok="t"/>
              </v:shape>
            </v:group>
            <v:group style="position:absolute;left:4964;top:5;width:10;height:2" coordorigin="4964,5" coordsize="10,2">
              <v:shape style="position:absolute;left:4964;top:5;width:10;height:2" coordorigin="4964,5" coordsize="10,0" path="m4964,5l4974,5e" filled="false" stroked="true" strokeweight=".48001pt" strokecolor="#000000">
                <v:path arrowok="t"/>
              </v:shape>
            </v:group>
            <v:group style="position:absolute;left:4974;top:5;width:1337;height:2" coordorigin="4974,5" coordsize="1337,2">
              <v:shape style="position:absolute;left:4974;top:5;width:1337;height:2" coordorigin="4974,5" coordsize="1337,0" path="m4974,5l6311,5e" filled="false" stroked="true" strokeweight=".48001pt" strokecolor="#000000">
                <v:path arrowok="t"/>
              </v:shape>
            </v:group>
            <v:group style="position:absolute;left:6311;top:5;width:10;height:2" coordorigin="6311,5" coordsize="10,2">
              <v:shape style="position:absolute;left:6311;top:5;width:10;height:2" coordorigin="6311,5" coordsize="10,0" path="m6311,5l6320,5e" filled="false" stroked="true" strokeweight=".48001pt" strokecolor="#000000">
                <v:path arrowok="t"/>
              </v:shape>
            </v:group>
            <v:group style="position:absolute;left:6320;top:5;width:1016;height:2" coordorigin="6320,5" coordsize="1016,2">
              <v:shape style="position:absolute;left:6320;top:5;width:1016;height:2" coordorigin="6320,5" coordsize="1016,0" path="m6320,5l7336,5e" filled="false" stroked="true" strokeweight=".48001pt" strokecolor="#000000">
                <v:path arrowok="t"/>
              </v:shape>
            </v:group>
            <v:group style="position:absolute;left:7336;top:5;width:10;height:2" coordorigin="7336,5" coordsize="10,2">
              <v:shape style="position:absolute;left:7336;top:5;width:10;height:2" coordorigin="7336,5" coordsize="10,0" path="m7336,5l7346,5e" filled="false" stroked="true" strokeweight=".48001pt" strokecolor="#000000">
                <v:path arrowok="t"/>
              </v:shape>
            </v:group>
            <v:group style="position:absolute;left:7346;top:5;width:1337;height:2" coordorigin="7346,5" coordsize="1337,2">
              <v:shape style="position:absolute;left:7346;top:5;width:1337;height:2" coordorigin="7346,5" coordsize="1337,0" path="m7346,5l8682,5e" filled="false" stroked="true" strokeweight=".48001pt" strokecolor="#000000">
                <v:path arrowok="t"/>
              </v:shape>
            </v:group>
          </v:group>
        </w:pict>
      </w:r>
      <w:r>
        <w:rPr>
          <w:rFonts w:ascii="宋体" w:hAnsi="宋体" w:cs="宋体" w:eastAsia="宋体" w:hint="default"/>
          <w:sz w:val="2"/>
          <w:szCs w:val="2"/>
        </w:rPr>
      </w:r>
    </w:p>
    <w:p>
      <w:pPr>
        <w:tabs>
          <w:tab w:pos="2001" w:val="left" w:leader="none"/>
        </w:tabs>
        <w:spacing w:before="2"/>
        <w:ind w:left="922" w:right="796" w:firstLine="0"/>
        <w:jc w:val="left"/>
        <w:rPr>
          <w:rFonts w:ascii="宋体" w:hAnsi="宋体" w:cs="宋体" w:eastAsia="宋体" w:hint="default"/>
          <w:sz w:val="16"/>
          <w:szCs w:val="16"/>
        </w:rPr>
      </w:pPr>
      <w:r>
        <w:rPr>
          <w:rFonts w:ascii="宋体" w:hAnsi="宋体" w:cs="宋体" w:eastAsia="宋体" w:hint="default"/>
          <w:b/>
          <w:bCs/>
          <w:sz w:val="16"/>
          <w:szCs w:val="16"/>
        </w:rPr>
        <w:t>合计</w:t>
        <w:tab/>
      </w:r>
      <w:r>
        <w:rPr>
          <w:rFonts w:ascii="宋体" w:hAnsi="宋体" w:cs="宋体" w:eastAsia="宋体" w:hint="default"/>
          <w:b/>
          <w:bCs/>
          <w:sz w:val="16"/>
          <w:szCs w:val="16"/>
        </w:rPr>
        <w:t>3,875,841,147.33</w:t>
      </w:r>
      <w:r>
        <w:rPr>
          <w:rFonts w:ascii="宋体" w:hAnsi="宋体" w:cs="宋体" w:eastAsia="宋体" w:hint="default"/>
          <w:b/>
          <w:bCs/>
          <w:spacing w:val="-41"/>
          <w:sz w:val="16"/>
          <w:szCs w:val="16"/>
        </w:rPr>
        <w:t> </w:t>
      </w:r>
      <w:r>
        <w:rPr>
          <w:rFonts w:ascii="宋体" w:hAnsi="宋体" w:cs="宋体" w:eastAsia="宋体" w:hint="default"/>
          <w:b/>
          <w:bCs/>
          <w:sz w:val="16"/>
          <w:szCs w:val="16"/>
        </w:rPr>
        <w:t>315,987,981.55</w:t>
      </w:r>
      <w:r>
        <w:rPr>
          <w:rFonts w:ascii="宋体" w:hAnsi="宋体" w:cs="宋体" w:eastAsia="宋体" w:hint="default"/>
          <w:b/>
          <w:bCs/>
          <w:spacing w:val="-40"/>
          <w:sz w:val="16"/>
          <w:szCs w:val="16"/>
        </w:rPr>
        <w:t> </w:t>
      </w:r>
      <w:r>
        <w:rPr>
          <w:rFonts w:ascii="宋体" w:hAnsi="宋体" w:cs="宋体" w:eastAsia="宋体" w:hint="default"/>
          <w:b/>
          <w:bCs/>
          <w:sz w:val="16"/>
          <w:szCs w:val="16"/>
        </w:rPr>
        <w:t>3,559,853,165.78</w:t>
      </w:r>
      <w:r>
        <w:rPr>
          <w:rFonts w:ascii="宋体" w:hAnsi="宋体" w:cs="宋体" w:eastAsia="宋体" w:hint="default"/>
          <w:b/>
          <w:bCs/>
          <w:spacing w:val="-41"/>
          <w:sz w:val="16"/>
          <w:szCs w:val="16"/>
        </w:rPr>
        <w:t> </w:t>
      </w:r>
      <w:r>
        <w:rPr>
          <w:rFonts w:ascii="宋体" w:hAnsi="宋体" w:cs="宋体" w:eastAsia="宋体" w:hint="default"/>
          <w:b/>
          <w:bCs/>
          <w:sz w:val="16"/>
          <w:szCs w:val="16"/>
        </w:rPr>
        <w:t>5,052,522,023.47</w:t>
      </w:r>
      <w:r>
        <w:rPr>
          <w:rFonts w:ascii="宋体" w:hAnsi="宋体" w:cs="宋体" w:eastAsia="宋体" w:hint="default"/>
          <w:b/>
          <w:bCs/>
          <w:spacing w:val="-43"/>
          <w:sz w:val="16"/>
          <w:szCs w:val="16"/>
        </w:rPr>
        <w:t> </w:t>
      </w:r>
      <w:r>
        <w:rPr>
          <w:rFonts w:ascii="宋体" w:hAnsi="宋体" w:cs="宋体" w:eastAsia="宋体" w:hint="default"/>
          <w:b/>
          <w:bCs/>
          <w:sz w:val="16"/>
          <w:szCs w:val="16"/>
        </w:rPr>
        <w:t>1,777,840.46</w:t>
      </w:r>
      <w:r>
        <w:rPr>
          <w:rFonts w:ascii="宋体" w:hAnsi="宋体" w:cs="宋体" w:eastAsia="宋体" w:hint="default"/>
          <w:b/>
          <w:bCs/>
          <w:spacing w:val="-40"/>
          <w:sz w:val="16"/>
          <w:szCs w:val="16"/>
        </w:rPr>
        <w:t> </w:t>
      </w:r>
      <w:r>
        <w:rPr>
          <w:rFonts w:ascii="宋体" w:hAnsi="宋体" w:cs="宋体" w:eastAsia="宋体" w:hint="default"/>
          <w:b/>
          <w:bCs/>
          <w:sz w:val="16"/>
          <w:szCs w:val="16"/>
        </w:rPr>
        <w:t>5,050,744,183.01</w:t>
      </w:r>
      <w:r>
        <w:rPr>
          <w:rFonts w:ascii="宋体" w:hAnsi="宋体" w:cs="宋体" w:eastAsia="宋体" w:hint="default"/>
          <w:sz w:val="16"/>
          <w:szCs w:val="16"/>
        </w:rPr>
      </w:r>
    </w:p>
    <w:p>
      <w:pPr>
        <w:spacing w:line="240" w:lineRule="auto" w:before="12"/>
        <w:rPr>
          <w:rFonts w:ascii="宋体" w:hAnsi="宋体" w:cs="宋体" w:eastAsia="宋体" w:hint="default"/>
          <w:b/>
          <w:bCs/>
          <w:sz w:val="4"/>
          <w:szCs w:val="4"/>
        </w:rPr>
      </w:pPr>
    </w:p>
    <w:p>
      <w:pPr>
        <w:spacing w:line="28" w:lineRule="exact"/>
        <w:ind w:left="864"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6.05pt;height:1.45pt;mso-position-horizontal-relative:char;mso-position-vertical-relative:line" coordorigin="0,0" coordsize="8721,29">
            <v:group style="position:absolute;left:14;top:14;width:1097;height:2" coordorigin="14,14" coordsize="1097,2">
              <v:shape style="position:absolute;left:14;top:14;width:1097;height:2" coordorigin="14,14" coordsize="1097,0" path="m14,14l1111,14e" filled="false" stroked="true" strokeweight="1.44pt" strokecolor="#000000">
                <v:path arrowok="t"/>
              </v:shape>
            </v:group>
            <v:group style="position:absolute;left:1097;top:14;width:29;height:2" coordorigin="1097,14" coordsize="29,2">
              <v:shape style="position:absolute;left:1097;top:14;width:29;height:2" coordorigin="1097,14" coordsize="29,0" path="m1097,14l1126,14e" filled="false" stroked="true" strokeweight="1.44pt" strokecolor="#000000">
                <v:path arrowok="t"/>
              </v:shape>
            </v:group>
            <v:group style="position:absolute;left:1126;top:14;width:1333;height:2" coordorigin="1126,14" coordsize="1333,2">
              <v:shape style="position:absolute;left:1126;top:14;width:1333;height:2" coordorigin="1126,14" coordsize="1333,0" path="m1126,14l2458,14e" filled="false" stroked="true" strokeweight="1.44pt" strokecolor="#000000">
                <v:path arrowok="t"/>
              </v:shape>
            </v:group>
            <v:group style="position:absolute;left:2444;top:14;width:29;height:2" coordorigin="2444,14" coordsize="29,2">
              <v:shape style="position:absolute;left:2444;top:14;width:29;height:2" coordorigin="2444,14" coordsize="29,0" path="m2444,14l2473,14e" filled="false" stroked="true" strokeweight="1.44pt" strokecolor="#000000">
                <v:path arrowok="t"/>
              </v:shape>
            </v:group>
            <v:group style="position:absolute;left:2473;top:14;width:1169;height:2" coordorigin="2473,14" coordsize="1169,2">
              <v:shape style="position:absolute;left:2473;top:14;width:1169;height:2" coordorigin="2473,14" coordsize="1169,0" path="m2473,14l3641,14e" filled="false" stroked="true" strokeweight="1.44pt" strokecolor="#000000">
                <v:path arrowok="t"/>
              </v:shape>
            </v:group>
            <v:group style="position:absolute;left:3627;top:14;width:29;height:2" coordorigin="3627,14" coordsize="29,2">
              <v:shape style="position:absolute;left:3627;top:14;width:29;height:2" coordorigin="3627,14" coordsize="29,0" path="m3627,14l3656,14e" filled="false" stroked="true" strokeweight="1.44pt" strokecolor="#000000">
                <v:path arrowok="t"/>
              </v:shape>
            </v:group>
            <v:group style="position:absolute;left:3656;top:14;width:1333;height:2" coordorigin="3656,14" coordsize="1333,2">
              <v:shape style="position:absolute;left:3656;top:14;width:1333;height:2" coordorigin="3656,14" coordsize="1333,0" path="m3656,14l4988,14e" filled="false" stroked="true" strokeweight="1.44pt" strokecolor="#000000">
                <v:path arrowok="t"/>
              </v:shape>
            </v:group>
            <v:group style="position:absolute;left:4974;top:14;width:29;height:2" coordorigin="4974,14" coordsize="29,2">
              <v:shape style="position:absolute;left:4974;top:14;width:29;height:2" coordorigin="4974,14" coordsize="29,0" path="m4974,14l5003,14e" filled="false" stroked="true" strokeweight="1.44pt" strokecolor="#000000">
                <v:path arrowok="t"/>
              </v:shape>
            </v:group>
            <v:group style="position:absolute;left:5003;top:14;width:1332;height:2" coordorigin="5003,14" coordsize="1332,2">
              <v:shape style="position:absolute;left:5003;top:14;width:1332;height:2" coordorigin="5003,14" coordsize="1332,0" path="m5003,14l6335,14e" filled="false" stroked="true" strokeweight="1.44pt" strokecolor="#000000">
                <v:path arrowok="t"/>
              </v:shape>
            </v:group>
            <v:group style="position:absolute;left:6320;top:14;width:29;height:2" coordorigin="6320,14" coordsize="29,2">
              <v:shape style="position:absolute;left:6320;top:14;width:29;height:2" coordorigin="6320,14" coordsize="29,0" path="m6320,14l6349,14e" filled="false" stroked="true" strokeweight="1.44pt" strokecolor="#000000">
                <v:path arrowok="t"/>
              </v:shape>
            </v:group>
            <v:group style="position:absolute;left:6349;top:14;width:1011;height:2" coordorigin="6349,14" coordsize="1011,2">
              <v:shape style="position:absolute;left:6349;top:14;width:1011;height:2" coordorigin="6349,14" coordsize="1011,0" path="m6349,14l7360,14e" filled="false" stroked="true" strokeweight="1.44pt" strokecolor="#000000">
                <v:path arrowok="t"/>
              </v:shape>
            </v:group>
            <v:group style="position:absolute;left:7346;top:14;width:29;height:2" coordorigin="7346,14" coordsize="29,2">
              <v:shape style="position:absolute;left:7346;top:14;width:29;height:2" coordorigin="7346,14" coordsize="29,0" path="m7346,14l7374,14e" filled="false" stroked="true" strokeweight="1.44pt" strokecolor="#000000">
                <v:path arrowok="t"/>
              </v:shape>
            </v:group>
            <v:group style="position:absolute;left:7374;top:14;width:1332;height:2" coordorigin="7374,14" coordsize="1332,2">
              <v:shape style="position:absolute;left:7374;top:14;width:1332;height:2" coordorigin="7374,14" coordsize="1332,0" path="m7374,14l8706,14e" filled="false" stroked="true" strokeweight="1.44pt" strokecolor="#000000">
                <v:path arrowok="t"/>
              </v:shape>
            </v:group>
          </v:group>
        </w:pict>
      </w:r>
      <w:r>
        <w:rPr>
          <w:rFonts w:ascii="宋体" w:hAnsi="宋体" w:cs="宋体" w:eastAsia="宋体" w:hint="default"/>
          <w:position w:val="0"/>
          <w:sz w:val="2"/>
          <w:szCs w:val="2"/>
        </w:rPr>
      </w:r>
    </w:p>
    <w:p>
      <w:pPr>
        <w:spacing w:before="46"/>
        <w:ind w:left="1375" w:right="796"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20"/>
          <w:sz w:val="22"/>
          <w:szCs w:val="22"/>
        </w:rPr>
        <w:t> </w:t>
      </w:r>
      <w:r>
        <w:rPr>
          <w:rFonts w:ascii="宋体" w:hAnsi="宋体" w:cs="宋体" w:eastAsia="宋体" w:hint="default"/>
          <w:sz w:val="22"/>
          <w:szCs w:val="22"/>
        </w:rPr>
        <w:t>年末按公允价值计量的可供出售权益工具</w:t>
      </w:r>
    </w:p>
    <w:p>
      <w:pPr>
        <w:spacing w:line="240" w:lineRule="auto" w:before="1"/>
        <w:rPr>
          <w:rFonts w:ascii="宋体" w:hAnsi="宋体" w:cs="宋体" w:eastAsia="宋体" w:hint="default"/>
          <w:sz w:val="10"/>
          <w:szCs w:val="10"/>
        </w:rPr>
      </w:pPr>
    </w:p>
    <w:tbl>
      <w:tblPr>
        <w:tblW w:w="0" w:type="auto"/>
        <w:jc w:val="left"/>
        <w:tblInd w:w="814" w:type="dxa"/>
        <w:tblLayout w:type="fixed"/>
        <w:tblCellMar>
          <w:top w:w="0" w:type="dxa"/>
          <w:left w:w="0" w:type="dxa"/>
          <w:bottom w:w="0" w:type="dxa"/>
          <w:right w:w="0" w:type="dxa"/>
        </w:tblCellMar>
        <w:tblLook w:val="01E0"/>
      </w:tblPr>
      <w:tblGrid>
        <w:gridCol w:w="4676"/>
        <w:gridCol w:w="4050"/>
      </w:tblGrid>
      <w:tr>
        <w:trPr>
          <w:trHeight w:val="305" w:hRule="exact"/>
        </w:trPr>
        <w:tc>
          <w:tcPr>
            <w:tcW w:w="467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05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147" w:right="0"/>
              <w:jc w:val="left"/>
              <w:rPr>
                <w:rFonts w:ascii="宋体" w:hAnsi="宋体" w:cs="宋体" w:eastAsia="宋体" w:hint="default"/>
                <w:sz w:val="18"/>
                <w:szCs w:val="18"/>
              </w:rPr>
            </w:pPr>
            <w:r>
              <w:rPr>
                <w:rFonts w:ascii="宋体" w:hAnsi="宋体" w:cs="宋体" w:eastAsia="宋体" w:hint="default"/>
                <w:b/>
                <w:bCs/>
                <w:sz w:val="18"/>
                <w:szCs w:val="18"/>
              </w:rPr>
              <w:t>可供出售权益工具</w:t>
            </w:r>
            <w:r>
              <w:rPr>
                <w:rFonts w:ascii="宋体" w:hAnsi="宋体" w:cs="宋体" w:eastAsia="宋体" w:hint="default"/>
                <w:sz w:val="18"/>
                <w:szCs w:val="18"/>
              </w:rPr>
            </w:r>
          </w:p>
        </w:tc>
      </w:tr>
      <w:tr>
        <w:trPr>
          <w:trHeight w:val="289" w:hRule="exact"/>
        </w:trPr>
        <w:tc>
          <w:tcPr>
            <w:tcW w:w="4676"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权益工具的成本</w:t>
            </w:r>
          </w:p>
        </w:tc>
        <w:tc>
          <w:tcPr>
            <w:tcW w:w="4050"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3,627,253,415.12</w:t>
            </w:r>
          </w:p>
        </w:tc>
      </w:tr>
      <w:tr>
        <w:trPr>
          <w:trHeight w:val="284"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权益工具的期末公允价值</w:t>
            </w:r>
          </w:p>
        </w:tc>
        <w:tc>
          <w:tcPr>
            <w:tcW w:w="4050"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3,612,717,647.71</w:t>
            </w:r>
          </w:p>
        </w:tc>
      </w:tr>
      <w:tr>
        <w:trPr>
          <w:trHeight w:val="284"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4050"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-14,535,767.41</w:t>
            </w:r>
          </w:p>
        </w:tc>
      </w:tr>
      <w:tr>
        <w:trPr>
          <w:trHeight w:val="303" w:hRule="exact"/>
        </w:trPr>
        <w:tc>
          <w:tcPr>
            <w:tcW w:w="4676" w:type="dxa"/>
            <w:tcBorders>
              <w:top w:val="nil" w:sz="6" w:space="0" w:color="auto"/>
              <w:left w:val="nil" w:sz="6" w:space="0" w:color="auto"/>
              <w:bottom w:val="single" w:sz="1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4050" w:type="dxa"/>
            <w:tcBorders>
              <w:top w:val="nil" w:sz="6" w:space="0" w:color="auto"/>
              <w:left w:val="nil" w:sz="6" w:space="0" w:color="auto"/>
              <w:bottom w:val="single" w:sz="12"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309,634,739.38</w:t>
            </w:r>
          </w:p>
        </w:tc>
      </w:tr>
    </w:tbl>
    <w:p>
      <w:pPr>
        <w:spacing w:before="45"/>
        <w:ind w:left="1375" w:right="796" w:firstLine="0"/>
        <w:jc w:val="left"/>
        <w:rPr>
          <w:rFonts w:ascii="宋体" w:hAnsi="宋体" w:cs="宋体" w:eastAsia="宋体" w:hint="default"/>
          <w:sz w:val="22"/>
          <w:szCs w:val="22"/>
        </w:rPr>
      </w:pPr>
      <w:r>
        <w:rPr/>
        <w:pict>
          <v:group style="position:absolute;margin-left:81.503998pt;margin-top:23.137653pt;width:432.6pt;height:1.45pt;mso-position-horizontal-relative:page;mso-position-vertical-relative:paragraph;z-index:-1226776" coordorigin="1630,463" coordsize="8652,29">
            <v:group style="position:absolute;left:1644;top:477;width:2134;height:2" coordorigin="1644,477" coordsize="2134,2">
              <v:shape style="position:absolute;left:1644;top:477;width:2134;height:2" coordorigin="1644,477" coordsize="2134,0" path="m1644,477l3778,477e" filled="false" stroked="true" strokeweight="1.44pt" strokecolor="#000000">
                <v:path arrowok="t"/>
              </v:shape>
            </v:group>
            <v:group style="position:absolute;left:3779;top:477;width:29;height:2" coordorigin="3779,477" coordsize="29,2">
              <v:shape style="position:absolute;left:3779;top:477;width:29;height:2" coordorigin="3779,477" coordsize="29,0" path="m3779,477l3807,477e" filled="false" stroked="true" strokeweight="1.44pt" strokecolor="#000000">
                <v:path arrowok="t"/>
              </v:shape>
            </v:group>
            <v:group style="position:absolute;left:3807;top:477;width:4785;height:2" coordorigin="3807,477" coordsize="4785,2">
              <v:shape style="position:absolute;left:3807;top:477;width:4785;height:2" coordorigin="3807,477" coordsize="4785,0" path="m3807,477l8592,477e" filled="false" stroked="true" strokeweight="1.44pt" strokecolor="#000000">
                <v:path arrowok="t"/>
              </v:shape>
            </v:group>
            <v:group style="position:absolute;left:8592;top:477;width:29;height:2" coordorigin="8592,477" coordsize="29,2">
              <v:shape style="position:absolute;left:8592;top:477;width:29;height:2" coordorigin="8592,477" coordsize="29,0" path="m8592,477l8620,477e" filled="false" stroked="true" strokeweight="1.44pt" strokecolor="#000000">
                <v:path arrowok="t"/>
              </v:shape>
            </v:group>
            <v:group style="position:absolute;left:8620;top:477;width:567;height:2" coordorigin="8620,477" coordsize="567,2">
              <v:shape style="position:absolute;left:8620;top:477;width:567;height:2" coordorigin="8620,477" coordsize="567,0" path="m8620,477l9187,477e" filled="false" stroked="true" strokeweight="1.44pt" strokecolor="#000000">
                <v:path arrowok="t"/>
              </v:shape>
            </v:group>
            <v:group style="position:absolute;left:9187;top:477;width:29;height:2" coordorigin="9187,477" coordsize="29,2">
              <v:shape style="position:absolute;left:9187;top:477;width:29;height:2" coordorigin="9187,477" coordsize="29,0" path="m9187,477l9216,477e" filled="false" stroked="true" strokeweight="1.44pt" strokecolor="#000000">
                <v:path arrowok="t"/>
              </v:shape>
            </v:group>
            <v:group style="position:absolute;left:9216;top:477;width:1052;height:2" coordorigin="9216,477" coordsize="1052,2">
              <v:shape style="position:absolute;left:9216;top:477;width:1052;height:2" coordorigin="9216,477" coordsize="1052,0" path="m9216,477l10267,477e" filled="false" stroked="true" strokeweight="1.44pt" strokecolor="#000000">
                <v:path arrowok="t"/>
              </v:shape>
            </v:group>
            <w10:wrap type="none"/>
          </v:group>
        </w:pict>
      </w:r>
      <w:r>
        <w:rPr>
          <w:rFonts w:ascii="宋体" w:hAnsi="宋体" w:cs="宋体" w:eastAsia="宋体" w:hint="default"/>
          <w:b/>
          <w:bCs/>
          <w:sz w:val="22"/>
          <w:szCs w:val="22"/>
        </w:rPr>
        <w:t>(3)</w:t>
      </w:r>
      <w:r>
        <w:rPr>
          <w:rFonts w:ascii="宋体" w:hAnsi="宋体" w:cs="宋体" w:eastAsia="宋体" w:hint="default"/>
          <w:b/>
          <w:bCs/>
          <w:spacing w:val="-22"/>
          <w:sz w:val="22"/>
          <w:szCs w:val="22"/>
        </w:rPr>
        <w:t> </w:t>
      </w:r>
      <w:r>
        <w:rPr>
          <w:rFonts w:ascii="宋体" w:hAnsi="宋体" w:cs="宋体" w:eastAsia="宋体" w:hint="default"/>
          <w:sz w:val="22"/>
          <w:szCs w:val="22"/>
        </w:rPr>
        <w:t>年末按成本计量的可供出售权益工具</w:t>
      </w:r>
    </w:p>
    <w:p>
      <w:pPr>
        <w:spacing w:after="0"/>
        <w:jc w:val="left"/>
        <w:rPr>
          <w:rFonts w:ascii="宋体" w:hAnsi="宋体" w:cs="宋体" w:eastAsia="宋体" w:hint="default"/>
          <w:sz w:val="22"/>
          <w:szCs w:val="22"/>
        </w:rPr>
        <w:sectPr>
          <w:type w:val="continuous"/>
          <w:pgSz w:w="11910" w:h="16840"/>
          <w:pgMar w:top="1000" w:bottom="280" w:left="780" w:right="800"/>
        </w:sectPr>
      </w:pPr>
    </w:p>
    <w:p>
      <w:pPr>
        <w:tabs>
          <w:tab w:pos="2866" w:val="left" w:leader="none"/>
        </w:tabs>
        <w:spacing w:line="219" w:lineRule="exact" w:before="131"/>
        <w:ind w:left="0" w:right="0" w:firstLine="0"/>
        <w:jc w:val="right"/>
        <w:rPr>
          <w:rFonts w:ascii="宋体" w:hAnsi="宋体" w:cs="宋体" w:eastAsia="宋体" w:hint="default"/>
          <w:sz w:val="16"/>
          <w:szCs w:val="16"/>
        </w:rPr>
      </w:pPr>
      <w:r>
        <w:rPr>
          <w:rFonts w:ascii="宋体" w:hAnsi="宋体" w:cs="宋体" w:eastAsia="宋体" w:hint="default"/>
          <w:b/>
          <w:bCs/>
          <w:sz w:val="16"/>
          <w:szCs w:val="16"/>
        </w:rPr>
        <w:t>账面余额</w:t>
        <w:tab/>
      </w:r>
      <w:r>
        <w:rPr>
          <w:rFonts w:ascii="宋体" w:hAnsi="宋体" w:cs="宋体" w:eastAsia="宋体" w:hint="default"/>
          <w:b/>
          <w:bCs/>
          <w:position w:val="2"/>
          <w:sz w:val="16"/>
          <w:szCs w:val="16"/>
        </w:rPr>
        <w:t>在被</w:t>
      </w:r>
      <w:r>
        <w:rPr>
          <w:rFonts w:ascii="宋体" w:hAnsi="宋体" w:cs="宋体" w:eastAsia="宋体" w:hint="default"/>
          <w:sz w:val="16"/>
          <w:szCs w:val="16"/>
        </w:rPr>
      </w:r>
    </w:p>
    <w:p>
      <w:pPr>
        <w:spacing w:line="199" w:lineRule="exact" w:before="0"/>
        <w:ind w:left="0" w:right="0" w:firstLine="0"/>
        <w:jc w:val="right"/>
        <w:rPr>
          <w:rFonts w:ascii="宋体" w:hAnsi="宋体" w:cs="宋体" w:eastAsia="宋体" w:hint="default"/>
          <w:sz w:val="16"/>
          <w:szCs w:val="16"/>
        </w:rPr>
      </w:pPr>
      <w:r>
        <w:rPr/>
        <w:pict>
          <v:group style="position:absolute;margin-left:188.809998pt;margin-top:2.609388pt;width:240.9pt;height:.25pt;mso-position-horizontal-relative:page;mso-position-vertical-relative:paragraph;z-index:3568" coordorigin="3776,52" coordsize="4818,5">
            <v:group style="position:absolute;left:3779;top:55;width:1244;height:2" coordorigin="3779,55" coordsize="1244,2">
              <v:shape style="position:absolute;left:3779;top:55;width:1244;height:2" coordorigin="3779,55" coordsize="1244,0" path="m3779,55l5022,55e" filled="false" stroked="true" strokeweight=".23999pt" strokecolor="#000000">
                <v:path arrowok="t"/>
              </v:shape>
            </v:group>
            <v:group style="position:absolute;left:5022;top:55;width:5;height:2" coordorigin="5022,55" coordsize="5,2">
              <v:shape style="position:absolute;left:5022;top:55;width:5;height:2" coordorigin="5022,55" coordsize="5,0" path="m5022,55l5027,55e" filled="false" stroked="true" strokeweight=".23999pt" strokecolor="#000000">
                <v:path arrowok="t"/>
              </v:shape>
            </v:group>
            <v:group style="position:absolute;left:5027;top:55;width:1160;height:2" coordorigin="5027,55" coordsize="1160,2">
              <v:shape style="position:absolute;left:5027;top:55;width:1160;height:2" coordorigin="5027,55" coordsize="1160,0" path="m5027,55l6186,55e" filled="false" stroked="true" strokeweight=".23999pt" strokecolor="#000000">
                <v:path arrowok="t"/>
              </v:shape>
            </v:group>
            <v:group style="position:absolute;left:6186;top:55;width:5;height:2" coordorigin="6186,55" coordsize="5,2">
              <v:shape style="position:absolute;left:6186;top:55;width:5;height:2" coordorigin="6186,55" coordsize="5,0" path="m6186,55l6191,55e" filled="false" stroked="true" strokeweight=".23999pt" strokecolor="#000000">
                <v:path arrowok="t"/>
              </v:shape>
            </v:group>
            <v:group style="position:absolute;left:6191;top:55;width:1157;height:2" coordorigin="6191,55" coordsize="1157,2">
              <v:shape style="position:absolute;left:6191;top:55;width:1157;height:2" coordorigin="6191,55" coordsize="1157,0" path="m6191,55l7348,55e" filled="false" stroked="true" strokeweight=".23999pt" strokecolor="#000000">
                <v:path arrowok="t"/>
              </v:shape>
            </v:group>
            <v:group style="position:absolute;left:7348;top:55;width:5;height:2" coordorigin="7348,55" coordsize="5,2">
              <v:shape style="position:absolute;left:7348;top:55;width:5;height:2" coordorigin="7348,55" coordsize="5,0" path="m7348,55l7353,55e" filled="false" stroked="true" strokeweight=".23999pt" strokecolor="#000000">
                <v:path arrowok="t"/>
              </v:shape>
            </v:group>
            <v:group style="position:absolute;left:7353;top:55;width:1239;height:2" coordorigin="7353,55" coordsize="1239,2">
              <v:shape style="position:absolute;left:7353;top:55;width:1239;height:2" coordorigin="7353,55" coordsize="1239,0" path="m7353,55l8591,55e" filled="false" stroked="true" strokeweight=".23999pt" strokecolor="#000000">
                <v:path arrowok="t"/>
              </v:shape>
            </v:group>
            <w10:wrap type="none"/>
          </v:group>
        </w:pict>
      </w:r>
      <w:r>
        <w:rPr>
          <w:rFonts w:ascii="宋体" w:hAnsi="宋体" w:cs="宋体" w:eastAsia="宋体" w:hint="default"/>
          <w:b/>
          <w:bCs/>
          <w:sz w:val="16"/>
          <w:szCs w:val="16"/>
        </w:rPr>
        <w:t>投资</w:t>
      </w:r>
      <w:r>
        <w:rPr>
          <w:rFonts w:ascii="宋体" w:hAnsi="宋体" w:cs="宋体" w:eastAsia="宋体" w:hint="default"/>
          <w:sz w:val="16"/>
          <w:szCs w:val="16"/>
        </w:rPr>
      </w:r>
    </w:p>
    <w:p>
      <w:pPr>
        <w:spacing w:line="240" w:lineRule="auto" w:before="0"/>
        <w:rPr>
          <w:rFonts w:ascii="宋体" w:hAnsi="宋体" w:cs="宋体" w:eastAsia="宋体" w:hint="default"/>
          <w:b/>
          <w:bCs/>
          <w:sz w:val="16"/>
          <w:szCs w:val="16"/>
        </w:rPr>
      </w:pPr>
      <w:r>
        <w:rPr/>
        <w:br w:type="column"/>
      </w:r>
      <w:r>
        <w:rPr>
          <w:rFonts w:ascii="宋体"/>
          <w:b/>
          <w:sz w:val="16"/>
        </w:rPr>
      </w:r>
    </w:p>
    <w:p>
      <w:pPr>
        <w:spacing w:line="240" w:lineRule="auto" w:before="13"/>
        <w:rPr>
          <w:rFonts w:ascii="宋体" w:hAnsi="宋体" w:cs="宋体" w:eastAsia="宋体" w:hint="default"/>
          <w:b/>
          <w:bCs/>
          <w:sz w:val="17"/>
          <w:szCs w:val="17"/>
        </w:rPr>
      </w:pPr>
    </w:p>
    <w:p>
      <w:pPr>
        <w:spacing w:before="0"/>
        <w:ind w:left="394" w:right="0" w:firstLine="0"/>
        <w:jc w:val="left"/>
        <w:rPr>
          <w:rFonts w:ascii="宋体" w:hAnsi="宋体" w:cs="宋体" w:eastAsia="宋体" w:hint="default"/>
          <w:sz w:val="16"/>
          <w:szCs w:val="16"/>
        </w:rPr>
      </w:pPr>
      <w:r>
        <w:rPr/>
        <w:pict>
          <v:shape style="position:absolute;margin-left:82.223999pt;margin-top:7.714376pt;width:431.15pt;height:143.5pt;mso-position-horizontal-relative:page;mso-position-vertical-relative:paragraph;z-index:35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80"/>
                    <w:gridCol w:w="1522"/>
                    <w:gridCol w:w="844"/>
                    <w:gridCol w:w="1200"/>
                    <w:gridCol w:w="535"/>
                    <w:gridCol w:w="1142"/>
                  </w:tblGrid>
                  <w:tr>
                    <w:trPr>
                      <w:trHeight w:val="184"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118" w:lineRule="exact"/>
                          <w:ind w:left="57" w:right="0"/>
                          <w:jc w:val="left"/>
                          <w:rPr>
                            <w:rFonts w:ascii="宋体" w:hAnsi="宋体" w:cs="宋体" w:eastAsia="宋体" w:hint="default"/>
                            <w:sz w:val="16"/>
                            <w:szCs w:val="16"/>
                          </w:rPr>
                        </w:pPr>
                        <w:r>
                          <w:rPr>
                            <w:rFonts w:ascii="宋体" w:hAnsi="宋体" w:cs="宋体" w:eastAsia="宋体" w:hint="default"/>
                            <w:b/>
                            <w:bCs/>
                            <w:sz w:val="16"/>
                            <w:szCs w:val="16"/>
                          </w:rPr>
                          <w:t>被投资单位</w:t>
                        </w:r>
                        <w:r>
                          <w:rPr>
                            <w:rFonts w:ascii="宋体" w:hAnsi="宋体" w:cs="宋体" w:eastAsia="宋体" w:hint="default"/>
                            <w:sz w:val="16"/>
                            <w:szCs w:val="16"/>
                          </w:rPr>
                        </w:r>
                      </w:p>
                      <w:p>
                        <w:pPr>
                          <w:pStyle w:val="TableParagraph"/>
                          <w:spacing w:line="105" w:lineRule="exact"/>
                          <w:ind w:right="300"/>
                          <w:jc w:val="right"/>
                          <w:rPr>
                            <w:rFonts w:ascii="宋体" w:hAnsi="宋体" w:cs="宋体" w:eastAsia="宋体" w:hint="default"/>
                            <w:sz w:val="16"/>
                            <w:szCs w:val="16"/>
                          </w:rPr>
                        </w:pPr>
                        <w:r>
                          <w:rPr>
                            <w:rFonts w:ascii="宋体" w:hAnsi="宋体" w:cs="宋体" w:eastAsia="宋体" w:hint="default"/>
                            <w:b/>
                            <w:bCs/>
                            <w:sz w:val="16"/>
                            <w:szCs w:val="16"/>
                          </w:rPr>
                          <w:t>期初余额</w:t>
                        </w:r>
                        <w:r>
                          <w:rPr>
                            <w:rFonts w:ascii="宋体" w:hAnsi="宋体" w:cs="宋体" w:eastAsia="宋体" w:hint="default"/>
                            <w:sz w:val="16"/>
                            <w:szCs w:val="16"/>
                          </w:rPr>
                        </w:r>
                      </w:p>
                    </w:tc>
                    <w:tc>
                      <w:tcPr>
                        <w:tcW w:w="5242" w:type="dxa"/>
                        <w:gridSpan w:val="5"/>
                        <w:tcBorders>
                          <w:top w:val="nil" w:sz="6" w:space="0" w:color="auto"/>
                          <w:left w:val="nil" w:sz="6" w:space="0" w:color="auto"/>
                          <w:bottom w:val="nil" w:sz="6" w:space="0" w:color="auto"/>
                          <w:right w:val="nil" w:sz="6" w:space="0" w:color="auto"/>
                        </w:tcBorders>
                      </w:tcPr>
                      <w:p>
                        <w:pPr>
                          <w:pStyle w:val="TableParagraph"/>
                          <w:spacing w:line="108" w:lineRule="exact"/>
                          <w:ind w:right="1214"/>
                          <w:jc w:val="right"/>
                          <w:rPr>
                            <w:rFonts w:ascii="宋体" w:hAnsi="宋体" w:cs="宋体" w:eastAsia="宋体" w:hint="default"/>
                            <w:sz w:val="16"/>
                            <w:szCs w:val="16"/>
                          </w:rPr>
                        </w:pPr>
                        <w:r>
                          <w:rPr>
                            <w:rFonts w:ascii="宋体" w:hAnsi="宋体" w:cs="宋体" w:eastAsia="宋体" w:hint="default"/>
                            <w:b/>
                            <w:bCs/>
                            <w:sz w:val="16"/>
                            <w:szCs w:val="16"/>
                          </w:rPr>
                          <w:t>单位</w:t>
                        </w:r>
                        <w:r>
                          <w:rPr>
                            <w:rFonts w:ascii="宋体" w:hAnsi="宋体" w:cs="宋体" w:eastAsia="宋体" w:hint="default"/>
                            <w:sz w:val="16"/>
                            <w:szCs w:val="16"/>
                          </w:rPr>
                        </w:r>
                      </w:p>
                      <w:p>
                        <w:pPr>
                          <w:pStyle w:val="TableParagraph"/>
                          <w:tabs>
                            <w:tab w:pos="1418" w:val="left" w:leader="none"/>
                            <w:tab w:pos="2622" w:val="left" w:leader="none"/>
                            <w:tab w:pos="4459" w:val="left" w:leader="none"/>
                          </w:tabs>
                          <w:spacing w:line="115" w:lineRule="exact"/>
                          <w:ind w:left="253" w:right="0"/>
                          <w:jc w:val="left"/>
                          <w:rPr>
                            <w:rFonts w:ascii="宋体" w:hAnsi="宋体" w:cs="宋体" w:eastAsia="宋体" w:hint="default"/>
                            <w:sz w:val="16"/>
                            <w:szCs w:val="16"/>
                          </w:rPr>
                        </w:pPr>
                        <w:r>
                          <w:rPr>
                            <w:rFonts w:ascii="宋体" w:hAnsi="宋体" w:cs="宋体" w:eastAsia="宋体" w:hint="default"/>
                            <w:b/>
                            <w:bCs/>
                            <w:sz w:val="16"/>
                            <w:szCs w:val="16"/>
                          </w:rPr>
                          <w:t>本期增加</w:t>
                          <w:tab/>
                          <w:t>本期减少</w:t>
                          <w:tab/>
                          <w:t>期末余额</w:t>
                          <w:tab/>
                        </w:r>
                        <w:r>
                          <w:rPr>
                            <w:rFonts w:ascii="宋体" w:hAnsi="宋体" w:cs="宋体" w:eastAsia="宋体" w:hint="default"/>
                            <w:b/>
                            <w:bCs/>
                            <w:position w:val="2"/>
                            <w:sz w:val="16"/>
                            <w:szCs w:val="16"/>
                          </w:rPr>
                          <w:t>金红利</w:t>
                        </w:r>
                        <w:r>
                          <w:rPr>
                            <w:rFonts w:ascii="宋体" w:hAnsi="宋体" w:cs="宋体" w:eastAsia="宋体" w:hint="default"/>
                            <w:sz w:val="16"/>
                            <w:szCs w:val="16"/>
                          </w:rPr>
                        </w:r>
                      </w:p>
                    </w:tc>
                  </w:tr>
                  <w:tr>
                    <w:trPr>
                      <w:trHeight w:val="208" w:hRule="exact"/>
                    </w:trPr>
                    <w:tc>
                      <w:tcPr>
                        <w:tcW w:w="3380"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535" w:type="dxa"/>
                        <w:tcBorders>
                          <w:top w:val="nil" w:sz="6" w:space="0" w:color="auto"/>
                          <w:left w:val="nil" w:sz="6" w:space="0" w:color="auto"/>
                          <w:bottom w:val="nil" w:sz="6" w:space="0" w:color="auto"/>
                          <w:right w:val="nil" w:sz="6" w:space="0" w:color="auto"/>
                        </w:tcBorders>
                      </w:tcPr>
                      <w:p>
                        <w:pPr>
                          <w:pStyle w:val="TableParagraph"/>
                          <w:spacing w:line="184" w:lineRule="exact"/>
                          <w:ind w:left="137" w:right="0"/>
                          <w:jc w:val="left"/>
                          <w:rPr>
                            <w:rFonts w:ascii="宋体" w:hAnsi="宋体" w:cs="宋体" w:eastAsia="宋体" w:hint="default"/>
                            <w:sz w:val="16"/>
                            <w:szCs w:val="16"/>
                          </w:rPr>
                        </w:pPr>
                        <w:r>
                          <w:rPr>
                            <w:rFonts w:ascii="宋体" w:hAnsi="宋体" w:cs="宋体" w:eastAsia="宋体" w:hint="default"/>
                            <w:b/>
                            <w:bCs/>
                            <w:sz w:val="16"/>
                            <w:szCs w:val="16"/>
                          </w:rPr>
                          <w:t>持股</w:t>
                        </w:r>
                        <w:r>
                          <w:rPr>
                            <w:rFonts w:ascii="宋体" w:hAnsi="宋体" w:cs="宋体" w:eastAsia="宋体" w:hint="default"/>
                            <w:sz w:val="16"/>
                            <w:szCs w:val="16"/>
                          </w:rPr>
                        </w:r>
                      </w:p>
                    </w:tc>
                    <w:tc>
                      <w:tcPr>
                        <w:tcW w:w="1142" w:type="dxa"/>
                        <w:tcBorders>
                          <w:top w:val="nil" w:sz="6" w:space="0" w:color="auto"/>
                          <w:left w:val="nil" w:sz="6" w:space="0" w:color="auto"/>
                          <w:bottom w:val="nil" w:sz="6" w:space="0" w:color="auto"/>
                          <w:right w:val="nil" w:sz="6" w:space="0" w:color="auto"/>
                        </w:tcBorders>
                      </w:tcPr>
                      <w:p>
                        <w:pPr/>
                      </w:p>
                    </w:tc>
                  </w:tr>
                  <w:tr>
                    <w:trPr>
                      <w:trHeight w:val="210" w:hRule="exact"/>
                    </w:trPr>
                    <w:tc>
                      <w:tcPr>
                        <w:tcW w:w="3380" w:type="dxa"/>
                        <w:tcBorders>
                          <w:top w:val="nil" w:sz="6" w:space="0" w:color="auto"/>
                          <w:left w:val="nil" w:sz="6" w:space="0" w:color="auto"/>
                          <w:bottom w:val="single" w:sz="2" w:space="0" w:color="000000"/>
                          <w:right w:val="nil" w:sz="6" w:space="0" w:color="auto"/>
                        </w:tcBorders>
                      </w:tcPr>
                      <w:p>
                        <w:pPr/>
                      </w:p>
                    </w:tc>
                    <w:tc>
                      <w:tcPr>
                        <w:tcW w:w="1522" w:type="dxa"/>
                        <w:tcBorders>
                          <w:top w:val="nil" w:sz="6" w:space="0" w:color="auto"/>
                          <w:left w:val="nil" w:sz="6" w:space="0" w:color="auto"/>
                          <w:bottom w:val="single" w:sz="2" w:space="0" w:color="000000"/>
                          <w:right w:val="nil" w:sz="6" w:space="0" w:color="auto"/>
                        </w:tcBorders>
                      </w:tcPr>
                      <w:p>
                        <w:pPr/>
                      </w:p>
                    </w:tc>
                    <w:tc>
                      <w:tcPr>
                        <w:tcW w:w="844" w:type="dxa"/>
                        <w:tcBorders>
                          <w:top w:val="nil" w:sz="6" w:space="0" w:color="auto"/>
                          <w:left w:val="nil" w:sz="6" w:space="0" w:color="auto"/>
                          <w:bottom w:val="single" w:sz="2" w:space="0" w:color="000000"/>
                          <w:right w:val="nil" w:sz="6" w:space="0" w:color="auto"/>
                        </w:tcBorders>
                      </w:tcPr>
                      <w:p>
                        <w:pPr/>
                      </w:p>
                    </w:tc>
                    <w:tc>
                      <w:tcPr>
                        <w:tcW w:w="1200" w:type="dxa"/>
                        <w:tcBorders>
                          <w:top w:val="nil" w:sz="6" w:space="0" w:color="auto"/>
                          <w:left w:val="nil" w:sz="6" w:space="0" w:color="auto"/>
                          <w:bottom w:val="single" w:sz="2" w:space="0" w:color="000000"/>
                          <w:right w:val="nil" w:sz="6" w:space="0" w:color="auto"/>
                        </w:tcBorders>
                      </w:tcPr>
                      <w:p>
                        <w:pPr/>
                      </w:p>
                    </w:tc>
                    <w:tc>
                      <w:tcPr>
                        <w:tcW w:w="535" w:type="dxa"/>
                        <w:tcBorders>
                          <w:top w:val="nil" w:sz="6" w:space="0" w:color="auto"/>
                          <w:left w:val="nil" w:sz="6" w:space="0" w:color="auto"/>
                          <w:bottom w:val="single" w:sz="2" w:space="0" w:color="000000"/>
                          <w:right w:val="nil" w:sz="6" w:space="0" w:color="auto"/>
                        </w:tcBorders>
                      </w:tcPr>
                      <w:p>
                        <w:pPr>
                          <w:pStyle w:val="TableParagraph"/>
                          <w:spacing w:line="185" w:lineRule="exact"/>
                          <w:ind w:left="137" w:right="0"/>
                          <w:jc w:val="left"/>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tc>
                    <w:tc>
                      <w:tcPr>
                        <w:tcW w:w="1142" w:type="dxa"/>
                        <w:tcBorders>
                          <w:top w:val="nil" w:sz="6" w:space="0" w:color="auto"/>
                          <w:left w:val="nil" w:sz="6" w:space="0" w:color="auto"/>
                          <w:bottom w:val="single" w:sz="2" w:space="0" w:color="000000"/>
                          <w:right w:val="nil" w:sz="6" w:space="0" w:color="auto"/>
                        </w:tcBorders>
                      </w:tcPr>
                      <w:p>
                        <w:pPr/>
                      </w:p>
                    </w:tc>
                  </w:tr>
                  <w:tr>
                    <w:trPr>
                      <w:trHeight w:val="289" w:hRule="exact"/>
                    </w:trPr>
                    <w:tc>
                      <w:tcPr>
                        <w:tcW w:w="3380" w:type="dxa"/>
                        <w:tcBorders>
                          <w:top w:val="single" w:sz="2" w:space="0" w:color="000000"/>
                          <w:left w:val="nil" w:sz="6" w:space="0" w:color="auto"/>
                          <w:bottom w:val="nil" w:sz="6" w:space="0" w:color="auto"/>
                          <w:right w:val="nil" w:sz="6" w:space="0" w:color="auto"/>
                        </w:tcBorders>
                      </w:tcPr>
                      <w:p>
                        <w:pPr>
                          <w:pStyle w:val="TableParagraph"/>
                          <w:tabs>
                            <w:tab w:pos="2280" w:val="left" w:leader="none"/>
                          </w:tabs>
                          <w:spacing w:line="202" w:lineRule="exact"/>
                          <w:ind w:left="57" w:right="0"/>
                          <w:jc w:val="left"/>
                          <w:rPr>
                            <w:rFonts w:ascii="宋体" w:hAnsi="宋体" w:cs="宋体" w:eastAsia="宋体" w:hint="default"/>
                            <w:sz w:val="16"/>
                            <w:szCs w:val="16"/>
                          </w:rPr>
                        </w:pPr>
                        <w:r>
                          <w:rPr>
                            <w:rFonts w:ascii="宋体" w:hAnsi="宋体" w:cs="宋体" w:eastAsia="宋体" w:hint="default"/>
                            <w:spacing w:val="-1"/>
                            <w:sz w:val="16"/>
                            <w:szCs w:val="16"/>
                          </w:rPr>
                          <w:t>东莞市乔锋机械有限公司</w:t>
                          <w:tab/>
                        </w:r>
                        <w:r>
                          <w:rPr>
                            <w:rFonts w:ascii="宋体" w:hAnsi="宋体" w:cs="宋体" w:eastAsia="宋体" w:hint="default"/>
                            <w:spacing w:val="-2"/>
                            <w:sz w:val="16"/>
                            <w:szCs w:val="16"/>
                          </w:rPr>
                          <w:t>29,600,000.00</w:t>
                        </w:r>
                      </w:p>
                    </w:tc>
                    <w:tc>
                      <w:tcPr>
                        <w:tcW w:w="1522" w:type="dxa"/>
                        <w:tcBorders>
                          <w:top w:val="single" w:sz="2" w:space="0" w:color="000000"/>
                          <w:left w:val="nil" w:sz="6" w:space="0" w:color="auto"/>
                          <w:bottom w:val="nil" w:sz="6" w:space="0" w:color="auto"/>
                          <w:right w:val="nil" w:sz="6" w:space="0" w:color="auto"/>
                        </w:tcBorders>
                      </w:tcPr>
                      <w:p>
                        <w:pPr>
                          <w:pStyle w:val="TableParagraph"/>
                          <w:spacing w:line="202" w:lineRule="exact"/>
                          <w:ind w:right="420"/>
                          <w:jc w:val="right"/>
                          <w:rPr>
                            <w:rFonts w:ascii="宋体" w:hAnsi="宋体" w:cs="宋体" w:eastAsia="宋体" w:hint="default"/>
                            <w:sz w:val="16"/>
                            <w:szCs w:val="16"/>
                          </w:rPr>
                        </w:pPr>
                        <w:r>
                          <w:rPr>
                            <w:rFonts w:ascii="宋体"/>
                            <w:spacing w:val="-1"/>
                            <w:sz w:val="16"/>
                          </w:rPr>
                          <w:t>0.00</w:t>
                        </w:r>
                      </w:p>
                    </w:tc>
                    <w:tc>
                      <w:tcPr>
                        <w:tcW w:w="844" w:type="dxa"/>
                        <w:tcBorders>
                          <w:top w:val="single" w:sz="2" w:space="0" w:color="000000"/>
                          <w:left w:val="nil" w:sz="6" w:space="0" w:color="auto"/>
                          <w:bottom w:val="nil" w:sz="6" w:space="0" w:color="auto"/>
                          <w:right w:val="nil" w:sz="6" w:space="0" w:color="auto"/>
                        </w:tcBorders>
                      </w:tcPr>
                      <w:p>
                        <w:pPr>
                          <w:pStyle w:val="TableParagraph"/>
                          <w:spacing w:line="202" w:lineRule="exact"/>
                          <w:ind w:right="99"/>
                          <w:jc w:val="right"/>
                          <w:rPr>
                            <w:rFonts w:ascii="宋体" w:hAnsi="宋体" w:cs="宋体" w:eastAsia="宋体" w:hint="default"/>
                            <w:sz w:val="16"/>
                            <w:szCs w:val="16"/>
                          </w:rPr>
                        </w:pPr>
                        <w:r>
                          <w:rPr>
                            <w:rFonts w:ascii="宋体"/>
                            <w:spacing w:val="-1"/>
                            <w:sz w:val="16"/>
                          </w:rPr>
                          <w:t>0.00</w:t>
                        </w:r>
                      </w:p>
                    </w:tc>
                    <w:tc>
                      <w:tcPr>
                        <w:tcW w:w="1200" w:type="dxa"/>
                        <w:tcBorders>
                          <w:top w:val="single" w:sz="2" w:space="0" w:color="000000"/>
                          <w:left w:val="nil" w:sz="6" w:space="0" w:color="auto"/>
                          <w:bottom w:val="nil" w:sz="6" w:space="0" w:color="auto"/>
                          <w:right w:val="nil" w:sz="6" w:space="0" w:color="auto"/>
                        </w:tcBorders>
                      </w:tcPr>
                      <w:p>
                        <w:pPr>
                          <w:pStyle w:val="TableParagraph"/>
                          <w:spacing w:line="202" w:lineRule="exact"/>
                          <w:ind w:right="56"/>
                          <w:jc w:val="right"/>
                          <w:rPr>
                            <w:rFonts w:ascii="宋体" w:hAnsi="宋体" w:cs="宋体" w:eastAsia="宋体" w:hint="default"/>
                            <w:sz w:val="16"/>
                            <w:szCs w:val="16"/>
                          </w:rPr>
                        </w:pPr>
                        <w:r>
                          <w:rPr>
                            <w:rFonts w:ascii="宋体"/>
                            <w:spacing w:val="-2"/>
                            <w:sz w:val="16"/>
                          </w:rPr>
                          <w:t>29,600,000.00</w:t>
                        </w:r>
                      </w:p>
                    </w:tc>
                    <w:tc>
                      <w:tcPr>
                        <w:tcW w:w="535" w:type="dxa"/>
                        <w:tcBorders>
                          <w:top w:val="single" w:sz="2" w:space="0" w:color="000000"/>
                          <w:left w:val="nil" w:sz="6" w:space="0" w:color="auto"/>
                          <w:bottom w:val="nil" w:sz="6" w:space="0" w:color="auto"/>
                          <w:right w:val="nil" w:sz="6" w:space="0" w:color="auto"/>
                        </w:tcBorders>
                      </w:tcPr>
                      <w:p>
                        <w:pPr>
                          <w:pStyle w:val="TableParagraph"/>
                          <w:spacing w:line="202" w:lineRule="exact"/>
                          <w:ind w:right="-6"/>
                          <w:jc w:val="right"/>
                          <w:rPr>
                            <w:rFonts w:ascii="宋体" w:hAnsi="宋体" w:cs="宋体" w:eastAsia="宋体" w:hint="default"/>
                            <w:sz w:val="16"/>
                            <w:szCs w:val="16"/>
                          </w:rPr>
                        </w:pPr>
                        <w:r>
                          <w:rPr>
                            <w:rFonts w:ascii="宋体"/>
                            <w:spacing w:val="-1"/>
                            <w:sz w:val="16"/>
                          </w:rPr>
                          <w:t>3.70%</w:t>
                        </w:r>
                      </w:p>
                    </w:tc>
                    <w:tc>
                      <w:tcPr>
                        <w:tcW w:w="1142" w:type="dxa"/>
                        <w:tcBorders>
                          <w:top w:val="single" w:sz="2" w:space="0" w:color="000000"/>
                          <w:left w:val="nil" w:sz="6" w:space="0" w:color="auto"/>
                          <w:bottom w:val="nil" w:sz="6" w:space="0" w:color="auto"/>
                          <w:right w:val="nil" w:sz="6" w:space="0" w:color="auto"/>
                        </w:tcBorders>
                      </w:tcPr>
                      <w:p>
                        <w:pPr>
                          <w:pStyle w:val="TableParagraph"/>
                          <w:spacing w:line="202" w:lineRule="exact"/>
                          <w:ind w:right="54"/>
                          <w:jc w:val="right"/>
                          <w:rPr>
                            <w:rFonts w:ascii="宋体" w:hAnsi="宋体" w:cs="宋体" w:eastAsia="宋体" w:hint="default"/>
                            <w:sz w:val="16"/>
                            <w:szCs w:val="16"/>
                          </w:rPr>
                        </w:pPr>
                        <w:r>
                          <w:rPr>
                            <w:rFonts w:ascii="宋体"/>
                            <w:spacing w:val="-1"/>
                            <w:sz w:val="16"/>
                          </w:rPr>
                          <w:t>0.00</w:t>
                        </w:r>
                      </w:p>
                    </w:tc>
                  </w:tr>
                  <w:tr>
                    <w:trPr>
                      <w:trHeight w:val="372"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88" w:lineRule="exact"/>
                          <w:ind w:left="57" w:right="0"/>
                          <w:jc w:val="left"/>
                          <w:rPr>
                            <w:rFonts w:ascii="宋体" w:hAnsi="宋体" w:cs="宋体" w:eastAsia="宋体" w:hint="default"/>
                            <w:sz w:val="16"/>
                            <w:szCs w:val="16"/>
                          </w:rPr>
                        </w:pPr>
                        <w:r>
                          <w:rPr>
                            <w:rFonts w:ascii="宋体" w:hAnsi="宋体" w:cs="宋体" w:eastAsia="宋体" w:hint="default"/>
                            <w:spacing w:val="6"/>
                            <w:sz w:val="16"/>
                            <w:szCs w:val="16"/>
                          </w:rPr>
                          <w:t>哈尔滨哈船特装科技发展有</w:t>
                        </w:r>
                      </w:p>
                      <w:p>
                        <w:pPr>
                          <w:pStyle w:val="TableParagraph"/>
                          <w:tabs>
                            <w:tab w:pos="2280" w:val="left" w:leader="none"/>
                          </w:tabs>
                          <w:spacing w:line="256" w:lineRule="exact"/>
                          <w:ind w:left="57" w:right="0"/>
                          <w:jc w:val="left"/>
                          <w:rPr>
                            <w:rFonts w:ascii="宋体" w:hAnsi="宋体" w:cs="宋体" w:eastAsia="宋体" w:hint="default"/>
                            <w:sz w:val="16"/>
                            <w:szCs w:val="16"/>
                          </w:rPr>
                        </w:pPr>
                        <w:r>
                          <w:rPr>
                            <w:rFonts w:ascii="宋体" w:hAnsi="宋体" w:cs="宋体" w:eastAsia="宋体" w:hint="default"/>
                            <w:position w:val="-9"/>
                            <w:sz w:val="16"/>
                            <w:szCs w:val="16"/>
                          </w:rPr>
                          <w:t>限公司</w:t>
                          <w:tab/>
                        </w:r>
                        <w:r>
                          <w:rPr>
                            <w:rFonts w:ascii="宋体" w:hAnsi="宋体" w:cs="宋体" w:eastAsia="宋体" w:hint="default"/>
                            <w:sz w:val="16"/>
                            <w:szCs w:val="16"/>
                          </w:rPr>
                          <w:t>21,750,000.00</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20"/>
                          <w:jc w:val="right"/>
                          <w:rPr>
                            <w:rFonts w:ascii="宋体" w:hAnsi="宋体" w:cs="宋体" w:eastAsia="宋体" w:hint="default"/>
                            <w:sz w:val="16"/>
                            <w:szCs w:val="16"/>
                          </w:rPr>
                        </w:pPr>
                        <w:r>
                          <w:rPr>
                            <w:rFonts w:ascii="宋体"/>
                            <w:spacing w:val="-1"/>
                            <w:sz w:val="16"/>
                          </w:rPr>
                          <w:t>0.00</w:t>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9"/>
                          <w:jc w:val="right"/>
                          <w:rPr>
                            <w:rFonts w:ascii="宋体" w:hAnsi="宋体" w:cs="宋体" w:eastAsia="宋体" w:hint="default"/>
                            <w:sz w:val="16"/>
                            <w:szCs w:val="16"/>
                          </w:rPr>
                        </w:pPr>
                        <w:r>
                          <w:rPr>
                            <w:rFonts w:ascii="宋体"/>
                            <w:spacing w:val="-1"/>
                            <w:sz w:val="16"/>
                          </w:rPr>
                          <w:t>0.00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6"/>
                          <w:jc w:val="right"/>
                          <w:rPr>
                            <w:rFonts w:ascii="宋体" w:hAnsi="宋体" w:cs="宋体" w:eastAsia="宋体" w:hint="default"/>
                            <w:sz w:val="16"/>
                            <w:szCs w:val="16"/>
                          </w:rPr>
                        </w:pPr>
                        <w:r>
                          <w:rPr>
                            <w:rFonts w:ascii="宋体"/>
                            <w:spacing w:val="-2"/>
                            <w:sz w:val="16"/>
                          </w:rPr>
                          <w:t>21,750,000.00</w:t>
                        </w:r>
                      </w:p>
                    </w:tc>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
                          <w:jc w:val="right"/>
                          <w:rPr>
                            <w:rFonts w:ascii="宋体" w:hAnsi="宋体" w:cs="宋体" w:eastAsia="宋体" w:hint="default"/>
                            <w:sz w:val="16"/>
                            <w:szCs w:val="16"/>
                          </w:rPr>
                        </w:pPr>
                        <w:r>
                          <w:rPr>
                            <w:rFonts w:ascii="宋体"/>
                            <w:spacing w:val="-1"/>
                            <w:sz w:val="16"/>
                          </w:rPr>
                          <w:t>10.36%</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4"/>
                          <w:jc w:val="right"/>
                          <w:rPr>
                            <w:rFonts w:ascii="宋体" w:hAnsi="宋体" w:cs="宋体" w:eastAsia="宋体" w:hint="default"/>
                            <w:sz w:val="16"/>
                            <w:szCs w:val="16"/>
                          </w:rPr>
                        </w:pPr>
                        <w:r>
                          <w:rPr>
                            <w:rFonts w:ascii="宋体"/>
                            <w:spacing w:val="-1"/>
                            <w:sz w:val="16"/>
                          </w:rPr>
                          <w:t>0.00</w:t>
                        </w:r>
                      </w:p>
                    </w:tc>
                  </w:tr>
                  <w:tr>
                    <w:trPr>
                      <w:trHeight w:val="415"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132" w:lineRule="exact"/>
                          <w:ind w:left="57" w:right="0"/>
                          <w:jc w:val="left"/>
                          <w:rPr>
                            <w:rFonts w:ascii="宋体" w:hAnsi="宋体" w:cs="宋体" w:eastAsia="宋体" w:hint="default"/>
                            <w:sz w:val="16"/>
                            <w:szCs w:val="16"/>
                          </w:rPr>
                        </w:pPr>
                        <w:r>
                          <w:rPr>
                            <w:rFonts w:ascii="宋体" w:hAnsi="宋体" w:cs="宋体" w:eastAsia="宋体" w:hint="default"/>
                            <w:spacing w:val="6"/>
                            <w:sz w:val="16"/>
                            <w:szCs w:val="16"/>
                          </w:rPr>
                          <w:t>深圳市有为化学技术有限公</w:t>
                        </w:r>
                      </w:p>
                      <w:p>
                        <w:pPr>
                          <w:pStyle w:val="TableParagraph"/>
                          <w:tabs>
                            <w:tab w:pos="3000" w:val="left" w:leader="none"/>
                          </w:tabs>
                          <w:spacing w:line="256" w:lineRule="exact"/>
                          <w:ind w:left="57" w:right="0"/>
                          <w:jc w:val="left"/>
                          <w:rPr>
                            <w:rFonts w:ascii="宋体" w:hAnsi="宋体" w:cs="宋体" w:eastAsia="宋体" w:hint="default"/>
                            <w:sz w:val="16"/>
                            <w:szCs w:val="16"/>
                          </w:rPr>
                        </w:pPr>
                        <w:r>
                          <w:rPr>
                            <w:rFonts w:ascii="宋体" w:hAnsi="宋体" w:cs="宋体" w:eastAsia="宋体" w:hint="default"/>
                            <w:position w:val="-9"/>
                            <w:sz w:val="16"/>
                            <w:szCs w:val="16"/>
                          </w:rPr>
                          <w:t>司</w:t>
                        </w:r>
                        <w:r>
                          <w:rPr>
                            <w:rFonts w:ascii="宋体" w:hAnsi="宋体" w:cs="宋体" w:eastAsia="宋体" w:hint="default"/>
                            <w:sz w:val="16"/>
                            <w:szCs w:val="16"/>
                          </w:rPr>
                          <w:tab/>
                          <w:t>0.00</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20"/>
                          <w:jc w:val="right"/>
                          <w:rPr>
                            <w:rFonts w:ascii="宋体" w:hAnsi="宋体" w:cs="宋体" w:eastAsia="宋体" w:hint="default"/>
                            <w:sz w:val="16"/>
                            <w:szCs w:val="16"/>
                          </w:rPr>
                        </w:pPr>
                        <w:r>
                          <w:rPr>
                            <w:rFonts w:ascii="宋体"/>
                            <w:spacing w:val="-2"/>
                            <w:sz w:val="16"/>
                          </w:rPr>
                          <w:t>20,000,000.00</w:t>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9"/>
                          <w:jc w:val="right"/>
                          <w:rPr>
                            <w:rFonts w:ascii="宋体" w:hAnsi="宋体" w:cs="宋体" w:eastAsia="宋体" w:hint="default"/>
                            <w:sz w:val="16"/>
                            <w:szCs w:val="16"/>
                          </w:rPr>
                        </w:pPr>
                        <w:r>
                          <w:rPr>
                            <w:rFonts w:ascii="宋体"/>
                            <w:spacing w:val="-1"/>
                            <w:sz w:val="16"/>
                          </w:rPr>
                          <w:t>0.00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6"/>
                          <w:jc w:val="right"/>
                          <w:rPr>
                            <w:rFonts w:ascii="宋体" w:hAnsi="宋体" w:cs="宋体" w:eastAsia="宋体" w:hint="default"/>
                            <w:sz w:val="16"/>
                            <w:szCs w:val="16"/>
                          </w:rPr>
                        </w:pPr>
                        <w:r>
                          <w:rPr>
                            <w:rFonts w:ascii="宋体"/>
                            <w:spacing w:val="-2"/>
                            <w:sz w:val="16"/>
                          </w:rPr>
                          <w:t>20,000,000.00</w:t>
                        </w:r>
                      </w:p>
                    </w:tc>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
                          <w:jc w:val="right"/>
                          <w:rPr>
                            <w:rFonts w:ascii="宋体" w:hAnsi="宋体" w:cs="宋体" w:eastAsia="宋体" w:hint="default"/>
                            <w:sz w:val="16"/>
                            <w:szCs w:val="16"/>
                          </w:rPr>
                        </w:pPr>
                        <w:r>
                          <w:rPr>
                            <w:rFonts w:ascii="宋体"/>
                            <w:spacing w:val="-1"/>
                            <w:sz w:val="16"/>
                          </w:rPr>
                          <w:t>1.90%</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4"/>
                          <w:jc w:val="right"/>
                          <w:rPr>
                            <w:rFonts w:ascii="宋体" w:hAnsi="宋体" w:cs="宋体" w:eastAsia="宋体" w:hint="default"/>
                            <w:sz w:val="16"/>
                            <w:szCs w:val="16"/>
                          </w:rPr>
                        </w:pPr>
                        <w:r>
                          <w:rPr>
                            <w:rFonts w:ascii="宋体"/>
                            <w:spacing w:val="-1"/>
                            <w:sz w:val="16"/>
                          </w:rPr>
                          <w:t>0.00</w:t>
                        </w:r>
                      </w:p>
                    </w:tc>
                  </w:tr>
                  <w:tr>
                    <w:trPr>
                      <w:trHeight w:val="372"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132" w:lineRule="exact"/>
                          <w:ind w:left="57" w:right="0"/>
                          <w:jc w:val="left"/>
                          <w:rPr>
                            <w:rFonts w:ascii="宋体" w:hAnsi="宋体" w:cs="宋体" w:eastAsia="宋体" w:hint="default"/>
                            <w:sz w:val="16"/>
                            <w:szCs w:val="16"/>
                          </w:rPr>
                        </w:pPr>
                        <w:r>
                          <w:rPr>
                            <w:rFonts w:ascii="宋体" w:hAnsi="宋体" w:cs="宋体" w:eastAsia="宋体" w:hint="default"/>
                            <w:spacing w:val="6"/>
                            <w:sz w:val="16"/>
                            <w:szCs w:val="16"/>
                          </w:rPr>
                          <w:t>深圳市海目星激光智能装备</w:t>
                        </w:r>
                      </w:p>
                      <w:p>
                        <w:pPr>
                          <w:pStyle w:val="TableParagraph"/>
                          <w:tabs>
                            <w:tab w:pos="2280" w:val="left" w:leader="none"/>
                          </w:tabs>
                          <w:spacing w:line="256" w:lineRule="exact"/>
                          <w:ind w:left="57" w:right="0"/>
                          <w:jc w:val="left"/>
                          <w:rPr>
                            <w:rFonts w:ascii="宋体" w:hAnsi="宋体" w:cs="宋体" w:eastAsia="宋体" w:hint="default"/>
                            <w:sz w:val="16"/>
                            <w:szCs w:val="16"/>
                          </w:rPr>
                        </w:pPr>
                        <w:r>
                          <w:rPr>
                            <w:rFonts w:ascii="宋体" w:hAnsi="宋体" w:cs="宋体" w:eastAsia="宋体" w:hint="default"/>
                            <w:spacing w:val="-1"/>
                            <w:position w:val="-9"/>
                            <w:sz w:val="16"/>
                            <w:szCs w:val="16"/>
                          </w:rPr>
                          <w:t>股份有限公司</w:t>
                          <w:tab/>
                        </w:r>
                        <w:r>
                          <w:rPr>
                            <w:rFonts w:ascii="宋体" w:hAnsi="宋体" w:cs="宋体" w:eastAsia="宋体" w:hint="default"/>
                            <w:spacing w:val="-2"/>
                            <w:sz w:val="16"/>
                            <w:szCs w:val="16"/>
                          </w:rPr>
                          <w:t>20,000,000.00</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20"/>
                          <w:jc w:val="right"/>
                          <w:rPr>
                            <w:rFonts w:ascii="宋体" w:hAnsi="宋体" w:cs="宋体" w:eastAsia="宋体" w:hint="default"/>
                            <w:sz w:val="16"/>
                            <w:szCs w:val="16"/>
                          </w:rPr>
                        </w:pPr>
                        <w:r>
                          <w:rPr>
                            <w:rFonts w:ascii="宋体"/>
                            <w:spacing w:val="-1"/>
                            <w:sz w:val="16"/>
                          </w:rPr>
                          <w:t>0.00</w:t>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9"/>
                          <w:jc w:val="right"/>
                          <w:rPr>
                            <w:rFonts w:ascii="宋体" w:hAnsi="宋体" w:cs="宋体" w:eastAsia="宋体" w:hint="default"/>
                            <w:sz w:val="16"/>
                            <w:szCs w:val="16"/>
                          </w:rPr>
                        </w:pPr>
                        <w:r>
                          <w:rPr>
                            <w:rFonts w:ascii="宋体"/>
                            <w:spacing w:val="-1"/>
                            <w:sz w:val="16"/>
                          </w:rPr>
                          <w:t>0.00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6"/>
                          <w:jc w:val="right"/>
                          <w:rPr>
                            <w:rFonts w:ascii="宋体" w:hAnsi="宋体" w:cs="宋体" w:eastAsia="宋体" w:hint="default"/>
                            <w:sz w:val="16"/>
                            <w:szCs w:val="16"/>
                          </w:rPr>
                        </w:pPr>
                        <w:r>
                          <w:rPr>
                            <w:rFonts w:ascii="宋体"/>
                            <w:spacing w:val="-2"/>
                            <w:sz w:val="16"/>
                          </w:rPr>
                          <w:t>20,000,000.00</w:t>
                        </w:r>
                      </w:p>
                    </w:tc>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
                          <w:jc w:val="right"/>
                          <w:rPr>
                            <w:rFonts w:ascii="宋体" w:hAnsi="宋体" w:cs="宋体" w:eastAsia="宋体" w:hint="default"/>
                            <w:sz w:val="16"/>
                            <w:szCs w:val="16"/>
                          </w:rPr>
                        </w:pPr>
                        <w:r>
                          <w:rPr>
                            <w:rFonts w:ascii="宋体"/>
                            <w:spacing w:val="-1"/>
                            <w:sz w:val="16"/>
                          </w:rPr>
                          <w:t>3.26%</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4"/>
                          <w:jc w:val="right"/>
                          <w:rPr>
                            <w:rFonts w:ascii="宋体" w:hAnsi="宋体" w:cs="宋体" w:eastAsia="宋体" w:hint="default"/>
                            <w:sz w:val="16"/>
                            <w:szCs w:val="16"/>
                          </w:rPr>
                        </w:pPr>
                        <w:r>
                          <w:rPr>
                            <w:rFonts w:ascii="宋体"/>
                            <w:spacing w:val="-1"/>
                            <w:sz w:val="16"/>
                          </w:rPr>
                          <w:t>0.00</w:t>
                        </w:r>
                      </w:p>
                    </w:tc>
                  </w:tr>
                  <w:tr>
                    <w:trPr>
                      <w:trHeight w:val="287" w:hRule="exact"/>
                    </w:trPr>
                    <w:tc>
                      <w:tcPr>
                        <w:tcW w:w="3380" w:type="dxa"/>
                        <w:tcBorders>
                          <w:top w:val="nil" w:sz="6" w:space="0" w:color="auto"/>
                          <w:left w:val="nil" w:sz="6" w:space="0" w:color="auto"/>
                          <w:bottom w:val="nil" w:sz="6" w:space="0" w:color="auto"/>
                          <w:right w:val="nil" w:sz="6" w:space="0" w:color="auto"/>
                        </w:tcBorders>
                      </w:tcPr>
                      <w:p>
                        <w:pPr>
                          <w:pStyle w:val="TableParagraph"/>
                          <w:tabs>
                            <w:tab w:pos="2280" w:val="left" w:leader="none"/>
                          </w:tabs>
                          <w:spacing w:line="240" w:lineRule="auto" w:before="35"/>
                          <w:ind w:left="57" w:right="0"/>
                          <w:jc w:val="left"/>
                          <w:rPr>
                            <w:rFonts w:ascii="宋体" w:hAnsi="宋体" w:cs="宋体" w:eastAsia="宋体" w:hint="default"/>
                            <w:sz w:val="16"/>
                            <w:szCs w:val="16"/>
                          </w:rPr>
                        </w:pPr>
                        <w:r>
                          <w:rPr>
                            <w:rFonts w:ascii="宋体"/>
                            <w:sz w:val="16"/>
                          </w:rPr>
                          <w:t>Legend Silicon</w:t>
                        </w:r>
                        <w:r>
                          <w:rPr>
                            <w:rFonts w:ascii="宋体"/>
                            <w:spacing w:val="-13"/>
                            <w:sz w:val="16"/>
                          </w:rPr>
                          <w:t> </w:t>
                        </w:r>
                        <w:r>
                          <w:rPr>
                            <w:rFonts w:ascii="宋体"/>
                            <w:sz w:val="16"/>
                          </w:rPr>
                          <w:t>Corp.</w:t>
                          <w:tab/>
                          <w:t>18,404,728.00</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20"/>
                          <w:jc w:val="right"/>
                          <w:rPr>
                            <w:rFonts w:ascii="宋体" w:hAnsi="宋体" w:cs="宋体" w:eastAsia="宋体" w:hint="default"/>
                            <w:sz w:val="16"/>
                            <w:szCs w:val="16"/>
                          </w:rPr>
                        </w:pPr>
                        <w:r>
                          <w:rPr>
                            <w:rFonts w:ascii="宋体"/>
                            <w:spacing w:val="-1"/>
                            <w:sz w:val="16"/>
                          </w:rPr>
                          <w:t>0.00</w:t>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9"/>
                          <w:jc w:val="right"/>
                          <w:rPr>
                            <w:rFonts w:ascii="宋体" w:hAnsi="宋体" w:cs="宋体" w:eastAsia="宋体" w:hint="default"/>
                            <w:sz w:val="16"/>
                            <w:szCs w:val="16"/>
                          </w:rPr>
                        </w:pPr>
                        <w:r>
                          <w:rPr>
                            <w:rFonts w:ascii="宋体"/>
                            <w:spacing w:val="-1"/>
                            <w:sz w:val="16"/>
                          </w:rPr>
                          <w:t>0.00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6"/>
                          <w:jc w:val="right"/>
                          <w:rPr>
                            <w:rFonts w:ascii="宋体" w:hAnsi="宋体" w:cs="宋体" w:eastAsia="宋体" w:hint="default"/>
                            <w:sz w:val="16"/>
                            <w:szCs w:val="16"/>
                          </w:rPr>
                        </w:pPr>
                        <w:r>
                          <w:rPr>
                            <w:rFonts w:ascii="宋体"/>
                            <w:spacing w:val="-2"/>
                            <w:sz w:val="16"/>
                          </w:rPr>
                          <w:t>18,404,728.00</w:t>
                        </w:r>
                      </w:p>
                    </w:tc>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
                          <w:jc w:val="right"/>
                          <w:rPr>
                            <w:rFonts w:ascii="宋体" w:hAnsi="宋体" w:cs="宋体" w:eastAsia="宋体" w:hint="default"/>
                            <w:sz w:val="16"/>
                            <w:szCs w:val="16"/>
                          </w:rPr>
                        </w:pPr>
                        <w:r>
                          <w:rPr>
                            <w:rFonts w:ascii="宋体"/>
                            <w:spacing w:val="-1"/>
                            <w:sz w:val="16"/>
                          </w:rPr>
                          <w:t>3.56%</w:t>
                        </w:r>
                      </w:p>
                    </w:tc>
                    <w:tc>
                      <w:tcPr>
                        <w:tcW w:w="11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4"/>
                          <w:jc w:val="right"/>
                          <w:rPr>
                            <w:rFonts w:ascii="宋体" w:hAnsi="宋体" w:cs="宋体" w:eastAsia="宋体" w:hint="default"/>
                            <w:sz w:val="16"/>
                            <w:szCs w:val="16"/>
                          </w:rPr>
                        </w:pPr>
                        <w:r>
                          <w:rPr>
                            <w:rFonts w:ascii="宋体"/>
                            <w:spacing w:val="-1"/>
                            <w:sz w:val="16"/>
                          </w:rPr>
                          <w:t>0.00</w:t>
                        </w:r>
                      </w:p>
                    </w:tc>
                  </w:tr>
                  <w:tr>
                    <w:trPr>
                      <w:trHeight w:val="244" w:hRule="exact"/>
                    </w:trPr>
                    <w:tc>
                      <w:tcPr>
                        <w:tcW w:w="3380" w:type="dxa"/>
                        <w:tcBorders>
                          <w:top w:val="nil" w:sz="6" w:space="0" w:color="auto"/>
                          <w:left w:val="nil" w:sz="6" w:space="0" w:color="auto"/>
                          <w:bottom w:val="nil" w:sz="6" w:space="0" w:color="auto"/>
                          <w:right w:val="nil" w:sz="6" w:space="0" w:color="auto"/>
                        </w:tcBorders>
                      </w:tcPr>
                      <w:p>
                        <w:pPr>
                          <w:pStyle w:val="TableParagraph"/>
                          <w:tabs>
                            <w:tab w:pos="3000" w:val="left" w:leader="none"/>
                          </w:tabs>
                          <w:spacing w:line="203" w:lineRule="exact"/>
                          <w:ind w:left="57" w:right="0"/>
                          <w:jc w:val="left"/>
                          <w:rPr>
                            <w:rFonts w:ascii="宋体" w:hAnsi="宋体" w:cs="宋体" w:eastAsia="宋体" w:hint="default"/>
                            <w:sz w:val="16"/>
                            <w:szCs w:val="16"/>
                          </w:rPr>
                        </w:pPr>
                        <w:r>
                          <w:rPr>
                            <w:rFonts w:ascii="宋体"/>
                            <w:spacing w:val="-1"/>
                            <w:sz w:val="16"/>
                          </w:rPr>
                          <w:t>REDLEN</w:t>
                          <w:tab/>
                          <w:t>0.00</w:t>
                        </w:r>
                      </w:p>
                    </w:tc>
                    <w:tc>
                      <w:tcPr>
                        <w:tcW w:w="1522" w:type="dxa"/>
                        <w:tcBorders>
                          <w:top w:val="nil" w:sz="6" w:space="0" w:color="auto"/>
                          <w:left w:val="nil" w:sz="6" w:space="0" w:color="auto"/>
                          <w:bottom w:val="nil" w:sz="6" w:space="0" w:color="auto"/>
                          <w:right w:val="nil" w:sz="6" w:space="0" w:color="auto"/>
                        </w:tcBorders>
                      </w:tcPr>
                      <w:p>
                        <w:pPr>
                          <w:pStyle w:val="TableParagraph"/>
                          <w:spacing w:line="203" w:lineRule="exact"/>
                          <w:ind w:right="420"/>
                          <w:jc w:val="right"/>
                          <w:rPr>
                            <w:rFonts w:ascii="宋体" w:hAnsi="宋体" w:cs="宋体" w:eastAsia="宋体" w:hint="default"/>
                            <w:sz w:val="16"/>
                            <w:szCs w:val="16"/>
                          </w:rPr>
                        </w:pPr>
                        <w:r>
                          <w:rPr>
                            <w:rFonts w:ascii="宋体"/>
                            <w:spacing w:val="-2"/>
                            <w:sz w:val="16"/>
                          </w:rPr>
                          <w:t>10,537,863.06</w:t>
                        </w:r>
                      </w:p>
                    </w:tc>
                    <w:tc>
                      <w:tcPr>
                        <w:tcW w:w="844" w:type="dxa"/>
                        <w:tcBorders>
                          <w:top w:val="nil" w:sz="6" w:space="0" w:color="auto"/>
                          <w:left w:val="nil" w:sz="6" w:space="0" w:color="auto"/>
                          <w:bottom w:val="nil" w:sz="6" w:space="0" w:color="auto"/>
                          <w:right w:val="nil" w:sz="6" w:space="0" w:color="auto"/>
                        </w:tcBorders>
                      </w:tcPr>
                      <w:p>
                        <w:pPr>
                          <w:pStyle w:val="TableParagraph"/>
                          <w:spacing w:line="203" w:lineRule="exact"/>
                          <w:ind w:right="99"/>
                          <w:jc w:val="right"/>
                          <w:rPr>
                            <w:rFonts w:ascii="宋体" w:hAnsi="宋体" w:cs="宋体" w:eastAsia="宋体" w:hint="default"/>
                            <w:sz w:val="16"/>
                            <w:szCs w:val="16"/>
                          </w:rPr>
                        </w:pPr>
                        <w:r>
                          <w:rPr>
                            <w:rFonts w:ascii="宋体"/>
                            <w:spacing w:val="-1"/>
                            <w:sz w:val="16"/>
                          </w:rPr>
                          <w:t>0.00</w:t>
                        </w:r>
                      </w:p>
                    </w:tc>
                    <w:tc>
                      <w:tcPr>
                        <w:tcW w:w="1200" w:type="dxa"/>
                        <w:tcBorders>
                          <w:top w:val="nil" w:sz="6" w:space="0" w:color="auto"/>
                          <w:left w:val="nil" w:sz="6" w:space="0" w:color="auto"/>
                          <w:bottom w:val="nil" w:sz="6" w:space="0" w:color="auto"/>
                          <w:right w:val="nil" w:sz="6" w:space="0" w:color="auto"/>
                        </w:tcBorders>
                      </w:tcPr>
                      <w:p>
                        <w:pPr>
                          <w:pStyle w:val="TableParagraph"/>
                          <w:spacing w:line="203" w:lineRule="exact"/>
                          <w:ind w:right="56"/>
                          <w:jc w:val="right"/>
                          <w:rPr>
                            <w:rFonts w:ascii="宋体" w:hAnsi="宋体" w:cs="宋体" w:eastAsia="宋体" w:hint="default"/>
                            <w:sz w:val="16"/>
                            <w:szCs w:val="16"/>
                          </w:rPr>
                        </w:pPr>
                        <w:r>
                          <w:rPr>
                            <w:rFonts w:ascii="宋体"/>
                            <w:spacing w:val="-2"/>
                            <w:sz w:val="16"/>
                          </w:rPr>
                          <w:t>10,537,863.06</w:t>
                        </w:r>
                      </w:p>
                    </w:tc>
                    <w:tc>
                      <w:tcPr>
                        <w:tcW w:w="535" w:type="dxa"/>
                        <w:tcBorders>
                          <w:top w:val="nil" w:sz="6" w:space="0" w:color="auto"/>
                          <w:left w:val="nil" w:sz="6" w:space="0" w:color="auto"/>
                          <w:bottom w:val="nil" w:sz="6" w:space="0" w:color="auto"/>
                          <w:right w:val="nil" w:sz="6" w:space="0" w:color="auto"/>
                        </w:tcBorders>
                      </w:tcPr>
                      <w:p>
                        <w:pPr>
                          <w:pStyle w:val="TableParagraph"/>
                          <w:spacing w:line="203" w:lineRule="exact"/>
                          <w:ind w:right="-6"/>
                          <w:jc w:val="right"/>
                          <w:rPr>
                            <w:rFonts w:ascii="宋体" w:hAnsi="宋体" w:cs="宋体" w:eastAsia="宋体" w:hint="default"/>
                            <w:sz w:val="16"/>
                            <w:szCs w:val="16"/>
                          </w:rPr>
                        </w:pPr>
                        <w:r>
                          <w:rPr>
                            <w:rFonts w:ascii="宋体"/>
                            <w:spacing w:val="-1"/>
                            <w:sz w:val="16"/>
                          </w:rPr>
                          <w:t>2.35%</w:t>
                        </w:r>
                      </w:p>
                    </w:tc>
                    <w:tc>
                      <w:tcPr>
                        <w:tcW w:w="1142" w:type="dxa"/>
                        <w:tcBorders>
                          <w:top w:val="nil" w:sz="6" w:space="0" w:color="auto"/>
                          <w:left w:val="nil" w:sz="6" w:space="0" w:color="auto"/>
                          <w:bottom w:val="nil" w:sz="6" w:space="0" w:color="auto"/>
                          <w:right w:val="nil" w:sz="6" w:space="0" w:color="auto"/>
                        </w:tcBorders>
                      </w:tcPr>
                      <w:p>
                        <w:pPr>
                          <w:pStyle w:val="TableParagraph"/>
                          <w:spacing w:line="203" w:lineRule="exact"/>
                          <w:ind w:right="54"/>
                          <w:jc w:val="right"/>
                          <w:rPr>
                            <w:rFonts w:ascii="宋体" w:hAnsi="宋体" w:cs="宋体" w:eastAsia="宋体" w:hint="default"/>
                            <w:sz w:val="16"/>
                            <w:szCs w:val="16"/>
                          </w:rPr>
                        </w:pPr>
                        <w:r>
                          <w:rPr>
                            <w:rFonts w:ascii="宋体"/>
                            <w:spacing w:val="-1"/>
                            <w:sz w:val="16"/>
                          </w:rPr>
                          <w:t>0.00</w:t>
                        </w:r>
                      </w:p>
                    </w:tc>
                  </w:tr>
                  <w:tr>
                    <w:trPr>
                      <w:trHeight w:val="261" w:hRule="exact"/>
                    </w:trPr>
                    <w:tc>
                      <w:tcPr>
                        <w:tcW w:w="3380" w:type="dxa"/>
                        <w:tcBorders>
                          <w:top w:val="nil" w:sz="6" w:space="0" w:color="auto"/>
                          <w:left w:val="nil" w:sz="6" w:space="0" w:color="auto"/>
                          <w:bottom w:val="single" w:sz="12" w:space="0" w:color="000000"/>
                          <w:right w:val="nil" w:sz="6" w:space="0" w:color="auto"/>
                        </w:tcBorders>
                      </w:tcPr>
                      <w:p>
                        <w:pPr>
                          <w:pStyle w:val="TableParagraph"/>
                          <w:tabs>
                            <w:tab w:pos="2280" w:val="left" w:leader="none"/>
                          </w:tabs>
                          <w:spacing w:line="201" w:lineRule="exact"/>
                          <w:ind w:left="57" w:right="0"/>
                          <w:jc w:val="left"/>
                          <w:rPr>
                            <w:rFonts w:ascii="宋体" w:hAnsi="宋体" w:cs="宋体" w:eastAsia="宋体" w:hint="default"/>
                            <w:sz w:val="16"/>
                            <w:szCs w:val="16"/>
                          </w:rPr>
                        </w:pPr>
                        <w:r>
                          <w:rPr>
                            <w:rFonts w:ascii="宋体" w:hAnsi="宋体" w:cs="宋体" w:eastAsia="宋体" w:hint="default"/>
                            <w:spacing w:val="-1"/>
                            <w:sz w:val="16"/>
                            <w:szCs w:val="16"/>
                          </w:rPr>
                          <w:t>中投信用担保有限公司</w:t>
                          <w:tab/>
                        </w:r>
                        <w:r>
                          <w:rPr>
                            <w:rFonts w:ascii="宋体" w:hAnsi="宋体" w:cs="宋体" w:eastAsia="宋体" w:hint="default"/>
                            <w:spacing w:val="-2"/>
                            <w:sz w:val="16"/>
                            <w:szCs w:val="16"/>
                          </w:rPr>
                          <w:t>10,000,000.00</w:t>
                        </w:r>
                      </w:p>
                    </w:tc>
                    <w:tc>
                      <w:tcPr>
                        <w:tcW w:w="1522" w:type="dxa"/>
                        <w:tcBorders>
                          <w:top w:val="nil" w:sz="6" w:space="0" w:color="auto"/>
                          <w:left w:val="nil" w:sz="6" w:space="0" w:color="auto"/>
                          <w:bottom w:val="single" w:sz="12" w:space="0" w:color="000000"/>
                          <w:right w:val="nil" w:sz="6" w:space="0" w:color="auto"/>
                        </w:tcBorders>
                      </w:tcPr>
                      <w:p>
                        <w:pPr>
                          <w:pStyle w:val="TableParagraph"/>
                          <w:spacing w:line="201" w:lineRule="exact"/>
                          <w:ind w:right="420"/>
                          <w:jc w:val="right"/>
                          <w:rPr>
                            <w:rFonts w:ascii="宋体" w:hAnsi="宋体" w:cs="宋体" w:eastAsia="宋体" w:hint="default"/>
                            <w:sz w:val="16"/>
                            <w:szCs w:val="16"/>
                          </w:rPr>
                        </w:pPr>
                        <w:r>
                          <w:rPr>
                            <w:rFonts w:ascii="宋体"/>
                            <w:spacing w:val="-1"/>
                            <w:sz w:val="16"/>
                          </w:rPr>
                          <w:t>0.00</w:t>
                        </w:r>
                      </w:p>
                    </w:tc>
                    <w:tc>
                      <w:tcPr>
                        <w:tcW w:w="844" w:type="dxa"/>
                        <w:tcBorders>
                          <w:top w:val="nil" w:sz="6" w:space="0" w:color="auto"/>
                          <w:left w:val="nil" w:sz="6" w:space="0" w:color="auto"/>
                          <w:bottom w:val="single" w:sz="12" w:space="0" w:color="000000"/>
                          <w:right w:val="nil" w:sz="6" w:space="0" w:color="auto"/>
                        </w:tcBorders>
                      </w:tcPr>
                      <w:p>
                        <w:pPr>
                          <w:pStyle w:val="TableParagraph"/>
                          <w:spacing w:line="201" w:lineRule="exact"/>
                          <w:ind w:right="99"/>
                          <w:jc w:val="right"/>
                          <w:rPr>
                            <w:rFonts w:ascii="宋体" w:hAnsi="宋体" w:cs="宋体" w:eastAsia="宋体" w:hint="default"/>
                            <w:sz w:val="16"/>
                            <w:szCs w:val="16"/>
                          </w:rPr>
                        </w:pPr>
                        <w:r>
                          <w:rPr>
                            <w:rFonts w:ascii="宋体"/>
                            <w:spacing w:val="-1"/>
                            <w:sz w:val="16"/>
                          </w:rPr>
                          <w:t>0.00</w:t>
                        </w:r>
                      </w:p>
                    </w:tc>
                    <w:tc>
                      <w:tcPr>
                        <w:tcW w:w="1200" w:type="dxa"/>
                        <w:tcBorders>
                          <w:top w:val="nil" w:sz="6" w:space="0" w:color="auto"/>
                          <w:left w:val="nil" w:sz="6" w:space="0" w:color="auto"/>
                          <w:bottom w:val="single" w:sz="12" w:space="0" w:color="000000"/>
                          <w:right w:val="nil" w:sz="6" w:space="0" w:color="auto"/>
                        </w:tcBorders>
                      </w:tcPr>
                      <w:p>
                        <w:pPr>
                          <w:pStyle w:val="TableParagraph"/>
                          <w:spacing w:line="201" w:lineRule="exact"/>
                          <w:ind w:right="56"/>
                          <w:jc w:val="right"/>
                          <w:rPr>
                            <w:rFonts w:ascii="宋体" w:hAnsi="宋体" w:cs="宋体" w:eastAsia="宋体" w:hint="default"/>
                            <w:sz w:val="16"/>
                            <w:szCs w:val="16"/>
                          </w:rPr>
                        </w:pPr>
                        <w:r>
                          <w:rPr>
                            <w:rFonts w:ascii="宋体"/>
                            <w:spacing w:val="-2"/>
                            <w:sz w:val="16"/>
                          </w:rPr>
                          <w:t>10,000,000.00</w:t>
                        </w:r>
                      </w:p>
                    </w:tc>
                    <w:tc>
                      <w:tcPr>
                        <w:tcW w:w="535" w:type="dxa"/>
                        <w:tcBorders>
                          <w:top w:val="nil" w:sz="6" w:space="0" w:color="auto"/>
                          <w:left w:val="nil" w:sz="6" w:space="0" w:color="auto"/>
                          <w:bottom w:val="single" w:sz="12" w:space="0" w:color="000000"/>
                          <w:right w:val="nil" w:sz="6" w:space="0" w:color="auto"/>
                        </w:tcBorders>
                      </w:tcPr>
                      <w:p>
                        <w:pPr>
                          <w:pStyle w:val="TableParagraph"/>
                          <w:spacing w:line="201" w:lineRule="exact"/>
                          <w:ind w:right="-6"/>
                          <w:jc w:val="right"/>
                          <w:rPr>
                            <w:rFonts w:ascii="宋体" w:hAnsi="宋体" w:cs="宋体" w:eastAsia="宋体" w:hint="default"/>
                            <w:sz w:val="16"/>
                            <w:szCs w:val="16"/>
                          </w:rPr>
                        </w:pPr>
                        <w:r>
                          <w:rPr>
                            <w:rFonts w:ascii="宋体"/>
                            <w:spacing w:val="-1"/>
                            <w:sz w:val="16"/>
                          </w:rPr>
                          <w:t>1.00%</w:t>
                        </w:r>
                      </w:p>
                    </w:tc>
                    <w:tc>
                      <w:tcPr>
                        <w:tcW w:w="1142" w:type="dxa"/>
                        <w:tcBorders>
                          <w:top w:val="nil" w:sz="6" w:space="0" w:color="auto"/>
                          <w:left w:val="nil" w:sz="6" w:space="0" w:color="auto"/>
                          <w:bottom w:val="single" w:sz="12" w:space="0" w:color="000000"/>
                          <w:right w:val="nil" w:sz="6" w:space="0" w:color="auto"/>
                        </w:tcBorders>
                      </w:tcPr>
                      <w:p>
                        <w:pPr>
                          <w:pStyle w:val="TableParagraph"/>
                          <w:spacing w:line="201" w:lineRule="exact"/>
                          <w:ind w:right="54"/>
                          <w:jc w:val="right"/>
                          <w:rPr>
                            <w:rFonts w:ascii="宋体" w:hAnsi="宋体" w:cs="宋体" w:eastAsia="宋体" w:hint="default"/>
                            <w:sz w:val="16"/>
                            <w:szCs w:val="16"/>
                          </w:rPr>
                        </w:pPr>
                        <w:r>
                          <w:rPr>
                            <w:rFonts w:ascii="宋体"/>
                            <w:spacing w:val="-1"/>
                            <w:sz w:val="16"/>
                          </w:rPr>
                          <w:t>0.00</w:t>
                        </w:r>
                      </w:p>
                    </w:tc>
                  </w:tr>
                </w:tbl>
                <w:p>
                  <w:pPr/>
                </w:p>
              </w:txbxContent>
            </v:textbox>
            <w10:wrap type="none"/>
          </v:shape>
        </w:pict>
      </w:r>
      <w:r>
        <w:rPr>
          <w:rFonts w:ascii="宋体" w:hAnsi="宋体" w:cs="宋体" w:eastAsia="宋体" w:hint="default"/>
          <w:b/>
          <w:bCs/>
          <w:sz w:val="16"/>
          <w:szCs w:val="16"/>
        </w:rPr>
        <w:t>本期现</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1910" w:h="16840"/>
          <w:pgMar w:top="1000" w:bottom="280" w:left="780" w:right="800"/>
          <w:cols w:num="2" w:equalWidth="0">
            <w:col w:w="8271" w:space="40"/>
            <w:col w:w="2019"/>
          </w:cols>
        </w:sectPr>
      </w:pPr>
    </w:p>
    <w:p>
      <w:pPr>
        <w:spacing w:line="240" w:lineRule="auto" w:before="0"/>
        <w:rPr>
          <w:rFonts w:ascii="宋体" w:hAnsi="宋体" w:cs="宋体" w:eastAsia="宋体" w:hint="default"/>
          <w:b/>
          <w:bCs/>
          <w:sz w:val="16"/>
          <w:szCs w:val="16"/>
        </w:rPr>
      </w:pPr>
    </w:p>
    <w:p>
      <w:pPr>
        <w:spacing w:line="240" w:lineRule="auto" w:before="6"/>
        <w:rPr>
          <w:rFonts w:ascii="宋体" w:hAnsi="宋体" w:cs="宋体" w:eastAsia="宋体" w:hint="default"/>
          <w:b/>
          <w:bCs/>
          <w:sz w:val="22"/>
          <w:szCs w:val="22"/>
        </w:rPr>
      </w:pPr>
    </w:p>
    <w:p>
      <w:pPr>
        <w:spacing w:before="0"/>
        <w:ind w:left="602" w:right="-20" w:firstLine="0"/>
        <w:jc w:val="left"/>
        <w:rPr>
          <w:rFonts w:ascii="宋体" w:hAnsi="宋体" w:cs="宋体" w:eastAsia="宋体" w:hint="default"/>
          <w:sz w:val="16"/>
          <w:szCs w:val="16"/>
        </w:rPr>
      </w:pPr>
      <w:r>
        <w:rPr>
          <w:rFonts w:ascii="宋体" w:hAnsi="宋体" w:cs="宋体" w:eastAsia="宋体" w:hint="default"/>
          <w:b/>
          <w:bCs/>
          <w:sz w:val="16"/>
          <w:szCs w:val="16"/>
        </w:rPr>
        <w:t>被投资单位</w:t>
      </w:r>
      <w:r>
        <w:rPr>
          <w:rFonts w:ascii="宋体" w:hAnsi="宋体" w:cs="宋体" w:eastAsia="宋体" w:hint="default"/>
          <w:sz w:val="16"/>
          <w:szCs w:val="16"/>
        </w:rPr>
      </w:r>
    </w:p>
    <w:p>
      <w:pPr>
        <w:tabs>
          <w:tab w:pos="2866" w:val="left" w:leader="none"/>
        </w:tabs>
        <w:spacing w:line="219" w:lineRule="exact" w:before="86"/>
        <w:ind w:left="0" w:right="0" w:firstLine="0"/>
        <w:jc w:val="right"/>
        <w:rPr>
          <w:rFonts w:ascii="宋体" w:hAnsi="宋体" w:cs="宋体" w:eastAsia="宋体" w:hint="default"/>
          <w:sz w:val="16"/>
          <w:szCs w:val="16"/>
        </w:rPr>
      </w:pPr>
      <w:r>
        <w:rPr/>
        <w:br w:type="column"/>
      </w:r>
      <w:r>
        <w:rPr>
          <w:rFonts w:ascii="宋体" w:hAnsi="宋体" w:cs="宋体" w:eastAsia="宋体" w:hint="default"/>
          <w:b/>
          <w:bCs/>
          <w:sz w:val="16"/>
          <w:szCs w:val="16"/>
        </w:rPr>
        <w:t>账面余额</w:t>
        <w:tab/>
      </w:r>
      <w:r>
        <w:rPr>
          <w:rFonts w:ascii="宋体" w:hAnsi="宋体" w:cs="宋体" w:eastAsia="宋体" w:hint="default"/>
          <w:b/>
          <w:bCs/>
          <w:position w:val="2"/>
          <w:sz w:val="16"/>
          <w:szCs w:val="16"/>
        </w:rPr>
        <w:t>在被</w:t>
      </w:r>
      <w:r>
        <w:rPr>
          <w:rFonts w:ascii="宋体" w:hAnsi="宋体" w:cs="宋体" w:eastAsia="宋体" w:hint="default"/>
          <w:sz w:val="16"/>
          <w:szCs w:val="16"/>
        </w:rPr>
      </w:r>
    </w:p>
    <w:p>
      <w:pPr>
        <w:spacing w:line="206" w:lineRule="exact" w:before="12"/>
        <w:ind w:left="4951" w:right="0" w:firstLine="0"/>
        <w:jc w:val="right"/>
        <w:rPr>
          <w:rFonts w:ascii="宋体" w:hAnsi="宋体" w:cs="宋体" w:eastAsia="宋体" w:hint="default"/>
          <w:sz w:val="16"/>
          <w:szCs w:val="16"/>
        </w:rPr>
      </w:pPr>
      <w:r>
        <w:rPr/>
        <w:pict>
          <v:group style="position:absolute;margin-left:81.503998pt;margin-top:-11.079973pt;width:432.6pt;height:1.45pt;mso-position-horizontal-relative:page;mso-position-vertical-relative:paragraph;z-index:-1226704" coordorigin="1630,-222" coordsize="8652,29">
            <v:group style="position:absolute;left:1644;top:-207;width:2134;height:2" coordorigin="1644,-207" coordsize="2134,2">
              <v:shape style="position:absolute;left:1644;top:-207;width:2134;height:2" coordorigin="1644,-207" coordsize="2134,0" path="m1644,-207l3778,-207e" filled="false" stroked="true" strokeweight="1.44pt" strokecolor="#000000">
                <v:path arrowok="t"/>
              </v:shape>
            </v:group>
            <v:group style="position:absolute;left:3779;top:-207;width:29;height:2" coordorigin="3779,-207" coordsize="29,2">
              <v:shape style="position:absolute;left:3779;top:-207;width:29;height:2" coordorigin="3779,-207" coordsize="29,0" path="m3779,-207l3807,-207e" filled="false" stroked="true" strokeweight="1.44pt" strokecolor="#000000">
                <v:path arrowok="t"/>
              </v:shape>
            </v:group>
            <v:group style="position:absolute;left:3807;top:-207;width:4785;height:2" coordorigin="3807,-207" coordsize="4785,2">
              <v:shape style="position:absolute;left:3807;top:-207;width:4785;height:2" coordorigin="3807,-207" coordsize="4785,0" path="m3807,-207l8592,-207e" filled="false" stroked="true" strokeweight="1.44pt" strokecolor="#000000">
                <v:path arrowok="t"/>
              </v:shape>
            </v:group>
            <v:group style="position:absolute;left:8592;top:-207;width:29;height:2" coordorigin="8592,-207" coordsize="29,2">
              <v:shape style="position:absolute;left:8592;top:-207;width:29;height:2" coordorigin="8592,-207" coordsize="29,0" path="m8592,-207l8620,-207e" filled="false" stroked="true" strokeweight="1.44pt" strokecolor="#000000">
                <v:path arrowok="t"/>
              </v:shape>
            </v:group>
            <v:group style="position:absolute;left:8620;top:-207;width:567;height:2" coordorigin="8620,-207" coordsize="567,2">
              <v:shape style="position:absolute;left:8620;top:-207;width:567;height:2" coordorigin="8620,-207" coordsize="567,0" path="m8620,-207l9187,-207e" filled="false" stroked="true" strokeweight="1.44pt" strokecolor="#000000">
                <v:path arrowok="t"/>
              </v:shape>
            </v:group>
            <v:group style="position:absolute;left:9187;top:-207;width:29;height:2" coordorigin="9187,-207" coordsize="29,2">
              <v:shape style="position:absolute;left:9187;top:-207;width:29;height:2" coordorigin="9187,-207" coordsize="29,0" path="m9187,-207l9216,-207e" filled="false" stroked="true" strokeweight="1.44pt" strokecolor="#000000">
                <v:path arrowok="t"/>
              </v:shape>
            </v:group>
            <v:group style="position:absolute;left:9216;top:-207;width:1052;height:2" coordorigin="9216,-207" coordsize="1052,2">
              <v:shape style="position:absolute;left:9216;top:-207;width:1052;height:2" coordorigin="9216,-207" coordsize="1052,0" path="m9216,-207l10267,-207e" filled="false" stroked="true" strokeweight="1.44pt" strokecolor="#000000">
                <v:path arrowok="t"/>
              </v:shape>
            </v:group>
            <w10:wrap type="none"/>
          </v:group>
        </w:pict>
      </w:r>
      <w:r>
        <w:rPr/>
        <w:pict>
          <v:group style="position:absolute;margin-left:188.809998pt;margin-top:2.600017pt;width:240.9pt;height:.25pt;mso-position-horizontal-relative:page;mso-position-vertical-relative:paragraph;z-index:3640" coordorigin="3776,52" coordsize="4818,5">
            <v:group style="position:absolute;left:3779;top:54;width:1244;height:2" coordorigin="3779,54" coordsize="1244,2">
              <v:shape style="position:absolute;left:3779;top:54;width:1244;height:2" coordorigin="3779,54" coordsize="1244,0" path="m3779,54l5022,54e" filled="false" stroked="true" strokeweight=".24001pt" strokecolor="#000000">
                <v:path arrowok="t"/>
              </v:shape>
            </v:group>
            <v:group style="position:absolute;left:5022;top:54;width:5;height:2" coordorigin="5022,54" coordsize="5,2">
              <v:shape style="position:absolute;left:5022;top:54;width:5;height:2" coordorigin="5022,54" coordsize="5,0" path="m5022,54l5027,54e" filled="false" stroked="true" strokeweight=".24001pt" strokecolor="#000000">
                <v:path arrowok="t"/>
              </v:shape>
            </v:group>
            <v:group style="position:absolute;left:5027;top:54;width:1160;height:2" coordorigin="5027,54" coordsize="1160,2">
              <v:shape style="position:absolute;left:5027;top:54;width:1160;height:2" coordorigin="5027,54" coordsize="1160,0" path="m5027,54l6186,54e" filled="false" stroked="true" strokeweight=".24001pt" strokecolor="#000000">
                <v:path arrowok="t"/>
              </v:shape>
            </v:group>
            <v:group style="position:absolute;left:6186;top:54;width:5;height:2" coordorigin="6186,54" coordsize="5,2">
              <v:shape style="position:absolute;left:6186;top:54;width:5;height:2" coordorigin="6186,54" coordsize="5,0" path="m6186,54l6191,54e" filled="false" stroked="true" strokeweight=".24001pt" strokecolor="#000000">
                <v:path arrowok="t"/>
              </v:shape>
            </v:group>
            <v:group style="position:absolute;left:6191;top:54;width:1157;height:2" coordorigin="6191,54" coordsize="1157,2">
              <v:shape style="position:absolute;left:6191;top:54;width:1157;height:2" coordorigin="6191,54" coordsize="1157,0" path="m6191,54l7348,54e" filled="false" stroked="true" strokeweight=".24001pt" strokecolor="#000000">
                <v:path arrowok="t"/>
              </v:shape>
            </v:group>
            <v:group style="position:absolute;left:7348;top:54;width:5;height:2" coordorigin="7348,54" coordsize="5,2">
              <v:shape style="position:absolute;left:7348;top:54;width:5;height:2" coordorigin="7348,54" coordsize="5,0" path="m7348,54l7353,54e" filled="false" stroked="true" strokeweight=".24001pt" strokecolor="#000000">
                <v:path arrowok="t"/>
              </v:shape>
            </v:group>
            <v:group style="position:absolute;left:7353;top:54;width:1239;height:2" coordorigin="7353,54" coordsize="1239,2">
              <v:shape style="position:absolute;left:7353;top:54;width:1239;height:2" coordorigin="7353,54" coordsize="1239,0" path="m7353,54l8591,54e" filled="false" stroked="true" strokeweight=".24001pt" strokecolor="#000000">
                <v:path arrowok="t"/>
              </v:shape>
            </v:group>
            <w10:wrap type="none"/>
          </v:group>
        </w:pict>
      </w:r>
      <w:r>
        <w:rPr>
          <w:rFonts w:ascii="宋体" w:hAnsi="宋体" w:cs="宋体" w:eastAsia="宋体" w:hint="default"/>
          <w:b/>
          <w:bCs/>
          <w:sz w:val="16"/>
          <w:szCs w:val="16"/>
        </w:rPr>
        <w:t>投资</w:t>
      </w:r>
      <w:r>
        <w:rPr>
          <w:rFonts w:ascii="宋体" w:hAnsi="宋体" w:cs="宋体" w:eastAsia="宋体" w:hint="default"/>
          <w:b/>
          <w:bCs/>
          <w:w w:val="100"/>
          <w:sz w:val="16"/>
          <w:szCs w:val="16"/>
        </w:rPr>
        <w:t> </w:t>
      </w:r>
      <w:r>
        <w:rPr>
          <w:rFonts w:ascii="宋体" w:hAnsi="宋体" w:cs="宋体" w:eastAsia="宋体" w:hint="default"/>
          <w:b/>
          <w:bCs/>
          <w:sz w:val="16"/>
          <w:szCs w:val="16"/>
        </w:rPr>
        <w:t>单位</w:t>
      </w:r>
      <w:r>
        <w:rPr>
          <w:rFonts w:ascii="宋体" w:hAnsi="宋体" w:cs="宋体" w:eastAsia="宋体" w:hint="default"/>
          <w:sz w:val="16"/>
          <w:szCs w:val="16"/>
        </w:rPr>
      </w:r>
    </w:p>
    <w:p>
      <w:pPr>
        <w:tabs>
          <w:tab w:pos="1802" w:val="left" w:leader="none"/>
          <w:tab w:pos="2966" w:val="left" w:leader="none"/>
          <w:tab w:pos="4171" w:val="left" w:leader="none"/>
        </w:tabs>
        <w:spacing w:line="106" w:lineRule="exact" w:before="0"/>
        <w:ind w:left="602" w:right="0" w:firstLine="0"/>
        <w:jc w:val="left"/>
        <w:rPr>
          <w:rFonts w:ascii="宋体" w:hAnsi="宋体" w:cs="宋体" w:eastAsia="宋体" w:hint="default"/>
          <w:sz w:val="16"/>
          <w:szCs w:val="16"/>
        </w:rPr>
      </w:pPr>
      <w:r>
        <w:rPr/>
        <w:pict>
          <v:shape style="position:absolute;margin-left:82.223999pt;margin-top:1.470625pt;width:431.15pt;height:450.75pt;mso-position-horizontal-relative:page;mso-position-vertical-relative:paragraph;z-index:3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77"/>
                    <w:gridCol w:w="1163"/>
                    <w:gridCol w:w="1164"/>
                    <w:gridCol w:w="1243"/>
                    <w:gridCol w:w="594"/>
                    <w:gridCol w:w="1081"/>
                  </w:tblGrid>
                  <w:tr>
                    <w:trPr>
                      <w:trHeight w:val="395" w:hRule="exact"/>
                    </w:trPr>
                    <w:tc>
                      <w:tcPr>
                        <w:tcW w:w="6947" w:type="dxa"/>
                        <w:gridSpan w:val="4"/>
                        <w:tcBorders>
                          <w:top w:val="nil" w:sz="6" w:space="0" w:color="auto"/>
                          <w:left w:val="nil" w:sz="6" w:space="0" w:color="auto"/>
                          <w:bottom w:val="single" w:sz="2" w:space="0" w:color="000000"/>
                          <w:right w:val="nil" w:sz="6" w:space="0" w:color="auto"/>
                        </w:tcBorders>
                      </w:tcPr>
                      <w:p>
                        <w:pPr/>
                      </w:p>
                    </w:tc>
                    <w:tc>
                      <w:tcPr>
                        <w:tcW w:w="594" w:type="dxa"/>
                        <w:tcBorders>
                          <w:top w:val="nil" w:sz="6" w:space="0" w:color="auto"/>
                          <w:left w:val="nil" w:sz="6" w:space="0" w:color="auto"/>
                          <w:bottom w:val="single" w:sz="2" w:space="0" w:color="000000"/>
                          <w:right w:val="nil" w:sz="6" w:space="0" w:color="auto"/>
                        </w:tcBorders>
                      </w:tcPr>
                      <w:p>
                        <w:pPr>
                          <w:pStyle w:val="TableParagraph"/>
                          <w:spacing w:line="159" w:lineRule="exact"/>
                          <w:ind w:left="136" w:right="0"/>
                          <w:jc w:val="left"/>
                          <w:rPr>
                            <w:rFonts w:ascii="宋体" w:hAnsi="宋体" w:cs="宋体" w:eastAsia="宋体" w:hint="default"/>
                            <w:sz w:val="16"/>
                            <w:szCs w:val="16"/>
                          </w:rPr>
                        </w:pPr>
                        <w:r>
                          <w:rPr>
                            <w:rFonts w:ascii="宋体" w:hAnsi="宋体" w:cs="宋体" w:eastAsia="宋体" w:hint="default"/>
                            <w:b/>
                            <w:bCs/>
                            <w:sz w:val="16"/>
                            <w:szCs w:val="16"/>
                          </w:rPr>
                          <w:t>持股</w:t>
                        </w:r>
                        <w:r>
                          <w:rPr>
                            <w:rFonts w:ascii="宋体" w:hAnsi="宋体" w:cs="宋体" w:eastAsia="宋体" w:hint="default"/>
                            <w:sz w:val="16"/>
                            <w:szCs w:val="16"/>
                          </w:rPr>
                        </w:r>
                      </w:p>
                      <w:p>
                        <w:pPr>
                          <w:pStyle w:val="TableParagraph"/>
                          <w:spacing w:line="208" w:lineRule="exact"/>
                          <w:ind w:left="136" w:right="0"/>
                          <w:jc w:val="left"/>
                          <w:rPr>
                            <w:rFonts w:ascii="宋体" w:hAnsi="宋体" w:cs="宋体" w:eastAsia="宋体" w:hint="default"/>
                            <w:sz w:val="16"/>
                            <w:szCs w:val="16"/>
                          </w:rPr>
                        </w:pPr>
                        <w:r>
                          <w:rPr>
                            <w:rFonts w:ascii="宋体" w:hAnsi="宋体" w:cs="宋体" w:eastAsia="宋体" w:hint="default"/>
                            <w:b/>
                            <w:bCs/>
                            <w:sz w:val="16"/>
                            <w:szCs w:val="16"/>
                          </w:rPr>
                          <w:t>比例</w:t>
                        </w:r>
                        <w:r>
                          <w:rPr>
                            <w:rFonts w:ascii="宋体" w:hAnsi="宋体" w:cs="宋体" w:eastAsia="宋体" w:hint="default"/>
                            <w:sz w:val="16"/>
                            <w:szCs w:val="16"/>
                          </w:rPr>
                        </w:r>
                      </w:p>
                    </w:tc>
                    <w:tc>
                      <w:tcPr>
                        <w:tcW w:w="1081" w:type="dxa"/>
                        <w:tcBorders>
                          <w:top w:val="nil" w:sz="6" w:space="0" w:color="auto"/>
                          <w:left w:val="nil" w:sz="6" w:space="0" w:color="auto"/>
                          <w:bottom w:val="single" w:sz="2" w:space="0" w:color="000000"/>
                          <w:right w:val="nil" w:sz="6" w:space="0" w:color="auto"/>
                        </w:tcBorders>
                      </w:tcPr>
                      <w:p>
                        <w:pPr/>
                      </w:p>
                    </w:tc>
                  </w:tr>
                  <w:tr>
                    <w:trPr>
                      <w:trHeight w:val="288" w:hRule="exact"/>
                    </w:trPr>
                    <w:tc>
                      <w:tcPr>
                        <w:tcW w:w="3377" w:type="dxa"/>
                        <w:tcBorders>
                          <w:top w:val="single" w:sz="2" w:space="0" w:color="000000"/>
                          <w:left w:val="nil" w:sz="6" w:space="0" w:color="auto"/>
                          <w:bottom w:val="nil" w:sz="6" w:space="0" w:color="auto"/>
                          <w:right w:val="nil" w:sz="6" w:space="0" w:color="auto"/>
                        </w:tcBorders>
                      </w:tcPr>
                      <w:p>
                        <w:pPr>
                          <w:pStyle w:val="TableParagraph"/>
                          <w:tabs>
                            <w:tab w:pos="2280" w:val="left" w:leader="none"/>
                          </w:tabs>
                          <w:spacing w:line="200" w:lineRule="exact"/>
                          <w:ind w:left="57" w:right="0"/>
                          <w:jc w:val="left"/>
                          <w:rPr>
                            <w:rFonts w:ascii="宋体" w:hAnsi="宋体" w:cs="宋体" w:eastAsia="宋体" w:hint="default"/>
                            <w:sz w:val="16"/>
                            <w:szCs w:val="16"/>
                          </w:rPr>
                        </w:pPr>
                        <w:r>
                          <w:rPr>
                            <w:rFonts w:ascii="宋体" w:hAnsi="宋体" w:cs="宋体" w:eastAsia="宋体" w:hint="default"/>
                            <w:spacing w:val="-1"/>
                            <w:sz w:val="16"/>
                            <w:szCs w:val="16"/>
                          </w:rPr>
                          <w:t>华清农业开发有限公司</w:t>
                          <w:tab/>
                        </w:r>
                        <w:r>
                          <w:rPr>
                            <w:rFonts w:ascii="宋体" w:hAnsi="宋体" w:cs="宋体" w:eastAsia="宋体" w:hint="default"/>
                            <w:spacing w:val="-2"/>
                            <w:sz w:val="16"/>
                            <w:szCs w:val="16"/>
                          </w:rPr>
                          <w:t>10,000,000.00</w:t>
                        </w:r>
                      </w:p>
                    </w:tc>
                    <w:tc>
                      <w:tcPr>
                        <w:tcW w:w="1163" w:type="dxa"/>
                        <w:tcBorders>
                          <w:top w:val="single" w:sz="2" w:space="0" w:color="000000"/>
                          <w:left w:val="nil" w:sz="6" w:space="0" w:color="auto"/>
                          <w:bottom w:val="nil" w:sz="6" w:space="0" w:color="auto"/>
                          <w:right w:val="nil" w:sz="6" w:space="0" w:color="auto"/>
                        </w:tcBorders>
                      </w:tcPr>
                      <w:p>
                        <w:pPr>
                          <w:pStyle w:val="TableParagraph"/>
                          <w:spacing w:line="200" w:lineRule="exact"/>
                          <w:ind w:right="57"/>
                          <w:jc w:val="right"/>
                          <w:rPr>
                            <w:rFonts w:ascii="宋体" w:hAnsi="宋体" w:cs="宋体" w:eastAsia="宋体" w:hint="default"/>
                            <w:sz w:val="16"/>
                            <w:szCs w:val="16"/>
                          </w:rPr>
                        </w:pPr>
                        <w:r>
                          <w:rPr>
                            <w:rFonts w:ascii="宋体"/>
                            <w:spacing w:val="-1"/>
                            <w:sz w:val="16"/>
                          </w:rPr>
                          <w:t>0.00</w:t>
                        </w:r>
                      </w:p>
                    </w:tc>
                    <w:tc>
                      <w:tcPr>
                        <w:tcW w:w="1164" w:type="dxa"/>
                        <w:tcBorders>
                          <w:top w:val="single" w:sz="2" w:space="0" w:color="000000"/>
                          <w:left w:val="nil" w:sz="6" w:space="0" w:color="auto"/>
                          <w:bottom w:val="nil" w:sz="6" w:space="0" w:color="auto"/>
                          <w:right w:val="nil" w:sz="6" w:space="0" w:color="auto"/>
                        </w:tcBorders>
                      </w:tcPr>
                      <w:p>
                        <w:pPr>
                          <w:pStyle w:val="TableParagraph"/>
                          <w:spacing w:line="200" w:lineRule="exact"/>
                          <w:ind w:right="57"/>
                          <w:jc w:val="right"/>
                          <w:rPr>
                            <w:rFonts w:ascii="宋体" w:hAnsi="宋体" w:cs="宋体" w:eastAsia="宋体" w:hint="default"/>
                            <w:sz w:val="16"/>
                            <w:szCs w:val="16"/>
                          </w:rPr>
                        </w:pPr>
                        <w:r>
                          <w:rPr>
                            <w:rFonts w:ascii="宋体"/>
                            <w:spacing w:val="-1"/>
                            <w:sz w:val="16"/>
                          </w:rPr>
                          <w:t>0.00</w:t>
                        </w:r>
                      </w:p>
                    </w:tc>
                    <w:tc>
                      <w:tcPr>
                        <w:tcW w:w="1243" w:type="dxa"/>
                        <w:tcBorders>
                          <w:top w:val="single" w:sz="2" w:space="0" w:color="000000"/>
                          <w:left w:val="nil" w:sz="6" w:space="0" w:color="auto"/>
                          <w:bottom w:val="nil" w:sz="6" w:space="0" w:color="auto"/>
                          <w:right w:val="nil" w:sz="6" w:space="0" w:color="auto"/>
                        </w:tcBorders>
                      </w:tcPr>
                      <w:p>
                        <w:pPr>
                          <w:pStyle w:val="TableParagraph"/>
                          <w:spacing w:line="200" w:lineRule="exact"/>
                          <w:ind w:right="57"/>
                          <w:jc w:val="right"/>
                          <w:rPr>
                            <w:rFonts w:ascii="宋体" w:hAnsi="宋体" w:cs="宋体" w:eastAsia="宋体" w:hint="default"/>
                            <w:sz w:val="16"/>
                            <w:szCs w:val="16"/>
                          </w:rPr>
                        </w:pPr>
                        <w:r>
                          <w:rPr>
                            <w:rFonts w:ascii="宋体"/>
                            <w:spacing w:val="-2"/>
                            <w:sz w:val="16"/>
                          </w:rPr>
                          <w:t>10,000,000.00</w:t>
                        </w:r>
                      </w:p>
                    </w:tc>
                    <w:tc>
                      <w:tcPr>
                        <w:tcW w:w="594" w:type="dxa"/>
                        <w:tcBorders>
                          <w:top w:val="single" w:sz="2" w:space="0" w:color="000000"/>
                          <w:left w:val="nil" w:sz="6" w:space="0" w:color="auto"/>
                          <w:bottom w:val="nil" w:sz="6" w:space="0" w:color="auto"/>
                          <w:right w:val="nil" w:sz="6" w:space="0" w:color="auto"/>
                        </w:tcBorders>
                      </w:tcPr>
                      <w:p>
                        <w:pPr>
                          <w:pStyle w:val="TableParagraph"/>
                          <w:spacing w:line="200" w:lineRule="exact"/>
                          <w:ind w:left="80" w:right="0"/>
                          <w:jc w:val="center"/>
                          <w:rPr>
                            <w:rFonts w:ascii="宋体" w:hAnsi="宋体" w:cs="宋体" w:eastAsia="宋体" w:hint="default"/>
                            <w:sz w:val="16"/>
                            <w:szCs w:val="16"/>
                          </w:rPr>
                        </w:pPr>
                        <w:r>
                          <w:rPr>
                            <w:rFonts w:ascii="宋体"/>
                            <w:sz w:val="16"/>
                          </w:rPr>
                          <w:t>4.25%</w:t>
                        </w:r>
                      </w:p>
                    </w:tc>
                    <w:tc>
                      <w:tcPr>
                        <w:tcW w:w="1081" w:type="dxa"/>
                        <w:tcBorders>
                          <w:top w:val="single" w:sz="2" w:space="0" w:color="000000"/>
                          <w:left w:val="nil" w:sz="6" w:space="0" w:color="auto"/>
                          <w:bottom w:val="nil" w:sz="6" w:space="0" w:color="auto"/>
                          <w:right w:val="nil" w:sz="6" w:space="0" w:color="auto"/>
                        </w:tcBorders>
                      </w:tcPr>
                      <w:p>
                        <w:pPr>
                          <w:pStyle w:val="TableParagraph"/>
                          <w:spacing w:line="200" w:lineRule="exact"/>
                          <w:ind w:right="54"/>
                          <w:jc w:val="right"/>
                          <w:rPr>
                            <w:rFonts w:ascii="宋体" w:hAnsi="宋体" w:cs="宋体" w:eastAsia="宋体" w:hint="default"/>
                            <w:sz w:val="16"/>
                            <w:szCs w:val="16"/>
                          </w:rPr>
                        </w:pPr>
                        <w:r>
                          <w:rPr>
                            <w:rFonts w:ascii="宋体"/>
                            <w:spacing w:val="-1"/>
                            <w:sz w:val="16"/>
                          </w:rPr>
                          <w:t>0.00</w:t>
                        </w:r>
                      </w:p>
                    </w:tc>
                  </w:tr>
                  <w:tr>
                    <w:trPr>
                      <w:trHeight w:val="330" w:hRule="exact"/>
                    </w:trPr>
                    <w:tc>
                      <w:tcPr>
                        <w:tcW w:w="3377" w:type="dxa"/>
                        <w:tcBorders>
                          <w:top w:val="nil" w:sz="6" w:space="0" w:color="auto"/>
                          <w:left w:val="nil" w:sz="6" w:space="0" w:color="auto"/>
                          <w:bottom w:val="nil" w:sz="6" w:space="0" w:color="auto"/>
                          <w:right w:val="nil" w:sz="6" w:space="0" w:color="auto"/>
                        </w:tcBorders>
                      </w:tcPr>
                      <w:p>
                        <w:pPr>
                          <w:pStyle w:val="TableParagraph"/>
                          <w:spacing w:line="88" w:lineRule="exact"/>
                          <w:ind w:left="57" w:right="0"/>
                          <w:jc w:val="left"/>
                          <w:rPr>
                            <w:rFonts w:ascii="宋体" w:hAnsi="宋体" w:cs="宋体" w:eastAsia="宋体" w:hint="default"/>
                            <w:sz w:val="16"/>
                            <w:szCs w:val="16"/>
                          </w:rPr>
                        </w:pPr>
                        <w:r>
                          <w:rPr>
                            <w:rFonts w:ascii="宋体" w:hAnsi="宋体" w:cs="宋体" w:eastAsia="宋体" w:hint="default"/>
                            <w:spacing w:val="6"/>
                            <w:sz w:val="16"/>
                            <w:szCs w:val="16"/>
                          </w:rPr>
                          <w:t>深圳市虹鑫光电科技有限公</w:t>
                        </w:r>
                      </w:p>
                      <w:p>
                        <w:pPr>
                          <w:pStyle w:val="TableParagraph"/>
                          <w:tabs>
                            <w:tab w:pos="2280" w:val="left" w:leader="none"/>
                          </w:tabs>
                          <w:spacing w:line="257" w:lineRule="exact"/>
                          <w:ind w:left="57" w:right="0"/>
                          <w:jc w:val="left"/>
                          <w:rPr>
                            <w:rFonts w:ascii="宋体" w:hAnsi="宋体" w:cs="宋体" w:eastAsia="宋体" w:hint="default"/>
                            <w:sz w:val="16"/>
                            <w:szCs w:val="16"/>
                          </w:rPr>
                        </w:pPr>
                        <w:r>
                          <w:rPr>
                            <w:rFonts w:ascii="宋体" w:hAnsi="宋体" w:cs="宋体" w:eastAsia="宋体" w:hint="default"/>
                            <w:position w:val="-9"/>
                            <w:sz w:val="16"/>
                            <w:szCs w:val="16"/>
                          </w:rPr>
                          <w:t>司</w:t>
                          <w:tab/>
                        </w:r>
                        <w:r>
                          <w:rPr>
                            <w:rFonts w:ascii="宋体" w:hAnsi="宋体" w:cs="宋体" w:eastAsia="宋体" w:hint="default"/>
                            <w:sz w:val="16"/>
                            <w:szCs w:val="16"/>
                          </w:rPr>
                          <w:t>10,000,000.00</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7"/>
                          <w:jc w:val="right"/>
                          <w:rPr>
                            <w:rFonts w:ascii="宋体" w:hAnsi="宋体" w:cs="宋体" w:eastAsia="宋体" w:hint="default"/>
                            <w:sz w:val="16"/>
                            <w:szCs w:val="16"/>
                          </w:rPr>
                        </w:pPr>
                        <w:r>
                          <w:rPr>
                            <w:rFonts w:ascii="宋体"/>
                            <w:spacing w:val="-1"/>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7"/>
                          <w:jc w:val="right"/>
                          <w:rPr>
                            <w:rFonts w:ascii="宋体" w:hAnsi="宋体" w:cs="宋体" w:eastAsia="宋体" w:hint="default"/>
                            <w:sz w:val="16"/>
                            <w:szCs w:val="16"/>
                          </w:rPr>
                        </w:pPr>
                        <w:r>
                          <w:rPr>
                            <w:rFonts w:ascii="宋体"/>
                            <w:spacing w:val="-1"/>
                            <w:sz w:val="16"/>
                          </w:rPr>
                          <w:t>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7"/>
                          <w:jc w:val="right"/>
                          <w:rPr>
                            <w:rFonts w:ascii="宋体" w:hAnsi="宋体" w:cs="宋体" w:eastAsia="宋体" w:hint="default"/>
                            <w:sz w:val="16"/>
                            <w:szCs w:val="16"/>
                          </w:rPr>
                        </w:pPr>
                        <w:r>
                          <w:rPr>
                            <w:rFonts w:ascii="宋体"/>
                            <w:spacing w:val="-2"/>
                            <w:sz w:val="16"/>
                          </w:rPr>
                          <w:t>10,000,000.00</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 w:right="0"/>
                          <w:jc w:val="center"/>
                          <w:rPr>
                            <w:rFonts w:ascii="宋体" w:hAnsi="宋体" w:cs="宋体" w:eastAsia="宋体" w:hint="default"/>
                            <w:sz w:val="16"/>
                            <w:szCs w:val="16"/>
                          </w:rPr>
                        </w:pPr>
                        <w:r>
                          <w:rPr>
                            <w:rFonts w:ascii="宋体"/>
                            <w:sz w:val="16"/>
                          </w:rPr>
                          <w:t>10.00%</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宋体" w:hAnsi="宋体" w:cs="宋体" w:eastAsia="宋体" w:hint="default"/>
                            <w:sz w:val="16"/>
                            <w:szCs w:val="16"/>
                          </w:rPr>
                        </w:pPr>
                        <w:r>
                          <w:rPr>
                            <w:rFonts w:ascii="宋体"/>
                            <w:spacing w:val="-1"/>
                            <w:sz w:val="16"/>
                          </w:rPr>
                          <w:t>0.00</w:t>
                        </w:r>
                      </w:p>
                    </w:tc>
                  </w:tr>
                  <w:tr>
                    <w:trPr>
                      <w:trHeight w:val="329" w:hRule="exact"/>
                    </w:trPr>
                    <w:tc>
                      <w:tcPr>
                        <w:tcW w:w="3377" w:type="dxa"/>
                        <w:tcBorders>
                          <w:top w:val="nil" w:sz="6" w:space="0" w:color="auto"/>
                          <w:left w:val="nil" w:sz="6" w:space="0" w:color="auto"/>
                          <w:bottom w:val="nil" w:sz="6" w:space="0" w:color="auto"/>
                          <w:right w:val="nil" w:sz="6" w:space="0" w:color="auto"/>
                        </w:tcBorders>
                      </w:tcPr>
                      <w:p>
                        <w:pPr>
                          <w:pStyle w:val="TableParagraph"/>
                          <w:tabs>
                            <w:tab w:pos="2359" w:val="left" w:leader="none"/>
                          </w:tabs>
                          <w:spacing w:line="240" w:lineRule="auto" w:before="35"/>
                          <w:ind w:left="57" w:right="0"/>
                          <w:jc w:val="left"/>
                          <w:rPr>
                            <w:rFonts w:ascii="宋体" w:hAnsi="宋体" w:cs="宋体" w:eastAsia="宋体" w:hint="default"/>
                            <w:sz w:val="16"/>
                            <w:szCs w:val="16"/>
                          </w:rPr>
                        </w:pPr>
                        <w:r>
                          <w:rPr>
                            <w:rFonts w:ascii="宋体"/>
                            <w:sz w:val="16"/>
                          </w:rPr>
                          <w:t>EIKON</w:t>
                        </w:r>
                        <w:r>
                          <w:rPr>
                            <w:rFonts w:ascii="宋体"/>
                            <w:spacing w:val="-12"/>
                            <w:sz w:val="16"/>
                          </w:rPr>
                          <w:t> </w:t>
                        </w:r>
                        <w:r>
                          <w:rPr>
                            <w:rFonts w:ascii="宋体"/>
                            <w:sz w:val="16"/>
                          </w:rPr>
                          <w:t>CORPORATION</w:t>
                          <w:tab/>
                          <w:t>6,512,902.27</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
                          <w:jc w:val="right"/>
                          <w:rPr>
                            <w:rFonts w:ascii="宋体" w:hAnsi="宋体" w:cs="宋体" w:eastAsia="宋体" w:hint="default"/>
                            <w:sz w:val="16"/>
                            <w:szCs w:val="16"/>
                          </w:rPr>
                        </w:pPr>
                        <w:r>
                          <w:rPr>
                            <w:rFonts w:ascii="宋体"/>
                            <w:spacing w:val="-2"/>
                            <w:sz w:val="16"/>
                          </w:rPr>
                          <w:t>313,915.17</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
                          <w:jc w:val="right"/>
                          <w:rPr>
                            <w:rFonts w:ascii="宋体" w:hAnsi="宋体" w:cs="宋体" w:eastAsia="宋体" w:hint="default"/>
                            <w:sz w:val="16"/>
                            <w:szCs w:val="16"/>
                          </w:rPr>
                        </w:pPr>
                        <w:r>
                          <w:rPr>
                            <w:rFonts w:ascii="宋体"/>
                            <w:spacing w:val="-1"/>
                            <w:sz w:val="16"/>
                          </w:rPr>
                          <w:t>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5"/>
                          <w:jc w:val="right"/>
                          <w:rPr>
                            <w:rFonts w:ascii="宋体" w:hAnsi="宋体" w:cs="宋体" w:eastAsia="宋体" w:hint="default"/>
                            <w:sz w:val="16"/>
                            <w:szCs w:val="16"/>
                          </w:rPr>
                        </w:pPr>
                        <w:r>
                          <w:rPr>
                            <w:rFonts w:ascii="宋体"/>
                            <w:spacing w:val="-2"/>
                            <w:sz w:val="16"/>
                          </w:rPr>
                          <w:t>6,826,817.44</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0" w:right="0"/>
                          <w:jc w:val="center"/>
                          <w:rPr>
                            <w:rFonts w:ascii="宋体" w:hAnsi="宋体" w:cs="宋体" w:eastAsia="宋体" w:hint="default"/>
                            <w:sz w:val="16"/>
                            <w:szCs w:val="16"/>
                          </w:rPr>
                        </w:pPr>
                        <w:r>
                          <w:rPr>
                            <w:rFonts w:ascii="宋体"/>
                            <w:sz w:val="16"/>
                          </w:rPr>
                          <w:t>9.94%</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4"/>
                          <w:jc w:val="right"/>
                          <w:rPr>
                            <w:rFonts w:ascii="宋体" w:hAnsi="宋体" w:cs="宋体" w:eastAsia="宋体" w:hint="default"/>
                            <w:sz w:val="16"/>
                            <w:szCs w:val="16"/>
                          </w:rPr>
                        </w:pPr>
                        <w:r>
                          <w:rPr>
                            <w:rFonts w:ascii="宋体"/>
                            <w:spacing w:val="-1"/>
                            <w:sz w:val="16"/>
                          </w:rPr>
                          <w:t>0.00</w:t>
                        </w:r>
                      </w:p>
                    </w:tc>
                  </w:tr>
                  <w:tr>
                    <w:trPr>
                      <w:trHeight w:val="329" w:hRule="exact"/>
                    </w:trPr>
                    <w:tc>
                      <w:tcPr>
                        <w:tcW w:w="3377" w:type="dxa"/>
                        <w:tcBorders>
                          <w:top w:val="nil" w:sz="6" w:space="0" w:color="auto"/>
                          <w:left w:val="nil" w:sz="6" w:space="0" w:color="auto"/>
                          <w:bottom w:val="nil" w:sz="6" w:space="0" w:color="auto"/>
                          <w:right w:val="nil" w:sz="6" w:space="0" w:color="auto"/>
                        </w:tcBorders>
                      </w:tcPr>
                      <w:p>
                        <w:pPr>
                          <w:pStyle w:val="TableParagraph"/>
                          <w:spacing w:line="88" w:lineRule="exact"/>
                          <w:ind w:left="57" w:right="0"/>
                          <w:jc w:val="left"/>
                          <w:rPr>
                            <w:rFonts w:ascii="宋体" w:hAnsi="宋体" w:cs="宋体" w:eastAsia="宋体" w:hint="default"/>
                            <w:sz w:val="16"/>
                            <w:szCs w:val="16"/>
                          </w:rPr>
                        </w:pPr>
                        <w:r>
                          <w:rPr>
                            <w:rFonts w:ascii="宋体" w:hAnsi="宋体" w:cs="宋体" w:eastAsia="宋体" w:hint="default"/>
                            <w:spacing w:val="6"/>
                            <w:sz w:val="16"/>
                            <w:szCs w:val="16"/>
                          </w:rPr>
                          <w:t>北京数字电视国家工程实验</w:t>
                        </w:r>
                      </w:p>
                      <w:p>
                        <w:pPr>
                          <w:pStyle w:val="TableParagraph"/>
                          <w:tabs>
                            <w:tab w:pos="2359" w:val="left" w:leader="none"/>
                          </w:tabs>
                          <w:spacing w:line="256" w:lineRule="exact"/>
                          <w:ind w:left="57" w:right="0"/>
                          <w:jc w:val="left"/>
                          <w:rPr>
                            <w:rFonts w:ascii="宋体" w:hAnsi="宋体" w:cs="宋体" w:eastAsia="宋体" w:hint="default"/>
                            <w:sz w:val="16"/>
                            <w:szCs w:val="16"/>
                          </w:rPr>
                        </w:pPr>
                        <w:r>
                          <w:rPr>
                            <w:rFonts w:ascii="宋体" w:hAnsi="宋体" w:cs="宋体" w:eastAsia="宋体" w:hint="default"/>
                            <w:spacing w:val="-1"/>
                            <w:position w:val="-9"/>
                            <w:sz w:val="16"/>
                            <w:szCs w:val="16"/>
                          </w:rPr>
                          <w:t>室有限公司</w:t>
                          <w:tab/>
                        </w:r>
                        <w:r>
                          <w:rPr>
                            <w:rFonts w:ascii="宋体" w:hAnsi="宋体" w:cs="宋体" w:eastAsia="宋体" w:hint="default"/>
                            <w:spacing w:val="-2"/>
                            <w:sz w:val="16"/>
                            <w:szCs w:val="16"/>
                          </w:rPr>
                          <w:t>6,250,000.00</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
                          <w:jc w:val="right"/>
                          <w:rPr>
                            <w:rFonts w:ascii="宋体" w:hAnsi="宋体" w:cs="宋体" w:eastAsia="宋体" w:hint="default"/>
                            <w:sz w:val="16"/>
                            <w:szCs w:val="16"/>
                          </w:rPr>
                        </w:pPr>
                        <w:r>
                          <w:rPr>
                            <w:rFonts w:ascii="宋体"/>
                            <w:spacing w:val="-1"/>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
                          <w:jc w:val="right"/>
                          <w:rPr>
                            <w:rFonts w:ascii="宋体" w:hAnsi="宋体" w:cs="宋体" w:eastAsia="宋体" w:hint="default"/>
                            <w:sz w:val="16"/>
                            <w:szCs w:val="16"/>
                          </w:rPr>
                        </w:pPr>
                        <w:r>
                          <w:rPr>
                            <w:rFonts w:ascii="宋体"/>
                            <w:spacing w:val="-1"/>
                            <w:sz w:val="16"/>
                          </w:rPr>
                          <w:t>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5"/>
                          <w:jc w:val="right"/>
                          <w:rPr>
                            <w:rFonts w:ascii="宋体" w:hAnsi="宋体" w:cs="宋体" w:eastAsia="宋体" w:hint="default"/>
                            <w:sz w:val="16"/>
                            <w:szCs w:val="16"/>
                          </w:rPr>
                        </w:pPr>
                        <w:r>
                          <w:rPr>
                            <w:rFonts w:ascii="宋体"/>
                            <w:spacing w:val="-2"/>
                            <w:sz w:val="16"/>
                          </w:rPr>
                          <w:t>6,250,000.00</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 w:right="0"/>
                          <w:jc w:val="center"/>
                          <w:rPr>
                            <w:rFonts w:ascii="宋体" w:hAnsi="宋体" w:cs="宋体" w:eastAsia="宋体" w:hint="default"/>
                            <w:sz w:val="16"/>
                            <w:szCs w:val="16"/>
                          </w:rPr>
                        </w:pPr>
                        <w:r>
                          <w:rPr>
                            <w:rFonts w:ascii="宋体"/>
                            <w:sz w:val="16"/>
                          </w:rPr>
                          <w:t>12.50%</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4"/>
                          <w:jc w:val="right"/>
                          <w:rPr>
                            <w:rFonts w:ascii="宋体" w:hAnsi="宋体" w:cs="宋体" w:eastAsia="宋体" w:hint="default"/>
                            <w:sz w:val="16"/>
                            <w:szCs w:val="16"/>
                          </w:rPr>
                        </w:pPr>
                        <w:r>
                          <w:rPr>
                            <w:rFonts w:ascii="宋体"/>
                            <w:spacing w:val="-1"/>
                            <w:sz w:val="16"/>
                          </w:rPr>
                          <w:t>0.00</w:t>
                        </w:r>
                      </w:p>
                    </w:tc>
                  </w:tr>
                  <w:tr>
                    <w:trPr>
                      <w:trHeight w:val="287" w:hRule="exact"/>
                    </w:trPr>
                    <w:tc>
                      <w:tcPr>
                        <w:tcW w:w="3377" w:type="dxa"/>
                        <w:tcBorders>
                          <w:top w:val="nil" w:sz="6" w:space="0" w:color="auto"/>
                          <w:left w:val="nil" w:sz="6" w:space="0" w:color="auto"/>
                          <w:bottom w:val="nil" w:sz="6" w:space="0" w:color="auto"/>
                          <w:right w:val="nil" w:sz="6" w:space="0" w:color="auto"/>
                        </w:tcBorders>
                      </w:tcPr>
                      <w:p>
                        <w:pPr>
                          <w:pStyle w:val="TableParagraph"/>
                          <w:tabs>
                            <w:tab w:pos="3000" w:val="left" w:leader="none"/>
                          </w:tabs>
                          <w:spacing w:line="240" w:lineRule="auto" w:before="35"/>
                          <w:ind w:left="57" w:right="0"/>
                          <w:jc w:val="left"/>
                          <w:rPr>
                            <w:rFonts w:ascii="宋体" w:hAnsi="宋体" w:cs="宋体" w:eastAsia="宋体" w:hint="default"/>
                            <w:sz w:val="16"/>
                            <w:szCs w:val="16"/>
                          </w:rPr>
                        </w:pPr>
                        <w:r>
                          <w:rPr>
                            <w:rFonts w:ascii="宋体" w:hAnsi="宋体" w:cs="宋体" w:eastAsia="宋体" w:hint="default"/>
                            <w:spacing w:val="-1"/>
                            <w:sz w:val="16"/>
                            <w:szCs w:val="16"/>
                          </w:rPr>
                          <w:t>东莞磐汩新材料有限公司</w:t>
                        </w:r>
                        <w:r>
                          <w:rPr>
                            <w:rFonts w:ascii="宋体" w:hAnsi="宋体" w:cs="宋体" w:eastAsia="宋体" w:hint="default"/>
                            <w:spacing w:val="-1"/>
                            <w:sz w:val="16"/>
                            <w:szCs w:val="16"/>
                          </w:rPr>
                          <w:tab/>
                          <w:t>0.00</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5"/>
                          <w:jc w:val="right"/>
                          <w:rPr>
                            <w:rFonts w:ascii="宋体" w:hAnsi="宋体" w:cs="宋体" w:eastAsia="宋体" w:hint="default"/>
                            <w:sz w:val="16"/>
                            <w:szCs w:val="16"/>
                          </w:rPr>
                        </w:pPr>
                        <w:r>
                          <w:rPr>
                            <w:rFonts w:ascii="宋体"/>
                            <w:spacing w:val="-2"/>
                            <w:sz w:val="16"/>
                          </w:rPr>
                          <w:t>5,000,000.00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
                          <w:jc w:val="right"/>
                          <w:rPr>
                            <w:rFonts w:ascii="宋体" w:hAnsi="宋体" w:cs="宋体" w:eastAsia="宋体" w:hint="default"/>
                            <w:sz w:val="16"/>
                            <w:szCs w:val="16"/>
                          </w:rPr>
                        </w:pPr>
                        <w:r>
                          <w:rPr>
                            <w:rFonts w:ascii="宋体"/>
                            <w:spacing w:val="-1"/>
                            <w:sz w:val="16"/>
                          </w:rPr>
                          <w:t>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5"/>
                          <w:jc w:val="right"/>
                          <w:rPr>
                            <w:rFonts w:ascii="宋体" w:hAnsi="宋体" w:cs="宋体" w:eastAsia="宋体" w:hint="default"/>
                            <w:sz w:val="16"/>
                            <w:szCs w:val="16"/>
                          </w:rPr>
                        </w:pPr>
                        <w:r>
                          <w:rPr>
                            <w:rFonts w:ascii="宋体"/>
                            <w:spacing w:val="-2"/>
                            <w:sz w:val="16"/>
                          </w:rPr>
                          <w:t>5,000,000.00</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0" w:right="0"/>
                          <w:jc w:val="center"/>
                          <w:rPr>
                            <w:rFonts w:ascii="宋体" w:hAnsi="宋体" w:cs="宋体" w:eastAsia="宋体" w:hint="default"/>
                            <w:sz w:val="16"/>
                            <w:szCs w:val="16"/>
                          </w:rPr>
                        </w:pPr>
                        <w:r>
                          <w:rPr>
                            <w:rFonts w:ascii="宋体"/>
                            <w:sz w:val="16"/>
                          </w:rPr>
                          <w:t>5.00%</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4"/>
                          <w:jc w:val="right"/>
                          <w:rPr>
                            <w:rFonts w:ascii="宋体" w:hAnsi="宋体" w:cs="宋体" w:eastAsia="宋体" w:hint="default"/>
                            <w:sz w:val="16"/>
                            <w:szCs w:val="16"/>
                          </w:rPr>
                        </w:pPr>
                        <w:r>
                          <w:rPr>
                            <w:rFonts w:ascii="宋体"/>
                            <w:spacing w:val="-1"/>
                            <w:sz w:val="16"/>
                          </w:rPr>
                          <w:t>0.00</w:t>
                        </w:r>
                      </w:p>
                    </w:tc>
                  </w:tr>
                  <w:tr>
                    <w:trPr>
                      <w:trHeight w:val="287" w:hRule="exact"/>
                    </w:trPr>
                    <w:tc>
                      <w:tcPr>
                        <w:tcW w:w="3377" w:type="dxa"/>
                        <w:tcBorders>
                          <w:top w:val="nil" w:sz="6" w:space="0" w:color="auto"/>
                          <w:left w:val="nil" w:sz="6" w:space="0" w:color="auto"/>
                          <w:bottom w:val="nil" w:sz="6" w:space="0" w:color="auto"/>
                          <w:right w:val="nil" w:sz="6" w:space="0" w:color="auto"/>
                        </w:tcBorders>
                      </w:tcPr>
                      <w:p>
                        <w:pPr>
                          <w:pStyle w:val="TableParagraph"/>
                          <w:tabs>
                            <w:tab w:pos="3000" w:val="left" w:leader="none"/>
                          </w:tabs>
                          <w:spacing w:line="203" w:lineRule="exact"/>
                          <w:ind w:left="57" w:right="0"/>
                          <w:jc w:val="left"/>
                          <w:rPr>
                            <w:rFonts w:ascii="宋体" w:hAnsi="宋体" w:cs="宋体" w:eastAsia="宋体" w:hint="default"/>
                            <w:sz w:val="16"/>
                            <w:szCs w:val="16"/>
                          </w:rPr>
                        </w:pPr>
                        <w:r>
                          <w:rPr>
                            <w:rFonts w:ascii="宋体" w:hAnsi="宋体" w:cs="宋体" w:eastAsia="宋体" w:hint="default"/>
                            <w:spacing w:val="-1"/>
                            <w:sz w:val="16"/>
                            <w:szCs w:val="16"/>
                          </w:rPr>
                          <w:t>深圳万普瑞邦技术有限公司</w:t>
                        </w:r>
                        <w:r>
                          <w:rPr>
                            <w:rFonts w:ascii="宋体" w:hAnsi="宋体" w:cs="宋体" w:eastAsia="宋体" w:hint="default"/>
                            <w:spacing w:val="-1"/>
                            <w:sz w:val="16"/>
                            <w:szCs w:val="16"/>
                          </w:rPr>
                          <w:tab/>
                          <w:t>0.00</w:t>
                        </w:r>
                      </w:p>
                    </w:tc>
                    <w:tc>
                      <w:tcPr>
                        <w:tcW w:w="1163" w:type="dxa"/>
                        <w:tcBorders>
                          <w:top w:val="nil" w:sz="6" w:space="0" w:color="auto"/>
                          <w:left w:val="nil" w:sz="6" w:space="0" w:color="auto"/>
                          <w:bottom w:val="nil" w:sz="6" w:space="0" w:color="auto"/>
                          <w:right w:val="nil" w:sz="6" w:space="0" w:color="auto"/>
                        </w:tcBorders>
                      </w:tcPr>
                      <w:p>
                        <w:pPr>
                          <w:pStyle w:val="TableParagraph"/>
                          <w:spacing w:line="203" w:lineRule="exact"/>
                          <w:ind w:right="55"/>
                          <w:jc w:val="right"/>
                          <w:rPr>
                            <w:rFonts w:ascii="宋体" w:hAnsi="宋体" w:cs="宋体" w:eastAsia="宋体" w:hint="default"/>
                            <w:sz w:val="16"/>
                            <w:szCs w:val="16"/>
                          </w:rPr>
                        </w:pPr>
                        <w:r>
                          <w:rPr>
                            <w:rFonts w:ascii="宋体"/>
                            <w:spacing w:val="-2"/>
                            <w:sz w:val="16"/>
                          </w:rPr>
                          <w:t>5,000,000.00</w:t>
                        </w:r>
                      </w:p>
                    </w:tc>
                    <w:tc>
                      <w:tcPr>
                        <w:tcW w:w="1164" w:type="dxa"/>
                        <w:tcBorders>
                          <w:top w:val="nil" w:sz="6" w:space="0" w:color="auto"/>
                          <w:left w:val="nil" w:sz="6" w:space="0" w:color="auto"/>
                          <w:bottom w:val="nil" w:sz="6" w:space="0" w:color="auto"/>
                          <w:right w:val="nil" w:sz="6" w:space="0" w:color="auto"/>
                        </w:tcBorders>
                      </w:tcPr>
                      <w:p>
                        <w:pPr>
                          <w:pStyle w:val="TableParagraph"/>
                          <w:spacing w:line="203" w:lineRule="exact"/>
                          <w:ind w:right="57"/>
                          <w:jc w:val="right"/>
                          <w:rPr>
                            <w:rFonts w:ascii="宋体" w:hAnsi="宋体" w:cs="宋体" w:eastAsia="宋体" w:hint="default"/>
                            <w:sz w:val="16"/>
                            <w:szCs w:val="16"/>
                          </w:rPr>
                        </w:pPr>
                        <w:r>
                          <w:rPr>
                            <w:rFonts w:ascii="宋体"/>
                            <w:spacing w:val="-1"/>
                            <w:sz w:val="16"/>
                          </w:rPr>
                          <w:t>0.00</w:t>
                        </w:r>
                      </w:p>
                    </w:tc>
                    <w:tc>
                      <w:tcPr>
                        <w:tcW w:w="1243" w:type="dxa"/>
                        <w:tcBorders>
                          <w:top w:val="nil" w:sz="6" w:space="0" w:color="auto"/>
                          <w:left w:val="nil" w:sz="6" w:space="0" w:color="auto"/>
                          <w:bottom w:val="nil" w:sz="6" w:space="0" w:color="auto"/>
                          <w:right w:val="nil" w:sz="6" w:space="0" w:color="auto"/>
                        </w:tcBorders>
                      </w:tcPr>
                      <w:p>
                        <w:pPr>
                          <w:pStyle w:val="TableParagraph"/>
                          <w:spacing w:line="203" w:lineRule="exact"/>
                          <w:ind w:right="55"/>
                          <w:jc w:val="right"/>
                          <w:rPr>
                            <w:rFonts w:ascii="宋体" w:hAnsi="宋体" w:cs="宋体" w:eastAsia="宋体" w:hint="default"/>
                            <w:sz w:val="16"/>
                            <w:szCs w:val="16"/>
                          </w:rPr>
                        </w:pPr>
                        <w:r>
                          <w:rPr>
                            <w:rFonts w:ascii="宋体"/>
                            <w:spacing w:val="-2"/>
                            <w:sz w:val="16"/>
                          </w:rPr>
                          <w:t>5,000,000.00</w:t>
                        </w:r>
                      </w:p>
                    </w:tc>
                    <w:tc>
                      <w:tcPr>
                        <w:tcW w:w="594" w:type="dxa"/>
                        <w:tcBorders>
                          <w:top w:val="nil" w:sz="6" w:space="0" w:color="auto"/>
                          <w:left w:val="nil" w:sz="6" w:space="0" w:color="auto"/>
                          <w:bottom w:val="nil" w:sz="6" w:space="0" w:color="auto"/>
                          <w:right w:val="nil" w:sz="6" w:space="0" w:color="auto"/>
                        </w:tcBorders>
                      </w:tcPr>
                      <w:p>
                        <w:pPr>
                          <w:pStyle w:val="TableParagraph"/>
                          <w:spacing w:line="203" w:lineRule="exact"/>
                          <w:ind w:left="80" w:right="0"/>
                          <w:jc w:val="center"/>
                          <w:rPr>
                            <w:rFonts w:ascii="宋体" w:hAnsi="宋体" w:cs="宋体" w:eastAsia="宋体" w:hint="default"/>
                            <w:sz w:val="16"/>
                            <w:szCs w:val="16"/>
                          </w:rPr>
                        </w:pPr>
                        <w:r>
                          <w:rPr>
                            <w:rFonts w:ascii="宋体"/>
                            <w:sz w:val="16"/>
                          </w:rPr>
                          <w:t>2.00%</w:t>
                        </w:r>
                      </w:p>
                    </w:tc>
                    <w:tc>
                      <w:tcPr>
                        <w:tcW w:w="1081" w:type="dxa"/>
                        <w:tcBorders>
                          <w:top w:val="nil" w:sz="6" w:space="0" w:color="auto"/>
                          <w:left w:val="nil" w:sz="6" w:space="0" w:color="auto"/>
                          <w:bottom w:val="nil" w:sz="6" w:space="0" w:color="auto"/>
                          <w:right w:val="nil" w:sz="6" w:space="0" w:color="auto"/>
                        </w:tcBorders>
                      </w:tcPr>
                      <w:p>
                        <w:pPr>
                          <w:pStyle w:val="TableParagraph"/>
                          <w:spacing w:line="203" w:lineRule="exact"/>
                          <w:ind w:right="54"/>
                          <w:jc w:val="right"/>
                          <w:rPr>
                            <w:rFonts w:ascii="宋体" w:hAnsi="宋体" w:cs="宋体" w:eastAsia="宋体" w:hint="default"/>
                            <w:sz w:val="16"/>
                            <w:szCs w:val="16"/>
                          </w:rPr>
                        </w:pPr>
                        <w:r>
                          <w:rPr>
                            <w:rFonts w:ascii="宋体"/>
                            <w:spacing w:val="-1"/>
                            <w:sz w:val="16"/>
                          </w:rPr>
                          <w:t>0.00</w:t>
                        </w:r>
                      </w:p>
                    </w:tc>
                  </w:tr>
                  <w:tr>
                    <w:trPr>
                      <w:trHeight w:val="372" w:hRule="exact"/>
                    </w:trPr>
                    <w:tc>
                      <w:tcPr>
                        <w:tcW w:w="3377" w:type="dxa"/>
                        <w:tcBorders>
                          <w:top w:val="nil" w:sz="6" w:space="0" w:color="auto"/>
                          <w:left w:val="nil" w:sz="6" w:space="0" w:color="auto"/>
                          <w:bottom w:val="nil" w:sz="6" w:space="0" w:color="auto"/>
                          <w:right w:val="nil" w:sz="6" w:space="0" w:color="auto"/>
                        </w:tcBorders>
                      </w:tcPr>
                      <w:p>
                        <w:pPr>
                          <w:pStyle w:val="TableParagraph"/>
                          <w:spacing w:line="88" w:lineRule="exact"/>
                          <w:ind w:left="57" w:right="0"/>
                          <w:jc w:val="left"/>
                          <w:rPr>
                            <w:rFonts w:ascii="宋体" w:hAnsi="宋体" w:cs="宋体" w:eastAsia="宋体" w:hint="default"/>
                            <w:sz w:val="16"/>
                            <w:szCs w:val="16"/>
                          </w:rPr>
                        </w:pPr>
                        <w:r>
                          <w:rPr>
                            <w:rFonts w:ascii="宋体" w:hAnsi="宋体" w:cs="宋体" w:eastAsia="宋体" w:hint="default"/>
                            <w:spacing w:val="6"/>
                            <w:sz w:val="16"/>
                            <w:szCs w:val="16"/>
                          </w:rPr>
                          <w:t>武汉国际会展中心股份有限</w:t>
                        </w:r>
                      </w:p>
                      <w:p>
                        <w:pPr>
                          <w:pStyle w:val="TableParagraph"/>
                          <w:tabs>
                            <w:tab w:pos="2359" w:val="left" w:leader="none"/>
                          </w:tabs>
                          <w:spacing w:line="266" w:lineRule="exact"/>
                          <w:ind w:left="57" w:right="0"/>
                          <w:jc w:val="left"/>
                          <w:rPr>
                            <w:rFonts w:ascii="宋体" w:hAnsi="宋体" w:cs="宋体" w:eastAsia="宋体" w:hint="default"/>
                            <w:sz w:val="16"/>
                            <w:szCs w:val="16"/>
                          </w:rPr>
                        </w:pPr>
                        <w:r>
                          <w:rPr>
                            <w:rFonts w:ascii="宋体" w:hAnsi="宋体" w:cs="宋体" w:eastAsia="宋体" w:hint="default"/>
                            <w:position w:val="-10"/>
                            <w:sz w:val="16"/>
                            <w:szCs w:val="16"/>
                          </w:rPr>
                          <w:t>公司</w:t>
                          <w:tab/>
                        </w:r>
                        <w:r>
                          <w:rPr>
                            <w:rFonts w:ascii="宋体" w:hAnsi="宋体" w:cs="宋体" w:eastAsia="宋体" w:hint="default"/>
                            <w:sz w:val="16"/>
                            <w:szCs w:val="16"/>
                          </w:rPr>
                          <w:t>5,000,000.00</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
                          <w:jc w:val="right"/>
                          <w:rPr>
                            <w:rFonts w:ascii="宋体" w:hAnsi="宋体" w:cs="宋体" w:eastAsia="宋体" w:hint="default"/>
                            <w:sz w:val="16"/>
                            <w:szCs w:val="16"/>
                          </w:rPr>
                        </w:pPr>
                        <w:r>
                          <w:rPr>
                            <w:rFonts w:ascii="宋体"/>
                            <w:spacing w:val="-1"/>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
                          <w:jc w:val="right"/>
                          <w:rPr>
                            <w:rFonts w:ascii="宋体" w:hAnsi="宋体" w:cs="宋体" w:eastAsia="宋体" w:hint="default"/>
                            <w:sz w:val="16"/>
                            <w:szCs w:val="16"/>
                          </w:rPr>
                        </w:pPr>
                        <w:r>
                          <w:rPr>
                            <w:rFonts w:ascii="宋体"/>
                            <w:spacing w:val="-1"/>
                            <w:sz w:val="16"/>
                          </w:rPr>
                          <w:t>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5"/>
                          <w:jc w:val="right"/>
                          <w:rPr>
                            <w:rFonts w:ascii="宋体" w:hAnsi="宋体" w:cs="宋体" w:eastAsia="宋体" w:hint="default"/>
                            <w:sz w:val="16"/>
                            <w:szCs w:val="16"/>
                          </w:rPr>
                        </w:pPr>
                        <w:r>
                          <w:rPr>
                            <w:rFonts w:ascii="宋体"/>
                            <w:spacing w:val="-2"/>
                            <w:sz w:val="16"/>
                          </w:rPr>
                          <w:t>5,000,000.00</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0" w:right="0"/>
                          <w:jc w:val="center"/>
                          <w:rPr>
                            <w:rFonts w:ascii="宋体" w:hAnsi="宋体" w:cs="宋体" w:eastAsia="宋体" w:hint="default"/>
                            <w:sz w:val="16"/>
                            <w:szCs w:val="16"/>
                          </w:rPr>
                        </w:pPr>
                        <w:r>
                          <w:rPr>
                            <w:rFonts w:ascii="宋体"/>
                            <w:sz w:val="16"/>
                          </w:rPr>
                          <w:t>2.21%</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4"/>
                          <w:jc w:val="right"/>
                          <w:rPr>
                            <w:rFonts w:ascii="宋体" w:hAnsi="宋体" w:cs="宋体" w:eastAsia="宋体" w:hint="default"/>
                            <w:sz w:val="16"/>
                            <w:szCs w:val="16"/>
                          </w:rPr>
                        </w:pPr>
                        <w:r>
                          <w:rPr>
                            <w:rFonts w:ascii="宋体"/>
                            <w:spacing w:val="-1"/>
                            <w:sz w:val="16"/>
                          </w:rPr>
                          <w:t>0.00</w:t>
                        </w:r>
                      </w:p>
                    </w:tc>
                  </w:tr>
                  <w:tr>
                    <w:trPr>
                      <w:trHeight w:val="415" w:hRule="exact"/>
                    </w:trPr>
                    <w:tc>
                      <w:tcPr>
                        <w:tcW w:w="3377" w:type="dxa"/>
                        <w:tcBorders>
                          <w:top w:val="nil" w:sz="6" w:space="0" w:color="auto"/>
                          <w:left w:val="nil" w:sz="6" w:space="0" w:color="auto"/>
                          <w:bottom w:val="nil" w:sz="6" w:space="0" w:color="auto"/>
                          <w:right w:val="nil" w:sz="6" w:space="0" w:color="auto"/>
                        </w:tcBorders>
                      </w:tcPr>
                      <w:p>
                        <w:pPr>
                          <w:pStyle w:val="TableParagraph"/>
                          <w:spacing w:line="132" w:lineRule="exact"/>
                          <w:ind w:left="57" w:right="0"/>
                          <w:jc w:val="left"/>
                          <w:rPr>
                            <w:rFonts w:ascii="宋体" w:hAnsi="宋体" w:cs="宋体" w:eastAsia="宋体" w:hint="default"/>
                            <w:sz w:val="16"/>
                            <w:szCs w:val="16"/>
                          </w:rPr>
                        </w:pPr>
                        <w:r>
                          <w:rPr>
                            <w:rFonts w:ascii="宋体" w:hAnsi="宋体" w:cs="宋体" w:eastAsia="宋体" w:hint="default"/>
                            <w:spacing w:val="6"/>
                            <w:sz w:val="16"/>
                            <w:szCs w:val="16"/>
                          </w:rPr>
                          <w:t>佛山市南海区联合广东新光</w:t>
                        </w:r>
                      </w:p>
                      <w:p>
                        <w:pPr>
                          <w:pStyle w:val="TableParagraph"/>
                          <w:tabs>
                            <w:tab w:pos="2359" w:val="left" w:leader="none"/>
                          </w:tabs>
                          <w:spacing w:line="266" w:lineRule="exact"/>
                          <w:ind w:left="57" w:right="0"/>
                          <w:jc w:val="left"/>
                          <w:rPr>
                            <w:rFonts w:ascii="宋体" w:hAnsi="宋体" w:cs="宋体" w:eastAsia="宋体" w:hint="default"/>
                            <w:sz w:val="16"/>
                            <w:szCs w:val="16"/>
                          </w:rPr>
                        </w:pPr>
                        <w:r>
                          <w:rPr>
                            <w:rFonts w:ascii="宋体" w:hAnsi="宋体" w:cs="宋体" w:eastAsia="宋体" w:hint="default"/>
                            <w:spacing w:val="-1"/>
                            <w:position w:val="-10"/>
                            <w:sz w:val="16"/>
                            <w:szCs w:val="16"/>
                          </w:rPr>
                          <w:t>源产业创新中心</w:t>
                          <w:tab/>
                        </w:r>
                        <w:r>
                          <w:rPr>
                            <w:rFonts w:ascii="宋体" w:hAnsi="宋体" w:cs="宋体" w:eastAsia="宋体" w:hint="default"/>
                            <w:spacing w:val="-2"/>
                            <w:sz w:val="16"/>
                            <w:szCs w:val="16"/>
                          </w:rPr>
                          <w:t>3,000,000.00</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7"/>
                          <w:jc w:val="right"/>
                          <w:rPr>
                            <w:rFonts w:ascii="宋体" w:hAnsi="宋体" w:cs="宋体" w:eastAsia="宋体" w:hint="default"/>
                            <w:sz w:val="16"/>
                            <w:szCs w:val="16"/>
                          </w:rPr>
                        </w:pPr>
                        <w:r>
                          <w:rPr>
                            <w:rFonts w:ascii="宋体"/>
                            <w:spacing w:val="-1"/>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7"/>
                          <w:jc w:val="right"/>
                          <w:rPr>
                            <w:rFonts w:ascii="宋体" w:hAnsi="宋体" w:cs="宋体" w:eastAsia="宋体" w:hint="default"/>
                            <w:sz w:val="16"/>
                            <w:szCs w:val="16"/>
                          </w:rPr>
                        </w:pPr>
                        <w:r>
                          <w:rPr>
                            <w:rFonts w:ascii="宋体"/>
                            <w:spacing w:val="-1"/>
                            <w:sz w:val="16"/>
                          </w:rPr>
                          <w:t>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5"/>
                          <w:jc w:val="right"/>
                          <w:rPr>
                            <w:rFonts w:ascii="宋体" w:hAnsi="宋体" w:cs="宋体" w:eastAsia="宋体" w:hint="default"/>
                            <w:sz w:val="16"/>
                            <w:szCs w:val="16"/>
                          </w:rPr>
                        </w:pPr>
                        <w:r>
                          <w:rPr>
                            <w:rFonts w:ascii="宋体"/>
                            <w:spacing w:val="-2"/>
                            <w:sz w:val="16"/>
                          </w:rPr>
                          <w:t>3,000,000.00</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80" w:right="0"/>
                          <w:jc w:val="center"/>
                          <w:rPr>
                            <w:rFonts w:ascii="宋体" w:hAnsi="宋体" w:cs="宋体" w:eastAsia="宋体" w:hint="default"/>
                            <w:sz w:val="16"/>
                            <w:szCs w:val="16"/>
                          </w:rPr>
                        </w:pPr>
                        <w:r>
                          <w:rPr>
                            <w:rFonts w:ascii="宋体"/>
                            <w:sz w:val="16"/>
                          </w:rPr>
                          <w:t>4.76%</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4"/>
                          <w:jc w:val="right"/>
                          <w:rPr>
                            <w:rFonts w:ascii="宋体" w:hAnsi="宋体" w:cs="宋体" w:eastAsia="宋体" w:hint="default"/>
                            <w:sz w:val="16"/>
                            <w:szCs w:val="16"/>
                          </w:rPr>
                        </w:pPr>
                        <w:r>
                          <w:rPr>
                            <w:rFonts w:ascii="宋体"/>
                            <w:spacing w:val="-1"/>
                            <w:sz w:val="16"/>
                          </w:rPr>
                          <w:t>0.00</w:t>
                        </w:r>
                      </w:p>
                    </w:tc>
                  </w:tr>
                  <w:tr>
                    <w:trPr>
                      <w:trHeight w:val="415" w:hRule="exact"/>
                    </w:trPr>
                    <w:tc>
                      <w:tcPr>
                        <w:tcW w:w="3377" w:type="dxa"/>
                        <w:tcBorders>
                          <w:top w:val="nil" w:sz="6" w:space="0" w:color="auto"/>
                          <w:left w:val="nil" w:sz="6" w:space="0" w:color="auto"/>
                          <w:bottom w:val="nil" w:sz="6" w:space="0" w:color="auto"/>
                          <w:right w:val="nil" w:sz="6" w:space="0" w:color="auto"/>
                        </w:tcBorders>
                      </w:tcPr>
                      <w:p>
                        <w:pPr>
                          <w:pStyle w:val="TableParagraph"/>
                          <w:spacing w:line="132" w:lineRule="exact"/>
                          <w:ind w:left="57" w:right="0"/>
                          <w:jc w:val="left"/>
                          <w:rPr>
                            <w:rFonts w:ascii="宋体" w:hAnsi="宋体" w:cs="宋体" w:eastAsia="宋体" w:hint="default"/>
                            <w:sz w:val="16"/>
                            <w:szCs w:val="16"/>
                          </w:rPr>
                        </w:pPr>
                        <w:r>
                          <w:rPr>
                            <w:rFonts w:ascii="宋体" w:hAnsi="宋体" w:cs="宋体" w:eastAsia="宋体" w:hint="default"/>
                            <w:spacing w:val="6"/>
                            <w:sz w:val="16"/>
                            <w:szCs w:val="16"/>
                          </w:rPr>
                          <w:t>北京中铁亿品旅客信息服务</w:t>
                        </w:r>
                      </w:p>
                      <w:p>
                        <w:pPr>
                          <w:pStyle w:val="TableParagraph"/>
                          <w:tabs>
                            <w:tab w:pos="2359" w:val="left" w:leader="none"/>
                          </w:tabs>
                          <w:spacing w:line="256" w:lineRule="exact"/>
                          <w:ind w:left="57" w:right="0"/>
                          <w:jc w:val="left"/>
                          <w:rPr>
                            <w:rFonts w:ascii="宋体" w:hAnsi="宋体" w:cs="宋体" w:eastAsia="宋体" w:hint="default"/>
                            <w:sz w:val="16"/>
                            <w:szCs w:val="16"/>
                          </w:rPr>
                        </w:pPr>
                        <w:r>
                          <w:rPr>
                            <w:rFonts w:ascii="宋体" w:hAnsi="宋体" w:cs="宋体" w:eastAsia="宋体" w:hint="default"/>
                            <w:position w:val="-9"/>
                            <w:sz w:val="16"/>
                            <w:szCs w:val="16"/>
                          </w:rPr>
                          <w:t>有限公司</w:t>
                          <w:tab/>
                        </w:r>
                        <w:r>
                          <w:rPr>
                            <w:rFonts w:ascii="宋体" w:hAnsi="宋体" w:cs="宋体" w:eastAsia="宋体" w:hint="default"/>
                            <w:sz w:val="16"/>
                            <w:szCs w:val="16"/>
                          </w:rPr>
                          <w:t>3,000,000.00</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7"/>
                          <w:jc w:val="right"/>
                          <w:rPr>
                            <w:rFonts w:ascii="宋体" w:hAnsi="宋体" w:cs="宋体" w:eastAsia="宋体" w:hint="default"/>
                            <w:sz w:val="16"/>
                            <w:szCs w:val="16"/>
                          </w:rPr>
                        </w:pPr>
                        <w:r>
                          <w:rPr>
                            <w:rFonts w:ascii="宋体"/>
                            <w:spacing w:val="-1"/>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7"/>
                          <w:jc w:val="right"/>
                          <w:rPr>
                            <w:rFonts w:ascii="宋体" w:hAnsi="宋体" w:cs="宋体" w:eastAsia="宋体" w:hint="default"/>
                            <w:sz w:val="16"/>
                            <w:szCs w:val="16"/>
                          </w:rPr>
                        </w:pPr>
                        <w:r>
                          <w:rPr>
                            <w:rFonts w:ascii="宋体"/>
                            <w:spacing w:val="-1"/>
                            <w:sz w:val="16"/>
                          </w:rPr>
                          <w:t>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5"/>
                          <w:jc w:val="right"/>
                          <w:rPr>
                            <w:rFonts w:ascii="宋体" w:hAnsi="宋体" w:cs="宋体" w:eastAsia="宋体" w:hint="default"/>
                            <w:sz w:val="16"/>
                            <w:szCs w:val="16"/>
                          </w:rPr>
                        </w:pPr>
                        <w:r>
                          <w:rPr>
                            <w:rFonts w:ascii="宋体"/>
                            <w:spacing w:val="-2"/>
                            <w:sz w:val="16"/>
                          </w:rPr>
                          <w:t>3,000,000.00</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 w:right="0"/>
                          <w:jc w:val="center"/>
                          <w:rPr>
                            <w:rFonts w:ascii="宋体" w:hAnsi="宋体" w:cs="宋体" w:eastAsia="宋体" w:hint="default"/>
                            <w:sz w:val="16"/>
                            <w:szCs w:val="16"/>
                          </w:rPr>
                        </w:pPr>
                        <w:r>
                          <w:rPr>
                            <w:rFonts w:ascii="宋体"/>
                            <w:sz w:val="16"/>
                          </w:rPr>
                          <w:t>10.00%</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4"/>
                          <w:jc w:val="right"/>
                          <w:rPr>
                            <w:rFonts w:ascii="宋体" w:hAnsi="宋体" w:cs="宋体" w:eastAsia="宋体" w:hint="default"/>
                            <w:sz w:val="16"/>
                            <w:szCs w:val="16"/>
                          </w:rPr>
                        </w:pPr>
                        <w:r>
                          <w:rPr>
                            <w:rFonts w:ascii="宋体"/>
                            <w:spacing w:val="-1"/>
                            <w:sz w:val="16"/>
                          </w:rPr>
                          <w:t>0.00</w:t>
                        </w:r>
                      </w:p>
                    </w:tc>
                  </w:tr>
                  <w:tr>
                    <w:trPr>
                      <w:trHeight w:val="372" w:hRule="exact"/>
                    </w:trPr>
                    <w:tc>
                      <w:tcPr>
                        <w:tcW w:w="3377" w:type="dxa"/>
                        <w:tcBorders>
                          <w:top w:val="nil" w:sz="6" w:space="0" w:color="auto"/>
                          <w:left w:val="nil" w:sz="6" w:space="0" w:color="auto"/>
                          <w:bottom w:val="nil" w:sz="6" w:space="0" w:color="auto"/>
                          <w:right w:val="nil" w:sz="6" w:space="0" w:color="auto"/>
                        </w:tcBorders>
                      </w:tcPr>
                      <w:p>
                        <w:pPr>
                          <w:pStyle w:val="TableParagraph"/>
                          <w:spacing w:line="132" w:lineRule="exact"/>
                          <w:ind w:left="57" w:right="0"/>
                          <w:jc w:val="left"/>
                          <w:rPr>
                            <w:rFonts w:ascii="宋体" w:hAnsi="宋体" w:cs="宋体" w:eastAsia="宋体" w:hint="default"/>
                            <w:sz w:val="16"/>
                            <w:szCs w:val="16"/>
                          </w:rPr>
                        </w:pPr>
                        <w:r>
                          <w:rPr>
                            <w:rFonts w:ascii="宋体" w:hAnsi="宋体" w:cs="宋体" w:eastAsia="宋体" w:hint="default"/>
                            <w:spacing w:val="-6"/>
                            <w:sz w:val="16"/>
                            <w:szCs w:val="16"/>
                          </w:rPr>
                          <w:t>光环有云（北京）网络服务有</w:t>
                        </w:r>
                      </w:p>
                      <w:p>
                        <w:pPr>
                          <w:pStyle w:val="TableParagraph"/>
                          <w:tabs>
                            <w:tab w:pos="3000" w:val="left" w:leader="none"/>
                          </w:tabs>
                          <w:spacing w:line="256" w:lineRule="exact"/>
                          <w:ind w:left="57" w:right="0"/>
                          <w:jc w:val="left"/>
                          <w:rPr>
                            <w:rFonts w:ascii="宋体" w:hAnsi="宋体" w:cs="宋体" w:eastAsia="宋体" w:hint="default"/>
                            <w:sz w:val="16"/>
                            <w:szCs w:val="16"/>
                          </w:rPr>
                        </w:pPr>
                        <w:r>
                          <w:rPr>
                            <w:rFonts w:ascii="宋体" w:hAnsi="宋体" w:cs="宋体" w:eastAsia="宋体" w:hint="default"/>
                            <w:position w:val="-9"/>
                            <w:sz w:val="16"/>
                            <w:szCs w:val="16"/>
                          </w:rPr>
                          <w:t>限公司</w:t>
                        </w:r>
                        <w:r>
                          <w:rPr>
                            <w:rFonts w:ascii="宋体" w:hAnsi="宋体" w:cs="宋体" w:eastAsia="宋体" w:hint="default"/>
                            <w:sz w:val="16"/>
                            <w:szCs w:val="16"/>
                          </w:rPr>
                          <w:tab/>
                          <w:t>0.00</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55"/>
                          <w:jc w:val="right"/>
                          <w:rPr>
                            <w:rFonts w:ascii="宋体" w:hAnsi="宋体" w:cs="宋体" w:eastAsia="宋体" w:hint="default"/>
                            <w:sz w:val="16"/>
                            <w:szCs w:val="16"/>
                          </w:rPr>
                        </w:pPr>
                        <w:r>
                          <w:rPr>
                            <w:rFonts w:ascii="宋体"/>
                            <w:spacing w:val="-2"/>
                            <w:sz w:val="16"/>
                          </w:rPr>
                          <w:t>3,000,000.00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57"/>
                          <w:jc w:val="right"/>
                          <w:rPr>
                            <w:rFonts w:ascii="宋体" w:hAnsi="宋体" w:cs="宋体" w:eastAsia="宋体" w:hint="default"/>
                            <w:sz w:val="16"/>
                            <w:szCs w:val="16"/>
                          </w:rPr>
                        </w:pPr>
                        <w:r>
                          <w:rPr>
                            <w:rFonts w:ascii="宋体"/>
                            <w:spacing w:val="-1"/>
                            <w:sz w:val="16"/>
                          </w:rPr>
                          <w:t>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55"/>
                          <w:jc w:val="right"/>
                          <w:rPr>
                            <w:rFonts w:ascii="宋体" w:hAnsi="宋体" w:cs="宋体" w:eastAsia="宋体" w:hint="default"/>
                            <w:sz w:val="16"/>
                            <w:szCs w:val="16"/>
                          </w:rPr>
                        </w:pPr>
                        <w:r>
                          <w:rPr>
                            <w:rFonts w:ascii="宋体"/>
                            <w:spacing w:val="-2"/>
                            <w:sz w:val="16"/>
                          </w:rPr>
                          <w:t>3,000,000.00</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 w:right="0"/>
                          <w:jc w:val="center"/>
                          <w:rPr>
                            <w:rFonts w:ascii="宋体" w:hAnsi="宋体" w:cs="宋体" w:eastAsia="宋体" w:hint="default"/>
                            <w:sz w:val="16"/>
                            <w:szCs w:val="16"/>
                          </w:rPr>
                        </w:pPr>
                        <w:r>
                          <w:rPr>
                            <w:rFonts w:ascii="宋体"/>
                            <w:sz w:val="16"/>
                          </w:rPr>
                          <w:t>10.00%</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54"/>
                          <w:jc w:val="right"/>
                          <w:rPr>
                            <w:rFonts w:ascii="宋体" w:hAnsi="宋体" w:cs="宋体" w:eastAsia="宋体" w:hint="default"/>
                            <w:sz w:val="16"/>
                            <w:szCs w:val="16"/>
                          </w:rPr>
                        </w:pPr>
                        <w:r>
                          <w:rPr>
                            <w:rFonts w:ascii="宋体"/>
                            <w:spacing w:val="-1"/>
                            <w:sz w:val="16"/>
                          </w:rPr>
                          <w:t>0.00</w:t>
                        </w:r>
                      </w:p>
                    </w:tc>
                  </w:tr>
                  <w:tr>
                    <w:trPr>
                      <w:trHeight w:val="287" w:hRule="exact"/>
                    </w:trPr>
                    <w:tc>
                      <w:tcPr>
                        <w:tcW w:w="3377" w:type="dxa"/>
                        <w:tcBorders>
                          <w:top w:val="nil" w:sz="6" w:space="0" w:color="auto"/>
                          <w:left w:val="nil" w:sz="6" w:space="0" w:color="auto"/>
                          <w:bottom w:val="nil" w:sz="6" w:space="0" w:color="auto"/>
                          <w:right w:val="nil" w:sz="6" w:space="0" w:color="auto"/>
                        </w:tcBorders>
                      </w:tcPr>
                      <w:p>
                        <w:pPr>
                          <w:pStyle w:val="TableParagraph"/>
                          <w:tabs>
                            <w:tab w:pos="2359" w:val="left" w:leader="none"/>
                          </w:tabs>
                          <w:spacing w:line="240" w:lineRule="auto" w:before="35"/>
                          <w:ind w:left="57" w:right="0"/>
                          <w:jc w:val="left"/>
                          <w:rPr>
                            <w:rFonts w:ascii="宋体" w:hAnsi="宋体" w:cs="宋体" w:eastAsia="宋体" w:hint="default"/>
                            <w:sz w:val="16"/>
                            <w:szCs w:val="16"/>
                          </w:rPr>
                        </w:pPr>
                        <w:r>
                          <w:rPr>
                            <w:rFonts w:ascii="宋体" w:hAnsi="宋体" w:cs="宋体" w:eastAsia="宋体" w:hint="default"/>
                            <w:spacing w:val="-1"/>
                            <w:sz w:val="16"/>
                            <w:szCs w:val="16"/>
                          </w:rPr>
                          <w:t>北京高校创业股份有限公司</w:t>
                          <w:tab/>
                        </w:r>
                        <w:r>
                          <w:rPr>
                            <w:rFonts w:ascii="宋体" w:hAnsi="宋体" w:cs="宋体" w:eastAsia="宋体" w:hint="default"/>
                            <w:spacing w:val="-2"/>
                            <w:sz w:val="16"/>
                            <w:szCs w:val="16"/>
                          </w:rPr>
                          <w:t>2,000,000.00</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
                          <w:jc w:val="right"/>
                          <w:rPr>
                            <w:rFonts w:ascii="宋体" w:hAnsi="宋体" w:cs="宋体" w:eastAsia="宋体" w:hint="default"/>
                            <w:sz w:val="16"/>
                            <w:szCs w:val="16"/>
                          </w:rPr>
                        </w:pPr>
                        <w:r>
                          <w:rPr>
                            <w:rFonts w:ascii="宋体"/>
                            <w:spacing w:val="-1"/>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
                          <w:jc w:val="right"/>
                          <w:rPr>
                            <w:rFonts w:ascii="宋体" w:hAnsi="宋体" w:cs="宋体" w:eastAsia="宋体" w:hint="default"/>
                            <w:sz w:val="16"/>
                            <w:szCs w:val="16"/>
                          </w:rPr>
                        </w:pPr>
                        <w:r>
                          <w:rPr>
                            <w:rFonts w:ascii="宋体"/>
                            <w:spacing w:val="-1"/>
                            <w:sz w:val="16"/>
                          </w:rPr>
                          <w:t>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5"/>
                          <w:jc w:val="right"/>
                          <w:rPr>
                            <w:rFonts w:ascii="宋体" w:hAnsi="宋体" w:cs="宋体" w:eastAsia="宋体" w:hint="default"/>
                            <w:sz w:val="16"/>
                            <w:szCs w:val="16"/>
                          </w:rPr>
                        </w:pPr>
                        <w:r>
                          <w:rPr>
                            <w:rFonts w:ascii="宋体"/>
                            <w:spacing w:val="-2"/>
                            <w:sz w:val="16"/>
                          </w:rPr>
                          <w:t>2,000,000.00</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0" w:right="0"/>
                          <w:jc w:val="center"/>
                          <w:rPr>
                            <w:rFonts w:ascii="宋体" w:hAnsi="宋体" w:cs="宋体" w:eastAsia="宋体" w:hint="default"/>
                            <w:sz w:val="16"/>
                            <w:szCs w:val="16"/>
                          </w:rPr>
                        </w:pPr>
                        <w:r>
                          <w:rPr>
                            <w:rFonts w:ascii="宋体"/>
                            <w:sz w:val="16"/>
                          </w:rPr>
                          <w:t>2.30%</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4"/>
                          <w:jc w:val="right"/>
                          <w:rPr>
                            <w:rFonts w:ascii="宋体" w:hAnsi="宋体" w:cs="宋体" w:eastAsia="宋体" w:hint="default"/>
                            <w:sz w:val="16"/>
                            <w:szCs w:val="16"/>
                          </w:rPr>
                        </w:pPr>
                        <w:r>
                          <w:rPr>
                            <w:rFonts w:ascii="宋体"/>
                            <w:spacing w:val="-1"/>
                            <w:sz w:val="16"/>
                          </w:rPr>
                          <w:t>0.00</w:t>
                        </w:r>
                      </w:p>
                    </w:tc>
                  </w:tr>
                  <w:tr>
                    <w:trPr>
                      <w:trHeight w:val="287" w:hRule="exact"/>
                    </w:trPr>
                    <w:tc>
                      <w:tcPr>
                        <w:tcW w:w="3377" w:type="dxa"/>
                        <w:tcBorders>
                          <w:top w:val="nil" w:sz="6" w:space="0" w:color="auto"/>
                          <w:left w:val="nil" w:sz="6" w:space="0" w:color="auto"/>
                          <w:bottom w:val="nil" w:sz="6" w:space="0" w:color="auto"/>
                          <w:right w:val="nil" w:sz="6" w:space="0" w:color="auto"/>
                        </w:tcBorders>
                      </w:tcPr>
                      <w:p>
                        <w:pPr>
                          <w:pStyle w:val="TableParagraph"/>
                          <w:tabs>
                            <w:tab w:pos="2359" w:val="left" w:leader="none"/>
                          </w:tabs>
                          <w:spacing w:line="203" w:lineRule="exact"/>
                          <w:ind w:left="57" w:right="0"/>
                          <w:jc w:val="left"/>
                          <w:rPr>
                            <w:rFonts w:ascii="宋体" w:hAnsi="宋体" w:cs="宋体" w:eastAsia="宋体" w:hint="default"/>
                            <w:sz w:val="16"/>
                            <w:szCs w:val="16"/>
                          </w:rPr>
                        </w:pPr>
                        <w:r>
                          <w:rPr>
                            <w:rFonts w:ascii="宋体" w:hAnsi="宋体" w:cs="宋体" w:eastAsia="宋体" w:hint="default"/>
                            <w:spacing w:val="-1"/>
                            <w:sz w:val="16"/>
                            <w:szCs w:val="16"/>
                          </w:rPr>
                          <w:t>苏州卓凯生物技术有限公司</w:t>
                          <w:tab/>
                        </w:r>
                        <w:r>
                          <w:rPr>
                            <w:rFonts w:ascii="宋体" w:hAnsi="宋体" w:cs="宋体" w:eastAsia="宋体" w:hint="default"/>
                            <w:spacing w:val="-2"/>
                            <w:sz w:val="16"/>
                            <w:szCs w:val="16"/>
                          </w:rPr>
                          <w:t>1,745,154.11</w:t>
                        </w:r>
                      </w:p>
                    </w:tc>
                    <w:tc>
                      <w:tcPr>
                        <w:tcW w:w="1163" w:type="dxa"/>
                        <w:tcBorders>
                          <w:top w:val="nil" w:sz="6" w:space="0" w:color="auto"/>
                          <w:left w:val="nil" w:sz="6" w:space="0" w:color="auto"/>
                          <w:bottom w:val="nil" w:sz="6" w:space="0" w:color="auto"/>
                          <w:right w:val="nil" w:sz="6" w:space="0" w:color="auto"/>
                        </w:tcBorders>
                      </w:tcPr>
                      <w:p>
                        <w:pPr>
                          <w:pStyle w:val="TableParagraph"/>
                          <w:spacing w:line="203" w:lineRule="exact"/>
                          <w:ind w:right="57"/>
                          <w:jc w:val="right"/>
                          <w:rPr>
                            <w:rFonts w:ascii="宋体" w:hAnsi="宋体" w:cs="宋体" w:eastAsia="宋体" w:hint="default"/>
                            <w:sz w:val="16"/>
                            <w:szCs w:val="16"/>
                          </w:rPr>
                        </w:pPr>
                        <w:r>
                          <w:rPr>
                            <w:rFonts w:ascii="宋体"/>
                            <w:spacing w:val="-1"/>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03" w:lineRule="exact"/>
                          <w:ind w:right="57"/>
                          <w:jc w:val="right"/>
                          <w:rPr>
                            <w:rFonts w:ascii="宋体" w:hAnsi="宋体" w:cs="宋体" w:eastAsia="宋体" w:hint="default"/>
                            <w:sz w:val="16"/>
                            <w:szCs w:val="16"/>
                          </w:rPr>
                        </w:pPr>
                        <w:r>
                          <w:rPr>
                            <w:rFonts w:ascii="宋体"/>
                            <w:spacing w:val="-1"/>
                            <w:sz w:val="16"/>
                          </w:rPr>
                          <w:t>0.00</w:t>
                        </w:r>
                      </w:p>
                    </w:tc>
                    <w:tc>
                      <w:tcPr>
                        <w:tcW w:w="1243" w:type="dxa"/>
                        <w:tcBorders>
                          <w:top w:val="nil" w:sz="6" w:space="0" w:color="auto"/>
                          <w:left w:val="nil" w:sz="6" w:space="0" w:color="auto"/>
                          <w:bottom w:val="nil" w:sz="6" w:space="0" w:color="auto"/>
                          <w:right w:val="nil" w:sz="6" w:space="0" w:color="auto"/>
                        </w:tcBorders>
                      </w:tcPr>
                      <w:p>
                        <w:pPr>
                          <w:pStyle w:val="TableParagraph"/>
                          <w:spacing w:line="203" w:lineRule="exact"/>
                          <w:ind w:right="55"/>
                          <w:jc w:val="right"/>
                          <w:rPr>
                            <w:rFonts w:ascii="宋体" w:hAnsi="宋体" w:cs="宋体" w:eastAsia="宋体" w:hint="default"/>
                            <w:sz w:val="16"/>
                            <w:szCs w:val="16"/>
                          </w:rPr>
                        </w:pPr>
                        <w:r>
                          <w:rPr>
                            <w:rFonts w:ascii="宋体"/>
                            <w:spacing w:val="-2"/>
                            <w:sz w:val="16"/>
                          </w:rPr>
                          <w:t>1,745,154.11</w:t>
                        </w:r>
                      </w:p>
                    </w:tc>
                    <w:tc>
                      <w:tcPr>
                        <w:tcW w:w="594" w:type="dxa"/>
                        <w:tcBorders>
                          <w:top w:val="nil" w:sz="6" w:space="0" w:color="auto"/>
                          <w:left w:val="nil" w:sz="6" w:space="0" w:color="auto"/>
                          <w:bottom w:val="nil" w:sz="6" w:space="0" w:color="auto"/>
                          <w:right w:val="nil" w:sz="6" w:space="0" w:color="auto"/>
                        </w:tcBorders>
                      </w:tcPr>
                      <w:p>
                        <w:pPr>
                          <w:pStyle w:val="TableParagraph"/>
                          <w:spacing w:line="203" w:lineRule="exact"/>
                          <w:ind w:left="1" w:right="0"/>
                          <w:jc w:val="center"/>
                          <w:rPr>
                            <w:rFonts w:ascii="宋体" w:hAnsi="宋体" w:cs="宋体" w:eastAsia="宋体" w:hint="default"/>
                            <w:sz w:val="16"/>
                            <w:szCs w:val="16"/>
                          </w:rPr>
                        </w:pPr>
                        <w:r>
                          <w:rPr>
                            <w:rFonts w:ascii="宋体"/>
                            <w:sz w:val="16"/>
                          </w:rPr>
                          <w:t>13.29%</w:t>
                        </w:r>
                      </w:p>
                    </w:tc>
                    <w:tc>
                      <w:tcPr>
                        <w:tcW w:w="1081" w:type="dxa"/>
                        <w:tcBorders>
                          <w:top w:val="nil" w:sz="6" w:space="0" w:color="auto"/>
                          <w:left w:val="nil" w:sz="6" w:space="0" w:color="auto"/>
                          <w:bottom w:val="nil" w:sz="6" w:space="0" w:color="auto"/>
                          <w:right w:val="nil" w:sz="6" w:space="0" w:color="auto"/>
                        </w:tcBorders>
                      </w:tcPr>
                      <w:p>
                        <w:pPr>
                          <w:pStyle w:val="TableParagraph"/>
                          <w:spacing w:line="203" w:lineRule="exact"/>
                          <w:ind w:right="54"/>
                          <w:jc w:val="right"/>
                          <w:rPr>
                            <w:rFonts w:ascii="宋体" w:hAnsi="宋体" w:cs="宋体" w:eastAsia="宋体" w:hint="default"/>
                            <w:sz w:val="16"/>
                            <w:szCs w:val="16"/>
                          </w:rPr>
                        </w:pPr>
                        <w:r>
                          <w:rPr>
                            <w:rFonts w:ascii="宋体"/>
                            <w:spacing w:val="-1"/>
                            <w:sz w:val="16"/>
                          </w:rPr>
                          <w:t>0.00</w:t>
                        </w:r>
                      </w:p>
                    </w:tc>
                  </w:tr>
                  <w:tr>
                    <w:trPr>
                      <w:trHeight w:val="372" w:hRule="exact"/>
                    </w:trPr>
                    <w:tc>
                      <w:tcPr>
                        <w:tcW w:w="3377" w:type="dxa"/>
                        <w:tcBorders>
                          <w:top w:val="nil" w:sz="6" w:space="0" w:color="auto"/>
                          <w:left w:val="nil" w:sz="6" w:space="0" w:color="auto"/>
                          <w:bottom w:val="nil" w:sz="6" w:space="0" w:color="auto"/>
                          <w:right w:val="nil" w:sz="6" w:space="0" w:color="auto"/>
                        </w:tcBorders>
                      </w:tcPr>
                      <w:p>
                        <w:pPr>
                          <w:pStyle w:val="TableParagraph"/>
                          <w:spacing w:line="88" w:lineRule="exact"/>
                          <w:ind w:left="57" w:right="0"/>
                          <w:jc w:val="left"/>
                          <w:rPr>
                            <w:rFonts w:ascii="宋体" w:hAnsi="宋体" w:cs="宋体" w:eastAsia="宋体" w:hint="default"/>
                            <w:sz w:val="16"/>
                            <w:szCs w:val="16"/>
                          </w:rPr>
                        </w:pPr>
                        <w:r>
                          <w:rPr>
                            <w:rFonts w:ascii="宋体" w:hAnsi="宋体" w:cs="宋体" w:eastAsia="宋体" w:hint="default"/>
                            <w:spacing w:val="6"/>
                            <w:sz w:val="16"/>
                            <w:szCs w:val="16"/>
                          </w:rPr>
                          <w:t>北京首开亿信置业股份有限</w:t>
                        </w:r>
                      </w:p>
                      <w:p>
                        <w:pPr>
                          <w:pStyle w:val="TableParagraph"/>
                          <w:tabs>
                            <w:tab w:pos="2359" w:val="left" w:leader="none"/>
                          </w:tabs>
                          <w:spacing w:line="266" w:lineRule="exact"/>
                          <w:ind w:left="57" w:right="0"/>
                          <w:jc w:val="left"/>
                          <w:rPr>
                            <w:rFonts w:ascii="宋体" w:hAnsi="宋体" w:cs="宋体" w:eastAsia="宋体" w:hint="default"/>
                            <w:sz w:val="16"/>
                            <w:szCs w:val="16"/>
                          </w:rPr>
                        </w:pPr>
                        <w:r>
                          <w:rPr>
                            <w:rFonts w:ascii="宋体" w:hAnsi="宋体" w:cs="宋体" w:eastAsia="宋体" w:hint="default"/>
                            <w:position w:val="-10"/>
                            <w:sz w:val="16"/>
                            <w:szCs w:val="16"/>
                          </w:rPr>
                          <w:t>公司</w:t>
                          <w:tab/>
                        </w:r>
                        <w:r>
                          <w:rPr>
                            <w:rFonts w:ascii="宋体" w:hAnsi="宋体" w:cs="宋体" w:eastAsia="宋体" w:hint="default"/>
                            <w:sz w:val="16"/>
                            <w:szCs w:val="16"/>
                          </w:rPr>
                          <w:t>1,540,000.00</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
                          <w:jc w:val="right"/>
                          <w:rPr>
                            <w:rFonts w:ascii="宋体" w:hAnsi="宋体" w:cs="宋体" w:eastAsia="宋体" w:hint="default"/>
                            <w:sz w:val="16"/>
                            <w:szCs w:val="16"/>
                          </w:rPr>
                        </w:pPr>
                        <w:r>
                          <w:rPr>
                            <w:rFonts w:ascii="宋体"/>
                            <w:spacing w:val="-1"/>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
                          <w:jc w:val="right"/>
                          <w:rPr>
                            <w:rFonts w:ascii="宋体" w:hAnsi="宋体" w:cs="宋体" w:eastAsia="宋体" w:hint="default"/>
                            <w:sz w:val="16"/>
                            <w:szCs w:val="16"/>
                          </w:rPr>
                        </w:pPr>
                        <w:r>
                          <w:rPr>
                            <w:rFonts w:ascii="宋体"/>
                            <w:spacing w:val="-1"/>
                            <w:sz w:val="16"/>
                          </w:rPr>
                          <w:t>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5"/>
                          <w:jc w:val="right"/>
                          <w:rPr>
                            <w:rFonts w:ascii="宋体" w:hAnsi="宋体" w:cs="宋体" w:eastAsia="宋体" w:hint="default"/>
                            <w:sz w:val="16"/>
                            <w:szCs w:val="16"/>
                          </w:rPr>
                        </w:pPr>
                        <w:r>
                          <w:rPr>
                            <w:rFonts w:ascii="宋体"/>
                            <w:spacing w:val="-2"/>
                            <w:sz w:val="16"/>
                          </w:rPr>
                          <w:t>1,540,000.00</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0" w:right="0"/>
                          <w:jc w:val="center"/>
                          <w:rPr>
                            <w:rFonts w:ascii="宋体" w:hAnsi="宋体" w:cs="宋体" w:eastAsia="宋体" w:hint="default"/>
                            <w:sz w:val="16"/>
                            <w:szCs w:val="16"/>
                          </w:rPr>
                        </w:pPr>
                        <w:r>
                          <w:rPr>
                            <w:rFonts w:ascii="宋体"/>
                            <w:sz w:val="16"/>
                          </w:rPr>
                          <w:t>0.31%</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4"/>
                          <w:jc w:val="right"/>
                          <w:rPr>
                            <w:rFonts w:ascii="宋体" w:hAnsi="宋体" w:cs="宋体" w:eastAsia="宋体" w:hint="default"/>
                            <w:sz w:val="16"/>
                            <w:szCs w:val="16"/>
                          </w:rPr>
                        </w:pPr>
                        <w:r>
                          <w:rPr>
                            <w:rFonts w:ascii="宋体"/>
                            <w:spacing w:val="-2"/>
                            <w:sz w:val="16"/>
                          </w:rPr>
                          <w:t>1,240,000.00</w:t>
                        </w:r>
                      </w:p>
                    </w:tc>
                  </w:tr>
                  <w:tr>
                    <w:trPr>
                      <w:trHeight w:val="373" w:hRule="exact"/>
                    </w:trPr>
                    <w:tc>
                      <w:tcPr>
                        <w:tcW w:w="3377" w:type="dxa"/>
                        <w:tcBorders>
                          <w:top w:val="nil" w:sz="6" w:space="0" w:color="auto"/>
                          <w:left w:val="nil" w:sz="6" w:space="0" w:color="auto"/>
                          <w:bottom w:val="nil" w:sz="6" w:space="0" w:color="auto"/>
                          <w:right w:val="nil" w:sz="6" w:space="0" w:color="auto"/>
                        </w:tcBorders>
                      </w:tcPr>
                      <w:p>
                        <w:pPr>
                          <w:pStyle w:val="TableParagraph"/>
                          <w:spacing w:line="132" w:lineRule="exact"/>
                          <w:ind w:left="57" w:right="0"/>
                          <w:jc w:val="left"/>
                          <w:rPr>
                            <w:rFonts w:ascii="宋体" w:hAnsi="宋体" w:cs="宋体" w:eastAsia="宋体" w:hint="default"/>
                            <w:sz w:val="16"/>
                            <w:szCs w:val="16"/>
                          </w:rPr>
                        </w:pPr>
                        <w:r>
                          <w:rPr>
                            <w:rFonts w:ascii="宋体" w:hAnsi="宋体" w:cs="宋体" w:eastAsia="宋体" w:hint="default"/>
                            <w:spacing w:val="-6"/>
                            <w:sz w:val="16"/>
                            <w:szCs w:val="16"/>
                          </w:rPr>
                          <w:t>太极华方（北京）系统工程有</w:t>
                        </w:r>
                      </w:p>
                      <w:p>
                        <w:pPr>
                          <w:pStyle w:val="TableParagraph"/>
                          <w:tabs>
                            <w:tab w:pos="2359" w:val="left" w:leader="none"/>
                          </w:tabs>
                          <w:spacing w:line="266" w:lineRule="exact"/>
                          <w:ind w:left="57" w:right="0"/>
                          <w:jc w:val="left"/>
                          <w:rPr>
                            <w:rFonts w:ascii="宋体" w:hAnsi="宋体" w:cs="宋体" w:eastAsia="宋体" w:hint="default"/>
                            <w:sz w:val="16"/>
                            <w:szCs w:val="16"/>
                          </w:rPr>
                        </w:pPr>
                        <w:r>
                          <w:rPr>
                            <w:rFonts w:ascii="宋体" w:hAnsi="宋体" w:cs="宋体" w:eastAsia="宋体" w:hint="default"/>
                            <w:position w:val="-10"/>
                            <w:sz w:val="16"/>
                            <w:szCs w:val="16"/>
                          </w:rPr>
                          <w:t>限公司</w:t>
                          <w:tab/>
                        </w:r>
                        <w:r>
                          <w:rPr>
                            <w:rFonts w:ascii="宋体" w:hAnsi="宋体" w:cs="宋体" w:eastAsia="宋体" w:hint="default"/>
                            <w:sz w:val="16"/>
                            <w:szCs w:val="16"/>
                          </w:rPr>
                          <w:t>1,000,000.00</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7"/>
                          <w:jc w:val="right"/>
                          <w:rPr>
                            <w:rFonts w:ascii="宋体" w:hAnsi="宋体" w:cs="宋体" w:eastAsia="宋体" w:hint="default"/>
                            <w:sz w:val="16"/>
                            <w:szCs w:val="16"/>
                          </w:rPr>
                        </w:pPr>
                        <w:r>
                          <w:rPr>
                            <w:rFonts w:ascii="宋体"/>
                            <w:spacing w:val="-1"/>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7"/>
                          <w:jc w:val="right"/>
                          <w:rPr>
                            <w:rFonts w:ascii="宋体" w:hAnsi="宋体" w:cs="宋体" w:eastAsia="宋体" w:hint="default"/>
                            <w:sz w:val="16"/>
                            <w:szCs w:val="16"/>
                          </w:rPr>
                        </w:pPr>
                        <w:r>
                          <w:rPr>
                            <w:rFonts w:ascii="宋体"/>
                            <w:spacing w:val="-1"/>
                            <w:sz w:val="16"/>
                          </w:rPr>
                          <w:t>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5"/>
                          <w:jc w:val="right"/>
                          <w:rPr>
                            <w:rFonts w:ascii="宋体" w:hAnsi="宋体" w:cs="宋体" w:eastAsia="宋体" w:hint="default"/>
                            <w:sz w:val="16"/>
                            <w:szCs w:val="16"/>
                          </w:rPr>
                        </w:pPr>
                        <w:r>
                          <w:rPr>
                            <w:rFonts w:ascii="宋体"/>
                            <w:spacing w:val="-2"/>
                            <w:sz w:val="16"/>
                          </w:rPr>
                          <w:t>1,000,000.00</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 w:right="0"/>
                          <w:jc w:val="center"/>
                          <w:rPr>
                            <w:rFonts w:ascii="宋体" w:hAnsi="宋体" w:cs="宋体" w:eastAsia="宋体" w:hint="default"/>
                            <w:sz w:val="16"/>
                            <w:szCs w:val="16"/>
                          </w:rPr>
                        </w:pPr>
                        <w:r>
                          <w:rPr>
                            <w:rFonts w:ascii="宋体"/>
                            <w:sz w:val="16"/>
                          </w:rPr>
                          <w:t>10.00%</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4"/>
                          <w:jc w:val="right"/>
                          <w:rPr>
                            <w:rFonts w:ascii="宋体" w:hAnsi="宋体" w:cs="宋体" w:eastAsia="宋体" w:hint="default"/>
                            <w:sz w:val="16"/>
                            <w:szCs w:val="16"/>
                          </w:rPr>
                        </w:pPr>
                        <w:r>
                          <w:rPr>
                            <w:rFonts w:ascii="宋体"/>
                            <w:spacing w:val="-1"/>
                            <w:sz w:val="16"/>
                          </w:rPr>
                          <w:t>0.00</w:t>
                        </w:r>
                      </w:p>
                    </w:tc>
                  </w:tr>
                  <w:tr>
                    <w:trPr>
                      <w:trHeight w:val="287" w:hRule="exact"/>
                    </w:trPr>
                    <w:tc>
                      <w:tcPr>
                        <w:tcW w:w="3377" w:type="dxa"/>
                        <w:tcBorders>
                          <w:top w:val="nil" w:sz="6" w:space="0" w:color="auto"/>
                          <w:left w:val="nil" w:sz="6" w:space="0" w:color="auto"/>
                          <w:bottom w:val="nil" w:sz="6" w:space="0" w:color="auto"/>
                          <w:right w:val="nil" w:sz="6" w:space="0" w:color="auto"/>
                        </w:tcBorders>
                      </w:tcPr>
                      <w:p>
                        <w:pPr>
                          <w:pStyle w:val="TableParagraph"/>
                          <w:tabs>
                            <w:tab w:pos="2520" w:val="left" w:leader="none"/>
                          </w:tabs>
                          <w:spacing w:line="240" w:lineRule="auto" w:before="36"/>
                          <w:ind w:left="57" w:right="0"/>
                          <w:jc w:val="left"/>
                          <w:rPr>
                            <w:rFonts w:ascii="宋体" w:hAnsi="宋体" w:cs="宋体" w:eastAsia="宋体" w:hint="default"/>
                            <w:sz w:val="16"/>
                            <w:szCs w:val="16"/>
                          </w:rPr>
                        </w:pPr>
                        <w:r>
                          <w:rPr>
                            <w:rFonts w:ascii="宋体" w:hAnsi="宋体" w:cs="宋体" w:eastAsia="宋体" w:hint="default"/>
                            <w:spacing w:val="-1"/>
                            <w:sz w:val="16"/>
                            <w:szCs w:val="16"/>
                          </w:rPr>
                          <w:t>湖北银雨照明有限公司</w:t>
                          <w:tab/>
                        </w:r>
                        <w:r>
                          <w:rPr>
                            <w:rFonts w:ascii="宋体" w:hAnsi="宋体" w:cs="宋体" w:eastAsia="宋体" w:hint="default"/>
                            <w:spacing w:val="-2"/>
                            <w:sz w:val="16"/>
                            <w:szCs w:val="16"/>
                          </w:rPr>
                          <w:t>901,088.97</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7"/>
                          <w:jc w:val="right"/>
                          <w:rPr>
                            <w:rFonts w:ascii="宋体" w:hAnsi="宋体" w:cs="宋体" w:eastAsia="宋体" w:hint="default"/>
                            <w:sz w:val="16"/>
                            <w:szCs w:val="16"/>
                          </w:rPr>
                        </w:pPr>
                        <w:r>
                          <w:rPr>
                            <w:rFonts w:ascii="宋体"/>
                            <w:spacing w:val="-1"/>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7"/>
                          <w:jc w:val="right"/>
                          <w:rPr>
                            <w:rFonts w:ascii="宋体" w:hAnsi="宋体" w:cs="宋体" w:eastAsia="宋体" w:hint="default"/>
                            <w:sz w:val="16"/>
                            <w:szCs w:val="16"/>
                          </w:rPr>
                        </w:pPr>
                        <w:r>
                          <w:rPr>
                            <w:rFonts w:ascii="宋体"/>
                            <w:spacing w:val="-1"/>
                            <w:sz w:val="16"/>
                          </w:rPr>
                          <w:t>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7"/>
                          <w:jc w:val="right"/>
                          <w:rPr>
                            <w:rFonts w:ascii="宋体" w:hAnsi="宋体" w:cs="宋体" w:eastAsia="宋体" w:hint="default"/>
                            <w:sz w:val="16"/>
                            <w:szCs w:val="16"/>
                          </w:rPr>
                        </w:pPr>
                        <w:r>
                          <w:rPr>
                            <w:rFonts w:ascii="宋体"/>
                            <w:spacing w:val="-2"/>
                            <w:sz w:val="16"/>
                          </w:rPr>
                          <w:t>901,088.97</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 w:right="0"/>
                          <w:jc w:val="center"/>
                          <w:rPr>
                            <w:rFonts w:ascii="宋体" w:hAnsi="宋体" w:cs="宋体" w:eastAsia="宋体" w:hint="default"/>
                            <w:sz w:val="16"/>
                            <w:szCs w:val="16"/>
                          </w:rPr>
                        </w:pPr>
                        <w:r>
                          <w:rPr>
                            <w:rFonts w:ascii="宋体"/>
                            <w:sz w:val="16"/>
                          </w:rPr>
                          <w:t>10.00%</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宋体" w:hAnsi="宋体" w:cs="宋体" w:eastAsia="宋体" w:hint="default"/>
                            <w:sz w:val="16"/>
                            <w:szCs w:val="16"/>
                          </w:rPr>
                        </w:pPr>
                        <w:r>
                          <w:rPr>
                            <w:rFonts w:ascii="宋体"/>
                            <w:spacing w:val="-1"/>
                            <w:sz w:val="16"/>
                          </w:rPr>
                          <w:t>0.00</w:t>
                        </w:r>
                      </w:p>
                    </w:tc>
                  </w:tr>
                  <w:tr>
                    <w:trPr>
                      <w:trHeight w:val="244" w:hRule="exact"/>
                    </w:trPr>
                    <w:tc>
                      <w:tcPr>
                        <w:tcW w:w="3377" w:type="dxa"/>
                        <w:tcBorders>
                          <w:top w:val="nil" w:sz="6" w:space="0" w:color="auto"/>
                          <w:left w:val="nil" w:sz="6" w:space="0" w:color="auto"/>
                          <w:bottom w:val="nil" w:sz="6" w:space="0" w:color="auto"/>
                          <w:right w:val="nil" w:sz="6" w:space="0" w:color="auto"/>
                        </w:tcBorders>
                      </w:tcPr>
                      <w:p>
                        <w:pPr>
                          <w:pStyle w:val="TableParagraph"/>
                          <w:tabs>
                            <w:tab w:pos="2520" w:val="left" w:leader="none"/>
                          </w:tabs>
                          <w:spacing w:line="201" w:lineRule="exact"/>
                          <w:ind w:left="57" w:right="0"/>
                          <w:jc w:val="left"/>
                          <w:rPr>
                            <w:rFonts w:ascii="宋体" w:hAnsi="宋体" w:cs="宋体" w:eastAsia="宋体" w:hint="default"/>
                            <w:sz w:val="16"/>
                            <w:szCs w:val="16"/>
                          </w:rPr>
                        </w:pPr>
                        <w:r>
                          <w:rPr>
                            <w:rFonts w:ascii="宋体" w:hAnsi="宋体" w:cs="宋体" w:eastAsia="宋体" w:hint="default"/>
                            <w:spacing w:val="-1"/>
                            <w:sz w:val="16"/>
                            <w:szCs w:val="16"/>
                          </w:rPr>
                          <w:t>杭州热秀网络技术有限公司</w:t>
                          <w:tab/>
                        </w:r>
                        <w:r>
                          <w:rPr>
                            <w:rFonts w:ascii="宋体" w:hAnsi="宋体" w:cs="宋体" w:eastAsia="宋体" w:hint="default"/>
                            <w:spacing w:val="-2"/>
                            <w:sz w:val="16"/>
                            <w:szCs w:val="16"/>
                          </w:rPr>
                          <w:t>756,680.98</w:t>
                        </w:r>
                      </w:p>
                    </w:tc>
                    <w:tc>
                      <w:tcPr>
                        <w:tcW w:w="1163" w:type="dxa"/>
                        <w:tcBorders>
                          <w:top w:val="nil" w:sz="6" w:space="0" w:color="auto"/>
                          <w:left w:val="nil" w:sz="6" w:space="0" w:color="auto"/>
                          <w:bottom w:val="nil" w:sz="6" w:space="0" w:color="auto"/>
                          <w:right w:val="nil" w:sz="6" w:space="0" w:color="auto"/>
                        </w:tcBorders>
                      </w:tcPr>
                      <w:p>
                        <w:pPr>
                          <w:pStyle w:val="TableParagraph"/>
                          <w:spacing w:line="201" w:lineRule="exact"/>
                          <w:ind w:right="57"/>
                          <w:jc w:val="right"/>
                          <w:rPr>
                            <w:rFonts w:ascii="宋体" w:hAnsi="宋体" w:cs="宋体" w:eastAsia="宋体" w:hint="default"/>
                            <w:sz w:val="16"/>
                            <w:szCs w:val="16"/>
                          </w:rPr>
                        </w:pPr>
                        <w:r>
                          <w:rPr>
                            <w:rFonts w:ascii="宋体"/>
                            <w:spacing w:val="-1"/>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01" w:lineRule="exact"/>
                          <w:ind w:right="57"/>
                          <w:jc w:val="right"/>
                          <w:rPr>
                            <w:rFonts w:ascii="宋体" w:hAnsi="宋体" w:cs="宋体" w:eastAsia="宋体" w:hint="default"/>
                            <w:sz w:val="16"/>
                            <w:szCs w:val="16"/>
                          </w:rPr>
                        </w:pPr>
                        <w:r>
                          <w:rPr>
                            <w:rFonts w:ascii="宋体"/>
                            <w:spacing w:val="-1"/>
                            <w:sz w:val="16"/>
                          </w:rPr>
                          <w:t>0.00</w:t>
                        </w:r>
                      </w:p>
                    </w:tc>
                    <w:tc>
                      <w:tcPr>
                        <w:tcW w:w="1243" w:type="dxa"/>
                        <w:tcBorders>
                          <w:top w:val="nil" w:sz="6" w:space="0" w:color="auto"/>
                          <w:left w:val="nil" w:sz="6" w:space="0" w:color="auto"/>
                          <w:bottom w:val="nil" w:sz="6" w:space="0" w:color="auto"/>
                          <w:right w:val="nil" w:sz="6" w:space="0" w:color="auto"/>
                        </w:tcBorders>
                      </w:tcPr>
                      <w:p>
                        <w:pPr>
                          <w:pStyle w:val="TableParagraph"/>
                          <w:spacing w:line="201" w:lineRule="exact"/>
                          <w:ind w:right="57"/>
                          <w:jc w:val="right"/>
                          <w:rPr>
                            <w:rFonts w:ascii="宋体" w:hAnsi="宋体" w:cs="宋体" w:eastAsia="宋体" w:hint="default"/>
                            <w:sz w:val="16"/>
                            <w:szCs w:val="16"/>
                          </w:rPr>
                        </w:pPr>
                        <w:r>
                          <w:rPr>
                            <w:rFonts w:ascii="宋体"/>
                            <w:spacing w:val="-2"/>
                            <w:sz w:val="16"/>
                          </w:rPr>
                          <w:t>756,680.98</w:t>
                        </w:r>
                      </w:p>
                    </w:tc>
                    <w:tc>
                      <w:tcPr>
                        <w:tcW w:w="594" w:type="dxa"/>
                        <w:tcBorders>
                          <w:top w:val="nil" w:sz="6" w:space="0" w:color="auto"/>
                          <w:left w:val="nil" w:sz="6" w:space="0" w:color="auto"/>
                          <w:bottom w:val="nil" w:sz="6" w:space="0" w:color="auto"/>
                          <w:right w:val="nil" w:sz="6" w:space="0" w:color="auto"/>
                        </w:tcBorders>
                      </w:tcPr>
                      <w:p>
                        <w:pPr>
                          <w:pStyle w:val="TableParagraph"/>
                          <w:spacing w:line="201" w:lineRule="exact"/>
                          <w:ind w:left="80" w:right="0"/>
                          <w:jc w:val="center"/>
                          <w:rPr>
                            <w:rFonts w:ascii="宋体" w:hAnsi="宋体" w:cs="宋体" w:eastAsia="宋体" w:hint="default"/>
                            <w:sz w:val="16"/>
                            <w:szCs w:val="16"/>
                          </w:rPr>
                        </w:pPr>
                        <w:r>
                          <w:rPr>
                            <w:rFonts w:ascii="宋体"/>
                            <w:sz w:val="16"/>
                          </w:rPr>
                          <w:t>6.05%</w:t>
                        </w:r>
                      </w:p>
                    </w:tc>
                    <w:tc>
                      <w:tcPr>
                        <w:tcW w:w="1081" w:type="dxa"/>
                        <w:tcBorders>
                          <w:top w:val="nil" w:sz="6" w:space="0" w:color="auto"/>
                          <w:left w:val="nil" w:sz="6" w:space="0" w:color="auto"/>
                          <w:bottom w:val="nil" w:sz="6" w:space="0" w:color="auto"/>
                          <w:right w:val="nil" w:sz="6" w:space="0" w:color="auto"/>
                        </w:tcBorders>
                      </w:tcPr>
                      <w:p>
                        <w:pPr>
                          <w:pStyle w:val="TableParagraph"/>
                          <w:spacing w:line="201" w:lineRule="exact"/>
                          <w:ind w:right="54"/>
                          <w:jc w:val="right"/>
                          <w:rPr>
                            <w:rFonts w:ascii="宋体" w:hAnsi="宋体" w:cs="宋体" w:eastAsia="宋体" w:hint="default"/>
                            <w:sz w:val="16"/>
                            <w:szCs w:val="16"/>
                          </w:rPr>
                        </w:pPr>
                        <w:r>
                          <w:rPr>
                            <w:rFonts w:ascii="宋体"/>
                            <w:spacing w:val="-1"/>
                            <w:sz w:val="16"/>
                          </w:rPr>
                          <w:t>0.00</w:t>
                        </w:r>
                      </w:p>
                    </w:tc>
                  </w:tr>
                  <w:tr>
                    <w:trPr>
                      <w:trHeight w:val="287" w:hRule="exact"/>
                    </w:trPr>
                    <w:tc>
                      <w:tcPr>
                        <w:tcW w:w="3377" w:type="dxa"/>
                        <w:tcBorders>
                          <w:top w:val="nil" w:sz="6" w:space="0" w:color="auto"/>
                          <w:left w:val="nil" w:sz="6" w:space="0" w:color="auto"/>
                          <w:bottom w:val="nil" w:sz="6" w:space="0" w:color="auto"/>
                          <w:right w:val="nil" w:sz="6" w:space="0" w:color="auto"/>
                        </w:tcBorders>
                      </w:tcPr>
                      <w:p>
                        <w:pPr>
                          <w:pStyle w:val="TableParagraph"/>
                          <w:tabs>
                            <w:tab w:pos="2520" w:val="left" w:leader="none"/>
                          </w:tabs>
                          <w:spacing w:line="203" w:lineRule="exact"/>
                          <w:ind w:left="57" w:right="0"/>
                          <w:jc w:val="left"/>
                          <w:rPr>
                            <w:rFonts w:ascii="宋体" w:hAnsi="宋体" w:cs="宋体" w:eastAsia="宋体" w:hint="default"/>
                            <w:sz w:val="16"/>
                            <w:szCs w:val="16"/>
                          </w:rPr>
                        </w:pPr>
                        <w:r>
                          <w:rPr>
                            <w:rFonts w:ascii="宋体" w:hAnsi="宋体" w:cs="宋体" w:eastAsia="宋体" w:hint="default"/>
                            <w:spacing w:val="-1"/>
                            <w:sz w:val="16"/>
                            <w:szCs w:val="16"/>
                          </w:rPr>
                          <w:t>北京易豪科技有限公司</w:t>
                          <w:tab/>
                        </w:r>
                        <w:r>
                          <w:rPr>
                            <w:rFonts w:ascii="宋体" w:hAnsi="宋体" w:cs="宋体" w:eastAsia="宋体" w:hint="default"/>
                            <w:spacing w:val="-2"/>
                            <w:sz w:val="16"/>
                            <w:szCs w:val="16"/>
                          </w:rPr>
                          <w:t>520,408.16</w:t>
                        </w:r>
                      </w:p>
                    </w:tc>
                    <w:tc>
                      <w:tcPr>
                        <w:tcW w:w="1163" w:type="dxa"/>
                        <w:tcBorders>
                          <w:top w:val="nil" w:sz="6" w:space="0" w:color="auto"/>
                          <w:left w:val="nil" w:sz="6" w:space="0" w:color="auto"/>
                          <w:bottom w:val="nil" w:sz="6" w:space="0" w:color="auto"/>
                          <w:right w:val="nil" w:sz="6" w:space="0" w:color="auto"/>
                        </w:tcBorders>
                      </w:tcPr>
                      <w:p>
                        <w:pPr>
                          <w:pStyle w:val="TableParagraph"/>
                          <w:spacing w:line="203" w:lineRule="exact"/>
                          <w:ind w:right="57"/>
                          <w:jc w:val="right"/>
                          <w:rPr>
                            <w:rFonts w:ascii="宋体" w:hAnsi="宋体" w:cs="宋体" w:eastAsia="宋体" w:hint="default"/>
                            <w:sz w:val="16"/>
                            <w:szCs w:val="16"/>
                          </w:rPr>
                        </w:pPr>
                        <w:r>
                          <w:rPr>
                            <w:rFonts w:ascii="宋体"/>
                            <w:spacing w:val="-1"/>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03" w:lineRule="exact"/>
                          <w:ind w:right="57"/>
                          <w:jc w:val="right"/>
                          <w:rPr>
                            <w:rFonts w:ascii="宋体" w:hAnsi="宋体" w:cs="宋体" w:eastAsia="宋体" w:hint="default"/>
                            <w:sz w:val="16"/>
                            <w:szCs w:val="16"/>
                          </w:rPr>
                        </w:pPr>
                        <w:r>
                          <w:rPr>
                            <w:rFonts w:ascii="宋体"/>
                            <w:spacing w:val="-1"/>
                            <w:sz w:val="16"/>
                          </w:rPr>
                          <w:t>0.00</w:t>
                        </w:r>
                      </w:p>
                    </w:tc>
                    <w:tc>
                      <w:tcPr>
                        <w:tcW w:w="1243" w:type="dxa"/>
                        <w:tcBorders>
                          <w:top w:val="nil" w:sz="6" w:space="0" w:color="auto"/>
                          <w:left w:val="nil" w:sz="6" w:space="0" w:color="auto"/>
                          <w:bottom w:val="nil" w:sz="6" w:space="0" w:color="auto"/>
                          <w:right w:val="nil" w:sz="6" w:space="0" w:color="auto"/>
                        </w:tcBorders>
                      </w:tcPr>
                      <w:p>
                        <w:pPr>
                          <w:pStyle w:val="TableParagraph"/>
                          <w:spacing w:line="203" w:lineRule="exact"/>
                          <w:ind w:right="57"/>
                          <w:jc w:val="right"/>
                          <w:rPr>
                            <w:rFonts w:ascii="宋体" w:hAnsi="宋体" w:cs="宋体" w:eastAsia="宋体" w:hint="default"/>
                            <w:sz w:val="16"/>
                            <w:szCs w:val="16"/>
                          </w:rPr>
                        </w:pPr>
                        <w:r>
                          <w:rPr>
                            <w:rFonts w:ascii="宋体"/>
                            <w:spacing w:val="-2"/>
                            <w:sz w:val="16"/>
                          </w:rPr>
                          <w:t>520,408.16</w:t>
                        </w:r>
                      </w:p>
                    </w:tc>
                    <w:tc>
                      <w:tcPr>
                        <w:tcW w:w="594" w:type="dxa"/>
                        <w:tcBorders>
                          <w:top w:val="nil" w:sz="6" w:space="0" w:color="auto"/>
                          <w:left w:val="nil" w:sz="6" w:space="0" w:color="auto"/>
                          <w:bottom w:val="nil" w:sz="6" w:space="0" w:color="auto"/>
                          <w:right w:val="nil" w:sz="6" w:space="0" w:color="auto"/>
                        </w:tcBorders>
                      </w:tcPr>
                      <w:p>
                        <w:pPr>
                          <w:pStyle w:val="TableParagraph"/>
                          <w:spacing w:line="203" w:lineRule="exact"/>
                          <w:ind w:left="1" w:right="0"/>
                          <w:jc w:val="center"/>
                          <w:rPr>
                            <w:rFonts w:ascii="宋体" w:hAnsi="宋体" w:cs="宋体" w:eastAsia="宋体" w:hint="default"/>
                            <w:sz w:val="16"/>
                            <w:szCs w:val="16"/>
                          </w:rPr>
                        </w:pPr>
                        <w:r>
                          <w:rPr>
                            <w:rFonts w:ascii="宋体"/>
                            <w:sz w:val="16"/>
                          </w:rPr>
                          <w:t>10.00%</w:t>
                        </w:r>
                      </w:p>
                    </w:tc>
                    <w:tc>
                      <w:tcPr>
                        <w:tcW w:w="1081" w:type="dxa"/>
                        <w:tcBorders>
                          <w:top w:val="nil" w:sz="6" w:space="0" w:color="auto"/>
                          <w:left w:val="nil" w:sz="6" w:space="0" w:color="auto"/>
                          <w:bottom w:val="nil" w:sz="6" w:space="0" w:color="auto"/>
                          <w:right w:val="nil" w:sz="6" w:space="0" w:color="auto"/>
                        </w:tcBorders>
                      </w:tcPr>
                      <w:p>
                        <w:pPr>
                          <w:pStyle w:val="TableParagraph"/>
                          <w:spacing w:line="203" w:lineRule="exact"/>
                          <w:ind w:right="54"/>
                          <w:jc w:val="right"/>
                          <w:rPr>
                            <w:rFonts w:ascii="宋体" w:hAnsi="宋体" w:cs="宋体" w:eastAsia="宋体" w:hint="default"/>
                            <w:sz w:val="16"/>
                            <w:szCs w:val="16"/>
                          </w:rPr>
                        </w:pPr>
                        <w:r>
                          <w:rPr>
                            <w:rFonts w:ascii="宋体"/>
                            <w:spacing w:val="-1"/>
                            <w:sz w:val="16"/>
                          </w:rPr>
                          <w:t>0.00</w:t>
                        </w:r>
                      </w:p>
                    </w:tc>
                  </w:tr>
                  <w:tr>
                    <w:trPr>
                      <w:trHeight w:val="330" w:hRule="exact"/>
                    </w:trPr>
                    <w:tc>
                      <w:tcPr>
                        <w:tcW w:w="3377" w:type="dxa"/>
                        <w:tcBorders>
                          <w:top w:val="nil" w:sz="6" w:space="0" w:color="auto"/>
                          <w:left w:val="nil" w:sz="6" w:space="0" w:color="auto"/>
                          <w:bottom w:val="nil" w:sz="6" w:space="0" w:color="auto"/>
                          <w:right w:val="nil" w:sz="6" w:space="0" w:color="auto"/>
                        </w:tcBorders>
                      </w:tcPr>
                      <w:p>
                        <w:pPr>
                          <w:pStyle w:val="TableParagraph"/>
                          <w:spacing w:line="88" w:lineRule="exact"/>
                          <w:ind w:left="57" w:right="0"/>
                          <w:jc w:val="left"/>
                          <w:rPr>
                            <w:rFonts w:ascii="宋体" w:hAnsi="宋体" w:cs="宋体" w:eastAsia="宋体" w:hint="default"/>
                            <w:sz w:val="16"/>
                            <w:szCs w:val="16"/>
                          </w:rPr>
                        </w:pPr>
                        <w:r>
                          <w:rPr>
                            <w:rFonts w:ascii="宋体" w:hAnsi="宋体" w:cs="宋体" w:eastAsia="宋体" w:hint="default"/>
                            <w:spacing w:val="-6"/>
                            <w:sz w:val="16"/>
                            <w:szCs w:val="16"/>
                          </w:rPr>
                          <w:t>真明丽（北京）光电科技研究</w:t>
                        </w:r>
                      </w:p>
                      <w:p>
                        <w:pPr>
                          <w:pStyle w:val="TableParagraph"/>
                          <w:tabs>
                            <w:tab w:pos="2520" w:val="left" w:leader="none"/>
                          </w:tabs>
                          <w:spacing w:line="256" w:lineRule="exact"/>
                          <w:ind w:left="57" w:right="0"/>
                          <w:jc w:val="left"/>
                          <w:rPr>
                            <w:rFonts w:ascii="宋体" w:hAnsi="宋体" w:cs="宋体" w:eastAsia="宋体" w:hint="default"/>
                            <w:sz w:val="16"/>
                            <w:szCs w:val="16"/>
                          </w:rPr>
                        </w:pPr>
                        <w:r>
                          <w:rPr>
                            <w:rFonts w:ascii="宋体" w:hAnsi="宋体" w:cs="宋体" w:eastAsia="宋体" w:hint="default"/>
                            <w:position w:val="-9"/>
                            <w:sz w:val="16"/>
                            <w:szCs w:val="16"/>
                          </w:rPr>
                          <w:t>院</w:t>
                          <w:tab/>
                        </w:r>
                        <w:r>
                          <w:rPr>
                            <w:rFonts w:ascii="宋体" w:hAnsi="宋体" w:cs="宋体" w:eastAsia="宋体" w:hint="default"/>
                            <w:sz w:val="16"/>
                            <w:szCs w:val="16"/>
                          </w:rPr>
                          <w:t>419,360.22</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
                          <w:jc w:val="right"/>
                          <w:rPr>
                            <w:rFonts w:ascii="宋体" w:hAnsi="宋体" w:cs="宋体" w:eastAsia="宋体" w:hint="default"/>
                            <w:sz w:val="16"/>
                            <w:szCs w:val="16"/>
                          </w:rPr>
                        </w:pPr>
                        <w:r>
                          <w:rPr>
                            <w:rFonts w:ascii="宋体"/>
                            <w:spacing w:val="-1"/>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
                          <w:jc w:val="right"/>
                          <w:rPr>
                            <w:rFonts w:ascii="宋体" w:hAnsi="宋体" w:cs="宋体" w:eastAsia="宋体" w:hint="default"/>
                            <w:sz w:val="16"/>
                            <w:szCs w:val="16"/>
                          </w:rPr>
                        </w:pPr>
                        <w:r>
                          <w:rPr>
                            <w:rFonts w:ascii="宋体"/>
                            <w:spacing w:val="-1"/>
                            <w:sz w:val="16"/>
                          </w:rPr>
                          <w:t>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
                          <w:jc w:val="right"/>
                          <w:rPr>
                            <w:rFonts w:ascii="宋体" w:hAnsi="宋体" w:cs="宋体" w:eastAsia="宋体" w:hint="default"/>
                            <w:sz w:val="16"/>
                            <w:szCs w:val="16"/>
                          </w:rPr>
                        </w:pPr>
                        <w:r>
                          <w:rPr>
                            <w:rFonts w:ascii="宋体"/>
                            <w:spacing w:val="-2"/>
                            <w:sz w:val="16"/>
                          </w:rPr>
                          <w:t>419,360.22</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 w:right="0"/>
                          <w:jc w:val="center"/>
                          <w:rPr>
                            <w:rFonts w:ascii="宋体" w:hAnsi="宋体" w:cs="宋体" w:eastAsia="宋体" w:hint="default"/>
                            <w:sz w:val="16"/>
                            <w:szCs w:val="16"/>
                          </w:rPr>
                        </w:pPr>
                        <w:r>
                          <w:rPr>
                            <w:rFonts w:ascii="宋体"/>
                            <w:sz w:val="16"/>
                          </w:rPr>
                          <w:t>51.00%</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4"/>
                          <w:jc w:val="right"/>
                          <w:rPr>
                            <w:rFonts w:ascii="宋体" w:hAnsi="宋体" w:cs="宋体" w:eastAsia="宋体" w:hint="default"/>
                            <w:sz w:val="16"/>
                            <w:szCs w:val="16"/>
                          </w:rPr>
                        </w:pPr>
                        <w:r>
                          <w:rPr>
                            <w:rFonts w:ascii="宋体"/>
                            <w:spacing w:val="-1"/>
                            <w:sz w:val="16"/>
                          </w:rPr>
                          <w:t>0.00</w:t>
                        </w:r>
                      </w:p>
                    </w:tc>
                  </w:tr>
                  <w:tr>
                    <w:trPr>
                      <w:trHeight w:val="287" w:hRule="exact"/>
                    </w:trPr>
                    <w:tc>
                      <w:tcPr>
                        <w:tcW w:w="3377" w:type="dxa"/>
                        <w:tcBorders>
                          <w:top w:val="nil" w:sz="6" w:space="0" w:color="auto"/>
                          <w:left w:val="nil" w:sz="6" w:space="0" w:color="auto"/>
                          <w:bottom w:val="nil" w:sz="6" w:space="0" w:color="auto"/>
                          <w:right w:val="nil" w:sz="6" w:space="0" w:color="auto"/>
                        </w:tcBorders>
                      </w:tcPr>
                      <w:p>
                        <w:pPr>
                          <w:pStyle w:val="TableParagraph"/>
                          <w:tabs>
                            <w:tab w:pos="2280" w:val="left" w:leader="none"/>
                          </w:tabs>
                          <w:spacing w:line="240" w:lineRule="auto" w:before="36"/>
                          <w:ind w:left="57" w:right="0"/>
                          <w:jc w:val="left"/>
                          <w:rPr>
                            <w:rFonts w:ascii="宋体" w:hAnsi="宋体" w:cs="宋体" w:eastAsia="宋体" w:hint="default"/>
                            <w:sz w:val="16"/>
                            <w:szCs w:val="16"/>
                          </w:rPr>
                        </w:pPr>
                        <w:r>
                          <w:rPr>
                            <w:rFonts w:ascii="宋体"/>
                            <w:sz w:val="16"/>
                          </w:rPr>
                          <w:t>Asqella</w:t>
                        </w:r>
                        <w:r>
                          <w:rPr>
                            <w:rFonts w:ascii="宋体"/>
                            <w:spacing w:val="-7"/>
                            <w:sz w:val="16"/>
                          </w:rPr>
                          <w:t> </w:t>
                        </w:r>
                        <w:r>
                          <w:rPr>
                            <w:rFonts w:ascii="宋体"/>
                            <w:sz w:val="16"/>
                          </w:rPr>
                          <w:t>Oy</w:t>
                          <w:tab/>
                          <w:t>25,303,049.41</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7"/>
                          <w:jc w:val="right"/>
                          <w:rPr>
                            <w:rFonts w:ascii="宋体" w:hAnsi="宋体" w:cs="宋体" w:eastAsia="宋体" w:hint="default"/>
                            <w:sz w:val="16"/>
                            <w:szCs w:val="16"/>
                          </w:rPr>
                        </w:pPr>
                        <w:r>
                          <w:rPr>
                            <w:rFonts w:ascii="宋体"/>
                            <w:spacing w:val="-1"/>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7"/>
                          <w:jc w:val="right"/>
                          <w:rPr>
                            <w:rFonts w:ascii="宋体" w:hAnsi="宋体" w:cs="宋体" w:eastAsia="宋体" w:hint="default"/>
                            <w:sz w:val="16"/>
                            <w:szCs w:val="16"/>
                          </w:rPr>
                        </w:pPr>
                        <w:r>
                          <w:rPr>
                            <w:rFonts w:ascii="宋体"/>
                            <w:spacing w:val="-2"/>
                            <w:sz w:val="16"/>
                          </w:rPr>
                          <w:t>25,303,049.41</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7"/>
                          <w:jc w:val="right"/>
                          <w:rPr>
                            <w:rFonts w:ascii="宋体" w:hAnsi="宋体" w:cs="宋体" w:eastAsia="宋体" w:hint="default"/>
                            <w:sz w:val="16"/>
                            <w:szCs w:val="16"/>
                          </w:rPr>
                        </w:pPr>
                        <w:r>
                          <w:rPr>
                            <w:rFonts w:ascii="宋体"/>
                            <w:spacing w:val="-1"/>
                            <w:sz w:val="16"/>
                          </w:rPr>
                          <w:t>0.00</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宋体" w:hAnsi="宋体" w:cs="宋体" w:eastAsia="宋体" w:hint="default"/>
                            <w:sz w:val="16"/>
                            <w:szCs w:val="16"/>
                          </w:rPr>
                        </w:pPr>
                        <w:r>
                          <w:rPr>
                            <w:rFonts w:ascii="宋体"/>
                            <w:spacing w:val="-1"/>
                            <w:sz w:val="16"/>
                          </w:rPr>
                          <w:t>0.00</w:t>
                        </w:r>
                      </w:p>
                    </w:tc>
                  </w:tr>
                  <w:tr>
                    <w:trPr>
                      <w:trHeight w:val="244" w:hRule="exact"/>
                    </w:trPr>
                    <w:tc>
                      <w:tcPr>
                        <w:tcW w:w="3377" w:type="dxa"/>
                        <w:tcBorders>
                          <w:top w:val="nil" w:sz="6" w:space="0" w:color="auto"/>
                          <w:left w:val="nil" w:sz="6" w:space="0" w:color="auto"/>
                          <w:bottom w:val="nil" w:sz="6" w:space="0" w:color="auto"/>
                          <w:right w:val="nil" w:sz="6" w:space="0" w:color="auto"/>
                        </w:tcBorders>
                      </w:tcPr>
                      <w:p>
                        <w:pPr>
                          <w:pStyle w:val="TableParagraph"/>
                          <w:tabs>
                            <w:tab w:pos="2359" w:val="left" w:leader="none"/>
                          </w:tabs>
                          <w:spacing w:line="201" w:lineRule="exact"/>
                          <w:ind w:left="57" w:right="0"/>
                          <w:jc w:val="left"/>
                          <w:rPr>
                            <w:rFonts w:ascii="宋体" w:hAnsi="宋体" w:cs="宋体" w:eastAsia="宋体" w:hint="default"/>
                            <w:sz w:val="16"/>
                            <w:szCs w:val="16"/>
                          </w:rPr>
                        </w:pPr>
                        <w:r>
                          <w:rPr>
                            <w:rFonts w:ascii="宋体" w:hAnsi="宋体" w:cs="宋体" w:eastAsia="宋体" w:hint="default"/>
                            <w:spacing w:val="-1"/>
                            <w:sz w:val="16"/>
                            <w:szCs w:val="16"/>
                          </w:rPr>
                          <w:t>重庆三峡银行股份有限公司</w:t>
                          <w:tab/>
                        </w:r>
                        <w:r>
                          <w:rPr>
                            <w:rFonts w:ascii="宋体" w:hAnsi="宋体" w:cs="宋体" w:eastAsia="宋体" w:hint="default"/>
                            <w:spacing w:val="-2"/>
                            <w:sz w:val="16"/>
                            <w:szCs w:val="16"/>
                          </w:rPr>
                          <w:t>3,720,000.00</w:t>
                        </w:r>
                      </w:p>
                    </w:tc>
                    <w:tc>
                      <w:tcPr>
                        <w:tcW w:w="1163" w:type="dxa"/>
                        <w:tcBorders>
                          <w:top w:val="nil" w:sz="6" w:space="0" w:color="auto"/>
                          <w:left w:val="nil" w:sz="6" w:space="0" w:color="auto"/>
                          <w:bottom w:val="nil" w:sz="6" w:space="0" w:color="auto"/>
                          <w:right w:val="nil" w:sz="6" w:space="0" w:color="auto"/>
                        </w:tcBorders>
                      </w:tcPr>
                      <w:p>
                        <w:pPr>
                          <w:pStyle w:val="TableParagraph"/>
                          <w:spacing w:line="201" w:lineRule="exact"/>
                          <w:ind w:right="57"/>
                          <w:jc w:val="right"/>
                          <w:rPr>
                            <w:rFonts w:ascii="宋体" w:hAnsi="宋体" w:cs="宋体" w:eastAsia="宋体" w:hint="default"/>
                            <w:sz w:val="16"/>
                            <w:szCs w:val="16"/>
                          </w:rPr>
                        </w:pPr>
                        <w:r>
                          <w:rPr>
                            <w:rFonts w:ascii="宋体"/>
                            <w:spacing w:val="-1"/>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01" w:lineRule="exact"/>
                          <w:ind w:right="55"/>
                          <w:jc w:val="right"/>
                          <w:rPr>
                            <w:rFonts w:ascii="宋体" w:hAnsi="宋体" w:cs="宋体" w:eastAsia="宋体" w:hint="default"/>
                            <w:sz w:val="16"/>
                            <w:szCs w:val="16"/>
                          </w:rPr>
                        </w:pPr>
                        <w:r>
                          <w:rPr>
                            <w:rFonts w:ascii="宋体"/>
                            <w:spacing w:val="-2"/>
                            <w:sz w:val="16"/>
                          </w:rPr>
                          <w:t>3,720,000.00</w:t>
                        </w:r>
                      </w:p>
                    </w:tc>
                    <w:tc>
                      <w:tcPr>
                        <w:tcW w:w="1243" w:type="dxa"/>
                        <w:tcBorders>
                          <w:top w:val="nil" w:sz="6" w:space="0" w:color="auto"/>
                          <w:left w:val="nil" w:sz="6" w:space="0" w:color="auto"/>
                          <w:bottom w:val="nil" w:sz="6" w:space="0" w:color="auto"/>
                          <w:right w:val="nil" w:sz="6" w:space="0" w:color="auto"/>
                        </w:tcBorders>
                      </w:tcPr>
                      <w:p>
                        <w:pPr>
                          <w:pStyle w:val="TableParagraph"/>
                          <w:spacing w:line="201" w:lineRule="exact"/>
                          <w:ind w:right="57"/>
                          <w:jc w:val="right"/>
                          <w:rPr>
                            <w:rFonts w:ascii="宋体" w:hAnsi="宋体" w:cs="宋体" w:eastAsia="宋体" w:hint="default"/>
                            <w:sz w:val="16"/>
                            <w:szCs w:val="16"/>
                          </w:rPr>
                        </w:pPr>
                        <w:r>
                          <w:rPr>
                            <w:rFonts w:ascii="宋体"/>
                            <w:spacing w:val="-1"/>
                            <w:sz w:val="16"/>
                          </w:rPr>
                          <w:t>0.00</w:t>
                        </w:r>
                      </w:p>
                    </w:tc>
                    <w:tc>
                      <w:tcPr>
                        <w:tcW w:w="594" w:type="dxa"/>
                        <w:tcBorders>
                          <w:top w:val="nil" w:sz="6" w:space="0" w:color="auto"/>
                          <w:left w:val="nil" w:sz="6" w:space="0" w:color="auto"/>
                          <w:bottom w:val="nil" w:sz="6" w:space="0" w:color="auto"/>
                          <w:right w:val="nil" w:sz="6" w:space="0" w:color="auto"/>
                        </w:tcBorders>
                      </w:tcPr>
                      <w:p>
                        <w:pPr>
                          <w:pStyle w:val="TableParagraph"/>
                          <w:spacing w:line="201" w:lineRule="exact"/>
                          <w:ind w:right="1"/>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081" w:type="dxa"/>
                        <w:tcBorders>
                          <w:top w:val="nil" w:sz="6" w:space="0" w:color="auto"/>
                          <w:left w:val="nil" w:sz="6" w:space="0" w:color="auto"/>
                          <w:bottom w:val="nil" w:sz="6" w:space="0" w:color="auto"/>
                          <w:right w:val="nil" w:sz="6" w:space="0" w:color="auto"/>
                        </w:tcBorders>
                      </w:tcPr>
                      <w:p>
                        <w:pPr>
                          <w:pStyle w:val="TableParagraph"/>
                          <w:spacing w:line="201" w:lineRule="exact"/>
                          <w:ind w:right="54"/>
                          <w:jc w:val="right"/>
                          <w:rPr>
                            <w:rFonts w:ascii="宋体" w:hAnsi="宋体" w:cs="宋体" w:eastAsia="宋体" w:hint="default"/>
                            <w:sz w:val="16"/>
                            <w:szCs w:val="16"/>
                          </w:rPr>
                        </w:pPr>
                        <w:r>
                          <w:rPr>
                            <w:rFonts w:ascii="宋体"/>
                            <w:spacing w:val="-2"/>
                            <w:sz w:val="16"/>
                          </w:rPr>
                          <w:t>66,000.00</w:t>
                        </w:r>
                      </w:p>
                    </w:tc>
                  </w:tr>
                  <w:tr>
                    <w:trPr>
                      <w:trHeight w:val="287" w:hRule="exact"/>
                    </w:trPr>
                    <w:tc>
                      <w:tcPr>
                        <w:tcW w:w="3377" w:type="dxa"/>
                        <w:tcBorders>
                          <w:top w:val="nil" w:sz="6" w:space="0" w:color="auto"/>
                          <w:left w:val="nil" w:sz="6" w:space="0" w:color="auto"/>
                          <w:bottom w:val="nil" w:sz="6" w:space="0" w:color="auto"/>
                          <w:right w:val="nil" w:sz="6" w:space="0" w:color="auto"/>
                        </w:tcBorders>
                      </w:tcPr>
                      <w:p>
                        <w:pPr>
                          <w:pStyle w:val="TableParagraph"/>
                          <w:tabs>
                            <w:tab w:pos="2359" w:val="left" w:leader="none"/>
                          </w:tabs>
                          <w:spacing w:line="203" w:lineRule="exact"/>
                          <w:ind w:left="57" w:right="0"/>
                          <w:jc w:val="left"/>
                          <w:rPr>
                            <w:rFonts w:ascii="宋体" w:hAnsi="宋体" w:cs="宋体" w:eastAsia="宋体" w:hint="default"/>
                            <w:sz w:val="16"/>
                            <w:szCs w:val="16"/>
                          </w:rPr>
                        </w:pPr>
                        <w:r>
                          <w:rPr>
                            <w:rFonts w:ascii="宋体" w:hAnsi="宋体" w:cs="宋体" w:eastAsia="宋体" w:hint="default"/>
                            <w:spacing w:val="-1"/>
                            <w:sz w:val="16"/>
                            <w:szCs w:val="16"/>
                          </w:rPr>
                          <w:t>北京科技园置地有限公司</w:t>
                          <w:tab/>
                        </w:r>
                        <w:r>
                          <w:rPr>
                            <w:rFonts w:ascii="宋体" w:hAnsi="宋体" w:cs="宋体" w:eastAsia="宋体" w:hint="default"/>
                            <w:spacing w:val="-2"/>
                            <w:sz w:val="16"/>
                            <w:szCs w:val="16"/>
                          </w:rPr>
                          <w:t>5,000,000.00</w:t>
                        </w:r>
                      </w:p>
                    </w:tc>
                    <w:tc>
                      <w:tcPr>
                        <w:tcW w:w="1163" w:type="dxa"/>
                        <w:tcBorders>
                          <w:top w:val="nil" w:sz="6" w:space="0" w:color="auto"/>
                          <w:left w:val="nil" w:sz="6" w:space="0" w:color="auto"/>
                          <w:bottom w:val="nil" w:sz="6" w:space="0" w:color="auto"/>
                          <w:right w:val="nil" w:sz="6" w:space="0" w:color="auto"/>
                        </w:tcBorders>
                      </w:tcPr>
                      <w:p>
                        <w:pPr>
                          <w:pStyle w:val="TableParagraph"/>
                          <w:spacing w:line="203" w:lineRule="exact"/>
                          <w:ind w:right="57"/>
                          <w:jc w:val="right"/>
                          <w:rPr>
                            <w:rFonts w:ascii="宋体" w:hAnsi="宋体" w:cs="宋体" w:eastAsia="宋体" w:hint="default"/>
                            <w:sz w:val="16"/>
                            <w:szCs w:val="16"/>
                          </w:rPr>
                        </w:pPr>
                        <w:r>
                          <w:rPr>
                            <w:rFonts w:ascii="宋体"/>
                            <w:spacing w:val="-1"/>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03" w:lineRule="exact"/>
                          <w:ind w:right="55"/>
                          <w:jc w:val="right"/>
                          <w:rPr>
                            <w:rFonts w:ascii="宋体" w:hAnsi="宋体" w:cs="宋体" w:eastAsia="宋体" w:hint="default"/>
                            <w:sz w:val="16"/>
                            <w:szCs w:val="16"/>
                          </w:rPr>
                        </w:pPr>
                        <w:r>
                          <w:rPr>
                            <w:rFonts w:ascii="宋体"/>
                            <w:spacing w:val="-2"/>
                            <w:sz w:val="16"/>
                          </w:rPr>
                          <w:t>5,000,000.00</w:t>
                        </w:r>
                      </w:p>
                    </w:tc>
                    <w:tc>
                      <w:tcPr>
                        <w:tcW w:w="1243" w:type="dxa"/>
                        <w:tcBorders>
                          <w:top w:val="nil" w:sz="6" w:space="0" w:color="auto"/>
                          <w:left w:val="nil" w:sz="6" w:space="0" w:color="auto"/>
                          <w:bottom w:val="nil" w:sz="6" w:space="0" w:color="auto"/>
                          <w:right w:val="nil" w:sz="6" w:space="0" w:color="auto"/>
                        </w:tcBorders>
                      </w:tcPr>
                      <w:p>
                        <w:pPr>
                          <w:pStyle w:val="TableParagraph"/>
                          <w:spacing w:line="203" w:lineRule="exact"/>
                          <w:ind w:right="57"/>
                          <w:jc w:val="right"/>
                          <w:rPr>
                            <w:rFonts w:ascii="宋体" w:hAnsi="宋体" w:cs="宋体" w:eastAsia="宋体" w:hint="default"/>
                            <w:sz w:val="16"/>
                            <w:szCs w:val="16"/>
                          </w:rPr>
                        </w:pPr>
                        <w:r>
                          <w:rPr>
                            <w:rFonts w:ascii="宋体"/>
                            <w:spacing w:val="-1"/>
                            <w:sz w:val="16"/>
                          </w:rPr>
                          <w:t>0.00</w:t>
                        </w:r>
                      </w:p>
                    </w:tc>
                    <w:tc>
                      <w:tcPr>
                        <w:tcW w:w="594" w:type="dxa"/>
                        <w:tcBorders>
                          <w:top w:val="nil" w:sz="6" w:space="0" w:color="auto"/>
                          <w:left w:val="nil" w:sz="6" w:space="0" w:color="auto"/>
                          <w:bottom w:val="nil" w:sz="6" w:space="0" w:color="auto"/>
                          <w:right w:val="nil" w:sz="6" w:space="0" w:color="auto"/>
                        </w:tcBorders>
                      </w:tcPr>
                      <w:p>
                        <w:pPr>
                          <w:pStyle w:val="TableParagraph"/>
                          <w:spacing w:line="203" w:lineRule="exact"/>
                          <w:ind w:right="1"/>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081" w:type="dxa"/>
                        <w:tcBorders>
                          <w:top w:val="nil" w:sz="6" w:space="0" w:color="auto"/>
                          <w:left w:val="nil" w:sz="6" w:space="0" w:color="auto"/>
                          <w:bottom w:val="nil" w:sz="6" w:space="0" w:color="auto"/>
                          <w:right w:val="nil" w:sz="6" w:space="0" w:color="auto"/>
                        </w:tcBorders>
                      </w:tcPr>
                      <w:p>
                        <w:pPr>
                          <w:pStyle w:val="TableParagraph"/>
                          <w:spacing w:line="203" w:lineRule="exact"/>
                          <w:ind w:right="54"/>
                          <w:jc w:val="right"/>
                          <w:rPr>
                            <w:rFonts w:ascii="宋体" w:hAnsi="宋体" w:cs="宋体" w:eastAsia="宋体" w:hint="default"/>
                            <w:sz w:val="16"/>
                            <w:szCs w:val="16"/>
                          </w:rPr>
                        </w:pPr>
                        <w:r>
                          <w:rPr>
                            <w:rFonts w:ascii="宋体"/>
                            <w:spacing w:val="-1"/>
                            <w:sz w:val="16"/>
                          </w:rPr>
                          <w:t>0.00</w:t>
                        </w:r>
                      </w:p>
                    </w:tc>
                  </w:tr>
                  <w:tr>
                    <w:trPr>
                      <w:trHeight w:val="372" w:hRule="exact"/>
                    </w:trPr>
                    <w:tc>
                      <w:tcPr>
                        <w:tcW w:w="3377" w:type="dxa"/>
                        <w:tcBorders>
                          <w:top w:val="nil" w:sz="6" w:space="0" w:color="auto"/>
                          <w:left w:val="nil" w:sz="6" w:space="0" w:color="auto"/>
                          <w:bottom w:val="nil" w:sz="6" w:space="0" w:color="auto"/>
                          <w:right w:val="nil" w:sz="6" w:space="0" w:color="auto"/>
                        </w:tcBorders>
                      </w:tcPr>
                      <w:p>
                        <w:pPr>
                          <w:pStyle w:val="TableParagraph"/>
                          <w:spacing w:line="89" w:lineRule="exact"/>
                          <w:ind w:left="57" w:right="0"/>
                          <w:jc w:val="left"/>
                          <w:rPr>
                            <w:rFonts w:ascii="宋体" w:hAnsi="宋体" w:cs="宋体" w:eastAsia="宋体" w:hint="default"/>
                            <w:sz w:val="16"/>
                            <w:szCs w:val="16"/>
                          </w:rPr>
                        </w:pPr>
                        <w:r>
                          <w:rPr>
                            <w:rFonts w:ascii="宋体" w:hAnsi="宋体" w:cs="宋体" w:eastAsia="宋体" w:hint="default"/>
                            <w:spacing w:val="6"/>
                            <w:sz w:val="16"/>
                            <w:szCs w:val="16"/>
                          </w:rPr>
                          <w:t>北京微度芯创科技有限责任</w:t>
                        </w:r>
                      </w:p>
                      <w:p>
                        <w:pPr>
                          <w:pStyle w:val="TableParagraph"/>
                          <w:tabs>
                            <w:tab w:pos="2520" w:val="left" w:leader="none"/>
                          </w:tabs>
                          <w:spacing w:line="256" w:lineRule="exact"/>
                          <w:ind w:left="57" w:right="0"/>
                          <w:jc w:val="left"/>
                          <w:rPr>
                            <w:rFonts w:ascii="宋体" w:hAnsi="宋体" w:cs="宋体" w:eastAsia="宋体" w:hint="default"/>
                            <w:sz w:val="16"/>
                            <w:szCs w:val="16"/>
                          </w:rPr>
                        </w:pPr>
                        <w:r>
                          <w:rPr>
                            <w:rFonts w:ascii="宋体" w:hAnsi="宋体" w:cs="宋体" w:eastAsia="宋体" w:hint="default"/>
                            <w:position w:val="-9"/>
                            <w:sz w:val="16"/>
                            <w:szCs w:val="16"/>
                          </w:rPr>
                          <w:t>公司</w:t>
                          <w:tab/>
                        </w:r>
                        <w:r>
                          <w:rPr>
                            <w:rFonts w:ascii="宋体" w:hAnsi="宋体" w:cs="宋体" w:eastAsia="宋体" w:hint="default"/>
                            <w:sz w:val="16"/>
                            <w:szCs w:val="16"/>
                          </w:rPr>
                          <w:t>410,000.00</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
                          <w:jc w:val="right"/>
                          <w:rPr>
                            <w:rFonts w:ascii="宋体" w:hAnsi="宋体" w:cs="宋体" w:eastAsia="宋体" w:hint="default"/>
                            <w:sz w:val="16"/>
                            <w:szCs w:val="16"/>
                          </w:rPr>
                        </w:pPr>
                        <w:r>
                          <w:rPr>
                            <w:rFonts w:ascii="宋体"/>
                            <w:spacing w:val="-1"/>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
                          <w:jc w:val="right"/>
                          <w:rPr>
                            <w:rFonts w:ascii="宋体" w:hAnsi="宋体" w:cs="宋体" w:eastAsia="宋体" w:hint="default"/>
                            <w:sz w:val="16"/>
                            <w:szCs w:val="16"/>
                          </w:rPr>
                        </w:pPr>
                        <w:r>
                          <w:rPr>
                            <w:rFonts w:ascii="宋体"/>
                            <w:spacing w:val="-2"/>
                            <w:sz w:val="16"/>
                          </w:rPr>
                          <w:t>410,000.00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
                          <w:jc w:val="right"/>
                          <w:rPr>
                            <w:rFonts w:ascii="宋体" w:hAnsi="宋体" w:cs="宋体" w:eastAsia="宋体" w:hint="default"/>
                            <w:sz w:val="16"/>
                            <w:szCs w:val="16"/>
                          </w:rPr>
                        </w:pPr>
                        <w:r>
                          <w:rPr>
                            <w:rFonts w:ascii="宋体"/>
                            <w:spacing w:val="-1"/>
                            <w:sz w:val="16"/>
                          </w:rPr>
                          <w:t>0.00</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4"/>
                          <w:jc w:val="right"/>
                          <w:rPr>
                            <w:rFonts w:ascii="宋体" w:hAnsi="宋体" w:cs="宋体" w:eastAsia="宋体" w:hint="default"/>
                            <w:sz w:val="16"/>
                            <w:szCs w:val="16"/>
                          </w:rPr>
                        </w:pPr>
                        <w:r>
                          <w:rPr>
                            <w:rFonts w:ascii="宋体"/>
                            <w:spacing w:val="-1"/>
                            <w:sz w:val="16"/>
                          </w:rPr>
                          <w:t>0.00</w:t>
                        </w:r>
                      </w:p>
                    </w:tc>
                  </w:tr>
                  <w:tr>
                    <w:trPr>
                      <w:trHeight w:val="415" w:hRule="exact"/>
                    </w:trPr>
                    <w:tc>
                      <w:tcPr>
                        <w:tcW w:w="3377" w:type="dxa"/>
                        <w:tcBorders>
                          <w:top w:val="nil" w:sz="6" w:space="0" w:color="auto"/>
                          <w:left w:val="nil" w:sz="6" w:space="0" w:color="auto"/>
                          <w:bottom w:val="nil" w:sz="6" w:space="0" w:color="auto"/>
                          <w:right w:val="nil" w:sz="6" w:space="0" w:color="auto"/>
                        </w:tcBorders>
                      </w:tcPr>
                      <w:p>
                        <w:pPr>
                          <w:pStyle w:val="TableParagraph"/>
                          <w:spacing w:line="132" w:lineRule="exact"/>
                          <w:ind w:left="57" w:right="0"/>
                          <w:jc w:val="left"/>
                          <w:rPr>
                            <w:rFonts w:ascii="宋体" w:hAnsi="宋体" w:cs="宋体" w:eastAsia="宋体" w:hint="default"/>
                            <w:sz w:val="16"/>
                            <w:szCs w:val="16"/>
                          </w:rPr>
                        </w:pPr>
                        <w:r>
                          <w:rPr>
                            <w:rFonts w:ascii="宋体" w:hAnsi="宋体" w:cs="宋体" w:eastAsia="宋体" w:hint="default"/>
                            <w:spacing w:val="6"/>
                            <w:sz w:val="16"/>
                            <w:szCs w:val="16"/>
                          </w:rPr>
                          <w:t>江门市真明丽教育投资管理</w:t>
                        </w:r>
                      </w:p>
                      <w:p>
                        <w:pPr>
                          <w:pStyle w:val="TableParagraph"/>
                          <w:tabs>
                            <w:tab w:pos="2599" w:val="left" w:leader="none"/>
                          </w:tabs>
                          <w:spacing w:line="256" w:lineRule="exact"/>
                          <w:ind w:left="57" w:right="0"/>
                          <w:jc w:val="left"/>
                          <w:rPr>
                            <w:rFonts w:ascii="宋体" w:hAnsi="宋体" w:cs="宋体" w:eastAsia="宋体" w:hint="default"/>
                            <w:sz w:val="16"/>
                            <w:szCs w:val="16"/>
                          </w:rPr>
                        </w:pPr>
                        <w:r>
                          <w:rPr>
                            <w:rFonts w:ascii="宋体" w:hAnsi="宋体" w:cs="宋体" w:eastAsia="宋体" w:hint="default"/>
                            <w:position w:val="-9"/>
                            <w:sz w:val="16"/>
                            <w:szCs w:val="16"/>
                          </w:rPr>
                          <w:t>有限公司</w:t>
                          <w:tab/>
                        </w:r>
                        <w:r>
                          <w:rPr>
                            <w:rFonts w:ascii="宋体" w:hAnsi="宋体" w:cs="宋体" w:eastAsia="宋体" w:hint="default"/>
                            <w:sz w:val="16"/>
                            <w:szCs w:val="16"/>
                          </w:rPr>
                          <w:t>24,619.33</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7"/>
                          <w:jc w:val="right"/>
                          <w:rPr>
                            <w:rFonts w:ascii="宋体" w:hAnsi="宋体" w:cs="宋体" w:eastAsia="宋体" w:hint="default"/>
                            <w:sz w:val="16"/>
                            <w:szCs w:val="16"/>
                          </w:rPr>
                        </w:pPr>
                        <w:r>
                          <w:rPr>
                            <w:rFonts w:ascii="宋体"/>
                            <w:spacing w:val="-1"/>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5"/>
                          <w:jc w:val="right"/>
                          <w:rPr>
                            <w:rFonts w:ascii="宋体" w:hAnsi="宋体" w:cs="宋体" w:eastAsia="宋体" w:hint="default"/>
                            <w:sz w:val="16"/>
                            <w:szCs w:val="16"/>
                          </w:rPr>
                        </w:pPr>
                        <w:r>
                          <w:rPr>
                            <w:rFonts w:ascii="宋体"/>
                            <w:spacing w:val="-2"/>
                            <w:sz w:val="16"/>
                          </w:rPr>
                          <w:t>24,619.33</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7"/>
                          <w:jc w:val="right"/>
                          <w:rPr>
                            <w:rFonts w:ascii="宋体" w:hAnsi="宋体" w:cs="宋体" w:eastAsia="宋体" w:hint="default"/>
                            <w:sz w:val="16"/>
                            <w:szCs w:val="16"/>
                          </w:rPr>
                        </w:pPr>
                        <w:r>
                          <w:rPr>
                            <w:rFonts w:ascii="宋体"/>
                            <w:spacing w:val="-1"/>
                            <w:sz w:val="16"/>
                          </w:rPr>
                          <w:t>0.00</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4"/>
                          <w:jc w:val="right"/>
                          <w:rPr>
                            <w:rFonts w:ascii="宋体" w:hAnsi="宋体" w:cs="宋体" w:eastAsia="宋体" w:hint="default"/>
                            <w:sz w:val="16"/>
                            <w:szCs w:val="16"/>
                          </w:rPr>
                        </w:pPr>
                        <w:r>
                          <w:rPr>
                            <w:rFonts w:ascii="宋体"/>
                            <w:spacing w:val="-1"/>
                            <w:sz w:val="16"/>
                          </w:rPr>
                          <w:t>0.00</w:t>
                        </w:r>
                      </w:p>
                    </w:tc>
                  </w:tr>
                  <w:tr>
                    <w:trPr>
                      <w:trHeight w:val="415" w:hRule="exact"/>
                    </w:trPr>
                    <w:tc>
                      <w:tcPr>
                        <w:tcW w:w="3377" w:type="dxa"/>
                        <w:tcBorders>
                          <w:top w:val="nil" w:sz="6" w:space="0" w:color="auto"/>
                          <w:left w:val="nil" w:sz="6" w:space="0" w:color="auto"/>
                          <w:bottom w:val="nil" w:sz="6" w:space="0" w:color="auto"/>
                          <w:right w:val="nil" w:sz="6" w:space="0" w:color="auto"/>
                        </w:tcBorders>
                      </w:tcPr>
                      <w:p>
                        <w:pPr>
                          <w:pStyle w:val="TableParagraph"/>
                          <w:spacing w:line="132" w:lineRule="exact"/>
                          <w:ind w:left="57" w:right="0"/>
                          <w:jc w:val="left"/>
                          <w:rPr>
                            <w:rFonts w:ascii="宋体" w:hAnsi="宋体" w:cs="宋体" w:eastAsia="宋体" w:hint="default"/>
                            <w:sz w:val="16"/>
                            <w:szCs w:val="16"/>
                          </w:rPr>
                        </w:pPr>
                        <w:r>
                          <w:rPr>
                            <w:rFonts w:ascii="宋体" w:hAnsi="宋体" w:cs="宋体" w:eastAsia="宋体" w:hint="default"/>
                            <w:spacing w:val="6"/>
                            <w:sz w:val="16"/>
                            <w:szCs w:val="16"/>
                          </w:rPr>
                          <w:t>知好乐教育科技集团有限公</w:t>
                        </w:r>
                      </w:p>
                      <w:p>
                        <w:pPr>
                          <w:pStyle w:val="TableParagraph"/>
                          <w:tabs>
                            <w:tab w:pos="2599" w:val="left" w:leader="none"/>
                          </w:tabs>
                          <w:spacing w:line="256" w:lineRule="exact"/>
                          <w:ind w:left="57" w:right="0"/>
                          <w:jc w:val="left"/>
                          <w:rPr>
                            <w:rFonts w:ascii="宋体" w:hAnsi="宋体" w:cs="宋体" w:eastAsia="宋体" w:hint="default"/>
                            <w:sz w:val="16"/>
                            <w:szCs w:val="16"/>
                          </w:rPr>
                        </w:pPr>
                        <w:r>
                          <w:rPr>
                            <w:rFonts w:ascii="宋体" w:hAnsi="宋体" w:cs="宋体" w:eastAsia="宋体" w:hint="default"/>
                            <w:position w:val="-9"/>
                            <w:sz w:val="16"/>
                            <w:szCs w:val="16"/>
                          </w:rPr>
                          <w:t>司</w:t>
                          <w:tab/>
                        </w:r>
                        <w:r>
                          <w:rPr>
                            <w:rFonts w:ascii="宋体" w:hAnsi="宋体" w:cs="宋体" w:eastAsia="宋体" w:hint="default"/>
                            <w:sz w:val="16"/>
                            <w:szCs w:val="16"/>
                          </w:rPr>
                          <w:t>20,486.06</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7"/>
                          <w:jc w:val="right"/>
                          <w:rPr>
                            <w:rFonts w:ascii="宋体" w:hAnsi="宋体" w:cs="宋体" w:eastAsia="宋体" w:hint="default"/>
                            <w:sz w:val="16"/>
                            <w:szCs w:val="16"/>
                          </w:rPr>
                        </w:pPr>
                        <w:r>
                          <w:rPr>
                            <w:rFonts w:ascii="宋体"/>
                            <w:spacing w:val="-1"/>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5"/>
                          <w:jc w:val="right"/>
                          <w:rPr>
                            <w:rFonts w:ascii="宋体" w:hAnsi="宋体" w:cs="宋体" w:eastAsia="宋体" w:hint="default"/>
                            <w:sz w:val="16"/>
                            <w:szCs w:val="16"/>
                          </w:rPr>
                        </w:pPr>
                        <w:r>
                          <w:rPr>
                            <w:rFonts w:ascii="宋体"/>
                            <w:spacing w:val="-2"/>
                            <w:sz w:val="16"/>
                          </w:rPr>
                          <w:t>20,486.06</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7"/>
                          <w:jc w:val="right"/>
                          <w:rPr>
                            <w:rFonts w:ascii="宋体" w:hAnsi="宋体" w:cs="宋体" w:eastAsia="宋体" w:hint="default"/>
                            <w:sz w:val="16"/>
                            <w:szCs w:val="16"/>
                          </w:rPr>
                        </w:pPr>
                        <w:r>
                          <w:rPr>
                            <w:rFonts w:ascii="宋体"/>
                            <w:spacing w:val="-1"/>
                            <w:sz w:val="16"/>
                          </w:rPr>
                          <w:t>0.00</w:t>
                        </w:r>
                      </w:p>
                    </w:tc>
                    <w:tc>
                      <w:tcPr>
                        <w:tcW w:w="59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4"/>
                          <w:jc w:val="right"/>
                          <w:rPr>
                            <w:rFonts w:ascii="宋体" w:hAnsi="宋体" w:cs="宋体" w:eastAsia="宋体" w:hint="default"/>
                            <w:sz w:val="16"/>
                            <w:szCs w:val="16"/>
                          </w:rPr>
                        </w:pPr>
                        <w:r>
                          <w:rPr>
                            <w:rFonts w:ascii="宋体"/>
                            <w:spacing w:val="-1"/>
                            <w:sz w:val="16"/>
                          </w:rPr>
                          <w:t>0.00</w:t>
                        </w:r>
                      </w:p>
                    </w:tc>
                  </w:tr>
                  <w:tr>
                    <w:trPr>
                      <w:trHeight w:val="419" w:hRule="exact"/>
                    </w:trPr>
                    <w:tc>
                      <w:tcPr>
                        <w:tcW w:w="3377" w:type="dxa"/>
                        <w:tcBorders>
                          <w:top w:val="nil" w:sz="6" w:space="0" w:color="auto"/>
                          <w:left w:val="nil" w:sz="6" w:space="0" w:color="auto"/>
                          <w:bottom w:val="single" w:sz="2" w:space="0" w:color="000000"/>
                          <w:right w:val="nil" w:sz="6" w:space="0" w:color="auto"/>
                        </w:tcBorders>
                      </w:tcPr>
                      <w:p>
                        <w:pPr>
                          <w:pStyle w:val="TableParagraph"/>
                          <w:spacing w:line="132" w:lineRule="exact"/>
                          <w:ind w:left="57" w:right="0"/>
                          <w:jc w:val="left"/>
                          <w:rPr>
                            <w:rFonts w:ascii="宋体" w:hAnsi="宋体" w:cs="宋体" w:eastAsia="宋体" w:hint="default"/>
                            <w:sz w:val="16"/>
                            <w:szCs w:val="16"/>
                          </w:rPr>
                        </w:pPr>
                        <w:r>
                          <w:rPr>
                            <w:rFonts w:ascii="宋体" w:hAnsi="宋体" w:cs="宋体" w:eastAsia="宋体" w:hint="default"/>
                            <w:spacing w:val="6"/>
                            <w:sz w:val="16"/>
                            <w:szCs w:val="16"/>
                          </w:rPr>
                          <w:t>深圳市启瀛网络科技有限公</w:t>
                        </w:r>
                      </w:p>
                      <w:p>
                        <w:pPr>
                          <w:pStyle w:val="TableParagraph"/>
                          <w:tabs>
                            <w:tab w:pos="3000" w:val="left" w:leader="none"/>
                          </w:tabs>
                          <w:spacing w:line="256" w:lineRule="exact"/>
                          <w:ind w:left="57" w:right="0"/>
                          <w:jc w:val="left"/>
                          <w:rPr>
                            <w:rFonts w:ascii="宋体" w:hAnsi="宋体" w:cs="宋体" w:eastAsia="宋体" w:hint="default"/>
                            <w:sz w:val="16"/>
                            <w:szCs w:val="16"/>
                          </w:rPr>
                        </w:pPr>
                        <w:r>
                          <w:rPr>
                            <w:rFonts w:ascii="宋体" w:hAnsi="宋体" w:cs="宋体" w:eastAsia="宋体" w:hint="default"/>
                            <w:position w:val="-9"/>
                            <w:sz w:val="16"/>
                            <w:szCs w:val="16"/>
                          </w:rPr>
                          <w:t>司</w:t>
                        </w:r>
                        <w:r>
                          <w:rPr>
                            <w:rFonts w:ascii="宋体" w:hAnsi="宋体" w:cs="宋体" w:eastAsia="宋体" w:hint="default"/>
                            <w:sz w:val="16"/>
                            <w:szCs w:val="16"/>
                          </w:rPr>
                          <w:tab/>
                          <w:t>0.00</w:t>
                        </w:r>
                      </w:p>
                    </w:tc>
                    <w:tc>
                      <w:tcPr>
                        <w:tcW w:w="1163" w:type="dxa"/>
                        <w:tcBorders>
                          <w:top w:val="nil" w:sz="6" w:space="0" w:color="auto"/>
                          <w:left w:val="nil" w:sz="6" w:space="0" w:color="auto"/>
                          <w:bottom w:val="single" w:sz="2" w:space="0" w:color="000000"/>
                          <w:right w:val="nil" w:sz="6" w:space="0" w:color="auto"/>
                        </w:tcBorders>
                      </w:tcPr>
                      <w:p>
                        <w:pPr>
                          <w:pStyle w:val="TableParagraph"/>
                          <w:spacing w:line="240" w:lineRule="auto" w:before="78"/>
                          <w:ind w:right="57"/>
                          <w:jc w:val="right"/>
                          <w:rPr>
                            <w:rFonts w:ascii="宋体" w:hAnsi="宋体" w:cs="宋体" w:eastAsia="宋体" w:hint="default"/>
                            <w:sz w:val="16"/>
                            <w:szCs w:val="16"/>
                          </w:rPr>
                        </w:pPr>
                        <w:r>
                          <w:rPr>
                            <w:rFonts w:ascii="宋体"/>
                            <w:spacing w:val="-2"/>
                            <w:sz w:val="16"/>
                          </w:rPr>
                          <w:t>15,000,000.00</w:t>
                        </w:r>
                      </w:p>
                    </w:tc>
                    <w:tc>
                      <w:tcPr>
                        <w:tcW w:w="1164" w:type="dxa"/>
                        <w:tcBorders>
                          <w:top w:val="nil" w:sz="6" w:space="0" w:color="auto"/>
                          <w:left w:val="nil" w:sz="6" w:space="0" w:color="auto"/>
                          <w:bottom w:val="single" w:sz="2" w:space="0" w:color="000000"/>
                          <w:right w:val="nil" w:sz="6" w:space="0" w:color="auto"/>
                        </w:tcBorders>
                      </w:tcPr>
                      <w:p>
                        <w:pPr>
                          <w:pStyle w:val="TableParagraph"/>
                          <w:spacing w:line="240" w:lineRule="auto" w:before="78"/>
                          <w:ind w:right="57"/>
                          <w:jc w:val="right"/>
                          <w:rPr>
                            <w:rFonts w:ascii="宋体" w:hAnsi="宋体" w:cs="宋体" w:eastAsia="宋体" w:hint="default"/>
                            <w:sz w:val="16"/>
                            <w:szCs w:val="16"/>
                          </w:rPr>
                        </w:pPr>
                        <w:r>
                          <w:rPr>
                            <w:rFonts w:ascii="宋体"/>
                            <w:spacing w:val="-2"/>
                            <w:sz w:val="16"/>
                          </w:rPr>
                          <w:t>15,000,000.00</w:t>
                        </w:r>
                      </w:p>
                    </w:tc>
                    <w:tc>
                      <w:tcPr>
                        <w:tcW w:w="1243" w:type="dxa"/>
                        <w:tcBorders>
                          <w:top w:val="nil" w:sz="6" w:space="0" w:color="auto"/>
                          <w:left w:val="nil" w:sz="6" w:space="0" w:color="auto"/>
                          <w:bottom w:val="single" w:sz="2" w:space="0" w:color="000000"/>
                          <w:right w:val="nil" w:sz="6" w:space="0" w:color="auto"/>
                        </w:tcBorders>
                      </w:tcPr>
                      <w:p>
                        <w:pPr>
                          <w:pStyle w:val="TableParagraph"/>
                          <w:spacing w:line="240" w:lineRule="auto" w:before="78"/>
                          <w:ind w:right="57"/>
                          <w:jc w:val="right"/>
                          <w:rPr>
                            <w:rFonts w:ascii="宋体" w:hAnsi="宋体" w:cs="宋体" w:eastAsia="宋体" w:hint="default"/>
                            <w:sz w:val="16"/>
                            <w:szCs w:val="16"/>
                          </w:rPr>
                        </w:pPr>
                        <w:r>
                          <w:rPr>
                            <w:rFonts w:ascii="宋体"/>
                            <w:spacing w:val="-1"/>
                            <w:sz w:val="16"/>
                          </w:rPr>
                          <w:t>0.00</w:t>
                        </w:r>
                      </w:p>
                    </w:tc>
                    <w:tc>
                      <w:tcPr>
                        <w:tcW w:w="594" w:type="dxa"/>
                        <w:tcBorders>
                          <w:top w:val="nil" w:sz="6" w:space="0" w:color="auto"/>
                          <w:left w:val="nil" w:sz="6" w:space="0" w:color="auto"/>
                          <w:bottom w:val="single" w:sz="2" w:space="0" w:color="000000"/>
                          <w:right w:val="nil" w:sz="6" w:space="0" w:color="auto"/>
                        </w:tcBorders>
                      </w:tcPr>
                      <w:p>
                        <w:pPr>
                          <w:pStyle w:val="TableParagraph"/>
                          <w:spacing w:line="240" w:lineRule="auto" w:before="78"/>
                          <w:ind w:right="1"/>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081" w:type="dxa"/>
                        <w:tcBorders>
                          <w:top w:val="nil" w:sz="6" w:space="0" w:color="auto"/>
                          <w:left w:val="nil" w:sz="6" w:space="0" w:color="auto"/>
                          <w:bottom w:val="single" w:sz="2" w:space="0" w:color="000000"/>
                          <w:right w:val="nil" w:sz="6" w:space="0" w:color="auto"/>
                        </w:tcBorders>
                      </w:tcPr>
                      <w:p>
                        <w:pPr>
                          <w:pStyle w:val="TableParagraph"/>
                          <w:spacing w:line="240" w:lineRule="auto" w:before="78"/>
                          <w:ind w:right="54"/>
                          <w:jc w:val="right"/>
                          <w:rPr>
                            <w:rFonts w:ascii="宋体" w:hAnsi="宋体" w:cs="宋体" w:eastAsia="宋体" w:hint="default"/>
                            <w:sz w:val="16"/>
                            <w:szCs w:val="16"/>
                          </w:rPr>
                        </w:pPr>
                        <w:r>
                          <w:rPr>
                            <w:rFonts w:ascii="宋体"/>
                            <w:spacing w:val="-1"/>
                            <w:sz w:val="16"/>
                          </w:rPr>
                          <w:t>0.00</w:t>
                        </w:r>
                      </w:p>
                    </w:tc>
                  </w:tr>
                  <w:tr>
                    <w:trPr>
                      <w:trHeight w:val="262" w:hRule="exact"/>
                    </w:trPr>
                    <w:tc>
                      <w:tcPr>
                        <w:tcW w:w="3377" w:type="dxa"/>
                        <w:tcBorders>
                          <w:top w:val="single" w:sz="2" w:space="0" w:color="000000"/>
                          <w:left w:val="nil" w:sz="6" w:space="0" w:color="auto"/>
                          <w:bottom w:val="single" w:sz="12" w:space="0" w:color="000000"/>
                          <w:right w:val="nil" w:sz="6" w:space="0" w:color="auto"/>
                        </w:tcBorders>
                      </w:tcPr>
                      <w:p>
                        <w:pPr>
                          <w:pStyle w:val="TableParagraph"/>
                          <w:tabs>
                            <w:tab w:pos="2191" w:val="left" w:leader="none"/>
                          </w:tabs>
                          <w:spacing w:line="200" w:lineRule="exact"/>
                          <w:ind w:left="57" w:right="0"/>
                          <w:jc w:val="left"/>
                          <w:rPr>
                            <w:rFonts w:ascii="宋体" w:hAnsi="宋体" w:cs="宋体" w:eastAsia="宋体" w:hint="default"/>
                            <w:sz w:val="16"/>
                            <w:szCs w:val="16"/>
                          </w:rPr>
                        </w:pPr>
                        <w:r>
                          <w:rPr>
                            <w:rFonts w:ascii="宋体" w:hAnsi="宋体" w:cs="宋体" w:eastAsia="宋体" w:hint="default"/>
                            <w:b/>
                            <w:bCs/>
                            <w:sz w:val="16"/>
                            <w:szCs w:val="16"/>
                          </w:rPr>
                          <w:t>合计</w:t>
                          <w:tab/>
                        </w:r>
                        <w:r>
                          <w:rPr>
                            <w:rFonts w:ascii="宋体" w:hAnsi="宋体" w:cs="宋体" w:eastAsia="宋体" w:hint="default"/>
                            <w:b/>
                            <w:bCs/>
                            <w:sz w:val="16"/>
                            <w:szCs w:val="16"/>
                          </w:rPr>
                          <w:t>186,878,477.51</w:t>
                        </w:r>
                        <w:r>
                          <w:rPr>
                            <w:rFonts w:ascii="宋体" w:hAnsi="宋体" w:cs="宋体" w:eastAsia="宋体" w:hint="default"/>
                            <w:sz w:val="16"/>
                            <w:szCs w:val="16"/>
                          </w:rPr>
                        </w:r>
                      </w:p>
                    </w:tc>
                    <w:tc>
                      <w:tcPr>
                        <w:tcW w:w="1163" w:type="dxa"/>
                        <w:tcBorders>
                          <w:top w:val="single" w:sz="2" w:space="0" w:color="000000"/>
                          <w:left w:val="nil" w:sz="6" w:space="0" w:color="auto"/>
                          <w:bottom w:val="single" w:sz="12" w:space="0" w:color="000000"/>
                          <w:right w:val="nil" w:sz="6" w:space="0" w:color="auto"/>
                        </w:tcBorders>
                      </w:tcPr>
                      <w:p>
                        <w:pPr>
                          <w:pStyle w:val="TableParagraph"/>
                          <w:spacing w:line="200" w:lineRule="exact"/>
                          <w:ind w:right="56"/>
                          <w:jc w:val="right"/>
                          <w:rPr>
                            <w:rFonts w:ascii="宋体" w:hAnsi="宋体" w:cs="宋体" w:eastAsia="宋体" w:hint="default"/>
                            <w:sz w:val="16"/>
                            <w:szCs w:val="16"/>
                          </w:rPr>
                        </w:pPr>
                        <w:r>
                          <w:rPr>
                            <w:rFonts w:ascii="宋体"/>
                            <w:b/>
                            <w:spacing w:val="-1"/>
                            <w:sz w:val="16"/>
                          </w:rPr>
                          <w:t>58,851,778.23</w:t>
                        </w:r>
                        <w:r>
                          <w:rPr>
                            <w:rFonts w:ascii="宋体"/>
                            <w:spacing w:val="-1"/>
                            <w:sz w:val="16"/>
                          </w:rPr>
                        </w:r>
                      </w:p>
                    </w:tc>
                    <w:tc>
                      <w:tcPr>
                        <w:tcW w:w="1164" w:type="dxa"/>
                        <w:tcBorders>
                          <w:top w:val="single" w:sz="2" w:space="0" w:color="000000"/>
                          <w:left w:val="nil" w:sz="6" w:space="0" w:color="auto"/>
                          <w:bottom w:val="single" w:sz="12" w:space="0" w:color="000000"/>
                          <w:right w:val="nil" w:sz="6" w:space="0" w:color="auto"/>
                        </w:tcBorders>
                      </w:tcPr>
                      <w:p>
                        <w:pPr>
                          <w:pStyle w:val="TableParagraph"/>
                          <w:spacing w:line="200" w:lineRule="exact"/>
                          <w:ind w:right="56"/>
                          <w:jc w:val="right"/>
                          <w:rPr>
                            <w:rFonts w:ascii="宋体" w:hAnsi="宋体" w:cs="宋体" w:eastAsia="宋体" w:hint="default"/>
                            <w:sz w:val="16"/>
                            <w:szCs w:val="16"/>
                          </w:rPr>
                        </w:pPr>
                        <w:r>
                          <w:rPr>
                            <w:rFonts w:ascii="宋体"/>
                            <w:b/>
                            <w:spacing w:val="-1"/>
                            <w:sz w:val="16"/>
                          </w:rPr>
                          <w:t>49,478,154.80</w:t>
                        </w:r>
                        <w:r>
                          <w:rPr>
                            <w:rFonts w:ascii="宋体"/>
                            <w:spacing w:val="-1"/>
                            <w:sz w:val="16"/>
                          </w:rPr>
                        </w:r>
                      </w:p>
                    </w:tc>
                    <w:tc>
                      <w:tcPr>
                        <w:tcW w:w="1243" w:type="dxa"/>
                        <w:tcBorders>
                          <w:top w:val="single" w:sz="2" w:space="0" w:color="000000"/>
                          <w:left w:val="nil" w:sz="6" w:space="0" w:color="auto"/>
                          <w:bottom w:val="single" w:sz="12" w:space="0" w:color="000000"/>
                          <w:right w:val="nil" w:sz="6" w:space="0" w:color="auto"/>
                        </w:tcBorders>
                      </w:tcPr>
                      <w:p>
                        <w:pPr>
                          <w:pStyle w:val="TableParagraph"/>
                          <w:spacing w:line="200" w:lineRule="exact"/>
                          <w:ind w:right="56"/>
                          <w:jc w:val="right"/>
                          <w:rPr>
                            <w:rFonts w:ascii="宋体" w:hAnsi="宋体" w:cs="宋体" w:eastAsia="宋体" w:hint="default"/>
                            <w:sz w:val="16"/>
                            <w:szCs w:val="16"/>
                          </w:rPr>
                        </w:pPr>
                        <w:r>
                          <w:rPr>
                            <w:rFonts w:ascii="宋体"/>
                            <w:b/>
                            <w:spacing w:val="-1"/>
                            <w:sz w:val="16"/>
                          </w:rPr>
                          <w:t>196,252,100.94</w:t>
                        </w:r>
                        <w:r>
                          <w:rPr>
                            <w:rFonts w:ascii="宋体"/>
                            <w:spacing w:val="-1"/>
                            <w:sz w:val="16"/>
                          </w:rPr>
                        </w:r>
                      </w:p>
                    </w:tc>
                    <w:tc>
                      <w:tcPr>
                        <w:tcW w:w="594" w:type="dxa"/>
                        <w:tcBorders>
                          <w:top w:val="single" w:sz="2" w:space="0" w:color="000000"/>
                          <w:left w:val="nil" w:sz="6" w:space="0" w:color="auto"/>
                          <w:bottom w:val="single" w:sz="12" w:space="0" w:color="000000"/>
                          <w:right w:val="nil" w:sz="6" w:space="0" w:color="auto"/>
                        </w:tcBorders>
                      </w:tcPr>
                      <w:p>
                        <w:pPr>
                          <w:pStyle w:val="TableParagraph"/>
                          <w:spacing w:line="200" w:lineRule="exact"/>
                          <w:ind w:right="1"/>
                          <w:jc w:val="center"/>
                          <w:rPr>
                            <w:rFonts w:ascii="宋体" w:hAnsi="宋体" w:cs="宋体" w:eastAsia="宋体" w:hint="default"/>
                            <w:sz w:val="16"/>
                            <w:szCs w:val="16"/>
                          </w:rPr>
                        </w:pPr>
                        <w:r>
                          <w:rPr>
                            <w:rFonts w:ascii="宋体" w:hAnsi="宋体" w:cs="宋体" w:eastAsia="宋体" w:hint="default"/>
                            <w:b/>
                            <w:bCs/>
                            <w:w w:val="100"/>
                            <w:sz w:val="16"/>
                            <w:szCs w:val="16"/>
                          </w:rPr>
                          <w:t>—</w:t>
                        </w:r>
                        <w:r>
                          <w:rPr>
                            <w:rFonts w:ascii="宋体" w:hAnsi="宋体" w:cs="宋体" w:eastAsia="宋体" w:hint="default"/>
                            <w:w w:val="100"/>
                            <w:sz w:val="16"/>
                            <w:szCs w:val="16"/>
                          </w:rPr>
                        </w:r>
                      </w:p>
                    </w:tc>
                    <w:tc>
                      <w:tcPr>
                        <w:tcW w:w="1081" w:type="dxa"/>
                        <w:tcBorders>
                          <w:top w:val="single" w:sz="2" w:space="0" w:color="000000"/>
                          <w:left w:val="nil" w:sz="6" w:space="0" w:color="auto"/>
                          <w:bottom w:val="single" w:sz="12" w:space="0" w:color="000000"/>
                          <w:right w:val="nil" w:sz="6" w:space="0" w:color="auto"/>
                        </w:tcBorders>
                      </w:tcPr>
                      <w:p>
                        <w:pPr>
                          <w:pStyle w:val="TableParagraph"/>
                          <w:spacing w:line="200" w:lineRule="exact"/>
                          <w:ind w:right="55"/>
                          <w:jc w:val="right"/>
                          <w:rPr>
                            <w:rFonts w:ascii="宋体" w:hAnsi="宋体" w:cs="宋体" w:eastAsia="宋体" w:hint="default"/>
                            <w:sz w:val="16"/>
                            <w:szCs w:val="16"/>
                          </w:rPr>
                        </w:pPr>
                        <w:r>
                          <w:rPr>
                            <w:rFonts w:ascii="宋体"/>
                            <w:b/>
                            <w:spacing w:val="-1"/>
                            <w:sz w:val="16"/>
                          </w:rPr>
                          <w:t>1,306,000.00</w:t>
                        </w:r>
                        <w:r>
                          <w:rPr>
                            <w:rFonts w:ascii="宋体"/>
                            <w:spacing w:val="-1"/>
                            <w:sz w:val="16"/>
                          </w:rPr>
                        </w:r>
                      </w:p>
                    </w:tc>
                  </w:tr>
                </w:tbl>
                <w:p>
                  <w:pPr/>
                </w:p>
              </w:txbxContent>
            </v:textbox>
            <w10:wrap type="none"/>
          </v:shape>
        </w:pict>
      </w:r>
      <w:r>
        <w:rPr>
          <w:rFonts w:ascii="宋体" w:hAnsi="宋体" w:cs="宋体" w:eastAsia="宋体" w:hint="default"/>
          <w:b/>
          <w:bCs/>
          <w:sz w:val="16"/>
          <w:szCs w:val="16"/>
        </w:rPr>
        <w:t>期初余额</w:t>
        <w:tab/>
        <w:t>本期增加</w:t>
        <w:tab/>
        <w:t>本期减少</w:t>
        <w:tab/>
        <w:t>期末余额</w:t>
      </w:r>
      <w:r>
        <w:rPr>
          <w:rFonts w:ascii="宋体" w:hAnsi="宋体" w:cs="宋体" w:eastAsia="宋体" w:hint="default"/>
          <w:sz w:val="16"/>
          <w:szCs w:val="16"/>
        </w:rPr>
      </w:r>
    </w:p>
    <w:p>
      <w:pPr>
        <w:spacing w:line="240" w:lineRule="auto" w:before="0"/>
        <w:rPr>
          <w:rFonts w:ascii="宋体" w:hAnsi="宋体" w:cs="宋体" w:eastAsia="宋体" w:hint="default"/>
          <w:b/>
          <w:bCs/>
          <w:sz w:val="16"/>
          <w:szCs w:val="16"/>
        </w:rPr>
      </w:pPr>
      <w:r>
        <w:rPr/>
        <w:br w:type="column"/>
      </w:r>
      <w:r>
        <w:rPr>
          <w:rFonts w:ascii="宋体"/>
          <w:b/>
          <w:sz w:val="16"/>
        </w:rPr>
      </w:r>
    </w:p>
    <w:p>
      <w:pPr>
        <w:spacing w:line="240" w:lineRule="auto" w:before="3"/>
        <w:rPr>
          <w:rFonts w:ascii="宋体" w:hAnsi="宋体" w:cs="宋体" w:eastAsia="宋体" w:hint="default"/>
          <w:b/>
          <w:bCs/>
          <w:sz w:val="16"/>
          <w:szCs w:val="16"/>
        </w:rPr>
      </w:pPr>
    </w:p>
    <w:p>
      <w:pPr>
        <w:spacing w:line="206" w:lineRule="exact" w:before="0"/>
        <w:ind w:left="394" w:right="822" w:firstLine="0"/>
        <w:jc w:val="left"/>
        <w:rPr>
          <w:rFonts w:ascii="宋体" w:hAnsi="宋体" w:cs="宋体" w:eastAsia="宋体" w:hint="default"/>
          <w:sz w:val="16"/>
          <w:szCs w:val="16"/>
        </w:rPr>
      </w:pPr>
      <w:r>
        <w:rPr>
          <w:rFonts w:ascii="宋体" w:hAnsi="宋体" w:cs="宋体" w:eastAsia="宋体" w:hint="default"/>
          <w:b/>
          <w:bCs/>
          <w:sz w:val="16"/>
          <w:szCs w:val="16"/>
        </w:rPr>
        <w:t>本期现</w:t>
      </w:r>
      <w:r>
        <w:rPr>
          <w:rFonts w:ascii="宋体" w:hAnsi="宋体" w:cs="宋体" w:eastAsia="宋体" w:hint="default"/>
          <w:b/>
          <w:bCs/>
          <w:w w:val="100"/>
          <w:sz w:val="16"/>
          <w:szCs w:val="16"/>
        </w:rPr>
        <w:t> </w:t>
      </w:r>
      <w:r>
        <w:rPr>
          <w:rFonts w:ascii="宋体" w:hAnsi="宋体" w:cs="宋体" w:eastAsia="宋体" w:hint="default"/>
          <w:b/>
          <w:bCs/>
          <w:sz w:val="16"/>
          <w:szCs w:val="16"/>
        </w:rPr>
        <w:t>金红利</w:t>
      </w:r>
      <w:r>
        <w:rPr>
          <w:rFonts w:ascii="宋体" w:hAnsi="宋体" w:cs="宋体" w:eastAsia="宋体" w:hint="default"/>
          <w:sz w:val="16"/>
          <w:szCs w:val="16"/>
        </w:rPr>
      </w:r>
    </w:p>
    <w:p>
      <w:pPr>
        <w:spacing w:after="0" w:line="206" w:lineRule="exact"/>
        <w:jc w:val="left"/>
        <w:rPr>
          <w:rFonts w:ascii="宋体" w:hAnsi="宋体" w:cs="宋体" w:eastAsia="宋体" w:hint="default"/>
          <w:sz w:val="16"/>
          <w:szCs w:val="16"/>
        </w:rPr>
        <w:sectPr>
          <w:pgSz w:w="11910" w:h="16840"/>
          <w:pgMar w:header="0" w:footer="1054" w:top="1320" w:bottom="1240" w:left="1100" w:right="1100"/>
          <w:cols w:num="3" w:equalWidth="0">
            <w:col w:w="1407" w:space="970"/>
            <w:col w:w="5574" w:space="40"/>
            <w:col w:w="1719"/>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5"/>
          <w:szCs w:val="25"/>
        </w:rPr>
      </w:pPr>
    </w:p>
    <w:p>
      <w:pPr>
        <w:spacing w:before="32"/>
        <w:ind w:left="1055"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22"/>
          <w:sz w:val="22"/>
          <w:szCs w:val="22"/>
        </w:rPr>
        <w:t> </w:t>
      </w:r>
      <w:r>
        <w:rPr>
          <w:rFonts w:ascii="宋体" w:hAnsi="宋体" w:cs="宋体" w:eastAsia="宋体" w:hint="default"/>
          <w:sz w:val="22"/>
          <w:szCs w:val="22"/>
        </w:rPr>
        <w:t>可供出售金融资产减值准备</w:t>
      </w:r>
    </w:p>
    <w:p>
      <w:pPr>
        <w:spacing w:line="240" w:lineRule="auto" w:before="9"/>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893"/>
        <w:gridCol w:w="1514"/>
        <w:gridCol w:w="1613"/>
        <w:gridCol w:w="1353"/>
        <w:gridCol w:w="651"/>
        <w:gridCol w:w="1458"/>
      </w:tblGrid>
      <w:tr>
        <w:trPr>
          <w:trHeight w:val="259" w:hRule="exact"/>
        </w:trPr>
        <w:tc>
          <w:tcPr>
            <w:tcW w:w="9482" w:type="dxa"/>
            <w:gridSpan w:val="6"/>
            <w:tcBorders>
              <w:top w:val="single" w:sz="12" w:space="0" w:color="000000"/>
              <w:left w:val="nil" w:sz="6" w:space="0" w:color="auto"/>
              <w:bottom w:val="nil" w:sz="6" w:space="0" w:color="auto"/>
              <w:right w:val="nil" w:sz="6" w:space="0" w:color="auto"/>
            </w:tcBorders>
          </w:tcPr>
          <w:p>
            <w:pPr>
              <w:pStyle w:val="TableParagraph"/>
              <w:spacing w:line="208" w:lineRule="exact"/>
              <w:ind w:left="5825"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r>
      <w:tr>
        <w:trPr>
          <w:trHeight w:val="475" w:hRule="exact"/>
        </w:trPr>
        <w:tc>
          <w:tcPr>
            <w:tcW w:w="2893" w:type="dxa"/>
            <w:tcBorders>
              <w:top w:val="nil" w:sz="6" w:space="0" w:color="auto"/>
              <w:left w:val="nil" w:sz="6" w:space="0" w:color="auto"/>
              <w:bottom w:val="single" w:sz="4" w:space="0" w:color="000000"/>
              <w:right w:val="nil" w:sz="6" w:space="0" w:color="auto"/>
            </w:tcBorders>
          </w:tcPr>
          <w:p>
            <w:pPr>
              <w:pStyle w:val="TableParagraph"/>
              <w:spacing w:line="203"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36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613"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351"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353" w:type="dxa"/>
            <w:tcBorders>
              <w:top w:val="single" w:sz="4" w:space="0" w:color="000000"/>
              <w:left w:val="nil" w:sz="6" w:space="0" w:color="auto"/>
              <w:bottom w:val="single" w:sz="4" w:space="0" w:color="000000"/>
              <w:right w:val="nil" w:sz="6" w:space="0" w:color="auto"/>
            </w:tcBorders>
          </w:tcPr>
          <w:p>
            <w:pPr>
              <w:pStyle w:val="TableParagraph"/>
              <w:spacing w:line="204" w:lineRule="exact"/>
              <w:ind w:right="161"/>
              <w:jc w:val="center"/>
              <w:rPr>
                <w:rFonts w:ascii="宋体" w:hAnsi="宋体" w:cs="宋体" w:eastAsia="宋体" w:hint="default"/>
                <w:sz w:val="18"/>
                <w:szCs w:val="18"/>
              </w:rPr>
            </w:pPr>
            <w:r>
              <w:rPr>
                <w:rFonts w:ascii="宋体" w:hAnsi="宋体" w:cs="宋体" w:eastAsia="宋体" w:hint="default"/>
                <w:b/>
                <w:bCs/>
                <w:sz w:val="18"/>
                <w:szCs w:val="18"/>
              </w:rPr>
              <w:t>合并范围</w:t>
            </w:r>
            <w:r>
              <w:rPr>
                <w:rFonts w:ascii="宋体" w:hAnsi="宋体" w:cs="宋体" w:eastAsia="宋体" w:hint="default"/>
                <w:sz w:val="18"/>
                <w:szCs w:val="18"/>
              </w:rPr>
            </w:r>
          </w:p>
          <w:p>
            <w:pPr>
              <w:pStyle w:val="TableParagraph"/>
              <w:spacing w:line="234" w:lineRule="exact"/>
              <w:ind w:right="158"/>
              <w:jc w:val="center"/>
              <w:rPr>
                <w:rFonts w:ascii="宋体" w:hAnsi="宋体" w:cs="宋体" w:eastAsia="宋体" w:hint="default"/>
                <w:sz w:val="18"/>
                <w:szCs w:val="18"/>
              </w:rPr>
            </w:pPr>
            <w:r>
              <w:rPr>
                <w:rFonts w:ascii="宋体" w:hAnsi="宋体" w:cs="宋体" w:eastAsia="宋体" w:hint="default"/>
                <w:b/>
                <w:bCs/>
                <w:sz w:val="18"/>
                <w:szCs w:val="18"/>
              </w:rPr>
              <w:t>变化</w:t>
            </w:r>
            <w:r>
              <w:rPr>
                <w:rFonts w:ascii="宋体" w:hAnsi="宋体" w:cs="宋体" w:eastAsia="宋体" w:hint="default"/>
                <w:sz w:val="18"/>
                <w:szCs w:val="18"/>
              </w:rPr>
            </w:r>
          </w:p>
        </w:tc>
        <w:tc>
          <w:tcPr>
            <w:tcW w:w="651" w:type="dxa"/>
            <w:tcBorders>
              <w:top w:val="single" w:sz="4" w:space="0" w:color="000000"/>
              <w:left w:val="nil" w:sz="6" w:space="0" w:color="auto"/>
              <w:bottom w:val="single" w:sz="4" w:space="0" w:color="000000"/>
              <w:right w:val="nil" w:sz="6" w:space="0" w:color="auto"/>
            </w:tcBorders>
          </w:tcPr>
          <w:p>
            <w:pPr>
              <w:pStyle w:val="TableParagraph"/>
              <w:spacing w:line="204" w:lineRule="exact"/>
              <w:ind w:left="86" w:right="0"/>
              <w:jc w:val="lef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p>
            <w:pPr>
              <w:pStyle w:val="TableParagraph"/>
              <w:spacing w:line="234" w:lineRule="exact"/>
              <w:ind w:left="86" w:right="0"/>
              <w:jc w:val="left"/>
              <w:rPr>
                <w:rFonts w:ascii="宋体" w:hAnsi="宋体" w:cs="宋体" w:eastAsia="宋体" w:hint="default"/>
                <w:sz w:val="18"/>
                <w:szCs w:val="18"/>
              </w:rPr>
            </w:pPr>
            <w:r>
              <w:rPr>
                <w:rFonts w:ascii="宋体" w:hAnsi="宋体" w:cs="宋体" w:eastAsia="宋体" w:hint="default"/>
                <w:b/>
                <w:bCs/>
                <w:sz w:val="18"/>
                <w:szCs w:val="18"/>
              </w:rPr>
              <w:t>减少</w:t>
            </w:r>
            <w:r>
              <w:rPr>
                <w:rFonts w:ascii="宋体" w:hAnsi="宋体" w:cs="宋体" w:eastAsia="宋体" w:hint="default"/>
                <w:sz w:val="18"/>
                <w:szCs w:val="18"/>
              </w:rPr>
            </w:r>
          </w:p>
        </w:tc>
        <w:tc>
          <w:tcPr>
            <w:tcW w:w="1458"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325"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74" w:hRule="exact"/>
        </w:trPr>
        <w:tc>
          <w:tcPr>
            <w:tcW w:w="2893" w:type="dxa"/>
            <w:tcBorders>
              <w:top w:val="single" w:sz="4" w:space="0" w:color="000000"/>
              <w:left w:val="nil" w:sz="6" w:space="0" w:color="auto"/>
              <w:bottom w:val="nil" w:sz="6" w:space="0" w:color="auto"/>
              <w:right w:val="nil" w:sz="6" w:space="0" w:color="auto"/>
            </w:tcBorders>
          </w:tcPr>
          <w:p>
            <w:pPr>
              <w:pStyle w:val="TableParagraph"/>
              <w:spacing w:line="207" w:lineRule="exact"/>
              <w:ind w:left="108" w:right="0"/>
              <w:jc w:val="left"/>
              <w:rPr>
                <w:rFonts w:ascii="宋体" w:hAnsi="宋体" w:cs="宋体" w:eastAsia="宋体" w:hint="default"/>
                <w:sz w:val="18"/>
                <w:szCs w:val="18"/>
              </w:rPr>
            </w:pPr>
            <w:r>
              <w:rPr>
                <w:rFonts w:ascii="宋体" w:hAnsi="宋体" w:cs="宋体" w:eastAsia="宋体" w:hint="default"/>
                <w:spacing w:val="9"/>
                <w:sz w:val="18"/>
                <w:szCs w:val="18"/>
              </w:rPr>
              <w:t>陕西广电网络传媒</w:t>
            </w:r>
            <w:r>
              <w:rPr>
                <w:rFonts w:ascii="宋体" w:hAnsi="宋体" w:cs="宋体" w:eastAsia="宋体" w:hint="default"/>
                <w:spacing w:val="9"/>
                <w:sz w:val="18"/>
                <w:szCs w:val="18"/>
              </w:rPr>
              <w:t>(</w:t>
            </w:r>
            <w:r>
              <w:rPr>
                <w:rFonts w:ascii="宋体" w:hAnsi="宋体" w:cs="宋体" w:eastAsia="宋体" w:hint="default"/>
                <w:spacing w:val="9"/>
                <w:sz w:val="18"/>
                <w:szCs w:val="18"/>
              </w:rPr>
              <w:t>集团</w:t>
            </w:r>
            <w:r>
              <w:rPr>
                <w:rFonts w:ascii="宋体" w:hAnsi="宋体" w:cs="宋体" w:eastAsia="宋体" w:hint="default"/>
                <w:spacing w:val="9"/>
                <w:sz w:val="18"/>
                <w:szCs w:val="18"/>
              </w:rPr>
              <w:t>)</w:t>
            </w:r>
            <w:r>
              <w:rPr>
                <w:rFonts w:ascii="宋体" w:hAnsi="宋体" w:cs="宋体" w:eastAsia="宋体" w:hint="default"/>
                <w:spacing w:val="9"/>
                <w:sz w:val="18"/>
                <w:szCs w:val="18"/>
              </w:rPr>
              <w:t>股份有</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14"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64"/>
              <w:jc w:val="right"/>
              <w:rPr>
                <w:rFonts w:ascii="宋体" w:hAnsi="宋体" w:cs="宋体" w:eastAsia="宋体" w:hint="default"/>
                <w:sz w:val="18"/>
                <w:szCs w:val="18"/>
              </w:rPr>
            </w:pPr>
            <w:r>
              <w:rPr>
                <w:rFonts w:ascii="宋体"/>
                <w:sz w:val="18"/>
              </w:rPr>
              <w:t>0.00</w:t>
            </w:r>
          </w:p>
        </w:tc>
        <w:tc>
          <w:tcPr>
            <w:tcW w:w="1613"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84"/>
              <w:jc w:val="right"/>
              <w:rPr>
                <w:rFonts w:ascii="宋体" w:hAnsi="宋体" w:cs="宋体" w:eastAsia="宋体" w:hint="default"/>
                <w:sz w:val="18"/>
                <w:szCs w:val="18"/>
              </w:rPr>
            </w:pPr>
            <w:r>
              <w:rPr>
                <w:rFonts w:ascii="宋体"/>
                <w:spacing w:val="-1"/>
                <w:sz w:val="18"/>
              </w:rPr>
              <w:t>188,283,826.50</w:t>
            </w:r>
          </w:p>
        </w:tc>
        <w:tc>
          <w:tcPr>
            <w:tcW w:w="1353"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84"/>
              <w:jc w:val="right"/>
              <w:rPr>
                <w:rFonts w:ascii="宋体" w:hAnsi="宋体" w:cs="宋体" w:eastAsia="宋体" w:hint="default"/>
                <w:sz w:val="18"/>
                <w:szCs w:val="18"/>
              </w:rPr>
            </w:pPr>
            <w:r>
              <w:rPr>
                <w:rFonts w:ascii="宋体"/>
                <w:sz w:val="18"/>
              </w:rPr>
              <w:t>0.00</w:t>
            </w:r>
          </w:p>
        </w:tc>
        <w:tc>
          <w:tcPr>
            <w:tcW w:w="651"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6" w:right="0"/>
              <w:jc w:val="center"/>
              <w:rPr>
                <w:rFonts w:ascii="宋体" w:hAnsi="宋体" w:cs="宋体" w:eastAsia="宋体" w:hint="default"/>
                <w:sz w:val="18"/>
                <w:szCs w:val="18"/>
              </w:rPr>
            </w:pPr>
            <w:r>
              <w:rPr>
                <w:rFonts w:ascii="宋体"/>
                <w:sz w:val="18"/>
              </w:rPr>
              <w:t>0.00</w:t>
            </w:r>
          </w:p>
        </w:tc>
        <w:tc>
          <w:tcPr>
            <w:tcW w:w="1458"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188,283,826.50</w:t>
            </w:r>
          </w:p>
        </w:tc>
      </w:tr>
      <w:tr>
        <w:trPr>
          <w:trHeight w:val="238"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同方康泰产业集团有限公司</w:t>
            </w:r>
          </w:p>
        </w:tc>
        <w:tc>
          <w:tcPr>
            <w:tcW w:w="1514" w:type="dxa"/>
            <w:tcBorders>
              <w:top w:val="nil" w:sz="6" w:space="0" w:color="auto"/>
              <w:left w:val="nil" w:sz="6" w:space="0" w:color="auto"/>
              <w:bottom w:val="nil" w:sz="6" w:space="0" w:color="auto"/>
              <w:right w:val="nil" w:sz="6" w:space="0" w:color="auto"/>
            </w:tcBorders>
          </w:tcPr>
          <w:p>
            <w:pPr>
              <w:pStyle w:val="TableParagraph"/>
              <w:spacing w:line="208" w:lineRule="exact"/>
              <w:ind w:right="164"/>
              <w:jc w:val="right"/>
              <w:rPr>
                <w:rFonts w:ascii="宋体" w:hAnsi="宋体" w:cs="宋体" w:eastAsia="宋体" w:hint="default"/>
                <w:sz w:val="18"/>
                <w:szCs w:val="18"/>
              </w:rPr>
            </w:pPr>
            <w:r>
              <w:rPr>
                <w:rFonts w:ascii="宋体"/>
                <w:sz w:val="18"/>
              </w:rPr>
              <w:t>0.00</w:t>
            </w:r>
          </w:p>
        </w:tc>
        <w:tc>
          <w:tcPr>
            <w:tcW w:w="1613" w:type="dxa"/>
            <w:tcBorders>
              <w:top w:val="nil" w:sz="6" w:space="0" w:color="auto"/>
              <w:left w:val="nil" w:sz="6" w:space="0" w:color="auto"/>
              <w:bottom w:val="nil" w:sz="6" w:space="0" w:color="auto"/>
              <w:right w:val="nil" w:sz="6" w:space="0" w:color="auto"/>
            </w:tcBorders>
          </w:tcPr>
          <w:p>
            <w:pPr>
              <w:pStyle w:val="TableParagraph"/>
              <w:spacing w:line="208" w:lineRule="exact"/>
              <w:ind w:right="184"/>
              <w:jc w:val="right"/>
              <w:rPr>
                <w:rFonts w:ascii="宋体" w:hAnsi="宋体" w:cs="宋体" w:eastAsia="宋体" w:hint="default"/>
                <w:sz w:val="18"/>
                <w:szCs w:val="18"/>
              </w:rPr>
            </w:pPr>
            <w:r>
              <w:rPr>
                <w:rFonts w:ascii="宋体"/>
                <w:spacing w:val="-1"/>
                <w:sz w:val="18"/>
              </w:rPr>
              <w:t>121,350,912.88</w:t>
            </w:r>
          </w:p>
        </w:tc>
        <w:tc>
          <w:tcPr>
            <w:tcW w:w="1353" w:type="dxa"/>
            <w:tcBorders>
              <w:top w:val="nil" w:sz="6" w:space="0" w:color="auto"/>
              <w:left w:val="nil" w:sz="6" w:space="0" w:color="auto"/>
              <w:bottom w:val="nil" w:sz="6" w:space="0" w:color="auto"/>
              <w:right w:val="nil" w:sz="6" w:space="0" w:color="auto"/>
            </w:tcBorders>
          </w:tcPr>
          <w:p>
            <w:pPr>
              <w:pStyle w:val="TableParagraph"/>
              <w:spacing w:line="208" w:lineRule="exact"/>
              <w:ind w:right="84"/>
              <w:jc w:val="right"/>
              <w:rPr>
                <w:rFonts w:ascii="宋体" w:hAnsi="宋体" w:cs="宋体" w:eastAsia="宋体" w:hint="default"/>
                <w:sz w:val="18"/>
                <w:szCs w:val="18"/>
              </w:rPr>
            </w:pPr>
            <w:r>
              <w:rPr>
                <w:rFonts w:ascii="宋体"/>
                <w:sz w:val="18"/>
              </w:rPr>
              <w:t>0.00</w:t>
            </w:r>
          </w:p>
        </w:tc>
        <w:tc>
          <w:tcPr>
            <w:tcW w:w="651" w:type="dxa"/>
            <w:tcBorders>
              <w:top w:val="nil" w:sz="6" w:space="0" w:color="auto"/>
              <w:left w:val="nil" w:sz="6" w:space="0" w:color="auto"/>
              <w:bottom w:val="nil" w:sz="6" w:space="0" w:color="auto"/>
              <w:right w:val="nil" w:sz="6" w:space="0" w:color="auto"/>
            </w:tcBorders>
          </w:tcPr>
          <w:p>
            <w:pPr>
              <w:pStyle w:val="TableParagraph"/>
              <w:spacing w:line="208" w:lineRule="exact"/>
              <w:ind w:left="6" w:right="0"/>
              <w:jc w:val="center"/>
              <w:rPr>
                <w:rFonts w:ascii="宋体" w:hAnsi="宋体" w:cs="宋体" w:eastAsia="宋体" w:hint="default"/>
                <w:sz w:val="18"/>
                <w:szCs w:val="18"/>
              </w:rPr>
            </w:pPr>
            <w:r>
              <w:rPr>
                <w:rFonts w:ascii="宋体"/>
                <w:sz w:val="18"/>
              </w:rPr>
              <w:t>0.00</w:t>
            </w:r>
          </w:p>
        </w:tc>
        <w:tc>
          <w:tcPr>
            <w:tcW w:w="1458" w:type="dxa"/>
            <w:tcBorders>
              <w:top w:val="nil" w:sz="6" w:space="0" w:color="auto"/>
              <w:left w:val="nil" w:sz="6" w:space="0" w:color="auto"/>
              <w:bottom w:val="nil" w:sz="6" w:space="0" w:color="auto"/>
              <w:right w:val="nil" w:sz="6" w:space="0" w:color="auto"/>
            </w:tcBorders>
          </w:tcPr>
          <w:p>
            <w:pPr>
              <w:pStyle w:val="TableParagraph"/>
              <w:spacing w:line="208" w:lineRule="exact"/>
              <w:ind w:right="55"/>
              <w:jc w:val="right"/>
              <w:rPr>
                <w:rFonts w:ascii="宋体" w:hAnsi="宋体" w:cs="宋体" w:eastAsia="宋体" w:hint="default"/>
                <w:sz w:val="18"/>
                <w:szCs w:val="18"/>
              </w:rPr>
            </w:pPr>
            <w:r>
              <w:rPr>
                <w:rFonts w:ascii="宋体"/>
                <w:spacing w:val="-1"/>
                <w:sz w:val="18"/>
              </w:rPr>
              <w:t>121,350,912.88</w:t>
            </w:r>
          </w:p>
        </w:tc>
      </w:tr>
      <w:tr>
        <w:trPr>
          <w:trHeight w:val="235"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杭州热秀网络技术有限公司</w:t>
            </w:r>
          </w:p>
        </w:tc>
        <w:tc>
          <w:tcPr>
            <w:tcW w:w="1514" w:type="dxa"/>
            <w:tcBorders>
              <w:top w:val="nil" w:sz="6" w:space="0" w:color="auto"/>
              <w:left w:val="nil" w:sz="6" w:space="0" w:color="auto"/>
              <w:bottom w:val="nil" w:sz="6" w:space="0" w:color="auto"/>
              <w:right w:val="nil" w:sz="6" w:space="0" w:color="auto"/>
            </w:tcBorders>
          </w:tcPr>
          <w:p>
            <w:pPr>
              <w:pStyle w:val="TableParagraph"/>
              <w:spacing w:line="208" w:lineRule="exact"/>
              <w:ind w:right="164"/>
              <w:jc w:val="right"/>
              <w:rPr>
                <w:rFonts w:ascii="宋体" w:hAnsi="宋体" w:cs="宋体" w:eastAsia="宋体" w:hint="default"/>
                <w:sz w:val="18"/>
                <w:szCs w:val="18"/>
              </w:rPr>
            </w:pPr>
            <w:r>
              <w:rPr>
                <w:rFonts w:ascii="宋体"/>
                <w:spacing w:val="-1"/>
                <w:sz w:val="18"/>
              </w:rPr>
              <w:t>756,680.98</w:t>
            </w:r>
          </w:p>
        </w:tc>
        <w:tc>
          <w:tcPr>
            <w:tcW w:w="1613" w:type="dxa"/>
            <w:tcBorders>
              <w:top w:val="nil" w:sz="6" w:space="0" w:color="auto"/>
              <w:left w:val="nil" w:sz="6" w:space="0" w:color="auto"/>
              <w:bottom w:val="nil" w:sz="6" w:space="0" w:color="auto"/>
              <w:right w:val="nil" w:sz="6" w:space="0" w:color="auto"/>
            </w:tcBorders>
          </w:tcPr>
          <w:p>
            <w:pPr>
              <w:pStyle w:val="TableParagraph"/>
              <w:spacing w:line="208" w:lineRule="exact"/>
              <w:ind w:right="183"/>
              <w:jc w:val="right"/>
              <w:rPr>
                <w:rFonts w:ascii="宋体" w:hAnsi="宋体" w:cs="宋体" w:eastAsia="宋体" w:hint="default"/>
                <w:sz w:val="18"/>
                <w:szCs w:val="18"/>
              </w:rPr>
            </w:pPr>
            <w:r>
              <w:rPr>
                <w:rFonts w:ascii="宋体"/>
                <w:sz w:val="18"/>
              </w:rPr>
              <w:t>0.00</w:t>
            </w:r>
          </w:p>
        </w:tc>
        <w:tc>
          <w:tcPr>
            <w:tcW w:w="1353" w:type="dxa"/>
            <w:tcBorders>
              <w:top w:val="nil" w:sz="6" w:space="0" w:color="auto"/>
              <w:left w:val="nil" w:sz="6" w:space="0" w:color="auto"/>
              <w:bottom w:val="nil" w:sz="6" w:space="0" w:color="auto"/>
              <w:right w:val="nil" w:sz="6" w:space="0" w:color="auto"/>
            </w:tcBorders>
          </w:tcPr>
          <w:p>
            <w:pPr>
              <w:pStyle w:val="TableParagraph"/>
              <w:spacing w:line="208" w:lineRule="exact"/>
              <w:ind w:right="84"/>
              <w:jc w:val="right"/>
              <w:rPr>
                <w:rFonts w:ascii="宋体" w:hAnsi="宋体" w:cs="宋体" w:eastAsia="宋体" w:hint="default"/>
                <w:sz w:val="18"/>
                <w:szCs w:val="18"/>
              </w:rPr>
            </w:pPr>
            <w:r>
              <w:rPr>
                <w:rFonts w:ascii="宋体"/>
                <w:sz w:val="18"/>
              </w:rPr>
              <w:t>0.00</w:t>
            </w:r>
          </w:p>
        </w:tc>
        <w:tc>
          <w:tcPr>
            <w:tcW w:w="651" w:type="dxa"/>
            <w:tcBorders>
              <w:top w:val="nil" w:sz="6" w:space="0" w:color="auto"/>
              <w:left w:val="nil" w:sz="6" w:space="0" w:color="auto"/>
              <w:bottom w:val="nil" w:sz="6" w:space="0" w:color="auto"/>
              <w:right w:val="nil" w:sz="6" w:space="0" w:color="auto"/>
            </w:tcBorders>
          </w:tcPr>
          <w:p>
            <w:pPr>
              <w:pStyle w:val="TableParagraph"/>
              <w:spacing w:line="208" w:lineRule="exact"/>
              <w:ind w:left="6" w:right="0"/>
              <w:jc w:val="center"/>
              <w:rPr>
                <w:rFonts w:ascii="宋体" w:hAnsi="宋体" w:cs="宋体" w:eastAsia="宋体" w:hint="default"/>
                <w:sz w:val="18"/>
                <w:szCs w:val="18"/>
              </w:rPr>
            </w:pPr>
            <w:r>
              <w:rPr>
                <w:rFonts w:ascii="宋体"/>
                <w:sz w:val="18"/>
              </w:rPr>
              <w:t>0.00</w:t>
            </w:r>
          </w:p>
        </w:tc>
        <w:tc>
          <w:tcPr>
            <w:tcW w:w="1458" w:type="dxa"/>
            <w:tcBorders>
              <w:top w:val="nil" w:sz="6" w:space="0" w:color="auto"/>
              <w:left w:val="nil" w:sz="6" w:space="0" w:color="auto"/>
              <w:bottom w:val="nil" w:sz="6" w:space="0" w:color="auto"/>
              <w:right w:val="nil" w:sz="6" w:space="0" w:color="auto"/>
            </w:tcBorders>
          </w:tcPr>
          <w:p>
            <w:pPr>
              <w:pStyle w:val="TableParagraph"/>
              <w:spacing w:line="208" w:lineRule="exact"/>
              <w:ind w:right="55"/>
              <w:jc w:val="right"/>
              <w:rPr>
                <w:rFonts w:ascii="宋体" w:hAnsi="宋体" w:cs="宋体" w:eastAsia="宋体" w:hint="default"/>
                <w:sz w:val="18"/>
                <w:szCs w:val="18"/>
              </w:rPr>
            </w:pPr>
            <w:r>
              <w:rPr>
                <w:rFonts w:ascii="宋体"/>
                <w:spacing w:val="-1"/>
                <w:sz w:val="18"/>
              </w:rPr>
              <w:t>756,680.98</w:t>
            </w:r>
          </w:p>
        </w:tc>
      </w:tr>
      <w:tr>
        <w:trPr>
          <w:trHeight w:val="469"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pacing w:val="12"/>
                <w:sz w:val="18"/>
                <w:szCs w:val="18"/>
              </w:rPr>
              <w:t>佛山市南海区联合广东新光源产</w:t>
            </w:r>
            <w:r>
              <w:rPr>
                <w:rFonts w:ascii="宋体" w:hAnsi="宋体" w:cs="宋体" w:eastAsia="宋体" w:hint="default"/>
                <w:sz w:val="18"/>
                <w:szCs w:val="18"/>
              </w:rPr>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业创新中心</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64"/>
              <w:jc w:val="right"/>
              <w:rPr>
                <w:rFonts w:ascii="宋体" w:hAnsi="宋体" w:cs="宋体" w:eastAsia="宋体" w:hint="default"/>
                <w:sz w:val="18"/>
                <w:szCs w:val="18"/>
              </w:rPr>
            </w:pPr>
            <w:r>
              <w:rPr>
                <w:rFonts w:ascii="宋体"/>
                <w:spacing w:val="-1"/>
                <w:sz w:val="18"/>
              </w:rPr>
              <w:t>691,735.71</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84"/>
              <w:jc w:val="right"/>
              <w:rPr>
                <w:rFonts w:ascii="宋体" w:hAnsi="宋体" w:cs="宋体" w:eastAsia="宋体" w:hint="default"/>
                <w:sz w:val="18"/>
                <w:szCs w:val="18"/>
              </w:rPr>
            </w:pPr>
            <w:r>
              <w:rPr>
                <w:rFonts w:ascii="宋体"/>
                <w:spacing w:val="-1"/>
                <w:sz w:val="18"/>
              </w:rPr>
              <w:t>1,684,376.29</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4"/>
              <w:jc w:val="right"/>
              <w:rPr>
                <w:rFonts w:ascii="宋体" w:hAnsi="宋体" w:cs="宋体" w:eastAsia="宋体" w:hint="default"/>
                <w:sz w:val="18"/>
                <w:szCs w:val="18"/>
              </w:rPr>
            </w:pPr>
            <w:r>
              <w:rPr>
                <w:rFonts w:ascii="宋体"/>
                <w:sz w:val="18"/>
              </w:rPr>
              <w:t>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 w:right="0"/>
              <w:jc w:val="center"/>
              <w:rPr>
                <w:rFonts w:ascii="宋体" w:hAnsi="宋体" w:cs="宋体" w:eastAsia="宋体" w:hint="default"/>
                <w:sz w:val="18"/>
                <w:szCs w:val="18"/>
              </w:rPr>
            </w:pPr>
            <w:r>
              <w:rPr>
                <w:rFonts w:ascii="宋体"/>
                <w:sz w:val="18"/>
              </w:rPr>
              <w:t>0.00</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2,376,112.00</w:t>
            </w:r>
          </w:p>
        </w:tc>
      </w:tr>
      <w:tr>
        <w:trPr>
          <w:trHeight w:val="270"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8"/>
                <w:szCs w:val="18"/>
              </w:rPr>
            </w:pPr>
            <w:r>
              <w:rPr>
                <w:rFonts w:ascii="宋体" w:hAnsi="宋体" w:cs="宋体" w:eastAsia="宋体" w:hint="default"/>
                <w:sz w:val="18"/>
                <w:szCs w:val="18"/>
              </w:rPr>
              <w:t>湖北银雨照明有限公司</w:t>
            </w:r>
          </w:p>
        </w:tc>
        <w:tc>
          <w:tcPr>
            <w:tcW w:w="1514" w:type="dxa"/>
            <w:tcBorders>
              <w:top w:val="nil" w:sz="6" w:space="0" w:color="auto"/>
              <w:left w:val="nil" w:sz="6" w:space="0" w:color="auto"/>
              <w:bottom w:val="nil" w:sz="6" w:space="0" w:color="auto"/>
              <w:right w:val="nil" w:sz="6" w:space="0" w:color="auto"/>
            </w:tcBorders>
          </w:tcPr>
          <w:p>
            <w:pPr>
              <w:pStyle w:val="TableParagraph"/>
              <w:spacing w:line="223" w:lineRule="exact"/>
              <w:ind w:right="164"/>
              <w:jc w:val="right"/>
              <w:rPr>
                <w:rFonts w:ascii="宋体" w:hAnsi="宋体" w:cs="宋体" w:eastAsia="宋体" w:hint="default"/>
                <w:sz w:val="18"/>
                <w:szCs w:val="18"/>
              </w:rPr>
            </w:pPr>
            <w:r>
              <w:rPr>
                <w:rFonts w:ascii="宋体"/>
                <w:spacing w:val="-1"/>
                <w:sz w:val="18"/>
              </w:rPr>
              <w:t>329,423.77</w:t>
            </w:r>
          </w:p>
        </w:tc>
        <w:tc>
          <w:tcPr>
            <w:tcW w:w="1613" w:type="dxa"/>
            <w:tcBorders>
              <w:top w:val="nil" w:sz="6" w:space="0" w:color="auto"/>
              <w:left w:val="nil" w:sz="6" w:space="0" w:color="auto"/>
              <w:bottom w:val="nil" w:sz="6" w:space="0" w:color="auto"/>
              <w:right w:val="nil" w:sz="6" w:space="0" w:color="auto"/>
            </w:tcBorders>
          </w:tcPr>
          <w:p>
            <w:pPr>
              <w:pStyle w:val="TableParagraph"/>
              <w:spacing w:line="223" w:lineRule="exact"/>
              <w:ind w:right="183"/>
              <w:jc w:val="right"/>
              <w:rPr>
                <w:rFonts w:ascii="宋体" w:hAnsi="宋体" w:cs="宋体" w:eastAsia="宋体" w:hint="default"/>
                <w:sz w:val="18"/>
                <w:szCs w:val="18"/>
              </w:rPr>
            </w:pPr>
            <w:r>
              <w:rPr>
                <w:rFonts w:ascii="宋体"/>
                <w:spacing w:val="-1"/>
                <w:sz w:val="18"/>
              </w:rPr>
              <w:t>-28,334.80</w:t>
            </w:r>
          </w:p>
        </w:tc>
        <w:tc>
          <w:tcPr>
            <w:tcW w:w="1353" w:type="dxa"/>
            <w:tcBorders>
              <w:top w:val="nil" w:sz="6" w:space="0" w:color="auto"/>
              <w:left w:val="nil" w:sz="6" w:space="0" w:color="auto"/>
              <w:bottom w:val="nil" w:sz="6" w:space="0" w:color="auto"/>
              <w:right w:val="nil" w:sz="6" w:space="0" w:color="auto"/>
            </w:tcBorders>
          </w:tcPr>
          <w:p>
            <w:pP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exact"/>
              <w:ind w:right="49"/>
              <w:jc w:val="center"/>
              <w:rPr>
                <w:rFonts w:ascii="宋体" w:hAnsi="宋体" w:cs="宋体" w:eastAsia="宋体" w:hint="default"/>
                <w:sz w:val="21"/>
                <w:szCs w:val="21"/>
              </w:rPr>
            </w:pPr>
            <w:r>
              <w:rPr>
                <w:rFonts w:ascii="宋体"/>
                <w:sz w:val="21"/>
              </w:rPr>
              <w:t>0.00</w:t>
            </w:r>
          </w:p>
        </w:tc>
        <w:tc>
          <w:tcPr>
            <w:tcW w:w="1458" w:type="dxa"/>
            <w:tcBorders>
              <w:top w:val="nil" w:sz="6" w:space="0" w:color="auto"/>
              <w:left w:val="nil" w:sz="6" w:space="0" w:color="auto"/>
              <w:bottom w:val="nil" w:sz="6" w:space="0" w:color="auto"/>
              <w:right w:val="nil" w:sz="6" w:space="0" w:color="auto"/>
            </w:tcBorders>
          </w:tcPr>
          <w:p>
            <w:pPr>
              <w:pStyle w:val="TableParagraph"/>
              <w:spacing w:line="223" w:lineRule="exact"/>
              <w:ind w:right="55"/>
              <w:jc w:val="right"/>
              <w:rPr>
                <w:rFonts w:ascii="宋体" w:hAnsi="宋体" w:cs="宋体" w:eastAsia="宋体" w:hint="default"/>
                <w:sz w:val="18"/>
                <w:szCs w:val="18"/>
              </w:rPr>
            </w:pPr>
            <w:r>
              <w:rPr>
                <w:rFonts w:ascii="宋体"/>
                <w:spacing w:val="-1"/>
                <w:sz w:val="18"/>
              </w:rPr>
              <w:t>301,088.97</w:t>
            </w:r>
          </w:p>
        </w:tc>
      </w:tr>
      <w:tr>
        <w:trPr>
          <w:trHeight w:val="235"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真明丽（北京）光电科技研究院</w:t>
            </w:r>
          </w:p>
        </w:tc>
        <w:tc>
          <w:tcPr>
            <w:tcW w:w="1514" w:type="dxa"/>
            <w:tcBorders>
              <w:top w:val="nil" w:sz="6" w:space="0" w:color="auto"/>
              <w:left w:val="nil" w:sz="6" w:space="0" w:color="auto"/>
              <w:bottom w:val="nil" w:sz="6" w:space="0" w:color="auto"/>
              <w:right w:val="nil" w:sz="6" w:space="0" w:color="auto"/>
            </w:tcBorders>
          </w:tcPr>
          <w:p>
            <w:pPr>
              <w:pStyle w:val="TableParagraph"/>
              <w:spacing w:line="208" w:lineRule="exact"/>
              <w:ind w:right="164"/>
              <w:jc w:val="right"/>
              <w:rPr>
                <w:rFonts w:ascii="宋体" w:hAnsi="宋体" w:cs="宋体" w:eastAsia="宋体" w:hint="default"/>
                <w:sz w:val="18"/>
                <w:szCs w:val="18"/>
              </w:rPr>
            </w:pPr>
            <w:r>
              <w:rPr>
                <w:rFonts w:ascii="宋体"/>
                <w:sz w:val="18"/>
              </w:rPr>
              <w:t>0.00</w:t>
            </w:r>
          </w:p>
        </w:tc>
        <w:tc>
          <w:tcPr>
            <w:tcW w:w="1613" w:type="dxa"/>
            <w:tcBorders>
              <w:top w:val="nil" w:sz="6" w:space="0" w:color="auto"/>
              <w:left w:val="nil" w:sz="6" w:space="0" w:color="auto"/>
              <w:bottom w:val="nil" w:sz="6" w:space="0" w:color="auto"/>
              <w:right w:val="nil" w:sz="6" w:space="0" w:color="auto"/>
            </w:tcBorders>
          </w:tcPr>
          <w:p>
            <w:pPr>
              <w:pStyle w:val="TableParagraph"/>
              <w:spacing w:line="208" w:lineRule="exact"/>
              <w:ind w:right="184"/>
              <w:jc w:val="right"/>
              <w:rPr>
                <w:rFonts w:ascii="宋体" w:hAnsi="宋体" w:cs="宋体" w:eastAsia="宋体" w:hint="default"/>
                <w:sz w:val="18"/>
                <w:szCs w:val="18"/>
              </w:rPr>
            </w:pPr>
            <w:r>
              <w:rPr>
                <w:rFonts w:ascii="宋体"/>
                <w:spacing w:val="-1"/>
                <w:sz w:val="18"/>
              </w:rPr>
              <w:t>419,360.22</w:t>
            </w:r>
          </w:p>
        </w:tc>
        <w:tc>
          <w:tcPr>
            <w:tcW w:w="1353" w:type="dxa"/>
            <w:tcBorders>
              <w:top w:val="nil" w:sz="6" w:space="0" w:color="auto"/>
              <w:left w:val="nil" w:sz="6" w:space="0" w:color="auto"/>
              <w:bottom w:val="nil" w:sz="6" w:space="0" w:color="auto"/>
              <w:right w:val="nil" w:sz="6" w:space="0" w:color="auto"/>
            </w:tcBorders>
          </w:tcPr>
          <w:p>
            <w:pPr>
              <w:pStyle w:val="TableParagraph"/>
              <w:spacing w:line="208" w:lineRule="exact"/>
              <w:ind w:right="84"/>
              <w:jc w:val="right"/>
              <w:rPr>
                <w:rFonts w:ascii="宋体" w:hAnsi="宋体" w:cs="宋体" w:eastAsia="宋体" w:hint="default"/>
                <w:sz w:val="18"/>
                <w:szCs w:val="18"/>
              </w:rPr>
            </w:pPr>
            <w:r>
              <w:rPr>
                <w:rFonts w:ascii="宋体"/>
                <w:sz w:val="18"/>
              </w:rPr>
              <w:t>0.00</w:t>
            </w:r>
          </w:p>
        </w:tc>
        <w:tc>
          <w:tcPr>
            <w:tcW w:w="651" w:type="dxa"/>
            <w:tcBorders>
              <w:top w:val="nil" w:sz="6" w:space="0" w:color="auto"/>
              <w:left w:val="nil" w:sz="6" w:space="0" w:color="auto"/>
              <w:bottom w:val="nil" w:sz="6" w:space="0" w:color="auto"/>
              <w:right w:val="nil" w:sz="6" w:space="0" w:color="auto"/>
            </w:tcBorders>
          </w:tcPr>
          <w:p>
            <w:pPr>
              <w:pStyle w:val="TableParagraph"/>
              <w:spacing w:line="208" w:lineRule="exact"/>
              <w:ind w:left="6" w:right="0"/>
              <w:jc w:val="center"/>
              <w:rPr>
                <w:rFonts w:ascii="宋体" w:hAnsi="宋体" w:cs="宋体" w:eastAsia="宋体" w:hint="default"/>
                <w:sz w:val="18"/>
                <w:szCs w:val="18"/>
              </w:rPr>
            </w:pPr>
            <w:r>
              <w:rPr>
                <w:rFonts w:ascii="宋体"/>
                <w:sz w:val="18"/>
              </w:rPr>
              <w:t>0.00</w:t>
            </w:r>
          </w:p>
        </w:tc>
        <w:tc>
          <w:tcPr>
            <w:tcW w:w="1458" w:type="dxa"/>
            <w:tcBorders>
              <w:top w:val="nil" w:sz="6" w:space="0" w:color="auto"/>
              <w:left w:val="nil" w:sz="6" w:space="0" w:color="auto"/>
              <w:bottom w:val="nil" w:sz="6" w:space="0" w:color="auto"/>
              <w:right w:val="nil" w:sz="6" w:space="0" w:color="auto"/>
            </w:tcBorders>
          </w:tcPr>
          <w:p>
            <w:pPr>
              <w:pStyle w:val="TableParagraph"/>
              <w:spacing w:line="208" w:lineRule="exact"/>
              <w:ind w:right="55"/>
              <w:jc w:val="right"/>
              <w:rPr>
                <w:rFonts w:ascii="宋体" w:hAnsi="宋体" w:cs="宋体" w:eastAsia="宋体" w:hint="default"/>
                <w:sz w:val="18"/>
                <w:szCs w:val="18"/>
              </w:rPr>
            </w:pPr>
            <w:r>
              <w:rPr>
                <w:rFonts w:ascii="宋体"/>
                <w:spacing w:val="-1"/>
                <w:sz w:val="18"/>
              </w:rPr>
              <w:t>419,360.22</w:t>
            </w:r>
          </w:p>
        </w:tc>
      </w:tr>
      <w:tr>
        <w:trPr>
          <w:trHeight w:val="469"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207" w:lineRule="exact"/>
              <w:ind w:left="108" w:right="0"/>
              <w:jc w:val="left"/>
              <w:rPr>
                <w:rFonts w:ascii="宋体" w:hAnsi="宋体" w:cs="宋体" w:eastAsia="宋体" w:hint="default"/>
                <w:sz w:val="18"/>
                <w:szCs w:val="18"/>
              </w:rPr>
            </w:pPr>
            <w:r>
              <w:rPr>
                <w:rFonts w:ascii="宋体" w:hAnsi="宋体" w:cs="宋体" w:eastAsia="宋体" w:hint="default"/>
                <w:sz w:val="18"/>
                <w:szCs w:val="18"/>
              </w:rPr>
              <w:t>太极华方（北京）系统工程有限公</w:t>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4"/>
              <w:jc w:val="right"/>
              <w:rPr>
                <w:rFonts w:ascii="宋体" w:hAnsi="宋体" w:cs="宋体" w:eastAsia="宋体" w:hint="default"/>
                <w:sz w:val="18"/>
                <w:szCs w:val="18"/>
              </w:rPr>
            </w:pPr>
            <w:r>
              <w:rPr>
                <w:rFonts w:ascii="宋体"/>
                <w:sz w:val="18"/>
              </w:rPr>
              <w:t>0.00</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84"/>
              <w:jc w:val="right"/>
              <w:rPr>
                <w:rFonts w:ascii="宋体" w:hAnsi="宋体" w:cs="宋体" w:eastAsia="宋体" w:hint="default"/>
                <w:sz w:val="18"/>
                <w:szCs w:val="18"/>
              </w:rPr>
            </w:pPr>
            <w:r>
              <w:rPr>
                <w:rFonts w:ascii="宋体"/>
                <w:spacing w:val="-1"/>
                <w:sz w:val="18"/>
              </w:rPr>
              <w:t>1,000,000.00</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84"/>
              <w:jc w:val="right"/>
              <w:rPr>
                <w:rFonts w:ascii="宋体" w:hAnsi="宋体" w:cs="宋体" w:eastAsia="宋体" w:hint="default"/>
                <w:sz w:val="18"/>
                <w:szCs w:val="18"/>
              </w:rPr>
            </w:pPr>
            <w:r>
              <w:rPr>
                <w:rFonts w:ascii="宋体"/>
                <w:sz w:val="18"/>
              </w:rPr>
              <w:t>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 w:right="0"/>
              <w:jc w:val="center"/>
              <w:rPr>
                <w:rFonts w:ascii="宋体" w:hAnsi="宋体" w:cs="宋体" w:eastAsia="宋体" w:hint="default"/>
                <w:sz w:val="18"/>
                <w:szCs w:val="18"/>
              </w:rPr>
            </w:pPr>
            <w:r>
              <w:rPr>
                <w:rFonts w:ascii="宋体"/>
                <w:sz w:val="18"/>
              </w:rPr>
              <w:t>0.00</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5"/>
              <w:jc w:val="right"/>
              <w:rPr>
                <w:rFonts w:ascii="宋体" w:hAnsi="宋体" w:cs="宋体" w:eastAsia="宋体" w:hint="default"/>
                <w:sz w:val="18"/>
                <w:szCs w:val="18"/>
              </w:rPr>
            </w:pPr>
            <w:r>
              <w:rPr>
                <w:rFonts w:ascii="宋体"/>
                <w:spacing w:val="-1"/>
                <w:sz w:val="18"/>
              </w:rPr>
              <w:t>1,000,000.00</w:t>
            </w:r>
          </w:p>
        </w:tc>
      </w:tr>
      <w:tr>
        <w:trPr>
          <w:trHeight w:val="439" w:hRule="exact"/>
        </w:trPr>
        <w:tc>
          <w:tcPr>
            <w:tcW w:w="2893" w:type="dxa"/>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光环有云（北京）网络服务有限公</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4"/>
              <w:jc w:val="right"/>
              <w:rPr>
                <w:rFonts w:ascii="宋体" w:hAnsi="宋体" w:cs="宋体" w:eastAsia="宋体" w:hint="default"/>
                <w:sz w:val="18"/>
                <w:szCs w:val="18"/>
              </w:rPr>
            </w:pPr>
            <w:r>
              <w:rPr>
                <w:rFonts w:ascii="宋体"/>
                <w:sz w:val="18"/>
              </w:rPr>
              <w:t>0.00</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83"/>
              <w:jc w:val="right"/>
              <w:rPr>
                <w:rFonts w:ascii="宋体" w:hAnsi="宋体" w:cs="宋体" w:eastAsia="宋体" w:hint="default"/>
                <w:sz w:val="18"/>
                <w:szCs w:val="18"/>
              </w:rPr>
            </w:pPr>
            <w:r>
              <w:rPr>
                <w:rFonts w:ascii="宋体"/>
                <w:sz w:val="18"/>
              </w:rPr>
              <w:t>0.00</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4"/>
              <w:jc w:val="right"/>
              <w:rPr>
                <w:rFonts w:ascii="宋体" w:hAnsi="宋体" w:cs="宋体" w:eastAsia="宋体" w:hint="default"/>
                <w:sz w:val="18"/>
                <w:szCs w:val="18"/>
              </w:rPr>
            </w:pPr>
            <w:r>
              <w:rPr>
                <w:rFonts w:ascii="宋体"/>
                <w:spacing w:val="-1"/>
                <w:sz w:val="18"/>
              </w:rPr>
              <w:t>1,500,000.00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6" w:right="0"/>
              <w:jc w:val="center"/>
              <w:rPr>
                <w:rFonts w:ascii="宋体" w:hAnsi="宋体" w:cs="宋体" w:eastAsia="宋体" w:hint="default"/>
                <w:sz w:val="18"/>
                <w:szCs w:val="18"/>
              </w:rPr>
            </w:pPr>
            <w:r>
              <w:rPr>
                <w:rFonts w:ascii="宋体"/>
                <w:sz w:val="18"/>
              </w:rPr>
              <w:t>0.00</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5"/>
              <w:jc w:val="right"/>
              <w:rPr>
                <w:rFonts w:ascii="宋体" w:hAnsi="宋体" w:cs="宋体" w:eastAsia="宋体" w:hint="default"/>
                <w:sz w:val="18"/>
                <w:szCs w:val="18"/>
              </w:rPr>
            </w:pPr>
            <w:r>
              <w:rPr>
                <w:rFonts w:ascii="宋体"/>
                <w:spacing w:val="-1"/>
                <w:sz w:val="18"/>
              </w:rPr>
              <w:t>1,500,000.00</w:t>
            </w:r>
          </w:p>
        </w:tc>
      </w:tr>
    </w:tbl>
    <w:p>
      <w:pPr>
        <w:spacing w:after="0" w:line="240" w:lineRule="auto"/>
        <w:jc w:val="right"/>
        <w:rPr>
          <w:rFonts w:ascii="宋体" w:hAnsi="宋体" w:cs="宋体" w:eastAsia="宋体" w:hint="default"/>
          <w:sz w:val="18"/>
          <w:szCs w:val="18"/>
        </w:rPr>
        <w:sectPr>
          <w:type w:val="continuous"/>
          <w:pgSz w:w="11910" w:h="16840"/>
          <w:pgMar w:top="1000" w:bottom="280" w:left="1100" w:right="1100"/>
        </w:sectPr>
      </w:pPr>
    </w:p>
    <w:p>
      <w:pPr>
        <w:spacing w:line="240" w:lineRule="auto" w:before="4"/>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907"/>
        <w:gridCol w:w="1508"/>
        <w:gridCol w:w="1613"/>
        <w:gridCol w:w="1358"/>
        <w:gridCol w:w="647"/>
        <w:gridCol w:w="1463"/>
      </w:tblGrid>
      <w:tr>
        <w:trPr>
          <w:trHeight w:val="257" w:hRule="exact"/>
        </w:trPr>
        <w:tc>
          <w:tcPr>
            <w:tcW w:w="9496" w:type="dxa"/>
            <w:gridSpan w:val="6"/>
            <w:tcBorders>
              <w:top w:val="single" w:sz="12" w:space="0" w:color="000000"/>
              <w:left w:val="nil" w:sz="6" w:space="0" w:color="auto"/>
              <w:bottom w:val="nil" w:sz="6" w:space="0" w:color="auto"/>
              <w:right w:val="nil" w:sz="6" w:space="0" w:color="auto"/>
            </w:tcBorders>
          </w:tcPr>
          <w:p>
            <w:pPr>
              <w:pStyle w:val="TableParagraph"/>
              <w:spacing w:line="205" w:lineRule="exact"/>
              <w:ind w:left="5840"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r>
      <w:tr>
        <w:trPr>
          <w:trHeight w:val="478" w:hRule="exact"/>
        </w:trPr>
        <w:tc>
          <w:tcPr>
            <w:tcW w:w="2907" w:type="dxa"/>
            <w:tcBorders>
              <w:top w:val="nil" w:sz="6" w:space="0" w:color="auto"/>
              <w:left w:val="nil" w:sz="6" w:space="0" w:color="auto"/>
              <w:bottom w:val="single" w:sz="4" w:space="0" w:color="000000"/>
              <w:right w:val="nil" w:sz="6" w:space="0" w:color="auto"/>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508"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364"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613"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356"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358" w:type="dxa"/>
            <w:tcBorders>
              <w:top w:val="single" w:sz="4" w:space="0" w:color="000000"/>
              <w:left w:val="nil" w:sz="6" w:space="0" w:color="auto"/>
              <w:bottom w:val="single" w:sz="4" w:space="0" w:color="000000"/>
              <w:right w:val="nil" w:sz="6" w:space="0" w:color="auto"/>
            </w:tcBorders>
          </w:tcPr>
          <w:p>
            <w:pPr>
              <w:pStyle w:val="TableParagraph"/>
              <w:spacing w:line="206" w:lineRule="exact"/>
              <w:ind w:right="155"/>
              <w:jc w:val="center"/>
              <w:rPr>
                <w:rFonts w:ascii="宋体" w:hAnsi="宋体" w:cs="宋体" w:eastAsia="宋体" w:hint="default"/>
                <w:sz w:val="18"/>
                <w:szCs w:val="18"/>
              </w:rPr>
            </w:pPr>
            <w:r>
              <w:rPr>
                <w:rFonts w:ascii="宋体" w:hAnsi="宋体" w:cs="宋体" w:eastAsia="宋体" w:hint="default"/>
                <w:b/>
                <w:bCs/>
                <w:sz w:val="18"/>
                <w:szCs w:val="18"/>
              </w:rPr>
              <w:t>合并范围</w:t>
            </w:r>
            <w:r>
              <w:rPr>
                <w:rFonts w:ascii="宋体" w:hAnsi="宋体" w:cs="宋体" w:eastAsia="宋体" w:hint="default"/>
                <w:sz w:val="18"/>
                <w:szCs w:val="18"/>
              </w:rPr>
            </w:r>
          </w:p>
          <w:p>
            <w:pPr>
              <w:pStyle w:val="TableParagraph"/>
              <w:spacing w:line="240" w:lineRule="auto"/>
              <w:ind w:right="152"/>
              <w:jc w:val="center"/>
              <w:rPr>
                <w:rFonts w:ascii="宋体" w:hAnsi="宋体" w:cs="宋体" w:eastAsia="宋体" w:hint="default"/>
                <w:sz w:val="18"/>
                <w:szCs w:val="18"/>
              </w:rPr>
            </w:pPr>
            <w:r>
              <w:rPr>
                <w:rFonts w:ascii="宋体" w:hAnsi="宋体" w:cs="宋体" w:eastAsia="宋体" w:hint="default"/>
                <w:b/>
                <w:bCs/>
                <w:sz w:val="18"/>
                <w:szCs w:val="18"/>
              </w:rPr>
              <w:t>变化</w:t>
            </w:r>
            <w:r>
              <w:rPr>
                <w:rFonts w:ascii="宋体" w:hAnsi="宋体" w:cs="宋体" w:eastAsia="宋体" w:hint="default"/>
                <w:sz w:val="18"/>
                <w:szCs w:val="18"/>
              </w:rPr>
            </w:r>
          </w:p>
        </w:tc>
        <w:tc>
          <w:tcPr>
            <w:tcW w:w="647" w:type="dxa"/>
            <w:tcBorders>
              <w:top w:val="single" w:sz="4" w:space="0" w:color="000000"/>
              <w:left w:val="nil" w:sz="6" w:space="0" w:color="auto"/>
              <w:bottom w:val="single" w:sz="4" w:space="0" w:color="000000"/>
              <w:right w:val="nil" w:sz="6" w:space="0" w:color="auto"/>
            </w:tcBorders>
          </w:tcPr>
          <w:p>
            <w:pPr>
              <w:pStyle w:val="TableParagraph"/>
              <w:spacing w:line="206" w:lineRule="exact"/>
              <w:ind w:left="86" w:right="0"/>
              <w:jc w:val="lef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b/>
                <w:bCs/>
                <w:sz w:val="18"/>
                <w:szCs w:val="18"/>
              </w:rPr>
              <w:t>减少</w:t>
            </w:r>
            <w:r>
              <w:rPr>
                <w:rFonts w:ascii="宋体" w:hAnsi="宋体" w:cs="宋体" w:eastAsia="宋体" w:hint="default"/>
                <w:sz w:val="18"/>
                <w:szCs w:val="18"/>
              </w:rPr>
            </w:r>
          </w:p>
        </w:tc>
        <w:tc>
          <w:tcPr>
            <w:tcW w:w="1463"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32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487" w:hRule="exact"/>
        </w:trPr>
        <w:tc>
          <w:tcPr>
            <w:tcW w:w="2907"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08"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left="256" w:right="0"/>
              <w:jc w:val="left"/>
              <w:rPr>
                <w:rFonts w:ascii="宋体" w:hAnsi="宋体" w:cs="宋体" w:eastAsia="宋体" w:hint="default"/>
                <w:sz w:val="18"/>
                <w:szCs w:val="18"/>
              </w:rPr>
            </w:pPr>
            <w:r>
              <w:rPr>
                <w:rFonts w:ascii="宋体"/>
                <w:b/>
                <w:sz w:val="18"/>
              </w:rPr>
              <w:t>1,777,840.46</w:t>
            </w:r>
            <w:r>
              <w:rPr>
                <w:rFonts w:ascii="宋体"/>
                <w:sz w:val="18"/>
              </w:rPr>
            </w:r>
          </w:p>
        </w:tc>
        <w:tc>
          <w:tcPr>
            <w:tcW w:w="1613"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left="162" w:right="0"/>
              <w:jc w:val="left"/>
              <w:rPr>
                <w:rFonts w:ascii="宋体" w:hAnsi="宋体" w:cs="宋体" w:eastAsia="宋体" w:hint="default"/>
                <w:sz w:val="18"/>
                <w:szCs w:val="18"/>
              </w:rPr>
            </w:pPr>
            <w:r>
              <w:rPr>
                <w:rFonts w:ascii="宋体"/>
                <w:b/>
                <w:sz w:val="18"/>
              </w:rPr>
              <w:t>312,710,141.09</w:t>
            </w:r>
            <w:r>
              <w:rPr>
                <w:rFonts w:ascii="宋体"/>
                <w:sz w:val="18"/>
              </w:rPr>
            </w:r>
          </w:p>
        </w:tc>
        <w:tc>
          <w:tcPr>
            <w:tcW w:w="1358"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left="181" w:right="0"/>
              <w:jc w:val="left"/>
              <w:rPr>
                <w:rFonts w:ascii="宋体" w:hAnsi="宋体" w:cs="宋体" w:eastAsia="宋体" w:hint="default"/>
                <w:sz w:val="18"/>
                <w:szCs w:val="18"/>
              </w:rPr>
            </w:pPr>
            <w:r>
              <w:rPr>
                <w:rFonts w:ascii="宋体"/>
                <w:b/>
                <w:sz w:val="18"/>
              </w:rPr>
              <w:t>1,500,000.00</w:t>
            </w:r>
            <w:r>
              <w:rPr>
                <w:rFonts w:ascii="宋体"/>
                <w:sz w:val="18"/>
              </w:rPr>
            </w:r>
          </w:p>
        </w:tc>
        <w:tc>
          <w:tcPr>
            <w:tcW w:w="647"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6" w:right="0"/>
              <w:jc w:val="left"/>
              <w:rPr>
                <w:rFonts w:ascii="宋体" w:hAnsi="宋体" w:cs="宋体" w:eastAsia="宋体" w:hint="default"/>
                <w:sz w:val="18"/>
                <w:szCs w:val="18"/>
              </w:rPr>
            </w:pPr>
            <w:r>
              <w:rPr>
                <w:rFonts w:ascii="宋体"/>
                <w:b/>
                <w:sz w:val="18"/>
              </w:rPr>
              <w:t>0.00</w:t>
            </w:r>
            <w:r>
              <w:rPr>
                <w:rFonts w:ascii="宋体"/>
                <w:sz w:val="18"/>
              </w:rPr>
            </w:r>
          </w:p>
        </w:tc>
        <w:tc>
          <w:tcPr>
            <w:tcW w:w="1463"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left="135" w:right="0"/>
              <w:jc w:val="left"/>
              <w:rPr>
                <w:rFonts w:ascii="宋体" w:hAnsi="宋体" w:cs="宋体" w:eastAsia="宋体" w:hint="default"/>
                <w:sz w:val="18"/>
                <w:szCs w:val="18"/>
              </w:rPr>
            </w:pPr>
            <w:r>
              <w:rPr>
                <w:rFonts w:ascii="宋体"/>
                <w:b/>
                <w:sz w:val="18"/>
              </w:rPr>
              <w:t>315,987,981.55</w:t>
            </w:r>
            <w:r>
              <w:rPr>
                <w:rFonts w:ascii="宋体"/>
                <w:sz w:val="18"/>
              </w:rPr>
            </w:r>
          </w:p>
        </w:tc>
      </w:tr>
    </w:tbl>
    <w:p>
      <w:pPr>
        <w:spacing w:after="0" w:line="240" w:lineRule="auto"/>
        <w:jc w:val="left"/>
        <w:rPr>
          <w:rFonts w:ascii="宋体" w:hAnsi="宋体" w:cs="宋体" w:eastAsia="宋体" w:hint="default"/>
          <w:sz w:val="18"/>
          <w:szCs w:val="18"/>
        </w:rPr>
        <w:sectPr>
          <w:footerReference w:type="default" r:id="rId35"/>
          <w:pgSz w:w="11910" w:h="16840"/>
          <w:pgMar w:footer="1034" w:header="0" w:top="1320" w:bottom="1220" w:left="1100" w:right="1100"/>
        </w:sectPr>
      </w:pPr>
    </w:p>
    <w:p>
      <w:pPr>
        <w:spacing w:before="6"/>
        <w:ind w:left="90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10.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长期应收款</w:t>
      </w:r>
    </w:p>
    <w:p>
      <w:pPr>
        <w:spacing w:line="240" w:lineRule="auto" w:before="6"/>
        <w:rPr>
          <w:rFonts w:ascii="宋体" w:hAnsi="宋体" w:cs="宋体" w:eastAsia="宋体" w:hint="default"/>
          <w:sz w:val="11"/>
          <w:szCs w:val="11"/>
        </w:rPr>
      </w:pPr>
    </w:p>
    <w:p>
      <w:pPr>
        <w:spacing w:line="28" w:lineRule="exact"/>
        <w:ind w:left="10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64.85pt;height:1.45pt;mso-position-horizontal-relative:char;mso-position-vertical-relative:line" coordorigin="0,0" coordsize="9297,29">
            <v:group style="position:absolute;left:14;top:14;width:1436;height:2" coordorigin="14,14" coordsize="1436,2">
              <v:shape style="position:absolute;left:14;top:14;width:1436;height:2" coordorigin="14,14" coordsize="1436,0" path="m14,14l1450,14e" filled="false" stroked="true" strokeweight="1.44pt" strokecolor="#000000">
                <v:path arrowok="t"/>
              </v:shape>
            </v:group>
            <v:group style="position:absolute;left:1450;top:14;width:29;height:2" coordorigin="1450,14" coordsize="29,2">
              <v:shape style="position:absolute;left:1450;top:14;width:29;height:2" coordorigin="1450,14" coordsize="29,0" path="m1450,14l1478,14e" filled="false" stroked="true" strokeweight="1.44pt" strokecolor="#000000">
                <v:path arrowok="t"/>
              </v:shape>
            </v:group>
            <v:group style="position:absolute;left:1478;top:14;width:3882;height:2" coordorigin="1478,14" coordsize="3882,2">
              <v:shape style="position:absolute;left:1478;top:14;width:3882;height:2" coordorigin="1478,14" coordsize="3882,0" path="m1478,14l5360,14e" filled="false" stroked="true" strokeweight="1.44pt" strokecolor="#000000">
                <v:path arrowok="t"/>
              </v:shape>
            </v:group>
            <v:group style="position:absolute;left:5360;top:14;width:29;height:2" coordorigin="5360,14" coordsize="29,2">
              <v:shape style="position:absolute;left:5360;top:14;width:29;height:2" coordorigin="5360,14" coordsize="29,0" path="m5360,14l5389,14e" filled="false" stroked="true" strokeweight="1.44pt" strokecolor="#000000">
                <v:path arrowok="t"/>
              </v:shape>
            </v:group>
            <v:group style="position:absolute;left:5389;top:14;width:3894;height:2" coordorigin="5389,14" coordsize="3894,2">
              <v:shape style="position:absolute;left:5389;top:14;width:3894;height:2" coordorigin="5389,14" coordsize="3894,0" path="m5389,14l9282,14e" filled="false" stroked="true" strokeweight="1.44pt" strokecolor="#000000">
                <v:path arrowok="t"/>
              </v:shape>
            </v:group>
          </v:group>
        </w:pict>
      </w:r>
      <w:r>
        <w:rPr>
          <w:rFonts w:ascii="宋体" w:hAnsi="宋体" w:cs="宋体" w:eastAsia="宋体" w:hint="default"/>
          <w:position w:val="0"/>
          <w:sz w:val="2"/>
          <w:szCs w:val="2"/>
        </w:rPr>
      </w:r>
    </w:p>
    <w:p>
      <w:pPr>
        <w:tabs>
          <w:tab w:pos="7066" w:val="left" w:leader="none"/>
        </w:tabs>
        <w:spacing w:before="4"/>
        <w:ind w:left="3152" w:right="0" w:firstLine="0"/>
        <w:jc w:val="left"/>
        <w:rPr>
          <w:rFonts w:ascii="宋体" w:hAnsi="宋体" w:cs="宋体" w:eastAsia="宋体" w:hint="default"/>
          <w:sz w:val="18"/>
          <w:szCs w:val="18"/>
        </w:rPr>
      </w:pP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92" w:lineRule="exact" w:before="4"/>
        <w:ind w:left="149" w:right="0" w:firstLine="0"/>
        <w:jc w:val="left"/>
        <w:rPr>
          <w:rFonts w:ascii="宋体" w:hAnsi="宋体" w:cs="宋体" w:eastAsia="宋体" w:hint="default"/>
          <w:sz w:val="18"/>
          <w:szCs w:val="18"/>
        </w:rPr>
      </w:pPr>
      <w:r>
        <w:rPr/>
        <w:pict>
          <v:group style="position:absolute;margin-left:137.660004pt;margin-top:3.031704pt;width:392.15pt;height:.5pt;mso-position-horizontal-relative:page;mso-position-vertical-relative:paragraph;z-index:3712" coordorigin="2753,61" coordsize="7843,10">
            <v:group style="position:absolute;left:2758;top:65;width:1602;height:2" coordorigin="2758,65" coordsize="1602,2">
              <v:shape style="position:absolute;left:2758;top:65;width:1602;height:2" coordorigin="2758,65" coordsize="1602,0" path="m2758,65l4359,65e" filled="false" stroked="true" strokeweight=".48pt" strokecolor="#000000">
                <v:path arrowok="t"/>
              </v:shape>
            </v:group>
            <v:group style="position:absolute;left:4359;top:65;width:10;height:2" coordorigin="4359,65" coordsize="10,2">
              <v:shape style="position:absolute;left:4359;top:65;width:10;height:2" coordorigin="4359,65" coordsize="10,0" path="m4359,65l4369,65e" filled="false" stroked="true" strokeweight=".48pt" strokecolor="#000000">
                <v:path arrowok="t"/>
              </v:shape>
            </v:group>
            <v:group style="position:absolute;left:4369;top:65;width:696;height:2" coordorigin="4369,65" coordsize="696,2">
              <v:shape style="position:absolute;left:4369;top:65;width:696;height:2" coordorigin="4369,65" coordsize="696,0" path="m4369,65l5065,65e" filled="false" stroked="true" strokeweight=".48pt" strokecolor="#000000">
                <v:path arrowok="t"/>
              </v:shape>
            </v:group>
            <v:group style="position:absolute;left:5065;top:65;width:10;height:2" coordorigin="5065,65" coordsize="10,2">
              <v:shape style="position:absolute;left:5065;top:65;width:10;height:2" coordorigin="5065,65" coordsize="10,0" path="m5065,65l5075,65e" filled="false" stroked="true" strokeweight=".48pt" strokecolor="#000000">
                <v:path arrowok="t"/>
              </v:shape>
            </v:group>
            <v:group style="position:absolute;left:5075;top:65;width:1595;height:2" coordorigin="5075,65" coordsize="1595,2">
              <v:shape style="position:absolute;left:5075;top:65;width:1595;height:2" coordorigin="5075,65" coordsize="1595,0" path="m5075,65l6669,65e" filled="false" stroked="true" strokeweight=".48pt" strokecolor="#000000">
                <v:path arrowok="t"/>
              </v:shape>
            </v:group>
            <v:group style="position:absolute;left:6669;top:65;width:10;height:2" coordorigin="6669,65" coordsize="10,2">
              <v:shape style="position:absolute;left:6669;top:65;width:10;height:2" coordorigin="6669,65" coordsize="10,0" path="m6669,65l6678,65e" filled="false" stroked="true" strokeweight=".48pt" strokecolor="#000000">
                <v:path arrowok="t"/>
              </v:shape>
            </v:group>
            <v:group style="position:absolute;left:6678;top:65;width:1589;height:2" coordorigin="6678,65" coordsize="1589,2">
              <v:shape style="position:absolute;left:6678;top:65;width:1589;height:2" coordorigin="6678,65" coordsize="1589,0" path="m6678,65l8267,65e" filled="false" stroked="true" strokeweight=".48pt" strokecolor="#000000">
                <v:path arrowok="t"/>
              </v:shape>
            </v:group>
            <v:group style="position:absolute;left:8267;top:65;width:10;height:2" coordorigin="8267,65" coordsize="10,2">
              <v:shape style="position:absolute;left:8267;top:65;width:10;height:2" coordorigin="8267,65" coordsize="10,0" path="m8267,65l8277,65e" filled="false" stroked="true" strokeweight=".48pt" strokecolor="#000000">
                <v:path arrowok="t"/>
              </v:shape>
            </v:group>
            <v:group style="position:absolute;left:8277;top:65;width:711;height:2" coordorigin="8277,65" coordsize="711,2">
              <v:shape style="position:absolute;left:8277;top:65;width:711;height:2" coordorigin="8277,65" coordsize="711,0" path="m8277,65l8987,65e" filled="false" stroked="true" strokeweight=".48pt" strokecolor="#000000">
                <v:path arrowok="t"/>
              </v:shape>
            </v:group>
            <v:group style="position:absolute;left:8988;top:65;width:10;height:2" coordorigin="8988,65" coordsize="10,2">
              <v:shape style="position:absolute;left:8988;top:65;width:10;height:2" coordorigin="8988,65" coordsize="10,0" path="m8988,65l8997,65e" filled="false" stroked="true" strokeweight=".48pt" strokecolor="#000000">
                <v:path arrowok="t"/>
              </v:shape>
            </v:group>
            <v:group style="position:absolute;left:8997;top:65;width:1594;height:2" coordorigin="8997,65" coordsize="1594,2">
              <v:shape style="position:absolute;left:8997;top:65;width:1594;height:2" coordorigin="8997,65" coordsize="1594,0" path="m8997,65l10591,65e" filled="false" stroked="true" strokeweight=".48pt" strokecolor="#000000">
                <v:path arrowok="t"/>
              </v:shape>
            </v:group>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spacing w:after="0" w:line="92" w:lineRule="exact"/>
        <w:jc w:val="left"/>
        <w:rPr>
          <w:rFonts w:ascii="宋体" w:hAnsi="宋体" w:cs="宋体" w:eastAsia="宋体" w:hint="default"/>
          <w:sz w:val="18"/>
          <w:szCs w:val="18"/>
        </w:rPr>
        <w:sectPr>
          <w:footerReference w:type="default" r:id="rId36"/>
          <w:pgSz w:w="11910" w:h="16840"/>
          <w:pgMar w:footer="1034" w:header="0" w:top="1420" w:bottom="1220" w:left="1200" w:right="1200"/>
        </w:sectPr>
      </w:pPr>
    </w:p>
    <w:p>
      <w:pPr>
        <w:tabs>
          <w:tab w:pos="3240" w:val="left" w:leader="none"/>
        </w:tabs>
        <w:spacing w:line="295" w:lineRule="exact" w:before="0"/>
        <w:ind w:left="1997" w:right="-19" w:firstLine="0"/>
        <w:jc w:val="left"/>
        <w:rPr>
          <w:rFonts w:ascii="宋体" w:hAnsi="宋体" w:cs="宋体" w:eastAsia="宋体" w:hint="default"/>
          <w:sz w:val="18"/>
          <w:szCs w:val="18"/>
        </w:rPr>
      </w:pPr>
      <w:r>
        <w:rPr/>
        <w:pict>
          <v:shape style="position:absolute;margin-left:66.143997pt;margin-top:11.64pt;width:463.4pt;height:98.6pt;mso-position-horizontal-relative:page;mso-position-vertical-relative:paragraph;z-index:37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54"/>
                    <w:gridCol w:w="638"/>
                    <w:gridCol w:w="1601"/>
                    <w:gridCol w:w="1673"/>
                    <w:gridCol w:w="646"/>
                    <w:gridCol w:w="1556"/>
                  </w:tblGrid>
                  <w:tr>
                    <w:trPr>
                      <w:trHeight w:val="212" w:hRule="exact"/>
                    </w:trPr>
                    <w:tc>
                      <w:tcPr>
                        <w:tcW w:w="3154" w:type="dxa"/>
                        <w:tcBorders>
                          <w:top w:val="nil" w:sz="6" w:space="0" w:color="auto"/>
                          <w:left w:val="nil" w:sz="6" w:space="0" w:color="auto"/>
                          <w:bottom w:val="single" w:sz="4" w:space="0" w:color="000000"/>
                          <w:right w:val="nil" w:sz="6" w:space="0" w:color="auto"/>
                        </w:tcBorders>
                      </w:tcPr>
                      <w:p>
                        <w:pPr/>
                      </w:p>
                    </w:tc>
                    <w:tc>
                      <w:tcPr>
                        <w:tcW w:w="638" w:type="dxa"/>
                        <w:tcBorders>
                          <w:top w:val="nil" w:sz="6" w:space="0" w:color="auto"/>
                          <w:left w:val="nil" w:sz="6" w:space="0" w:color="auto"/>
                          <w:bottom w:val="single" w:sz="4" w:space="0" w:color="000000"/>
                          <w:right w:val="nil" w:sz="6" w:space="0" w:color="auto"/>
                        </w:tcBorders>
                      </w:tcPr>
                      <w:p>
                        <w:pPr>
                          <w:pStyle w:val="TableParagraph"/>
                          <w:spacing w:line="180" w:lineRule="exact"/>
                          <w:ind w:left="146" w:right="0"/>
                          <w:jc w:val="left"/>
                          <w:rPr>
                            <w:rFonts w:ascii="宋体" w:hAnsi="宋体" w:cs="宋体" w:eastAsia="宋体" w:hint="default"/>
                            <w:sz w:val="18"/>
                            <w:szCs w:val="18"/>
                          </w:rPr>
                        </w:pPr>
                        <w:r>
                          <w:rPr>
                            <w:rFonts w:ascii="宋体" w:hAnsi="宋体" w:cs="宋体" w:eastAsia="宋体" w:hint="default"/>
                            <w:b/>
                            <w:bCs/>
                            <w:w w:val="99"/>
                            <w:sz w:val="18"/>
                            <w:szCs w:val="18"/>
                          </w:rPr>
                          <w:t>备</w:t>
                        </w:r>
                        <w:r>
                          <w:rPr>
                            <w:rFonts w:ascii="宋体" w:hAnsi="宋体" w:cs="宋体" w:eastAsia="宋体" w:hint="default"/>
                            <w:sz w:val="18"/>
                            <w:szCs w:val="18"/>
                          </w:rPr>
                        </w:r>
                      </w:p>
                    </w:tc>
                    <w:tc>
                      <w:tcPr>
                        <w:tcW w:w="1601" w:type="dxa"/>
                        <w:tcBorders>
                          <w:top w:val="nil" w:sz="6" w:space="0" w:color="auto"/>
                          <w:left w:val="nil" w:sz="6" w:space="0" w:color="auto"/>
                          <w:bottom w:val="single" w:sz="4" w:space="0" w:color="000000"/>
                          <w:right w:val="nil" w:sz="6" w:space="0" w:color="auto"/>
                        </w:tcBorders>
                      </w:tcPr>
                      <w:p>
                        <w:pPr/>
                      </w:p>
                    </w:tc>
                    <w:tc>
                      <w:tcPr>
                        <w:tcW w:w="1673" w:type="dxa"/>
                        <w:tcBorders>
                          <w:top w:val="nil" w:sz="6" w:space="0" w:color="auto"/>
                          <w:left w:val="nil" w:sz="6" w:space="0" w:color="auto"/>
                          <w:bottom w:val="single" w:sz="4" w:space="0" w:color="000000"/>
                          <w:right w:val="nil" w:sz="6" w:space="0" w:color="auto"/>
                        </w:tcBorders>
                      </w:tcPr>
                      <w:p>
                        <w:pPr/>
                      </w:p>
                    </w:tc>
                    <w:tc>
                      <w:tcPr>
                        <w:tcW w:w="646" w:type="dxa"/>
                        <w:tcBorders>
                          <w:top w:val="nil" w:sz="6" w:space="0" w:color="auto"/>
                          <w:left w:val="nil" w:sz="6" w:space="0" w:color="auto"/>
                          <w:bottom w:val="single" w:sz="4" w:space="0" w:color="000000"/>
                          <w:right w:val="nil" w:sz="6" w:space="0" w:color="auto"/>
                        </w:tcBorders>
                      </w:tcPr>
                      <w:p>
                        <w:pPr>
                          <w:pStyle w:val="TableParagraph"/>
                          <w:spacing w:line="180" w:lineRule="exact"/>
                          <w:ind w:left="147" w:right="0"/>
                          <w:jc w:val="left"/>
                          <w:rPr>
                            <w:rFonts w:ascii="宋体" w:hAnsi="宋体" w:cs="宋体" w:eastAsia="宋体" w:hint="default"/>
                            <w:sz w:val="18"/>
                            <w:szCs w:val="18"/>
                          </w:rPr>
                        </w:pPr>
                        <w:r>
                          <w:rPr>
                            <w:rFonts w:ascii="宋体" w:hAnsi="宋体" w:cs="宋体" w:eastAsia="宋体" w:hint="default"/>
                            <w:b/>
                            <w:bCs/>
                            <w:w w:val="99"/>
                            <w:sz w:val="18"/>
                            <w:szCs w:val="18"/>
                          </w:rPr>
                          <w:t>备</w:t>
                        </w:r>
                        <w:r>
                          <w:rPr>
                            <w:rFonts w:ascii="宋体" w:hAnsi="宋体" w:cs="宋体" w:eastAsia="宋体" w:hint="default"/>
                            <w:sz w:val="18"/>
                            <w:szCs w:val="18"/>
                          </w:rPr>
                        </w:r>
                      </w:p>
                    </w:tc>
                    <w:tc>
                      <w:tcPr>
                        <w:tcW w:w="1556" w:type="dxa"/>
                        <w:tcBorders>
                          <w:top w:val="nil" w:sz="6" w:space="0" w:color="auto"/>
                          <w:left w:val="nil" w:sz="6" w:space="0" w:color="auto"/>
                          <w:bottom w:val="single" w:sz="4" w:space="0" w:color="000000"/>
                          <w:right w:val="nil" w:sz="6" w:space="0" w:color="auto"/>
                        </w:tcBorders>
                      </w:tcPr>
                      <w:p>
                        <w:pPr/>
                      </w:p>
                    </w:tc>
                  </w:tr>
                  <w:tr>
                    <w:trPr>
                      <w:trHeight w:val="472" w:hRule="exact"/>
                    </w:trPr>
                    <w:tc>
                      <w:tcPr>
                        <w:tcW w:w="3154" w:type="dxa"/>
                        <w:tcBorders>
                          <w:top w:val="single" w:sz="4" w:space="0" w:color="000000"/>
                          <w:left w:val="nil" w:sz="6" w:space="0" w:color="auto"/>
                          <w:bottom w:val="nil" w:sz="6" w:space="0" w:color="auto"/>
                          <w:right w:val="nil" w:sz="6" w:space="0" w:color="auto"/>
                        </w:tcBorders>
                      </w:tcPr>
                      <w:p>
                        <w:pPr>
                          <w:pStyle w:val="TableParagraph"/>
                          <w:spacing w:line="148" w:lineRule="exact"/>
                          <w:ind w:left="26" w:right="0"/>
                          <w:jc w:val="left"/>
                          <w:rPr>
                            <w:rFonts w:ascii="宋体" w:hAnsi="宋体" w:cs="宋体" w:eastAsia="宋体" w:hint="default"/>
                            <w:sz w:val="18"/>
                            <w:szCs w:val="18"/>
                          </w:rPr>
                        </w:pPr>
                        <w:r>
                          <w:rPr>
                            <w:rFonts w:ascii="宋体" w:hAnsi="宋体" w:cs="宋体" w:eastAsia="宋体" w:hint="default"/>
                            <w:spacing w:val="-8"/>
                            <w:sz w:val="18"/>
                            <w:szCs w:val="18"/>
                          </w:rPr>
                          <w:t>污水、污泥处理项</w:t>
                        </w:r>
                      </w:p>
                      <w:p>
                        <w:pPr>
                          <w:pStyle w:val="TableParagraph"/>
                          <w:tabs>
                            <w:tab w:pos="1567" w:val="left" w:leader="none"/>
                          </w:tabs>
                          <w:spacing w:line="295" w:lineRule="exact"/>
                          <w:ind w:left="26" w:right="0"/>
                          <w:jc w:val="left"/>
                          <w:rPr>
                            <w:rFonts w:ascii="宋体" w:hAnsi="宋体" w:cs="宋体" w:eastAsia="宋体" w:hint="default"/>
                            <w:sz w:val="18"/>
                            <w:szCs w:val="18"/>
                          </w:rPr>
                        </w:pPr>
                        <w:r>
                          <w:rPr>
                            <w:rFonts w:ascii="宋体" w:hAnsi="宋体" w:cs="宋体" w:eastAsia="宋体" w:hint="default"/>
                            <w:position w:val="-11"/>
                            <w:sz w:val="18"/>
                            <w:szCs w:val="18"/>
                          </w:rPr>
                          <w:t>目（</w:t>
                        </w:r>
                        <w:r>
                          <w:rPr>
                            <w:rFonts w:ascii="宋体" w:hAnsi="宋体" w:cs="宋体" w:eastAsia="宋体" w:hint="default"/>
                            <w:position w:val="-11"/>
                            <w:sz w:val="18"/>
                            <w:szCs w:val="18"/>
                          </w:rPr>
                          <w:t>BOT</w:t>
                        </w:r>
                        <w:r>
                          <w:rPr>
                            <w:rFonts w:ascii="宋体" w:hAnsi="宋体" w:cs="宋体" w:eastAsia="宋体" w:hint="default"/>
                            <w:position w:val="-11"/>
                            <w:sz w:val="18"/>
                            <w:szCs w:val="18"/>
                          </w:rPr>
                          <w:t>、</w:t>
                        </w:r>
                        <w:r>
                          <w:rPr>
                            <w:rFonts w:ascii="宋体" w:hAnsi="宋体" w:cs="宋体" w:eastAsia="宋体" w:hint="default"/>
                            <w:position w:val="-11"/>
                            <w:sz w:val="18"/>
                            <w:szCs w:val="18"/>
                          </w:rPr>
                          <w:t>TOT</w:t>
                        </w:r>
                        <w:r>
                          <w:rPr>
                            <w:rFonts w:ascii="宋体" w:hAnsi="宋体" w:cs="宋体" w:eastAsia="宋体" w:hint="default"/>
                            <w:position w:val="-11"/>
                            <w:sz w:val="18"/>
                            <w:szCs w:val="18"/>
                          </w:rPr>
                          <w:t>）</w:t>
                          <w:tab/>
                        </w:r>
                        <w:r>
                          <w:rPr>
                            <w:rFonts w:ascii="宋体" w:hAnsi="宋体" w:cs="宋体" w:eastAsia="宋体" w:hint="default"/>
                            <w:sz w:val="18"/>
                            <w:szCs w:val="18"/>
                          </w:rPr>
                          <w:t>1,093,732,774.71</w:t>
                        </w:r>
                      </w:p>
                    </w:tc>
                    <w:tc>
                      <w:tcPr>
                        <w:tcW w:w="638"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201" w:right="0"/>
                          <w:jc w:val="left"/>
                          <w:rPr>
                            <w:rFonts w:ascii="宋体" w:hAnsi="宋体" w:cs="宋体" w:eastAsia="宋体" w:hint="default"/>
                            <w:sz w:val="18"/>
                            <w:szCs w:val="18"/>
                          </w:rPr>
                        </w:pPr>
                        <w:r>
                          <w:rPr>
                            <w:rFonts w:ascii="宋体"/>
                            <w:sz w:val="18"/>
                          </w:rPr>
                          <w:t>0.00</w:t>
                        </w:r>
                      </w:p>
                    </w:tc>
                    <w:tc>
                      <w:tcPr>
                        <w:tcW w:w="1601"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71"/>
                          <w:jc w:val="right"/>
                          <w:rPr>
                            <w:rFonts w:ascii="宋体" w:hAnsi="宋体" w:cs="宋体" w:eastAsia="宋体" w:hint="default"/>
                            <w:sz w:val="18"/>
                            <w:szCs w:val="18"/>
                          </w:rPr>
                        </w:pPr>
                        <w:r>
                          <w:rPr>
                            <w:rFonts w:ascii="宋体"/>
                            <w:spacing w:val="-1"/>
                            <w:sz w:val="18"/>
                          </w:rPr>
                          <w:t>1,093,732,774.71</w:t>
                        </w:r>
                      </w:p>
                    </w:tc>
                    <w:tc>
                      <w:tcPr>
                        <w:tcW w:w="1673"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45"/>
                          <w:jc w:val="right"/>
                          <w:rPr>
                            <w:rFonts w:ascii="宋体" w:hAnsi="宋体" w:cs="宋体" w:eastAsia="宋体" w:hint="default"/>
                            <w:sz w:val="18"/>
                            <w:szCs w:val="18"/>
                          </w:rPr>
                        </w:pPr>
                        <w:r>
                          <w:rPr>
                            <w:rFonts w:ascii="宋体"/>
                            <w:spacing w:val="-1"/>
                            <w:sz w:val="18"/>
                          </w:rPr>
                          <w:t>881,736,278.99</w:t>
                        </w:r>
                      </w:p>
                    </w:tc>
                    <w:tc>
                      <w:tcPr>
                        <w:tcW w:w="646"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207" w:right="0"/>
                          <w:jc w:val="left"/>
                          <w:rPr>
                            <w:rFonts w:ascii="宋体" w:hAnsi="宋体" w:cs="宋体" w:eastAsia="宋体" w:hint="default"/>
                            <w:sz w:val="18"/>
                            <w:szCs w:val="18"/>
                          </w:rPr>
                        </w:pPr>
                        <w:r>
                          <w:rPr>
                            <w:rFonts w:ascii="宋体"/>
                            <w:sz w:val="18"/>
                          </w:rPr>
                          <w:t>0.00</w:t>
                        </w:r>
                      </w:p>
                    </w:tc>
                    <w:tc>
                      <w:tcPr>
                        <w:tcW w:w="1556"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26"/>
                          <w:jc w:val="right"/>
                          <w:rPr>
                            <w:rFonts w:ascii="宋体" w:hAnsi="宋体" w:cs="宋体" w:eastAsia="宋体" w:hint="default"/>
                            <w:sz w:val="18"/>
                            <w:szCs w:val="18"/>
                          </w:rPr>
                        </w:pPr>
                        <w:r>
                          <w:rPr>
                            <w:rFonts w:ascii="宋体"/>
                            <w:spacing w:val="-1"/>
                            <w:sz w:val="18"/>
                          </w:rPr>
                          <w:t>881,736,278.99</w:t>
                        </w:r>
                      </w:p>
                    </w:tc>
                  </w:tr>
                  <w:tr>
                    <w:trPr>
                      <w:trHeight w:val="467" w:hRule="exact"/>
                    </w:trPr>
                    <w:tc>
                      <w:tcPr>
                        <w:tcW w:w="3154" w:type="dxa"/>
                        <w:tcBorders>
                          <w:top w:val="nil" w:sz="6" w:space="0" w:color="auto"/>
                          <w:left w:val="nil" w:sz="6" w:space="0" w:color="auto"/>
                          <w:bottom w:val="nil" w:sz="6" w:space="0" w:color="auto"/>
                          <w:right w:val="nil" w:sz="6" w:space="0" w:color="auto"/>
                        </w:tcBorders>
                      </w:tcPr>
                      <w:p>
                        <w:pPr>
                          <w:pStyle w:val="TableParagraph"/>
                          <w:spacing w:line="147" w:lineRule="exact"/>
                          <w:ind w:left="26" w:right="0"/>
                          <w:jc w:val="left"/>
                          <w:rPr>
                            <w:rFonts w:ascii="宋体" w:hAnsi="宋体" w:cs="宋体" w:eastAsia="宋体" w:hint="default"/>
                            <w:sz w:val="18"/>
                            <w:szCs w:val="18"/>
                          </w:rPr>
                        </w:pPr>
                        <w:r>
                          <w:rPr>
                            <w:rFonts w:ascii="宋体" w:hAnsi="宋体" w:cs="宋体" w:eastAsia="宋体" w:hint="default"/>
                            <w:spacing w:val="16"/>
                            <w:sz w:val="18"/>
                            <w:szCs w:val="18"/>
                          </w:rPr>
                          <w:t>分期收款提供劳</w:t>
                        </w:r>
                      </w:p>
                      <w:p>
                        <w:pPr>
                          <w:pStyle w:val="TableParagraph"/>
                          <w:tabs>
                            <w:tab w:pos="1747" w:val="left" w:leader="none"/>
                          </w:tabs>
                          <w:spacing w:line="297" w:lineRule="exact"/>
                          <w:ind w:left="26" w:right="0"/>
                          <w:jc w:val="left"/>
                          <w:rPr>
                            <w:rFonts w:ascii="宋体" w:hAnsi="宋体" w:cs="宋体" w:eastAsia="宋体" w:hint="default"/>
                            <w:sz w:val="18"/>
                            <w:szCs w:val="18"/>
                          </w:rPr>
                        </w:pPr>
                        <w:r>
                          <w:rPr>
                            <w:rFonts w:ascii="宋体" w:hAnsi="宋体" w:cs="宋体" w:eastAsia="宋体" w:hint="default"/>
                            <w:position w:val="-11"/>
                            <w:sz w:val="18"/>
                            <w:szCs w:val="18"/>
                          </w:rPr>
                          <w:t>务</w:t>
                          <w:tab/>
                        </w:r>
                        <w:r>
                          <w:rPr>
                            <w:rFonts w:ascii="宋体" w:hAnsi="宋体" w:cs="宋体" w:eastAsia="宋体" w:hint="default"/>
                            <w:sz w:val="18"/>
                            <w:szCs w:val="18"/>
                          </w:rPr>
                          <w:t>531,813,313.52</w:t>
                        </w:r>
                      </w:p>
                    </w:tc>
                    <w:tc>
                      <w:tcPr>
                        <w:tcW w:w="63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1" w:right="0"/>
                          <w:jc w:val="left"/>
                          <w:rPr>
                            <w:rFonts w:ascii="宋体" w:hAnsi="宋体" w:cs="宋体" w:eastAsia="宋体" w:hint="default"/>
                            <w:sz w:val="18"/>
                            <w:szCs w:val="18"/>
                          </w:rPr>
                        </w:pPr>
                        <w:r>
                          <w:rPr>
                            <w:rFonts w:ascii="宋体"/>
                            <w:sz w:val="18"/>
                          </w:rPr>
                          <w:t>0.00</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1"/>
                          <w:jc w:val="right"/>
                          <w:rPr>
                            <w:rFonts w:ascii="宋体" w:hAnsi="宋体" w:cs="宋体" w:eastAsia="宋体" w:hint="default"/>
                            <w:sz w:val="18"/>
                            <w:szCs w:val="18"/>
                          </w:rPr>
                        </w:pPr>
                        <w:r>
                          <w:rPr>
                            <w:rFonts w:ascii="宋体"/>
                            <w:spacing w:val="-1"/>
                            <w:sz w:val="18"/>
                          </w:rPr>
                          <w:t>531,813,313.52</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5"/>
                          <w:jc w:val="right"/>
                          <w:rPr>
                            <w:rFonts w:ascii="宋体" w:hAnsi="宋体" w:cs="宋体" w:eastAsia="宋体" w:hint="default"/>
                            <w:sz w:val="18"/>
                            <w:szCs w:val="18"/>
                          </w:rPr>
                        </w:pPr>
                        <w:r>
                          <w:rPr>
                            <w:rFonts w:ascii="宋体"/>
                            <w:spacing w:val="-1"/>
                            <w:sz w:val="18"/>
                          </w:rPr>
                          <w:t>414,113,041.93</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7" w:right="0"/>
                          <w:jc w:val="left"/>
                          <w:rPr>
                            <w:rFonts w:ascii="宋体" w:hAnsi="宋体" w:cs="宋体" w:eastAsia="宋体" w:hint="default"/>
                            <w:sz w:val="18"/>
                            <w:szCs w:val="18"/>
                          </w:rPr>
                        </w:pPr>
                        <w:r>
                          <w:rPr>
                            <w:rFonts w:ascii="宋体"/>
                            <w:sz w:val="18"/>
                          </w:rPr>
                          <w:t>0.00</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6"/>
                          <w:jc w:val="right"/>
                          <w:rPr>
                            <w:rFonts w:ascii="宋体" w:hAnsi="宋体" w:cs="宋体" w:eastAsia="宋体" w:hint="default"/>
                            <w:sz w:val="18"/>
                            <w:szCs w:val="18"/>
                          </w:rPr>
                        </w:pPr>
                        <w:r>
                          <w:rPr>
                            <w:rFonts w:ascii="宋体"/>
                            <w:spacing w:val="-1"/>
                            <w:sz w:val="18"/>
                          </w:rPr>
                          <w:t>414,113,041.93</w:t>
                        </w:r>
                      </w:p>
                    </w:tc>
                  </w:tr>
                  <w:tr>
                    <w:trPr>
                      <w:trHeight w:val="473" w:hRule="exact"/>
                    </w:trPr>
                    <w:tc>
                      <w:tcPr>
                        <w:tcW w:w="3154" w:type="dxa"/>
                        <w:tcBorders>
                          <w:top w:val="nil" w:sz="6" w:space="0" w:color="auto"/>
                          <w:left w:val="nil" w:sz="6" w:space="0" w:color="auto"/>
                          <w:bottom w:val="single" w:sz="4" w:space="0" w:color="000000"/>
                          <w:right w:val="nil" w:sz="6" w:space="0" w:color="auto"/>
                        </w:tcBorders>
                      </w:tcPr>
                      <w:p>
                        <w:pPr>
                          <w:pStyle w:val="TableParagraph"/>
                          <w:spacing w:line="147" w:lineRule="exact"/>
                          <w:ind w:left="26" w:right="0"/>
                          <w:jc w:val="left"/>
                          <w:rPr>
                            <w:rFonts w:ascii="宋体" w:hAnsi="宋体" w:cs="宋体" w:eastAsia="宋体" w:hint="default"/>
                            <w:sz w:val="18"/>
                            <w:szCs w:val="18"/>
                          </w:rPr>
                        </w:pPr>
                        <w:r>
                          <w:rPr>
                            <w:rFonts w:ascii="宋体" w:hAnsi="宋体" w:cs="宋体" w:eastAsia="宋体" w:hint="default"/>
                            <w:spacing w:val="16"/>
                            <w:sz w:val="18"/>
                            <w:szCs w:val="18"/>
                          </w:rPr>
                          <w:t>分期收款销售商</w:t>
                        </w:r>
                      </w:p>
                      <w:p>
                        <w:pPr>
                          <w:pStyle w:val="TableParagraph"/>
                          <w:tabs>
                            <w:tab w:pos="1747" w:val="left" w:leader="none"/>
                          </w:tabs>
                          <w:spacing w:line="295" w:lineRule="exact"/>
                          <w:ind w:left="26" w:right="0"/>
                          <w:jc w:val="left"/>
                          <w:rPr>
                            <w:rFonts w:ascii="宋体" w:hAnsi="宋体" w:cs="宋体" w:eastAsia="宋体" w:hint="default"/>
                            <w:sz w:val="18"/>
                            <w:szCs w:val="18"/>
                          </w:rPr>
                        </w:pPr>
                        <w:r>
                          <w:rPr>
                            <w:rFonts w:ascii="宋体" w:hAnsi="宋体" w:cs="宋体" w:eastAsia="宋体" w:hint="default"/>
                            <w:position w:val="-11"/>
                            <w:sz w:val="18"/>
                            <w:szCs w:val="18"/>
                          </w:rPr>
                          <w:t>品</w:t>
                          <w:tab/>
                        </w:r>
                        <w:r>
                          <w:rPr>
                            <w:rFonts w:ascii="宋体" w:hAnsi="宋体" w:cs="宋体" w:eastAsia="宋体" w:hint="default"/>
                            <w:sz w:val="18"/>
                            <w:szCs w:val="18"/>
                          </w:rPr>
                          <w:t>226,100,629.73</w:t>
                        </w:r>
                      </w:p>
                    </w:tc>
                    <w:tc>
                      <w:tcPr>
                        <w:tcW w:w="638"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201" w:right="0"/>
                          <w:jc w:val="left"/>
                          <w:rPr>
                            <w:rFonts w:ascii="宋体" w:hAnsi="宋体" w:cs="宋体" w:eastAsia="宋体" w:hint="default"/>
                            <w:sz w:val="18"/>
                            <w:szCs w:val="18"/>
                          </w:rPr>
                        </w:pPr>
                        <w:r>
                          <w:rPr>
                            <w:rFonts w:ascii="宋体"/>
                            <w:sz w:val="18"/>
                          </w:rPr>
                          <w:t>0.00</w:t>
                        </w:r>
                      </w:p>
                    </w:tc>
                    <w:tc>
                      <w:tcPr>
                        <w:tcW w:w="1601"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71"/>
                          <w:jc w:val="right"/>
                          <w:rPr>
                            <w:rFonts w:ascii="宋体" w:hAnsi="宋体" w:cs="宋体" w:eastAsia="宋体" w:hint="default"/>
                            <w:sz w:val="18"/>
                            <w:szCs w:val="18"/>
                          </w:rPr>
                        </w:pPr>
                        <w:r>
                          <w:rPr>
                            <w:rFonts w:ascii="宋体"/>
                            <w:spacing w:val="-1"/>
                            <w:sz w:val="18"/>
                          </w:rPr>
                          <w:t>226,100,629.73</w:t>
                        </w:r>
                      </w:p>
                    </w:tc>
                    <w:tc>
                      <w:tcPr>
                        <w:tcW w:w="1673"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45"/>
                          <w:jc w:val="right"/>
                          <w:rPr>
                            <w:rFonts w:ascii="宋体" w:hAnsi="宋体" w:cs="宋体" w:eastAsia="宋体" w:hint="default"/>
                            <w:sz w:val="18"/>
                            <w:szCs w:val="18"/>
                          </w:rPr>
                        </w:pPr>
                        <w:r>
                          <w:rPr>
                            <w:rFonts w:ascii="宋体"/>
                            <w:spacing w:val="-1"/>
                            <w:sz w:val="18"/>
                          </w:rPr>
                          <w:t>198,774,828.08</w:t>
                        </w:r>
                      </w:p>
                    </w:tc>
                    <w:tc>
                      <w:tcPr>
                        <w:tcW w:w="64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210" w:right="0"/>
                          <w:jc w:val="left"/>
                          <w:rPr>
                            <w:rFonts w:ascii="宋体" w:hAnsi="宋体" w:cs="宋体" w:eastAsia="宋体" w:hint="default"/>
                            <w:sz w:val="18"/>
                            <w:szCs w:val="18"/>
                          </w:rPr>
                        </w:pPr>
                        <w:r>
                          <w:rPr>
                            <w:rFonts w:ascii="宋体"/>
                            <w:sz w:val="18"/>
                          </w:rPr>
                          <w:t>0.00</w:t>
                        </w:r>
                      </w:p>
                    </w:tc>
                    <w:tc>
                      <w:tcPr>
                        <w:tcW w:w="155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26"/>
                          <w:jc w:val="right"/>
                          <w:rPr>
                            <w:rFonts w:ascii="宋体" w:hAnsi="宋体" w:cs="宋体" w:eastAsia="宋体" w:hint="default"/>
                            <w:sz w:val="18"/>
                            <w:szCs w:val="18"/>
                          </w:rPr>
                        </w:pPr>
                        <w:r>
                          <w:rPr>
                            <w:rFonts w:ascii="宋体"/>
                            <w:spacing w:val="-1"/>
                            <w:sz w:val="18"/>
                          </w:rPr>
                          <w:t>198,774,828.08</w:t>
                        </w:r>
                      </w:p>
                    </w:tc>
                  </w:tr>
                  <w:tr>
                    <w:trPr>
                      <w:trHeight w:val="319" w:hRule="exact"/>
                    </w:trPr>
                    <w:tc>
                      <w:tcPr>
                        <w:tcW w:w="3154" w:type="dxa"/>
                        <w:tcBorders>
                          <w:top w:val="single" w:sz="4" w:space="0" w:color="000000"/>
                          <w:left w:val="nil" w:sz="6" w:space="0" w:color="auto"/>
                          <w:bottom w:val="single" w:sz="12" w:space="0" w:color="000000"/>
                          <w:right w:val="nil" w:sz="6" w:space="0" w:color="auto"/>
                        </w:tcBorders>
                      </w:tcPr>
                      <w:p>
                        <w:pPr>
                          <w:pStyle w:val="TableParagraph"/>
                          <w:tabs>
                            <w:tab w:pos="1555" w:val="left" w:leader="none"/>
                          </w:tabs>
                          <w:spacing w:line="240" w:lineRule="auto" w:before="3"/>
                          <w:ind w:left="26" w:right="0"/>
                          <w:jc w:val="left"/>
                          <w:rPr>
                            <w:rFonts w:ascii="宋体" w:hAnsi="宋体" w:cs="宋体" w:eastAsia="宋体" w:hint="default"/>
                            <w:sz w:val="18"/>
                            <w:szCs w:val="18"/>
                          </w:rPr>
                        </w:pPr>
                        <w:r>
                          <w:rPr>
                            <w:rFonts w:ascii="宋体" w:hAnsi="宋体" w:cs="宋体" w:eastAsia="宋体" w:hint="default"/>
                            <w:b/>
                            <w:bCs/>
                            <w:sz w:val="18"/>
                            <w:szCs w:val="18"/>
                          </w:rPr>
                          <w:t>合计</w:t>
                          <w:tab/>
                        </w:r>
                        <w:r>
                          <w:rPr>
                            <w:rFonts w:ascii="宋体" w:hAnsi="宋体" w:cs="宋体" w:eastAsia="宋体" w:hint="default"/>
                            <w:b/>
                            <w:bCs/>
                            <w:sz w:val="18"/>
                            <w:szCs w:val="18"/>
                          </w:rPr>
                          <w:t>1,851,646,717.96</w:t>
                        </w:r>
                        <w:r>
                          <w:rPr>
                            <w:rFonts w:ascii="宋体" w:hAnsi="宋体" w:cs="宋体" w:eastAsia="宋体" w:hint="default"/>
                            <w:sz w:val="18"/>
                            <w:szCs w:val="18"/>
                          </w:rPr>
                        </w:r>
                      </w:p>
                    </w:tc>
                    <w:tc>
                      <w:tcPr>
                        <w:tcW w:w="638" w:type="dxa"/>
                        <w:tcBorders>
                          <w:top w:val="single" w:sz="4" w:space="0" w:color="000000"/>
                          <w:left w:val="nil" w:sz="6" w:space="0" w:color="auto"/>
                          <w:bottom w:val="single" w:sz="12" w:space="0" w:color="000000"/>
                          <w:right w:val="nil" w:sz="6" w:space="0" w:color="auto"/>
                        </w:tcBorders>
                      </w:tcPr>
                      <w:p>
                        <w:pPr>
                          <w:pStyle w:val="TableParagraph"/>
                          <w:spacing w:line="240" w:lineRule="auto" w:before="3"/>
                          <w:ind w:left="199" w:right="0"/>
                          <w:jc w:val="left"/>
                          <w:rPr>
                            <w:rFonts w:ascii="宋体" w:hAnsi="宋体" w:cs="宋体" w:eastAsia="宋体" w:hint="default"/>
                            <w:sz w:val="18"/>
                            <w:szCs w:val="18"/>
                          </w:rPr>
                        </w:pPr>
                        <w:r>
                          <w:rPr>
                            <w:rFonts w:ascii="宋体"/>
                            <w:b/>
                            <w:sz w:val="18"/>
                          </w:rPr>
                          <w:t>0.00</w:t>
                        </w:r>
                        <w:r>
                          <w:rPr>
                            <w:rFonts w:ascii="宋体"/>
                            <w:sz w:val="18"/>
                          </w:rPr>
                        </w:r>
                      </w:p>
                    </w:tc>
                    <w:tc>
                      <w:tcPr>
                        <w:tcW w:w="1601" w:type="dxa"/>
                        <w:tcBorders>
                          <w:top w:val="single" w:sz="4" w:space="0" w:color="000000"/>
                          <w:left w:val="nil" w:sz="6" w:space="0" w:color="auto"/>
                          <w:bottom w:val="single" w:sz="12" w:space="0" w:color="000000"/>
                          <w:right w:val="nil" w:sz="6" w:space="0" w:color="auto"/>
                        </w:tcBorders>
                      </w:tcPr>
                      <w:p>
                        <w:pPr>
                          <w:pStyle w:val="TableParagraph"/>
                          <w:spacing w:line="240" w:lineRule="auto" w:before="3"/>
                          <w:ind w:right="71"/>
                          <w:jc w:val="right"/>
                          <w:rPr>
                            <w:rFonts w:ascii="宋体" w:hAnsi="宋体" w:cs="宋体" w:eastAsia="宋体" w:hint="default"/>
                            <w:sz w:val="18"/>
                            <w:szCs w:val="18"/>
                          </w:rPr>
                        </w:pPr>
                        <w:r>
                          <w:rPr>
                            <w:rFonts w:ascii="宋体"/>
                            <w:b/>
                            <w:w w:val="95"/>
                            <w:sz w:val="18"/>
                          </w:rPr>
                          <w:t>1,851,646,717.96</w:t>
                        </w:r>
                        <w:r>
                          <w:rPr>
                            <w:rFonts w:ascii="宋体"/>
                            <w:sz w:val="18"/>
                          </w:rPr>
                        </w:r>
                      </w:p>
                    </w:tc>
                    <w:tc>
                      <w:tcPr>
                        <w:tcW w:w="1673" w:type="dxa"/>
                        <w:tcBorders>
                          <w:top w:val="single" w:sz="4" w:space="0" w:color="000000"/>
                          <w:left w:val="nil" w:sz="6" w:space="0" w:color="auto"/>
                          <w:bottom w:val="single" w:sz="12" w:space="0" w:color="000000"/>
                          <w:right w:val="nil" w:sz="6" w:space="0" w:color="auto"/>
                        </w:tcBorders>
                      </w:tcPr>
                      <w:p>
                        <w:pPr>
                          <w:pStyle w:val="TableParagraph"/>
                          <w:spacing w:line="240" w:lineRule="auto" w:before="3"/>
                          <w:ind w:right="146"/>
                          <w:jc w:val="right"/>
                          <w:rPr>
                            <w:rFonts w:ascii="宋体" w:hAnsi="宋体" w:cs="宋体" w:eastAsia="宋体" w:hint="default"/>
                            <w:sz w:val="18"/>
                            <w:szCs w:val="18"/>
                          </w:rPr>
                        </w:pPr>
                        <w:r>
                          <w:rPr>
                            <w:rFonts w:ascii="宋体"/>
                            <w:b/>
                            <w:w w:val="95"/>
                            <w:sz w:val="18"/>
                          </w:rPr>
                          <w:t>1,494,624,149.00</w:t>
                        </w:r>
                        <w:r>
                          <w:rPr>
                            <w:rFonts w:ascii="宋体"/>
                            <w:sz w:val="18"/>
                          </w:rPr>
                        </w:r>
                      </w:p>
                    </w:tc>
                    <w:tc>
                      <w:tcPr>
                        <w:tcW w:w="646" w:type="dxa"/>
                        <w:tcBorders>
                          <w:top w:val="single" w:sz="4" w:space="0" w:color="000000"/>
                          <w:left w:val="nil" w:sz="6" w:space="0" w:color="auto"/>
                          <w:bottom w:val="single" w:sz="12" w:space="0" w:color="000000"/>
                          <w:right w:val="nil" w:sz="6" w:space="0" w:color="auto"/>
                        </w:tcBorders>
                      </w:tcPr>
                      <w:p>
                        <w:pPr>
                          <w:pStyle w:val="TableParagraph"/>
                          <w:spacing w:line="240" w:lineRule="auto" w:before="3"/>
                          <w:ind w:left="207" w:right="0"/>
                          <w:jc w:val="left"/>
                          <w:rPr>
                            <w:rFonts w:ascii="宋体" w:hAnsi="宋体" w:cs="宋体" w:eastAsia="宋体" w:hint="default"/>
                            <w:sz w:val="18"/>
                            <w:szCs w:val="18"/>
                          </w:rPr>
                        </w:pPr>
                        <w:r>
                          <w:rPr>
                            <w:rFonts w:ascii="宋体"/>
                            <w:b/>
                            <w:sz w:val="18"/>
                          </w:rPr>
                          <w:t>0.00</w:t>
                        </w:r>
                        <w:r>
                          <w:rPr>
                            <w:rFonts w:ascii="宋体"/>
                            <w:sz w:val="18"/>
                          </w:rPr>
                        </w:r>
                      </w:p>
                    </w:tc>
                    <w:tc>
                      <w:tcPr>
                        <w:tcW w:w="1556" w:type="dxa"/>
                        <w:tcBorders>
                          <w:top w:val="single" w:sz="4" w:space="0" w:color="000000"/>
                          <w:left w:val="nil" w:sz="6" w:space="0" w:color="auto"/>
                          <w:bottom w:val="single" w:sz="12" w:space="0" w:color="000000"/>
                          <w:right w:val="nil" w:sz="6" w:space="0" w:color="auto"/>
                        </w:tcBorders>
                      </w:tcPr>
                      <w:p>
                        <w:pPr>
                          <w:pStyle w:val="TableParagraph"/>
                          <w:spacing w:line="240" w:lineRule="auto" w:before="3"/>
                          <w:ind w:right="27"/>
                          <w:jc w:val="right"/>
                          <w:rPr>
                            <w:rFonts w:ascii="宋体" w:hAnsi="宋体" w:cs="宋体" w:eastAsia="宋体" w:hint="default"/>
                            <w:sz w:val="18"/>
                            <w:szCs w:val="18"/>
                          </w:rPr>
                        </w:pPr>
                        <w:r>
                          <w:rPr>
                            <w:rFonts w:ascii="宋体"/>
                            <w:b/>
                            <w:w w:val="95"/>
                            <w:sz w:val="18"/>
                          </w:rPr>
                          <w:t>1,494,624,149.00</w:t>
                        </w:r>
                        <w:r>
                          <w:rPr>
                            <w:rFonts w:ascii="宋体"/>
                            <w:sz w:val="18"/>
                          </w:rPr>
                        </w:r>
                      </w:p>
                    </w:tc>
                  </w:tr>
                </w:tbl>
                <w:p>
                  <w:pPr/>
                </w:p>
              </w:txbxContent>
            </v:textbox>
            <w10:wrap type="none"/>
          </v:shape>
        </w:pict>
      </w:r>
      <w:r>
        <w:rPr>
          <w:rFonts w:ascii="宋体" w:hAnsi="宋体" w:cs="宋体" w:eastAsia="宋体" w:hint="default"/>
          <w:b/>
          <w:bCs/>
          <w:w w:val="95"/>
          <w:sz w:val="18"/>
          <w:szCs w:val="18"/>
        </w:rPr>
        <w:t>账面余额</w:t>
        <w:tab/>
      </w:r>
      <w:r>
        <w:rPr>
          <w:rFonts w:ascii="宋体" w:hAnsi="宋体" w:cs="宋体" w:eastAsia="宋体" w:hint="default"/>
          <w:b/>
          <w:bCs/>
          <w:position w:val="12"/>
          <w:sz w:val="18"/>
          <w:szCs w:val="18"/>
        </w:rPr>
        <w:t>减值准</w:t>
      </w:r>
      <w:r>
        <w:rPr>
          <w:rFonts w:ascii="宋体" w:hAnsi="宋体" w:cs="宋体" w:eastAsia="宋体" w:hint="default"/>
          <w:sz w:val="18"/>
          <w:szCs w:val="18"/>
        </w:rPr>
      </w:r>
    </w:p>
    <w:p>
      <w:pPr>
        <w:tabs>
          <w:tab w:pos="2084" w:val="left" w:leader="none"/>
          <w:tab w:pos="3332" w:val="left" w:leader="none"/>
        </w:tabs>
        <w:spacing w:line="295" w:lineRule="exact" w:before="0"/>
        <w:ind w:left="483" w:right="-2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账面价值</w:t>
        <w:tab/>
        <w:t>账面余额</w:t>
        <w:tab/>
      </w:r>
      <w:r>
        <w:rPr>
          <w:rFonts w:ascii="宋体" w:hAnsi="宋体" w:cs="宋体" w:eastAsia="宋体" w:hint="default"/>
          <w:b/>
          <w:bCs/>
          <w:position w:val="12"/>
          <w:sz w:val="18"/>
          <w:szCs w:val="18"/>
        </w:rPr>
        <w:t>减值准</w:t>
      </w:r>
      <w:r>
        <w:rPr>
          <w:rFonts w:ascii="宋体" w:hAnsi="宋体" w:cs="宋体" w:eastAsia="宋体" w:hint="default"/>
          <w:sz w:val="18"/>
          <w:szCs w:val="18"/>
        </w:rPr>
      </w:r>
    </w:p>
    <w:p>
      <w:pPr>
        <w:spacing w:before="59"/>
        <w:ind w:left="488"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00" w:bottom="280" w:left="1200" w:right="1200"/>
          <w:cols w:num="3" w:equalWidth="0">
            <w:col w:w="3784" w:space="40"/>
            <w:col w:w="3875" w:space="40"/>
            <w:col w:w="1771"/>
          </w:cols>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p>
      <w:pPr>
        <w:spacing w:before="32"/>
        <w:ind w:left="836"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11.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长期股权投资</w:t>
      </w:r>
    </w:p>
    <w:p>
      <w:pPr>
        <w:tabs>
          <w:tab w:pos="1354" w:val="left" w:leader="none"/>
        </w:tabs>
        <w:spacing w:before="50"/>
        <w:ind w:left="790" w:right="0" w:firstLine="0"/>
        <w:jc w:val="left"/>
        <w:rPr>
          <w:rFonts w:ascii="宋体" w:hAnsi="宋体" w:cs="宋体" w:eastAsia="宋体" w:hint="default"/>
          <w:sz w:val="22"/>
          <w:szCs w:val="22"/>
        </w:rPr>
      </w:pPr>
      <w:r>
        <w:rPr>
          <w:rFonts w:ascii="宋体" w:hAnsi="宋体" w:cs="宋体" w:eastAsia="宋体" w:hint="default"/>
          <w:b/>
          <w:bCs/>
          <w:sz w:val="22"/>
          <w:szCs w:val="22"/>
        </w:rPr>
        <w:t>(1)</w:t>
        <w:tab/>
      </w:r>
      <w:r>
        <w:rPr>
          <w:rFonts w:ascii="宋体" w:hAnsi="宋体" w:cs="宋体" w:eastAsia="宋体" w:hint="default"/>
          <w:sz w:val="22"/>
          <w:szCs w:val="22"/>
        </w:rPr>
        <w:t>长期股权投资明细</w:t>
      </w:r>
    </w:p>
    <w:p>
      <w:pPr>
        <w:spacing w:line="240" w:lineRule="auto" w:before="4"/>
        <w:rPr>
          <w:rFonts w:ascii="宋体" w:hAnsi="宋体" w:cs="宋体" w:eastAsia="宋体" w:hint="default"/>
          <w:sz w:val="8"/>
          <w:szCs w:val="8"/>
        </w:rPr>
      </w:pPr>
    </w:p>
    <w:p>
      <w:pPr>
        <w:spacing w:line="28" w:lineRule="exact"/>
        <w:ind w:left="104" w:right="0" w:firstLine="0"/>
        <w:rPr>
          <w:rFonts w:ascii="宋体" w:hAnsi="宋体" w:cs="宋体" w:eastAsia="宋体" w:hint="default"/>
          <w:sz w:val="2"/>
          <w:szCs w:val="2"/>
        </w:rPr>
      </w:pPr>
      <w:r>
        <w:rPr>
          <w:rFonts w:ascii="宋体" w:hAnsi="宋体" w:cs="宋体" w:eastAsia="宋体" w:hint="default"/>
          <w:position w:val="0"/>
          <w:sz w:val="2"/>
          <w:szCs w:val="2"/>
        </w:rPr>
        <w:pict>
          <v:group style="width:761.3pt;height:1.45pt;mso-position-horizontal-relative:char;mso-position-vertical-relative:line" coordorigin="0,0" coordsize="15226,29">
            <v:group style="position:absolute;left:14;top:14;width:3133;height:2" coordorigin="14,14" coordsize="3133,2">
              <v:shape style="position:absolute;left:14;top:14;width:3133;height:2" coordorigin="14,14" coordsize="3133,0" path="m14,14l3147,14e" filled="false" stroked="true" strokeweight="1.44pt" strokecolor="#000000">
                <v:path arrowok="t"/>
              </v:shape>
            </v:group>
            <v:group style="position:absolute;left:3147;top:14;width:29;height:2" coordorigin="3147,14" coordsize="29,2">
              <v:shape style="position:absolute;left:3147;top:14;width:29;height:2" coordorigin="3147,14" coordsize="29,0" path="m3147,14l3176,14e" filled="false" stroked="true" strokeweight="1.44pt" strokecolor="#000000">
                <v:path arrowok="t"/>
              </v:shape>
            </v:group>
            <v:group style="position:absolute;left:3176;top:14;width:1282;height:2" coordorigin="3176,14" coordsize="1282,2">
              <v:shape style="position:absolute;left:3176;top:14;width:1282;height:2" coordorigin="3176,14" coordsize="1282,0" path="m3176,14l4457,14e" filled="false" stroked="true" strokeweight="1.44pt" strokecolor="#000000">
                <v:path arrowok="t"/>
              </v:shape>
            </v:group>
            <v:group style="position:absolute;left:4457;top:14;width:29;height:2" coordorigin="4457,14" coordsize="29,2">
              <v:shape style="position:absolute;left:4457;top:14;width:29;height:2" coordorigin="4457,14" coordsize="29,0" path="m4457,14l4486,14e" filled="false" stroked="true" strokeweight="1.44pt" strokecolor="#000000">
                <v:path arrowok="t"/>
              </v:shape>
            </v:group>
            <v:group style="position:absolute;left:4486;top:14;width:8131;height:2" coordorigin="4486,14" coordsize="8131,2">
              <v:shape style="position:absolute;left:4486;top:14;width:8131;height:2" coordorigin="4486,14" coordsize="8131,0" path="m4486,14l12616,14e" filled="false" stroked="true" strokeweight="1.44pt" strokecolor="#000000">
                <v:path arrowok="t"/>
              </v:shape>
            </v:group>
            <v:group style="position:absolute;left:12616;top:14;width:29;height:2" coordorigin="12616,14" coordsize="29,2">
              <v:shape style="position:absolute;left:12616;top:14;width:29;height:2" coordorigin="12616,14" coordsize="29,0" path="m12616,14l12645,14e" filled="false" stroked="true" strokeweight="1.44pt" strokecolor="#000000">
                <v:path arrowok="t"/>
              </v:shape>
            </v:group>
            <v:group style="position:absolute;left:12645;top:14;width:1356;height:2" coordorigin="12645,14" coordsize="1356,2">
              <v:shape style="position:absolute;left:12645;top:14;width:1356;height:2" coordorigin="12645,14" coordsize="1356,0" path="m12645,14l14001,14e" filled="false" stroked="true" strokeweight="1.44pt" strokecolor="#000000">
                <v:path arrowok="t"/>
              </v:shape>
            </v:group>
            <v:group style="position:absolute;left:14001;top:14;width:29;height:2" coordorigin="14001,14" coordsize="29,2">
              <v:shape style="position:absolute;left:14001;top:14;width:29;height:2" coordorigin="14001,14" coordsize="29,0" path="m14001,14l14030,14e" filled="false" stroked="true" strokeweight="1.44pt" strokecolor="#000000">
                <v:path arrowok="t"/>
              </v:shape>
            </v:group>
            <v:group style="position:absolute;left:14030;top:14;width:1181;height:2" coordorigin="14030,14" coordsize="1181,2">
              <v:shape style="position:absolute;left:14030;top:14;width:1181;height:2" coordorigin="14030,14" coordsize="1181,0" path="m14030,14l15211,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footerReference w:type="default" r:id="rId37"/>
          <w:pgSz w:w="16840" w:h="11910" w:orient="landscape"/>
          <w:pgMar w:footer="1053" w:header="0" w:top="1100" w:bottom="1240" w:left="700" w:right="700"/>
          <w:pgNumType w:start="122"/>
        </w:sectPr>
      </w:pPr>
    </w:p>
    <w:p>
      <w:pPr>
        <w:spacing w:line="240" w:lineRule="auto" w:before="10"/>
        <w:rPr>
          <w:rFonts w:ascii="宋体" w:hAnsi="宋体" w:cs="宋体" w:eastAsia="宋体" w:hint="default"/>
          <w:sz w:val="18"/>
          <w:szCs w:val="18"/>
        </w:rPr>
      </w:pPr>
    </w:p>
    <w:p>
      <w:pPr>
        <w:tabs>
          <w:tab w:pos="3584" w:val="left" w:leader="none"/>
        </w:tabs>
        <w:spacing w:line="111" w:lineRule="exact" w:before="0"/>
        <w:ind w:left="1282" w:right="-19" w:firstLine="0"/>
        <w:jc w:val="left"/>
        <w:rPr>
          <w:rFonts w:ascii="宋体" w:hAnsi="宋体" w:cs="宋体" w:eastAsia="宋体" w:hint="default"/>
          <w:sz w:val="16"/>
          <w:szCs w:val="16"/>
        </w:rPr>
      </w:pPr>
      <w:r>
        <w:rPr/>
        <w:pict>
          <v:group style="position:absolute;margin-left:262.820007pt;margin-top:3.943754pt;width:408.45pt;height:.5pt;mso-position-horizontal-relative:page;mso-position-vertical-relative:paragraph;z-index:3808" coordorigin="5256,79" coordsize="8169,10">
            <v:group style="position:absolute;left:5261;top:84;width:1472;height:2" coordorigin="5261,84" coordsize="1472,2">
              <v:shape style="position:absolute;left:5261;top:84;width:1472;height:2" coordorigin="5261,84" coordsize="1472,0" path="m5261,84l6733,84e" filled="false" stroked="true" strokeweight=".48pt" strokecolor="#000000">
                <v:path arrowok="t"/>
              </v:shape>
            </v:group>
            <v:group style="position:absolute;left:6733;top:84;width:10;height:2" coordorigin="6733,84" coordsize="10,2">
              <v:shape style="position:absolute;left:6733;top:84;width:10;height:2" coordorigin="6733,84" coordsize="10,0" path="m6733,84l6743,84e" filled="false" stroked="true" strokeweight=".48pt" strokecolor="#000000">
                <v:path arrowok="t"/>
              </v:shape>
            </v:group>
            <v:group style="position:absolute;left:6743;top:84;width:893;height:2" coordorigin="6743,84" coordsize="893,2">
              <v:shape style="position:absolute;left:6743;top:84;width:893;height:2" coordorigin="6743,84" coordsize="893,0" path="m6743,84l7635,84e" filled="false" stroked="true" strokeweight=".48pt" strokecolor="#000000">
                <v:path arrowok="t"/>
              </v:shape>
            </v:group>
            <v:group style="position:absolute;left:7635;top:84;width:10;height:2" coordorigin="7635,84" coordsize="10,2">
              <v:shape style="position:absolute;left:7635;top:84;width:10;height:2" coordorigin="7635,84" coordsize="10,0" path="m7635,84l7645,84e" filled="false" stroked="true" strokeweight=".48pt" strokecolor="#000000">
                <v:path arrowok="t"/>
              </v:shape>
            </v:group>
            <v:group style="position:absolute;left:7645;top:84;width:1388;height:2" coordorigin="7645,84" coordsize="1388,2">
              <v:shape style="position:absolute;left:7645;top:84;width:1388;height:2" coordorigin="7645,84" coordsize="1388,0" path="m7645,84l9032,84e" filled="false" stroked="true" strokeweight=".48pt" strokecolor="#000000">
                <v:path arrowok="t"/>
              </v:shape>
            </v:group>
            <v:group style="position:absolute;left:9032;top:84;width:10;height:2" coordorigin="9032,84" coordsize="10,2">
              <v:shape style="position:absolute;left:9032;top:84;width:10;height:2" coordorigin="9032,84" coordsize="10,0" path="m9032,84l9042,84e" filled="false" stroked="true" strokeweight=".48pt" strokecolor="#000000">
                <v:path arrowok="t"/>
              </v:shape>
            </v:group>
            <v:group style="position:absolute;left:9042;top:84;width:1316;height:2" coordorigin="9042,84" coordsize="1316,2">
              <v:shape style="position:absolute;left:9042;top:84;width:1316;height:2" coordorigin="9042,84" coordsize="1316,0" path="m9042,84l10357,84e" filled="false" stroked="true" strokeweight=".48pt" strokecolor="#000000">
                <v:path arrowok="t"/>
              </v:shape>
            </v:group>
            <v:group style="position:absolute;left:10357;top:84;width:10;height:2" coordorigin="10357,84" coordsize="10,2">
              <v:shape style="position:absolute;left:10357;top:84;width:10;height:2" coordorigin="10357,84" coordsize="10,0" path="m10357,84l10367,84e" filled="false" stroked="true" strokeweight=".48pt" strokecolor="#000000">
                <v:path arrowok="t"/>
              </v:shape>
            </v:group>
            <v:group style="position:absolute;left:10367;top:84;width:1085;height:2" coordorigin="10367,84" coordsize="1085,2">
              <v:shape style="position:absolute;left:10367;top:84;width:1085;height:2" coordorigin="10367,84" coordsize="1085,0" path="m10367,84l11452,84e" filled="false" stroked="true" strokeweight=".48pt" strokecolor="#000000">
                <v:path arrowok="t"/>
              </v:shape>
            </v:group>
            <v:group style="position:absolute;left:11452;top:84;width:10;height:2" coordorigin="11452,84" coordsize="10,2">
              <v:shape style="position:absolute;left:11452;top:84;width:10;height:2" coordorigin="11452,84" coordsize="10,0" path="m11452,84l11461,84e" filled="false" stroked="true" strokeweight=".48pt" strokecolor="#000000">
                <v:path arrowok="t"/>
              </v:shape>
            </v:group>
            <v:group style="position:absolute;left:11461;top:84;width:1126;height:2" coordorigin="11461,84" coordsize="1126,2">
              <v:shape style="position:absolute;left:11461;top:84;width:1126;height:2" coordorigin="11461,84" coordsize="1126,0" path="m11461,84l12587,84e" filled="false" stroked="true" strokeweight=".48pt" strokecolor="#000000">
                <v:path arrowok="t"/>
              </v:shape>
            </v:group>
            <v:group style="position:absolute;left:12587;top:84;width:10;height:2" coordorigin="12587,84" coordsize="10,2">
              <v:shape style="position:absolute;left:12587;top:84;width:10;height:2" coordorigin="12587,84" coordsize="10,0" path="m12587,84l12597,84e" filled="false" stroked="true" strokeweight=".48pt" strokecolor="#000000">
                <v:path arrowok="t"/>
              </v:shape>
            </v:group>
            <v:group style="position:absolute;left:12597;top:84;width:824;height:2" coordorigin="12597,84" coordsize="824,2">
              <v:shape style="position:absolute;left:12597;top:84;width:824;height:2" coordorigin="12597,84" coordsize="824,0" path="m12597,84l13420,84e" filled="false" stroked="true" strokeweight=".48pt" strokecolor="#000000">
                <v:path arrowok="t"/>
              </v:shape>
            </v:group>
            <w10:wrap type="none"/>
          </v:group>
        </w:pict>
      </w:r>
      <w:r>
        <w:rPr>
          <w:rFonts w:ascii="宋体" w:hAnsi="宋体" w:cs="宋体" w:eastAsia="宋体" w:hint="default"/>
          <w:b/>
          <w:bCs/>
          <w:sz w:val="16"/>
          <w:szCs w:val="16"/>
        </w:rPr>
        <w:t>被投资单位</w:t>
        <w:tab/>
        <w:t>年初余额</w:t>
      </w:r>
      <w:r>
        <w:rPr>
          <w:rFonts w:ascii="宋体" w:hAnsi="宋体" w:cs="宋体" w:eastAsia="宋体" w:hint="default"/>
          <w:sz w:val="16"/>
          <w:szCs w:val="16"/>
        </w:rPr>
      </w:r>
    </w:p>
    <w:p>
      <w:pPr>
        <w:spacing w:before="32"/>
        <w:ind w:left="1282" w:right="-19" w:firstLine="0"/>
        <w:jc w:val="left"/>
        <w:rPr>
          <w:rFonts w:ascii="宋体" w:hAnsi="宋体" w:cs="宋体" w:eastAsia="宋体" w:hint="default"/>
          <w:sz w:val="16"/>
          <w:szCs w:val="16"/>
        </w:rPr>
      </w:pPr>
      <w:r>
        <w:rPr/>
        <w:br w:type="column"/>
      </w:r>
      <w:r>
        <w:rPr>
          <w:rFonts w:ascii="宋体" w:hAnsi="宋体" w:cs="宋体" w:eastAsia="宋体" w:hint="default"/>
          <w:b/>
          <w:bCs/>
          <w:sz w:val="16"/>
          <w:szCs w:val="16"/>
        </w:rPr>
        <w:t>本年增减变动</w:t>
      </w:r>
      <w:r>
        <w:rPr>
          <w:rFonts w:ascii="宋体" w:hAnsi="宋体" w:cs="宋体" w:eastAsia="宋体" w:hint="default"/>
          <w:sz w:val="16"/>
          <w:szCs w:val="16"/>
        </w:rPr>
      </w:r>
    </w:p>
    <w:p>
      <w:pPr>
        <w:tabs>
          <w:tab w:pos="2420" w:val="left" w:leader="none"/>
        </w:tabs>
        <w:spacing w:line="214" w:lineRule="exact" w:before="142"/>
        <w:ind w:left="1282" w:right="0" w:firstLine="0"/>
        <w:jc w:val="left"/>
        <w:rPr>
          <w:rFonts w:ascii="宋体" w:hAnsi="宋体" w:cs="宋体" w:eastAsia="宋体" w:hint="default"/>
          <w:sz w:val="16"/>
          <w:szCs w:val="16"/>
        </w:rPr>
      </w:pPr>
      <w:r>
        <w:rPr/>
        <w:br w:type="column"/>
      </w:r>
      <w:r>
        <w:rPr>
          <w:rFonts w:ascii="宋体" w:hAnsi="宋体" w:cs="宋体" w:eastAsia="宋体" w:hint="default"/>
          <w:b/>
          <w:bCs/>
          <w:position w:val="-9"/>
          <w:sz w:val="16"/>
          <w:szCs w:val="16"/>
        </w:rPr>
        <w:t>年末余额</w:t>
        <w:tab/>
      </w:r>
      <w:r>
        <w:rPr>
          <w:rFonts w:ascii="宋体" w:hAnsi="宋体" w:cs="宋体" w:eastAsia="宋体" w:hint="default"/>
          <w:b/>
          <w:bCs/>
          <w:sz w:val="16"/>
          <w:szCs w:val="16"/>
        </w:rPr>
        <w:t>减值准备年末</w:t>
      </w:r>
      <w:r>
        <w:rPr>
          <w:rFonts w:ascii="宋体" w:hAnsi="宋体" w:cs="宋体" w:eastAsia="宋体" w:hint="default"/>
          <w:sz w:val="16"/>
          <w:szCs w:val="16"/>
        </w:rPr>
      </w:r>
    </w:p>
    <w:p>
      <w:pPr>
        <w:spacing w:after="0" w:line="214" w:lineRule="exact"/>
        <w:jc w:val="left"/>
        <w:rPr>
          <w:rFonts w:ascii="宋体" w:hAnsi="宋体" w:cs="宋体" w:eastAsia="宋体" w:hint="default"/>
          <w:sz w:val="16"/>
          <w:szCs w:val="16"/>
        </w:rPr>
        <w:sectPr>
          <w:type w:val="continuous"/>
          <w:pgSz w:w="16840" w:h="11910" w:orient="landscape"/>
          <w:pgMar w:top="1000" w:bottom="280" w:left="700" w:right="700"/>
          <w:cols w:num="3" w:equalWidth="0">
            <w:col w:w="4228" w:space="2646"/>
            <w:col w:w="2248" w:space="2687"/>
            <w:col w:w="3631"/>
          </w:cols>
        </w:sectPr>
      </w:pPr>
    </w:p>
    <w:p>
      <w:pPr>
        <w:tabs>
          <w:tab w:pos="6162" w:val="left" w:leader="none"/>
          <w:tab w:pos="7072" w:val="left" w:leader="none"/>
        </w:tabs>
        <w:spacing w:line="211" w:lineRule="exact" w:before="0"/>
        <w:ind w:left="4974" w:right="-19" w:firstLine="0"/>
        <w:jc w:val="left"/>
        <w:rPr>
          <w:rFonts w:ascii="宋体" w:hAnsi="宋体" w:cs="宋体" w:eastAsia="宋体" w:hint="default"/>
          <w:sz w:val="16"/>
          <w:szCs w:val="16"/>
        </w:rPr>
      </w:pPr>
      <w:r>
        <w:rPr>
          <w:rFonts w:ascii="宋体" w:hAnsi="宋体" w:cs="宋体" w:eastAsia="宋体" w:hint="default"/>
          <w:b/>
          <w:bCs/>
          <w:sz w:val="16"/>
          <w:szCs w:val="16"/>
        </w:rPr>
        <w:t>追加投资</w:t>
        <w:tab/>
        <w:t>减少投资</w:t>
        <w:tab/>
      </w:r>
      <w:r>
        <w:rPr>
          <w:rFonts w:ascii="宋体" w:hAnsi="宋体" w:cs="宋体" w:eastAsia="宋体" w:hint="default"/>
          <w:b/>
          <w:bCs/>
          <w:position w:val="10"/>
          <w:sz w:val="16"/>
          <w:szCs w:val="16"/>
        </w:rPr>
        <w:t>权益法下确认的</w:t>
      </w:r>
      <w:r>
        <w:rPr>
          <w:rFonts w:ascii="宋体" w:hAnsi="宋体" w:cs="宋体" w:eastAsia="宋体" w:hint="default"/>
          <w:sz w:val="16"/>
          <w:szCs w:val="16"/>
        </w:rPr>
      </w:r>
    </w:p>
    <w:p>
      <w:pPr>
        <w:spacing w:line="156" w:lineRule="exact" w:before="0"/>
        <w:ind w:left="0" w:right="240" w:firstLine="0"/>
        <w:jc w:val="right"/>
        <w:rPr>
          <w:rFonts w:ascii="宋体" w:hAnsi="宋体" w:cs="宋体" w:eastAsia="宋体" w:hint="default"/>
          <w:sz w:val="16"/>
          <w:szCs w:val="16"/>
        </w:rPr>
      </w:pPr>
      <w:r>
        <w:rPr>
          <w:rFonts w:ascii="宋体" w:hAnsi="宋体" w:cs="宋体" w:eastAsia="宋体" w:hint="default"/>
          <w:b/>
          <w:bCs/>
          <w:sz w:val="16"/>
          <w:szCs w:val="16"/>
        </w:rPr>
        <w:t>投资损益</w:t>
      </w:r>
      <w:r>
        <w:rPr>
          <w:rFonts w:ascii="宋体" w:hAnsi="宋体" w:cs="宋体" w:eastAsia="宋体" w:hint="default"/>
          <w:sz w:val="16"/>
          <w:szCs w:val="16"/>
        </w:rPr>
      </w:r>
    </w:p>
    <w:p>
      <w:pPr>
        <w:spacing w:line="159" w:lineRule="exact" w:before="0"/>
        <w:ind w:left="437" w:right="-19" w:firstLine="0"/>
        <w:jc w:val="left"/>
        <w:rPr>
          <w:rFonts w:ascii="宋体" w:hAnsi="宋体" w:cs="宋体" w:eastAsia="宋体" w:hint="default"/>
          <w:sz w:val="16"/>
          <w:szCs w:val="16"/>
        </w:rPr>
      </w:pPr>
      <w:r>
        <w:rPr/>
        <w:br w:type="column"/>
      </w:r>
      <w:r>
        <w:rPr>
          <w:rFonts w:ascii="宋体" w:hAnsi="宋体" w:cs="宋体" w:eastAsia="宋体" w:hint="default"/>
          <w:b/>
          <w:bCs/>
          <w:sz w:val="16"/>
          <w:szCs w:val="16"/>
        </w:rPr>
        <w:t>其他综合</w:t>
      </w:r>
      <w:r>
        <w:rPr>
          <w:rFonts w:ascii="宋体" w:hAnsi="宋体" w:cs="宋体" w:eastAsia="宋体" w:hint="default"/>
          <w:sz w:val="16"/>
          <w:szCs w:val="16"/>
        </w:rPr>
      </w:r>
    </w:p>
    <w:p>
      <w:pPr>
        <w:spacing w:line="208" w:lineRule="exact" w:before="0"/>
        <w:ind w:left="437" w:right="-19" w:firstLine="0"/>
        <w:jc w:val="left"/>
        <w:rPr>
          <w:rFonts w:ascii="宋体" w:hAnsi="宋体" w:cs="宋体" w:eastAsia="宋体" w:hint="default"/>
          <w:sz w:val="16"/>
          <w:szCs w:val="16"/>
        </w:rPr>
      </w:pPr>
      <w:r>
        <w:rPr>
          <w:rFonts w:ascii="宋体" w:hAnsi="宋体" w:cs="宋体" w:eastAsia="宋体" w:hint="default"/>
          <w:b/>
          <w:bCs/>
          <w:sz w:val="16"/>
          <w:szCs w:val="16"/>
        </w:rPr>
        <w:t>收益调整</w:t>
      </w:r>
      <w:r>
        <w:rPr>
          <w:rFonts w:ascii="宋体" w:hAnsi="宋体" w:cs="宋体" w:eastAsia="宋体" w:hint="default"/>
          <w:sz w:val="16"/>
          <w:szCs w:val="16"/>
        </w:rPr>
      </w:r>
    </w:p>
    <w:p>
      <w:pPr>
        <w:spacing w:line="159" w:lineRule="exact" w:before="0"/>
        <w:ind w:left="444" w:right="0" w:firstLine="0"/>
        <w:jc w:val="center"/>
        <w:rPr>
          <w:rFonts w:ascii="宋体" w:hAnsi="宋体" w:cs="宋体" w:eastAsia="宋体" w:hint="default"/>
          <w:sz w:val="16"/>
          <w:szCs w:val="16"/>
        </w:rPr>
      </w:pPr>
      <w:r>
        <w:rPr/>
        <w:br w:type="column"/>
      </w:r>
      <w:r>
        <w:rPr>
          <w:rFonts w:ascii="宋体" w:hAnsi="宋体" w:cs="宋体" w:eastAsia="宋体" w:hint="default"/>
          <w:b/>
          <w:bCs/>
          <w:sz w:val="16"/>
          <w:szCs w:val="16"/>
        </w:rPr>
        <w:t>其他权益变</w:t>
      </w:r>
      <w:r>
        <w:rPr>
          <w:rFonts w:ascii="宋体" w:hAnsi="宋体" w:cs="宋体" w:eastAsia="宋体" w:hint="default"/>
          <w:sz w:val="16"/>
          <w:szCs w:val="16"/>
        </w:rPr>
      </w:r>
    </w:p>
    <w:p>
      <w:pPr>
        <w:spacing w:line="208" w:lineRule="exact" w:before="0"/>
        <w:ind w:left="444" w:right="0" w:firstLine="0"/>
        <w:jc w:val="center"/>
        <w:rPr>
          <w:rFonts w:ascii="宋体" w:hAnsi="宋体" w:cs="宋体" w:eastAsia="宋体" w:hint="default"/>
          <w:sz w:val="16"/>
          <w:szCs w:val="16"/>
        </w:rPr>
      </w:pPr>
      <w:r>
        <w:rPr>
          <w:rFonts w:ascii="宋体" w:hAnsi="宋体" w:cs="宋体" w:eastAsia="宋体" w:hint="default"/>
          <w:b/>
          <w:bCs/>
          <w:w w:val="100"/>
          <w:sz w:val="16"/>
          <w:szCs w:val="16"/>
        </w:rPr>
        <w:t>动</w:t>
      </w:r>
      <w:r>
        <w:rPr>
          <w:rFonts w:ascii="宋体" w:hAnsi="宋体" w:cs="宋体" w:eastAsia="宋体" w:hint="default"/>
          <w:w w:val="100"/>
          <w:sz w:val="16"/>
          <w:szCs w:val="16"/>
        </w:rPr>
      </w:r>
    </w:p>
    <w:p>
      <w:pPr>
        <w:tabs>
          <w:tab w:pos="3903" w:val="left" w:leader="none"/>
        </w:tabs>
        <w:spacing w:line="129" w:lineRule="exact" w:before="0"/>
        <w:ind w:left="195" w:right="0" w:firstLine="0"/>
        <w:jc w:val="left"/>
        <w:rPr>
          <w:rFonts w:ascii="宋体" w:hAnsi="宋体" w:cs="宋体" w:eastAsia="宋体" w:hint="default"/>
          <w:sz w:val="16"/>
          <w:szCs w:val="16"/>
        </w:rPr>
      </w:pPr>
      <w:r>
        <w:rPr/>
        <w:br w:type="column"/>
      </w:r>
      <w:r>
        <w:rPr>
          <w:rFonts w:ascii="宋体" w:hAnsi="宋体" w:cs="宋体" w:eastAsia="宋体" w:hint="default"/>
          <w:b/>
          <w:bCs/>
          <w:sz w:val="16"/>
          <w:szCs w:val="16"/>
        </w:rPr>
        <w:t>宣告发放现金</w:t>
        <w:tab/>
      </w:r>
      <w:r>
        <w:rPr>
          <w:rFonts w:ascii="宋体" w:hAnsi="宋体" w:cs="宋体" w:eastAsia="宋体" w:hint="default"/>
          <w:b/>
          <w:bCs/>
          <w:position w:val="-3"/>
          <w:sz w:val="16"/>
          <w:szCs w:val="16"/>
        </w:rPr>
        <w:t>余额</w:t>
      </w:r>
      <w:r>
        <w:rPr>
          <w:rFonts w:ascii="宋体" w:hAnsi="宋体" w:cs="宋体" w:eastAsia="宋体" w:hint="default"/>
          <w:sz w:val="16"/>
          <w:szCs w:val="16"/>
        </w:rPr>
      </w:r>
    </w:p>
    <w:p>
      <w:pPr>
        <w:tabs>
          <w:tab w:pos="1494" w:val="left" w:leader="none"/>
        </w:tabs>
        <w:spacing w:line="238" w:lineRule="exact" w:before="0"/>
        <w:ind w:left="274" w:right="0" w:firstLine="0"/>
        <w:jc w:val="left"/>
        <w:rPr>
          <w:rFonts w:ascii="宋体" w:hAnsi="宋体" w:cs="宋体" w:eastAsia="宋体" w:hint="default"/>
          <w:sz w:val="16"/>
          <w:szCs w:val="16"/>
        </w:rPr>
      </w:pPr>
      <w:r>
        <w:rPr>
          <w:rFonts w:ascii="宋体" w:hAnsi="宋体" w:cs="宋体" w:eastAsia="宋体" w:hint="default"/>
          <w:b/>
          <w:bCs/>
          <w:sz w:val="16"/>
          <w:szCs w:val="16"/>
        </w:rPr>
        <w:t>股利或利润</w:t>
        <w:tab/>
      </w:r>
      <w:r>
        <w:rPr>
          <w:rFonts w:ascii="宋体" w:hAnsi="宋体" w:cs="宋体" w:eastAsia="宋体" w:hint="default"/>
          <w:b/>
          <w:bCs/>
          <w:position w:val="10"/>
          <w:sz w:val="16"/>
          <w:szCs w:val="16"/>
        </w:rPr>
        <w:t>其他</w:t>
      </w:r>
      <w:r>
        <w:rPr>
          <w:rFonts w:ascii="宋体" w:hAnsi="宋体" w:cs="宋体" w:eastAsia="宋体" w:hint="default"/>
          <w:sz w:val="16"/>
          <w:szCs w:val="16"/>
        </w:rPr>
      </w:r>
    </w:p>
    <w:p>
      <w:pPr>
        <w:spacing w:after="0" w:line="238" w:lineRule="exact"/>
        <w:jc w:val="left"/>
        <w:rPr>
          <w:rFonts w:ascii="宋体" w:hAnsi="宋体" w:cs="宋体" w:eastAsia="宋体" w:hint="default"/>
          <w:sz w:val="16"/>
          <w:szCs w:val="16"/>
        </w:rPr>
        <w:sectPr>
          <w:type w:val="continuous"/>
          <w:pgSz w:w="16840" w:h="11910" w:orient="landscape"/>
          <w:pgMar w:top="1000" w:bottom="280" w:left="700" w:right="700"/>
          <w:cols w:num="4" w:equalWidth="0">
            <w:col w:w="8198" w:space="40"/>
            <w:col w:w="1082" w:space="40"/>
            <w:col w:w="1249" w:space="40"/>
            <w:col w:w="4791"/>
          </w:cols>
        </w:sectPr>
      </w:pPr>
    </w:p>
    <w:p>
      <w:pPr>
        <w:spacing w:line="240" w:lineRule="auto" w:before="0"/>
        <w:rPr>
          <w:rFonts w:ascii="宋体" w:hAnsi="宋体" w:cs="宋体" w:eastAsia="宋体" w:hint="default"/>
          <w:b/>
          <w:bCs/>
          <w:sz w:val="2"/>
          <w:szCs w:val="2"/>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760.3pt;height:.5pt;mso-position-horizontal-relative:char;mso-position-vertical-relative:line" coordorigin="0,0" coordsize="15206,10">
            <v:group style="position:absolute;left:5;top:5;width:3133;height:2" coordorigin="5,5" coordsize="3133,2">
              <v:shape style="position:absolute;left:5;top:5;width:3133;height:2" coordorigin="5,5" coordsize="3133,0" path="m5,5l3137,5e" filled="false" stroked="true" strokeweight=".48pt" strokecolor="#000000">
                <v:path arrowok="t"/>
              </v:shape>
            </v:group>
            <v:group style="position:absolute;left:3137;top:5;width:10;height:2" coordorigin="3137,5" coordsize="10,2">
              <v:shape style="position:absolute;left:3137;top:5;width:10;height:2" coordorigin="3137,5" coordsize="10,0" path="m3137,5l3147,5e" filled="false" stroked="true" strokeweight=".48pt" strokecolor="#000000">
                <v:path arrowok="t"/>
              </v:shape>
            </v:group>
            <v:group style="position:absolute;left:3147;top:5;width:1301;height:2" coordorigin="3147,5" coordsize="1301,2">
              <v:shape style="position:absolute;left:3147;top:5;width:1301;height:2" coordorigin="3147,5" coordsize="1301,0" path="m3147,5l4448,5e" filled="false" stroked="true" strokeweight=".48pt" strokecolor="#000000">
                <v:path arrowok="t"/>
              </v:shape>
            </v:group>
            <v:group style="position:absolute;left:4448;top:5;width:10;height:2" coordorigin="4448,5" coordsize="10,2">
              <v:shape style="position:absolute;left:4448;top:5;width:10;height:2" coordorigin="4448,5" coordsize="10,0" path="m4448,5l4457,5e" filled="false" stroked="true" strokeweight=".48pt" strokecolor="#000000">
                <v:path arrowok="t"/>
              </v:shape>
            </v:group>
            <v:group style="position:absolute;left:4457;top:5;width:1463;height:2" coordorigin="4457,5" coordsize="1463,2">
              <v:shape style="position:absolute;left:4457;top:5;width:1463;height:2" coordorigin="4457,5" coordsize="1463,0" path="m4457,5l5919,5e" filled="false" stroked="true" strokeweight=".48pt" strokecolor="#000000">
                <v:path arrowok="t"/>
              </v:shape>
            </v:group>
            <v:group style="position:absolute;left:5919;top:5;width:10;height:2" coordorigin="5919,5" coordsize="10,2">
              <v:shape style="position:absolute;left:5919;top:5;width:10;height:2" coordorigin="5919,5" coordsize="10,0" path="m5919,5l5929,5e" filled="false" stroked="true" strokeweight=".48pt" strokecolor="#000000">
                <v:path arrowok="t"/>
              </v:shape>
            </v:group>
            <v:group style="position:absolute;left:5929;top:5;width:893;height:2" coordorigin="5929,5" coordsize="893,2">
              <v:shape style="position:absolute;left:5929;top:5;width:893;height:2" coordorigin="5929,5" coordsize="893,0" path="m5929,5l6822,5e" filled="false" stroked="true" strokeweight=".48pt" strokecolor="#000000">
                <v:path arrowok="t"/>
              </v:shape>
            </v:group>
            <v:group style="position:absolute;left:6822;top:5;width:10;height:2" coordorigin="6822,5" coordsize="10,2">
              <v:shape style="position:absolute;left:6822;top:5;width:10;height:2" coordorigin="6822,5" coordsize="10,0" path="m6822,5l6831,5e" filled="false" stroked="true" strokeweight=".48pt" strokecolor="#000000">
                <v:path arrowok="t"/>
              </v:shape>
            </v:group>
            <v:group style="position:absolute;left:6831;top:5;width:1388;height:2" coordorigin="6831,5" coordsize="1388,2">
              <v:shape style="position:absolute;left:6831;top:5;width:1388;height:2" coordorigin="6831,5" coordsize="1388,0" path="m6831,5l8219,5e" filled="false" stroked="true" strokeweight=".48pt" strokecolor="#000000">
                <v:path arrowok="t"/>
              </v:shape>
            </v:group>
            <v:group style="position:absolute;left:8219;top:5;width:10;height:2" coordorigin="8219,5" coordsize="10,2">
              <v:shape style="position:absolute;left:8219;top:5;width:10;height:2" coordorigin="8219,5" coordsize="10,0" path="m8219,5l8228,5e" filled="false" stroked="true" strokeweight=".48pt" strokecolor="#000000">
                <v:path arrowok="t"/>
              </v:shape>
            </v:group>
            <v:group style="position:absolute;left:8228;top:5;width:1316;height:2" coordorigin="8228,5" coordsize="1316,2">
              <v:shape style="position:absolute;left:8228;top:5;width:1316;height:2" coordorigin="8228,5" coordsize="1316,0" path="m8228,5l9544,5e" filled="false" stroked="true" strokeweight=".48pt" strokecolor="#000000">
                <v:path arrowok="t"/>
              </v:shape>
            </v:group>
            <v:group style="position:absolute;left:9544;top:5;width:10;height:2" coordorigin="9544,5" coordsize="10,2">
              <v:shape style="position:absolute;left:9544;top:5;width:10;height:2" coordorigin="9544,5" coordsize="10,0" path="m9544,5l9553,5e" filled="false" stroked="true" strokeweight=".48pt" strokecolor="#000000">
                <v:path arrowok="t"/>
              </v:shape>
            </v:group>
            <v:group style="position:absolute;left:9553;top:5;width:1085;height:2" coordorigin="9553,5" coordsize="1085,2">
              <v:shape style="position:absolute;left:9553;top:5;width:1085;height:2" coordorigin="9553,5" coordsize="1085,0" path="m9553,5l10638,5e" filled="false" stroked="true" strokeweight=".48pt" strokecolor="#000000">
                <v:path arrowok="t"/>
              </v:shape>
            </v:group>
            <v:group style="position:absolute;left:10638;top:5;width:10;height:2" coordorigin="10638,5" coordsize="10,2">
              <v:shape style="position:absolute;left:10638;top:5;width:10;height:2" coordorigin="10638,5" coordsize="10,0" path="m10638,5l10648,5e" filled="false" stroked="true" strokeweight=".48pt" strokecolor="#000000">
                <v:path arrowok="t"/>
              </v:shape>
            </v:group>
            <v:group style="position:absolute;left:10648;top:5;width:1126;height:2" coordorigin="10648,5" coordsize="1126,2">
              <v:shape style="position:absolute;left:10648;top:5;width:1126;height:2" coordorigin="10648,5" coordsize="1126,0" path="m10648,5l11773,5e" filled="false" stroked="true" strokeweight=".48pt" strokecolor="#000000">
                <v:path arrowok="t"/>
              </v:shape>
            </v:group>
            <v:group style="position:absolute;left:11773;top:5;width:10;height:2" coordorigin="11773,5" coordsize="10,2">
              <v:shape style="position:absolute;left:11773;top:5;width:10;height:2" coordorigin="11773,5" coordsize="10,0" path="m11773,5l11783,5e" filled="false" stroked="true" strokeweight=".48pt" strokecolor="#000000">
                <v:path arrowok="t"/>
              </v:shape>
            </v:group>
            <v:group style="position:absolute;left:11783;top:5;width:824;height:2" coordorigin="11783,5" coordsize="824,2">
              <v:shape style="position:absolute;left:11783;top:5;width:824;height:2" coordorigin="11783,5" coordsize="824,0" path="m11783,5l12607,5e" filled="false" stroked="true" strokeweight=".48pt" strokecolor="#000000">
                <v:path arrowok="t"/>
              </v:shape>
            </v:group>
            <v:group style="position:absolute;left:12607;top:5;width:10;height:2" coordorigin="12607,5" coordsize="10,2">
              <v:shape style="position:absolute;left:12607;top:5;width:10;height:2" coordorigin="12607,5" coordsize="10,0" path="m12607,5l12616,5e" filled="false" stroked="true" strokeweight=".48pt" strokecolor="#000000">
                <v:path arrowok="t"/>
              </v:shape>
            </v:group>
            <v:group style="position:absolute;left:12616;top:5;width:1376;height:2" coordorigin="12616,5" coordsize="1376,2">
              <v:shape style="position:absolute;left:12616;top:5;width:1376;height:2" coordorigin="12616,5" coordsize="1376,0" path="m12616,5l13992,5e" filled="false" stroked="true" strokeweight=".48pt" strokecolor="#000000">
                <v:path arrowok="t"/>
              </v:shape>
            </v:group>
            <v:group style="position:absolute;left:13992;top:5;width:10;height:2" coordorigin="13992,5" coordsize="10,2">
              <v:shape style="position:absolute;left:13992;top:5;width:10;height:2" coordorigin="13992,5" coordsize="10,0" path="m13992,5l14001,5e" filled="false" stroked="true" strokeweight=".48pt" strokecolor="#000000">
                <v:path arrowok="t"/>
              </v:shape>
            </v:group>
            <v:group style="position:absolute;left:14001;top:5;width:1200;height:2" coordorigin="14001,5" coordsize="1200,2">
              <v:shape style="position:absolute;left:14001;top:5;width:1200;height:2" coordorigin="14001,5" coordsize="1200,0" path="m14001,5l15201,5e" filled="false" stroked="true" strokeweight=".48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4"/>
          <w:szCs w:val="24"/>
        </w:rPr>
      </w:pPr>
    </w:p>
    <w:p>
      <w:pPr>
        <w:tabs>
          <w:tab w:pos="6580" w:val="left" w:leader="none"/>
          <w:tab w:pos="7256" w:val="left" w:leader="none"/>
          <w:tab w:pos="8584" w:val="left" w:leader="none"/>
          <w:tab w:pos="10396" w:val="left" w:leader="none"/>
          <w:tab w:pos="11531" w:val="left" w:leader="none"/>
          <w:tab w:pos="12365" w:val="left" w:leader="none"/>
          <w:tab w:pos="14961" w:val="left" w:leader="none"/>
        </w:tabs>
        <w:spacing w:before="51"/>
        <w:ind w:left="5677" w:right="0" w:firstLine="0"/>
        <w:jc w:val="left"/>
        <w:rPr>
          <w:rFonts w:ascii="宋体" w:hAnsi="宋体" w:cs="宋体" w:eastAsia="宋体" w:hint="default"/>
          <w:sz w:val="16"/>
          <w:szCs w:val="16"/>
        </w:rPr>
      </w:pPr>
      <w:r>
        <w:rPr/>
        <w:pict>
          <v:shape style="position:absolute;margin-left:40.919998pt;margin-top:-16.445625pt;width:759.85pt;height:109.55pt;mso-position-horizontal-relative:page;mso-position-vertical-relative:paragraph;z-index:38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13"/>
                    <w:gridCol w:w="1849"/>
                    <w:gridCol w:w="1509"/>
                    <w:gridCol w:w="790"/>
                    <w:gridCol w:w="1722"/>
                    <w:gridCol w:w="1210"/>
                    <w:gridCol w:w="1114"/>
                    <w:gridCol w:w="984"/>
                    <w:gridCol w:w="749"/>
                    <w:gridCol w:w="1658"/>
                    <w:gridCol w:w="799"/>
                  </w:tblGrid>
                  <w:tr>
                    <w:trPr>
                      <w:trHeight w:val="532" w:hRule="exact"/>
                    </w:trPr>
                    <w:tc>
                      <w:tcPr>
                        <w:tcW w:w="15196"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6"/>
                            <w:szCs w:val="16"/>
                          </w:rPr>
                        </w:pPr>
                        <w:r>
                          <w:rPr>
                            <w:rFonts w:ascii="宋体" w:hAnsi="宋体" w:cs="宋体" w:eastAsia="宋体" w:hint="default"/>
                            <w:sz w:val="16"/>
                            <w:szCs w:val="16"/>
                          </w:rPr>
                          <w:t>一、合营企业</w:t>
                        </w:r>
                      </w:p>
                      <w:p>
                        <w:pPr>
                          <w:pStyle w:val="TableParagraph"/>
                          <w:tabs>
                            <w:tab w:pos="3204" w:val="left" w:leader="none"/>
                          </w:tabs>
                          <w:spacing w:line="297" w:lineRule="exact" w:before="48"/>
                          <w:ind w:left="19" w:right="0"/>
                          <w:jc w:val="left"/>
                          <w:rPr>
                            <w:rFonts w:ascii="宋体" w:hAnsi="宋体" w:cs="宋体" w:eastAsia="宋体" w:hint="default"/>
                            <w:sz w:val="16"/>
                            <w:szCs w:val="16"/>
                          </w:rPr>
                        </w:pPr>
                        <w:r>
                          <w:rPr>
                            <w:rFonts w:ascii="宋体" w:hAnsi="宋体" w:cs="宋体" w:eastAsia="宋体" w:hint="default"/>
                            <w:spacing w:val="-1"/>
                            <w:position w:val="-10"/>
                            <w:sz w:val="16"/>
                            <w:szCs w:val="16"/>
                          </w:rPr>
                          <w:t>同方全球人寿保险有限公司</w:t>
                          <w:tab/>
                        </w:r>
                        <w:r>
                          <w:rPr>
                            <w:rFonts w:ascii="宋体" w:hAnsi="宋体" w:cs="宋体" w:eastAsia="宋体" w:hint="default"/>
                            <w:spacing w:val="-2"/>
                            <w:sz w:val="16"/>
                            <w:szCs w:val="16"/>
                          </w:rPr>
                          <w:t>1,131,608,530.4</w:t>
                        </w:r>
                      </w:p>
                    </w:tc>
                  </w:tr>
                  <w:tr>
                    <w:trPr>
                      <w:trHeight w:val="204" w:hRule="exact"/>
                    </w:trPr>
                    <w:tc>
                      <w:tcPr>
                        <w:tcW w:w="2813"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nil" w:sz="6" w:space="0" w:color="auto"/>
                          <w:right w:val="nil" w:sz="6" w:space="0" w:color="auto"/>
                        </w:tcBorders>
                      </w:tcPr>
                      <w:p>
                        <w:pPr>
                          <w:pStyle w:val="TableParagraph"/>
                          <w:spacing w:line="161" w:lineRule="exact"/>
                          <w:ind w:right="254"/>
                          <w:jc w:val="right"/>
                          <w:rPr>
                            <w:rFonts w:ascii="宋体" w:hAnsi="宋体" w:cs="宋体" w:eastAsia="宋体" w:hint="default"/>
                            <w:sz w:val="16"/>
                            <w:szCs w:val="16"/>
                          </w:rPr>
                        </w:pPr>
                        <w:r>
                          <w:rPr>
                            <w:rFonts w:ascii="宋体"/>
                            <w:w w:val="100"/>
                            <w:sz w:val="16"/>
                          </w:rPr>
                          <w:t>9</w:t>
                        </w:r>
                      </w:p>
                    </w:tc>
                    <w:tc>
                      <w:tcPr>
                        <w:tcW w:w="1509"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
                    </w:tc>
                    <w:tc>
                      <w:tcPr>
                        <w:tcW w:w="1722"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
                    </w:tc>
                  </w:tr>
                  <w:tr>
                    <w:trPr>
                      <w:trHeight w:val="269" w:hRule="exact"/>
                    </w:trPr>
                    <w:tc>
                      <w:tcPr>
                        <w:tcW w:w="2813" w:type="dxa"/>
                        <w:tcBorders>
                          <w:top w:val="nil" w:sz="6" w:space="0" w:color="auto"/>
                          <w:left w:val="nil" w:sz="6" w:space="0" w:color="auto"/>
                          <w:bottom w:val="nil" w:sz="6" w:space="0" w:color="auto"/>
                          <w:right w:val="nil" w:sz="6" w:space="0" w:color="auto"/>
                        </w:tcBorders>
                      </w:tcPr>
                      <w:p>
                        <w:pPr>
                          <w:pStyle w:val="TableParagraph"/>
                          <w:spacing w:line="204" w:lineRule="exact"/>
                          <w:ind w:left="19" w:right="0"/>
                          <w:jc w:val="left"/>
                          <w:rPr>
                            <w:rFonts w:ascii="宋体" w:hAnsi="宋体" w:cs="宋体" w:eastAsia="宋体" w:hint="default"/>
                            <w:sz w:val="16"/>
                            <w:szCs w:val="16"/>
                          </w:rPr>
                        </w:pPr>
                        <w:r>
                          <w:rPr>
                            <w:rFonts w:ascii="宋体" w:hAnsi="宋体" w:cs="宋体" w:eastAsia="宋体" w:hint="default"/>
                            <w:sz w:val="16"/>
                            <w:szCs w:val="16"/>
                          </w:rPr>
                          <w:t>新鸿电子有限公司</w:t>
                        </w:r>
                      </w:p>
                    </w:tc>
                    <w:tc>
                      <w:tcPr>
                        <w:tcW w:w="1849" w:type="dxa"/>
                        <w:tcBorders>
                          <w:top w:val="nil" w:sz="6" w:space="0" w:color="auto"/>
                          <w:left w:val="nil" w:sz="6" w:space="0" w:color="auto"/>
                          <w:bottom w:val="nil" w:sz="6" w:space="0" w:color="auto"/>
                          <w:right w:val="nil" w:sz="6" w:space="0" w:color="auto"/>
                        </w:tcBorders>
                      </w:tcPr>
                      <w:p>
                        <w:pPr>
                          <w:pStyle w:val="TableParagraph"/>
                          <w:spacing w:line="204" w:lineRule="exact"/>
                          <w:ind w:right="254"/>
                          <w:jc w:val="right"/>
                          <w:rPr>
                            <w:rFonts w:ascii="宋体" w:hAnsi="宋体" w:cs="宋体" w:eastAsia="宋体" w:hint="default"/>
                            <w:sz w:val="16"/>
                            <w:szCs w:val="16"/>
                          </w:rPr>
                        </w:pPr>
                        <w:r>
                          <w:rPr>
                            <w:rFonts w:ascii="宋体"/>
                            <w:spacing w:val="-2"/>
                            <w:sz w:val="16"/>
                          </w:rPr>
                          <w:t>51,617,323.54</w:t>
                        </w:r>
                      </w:p>
                    </w:tc>
                    <w:tc>
                      <w:tcPr>
                        <w:tcW w:w="1509" w:type="dxa"/>
                        <w:tcBorders>
                          <w:top w:val="nil" w:sz="6" w:space="0" w:color="auto"/>
                          <w:left w:val="nil" w:sz="6" w:space="0" w:color="auto"/>
                          <w:bottom w:val="nil" w:sz="6" w:space="0" w:color="auto"/>
                          <w:right w:val="nil" w:sz="6" w:space="0" w:color="auto"/>
                        </w:tcBorders>
                      </w:tcPr>
                      <w:p>
                        <w:pPr>
                          <w:pStyle w:val="TableParagraph"/>
                          <w:spacing w:line="204" w:lineRule="exact"/>
                          <w:ind w:right="289"/>
                          <w:jc w:val="right"/>
                          <w:rPr>
                            <w:rFonts w:ascii="宋体" w:hAnsi="宋体" w:cs="宋体" w:eastAsia="宋体" w:hint="default"/>
                            <w:sz w:val="16"/>
                            <w:szCs w:val="16"/>
                          </w:rPr>
                        </w:pPr>
                        <w:r>
                          <w:rPr>
                            <w:rFonts w:ascii="宋体"/>
                            <w:spacing w:val="-2"/>
                            <w:sz w:val="16"/>
                          </w:rPr>
                          <w:t>7,164,288.00</w:t>
                        </w:r>
                      </w:p>
                    </w:tc>
                    <w:tc>
                      <w:tcPr>
                        <w:tcW w:w="790" w:type="dxa"/>
                        <w:tcBorders>
                          <w:top w:val="nil" w:sz="6" w:space="0" w:color="auto"/>
                          <w:left w:val="nil" w:sz="6" w:space="0" w:color="auto"/>
                          <w:bottom w:val="nil" w:sz="6" w:space="0" w:color="auto"/>
                          <w:right w:val="nil" w:sz="6" w:space="0" w:color="auto"/>
                        </w:tcBorders>
                      </w:tcPr>
                      <w:p>
                        <w:pPr>
                          <w:pStyle w:val="TableParagraph"/>
                          <w:spacing w:line="204" w:lineRule="exact"/>
                          <w:ind w:right="176"/>
                          <w:jc w:val="right"/>
                          <w:rPr>
                            <w:rFonts w:ascii="宋体" w:hAnsi="宋体" w:cs="宋体" w:eastAsia="宋体" w:hint="default"/>
                            <w:sz w:val="16"/>
                            <w:szCs w:val="16"/>
                          </w:rPr>
                        </w:pPr>
                        <w:r>
                          <w:rPr>
                            <w:rFonts w:ascii="宋体"/>
                            <w:spacing w:val="-1"/>
                            <w:sz w:val="16"/>
                          </w:rPr>
                          <w:t>0.00</w:t>
                        </w:r>
                      </w:p>
                    </w:tc>
                    <w:tc>
                      <w:tcPr>
                        <w:tcW w:w="1722" w:type="dxa"/>
                        <w:tcBorders>
                          <w:top w:val="nil" w:sz="6" w:space="0" w:color="auto"/>
                          <w:left w:val="nil" w:sz="6" w:space="0" w:color="auto"/>
                          <w:bottom w:val="nil" w:sz="6" w:space="0" w:color="auto"/>
                          <w:right w:val="nil" w:sz="6" w:space="0" w:color="auto"/>
                        </w:tcBorders>
                      </w:tcPr>
                      <w:p>
                        <w:pPr>
                          <w:pStyle w:val="TableParagraph"/>
                          <w:spacing w:line="204" w:lineRule="exact"/>
                          <w:ind w:right="501"/>
                          <w:jc w:val="right"/>
                          <w:rPr>
                            <w:rFonts w:ascii="宋体" w:hAnsi="宋体" w:cs="宋体" w:eastAsia="宋体" w:hint="default"/>
                            <w:sz w:val="16"/>
                            <w:szCs w:val="16"/>
                          </w:rPr>
                        </w:pPr>
                        <w:r>
                          <w:rPr>
                            <w:rFonts w:ascii="宋体"/>
                            <w:spacing w:val="-2"/>
                            <w:sz w:val="16"/>
                          </w:rPr>
                          <w:t>-7,905,296.63</w:t>
                        </w:r>
                      </w:p>
                    </w:tc>
                    <w:tc>
                      <w:tcPr>
                        <w:tcW w:w="1210" w:type="dxa"/>
                        <w:tcBorders>
                          <w:top w:val="nil" w:sz="6" w:space="0" w:color="auto"/>
                          <w:left w:val="nil" w:sz="6" w:space="0" w:color="auto"/>
                          <w:bottom w:val="nil" w:sz="6" w:space="0" w:color="auto"/>
                          <w:right w:val="nil" w:sz="6" w:space="0" w:color="auto"/>
                        </w:tcBorders>
                      </w:tcPr>
                      <w:p>
                        <w:pPr>
                          <w:pStyle w:val="TableParagraph"/>
                          <w:spacing w:line="204" w:lineRule="exact"/>
                          <w:ind w:right="383"/>
                          <w:jc w:val="right"/>
                          <w:rPr>
                            <w:rFonts w:ascii="宋体" w:hAnsi="宋体" w:cs="宋体" w:eastAsia="宋体" w:hint="default"/>
                            <w:sz w:val="16"/>
                            <w:szCs w:val="16"/>
                          </w:rPr>
                        </w:pPr>
                        <w:r>
                          <w:rPr>
                            <w:rFonts w:ascii="宋体"/>
                            <w:spacing w:val="-1"/>
                            <w:sz w:val="16"/>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04" w:lineRule="exact"/>
                          <w:ind w:right="19"/>
                          <w:jc w:val="center"/>
                          <w:rPr>
                            <w:rFonts w:ascii="宋体" w:hAnsi="宋体" w:cs="宋体" w:eastAsia="宋体" w:hint="default"/>
                            <w:sz w:val="16"/>
                            <w:szCs w:val="16"/>
                          </w:rPr>
                        </w:pPr>
                        <w:r>
                          <w:rPr>
                            <w:rFonts w:ascii="宋体"/>
                            <w:sz w:val="16"/>
                          </w:rPr>
                          <w:t>0.00</w:t>
                        </w:r>
                      </w:p>
                    </w:tc>
                    <w:tc>
                      <w:tcPr>
                        <w:tcW w:w="984" w:type="dxa"/>
                        <w:tcBorders>
                          <w:top w:val="nil" w:sz="6" w:space="0" w:color="auto"/>
                          <w:left w:val="nil" w:sz="6" w:space="0" w:color="auto"/>
                          <w:bottom w:val="nil" w:sz="6" w:space="0" w:color="auto"/>
                          <w:right w:val="nil" w:sz="6" w:space="0" w:color="auto"/>
                        </w:tcBorders>
                      </w:tcPr>
                      <w:p>
                        <w:pPr>
                          <w:pStyle w:val="TableParagraph"/>
                          <w:spacing w:line="204" w:lineRule="exact"/>
                          <w:ind w:right="254"/>
                          <w:jc w:val="right"/>
                          <w:rPr>
                            <w:rFonts w:ascii="宋体" w:hAnsi="宋体" w:cs="宋体" w:eastAsia="宋体" w:hint="default"/>
                            <w:sz w:val="16"/>
                            <w:szCs w:val="16"/>
                          </w:rPr>
                        </w:pPr>
                        <w:r>
                          <w:rPr>
                            <w:rFonts w:ascii="宋体"/>
                            <w:spacing w:val="-1"/>
                            <w:sz w:val="16"/>
                          </w:rPr>
                          <w:t>0.00</w:t>
                        </w:r>
                      </w:p>
                    </w:tc>
                    <w:tc>
                      <w:tcPr>
                        <w:tcW w:w="749" w:type="dxa"/>
                        <w:tcBorders>
                          <w:top w:val="nil" w:sz="6" w:space="0" w:color="auto"/>
                          <w:left w:val="nil" w:sz="6" w:space="0" w:color="auto"/>
                          <w:bottom w:val="nil" w:sz="6" w:space="0" w:color="auto"/>
                          <w:right w:val="nil" w:sz="6" w:space="0" w:color="auto"/>
                        </w:tcBorders>
                      </w:tcPr>
                      <w:p>
                        <w:pPr>
                          <w:pStyle w:val="TableParagraph"/>
                          <w:spacing w:line="204" w:lineRule="exact"/>
                          <w:ind w:right="170"/>
                          <w:jc w:val="right"/>
                          <w:rPr>
                            <w:rFonts w:ascii="宋体" w:hAnsi="宋体" w:cs="宋体" w:eastAsia="宋体" w:hint="default"/>
                            <w:sz w:val="16"/>
                            <w:szCs w:val="16"/>
                          </w:rPr>
                        </w:pPr>
                        <w:r>
                          <w:rPr>
                            <w:rFonts w:ascii="宋体"/>
                            <w:spacing w:val="-1"/>
                            <w:sz w:val="16"/>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04" w:lineRule="exact"/>
                          <w:ind w:right="443"/>
                          <w:jc w:val="right"/>
                          <w:rPr>
                            <w:rFonts w:ascii="宋体" w:hAnsi="宋体" w:cs="宋体" w:eastAsia="宋体" w:hint="default"/>
                            <w:sz w:val="16"/>
                            <w:szCs w:val="16"/>
                          </w:rPr>
                        </w:pPr>
                        <w:r>
                          <w:rPr>
                            <w:rFonts w:ascii="宋体"/>
                            <w:spacing w:val="-2"/>
                            <w:sz w:val="16"/>
                          </w:rPr>
                          <w:t>50,876,314.91</w:t>
                        </w:r>
                      </w:p>
                    </w:tc>
                    <w:tc>
                      <w:tcPr>
                        <w:tcW w:w="799" w:type="dxa"/>
                        <w:tcBorders>
                          <w:top w:val="nil" w:sz="6" w:space="0" w:color="auto"/>
                          <w:left w:val="nil" w:sz="6" w:space="0" w:color="auto"/>
                          <w:bottom w:val="nil" w:sz="6" w:space="0" w:color="auto"/>
                          <w:right w:val="nil" w:sz="6" w:space="0" w:color="auto"/>
                        </w:tcBorders>
                      </w:tcPr>
                      <w:p>
                        <w:pPr>
                          <w:pStyle w:val="TableParagraph"/>
                          <w:spacing w:line="204" w:lineRule="exact"/>
                          <w:ind w:right="30"/>
                          <w:jc w:val="right"/>
                          <w:rPr>
                            <w:rFonts w:ascii="宋体" w:hAnsi="宋体" w:cs="宋体" w:eastAsia="宋体" w:hint="default"/>
                            <w:sz w:val="16"/>
                            <w:szCs w:val="16"/>
                          </w:rPr>
                        </w:pPr>
                        <w:r>
                          <w:rPr>
                            <w:rFonts w:ascii="宋体"/>
                            <w:spacing w:val="-1"/>
                            <w:sz w:val="16"/>
                          </w:rPr>
                          <w:t>0.00</w:t>
                        </w:r>
                      </w:p>
                    </w:tc>
                  </w:tr>
                  <w:tr>
                    <w:trPr>
                      <w:trHeight w:val="601" w:hRule="exact"/>
                    </w:trPr>
                    <w:tc>
                      <w:tcPr>
                        <w:tcW w:w="2813"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19" w:right="0"/>
                          <w:jc w:val="left"/>
                          <w:rPr>
                            <w:rFonts w:ascii="宋体" w:hAnsi="宋体" w:cs="宋体" w:eastAsia="宋体" w:hint="default"/>
                            <w:sz w:val="16"/>
                            <w:szCs w:val="16"/>
                          </w:rPr>
                        </w:pPr>
                        <w:r>
                          <w:rPr>
                            <w:rFonts w:ascii="宋体" w:hAnsi="宋体" w:cs="宋体" w:eastAsia="宋体" w:hint="default"/>
                            <w:sz w:val="16"/>
                            <w:szCs w:val="16"/>
                          </w:rPr>
                          <w:t>同威津福科技（天津）有限公司</w:t>
                        </w:r>
                      </w:p>
                    </w:tc>
                    <w:tc>
                      <w:tcPr>
                        <w:tcW w:w="1849"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2"/>
                            <w:sz w:val="16"/>
                          </w:rPr>
                          <w:t>3,000,000.00</w:t>
                        </w:r>
                      </w:p>
                    </w:tc>
                    <w:tc>
                      <w:tcPr>
                        <w:tcW w:w="1509"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289"/>
                          <w:jc w:val="right"/>
                          <w:rPr>
                            <w:rFonts w:ascii="宋体" w:hAnsi="宋体" w:cs="宋体" w:eastAsia="宋体" w:hint="default"/>
                            <w:sz w:val="16"/>
                            <w:szCs w:val="16"/>
                          </w:rPr>
                        </w:pPr>
                        <w:r>
                          <w:rPr>
                            <w:rFonts w:ascii="宋体"/>
                            <w:spacing w:val="-1"/>
                            <w:sz w:val="16"/>
                          </w:rPr>
                          <w:t>0.00</w:t>
                        </w:r>
                      </w:p>
                    </w:tc>
                    <w:tc>
                      <w:tcPr>
                        <w:tcW w:w="790"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722"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501"/>
                          <w:jc w:val="right"/>
                          <w:rPr>
                            <w:rFonts w:ascii="宋体" w:hAnsi="宋体" w:cs="宋体" w:eastAsia="宋体" w:hint="default"/>
                            <w:sz w:val="16"/>
                            <w:szCs w:val="16"/>
                          </w:rPr>
                        </w:pPr>
                        <w:r>
                          <w:rPr>
                            <w:rFonts w:ascii="宋体"/>
                            <w:spacing w:val="-1"/>
                            <w:sz w:val="16"/>
                          </w:rPr>
                          <w:t>0.00</w:t>
                        </w:r>
                      </w:p>
                    </w:tc>
                    <w:tc>
                      <w:tcPr>
                        <w:tcW w:w="1210"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383"/>
                          <w:jc w:val="right"/>
                          <w:rPr>
                            <w:rFonts w:ascii="宋体" w:hAnsi="宋体" w:cs="宋体" w:eastAsia="宋体" w:hint="default"/>
                            <w:sz w:val="16"/>
                            <w:szCs w:val="16"/>
                          </w:rPr>
                        </w:pPr>
                        <w:r>
                          <w:rPr>
                            <w:rFonts w:ascii="宋体"/>
                            <w:spacing w:val="-1"/>
                            <w:sz w:val="16"/>
                          </w:rPr>
                          <w:t>0.00</w:t>
                        </w:r>
                      </w:p>
                    </w:tc>
                    <w:tc>
                      <w:tcPr>
                        <w:tcW w:w="1114"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9"/>
                          <w:jc w:val="center"/>
                          <w:rPr>
                            <w:rFonts w:ascii="宋体" w:hAnsi="宋体" w:cs="宋体" w:eastAsia="宋体" w:hint="default"/>
                            <w:sz w:val="16"/>
                            <w:szCs w:val="16"/>
                          </w:rPr>
                        </w:pPr>
                        <w:r>
                          <w:rPr>
                            <w:rFonts w:ascii="宋体"/>
                            <w:sz w:val="16"/>
                          </w:rPr>
                          <w:t>0.00</w:t>
                        </w:r>
                      </w:p>
                    </w:tc>
                    <w:tc>
                      <w:tcPr>
                        <w:tcW w:w="984"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49"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70"/>
                          <w:jc w:val="right"/>
                          <w:rPr>
                            <w:rFonts w:ascii="宋体" w:hAnsi="宋体" w:cs="宋体" w:eastAsia="宋体" w:hint="default"/>
                            <w:sz w:val="16"/>
                            <w:szCs w:val="16"/>
                          </w:rPr>
                        </w:pPr>
                        <w:r>
                          <w:rPr>
                            <w:rFonts w:ascii="宋体"/>
                            <w:spacing w:val="-1"/>
                            <w:sz w:val="16"/>
                          </w:rPr>
                          <w:t>0.00</w:t>
                        </w:r>
                      </w:p>
                    </w:tc>
                    <w:tc>
                      <w:tcPr>
                        <w:tcW w:w="1658"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444"/>
                          <w:jc w:val="right"/>
                          <w:rPr>
                            <w:rFonts w:ascii="宋体" w:hAnsi="宋体" w:cs="宋体" w:eastAsia="宋体" w:hint="default"/>
                            <w:sz w:val="16"/>
                            <w:szCs w:val="16"/>
                          </w:rPr>
                        </w:pPr>
                        <w:r>
                          <w:rPr>
                            <w:rFonts w:ascii="宋体"/>
                            <w:spacing w:val="-2"/>
                            <w:sz w:val="16"/>
                          </w:rPr>
                          <w:t>3,000,000.00</w:t>
                        </w:r>
                      </w:p>
                    </w:tc>
                    <w:tc>
                      <w:tcPr>
                        <w:tcW w:w="799"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31" w:hRule="exact"/>
                    </w:trPr>
                    <w:tc>
                      <w:tcPr>
                        <w:tcW w:w="2813"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6"/>
                            <w:szCs w:val="16"/>
                          </w:rPr>
                        </w:pPr>
                        <w:r>
                          <w:rPr>
                            <w:rFonts w:ascii="宋体" w:hAnsi="宋体" w:cs="宋体" w:eastAsia="宋体" w:hint="default"/>
                            <w:sz w:val="16"/>
                            <w:szCs w:val="16"/>
                          </w:rPr>
                          <w:t>二、联营企业</w:t>
                        </w:r>
                      </w:p>
                    </w:tc>
                    <w:tc>
                      <w:tcPr>
                        <w:tcW w:w="1849" w:type="dxa"/>
                        <w:tcBorders>
                          <w:top w:val="single" w:sz="4" w:space="0" w:color="000000"/>
                          <w:left w:val="nil" w:sz="6" w:space="0" w:color="auto"/>
                          <w:bottom w:val="nil" w:sz="6" w:space="0" w:color="auto"/>
                          <w:right w:val="nil" w:sz="6" w:space="0" w:color="auto"/>
                        </w:tcBorders>
                      </w:tcPr>
                      <w:p>
                        <w:pPr/>
                      </w:p>
                    </w:tc>
                    <w:tc>
                      <w:tcPr>
                        <w:tcW w:w="1509" w:type="dxa"/>
                        <w:tcBorders>
                          <w:top w:val="single" w:sz="4" w:space="0" w:color="000000"/>
                          <w:left w:val="nil" w:sz="6" w:space="0" w:color="auto"/>
                          <w:bottom w:val="nil" w:sz="6" w:space="0" w:color="auto"/>
                          <w:right w:val="nil" w:sz="6" w:space="0" w:color="auto"/>
                        </w:tcBorders>
                      </w:tcPr>
                      <w:p>
                        <w:pPr/>
                      </w:p>
                    </w:tc>
                    <w:tc>
                      <w:tcPr>
                        <w:tcW w:w="790" w:type="dxa"/>
                        <w:tcBorders>
                          <w:top w:val="single" w:sz="4" w:space="0" w:color="000000"/>
                          <w:left w:val="nil" w:sz="6" w:space="0" w:color="auto"/>
                          <w:bottom w:val="nil" w:sz="6" w:space="0" w:color="auto"/>
                          <w:right w:val="nil" w:sz="6" w:space="0" w:color="auto"/>
                        </w:tcBorders>
                      </w:tcPr>
                      <w:p>
                        <w:pPr/>
                      </w:p>
                    </w:tc>
                    <w:tc>
                      <w:tcPr>
                        <w:tcW w:w="1722" w:type="dxa"/>
                        <w:tcBorders>
                          <w:top w:val="single" w:sz="4" w:space="0" w:color="000000"/>
                          <w:left w:val="nil" w:sz="6" w:space="0" w:color="auto"/>
                          <w:bottom w:val="nil" w:sz="6" w:space="0" w:color="auto"/>
                          <w:right w:val="nil" w:sz="6" w:space="0" w:color="auto"/>
                        </w:tcBorders>
                      </w:tcPr>
                      <w:p>
                        <w:pPr/>
                      </w:p>
                    </w:tc>
                    <w:tc>
                      <w:tcPr>
                        <w:tcW w:w="1210" w:type="dxa"/>
                        <w:tcBorders>
                          <w:top w:val="single" w:sz="4" w:space="0" w:color="000000"/>
                          <w:left w:val="nil" w:sz="6" w:space="0" w:color="auto"/>
                          <w:bottom w:val="nil" w:sz="6" w:space="0" w:color="auto"/>
                          <w:right w:val="nil" w:sz="6" w:space="0" w:color="auto"/>
                        </w:tcBorders>
                      </w:tcPr>
                      <w:p>
                        <w:pPr/>
                      </w:p>
                    </w:tc>
                    <w:tc>
                      <w:tcPr>
                        <w:tcW w:w="1114" w:type="dxa"/>
                        <w:tcBorders>
                          <w:top w:val="single" w:sz="4" w:space="0" w:color="000000"/>
                          <w:left w:val="nil" w:sz="6" w:space="0" w:color="auto"/>
                          <w:bottom w:val="nil" w:sz="6" w:space="0" w:color="auto"/>
                          <w:right w:val="nil" w:sz="6" w:space="0" w:color="auto"/>
                        </w:tcBorders>
                      </w:tcPr>
                      <w:p>
                        <w:pPr/>
                      </w:p>
                    </w:tc>
                    <w:tc>
                      <w:tcPr>
                        <w:tcW w:w="984" w:type="dxa"/>
                        <w:tcBorders>
                          <w:top w:val="single" w:sz="4" w:space="0" w:color="000000"/>
                          <w:left w:val="nil" w:sz="6" w:space="0" w:color="auto"/>
                          <w:bottom w:val="nil" w:sz="6" w:space="0" w:color="auto"/>
                          <w:right w:val="nil" w:sz="6" w:space="0" w:color="auto"/>
                        </w:tcBorders>
                      </w:tcPr>
                      <w:p>
                        <w:pPr/>
                      </w:p>
                    </w:tc>
                    <w:tc>
                      <w:tcPr>
                        <w:tcW w:w="749" w:type="dxa"/>
                        <w:tcBorders>
                          <w:top w:val="single" w:sz="4" w:space="0" w:color="000000"/>
                          <w:left w:val="nil" w:sz="6" w:space="0" w:color="auto"/>
                          <w:bottom w:val="nil" w:sz="6" w:space="0" w:color="auto"/>
                          <w:right w:val="nil" w:sz="6" w:space="0" w:color="auto"/>
                        </w:tcBorders>
                      </w:tcPr>
                      <w:p>
                        <w:pPr/>
                      </w:p>
                    </w:tc>
                    <w:tc>
                      <w:tcPr>
                        <w:tcW w:w="1658" w:type="dxa"/>
                        <w:tcBorders>
                          <w:top w:val="single" w:sz="4" w:space="0" w:color="000000"/>
                          <w:left w:val="nil" w:sz="6" w:space="0" w:color="auto"/>
                          <w:bottom w:val="nil" w:sz="6" w:space="0" w:color="auto"/>
                          <w:right w:val="nil" w:sz="6" w:space="0" w:color="auto"/>
                        </w:tcBorders>
                      </w:tcPr>
                      <w:p>
                        <w:pPr/>
                      </w:p>
                    </w:tc>
                    <w:tc>
                      <w:tcPr>
                        <w:tcW w:w="799" w:type="dxa"/>
                        <w:tcBorders>
                          <w:top w:val="single" w:sz="4" w:space="0" w:color="000000"/>
                          <w:left w:val="nil" w:sz="6" w:space="0" w:color="auto"/>
                          <w:bottom w:val="nil" w:sz="6" w:space="0" w:color="auto"/>
                          <w:right w:val="nil" w:sz="6" w:space="0" w:color="auto"/>
                        </w:tcBorders>
                      </w:tcPr>
                      <w:p>
                        <w:pPr/>
                      </w:p>
                    </w:tc>
                  </w:tr>
                  <w:tr>
                    <w:trPr>
                      <w:trHeight w:val="353" w:hRule="exact"/>
                    </w:trPr>
                    <w:tc>
                      <w:tcPr>
                        <w:tcW w:w="15196" w:type="dxa"/>
                        <w:gridSpan w:val="11"/>
                        <w:tcBorders>
                          <w:top w:val="nil" w:sz="6" w:space="0" w:color="auto"/>
                          <w:left w:val="nil" w:sz="6" w:space="0" w:color="auto"/>
                          <w:bottom w:val="nil" w:sz="6" w:space="0" w:color="auto"/>
                          <w:right w:val="nil" w:sz="6" w:space="0" w:color="auto"/>
                        </w:tcBorders>
                      </w:tcPr>
                      <w:p>
                        <w:pPr>
                          <w:pStyle w:val="TableParagraph"/>
                          <w:tabs>
                            <w:tab w:pos="3204" w:val="left" w:leader="none"/>
                            <w:tab w:pos="10693" w:val="left" w:leader="none"/>
                          </w:tabs>
                          <w:spacing w:line="212" w:lineRule="exact" w:before="37"/>
                          <w:ind w:left="19" w:right="0"/>
                          <w:jc w:val="left"/>
                          <w:rPr>
                            <w:rFonts w:ascii="宋体" w:hAnsi="宋体" w:cs="宋体" w:eastAsia="宋体" w:hint="default"/>
                            <w:sz w:val="16"/>
                            <w:szCs w:val="16"/>
                          </w:rPr>
                        </w:pPr>
                        <w:r>
                          <w:rPr>
                            <w:rFonts w:ascii="宋体" w:hAnsi="宋体" w:cs="宋体" w:eastAsia="宋体" w:hint="default"/>
                            <w:spacing w:val="-1"/>
                            <w:position w:val="-10"/>
                            <w:sz w:val="16"/>
                            <w:szCs w:val="16"/>
                          </w:rPr>
                          <w:t>同方国信投资控股有限公司</w:t>
                          <w:tab/>
                        </w:r>
                        <w:r>
                          <w:rPr>
                            <w:rFonts w:ascii="宋体" w:hAnsi="宋体" w:cs="宋体" w:eastAsia="宋体" w:hint="default"/>
                            <w:spacing w:val="-2"/>
                            <w:sz w:val="16"/>
                            <w:szCs w:val="16"/>
                          </w:rPr>
                          <w:t>7,313,146,479.1</w:t>
                          <w:tab/>
                          <w:t>338,775,000.0</w:t>
                        </w:r>
                      </w:p>
                      <w:p>
                        <w:pPr>
                          <w:pStyle w:val="TableParagraph"/>
                          <w:tabs>
                            <w:tab w:pos="5559" w:val="left" w:leader="none"/>
                            <w:tab w:pos="6461" w:val="left" w:leader="none"/>
                            <w:tab w:pos="7056" w:val="left" w:leader="none"/>
                            <w:tab w:pos="11653" w:val="left" w:leader="none"/>
                            <w:tab w:pos="12246" w:val="left" w:leader="none"/>
                            <w:tab w:pos="14843" w:val="left" w:leader="none"/>
                          </w:tabs>
                          <w:spacing w:line="143" w:lineRule="exact"/>
                          <w:ind w:left="4325" w:right="0"/>
                          <w:jc w:val="left"/>
                          <w:rPr>
                            <w:rFonts w:ascii="宋体" w:hAnsi="宋体" w:cs="宋体" w:eastAsia="宋体" w:hint="default"/>
                            <w:sz w:val="16"/>
                            <w:szCs w:val="16"/>
                          </w:rPr>
                        </w:pPr>
                        <w:r>
                          <w:rPr>
                            <w:rFonts w:ascii="宋体"/>
                            <w:position w:val="-9"/>
                            <w:sz w:val="16"/>
                          </w:rPr>
                          <w:t>4</w:t>
                          <w:tab/>
                        </w:r>
                        <w:r>
                          <w:rPr>
                            <w:rFonts w:ascii="宋体"/>
                            <w:spacing w:val="-1"/>
                            <w:sz w:val="16"/>
                          </w:rPr>
                          <w:t>0.00</w:t>
                          <w:tab/>
                          <w:t>0.00</w:t>
                          <w:tab/>
                        </w:r>
                        <w:r>
                          <w:rPr>
                            <w:rFonts w:ascii="宋体"/>
                            <w:spacing w:val="-2"/>
                            <w:sz w:val="16"/>
                          </w:rPr>
                          <w:t>598,565,272.91</w:t>
                        </w:r>
                        <w:r>
                          <w:rPr>
                            <w:rFonts w:ascii="宋体"/>
                            <w:sz w:val="16"/>
                          </w:rPr>
                          <w:t>  </w:t>
                        </w:r>
                        <w:r>
                          <w:rPr>
                            <w:rFonts w:ascii="宋体"/>
                            <w:spacing w:val="-2"/>
                            <w:sz w:val="16"/>
                          </w:rPr>
                          <w:t>-312,902,752.83</w:t>
                        </w:r>
                        <w:r>
                          <w:rPr>
                            <w:rFonts w:ascii="宋体"/>
                            <w:spacing w:val="69"/>
                            <w:sz w:val="16"/>
                          </w:rPr>
                          <w:t> </w:t>
                        </w:r>
                        <w:r>
                          <w:rPr>
                            <w:rFonts w:ascii="宋体"/>
                            <w:spacing w:val="-2"/>
                            <w:sz w:val="16"/>
                          </w:rPr>
                          <w:t>9,511,950.22</w:t>
                          <w:tab/>
                        </w:r>
                        <w:r>
                          <w:rPr>
                            <w:rFonts w:ascii="宋体"/>
                            <w:position w:val="-9"/>
                            <w:sz w:val="16"/>
                          </w:rPr>
                          <w:t>0</w:t>
                          <w:tab/>
                        </w:r>
                        <w:r>
                          <w:rPr>
                            <w:rFonts w:ascii="宋体"/>
                            <w:spacing w:val="-1"/>
                            <w:sz w:val="16"/>
                          </w:rPr>
                          <w:t>0.00</w:t>
                        </w:r>
                        <w:r>
                          <w:rPr>
                            <w:rFonts w:ascii="宋体"/>
                            <w:spacing w:val="44"/>
                            <w:sz w:val="16"/>
                          </w:rPr>
                          <w:t> </w:t>
                        </w:r>
                        <w:r>
                          <w:rPr>
                            <w:rFonts w:ascii="宋体"/>
                            <w:spacing w:val="-2"/>
                            <w:sz w:val="16"/>
                          </w:rPr>
                          <w:t>7,269,545,949.44</w:t>
                          <w:tab/>
                        </w:r>
                        <w:r>
                          <w:rPr>
                            <w:rFonts w:ascii="宋体"/>
                            <w:spacing w:val="-1"/>
                            <w:sz w:val="16"/>
                          </w:rPr>
                          <w:t>0.00</w:t>
                        </w:r>
                      </w:p>
                    </w:tc>
                  </w:tr>
                </w:tbl>
                <w:p>
                  <w:pPr/>
                </w:p>
              </w:txbxContent>
            </v:textbox>
            <w10:wrap type="none"/>
          </v:shape>
        </w:pict>
      </w:r>
      <w:r>
        <w:rPr>
          <w:rFonts w:ascii="宋体"/>
          <w:spacing w:val="-1"/>
          <w:sz w:val="16"/>
        </w:rPr>
        <w:t>0.00</w:t>
        <w:tab/>
        <w:t>0.00</w:t>
        <w:tab/>
      </w:r>
      <w:r>
        <w:rPr>
          <w:rFonts w:ascii="宋体"/>
          <w:spacing w:val="-2"/>
          <w:sz w:val="16"/>
        </w:rPr>
        <w:t>66,284,215.00</w:t>
        <w:tab/>
        <w:t>95,901,687.00</w:t>
        <w:tab/>
      </w:r>
      <w:r>
        <w:rPr>
          <w:rFonts w:ascii="宋体"/>
          <w:spacing w:val="-1"/>
          <w:sz w:val="16"/>
        </w:rPr>
        <w:t>0.00</w:t>
        <w:tab/>
        <w:t>0.00</w:t>
        <w:tab/>
        <w:t>0.00</w:t>
      </w:r>
      <w:r>
        <w:rPr>
          <w:rFonts w:ascii="宋体"/>
          <w:spacing w:val="44"/>
          <w:sz w:val="16"/>
        </w:rPr>
        <w:t> </w:t>
      </w:r>
      <w:r>
        <w:rPr>
          <w:rFonts w:ascii="宋体"/>
          <w:spacing w:val="-2"/>
          <w:sz w:val="16"/>
        </w:rPr>
        <w:t>1,293,794,432.49</w:t>
        <w:tab/>
      </w:r>
      <w:r>
        <w:rPr>
          <w:rFonts w:ascii="宋体"/>
          <w:spacing w:val="-1"/>
          <w:sz w:val="16"/>
        </w:rPr>
        <w:t>0.00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6580" w:val="left" w:leader="none"/>
          <w:tab w:pos="8502" w:val="left" w:leader="none"/>
          <w:tab w:pos="12365" w:val="left" w:leader="none"/>
        </w:tabs>
        <w:spacing w:before="51"/>
        <w:ind w:left="5677" w:right="0" w:firstLine="0"/>
        <w:jc w:val="left"/>
        <w:rPr>
          <w:rFonts w:ascii="宋体" w:hAnsi="宋体" w:cs="宋体" w:eastAsia="宋体" w:hint="default"/>
          <w:sz w:val="16"/>
          <w:szCs w:val="16"/>
        </w:rPr>
      </w:pPr>
      <w:r>
        <w:rPr/>
        <w:pict>
          <v:shape style="position:absolute;margin-left:40.130001pt;margin-top:-36.435627pt;width:760.75pt;height:223.95pt;mso-position-horizontal-relative:page;mso-position-vertical-relative:paragraph;z-index:38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28"/>
                    <w:gridCol w:w="1570"/>
                    <w:gridCol w:w="1589"/>
                    <w:gridCol w:w="749"/>
                    <w:gridCol w:w="1362"/>
                    <w:gridCol w:w="1251"/>
                    <w:gridCol w:w="1114"/>
                    <w:gridCol w:w="1344"/>
                    <w:gridCol w:w="629"/>
                    <w:gridCol w:w="1377"/>
                    <w:gridCol w:w="1202"/>
                  </w:tblGrid>
                  <w:tr>
                    <w:trPr>
                      <w:trHeight w:val="288" w:hRule="exact"/>
                    </w:trPr>
                    <w:tc>
                      <w:tcPr>
                        <w:tcW w:w="6187" w:type="dxa"/>
                        <w:gridSpan w:val="3"/>
                        <w:tcBorders>
                          <w:top w:val="nil" w:sz="6" w:space="0" w:color="auto"/>
                          <w:left w:val="nil" w:sz="6" w:space="0" w:color="auto"/>
                          <w:bottom w:val="nil" w:sz="6" w:space="0" w:color="auto"/>
                          <w:right w:val="nil" w:sz="6" w:space="0" w:color="auto"/>
                        </w:tcBorders>
                      </w:tcPr>
                      <w:p>
                        <w:pPr>
                          <w:pStyle w:val="TableParagraph"/>
                          <w:tabs>
                            <w:tab w:pos="3220" w:val="left" w:leader="none"/>
                          </w:tabs>
                          <w:spacing w:line="58" w:lineRule="exact"/>
                          <w:ind w:left="35" w:right="0"/>
                          <w:jc w:val="left"/>
                          <w:rPr>
                            <w:rFonts w:ascii="宋体" w:hAnsi="宋体" w:cs="宋体" w:eastAsia="宋体" w:hint="default"/>
                            <w:sz w:val="16"/>
                            <w:szCs w:val="16"/>
                          </w:rPr>
                        </w:pPr>
                        <w:r>
                          <w:rPr>
                            <w:rFonts w:ascii="宋体" w:hAnsi="宋体" w:cs="宋体" w:eastAsia="宋体" w:hint="default"/>
                            <w:spacing w:val="-1"/>
                            <w:position w:val="-10"/>
                            <w:sz w:val="16"/>
                            <w:szCs w:val="16"/>
                          </w:rPr>
                          <w:t>天诚国际投资有限公司</w:t>
                          <w:tab/>
                        </w:r>
                        <w:r>
                          <w:rPr>
                            <w:rFonts w:ascii="宋体" w:hAnsi="宋体" w:cs="宋体" w:eastAsia="宋体" w:hint="default"/>
                            <w:spacing w:val="-2"/>
                            <w:sz w:val="16"/>
                            <w:szCs w:val="16"/>
                          </w:rPr>
                          <w:t>2,052,000,000.0</w:t>
                        </w:r>
                      </w:p>
                      <w:p>
                        <w:pPr>
                          <w:pStyle w:val="TableParagraph"/>
                          <w:tabs>
                            <w:tab w:pos="1234" w:val="left" w:leader="none"/>
                          </w:tabs>
                          <w:spacing w:line="202" w:lineRule="exact"/>
                          <w:ind w:right="289"/>
                          <w:jc w:val="right"/>
                          <w:rPr>
                            <w:rFonts w:ascii="宋体" w:hAnsi="宋体" w:cs="宋体" w:eastAsia="宋体" w:hint="default"/>
                            <w:sz w:val="16"/>
                            <w:szCs w:val="16"/>
                          </w:rPr>
                        </w:pPr>
                        <w:r>
                          <w:rPr>
                            <w:rFonts w:ascii="宋体"/>
                            <w:position w:val="-9"/>
                            <w:sz w:val="16"/>
                          </w:rPr>
                          <w:t>0</w:t>
                          <w:tab/>
                        </w:r>
                        <w:r>
                          <w:rPr>
                            <w:rFonts w:ascii="宋体"/>
                            <w:spacing w:val="-1"/>
                            <w:sz w:val="16"/>
                          </w:rPr>
                          <w:t>0.00</w:t>
                        </w:r>
                      </w:p>
                    </w:tc>
                    <w:tc>
                      <w:tcPr>
                        <w:tcW w:w="749" w:type="dxa"/>
                        <w:tcBorders>
                          <w:top w:val="nil" w:sz="6" w:space="0" w:color="auto"/>
                          <w:left w:val="nil" w:sz="6" w:space="0" w:color="auto"/>
                          <w:bottom w:val="nil" w:sz="6" w:space="0" w:color="auto"/>
                          <w:right w:val="nil" w:sz="6" w:space="0" w:color="auto"/>
                        </w:tcBorders>
                      </w:tcPr>
                      <w:p>
                        <w:pPr>
                          <w:pStyle w:val="TableParagraph"/>
                          <w:spacing w:line="161" w:lineRule="exact"/>
                          <w:ind w:right="135"/>
                          <w:jc w:val="right"/>
                          <w:rPr>
                            <w:rFonts w:ascii="宋体" w:hAnsi="宋体" w:cs="宋体" w:eastAsia="宋体" w:hint="default"/>
                            <w:sz w:val="16"/>
                            <w:szCs w:val="16"/>
                          </w:rPr>
                        </w:pPr>
                        <w:r>
                          <w:rPr>
                            <w:rFonts w:ascii="宋体"/>
                            <w:spacing w:val="-1"/>
                            <w:sz w:val="16"/>
                          </w:rPr>
                          <w:t>0.00</w:t>
                        </w:r>
                      </w:p>
                    </w:tc>
                    <w:tc>
                      <w:tcPr>
                        <w:tcW w:w="1362" w:type="dxa"/>
                        <w:tcBorders>
                          <w:top w:val="nil" w:sz="6" w:space="0" w:color="auto"/>
                          <w:left w:val="nil" w:sz="6" w:space="0" w:color="auto"/>
                          <w:bottom w:val="nil" w:sz="6" w:space="0" w:color="auto"/>
                          <w:right w:val="nil" w:sz="6" w:space="0" w:color="auto"/>
                        </w:tcBorders>
                      </w:tcPr>
                      <w:p>
                        <w:pPr>
                          <w:pStyle w:val="TableParagraph"/>
                          <w:spacing w:line="161" w:lineRule="exact"/>
                          <w:ind w:right="101"/>
                          <w:jc w:val="right"/>
                          <w:rPr>
                            <w:rFonts w:ascii="宋体" w:hAnsi="宋体" w:cs="宋体" w:eastAsia="宋体" w:hint="default"/>
                            <w:sz w:val="16"/>
                            <w:szCs w:val="16"/>
                          </w:rPr>
                        </w:pPr>
                        <w:r>
                          <w:rPr>
                            <w:rFonts w:ascii="宋体"/>
                            <w:spacing w:val="-2"/>
                            <w:sz w:val="16"/>
                          </w:rPr>
                          <w:t>-78,379,241.96</w:t>
                        </w:r>
                      </w:p>
                    </w:tc>
                    <w:tc>
                      <w:tcPr>
                        <w:tcW w:w="2364" w:type="dxa"/>
                        <w:gridSpan w:val="2"/>
                        <w:tcBorders>
                          <w:top w:val="nil" w:sz="6" w:space="0" w:color="auto"/>
                          <w:left w:val="nil" w:sz="6" w:space="0" w:color="auto"/>
                          <w:bottom w:val="nil" w:sz="6" w:space="0" w:color="auto"/>
                          <w:right w:val="nil" w:sz="6" w:space="0" w:color="auto"/>
                        </w:tcBorders>
                      </w:tcPr>
                      <w:p>
                        <w:pPr>
                          <w:pStyle w:val="TableParagraph"/>
                          <w:spacing w:line="161" w:lineRule="exact"/>
                          <w:ind w:left="263" w:right="0"/>
                          <w:jc w:val="left"/>
                          <w:rPr>
                            <w:rFonts w:ascii="宋体" w:hAnsi="宋体" w:cs="宋体" w:eastAsia="宋体" w:hint="default"/>
                            <w:sz w:val="16"/>
                            <w:szCs w:val="16"/>
                          </w:rPr>
                        </w:pPr>
                        <w:r>
                          <w:rPr>
                            <w:rFonts w:ascii="宋体"/>
                            <w:sz w:val="16"/>
                          </w:rPr>
                          <w:t>2,542,181.69</w:t>
                        </w:r>
                        <w:r>
                          <w:rPr>
                            <w:rFonts w:ascii="宋体"/>
                            <w:spacing w:val="-47"/>
                            <w:sz w:val="16"/>
                          </w:rPr>
                          <w:t> </w:t>
                        </w:r>
                        <w:r>
                          <w:rPr>
                            <w:rFonts w:ascii="宋体"/>
                            <w:sz w:val="16"/>
                          </w:rPr>
                          <w:t>-8,294,605.91</w:t>
                        </w:r>
                      </w:p>
                    </w:tc>
                    <w:tc>
                      <w:tcPr>
                        <w:tcW w:w="1344" w:type="dxa"/>
                        <w:tcBorders>
                          <w:top w:val="nil" w:sz="6" w:space="0" w:color="auto"/>
                          <w:left w:val="nil" w:sz="6" w:space="0" w:color="auto"/>
                          <w:bottom w:val="nil" w:sz="6" w:space="0" w:color="auto"/>
                          <w:right w:val="nil" w:sz="6" w:space="0" w:color="auto"/>
                        </w:tcBorders>
                      </w:tcPr>
                      <w:p>
                        <w:pPr>
                          <w:pStyle w:val="TableParagraph"/>
                          <w:spacing w:line="161" w:lineRule="exact"/>
                          <w:ind w:right="254"/>
                          <w:jc w:val="right"/>
                          <w:rPr>
                            <w:rFonts w:ascii="宋体" w:hAnsi="宋体" w:cs="宋体" w:eastAsia="宋体" w:hint="default"/>
                            <w:sz w:val="16"/>
                            <w:szCs w:val="16"/>
                          </w:rPr>
                        </w:pPr>
                        <w:r>
                          <w:rPr>
                            <w:rFonts w:ascii="宋体"/>
                            <w:spacing w:val="-1"/>
                            <w:sz w:val="16"/>
                          </w:rPr>
                          <w:t>0.00</w:t>
                        </w:r>
                      </w:p>
                    </w:tc>
                    <w:tc>
                      <w:tcPr>
                        <w:tcW w:w="629" w:type="dxa"/>
                        <w:tcBorders>
                          <w:top w:val="nil" w:sz="6" w:space="0" w:color="auto"/>
                          <w:left w:val="nil" w:sz="6" w:space="0" w:color="auto"/>
                          <w:bottom w:val="nil" w:sz="6" w:space="0" w:color="auto"/>
                          <w:right w:val="nil" w:sz="6" w:space="0" w:color="auto"/>
                        </w:tcBorders>
                      </w:tcPr>
                      <w:p>
                        <w:pPr>
                          <w:pStyle w:val="TableParagraph"/>
                          <w:spacing w:line="161" w:lineRule="exact"/>
                          <w:ind w:right="50"/>
                          <w:jc w:val="right"/>
                          <w:rPr>
                            <w:rFonts w:ascii="宋体" w:hAnsi="宋体" w:cs="宋体" w:eastAsia="宋体" w:hint="default"/>
                            <w:sz w:val="16"/>
                            <w:szCs w:val="16"/>
                          </w:rPr>
                        </w:pPr>
                        <w:r>
                          <w:rPr>
                            <w:rFonts w:ascii="宋体"/>
                            <w:spacing w:val="-1"/>
                            <w:sz w:val="16"/>
                          </w:rPr>
                          <w:t>0.00</w:t>
                        </w:r>
                      </w:p>
                    </w:tc>
                    <w:tc>
                      <w:tcPr>
                        <w:tcW w:w="1377" w:type="dxa"/>
                        <w:tcBorders>
                          <w:top w:val="nil" w:sz="6" w:space="0" w:color="auto"/>
                          <w:left w:val="nil" w:sz="6" w:space="0" w:color="auto"/>
                          <w:bottom w:val="nil" w:sz="6" w:space="0" w:color="auto"/>
                          <w:right w:val="nil" w:sz="6" w:space="0" w:color="auto"/>
                        </w:tcBorders>
                      </w:tcPr>
                      <w:p>
                        <w:pPr>
                          <w:pStyle w:val="TableParagraph"/>
                          <w:spacing w:line="161" w:lineRule="exact"/>
                          <w:ind w:right="43"/>
                          <w:jc w:val="right"/>
                          <w:rPr>
                            <w:rFonts w:ascii="宋体" w:hAnsi="宋体" w:cs="宋体" w:eastAsia="宋体" w:hint="default"/>
                            <w:sz w:val="16"/>
                            <w:szCs w:val="16"/>
                          </w:rPr>
                        </w:pPr>
                        <w:r>
                          <w:rPr>
                            <w:rFonts w:ascii="宋体"/>
                            <w:spacing w:val="-2"/>
                            <w:sz w:val="16"/>
                          </w:rPr>
                          <w:t>1,967,868,333.82</w:t>
                        </w:r>
                      </w:p>
                    </w:tc>
                    <w:tc>
                      <w:tcPr>
                        <w:tcW w:w="1202" w:type="dxa"/>
                        <w:tcBorders>
                          <w:top w:val="nil" w:sz="6" w:space="0" w:color="auto"/>
                          <w:left w:val="nil" w:sz="6" w:space="0" w:color="auto"/>
                          <w:bottom w:val="nil" w:sz="6" w:space="0" w:color="auto"/>
                          <w:right w:val="nil" w:sz="6" w:space="0" w:color="auto"/>
                        </w:tcBorders>
                      </w:tcPr>
                      <w:p>
                        <w:pPr>
                          <w:pStyle w:val="TableParagraph"/>
                          <w:spacing w:line="161" w:lineRule="exact"/>
                          <w:ind w:right="33"/>
                          <w:jc w:val="right"/>
                          <w:rPr>
                            <w:rFonts w:ascii="宋体" w:hAnsi="宋体" w:cs="宋体" w:eastAsia="宋体" w:hint="default"/>
                            <w:sz w:val="16"/>
                            <w:szCs w:val="16"/>
                          </w:rPr>
                        </w:pPr>
                        <w:r>
                          <w:rPr>
                            <w:rFonts w:ascii="宋体"/>
                            <w:spacing w:val="-1"/>
                            <w:sz w:val="16"/>
                          </w:rPr>
                          <w:t>0.00</w:t>
                        </w:r>
                      </w:p>
                    </w:tc>
                  </w:tr>
                  <w:tr>
                    <w:trPr>
                      <w:trHeight w:val="288" w:hRule="exact"/>
                    </w:trPr>
                    <w:tc>
                      <w:tcPr>
                        <w:tcW w:w="6187" w:type="dxa"/>
                        <w:gridSpan w:val="3"/>
                        <w:tcBorders>
                          <w:top w:val="nil" w:sz="6" w:space="0" w:color="auto"/>
                          <w:left w:val="nil" w:sz="6" w:space="0" w:color="auto"/>
                          <w:bottom w:val="nil" w:sz="6" w:space="0" w:color="auto"/>
                          <w:right w:val="nil" w:sz="6" w:space="0" w:color="auto"/>
                        </w:tcBorders>
                      </w:tcPr>
                      <w:p>
                        <w:pPr>
                          <w:pStyle w:val="TableParagraph"/>
                          <w:tabs>
                            <w:tab w:pos="3220" w:val="left" w:leader="none"/>
                          </w:tabs>
                          <w:spacing w:line="186" w:lineRule="exact"/>
                          <w:ind w:left="35" w:right="0"/>
                          <w:jc w:val="left"/>
                          <w:rPr>
                            <w:rFonts w:ascii="宋体" w:hAnsi="宋体" w:cs="宋体" w:eastAsia="宋体" w:hint="default"/>
                            <w:sz w:val="16"/>
                            <w:szCs w:val="16"/>
                          </w:rPr>
                        </w:pPr>
                        <w:r>
                          <w:rPr>
                            <w:rFonts w:ascii="宋体" w:hAnsi="宋体" w:cs="宋体" w:eastAsia="宋体" w:hint="default"/>
                            <w:spacing w:val="-1"/>
                            <w:position w:val="-10"/>
                            <w:sz w:val="16"/>
                            <w:szCs w:val="16"/>
                          </w:rPr>
                          <w:t>中国医疗网络有限公司</w:t>
                          <w:tab/>
                        </w:r>
                        <w:r>
                          <w:rPr>
                            <w:rFonts w:ascii="宋体" w:hAnsi="宋体" w:cs="宋体" w:eastAsia="宋体" w:hint="default"/>
                            <w:spacing w:val="-2"/>
                            <w:sz w:val="16"/>
                            <w:szCs w:val="16"/>
                          </w:rPr>
                          <w:t>1,492,929,934.6</w:t>
                        </w:r>
                      </w:p>
                      <w:p>
                        <w:pPr>
                          <w:pStyle w:val="TableParagraph"/>
                          <w:tabs>
                            <w:tab w:pos="1234" w:val="left" w:leader="none"/>
                          </w:tabs>
                          <w:spacing w:line="143" w:lineRule="exact"/>
                          <w:ind w:right="289"/>
                          <w:jc w:val="right"/>
                          <w:rPr>
                            <w:rFonts w:ascii="宋体" w:hAnsi="宋体" w:cs="宋体" w:eastAsia="宋体" w:hint="default"/>
                            <w:sz w:val="16"/>
                            <w:szCs w:val="16"/>
                          </w:rPr>
                        </w:pPr>
                        <w:r>
                          <w:rPr>
                            <w:rFonts w:ascii="宋体"/>
                            <w:position w:val="-9"/>
                            <w:sz w:val="16"/>
                          </w:rPr>
                          <w:t>0</w:t>
                          <w:tab/>
                        </w:r>
                        <w:r>
                          <w:rPr>
                            <w:rFonts w:ascii="宋体"/>
                            <w:spacing w:val="-1"/>
                            <w:sz w:val="16"/>
                          </w:rPr>
                          <w:t>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35"/>
                          <w:jc w:val="right"/>
                          <w:rPr>
                            <w:rFonts w:ascii="宋体" w:hAnsi="宋体" w:cs="宋体" w:eastAsia="宋体" w:hint="default"/>
                            <w:sz w:val="16"/>
                            <w:szCs w:val="16"/>
                          </w:rPr>
                        </w:pPr>
                        <w:r>
                          <w:rPr>
                            <w:rFonts w:ascii="宋体"/>
                            <w:spacing w:val="-1"/>
                            <w:sz w:val="16"/>
                          </w:rPr>
                          <w:t>0.00</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1"/>
                          <w:jc w:val="right"/>
                          <w:rPr>
                            <w:rFonts w:ascii="宋体" w:hAnsi="宋体" w:cs="宋体" w:eastAsia="宋体" w:hint="default"/>
                            <w:sz w:val="16"/>
                            <w:szCs w:val="16"/>
                          </w:rPr>
                        </w:pPr>
                        <w:r>
                          <w:rPr>
                            <w:rFonts w:ascii="宋体"/>
                            <w:spacing w:val="-2"/>
                            <w:sz w:val="16"/>
                          </w:rPr>
                          <w:t>-12,763,707.70</w:t>
                        </w:r>
                      </w:p>
                    </w:tc>
                    <w:tc>
                      <w:tcPr>
                        <w:tcW w:w="23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8"/>
                          <w:ind w:left="263" w:right="0"/>
                          <w:jc w:val="left"/>
                          <w:rPr>
                            <w:rFonts w:ascii="宋体" w:hAnsi="宋体" w:cs="宋体" w:eastAsia="宋体" w:hint="default"/>
                            <w:sz w:val="16"/>
                            <w:szCs w:val="16"/>
                          </w:rPr>
                        </w:pPr>
                        <w:r>
                          <w:rPr>
                            <w:rFonts w:ascii="宋体"/>
                            <w:sz w:val="16"/>
                          </w:rPr>
                          <w:t>5,595,528.55</w:t>
                        </w:r>
                        <w:r>
                          <w:rPr>
                            <w:rFonts w:ascii="宋体"/>
                            <w:spacing w:val="-47"/>
                            <w:sz w:val="16"/>
                          </w:rPr>
                          <w:t> </w:t>
                        </w:r>
                        <w:r>
                          <w:rPr>
                            <w:rFonts w:ascii="宋体"/>
                            <w:sz w:val="16"/>
                          </w:rPr>
                          <w:t>-3,064,311.29</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54"/>
                          <w:jc w:val="right"/>
                          <w:rPr>
                            <w:rFonts w:ascii="宋体" w:hAnsi="宋体" w:cs="宋体" w:eastAsia="宋体" w:hint="default"/>
                            <w:sz w:val="16"/>
                            <w:szCs w:val="16"/>
                          </w:rPr>
                        </w:pPr>
                        <w:r>
                          <w:rPr>
                            <w:rFonts w:ascii="宋体"/>
                            <w:spacing w:val="-1"/>
                            <w:sz w:val="16"/>
                          </w:rPr>
                          <w:t>0.00</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0"/>
                          <w:jc w:val="right"/>
                          <w:rPr>
                            <w:rFonts w:ascii="宋体" w:hAnsi="宋体" w:cs="宋体" w:eastAsia="宋体" w:hint="default"/>
                            <w:sz w:val="16"/>
                            <w:szCs w:val="16"/>
                          </w:rPr>
                        </w:pPr>
                        <w:r>
                          <w:rPr>
                            <w:rFonts w:ascii="宋体"/>
                            <w:spacing w:val="-1"/>
                            <w:sz w:val="16"/>
                          </w:rPr>
                          <w:t>0.00</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3"/>
                          <w:jc w:val="right"/>
                          <w:rPr>
                            <w:rFonts w:ascii="宋体" w:hAnsi="宋体" w:cs="宋体" w:eastAsia="宋体" w:hint="default"/>
                            <w:sz w:val="16"/>
                            <w:szCs w:val="16"/>
                          </w:rPr>
                        </w:pPr>
                        <w:r>
                          <w:rPr>
                            <w:rFonts w:ascii="宋体"/>
                            <w:spacing w:val="-2"/>
                            <w:sz w:val="16"/>
                          </w:rPr>
                          <w:t>1,482,697,444.16</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宋体" w:hAnsi="宋体" w:cs="宋体" w:eastAsia="宋体" w:hint="default"/>
                            <w:sz w:val="16"/>
                            <w:szCs w:val="16"/>
                          </w:rPr>
                        </w:pPr>
                        <w:r>
                          <w:rPr>
                            <w:rFonts w:ascii="宋体"/>
                            <w:spacing w:val="-2"/>
                            <w:sz w:val="16"/>
                          </w:rPr>
                          <w:t>741,348,722.08</w:t>
                        </w:r>
                      </w:p>
                    </w:tc>
                  </w:tr>
                  <w:tr>
                    <w:trPr>
                      <w:trHeight w:val="385" w:hRule="exact"/>
                    </w:trPr>
                    <w:tc>
                      <w:tcPr>
                        <w:tcW w:w="15215" w:type="dxa"/>
                        <w:gridSpan w:val="11"/>
                        <w:tcBorders>
                          <w:top w:val="nil" w:sz="6" w:space="0" w:color="auto"/>
                          <w:left w:val="nil" w:sz="6" w:space="0" w:color="auto"/>
                          <w:bottom w:val="nil" w:sz="6" w:space="0" w:color="auto"/>
                          <w:right w:val="nil" w:sz="6" w:space="0" w:color="auto"/>
                        </w:tcBorders>
                      </w:tcPr>
                      <w:p>
                        <w:pPr>
                          <w:pStyle w:val="TableParagraph"/>
                          <w:tabs>
                            <w:tab w:pos="3220" w:val="left" w:leader="none"/>
                            <w:tab w:pos="10709" w:val="left" w:leader="none"/>
                          </w:tabs>
                          <w:spacing w:line="240" w:lineRule="auto" w:before="100"/>
                          <w:ind w:left="35" w:right="0"/>
                          <w:jc w:val="left"/>
                          <w:rPr>
                            <w:rFonts w:ascii="宋体" w:hAnsi="宋体" w:cs="宋体" w:eastAsia="宋体" w:hint="default"/>
                            <w:sz w:val="16"/>
                            <w:szCs w:val="16"/>
                          </w:rPr>
                        </w:pPr>
                        <w:r>
                          <w:rPr>
                            <w:rFonts w:ascii="宋体" w:hAnsi="宋体" w:cs="宋体" w:eastAsia="宋体" w:hint="default"/>
                            <w:spacing w:val="-1"/>
                            <w:position w:val="-9"/>
                            <w:sz w:val="16"/>
                            <w:szCs w:val="16"/>
                          </w:rPr>
                          <w:t>深圳市华融泰资产管理有限公司</w:t>
                          <w:tab/>
                        </w:r>
                        <w:r>
                          <w:rPr>
                            <w:rFonts w:ascii="宋体" w:hAnsi="宋体" w:cs="宋体" w:eastAsia="宋体" w:hint="default"/>
                            <w:spacing w:val="-2"/>
                            <w:sz w:val="16"/>
                            <w:szCs w:val="16"/>
                          </w:rPr>
                          <w:t>1,117,656,652.7</w:t>
                          <w:tab/>
                          <w:t>-21,142,320.0</w:t>
                        </w:r>
                      </w:p>
                    </w:tc>
                  </w:tr>
                  <w:tr>
                    <w:trPr>
                      <w:trHeight w:val="176" w:hRule="exact"/>
                    </w:trPr>
                    <w:tc>
                      <w:tcPr>
                        <w:tcW w:w="3028"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133" w:lineRule="exact"/>
                          <w:ind w:right="174"/>
                          <w:jc w:val="right"/>
                          <w:rPr>
                            <w:rFonts w:ascii="宋体" w:hAnsi="宋体" w:cs="宋体" w:eastAsia="宋体" w:hint="default"/>
                            <w:sz w:val="16"/>
                            <w:szCs w:val="16"/>
                          </w:rPr>
                        </w:pPr>
                        <w:r>
                          <w:rPr>
                            <w:rFonts w:ascii="宋体"/>
                            <w:w w:val="100"/>
                            <w:sz w:val="16"/>
                          </w:rPr>
                          <w:t>5</w:t>
                        </w:r>
                      </w:p>
                    </w:tc>
                    <w:tc>
                      <w:tcPr>
                        <w:tcW w:w="1589"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
                    </w:tc>
                    <w:tc>
                      <w:tcPr>
                        <w:tcW w:w="2364" w:type="dxa"/>
                        <w:gridSpan w:val="2"/>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133" w:lineRule="exact"/>
                          <w:ind w:right="254"/>
                          <w:jc w:val="right"/>
                          <w:rPr>
                            <w:rFonts w:ascii="宋体" w:hAnsi="宋体" w:cs="宋体" w:eastAsia="宋体" w:hint="default"/>
                            <w:sz w:val="16"/>
                            <w:szCs w:val="16"/>
                          </w:rPr>
                        </w:pPr>
                        <w:r>
                          <w:rPr>
                            <w:rFonts w:ascii="宋体"/>
                            <w:w w:val="100"/>
                            <w:sz w:val="16"/>
                          </w:rPr>
                          <w:t>0</w:t>
                        </w:r>
                      </w:p>
                    </w:tc>
                    <w:tc>
                      <w:tcPr>
                        <w:tcW w:w="629"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
                    </w:tc>
                  </w:tr>
                  <w:tr>
                    <w:trPr>
                      <w:trHeight w:val="204"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宋体" w:hAnsi="宋体" w:cs="宋体" w:eastAsia="宋体" w:hint="default"/>
                            <w:sz w:val="16"/>
                            <w:szCs w:val="16"/>
                          </w:rPr>
                        </w:pPr>
                        <w:r>
                          <w:rPr>
                            <w:rFonts w:ascii="宋体" w:hAnsi="宋体" w:cs="宋体" w:eastAsia="宋体" w:hint="default"/>
                            <w:sz w:val="16"/>
                            <w:szCs w:val="16"/>
                          </w:rPr>
                          <w:t>泰豪科技股份有限公司</w:t>
                        </w:r>
                      </w:p>
                    </w:tc>
                    <w:tc>
                      <w:tcPr>
                        <w:tcW w:w="1570" w:type="dxa"/>
                        <w:tcBorders>
                          <w:top w:val="nil" w:sz="6" w:space="0" w:color="auto"/>
                          <w:left w:val="nil" w:sz="6" w:space="0" w:color="auto"/>
                          <w:bottom w:val="nil" w:sz="6" w:space="0" w:color="auto"/>
                          <w:right w:val="nil" w:sz="6" w:space="0" w:color="auto"/>
                        </w:tcBorders>
                      </w:tcPr>
                      <w:p>
                        <w:pPr>
                          <w:pStyle w:val="TableParagraph"/>
                          <w:spacing w:line="204" w:lineRule="exact"/>
                          <w:ind w:right="174"/>
                          <w:jc w:val="right"/>
                          <w:rPr>
                            <w:rFonts w:ascii="宋体" w:hAnsi="宋体" w:cs="宋体" w:eastAsia="宋体" w:hint="default"/>
                            <w:sz w:val="16"/>
                            <w:szCs w:val="16"/>
                          </w:rPr>
                        </w:pPr>
                        <w:r>
                          <w:rPr>
                            <w:rFonts w:ascii="宋体"/>
                            <w:spacing w:val="-2"/>
                            <w:sz w:val="16"/>
                          </w:rPr>
                          <w:t>786,943,724.61</w:t>
                        </w:r>
                      </w:p>
                    </w:tc>
                    <w:tc>
                      <w:tcPr>
                        <w:tcW w:w="1589" w:type="dxa"/>
                        <w:tcBorders>
                          <w:top w:val="nil" w:sz="6" w:space="0" w:color="auto"/>
                          <w:left w:val="nil" w:sz="6" w:space="0" w:color="auto"/>
                          <w:bottom w:val="nil" w:sz="6" w:space="0" w:color="auto"/>
                          <w:right w:val="nil" w:sz="6" w:space="0" w:color="auto"/>
                        </w:tcBorders>
                      </w:tcPr>
                      <w:p>
                        <w:pPr>
                          <w:pStyle w:val="TableParagraph"/>
                          <w:spacing w:line="204" w:lineRule="exact"/>
                          <w:ind w:right="289"/>
                          <w:jc w:val="right"/>
                          <w:rPr>
                            <w:rFonts w:ascii="宋体" w:hAnsi="宋体" w:cs="宋体" w:eastAsia="宋体" w:hint="default"/>
                            <w:sz w:val="16"/>
                            <w:szCs w:val="16"/>
                          </w:rPr>
                        </w:pPr>
                        <w:r>
                          <w:rPr>
                            <w:rFonts w:ascii="宋体"/>
                            <w:spacing w:val="-2"/>
                            <w:sz w:val="16"/>
                          </w:rPr>
                          <w:t>115,269,858.76</w:t>
                        </w:r>
                      </w:p>
                    </w:tc>
                    <w:tc>
                      <w:tcPr>
                        <w:tcW w:w="749" w:type="dxa"/>
                        <w:tcBorders>
                          <w:top w:val="nil" w:sz="6" w:space="0" w:color="auto"/>
                          <w:left w:val="nil" w:sz="6" w:space="0" w:color="auto"/>
                          <w:bottom w:val="nil" w:sz="6" w:space="0" w:color="auto"/>
                          <w:right w:val="nil" w:sz="6" w:space="0" w:color="auto"/>
                        </w:tcBorders>
                      </w:tcPr>
                      <w:p>
                        <w:pPr>
                          <w:pStyle w:val="TableParagraph"/>
                          <w:spacing w:line="204" w:lineRule="exact"/>
                          <w:ind w:right="135"/>
                          <w:jc w:val="right"/>
                          <w:rPr>
                            <w:rFonts w:ascii="宋体" w:hAnsi="宋体" w:cs="宋体" w:eastAsia="宋体" w:hint="default"/>
                            <w:sz w:val="16"/>
                            <w:szCs w:val="16"/>
                          </w:rPr>
                        </w:pPr>
                        <w:r>
                          <w:rPr>
                            <w:rFonts w:ascii="宋体"/>
                            <w:spacing w:val="-1"/>
                            <w:sz w:val="16"/>
                          </w:rPr>
                          <w:t>0.00</w:t>
                        </w:r>
                      </w:p>
                    </w:tc>
                    <w:tc>
                      <w:tcPr>
                        <w:tcW w:w="1362" w:type="dxa"/>
                        <w:tcBorders>
                          <w:top w:val="nil" w:sz="6" w:space="0" w:color="auto"/>
                          <w:left w:val="nil" w:sz="6" w:space="0" w:color="auto"/>
                          <w:bottom w:val="nil" w:sz="6" w:space="0" w:color="auto"/>
                          <w:right w:val="nil" w:sz="6" w:space="0" w:color="auto"/>
                        </w:tcBorders>
                      </w:tcPr>
                      <w:p>
                        <w:pPr>
                          <w:pStyle w:val="TableParagraph"/>
                          <w:spacing w:line="204" w:lineRule="exact"/>
                          <w:ind w:right="101"/>
                          <w:jc w:val="right"/>
                          <w:rPr>
                            <w:rFonts w:ascii="宋体" w:hAnsi="宋体" w:cs="宋体" w:eastAsia="宋体" w:hint="default"/>
                            <w:sz w:val="16"/>
                            <w:szCs w:val="16"/>
                          </w:rPr>
                        </w:pPr>
                        <w:r>
                          <w:rPr>
                            <w:rFonts w:ascii="宋体"/>
                            <w:spacing w:val="-2"/>
                            <w:sz w:val="16"/>
                          </w:rPr>
                          <w:t>48,642,634.02</w:t>
                        </w:r>
                      </w:p>
                    </w:tc>
                    <w:tc>
                      <w:tcPr>
                        <w:tcW w:w="2364" w:type="dxa"/>
                        <w:gridSpan w:val="2"/>
                        <w:tcBorders>
                          <w:top w:val="nil" w:sz="6" w:space="0" w:color="auto"/>
                          <w:left w:val="nil" w:sz="6" w:space="0" w:color="auto"/>
                          <w:bottom w:val="nil" w:sz="6" w:space="0" w:color="auto"/>
                          <w:right w:val="nil" w:sz="6" w:space="0" w:color="auto"/>
                        </w:tcBorders>
                      </w:tcPr>
                      <w:p>
                        <w:pPr>
                          <w:pStyle w:val="TableParagraph"/>
                          <w:spacing w:line="204" w:lineRule="exact"/>
                          <w:ind w:left="503" w:right="0"/>
                          <w:jc w:val="left"/>
                          <w:rPr>
                            <w:rFonts w:ascii="宋体" w:hAnsi="宋体" w:cs="宋体" w:eastAsia="宋体" w:hint="default"/>
                            <w:sz w:val="16"/>
                            <w:szCs w:val="16"/>
                          </w:rPr>
                        </w:pPr>
                        <w:r>
                          <w:rPr>
                            <w:rFonts w:ascii="宋体"/>
                            <w:sz w:val="16"/>
                          </w:rPr>
                          <w:t>16,199.72</w:t>
                        </w:r>
                        <w:r>
                          <w:rPr>
                            <w:rFonts w:ascii="宋体"/>
                            <w:spacing w:val="-47"/>
                            <w:sz w:val="16"/>
                          </w:rPr>
                          <w:t> </w:t>
                        </w:r>
                        <w:r>
                          <w:rPr>
                            <w:rFonts w:ascii="宋体"/>
                            <w:sz w:val="16"/>
                          </w:rPr>
                          <w:t>18,127,023.31</w:t>
                        </w:r>
                      </w:p>
                    </w:tc>
                    <w:tc>
                      <w:tcPr>
                        <w:tcW w:w="1344" w:type="dxa"/>
                        <w:tcBorders>
                          <w:top w:val="nil" w:sz="6" w:space="0" w:color="auto"/>
                          <w:left w:val="nil" w:sz="6" w:space="0" w:color="auto"/>
                          <w:bottom w:val="nil" w:sz="6" w:space="0" w:color="auto"/>
                          <w:right w:val="nil" w:sz="6" w:space="0" w:color="auto"/>
                        </w:tcBorders>
                      </w:tcPr>
                      <w:p>
                        <w:pPr>
                          <w:pStyle w:val="TableParagraph"/>
                          <w:spacing w:line="204" w:lineRule="exact"/>
                          <w:ind w:right="254"/>
                          <w:jc w:val="right"/>
                          <w:rPr>
                            <w:rFonts w:ascii="宋体" w:hAnsi="宋体" w:cs="宋体" w:eastAsia="宋体" w:hint="default"/>
                            <w:sz w:val="16"/>
                            <w:szCs w:val="16"/>
                          </w:rPr>
                        </w:pPr>
                        <w:r>
                          <w:rPr>
                            <w:rFonts w:ascii="宋体"/>
                            <w:spacing w:val="-2"/>
                            <w:sz w:val="16"/>
                          </w:rPr>
                          <w:t>15,444,514.44</w:t>
                        </w:r>
                      </w:p>
                    </w:tc>
                    <w:tc>
                      <w:tcPr>
                        <w:tcW w:w="629" w:type="dxa"/>
                        <w:tcBorders>
                          <w:top w:val="nil" w:sz="6" w:space="0" w:color="auto"/>
                          <w:left w:val="nil" w:sz="6" w:space="0" w:color="auto"/>
                          <w:bottom w:val="nil" w:sz="6" w:space="0" w:color="auto"/>
                          <w:right w:val="nil" w:sz="6" w:space="0" w:color="auto"/>
                        </w:tcBorders>
                      </w:tcPr>
                      <w:p>
                        <w:pPr>
                          <w:pStyle w:val="TableParagraph"/>
                          <w:spacing w:line="204" w:lineRule="exact"/>
                          <w:ind w:right="50"/>
                          <w:jc w:val="right"/>
                          <w:rPr>
                            <w:rFonts w:ascii="宋体" w:hAnsi="宋体" w:cs="宋体" w:eastAsia="宋体" w:hint="default"/>
                            <w:sz w:val="16"/>
                            <w:szCs w:val="16"/>
                          </w:rPr>
                        </w:pPr>
                        <w:r>
                          <w:rPr>
                            <w:rFonts w:ascii="宋体"/>
                            <w:spacing w:val="-1"/>
                            <w:sz w:val="16"/>
                          </w:rPr>
                          <w:t>0.00</w:t>
                        </w:r>
                      </w:p>
                    </w:tc>
                    <w:tc>
                      <w:tcPr>
                        <w:tcW w:w="1377" w:type="dxa"/>
                        <w:tcBorders>
                          <w:top w:val="nil" w:sz="6" w:space="0" w:color="auto"/>
                          <w:left w:val="nil" w:sz="6" w:space="0" w:color="auto"/>
                          <w:bottom w:val="nil" w:sz="6" w:space="0" w:color="auto"/>
                          <w:right w:val="nil" w:sz="6" w:space="0" w:color="auto"/>
                        </w:tcBorders>
                      </w:tcPr>
                      <w:p>
                        <w:pPr>
                          <w:pStyle w:val="TableParagraph"/>
                          <w:spacing w:line="204" w:lineRule="exact"/>
                          <w:ind w:right="43"/>
                          <w:jc w:val="right"/>
                          <w:rPr>
                            <w:rFonts w:ascii="宋体" w:hAnsi="宋体" w:cs="宋体" w:eastAsia="宋体" w:hint="default"/>
                            <w:sz w:val="16"/>
                            <w:szCs w:val="16"/>
                          </w:rPr>
                        </w:pPr>
                        <w:r>
                          <w:rPr>
                            <w:rFonts w:ascii="宋体"/>
                            <w:spacing w:val="-2"/>
                            <w:sz w:val="16"/>
                          </w:rPr>
                          <w:t>953,554,925.98</w:t>
                        </w:r>
                      </w:p>
                    </w:tc>
                    <w:tc>
                      <w:tcPr>
                        <w:tcW w:w="1202" w:type="dxa"/>
                        <w:tcBorders>
                          <w:top w:val="nil" w:sz="6" w:space="0" w:color="auto"/>
                          <w:left w:val="nil" w:sz="6" w:space="0" w:color="auto"/>
                          <w:bottom w:val="nil" w:sz="6" w:space="0" w:color="auto"/>
                          <w:right w:val="nil" w:sz="6" w:space="0" w:color="auto"/>
                        </w:tcBorders>
                      </w:tcPr>
                      <w:p>
                        <w:pPr>
                          <w:pStyle w:val="TableParagraph"/>
                          <w:spacing w:line="204" w:lineRule="exact"/>
                          <w:ind w:right="33"/>
                          <w:jc w:val="right"/>
                          <w:rPr>
                            <w:rFonts w:ascii="宋体" w:hAnsi="宋体" w:cs="宋体" w:eastAsia="宋体" w:hint="default"/>
                            <w:sz w:val="16"/>
                            <w:szCs w:val="16"/>
                          </w:rPr>
                        </w:pPr>
                        <w:r>
                          <w:rPr>
                            <w:rFonts w:ascii="宋体"/>
                            <w:spacing w:val="-1"/>
                            <w:sz w:val="16"/>
                          </w:rPr>
                          <w:t>0.00</w:t>
                        </w:r>
                      </w:p>
                    </w:tc>
                  </w:tr>
                  <w:tr>
                    <w:trPr>
                      <w:trHeight w:val="324" w:hRule="exact"/>
                    </w:trPr>
                    <w:tc>
                      <w:tcPr>
                        <w:tcW w:w="15215" w:type="dxa"/>
                        <w:gridSpan w:val="11"/>
                        <w:tcBorders>
                          <w:top w:val="nil" w:sz="6" w:space="0" w:color="auto"/>
                          <w:left w:val="nil" w:sz="6" w:space="0" w:color="auto"/>
                          <w:bottom w:val="nil" w:sz="6" w:space="0" w:color="auto"/>
                          <w:right w:val="nil" w:sz="6" w:space="0" w:color="auto"/>
                        </w:tcBorders>
                      </w:tcPr>
                      <w:p>
                        <w:pPr>
                          <w:pStyle w:val="TableParagraph"/>
                          <w:tabs>
                            <w:tab w:pos="3220" w:val="left" w:leader="none"/>
                            <w:tab w:pos="5575" w:val="left" w:leader="none"/>
                            <w:tab w:pos="6477" w:val="left" w:leader="none"/>
                            <w:tab w:pos="7072" w:val="left" w:leader="none"/>
                            <w:tab w:pos="8400" w:val="left" w:leader="none"/>
                            <w:tab w:pos="10293" w:val="left" w:leader="none"/>
                            <w:tab w:pos="11429" w:val="left" w:leader="none"/>
                            <w:tab w:pos="12262" w:val="left" w:leader="none"/>
                            <w:tab w:pos="12845" w:val="left" w:leader="none"/>
                            <w:tab w:pos="14859" w:val="left" w:leader="none"/>
                          </w:tabs>
                          <w:spacing w:line="240" w:lineRule="auto" w:before="43"/>
                          <w:ind w:left="35" w:right="0"/>
                          <w:jc w:val="left"/>
                          <w:rPr>
                            <w:rFonts w:ascii="宋体" w:hAnsi="宋体" w:cs="宋体" w:eastAsia="宋体" w:hint="default"/>
                            <w:sz w:val="16"/>
                            <w:szCs w:val="16"/>
                          </w:rPr>
                        </w:pPr>
                        <w:r>
                          <w:rPr>
                            <w:rFonts w:ascii="宋体" w:hAnsi="宋体" w:cs="宋体" w:eastAsia="宋体" w:hint="default"/>
                            <w:spacing w:val="-1"/>
                            <w:sz w:val="16"/>
                            <w:szCs w:val="16"/>
                          </w:rPr>
                          <w:t>同方莱士医药产业投资（广东）有限公司</w:t>
                          <w:tab/>
                        </w:r>
                        <w:r>
                          <w:rPr>
                            <w:rFonts w:ascii="宋体" w:hAnsi="宋体" w:cs="宋体" w:eastAsia="宋体" w:hint="default"/>
                            <w:spacing w:val="-2"/>
                            <w:position w:val="10"/>
                            <w:sz w:val="16"/>
                            <w:szCs w:val="16"/>
                          </w:rPr>
                          <w:t>1,023,928,688.6</w:t>
                          <w:tab/>
                        </w:r>
                        <w:r>
                          <w:rPr>
                            <w:rFonts w:ascii="宋体" w:hAnsi="宋体" w:cs="宋体" w:eastAsia="宋体" w:hint="default"/>
                            <w:spacing w:val="-1"/>
                            <w:sz w:val="16"/>
                            <w:szCs w:val="16"/>
                          </w:rPr>
                          <w:t>0.00</w:t>
                          <w:tab/>
                          <w:t>0.00</w:t>
                          <w:tab/>
                        </w:r>
                        <w:r>
                          <w:rPr>
                            <w:rFonts w:ascii="宋体" w:hAnsi="宋体" w:cs="宋体" w:eastAsia="宋体" w:hint="default"/>
                            <w:spacing w:val="-2"/>
                            <w:sz w:val="16"/>
                            <w:szCs w:val="16"/>
                          </w:rPr>
                          <w:t>-39,875,458.11</w:t>
                          <w:tab/>
                          <w:t>-42,834,115.98</w:t>
                          <w:tab/>
                        </w:r>
                        <w:r>
                          <w:rPr>
                            <w:rFonts w:ascii="宋体" w:hAnsi="宋体" w:cs="宋体" w:eastAsia="宋体" w:hint="default"/>
                            <w:spacing w:val="-1"/>
                            <w:sz w:val="16"/>
                            <w:szCs w:val="16"/>
                          </w:rPr>
                          <w:t>0.00</w:t>
                          <w:tab/>
                          <w:t>0.00</w:t>
                          <w:tab/>
                          <w:t>0.00</w:t>
                          <w:tab/>
                        </w:r>
                        <w:r>
                          <w:rPr>
                            <w:rFonts w:ascii="宋体" w:hAnsi="宋体" w:cs="宋体" w:eastAsia="宋体" w:hint="default"/>
                            <w:spacing w:val="-2"/>
                            <w:sz w:val="16"/>
                            <w:szCs w:val="16"/>
                          </w:rPr>
                          <w:t>941,219,114.57</w:t>
                          <w:tab/>
                        </w:r>
                        <w:r>
                          <w:rPr>
                            <w:rFonts w:ascii="宋体" w:hAnsi="宋体" w:cs="宋体" w:eastAsia="宋体" w:hint="default"/>
                            <w:spacing w:val="-1"/>
                            <w:sz w:val="16"/>
                            <w:szCs w:val="16"/>
                          </w:rPr>
                          <w:t>0.00</w:t>
                        </w:r>
                      </w:p>
                    </w:tc>
                  </w:tr>
                  <w:tr>
                    <w:trPr>
                      <w:trHeight w:val="176" w:hRule="exact"/>
                    </w:trPr>
                    <w:tc>
                      <w:tcPr>
                        <w:tcW w:w="3028" w:type="dxa"/>
                        <w:tcBorders>
                          <w:top w:val="nil" w:sz="6" w:space="0" w:color="auto"/>
                          <w:left w:val="nil" w:sz="6" w:space="0" w:color="auto"/>
                          <w:bottom w:val="nil" w:sz="6" w:space="0" w:color="auto"/>
                          <w:right w:val="nil" w:sz="6" w:space="0" w:color="auto"/>
                        </w:tcBorders>
                      </w:tcPr>
                      <w:p>
                        <w:pPr/>
                      </w:p>
                    </w:tc>
                    <w:tc>
                      <w:tcPr>
                        <w:tcW w:w="1570" w:type="dxa"/>
                        <w:tcBorders>
                          <w:top w:val="nil" w:sz="6" w:space="0" w:color="auto"/>
                          <w:left w:val="nil" w:sz="6" w:space="0" w:color="auto"/>
                          <w:bottom w:val="nil" w:sz="6" w:space="0" w:color="auto"/>
                          <w:right w:val="nil" w:sz="6" w:space="0" w:color="auto"/>
                        </w:tcBorders>
                      </w:tcPr>
                      <w:p>
                        <w:pPr>
                          <w:pStyle w:val="TableParagraph"/>
                          <w:spacing w:line="132" w:lineRule="exact"/>
                          <w:ind w:right="174"/>
                          <w:jc w:val="right"/>
                          <w:rPr>
                            <w:rFonts w:ascii="宋体" w:hAnsi="宋体" w:cs="宋体" w:eastAsia="宋体" w:hint="default"/>
                            <w:sz w:val="16"/>
                            <w:szCs w:val="16"/>
                          </w:rPr>
                        </w:pPr>
                        <w:r>
                          <w:rPr>
                            <w:rFonts w:ascii="宋体"/>
                            <w:w w:val="100"/>
                            <w:sz w:val="16"/>
                          </w:rPr>
                          <w:t>6</w:t>
                        </w:r>
                      </w:p>
                    </w:tc>
                    <w:tc>
                      <w:tcPr>
                        <w:tcW w:w="1589"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629"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
                    </w:tc>
                  </w:tr>
                  <w:tr>
                    <w:trPr>
                      <w:trHeight w:val="270"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05" w:lineRule="exact"/>
                          <w:ind w:left="35" w:right="0"/>
                          <w:jc w:val="left"/>
                          <w:rPr>
                            <w:rFonts w:ascii="宋体" w:hAnsi="宋体" w:cs="宋体" w:eastAsia="宋体" w:hint="default"/>
                            <w:sz w:val="16"/>
                            <w:szCs w:val="16"/>
                          </w:rPr>
                        </w:pPr>
                        <w:r>
                          <w:rPr>
                            <w:rFonts w:ascii="宋体" w:hAnsi="宋体" w:cs="宋体" w:eastAsia="宋体" w:hint="default"/>
                            <w:sz w:val="16"/>
                            <w:szCs w:val="16"/>
                          </w:rPr>
                          <w:t>同方投资有限公司</w:t>
                        </w:r>
                      </w:p>
                    </w:tc>
                    <w:tc>
                      <w:tcPr>
                        <w:tcW w:w="1570" w:type="dxa"/>
                        <w:tcBorders>
                          <w:top w:val="nil" w:sz="6" w:space="0" w:color="auto"/>
                          <w:left w:val="nil" w:sz="6" w:space="0" w:color="auto"/>
                          <w:bottom w:val="nil" w:sz="6" w:space="0" w:color="auto"/>
                          <w:right w:val="nil" w:sz="6" w:space="0" w:color="auto"/>
                        </w:tcBorders>
                      </w:tcPr>
                      <w:p>
                        <w:pPr>
                          <w:pStyle w:val="TableParagraph"/>
                          <w:spacing w:line="205" w:lineRule="exact"/>
                          <w:ind w:right="174"/>
                          <w:jc w:val="right"/>
                          <w:rPr>
                            <w:rFonts w:ascii="宋体" w:hAnsi="宋体" w:cs="宋体" w:eastAsia="宋体" w:hint="default"/>
                            <w:sz w:val="16"/>
                            <w:szCs w:val="16"/>
                          </w:rPr>
                        </w:pPr>
                        <w:r>
                          <w:rPr>
                            <w:rFonts w:ascii="宋体"/>
                            <w:spacing w:val="-2"/>
                            <w:sz w:val="16"/>
                          </w:rPr>
                          <w:t>541,571,020.74</w:t>
                        </w:r>
                      </w:p>
                    </w:tc>
                    <w:tc>
                      <w:tcPr>
                        <w:tcW w:w="1589" w:type="dxa"/>
                        <w:tcBorders>
                          <w:top w:val="nil" w:sz="6" w:space="0" w:color="auto"/>
                          <w:left w:val="nil" w:sz="6" w:space="0" w:color="auto"/>
                          <w:bottom w:val="nil" w:sz="6" w:space="0" w:color="auto"/>
                          <w:right w:val="nil" w:sz="6" w:space="0" w:color="auto"/>
                        </w:tcBorders>
                      </w:tcPr>
                      <w:p>
                        <w:pPr>
                          <w:pStyle w:val="TableParagraph"/>
                          <w:spacing w:line="205" w:lineRule="exact"/>
                          <w:ind w:right="289"/>
                          <w:jc w:val="right"/>
                          <w:rPr>
                            <w:rFonts w:ascii="宋体" w:hAnsi="宋体" w:cs="宋体" w:eastAsia="宋体" w:hint="default"/>
                            <w:sz w:val="16"/>
                            <w:szCs w:val="16"/>
                          </w:rPr>
                        </w:pPr>
                        <w:r>
                          <w:rPr>
                            <w:rFonts w:ascii="宋体"/>
                            <w:spacing w:val="-1"/>
                            <w:sz w:val="16"/>
                          </w:rPr>
                          <w:t>0.00</w:t>
                        </w:r>
                      </w:p>
                    </w:tc>
                    <w:tc>
                      <w:tcPr>
                        <w:tcW w:w="749" w:type="dxa"/>
                        <w:tcBorders>
                          <w:top w:val="nil" w:sz="6" w:space="0" w:color="auto"/>
                          <w:left w:val="nil" w:sz="6" w:space="0" w:color="auto"/>
                          <w:bottom w:val="nil" w:sz="6" w:space="0" w:color="auto"/>
                          <w:right w:val="nil" w:sz="6" w:space="0" w:color="auto"/>
                        </w:tcBorders>
                      </w:tcPr>
                      <w:p>
                        <w:pPr>
                          <w:pStyle w:val="TableParagraph"/>
                          <w:spacing w:line="205" w:lineRule="exact"/>
                          <w:ind w:right="135"/>
                          <w:jc w:val="right"/>
                          <w:rPr>
                            <w:rFonts w:ascii="宋体" w:hAnsi="宋体" w:cs="宋体" w:eastAsia="宋体" w:hint="default"/>
                            <w:sz w:val="16"/>
                            <w:szCs w:val="16"/>
                          </w:rPr>
                        </w:pPr>
                        <w:r>
                          <w:rPr>
                            <w:rFonts w:ascii="宋体"/>
                            <w:spacing w:val="-1"/>
                            <w:sz w:val="16"/>
                          </w:rPr>
                          <w:t>0.00</w:t>
                        </w:r>
                      </w:p>
                    </w:tc>
                    <w:tc>
                      <w:tcPr>
                        <w:tcW w:w="1362" w:type="dxa"/>
                        <w:tcBorders>
                          <w:top w:val="nil" w:sz="6" w:space="0" w:color="auto"/>
                          <w:left w:val="nil" w:sz="6" w:space="0" w:color="auto"/>
                          <w:bottom w:val="nil" w:sz="6" w:space="0" w:color="auto"/>
                          <w:right w:val="nil" w:sz="6" w:space="0" w:color="auto"/>
                        </w:tcBorders>
                      </w:tcPr>
                      <w:p>
                        <w:pPr>
                          <w:pStyle w:val="TableParagraph"/>
                          <w:spacing w:line="205" w:lineRule="exact"/>
                          <w:ind w:right="101"/>
                          <w:jc w:val="right"/>
                          <w:rPr>
                            <w:rFonts w:ascii="宋体" w:hAnsi="宋体" w:cs="宋体" w:eastAsia="宋体" w:hint="default"/>
                            <w:sz w:val="16"/>
                            <w:szCs w:val="16"/>
                          </w:rPr>
                        </w:pPr>
                        <w:r>
                          <w:rPr>
                            <w:rFonts w:ascii="宋体"/>
                            <w:spacing w:val="-2"/>
                            <w:sz w:val="16"/>
                          </w:rPr>
                          <w:t>8,805,469.73</w:t>
                        </w:r>
                      </w:p>
                    </w:tc>
                    <w:tc>
                      <w:tcPr>
                        <w:tcW w:w="1251" w:type="dxa"/>
                        <w:tcBorders>
                          <w:top w:val="nil" w:sz="6" w:space="0" w:color="auto"/>
                          <w:left w:val="nil" w:sz="6" w:space="0" w:color="auto"/>
                          <w:bottom w:val="nil" w:sz="6" w:space="0" w:color="auto"/>
                          <w:right w:val="nil" w:sz="6" w:space="0" w:color="auto"/>
                        </w:tcBorders>
                      </w:tcPr>
                      <w:p>
                        <w:pPr>
                          <w:pStyle w:val="TableParagraph"/>
                          <w:spacing w:line="205" w:lineRule="exact"/>
                          <w:ind w:right="24"/>
                          <w:jc w:val="right"/>
                          <w:rPr>
                            <w:rFonts w:ascii="宋体" w:hAnsi="宋体" w:cs="宋体" w:eastAsia="宋体" w:hint="default"/>
                            <w:sz w:val="16"/>
                            <w:szCs w:val="16"/>
                          </w:rPr>
                        </w:pPr>
                        <w:r>
                          <w:rPr>
                            <w:rFonts w:ascii="宋体"/>
                            <w:spacing w:val="-2"/>
                            <w:sz w:val="16"/>
                          </w:rPr>
                          <w:t>-24,285,012.31</w:t>
                        </w:r>
                      </w:p>
                    </w:tc>
                    <w:tc>
                      <w:tcPr>
                        <w:tcW w:w="1114" w:type="dxa"/>
                        <w:tcBorders>
                          <w:top w:val="nil" w:sz="6" w:space="0" w:color="auto"/>
                          <w:left w:val="nil" w:sz="6" w:space="0" w:color="auto"/>
                          <w:bottom w:val="nil" w:sz="6" w:space="0" w:color="auto"/>
                          <w:right w:val="nil" w:sz="6" w:space="0" w:color="auto"/>
                        </w:tcBorders>
                      </w:tcPr>
                      <w:p>
                        <w:pPr>
                          <w:pStyle w:val="TableParagraph"/>
                          <w:spacing w:line="205" w:lineRule="exact"/>
                          <w:ind w:right="45"/>
                          <w:jc w:val="right"/>
                          <w:rPr>
                            <w:rFonts w:ascii="宋体" w:hAnsi="宋体" w:cs="宋体" w:eastAsia="宋体" w:hint="default"/>
                            <w:sz w:val="16"/>
                            <w:szCs w:val="16"/>
                          </w:rPr>
                        </w:pPr>
                        <w:r>
                          <w:rPr>
                            <w:rFonts w:ascii="宋体"/>
                            <w:spacing w:val="-1"/>
                            <w:sz w:val="16"/>
                          </w:rPr>
                          <w:t>-706,298.04</w:t>
                        </w:r>
                      </w:p>
                    </w:tc>
                    <w:tc>
                      <w:tcPr>
                        <w:tcW w:w="1344" w:type="dxa"/>
                        <w:tcBorders>
                          <w:top w:val="nil" w:sz="6" w:space="0" w:color="auto"/>
                          <w:left w:val="nil" w:sz="6" w:space="0" w:color="auto"/>
                          <w:bottom w:val="nil" w:sz="6" w:space="0" w:color="auto"/>
                          <w:right w:val="nil" w:sz="6" w:space="0" w:color="auto"/>
                        </w:tcBorders>
                      </w:tcPr>
                      <w:p>
                        <w:pPr>
                          <w:pStyle w:val="TableParagraph"/>
                          <w:spacing w:line="205" w:lineRule="exact"/>
                          <w:ind w:right="254"/>
                          <w:jc w:val="right"/>
                          <w:rPr>
                            <w:rFonts w:ascii="宋体" w:hAnsi="宋体" w:cs="宋体" w:eastAsia="宋体" w:hint="default"/>
                            <w:sz w:val="16"/>
                            <w:szCs w:val="16"/>
                          </w:rPr>
                        </w:pPr>
                        <w:r>
                          <w:rPr>
                            <w:rFonts w:ascii="宋体"/>
                            <w:spacing w:val="-1"/>
                            <w:sz w:val="16"/>
                          </w:rPr>
                          <w:t>0.00</w:t>
                        </w:r>
                      </w:p>
                    </w:tc>
                    <w:tc>
                      <w:tcPr>
                        <w:tcW w:w="629" w:type="dxa"/>
                        <w:tcBorders>
                          <w:top w:val="nil" w:sz="6" w:space="0" w:color="auto"/>
                          <w:left w:val="nil" w:sz="6" w:space="0" w:color="auto"/>
                          <w:bottom w:val="nil" w:sz="6" w:space="0" w:color="auto"/>
                          <w:right w:val="nil" w:sz="6" w:space="0" w:color="auto"/>
                        </w:tcBorders>
                      </w:tcPr>
                      <w:p>
                        <w:pPr>
                          <w:pStyle w:val="TableParagraph"/>
                          <w:spacing w:line="205" w:lineRule="exact"/>
                          <w:ind w:right="50"/>
                          <w:jc w:val="right"/>
                          <w:rPr>
                            <w:rFonts w:ascii="宋体" w:hAnsi="宋体" w:cs="宋体" w:eastAsia="宋体" w:hint="default"/>
                            <w:sz w:val="16"/>
                            <w:szCs w:val="16"/>
                          </w:rPr>
                        </w:pPr>
                        <w:r>
                          <w:rPr>
                            <w:rFonts w:ascii="宋体"/>
                            <w:spacing w:val="-1"/>
                            <w:sz w:val="16"/>
                          </w:rPr>
                          <w:t>0.00</w:t>
                        </w:r>
                      </w:p>
                    </w:tc>
                    <w:tc>
                      <w:tcPr>
                        <w:tcW w:w="1377" w:type="dxa"/>
                        <w:tcBorders>
                          <w:top w:val="nil" w:sz="6" w:space="0" w:color="auto"/>
                          <w:left w:val="nil" w:sz="6" w:space="0" w:color="auto"/>
                          <w:bottom w:val="nil" w:sz="6" w:space="0" w:color="auto"/>
                          <w:right w:val="nil" w:sz="6" w:space="0" w:color="auto"/>
                        </w:tcBorders>
                      </w:tcPr>
                      <w:p>
                        <w:pPr>
                          <w:pStyle w:val="TableParagraph"/>
                          <w:spacing w:line="205" w:lineRule="exact"/>
                          <w:ind w:right="43"/>
                          <w:jc w:val="right"/>
                          <w:rPr>
                            <w:rFonts w:ascii="宋体" w:hAnsi="宋体" w:cs="宋体" w:eastAsia="宋体" w:hint="default"/>
                            <w:sz w:val="16"/>
                            <w:szCs w:val="16"/>
                          </w:rPr>
                        </w:pPr>
                        <w:r>
                          <w:rPr>
                            <w:rFonts w:ascii="宋体"/>
                            <w:spacing w:val="-2"/>
                            <w:sz w:val="16"/>
                          </w:rPr>
                          <w:t>525,385,180.12</w:t>
                        </w:r>
                      </w:p>
                    </w:tc>
                    <w:tc>
                      <w:tcPr>
                        <w:tcW w:w="1202" w:type="dxa"/>
                        <w:tcBorders>
                          <w:top w:val="nil" w:sz="6" w:space="0" w:color="auto"/>
                          <w:left w:val="nil" w:sz="6" w:space="0" w:color="auto"/>
                          <w:bottom w:val="nil" w:sz="6" w:space="0" w:color="auto"/>
                          <w:right w:val="nil" w:sz="6" w:space="0" w:color="auto"/>
                        </w:tcBorders>
                      </w:tcPr>
                      <w:p>
                        <w:pPr>
                          <w:pStyle w:val="TableParagraph"/>
                          <w:spacing w:line="205" w:lineRule="exact"/>
                          <w:ind w:right="33"/>
                          <w:jc w:val="right"/>
                          <w:rPr>
                            <w:rFonts w:ascii="宋体" w:hAnsi="宋体" w:cs="宋体" w:eastAsia="宋体" w:hint="default"/>
                            <w:sz w:val="16"/>
                            <w:szCs w:val="16"/>
                          </w:rPr>
                        </w:pPr>
                        <w:r>
                          <w:rPr>
                            <w:rFonts w:ascii="宋体"/>
                            <w:spacing w:val="-1"/>
                            <w:sz w:val="16"/>
                          </w:rPr>
                          <w:t>0.00</w:t>
                        </w:r>
                      </w:p>
                    </w:tc>
                  </w:tr>
                  <w:tr>
                    <w:trPr>
                      <w:trHeight w:val="290"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6"/>
                            <w:szCs w:val="16"/>
                          </w:rPr>
                        </w:pPr>
                        <w:r>
                          <w:rPr>
                            <w:rFonts w:ascii="宋体" w:hAnsi="宋体" w:cs="宋体" w:eastAsia="宋体" w:hint="default"/>
                            <w:sz w:val="16"/>
                            <w:szCs w:val="16"/>
                          </w:rPr>
                          <w:t>嘉融投资有限公司</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4"/>
                          <w:jc w:val="right"/>
                          <w:rPr>
                            <w:rFonts w:ascii="宋体" w:hAnsi="宋体" w:cs="宋体" w:eastAsia="宋体" w:hint="default"/>
                            <w:sz w:val="16"/>
                            <w:szCs w:val="16"/>
                          </w:rPr>
                        </w:pPr>
                        <w:r>
                          <w:rPr>
                            <w:rFonts w:ascii="宋体"/>
                            <w:spacing w:val="-2"/>
                            <w:sz w:val="16"/>
                          </w:rPr>
                          <w:t>440,301,954.41</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9"/>
                          <w:jc w:val="right"/>
                          <w:rPr>
                            <w:rFonts w:ascii="宋体" w:hAnsi="宋体" w:cs="宋体" w:eastAsia="宋体" w:hint="default"/>
                            <w:sz w:val="16"/>
                            <w:szCs w:val="16"/>
                          </w:rPr>
                        </w:pPr>
                        <w:r>
                          <w:rPr>
                            <w:rFonts w:ascii="宋体"/>
                            <w:spacing w:val="-1"/>
                            <w:sz w:val="16"/>
                          </w:rPr>
                          <w:t>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5"/>
                          <w:jc w:val="right"/>
                          <w:rPr>
                            <w:rFonts w:ascii="宋体" w:hAnsi="宋体" w:cs="宋体" w:eastAsia="宋体" w:hint="default"/>
                            <w:sz w:val="16"/>
                            <w:szCs w:val="16"/>
                          </w:rPr>
                        </w:pPr>
                        <w:r>
                          <w:rPr>
                            <w:rFonts w:ascii="宋体"/>
                            <w:spacing w:val="-1"/>
                            <w:sz w:val="16"/>
                          </w:rPr>
                          <w:t>0.00</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1"/>
                          <w:jc w:val="right"/>
                          <w:rPr>
                            <w:rFonts w:ascii="宋体" w:hAnsi="宋体" w:cs="宋体" w:eastAsia="宋体" w:hint="default"/>
                            <w:sz w:val="16"/>
                            <w:szCs w:val="16"/>
                          </w:rPr>
                        </w:pPr>
                        <w:r>
                          <w:rPr>
                            <w:rFonts w:ascii="宋体"/>
                            <w:spacing w:val="-2"/>
                            <w:sz w:val="16"/>
                          </w:rPr>
                          <w:t>-82,756,874.80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4"/>
                          <w:jc w:val="right"/>
                          <w:rPr>
                            <w:rFonts w:ascii="宋体" w:hAnsi="宋体" w:cs="宋体" w:eastAsia="宋体" w:hint="default"/>
                            <w:sz w:val="16"/>
                            <w:szCs w:val="16"/>
                          </w:rPr>
                        </w:pPr>
                        <w:r>
                          <w:rPr>
                            <w:rFonts w:ascii="宋体"/>
                            <w:spacing w:val="-2"/>
                            <w:sz w:val="16"/>
                          </w:rPr>
                          <w:t>-33,719,895.33</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5"/>
                          <w:jc w:val="right"/>
                          <w:rPr>
                            <w:rFonts w:ascii="宋体" w:hAnsi="宋体" w:cs="宋体" w:eastAsia="宋体" w:hint="default"/>
                            <w:sz w:val="16"/>
                            <w:szCs w:val="16"/>
                          </w:rPr>
                        </w:pPr>
                        <w:r>
                          <w:rPr>
                            <w:rFonts w:ascii="宋体"/>
                            <w:spacing w:val="-2"/>
                            <w:sz w:val="16"/>
                          </w:rPr>
                          <w:t>168,055.27</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
                          <w:jc w:val="right"/>
                          <w:rPr>
                            <w:rFonts w:ascii="宋体" w:hAnsi="宋体" w:cs="宋体" w:eastAsia="宋体" w:hint="default"/>
                            <w:sz w:val="16"/>
                            <w:szCs w:val="16"/>
                          </w:rPr>
                        </w:pPr>
                        <w:r>
                          <w:rPr>
                            <w:rFonts w:ascii="宋体"/>
                            <w:spacing w:val="-1"/>
                            <w:sz w:val="16"/>
                          </w:rPr>
                          <w:t>0.00</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3"/>
                          <w:jc w:val="right"/>
                          <w:rPr>
                            <w:rFonts w:ascii="宋体" w:hAnsi="宋体" w:cs="宋体" w:eastAsia="宋体" w:hint="default"/>
                            <w:sz w:val="16"/>
                            <w:szCs w:val="16"/>
                          </w:rPr>
                        </w:pPr>
                        <w:r>
                          <w:rPr>
                            <w:rFonts w:ascii="宋体"/>
                            <w:spacing w:val="-2"/>
                            <w:sz w:val="16"/>
                          </w:rPr>
                          <w:t>323,993,239.55</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宋体" w:hAnsi="宋体" w:cs="宋体" w:eastAsia="宋体" w:hint="default"/>
                            <w:sz w:val="16"/>
                            <w:szCs w:val="16"/>
                          </w:rPr>
                        </w:pPr>
                        <w:r>
                          <w:rPr>
                            <w:rFonts w:ascii="宋体"/>
                            <w:spacing w:val="-1"/>
                            <w:sz w:val="16"/>
                          </w:rPr>
                          <w:t>0.00</w:t>
                        </w:r>
                      </w:p>
                    </w:tc>
                  </w:tr>
                  <w:tr>
                    <w:trPr>
                      <w:trHeight w:val="291"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6"/>
                            <w:szCs w:val="16"/>
                          </w:rPr>
                        </w:pPr>
                        <w:r>
                          <w:rPr>
                            <w:rFonts w:ascii="宋体" w:hAnsi="宋体" w:cs="宋体" w:eastAsia="宋体" w:hint="default"/>
                            <w:sz w:val="16"/>
                            <w:szCs w:val="16"/>
                          </w:rPr>
                          <w:t>和融浙联实业有限公司</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4"/>
                          <w:jc w:val="right"/>
                          <w:rPr>
                            <w:rFonts w:ascii="宋体" w:hAnsi="宋体" w:cs="宋体" w:eastAsia="宋体" w:hint="default"/>
                            <w:sz w:val="16"/>
                            <w:szCs w:val="16"/>
                          </w:rPr>
                        </w:pPr>
                        <w:r>
                          <w:rPr>
                            <w:rFonts w:ascii="宋体"/>
                            <w:spacing w:val="-2"/>
                            <w:sz w:val="16"/>
                          </w:rPr>
                          <w:t>327,222,146.49</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9"/>
                          <w:jc w:val="right"/>
                          <w:rPr>
                            <w:rFonts w:ascii="宋体" w:hAnsi="宋体" w:cs="宋体" w:eastAsia="宋体" w:hint="default"/>
                            <w:sz w:val="16"/>
                            <w:szCs w:val="16"/>
                          </w:rPr>
                        </w:pPr>
                        <w:r>
                          <w:rPr>
                            <w:rFonts w:ascii="宋体"/>
                            <w:spacing w:val="-1"/>
                            <w:sz w:val="16"/>
                          </w:rPr>
                          <w:t>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5"/>
                          <w:jc w:val="right"/>
                          <w:rPr>
                            <w:rFonts w:ascii="宋体" w:hAnsi="宋体" w:cs="宋体" w:eastAsia="宋体" w:hint="default"/>
                            <w:sz w:val="16"/>
                            <w:szCs w:val="16"/>
                          </w:rPr>
                        </w:pPr>
                        <w:r>
                          <w:rPr>
                            <w:rFonts w:ascii="宋体"/>
                            <w:spacing w:val="-1"/>
                            <w:sz w:val="16"/>
                          </w:rPr>
                          <w:t>0.00</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1"/>
                          <w:jc w:val="right"/>
                          <w:rPr>
                            <w:rFonts w:ascii="宋体" w:hAnsi="宋体" w:cs="宋体" w:eastAsia="宋体" w:hint="default"/>
                            <w:sz w:val="16"/>
                            <w:szCs w:val="16"/>
                          </w:rPr>
                        </w:pPr>
                        <w:r>
                          <w:rPr>
                            <w:rFonts w:ascii="宋体"/>
                            <w:spacing w:val="-2"/>
                            <w:sz w:val="16"/>
                          </w:rPr>
                          <w:t>16,958,327.79</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宋体" w:hAnsi="宋体" w:cs="宋体" w:eastAsia="宋体" w:hint="default"/>
                            <w:sz w:val="16"/>
                            <w:szCs w:val="16"/>
                          </w:rPr>
                        </w:pPr>
                        <w:r>
                          <w:rPr>
                            <w:rFonts w:ascii="宋体"/>
                            <w:spacing w:val="-1"/>
                            <w:sz w:val="16"/>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5"/>
                          <w:jc w:val="right"/>
                          <w:rPr>
                            <w:rFonts w:ascii="宋体" w:hAnsi="宋体" w:cs="宋体" w:eastAsia="宋体" w:hint="default"/>
                            <w:sz w:val="16"/>
                            <w:szCs w:val="16"/>
                          </w:rPr>
                        </w:pPr>
                        <w:r>
                          <w:rPr>
                            <w:rFonts w:ascii="宋体"/>
                            <w:spacing w:val="-1"/>
                            <w:sz w:val="16"/>
                          </w:rPr>
                          <w:t>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
                          <w:jc w:val="right"/>
                          <w:rPr>
                            <w:rFonts w:ascii="宋体" w:hAnsi="宋体" w:cs="宋体" w:eastAsia="宋体" w:hint="default"/>
                            <w:sz w:val="16"/>
                            <w:szCs w:val="16"/>
                          </w:rPr>
                        </w:pPr>
                        <w:r>
                          <w:rPr>
                            <w:rFonts w:ascii="宋体"/>
                            <w:spacing w:val="-1"/>
                            <w:sz w:val="16"/>
                          </w:rPr>
                          <w:t>0.00</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3"/>
                          <w:jc w:val="right"/>
                          <w:rPr>
                            <w:rFonts w:ascii="宋体" w:hAnsi="宋体" w:cs="宋体" w:eastAsia="宋体" w:hint="default"/>
                            <w:sz w:val="16"/>
                            <w:szCs w:val="16"/>
                          </w:rPr>
                        </w:pPr>
                        <w:r>
                          <w:rPr>
                            <w:rFonts w:ascii="宋体"/>
                            <w:spacing w:val="-2"/>
                            <w:sz w:val="16"/>
                          </w:rPr>
                          <w:t>344,180,474.28</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宋体" w:hAnsi="宋体" w:cs="宋体" w:eastAsia="宋体" w:hint="default"/>
                            <w:sz w:val="16"/>
                            <w:szCs w:val="16"/>
                          </w:rPr>
                        </w:pPr>
                        <w:r>
                          <w:rPr>
                            <w:rFonts w:ascii="宋体"/>
                            <w:spacing w:val="-1"/>
                            <w:sz w:val="16"/>
                          </w:rPr>
                          <w:t>0.00</w:t>
                        </w:r>
                      </w:p>
                    </w:tc>
                  </w:tr>
                  <w:tr>
                    <w:trPr>
                      <w:trHeight w:val="289"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6"/>
                            <w:szCs w:val="16"/>
                          </w:rPr>
                        </w:pPr>
                        <w:r>
                          <w:rPr>
                            <w:rFonts w:ascii="宋体" w:hAnsi="宋体" w:cs="宋体" w:eastAsia="宋体" w:hint="default"/>
                            <w:sz w:val="16"/>
                            <w:szCs w:val="16"/>
                          </w:rPr>
                          <w:t>新疆芳香庄园酒业股份有限公司</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4"/>
                          <w:jc w:val="right"/>
                          <w:rPr>
                            <w:rFonts w:ascii="宋体" w:hAnsi="宋体" w:cs="宋体" w:eastAsia="宋体" w:hint="default"/>
                            <w:sz w:val="16"/>
                            <w:szCs w:val="16"/>
                          </w:rPr>
                        </w:pPr>
                        <w:r>
                          <w:rPr>
                            <w:rFonts w:ascii="宋体"/>
                            <w:spacing w:val="-1"/>
                            <w:sz w:val="16"/>
                          </w:rPr>
                          <w:t>0.00</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9"/>
                          <w:jc w:val="right"/>
                          <w:rPr>
                            <w:rFonts w:ascii="宋体" w:hAnsi="宋体" w:cs="宋体" w:eastAsia="宋体" w:hint="default"/>
                            <w:sz w:val="16"/>
                            <w:szCs w:val="16"/>
                          </w:rPr>
                        </w:pPr>
                        <w:r>
                          <w:rPr>
                            <w:rFonts w:ascii="宋体"/>
                            <w:spacing w:val="-2"/>
                            <w:sz w:val="16"/>
                          </w:rPr>
                          <w:t>210,974,200.00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5"/>
                          <w:jc w:val="right"/>
                          <w:rPr>
                            <w:rFonts w:ascii="宋体" w:hAnsi="宋体" w:cs="宋体" w:eastAsia="宋体" w:hint="default"/>
                            <w:sz w:val="16"/>
                            <w:szCs w:val="16"/>
                          </w:rPr>
                        </w:pPr>
                        <w:r>
                          <w:rPr>
                            <w:rFonts w:ascii="宋体"/>
                            <w:spacing w:val="-1"/>
                            <w:sz w:val="16"/>
                          </w:rPr>
                          <w:t>0.00</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1"/>
                          <w:jc w:val="right"/>
                          <w:rPr>
                            <w:rFonts w:ascii="宋体" w:hAnsi="宋体" w:cs="宋体" w:eastAsia="宋体" w:hint="default"/>
                            <w:sz w:val="16"/>
                            <w:szCs w:val="16"/>
                          </w:rPr>
                        </w:pPr>
                        <w:r>
                          <w:rPr>
                            <w:rFonts w:ascii="宋体"/>
                            <w:spacing w:val="-2"/>
                            <w:sz w:val="16"/>
                          </w:rPr>
                          <w:t>3,275,151.95</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宋体" w:hAnsi="宋体" w:cs="宋体" w:eastAsia="宋体" w:hint="default"/>
                            <w:sz w:val="16"/>
                            <w:szCs w:val="16"/>
                          </w:rPr>
                        </w:pPr>
                        <w:r>
                          <w:rPr>
                            <w:rFonts w:ascii="宋体"/>
                            <w:spacing w:val="-1"/>
                            <w:sz w:val="16"/>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5"/>
                          <w:jc w:val="right"/>
                          <w:rPr>
                            <w:rFonts w:ascii="宋体" w:hAnsi="宋体" w:cs="宋体" w:eastAsia="宋体" w:hint="default"/>
                            <w:sz w:val="16"/>
                            <w:szCs w:val="16"/>
                          </w:rPr>
                        </w:pPr>
                        <w:r>
                          <w:rPr>
                            <w:rFonts w:ascii="宋体"/>
                            <w:spacing w:val="-2"/>
                            <w:sz w:val="16"/>
                          </w:rPr>
                          <w:t>-1,516,092.45</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
                          <w:jc w:val="right"/>
                          <w:rPr>
                            <w:rFonts w:ascii="宋体" w:hAnsi="宋体" w:cs="宋体" w:eastAsia="宋体" w:hint="default"/>
                            <w:sz w:val="16"/>
                            <w:szCs w:val="16"/>
                          </w:rPr>
                        </w:pPr>
                        <w:r>
                          <w:rPr>
                            <w:rFonts w:ascii="宋体"/>
                            <w:spacing w:val="-1"/>
                            <w:sz w:val="16"/>
                          </w:rPr>
                          <w:t>0.00</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3"/>
                          <w:jc w:val="right"/>
                          <w:rPr>
                            <w:rFonts w:ascii="宋体" w:hAnsi="宋体" w:cs="宋体" w:eastAsia="宋体" w:hint="default"/>
                            <w:sz w:val="16"/>
                            <w:szCs w:val="16"/>
                          </w:rPr>
                        </w:pPr>
                        <w:r>
                          <w:rPr>
                            <w:rFonts w:ascii="宋体"/>
                            <w:spacing w:val="-2"/>
                            <w:sz w:val="16"/>
                          </w:rPr>
                          <w:t>212,733,259.50</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宋体" w:hAnsi="宋体" w:cs="宋体" w:eastAsia="宋体" w:hint="default"/>
                            <w:sz w:val="16"/>
                            <w:szCs w:val="16"/>
                          </w:rPr>
                        </w:pPr>
                        <w:r>
                          <w:rPr>
                            <w:rFonts w:ascii="宋体"/>
                            <w:spacing w:val="-1"/>
                            <w:sz w:val="16"/>
                          </w:rPr>
                          <w:t>0.00</w:t>
                        </w:r>
                      </w:p>
                    </w:tc>
                  </w:tr>
                  <w:tr>
                    <w:trPr>
                      <w:trHeight w:val="289"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6"/>
                            <w:szCs w:val="16"/>
                          </w:rPr>
                        </w:pPr>
                        <w:r>
                          <w:rPr>
                            <w:rFonts w:ascii="宋体" w:hAnsi="宋体" w:cs="宋体" w:eastAsia="宋体" w:hint="default"/>
                            <w:sz w:val="16"/>
                            <w:szCs w:val="16"/>
                          </w:rPr>
                          <w:t>玉溪市华控环境海绵城市建设有限公司</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4"/>
                          <w:jc w:val="right"/>
                          <w:rPr>
                            <w:rFonts w:ascii="宋体" w:hAnsi="宋体" w:cs="宋体" w:eastAsia="宋体" w:hint="default"/>
                            <w:sz w:val="16"/>
                            <w:szCs w:val="16"/>
                          </w:rPr>
                        </w:pPr>
                        <w:r>
                          <w:rPr>
                            <w:rFonts w:ascii="宋体"/>
                            <w:spacing w:val="-2"/>
                            <w:sz w:val="16"/>
                          </w:rPr>
                          <w:t>164,927,491.60</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9"/>
                          <w:jc w:val="right"/>
                          <w:rPr>
                            <w:rFonts w:ascii="宋体" w:hAnsi="宋体" w:cs="宋体" w:eastAsia="宋体" w:hint="default"/>
                            <w:sz w:val="16"/>
                            <w:szCs w:val="16"/>
                          </w:rPr>
                        </w:pPr>
                        <w:r>
                          <w:rPr>
                            <w:rFonts w:ascii="宋体"/>
                            <w:spacing w:val="-1"/>
                            <w:sz w:val="16"/>
                          </w:rPr>
                          <w:t>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5"/>
                          <w:jc w:val="right"/>
                          <w:rPr>
                            <w:rFonts w:ascii="宋体" w:hAnsi="宋体" w:cs="宋体" w:eastAsia="宋体" w:hint="default"/>
                            <w:sz w:val="16"/>
                            <w:szCs w:val="16"/>
                          </w:rPr>
                        </w:pPr>
                        <w:r>
                          <w:rPr>
                            <w:rFonts w:ascii="宋体"/>
                            <w:spacing w:val="-1"/>
                            <w:sz w:val="16"/>
                          </w:rPr>
                          <w:t>0.00</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0"/>
                          <w:jc w:val="right"/>
                          <w:rPr>
                            <w:rFonts w:ascii="宋体" w:hAnsi="宋体" w:cs="宋体" w:eastAsia="宋体" w:hint="default"/>
                            <w:sz w:val="16"/>
                            <w:szCs w:val="16"/>
                          </w:rPr>
                        </w:pPr>
                        <w:r>
                          <w:rPr>
                            <w:rFonts w:ascii="宋体"/>
                            <w:spacing w:val="-2"/>
                            <w:sz w:val="16"/>
                          </w:rPr>
                          <w:t>-58,500.00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
                          <w:jc w:val="right"/>
                          <w:rPr>
                            <w:rFonts w:ascii="宋体" w:hAnsi="宋体" w:cs="宋体" w:eastAsia="宋体" w:hint="default"/>
                            <w:sz w:val="16"/>
                            <w:szCs w:val="16"/>
                          </w:rPr>
                        </w:pPr>
                        <w:r>
                          <w:rPr>
                            <w:rFonts w:ascii="宋体"/>
                            <w:spacing w:val="-1"/>
                            <w:sz w:val="16"/>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5"/>
                          <w:jc w:val="right"/>
                          <w:rPr>
                            <w:rFonts w:ascii="宋体" w:hAnsi="宋体" w:cs="宋体" w:eastAsia="宋体" w:hint="default"/>
                            <w:sz w:val="16"/>
                            <w:szCs w:val="16"/>
                          </w:rPr>
                        </w:pPr>
                        <w:r>
                          <w:rPr>
                            <w:rFonts w:ascii="宋体"/>
                            <w:spacing w:val="-1"/>
                            <w:sz w:val="16"/>
                          </w:rPr>
                          <w:t>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4"/>
                          <w:jc w:val="right"/>
                          <w:rPr>
                            <w:rFonts w:ascii="宋体" w:hAnsi="宋体" w:cs="宋体" w:eastAsia="宋体" w:hint="default"/>
                            <w:sz w:val="16"/>
                            <w:szCs w:val="16"/>
                          </w:rPr>
                        </w:pPr>
                        <w:r>
                          <w:rPr>
                            <w:rFonts w:ascii="宋体"/>
                            <w:spacing w:val="-1"/>
                            <w:sz w:val="16"/>
                          </w:rPr>
                          <w:t>0.00</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0"/>
                          <w:jc w:val="right"/>
                          <w:rPr>
                            <w:rFonts w:ascii="宋体" w:hAnsi="宋体" w:cs="宋体" w:eastAsia="宋体" w:hint="default"/>
                            <w:sz w:val="16"/>
                            <w:szCs w:val="16"/>
                          </w:rPr>
                        </w:pPr>
                        <w:r>
                          <w:rPr>
                            <w:rFonts w:ascii="宋体"/>
                            <w:spacing w:val="-1"/>
                            <w:sz w:val="16"/>
                          </w:rPr>
                          <w:t>0.00</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3"/>
                          <w:jc w:val="right"/>
                          <w:rPr>
                            <w:rFonts w:ascii="宋体" w:hAnsi="宋体" w:cs="宋体" w:eastAsia="宋体" w:hint="default"/>
                            <w:sz w:val="16"/>
                            <w:szCs w:val="16"/>
                          </w:rPr>
                        </w:pPr>
                        <w:r>
                          <w:rPr>
                            <w:rFonts w:ascii="宋体"/>
                            <w:spacing w:val="-2"/>
                            <w:sz w:val="16"/>
                          </w:rPr>
                          <w:t>164,868,991.60</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宋体" w:hAnsi="宋体" w:cs="宋体" w:eastAsia="宋体" w:hint="default"/>
                            <w:sz w:val="16"/>
                            <w:szCs w:val="16"/>
                          </w:rPr>
                        </w:pPr>
                        <w:r>
                          <w:rPr>
                            <w:rFonts w:ascii="宋体"/>
                            <w:spacing w:val="-1"/>
                            <w:sz w:val="16"/>
                          </w:rPr>
                          <w:t>0.00</w:t>
                        </w:r>
                      </w:p>
                    </w:tc>
                  </w:tr>
                  <w:tr>
                    <w:trPr>
                      <w:trHeight w:val="290"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6"/>
                            <w:szCs w:val="16"/>
                          </w:rPr>
                        </w:pPr>
                        <w:r>
                          <w:rPr>
                            <w:rFonts w:ascii="宋体" w:hAnsi="宋体" w:cs="宋体" w:eastAsia="宋体" w:hint="default"/>
                            <w:sz w:val="16"/>
                            <w:szCs w:val="16"/>
                          </w:rPr>
                          <w:t>泰豪创意科技集团股份有限公司</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4"/>
                          <w:jc w:val="right"/>
                          <w:rPr>
                            <w:rFonts w:ascii="宋体" w:hAnsi="宋体" w:cs="宋体" w:eastAsia="宋体" w:hint="default"/>
                            <w:sz w:val="16"/>
                            <w:szCs w:val="16"/>
                          </w:rPr>
                        </w:pPr>
                        <w:r>
                          <w:rPr>
                            <w:rFonts w:ascii="宋体"/>
                            <w:spacing w:val="-2"/>
                            <w:sz w:val="16"/>
                          </w:rPr>
                          <w:t>154,515,893.78</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9"/>
                          <w:jc w:val="right"/>
                          <w:rPr>
                            <w:rFonts w:ascii="宋体" w:hAnsi="宋体" w:cs="宋体" w:eastAsia="宋体" w:hint="default"/>
                            <w:sz w:val="16"/>
                            <w:szCs w:val="16"/>
                          </w:rPr>
                        </w:pPr>
                        <w:r>
                          <w:rPr>
                            <w:rFonts w:ascii="宋体"/>
                            <w:spacing w:val="-1"/>
                            <w:sz w:val="16"/>
                          </w:rPr>
                          <w:t>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5"/>
                          <w:jc w:val="right"/>
                          <w:rPr>
                            <w:rFonts w:ascii="宋体" w:hAnsi="宋体" w:cs="宋体" w:eastAsia="宋体" w:hint="default"/>
                            <w:sz w:val="16"/>
                            <w:szCs w:val="16"/>
                          </w:rPr>
                        </w:pPr>
                        <w:r>
                          <w:rPr>
                            <w:rFonts w:ascii="宋体"/>
                            <w:spacing w:val="-1"/>
                            <w:sz w:val="16"/>
                          </w:rPr>
                          <w:t>0.00</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1"/>
                          <w:jc w:val="right"/>
                          <w:rPr>
                            <w:rFonts w:ascii="宋体" w:hAnsi="宋体" w:cs="宋体" w:eastAsia="宋体" w:hint="default"/>
                            <w:sz w:val="16"/>
                            <w:szCs w:val="16"/>
                          </w:rPr>
                        </w:pPr>
                        <w:r>
                          <w:rPr>
                            <w:rFonts w:ascii="宋体"/>
                            <w:spacing w:val="-1"/>
                            <w:sz w:val="16"/>
                          </w:rPr>
                          <w:t>-854,052.15</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宋体" w:hAnsi="宋体" w:cs="宋体" w:eastAsia="宋体" w:hint="default"/>
                            <w:sz w:val="16"/>
                            <w:szCs w:val="16"/>
                          </w:rPr>
                        </w:pPr>
                        <w:r>
                          <w:rPr>
                            <w:rFonts w:ascii="宋体"/>
                            <w:spacing w:val="-1"/>
                            <w:sz w:val="16"/>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5"/>
                          <w:jc w:val="right"/>
                          <w:rPr>
                            <w:rFonts w:ascii="宋体" w:hAnsi="宋体" w:cs="宋体" w:eastAsia="宋体" w:hint="default"/>
                            <w:sz w:val="16"/>
                            <w:szCs w:val="16"/>
                          </w:rPr>
                        </w:pPr>
                        <w:r>
                          <w:rPr>
                            <w:rFonts w:ascii="宋体"/>
                            <w:spacing w:val="-1"/>
                            <w:sz w:val="16"/>
                          </w:rPr>
                          <w:t>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
                          <w:jc w:val="right"/>
                          <w:rPr>
                            <w:rFonts w:ascii="宋体" w:hAnsi="宋体" w:cs="宋体" w:eastAsia="宋体" w:hint="default"/>
                            <w:sz w:val="16"/>
                            <w:szCs w:val="16"/>
                          </w:rPr>
                        </w:pPr>
                        <w:r>
                          <w:rPr>
                            <w:rFonts w:ascii="宋体"/>
                            <w:spacing w:val="-1"/>
                            <w:sz w:val="16"/>
                          </w:rPr>
                          <w:t>0.00</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3"/>
                          <w:jc w:val="right"/>
                          <w:rPr>
                            <w:rFonts w:ascii="宋体" w:hAnsi="宋体" w:cs="宋体" w:eastAsia="宋体" w:hint="default"/>
                            <w:sz w:val="16"/>
                            <w:szCs w:val="16"/>
                          </w:rPr>
                        </w:pPr>
                        <w:r>
                          <w:rPr>
                            <w:rFonts w:ascii="宋体"/>
                            <w:spacing w:val="-2"/>
                            <w:sz w:val="16"/>
                          </w:rPr>
                          <w:t>153,661,841.63</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宋体" w:hAnsi="宋体" w:cs="宋体" w:eastAsia="宋体" w:hint="default"/>
                            <w:sz w:val="16"/>
                            <w:szCs w:val="16"/>
                          </w:rPr>
                        </w:pPr>
                        <w:r>
                          <w:rPr>
                            <w:rFonts w:ascii="宋体"/>
                            <w:spacing w:val="-1"/>
                            <w:sz w:val="16"/>
                          </w:rPr>
                          <w:t>0.00</w:t>
                        </w:r>
                      </w:p>
                    </w:tc>
                  </w:tr>
                  <w:tr>
                    <w:trPr>
                      <w:trHeight w:val="290"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6"/>
                            <w:szCs w:val="16"/>
                          </w:rPr>
                        </w:pPr>
                        <w:r>
                          <w:rPr>
                            <w:rFonts w:ascii="宋体" w:hAnsi="宋体" w:cs="宋体" w:eastAsia="宋体" w:hint="default"/>
                            <w:sz w:val="16"/>
                            <w:szCs w:val="16"/>
                          </w:rPr>
                          <w:t>易程科技股份有限公司</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4"/>
                          <w:jc w:val="right"/>
                          <w:rPr>
                            <w:rFonts w:ascii="宋体" w:hAnsi="宋体" w:cs="宋体" w:eastAsia="宋体" w:hint="default"/>
                            <w:sz w:val="16"/>
                            <w:szCs w:val="16"/>
                          </w:rPr>
                        </w:pPr>
                        <w:r>
                          <w:rPr>
                            <w:rFonts w:ascii="宋体"/>
                            <w:spacing w:val="-2"/>
                            <w:sz w:val="16"/>
                          </w:rPr>
                          <w:t>149,193,421.79</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9"/>
                          <w:jc w:val="right"/>
                          <w:rPr>
                            <w:rFonts w:ascii="宋体" w:hAnsi="宋体" w:cs="宋体" w:eastAsia="宋体" w:hint="default"/>
                            <w:sz w:val="16"/>
                            <w:szCs w:val="16"/>
                          </w:rPr>
                        </w:pPr>
                        <w:r>
                          <w:rPr>
                            <w:rFonts w:ascii="宋体"/>
                            <w:spacing w:val="-1"/>
                            <w:sz w:val="16"/>
                          </w:rPr>
                          <w:t>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5"/>
                          <w:jc w:val="right"/>
                          <w:rPr>
                            <w:rFonts w:ascii="宋体" w:hAnsi="宋体" w:cs="宋体" w:eastAsia="宋体" w:hint="default"/>
                            <w:sz w:val="16"/>
                            <w:szCs w:val="16"/>
                          </w:rPr>
                        </w:pPr>
                        <w:r>
                          <w:rPr>
                            <w:rFonts w:ascii="宋体"/>
                            <w:spacing w:val="-1"/>
                            <w:sz w:val="16"/>
                          </w:rPr>
                          <w:t>0.00</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1"/>
                          <w:jc w:val="right"/>
                          <w:rPr>
                            <w:rFonts w:ascii="宋体" w:hAnsi="宋体" w:cs="宋体" w:eastAsia="宋体" w:hint="default"/>
                            <w:sz w:val="16"/>
                            <w:szCs w:val="16"/>
                          </w:rPr>
                        </w:pPr>
                        <w:r>
                          <w:rPr>
                            <w:rFonts w:ascii="宋体"/>
                            <w:spacing w:val="-2"/>
                            <w:sz w:val="16"/>
                          </w:rPr>
                          <w:t>1,350,438.24</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宋体" w:hAnsi="宋体" w:cs="宋体" w:eastAsia="宋体" w:hint="default"/>
                            <w:sz w:val="16"/>
                            <w:szCs w:val="16"/>
                          </w:rPr>
                        </w:pPr>
                        <w:r>
                          <w:rPr>
                            <w:rFonts w:ascii="宋体"/>
                            <w:spacing w:val="-1"/>
                            <w:sz w:val="16"/>
                          </w:rPr>
                          <w:t>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5"/>
                          <w:jc w:val="right"/>
                          <w:rPr>
                            <w:rFonts w:ascii="宋体" w:hAnsi="宋体" w:cs="宋体" w:eastAsia="宋体" w:hint="default"/>
                            <w:sz w:val="16"/>
                            <w:szCs w:val="16"/>
                          </w:rPr>
                        </w:pPr>
                        <w:r>
                          <w:rPr>
                            <w:rFonts w:ascii="宋体"/>
                            <w:spacing w:val="-1"/>
                            <w:sz w:val="16"/>
                          </w:rPr>
                          <w:t>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
                          <w:jc w:val="right"/>
                          <w:rPr>
                            <w:rFonts w:ascii="宋体" w:hAnsi="宋体" w:cs="宋体" w:eastAsia="宋体" w:hint="default"/>
                            <w:sz w:val="16"/>
                            <w:szCs w:val="16"/>
                          </w:rPr>
                        </w:pPr>
                        <w:r>
                          <w:rPr>
                            <w:rFonts w:ascii="宋体"/>
                            <w:spacing w:val="-1"/>
                            <w:sz w:val="16"/>
                          </w:rPr>
                          <w:t>0.00</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3"/>
                          <w:jc w:val="right"/>
                          <w:rPr>
                            <w:rFonts w:ascii="宋体" w:hAnsi="宋体" w:cs="宋体" w:eastAsia="宋体" w:hint="default"/>
                            <w:sz w:val="16"/>
                            <w:szCs w:val="16"/>
                          </w:rPr>
                        </w:pPr>
                        <w:r>
                          <w:rPr>
                            <w:rFonts w:ascii="宋体"/>
                            <w:spacing w:val="-2"/>
                            <w:sz w:val="16"/>
                          </w:rPr>
                          <w:t>150,543,860.03</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宋体" w:hAnsi="宋体" w:cs="宋体" w:eastAsia="宋体" w:hint="default"/>
                            <w:sz w:val="16"/>
                            <w:szCs w:val="16"/>
                          </w:rPr>
                        </w:pPr>
                        <w:r>
                          <w:rPr>
                            <w:rFonts w:ascii="宋体"/>
                            <w:spacing w:val="-1"/>
                            <w:sz w:val="16"/>
                          </w:rPr>
                          <w:t>0.00</w:t>
                        </w:r>
                      </w:p>
                    </w:tc>
                  </w:tr>
                  <w:tr>
                    <w:trPr>
                      <w:trHeight w:val="290"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6"/>
                            <w:szCs w:val="16"/>
                          </w:rPr>
                        </w:pPr>
                        <w:r>
                          <w:rPr>
                            <w:rFonts w:ascii="宋体" w:hAnsi="宋体" w:cs="宋体" w:eastAsia="宋体" w:hint="default"/>
                            <w:sz w:val="16"/>
                            <w:szCs w:val="16"/>
                          </w:rPr>
                          <w:t>同方环境股份有限公司</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4"/>
                          <w:jc w:val="right"/>
                          <w:rPr>
                            <w:rFonts w:ascii="宋体" w:hAnsi="宋体" w:cs="宋体" w:eastAsia="宋体" w:hint="default"/>
                            <w:sz w:val="16"/>
                            <w:szCs w:val="16"/>
                          </w:rPr>
                        </w:pPr>
                        <w:r>
                          <w:rPr>
                            <w:rFonts w:ascii="宋体"/>
                            <w:spacing w:val="-2"/>
                            <w:sz w:val="16"/>
                          </w:rPr>
                          <w:t>140,569,491.75</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9"/>
                          <w:jc w:val="right"/>
                          <w:rPr>
                            <w:rFonts w:ascii="宋体" w:hAnsi="宋体" w:cs="宋体" w:eastAsia="宋体" w:hint="default"/>
                            <w:sz w:val="16"/>
                            <w:szCs w:val="16"/>
                          </w:rPr>
                        </w:pPr>
                        <w:r>
                          <w:rPr>
                            <w:rFonts w:ascii="宋体"/>
                            <w:spacing w:val="-1"/>
                            <w:sz w:val="16"/>
                          </w:rPr>
                          <w:t>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5"/>
                          <w:jc w:val="right"/>
                          <w:rPr>
                            <w:rFonts w:ascii="宋体" w:hAnsi="宋体" w:cs="宋体" w:eastAsia="宋体" w:hint="default"/>
                            <w:sz w:val="16"/>
                            <w:szCs w:val="16"/>
                          </w:rPr>
                        </w:pPr>
                        <w:r>
                          <w:rPr>
                            <w:rFonts w:ascii="宋体"/>
                            <w:spacing w:val="-1"/>
                            <w:sz w:val="16"/>
                          </w:rPr>
                          <w:t>0.00</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0"/>
                          <w:jc w:val="right"/>
                          <w:rPr>
                            <w:rFonts w:ascii="宋体" w:hAnsi="宋体" w:cs="宋体" w:eastAsia="宋体" w:hint="default"/>
                            <w:sz w:val="16"/>
                            <w:szCs w:val="16"/>
                          </w:rPr>
                        </w:pPr>
                        <w:r>
                          <w:rPr>
                            <w:rFonts w:ascii="宋体"/>
                            <w:spacing w:val="-2"/>
                            <w:sz w:val="16"/>
                          </w:rPr>
                          <w:t>-9,059,491.43</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4"/>
                          <w:jc w:val="right"/>
                          <w:rPr>
                            <w:rFonts w:ascii="宋体" w:hAnsi="宋体" w:cs="宋体" w:eastAsia="宋体" w:hint="default"/>
                            <w:sz w:val="16"/>
                            <w:szCs w:val="16"/>
                          </w:rPr>
                        </w:pPr>
                        <w:r>
                          <w:rPr>
                            <w:rFonts w:ascii="宋体"/>
                            <w:spacing w:val="-2"/>
                            <w:sz w:val="16"/>
                          </w:rPr>
                          <w:t>206,330.88</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5"/>
                          <w:jc w:val="right"/>
                          <w:rPr>
                            <w:rFonts w:ascii="宋体" w:hAnsi="宋体" w:cs="宋体" w:eastAsia="宋体" w:hint="default"/>
                            <w:sz w:val="16"/>
                            <w:szCs w:val="16"/>
                          </w:rPr>
                        </w:pPr>
                        <w:r>
                          <w:rPr>
                            <w:rFonts w:ascii="宋体"/>
                            <w:spacing w:val="-1"/>
                            <w:sz w:val="16"/>
                          </w:rPr>
                          <w:t>0.00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62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
                          <w:jc w:val="right"/>
                          <w:rPr>
                            <w:rFonts w:ascii="宋体" w:hAnsi="宋体" w:cs="宋体" w:eastAsia="宋体" w:hint="default"/>
                            <w:sz w:val="16"/>
                            <w:szCs w:val="16"/>
                          </w:rPr>
                        </w:pPr>
                        <w:r>
                          <w:rPr>
                            <w:rFonts w:ascii="宋体"/>
                            <w:spacing w:val="-1"/>
                            <w:sz w:val="16"/>
                          </w:rPr>
                          <w:t>0.00</w:t>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3"/>
                          <w:jc w:val="right"/>
                          <w:rPr>
                            <w:rFonts w:ascii="宋体" w:hAnsi="宋体" w:cs="宋体" w:eastAsia="宋体" w:hint="default"/>
                            <w:sz w:val="16"/>
                            <w:szCs w:val="16"/>
                          </w:rPr>
                        </w:pPr>
                        <w:r>
                          <w:rPr>
                            <w:rFonts w:ascii="宋体"/>
                            <w:spacing w:val="-2"/>
                            <w:sz w:val="16"/>
                          </w:rPr>
                          <w:t>131,716,331.20</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宋体" w:hAnsi="宋体" w:cs="宋体" w:eastAsia="宋体" w:hint="default"/>
                            <w:sz w:val="16"/>
                            <w:szCs w:val="16"/>
                          </w:rPr>
                        </w:pPr>
                        <w:r>
                          <w:rPr>
                            <w:rFonts w:ascii="宋体"/>
                            <w:spacing w:val="-1"/>
                            <w:sz w:val="16"/>
                          </w:rPr>
                          <w:t>0.00</w:t>
                        </w:r>
                      </w:p>
                    </w:tc>
                  </w:tr>
                  <w:tr>
                    <w:trPr>
                      <w:trHeight w:val="306" w:hRule="exact"/>
                    </w:trPr>
                    <w:tc>
                      <w:tcPr>
                        <w:tcW w:w="3028"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left="35" w:right="0"/>
                          <w:jc w:val="left"/>
                          <w:rPr>
                            <w:rFonts w:ascii="宋体" w:hAnsi="宋体" w:cs="宋体" w:eastAsia="宋体" w:hint="default"/>
                            <w:sz w:val="16"/>
                            <w:szCs w:val="16"/>
                          </w:rPr>
                        </w:pPr>
                        <w:r>
                          <w:rPr>
                            <w:rFonts w:ascii="宋体" w:hAnsi="宋体" w:cs="宋体" w:eastAsia="宋体" w:hint="default"/>
                            <w:sz w:val="16"/>
                            <w:szCs w:val="16"/>
                          </w:rPr>
                          <w:t>北京辰安科技股份有限公司</w:t>
                        </w:r>
                      </w:p>
                    </w:tc>
                    <w:tc>
                      <w:tcPr>
                        <w:tcW w:w="1570"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174"/>
                          <w:jc w:val="right"/>
                          <w:rPr>
                            <w:rFonts w:ascii="宋体" w:hAnsi="宋体" w:cs="宋体" w:eastAsia="宋体" w:hint="default"/>
                            <w:sz w:val="16"/>
                            <w:szCs w:val="16"/>
                          </w:rPr>
                        </w:pPr>
                        <w:r>
                          <w:rPr>
                            <w:rFonts w:ascii="宋体"/>
                            <w:spacing w:val="-2"/>
                            <w:sz w:val="16"/>
                          </w:rPr>
                          <w:t>82,089,471.83</w:t>
                        </w:r>
                      </w:p>
                    </w:tc>
                    <w:tc>
                      <w:tcPr>
                        <w:tcW w:w="1589"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289"/>
                          <w:jc w:val="right"/>
                          <w:rPr>
                            <w:rFonts w:ascii="宋体" w:hAnsi="宋体" w:cs="宋体" w:eastAsia="宋体" w:hint="default"/>
                            <w:sz w:val="16"/>
                            <w:szCs w:val="16"/>
                          </w:rPr>
                        </w:pPr>
                        <w:r>
                          <w:rPr>
                            <w:rFonts w:ascii="宋体"/>
                            <w:spacing w:val="-1"/>
                            <w:sz w:val="16"/>
                          </w:rPr>
                          <w:t>0.00</w:t>
                        </w:r>
                      </w:p>
                    </w:tc>
                    <w:tc>
                      <w:tcPr>
                        <w:tcW w:w="749"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135"/>
                          <w:jc w:val="right"/>
                          <w:rPr>
                            <w:rFonts w:ascii="宋体" w:hAnsi="宋体" w:cs="宋体" w:eastAsia="宋体" w:hint="default"/>
                            <w:sz w:val="16"/>
                            <w:szCs w:val="16"/>
                          </w:rPr>
                        </w:pPr>
                        <w:r>
                          <w:rPr>
                            <w:rFonts w:ascii="宋体"/>
                            <w:spacing w:val="-1"/>
                            <w:sz w:val="16"/>
                          </w:rPr>
                          <w:t>0.00</w:t>
                        </w:r>
                      </w:p>
                    </w:tc>
                    <w:tc>
                      <w:tcPr>
                        <w:tcW w:w="1362"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101"/>
                          <w:jc w:val="right"/>
                          <w:rPr>
                            <w:rFonts w:ascii="宋体" w:hAnsi="宋体" w:cs="宋体" w:eastAsia="宋体" w:hint="default"/>
                            <w:sz w:val="16"/>
                            <w:szCs w:val="16"/>
                          </w:rPr>
                        </w:pPr>
                        <w:r>
                          <w:rPr>
                            <w:rFonts w:ascii="宋体"/>
                            <w:spacing w:val="-2"/>
                            <w:sz w:val="16"/>
                          </w:rPr>
                          <w:t>11,438,557.66</w:t>
                        </w:r>
                      </w:p>
                    </w:tc>
                    <w:tc>
                      <w:tcPr>
                        <w:tcW w:w="1251"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24"/>
                          <w:jc w:val="right"/>
                          <w:rPr>
                            <w:rFonts w:ascii="宋体" w:hAnsi="宋体" w:cs="宋体" w:eastAsia="宋体" w:hint="default"/>
                            <w:sz w:val="16"/>
                            <w:szCs w:val="16"/>
                          </w:rPr>
                        </w:pPr>
                        <w:r>
                          <w:rPr>
                            <w:rFonts w:ascii="宋体"/>
                            <w:spacing w:val="-1"/>
                            <w:sz w:val="16"/>
                          </w:rPr>
                          <w:t>6,092.52</w:t>
                        </w:r>
                      </w:p>
                    </w:tc>
                    <w:tc>
                      <w:tcPr>
                        <w:tcW w:w="1114"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45"/>
                          <w:jc w:val="right"/>
                          <w:rPr>
                            <w:rFonts w:ascii="宋体" w:hAnsi="宋体" w:cs="宋体" w:eastAsia="宋体" w:hint="default"/>
                            <w:sz w:val="16"/>
                            <w:szCs w:val="16"/>
                          </w:rPr>
                        </w:pPr>
                        <w:r>
                          <w:rPr>
                            <w:rFonts w:ascii="宋体"/>
                            <w:spacing w:val="-2"/>
                            <w:sz w:val="16"/>
                          </w:rPr>
                          <w:t>19,288,891.28</w:t>
                        </w:r>
                      </w:p>
                    </w:tc>
                    <w:tc>
                      <w:tcPr>
                        <w:tcW w:w="1344"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2"/>
                            <w:sz w:val="16"/>
                          </w:rPr>
                          <w:t>1,579,500.00</w:t>
                        </w:r>
                      </w:p>
                    </w:tc>
                    <w:tc>
                      <w:tcPr>
                        <w:tcW w:w="629"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50"/>
                          <w:jc w:val="right"/>
                          <w:rPr>
                            <w:rFonts w:ascii="宋体" w:hAnsi="宋体" w:cs="宋体" w:eastAsia="宋体" w:hint="default"/>
                            <w:sz w:val="16"/>
                            <w:szCs w:val="16"/>
                          </w:rPr>
                        </w:pPr>
                        <w:r>
                          <w:rPr>
                            <w:rFonts w:ascii="宋体"/>
                            <w:spacing w:val="-1"/>
                            <w:sz w:val="16"/>
                          </w:rPr>
                          <w:t>0.00</w:t>
                        </w:r>
                      </w:p>
                    </w:tc>
                    <w:tc>
                      <w:tcPr>
                        <w:tcW w:w="1377"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43"/>
                          <w:jc w:val="right"/>
                          <w:rPr>
                            <w:rFonts w:ascii="宋体" w:hAnsi="宋体" w:cs="宋体" w:eastAsia="宋体" w:hint="default"/>
                            <w:sz w:val="16"/>
                            <w:szCs w:val="16"/>
                          </w:rPr>
                        </w:pPr>
                        <w:r>
                          <w:rPr>
                            <w:rFonts w:ascii="宋体"/>
                            <w:spacing w:val="-2"/>
                            <w:sz w:val="16"/>
                          </w:rPr>
                          <w:t>111,243,513.29</w:t>
                        </w:r>
                      </w:p>
                    </w:tc>
                    <w:tc>
                      <w:tcPr>
                        <w:tcW w:w="1202"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33"/>
                          <w:jc w:val="right"/>
                          <w:rPr>
                            <w:rFonts w:ascii="宋体" w:hAnsi="宋体" w:cs="宋体" w:eastAsia="宋体" w:hint="default"/>
                            <w:sz w:val="16"/>
                            <w:szCs w:val="16"/>
                          </w:rPr>
                        </w:pPr>
                        <w:r>
                          <w:rPr>
                            <w:rFonts w:ascii="宋体"/>
                            <w:spacing w:val="-1"/>
                            <w:sz w:val="16"/>
                          </w:rPr>
                          <w:t>0.00</w:t>
                        </w:r>
                      </w:p>
                    </w:tc>
                  </w:tr>
                </w:tbl>
                <w:p>
                  <w:pPr/>
                </w:p>
              </w:txbxContent>
            </v:textbox>
            <w10:wrap type="none"/>
          </v:shape>
        </w:pict>
      </w:r>
      <w:r>
        <w:rPr>
          <w:rFonts w:ascii="宋体"/>
          <w:spacing w:val="-1"/>
          <w:sz w:val="16"/>
        </w:rPr>
        <w:t>0.00</w:t>
        <w:tab/>
        <w:t>0.00</w:t>
      </w:r>
      <w:r>
        <w:rPr>
          <w:rFonts w:ascii="宋体"/>
          <w:sz w:val="16"/>
        </w:rPr>
        <w:t> </w:t>
      </w:r>
      <w:r>
        <w:rPr>
          <w:rFonts w:ascii="宋体"/>
          <w:spacing w:val="55"/>
          <w:sz w:val="16"/>
        </w:rPr>
        <w:t> </w:t>
      </w:r>
      <w:r>
        <w:rPr>
          <w:rFonts w:ascii="宋体"/>
          <w:spacing w:val="-2"/>
          <w:sz w:val="16"/>
        </w:rPr>
        <w:t>-115,543,478.98</w:t>
        <w:tab/>
        <w:t>-37,209,811.12</w:t>
      </w:r>
      <w:r>
        <w:rPr>
          <w:rFonts w:ascii="宋体"/>
          <w:spacing w:val="4"/>
          <w:sz w:val="16"/>
        </w:rPr>
        <w:t> </w:t>
      </w:r>
      <w:r>
        <w:rPr>
          <w:rFonts w:ascii="宋体"/>
          <w:spacing w:val="-2"/>
          <w:sz w:val="16"/>
        </w:rPr>
        <w:t>31,070,131.48</w:t>
        <w:tab/>
      </w:r>
      <w:r>
        <w:rPr>
          <w:rFonts w:ascii="宋体"/>
          <w:spacing w:val="-1"/>
          <w:sz w:val="16"/>
        </w:rPr>
        <w:t>0.00</w:t>
      </w:r>
      <w:r>
        <w:rPr>
          <w:rFonts w:ascii="宋体"/>
          <w:sz w:val="16"/>
        </w:rPr>
        <w:t>  </w:t>
      </w:r>
      <w:r>
        <w:rPr>
          <w:rFonts w:ascii="宋体"/>
          <w:spacing w:val="-2"/>
          <w:sz w:val="16"/>
        </w:rPr>
        <w:t>1,017,115,814.13</w:t>
      </w:r>
      <w:r>
        <w:rPr>
          <w:rFonts w:ascii="宋体"/>
          <w:spacing w:val="-9"/>
          <w:sz w:val="16"/>
        </w:rPr>
        <w:t> </w:t>
      </w:r>
      <w:r>
        <w:rPr>
          <w:rFonts w:ascii="宋体"/>
          <w:spacing w:val="-2"/>
          <w:sz w:val="16"/>
        </w:rPr>
        <w:t>637,985,666.64</w:t>
      </w:r>
    </w:p>
    <w:p>
      <w:pPr>
        <w:spacing w:after="0"/>
        <w:jc w:val="left"/>
        <w:rPr>
          <w:rFonts w:ascii="宋体" w:hAnsi="宋体" w:cs="宋体" w:eastAsia="宋体" w:hint="default"/>
          <w:sz w:val="16"/>
          <w:szCs w:val="16"/>
        </w:rPr>
        <w:sectPr>
          <w:type w:val="continuous"/>
          <w:pgSz w:w="16840" w:h="11910" w:orient="landscape"/>
          <w:pgMar w:top="1000" w:bottom="280" w:left="700" w:right="7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28" w:lineRule="exact"/>
        <w:ind w:left="124" w:right="0" w:firstLine="0"/>
        <w:rPr>
          <w:rFonts w:ascii="宋体" w:hAnsi="宋体" w:cs="宋体" w:eastAsia="宋体" w:hint="default"/>
          <w:sz w:val="2"/>
          <w:szCs w:val="2"/>
        </w:rPr>
      </w:pPr>
      <w:r>
        <w:rPr>
          <w:rFonts w:ascii="宋体" w:hAnsi="宋体" w:cs="宋体" w:eastAsia="宋体" w:hint="default"/>
          <w:position w:val="0"/>
          <w:sz w:val="2"/>
          <w:szCs w:val="2"/>
        </w:rPr>
        <w:pict>
          <v:group style="width:761.3pt;height:1.45pt;mso-position-horizontal-relative:char;mso-position-vertical-relative:line" coordorigin="0,0" coordsize="15226,29">
            <v:group style="position:absolute;left:14;top:14;width:3133;height:2" coordorigin="14,14" coordsize="3133,2">
              <v:shape style="position:absolute;left:14;top:14;width:3133;height:2" coordorigin="14,14" coordsize="3133,0" path="m14,14l3147,14e" filled="false" stroked="true" strokeweight="1.44pt" strokecolor="#000000">
                <v:path arrowok="t"/>
              </v:shape>
            </v:group>
            <v:group style="position:absolute;left:3147;top:14;width:29;height:2" coordorigin="3147,14" coordsize="29,2">
              <v:shape style="position:absolute;left:3147;top:14;width:29;height:2" coordorigin="3147,14" coordsize="29,0" path="m3147,14l3176,14e" filled="false" stroked="true" strokeweight="1.44pt" strokecolor="#000000">
                <v:path arrowok="t"/>
              </v:shape>
            </v:group>
            <v:group style="position:absolute;left:3176;top:14;width:1282;height:2" coordorigin="3176,14" coordsize="1282,2">
              <v:shape style="position:absolute;left:3176;top:14;width:1282;height:2" coordorigin="3176,14" coordsize="1282,0" path="m3176,14l4457,14e" filled="false" stroked="true" strokeweight="1.44pt" strokecolor="#000000">
                <v:path arrowok="t"/>
              </v:shape>
            </v:group>
            <v:group style="position:absolute;left:4457;top:14;width:29;height:2" coordorigin="4457,14" coordsize="29,2">
              <v:shape style="position:absolute;left:4457;top:14;width:29;height:2" coordorigin="4457,14" coordsize="29,0" path="m4457,14l4486,14e" filled="false" stroked="true" strokeweight="1.44pt" strokecolor="#000000">
                <v:path arrowok="t"/>
              </v:shape>
            </v:group>
            <v:group style="position:absolute;left:4486;top:14;width:8131;height:2" coordorigin="4486,14" coordsize="8131,2">
              <v:shape style="position:absolute;left:4486;top:14;width:8131;height:2" coordorigin="4486,14" coordsize="8131,0" path="m4486,14l12616,14e" filled="false" stroked="true" strokeweight="1.44pt" strokecolor="#000000">
                <v:path arrowok="t"/>
              </v:shape>
            </v:group>
            <v:group style="position:absolute;left:12616;top:14;width:29;height:2" coordorigin="12616,14" coordsize="29,2">
              <v:shape style="position:absolute;left:12616;top:14;width:29;height:2" coordorigin="12616,14" coordsize="29,0" path="m12616,14l12645,14e" filled="false" stroked="true" strokeweight="1.44pt" strokecolor="#000000">
                <v:path arrowok="t"/>
              </v:shape>
            </v:group>
            <v:group style="position:absolute;left:12645;top:14;width:1356;height:2" coordorigin="12645,14" coordsize="1356,2">
              <v:shape style="position:absolute;left:12645;top:14;width:1356;height:2" coordorigin="12645,14" coordsize="1356,0" path="m12645,14l14001,14e" filled="false" stroked="true" strokeweight="1.44pt" strokecolor="#000000">
                <v:path arrowok="t"/>
              </v:shape>
            </v:group>
            <v:group style="position:absolute;left:14001;top:14;width:29;height:2" coordorigin="14001,14" coordsize="29,2">
              <v:shape style="position:absolute;left:14001;top:14;width:29;height:2" coordorigin="14001,14" coordsize="29,0" path="m14001,14l14030,14e" filled="false" stroked="true" strokeweight="1.44pt" strokecolor="#000000">
                <v:path arrowok="t"/>
              </v:shape>
            </v:group>
            <v:group style="position:absolute;left:14030;top:14;width:1181;height:2" coordorigin="14030,14" coordsize="1181,2">
              <v:shape style="position:absolute;left:14030;top:14;width:1181;height:2" coordorigin="14030,14" coordsize="1181,0" path="m14030,14l15211,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6840" w:h="11910" w:orient="landscape"/>
          <w:pgMar w:header="0" w:footer="1053" w:top="1100" w:bottom="1240" w:left="680" w:right="700"/>
        </w:sectPr>
      </w:pPr>
    </w:p>
    <w:p>
      <w:pPr>
        <w:spacing w:line="240" w:lineRule="auto" w:before="10"/>
        <w:rPr>
          <w:rFonts w:ascii="宋体" w:hAnsi="宋体" w:cs="宋体" w:eastAsia="宋体" w:hint="default"/>
          <w:sz w:val="18"/>
          <w:szCs w:val="18"/>
        </w:rPr>
      </w:pPr>
    </w:p>
    <w:p>
      <w:pPr>
        <w:tabs>
          <w:tab w:pos="3604" w:val="left" w:leader="none"/>
        </w:tabs>
        <w:spacing w:before="0"/>
        <w:ind w:left="1302" w:right="-19" w:firstLine="0"/>
        <w:jc w:val="left"/>
        <w:rPr>
          <w:rFonts w:ascii="宋体" w:hAnsi="宋体" w:cs="宋体" w:eastAsia="宋体" w:hint="default"/>
          <w:sz w:val="16"/>
          <w:szCs w:val="16"/>
        </w:rPr>
      </w:pPr>
      <w:r>
        <w:rPr>
          <w:rFonts w:ascii="宋体" w:hAnsi="宋体" w:cs="宋体" w:eastAsia="宋体" w:hint="default"/>
          <w:b/>
          <w:bCs/>
          <w:sz w:val="16"/>
          <w:szCs w:val="16"/>
        </w:rPr>
        <w:t>被投资单位</w:t>
        <w:tab/>
        <w:t>年初余额</w:t>
      </w:r>
      <w:r>
        <w:rPr>
          <w:rFonts w:ascii="宋体" w:hAnsi="宋体" w:cs="宋体" w:eastAsia="宋体" w:hint="default"/>
          <w:sz w:val="16"/>
          <w:szCs w:val="16"/>
        </w:rPr>
      </w:r>
    </w:p>
    <w:p>
      <w:pPr>
        <w:spacing w:line="240" w:lineRule="auto" w:before="0"/>
        <w:rPr>
          <w:rFonts w:ascii="宋体" w:hAnsi="宋体" w:cs="宋体" w:eastAsia="宋体" w:hint="default"/>
          <w:b/>
          <w:bCs/>
          <w:sz w:val="16"/>
          <w:szCs w:val="16"/>
        </w:rPr>
      </w:pPr>
      <w:r>
        <w:rPr/>
        <w:br w:type="column"/>
      </w:r>
      <w:r>
        <w:rPr>
          <w:rFonts w:ascii="宋体"/>
          <w:b/>
          <w:sz w:val="16"/>
        </w:rPr>
      </w:r>
    </w:p>
    <w:p>
      <w:pPr>
        <w:spacing w:line="240" w:lineRule="auto" w:before="4"/>
        <w:rPr>
          <w:rFonts w:ascii="宋体" w:hAnsi="宋体" w:cs="宋体" w:eastAsia="宋体" w:hint="default"/>
          <w:b/>
          <w:bCs/>
          <w:sz w:val="23"/>
          <w:szCs w:val="23"/>
        </w:rPr>
      </w:pPr>
    </w:p>
    <w:p>
      <w:pPr>
        <w:spacing w:before="0"/>
        <w:ind w:left="0" w:right="0" w:firstLine="0"/>
        <w:jc w:val="right"/>
        <w:rPr>
          <w:rFonts w:ascii="宋体" w:hAnsi="宋体" w:cs="宋体" w:eastAsia="宋体" w:hint="default"/>
          <w:sz w:val="16"/>
          <w:szCs w:val="16"/>
        </w:rPr>
      </w:pPr>
      <w:r>
        <w:rPr>
          <w:rFonts w:ascii="宋体" w:hAnsi="宋体" w:cs="宋体" w:eastAsia="宋体" w:hint="default"/>
          <w:b/>
          <w:bCs/>
          <w:sz w:val="16"/>
          <w:szCs w:val="16"/>
        </w:rPr>
        <w:t>投资损益</w:t>
      </w:r>
      <w:r>
        <w:rPr>
          <w:rFonts w:ascii="宋体" w:hAnsi="宋体" w:cs="宋体" w:eastAsia="宋体" w:hint="default"/>
          <w:sz w:val="16"/>
          <w:szCs w:val="16"/>
        </w:rPr>
      </w:r>
    </w:p>
    <w:p>
      <w:pPr>
        <w:spacing w:before="32"/>
        <w:ind w:left="161" w:right="-19" w:firstLine="0"/>
        <w:jc w:val="left"/>
        <w:rPr>
          <w:rFonts w:ascii="宋体" w:hAnsi="宋体" w:cs="宋体" w:eastAsia="宋体" w:hint="default"/>
          <w:sz w:val="16"/>
          <w:szCs w:val="16"/>
        </w:rPr>
      </w:pPr>
      <w:r>
        <w:rPr/>
        <w:br w:type="column"/>
      </w:r>
      <w:r>
        <w:rPr>
          <w:rFonts w:ascii="宋体" w:hAnsi="宋体" w:cs="宋体" w:eastAsia="宋体" w:hint="default"/>
          <w:b/>
          <w:bCs/>
          <w:sz w:val="16"/>
          <w:szCs w:val="16"/>
        </w:rPr>
        <w:t>本年增减变动</w:t>
      </w:r>
      <w:r>
        <w:rPr>
          <w:rFonts w:ascii="宋体" w:hAnsi="宋体" w:cs="宋体" w:eastAsia="宋体" w:hint="default"/>
          <w:sz w:val="16"/>
          <w:szCs w:val="16"/>
        </w:rPr>
      </w:r>
    </w:p>
    <w:p>
      <w:pPr>
        <w:spacing w:line="240" w:lineRule="auto" w:before="11"/>
        <w:rPr>
          <w:rFonts w:ascii="宋体" w:hAnsi="宋体" w:cs="宋体" w:eastAsia="宋体" w:hint="default"/>
          <w:b/>
          <w:bCs/>
          <w:sz w:val="20"/>
          <w:szCs w:val="20"/>
        </w:rPr>
      </w:pPr>
    </w:p>
    <w:p>
      <w:pPr>
        <w:spacing w:before="0"/>
        <w:ind w:left="680" w:right="-19" w:firstLine="0"/>
        <w:jc w:val="left"/>
        <w:rPr>
          <w:rFonts w:ascii="宋体" w:hAnsi="宋体" w:cs="宋体" w:eastAsia="宋体" w:hint="default"/>
          <w:sz w:val="16"/>
          <w:szCs w:val="16"/>
        </w:rPr>
      </w:pPr>
      <w:r>
        <w:rPr/>
        <w:pict>
          <v:group style="position:absolute;margin-left:262.820007pt;margin-top:-9.616264pt;width:408.45pt;height:.5pt;mso-position-horizontal-relative:page;mso-position-vertical-relative:paragraph;z-index:3928" coordorigin="5256,-192" coordsize="8169,10">
            <v:group style="position:absolute;left:5261;top:-188;width:1472;height:2" coordorigin="5261,-188" coordsize="1472,2">
              <v:shape style="position:absolute;left:5261;top:-188;width:1472;height:2" coordorigin="5261,-188" coordsize="1472,0" path="m5261,-188l6733,-188e" filled="false" stroked="true" strokeweight=".48pt" strokecolor="#000000">
                <v:path arrowok="t"/>
              </v:shape>
            </v:group>
            <v:group style="position:absolute;left:6733;top:-188;width:10;height:2" coordorigin="6733,-188" coordsize="10,2">
              <v:shape style="position:absolute;left:6733;top:-188;width:10;height:2" coordorigin="6733,-188" coordsize="10,0" path="m6733,-188l6743,-188e" filled="false" stroked="true" strokeweight=".48pt" strokecolor="#000000">
                <v:path arrowok="t"/>
              </v:shape>
            </v:group>
            <v:group style="position:absolute;left:6743;top:-188;width:893;height:2" coordorigin="6743,-188" coordsize="893,2">
              <v:shape style="position:absolute;left:6743;top:-188;width:893;height:2" coordorigin="6743,-188" coordsize="893,0" path="m6743,-188l7635,-188e" filled="false" stroked="true" strokeweight=".48pt" strokecolor="#000000">
                <v:path arrowok="t"/>
              </v:shape>
            </v:group>
            <v:group style="position:absolute;left:7635;top:-188;width:10;height:2" coordorigin="7635,-188" coordsize="10,2">
              <v:shape style="position:absolute;left:7635;top:-188;width:10;height:2" coordorigin="7635,-188" coordsize="10,0" path="m7635,-188l7645,-188e" filled="false" stroked="true" strokeweight=".48pt" strokecolor="#000000">
                <v:path arrowok="t"/>
              </v:shape>
            </v:group>
            <v:group style="position:absolute;left:7645;top:-188;width:1388;height:2" coordorigin="7645,-188" coordsize="1388,2">
              <v:shape style="position:absolute;left:7645;top:-188;width:1388;height:2" coordorigin="7645,-188" coordsize="1388,0" path="m7645,-188l9032,-188e" filled="false" stroked="true" strokeweight=".48pt" strokecolor="#000000">
                <v:path arrowok="t"/>
              </v:shape>
            </v:group>
            <v:group style="position:absolute;left:9032;top:-188;width:10;height:2" coordorigin="9032,-188" coordsize="10,2">
              <v:shape style="position:absolute;left:9032;top:-188;width:10;height:2" coordorigin="9032,-188" coordsize="10,0" path="m9032,-188l9042,-188e" filled="false" stroked="true" strokeweight=".48pt" strokecolor="#000000">
                <v:path arrowok="t"/>
              </v:shape>
            </v:group>
            <v:group style="position:absolute;left:9042;top:-188;width:1316;height:2" coordorigin="9042,-188" coordsize="1316,2">
              <v:shape style="position:absolute;left:9042;top:-188;width:1316;height:2" coordorigin="9042,-188" coordsize="1316,0" path="m9042,-188l10357,-188e" filled="false" stroked="true" strokeweight=".48pt" strokecolor="#000000">
                <v:path arrowok="t"/>
              </v:shape>
            </v:group>
            <v:group style="position:absolute;left:10357;top:-188;width:10;height:2" coordorigin="10357,-188" coordsize="10,2">
              <v:shape style="position:absolute;left:10357;top:-188;width:10;height:2" coordorigin="10357,-188" coordsize="10,0" path="m10357,-188l10367,-188e" filled="false" stroked="true" strokeweight=".48pt" strokecolor="#000000">
                <v:path arrowok="t"/>
              </v:shape>
            </v:group>
            <v:group style="position:absolute;left:10367;top:-188;width:1085;height:2" coordorigin="10367,-188" coordsize="1085,2">
              <v:shape style="position:absolute;left:10367;top:-188;width:1085;height:2" coordorigin="10367,-188" coordsize="1085,0" path="m10367,-188l11452,-188e" filled="false" stroked="true" strokeweight=".48pt" strokecolor="#000000">
                <v:path arrowok="t"/>
              </v:shape>
            </v:group>
            <v:group style="position:absolute;left:11452;top:-188;width:10;height:2" coordorigin="11452,-188" coordsize="10,2">
              <v:shape style="position:absolute;left:11452;top:-188;width:10;height:2" coordorigin="11452,-188" coordsize="10,0" path="m11452,-188l11461,-188e" filled="false" stroked="true" strokeweight=".48pt" strokecolor="#000000">
                <v:path arrowok="t"/>
              </v:shape>
            </v:group>
            <v:group style="position:absolute;left:11461;top:-188;width:1126;height:2" coordorigin="11461,-188" coordsize="1126,2">
              <v:shape style="position:absolute;left:11461;top:-188;width:1126;height:2" coordorigin="11461,-188" coordsize="1126,0" path="m11461,-188l12587,-188e" filled="false" stroked="true" strokeweight=".48pt" strokecolor="#000000">
                <v:path arrowok="t"/>
              </v:shape>
            </v:group>
            <v:group style="position:absolute;left:12587;top:-188;width:10;height:2" coordorigin="12587,-188" coordsize="10,2">
              <v:shape style="position:absolute;left:12587;top:-188;width:10;height:2" coordorigin="12587,-188" coordsize="10,0" path="m12587,-188l12597,-188e" filled="false" stroked="true" strokeweight=".48pt" strokecolor="#000000">
                <v:path arrowok="t"/>
              </v:shape>
            </v:group>
            <v:group style="position:absolute;left:12597;top:-188;width:824;height:2" coordorigin="12597,-188" coordsize="824,2">
              <v:shape style="position:absolute;left:12597;top:-188;width:824;height:2" coordorigin="12597,-188" coordsize="824,0" path="m12597,-188l13420,-188e" filled="false" stroked="true" strokeweight=".48pt" strokecolor="#000000">
                <v:path arrowok="t"/>
              </v:shape>
            </v:group>
            <w10:wrap type="none"/>
          </v:group>
        </w:pict>
      </w:r>
      <w:r>
        <w:rPr/>
        <w:pict>
          <v:shape style="position:absolute;margin-left:40.919998pt;margin-top:-7.88564pt;width:759.85pt;height:402.15pt;mso-position-horizontal-relative:page;mso-position-vertical-relative:paragraph;z-index:39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0"/>
                    <w:gridCol w:w="1292"/>
                    <w:gridCol w:w="1548"/>
                    <w:gridCol w:w="790"/>
                    <w:gridCol w:w="1402"/>
                    <w:gridCol w:w="1170"/>
                    <w:gridCol w:w="1153"/>
                    <w:gridCol w:w="1305"/>
                    <w:gridCol w:w="708"/>
                    <w:gridCol w:w="1339"/>
                    <w:gridCol w:w="1159"/>
                  </w:tblGrid>
                  <w:tr>
                    <w:trPr>
                      <w:trHeight w:val="397" w:hRule="exact"/>
                    </w:trPr>
                    <w:tc>
                      <w:tcPr>
                        <w:tcW w:w="15196" w:type="dxa"/>
                        <w:gridSpan w:val="11"/>
                        <w:tcBorders>
                          <w:top w:val="nil" w:sz="6" w:space="0" w:color="auto"/>
                          <w:left w:val="nil" w:sz="6" w:space="0" w:color="auto"/>
                          <w:bottom w:val="nil" w:sz="6" w:space="0" w:color="auto"/>
                          <w:right w:val="nil" w:sz="6" w:space="0" w:color="auto"/>
                        </w:tcBorders>
                      </w:tcPr>
                      <w:p>
                        <w:pPr>
                          <w:pStyle w:val="TableParagraph"/>
                          <w:tabs>
                            <w:tab w:pos="6044" w:val="left" w:leader="none"/>
                            <w:tab w:pos="6953" w:val="left" w:leader="none"/>
                            <w:tab w:pos="8557" w:val="left" w:leader="none"/>
                            <w:tab w:pos="9685" w:val="left" w:leader="none"/>
                            <w:tab w:pos="10724" w:val="left" w:leader="none"/>
                            <w:tab w:pos="14433" w:val="left" w:leader="none"/>
                          </w:tabs>
                          <w:spacing w:line="261" w:lineRule="exact"/>
                          <w:ind w:left="4856" w:right="0"/>
                          <w:jc w:val="left"/>
                          <w:rPr>
                            <w:rFonts w:ascii="宋体" w:hAnsi="宋体" w:cs="宋体" w:eastAsia="宋体" w:hint="default"/>
                            <w:sz w:val="16"/>
                            <w:szCs w:val="16"/>
                          </w:rPr>
                        </w:pPr>
                        <w:r>
                          <w:rPr>
                            <w:rFonts w:ascii="宋体" w:hAnsi="宋体" w:cs="宋体" w:eastAsia="宋体" w:hint="default"/>
                            <w:b/>
                            <w:bCs/>
                            <w:position w:val="-9"/>
                            <w:sz w:val="16"/>
                            <w:szCs w:val="16"/>
                          </w:rPr>
                          <w:t>追加投资</w:t>
                          <w:tab/>
                          <w:t>减少投资</w:t>
                          <w:tab/>
                        </w:r>
                        <w:r>
                          <w:rPr>
                            <w:rFonts w:ascii="宋体" w:hAnsi="宋体" w:cs="宋体" w:eastAsia="宋体" w:hint="default"/>
                            <w:b/>
                            <w:bCs/>
                            <w:sz w:val="16"/>
                            <w:szCs w:val="16"/>
                          </w:rPr>
                          <w:t>权益法下确认的</w:t>
                          <w:tab/>
                          <w:t>其他综合</w:t>
                          <w:tab/>
                          <w:t>其他权益变</w:t>
                          <w:tab/>
                          <w:t>宣告发放现金</w:t>
                          <w:tab/>
                        </w:r>
                        <w:r>
                          <w:rPr>
                            <w:rFonts w:ascii="宋体" w:hAnsi="宋体" w:cs="宋体" w:eastAsia="宋体" w:hint="default"/>
                            <w:b/>
                            <w:bCs/>
                            <w:position w:val="-3"/>
                            <w:sz w:val="16"/>
                            <w:szCs w:val="16"/>
                          </w:rPr>
                          <w:t>余额</w:t>
                        </w:r>
                        <w:r>
                          <w:rPr>
                            <w:rFonts w:ascii="宋体" w:hAnsi="宋体" w:cs="宋体" w:eastAsia="宋体" w:hint="default"/>
                            <w:sz w:val="16"/>
                            <w:szCs w:val="16"/>
                          </w:rPr>
                        </w:r>
                      </w:p>
                    </w:tc>
                  </w:tr>
                  <w:tr>
                    <w:trPr>
                      <w:trHeight w:val="294" w:hRule="exact"/>
                    </w:trPr>
                    <w:tc>
                      <w:tcPr>
                        <w:tcW w:w="333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9" w:right="0"/>
                          <w:jc w:val="left"/>
                          <w:rPr>
                            <w:rFonts w:ascii="宋体" w:hAnsi="宋体" w:cs="宋体" w:eastAsia="宋体" w:hint="default"/>
                            <w:sz w:val="16"/>
                            <w:szCs w:val="16"/>
                          </w:rPr>
                        </w:pPr>
                        <w:r>
                          <w:rPr>
                            <w:rFonts w:ascii="宋体" w:hAnsi="宋体" w:cs="宋体" w:eastAsia="宋体" w:hint="default"/>
                            <w:sz w:val="16"/>
                            <w:szCs w:val="16"/>
                          </w:rPr>
                          <w:t>北京朗视仪器有限公司</w:t>
                        </w:r>
                      </w:p>
                    </w:tc>
                    <w:tc>
                      <w:tcPr>
                        <w:tcW w:w="1292"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6"/>
                            <w:szCs w:val="16"/>
                          </w:rPr>
                        </w:pPr>
                        <w:r>
                          <w:rPr>
                            <w:rFonts w:ascii="宋体"/>
                            <w:sz w:val="16"/>
                          </w:rPr>
                          <w:t>85,108,504.84</w:t>
                        </w:r>
                      </w:p>
                    </w:tc>
                    <w:tc>
                      <w:tcPr>
                        <w:tcW w:w="1548"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289"/>
                          <w:jc w:val="right"/>
                          <w:rPr>
                            <w:rFonts w:ascii="宋体" w:hAnsi="宋体" w:cs="宋体" w:eastAsia="宋体" w:hint="default"/>
                            <w:sz w:val="16"/>
                            <w:szCs w:val="16"/>
                          </w:rPr>
                        </w:pPr>
                        <w:r>
                          <w:rPr>
                            <w:rFonts w:ascii="宋体"/>
                            <w:spacing w:val="-1"/>
                            <w:sz w:val="16"/>
                          </w:rPr>
                          <w:t>0.00</w:t>
                        </w:r>
                      </w:p>
                    </w:tc>
                    <w:tc>
                      <w:tcPr>
                        <w:tcW w:w="79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76"/>
                          <w:jc w:val="right"/>
                          <w:rPr>
                            <w:rFonts w:ascii="宋体" w:hAnsi="宋体" w:cs="宋体" w:eastAsia="宋体" w:hint="default"/>
                            <w:sz w:val="16"/>
                            <w:szCs w:val="16"/>
                          </w:rPr>
                        </w:pPr>
                        <w:r>
                          <w:rPr>
                            <w:rFonts w:ascii="宋体"/>
                            <w:spacing w:val="-1"/>
                            <w:sz w:val="16"/>
                          </w:rPr>
                          <w:t>0.00</w:t>
                        </w:r>
                      </w:p>
                    </w:tc>
                    <w:tc>
                      <w:tcPr>
                        <w:tcW w:w="1402"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81"/>
                          <w:jc w:val="right"/>
                          <w:rPr>
                            <w:rFonts w:ascii="宋体" w:hAnsi="宋体" w:cs="宋体" w:eastAsia="宋体" w:hint="default"/>
                            <w:sz w:val="16"/>
                            <w:szCs w:val="16"/>
                          </w:rPr>
                        </w:pPr>
                        <w:r>
                          <w:rPr>
                            <w:rFonts w:ascii="宋体"/>
                            <w:spacing w:val="-2"/>
                            <w:sz w:val="16"/>
                          </w:rPr>
                          <w:t>9,332,601.15</w:t>
                        </w:r>
                      </w:p>
                    </w:tc>
                    <w:tc>
                      <w:tcPr>
                        <w:tcW w:w="117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23"/>
                          <w:jc w:val="right"/>
                          <w:rPr>
                            <w:rFonts w:ascii="宋体" w:hAnsi="宋体" w:cs="宋体" w:eastAsia="宋体" w:hint="default"/>
                            <w:sz w:val="16"/>
                            <w:szCs w:val="16"/>
                          </w:rPr>
                        </w:pPr>
                        <w:r>
                          <w:rPr>
                            <w:rFonts w:ascii="宋体"/>
                            <w:spacing w:val="-1"/>
                            <w:sz w:val="16"/>
                          </w:rPr>
                          <w:t>0.00</w:t>
                        </w:r>
                      </w:p>
                    </w:tc>
                    <w:tc>
                      <w:tcPr>
                        <w:tcW w:w="1153"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85"/>
                          <w:jc w:val="right"/>
                          <w:rPr>
                            <w:rFonts w:ascii="宋体" w:hAnsi="宋体" w:cs="宋体" w:eastAsia="宋体" w:hint="default"/>
                            <w:sz w:val="16"/>
                            <w:szCs w:val="16"/>
                          </w:rPr>
                        </w:pPr>
                        <w:r>
                          <w:rPr>
                            <w:rFonts w:ascii="宋体"/>
                            <w:spacing w:val="-2"/>
                            <w:sz w:val="16"/>
                          </w:rPr>
                          <w:t>11,057,050.71</w:t>
                        </w:r>
                      </w:p>
                    </w:tc>
                    <w:tc>
                      <w:tcPr>
                        <w:tcW w:w="130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254"/>
                          <w:jc w:val="right"/>
                          <w:rPr>
                            <w:rFonts w:ascii="宋体" w:hAnsi="宋体" w:cs="宋体" w:eastAsia="宋体" w:hint="default"/>
                            <w:sz w:val="16"/>
                            <w:szCs w:val="16"/>
                          </w:rPr>
                        </w:pPr>
                        <w:r>
                          <w:rPr>
                            <w:rFonts w:ascii="宋体"/>
                            <w:spacing w:val="-1"/>
                            <w:sz w:val="16"/>
                          </w:rPr>
                          <w:t>0.00</w:t>
                        </w:r>
                      </w:p>
                    </w:tc>
                    <w:tc>
                      <w:tcPr>
                        <w:tcW w:w="708"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29"/>
                          <w:jc w:val="right"/>
                          <w:rPr>
                            <w:rFonts w:ascii="宋体" w:hAnsi="宋体" w:cs="宋体" w:eastAsia="宋体" w:hint="default"/>
                            <w:sz w:val="16"/>
                            <w:szCs w:val="16"/>
                          </w:rPr>
                        </w:pPr>
                        <w:r>
                          <w:rPr>
                            <w:rFonts w:ascii="宋体"/>
                            <w:spacing w:val="-1"/>
                            <w:sz w:val="16"/>
                          </w:rPr>
                          <w:t>0.00</w:t>
                        </w: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84"/>
                          <w:jc w:val="right"/>
                          <w:rPr>
                            <w:rFonts w:ascii="宋体" w:hAnsi="宋体" w:cs="宋体" w:eastAsia="宋体" w:hint="default"/>
                            <w:sz w:val="16"/>
                            <w:szCs w:val="16"/>
                          </w:rPr>
                        </w:pPr>
                        <w:r>
                          <w:rPr>
                            <w:rFonts w:ascii="宋体"/>
                            <w:spacing w:val="-2"/>
                            <w:sz w:val="16"/>
                          </w:rPr>
                          <w:t>105,498,156.70</w:t>
                        </w:r>
                      </w:p>
                    </w:tc>
                    <w:tc>
                      <w:tcPr>
                        <w:tcW w:w="115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30"/>
                          <w:jc w:val="right"/>
                          <w:rPr>
                            <w:rFonts w:ascii="宋体" w:hAnsi="宋体" w:cs="宋体" w:eastAsia="宋体" w:hint="default"/>
                            <w:sz w:val="16"/>
                            <w:szCs w:val="16"/>
                          </w:rPr>
                        </w:pPr>
                        <w:r>
                          <w:rPr>
                            <w:rFonts w:ascii="宋体"/>
                            <w:spacing w:val="-1"/>
                            <w:sz w:val="16"/>
                          </w:rPr>
                          <w:t>0.00</w:t>
                        </w:r>
                      </w:p>
                    </w:tc>
                  </w:tr>
                  <w:tr>
                    <w:trPr>
                      <w:trHeight w:val="290" w:hRule="exact"/>
                    </w:trPr>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9" w:right="0"/>
                          <w:jc w:val="left"/>
                          <w:rPr>
                            <w:rFonts w:ascii="宋体" w:hAnsi="宋体" w:cs="宋体" w:eastAsia="宋体" w:hint="default"/>
                            <w:sz w:val="16"/>
                            <w:szCs w:val="16"/>
                          </w:rPr>
                        </w:pPr>
                        <w:r>
                          <w:rPr>
                            <w:rFonts w:ascii="宋体" w:hAnsi="宋体" w:cs="宋体" w:eastAsia="宋体" w:hint="default"/>
                            <w:sz w:val="16"/>
                            <w:szCs w:val="16"/>
                          </w:rPr>
                          <w:t>迁安市华控环境投资有限责任公司</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6"/>
                            <w:szCs w:val="16"/>
                          </w:rPr>
                        </w:pPr>
                        <w:r>
                          <w:rPr>
                            <w:rFonts w:ascii="宋体"/>
                            <w:sz w:val="16"/>
                          </w:rPr>
                          <w:t>91,302,821.23</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9"/>
                          <w:jc w:val="right"/>
                          <w:rPr>
                            <w:rFonts w:ascii="宋体" w:hAnsi="宋体" w:cs="宋体" w:eastAsia="宋体" w:hint="default"/>
                            <w:sz w:val="16"/>
                            <w:szCs w:val="16"/>
                          </w:rPr>
                        </w:pPr>
                        <w:r>
                          <w:rPr>
                            <w:rFonts w:ascii="宋体"/>
                            <w:spacing w:val="-1"/>
                            <w:sz w:val="16"/>
                          </w:rPr>
                          <w:t>0.00</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16"/>
                            <w:szCs w:val="16"/>
                          </w:rPr>
                        </w:pPr>
                        <w:r>
                          <w:rPr>
                            <w:rFonts w:ascii="宋体"/>
                            <w:spacing w:val="-1"/>
                            <w:sz w:val="16"/>
                          </w:rPr>
                          <w:t>0.00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宋体" w:hAnsi="宋体" w:cs="宋体" w:eastAsia="宋体" w:hint="default"/>
                            <w:sz w:val="16"/>
                            <w:szCs w:val="16"/>
                          </w:rPr>
                        </w:pPr>
                        <w:r>
                          <w:rPr>
                            <w:rFonts w:ascii="宋体"/>
                            <w:spacing w:val="-1"/>
                            <w:sz w:val="16"/>
                          </w:rPr>
                          <w:t>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9"/>
                          <w:jc w:val="right"/>
                          <w:rPr>
                            <w:rFonts w:ascii="宋体" w:hAnsi="宋体" w:cs="宋体" w:eastAsia="宋体" w:hint="default"/>
                            <w:sz w:val="16"/>
                            <w:szCs w:val="16"/>
                          </w:rPr>
                        </w:pPr>
                        <w:r>
                          <w:rPr>
                            <w:rFonts w:ascii="宋体"/>
                            <w:spacing w:val="-1"/>
                            <w:sz w:val="16"/>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3"/>
                          <w:jc w:val="right"/>
                          <w:rPr>
                            <w:rFonts w:ascii="宋体" w:hAnsi="宋体" w:cs="宋体" w:eastAsia="宋体" w:hint="default"/>
                            <w:sz w:val="16"/>
                            <w:szCs w:val="16"/>
                          </w:rPr>
                        </w:pPr>
                        <w:r>
                          <w:rPr>
                            <w:rFonts w:ascii="宋体"/>
                            <w:spacing w:val="-2"/>
                            <w:sz w:val="16"/>
                          </w:rPr>
                          <w:t>91,302,821.23</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89" w:hRule="exact"/>
                    </w:trPr>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9" w:right="0"/>
                          <w:jc w:val="left"/>
                          <w:rPr>
                            <w:rFonts w:ascii="宋体" w:hAnsi="宋体" w:cs="宋体" w:eastAsia="宋体" w:hint="default"/>
                            <w:sz w:val="16"/>
                            <w:szCs w:val="16"/>
                          </w:rPr>
                        </w:pPr>
                        <w:r>
                          <w:rPr>
                            <w:rFonts w:ascii="宋体" w:hAnsi="宋体" w:cs="宋体" w:eastAsia="宋体" w:hint="default"/>
                            <w:sz w:val="16"/>
                            <w:szCs w:val="16"/>
                          </w:rPr>
                          <w:t>云南云电同方科技有限公司</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6"/>
                            <w:szCs w:val="16"/>
                          </w:rPr>
                        </w:pPr>
                        <w:r>
                          <w:rPr>
                            <w:rFonts w:ascii="宋体"/>
                            <w:sz w:val="16"/>
                          </w:rPr>
                          <w:t>85,079,237.17</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9"/>
                          <w:jc w:val="right"/>
                          <w:rPr>
                            <w:rFonts w:ascii="宋体" w:hAnsi="宋体" w:cs="宋体" w:eastAsia="宋体" w:hint="default"/>
                            <w:sz w:val="16"/>
                            <w:szCs w:val="16"/>
                          </w:rPr>
                        </w:pPr>
                        <w:r>
                          <w:rPr>
                            <w:rFonts w:ascii="宋体"/>
                            <w:spacing w:val="-1"/>
                            <w:sz w:val="16"/>
                          </w:rPr>
                          <w:t>0.00</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16"/>
                            <w:szCs w:val="16"/>
                          </w:rPr>
                        </w:pPr>
                        <w:r>
                          <w:rPr>
                            <w:rFonts w:ascii="宋体"/>
                            <w:spacing w:val="-2"/>
                            <w:sz w:val="16"/>
                          </w:rPr>
                          <w:t>1,771,614.93</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宋体" w:hAnsi="宋体" w:cs="宋体" w:eastAsia="宋体" w:hint="default"/>
                            <w:sz w:val="16"/>
                            <w:szCs w:val="16"/>
                          </w:rPr>
                        </w:pPr>
                        <w:r>
                          <w:rPr>
                            <w:rFonts w:ascii="宋体"/>
                            <w:spacing w:val="-1"/>
                            <w:sz w:val="16"/>
                          </w:rPr>
                          <w:t>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2"/>
                            <w:sz w:val="16"/>
                          </w:rPr>
                          <w:t>388,299.77</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9"/>
                          <w:jc w:val="right"/>
                          <w:rPr>
                            <w:rFonts w:ascii="宋体" w:hAnsi="宋体" w:cs="宋体" w:eastAsia="宋体" w:hint="default"/>
                            <w:sz w:val="16"/>
                            <w:szCs w:val="16"/>
                          </w:rPr>
                        </w:pPr>
                        <w:r>
                          <w:rPr>
                            <w:rFonts w:ascii="宋体"/>
                            <w:spacing w:val="-1"/>
                            <w:sz w:val="16"/>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3"/>
                          <w:jc w:val="right"/>
                          <w:rPr>
                            <w:rFonts w:ascii="宋体" w:hAnsi="宋体" w:cs="宋体" w:eastAsia="宋体" w:hint="default"/>
                            <w:sz w:val="16"/>
                            <w:szCs w:val="16"/>
                          </w:rPr>
                        </w:pPr>
                        <w:r>
                          <w:rPr>
                            <w:rFonts w:ascii="宋体"/>
                            <w:spacing w:val="-2"/>
                            <w:sz w:val="16"/>
                          </w:rPr>
                          <w:t>86,462,552.33</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89" w:hRule="exact"/>
                    </w:trPr>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9" w:right="0"/>
                          <w:jc w:val="left"/>
                          <w:rPr>
                            <w:rFonts w:ascii="宋体" w:hAnsi="宋体" w:cs="宋体" w:eastAsia="宋体" w:hint="default"/>
                            <w:sz w:val="16"/>
                            <w:szCs w:val="16"/>
                          </w:rPr>
                        </w:pPr>
                        <w:r>
                          <w:rPr>
                            <w:rFonts w:ascii="宋体" w:hAnsi="宋体" w:cs="宋体" w:eastAsia="宋体" w:hint="default"/>
                            <w:sz w:val="16"/>
                            <w:szCs w:val="16"/>
                          </w:rPr>
                          <w:t>北京同方厚持投资集团有限公司</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6"/>
                            <w:szCs w:val="16"/>
                          </w:rPr>
                        </w:pPr>
                        <w:r>
                          <w:rPr>
                            <w:rFonts w:ascii="宋体"/>
                            <w:sz w:val="16"/>
                          </w:rPr>
                          <w:t>81,497,955.05</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9"/>
                          <w:jc w:val="right"/>
                          <w:rPr>
                            <w:rFonts w:ascii="宋体" w:hAnsi="宋体" w:cs="宋体" w:eastAsia="宋体" w:hint="default"/>
                            <w:sz w:val="16"/>
                            <w:szCs w:val="16"/>
                          </w:rPr>
                        </w:pPr>
                        <w:r>
                          <w:rPr>
                            <w:rFonts w:ascii="宋体"/>
                            <w:spacing w:val="-1"/>
                            <w:sz w:val="16"/>
                          </w:rPr>
                          <w:t>0.00</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6"/>
                          <w:jc w:val="right"/>
                          <w:rPr>
                            <w:rFonts w:ascii="宋体" w:hAnsi="宋体" w:cs="宋体" w:eastAsia="宋体" w:hint="default"/>
                            <w:sz w:val="16"/>
                            <w:szCs w:val="16"/>
                          </w:rPr>
                        </w:pPr>
                        <w:r>
                          <w:rPr>
                            <w:rFonts w:ascii="宋体"/>
                            <w:spacing w:val="-1"/>
                            <w:sz w:val="16"/>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1"/>
                          <w:jc w:val="right"/>
                          <w:rPr>
                            <w:rFonts w:ascii="宋体" w:hAnsi="宋体" w:cs="宋体" w:eastAsia="宋体" w:hint="default"/>
                            <w:sz w:val="16"/>
                            <w:szCs w:val="16"/>
                          </w:rPr>
                        </w:pPr>
                        <w:r>
                          <w:rPr>
                            <w:rFonts w:ascii="宋体"/>
                            <w:spacing w:val="-2"/>
                            <w:sz w:val="16"/>
                          </w:rPr>
                          <w:t>-6,903,595.25</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宋体" w:hAnsi="宋体" w:cs="宋体" w:eastAsia="宋体" w:hint="default"/>
                            <w:sz w:val="16"/>
                            <w:szCs w:val="16"/>
                          </w:rPr>
                        </w:pPr>
                        <w:r>
                          <w:rPr>
                            <w:rFonts w:ascii="宋体"/>
                            <w:spacing w:val="-2"/>
                            <w:sz w:val="16"/>
                          </w:rPr>
                          <w:t>6,151,982.29</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right"/>
                          <w:rPr>
                            <w:rFonts w:ascii="宋体" w:hAnsi="宋体" w:cs="宋体" w:eastAsia="宋体" w:hint="default"/>
                            <w:sz w:val="16"/>
                            <w:szCs w:val="16"/>
                          </w:rPr>
                        </w:pPr>
                        <w:r>
                          <w:rPr>
                            <w:rFonts w:ascii="宋体"/>
                            <w:spacing w:val="-2"/>
                            <w:sz w:val="16"/>
                          </w:rPr>
                          <w:t>118,874.07</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4"/>
                          <w:jc w:val="right"/>
                          <w:rPr>
                            <w:rFonts w:ascii="宋体" w:hAnsi="宋体" w:cs="宋体" w:eastAsia="宋体" w:hint="default"/>
                            <w:sz w:val="16"/>
                            <w:szCs w:val="16"/>
                          </w:rPr>
                        </w:pPr>
                        <w:r>
                          <w:rPr>
                            <w:rFonts w:ascii="宋体"/>
                            <w:spacing w:val="-1"/>
                            <w:sz w:val="16"/>
                          </w:rPr>
                          <w:t>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9"/>
                          <w:jc w:val="right"/>
                          <w:rPr>
                            <w:rFonts w:ascii="宋体" w:hAnsi="宋体" w:cs="宋体" w:eastAsia="宋体" w:hint="default"/>
                            <w:sz w:val="16"/>
                            <w:szCs w:val="16"/>
                          </w:rPr>
                        </w:pPr>
                        <w:r>
                          <w:rPr>
                            <w:rFonts w:ascii="宋体"/>
                            <w:spacing w:val="-1"/>
                            <w:sz w:val="16"/>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宋体" w:hAnsi="宋体" w:cs="宋体" w:eastAsia="宋体" w:hint="default"/>
                            <w:sz w:val="16"/>
                            <w:szCs w:val="16"/>
                          </w:rPr>
                        </w:pPr>
                        <w:r>
                          <w:rPr>
                            <w:rFonts w:ascii="宋体"/>
                            <w:spacing w:val="-2"/>
                            <w:sz w:val="16"/>
                          </w:rPr>
                          <w:t>80,865,216.16</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
                          <w:jc w:val="right"/>
                          <w:rPr>
                            <w:rFonts w:ascii="宋体" w:hAnsi="宋体" w:cs="宋体" w:eastAsia="宋体" w:hint="default"/>
                            <w:sz w:val="16"/>
                            <w:szCs w:val="16"/>
                          </w:rPr>
                        </w:pPr>
                        <w:r>
                          <w:rPr>
                            <w:rFonts w:ascii="宋体"/>
                            <w:spacing w:val="-1"/>
                            <w:sz w:val="16"/>
                          </w:rPr>
                          <w:t>0.00</w:t>
                        </w:r>
                      </w:p>
                    </w:tc>
                  </w:tr>
                  <w:tr>
                    <w:trPr>
                      <w:trHeight w:val="291" w:hRule="exact"/>
                    </w:trPr>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9" w:right="0"/>
                          <w:jc w:val="left"/>
                          <w:rPr>
                            <w:rFonts w:ascii="宋体" w:hAnsi="宋体" w:cs="宋体" w:eastAsia="宋体" w:hint="default"/>
                            <w:sz w:val="16"/>
                            <w:szCs w:val="16"/>
                          </w:rPr>
                        </w:pPr>
                        <w:r>
                          <w:rPr>
                            <w:rFonts w:ascii="宋体" w:hAnsi="宋体" w:cs="宋体" w:eastAsia="宋体" w:hint="default"/>
                            <w:sz w:val="16"/>
                            <w:szCs w:val="16"/>
                          </w:rPr>
                          <w:t>同方鼎欣科技股份有限公司</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6"/>
                            <w:szCs w:val="16"/>
                          </w:rPr>
                        </w:pPr>
                        <w:r>
                          <w:rPr>
                            <w:rFonts w:ascii="宋体"/>
                            <w:sz w:val="16"/>
                          </w:rPr>
                          <w:t>56,482,893.80</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9"/>
                          <w:jc w:val="right"/>
                          <w:rPr>
                            <w:rFonts w:ascii="宋体" w:hAnsi="宋体" w:cs="宋体" w:eastAsia="宋体" w:hint="default"/>
                            <w:sz w:val="16"/>
                            <w:szCs w:val="16"/>
                          </w:rPr>
                        </w:pPr>
                        <w:r>
                          <w:rPr>
                            <w:rFonts w:ascii="宋体"/>
                            <w:spacing w:val="-1"/>
                            <w:sz w:val="16"/>
                          </w:rPr>
                          <w:t>0.00</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16"/>
                            <w:szCs w:val="16"/>
                          </w:rPr>
                        </w:pPr>
                        <w:r>
                          <w:rPr>
                            <w:rFonts w:ascii="宋体"/>
                            <w:spacing w:val="-2"/>
                            <w:sz w:val="16"/>
                          </w:rPr>
                          <w:t>6,633,269.93</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4"/>
                          <w:jc w:val="right"/>
                          <w:rPr>
                            <w:rFonts w:ascii="宋体" w:hAnsi="宋体" w:cs="宋体" w:eastAsia="宋体" w:hint="default"/>
                            <w:sz w:val="16"/>
                            <w:szCs w:val="16"/>
                          </w:rPr>
                        </w:pPr>
                        <w:r>
                          <w:rPr>
                            <w:rFonts w:ascii="宋体"/>
                            <w:spacing w:val="-2"/>
                            <w:sz w:val="16"/>
                          </w:rPr>
                          <w:t>15,498.06</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2"/>
                            <w:sz w:val="16"/>
                          </w:rPr>
                          <w:t>861,821.91</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2"/>
                            <w:sz w:val="16"/>
                          </w:rPr>
                          <w:t>2,000,000.00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9"/>
                          <w:jc w:val="right"/>
                          <w:rPr>
                            <w:rFonts w:ascii="宋体" w:hAnsi="宋体" w:cs="宋体" w:eastAsia="宋体" w:hint="default"/>
                            <w:sz w:val="16"/>
                            <w:szCs w:val="16"/>
                          </w:rPr>
                        </w:pPr>
                        <w:r>
                          <w:rPr>
                            <w:rFonts w:ascii="宋体"/>
                            <w:spacing w:val="-1"/>
                            <w:sz w:val="16"/>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3"/>
                          <w:jc w:val="right"/>
                          <w:rPr>
                            <w:rFonts w:ascii="宋体" w:hAnsi="宋体" w:cs="宋体" w:eastAsia="宋体" w:hint="default"/>
                            <w:sz w:val="16"/>
                            <w:szCs w:val="16"/>
                          </w:rPr>
                        </w:pPr>
                        <w:r>
                          <w:rPr>
                            <w:rFonts w:ascii="宋体"/>
                            <w:spacing w:val="-2"/>
                            <w:sz w:val="16"/>
                          </w:rPr>
                          <w:t>61,993,483.70</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90" w:hRule="exact"/>
                    </w:trPr>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9" w:right="0"/>
                          <w:jc w:val="left"/>
                          <w:rPr>
                            <w:rFonts w:ascii="宋体" w:hAnsi="宋体" w:cs="宋体" w:eastAsia="宋体" w:hint="default"/>
                            <w:sz w:val="16"/>
                            <w:szCs w:val="16"/>
                          </w:rPr>
                        </w:pPr>
                        <w:r>
                          <w:rPr>
                            <w:rFonts w:ascii="宋体" w:hAnsi="宋体" w:cs="宋体" w:eastAsia="宋体" w:hint="default"/>
                            <w:sz w:val="16"/>
                            <w:szCs w:val="16"/>
                          </w:rPr>
                          <w:t>北京同方艾威康科技有限公司</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6"/>
                            <w:szCs w:val="16"/>
                          </w:rPr>
                        </w:pPr>
                        <w:r>
                          <w:rPr>
                            <w:rFonts w:ascii="宋体"/>
                            <w:sz w:val="16"/>
                          </w:rPr>
                          <w:t>42,120,959.65</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9"/>
                          <w:jc w:val="right"/>
                          <w:rPr>
                            <w:rFonts w:ascii="宋体" w:hAnsi="宋体" w:cs="宋体" w:eastAsia="宋体" w:hint="default"/>
                            <w:sz w:val="16"/>
                            <w:szCs w:val="16"/>
                          </w:rPr>
                        </w:pPr>
                        <w:r>
                          <w:rPr>
                            <w:rFonts w:ascii="宋体"/>
                            <w:spacing w:val="-1"/>
                            <w:sz w:val="16"/>
                          </w:rPr>
                          <w:t>0.00</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16"/>
                            <w:szCs w:val="16"/>
                          </w:rPr>
                        </w:pPr>
                        <w:r>
                          <w:rPr>
                            <w:rFonts w:ascii="宋体"/>
                            <w:spacing w:val="-2"/>
                            <w:sz w:val="16"/>
                          </w:rPr>
                          <w:t>217,576.41</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宋体" w:hAnsi="宋体" w:cs="宋体" w:eastAsia="宋体" w:hint="default"/>
                            <w:sz w:val="16"/>
                            <w:szCs w:val="16"/>
                          </w:rPr>
                        </w:pPr>
                        <w:r>
                          <w:rPr>
                            <w:rFonts w:ascii="宋体"/>
                            <w:spacing w:val="-1"/>
                            <w:sz w:val="16"/>
                          </w:rPr>
                          <w:t>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9"/>
                          <w:jc w:val="right"/>
                          <w:rPr>
                            <w:rFonts w:ascii="宋体" w:hAnsi="宋体" w:cs="宋体" w:eastAsia="宋体" w:hint="default"/>
                            <w:sz w:val="16"/>
                            <w:szCs w:val="16"/>
                          </w:rPr>
                        </w:pPr>
                        <w:r>
                          <w:rPr>
                            <w:rFonts w:ascii="宋体"/>
                            <w:spacing w:val="-1"/>
                            <w:sz w:val="16"/>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3"/>
                          <w:jc w:val="right"/>
                          <w:rPr>
                            <w:rFonts w:ascii="宋体" w:hAnsi="宋体" w:cs="宋体" w:eastAsia="宋体" w:hint="default"/>
                            <w:sz w:val="16"/>
                            <w:szCs w:val="16"/>
                          </w:rPr>
                        </w:pPr>
                        <w:r>
                          <w:rPr>
                            <w:rFonts w:ascii="宋体"/>
                            <w:spacing w:val="-2"/>
                            <w:sz w:val="16"/>
                          </w:rPr>
                          <w:t>42,338,536.06</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90" w:hRule="exact"/>
                    </w:trPr>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9" w:right="0"/>
                          <w:jc w:val="left"/>
                          <w:rPr>
                            <w:rFonts w:ascii="宋体" w:hAnsi="宋体" w:cs="宋体" w:eastAsia="宋体" w:hint="default"/>
                            <w:sz w:val="16"/>
                            <w:szCs w:val="16"/>
                          </w:rPr>
                        </w:pPr>
                        <w:r>
                          <w:rPr>
                            <w:rFonts w:ascii="宋体" w:hAnsi="宋体" w:cs="宋体" w:eastAsia="宋体" w:hint="default"/>
                            <w:sz w:val="16"/>
                            <w:szCs w:val="16"/>
                          </w:rPr>
                          <w:t>深圳市前海弘泰基金管理有限公司</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6"/>
                            <w:szCs w:val="16"/>
                          </w:rPr>
                        </w:pPr>
                        <w:r>
                          <w:rPr>
                            <w:rFonts w:ascii="宋体"/>
                            <w:sz w:val="16"/>
                          </w:rPr>
                          <w:t>41,254,043.48</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9"/>
                          <w:jc w:val="right"/>
                          <w:rPr>
                            <w:rFonts w:ascii="宋体" w:hAnsi="宋体" w:cs="宋体" w:eastAsia="宋体" w:hint="default"/>
                            <w:sz w:val="16"/>
                            <w:szCs w:val="16"/>
                          </w:rPr>
                        </w:pPr>
                        <w:r>
                          <w:rPr>
                            <w:rFonts w:ascii="宋体"/>
                            <w:spacing w:val="-1"/>
                            <w:sz w:val="16"/>
                          </w:rPr>
                          <w:t>0.00</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16"/>
                            <w:szCs w:val="16"/>
                          </w:rPr>
                        </w:pPr>
                        <w:r>
                          <w:rPr>
                            <w:rFonts w:ascii="宋体"/>
                            <w:spacing w:val="-2"/>
                            <w:sz w:val="16"/>
                          </w:rPr>
                          <w:t>750,298.96</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宋体" w:hAnsi="宋体" w:cs="宋体" w:eastAsia="宋体" w:hint="default"/>
                            <w:sz w:val="16"/>
                            <w:szCs w:val="16"/>
                          </w:rPr>
                        </w:pPr>
                        <w:r>
                          <w:rPr>
                            <w:rFonts w:ascii="宋体"/>
                            <w:spacing w:val="-1"/>
                            <w:sz w:val="16"/>
                          </w:rPr>
                          <w:t>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9"/>
                          <w:jc w:val="right"/>
                          <w:rPr>
                            <w:rFonts w:ascii="宋体" w:hAnsi="宋体" w:cs="宋体" w:eastAsia="宋体" w:hint="default"/>
                            <w:sz w:val="16"/>
                            <w:szCs w:val="16"/>
                          </w:rPr>
                        </w:pPr>
                        <w:r>
                          <w:rPr>
                            <w:rFonts w:ascii="宋体"/>
                            <w:spacing w:val="-1"/>
                            <w:sz w:val="16"/>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3"/>
                          <w:jc w:val="right"/>
                          <w:rPr>
                            <w:rFonts w:ascii="宋体" w:hAnsi="宋体" w:cs="宋体" w:eastAsia="宋体" w:hint="default"/>
                            <w:sz w:val="16"/>
                            <w:szCs w:val="16"/>
                          </w:rPr>
                        </w:pPr>
                        <w:r>
                          <w:rPr>
                            <w:rFonts w:ascii="宋体"/>
                            <w:spacing w:val="-2"/>
                            <w:sz w:val="16"/>
                          </w:rPr>
                          <w:t>42,004,342.44</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26" w:hRule="exact"/>
                    </w:trPr>
                    <w:tc>
                      <w:tcPr>
                        <w:tcW w:w="33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9" w:right="0"/>
                          <w:jc w:val="left"/>
                          <w:rPr>
                            <w:rFonts w:ascii="宋体" w:hAnsi="宋体" w:cs="宋体" w:eastAsia="宋体" w:hint="default"/>
                            <w:sz w:val="16"/>
                            <w:szCs w:val="16"/>
                          </w:rPr>
                        </w:pPr>
                        <w:r>
                          <w:rPr>
                            <w:rFonts w:ascii="宋体" w:hAnsi="宋体" w:cs="宋体" w:eastAsia="宋体" w:hint="default"/>
                            <w:sz w:val="16"/>
                            <w:szCs w:val="16"/>
                          </w:rPr>
                          <w:t>天津北方移动传媒有限公司</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6"/>
                            <w:szCs w:val="16"/>
                          </w:rPr>
                        </w:pPr>
                        <w:r>
                          <w:rPr>
                            <w:rFonts w:ascii="宋体"/>
                            <w:sz w:val="16"/>
                          </w:rPr>
                          <w:t>31,089,387.47</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9"/>
                          <w:jc w:val="right"/>
                          <w:rPr>
                            <w:rFonts w:ascii="宋体" w:hAnsi="宋体" w:cs="宋体" w:eastAsia="宋体" w:hint="default"/>
                            <w:sz w:val="16"/>
                            <w:szCs w:val="16"/>
                          </w:rPr>
                        </w:pPr>
                        <w:r>
                          <w:rPr>
                            <w:rFonts w:ascii="宋体"/>
                            <w:spacing w:val="-1"/>
                            <w:sz w:val="16"/>
                          </w:rPr>
                          <w:t>0.00</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16"/>
                            <w:szCs w:val="16"/>
                          </w:rPr>
                        </w:pPr>
                        <w:r>
                          <w:rPr>
                            <w:rFonts w:ascii="宋体"/>
                            <w:spacing w:val="-2"/>
                            <w:sz w:val="16"/>
                          </w:rPr>
                          <w:t>-3,191,245.34</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宋体" w:hAnsi="宋体" w:cs="宋体" w:eastAsia="宋体" w:hint="default"/>
                            <w:sz w:val="16"/>
                            <w:szCs w:val="16"/>
                          </w:rPr>
                        </w:pPr>
                        <w:r>
                          <w:rPr>
                            <w:rFonts w:ascii="宋体"/>
                            <w:spacing w:val="-1"/>
                            <w:sz w:val="16"/>
                          </w:rPr>
                          <w:t>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9"/>
                          <w:jc w:val="right"/>
                          <w:rPr>
                            <w:rFonts w:ascii="宋体" w:hAnsi="宋体" w:cs="宋体" w:eastAsia="宋体" w:hint="default"/>
                            <w:sz w:val="16"/>
                            <w:szCs w:val="16"/>
                          </w:rPr>
                        </w:pPr>
                        <w:r>
                          <w:rPr>
                            <w:rFonts w:ascii="宋体"/>
                            <w:spacing w:val="-1"/>
                            <w:sz w:val="16"/>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3"/>
                          <w:jc w:val="right"/>
                          <w:rPr>
                            <w:rFonts w:ascii="宋体" w:hAnsi="宋体" w:cs="宋体" w:eastAsia="宋体" w:hint="default"/>
                            <w:sz w:val="16"/>
                            <w:szCs w:val="16"/>
                          </w:rPr>
                        </w:pPr>
                        <w:r>
                          <w:rPr>
                            <w:rFonts w:ascii="宋体"/>
                            <w:spacing w:val="-2"/>
                            <w:sz w:val="16"/>
                          </w:rPr>
                          <w:t>27,898,142.13</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2"/>
                            <w:sz w:val="16"/>
                          </w:rPr>
                          <w:t>13,089,387.46</w:t>
                        </w:r>
                      </w:p>
                    </w:tc>
                  </w:tr>
                  <w:tr>
                    <w:trPr>
                      <w:trHeight w:val="324" w:hRule="exact"/>
                    </w:trPr>
                    <w:tc>
                      <w:tcPr>
                        <w:tcW w:w="15196" w:type="dxa"/>
                        <w:gridSpan w:val="11"/>
                        <w:tcBorders>
                          <w:top w:val="nil" w:sz="6" w:space="0" w:color="auto"/>
                          <w:left w:val="nil" w:sz="6" w:space="0" w:color="auto"/>
                          <w:bottom w:val="nil" w:sz="6" w:space="0" w:color="auto"/>
                          <w:right w:val="nil" w:sz="6" w:space="0" w:color="auto"/>
                        </w:tcBorders>
                      </w:tcPr>
                      <w:p>
                        <w:pPr>
                          <w:pStyle w:val="TableParagraph"/>
                          <w:tabs>
                            <w:tab w:pos="4085" w:val="left" w:leader="none"/>
                            <w:tab w:pos="4839" w:val="left" w:leader="none"/>
                            <w:tab w:pos="6461" w:val="left" w:leader="none"/>
                            <w:tab w:pos="7138" w:val="left" w:leader="none"/>
                            <w:tab w:pos="9186" w:val="left" w:leader="none"/>
                            <w:tab w:pos="10278" w:val="left" w:leader="none"/>
                            <w:tab w:pos="11413" w:val="left" w:leader="none"/>
                            <w:tab w:pos="12911" w:val="left" w:leader="none"/>
                            <w:tab w:pos="14843" w:val="left" w:leader="none"/>
                          </w:tabs>
                          <w:spacing w:line="240" w:lineRule="auto" w:before="33"/>
                          <w:ind w:left="19" w:right="0"/>
                          <w:jc w:val="left"/>
                          <w:rPr>
                            <w:rFonts w:ascii="宋体" w:hAnsi="宋体" w:cs="宋体" w:eastAsia="宋体" w:hint="default"/>
                            <w:sz w:val="16"/>
                            <w:szCs w:val="16"/>
                          </w:rPr>
                        </w:pPr>
                        <w:r>
                          <w:rPr>
                            <w:rFonts w:ascii="宋体"/>
                            <w:spacing w:val="-2"/>
                            <w:sz w:val="16"/>
                          </w:rPr>
                          <w:t>AsqellaOy</w:t>
                          <w:tab/>
                        </w:r>
                        <w:r>
                          <w:rPr>
                            <w:rFonts w:ascii="宋体"/>
                            <w:spacing w:val="-1"/>
                            <w:sz w:val="16"/>
                          </w:rPr>
                          <w:t>0.00</w:t>
                          <w:tab/>
                        </w:r>
                        <w:r>
                          <w:rPr>
                            <w:rFonts w:ascii="宋体"/>
                            <w:spacing w:val="-2"/>
                            <w:sz w:val="16"/>
                          </w:rPr>
                          <w:t>26,522,630.56</w:t>
                          <w:tab/>
                        </w:r>
                        <w:r>
                          <w:rPr>
                            <w:rFonts w:ascii="宋体"/>
                            <w:spacing w:val="-1"/>
                            <w:sz w:val="16"/>
                          </w:rPr>
                          <w:t>0.00</w:t>
                          <w:tab/>
                        </w:r>
                        <w:r>
                          <w:rPr>
                            <w:rFonts w:ascii="宋体"/>
                            <w:spacing w:val="-2"/>
                            <w:sz w:val="16"/>
                          </w:rPr>
                          <w:t>-1,951,357.10</w:t>
                          <w:tab/>
                        </w:r>
                        <w:r>
                          <w:rPr>
                            <w:rFonts w:ascii="宋体"/>
                            <w:spacing w:val="-1"/>
                            <w:sz w:val="16"/>
                          </w:rPr>
                          <w:t>0.00</w:t>
                          <w:tab/>
                          <w:t>0.00</w:t>
                          <w:tab/>
                          <w:t>0.00</w:t>
                        </w:r>
                        <w:r>
                          <w:rPr>
                            <w:rFonts w:ascii="宋体"/>
                            <w:spacing w:val="36"/>
                            <w:sz w:val="16"/>
                          </w:rPr>
                          <w:t> </w:t>
                        </w:r>
                        <w:r>
                          <w:rPr>
                            <w:rFonts w:ascii="宋体"/>
                            <w:spacing w:val="-1"/>
                            <w:position w:val="11"/>
                            <w:sz w:val="16"/>
                          </w:rPr>
                          <w:t>-45,908.3</w:t>
                          <w:tab/>
                        </w:r>
                        <w:r>
                          <w:rPr>
                            <w:rFonts w:ascii="宋体"/>
                            <w:spacing w:val="-2"/>
                            <w:sz w:val="16"/>
                          </w:rPr>
                          <w:t>24,525,365.08</w:t>
                          <w:tab/>
                        </w:r>
                        <w:r>
                          <w:rPr>
                            <w:rFonts w:ascii="宋体"/>
                            <w:spacing w:val="-1"/>
                            <w:sz w:val="16"/>
                          </w:rPr>
                          <w:t>0.00</w:t>
                        </w:r>
                      </w:p>
                    </w:tc>
                  </w:tr>
                  <w:tr>
                    <w:trPr>
                      <w:trHeight w:val="175" w:hRule="exact"/>
                    </w:trPr>
                    <w:tc>
                      <w:tcPr>
                        <w:tcW w:w="4622" w:type="dxa"/>
                        <w:gridSpan w:val="2"/>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170"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
                    </w:tc>
                    <w:tc>
                      <w:tcPr>
                        <w:tcW w:w="1305"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132" w:lineRule="exact"/>
                          <w:ind w:right="129"/>
                          <w:jc w:val="right"/>
                          <w:rPr>
                            <w:rFonts w:ascii="宋体" w:hAnsi="宋体" w:cs="宋体" w:eastAsia="宋体" w:hint="default"/>
                            <w:sz w:val="16"/>
                            <w:szCs w:val="16"/>
                          </w:rPr>
                        </w:pPr>
                        <w:r>
                          <w:rPr>
                            <w:rFonts w:ascii="宋体"/>
                            <w:w w:val="100"/>
                            <w:sz w:val="16"/>
                          </w:rPr>
                          <w:t>8</w:t>
                        </w:r>
                      </w:p>
                    </w:tc>
                    <w:tc>
                      <w:tcPr>
                        <w:tcW w:w="1339"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r>
                  <w:tr>
                    <w:trPr>
                      <w:trHeight w:val="269" w:hRule="exact"/>
                    </w:trPr>
                    <w:tc>
                      <w:tcPr>
                        <w:tcW w:w="4622" w:type="dxa"/>
                        <w:gridSpan w:val="2"/>
                        <w:tcBorders>
                          <w:top w:val="nil" w:sz="6" w:space="0" w:color="auto"/>
                          <w:left w:val="nil" w:sz="6" w:space="0" w:color="auto"/>
                          <w:bottom w:val="nil" w:sz="6" w:space="0" w:color="auto"/>
                          <w:right w:val="nil" w:sz="6" w:space="0" w:color="auto"/>
                        </w:tcBorders>
                      </w:tcPr>
                      <w:p>
                        <w:pPr>
                          <w:pStyle w:val="TableParagraph"/>
                          <w:tabs>
                            <w:tab w:pos="3365" w:val="left" w:leader="none"/>
                          </w:tabs>
                          <w:spacing w:line="204" w:lineRule="exact"/>
                          <w:ind w:left="19" w:right="0"/>
                          <w:jc w:val="left"/>
                          <w:rPr>
                            <w:rFonts w:ascii="宋体" w:hAnsi="宋体" w:cs="宋体" w:eastAsia="宋体" w:hint="default"/>
                            <w:sz w:val="16"/>
                            <w:szCs w:val="16"/>
                          </w:rPr>
                        </w:pPr>
                        <w:r>
                          <w:rPr>
                            <w:rFonts w:ascii="宋体" w:hAnsi="宋体" w:cs="宋体" w:eastAsia="宋体" w:hint="default"/>
                            <w:spacing w:val="-1"/>
                            <w:sz w:val="16"/>
                            <w:szCs w:val="16"/>
                          </w:rPr>
                          <w:t>山西左云晋能新能源发电有限公司</w:t>
                          <w:tab/>
                        </w:r>
                        <w:r>
                          <w:rPr>
                            <w:rFonts w:ascii="宋体" w:hAnsi="宋体" w:cs="宋体" w:eastAsia="宋体" w:hint="default"/>
                            <w:spacing w:val="-2"/>
                            <w:sz w:val="16"/>
                            <w:szCs w:val="16"/>
                          </w:rPr>
                          <w:t>21,153,563.00</w:t>
                        </w:r>
                      </w:p>
                    </w:tc>
                    <w:tc>
                      <w:tcPr>
                        <w:tcW w:w="1548" w:type="dxa"/>
                        <w:tcBorders>
                          <w:top w:val="nil" w:sz="6" w:space="0" w:color="auto"/>
                          <w:left w:val="nil" w:sz="6" w:space="0" w:color="auto"/>
                          <w:bottom w:val="nil" w:sz="6" w:space="0" w:color="auto"/>
                          <w:right w:val="nil" w:sz="6" w:space="0" w:color="auto"/>
                        </w:tcBorders>
                      </w:tcPr>
                      <w:p>
                        <w:pPr>
                          <w:pStyle w:val="TableParagraph"/>
                          <w:spacing w:line="204" w:lineRule="exact"/>
                          <w:ind w:right="289"/>
                          <w:jc w:val="right"/>
                          <w:rPr>
                            <w:rFonts w:ascii="宋体" w:hAnsi="宋体" w:cs="宋体" w:eastAsia="宋体" w:hint="default"/>
                            <w:sz w:val="16"/>
                            <w:szCs w:val="16"/>
                          </w:rPr>
                        </w:pPr>
                        <w:r>
                          <w:rPr>
                            <w:rFonts w:ascii="宋体"/>
                            <w:spacing w:val="-1"/>
                            <w:sz w:val="16"/>
                          </w:rPr>
                          <w:t>0.00</w:t>
                        </w:r>
                      </w:p>
                    </w:tc>
                    <w:tc>
                      <w:tcPr>
                        <w:tcW w:w="790" w:type="dxa"/>
                        <w:tcBorders>
                          <w:top w:val="nil" w:sz="6" w:space="0" w:color="auto"/>
                          <w:left w:val="nil" w:sz="6" w:space="0" w:color="auto"/>
                          <w:bottom w:val="nil" w:sz="6" w:space="0" w:color="auto"/>
                          <w:right w:val="nil" w:sz="6" w:space="0" w:color="auto"/>
                        </w:tcBorders>
                      </w:tcPr>
                      <w:p>
                        <w:pPr>
                          <w:pStyle w:val="TableParagraph"/>
                          <w:spacing w:line="204" w:lineRule="exact"/>
                          <w:ind w:right="176"/>
                          <w:jc w:val="right"/>
                          <w:rPr>
                            <w:rFonts w:ascii="宋体" w:hAnsi="宋体" w:cs="宋体" w:eastAsia="宋体" w:hint="default"/>
                            <w:sz w:val="16"/>
                            <w:szCs w:val="16"/>
                          </w:rPr>
                        </w:pPr>
                        <w:r>
                          <w:rPr>
                            <w:rFonts w:ascii="宋体"/>
                            <w:spacing w:val="-1"/>
                            <w:sz w:val="16"/>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04" w:lineRule="exact"/>
                          <w:ind w:right="181"/>
                          <w:jc w:val="right"/>
                          <w:rPr>
                            <w:rFonts w:ascii="宋体" w:hAnsi="宋体" w:cs="宋体" w:eastAsia="宋体" w:hint="default"/>
                            <w:sz w:val="16"/>
                            <w:szCs w:val="16"/>
                          </w:rPr>
                        </w:pPr>
                        <w:r>
                          <w:rPr>
                            <w:rFonts w:ascii="宋体"/>
                            <w:spacing w:val="-1"/>
                            <w:sz w:val="16"/>
                          </w:rPr>
                          <w:t>0.00</w:t>
                        </w:r>
                      </w:p>
                    </w:tc>
                    <w:tc>
                      <w:tcPr>
                        <w:tcW w:w="1170" w:type="dxa"/>
                        <w:tcBorders>
                          <w:top w:val="nil" w:sz="6" w:space="0" w:color="auto"/>
                          <w:left w:val="nil" w:sz="6" w:space="0" w:color="auto"/>
                          <w:bottom w:val="nil" w:sz="6" w:space="0" w:color="auto"/>
                          <w:right w:val="nil" w:sz="6" w:space="0" w:color="auto"/>
                        </w:tcBorders>
                      </w:tcPr>
                      <w:p>
                        <w:pPr>
                          <w:pStyle w:val="TableParagraph"/>
                          <w:spacing w:line="204" w:lineRule="exact"/>
                          <w:ind w:right="23"/>
                          <w:jc w:val="right"/>
                          <w:rPr>
                            <w:rFonts w:ascii="宋体" w:hAnsi="宋体" w:cs="宋体" w:eastAsia="宋体" w:hint="default"/>
                            <w:sz w:val="16"/>
                            <w:szCs w:val="16"/>
                          </w:rPr>
                        </w:pPr>
                        <w:r>
                          <w:rPr>
                            <w:rFonts w:ascii="宋体"/>
                            <w:spacing w:val="-1"/>
                            <w:sz w:val="16"/>
                          </w:rPr>
                          <w:t>0.00</w:t>
                        </w:r>
                      </w:p>
                    </w:tc>
                    <w:tc>
                      <w:tcPr>
                        <w:tcW w:w="1153" w:type="dxa"/>
                        <w:tcBorders>
                          <w:top w:val="nil" w:sz="6" w:space="0" w:color="auto"/>
                          <w:left w:val="nil" w:sz="6" w:space="0" w:color="auto"/>
                          <w:bottom w:val="nil" w:sz="6" w:space="0" w:color="auto"/>
                          <w:right w:val="nil" w:sz="6" w:space="0" w:color="auto"/>
                        </w:tcBorders>
                      </w:tcPr>
                      <w:p>
                        <w:pPr>
                          <w:pStyle w:val="TableParagraph"/>
                          <w:spacing w:line="204" w:lineRule="exact"/>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04" w:lineRule="exact"/>
                          <w:ind w:right="254"/>
                          <w:jc w:val="right"/>
                          <w:rPr>
                            <w:rFonts w:ascii="宋体" w:hAnsi="宋体" w:cs="宋体" w:eastAsia="宋体" w:hint="default"/>
                            <w:sz w:val="16"/>
                            <w:szCs w:val="16"/>
                          </w:rPr>
                        </w:pPr>
                        <w:r>
                          <w:rPr>
                            <w:rFonts w:ascii="宋体"/>
                            <w:spacing w:val="-1"/>
                            <w:sz w:val="16"/>
                          </w:rPr>
                          <w:t>0.00</w:t>
                        </w:r>
                      </w:p>
                    </w:tc>
                    <w:tc>
                      <w:tcPr>
                        <w:tcW w:w="708" w:type="dxa"/>
                        <w:tcBorders>
                          <w:top w:val="nil" w:sz="6" w:space="0" w:color="auto"/>
                          <w:left w:val="nil" w:sz="6" w:space="0" w:color="auto"/>
                          <w:bottom w:val="nil" w:sz="6" w:space="0" w:color="auto"/>
                          <w:right w:val="nil" w:sz="6" w:space="0" w:color="auto"/>
                        </w:tcBorders>
                      </w:tcPr>
                      <w:p>
                        <w:pPr>
                          <w:pStyle w:val="TableParagraph"/>
                          <w:spacing w:line="204" w:lineRule="exact"/>
                          <w:ind w:right="129"/>
                          <w:jc w:val="right"/>
                          <w:rPr>
                            <w:rFonts w:ascii="宋体" w:hAnsi="宋体" w:cs="宋体" w:eastAsia="宋体" w:hint="default"/>
                            <w:sz w:val="16"/>
                            <w:szCs w:val="16"/>
                          </w:rPr>
                        </w:pPr>
                        <w:r>
                          <w:rPr>
                            <w:rFonts w:ascii="宋体"/>
                            <w:spacing w:val="-1"/>
                            <w:sz w:val="16"/>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04" w:lineRule="exact"/>
                          <w:ind w:right="83"/>
                          <w:jc w:val="right"/>
                          <w:rPr>
                            <w:rFonts w:ascii="宋体" w:hAnsi="宋体" w:cs="宋体" w:eastAsia="宋体" w:hint="default"/>
                            <w:sz w:val="16"/>
                            <w:szCs w:val="16"/>
                          </w:rPr>
                        </w:pPr>
                        <w:r>
                          <w:rPr>
                            <w:rFonts w:ascii="宋体"/>
                            <w:spacing w:val="-2"/>
                            <w:sz w:val="16"/>
                          </w:rPr>
                          <w:t>21,153,563.00</w:t>
                        </w:r>
                      </w:p>
                    </w:tc>
                    <w:tc>
                      <w:tcPr>
                        <w:tcW w:w="1159" w:type="dxa"/>
                        <w:tcBorders>
                          <w:top w:val="nil" w:sz="6" w:space="0" w:color="auto"/>
                          <w:left w:val="nil" w:sz="6" w:space="0" w:color="auto"/>
                          <w:bottom w:val="nil" w:sz="6" w:space="0" w:color="auto"/>
                          <w:right w:val="nil" w:sz="6" w:space="0" w:color="auto"/>
                        </w:tcBorders>
                      </w:tcPr>
                      <w:p>
                        <w:pPr>
                          <w:pStyle w:val="TableParagraph"/>
                          <w:spacing w:line="204" w:lineRule="exact"/>
                          <w:ind w:right="30"/>
                          <w:jc w:val="right"/>
                          <w:rPr>
                            <w:rFonts w:ascii="宋体" w:hAnsi="宋体" w:cs="宋体" w:eastAsia="宋体" w:hint="default"/>
                            <w:sz w:val="16"/>
                            <w:szCs w:val="16"/>
                          </w:rPr>
                        </w:pPr>
                        <w:r>
                          <w:rPr>
                            <w:rFonts w:ascii="宋体"/>
                            <w:spacing w:val="-2"/>
                            <w:sz w:val="16"/>
                          </w:rPr>
                          <w:t>21,153,563.00</w:t>
                        </w:r>
                      </w:p>
                    </w:tc>
                  </w:tr>
                  <w:tr>
                    <w:trPr>
                      <w:trHeight w:val="291" w:hRule="exact"/>
                    </w:trPr>
                    <w:tc>
                      <w:tcPr>
                        <w:tcW w:w="4622" w:type="dxa"/>
                        <w:gridSpan w:val="2"/>
                        <w:tcBorders>
                          <w:top w:val="nil" w:sz="6" w:space="0" w:color="auto"/>
                          <w:left w:val="nil" w:sz="6" w:space="0" w:color="auto"/>
                          <w:bottom w:val="nil" w:sz="6" w:space="0" w:color="auto"/>
                          <w:right w:val="nil" w:sz="6" w:space="0" w:color="auto"/>
                        </w:tcBorders>
                      </w:tcPr>
                      <w:p>
                        <w:pPr>
                          <w:pStyle w:val="TableParagraph"/>
                          <w:tabs>
                            <w:tab w:pos="3365" w:val="left" w:leader="none"/>
                          </w:tabs>
                          <w:spacing w:line="240" w:lineRule="auto" w:before="16"/>
                          <w:ind w:left="19" w:right="0"/>
                          <w:jc w:val="left"/>
                          <w:rPr>
                            <w:rFonts w:ascii="宋体" w:hAnsi="宋体" w:cs="宋体" w:eastAsia="宋体" w:hint="default"/>
                            <w:sz w:val="16"/>
                            <w:szCs w:val="16"/>
                          </w:rPr>
                        </w:pPr>
                        <w:r>
                          <w:rPr>
                            <w:rFonts w:ascii="宋体" w:hAnsi="宋体" w:cs="宋体" w:eastAsia="宋体" w:hint="default"/>
                            <w:spacing w:val="-1"/>
                            <w:sz w:val="16"/>
                            <w:szCs w:val="16"/>
                          </w:rPr>
                          <w:t>泉州广电同方数字电视有限公司</w:t>
                          <w:tab/>
                        </w:r>
                        <w:r>
                          <w:rPr>
                            <w:rFonts w:ascii="宋体" w:hAnsi="宋体" w:cs="宋体" w:eastAsia="宋体" w:hint="default"/>
                            <w:spacing w:val="-2"/>
                            <w:sz w:val="16"/>
                            <w:szCs w:val="16"/>
                          </w:rPr>
                          <w:t>16,238,647.96</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9"/>
                          <w:jc w:val="right"/>
                          <w:rPr>
                            <w:rFonts w:ascii="宋体" w:hAnsi="宋体" w:cs="宋体" w:eastAsia="宋体" w:hint="default"/>
                            <w:sz w:val="16"/>
                            <w:szCs w:val="16"/>
                          </w:rPr>
                        </w:pPr>
                        <w:r>
                          <w:rPr>
                            <w:rFonts w:ascii="宋体"/>
                            <w:spacing w:val="-1"/>
                            <w:sz w:val="16"/>
                          </w:rPr>
                          <w:t>0.00</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16"/>
                            <w:szCs w:val="16"/>
                          </w:rPr>
                        </w:pPr>
                        <w:r>
                          <w:rPr>
                            <w:rFonts w:ascii="宋体"/>
                            <w:spacing w:val="-2"/>
                            <w:sz w:val="16"/>
                          </w:rPr>
                          <w:t>195,964.60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宋体" w:hAnsi="宋体" w:cs="宋体" w:eastAsia="宋体" w:hint="default"/>
                            <w:sz w:val="16"/>
                            <w:szCs w:val="16"/>
                          </w:rPr>
                        </w:pPr>
                        <w:r>
                          <w:rPr>
                            <w:rFonts w:ascii="宋体"/>
                            <w:spacing w:val="-1"/>
                            <w:sz w:val="16"/>
                          </w:rPr>
                          <w:t>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9"/>
                          <w:jc w:val="right"/>
                          <w:rPr>
                            <w:rFonts w:ascii="宋体" w:hAnsi="宋体" w:cs="宋体" w:eastAsia="宋体" w:hint="default"/>
                            <w:sz w:val="16"/>
                            <w:szCs w:val="16"/>
                          </w:rPr>
                        </w:pPr>
                        <w:r>
                          <w:rPr>
                            <w:rFonts w:ascii="宋体"/>
                            <w:spacing w:val="-1"/>
                            <w:sz w:val="16"/>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3"/>
                          <w:jc w:val="right"/>
                          <w:rPr>
                            <w:rFonts w:ascii="宋体" w:hAnsi="宋体" w:cs="宋体" w:eastAsia="宋体" w:hint="default"/>
                            <w:sz w:val="16"/>
                            <w:szCs w:val="16"/>
                          </w:rPr>
                        </w:pPr>
                        <w:r>
                          <w:rPr>
                            <w:rFonts w:ascii="宋体"/>
                            <w:spacing w:val="-2"/>
                            <w:sz w:val="16"/>
                          </w:rPr>
                          <w:t>16,434,612.56</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91" w:hRule="exact"/>
                    </w:trPr>
                    <w:tc>
                      <w:tcPr>
                        <w:tcW w:w="4622" w:type="dxa"/>
                        <w:gridSpan w:val="2"/>
                        <w:tcBorders>
                          <w:top w:val="nil" w:sz="6" w:space="0" w:color="auto"/>
                          <w:left w:val="nil" w:sz="6" w:space="0" w:color="auto"/>
                          <w:bottom w:val="nil" w:sz="6" w:space="0" w:color="auto"/>
                          <w:right w:val="nil" w:sz="6" w:space="0" w:color="auto"/>
                        </w:tcBorders>
                      </w:tcPr>
                      <w:p>
                        <w:pPr>
                          <w:pStyle w:val="TableParagraph"/>
                          <w:tabs>
                            <w:tab w:pos="3365" w:val="left" w:leader="none"/>
                          </w:tabs>
                          <w:spacing w:line="240" w:lineRule="auto" w:before="16"/>
                          <w:ind w:left="19" w:right="0"/>
                          <w:jc w:val="left"/>
                          <w:rPr>
                            <w:rFonts w:ascii="宋体" w:hAnsi="宋体" w:cs="宋体" w:eastAsia="宋体" w:hint="default"/>
                            <w:sz w:val="16"/>
                            <w:szCs w:val="16"/>
                          </w:rPr>
                        </w:pPr>
                        <w:r>
                          <w:rPr>
                            <w:rFonts w:ascii="宋体" w:hAnsi="宋体" w:cs="宋体" w:eastAsia="宋体" w:hint="default"/>
                            <w:spacing w:val="-1"/>
                            <w:sz w:val="16"/>
                            <w:szCs w:val="16"/>
                          </w:rPr>
                          <w:t>广州同方瑞风节能科技股份有限公司</w:t>
                          <w:tab/>
                        </w:r>
                        <w:r>
                          <w:rPr>
                            <w:rFonts w:ascii="宋体" w:hAnsi="宋体" w:cs="宋体" w:eastAsia="宋体" w:hint="default"/>
                            <w:spacing w:val="-2"/>
                            <w:sz w:val="16"/>
                            <w:szCs w:val="16"/>
                          </w:rPr>
                          <w:t>15,197,366.11</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9"/>
                          <w:jc w:val="right"/>
                          <w:rPr>
                            <w:rFonts w:ascii="宋体" w:hAnsi="宋体" w:cs="宋体" w:eastAsia="宋体" w:hint="default"/>
                            <w:sz w:val="16"/>
                            <w:szCs w:val="16"/>
                          </w:rPr>
                        </w:pPr>
                        <w:r>
                          <w:rPr>
                            <w:rFonts w:ascii="宋体"/>
                            <w:spacing w:val="-1"/>
                            <w:sz w:val="16"/>
                          </w:rPr>
                          <w:t>0.00</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16"/>
                            <w:szCs w:val="16"/>
                          </w:rPr>
                        </w:pPr>
                        <w:r>
                          <w:rPr>
                            <w:rFonts w:ascii="宋体"/>
                            <w:spacing w:val="-2"/>
                            <w:sz w:val="16"/>
                          </w:rPr>
                          <w:t>6,955,732.67</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宋体" w:hAnsi="宋体" w:cs="宋体" w:eastAsia="宋体" w:hint="default"/>
                            <w:sz w:val="16"/>
                            <w:szCs w:val="16"/>
                          </w:rPr>
                        </w:pPr>
                        <w:r>
                          <w:rPr>
                            <w:rFonts w:ascii="宋体"/>
                            <w:spacing w:val="-1"/>
                            <w:sz w:val="16"/>
                          </w:rPr>
                          <w:t>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2"/>
                            <w:sz w:val="16"/>
                          </w:rPr>
                          <w:t>2,004,750.00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9"/>
                          <w:jc w:val="right"/>
                          <w:rPr>
                            <w:rFonts w:ascii="宋体" w:hAnsi="宋体" w:cs="宋体" w:eastAsia="宋体" w:hint="default"/>
                            <w:sz w:val="16"/>
                            <w:szCs w:val="16"/>
                          </w:rPr>
                        </w:pPr>
                        <w:r>
                          <w:rPr>
                            <w:rFonts w:ascii="宋体"/>
                            <w:spacing w:val="-1"/>
                            <w:sz w:val="16"/>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3"/>
                          <w:jc w:val="right"/>
                          <w:rPr>
                            <w:rFonts w:ascii="宋体" w:hAnsi="宋体" w:cs="宋体" w:eastAsia="宋体" w:hint="default"/>
                            <w:sz w:val="16"/>
                            <w:szCs w:val="16"/>
                          </w:rPr>
                        </w:pPr>
                        <w:r>
                          <w:rPr>
                            <w:rFonts w:ascii="宋体"/>
                            <w:spacing w:val="-2"/>
                            <w:sz w:val="16"/>
                          </w:rPr>
                          <w:t>20,148,348.78</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322" w:hRule="exact"/>
                    </w:trPr>
                    <w:tc>
                      <w:tcPr>
                        <w:tcW w:w="4622" w:type="dxa"/>
                        <w:gridSpan w:val="2"/>
                        <w:tcBorders>
                          <w:top w:val="nil" w:sz="6" w:space="0" w:color="auto"/>
                          <w:left w:val="nil" w:sz="6" w:space="0" w:color="auto"/>
                          <w:bottom w:val="nil" w:sz="6" w:space="0" w:color="auto"/>
                          <w:right w:val="nil" w:sz="6" w:space="0" w:color="auto"/>
                        </w:tcBorders>
                      </w:tcPr>
                      <w:p>
                        <w:pPr>
                          <w:pStyle w:val="TableParagraph"/>
                          <w:tabs>
                            <w:tab w:pos="3365" w:val="left" w:leader="none"/>
                          </w:tabs>
                          <w:spacing w:line="240" w:lineRule="auto" w:before="16"/>
                          <w:ind w:left="19" w:right="0"/>
                          <w:jc w:val="left"/>
                          <w:rPr>
                            <w:rFonts w:ascii="宋体" w:hAnsi="宋体" w:cs="宋体" w:eastAsia="宋体" w:hint="default"/>
                            <w:sz w:val="16"/>
                            <w:szCs w:val="16"/>
                          </w:rPr>
                        </w:pPr>
                        <w:r>
                          <w:rPr>
                            <w:rFonts w:ascii="宋体" w:hAnsi="宋体" w:cs="宋体" w:eastAsia="宋体" w:hint="default"/>
                            <w:spacing w:val="-1"/>
                            <w:sz w:val="16"/>
                            <w:szCs w:val="16"/>
                          </w:rPr>
                          <w:t>陕西省广电同方数字电视有限责任公司</w:t>
                          <w:tab/>
                        </w:r>
                        <w:r>
                          <w:rPr>
                            <w:rFonts w:ascii="宋体" w:hAnsi="宋体" w:cs="宋体" w:eastAsia="宋体" w:hint="default"/>
                            <w:spacing w:val="-2"/>
                            <w:sz w:val="16"/>
                            <w:szCs w:val="16"/>
                          </w:rPr>
                          <w:t>15,175,689.57</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9"/>
                          <w:jc w:val="right"/>
                          <w:rPr>
                            <w:rFonts w:ascii="宋体" w:hAnsi="宋体" w:cs="宋体" w:eastAsia="宋体" w:hint="default"/>
                            <w:sz w:val="16"/>
                            <w:szCs w:val="16"/>
                          </w:rPr>
                        </w:pPr>
                        <w:r>
                          <w:rPr>
                            <w:rFonts w:ascii="宋体"/>
                            <w:spacing w:val="-1"/>
                            <w:sz w:val="16"/>
                          </w:rPr>
                          <w:t>0.00</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16"/>
                            <w:szCs w:val="16"/>
                          </w:rPr>
                        </w:pPr>
                        <w:r>
                          <w:rPr>
                            <w:rFonts w:ascii="宋体"/>
                            <w:spacing w:val="-2"/>
                            <w:sz w:val="16"/>
                          </w:rPr>
                          <w:t>1,045,252.45</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宋体" w:hAnsi="宋体" w:cs="宋体" w:eastAsia="宋体" w:hint="default"/>
                            <w:sz w:val="16"/>
                            <w:szCs w:val="16"/>
                          </w:rPr>
                        </w:pPr>
                        <w:r>
                          <w:rPr>
                            <w:rFonts w:ascii="宋体"/>
                            <w:spacing w:val="-1"/>
                            <w:sz w:val="16"/>
                          </w:rPr>
                          <w:t>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9"/>
                          <w:jc w:val="right"/>
                          <w:rPr>
                            <w:rFonts w:ascii="宋体" w:hAnsi="宋体" w:cs="宋体" w:eastAsia="宋体" w:hint="default"/>
                            <w:sz w:val="16"/>
                            <w:szCs w:val="16"/>
                          </w:rPr>
                        </w:pPr>
                        <w:r>
                          <w:rPr>
                            <w:rFonts w:ascii="宋体"/>
                            <w:spacing w:val="-1"/>
                            <w:sz w:val="16"/>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3"/>
                          <w:jc w:val="right"/>
                          <w:rPr>
                            <w:rFonts w:ascii="宋体" w:hAnsi="宋体" w:cs="宋体" w:eastAsia="宋体" w:hint="default"/>
                            <w:sz w:val="16"/>
                            <w:szCs w:val="16"/>
                          </w:rPr>
                        </w:pPr>
                        <w:r>
                          <w:rPr>
                            <w:rFonts w:ascii="宋体"/>
                            <w:spacing w:val="-2"/>
                            <w:sz w:val="16"/>
                          </w:rPr>
                          <w:t>16,220,942.02</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353" w:hRule="exact"/>
                    </w:trPr>
                    <w:tc>
                      <w:tcPr>
                        <w:tcW w:w="4622" w:type="dxa"/>
                        <w:gridSpan w:val="2"/>
                        <w:tcBorders>
                          <w:top w:val="nil" w:sz="6" w:space="0" w:color="auto"/>
                          <w:left w:val="nil" w:sz="6" w:space="0" w:color="auto"/>
                          <w:bottom w:val="nil" w:sz="6" w:space="0" w:color="auto"/>
                          <w:right w:val="nil" w:sz="6" w:space="0" w:color="auto"/>
                        </w:tcBorders>
                      </w:tcPr>
                      <w:p>
                        <w:pPr>
                          <w:pStyle w:val="TableParagraph"/>
                          <w:spacing w:line="100" w:lineRule="exact"/>
                          <w:ind w:left="19" w:right="0"/>
                          <w:jc w:val="left"/>
                          <w:rPr>
                            <w:rFonts w:ascii="宋体" w:hAnsi="宋体" w:cs="宋体" w:eastAsia="宋体" w:hint="default"/>
                            <w:sz w:val="16"/>
                            <w:szCs w:val="16"/>
                          </w:rPr>
                        </w:pPr>
                        <w:r>
                          <w:rPr>
                            <w:rFonts w:ascii="宋体" w:hAnsi="宋体" w:cs="宋体" w:eastAsia="宋体" w:hint="default"/>
                            <w:spacing w:val="-3"/>
                            <w:sz w:val="16"/>
                            <w:szCs w:val="16"/>
                          </w:rPr>
                          <w:t>同方致远（深圳）股权投资基金管理有限公</w:t>
                        </w:r>
                      </w:p>
                      <w:p>
                        <w:pPr>
                          <w:pStyle w:val="TableParagraph"/>
                          <w:tabs>
                            <w:tab w:pos="3444" w:val="left" w:leader="none"/>
                          </w:tabs>
                          <w:spacing w:line="256" w:lineRule="exact"/>
                          <w:ind w:left="47" w:right="0"/>
                          <w:jc w:val="left"/>
                          <w:rPr>
                            <w:rFonts w:ascii="宋体" w:hAnsi="宋体" w:cs="宋体" w:eastAsia="宋体" w:hint="default"/>
                            <w:sz w:val="16"/>
                            <w:szCs w:val="16"/>
                          </w:rPr>
                        </w:pPr>
                        <w:r>
                          <w:rPr>
                            <w:rFonts w:ascii="宋体" w:hAnsi="宋体" w:cs="宋体" w:eastAsia="宋体" w:hint="default"/>
                            <w:position w:val="-9"/>
                            <w:sz w:val="16"/>
                            <w:szCs w:val="16"/>
                          </w:rPr>
                          <w:t>司</w:t>
                          <w:tab/>
                        </w:r>
                        <w:r>
                          <w:rPr>
                            <w:rFonts w:ascii="宋体" w:hAnsi="宋体" w:cs="宋体" w:eastAsia="宋体" w:hint="default"/>
                            <w:sz w:val="16"/>
                            <w:szCs w:val="16"/>
                          </w:rPr>
                          <w:t>4,083,582.42</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89"/>
                          <w:jc w:val="right"/>
                          <w:rPr>
                            <w:rFonts w:ascii="宋体" w:hAnsi="宋体" w:cs="宋体" w:eastAsia="宋体" w:hint="default"/>
                            <w:sz w:val="16"/>
                            <w:szCs w:val="16"/>
                          </w:rPr>
                        </w:pPr>
                        <w:r>
                          <w:rPr>
                            <w:rFonts w:ascii="宋体"/>
                            <w:spacing w:val="-2"/>
                            <w:sz w:val="16"/>
                          </w:rPr>
                          <w:t>13,500,000.00</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6"/>
                          <w:jc w:val="right"/>
                          <w:rPr>
                            <w:rFonts w:ascii="宋体" w:hAnsi="宋体" w:cs="宋体" w:eastAsia="宋体" w:hint="default"/>
                            <w:sz w:val="16"/>
                            <w:szCs w:val="16"/>
                          </w:rPr>
                        </w:pPr>
                        <w:r>
                          <w:rPr>
                            <w:rFonts w:ascii="宋体"/>
                            <w:spacing w:val="-1"/>
                            <w:sz w:val="16"/>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81"/>
                          <w:jc w:val="right"/>
                          <w:rPr>
                            <w:rFonts w:ascii="宋体" w:hAnsi="宋体" w:cs="宋体" w:eastAsia="宋体" w:hint="default"/>
                            <w:sz w:val="16"/>
                            <w:szCs w:val="16"/>
                          </w:rPr>
                        </w:pPr>
                        <w:r>
                          <w:rPr>
                            <w:rFonts w:ascii="宋体"/>
                            <w:spacing w:val="-2"/>
                            <w:sz w:val="16"/>
                          </w:rPr>
                          <w:t>-1,506,986.87</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3"/>
                          <w:jc w:val="right"/>
                          <w:rPr>
                            <w:rFonts w:ascii="宋体" w:hAnsi="宋体" w:cs="宋体" w:eastAsia="宋体" w:hint="default"/>
                            <w:sz w:val="16"/>
                            <w:szCs w:val="16"/>
                          </w:rPr>
                        </w:pPr>
                        <w:r>
                          <w:rPr>
                            <w:rFonts w:ascii="宋体"/>
                            <w:spacing w:val="-1"/>
                            <w:sz w:val="16"/>
                          </w:rPr>
                          <w:t>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54"/>
                          <w:jc w:val="right"/>
                          <w:rPr>
                            <w:rFonts w:ascii="宋体" w:hAnsi="宋体" w:cs="宋体" w:eastAsia="宋体" w:hint="default"/>
                            <w:sz w:val="16"/>
                            <w:szCs w:val="16"/>
                          </w:rPr>
                        </w:pPr>
                        <w:r>
                          <w:rPr>
                            <w:rFonts w:ascii="宋体"/>
                            <w:spacing w:val="-1"/>
                            <w:sz w:val="16"/>
                          </w:rPr>
                          <w:t>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29"/>
                          <w:jc w:val="right"/>
                          <w:rPr>
                            <w:rFonts w:ascii="宋体" w:hAnsi="宋体" w:cs="宋体" w:eastAsia="宋体" w:hint="default"/>
                            <w:sz w:val="16"/>
                            <w:szCs w:val="16"/>
                          </w:rPr>
                        </w:pPr>
                        <w:r>
                          <w:rPr>
                            <w:rFonts w:ascii="宋体"/>
                            <w:spacing w:val="-1"/>
                            <w:sz w:val="16"/>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83"/>
                          <w:jc w:val="right"/>
                          <w:rPr>
                            <w:rFonts w:ascii="宋体" w:hAnsi="宋体" w:cs="宋体" w:eastAsia="宋体" w:hint="default"/>
                            <w:sz w:val="16"/>
                            <w:szCs w:val="16"/>
                          </w:rPr>
                        </w:pPr>
                        <w:r>
                          <w:rPr>
                            <w:rFonts w:ascii="宋体"/>
                            <w:spacing w:val="-2"/>
                            <w:sz w:val="16"/>
                          </w:rPr>
                          <w:t>16,076,595.55</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0"/>
                          <w:jc w:val="right"/>
                          <w:rPr>
                            <w:rFonts w:ascii="宋体" w:hAnsi="宋体" w:cs="宋体" w:eastAsia="宋体" w:hint="default"/>
                            <w:sz w:val="16"/>
                            <w:szCs w:val="16"/>
                          </w:rPr>
                        </w:pPr>
                        <w:r>
                          <w:rPr>
                            <w:rFonts w:ascii="宋体"/>
                            <w:spacing w:val="-1"/>
                            <w:sz w:val="16"/>
                          </w:rPr>
                          <w:t>0.00</w:t>
                        </w:r>
                      </w:p>
                    </w:tc>
                  </w:tr>
                  <w:tr>
                    <w:trPr>
                      <w:trHeight w:val="353" w:hRule="exact"/>
                    </w:trPr>
                    <w:tc>
                      <w:tcPr>
                        <w:tcW w:w="4622" w:type="dxa"/>
                        <w:gridSpan w:val="2"/>
                        <w:tcBorders>
                          <w:top w:val="nil" w:sz="6" w:space="0" w:color="auto"/>
                          <w:left w:val="nil" w:sz="6" w:space="0" w:color="auto"/>
                          <w:bottom w:val="nil" w:sz="6" w:space="0" w:color="auto"/>
                          <w:right w:val="nil" w:sz="6" w:space="0" w:color="auto"/>
                        </w:tcBorders>
                      </w:tcPr>
                      <w:p>
                        <w:pPr>
                          <w:pStyle w:val="TableParagraph"/>
                          <w:tabs>
                            <w:tab w:pos="3365" w:val="left" w:leader="none"/>
                          </w:tabs>
                          <w:spacing w:line="240" w:lineRule="auto" w:before="47"/>
                          <w:ind w:left="19" w:right="0"/>
                          <w:jc w:val="left"/>
                          <w:rPr>
                            <w:rFonts w:ascii="宋体" w:hAnsi="宋体" w:cs="宋体" w:eastAsia="宋体" w:hint="default"/>
                            <w:sz w:val="16"/>
                            <w:szCs w:val="16"/>
                          </w:rPr>
                        </w:pPr>
                        <w:r>
                          <w:rPr>
                            <w:rFonts w:ascii="宋体" w:hAnsi="宋体" w:cs="宋体" w:eastAsia="宋体" w:hint="default"/>
                            <w:spacing w:val="-1"/>
                            <w:sz w:val="16"/>
                            <w:szCs w:val="16"/>
                          </w:rPr>
                          <w:t>商丘同方恒泰数字电视有限公司</w:t>
                          <w:tab/>
                        </w:r>
                        <w:r>
                          <w:rPr>
                            <w:rFonts w:ascii="宋体" w:hAnsi="宋体" w:cs="宋体" w:eastAsia="宋体" w:hint="default"/>
                            <w:spacing w:val="-2"/>
                            <w:sz w:val="16"/>
                            <w:szCs w:val="16"/>
                          </w:rPr>
                          <w:t>12,275,994.30</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89"/>
                          <w:jc w:val="right"/>
                          <w:rPr>
                            <w:rFonts w:ascii="宋体" w:hAnsi="宋体" w:cs="宋体" w:eastAsia="宋体" w:hint="default"/>
                            <w:sz w:val="16"/>
                            <w:szCs w:val="16"/>
                          </w:rPr>
                        </w:pPr>
                        <w:r>
                          <w:rPr>
                            <w:rFonts w:ascii="宋体"/>
                            <w:spacing w:val="-1"/>
                            <w:sz w:val="16"/>
                          </w:rPr>
                          <w:t>0.00</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6"/>
                          <w:jc w:val="right"/>
                          <w:rPr>
                            <w:rFonts w:ascii="宋体" w:hAnsi="宋体" w:cs="宋体" w:eastAsia="宋体" w:hint="default"/>
                            <w:sz w:val="16"/>
                            <w:szCs w:val="16"/>
                          </w:rPr>
                        </w:pPr>
                        <w:r>
                          <w:rPr>
                            <w:rFonts w:ascii="宋体"/>
                            <w:spacing w:val="-1"/>
                            <w:sz w:val="16"/>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81"/>
                          <w:jc w:val="right"/>
                          <w:rPr>
                            <w:rFonts w:ascii="宋体" w:hAnsi="宋体" w:cs="宋体" w:eastAsia="宋体" w:hint="default"/>
                            <w:sz w:val="16"/>
                            <w:szCs w:val="16"/>
                          </w:rPr>
                        </w:pPr>
                        <w:r>
                          <w:rPr>
                            <w:rFonts w:ascii="宋体"/>
                            <w:spacing w:val="-2"/>
                            <w:sz w:val="16"/>
                          </w:rPr>
                          <w:t>390,341.10</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3"/>
                          <w:jc w:val="right"/>
                          <w:rPr>
                            <w:rFonts w:ascii="宋体" w:hAnsi="宋体" w:cs="宋体" w:eastAsia="宋体" w:hint="default"/>
                            <w:sz w:val="16"/>
                            <w:szCs w:val="16"/>
                          </w:rPr>
                        </w:pPr>
                        <w:r>
                          <w:rPr>
                            <w:rFonts w:ascii="宋体"/>
                            <w:spacing w:val="-1"/>
                            <w:sz w:val="16"/>
                          </w:rPr>
                          <w:t>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54"/>
                          <w:jc w:val="right"/>
                          <w:rPr>
                            <w:rFonts w:ascii="宋体" w:hAnsi="宋体" w:cs="宋体" w:eastAsia="宋体" w:hint="default"/>
                            <w:sz w:val="16"/>
                            <w:szCs w:val="16"/>
                          </w:rPr>
                        </w:pPr>
                        <w:r>
                          <w:rPr>
                            <w:rFonts w:ascii="宋体"/>
                            <w:spacing w:val="-1"/>
                            <w:sz w:val="16"/>
                          </w:rPr>
                          <w:t>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29"/>
                          <w:jc w:val="right"/>
                          <w:rPr>
                            <w:rFonts w:ascii="宋体" w:hAnsi="宋体" w:cs="宋体" w:eastAsia="宋体" w:hint="default"/>
                            <w:sz w:val="16"/>
                            <w:szCs w:val="16"/>
                          </w:rPr>
                        </w:pPr>
                        <w:r>
                          <w:rPr>
                            <w:rFonts w:ascii="宋体"/>
                            <w:spacing w:val="-1"/>
                            <w:sz w:val="16"/>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83"/>
                          <w:jc w:val="right"/>
                          <w:rPr>
                            <w:rFonts w:ascii="宋体" w:hAnsi="宋体" w:cs="宋体" w:eastAsia="宋体" w:hint="default"/>
                            <w:sz w:val="16"/>
                            <w:szCs w:val="16"/>
                          </w:rPr>
                        </w:pPr>
                        <w:r>
                          <w:rPr>
                            <w:rFonts w:ascii="宋体"/>
                            <w:spacing w:val="-2"/>
                            <w:sz w:val="16"/>
                          </w:rPr>
                          <w:t>12,666,335.40</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0"/>
                          <w:jc w:val="right"/>
                          <w:rPr>
                            <w:rFonts w:ascii="宋体" w:hAnsi="宋体" w:cs="宋体" w:eastAsia="宋体" w:hint="default"/>
                            <w:sz w:val="16"/>
                            <w:szCs w:val="16"/>
                          </w:rPr>
                        </w:pPr>
                        <w:r>
                          <w:rPr>
                            <w:rFonts w:ascii="宋体"/>
                            <w:spacing w:val="-1"/>
                            <w:sz w:val="16"/>
                          </w:rPr>
                          <w:t>0.00</w:t>
                        </w:r>
                      </w:p>
                    </w:tc>
                  </w:tr>
                  <w:tr>
                    <w:trPr>
                      <w:trHeight w:val="352" w:hRule="exact"/>
                    </w:trPr>
                    <w:tc>
                      <w:tcPr>
                        <w:tcW w:w="4622" w:type="dxa"/>
                        <w:gridSpan w:val="2"/>
                        <w:tcBorders>
                          <w:top w:val="nil" w:sz="6" w:space="0" w:color="auto"/>
                          <w:left w:val="nil" w:sz="6" w:space="0" w:color="auto"/>
                          <w:bottom w:val="nil" w:sz="6" w:space="0" w:color="auto"/>
                          <w:right w:val="nil" w:sz="6" w:space="0" w:color="auto"/>
                        </w:tcBorders>
                      </w:tcPr>
                      <w:p>
                        <w:pPr>
                          <w:pStyle w:val="TableParagraph"/>
                          <w:spacing w:line="99" w:lineRule="exact"/>
                          <w:ind w:left="19" w:right="0"/>
                          <w:jc w:val="left"/>
                          <w:rPr>
                            <w:rFonts w:ascii="宋体" w:hAnsi="宋体" w:cs="宋体" w:eastAsia="宋体" w:hint="default"/>
                            <w:sz w:val="16"/>
                            <w:szCs w:val="16"/>
                          </w:rPr>
                        </w:pPr>
                        <w:r>
                          <w:rPr>
                            <w:rFonts w:ascii="宋体" w:hAnsi="宋体" w:cs="宋体" w:eastAsia="宋体" w:hint="default"/>
                            <w:spacing w:val="-3"/>
                            <w:sz w:val="16"/>
                            <w:szCs w:val="16"/>
                          </w:rPr>
                          <w:t>中车资本（天津）股权投资基金管理有限公</w:t>
                        </w:r>
                      </w:p>
                      <w:p>
                        <w:pPr>
                          <w:pStyle w:val="TableParagraph"/>
                          <w:tabs>
                            <w:tab w:pos="3365" w:val="left" w:leader="none"/>
                          </w:tabs>
                          <w:spacing w:line="257" w:lineRule="exact"/>
                          <w:ind w:left="47" w:right="0"/>
                          <w:jc w:val="left"/>
                          <w:rPr>
                            <w:rFonts w:ascii="宋体" w:hAnsi="宋体" w:cs="宋体" w:eastAsia="宋体" w:hint="default"/>
                            <w:sz w:val="16"/>
                            <w:szCs w:val="16"/>
                          </w:rPr>
                        </w:pPr>
                        <w:r>
                          <w:rPr>
                            <w:rFonts w:ascii="宋体" w:hAnsi="宋体" w:cs="宋体" w:eastAsia="宋体" w:hint="default"/>
                            <w:position w:val="-9"/>
                            <w:sz w:val="16"/>
                            <w:szCs w:val="16"/>
                          </w:rPr>
                          <w:t>司</w:t>
                          <w:tab/>
                        </w:r>
                        <w:r>
                          <w:rPr>
                            <w:rFonts w:ascii="宋体" w:hAnsi="宋体" w:cs="宋体" w:eastAsia="宋体" w:hint="default"/>
                            <w:sz w:val="16"/>
                            <w:szCs w:val="16"/>
                          </w:rPr>
                          <w:t>11,558,231.66</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89"/>
                          <w:jc w:val="right"/>
                          <w:rPr>
                            <w:rFonts w:ascii="宋体" w:hAnsi="宋体" w:cs="宋体" w:eastAsia="宋体" w:hint="default"/>
                            <w:sz w:val="16"/>
                            <w:szCs w:val="16"/>
                          </w:rPr>
                        </w:pPr>
                        <w:r>
                          <w:rPr>
                            <w:rFonts w:ascii="宋体"/>
                            <w:spacing w:val="-1"/>
                            <w:sz w:val="16"/>
                          </w:rPr>
                          <w:t>0.00</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76"/>
                          <w:jc w:val="right"/>
                          <w:rPr>
                            <w:rFonts w:ascii="宋体" w:hAnsi="宋体" w:cs="宋体" w:eastAsia="宋体" w:hint="default"/>
                            <w:sz w:val="16"/>
                            <w:szCs w:val="16"/>
                          </w:rPr>
                        </w:pPr>
                        <w:r>
                          <w:rPr>
                            <w:rFonts w:ascii="宋体"/>
                            <w:spacing w:val="-1"/>
                            <w:sz w:val="16"/>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81"/>
                          <w:jc w:val="right"/>
                          <w:rPr>
                            <w:rFonts w:ascii="宋体" w:hAnsi="宋体" w:cs="宋体" w:eastAsia="宋体" w:hint="default"/>
                            <w:sz w:val="16"/>
                            <w:szCs w:val="16"/>
                          </w:rPr>
                        </w:pPr>
                        <w:r>
                          <w:rPr>
                            <w:rFonts w:ascii="宋体"/>
                            <w:spacing w:val="-2"/>
                            <w:sz w:val="16"/>
                          </w:rPr>
                          <w:t>737,583.21</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3"/>
                          <w:jc w:val="right"/>
                          <w:rPr>
                            <w:rFonts w:ascii="宋体" w:hAnsi="宋体" w:cs="宋体" w:eastAsia="宋体" w:hint="default"/>
                            <w:sz w:val="16"/>
                            <w:szCs w:val="16"/>
                          </w:rPr>
                        </w:pPr>
                        <w:r>
                          <w:rPr>
                            <w:rFonts w:ascii="宋体"/>
                            <w:spacing w:val="-1"/>
                            <w:sz w:val="16"/>
                          </w:rPr>
                          <w:t>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54"/>
                          <w:jc w:val="right"/>
                          <w:rPr>
                            <w:rFonts w:ascii="宋体" w:hAnsi="宋体" w:cs="宋体" w:eastAsia="宋体" w:hint="default"/>
                            <w:sz w:val="16"/>
                            <w:szCs w:val="16"/>
                          </w:rPr>
                        </w:pPr>
                        <w:r>
                          <w:rPr>
                            <w:rFonts w:ascii="宋体"/>
                            <w:spacing w:val="-1"/>
                            <w:sz w:val="16"/>
                          </w:rPr>
                          <w:t>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29"/>
                          <w:jc w:val="right"/>
                          <w:rPr>
                            <w:rFonts w:ascii="宋体" w:hAnsi="宋体" w:cs="宋体" w:eastAsia="宋体" w:hint="default"/>
                            <w:sz w:val="16"/>
                            <w:szCs w:val="16"/>
                          </w:rPr>
                        </w:pPr>
                        <w:r>
                          <w:rPr>
                            <w:rFonts w:ascii="宋体"/>
                            <w:spacing w:val="-1"/>
                            <w:sz w:val="16"/>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83"/>
                          <w:jc w:val="right"/>
                          <w:rPr>
                            <w:rFonts w:ascii="宋体" w:hAnsi="宋体" w:cs="宋体" w:eastAsia="宋体" w:hint="default"/>
                            <w:sz w:val="16"/>
                            <w:szCs w:val="16"/>
                          </w:rPr>
                        </w:pPr>
                        <w:r>
                          <w:rPr>
                            <w:rFonts w:ascii="宋体"/>
                            <w:spacing w:val="-2"/>
                            <w:sz w:val="16"/>
                          </w:rPr>
                          <w:t>12,295,814.87</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0"/>
                          <w:jc w:val="right"/>
                          <w:rPr>
                            <w:rFonts w:ascii="宋体" w:hAnsi="宋体" w:cs="宋体" w:eastAsia="宋体" w:hint="default"/>
                            <w:sz w:val="16"/>
                            <w:szCs w:val="16"/>
                          </w:rPr>
                        </w:pPr>
                        <w:r>
                          <w:rPr>
                            <w:rFonts w:ascii="宋体"/>
                            <w:spacing w:val="-1"/>
                            <w:sz w:val="16"/>
                          </w:rPr>
                          <w:t>0.00</w:t>
                        </w:r>
                      </w:p>
                    </w:tc>
                  </w:tr>
                  <w:tr>
                    <w:trPr>
                      <w:trHeight w:val="320" w:hRule="exact"/>
                    </w:trPr>
                    <w:tc>
                      <w:tcPr>
                        <w:tcW w:w="4622" w:type="dxa"/>
                        <w:gridSpan w:val="2"/>
                        <w:tcBorders>
                          <w:top w:val="nil" w:sz="6" w:space="0" w:color="auto"/>
                          <w:left w:val="nil" w:sz="6" w:space="0" w:color="auto"/>
                          <w:bottom w:val="nil" w:sz="6" w:space="0" w:color="auto"/>
                          <w:right w:val="nil" w:sz="6" w:space="0" w:color="auto"/>
                        </w:tcBorders>
                      </w:tcPr>
                      <w:p>
                        <w:pPr>
                          <w:pStyle w:val="TableParagraph"/>
                          <w:tabs>
                            <w:tab w:pos="3365" w:val="left" w:leader="none"/>
                          </w:tabs>
                          <w:spacing w:line="240" w:lineRule="auto" w:before="46"/>
                          <w:ind w:left="19" w:right="0"/>
                          <w:jc w:val="left"/>
                          <w:rPr>
                            <w:rFonts w:ascii="宋体" w:hAnsi="宋体" w:cs="宋体" w:eastAsia="宋体" w:hint="default"/>
                            <w:sz w:val="16"/>
                            <w:szCs w:val="16"/>
                          </w:rPr>
                        </w:pPr>
                        <w:r>
                          <w:rPr>
                            <w:rFonts w:ascii="宋体" w:hAnsi="宋体" w:cs="宋体" w:eastAsia="宋体" w:hint="default"/>
                            <w:spacing w:val="-1"/>
                            <w:sz w:val="16"/>
                            <w:szCs w:val="16"/>
                          </w:rPr>
                          <w:t>同方（深圳）云计算技术股份有限公司</w:t>
                          <w:tab/>
                        </w:r>
                        <w:r>
                          <w:rPr>
                            <w:rFonts w:ascii="宋体" w:hAnsi="宋体" w:cs="宋体" w:eastAsia="宋体" w:hint="default"/>
                            <w:spacing w:val="-2"/>
                            <w:sz w:val="16"/>
                            <w:szCs w:val="16"/>
                          </w:rPr>
                          <w:t>11,019,967.67</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89"/>
                          <w:jc w:val="right"/>
                          <w:rPr>
                            <w:rFonts w:ascii="宋体" w:hAnsi="宋体" w:cs="宋体" w:eastAsia="宋体" w:hint="default"/>
                            <w:sz w:val="16"/>
                            <w:szCs w:val="16"/>
                          </w:rPr>
                        </w:pPr>
                        <w:r>
                          <w:rPr>
                            <w:rFonts w:ascii="宋体"/>
                            <w:spacing w:val="-1"/>
                            <w:sz w:val="16"/>
                          </w:rPr>
                          <w:t>0.00</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6"/>
                          <w:jc w:val="right"/>
                          <w:rPr>
                            <w:rFonts w:ascii="宋体" w:hAnsi="宋体" w:cs="宋体" w:eastAsia="宋体" w:hint="default"/>
                            <w:sz w:val="16"/>
                            <w:szCs w:val="16"/>
                          </w:rPr>
                        </w:pPr>
                        <w:r>
                          <w:rPr>
                            <w:rFonts w:ascii="宋体"/>
                            <w:spacing w:val="-1"/>
                            <w:sz w:val="16"/>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81"/>
                          <w:jc w:val="right"/>
                          <w:rPr>
                            <w:rFonts w:ascii="宋体" w:hAnsi="宋体" w:cs="宋体" w:eastAsia="宋体" w:hint="default"/>
                            <w:sz w:val="16"/>
                            <w:szCs w:val="16"/>
                          </w:rPr>
                        </w:pPr>
                        <w:r>
                          <w:rPr>
                            <w:rFonts w:ascii="宋体"/>
                            <w:spacing w:val="-2"/>
                            <w:sz w:val="16"/>
                          </w:rPr>
                          <w:t>633,082.05</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3"/>
                          <w:jc w:val="right"/>
                          <w:rPr>
                            <w:rFonts w:ascii="宋体" w:hAnsi="宋体" w:cs="宋体" w:eastAsia="宋体" w:hint="default"/>
                            <w:sz w:val="16"/>
                            <w:szCs w:val="16"/>
                          </w:rPr>
                        </w:pPr>
                        <w:r>
                          <w:rPr>
                            <w:rFonts w:ascii="宋体"/>
                            <w:spacing w:val="-1"/>
                            <w:sz w:val="16"/>
                          </w:rPr>
                          <w:t>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4"/>
                          <w:jc w:val="right"/>
                          <w:rPr>
                            <w:rFonts w:ascii="宋体" w:hAnsi="宋体" w:cs="宋体" w:eastAsia="宋体" w:hint="default"/>
                            <w:sz w:val="16"/>
                            <w:szCs w:val="16"/>
                          </w:rPr>
                        </w:pPr>
                        <w:r>
                          <w:rPr>
                            <w:rFonts w:ascii="宋体"/>
                            <w:spacing w:val="-1"/>
                            <w:sz w:val="16"/>
                          </w:rPr>
                          <w:t>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9"/>
                          <w:jc w:val="right"/>
                          <w:rPr>
                            <w:rFonts w:ascii="宋体" w:hAnsi="宋体" w:cs="宋体" w:eastAsia="宋体" w:hint="default"/>
                            <w:sz w:val="16"/>
                            <w:szCs w:val="16"/>
                          </w:rPr>
                        </w:pPr>
                        <w:r>
                          <w:rPr>
                            <w:rFonts w:ascii="宋体"/>
                            <w:spacing w:val="-1"/>
                            <w:sz w:val="16"/>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3"/>
                          <w:jc w:val="right"/>
                          <w:rPr>
                            <w:rFonts w:ascii="宋体" w:hAnsi="宋体" w:cs="宋体" w:eastAsia="宋体" w:hint="default"/>
                            <w:sz w:val="16"/>
                            <w:szCs w:val="16"/>
                          </w:rPr>
                        </w:pPr>
                        <w:r>
                          <w:rPr>
                            <w:rFonts w:ascii="宋体"/>
                            <w:spacing w:val="-2"/>
                            <w:sz w:val="16"/>
                          </w:rPr>
                          <w:t>11,653,049.72</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0"/>
                          <w:jc w:val="right"/>
                          <w:rPr>
                            <w:rFonts w:ascii="宋体" w:hAnsi="宋体" w:cs="宋体" w:eastAsia="宋体" w:hint="default"/>
                            <w:sz w:val="16"/>
                            <w:szCs w:val="16"/>
                          </w:rPr>
                        </w:pPr>
                        <w:r>
                          <w:rPr>
                            <w:rFonts w:ascii="宋体"/>
                            <w:spacing w:val="-1"/>
                            <w:sz w:val="16"/>
                          </w:rPr>
                          <w:t>0.00</w:t>
                        </w:r>
                      </w:p>
                    </w:tc>
                  </w:tr>
                  <w:tr>
                    <w:trPr>
                      <w:trHeight w:val="290" w:hRule="exact"/>
                    </w:trPr>
                    <w:tc>
                      <w:tcPr>
                        <w:tcW w:w="4622" w:type="dxa"/>
                        <w:gridSpan w:val="2"/>
                        <w:tcBorders>
                          <w:top w:val="nil" w:sz="6" w:space="0" w:color="auto"/>
                          <w:left w:val="nil" w:sz="6" w:space="0" w:color="auto"/>
                          <w:bottom w:val="nil" w:sz="6" w:space="0" w:color="auto"/>
                          <w:right w:val="nil" w:sz="6" w:space="0" w:color="auto"/>
                        </w:tcBorders>
                      </w:tcPr>
                      <w:p>
                        <w:pPr>
                          <w:pStyle w:val="TableParagraph"/>
                          <w:tabs>
                            <w:tab w:pos="3365" w:val="left" w:leader="none"/>
                          </w:tabs>
                          <w:spacing w:line="240" w:lineRule="auto" w:before="16"/>
                          <w:ind w:left="19" w:right="0"/>
                          <w:jc w:val="left"/>
                          <w:rPr>
                            <w:rFonts w:ascii="宋体" w:hAnsi="宋体" w:cs="宋体" w:eastAsia="宋体" w:hint="default"/>
                            <w:sz w:val="16"/>
                            <w:szCs w:val="16"/>
                          </w:rPr>
                        </w:pPr>
                        <w:r>
                          <w:rPr>
                            <w:rFonts w:ascii="宋体" w:hAnsi="宋体" w:cs="宋体" w:eastAsia="宋体" w:hint="default"/>
                            <w:spacing w:val="-1"/>
                            <w:sz w:val="16"/>
                            <w:szCs w:val="16"/>
                          </w:rPr>
                          <w:t>濮阳广电同方数字电视有限公司</w:t>
                          <w:tab/>
                        </w:r>
                        <w:r>
                          <w:rPr>
                            <w:rFonts w:ascii="宋体" w:hAnsi="宋体" w:cs="宋体" w:eastAsia="宋体" w:hint="default"/>
                            <w:spacing w:val="-2"/>
                            <w:sz w:val="16"/>
                            <w:szCs w:val="16"/>
                          </w:rPr>
                          <w:t>10,736,618.76</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9"/>
                          <w:jc w:val="right"/>
                          <w:rPr>
                            <w:rFonts w:ascii="宋体" w:hAnsi="宋体" w:cs="宋体" w:eastAsia="宋体" w:hint="default"/>
                            <w:sz w:val="16"/>
                            <w:szCs w:val="16"/>
                          </w:rPr>
                        </w:pPr>
                        <w:r>
                          <w:rPr>
                            <w:rFonts w:ascii="宋体"/>
                            <w:spacing w:val="-1"/>
                            <w:sz w:val="16"/>
                          </w:rPr>
                          <w:t>0.00</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16"/>
                            <w:szCs w:val="16"/>
                          </w:rPr>
                        </w:pPr>
                        <w:r>
                          <w:rPr>
                            <w:rFonts w:ascii="宋体"/>
                            <w:spacing w:val="-2"/>
                            <w:sz w:val="16"/>
                          </w:rPr>
                          <w:t>208,026.07</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宋体" w:hAnsi="宋体" w:cs="宋体" w:eastAsia="宋体" w:hint="default"/>
                            <w:sz w:val="16"/>
                            <w:szCs w:val="16"/>
                          </w:rPr>
                        </w:pPr>
                        <w:r>
                          <w:rPr>
                            <w:rFonts w:ascii="宋体"/>
                            <w:spacing w:val="-1"/>
                            <w:sz w:val="16"/>
                          </w:rPr>
                          <w:t>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9"/>
                          <w:jc w:val="right"/>
                          <w:rPr>
                            <w:rFonts w:ascii="宋体" w:hAnsi="宋体" w:cs="宋体" w:eastAsia="宋体" w:hint="default"/>
                            <w:sz w:val="16"/>
                            <w:szCs w:val="16"/>
                          </w:rPr>
                        </w:pPr>
                        <w:r>
                          <w:rPr>
                            <w:rFonts w:ascii="宋体"/>
                            <w:spacing w:val="-1"/>
                            <w:sz w:val="16"/>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3"/>
                          <w:jc w:val="right"/>
                          <w:rPr>
                            <w:rFonts w:ascii="宋体" w:hAnsi="宋体" w:cs="宋体" w:eastAsia="宋体" w:hint="default"/>
                            <w:sz w:val="16"/>
                            <w:szCs w:val="16"/>
                          </w:rPr>
                        </w:pPr>
                        <w:r>
                          <w:rPr>
                            <w:rFonts w:ascii="宋体"/>
                            <w:spacing w:val="-2"/>
                            <w:sz w:val="16"/>
                          </w:rPr>
                          <w:t>10,944,644.83</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91" w:hRule="exact"/>
                    </w:trPr>
                    <w:tc>
                      <w:tcPr>
                        <w:tcW w:w="4622" w:type="dxa"/>
                        <w:gridSpan w:val="2"/>
                        <w:tcBorders>
                          <w:top w:val="nil" w:sz="6" w:space="0" w:color="auto"/>
                          <w:left w:val="nil" w:sz="6" w:space="0" w:color="auto"/>
                          <w:bottom w:val="nil" w:sz="6" w:space="0" w:color="auto"/>
                          <w:right w:val="nil" w:sz="6" w:space="0" w:color="auto"/>
                        </w:tcBorders>
                      </w:tcPr>
                      <w:p>
                        <w:pPr>
                          <w:pStyle w:val="TableParagraph"/>
                          <w:tabs>
                            <w:tab w:pos="3365" w:val="left" w:leader="none"/>
                          </w:tabs>
                          <w:spacing w:line="240" w:lineRule="auto" w:before="16"/>
                          <w:ind w:left="19" w:right="0"/>
                          <w:jc w:val="left"/>
                          <w:rPr>
                            <w:rFonts w:ascii="宋体" w:hAnsi="宋体" w:cs="宋体" w:eastAsia="宋体" w:hint="default"/>
                            <w:sz w:val="16"/>
                            <w:szCs w:val="16"/>
                          </w:rPr>
                        </w:pPr>
                        <w:r>
                          <w:rPr>
                            <w:rFonts w:ascii="宋体" w:hAnsi="宋体" w:cs="宋体" w:eastAsia="宋体" w:hint="default"/>
                            <w:spacing w:val="-1"/>
                            <w:sz w:val="16"/>
                            <w:szCs w:val="16"/>
                          </w:rPr>
                          <w:t>许昌广电同方数字电视有限公司</w:t>
                          <w:tab/>
                        </w:r>
                        <w:r>
                          <w:rPr>
                            <w:rFonts w:ascii="宋体" w:hAnsi="宋体" w:cs="宋体" w:eastAsia="宋体" w:hint="default"/>
                            <w:spacing w:val="-2"/>
                            <w:sz w:val="16"/>
                            <w:szCs w:val="16"/>
                          </w:rPr>
                          <w:t>10,210,482.92</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9"/>
                          <w:jc w:val="right"/>
                          <w:rPr>
                            <w:rFonts w:ascii="宋体" w:hAnsi="宋体" w:cs="宋体" w:eastAsia="宋体" w:hint="default"/>
                            <w:sz w:val="16"/>
                            <w:szCs w:val="16"/>
                          </w:rPr>
                        </w:pPr>
                        <w:r>
                          <w:rPr>
                            <w:rFonts w:ascii="宋体"/>
                            <w:spacing w:val="-1"/>
                            <w:sz w:val="16"/>
                          </w:rPr>
                          <w:t>0.00</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16"/>
                            <w:szCs w:val="16"/>
                          </w:rPr>
                        </w:pPr>
                        <w:r>
                          <w:rPr>
                            <w:rFonts w:ascii="宋体"/>
                            <w:spacing w:val="-2"/>
                            <w:sz w:val="16"/>
                          </w:rPr>
                          <w:t>92,956.94</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宋体" w:hAnsi="宋体" w:cs="宋体" w:eastAsia="宋体" w:hint="default"/>
                            <w:sz w:val="16"/>
                            <w:szCs w:val="16"/>
                          </w:rPr>
                        </w:pPr>
                        <w:r>
                          <w:rPr>
                            <w:rFonts w:ascii="宋体"/>
                            <w:spacing w:val="-1"/>
                            <w:sz w:val="16"/>
                          </w:rPr>
                          <w:t>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9"/>
                          <w:jc w:val="right"/>
                          <w:rPr>
                            <w:rFonts w:ascii="宋体" w:hAnsi="宋体" w:cs="宋体" w:eastAsia="宋体" w:hint="default"/>
                            <w:sz w:val="16"/>
                            <w:szCs w:val="16"/>
                          </w:rPr>
                        </w:pPr>
                        <w:r>
                          <w:rPr>
                            <w:rFonts w:ascii="宋体"/>
                            <w:spacing w:val="-1"/>
                            <w:sz w:val="16"/>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3"/>
                          <w:jc w:val="right"/>
                          <w:rPr>
                            <w:rFonts w:ascii="宋体" w:hAnsi="宋体" w:cs="宋体" w:eastAsia="宋体" w:hint="default"/>
                            <w:sz w:val="16"/>
                            <w:szCs w:val="16"/>
                          </w:rPr>
                        </w:pPr>
                        <w:r>
                          <w:rPr>
                            <w:rFonts w:ascii="宋体"/>
                            <w:spacing w:val="-2"/>
                            <w:sz w:val="16"/>
                          </w:rPr>
                          <w:t>10,303,439.86</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91" w:hRule="exact"/>
                    </w:trPr>
                    <w:tc>
                      <w:tcPr>
                        <w:tcW w:w="4622" w:type="dxa"/>
                        <w:gridSpan w:val="2"/>
                        <w:tcBorders>
                          <w:top w:val="nil" w:sz="6" w:space="0" w:color="auto"/>
                          <w:left w:val="nil" w:sz="6" w:space="0" w:color="auto"/>
                          <w:bottom w:val="nil" w:sz="6" w:space="0" w:color="auto"/>
                          <w:right w:val="nil" w:sz="6" w:space="0" w:color="auto"/>
                        </w:tcBorders>
                      </w:tcPr>
                      <w:p>
                        <w:pPr>
                          <w:pStyle w:val="TableParagraph"/>
                          <w:tabs>
                            <w:tab w:pos="3365" w:val="left" w:leader="none"/>
                          </w:tabs>
                          <w:spacing w:line="240" w:lineRule="auto" w:before="16"/>
                          <w:ind w:left="19" w:right="0"/>
                          <w:jc w:val="left"/>
                          <w:rPr>
                            <w:rFonts w:ascii="宋体" w:hAnsi="宋体" w:cs="宋体" w:eastAsia="宋体" w:hint="default"/>
                            <w:sz w:val="16"/>
                            <w:szCs w:val="16"/>
                          </w:rPr>
                        </w:pPr>
                        <w:r>
                          <w:rPr>
                            <w:rFonts w:ascii="宋体" w:hAnsi="宋体" w:cs="宋体" w:eastAsia="宋体" w:hint="default"/>
                            <w:spacing w:val="-1"/>
                            <w:sz w:val="16"/>
                            <w:szCs w:val="16"/>
                          </w:rPr>
                          <w:t>日照广电同方数字电视有限公司</w:t>
                          <w:tab/>
                        </w:r>
                        <w:r>
                          <w:rPr>
                            <w:rFonts w:ascii="宋体" w:hAnsi="宋体" w:cs="宋体" w:eastAsia="宋体" w:hint="default"/>
                            <w:spacing w:val="-2"/>
                            <w:sz w:val="16"/>
                            <w:szCs w:val="16"/>
                          </w:rPr>
                          <w:t>10,149,011.84</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9"/>
                          <w:jc w:val="right"/>
                          <w:rPr>
                            <w:rFonts w:ascii="宋体" w:hAnsi="宋体" w:cs="宋体" w:eastAsia="宋体" w:hint="default"/>
                            <w:sz w:val="16"/>
                            <w:szCs w:val="16"/>
                          </w:rPr>
                        </w:pPr>
                        <w:r>
                          <w:rPr>
                            <w:rFonts w:ascii="宋体"/>
                            <w:spacing w:val="-1"/>
                            <w:sz w:val="16"/>
                          </w:rPr>
                          <w:t>0.00</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16"/>
                            <w:szCs w:val="16"/>
                          </w:rPr>
                        </w:pPr>
                        <w:r>
                          <w:rPr>
                            <w:rFonts w:ascii="宋体"/>
                            <w:spacing w:val="-2"/>
                            <w:sz w:val="16"/>
                          </w:rPr>
                          <w:t>51,811.58</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宋体" w:hAnsi="宋体" w:cs="宋体" w:eastAsia="宋体" w:hint="default"/>
                            <w:sz w:val="16"/>
                            <w:szCs w:val="16"/>
                          </w:rPr>
                        </w:pPr>
                        <w:r>
                          <w:rPr>
                            <w:rFonts w:ascii="宋体"/>
                            <w:spacing w:val="-1"/>
                            <w:sz w:val="16"/>
                          </w:rPr>
                          <w:t>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9"/>
                          <w:jc w:val="right"/>
                          <w:rPr>
                            <w:rFonts w:ascii="宋体" w:hAnsi="宋体" w:cs="宋体" w:eastAsia="宋体" w:hint="default"/>
                            <w:sz w:val="16"/>
                            <w:szCs w:val="16"/>
                          </w:rPr>
                        </w:pPr>
                        <w:r>
                          <w:rPr>
                            <w:rFonts w:ascii="宋体"/>
                            <w:spacing w:val="-1"/>
                            <w:sz w:val="16"/>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3"/>
                          <w:jc w:val="right"/>
                          <w:rPr>
                            <w:rFonts w:ascii="宋体" w:hAnsi="宋体" w:cs="宋体" w:eastAsia="宋体" w:hint="default"/>
                            <w:sz w:val="16"/>
                            <w:szCs w:val="16"/>
                          </w:rPr>
                        </w:pPr>
                        <w:r>
                          <w:rPr>
                            <w:rFonts w:ascii="宋体"/>
                            <w:spacing w:val="-2"/>
                            <w:sz w:val="16"/>
                          </w:rPr>
                          <w:t>10,200,823.42</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90" w:hRule="exact"/>
                    </w:trPr>
                    <w:tc>
                      <w:tcPr>
                        <w:tcW w:w="4622" w:type="dxa"/>
                        <w:gridSpan w:val="2"/>
                        <w:tcBorders>
                          <w:top w:val="nil" w:sz="6" w:space="0" w:color="auto"/>
                          <w:left w:val="nil" w:sz="6" w:space="0" w:color="auto"/>
                          <w:bottom w:val="nil" w:sz="6" w:space="0" w:color="auto"/>
                          <w:right w:val="nil" w:sz="6" w:space="0" w:color="auto"/>
                        </w:tcBorders>
                      </w:tcPr>
                      <w:p>
                        <w:pPr>
                          <w:pStyle w:val="TableParagraph"/>
                          <w:tabs>
                            <w:tab w:pos="3444" w:val="left" w:leader="none"/>
                          </w:tabs>
                          <w:spacing w:line="240" w:lineRule="auto" w:before="16"/>
                          <w:ind w:left="19" w:right="0"/>
                          <w:jc w:val="left"/>
                          <w:rPr>
                            <w:rFonts w:ascii="宋体" w:hAnsi="宋体" w:cs="宋体" w:eastAsia="宋体" w:hint="default"/>
                            <w:sz w:val="16"/>
                            <w:szCs w:val="16"/>
                          </w:rPr>
                        </w:pPr>
                        <w:r>
                          <w:rPr>
                            <w:rFonts w:ascii="宋体" w:hAnsi="宋体" w:cs="宋体" w:eastAsia="宋体" w:hint="default"/>
                            <w:spacing w:val="-1"/>
                            <w:sz w:val="16"/>
                            <w:szCs w:val="16"/>
                          </w:rPr>
                          <w:t>北京同方时讯电子股份有限公司</w:t>
                          <w:tab/>
                        </w:r>
                        <w:r>
                          <w:rPr>
                            <w:rFonts w:ascii="宋体" w:hAnsi="宋体" w:cs="宋体" w:eastAsia="宋体" w:hint="default"/>
                            <w:spacing w:val="-2"/>
                            <w:sz w:val="16"/>
                            <w:szCs w:val="16"/>
                          </w:rPr>
                          <w:t>9,896,869.76</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9"/>
                          <w:jc w:val="right"/>
                          <w:rPr>
                            <w:rFonts w:ascii="宋体" w:hAnsi="宋体" w:cs="宋体" w:eastAsia="宋体" w:hint="default"/>
                            <w:sz w:val="16"/>
                            <w:szCs w:val="16"/>
                          </w:rPr>
                        </w:pPr>
                        <w:r>
                          <w:rPr>
                            <w:rFonts w:ascii="宋体"/>
                            <w:spacing w:val="-1"/>
                            <w:sz w:val="16"/>
                          </w:rPr>
                          <w:t>0.00</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16"/>
                            <w:szCs w:val="16"/>
                          </w:rPr>
                        </w:pPr>
                        <w:r>
                          <w:rPr>
                            <w:rFonts w:ascii="宋体"/>
                            <w:spacing w:val="-2"/>
                            <w:sz w:val="16"/>
                          </w:rPr>
                          <w:t>11,637.16</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宋体" w:hAnsi="宋体" w:cs="宋体" w:eastAsia="宋体" w:hint="default"/>
                            <w:sz w:val="16"/>
                            <w:szCs w:val="16"/>
                          </w:rPr>
                        </w:pPr>
                        <w:r>
                          <w:rPr>
                            <w:rFonts w:ascii="宋体"/>
                            <w:spacing w:val="-1"/>
                            <w:sz w:val="16"/>
                          </w:rPr>
                          <w:t>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9"/>
                          <w:jc w:val="right"/>
                          <w:rPr>
                            <w:rFonts w:ascii="宋体" w:hAnsi="宋体" w:cs="宋体" w:eastAsia="宋体" w:hint="default"/>
                            <w:sz w:val="16"/>
                            <w:szCs w:val="16"/>
                          </w:rPr>
                        </w:pPr>
                        <w:r>
                          <w:rPr>
                            <w:rFonts w:ascii="宋体"/>
                            <w:spacing w:val="-1"/>
                            <w:sz w:val="16"/>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4"/>
                          <w:jc w:val="right"/>
                          <w:rPr>
                            <w:rFonts w:ascii="宋体" w:hAnsi="宋体" w:cs="宋体" w:eastAsia="宋体" w:hint="default"/>
                            <w:sz w:val="16"/>
                            <w:szCs w:val="16"/>
                          </w:rPr>
                        </w:pPr>
                        <w:r>
                          <w:rPr>
                            <w:rFonts w:ascii="宋体"/>
                            <w:spacing w:val="-2"/>
                            <w:sz w:val="16"/>
                          </w:rPr>
                          <w:t>9,908,506.92</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89" w:hRule="exact"/>
                    </w:trPr>
                    <w:tc>
                      <w:tcPr>
                        <w:tcW w:w="4622" w:type="dxa"/>
                        <w:gridSpan w:val="2"/>
                        <w:tcBorders>
                          <w:top w:val="nil" w:sz="6" w:space="0" w:color="auto"/>
                          <w:left w:val="nil" w:sz="6" w:space="0" w:color="auto"/>
                          <w:bottom w:val="nil" w:sz="6" w:space="0" w:color="auto"/>
                          <w:right w:val="nil" w:sz="6" w:space="0" w:color="auto"/>
                        </w:tcBorders>
                      </w:tcPr>
                      <w:p>
                        <w:pPr>
                          <w:pStyle w:val="TableParagraph"/>
                          <w:tabs>
                            <w:tab w:pos="4085" w:val="left" w:leader="none"/>
                          </w:tabs>
                          <w:spacing w:line="240" w:lineRule="auto" w:before="16"/>
                          <w:ind w:left="19" w:right="0"/>
                          <w:jc w:val="left"/>
                          <w:rPr>
                            <w:rFonts w:ascii="宋体" w:hAnsi="宋体" w:cs="宋体" w:eastAsia="宋体" w:hint="default"/>
                            <w:sz w:val="16"/>
                            <w:szCs w:val="16"/>
                          </w:rPr>
                        </w:pPr>
                        <w:r>
                          <w:rPr>
                            <w:rFonts w:ascii="宋体" w:hAnsi="宋体" w:cs="宋体" w:eastAsia="宋体" w:hint="default"/>
                            <w:spacing w:val="-1"/>
                            <w:sz w:val="16"/>
                            <w:szCs w:val="16"/>
                          </w:rPr>
                          <w:t>上海魁马科技有限公司</w:t>
                        </w:r>
                        <w:r>
                          <w:rPr>
                            <w:rFonts w:ascii="宋体" w:hAnsi="宋体" w:cs="宋体" w:eastAsia="宋体" w:hint="default"/>
                            <w:spacing w:val="-1"/>
                            <w:sz w:val="16"/>
                            <w:szCs w:val="16"/>
                          </w:rPr>
                          <w:tab/>
                          <w:t>0.00</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9"/>
                          <w:jc w:val="right"/>
                          <w:rPr>
                            <w:rFonts w:ascii="宋体" w:hAnsi="宋体" w:cs="宋体" w:eastAsia="宋体" w:hint="default"/>
                            <w:sz w:val="16"/>
                            <w:szCs w:val="16"/>
                          </w:rPr>
                        </w:pPr>
                        <w:r>
                          <w:rPr>
                            <w:rFonts w:ascii="宋体"/>
                            <w:spacing w:val="-2"/>
                            <w:sz w:val="16"/>
                          </w:rPr>
                          <w:t>9,000,000.00</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16"/>
                            <w:szCs w:val="16"/>
                          </w:rPr>
                        </w:pPr>
                        <w:r>
                          <w:rPr>
                            <w:rFonts w:ascii="宋体"/>
                            <w:spacing w:val="-1"/>
                            <w:sz w:val="16"/>
                          </w:rPr>
                          <w:t>-372,613.61</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宋体" w:hAnsi="宋体" w:cs="宋体" w:eastAsia="宋体" w:hint="default"/>
                            <w:sz w:val="16"/>
                            <w:szCs w:val="16"/>
                          </w:rPr>
                        </w:pPr>
                        <w:r>
                          <w:rPr>
                            <w:rFonts w:ascii="宋体"/>
                            <w:spacing w:val="-1"/>
                            <w:sz w:val="16"/>
                          </w:rPr>
                          <w:t>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9"/>
                          <w:jc w:val="right"/>
                          <w:rPr>
                            <w:rFonts w:ascii="宋体" w:hAnsi="宋体" w:cs="宋体" w:eastAsia="宋体" w:hint="default"/>
                            <w:sz w:val="16"/>
                            <w:szCs w:val="16"/>
                          </w:rPr>
                        </w:pPr>
                        <w:r>
                          <w:rPr>
                            <w:rFonts w:ascii="宋体"/>
                            <w:spacing w:val="-1"/>
                            <w:sz w:val="16"/>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4"/>
                          <w:jc w:val="right"/>
                          <w:rPr>
                            <w:rFonts w:ascii="宋体" w:hAnsi="宋体" w:cs="宋体" w:eastAsia="宋体" w:hint="default"/>
                            <w:sz w:val="16"/>
                            <w:szCs w:val="16"/>
                          </w:rPr>
                        </w:pPr>
                        <w:r>
                          <w:rPr>
                            <w:rFonts w:ascii="宋体"/>
                            <w:spacing w:val="-2"/>
                            <w:sz w:val="16"/>
                          </w:rPr>
                          <w:t>8,627,386.39</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89" w:hRule="exact"/>
                    </w:trPr>
                    <w:tc>
                      <w:tcPr>
                        <w:tcW w:w="4622" w:type="dxa"/>
                        <w:gridSpan w:val="2"/>
                        <w:tcBorders>
                          <w:top w:val="nil" w:sz="6" w:space="0" w:color="auto"/>
                          <w:left w:val="nil" w:sz="6" w:space="0" w:color="auto"/>
                          <w:bottom w:val="nil" w:sz="6" w:space="0" w:color="auto"/>
                          <w:right w:val="nil" w:sz="6" w:space="0" w:color="auto"/>
                        </w:tcBorders>
                      </w:tcPr>
                      <w:p>
                        <w:pPr>
                          <w:pStyle w:val="TableParagraph"/>
                          <w:tabs>
                            <w:tab w:pos="3444" w:val="left" w:leader="none"/>
                          </w:tabs>
                          <w:spacing w:line="240" w:lineRule="auto" w:before="15"/>
                          <w:ind w:left="19" w:right="0"/>
                          <w:jc w:val="left"/>
                          <w:rPr>
                            <w:rFonts w:ascii="宋体" w:hAnsi="宋体" w:cs="宋体" w:eastAsia="宋体" w:hint="default"/>
                            <w:sz w:val="16"/>
                            <w:szCs w:val="16"/>
                          </w:rPr>
                        </w:pPr>
                        <w:r>
                          <w:rPr>
                            <w:rFonts w:ascii="宋体" w:hAnsi="宋体" w:cs="宋体" w:eastAsia="宋体" w:hint="default"/>
                            <w:spacing w:val="-1"/>
                            <w:sz w:val="16"/>
                            <w:szCs w:val="16"/>
                          </w:rPr>
                          <w:t>沐华清诚（北京）教育科技发展有限公司</w:t>
                          <w:tab/>
                        </w:r>
                        <w:r>
                          <w:rPr>
                            <w:rFonts w:ascii="宋体" w:hAnsi="宋体" w:cs="宋体" w:eastAsia="宋体" w:hint="default"/>
                            <w:spacing w:val="-2"/>
                            <w:sz w:val="16"/>
                            <w:szCs w:val="16"/>
                          </w:rPr>
                          <w:t>8,988,221.95</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9"/>
                          <w:jc w:val="right"/>
                          <w:rPr>
                            <w:rFonts w:ascii="宋体" w:hAnsi="宋体" w:cs="宋体" w:eastAsia="宋体" w:hint="default"/>
                            <w:sz w:val="16"/>
                            <w:szCs w:val="16"/>
                          </w:rPr>
                        </w:pPr>
                        <w:r>
                          <w:rPr>
                            <w:rFonts w:ascii="宋体"/>
                            <w:spacing w:val="-1"/>
                            <w:sz w:val="16"/>
                          </w:rPr>
                          <w:t>0.00</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6"/>
                          <w:jc w:val="right"/>
                          <w:rPr>
                            <w:rFonts w:ascii="宋体" w:hAnsi="宋体" w:cs="宋体" w:eastAsia="宋体" w:hint="default"/>
                            <w:sz w:val="16"/>
                            <w:szCs w:val="16"/>
                          </w:rPr>
                        </w:pPr>
                        <w:r>
                          <w:rPr>
                            <w:rFonts w:ascii="宋体"/>
                            <w:spacing w:val="-1"/>
                            <w:sz w:val="16"/>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1"/>
                          <w:jc w:val="right"/>
                          <w:rPr>
                            <w:rFonts w:ascii="宋体" w:hAnsi="宋体" w:cs="宋体" w:eastAsia="宋体" w:hint="default"/>
                            <w:sz w:val="16"/>
                            <w:szCs w:val="16"/>
                          </w:rPr>
                        </w:pPr>
                        <w:r>
                          <w:rPr>
                            <w:rFonts w:ascii="宋体"/>
                            <w:spacing w:val="-1"/>
                            <w:sz w:val="16"/>
                          </w:rPr>
                          <w:t>-570,361.74</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
                          <w:jc w:val="right"/>
                          <w:rPr>
                            <w:rFonts w:ascii="宋体" w:hAnsi="宋体" w:cs="宋体" w:eastAsia="宋体" w:hint="default"/>
                            <w:sz w:val="16"/>
                            <w:szCs w:val="16"/>
                          </w:rPr>
                        </w:pPr>
                        <w:r>
                          <w:rPr>
                            <w:rFonts w:ascii="宋体"/>
                            <w:spacing w:val="-1"/>
                            <w:sz w:val="16"/>
                          </w:rPr>
                          <w:t>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4"/>
                          <w:jc w:val="right"/>
                          <w:rPr>
                            <w:rFonts w:ascii="宋体" w:hAnsi="宋体" w:cs="宋体" w:eastAsia="宋体" w:hint="default"/>
                            <w:sz w:val="16"/>
                            <w:szCs w:val="16"/>
                          </w:rPr>
                        </w:pPr>
                        <w:r>
                          <w:rPr>
                            <w:rFonts w:ascii="宋体"/>
                            <w:spacing w:val="-1"/>
                            <w:sz w:val="16"/>
                          </w:rPr>
                          <w:t>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9"/>
                          <w:jc w:val="right"/>
                          <w:rPr>
                            <w:rFonts w:ascii="宋体" w:hAnsi="宋体" w:cs="宋体" w:eastAsia="宋体" w:hint="default"/>
                            <w:sz w:val="16"/>
                            <w:szCs w:val="16"/>
                          </w:rPr>
                        </w:pPr>
                        <w:r>
                          <w:rPr>
                            <w:rFonts w:ascii="宋体"/>
                            <w:spacing w:val="-1"/>
                            <w:sz w:val="16"/>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宋体" w:hAnsi="宋体" w:cs="宋体" w:eastAsia="宋体" w:hint="default"/>
                            <w:sz w:val="16"/>
                            <w:szCs w:val="16"/>
                          </w:rPr>
                        </w:pPr>
                        <w:r>
                          <w:rPr>
                            <w:rFonts w:ascii="宋体"/>
                            <w:spacing w:val="-2"/>
                            <w:sz w:val="16"/>
                          </w:rPr>
                          <w:t>8,417,860.21</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
                          <w:jc w:val="right"/>
                          <w:rPr>
                            <w:rFonts w:ascii="宋体" w:hAnsi="宋体" w:cs="宋体" w:eastAsia="宋体" w:hint="default"/>
                            <w:sz w:val="16"/>
                            <w:szCs w:val="16"/>
                          </w:rPr>
                        </w:pPr>
                        <w:r>
                          <w:rPr>
                            <w:rFonts w:ascii="宋体"/>
                            <w:spacing w:val="-1"/>
                            <w:sz w:val="16"/>
                          </w:rPr>
                          <w:t>0.00</w:t>
                        </w:r>
                      </w:p>
                    </w:tc>
                  </w:tr>
                  <w:tr>
                    <w:trPr>
                      <w:trHeight w:val="290" w:hRule="exact"/>
                    </w:trPr>
                    <w:tc>
                      <w:tcPr>
                        <w:tcW w:w="4622" w:type="dxa"/>
                        <w:gridSpan w:val="2"/>
                        <w:tcBorders>
                          <w:top w:val="nil" w:sz="6" w:space="0" w:color="auto"/>
                          <w:left w:val="nil" w:sz="6" w:space="0" w:color="auto"/>
                          <w:bottom w:val="nil" w:sz="6" w:space="0" w:color="auto"/>
                          <w:right w:val="nil" w:sz="6" w:space="0" w:color="auto"/>
                        </w:tcBorders>
                      </w:tcPr>
                      <w:p>
                        <w:pPr>
                          <w:pStyle w:val="TableParagraph"/>
                          <w:tabs>
                            <w:tab w:pos="3444" w:val="left" w:leader="none"/>
                          </w:tabs>
                          <w:spacing w:line="240" w:lineRule="auto" w:before="16"/>
                          <w:ind w:left="19" w:right="0"/>
                          <w:jc w:val="left"/>
                          <w:rPr>
                            <w:rFonts w:ascii="宋体" w:hAnsi="宋体" w:cs="宋体" w:eastAsia="宋体" w:hint="default"/>
                            <w:sz w:val="16"/>
                            <w:szCs w:val="16"/>
                          </w:rPr>
                        </w:pPr>
                        <w:r>
                          <w:rPr>
                            <w:rFonts w:ascii="宋体" w:hAnsi="宋体" w:cs="宋体" w:eastAsia="宋体" w:hint="default"/>
                            <w:spacing w:val="-1"/>
                            <w:sz w:val="16"/>
                            <w:szCs w:val="16"/>
                          </w:rPr>
                          <w:t>南阳广电同方数字电视有限责任公司</w:t>
                          <w:tab/>
                        </w:r>
                        <w:r>
                          <w:rPr>
                            <w:rFonts w:ascii="宋体" w:hAnsi="宋体" w:cs="宋体" w:eastAsia="宋体" w:hint="default"/>
                            <w:spacing w:val="-2"/>
                            <w:sz w:val="16"/>
                            <w:szCs w:val="16"/>
                          </w:rPr>
                          <w:t>8,081,230.12</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9"/>
                          <w:jc w:val="right"/>
                          <w:rPr>
                            <w:rFonts w:ascii="宋体" w:hAnsi="宋体" w:cs="宋体" w:eastAsia="宋体" w:hint="default"/>
                            <w:sz w:val="16"/>
                            <w:szCs w:val="16"/>
                          </w:rPr>
                        </w:pPr>
                        <w:r>
                          <w:rPr>
                            <w:rFonts w:ascii="宋体"/>
                            <w:spacing w:val="-1"/>
                            <w:sz w:val="16"/>
                          </w:rPr>
                          <w:t>0.00</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16"/>
                            <w:szCs w:val="16"/>
                          </w:rPr>
                        </w:pPr>
                        <w:r>
                          <w:rPr>
                            <w:rFonts w:ascii="宋体"/>
                            <w:spacing w:val="-2"/>
                            <w:sz w:val="16"/>
                          </w:rPr>
                          <w:t>45,982.75</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宋体" w:hAnsi="宋体" w:cs="宋体" w:eastAsia="宋体" w:hint="default"/>
                            <w:sz w:val="16"/>
                            <w:szCs w:val="16"/>
                          </w:rPr>
                        </w:pPr>
                        <w:r>
                          <w:rPr>
                            <w:rFonts w:ascii="宋体"/>
                            <w:spacing w:val="-1"/>
                            <w:sz w:val="16"/>
                          </w:rPr>
                          <w:t>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9"/>
                          <w:jc w:val="right"/>
                          <w:rPr>
                            <w:rFonts w:ascii="宋体" w:hAnsi="宋体" w:cs="宋体" w:eastAsia="宋体" w:hint="default"/>
                            <w:sz w:val="16"/>
                            <w:szCs w:val="16"/>
                          </w:rPr>
                        </w:pPr>
                        <w:r>
                          <w:rPr>
                            <w:rFonts w:ascii="宋体"/>
                            <w:spacing w:val="-1"/>
                            <w:sz w:val="16"/>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4"/>
                          <w:jc w:val="right"/>
                          <w:rPr>
                            <w:rFonts w:ascii="宋体" w:hAnsi="宋体" w:cs="宋体" w:eastAsia="宋体" w:hint="default"/>
                            <w:sz w:val="16"/>
                            <w:szCs w:val="16"/>
                          </w:rPr>
                        </w:pPr>
                        <w:r>
                          <w:rPr>
                            <w:rFonts w:ascii="宋体"/>
                            <w:spacing w:val="-2"/>
                            <w:sz w:val="16"/>
                          </w:rPr>
                          <w:t>8,127,212.87</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306" w:hRule="exact"/>
                    </w:trPr>
                    <w:tc>
                      <w:tcPr>
                        <w:tcW w:w="4622" w:type="dxa"/>
                        <w:gridSpan w:val="2"/>
                        <w:tcBorders>
                          <w:top w:val="nil" w:sz="6" w:space="0" w:color="auto"/>
                          <w:left w:val="nil" w:sz="6" w:space="0" w:color="auto"/>
                          <w:bottom w:val="nil" w:sz="6" w:space="0" w:color="auto"/>
                          <w:right w:val="nil" w:sz="6" w:space="0" w:color="auto"/>
                        </w:tcBorders>
                      </w:tcPr>
                      <w:p>
                        <w:pPr>
                          <w:pStyle w:val="TableParagraph"/>
                          <w:tabs>
                            <w:tab w:pos="3444" w:val="left" w:leader="none"/>
                          </w:tabs>
                          <w:spacing w:line="240" w:lineRule="auto" w:before="16"/>
                          <w:ind w:left="19" w:right="0"/>
                          <w:jc w:val="left"/>
                          <w:rPr>
                            <w:rFonts w:ascii="宋体" w:hAnsi="宋体" w:cs="宋体" w:eastAsia="宋体" w:hint="default"/>
                            <w:sz w:val="16"/>
                            <w:szCs w:val="16"/>
                          </w:rPr>
                        </w:pPr>
                        <w:r>
                          <w:rPr>
                            <w:rFonts w:ascii="宋体" w:hAnsi="宋体" w:cs="宋体" w:eastAsia="宋体" w:hint="default"/>
                            <w:spacing w:val="-1"/>
                            <w:sz w:val="16"/>
                            <w:szCs w:val="16"/>
                          </w:rPr>
                          <w:t>开封广电同方数字电视有限公司</w:t>
                          <w:tab/>
                        </w:r>
                        <w:r>
                          <w:rPr>
                            <w:rFonts w:ascii="宋体" w:hAnsi="宋体" w:cs="宋体" w:eastAsia="宋体" w:hint="default"/>
                            <w:spacing w:val="-2"/>
                            <w:sz w:val="16"/>
                            <w:szCs w:val="16"/>
                          </w:rPr>
                          <w:t>7,816,771.92</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9"/>
                          <w:jc w:val="right"/>
                          <w:rPr>
                            <w:rFonts w:ascii="宋体" w:hAnsi="宋体" w:cs="宋体" w:eastAsia="宋体" w:hint="default"/>
                            <w:sz w:val="16"/>
                            <w:szCs w:val="16"/>
                          </w:rPr>
                        </w:pPr>
                        <w:r>
                          <w:rPr>
                            <w:rFonts w:ascii="宋体"/>
                            <w:spacing w:val="-1"/>
                            <w:sz w:val="16"/>
                          </w:rPr>
                          <w:t>0.00</w:t>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宋体" w:hAnsi="宋体" w:cs="宋体" w:eastAsia="宋体" w:hint="default"/>
                            <w:sz w:val="16"/>
                            <w:szCs w:val="16"/>
                          </w:rPr>
                        </w:pPr>
                        <w:r>
                          <w:rPr>
                            <w:rFonts w:ascii="宋体"/>
                            <w:spacing w:val="-2"/>
                            <w:sz w:val="16"/>
                          </w:rPr>
                          <w:t>274,488.18</w:t>
                        </w:r>
                      </w:p>
                    </w:tc>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
                          <w:jc w:val="right"/>
                          <w:rPr>
                            <w:rFonts w:ascii="宋体" w:hAnsi="宋体" w:cs="宋体" w:eastAsia="宋体" w:hint="default"/>
                            <w:sz w:val="16"/>
                            <w:szCs w:val="16"/>
                          </w:rPr>
                        </w:pPr>
                        <w:r>
                          <w:rPr>
                            <w:rFonts w:ascii="宋体"/>
                            <w:spacing w:val="-1"/>
                            <w:sz w:val="16"/>
                          </w:rPr>
                          <w:t>0.00</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9"/>
                          <w:jc w:val="right"/>
                          <w:rPr>
                            <w:rFonts w:ascii="宋体" w:hAnsi="宋体" w:cs="宋体" w:eastAsia="宋体" w:hint="default"/>
                            <w:sz w:val="16"/>
                            <w:szCs w:val="16"/>
                          </w:rPr>
                        </w:pPr>
                        <w:r>
                          <w:rPr>
                            <w:rFonts w:ascii="宋体"/>
                            <w:spacing w:val="-1"/>
                            <w:sz w:val="16"/>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4"/>
                          <w:jc w:val="right"/>
                          <w:rPr>
                            <w:rFonts w:ascii="宋体" w:hAnsi="宋体" w:cs="宋体" w:eastAsia="宋体" w:hint="default"/>
                            <w:sz w:val="16"/>
                            <w:szCs w:val="16"/>
                          </w:rPr>
                        </w:pPr>
                        <w:r>
                          <w:rPr>
                            <w:rFonts w:ascii="宋体"/>
                            <w:spacing w:val="-2"/>
                            <w:sz w:val="16"/>
                          </w:rPr>
                          <w:t>8,091,260.10</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bl>
                <w:p>
                  <w:pPr/>
                </w:p>
              </w:txbxContent>
            </v:textbox>
            <w10:wrap type="none"/>
          </v:shape>
        </w:pict>
      </w:r>
      <w:r>
        <w:rPr>
          <w:rFonts w:ascii="宋体" w:hAnsi="宋体" w:cs="宋体" w:eastAsia="宋体" w:hint="default"/>
          <w:b/>
          <w:bCs/>
          <w:sz w:val="16"/>
          <w:szCs w:val="16"/>
        </w:rPr>
        <w:t>收益调整</w:t>
      </w:r>
      <w:r>
        <w:rPr>
          <w:rFonts w:ascii="宋体" w:hAnsi="宋体" w:cs="宋体" w:eastAsia="宋体" w:hint="default"/>
          <w:sz w:val="16"/>
          <w:szCs w:val="16"/>
        </w:rPr>
      </w:r>
    </w:p>
    <w:p>
      <w:pPr>
        <w:spacing w:line="240" w:lineRule="auto" w:before="9"/>
        <w:rPr>
          <w:rFonts w:ascii="宋体" w:hAnsi="宋体" w:cs="宋体" w:eastAsia="宋体" w:hint="default"/>
          <w:b/>
          <w:bCs/>
          <w:sz w:val="31"/>
          <w:szCs w:val="31"/>
        </w:rPr>
      </w:pPr>
      <w:r>
        <w:rPr/>
        <w:br w:type="column"/>
      </w:r>
      <w:r>
        <w:rPr>
          <w:rFonts w:ascii="宋体"/>
          <w:b/>
          <w:sz w:val="31"/>
        </w:rPr>
      </w:r>
    </w:p>
    <w:p>
      <w:pPr>
        <w:tabs>
          <w:tab w:pos="1563" w:val="left" w:leader="none"/>
          <w:tab w:pos="2782" w:val="left" w:leader="none"/>
        </w:tabs>
        <w:spacing w:before="0"/>
        <w:ind w:left="766" w:right="-19" w:firstLine="0"/>
        <w:jc w:val="left"/>
        <w:rPr>
          <w:rFonts w:ascii="宋体" w:hAnsi="宋体" w:cs="宋体" w:eastAsia="宋体" w:hint="default"/>
          <w:sz w:val="16"/>
          <w:szCs w:val="16"/>
        </w:rPr>
      </w:pPr>
      <w:r>
        <w:rPr>
          <w:rFonts w:ascii="宋体" w:hAnsi="宋体" w:cs="宋体" w:eastAsia="宋体" w:hint="default"/>
          <w:b/>
          <w:bCs/>
          <w:sz w:val="16"/>
          <w:szCs w:val="16"/>
        </w:rPr>
        <w:t>动</w:t>
        <w:tab/>
        <w:t>股利或利润</w:t>
        <w:tab/>
      </w:r>
      <w:r>
        <w:rPr>
          <w:rFonts w:ascii="宋体" w:hAnsi="宋体" w:cs="宋体" w:eastAsia="宋体" w:hint="default"/>
          <w:b/>
          <w:bCs/>
          <w:position w:val="10"/>
          <w:sz w:val="16"/>
          <w:szCs w:val="16"/>
        </w:rPr>
        <w:t>其他</w:t>
      </w:r>
      <w:r>
        <w:rPr>
          <w:rFonts w:ascii="宋体" w:hAnsi="宋体" w:cs="宋体" w:eastAsia="宋体" w:hint="default"/>
          <w:sz w:val="16"/>
          <w:szCs w:val="16"/>
        </w:rPr>
      </w:r>
    </w:p>
    <w:p>
      <w:pPr>
        <w:tabs>
          <w:tab w:pos="1726" w:val="left" w:leader="none"/>
        </w:tabs>
        <w:spacing w:before="140"/>
        <w:ind w:left="588" w:right="0" w:firstLine="0"/>
        <w:jc w:val="left"/>
        <w:rPr>
          <w:rFonts w:ascii="宋体" w:hAnsi="宋体" w:cs="宋体" w:eastAsia="宋体" w:hint="default"/>
          <w:sz w:val="16"/>
          <w:szCs w:val="16"/>
        </w:rPr>
      </w:pPr>
      <w:r>
        <w:rPr/>
        <w:br w:type="column"/>
      </w:r>
      <w:r>
        <w:rPr>
          <w:rFonts w:ascii="宋体" w:hAnsi="宋体" w:cs="宋体" w:eastAsia="宋体" w:hint="default"/>
          <w:b/>
          <w:bCs/>
          <w:position w:val="-10"/>
          <w:sz w:val="16"/>
          <w:szCs w:val="16"/>
        </w:rPr>
        <w:t>年末余额</w:t>
        <w:tab/>
      </w:r>
      <w:r>
        <w:rPr>
          <w:rFonts w:ascii="宋体" w:hAnsi="宋体" w:cs="宋体" w:eastAsia="宋体" w:hint="default"/>
          <w:b/>
          <w:bCs/>
          <w:sz w:val="16"/>
          <w:szCs w:val="16"/>
        </w:rPr>
        <w:t>减值准备年末</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6840" w:h="11910" w:orient="landscape"/>
          <w:pgMar w:top="1000" w:bottom="280" w:left="680" w:right="700"/>
          <w:cols w:num="5" w:equalWidth="0">
            <w:col w:w="4248" w:space="1781"/>
            <w:col w:w="1947" w:space="40"/>
            <w:col w:w="1324" w:space="40"/>
            <w:col w:w="3105" w:space="40"/>
            <w:col w:w="2935"/>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p>
      <w:pPr>
        <w:spacing w:line="28" w:lineRule="exact"/>
        <w:ind w:left="109" w:right="0" w:firstLine="0"/>
        <w:rPr>
          <w:rFonts w:ascii="宋体" w:hAnsi="宋体" w:cs="宋体" w:eastAsia="宋体" w:hint="default"/>
          <w:sz w:val="2"/>
          <w:szCs w:val="2"/>
        </w:rPr>
      </w:pPr>
      <w:r>
        <w:rPr>
          <w:rFonts w:ascii="宋体" w:hAnsi="宋体" w:cs="宋体" w:eastAsia="宋体" w:hint="default"/>
          <w:position w:val="0"/>
          <w:sz w:val="2"/>
          <w:szCs w:val="2"/>
        </w:rPr>
        <w:pict>
          <v:group style="width:762pt;height:1.45pt;mso-position-horizontal-relative:char;mso-position-vertical-relative:line" coordorigin="0,0" coordsize="15240,29">
            <v:group style="position:absolute;left:14;top:14;width:3147;height:2" coordorigin="14,14" coordsize="3147,2">
              <v:shape style="position:absolute;left:14;top:14;width:3147;height:2" coordorigin="14,14" coordsize="3147,0" path="m14,14l3161,14e" filled="false" stroked="true" strokeweight="1.44pt" strokecolor="#000000">
                <v:path arrowok="t"/>
              </v:shape>
            </v:group>
            <v:group style="position:absolute;left:3147;top:14;width:29;height:2" coordorigin="3147,14" coordsize="29,2">
              <v:shape style="position:absolute;left:3147;top:14;width:29;height:2" coordorigin="3147,14" coordsize="29,0" path="m3147,14l3176,14e" filled="false" stroked="true" strokeweight="1.44pt" strokecolor="#000000">
                <v:path arrowok="t"/>
              </v:shape>
            </v:group>
            <v:group style="position:absolute;left:3176;top:14;width:1296;height:2" coordorigin="3176,14" coordsize="1296,2">
              <v:shape style="position:absolute;left:3176;top:14;width:1296;height:2" coordorigin="3176,14" coordsize="1296,0" path="m3176,14l4472,14e" filled="false" stroked="true" strokeweight="1.44pt" strokecolor="#000000">
                <v:path arrowok="t"/>
              </v:shape>
            </v:group>
            <v:group style="position:absolute;left:4457;top:14;width:29;height:2" coordorigin="4457,14" coordsize="29,2">
              <v:shape style="position:absolute;left:4457;top:14;width:29;height:2" coordorigin="4457,14" coordsize="29,0" path="m4457,14l4486,14e" filled="false" stroked="true" strokeweight="1.44pt" strokecolor="#000000">
                <v:path arrowok="t"/>
              </v:shape>
            </v:group>
            <v:group style="position:absolute;left:4486;top:14;width:1458;height:2" coordorigin="4486,14" coordsize="1458,2">
              <v:shape style="position:absolute;left:4486;top:14;width:1458;height:2" coordorigin="4486,14" coordsize="1458,0" path="m4486,14l5943,14e" filled="false" stroked="true" strokeweight="1.44pt" strokecolor="#000000">
                <v:path arrowok="t"/>
              </v:shape>
            </v:group>
            <v:group style="position:absolute;left:5929;top:14;width:29;height:2" coordorigin="5929,14" coordsize="29,2">
              <v:shape style="position:absolute;left:5929;top:14;width:29;height:2" coordorigin="5929,14" coordsize="29,0" path="m5929,14l5958,14e" filled="false" stroked="true" strokeweight="1.44pt" strokecolor="#000000">
                <v:path arrowok="t"/>
              </v:shape>
            </v:group>
            <v:group style="position:absolute;left:5958;top:14;width:888;height:2" coordorigin="5958,14" coordsize="888,2">
              <v:shape style="position:absolute;left:5958;top:14;width:888;height:2" coordorigin="5958,14" coordsize="888,0" path="m5958,14l6846,14e" filled="false" stroked="true" strokeweight="1.44pt" strokecolor="#000000">
                <v:path arrowok="t"/>
              </v:shape>
            </v:group>
            <v:group style="position:absolute;left:6831;top:14;width:29;height:2" coordorigin="6831,14" coordsize="29,2">
              <v:shape style="position:absolute;left:6831;top:14;width:29;height:2" coordorigin="6831,14" coordsize="29,0" path="m6831,14l6860,14e" filled="false" stroked="true" strokeweight="1.44pt" strokecolor="#000000">
                <v:path arrowok="t"/>
              </v:shape>
            </v:group>
            <v:group style="position:absolute;left:6860;top:14;width:1383;height:2" coordorigin="6860,14" coordsize="1383,2">
              <v:shape style="position:absolute;left:6860;top:14;width:1383;height:2" coordorigin="6860,14" coordsize="1383,0" path="m6860,14l8243,14e" filled="false" stroked="true" strokeweight="1.44pt" strokecolor="#000000">
                <v:path arrowok="t"/>
              </v:shape>
            </v:group>
            <v:group style="position:absolute;left:8228;top:14;width:29;height:2" coordorigin="8228,14" coordsize="29,2">
              <v:shape style="position:absolute;left:8228;top:14;width:29;height:2" coordorigin="8228,14" coordsize="29,0" path="m8228,14l8257,14e" filled="false" stroked="true" strokeweight="1.44pt" strokecolor="#000000">
                <v:path arrowok="t"/>
              </v:shape>
            </v:group>
            <v:group style="position:absolute;left:8257;top:14;width:1311;height:2" coordorigin="8257,14" coordsize="1311,2">
              <v:shape style="position:absolute;left:8257;top:14;width:1311;height:2" coordorigin="8257,14" coordsize="1311,0" path="m8257,14l9568,14e" filled="false" stroked="true" strokeweight="1.44pt" strokecolor="#000000">
                <v:path arrowok="t"/>
              </v:shape>
            </v:group>
            <v:group style="position:absolute;left:9553;top:14;width:29;height:2" coordorigin="9553,14" coordsize="29,2">
              <v:shape style="position:absolute;left:9553;top:14;width:29;height:2" coordorigin="9553,14" coordsize="29,0" path="m9553,14l9582,14e" filled="false" stroked="true" strokeweight="1.44pt" strokecolor="#000000">
                <v:path arrowok="t"/>
              </v:shape>
            </v:group>
            <v:group style="position:absolute;left:9582;top:14;width:1080;height:2" coordorigin="9582,14" coordsize="1080,2">
              <v:shape style="position:absolute;left:9582;top:14;width:1080;height:2" coordorigin="9582,14" coordsize="1080,0" path="m9582,14l10662,14e" filled="false" stroked="true" strokeweight="1.44pt" strokecolor="#000000">
                <v:path arrowok="t"/>
              </v:shape>
            </v:group>
            <v:group style="position:absolute;left:10648;top:14;width:29;height:2" coordorigin="10648,14" coordsize="29,2">
              <v:shape style="position:absolute;left:10648;top:14;width:29;height:2" coordorigin="10648,14" coordsize="29,0" path="m10648,14l10677,14e" filled="false" stroked="true" strokeweight="1.44pt" strokecolor="#000000">
                <v:path arrowok="t"/>
              </v:shape>
            </v:group>
            <v:group style="position:absolute;left:10677;top:14;width:1121;height:2" coordorigin="10677,14" coordsize="1121,2">
              <v:shape style="position:absolute;left:10677;top:14;width:1121;height:2" coordorigin="10677,14" coordsize="1121,0" path="m10677,14l11797,14e" filled="false" stroked="true" strokeweight="1.44pt" strokecolor="#000000">
                <v:path arrowok="t"/>
              </v:shape>
            </v:group>
            <v:group style="position:absolute;left:11783;top:14;width:29;height:2" coordorigin="11783,14" coordsize="29,2">
              <v:shape style="position:absolute;left:11783;top:14;width:29;height:2" coordorigin="11783,14" coordsize="29,0" path="m11783,14l11812,14e" filled="false" stroked="true" strokeweight="1.44pt" strokecolor="#000000">
                <v:path arrowok="t"/>
              </v:shape>
            </v:group>
            <v:group style="position:absolute;left:11812;top:14;width:819;height:2" coordorigin="11812,14" coordsize="819,2">
              <v:shape style="position:absolute;left:11812;top:14;width:819;height:2" coordorigin="11812,14" coordsize="819,0" path="m11812,14l12631,14e" filled="false" stroked="true" strokeweight="1.44pt" strokecolor="#000000">
                <v:path arrowok="t"/>
              </v:shape>
            </v:group>
            <v:group style="position:absolute;left:12616;top:14;width:29;height:2" coordorigin="12616,14" coordsize="29,2">
              <v:shape style="position:absolute;left:12616;top:14;width:29;height:2" coordorigin="12616,14" coordsize="29,0" path="m12616,14l12645,14e" filled="false" stroked="true" strokeweight="1.44pt" strokecolor="#000000">
                <v:path arrowok="t"/>
              </v:shape>
            </v:group>
            <v:group style="position:absolute;left:12645;top:14;width:1371;height:2" coordorigin="12645,14" coordsize="1371,2">
              <v:shape style="position:absolute;left:12645;top:14;width:1371;height:2" coordorigin="12645,14" coordsize="1371,0" path="m12645,14l14016,14e" filled="false" stroked="true" strokeweight="1.44pt" strokecolor="#000000">
                <v:path arrowok="t"/>
              </v:shape>
            </v:group>
            <v:group style="position:absolute;left:14001;top:14;width:29;height:2" coordorigin="14001,14" coordsize="29,2">
              <v:shape style="position:absolute;left:14001;top:14;width:29;height:2" coordorigin="14001,14" coordsize="29,0" path="m14001,14l14030,14e" filled="false" stroked="true" strokeweight="1.44pt" strokecolor="#000000">
                <v:path arrowok="t"/>
              </v:shape>
            </v:group>
            <v:group style="position:absolute;left:14030;top:14;width:1196;height:2" coordorigin="14030,14" coordsize="1196,2">
              <v:shape style="position:absolute;left:14030;top:14;width:1196;height:2" coordorigin="14030,14" coordsize="1196,0" path="m14030,14l15225,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type w:val="continuous"/>
          <w:pgSz w:w="16840" w:h="11910" w:orient="landscape"/>
          <w:pgMar w:top="1000" w:bottom="280" w:left="680" w:right="70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spacing w:line="28" w:lineRule="exact"/>
        <w:ind w:left="104" w:right="0" w:firstLine="0"/>
        <w:rPr>
          <w:rFonts w:ascii="宋体" w:hAnsi="宋体" w:cs="宋体" w:eastAsia="宋体" w:hint="default"/>
          <w:sz w:val="2"/>
          <w:szCs w:val="2"/>
        </w:rPr>
      </w:pPr>
      <w:r>
        <w:rPr>
          <w:rFonts w:ascii="宋体" w:hAnsi="宋体" w:cs="宋体" w:eastAsia="宋体" w:hint="default"/>
          <w:position w:val="0"/>
          <w:sz w:val="2"/>
          <w:szCs w:val="2"/>
        </w:rPr>
        <w:pict>
          <v:group style="width:761.3pt;height:1.45pt;mso-position-horizontal-relative:char;mso-position-vertical-relative:line" coordorigin="0,0" coordsize="15226,29">
            <v:group style="position:absolute;left:14;top:14;width:3133;height:2" coordorigin="14,14" coordsize="3133,2">
              <v:shape style="position:absolute;left:14;top:14;width:3133;height:2" coordorigin="14,14" coordsize="3133,0" path="m14,14l3147,14e" filled="false" stroked="true" strokeweight="1.44pt" strokecolor="#000000">
                <v:path arrowok="t"/>
              </v:shape>
            </v:group>
            <v:group style="position:absolute;left:3147;top:14;width:29;height:2" coordorigin="3147,14" coordsize="29,2">
              <v:shape style="position:absolute;left:3147;top:14;width:29;height:2" coordorigin="3147,14" coordsize="29,0" path="m3147,14l3176,14e" filled="false" stroked="true" strokeweight="1.44pt" strokecolor="#000000">
                <v:path arrowok="t"/>
              </v:shape>
            </v:group>
            <v:group style="position:absolute;left:3176;top:14;width:1282;height:2" coordorigin="3176,14" coordsize="1282,2">
              <v:shape style="position:absolute;left:3176;top:14;width:1282;height:2" coordorigin="3176,14" coordsize="1282,0" path="m3176,14l4457,14e" filled="false" stroked="true" strokeweight="1.44pt" strokecolor="#000000">
                <v:path arrowok="t"/>
              </v:shape>
            </v:group>
            <v:group style="position:absolute;left:4457;top:14;width:29;height:2" coordorigin="4457,14" coordsize="29,2">
              <v:shape style="position:absolute;left:4457;top:14;width:29;height:2" coordorigin="4457,14" coordsize="29,0" path="m4457,14l4486,14e" filled="false" stroked="true" strokeweight="1.44pt" strokecolor="#000000">
                <v:path arrowok="t"/>
              </v:shape>
            </v:group>
            <v:group style="position:absolute;left:4486;top:14;width:8131;height:2" coordorigin="4486,14" coordsize="8131,2">
              <v:shape style="position:absolute;left:4486;top:14;width:8131;height:2" coordorigin="4486,14" coordsize="8131,0" path="m4486,14l12616,14e" filled="false" stroked="true" strokeweight="1.44pt" strokecolor="#000000">
                <v:path arrowok="t"/>
              </v:shape>
            </v:group>
            <v:group style="position:absolute;left:12616;top:14;width:29;height:2" coordorigin="12616,14" coordsize="29,2">
              <v:shape style="position:absolute;left:12616;top:14;width:29;height:2" coordorigin="12616,14" coordsize="29,0" path="m12616,14l12645,14e" filled="false" stroked="true" strokeweight="1.44pt" strokecolor="#000000">
                <v:path arrowok="t"/>
              </v:shape>
            </v:group>
            <v:group style="position:absolute;left:12645;top:14;width:1356;height:2" coordorigin="12645,14" coordsize="1356,2">
              <v:shape style="position:absolute;left:12645;top:14;width:1356;height:2" coordorigin="12645,14" coordsize="1356,0" path="m12645,14l14001,14e" filled="false" stroked="true" strokeweight="1.44pt" strokecolor="#000000">
                <v:path arrowok="t"/>
              </v:shape>
            </v:group>
            <v:group style="position:absolute;left:14001;top:14;width:29;height:2" coordorigin="14001,14" coordsize="29,2">
              <v:shape style="position:absolute;left:14001;top:14;width:29;height:2" coordorigin="14001,14" coordsize="29,0" path="m14001,14l14030,14e" filled="false" stroked="true" strokeweight="1.44pt" strokecolor="#000000">
                <v:path arrowok="t"/>
              </v:shape>
            </v:group>
            <v:group style="position:absolute;left:14030;top:14;width:1181;height:2" coordorigin="14030,14" coordsize="1181,2">
              <v:shape style="position:absolute;left:14030;top:14;width:1181;height:2" coordorigin="14030,14" coordsize="1181,0" path="m14030,14l15211,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6840" w:h="11910" w:orient="landscape"/>
          <w:pgMar w:header="0" w:footer="1053" w:top="1100" w:bottom="1240" w:left="700" w:right="700"/>
        </w:sectPr>
      </w:pPr>
    </w:p>
    <w:p>
      <w:pPr>
        <w:spacing w:line="240" w:lineRule="auto" w:before="10"/>
        <w:rPr>
          <w:rFonts w:ascii="宋体" w:hAnsi="宋体" w:cs="宋体" w:eastAsia="宋体" w:hint="default"/>
          <w:b/>
          <w:bCs/>
          <w:sz w:val="18"/>
          <w:szCs w:val="18"/>
        </w:rPr>
      </w:pPr>
    </w:p>
    <w:p>
      <w:pPr>
        <w:tabs>
          <w:tab w:pos="3584" w:val="left" w:leader="none"/>
        </w:tabs>
        <w:spacing w:line="111" w:lineRule="exact" w:before="0"/>
        <w:ind w:left="1282" w:right="-19" w:firstLine="0"/>
        <w:jc w:val="left"/>
        <w:rPr>
          <w:rFonts w:ascii="宋体" w:hAnsi="宋体" w:cs="宋体" w:eastAsia="宋体" w:hint="default"/>
          <w:sz w:val="16"/>
          <w:szCs w:val="16"/>
        </w:rPr>
      </w:pPr>
      <w:r>
        <w:rPr/>
        <w:pict>
          <v:group style="position:absolute;margin-left:262.820007pt;margin-top:3.823738pt;width:408.45pt;height:.5pt;mso-position-horizontal-relative:page;mso-position-vertical-relative:paragraph;z-index:4000" coordorigin="5256,76" coordsize="8169,10">
            <v:group style="position:absolute;left:5261;top:81;width:1472;height:2" coordorigin="5261,81" coordsize="1472,2">
              <v:shape style="position:absolute;left:5261;top:81;width:1472;height:2" coordorigin="5261,81" coordsize="1472,0" path="m5261,81l6733,81e" filled="false" stroked="true" strokeweight=".48pt" strokecolor="#000000">
                <v:path arrowok="t"/>
              </v:shape>
            </v:group>
            <v:group style="position:absolute;left:6733;top:81;width:10;height:2" coordorigin="6733,81" coordsize="10,2">
              <v:shape style="position:absolute;left:6733;top:81;width:10;height:2" coordorigin="6733,81" coordsize="10,0" path="m6733,81l6743,81e" filled="false" stroked="true" strokeweight=".48pt" strokecolor="#000000">
                <v:path arrowok="t"/>
              </v:shape>
            </v:group>
            <v:group style="position:absolute;left:6743;top:81;width:893;height:2" coordorigin="6743,81" coordsize="893,2">
              <v:shape style="position:absolute;left:6743;top:81;width:893;height:2" coordorigin="6743,81" coordsize="893,0" path="m6743,81l7635,81e" filled="false" stroked="true" strokeweight=".48pt" strokecolor="#000000">
                <v:path arrowok="t"/>
              </v:shape>
            </v:group>
            <v:group style="position:absolute;left:7635;top:81;width:10;height:2" coordorigin="7635,81" coordsize="10,2">
              <v:shape style="position:absolute;left:7635;top:81;width:10;height:2" coordorigin="7635,81" coordsize="10,0" path="m7635,81l7645,81e" filled="false" stroked="true" strokeweight=".48pt" strokecolor="#000000">
                <v:path arrowok="t"/>
              </v:shape>
            </v:group>
            <v:group style="position:absolute;left:7645;top:81;width:1388;height:2" coordorigin="7645,81" coordsize="1388,2">
              <v:shape style="position:absolute;left:7645;top:81;width:1388;height:2" coordorigin="7645,81" coordsize="1388,0" path="m7645,81l9032,81e" filled="false" stroked="true" strokeweight=".48pt" strokecolor="#000000">
                <v:path arrowok="t"/>
              </v:shape>
            </v:group>
            <v:group style="position:absolute;left:9032;top:81;width:10;height:2" coordorigin="9032,81" coordsize="10,2">
              <v:shape style="position:absolute;left:9032;top:81;width:10;height:2" coordorigin="9032,81" coordsize="10,0" path="m9032,81l9042,81e" filled="false" stroked="true" strokeweight=".48pt" strokecolor="#000000">
                <v:path arrowok="t"/>
              </v:shape>
            </v:group>
            <v:group style="position:absolute;left:9042;top:81;width:1316;height:2" coordorigin="9042,81" coordsize="1316,2">
              <v:shape style="position:absolute;left:9042;top:81;width:1316;height:2" coordorigin="9042,81" coordsize="1316,0" path="m9042,81l10357,81e" filled="false" stroked="true" strokeweight=".48pt" strokecolor="#000000">
                <v:path arrowok="t"/>
              </v:shape>
            </v:group>
            <v:group style="position:absolute;left:10357;top:81;width:10;height:2" coordorigin="10357,81" coordsize="10,2">
              <v:shape style="position:absolute;left:10357;top:81;width:10;height:2" coordorigin="10357,81" coordsize="10,0" path="m10357,81l10367,81e" filled="false" stroked="true" strokeweight=".48pt" strokecolor="#000000">
                <v:path arrowok="t"/>
              </v:shape>
            </v:group>
            <v:group style="position:absolute;left:10367;top:81;width:1085;height:2" coordorigin="10367,81" coordsize="1085,2">
              <v:shape style="position:absolute;left:10367;top:81;width:1085;height:2" coordorigin="10367,81" coordsize="1085,0" path="m10367,81l11452,81e" filled="false" stroked="true" strokeweight=".48pt" strokecolor="#000000">
                <v:path arrowok="t"/>
              </v:shape>
            </v:group>
            <v:group style="position:absolute;left:11452;top:81;width:10;height:2" coordorigin="11452,81" coordsize="10,2">
              <v:shape style="position:absolute;left:11452;top:81;width:10;height:2" coordorigin="11452,81" coordsize="10,0" path="m11452,81l11461,81e" filled="false" stroked="true" strokeweight=".48pt" strokecolor="#000000">
                <v:path arrowok="t"/>
              </v:shape>
            </v:group>
            <v:group style="position:absolute;left:11461;top:81;width:1126;height:2" coordorigin="11461,81" coordsize="1126,2">
              <v:shape style="position:absolute;left:11461;top:81;width:1126;height:2" coordorigin="11461,81" coordsize="1126,0" path="m11461,81l12587,81e" filled="false" stroked="true" strokeweight=".48pt" strokecolor="#000000">
                <v:path arrowok="t"/>
              </v:shape>
            </v:group>
            <v:group style="position:absolute;left:12587;top:81;width:10;height:2" coordorigin="12587,81" coordsize="10,2">
              <v:shape style="position:absolute;left:12587;top:81;width:10;height:2" coordorigin="12587,81" coordsize="10,0" path="m12587,81l12597,81e" filled="false" stroked="true" strokeweight=".48pt" strokecolor="#000000">
                <v:path arrowok="t"/>
              </v:shape>
            </v:group>
            <v:group style="position:absolute;left:12597;top:81;width:824;height:2" coordorigin="12597,81" coordsize="824,2">
              <v:shape style="position:absolute;left:12597;top:81;width:824;height:2" coordorigin="12597,81" coordsize="824,0" path="m12597,81l13420,81e" filled="false" stroked="true" strokeweight=".48pt" strokecolor="#000000">
                <v:path arrowok="t"/>
              </v:shape>
            </v:group>
            <w10:wrap type="none"/>
          </v:group>
        </w:pict>
      </w:r>
      <w:r>
        <w:rPr>
          <w:rFonts w:ascii="宋体" w:hAnsi="宋体" w:cs="宋体" w:eastAsia="宋体" w:hint="default"/>
          <w:b/>
          <w:bCs/>
          <w:sz w:val="16"/>
          <w:szCs w:val="16"/>
        </w:rPr>
        <w:t>被投资单位</w:t>
        <w:tab/>
        <w:t>年初余额</w:t>
      </w:r>
      <w:r>
        <w:rPr>
          <w:rFonts w:ascii="宋体" w:hAnsi="宋体" w:cs="宋体" w:eastAsia="宋体" w:hint="default"/>
          <w:sz w:val="16"/>
          <w:szCs w:val="16"/>
        </w:rPr>
      </w:r>
    </w:p>
    <w:p>
      <w:pPr>
        <w:spacing w:before="32"/>
        <w:ind w:left="1282" w:right="-19" w:firstLine="0"/>
        <w:jc w:val="left"/>
        <w:rPr>
          <w:rFonts w:ascii="宋体" w:hAnsi="宋体" w:cs="宋体" w:eastAsia="宋体" w:hint="default"/>
          <w:sz w:val="16"/>
          <w:szCs w:val="16"/>
        </w:rPr>
      </w:pPr>
      <w:r>
        <w:rPr/>
        <w:br w:type="column"/>
      </w:r>
      <w:r>
        <w:rPr>
          <w:rFonts w:ascii="宋体" w:hAnsi="宋体" w:cs="宋体" w:eastAsia="宋体" w:hint="default"/>
          <w:b/>
          <w:bCs/>
          <w:sz w:val="16"/>
          <w:szCs w:val="16"/>
        </w:rPr>
        <w:t>本年增减变动</w:t>
      </w:r>
      <w:r>
        <w:rPr>
          <w:rFonts w:ascii="宋体" w:hAnsi="宋体" w:cs="宋体" w:eastAsia="宋体" w:hint="default"/>
          <w:sz w:val="16"/>
          <w:szCs w:val="16"/>
        </w:rPr>
      </w:r>
    </w:p>
    <w:p>
      <w:pPr>
        <w:tabs>
          <w:tab w:pos="2420" w:val="left" w:leader="none"/>
        </w:tabs>
        <w:spacing w:line="217" w:lineRule="exact" w:before="140"/>
        <w:ind w:left="1282" w:right="0" w:firstLine="0"/>
        <w:jc w:val="left"/>
        <w:rPr>
          <w:rFonts w:ascii="宋体" w:hAnsi="宋体" w:cs="宋体" w:eastAsia="宋体" w:hint="default"/>
          <w:sz w:val="16"/>
          <w:szCs w:val="16"/>
        </w:rPr>
      </w:pPr>
      <w:r>
        <w:rPr/>
        <w:br w:type="column"/>
      </w:r>
      <w:r>
        <w:rPr>
          <w:rFonts w:ascii="宋体" w:hAnsi="宋体" w:cs="宋体" w:eastAsia="宋体" w:hint="default"/>
          <w:b/>
          <w:bCs/>
          <w:position w:val="-10"/>
          <w:sz w:val="16"/>
          <w:szCs w:val="16"/>
        </w:rPr>
        <w:t>年末余额</w:t>
        <w:tab/>
      </w:r>
      <w:r>
        <w:rPr>
          <w:rFonts w:ascii="宋体" w:hAnsi="宋体" w:cs="宋体" w:eastAsia="宋体" w:hint="default"/>
          <w:b/>
          <w:bCs/>
          <w:sz w:val="16"/>
          <w:szCs w:val="16"/>
        </w:rPr>
        <w:t>减值准备年末</w:t>
      </w:r>
      <w:r>
        <w:rPr>
          <w:rFonts w:ascii="宋体" w:hAnsi="宋体" w:cs="宋体" w:eastAsia="宋体" w:hint="default"/>
          <w:sz w:val="16"/>
          <w:szCs w:val="16"/>
        </w:rPr>
      </w:r>
    </w:p>
    <w:p>
      <w:pPr>
        <w:spacing w:after="0" w:line="217" w:lineRule="exact"/>
        <w:jc w:val="left"/>
        <w:rPr>
          <w:rFonts w:ascii="宋体" w:hAnsi="宋体" w:cs="宋体" w:eastAsia="宋体" w:hint="default"/>
          <w:sz w:val="16"/>
          <w:szCs w:val="16"/>
        </w:rPr>
        <w:sectPr>
          <w:type w:val="continuous"/>
          <w:pgSz w:w="16840" w:h="11910" w:orient="landscape"/>
          <w:pgMar w:top="1000" w:bottom="280" w:left="700" w:right="700"/>
          <w:cols w:num="3" w:equalWidth="0">
            <w:col w:w="4228" w:space="2646"/>
            <w:col w:w="2248" w:space="2687"/>
            <w:col w:w="3631"/>
          </w:cols>
        </w:sectPr>
      </w:pPr>
    </w:p>
    <w:p>
      <w:pPr>
        <w:spacing w:line="161" w:lineRule="exact" w:before="0"/>
        <w:ind w:left="0" w:right="0" w:firstLine="0"/>
        <w:jc w:val="right"/>
        <w:rPr>
          <w:rFonts w:ascii="宋体" w:hAnsi="宋体" w:cs="宋体" w:eastAsia="宋体" w:hint="default"/>
          <w:sz w:val="16"/>
          <w:szCs w:val="16"/>
        </w:rPr>
      </w:pPr>
      <w:r>
        <w:rPr/>
        <w:pict>
          <v:shape style="position:absolute;margin-left:40.200001pt;margin-top:5.16pt;width:760.55pt;height:385.95pt;mso-position-horizontal-relative:page;mso-position-vertical-relative:paragraph;z-index:40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7"/>
                    <w:gridCol w:w="1489"/>
                    <w:gridCol w:w="1269"/>
                    <w:gridCol w:w="1030"/>
                    <w:gridCol w:w="1722"/>
                    <w:gridCol w:w="970"/>
                    <w:gridCol w:w="1033"/>
                    <w:gridCol w:w="1305"/>
                    <w:gridCol w:w="789"/>
                    <w:gridCol w:w="1298"/>
                    <w:gridCol w:w="1119"/>
                  </w:tblGrid>
                  <w:tr>
                    <w:trPr>
                      <w:trHeight w:val="294" w:hRule="exact"/>
                    </w:trPr>
                    <w:tc>
                      <w:tcPr>
                        <w:tcW w:w="4676" w:type="dxa"/>
                        <w:gridSpan w:val="2"/>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Style w:val="TableParagraph"/>
                          <w:spacing w:line="161" w:lineRule="exact"/>
                          <w:ind w:left="194" w:right="0"/>
                          <w:jc w:val="left"/>
                          <w:rPr>
                            <w:rFonts w:ascii="宋体" w:hAnsi="宋体" w:cs="宋体" w:eastAsia="宋体" w:hint="default"/>
                            <w:sz w:val="16"/>
                            <w:szCs w:val="16"/>
                          </w:rPr>
                        </w:pPr>
                        <w:r>
                          <w:rPr>
                            <w:rFonts w:ascii="宋体" w:hAnsi="宋体" w:cs="宋体" w:eastAsia="宋体" w:hint="default"/>
                            <w:b/>
                            <w:bCs/>
                            <w:sz w:val="16"/>
                            <w:szCs w:val="16"/>
                          </w:rPr>
                          <w:t>追加投资</w:t>
                        </w:r>
                        <w:r>
                          <w:rPr>
                            <w:rFonts w:ascii="宋体" w:hAnsi="宋体" w:cs="宋体" w:eastAsia="宋体" w:hint="default"/>
                            <w:sz w:val="16"/>
                            <w:szCs w:val="16"/>
                          </w:rPr>
                        </w:r>
                      </w:p>
                    </w:tc>
                    <w:tc>
                      <w:tcPr>
                        <w:tcW w:w="1030" w:type="dxa"/>
                        <w:tcBorders>
                          <w:top w:val="nil" w:sz="6" w:space="0" w:color="auto"/>
                          <w:left w:val="nil" w:sz="6" w:space="0" w:color="auto"/>
                          <w:bottom w:val="nil" w:sz="6" w:space="0" w:color="auto"/>
                          <w:right w:val="nil" w:sz="6" w:space="0" w:color="auto"/>
                        </w:tcBorders>
                      </w:tcPr>
                      <w:p>
                        <w:pPr>
                          <w:pStyle w:val="TableParagraph"/>
                          <w:spacing w:line="161" w:lineRule="exact"/>
                          <w:ind w:left="113" w:right="0"/>
                          <w:jc w:val="left"/>
                          <w:rPr>
                            <w:rFonts w:ascii="宋体" w:hAnsi="宋体" w:cs="宋体" w:eastAsia="宋体" w:hint="default"/>
                            <w:sz w:val="16"/>
                            <w:szCs w:val="16"/>
                          </w:rPr>
                        </w:pPr>
                        <w:r>
                          <w:rPr>
                            <w:rFonts w:ascii="宋体" w:hAnsi="宋体" w:cs="宋体" w:eastAsia="宋体" w:hint="default"/>
                            <w:b/>
                            <w:bCs/>
                            <w:sz w:val="16"/>
                            <w:szCs w:val="16"/>
                          </w:rPr>
                          <w:t>减少投资</w:t>
                        </w:r>
                        <w:r>
                          <w:rPr>
                            <w:rFonts w:ascii="宋体" w:hAnsi="宋体" w:cs="宋体" w:eastAsia="宋体" w:hint="default"/>
                            <w:sz w:val="16"/>
                            <w:szCs w:val="16"/>
                          </w:rPr>
                        </w:r>
                      </w:p>
                    </w:tc>
                    <w:tc>
                      <w:tcPr>
                        <w:tcW w:w="2692" w:type="dxa"/>
                        <w:gridSpan w:val="2"/>
                        <w:tcBorders>
                          <w:top w:val="nil" w:sz="6" w:space="0" w:color="auto"/>
                          <w:left w:val="nil" w:sz="6" w:space="0" w:color="auto"/>
                          <w:bottom w:val="nil" w:sz="6" w:space="0" w:color="auto"/>
                          <w:right w:val="nil" w:sz="6" w:space="0" w:color="auto"/>
                        </w:tcBorders>
                      </w:tcPr>
                      <w:p>
                        <w:pPr>
                          <w:pStyle w:val="TableParagraph"/>
                          <w:tabs>
                            <w:tab w:pos="1596" w:val="left" w:leader="none"/>
                          </w:tabs>
                          <w:spacing w:line="240" w:lineRule="auto" w:before="54"/>
                          <w:ind w:left="233" w:right="0"/>
                          <w:jc w:val="left"/>
                          <w:rPr>
                            <w:rFonts w:ascii="宋体" w:hAnsi="宋体" w:cs="宋体" w:eastAsia="宋体" w:hint="default"/>
                            <w:sz w:val="16"/>
                            <w:szCs w:val="16"/>
                          </w:rPr>
                        </w:pPr>
                        <w:r>
                          <w:rPr>
                            <w:rFonts w:ascii="宋体" w:hAnsi="宋体" w:cs="宋体" w:eastAsia="宋体" w:hint="default"/>
                            <w:b/>
                            <w:bCs/>
                            <w:sz w:val="16"/>
                            <w:szCs w:val="16"/>
                          </w:rPr>
                          <w:t>投资损益</w:t>
                          <w:tab/>
                          <w:t>收益调整</w:t>
                        </w:r>
                        <w:r>
                          <w:rPr>
                            <w:rFonts w:ascii="宋体" w:hAnsi="宋体" w:cs="宋体" w:eastAsia="宋体" w:hint="default"/>
                            <w:sz w:val="16"/>
                            <w:szCs w:val="16"/>
                          </w:rPr>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1"/>
                          <w:jc w:val="center"/>
                          <w:rPr>
                            <w:rFonts w:ascii="宋体" w:hAnsi="宋体" w:cs="宋体" w:eastAsia="宋体" w:hint="default"/>
                            <w:sz w:val="16"/>
                            <w:szCs w:val="16"/>
                          </w:rPr>
                        </w:pPr>
                        <w:r>
                          <w:rPr>
                            <w:rFonts w:ascii="宋体" w:hAnsi="宋体" w:cs="宋体" w:eastAsia="宋体" w:hint="default"/>
                            <w:b/>
                            <w:bCs/>
                            <w:w w:val="100"/>
                            <w:sz w:val="16"/>
                            <w:szCs w:val="16"/>
                          </w:rPr>
                          <w:t>动</w:t>
                        </w:r>
                        <w:r>
                          <w:rPr>
                            <w:rFonts w:ascii="宋体" w:hAnsi="宋体" w:cs="宋体" w:eastAsia="宋体" w:hint="default"/>
                            <w:w w:val="100"/>
                            <w:sz w:val="16"/>
                            <w:szCs w:val="16"/>
                          </w:rPr>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18" w:right="0"/>
                          <w:jc w:val="left"/>
                          <w:rPr>
                            <w:rFonts w:ascii="宋体" w:hAnsi="宋体" w:cs="宋体" w:eastAsia="宋体" w:hint="default"/>
                            <w:sz w:val="16"/>
                            <w:szCs w:val="16"/>
                          </w:rPr>
                        </w:pPr>
                        <w:r>
                          <w:rPr>
                            <w:rFonts w:ascii="宋体" w:hAnsi="宋体" w:cs="宋体" w:eastAsia="宋体" w:hint="default"/>
                            <w:b/>
                            <w:bCs/>
                            <w:sz w:val="16"/>
                            <w:szCs w:val="16"/>
                          </w:rPr>
                          <w:t>股利或利润</w:t>
                        </w:r>
                        <w:r>
                          <w:rPr>
                            <w:rFonts w:ascii="宋体" w:hAnsi="宋体" w:cs="宋体" w:eastAsia="宋体" w:hint="default"/>
                            <w:sz w:val="16"/>
                            <w:szCs w:val="16"/>
                          </w:rPr>
                        </w:r>
                      </w:p>
                    </w:tc>
                    <w:tc>
                      <w:tcPr>
                        <w:tcW w:w="789" w:type="dxa"/>
                        <w:tcBorders>
                          <w:top w:val="nil" w:sz="6" w:space="0" w:color="auto"/>
                          <w:left w:val="nil" w:sz="6" w:space="0" w:color="auto"/>
                          <w:bottom w:val="nil" w:sz="6" w:space="0" w:color="auto"/>
                          <w:right w:val="nil" w:sz="6" w:space="0" w:color="auto"/>
                        </w:tcBorders>
                      </w:tcPr>
                      <w:p>
                        <w:pPr>
                          <w:pStyle w:val="TableParagraph"/>
                          <w:spacing w:line="161" w:lineRule="exact"/>
                          <w:ind w:left="33" w:right="0"/>
                          <w:jc w:val="left"/>
                          <w:rPr>
                            <w:rFonts w:ascii="宋体" w:hAnsi="宋体" w:cs="宋体" w:eastAsia="宋体" w:hint="default"/>
                            <w:sz w:val="16"/>
                            <w:szCs w:val="16"/>
                          </w:rPr>
                        </w:pPr>
                        <w:r>
                          <w:rPr>
                            <w:rFonts w:ascii="宋体" w:hAnsi="宋体" w:cs="宋体" w:eastAsia="宋体" w:hint="default"/>
                            <w:b/>
                            <w:bCs/>
                            <w:sz w:val="16"/>
                            <w:szCs w:val="16"/>
                          </w:rPr>
                          <w:t>其他</w:t>
                        </w:r>
                        <w:r>
                          <w:rPr>
                            <w:rFonts w:ascii="宋体" w:hAnsi="宋体" w:cs="宋体" w:eastAsia="宋体" w:hint="default"/>
                            <w:sz w:val="16"/>
                            <w:szCs w:val="16"/>
                          </w:rPr>
                        </w:r>
                      </w:p>
                    </w:tc>
                    <w:tc>
                      <w:tcPr>
                        <w:tcW w:w="1298"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Style w:val="TableParagraph"/>
                          <w:spacing w:line="98" w:lineRule="exact"/>
                          <w:ind w:left="355" w:right="0"/>
                          <w:jc w:val="left"/>
                          <w:rPr>
                            <w:rFonts w:ascii="宋体" w:hAnsi="宋体" w:cs="宋体" w:eastAsia="宋体" w:hint="default"/>
                            <w:sz w:val="16"/>
                            <w:szCs w:val="16"/>
                          </w:rPr>
                        </w:pPr>
                        <w:r>
                          <w:rPr>
                            <w:rFonts w:ascii="宋体" w:hAnsi="宋体" w:cs="宋体" w:eastAsia="宋体" w:hint="default"/>
                            <w:b/>
                            <w:bCs/>
                            <w:sz w:val="16"/>
                            <w:szCs w:val="16"/>
                          </w:rPr>
                          <w:t>余额</w:t>
                        </w:r>
                        <w:r>
                          <w:rPr>
                            <w:rFonts w:ascii="宋体" w:hAnsi="宋体" w:cs="宋体" w:eastAsia="宋体" w:hint="default"/>
                            <w:sz w:val="16"/>
                            <w:szCs w:val="16"/>
                          </w:rPr>
                        </w:r>
                      </w:p>
                    </w:tc>
                  </w:tr>
                  <w:tr>
                    <w:trPr>
                      <w:trHeight w:val="294" w:hRule="exact"/>
                    </w:trPr>
                    <w:tc>
                      <w:tcPr>
                        <w:tcW w:w="3187"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33" w:right="0"/>
                          <w:jc w:val="left"/>
                          <w:rPr>
                            <w:rFonts w:ascii="宋体" w:hAnsi="宋体" w:cs="宋体" w:eastAsia="宋体" w:hint="default"/>
                            <w:sz w:val="16"/>
                            <w:szCs w:val="16"/>
                          </w:rPr>
                        </w:pPr>
                        <w:r>
                          <w:rPr>
                            <w:rFonts w:ascii="宋体" w:hAnsi="宋体" w:cs="宋体" w:eastAsia="宋体" w:hint="default"/>
                            <w:sz w:val="16"/>
                            <w:szCs w:val="16"/>
                          </w:rPr>
                          <w:t>北京迈信力通科技有限公司</w:t>
                        </w:r>
                      </w:p>
                    </w:tc>
                    <w:tc>
                      <w:tcPr>
                        <w:tcW w:w="148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254"/>
                          <w:jc w:val="right"/>
                          <w:rPr>
                            <w:rFonts w:ascii="宋体" w:hAnsi="宋体" w:cs="宋体" w:eastAsia="宋体" w:hint="default"/>
                            <w:sz w:val="16"/>
                            <w:szCs w:val="16"/>
                          </w:rPr>
                        </w:pPr>
                        <w:r>
                          <w:rPr>
                            <w:rFonts w:ascii="宋体"/>
                            <w:spacing w:val="-2"/>
                            <w:sz w:val="16"/>
                          </w:rPr>
                          <w:t>7,264,638.54</w:t>
                        </w:r>
                      </w:p>
                    </w:tc>
                    <w:tc>
                      <w:tcPr>
                        <w:tcW w:w="126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49"/>
                          <w:jc w:val="right"/>
                          <w:rPr>
                            <w:rFonts w:ascii="宋体" w:hAnsi="宋体" w:cs="宋体" w:eastAsia="宋体" w:hint="default"/>
                            <w:sz w:val="16"/>
                            <w:szCs w:val="16"/>
                          </w:rPr>
                        </w:pPr>
                        <w:r>
                          <w:rPr>
                            <w:rFonts w:ascii="宋体"/>
                            <w:spacing w:val="-1"/>
                            <w:sz w:val="16"/>
                          </w:rPr>
                          <w:t>0.00</w:t>
                        </w:r>
                      </w:p>
                    </w:tc>
                    <w:tc>
                      <w:tcPr>
                        <w:tcW w:w="103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76"/>
                          <w:jc w:val="right"/>
                          <w:rPr>
                            <w:rFonts w:ascii="宋体" w:hAnsi="宋体" w:cs="宋体" w:eastAsia="宋体" w:hint="default"/>
                            <w:sz w:val="16"/>
                            <w:szCs w:val="16"/>
                          </w:rPr>
                        </w:pPr>
                        <w:r>
                          <w:rPr>
                            <w:rFonts w:ascii="宋体"/>
                            <w:spacing w:val="-1"/>
                            <w:sz w:val="16"/>
                          </w:rPr>
                          <w:t>0.00</w:t>
                        </w:r>
                      </w:p>
                    </w:tc>
                    <w:tc>
                      <w:tcPr>
                        <w:tcW w:w="1722"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501"/>
                          <w:jc w:val="right"/>
                          <w:rPr>
                            <w:rFonts w:ascii="宋体" w:hAnsi="宋体" w:cs="宋体" w:eastAsia="宋体" w:hint="default"/>
                            <w:sz w:val="16"/>
                            <w:szCs w:val="16"/>
                          </w:rPr>
                        </w:pPr>
                        <w:r>
                          <w:rPr>
                            <w:rFonts w:ascii="宋体"/>
                            <w:spacing w:val="-2"/>
                            <w:sz w:val="16"/>
                          </w:rPr>
                          <w:t>-11,546.90</w:t>
                        </w:r>
                      </w:p>
                    </w:tc>
                    <w:tc>
                      <w:tcPr>
                        <w:tcW w:w="97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43"/>
                          <w:jc w:val="right"/>
                          <w:rPr>
                            <w:rFonts w:ascii="宋体" w:hAnsi="宋体" w:cs="宋体" w:eastAsia="宋体" w:hint="default"/>
                            <w:sz w:val="16"/>
                            <w:szCs w:val="16"/>
                          </w:rPr>
                        </w:pPr>
                        <w:r>
                          <w:rPr>
                            <w:rFonts w:ascii="宋体"/>
                            <w:spacing w:val="-1"/>
                            <w:sz w:val="16"/>
                          </w:rPr>
                          <w:t>0.00</w:t>
                        </w:r>
                      </w:p>
                    </w:tc>
                    <w:tc>
                      <w:tcPr>
                        <w:tcW w:w="1033"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85"/>
                          <w:jc w:val="right"/>
                          <w:rPr>
                            <w:rFonts w:ascii="宋体" w:hAnsi="宋体" w:cs="宋体" w:eastAsia="宋体" w:hint="default"/>
                            <w:sz w:val="16"/>
                            <w:szCs w:val="16"/>
                          </w:rPr>
                        </w:pPr>
                        <w:r>
                          <w:rPr>
                            <w:rFonts w:ascii="宋体"/>
                            <w:spacing w:val="-1"/>
                            <w:sz w:val="16"/>
                          </w:rPr>
                          <w:t>0.00</w:t>
                        </w:r>
                      </w:p>
                    </w:tc>
                    <w:tc>
                      <w:tcPr>
                        <w:tcW w:w="130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254"/>
                          <w:jc w:val="right"/>
                          <w:rPr>
                            <w:rFonts w:ascii="宋体" w:hAnsi="宋体" w:cs="宋体" w:eastAsia="宋体" w:hint="default"/>
                            <w:sz w:val="16"/>
                            <w:szCs w:val="16"/>
                          </w:rPr>
                        </w:pPr>
                        <w:r>
                          <w:rPr>
                            <w:rFonts w:ascii="宋体"/>
                            <w:spacing w:val="-1"/>
                            <w:sz w:val="16"/>
                          </w:rPr>
                          <w:t>0.00</w:t>
                        </w:r>
                      </w:p>
                    </w:tc>
                    <w:tc>
                      <w:tcPr>
                        <w:tcW w:w="78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209"/>
                          <w:jc w:val="right"/>
                          <w:rPr>
                            <w:rFonts w:ascii="宋体" w:hAnsi="宋体" w:cs="宋体" w:eastAsia="宋体" w:hint="default"/>
                            <w:sz w:val="16"/>
                            <w:szCs w:val="16"/>
                          </w:rPr>
                        </w:pPr>
                        <w:r>
                          <w:rPr>
                            <w:rFonts w:ascii="宋体"/>
                            <w:spacing w:val="-1"/>
                            <w:sz w:val="16"/>
                          </w:rPr>
                          <w:t>0.00</w:t>
                        </w:r>
                      </w:p>
                    </w:tc>
                    <w:tc>
                      <w:tcPr>
                        <w:tcW w:w="1298"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23"/>
                          <w:jc w:val="right"/>
                          <w:rPr>
                            <w:rFonts w:ascii="宋体" w:hAnsi="宋体" w:cs="宋体" w:eastAsia="宋体" w:hint="default"/>
                            <w:sz w:val="16"/>
                            <w:szCs w:val="16"/>
                          </w:rPr>
                        </w:pPr>
                        <w:r>
                          <w:rPr>
                            <w:rFonts w:ascii="宋体"/>
                            <w:spacing w:val="-2"/>
                            <w:sz w:val="16"/>
                          </w:rPr>
                          <w:t>7,253,091.64</w:t>
                        </w:r>
                      </w:p>
                    </w:tc>
                    <w:tc>
                      <w:tcPr>
                        <w:tcW w:w="111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30"/>
                          <w:jc w:val="right"/>
                          <w:rPr>
                            <w:rFonts w:ascii="宋体" w:hAnsi="宋体" w:cs="宋体" w:eastAsia="宋体" w:hint="default"/>
                            <w:sz w:val="16"/>
                            <w:szCs w:val="16"/>
                          </w:rPr>
                        </w:pPr>
                        <w:r>
                          <w:rPr>
                            <w:rFonts w:ascii="宋体"/>
                            <w:spacing w:val="-1"/>
                            <w:sz w:val="16"/>
                          </w:rPr>
                          <w:t>0.00</w:t>
                        </w:r>
                      </w:p>
                    </w:tc>
                  </w:tr>
                  <w:tr>
                    <w:trPr>
                      <w:trHeight w:val="290"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3" w:right="0"/>
                          <w:jc w:val="left"/>
                          <w:rPr>
                            <w:rFonts w:ascii="宋体" w:hAnsi="宋体" w:cs="宋体" w:eastAsia="宋体" w:hint="default"/>
                            <w:sz w:val="16"/>
                            <w:szCs w:val="16"/>
                          </w:rPr>
                        </w:pPr>
                        <w:r>
                          <w:rPr>
                            <w:rFonts w:ascii="宋体" w:hAnsi="宋体" w:cs="宋体" w:eastAsia="宋体" w:hint="default"/>
                            <w:sz w:val="16"/>
                            <w:szCs w:val="16"/>
                          </w:rPr>
                          <w:t>运城市蓝星同方数字电视有限公司</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2"/>
                            <w:sz w:val="16"/>
                          </w:rPr>
                          <w:t>7,248,030.42</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9"/>
                          <w:jc w:val="right"/>
                          <w:rPr>
                            <w:rFonts w:ascii="宋体" w:hAnsi="宋体" w:cs="宋体" w:eastAsia="宋体" w:hint="default"/>
                            <w:sz w:val="16"/>
                            <w:szCs w:val="16"/>
                          </w:rPr>
                        </w:pPr>
                        <w:r>
                          <w:rPr>
                            <w:rFonts w:ascii="宋体"/>
                            <w:spacing w:val="-1"/>
                            <w:sz w:val="16"/>
                          </w:rPr>
                          <w:t>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1"/>
                          <w:jc w:val="right"/>
                          <w:rPr>
                            <w:rFonts w:ascii="宋体" w:hAnsi="宋体" w:cs="宋体" w:eastAsia="宋体" w:hint="default"/>
                            <w:sz w:val="16"/>
                            <w:szCs w:val="16"/>
                          </w:rPr>
                        </w:pPr>
                        <w:r>
                          <w:rPr>
                            <w:rFonts w:ascii="宋体"/>
                            <w:spacing w:val="-1"/>
                            <w:sz w:val="16"/>
                          </w:rPr>
                          <w:t>-255,849.32</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3"/>
                          <w:jc w:val="right"/>
                          <w:rPr>
                            <w:rFonts w:ascii="宋体" w:hAnsi="宋体" w:cs="宋体" w:eastAsia="宋体" w:hint="default"/>
                            <w:sz w:val="16"/>
                            <w:szCs w:val="16"/>
                          </w:rPr>
                        </w:pPr>
                        <w:r>
                          <w:rPr>
                            <w:rFonts w:ascii="宋体"/>
                            <w:spacing w:val="-1"/>
                            <w:sz w:val="16"/>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宋体" w:hAnsi="宋体" w:cs="宋体" w:eastAsia="宋体" w:hint="default"/>
                            <w:sz w:val="16"/>
                            <w:szCs w:val="16"/>
                          </w:rPr>
                        </w:pPr>
                        <w:r>
                          <w:rPr>
                            <w:rFonts w:ascii="宋体"/>
                            <w:spacing w:val="-1"/>
                            <w:sz w:val="16"/>
                          </w:rPr>
                          <w:t>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3"/>
                          <w:jc w:val="right"/>
                          <w:rPr>
                            <w:rFonts w:ascii="宋体" w:hAnsi="宋体" w:cs="宋体" w:eastAsia="宋体" w:hint="default"/>
                            <w:sz w:val="16"/>
                            <w:szCs w:val="16"/>
                          </w:rPr>
                        </w:pPr>
                        <w:r>
                          <w:rPr>
                            <w:rFonts w:ascii="宋体"/>
                            <w:spacing w:val="-2"/>
                            <w:sz w:val="16"/>
                          </w:rPr>
                          <w:t>6,992,181.10</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89"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3" w:right="0"/>
                          <w:jc w:val="left"/>
                          <w:rPr>
                            <w:rFonts w:ascii="宋体" w:hAnsi="宋体" w:cs="宋体" w:eastAsia="宋体" w:hint="default"/>
                            <w:sz w:val="16"/>
                            <w:szCs w:val="16"/>
                          </w:rPr>
                        </w:pPr>
                        <w:r>
                          <w:rPr>
                            <w:rFonts w:ascii="宋体" w:hAnsi="宋体" w:cs="宋体" w:eastAsia="宋体" w:hint="default"/>
                            <w:sz w:val="16"/>
                            <w:szCs w:val="16"/>
                          </w:rPr>
                          <w:t>张家口电广文化传媒有限公司</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2"/>
                            <w:sz w:val="16"/>
                          </w:rPr>
                          <w:t>7,341,663.93</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9"/>
                          <w:jc w:val="right"/>
                          <w:rPr>
                            <w:rFonts w:ascii="宋体" w:hAnsi="宋体" w:cs="宋体" w:eastAsia="宋体" w:hint="default"/>
                            <w:sz w:val="16"/>
                            <w:szCs w:val="16"/>
                          </w:rPr>
                        </w:pPr>
                        <w:r>
                          <w:rPr>
                            <w:rFonts w:ascii="宋体"/>
                            <w:spacing w:val="-1"/>
                            <w:sz w:val="16"/>
                          </w:rPr>
                          <w:t>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1"/>
                          <w:jc w:val="right"/>
                          <w:rPr>
                            <w:rFonts w:ascii="宋体" w:hAnsi="宋体" w:cs="宋体" w:eastAsia="宋体" w:hint="default"/>
                            <w:sz w:val="16"/>
                            <w:szCs w:val="16"/>
                          </w:rPr>
                        </w:pPr>
                        <w:r>
                          <w:rPr>
                            <w:rFonts w:ascii="宋体"/>
                            <w:spacing w:val="-1"/>
                            <w:sz w:val="16"/>
                          </w:rPr>
                          <w:t>-382,373.45</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3"/>
                          <w:jc w:val="right"/>
                          <w:rPr>
                            <w:rFonts w:ascii="宋体" w:hAnsi="宋体" w:cs="宋体" w:eastAsia="宋体" w:hint="default"/>
                            <w:sz w:val="16"/>
                            <w:szCs w:val="16"/>
                          </w:rPr>
                        </w:pPr>
                        <w:r>
                          <w:rPr>
                            <w:rFonts w:ascii="宋体"/>
                            <w:spacing w:val="-1"/>
                            <w:sz w:val="16"/>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宋体" w:hAnsi="宋体" w:cs="宋体" w:eastAsia="宋体" w:hint="default"/>
                            <w:sz w:val="16"/>
                            <w:szCs w:val="16"/>
                          </w:rPr>
                        </w:pPr>
                        <w:r>
                          <w:rPr>
                            <w:rFonts w:ascii="宋体"/>
                            <w:spacing w:val="-1"/>
                            <w:sz w:val="16"/>
                          </w:rPr>
                          <w:t>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3"/>
                          <w:jc w:val="right"/>
                          <w:rPr>
                            <w:rFonts w:ascii="宋体" w:hAnsi="宋体" w:cs="宋体" w:eastAsia="宋体" w:hint="default"/>
                            <w:sz w:val="16"/>
                            <w:szCs w:val="16"/>
                          </w:rPr>
                        </w:pPr>
                        <w:r>
                          <w:rPr>
                            <w:rFonts w:ascii="宋体"/>
                            <w:spacing w:val="-2"/>
                            <w:sz w:val="16"/>
                          </w:rPr>
                          <w:t>6,959,290.48</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89"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3" w:right="0"/>
                          <w:jc w:val="left"/>
                          <w:rPr>
                            <w:rFonts w:ascii="宋体" w:hAnsi="宋体" w:cs="宋体" w:eastAsia="宋体" w:hint="default"/>
                            <w:sz w:val="16"/>
                            <w:szCs w:val="16"/>
                          </w:rPr>
                        </w:pPr>
                        <w:r>
                          <w:rPr>
                            <w:rFonts w:ascii="宋体" w:hAnsi="宋体" w:cs="宋体" w:eastAsia="宋体" w:hint="default"/>
                            <w:sz w:val="16"/>
                            <w:szCs w:val="16"/>
                          </w:rPr>
                          <w:t>天门广电同方数字电视有限公司</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4"/>
                          <w:jc w:val="right"/>
                          <w:rPr>
                            <w:rFonts w:ascii="宋体" w:hAnsi="宋体" w:cs="宋体" w:eastAsia="宋体" w:hint="default"/>
                            <w:sz w:val="16"/>
                            <w:szCs w:val="16"/>
                          </w:rPr>
                        </w:pPr>
                        <w:r>
                          <w:rPr>
                            <w:rFonts w:ascii="宋体"/>
                            <w:spacing w:val="-2"/>
                            <w:sz w:val="16"/>
                          </w:rPr>
                          <w:t>6,356,521.19</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9"/>
                          <w:jc w:val="right"/>
                          <w:rPr>
                            <w:rFonts w:ascii="宋体" w:hAnsi="宋体" w:cs="宋体" w:eastAsia="宋体" w:hint="default"/>
                            <w:sz w:val="16"/>
                            <w:szCs w:val="16"/>
                          </w:rPr>
                        </w:pPr>
                        <w:r>
                          <w:rPr>
                            <w:rFonts w:ascii="宋体"/>
                            <w:spacing w:val="-1"/>
                            <w:sz w:val="16"/>
                          </w:rPr>
                          <w:t>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6"/>
                          <w:jc w:val="right"/>
                          <w:rPr>
                            <w:rFonts w:ascii="宋体" w:hAnsi="宋体" w:cs="宋体" w:eastAsia="宋体" w:hint="default"/>
                            <w:sz w:val="16"/>
                            <w:szCs w:val="16"/>
                          </w:rPr>
                        </w:pPr>
                        <w:r>
                          <w:rPr>
                            <w:rFonts w:ascii="宋体"/>
                            <w:spacing w:val="-1"/>
                            <w:sz w:val="16"/>
                          </w:rPr>
                          <w:t>0.00</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01"/>
                          <w:jc w:val="right"/>
                          <w:rPr>
                            <w:rFonts w:ascii="宋体" w:hAnsi="宋体" w:cs="宋体" w:eastAsia="宋体" w:hint="default"/>
                            <w:sz w:val="16"/>
                            <w:szCs w:val="16"/>
                          </w:rPr>
                        </w:pPr>
                        <w:r>
                          <w:rPr>
                            <w:rFonts w:ascii="宋体"/>
                            <w:spacing w:val="-2"/>
                            <w:sz w:val="16"/>
                          </w:rPr>
                          <w:t>173,199.14</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3"/>
                          <w:jc w:val="right"/>
                          <w:rPr>
                            <w:rFonts w:ascii="宋体" w:hAnsi="宋体" w:cs="宋体" w:eastAsia="宋体" w:hint="default"/>
                            <w:sz w:val="16"/>
                            <w:szCs w:val="16"/>
                          </w:rPr>
                        </w:pPr>
                        <w:r>
                          <w:rPr>
                            <w:rFonts w:ascii="宋体"/>
                            <w:spacing w:val="-1"/>
                            <w:sz w:val="16"/>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4"/>
                          <w:jc w:val="right"/>
                          <w:rPr>
                            <w:rFonts w:ascii="宋体" w:hAnsi="宋体" w:cs="宋体" w:eastAsia="宋体" w:hint="default"/>
                            <w:sz w:val="16"/>
                            <w:szCs w:val="16"/>
                          </w:rPr>
                        </w:pPr>
                        <w:r>
                          <w:rPr>
                            <w:rFonts w:ascii="宋体"/>
                            <w:spacing w:val="-1"/>
                            <w:sz w:val="16"/>
                          </w:rPr>
                          <w:t>0.00</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9"/>
                          <w:jc w:val="right"/>
                          <w:rPr>
                            <w:rFonts w:ascii="宋体" w:hAnsi="宋体" w:cs="宋体" w:eastAsia="宋体" w:hint="default"/>
                            <w:sz w:val="16"/>
                            <w:szCs w:val="16"/>
                          </w:rPr>
                        </w:pPr>
                        <w:r>
                          <w:rPr>
                            <w:rFonts w:ascii="宋体"/>
                            <w:spacing w:val="-1"/>
                            <w:sz w:val="16"/>
                          </w:rPr>
                          <w:t>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3"/>
                          <w:jc w:val="right"/>
                          <w:rPr>
                            <w:rFonts w:ascii="宋体" w:hAnsi="宋体" w:cs="宋体" w:eastAsia="宋体" w:hint="default"/>
                            <w:sz w:val="16"/>
                            <w:szCs w:val="16"/>
                          </w:rPr>
                        </w:pPr>
                        <w:r>
                          <w:rPr>
                            <w:rFonts w:ascii="宋体"/>
                            <w:spacing w:val="-2"/>
                            <w:sz w:val="16"/>
                          </w:rPr>
                          <w:t>6,529,720.33</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
                          <w:jc w:val="right"/>
                          <w:rPr>
                            <w:rFonts w:ascii="宋体" w:hAnsi="宋体" w:cs="宋体" w:eastAsia="宋体" w:hint="default"/>
                            <w:sz w:val="16"/>
                            <w:szCs w:val="16"/>
                          </w:rPr>
                        </w:pPr>
                        <w:r>
                          <w:rPr>
                            <w:rFonts w:ascii="宋体"/>
                            <w:spacing w:val="-1"/>
                            <w:sz w:val="16"/>
                          </w:rPr>
                          <w:t>0.00</w:t>
                        </w:r>
                      </w:p>
                    </w:tc>
                  </w:tr>
                  <w:tr>
                    <w:trPr>
                      <w:trHeight w:val="291"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3" w:right="0"/>
                          <w:jc w:val="left"/>
                          <w:rPr>
                            <w:rFonts w:ascii="宋体" w:hAnsi="宋体" w:cs="宋体" w:eastAsia="宋体" w:hint="default"/>
                            <w:sz w:val="16"/>
                            <w:szCs w:val="16"/>
                          </w:rPr>
                        </w:pPr>
                        <w:r>
                          <w:rPr>
                            <w:rFonts w:ascii="宋体" w:hAnsi="宋体" w:cs="宋体" w:eastAsia="宋体" w:hint="default"/>
                            <w:sz w:val="16"/>
                            <w:szCs w:val="16"/>
                          </w:rPr>
                          <w:t>深圳市倍测科技有限公司</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2"/>
                            <w:sz w:val="16"/>
                          </w:rPr>
                          <w:t>5,297,292.10</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9"/>
                          <w:jc w:val="right"/>
                          <w:rPr>
                            <w:rFonts w:ascii="宋体" w:hAnsi="宋体" w:cs="宋体" w:eastAsia="宋体" w:hint="default"/>
                            <w:sz w:val="16"/>
                            <w:szCs w:val="16"/>
                          </w:rPr>
                        </w:pPr>
                        <w:r>
                          <w:rPr>
                            <w:rFonts w:ascii="宋体"/>
                            <w:spacing w:val="-1"/>
                            <w:sz w:val="16"/>
                          </w:rPr>
                          <w:t>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1"/>
                          <w:jc w:val="right"/>
                          <w:rPr>
                            <w:rFonts w:ascii="宋体" w:hAnsi="宋体" w:cs="宋体" w:eastAsia="宋体" w:hint="default"/>
                            <w:sz w:val="16"/>
                            <w:szCs w:val="16"/>
                          </w:rPr>
                        </w:pPr>
                        <w:r>
                          <w:rPr>
                            <w:rFonts w:ascii="宋体"/>
                            <w:spacing w:val="-2"/>
                            <w:sz w:val="16"/>
                          </w:rPr>
                          <w:t>24,816.94</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3"/>
                          <w:jc w:val="right"/>
                          <w:rPr>
                            <w:rFonts w:ascii="宋体" w:hAnsi="宋体" w:cs="宋体" w:eastAsia="宋体" w:hint="default"/>
                            <w:sz w:val="16"/>
                            <w:szCs w:val="16"/>
                          </w:rPr>
                        </w:pPr>
                        <w:r>
                          <w:rPr>
                            <w:rFonts w:ascii="宋体"/>
                            <w:spacing w:val="-1"/>
                            <w:sz w:val="16"/>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宋体" w:hAnsi="宋体" w:cs="宋体" w:eastAsia="宋体" w:hint="default"/>
                            <w:sz w:val="16"/>
                            <w:szCs w:val="16"/>
                          </w:rPr>
                        </w:pPr>
                        <w:r>
                          <w:rPr>
                            <w:rFonts w:ascii="宋体"/>
                            <w:spacing w:val="-1"/>
                            <w:sz w:val="16"/>
                          </w:rPr>
                          <w:t>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3"/>
                          <w:jc w:val="right"/>
                          <w:rPr>
                            <w:rFonts w:ascii="宋体" w:hAnsi="宋体" w:cs="宋体" w:eastAsia="宋体" w:hint="default"/>
                            <w:sz w:val="16"/>
                            <w:szCs w:val="16"/>
                          </w:rPr>
                        </w:pPr>
                        <w:r>
                          <w:rPr>
                            <w:rFonts w:ascii="宋体"/>
                            <w:spacing w:val="-2"/>
                            <w:sz w:val="16"/>
                          </w:rPr>
                          <w:t>5,322,109.04</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90"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3" w:right="0"/>
                          <w:jc w:val="left"/>
                          <w:rPr>
                            <w:rFonts w:ascii="宋体" w:hAnsi="宋体" w:cs="宋体" w:eastAsia="宋体" w:hint="default"/>
                            <w:sz w:val="16"/>
                            <w:szCs w:val="16"/>
                          </w:rPr>
                        </w:pPr>
                        <w:r>
                          <w:rPr>
                            <w:rFonts w:ascii="宋体" w:hAnsi="宋体" w:cs="宋体" w:eastAsia="宋体" w:hint="default"/>
                            <w:sz w:val="16"/>
                            <w:szCs w:val="16"/>
                          </w:rPr>
                          <w:t>中检科威（北京）科技有限公司</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2"/>
                            <w:sz w:val="16"/>
                          </w:rPr>
                          <w:t>5,749,920.60</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9"/>
                          <w:jc w:val="right"/>
                          <w:rPr>
                            <w:rFonts w:ascii="宋体" w:hAnsi="宋体" w:cs="宋体" w:eastAsia="宋体" w:hint="default"/>
                            <w:sz w:val="16"/>
                            <w:szCs w:val="16"/>
                          </w:rPr>
                        </w:pPr>
                        <w:r>
                          <w:rPr>
                            <w:rFonts w:ascii="宋体"/>
                            <w:spacing w:val="-1"/>
                            <w:sz w:val="16"/>
                          </w:rPr>
                          <w:t>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1"/>
                          <w:jc w:val="right"/>
                          <w:rPr>
                            <w:rFonts w:ascii="宋体" w:hAnsi="宋体" w:cs="宋体" w:eastAsia="宋体" w:hint="default"/>
                            <w:sz w:val="16"/>
                            <w:szCs w:val="16"/>
                          </w:rPr>
                        </w:pPr>
                        <w:r>
                          <w:rPr>
                            <w:rFonts w:ascii="宋体"/>
                            <w:spacing w:val="-2"/>
                            <w:sz w:val="16"/>
                          </w:rPr>
                          <w:t>167,378.34</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3"/>
                          <w:jc w:val="right"/>
                          <w:rPr>
                            <w:rFonts w:ascii="宋体" w:hAnsi="宋体" w:cs="宋体" w:eastAsia="宋体" w:hint="default"/>
                            <w:sz w:val="16"/>
                            <w:szCs w:val="16"/>
                          </w:rPr>
                        </w:pPr>
                        <w:r>
                          <w:rPr>
                            <w:rFonts w:ascii="宋体"/>
                            <w:spacing w:val="-1"/>
                            <w:sz w:val="16"/>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87" w:right="0"/>
                          <w:jc w:val="left"/>
                          <w:rPr>
                            <w:rFonts w:ascii="宋体" w:hAnsi="宋体" w:cs="宋体" w:eastAsia="宋体" w:hint="default"/>
                            <w:sz w:val="16"/>
                            <w:szCs w:val="16"/>
                          </w:rPr>
                        </w:pPr>
                        <w:r>
                          <w:rPr>
                            <w:rFonts w:ascii="宋体"/>
                            <w:sz w:val="16"/>
                          </w:rPr>
                          <w:t>1,000,000.00</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宋体" w:hAnsi="宋体" w:cs="宋体" w:eastAsia="宋体" w:hint="default"/>
                            <w:sz w:val="16"/>
                            <w:szCs w:val="16"/>
                          </w:rPr>
                        </w:pPr>
                        <w:r>
                          <w:rPr>
                            <w:rFonts w:ascii="宋体"/>
                            <w:spacing w:val="-1"/>
                            <w:sz w:val="16"/>
                          </w:rPr>
                          <w:t>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3"/>
                          <w:jc w:val="right"/>
                          <w:rPr>
                            <w:rFonts w:ascii="宋体" w:hAnsi="宋体" w:cs="宋体" w:eastAsia="宋体" w:hint="default"/>
                            <w:sz w:val="16"/>
                            <w:szCs w:val="16"/>
                          </w:rPr>
                        </w:pPr>
                        <w:r>
                          <w:rPr>
                            <w:rFonts w:ascii="宋体"/>
                            <w:spacing w:val="-2"/>
                            <w:sz w:val="16"/>
                          </w:rPr>
                          <w:t>4,917,298.94</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90"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3" w:right="0"/>
                          <w:jc w:val="left"/>
                          <w:rPr>
                            <w:rFonts w:ascii="宋体" w:hAnsi="宋体" w:cs="宋体" w:eastAsia="宋体" w:hint="default"/>
                            <w:sz w:val="16"/>
                            <w:szCs w:val="16"/>
                          </w:rPr>
                        </w:pPr>
                        <w:r>
                          <w:rPr>
                            <w:rFonts w:ascii="宋体" w:hAnsi="宋体" w:cs="宋体" w:eastAsia="宋体" w:hint="default"/>
                            <w:sz w:val="16"/>
                            <w:szCs w:val="16"/>
                          </w:rPr>
                          <w:t>同方泰德集成建筑有限公司</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9"/>
                          <w:jc w:val="right"/>
                          <w:rPr>
                            <w:rFonts w:ascii="宋体" w:hAnsi="宋体" w:cs="宋体" w:eastAsia="宋体" w:hint="default"/>
                            <w:sz w:val="16"/>
                            <w:szCs w:val="16"/>
                          </w:rPr>
                        </w:pPr>
                        <w:r>
                          <w:rPr>
                            <w:rFonts w:ascii="宋体"/>
                            <w:spacing w:val="-2"/>
                            <w:sz w:val="16"/>
                          </w:rPr>
                          <w:t>5,500,000.00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1"/>
                          <w:jc w:val="right"/>
                          <w:rPr>
                            <w:rFonts w:ascii="宋体" w:hAnsi="宋体" w:cs="宋体" w:eastAsia="宋体" w:hint="default"/>
                            <w:sz w:val="16"/>
                            <w:szCs w:val="16"/>
                          </w:rPr>
                        </w:pPr>
                        <w:r>
                          <w:rPr>
                            <w:rFonts w:ascii="宋体"/>
                            <w:spacing w:val="-1"/>
                            <w:sz w:val="16"/>
                          </w:rPr>
                          <w:t>-749,308.35</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3"/>
                          <w:jc w:val="right"/>
                          <w:rPr>
                            <w:rFonts w:ascii="宋体" w:hAnsi="宋体" w:cs="宋体" w:eastAsia="宋体" w:hint="default"/>
                            <w:sz w:val="16"/>
                            <w:szCs w:val="16"/>
                          </w:rPr>
                        </w:pPr>
                        <w:r>
                          <w:rPr>
                            <w:rFonts w:ascii="宋体"/>
                            <w:spacing w:val="-1"/>
                            <w:sz w:val="16"/>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宋体" w:hAnsi="宋体" w:cs="宋体" w:eastAsia="宋体" w:hint="default"/>
                            <w:sz w:val="16"/>
                            <w:szCs w:val="16"/>
                          </w:rPr>
                        </w:pPr>
                        <w:r>
                          <w:rPr>
                            <w:rFonts w:ascii="宋体"/>
                            <w:spacing w:val="-1"/>
                            <w:sz w:val="16"/>
                          </w:rPr>
                          <w:t>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3"/>
                          <w:jc w:val="right"/>
                          <w:rPr>
                            <w:rFonts w:ascii="宋体" w:hAnsi="宋体" w:cs="宋体" w:eastAsia="宋体" w:hint="default"/>
                            <w:sz w:val="16"/>
                            <w:szCs w:val="16"/>
                          </w:rPr>
                        </w:pPr>
                        <w:r>
                          <w:rPr>
                            <w:rFonts w:ascii="宋体"/>
                            <w:spacing w:val="-2"/>
                            <w:sz w:val="16"/>
                          </w:rPr>
                          <w:t>4,750,691.65</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90"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3" w:right="0"/>
                          <w:jc w:val="left"/>
                          <w:rPr>
                            <w:rFonts w:ascii="宋体" w:hAnsi="宋体" w:cs="宋体" w:eastAsia="宋体" w:hint="default"/>
                            <w:sz w:val="16"/>
                            <w:szCs w:val="16"/>
                          </w:rPr>
                        </w:pPr>
                        <w:r>
                          <w:rPr>
                            <w:rFonts w:ascii="宋体" w:hAnsi="宋体" w:cs="宋体" w:eastAsia="宋体" w:hint="default"/>
                            <w:sz w:val="16"/>
                            <w:szCs w:val="16"/>
                          </w:rPr>
                          <w:t>达州广电同方无线数字电视有限公司</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2"/>
                            <w:sz w:val="16"/>
                          </w:rPr>
                          <w:t>4,507,697.30</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9"/>
                          <w:jc w:val="right"/>
                          <w:rPr>
                            <w:rFonts w:ascii="宋体" w:hAnsi="宋体" w:cs="宋体" w:eastAsia="宋体" w:hint="default"/>
                            <w:sz w:val="16"/>
                            <w:szCs w:val="16"/>
                          </w:rPr>
                        </w:pPr>
                        <w:r>
                          <w:rPr>
                            <w:rFonts w:ascii="宋体"/>
                            <w:spacing w:val="-1"/>
                            <w:sz w:val="16"/>
                          </w:rPr>
                          <w:t>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1"/>
                          <w:jc w:val="right"/>
                          <w:rPr>
                            <w:rFonts w:ascii="宋体" w:hAnsi="宋体" w:cs="宋体" w:eastAsia="宋体" w:hint="default"/>
                            <w:sz w:val="16"/>
                            <w:szCs w:val="16"/>
                          </w:rPr>
                        </w:pPr>
                        <w:r>
                          <w:rPr>
                            <w:rFonts w:ascii="宋体"/>
                            <w:spacing w:val="-1"/>
                            <w:sz w:val="16"/>
                          </w:rPr>
                          <w:t>0.00</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3"/>
                          <w:jc w:val="right"/>
                          <w:rPr>
                            <w:rFonts w:ascii="宋体" w:hAnsi="宋体" w:cs="宋体" w:eastAsia="宋体" w:hint="default"/>
                            <w:sz w:val="16"/>
                            <w:szCs w:val="16"/>
                          </w:rPr>
                        </w:pPr>
                        <w:r>
                          <w:rPr>
                            <w:rFonts w:ascii="宋体"/>
                            <w:spacing w:val="-1"/>
                            <w:sz w:val="16"/>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宋体" w:hAnsi="宋体" w:cs="宋体" w:eastAsia="宋体" w:hint="default"/>
                            <w:sz w:val="16"/>
                            <w:szCs w:val="16"/>
                          </w:rPr>
                        </w:pPr>
                        <w:r>
                          <w:rPr>
                            <w:rFonts w:ascii="宋体"/>
                            <w:spacing w:val="-1"/>
                            <w:sz w:val="16"/>
                          </w:rPr>
                          <w:t>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3"/>
                          <w:jc w:val="right"/>
                          <w:rPr>
                            <w:rFonts w:ascii="宋体" w:hAnsi="宋体" w:cs="宋体" w:eastAsia="宋体" w:hint="default"/>
                            <w:sz w:val="16"/>
                            <w:szCs w:val="16"/>
                          </w:rPr>
                        </w:pPr>
                        <w:r>
                          <w:rPr>
                            <w:rFonts w:ascii="宋体"/>
                            <w:spacing w:val="-2"/>
                            <w:sz w:val="16"/>
                          </w:rPr>
                          <w:t>4,507,697.30</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89"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3" w:right="0"/>
                          <w:jc w:val="left"/>
                          <w:rPr>
                            <w:rFonts w:ascii="宋体" w:hAnsi="宋体" w:cs="宋体" w:eastAsia="宋体" w:hint="default"/>
                            <w:sz w:val="16"/>
                            <w:szCs w:val="16"/>
                          </w:rPr>
                        </w:pPr>
                        <w:r>
                          <w:rPr>
                            <w:rFonts w:ascii="宋体" w:hAnsi="宋体" w:cs="宋体" w:eastAsia="宋体" w:hint="default"/>
                            <w:sz w:val="16"/>
                            <w:szCs w:val="16"/>
                          </w:rPr>
                          <w:t>洛阳同方数字电视有限公司</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2"/>
                            <w:sz w:val="16"/>
                          </w:rPr>
                          <w:t>3,917,553.11</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9"/>
                          <w:jc w:val="right"/>
                          <w:rPr>
                            <w:rFonts w:ascii="宋体" w:hAnsi="宋体" w:cs="宋体" w:eastAsia="宋体" w:hint="default"/>
                            <w:sz w:val="16"/>
                            <w:szCs w:val="16"/>
                          </w:rPr>
                        </w:pPr>
                        <w:r>
                          <w:rPr>
                            <w:rFonts w:ascii="宋体"/>
                            <w:spacing w:val="-1"/>
                            <w:sz w:val="16"/>
                          </w:rPr>
                          <w:t>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1"/>
                          <w:jc w:val="right"/>
                          <w:rPr>
                            <w:rFonts w:ascii="宋体" w:hAnsi="宋体" w:cs="宋体" w:eastAsia="宋体" w:hint="default"/>
                            <w:sz w:val="16"/>
                            <w:szCs w:val="16"/>
                          </w:rPr>
                        </w:pPr>
                        <w:r>
                          <w:rPr>
                            <w:rFonts w:ascii="宋体"/>
                            <w:spacing w:val="-1"/>
                            <w:sz w:val="16"/>
                          </w:rPr>
                          <w:t>-306,529.57</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3"/>
                          <w:jc w:val="right"/>
                          <w:rPr>
                            <w:rFonts w:ascii="宋体" w:hAnsi="宋体" w:cs="宋体" w:eastAsia="宋体" w:hint="default"/>
                            <w:sz w:val="16"/>
                            <w:szCs w:val="16"/>
                          </w:rPr>
                        </w:pPr>
                        <w:r>
                          <w:rPr>
                            <w:rFonts w:ascii="宋体"/>
                            <w:spacing w:val="-1"/>
                            <w:sz w:val="16"/>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宋体" w:hAnsi="宋体" w:cs="宋体" w:eastAsia="宋体" w:hint="default"/>
                            <w:sz w:val="16"/>
                            <w:szCs w:val="16"/>
                          </w:rPr>
                        </w:pPr>
                        <w:r>
                          <w:rPr>
                            <w:rFonts w:ascii="宋体"/>
                            <w:spacing w:val="-1"/>
                            <w:sz w:val="16"/>
                          </w:rPr>
                          <w:t>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3"/>
                          <w:jc w:val="right"/>
                          <w:rPr>
                            <w:rFonts w:ascii="宋体" w:hAnsi="宋体" w:cs="宋体" w:eastAsia="宋体" w:hint="default"/>
                            <w:sz w:val="16"/>
                            <w:szCs w:val="16"/>
                          </w:rPr>
                        </w:pPr>
                        <w:r>
                          <w:rPr>
                            <w:rFonts w:ascii="宋体"/>
                            <w:spacing w:val="-2"/>
                            <w:sz w:val="16"/>
                          </w:rPr>
                          <w:t>3,611,023.54</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89"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3" w:right="0"/>
                          <w:jc w:val="left"/>
                          <w:rPr>
                            <w:rFonts w:ascii="宋体" w:hAnsi="宋体" w:cs="宋体" w:eastAsia="宋体" w:hint="default"/>
                            <w:sz w:val="16"/>
                            <w:szCs w:val="16"/>
                          </w:rPr>
                        </w:pPr>
                        <w:r>
                          <w:rPr>
                            <w:rFonts w:ascii="宋体" w:hAnsi="宋体" w:cs="宋体" w:eastAsia="宋体" w:hint="default"/>
                            <w:sz w:val="16"/>
                            <w:szCs w:val="16"/>
                          </w:rPr>
                          <w:t>深圳市五色检测技术服务有限公司</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4"/>
                          <w:jc w:val="right"/>
                          <w:rPr>
                            <w:rFonts w:ascii="宋体" w:hAnsi="宋体" w:cs="宋体" w:eastAsia="宋体" w:hint="default"/>
                            <w:sz w:val="16"/>
                            <w:szCs w:val="16"/>
                          </w:rPr>
                        </w:pPr>
                        <w:r>
                          <w:rPr>
                            <w:rFonts w:ascii="宋体"/>
                            <w:spacing w:val="-2"/>
                            <w:sz w:val="16"/>
                          </w:rPr>
                          <w:t>3,199,908.80</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9"/>
                          <w:jc w:val="right"/>
                          <w:rPr>
                            <w:rFonts w:ascii="宋体" w:hAnsi="宋体" w:cs="宋体" w:eastAsia="宋体" w:hint="default"/>
                            <w:sz w:val="16"/>
                            <w:szCs w:val="16"/>
                          </w:rPr>
                        </w:pPr>
                        <w:r>
                          <w:rPr>
                            <w:rFonts w:ascii="宋体"/>
                            <w:spacing w:val="-1"/>
                            <w:sz w:val="16"/>
                          </w:rPr>
                          <w:t>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6"/>
                          <w:jc w:val="right"/>
                          <w:rPr>
                            <w:rFonts w:ascii="宋体" w:hAnsi="宋体" w:cs="宋体" w:eastAsia="宋体" w:hint="default"/>
                            <w:sz w:val="16"/>
                            <w:szCs w:val="16"/>
                          </w:rPr>
                        </w:pPr>
                        <w:r>
                          <w:rPr>
                            <w:rFonts w:ascii="宋体"/>
                            <w:spacing w:val="-1"/>
                            <w:sz w:val="16"/>
                          </w:rPr>
                          <w:t>0.00</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01"/>
                          <w:jc w:val="right"/>
                          <w:rPr>
                            <w:rFonts w:ascii="宋体" w:hAnsi="宋体" w:cs="宋体" w:eastAsia="宋体" w:hint="default"/>
                            <w:sz w:val="16"/>
                            <w:szCs w:val="16"/>
                          </w:rPr>
                        </w:pPr>
                        <w:r>
                          <w:rPr>
                            <w:rFonts w:ascii="宋体"/>
                            <w:spacing w:val="-1"/>
                            <w:sz w:val="16"/>
                          </w:rPr>
                          <w:t>-3,696.76</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3"/>
                          <w:jc w:val="right"/>
                          <w:rPr>
                            <w:rFonts w:ascii="宋体" w:hAnsi="宋体" w:cs="宋体" w:eastAsia="宋体" w:hint="default"/>
                            <w:sz w:val="16"/>
                            <w:szCs w:val="16"/>
                          </w:rPr>
                        </w:pPr>
                        <w:r>
                          <w:rPr>
                            <w:rFonts w:ascii="宋体"/>
                            <w:spacing w:val="-1"/>
                            <w:sz w:val="16"/>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4"/>
                          <w:jc w:val="right"/>
                          <w:rPr>
                            <w:rFonts w:ascii="宋体" w:hAnsi="宋体" w:cs="宋体" w:eastAsia="宋体" w:hint="default"/>
                            <w:sz w:val="16"/>
                            <w:szCs w:val="16"/>
                          </w:rPr>
                        </w:pPr>
                        <w:r>
                          <w:rPr>
                            <w:rFonts w:ascii="宋体"/>
                            <w:spacing w:val="-1"/>
                            <w:sz w:val="16"/>
                          </w:rPr>
                          <w:t>0.00</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9"/>
                          <w:jc w:val="right"/>
                          <w:rPr>
                            <w:rFonts w:ascii="宋体" w:hAnsi="宋体" w:cs="宋体" w:eastAsia="宋体" w:hint="default"/>
                            <w:sz w:val="16"/>
                            <w:szCs w:val="16"/>
                          </w:rPr>
                        </w:pPr>
                        <w:r>
                          <w:rPr>
                            <w:rFonts w:ascii="宋体"/>
                            <w:spacing w:val="-1"/>
                            <w:sz w:val="16"/>
                          </w:rPr>
                          <w:t>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3"/>
                          <w:jc w:val="right"/>
                          <w:rPr>
                            <w:rFonts w:ascii="宋体" w:hAnsi="宋体" w:cs="宋体" w:eastAsia="宋体" w:hint="default"/>
                            <w:sz w:val="16"/>
                            <w:szCs w:val="16"/>
                          </w:rPr>
                        </w:pPr>
                        <w:r>
                          <w:rPr>
                            <w:rFonts w:ascii="宋体"/>
                            <w:spacing w:val="-2"/>
                            <w:sz w:val="16"/>
                          </w:rPr>
                          <w:t>3,196,212.04</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
                          <w:jc w:val="right"/>
                          <w:rPr>
                            <w:rFonts w:ascii="宋体" w:hAnsi="宋体" w:cs="宋体" w:eastAsia="宋体" w:hint="default"/>
                            <w:sz w:val="16"/>
                            <w:szCs w:val="16"/>
                          </w:rPr>
                        </w:pPr>
                        <w:r>
                          <w:rPr>
                            <w:rFonts w:ascii="宋体"/>
                            <w:spacing w:val="-1"/>
                            <w:sz w:val="16"/>
                          </w:rPr>
                          <w:t>0.00</w:t>
                        </w:r>
                      </w:p>
                    </w:tc>
                  </w:tr>
                  <w:tr>
                    <w:trPr>
                      <w:trHeight w:val="290"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3" w:right="0"/>
                          <w:jc w:val="left"/>
                          <w:rPr>
                            <w:rFonts w:ascii="宋体" w:hAnsi="宋体" w:cs="宋体" w:eastAsia="宋体" w:hint="default"/>
                            <w:sz w:val="16"/>
                            <w:szCs w:val="16"/>
                          </w:rPr>
                        </w:pPr>
                        <w:r>
                          <w:rPr>
                            <w:rFonts w:ascii="宋体" w:hAnsi="宋体" w:cs="宋体" w:eastAsia="宋体" w:hint="default"/>
                            <w:sz w:val="16"/>
                            <w:szCs w:val="16"/>
                          </w:rPr>
                          <w:t>内蒙古富龙供热工程技术有限公司</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9"/>
                          <w:jc w:val="right"/>
                          <w:rPr>
                            <w:rFonts w:ascii="宋体" w:hAnsi="宋体" w:cs="宋体" w:eastAsia="宋体" w:hint="default"/>
                            <w:sz w:val="16"/>
                            <w:szCs w:val="16"/>
                          </w:rPr>
                        </w:pPr>
                        <w:r>
                          <w:rPr>
                            <w:rFonts w:ascii="宋体"/>
                            <w:spacing w:val="-2"/>
                            <w:sz w:val="16"/>
                          </w:rPr>
                          <w:t>3,000,000.00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1"/>
                          <w:jc w:val="right"/>
                          <w:rPr>
                            <w:rFonts w:ascii="宋体" w:hAnsi="宋体" w:cs="宋体" w:eastAsia="宋体" w:hint="default"/>
                            <w:sz w:val="16"/>
                            <w:szCs w:val="16"/>
                          </w:rPr>
                        </w:pPr>
                        <w:r>
                          <w:rPr>
                            <w:rFonts w:ascii="宋体"/>
                            <w:spacing w:val="-2"/>
                            <w:sz w:val="16"/>
                          </w:rPr>
                          <w:t>188,355.06</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3"/>
                          <w:jc w:val="right"/>
                          <w:rPr>
                            <w:rFonts w:ascii="宋体" w:hAnsi="宋体" w:cs="宋体" w:eastAsia="宋体" w:hint="default"/>
                            <w:sz w:val="16"/>
                            <w:szCs w:val="16"/>
                          </w:rPr>
                        </w:pPr>
                        <w:r>
                          <w:rPr>
                            <w:rFonts w:ascii="宋体"/>
                            <w:spacing w:val="-1"/>
                            <w:sz w:val="16"/>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宋体" w:hAnsi="宋体" w:cs="宋体" w:eastAsia="宋体" w:hint="default"/>
                            <w:sz w:val="16"/>
                            <w:szCs w:val="16"/>
                          </w:rPr>
                        </w:pPr>
                        <w:r>
                          <w:rPr>
                            <w:rFonts w:ascii="宋体"/>
                            <w:spacing w:val="-1"/>
                            <w:sz w:val="16"/>
                          </w:rPr>
                          <w:t>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3"/>
                          <w:jc w:val="right"/>
                          <w:rPr>
                            <w:rFonts w:ascii="宋体" w:hAnsi="宋体" w:cs="宋体" w:eastAsia="宋体" w:hint="default"/>
                            <w:sz w:val="16"/>
                            <w:szCs w:val="16"/>
                          </w:rPr>
                        </w:pPr>
                        <w:r>
                          <w:rPr>
                            <w:rFonts w:ascii="宋体"/>
                            <w:spacing w:val="-2"/>
                            <w:sz w:val="16"/>
                          </w:rPr>
                          <w:t>3,188,355.06</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26"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3" w:right="0"/>
                          <w:jc w:val="left"/>
                          <w:rPr>
                            <w:rFonts w:ascii="宋体" w:hAnsi="宋体" w:cs="宋体" w:eastAsia="宋体" w:hint="default"/>
                            <w:sz w:val="16"/>
                            <w:szCs w:val="16"/>
                          </w:rPr>
                        </w:pPr>
                        <w:r>
                          <w:rPr>
                            <w:rFonts w:ascii="宋体" w:hAnsi="宋体" w:cs="宋体" w:eastAsia="宋体" w:hint="default"/>
                            <w:sz w:val="16"/>
                            <w:szCs w:val="16"/>
                          </w:rPr>
                          <w:t>吉林同方科贸有限责任公司</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2"/>
                            <w:sz w:val="16"/>
                          </w:rPr>
                          <w:t>2,700,712.52</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9"/>
                          <w:jc w:val="right"/>
                          <w:rPr>
                            <w:rFonts w:ascii="宋体" w:hAnsi="宋体" w:cs="宋体" w:eastAsia="宋体" w:hint="default"/>
                            <w:sz w:val="16"/>
                            <w:szCs w:val="16"/>
                          </w:rPr>
                        </w:pPr>
                        <w:r>
                          <w:rPr>
                            <w:rFonts w:ascii="宋体"/>
                            <w:spacing w:val="-1"/>
                            <w:sz w:val="16"/>
                          </w:rPr>
                          <w:t>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1"/>
                          <w:jc w:val="right"/>
                          <w:rPr>
                            <w:rFonts w:ascii="宋体" w:hAnsi="宋体" w:cs="宋体" w:eastAsia="宋体" w:hint="default"/>
                            <w:sz w:val="16"/>
                            <w:szCs w:val="16"/>
                          </w:rPr>
                        </w:pPr>
                        <w:r>
                          <w:rPr>
                            <w:rFonts w:ascii="宋体"/>
                            <w:spacing w:val="-2"/>
                            <w:sz w:val="16"/>
                          </w:rPr>
                          <w:t>-68,160.32</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3"/>
                          <w:jc w:val="right"/>
                          <w:rPr>
                            <w:rFonts w:ascii="宋体" w:hAnsi="宋体" w:cs="宋体" w:eastAsia="宋体" w:hint="default"/>
                            <w:sz w:val="16"/>
                            <w:szCs w:val="16"/>
                          </w:rPr>
                        </w:pPr>
                        <w:r>
                          <w:rPr>
                            <w:rFonts w:ascii="宋体"/>
                            <w:spacing w:val="-1"/>
                            <w:sz w:val="16"/>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宋体" w:hAnsi="宋体" w:cs="宋体" w:eastAsia="宋体" w:hint="default"/>
                            <w:sz w:val="16"/>
                            <w:szCs w:val="16"/>
                          </w:rPr>
                        </w:pPr>
                        <w:r>
                          <w:rPr>
                            <w:rFonts w:ascii="宋体"/>
                            <w:spacing w:val="-1"/>
                            <w:sz w:val="16"/>
                          </w:rPr>
                          <w:t>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3"/>
                          <w:jc w:val="right"/>
                          <w:rPr>
                            <w:rFonts w:ascii="宋体" w:hAnsi="宋体" w:cs="宋体" w:eastAsia="宋体" w:hint="default"/>
                            <w:sz w:val="16"/>
                            <w:szCs w:val="16"/>
                          </w:rPr>
                        </w:pPr>
                        <w:r>
                          <w:rPr>
                            <w:rFonts w:ascii="宋体"/>
                            <w:spacing w:val="-2"/>
                            <w:sz w:val="16"/>
                          </w:rPr>
                          <w:t>2,632,552.20</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73" w:hRule="exact"/>
                    </w:trPr>
                    <w:tc>
                      <w:tcPr>
                        <w:tcW w:w="15211" w:type="dxa"/>
                        <w:gridSpan w:val="11"/>
                        <w:tcBorders>
                          <w:top w:val="nil" w:sz="6" w:space="0" w:color="auto"/>
                          <w:left w:val="nil" w:sz="6" w:space="0" w:color="auto"/>
                          <w:bottom w:val="nil" w:sz="6" w:space="0" w:color="auto"/>
                          <w:right w:val="nil" w:sz="6" w:space="0" w:color="auto"/>
                        </w:tcBorders>
                      </w:tcPr>
                      <w:p>
                        <w:pPr>
                          <w:pStyle w:val="TableParagraph"/>
                          <w:tabs>
                            <w:tab w:pos="11859" w:val="left" w:leader="none"/>
                          </w:tabs>
                          <w:spacing w:line="240" w:lineRule="auto" w:before="40"/>
                          <w:ind w:left="33" w:right="0"/>
                          <w:jc w:val="left"/>
                          <w:rPr>
                            <w:rFonts w:ascii="宋体" w:hAnsi="宋体" w:cs="宋体" w:eastAsia="宋体" w:hint="default"/>
                            <w:sz w:val="16"/>
                            <w:szCs w:val="16"/>
                          </w:rPr>
                        </w:pPr>
                        <w:r>
                          <w:rPr>
                            <w:rFonts w:ascii="宋体"/>
                            <w:spacing w:val="-2"/>
                            <w:sz w:val="16"/>
                          </w:rPr>
                          <w:t>LimePCMultimediaTechnologiesCo.,Limit</w:t>
                          <w:tab/>
                          <w:t>117,175.7</w:t>
                        </w:r>
                      </w:p>
                    </w:tc>
                  </w:tr>
                  <w:tr>
                    <w:trPr>
                      <w:trHeight w:val="228"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183" w:lineRule="exact"/>
                          <w:ind w:left="62" w:right="0"/>
                          <w:jc w:val="left"/>
                          <w:rPr>
                            <w:rFonts w:ascii="宋体" w:hAnsi="宋体" w:cs="宋体" w:eastAsia="宋体" w:hint="default"/>
                            <w:sz w:val="16"/>
                            <w:szCs w:val="16"/>
                          </w:rPr>
                        </w:pPr>
                        <w:r>
                          <w:rPr>
                            <w:rFonts w:ascii="宋体"/>
                            <w:sz w:val="16"/>
                          </w:rPr>
                          <w:t>ed</w:t>
                        </w:r>
                      </w:p>
                    </w:tc>
                    <w:tc>
                      <w:tcPr>
                        <w:tcW w:w="1489" w:type="dxa"/>
                        <w:tcBorders>
                          <w:top w:val="nil" w:sz="6" w:space="0" w:color="auto"/>
                          <w:left w:val="nil" w:sz="6" w:space="0" w:color="auto"/>
                          <w:bottom w:val="nil" w:sz="6" w:space="0" w:color="auto"/>
                          <w:right w:val="nil" w:sz="6" w:space="0" w:color="auto"/>
                        </w:tcBorders>
                      </w:tcPr>
                      <w:p>
                        <w:pPr>
                          <w:pStyle w:val="TableParagraph"/>
                          <w:spacing w:line="80" w:lineRule="exact"/>
                          <w:ind w:right="254"/>
                          <w:jc w:val="right"/>
                          <w:rPr>
                            <w:rFonts w:ascii="宋体" w:hAnsi="宋体" w:cs="宋体" w:eastAsia="宋体" w:hint="default"/>
                            <w:sz w:val="16"/>
                            <w:szCs w:val="16"/>
                          </w:rPr>
                        </w:pPr>
                        <w:r>
                          <w:rPr>
                            <w:rFonts w:ascii="宋体"/>
                            <w:spacing w:val="-2"/>
                            <w:sz w:val="16"/>
                          </w:rPr>
                          <w:t>2,327,202.38</w:t>
                        </w:r>
                      </w:p>
                    </w:tc>
                    <w:tc>
                      <w:tcPr>
                        <w:tcW w:w="1269" w:type="dxa"/>
                        <w:tcBorders>
                          <w:top w:val="nil" w:sz="6" w:space="0" w:color="auto"/>
                          <w:left w:val="nil" w:sz="6" w:space="0" w:color="auto"/>
                          <w:bottom w:val="nil" w:sz="6" w:space="0" w:color="auto"/>
                          <w:right w:val="nil" w:sz="6" w:space="0" w:color="auto"/>
                        </w:tcBorders>
                      </w:tcPr>
                      <w:p>
                        <w:pPr>
                          <w:pStyle w:val="TableParagraph"/>
                          <w:spacing w:line="80" w:lineRule="exact"/>
                          <w:ind w:right="49"/>
                          <w:jc w:val="right"/>
                          <w:rPr>
                            <w:rFonts w:ascii="宋体" w:hAnsi="宋体" w:cs="宋体" w:eastAsia="宋体" w:hint="default"/>
                            <w:sz w:val="16"/>
                            <w:szCs w:val="16"/>
                          </w:rPr>
                        </w:pPr>
                        <w:r>
                          <w:rPr>
                            <w:rFonts w:ascii="宋体"/>
                            <w:spacing w:val="-1"/>
                            <w:sz w:val="16"/>
                          </w:rPr>
                          <w:t>0.00</w:t>
                        </w:r>
                      </w:p>
                    </w:tc>
                    <w:tc>
                      <w:tcPr>
                        <w:tcW w:w="1030" w:type="dxa"/>
                        <w:tcBorders>
                          <w:top w:val="nil" w:sz="6" w:space="0" w:color="auto"/>
                          <w:left w:val="nil" w:sz="6" w:space="0" w:color="auto"/>
                          <w:bottom w:val="nil" w:sz="6" w:space="0" w:color="auto"/>
                          <w:right w:val="nil" w:sz="6" w:space="0" w:color="auto"/>
                        </w:tcBorders>
                      </w:tcPr>
                      <w:p>
                        <w:pPr>
                          <w:pStyle w:val="TableParagraph"/>
                          <w:spacing w:line="80" w:lineRule="exact"/>
                          <w:ind w:right="176"/>
                          <w:jc w:val="right"/>
                          <w:rPr>
                            <w:rFonts w:ascii="宋体" w:hAnsi="宋体" w:cs="宋体" w:eastAsia="宋体" w:hint="default"/>
                            <w:sz w:val="16"/>
                            <w:szCs w:val="16"/>
                          </w:rPr>
                        </w:pPr>
                        <w:r>
                          <w:rPr>
                            <w:rFonts w:ascii="宋体"/>
                            <w:spacing w:val="-1"/>
                            <w:sz w:val="16"/>
                          </w:rPr>
                          <w:t>0.00</w:t>
                        </w:r>
                      </w:p>
                    </w:tc>
                    <w:tc>
                      <w:tcPr>
                        <w:tcW w:w="1722" w:type="dxa"/>
                        <w:tcBorders>
                          <w:top w:val="nil" w:sz="6" w:space="0" w:color="auto"/>
                          <w:left w:val="nil" w:sz="6" w:space="0" w:color="auto"/>
                          <w:bottom w:val="nil" w:sz="6" w:space="0" w:color="auto"/>
                          <w:right w:val="nil" w:sz="6" w:space="0" w:color="auto"/>
                        </w:tcBorders>
                      </w:tcPr>
                      <w:p>
                        <w:pPr>
                          <w:pStyle w:val="TableParagraph"/>
                          <w:spacing w:line="80" w:lineRule="exact"/>
                          <w:ind w:right="501"/>
                          <w:jc w:val="right"/>
                          <w:rPr>
                            <w:rFonts w:ascii="宋体" w:hAnsi="宋体" w:cs="宋体" w:eastAsia="宋体" w:hint="default"/>
                            <w:sz w:val="16"/>
                            <w:szCs w:val="16"/>
                          </w:rPr>
                        </w:pPr>
                        <w:r>
                          <w:rPr>
                            <w:rFonts w:ascii="宋体"/>
                            <w:spacing w:val="-1"/>
                            <w:sz w:val="16"/>
                          </w:rPr>
                          <w:t>0.00</w:t>
                        </w:r>
                      </w:p>
                    </w:tc>
                    <w:tc>
                      <w:tcPr>
                        <w:tcW w:w="970" w:type="dxa"/>
                        <w:tcBorders>
                          <w:top w:val="nil" w:sz="6" w:space="0" w:color="auto"/>
                          <w:left w:val="nil" w:sz="6" w:space="0" w:color="auto"/>
                          <w:bottom w:val="nil" w:sz="6" w:space="0" w:color="auto"/>
                          <w:right w:val="nil" w:sz="6" w:space="0" w:color="auto"/>
                        </w:tcBorders>
                      </w:tcPr>
                      <w:p>
                        <w:pPr>
                          <w:pStyle w:val="TableParagraph"/>
                          <w:spacing w:line="80" w:lineRule="exact"/>
                          <w:ind w:right="143"/>
                          <w:jc w:val="right"/>
                          <w:rPr>
                            <w:rFonts w:ascii="宋体" w:hAnsi="宋体" w:cs="宋体" w:eastAsia="宋体" w:hint="default"/>
                            <w:sz w:val="16"/>
                            <w:szCs w:val="16"/>
                          </w:rPr>
                        </w:pPr>
                        <w:r>
                          <w:rPr>
                            <w:rFonts w:ascii="宋体"/>
                            <w:spacing w:val="-1"/>
                            <w:sz w:val="16"/>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80" w:lineRule="exact"/>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80" w:lineRule="exact"/>
                          <w:ind w:right="254"/>
                          <w:jc w:val="right"/>
                          <w:rPr>
                            <w:rFonts w:ascii="宋体" w:hAnsi="宋体" w:cs="宋体" w:eastAsia="宋体" w:hint="default"/>
                            <w:sz w:val="16"/>
                            <w:szCs w:val="16"/>
                          </w:rPr>
                        </w:pPr>
                        <w:r>
                          <w:rPr>
                            <w:rFonts w:ascii="宋体"/>
                            <w:spacing w:val="-1"/>
                            <w:sz w:val="16"/>
                          </w:rPr>
                          <w:t>0.00</w:t>
                        </w:r>
                      </w:p>
                    </w:tc>
                    <w:tc>
                      <w:tcPr>
                        <w:tcW w:w="789" w:type="dxa"/>
                        <w:tcBorders>
                          <w:top w:val="nil" w:sz="6" w:space="0" w:color="auto"/>
                          <w:left w:val="nil" w:sz="6" w:space="0" w:color="auto"/>
                          <w:bottom w:val="nil" w:sz="6" w:space="0" w:color="auto"/>
                          <w:right w:val="nil" w:sz="6" w:space="0" w:color="auto"/>
                        </w:tcBorders>
                      </w:tcPr>
                      <w:p>
                        <w:pPr>
                          <w:pStyle w:val="TableParagraph"/>
                          <w:spacing w:line="183" w:lineRule="exact"/>
                          <w:ind w:right="209"/>
                          <w:jc w:val="right"/>
                          <w:rPr>
                            <w:rFonts w:ascii="宋体" w:hAnsi="宋体" w:cs="宋体" w:eastAsia="宋体" w:hint="default"/>
                            <w:sz w:val="16"/>
                            <w:szCs w:val="16"/>
                          </w:rPr>
                        </w:pPr>
                        <w:r>
                          <w:rPr>
                            <w:rFonts w:ascii="宋体"/>
                            <w:w w:val="100"/>
                            <w:sz w:val="16"/>
                          </w:rPr>
                          <w:t>2</w:t>
                        </w:r>
                      </w:p>
                    </w:tc>
                    <w:tc>
                      <w:tcPr>
                        <w:tcW w:w="1298" w:type="dxa"/>
                        <w:tcBorders>
                          <w:top w:val="nil" w:sz="6" w:space="0" w:color="auto"/>
                          <w:left w:val="nil" w:sz="6" w:space="0" w:color="auto"/>
                          <w:bottom w:val="nil" w:sz="6" w:space="0" w:color="auto"/>
                          <w:right w:val="nil" w:sz="6" w:space="0" w:color="auto"/>
                        </w:tcBorders>
                      </w:tcPr>
                      <w:p>
                        <w:pPr>
                          <w:pStyle w:val="TableParagraph"/>
                          <w:spacing w:line="80" w:lineRule="exact"/>
                          <w:ind w:right="123"/>
                          <w:jc w:val="right"/>
                          <w:rPr>
                            <w:rFonts w:ascii="宋体" w:hAnsi="宋体" w:cs="宋体" w:eastAsia="宋体" w:hint="default"/>
                            <w:sz w:val="16"/>
                            <w:szCs w:val="16"/>
                          </w:rPr>
                        </w:pPr>
                        <w:r>
                          <w:rPr>
                            <w:rFonts w:ascii="宋体"/>
                            <w:spacing w:val="-2"/>
                            <w:sz w:val="16"/>
                          </w:rPr>
                          <w:t>2,444,378.10</w:t>
                        </w:r>
                      </w:p>
                    </w:tc>
                    <w:tc>
                      <w:tcPr>
                        <w:tcW w:w="1119" w:type="dxa"/>
                        <w:tcBorders>
                          <w:top w:val="nil" w:sz="6" w:space="0" w:color="auto"/>
                          <w:left w:val="nil" w:sz="6" w:space="0" w:color="auto"/>
                          <w:bottom w:val="nil" w:sz="6" w:space="0" w:color="auto"/>
                          <w:right w:val="nil" w:sz="6" w:space="0" w:color="auto"/>
                        </w:tcBorders>
                      </w:tcPr>
                      <w:p>
                        <w:pPr>
                          <w:pStyle w:val="TableParagraph"/>
                          <w:spacing w:line="80" w:lineRule="exact"/>
                          <w:ind w:right="30"/>
                          <w:jc w:val="right"/>
                          <w:rPr>
                            <w:rFonts w:ascii="宋体" w:hAnsi="宋体" w:cs="宋体" w:eastAsia="宋体" w:hint="default"/>
                            <w:sz w:val="16"/>
                            <w:szCs w:val="16"/>
                          </w:rPr>
                        </w:pPr>
                        <w:r>
                          <w:rPr>
                            <w:rFonts w:ascii="宋体"/>
                            <w:spacing w:val="-2"/>
                            <w:sz w:val="16"/>
                          </w:rPr>
                          <w:t>2,444,378.10</w:t>
                        </w:r>
                      </w:p>
                    </w:tc>
                  </w:tr>
                  <w:tr>
                    <w:trPr>
                      <w:trHeight w:val="270"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05" w:lineRule="exact"/>
                          <w:ind w:left="33" w:right="0"/>
                          <w:jc w:val="left"/>
                          <w:rPr>
                            <w:rFonts w:ascii="宋体" w:hAnsi="宋体" w:cs="宋体" w:eastAsia="宋体" w:hint="default"/>
                            <w:sz w:val="16"/>
                            <w:szCs w:val="16"/>
                          </w:rPr>
                        </w:pPr>
                        <w:r>
                          <w:rPr>
                            <w:rFonts w:ascii="宋体" w:hAnsi="宋体" w:cs="宋体" w:eastAsia="宋体" w:hint="default"/>
                            <w:sz w:val="16"/>
                            <w:szCs w:val="16"/>
                          </w:rPr>
                          <w:t>嘉峪关市智慧雄关信息科技有限责任公司</w:t>
                        </w:r>
                      </w:p>
                    </w:tc>
                    <w:tc>
                      <w:tcPr>
                        <w:tcW w:w="1489" w:type="dxa"/>
                        <w:tcBorders>
                          <w:top w:val="nil" w:sz="6" w:space="0" w:color="auto"/>
                          <w:left w:val="nil" w:sz="6" w:space="0" w:color="auto"/>
                          <w:bottom w:val="nil" w:sz="6" w:space="0" w:color="auto"/>
                          <w:right w:val="nil" w:sz="6" w:space="0" w:color="auto"/>
                        </w:tcBorders>
                      </w:tcPr>
                      <w:p>
                        <w:pPr>
                          <w:pStyle w:val="TableParagraph"/>
                          <w:spacing w:line="205" w:lineRule="exact"/>
                          <w:ind w:right="254"/>
                          <w:jc w:val="right"/>
                          <w:rPr>
                            <w:rFonts w:ascii="宋体" w:hAnsi="宋体" w:cs="宋体" w:eastAsia="宋体" w:hint="default"/>
                            <w:sz w:val="16"/>
                            <w:szCs w:val="16"/>
                          </w:rPr>
                        </w:pPr>
                        <w:r>
                          <w:rPr>
                            <w:rFonts w:ascii="宋体"/>
                            <w:spacing w:val="-1"/>
                            <w:sz w:val="16"/>
                          </w:rPr>
                          <w:t>0.00</w:t>
                        </w:r>
                      </w:p>
                    </w:tc>
                    <w:tc>
                      <w:tcPr>
                        <w:tcW w:w="1269" w:type="dxa"/>
                        <w:tcBorders>
                          <w:top w:val="nil" w:sz="6" w:space="0" w:color="auto"/>
                          <w:left w:val="nil" w:sz="6" w:space="0" w:color="auto"/>
                          <w:bottom w:val="nil" w:sz="6" w:space="0" w:color="auto"/>
                          <w:right w:val="nil" w:sz="6" w:space="0" w:color="auto"/>
                        </w:tcBorders>
                      </w:tcPr>
                      <w:p>
                        <w:pPr>
                          <w:pStyle w:val="TableParagraph"/>
                          <w:spacing w:line="205" w:lineRule="exact"/>
                          <w:ind w:right="49"/>
                          <w:jc w:val="right"/>
                          <w:rPr>
                            <w:rFonts w:ascii="宋体" w:hAnsi="宋体" w:cs="宋体" w:eastAsia="宋体" w:hint="default"/>
                            <w:sz w:val="16"/>
                            <w:szCs w:val="16"/>
                          </w:rPr>
                        </w:pPr>
                        <w:r>
                          <w:rPr>
                            <w:rFonts w:ascii="宋体"/>
                            <w:spacing w:val="-2"/>
                            <w:sz w:val="16"/>
                          </w:rPr>
                          <w:t>2,400,000.00</w:t>
                        </w:r>
                      </w:p>
                    </w:tc>
                    <w:tc>
                      <w:tcPr>
                        <w:tcW w:w="1030" w:type="dxa"/>
                        <w:tcBorders>
                          <w:top w:val="nil" w:sz="6" w:space="0" w:color="auto"/>
                          <w:left w:val="nil" w:sz="6" w:space="0" w:color="auto"/>
                          <w:bottom w:val="nil" w:sz="6" w:space="0" w:color="auto"/>
                          <w:right w:val="nil" w:sz="6" w:space="0" w:color="auto"/>
                        </w:tcBorders>
                      </w:tcPr>
                      <w:p>
                        <w:pPr>
                          <w:pStyle w:val="TableParagraph"/>
                          <w:spacing w:line="205" w:lineRule="exact"/>
                          <w:ind w:right="176"/>
                          <w:jc w:val="right"/>
                          <w:rPr>
                            <w:rFonts w:ascii="宋体" w:hAnsi="宋体" w:cs="宋体" w:eastAsia="宋体" w:hint="default"/>
                            <w:sz w:val="16"/>
                            <w:szCs w:val="16"/>
                          </w:rPr>
                        </w:pPr>
                        <w:r>
                          <w:rPr>
                            <w:rFonts w:ascii="宋体"/>
                            <w:spacing w:val="-1"/>
                            <w:sz w:val="16"/>
                          </w:rPr>
                          <w:t>0.00</w:t>
                        </w:r>
                      </w:p>
                    </w:tc>
                    <w:tc>
                      <w:tcPr>
                        <w:tcW w:w="1722" w:type="dxa"/>
                        <w:tcBorders>
                          <w:top w:val="nil" w:sz="6" w:space="0" w:color="auto"/>
                          <w:left w:val="nil" w:sz="6" w:space="0" w:color="auto"/>
                          <w:bottom w:val="nil" w:sz="6" w:space="0" w:color="auto"/>
                          <w:right w:val="nil" w:sz="6" w:space="0" w:color="auto"/>
                        </w:tcBorders>
                      </w:tcPr>
                      <w:p>
                        <w:pPr>
                          <w:pStyle w:val="TableParagraph"/>
                          <w:spacing w:line="205" w:lineRule="exact"/>
                          <w:ind w:right="501"/>
                          <w:jc w:val="right"/>
                          <w:rPr>
                            <w:rFonts w:ascii="宋体" w:hAnsi="宋体" w:cs="宋体" w:eastAsia="宋体" w:hint="default"/>
                            <w:sz w:val="16"/>
                            <w:szCs w:val="16"/>
                          </w:rPr>
                        </w:pPr>
                        <w:r>
                          <w:rPr>
                            <w:rFonts w:ascii="宋体"/>
                            <w:spacing w:val="-2"/>
                            <w:sz w:val="16"/>
                          </w:rPr>
                          <w:t>-55,562.29</w:t>
                        </w:r>
                      </w:p>
                    </w:tc>
                    <w:tc>
                      <w:tcPr>
                        <w:tcW w:w="970" w:type="dxa"/>
                        <w:tcBorders>
                          <w:top w:val="nil" w:sz="6" w:space="0" w:color="auto"/>
                          <w:left w:val="nil" w:sz="6" w:space="0" w:color="auto"/>
                          <w:bottom w:val="nil" w:sz="6" w:space="0" w:color="auto"/>
                          <w:right w:val="nil" w:sz="6" w:space="0" w:color="auto"/>
                        </w:tcBorders>
                      </w:tcPr>
                      <w:p>
                        <w:pPr>
                          <w:pStyle w:val="TableParagraph"/>
                          <w:spacing w:line="205" w:lineRule="exact"/>
                          <w:ind w:right="143"/>
                          <w:jc w:val="right"/>
                          <w:rPr>
                            <w:rFonts w:ascii="宋体" w:hAnsi="宋体" w:cs="宋体" w:eastAsia="宋体" w:hint="default"/>
                            <w:sz w:val="16"/>
                            <w:szCs w:val="16"/>
                          </w:rPr>
                        </w:pPr>
                        <w:r>
                          <w:rPr>
                            <w:rFonts w:ascii="宋体"/>
                            <w:spacing w:val="-1"/>
                            <w:sz w:val="16"/>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05" w:lineRule="exact"/>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05" w:lineRule="exact"/>
                          <w:ind w:right="254"/>
                          <w:jc w:val="right"/>
                          <w:rPr>
                            <w:rFonts w:ascii="宋体" w:hAnsi="宋体" w:cs="宋体" w:eastAsia="宋体" w:hint="default"/>
                            <w:sz w:val="16"/>
                            <w:szCs w:val="16"/>
                          </w:rPr>
                        </w:pPr>
                        <w:r>
                          <w:rPr>
                            <w:rFonts w:ascii="宋体"/>
                            <w:spacing w:val="-1"/>
                            <w:sz w:val="16"/>
                          </w:rPr>
                          <w:t>0.00</w:t>
                        </w:r>
                      </w:p>
                    </w:tc>
                    <w:tc>
                      <w:tcPr>
                        <w:tcW w:w="789" w:type="dxa"/>
                        <w:tcBorders>
                          <w:top w:val="nil" w:sz="6" w:space="0" w:color="auto"/>
                          <w:left w:val="nil" w:sz="6" w:space="0" w:color="auto"/>
                          <w:bottom w:val="nil" w:sz="6" w:space="0" w:color="auto"/>
                          <w:right w:val="nil" w:sz="6" w:space="0" w:color="auto"/>
                        </w:tcBorders>
                      </w:tcPr>
                      <w:p>
                        <w:pPr>
                          <w:pStyle w:val="TableParagraph"/>
                          <w:spacing w:line="205" w:lineRule="exact"/>
                          <w:ind w:right="209"/>
                          <w:jc w:val="right"/>
                          <w:rPr>
                            <w:rFonts w:ascii="宋体" w:hAnsi="宋体" w:cs="宋体" w:eastAsia="宋体" w:hint="default"/>
                            <w:sz w:val="16"/>
                            <w:szCs w:val="16"/>
                          </w:rPr>
                        </w:pPr>
                        <w:r>
                          <w:rPr>
                            <w:rFonts w:ascii="宋体"/>
                            <w:spacing w:val="-1"/>
                            <w:sz w:val="16"/>
                          </w:rPr>
                          <w:t>0.00</w:t>
                        </w:r>
                      </w:p>
                    </w:tc>
                    <w:tc>
                      <w:tcPr>
                        <w:tcW w:w="1298" w:type="dxa"/>
                        <w:tcBorders>
                          <w:top w:val="nil" w:sz="6" w:space="0" w:color="auto"/>
                          <w:left w:val="nil" w:sz="6" w:space="0" w:color="auto"/>
                          <w:bottom w:val="nil" w:sz="6" w:space="0" w:color="auto"/>
                          <w:right w:val="nil" w:sz="6" w:space="0" w:color="auto"/>
                        </w:tcBorders>
                      </w:tcPr>
                      <w:p>
                        <w:pPr>
                          <w:pStyle w:val="TableParagraph"/>
                          <w:spacing w:line="205" w:lineRule="exact"/>
                          <w:ind w:right="123"/>
                          <w:jc w:val="right"/>
                          <w:rPr>
                            <w:rFonts w:ascii="宋体" w:hAnsi="宋体" w:cs="宋体" w:eastAsia="宋体" w:hint="default"/>
                            <w:sz w:val="16"/>
                            <w:szCs w:val="16"/>
                          </w:rPr>
                        </w:pPr>
                        <w:r>
                          <w:rPr>
                            <w:rFonts w:ascii="宋体"/>
                            <w:spacing w:val="-2"/>
                            <w:sz w:val="16"/>
                          </w:rPr>
                          <w:t>2,344,437.71</w:t>
                        </w:r>
                      </w:p>
                    </w:tc>
                    <w:tc>
                      <w:tcPr>
                        <w:tcW w:w="1119" w:type="dxa"/>
                        <w:tcBorders>
                          <w:top w:val="nil" w:sz="6" w:space="0" w:color="auto"/>
                          <w:left w:val="nil" w:sz="6" w:space="0" w:color="auto"/>
                          <w:bottom w:val="nil" w:sz="6" w:space="0" w:color="auto"/>
                          <w:right w:val="nil" w:sz="6" w:space="0" w:color="auto"/>
                        </w:tcBorders>
                      </w:tcPr>
                      <w:p>
                        <w:pPr>
                          <w:pStyle w:val="TableParagraph"/>
                          <w:spacing w:line="205" w:lineRule="exact"/>
                          <w:ind w:right="30"/>
                          <w:jc w:val="right"/>
                          <w:rPr>
                            <w:rFonts w:ascii="宋体" w:hAnsi="宋体" w:cs="宋体" w:eastAsia="宋体" w:hint="default"/>
                            <w:sz w:val="16"/>
                            <w:szCs w:val="16"/>
                          </w:rPr>
                        </w:pPr>
                        <w:r>
                          <w:rPr>
                            <w:rFonts w:ascii="宋体"/>
                            <w:spacing w:val="-1"/>
                            <w:sz w:val="16"/>
                          </w:rPr>
                          <w:t>0.00</w:t>
                        </w:r>
                      </w:p>
                    </w:tc>
                  </w:tr>
                  <w:tr>
                    <w:trPr>
                      <w:trHeight w:val="289"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3" w:right="0"/>
                          <w:jc w:val="left"/>
                          <w:rPr>
                            <w:rFonts w:ascii="宋体" w:hAnsi="宋体" w:cs="宋体" w:eastAsia="宋体" w:hint="default"/>
                            <w:sz w:val="16"/>
                            <w:szCs w:val="16"/>
                          </w:rPr>
                        </w:pPr>
                        <w:r>
                          <w:rPr>
                            <w:rFonts w:ascii="宋体" w:hAnsi="宋体" w:cs="宋体" w:eastAsia="宋体" w:hint="default"/>
                            <w:sz w:val="16"/>
                            <w:szCs w:val="16"/>
                          </w:rPr>
                          <w:t>同方佰宜科技（北京）有限公司</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2"/>
                            <w:sz w:val="16"/>
                          </w:rPr>
                          <w:t>3,354,710.49</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9"/>
                          <w:jc w:val="right"/>
                          <w:rPr>
                            <w:rFonts w:ascii="宋体" w:hAnsi="宋体" w:cs="宋体" w:eastAsia="宋体" w:hint="default"/>
                            <w:sz w:val="16"/>
                            <w:szCs w:val="16"/>
                          </w:rPr>
                        </w:pPr>
                        <w:r>
                          <w:rPr>
                            <w:rFonts w:ascii="宋体"/>
                            <w:spacing w:val="-1"/>
                            <w:sz w:val="16"/>
                          </w:rPr>
                          <w:t>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1"/>
                          <w:jc w:val="right"/>
                          <w:rPr>
                            <w:rFonts w:ascii="宋体" w:hAnsi="宋体" w:cs="宋体" w:eastAsia="宋体" w:hint="default"/>
                            <w:sz w:val="16"/>
                            <w:szCs w:val="16"/>
                          </w:rPr>
                        </w:pPr>
                        <w:r>
                          <w:rPr>
                            <w:rFonts w:ascii="宋体"/>
                            <w:spacing w:val="-2"/>
                            <w:sz w:val="16"/>
                          </w:rPr>
                          <w:t>-1,080,260.88</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3"/>
                          <w:jc w:val="right"/>
                          <w:rPr>
                            <w:rFonts w:ascii="宋体" w:hAnsi="宋体" w:cs="宋体" w:eastAsia="宋体" w:hint="default"/>
                            <w:sz w:val="16"/>
                            <w:szCs w:val="16"/>
                          </w:rPr>
                        </w:pPr>
                        <w:r>
                          <w:rPr>
                            <w:rFonts w:ascii="宋体"/>
                            <w:spacing w:val="-1"/>
                            <w:sz w:val="16"/>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宋体" w:hAnsi="宋体" w:cs="宋体" w:eastAsia="宋体" w:hint="default"/>
                            <w:sz w:val="16"/>
                            <w:szCs w:val="16"/>
                          </w:rPr>
                        </w:pPr>
                        <w:r>
                          <w:rPr>
                            <w:rFonts w:ascii="宋体"/>
                            <w:spacing w:val="-1"/>
                            <w:sz w:val="16"/>
                          </w:rPr>
                          <w:t>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3"/>
                          <w:jc w:val="right"/>
                          <w:rPr>
                            <w:rFonts w:ascii="宋体" w:hAnsi="宋体" w:cs="宋体" w:eastAsia="宋体" w:hint="default"/>
                            <w:sz w:val="16"/>
                            <w:szCs w:val="16"/>
                          </w:rPr>
                        </w:pPr>
                        <w:r>
                          <w:rPr>
                            <w:rFonts w:ascii="宋体"/>
                            <w:spacing w:val="-2"/>
                            <w:sz w:val="16"/>
                          </w:rPr>
                          <w:t>2,274,449.61</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89"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3" w:right="0"/>
                          <w:jc w:val="left"/>
                          <w:rPr>
                            <w:rFonts w:ascii="宋体" w:hAnsi="宋体" w:cs="宋体" w:eastAsia="宋体" w:hint="default"/>
                            <w:sz w:val="16"/>
                            <w:szCs w:val="16"/>
                          </w:rPr>
                        </w:pPr>
                        <w:r>
                          <w:rPr>
                            <w:rFonts w:ascii="宋体" w:hAnsi="宋体" w:cs="宋体" w:eastAsia="宋体" w:hint="default"/>
                            <w:sz w:val="16"/>
                            <w:szCs w:val="16"/>
                          </w:rPr>
                          <w:t>内蒙古清烯碳能科技发展有限公司</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4"/>
                          <w:jc w:val="right"/>
                          <w:rPr>
                            <w:rFonts w:ascii="宋体" w:hAnsi="宋体" w:cs="宋体" w:eastAsia="宋体" w:hint="default"/>
                            <w:sz w:val="16"/>
                            <w:szCs w:val="16"/>
                          </w:rPr>
                        </w:pPr>
                        <w:r>
                          <w:rPr>
                            <w:rFonts w:ascii="宋体"/>
                            <w:spacing w:val="-2"/>
                            <w:sz w:val="16"/>
                          </w:rPr>
                          <w:t>1,884,273.95</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9"/>
                          <w:jc w:val="right"/>
                          <w:rPr>
                            <w:rFonts w:ascii="宋体" w:hAnsi="宋体" w:cs="宋体" w:eastAsia="宋体" w:hint="default"/>
                            <w:sz w:val="16"/>
                            <w:szCs w:val="16"/>
                          </w:rPr>
                        </w:pPr>
                        <w:r>
                          <w:rPr>
                            <w:rFonts w:ascii="宋体"/>
                            <w:spacing w:val="-1"/>
                            <w:sz w:val="16"/>
                          </w:rPr>
                          <w:t>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6"/>
                          <w:jc w:val="right"/>
                          <w:rPr>
                            <w:rFonts w:ascii="宋体" w:hAnsi="宋体" w:cs="宋体" w:eastAsia="宋体" w:hint="default"/>
                            <w:sz w:val="16"/>
                            <w:szCs w:val="16"/>
                          </w:rPr>
                        </w:pPr>
                        <w:r>
                          <w:rPr>
                            <w:rFonts w:ascii="宋体"/>
                            <w:spacing w:val="-1"/>
                            <w:sz w:val="16"/>
                          </w:rPr>
                          <w:t>0.00</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01"/>
                          <w:jc w:val="right"/>
                          <w:rPr>
                            <w:rFonts w:ascii="宋体" w:hAnsi="宋体" w:cs="宋体" w:eastAsia="宋体" w:hint="default"/>
                            <w:sz w:val="16"/>
                            <w:szCs w:val="16"/>
                          </w:rPr>
                        </w:pPr>
                        <w:r>
                          <w:rPr>
                            <w:rFonts w:ascii="宋体"/>
                            <w:spacing w:val="-1"/>
                            <w:sz w:val="16"/>
                          </w:rPr>
                          <w:t>-142,400.15</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3"/>
                          <w:jc w:val="right"/>
                          <w:rPr>
                            <w:rFonts w:ascii="宋体" w:hAnsi="宋体" w:cs="宋体" w:eastAsia="宋体" w:hint="default"/>
                            <w:sz w:val="16"/>
                            <w:szCs w:val="16"/>
                          </w:rPr>
                        </w:pPr>
                        <w:r>
                          <w:rPr>
                            <w:rFonts w:ascii="宋体"/>
                            <w:spacing w:val="-1"/>
                            <w:sz w:val="16"/>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4"/>
                          <w:jc w:val="right"/>
                          <w:rPr>
                            <w:rFonts w:ascii="宋体" w:hAnsi="宋体" w:cs="宋体" w:eastAsia="宋体" w:hint="default"/>
                            <w:sz w:val="16"/>
                            <w:szCs w:val="16"/>
                          </w:rPr>
                        </w:pPr>
                        <w:r>
                          <w:rPr>
                            <w:rFonts w:ascii="宋体"/>
                            <w:spacing w:val="-1"/>
                            <w:sz w:val="16"/>
                          </w:rPr>
                          <w:t>0.00</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9"/>
                          <w:jc w:val="right"/>
                          <w:rPr>
                            <w:rFonts w:ascii="宋体" w:hAnsi="宋体" w:cs="宋体" w:eastAsia="宋体" w:hint="default"/>
                            <w:sz w:val="16"/>
                            <w:szCs w:val="16"/>
                          </w:rPr>
                        </w:pPr>
                        <w:r>
                          <w:rPr>
                            <w:rFonts w:ascii="宋体"/>
                            <w:spacing w:val="-1"/>
                            <w:sz w:val="16"/>
                          </w:rPr>
                          <w:t>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3"/>
                          <w:jc w:val="right"/>
                          <w:rPr>
                            <w:rFonts w:ascii="宋体" w:hAnsi="宋体" w:cs="宋体" w:eastAsia="宋体" w:hint="default"/>
                            <w:sz w:val="16"/>
                            <w:szCs w:val="16"/>
                          </w:rPr>
                        </w:pPr>
                        <w:r>
                          <w:rPr>
                            <w:rFonts w:ascii="宋体"/>
                            <w:spacing w:val="-2"/>
                            <w:sz w:val="16"/>
                          </w:rPr>
                          <w:t>1,741,873.80</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
                          <w:jc w:val="right"/>
                          <w:rPr>
                            <w:rFonts w:ascii="宋体" w:hAnsi="宋体" w:cs="宋体" w:eastAsia="宋体" w:hint="default"/>
                            <w:sz w:val="16"/>
                            <w:szCs w:val="16"/>
                          </w:rPr>
                        </w:pPr>
                        <w:r>
                          <w:rPr>
                            <w:rFonts w:ascii="宋体"/>
                            <w:spacing w:val="-1"/>
                            <w:sz w:val="16"/>
                          </w:rPr>
                          <w:t>0.00</w:t>
                        </w:r>
                      </w:p>
                    </w:tc>
                  </w:tr>
                  <w:tr>
                    <w:trPr>
                      <w:trHeight w:val="290"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3" w:right="0"/>
                          <w:jc w:val="left"/>
                          <w:rPr>
                            <w:rFonts w:ascii="宋体" w:hAnsi="宋体" w:cs="宋体" w:eastAsia="宋体" w:hint="default"/>
                            <w:sz w:val="16"/>
                            <w:szCs w:val="16"/>
                          </w:rPr>
                        </w:pPr>
                        <w:r>
                          <w:rPr>
                            <w:rFonts w:ascii="宋体" w:hAnsi="宋体" w:cs="宋体" w:eastAsia="宋体" w:hint="default"/>
                            <w:sz w:val="16"/>
                            <w:szCs w:val="16"/>
                          </w:rPr>
                          <w:t>广州同艺照明有限公司</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2"/>
                            <w:sz w:val="16"/>
                          </w:rPr>
                          <w:t>1,560,000.00</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9"/>
                          <w:jc w:val="right"/>
                          <w:rPr>
                            <w:rFonts w:ascii="宋体" w:hAnsi="宋体" w:cs="宋体" w:eastAsia="宋体" w:hint="default"/>
                            <w:sz w:val="16"/>
                            <w:szCs w:val="16"/>
                          </w:rPr>
                        </w:pPr>
                        <w:r>
                          <w:rPr>
                            <w:rFonts w:ascii="宋体"/>
                            <w:spacing w:val="-1"/>
                            <w:sz w:val="16"/>
                          </w:rPr>
                          <w:t>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1"/>
                          <w:jc w:val="right"/>
                          <w:rPr>
                            <w:rFonts w:ascii="宋体" w:hAnsi="宋体" w:cs="宋体" w:eastAsia="宋体" w:hint="default"/>
                            <w:sz w:val="16"/>
                            <w:szCs w:val="16"/>
                          </w:rPr>
                        </w:pPr>
                        <w:r>
                          <w:rPr>
                            <w:rFonts w:ascii="宋体"/>
                            <w:spacing w:val="-1"/>
                            <w:sz w:val="16"/>
                          </w:rPr>
                          <w:t>0.00</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3"/>
                          <w:jc w:val="right"/>
                          <w:rPr>
                            <w:rFonts w:ascii="宋体" w:hAnsi="宋体" w:cs="宋体" w:eastAsia="宋体" w:hint="default"/>
                            <w:sz w:val="16"/>
                            <w:szCs w:val="16"/>
                          </w:rPr>
                        </w:pPr>
                        <w:r>
                          <w:rPr>
                            <w:rFonts w:ascii="宋体"/>
                            <w:spacing w:val="-1"/>
                            <w:sz w:val="16"/>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宋体" w:hAnsi="宋体" w:cs="宋体" w:eastAsia="宋体" w:hint="default"/>
                            <w:sz w:val="16"/>
                            <w:szCs w:val="16"/>
                          </w:rPr>
                        </w:pPr>
                        <w:r>
                          <w:rPr>
                            <w:rFonts w:ascii="宋体"/>
                            <w:spacing w:val="-1"/>
                            <w:sz w:val="16"/>
                          </w:rPr>
                          <w:t>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3"/>
                          <w:jc w:val="right"/>
                          <w:rPr>
                            <w:rFonts w:ascii="宋体" w:hAnsi="宋体" w:cs="宋体" w:eastAsia="宋体" w:hint="default"/>
                            <w:sz w:val="16"/>
                            <w:szCs w:val="16"/>
                          </w:rPr>
                        </w:pPr>
                        <w:r>
                          <w:rPr>
                            <w:rFonts w:ascii="宋体"/>
                            <w:spacing w:val="-2"/>
                            <w:sz w:val="16"/>
                          </w:rPr>
                          <w:t>1,560,000.00</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2"/>
                            <w:sz w:val="16"/>
                          </w:rPr>
                          <w:t>1,560,000.00</w:t>
                        </w:r>
                      </w:p>
                    </w:tc>
                  </w:tr>
                  <w:tr>
                    <w:trPr>
                      <w:trHeight w:val="290"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3" w:right="0"/>
                          <w:jc w:val="left"/>
                          <w:rPr>
                            <w:rFonts w:ascii="宋体" w:hAnsi="宋体" w:cs="宋体" w:eastAsia="宋体" w:hint="default"/>
                            <w:sz w:val="16"/>
                            <w:szCs w:val="16"/>
                          </w:rPr>
                        </w:pPr>
                        <w:r>
                          <w:rPr>
                            <w:rFonts w:ascii="宋体" w:hAnsi="宋体" w:cs="宋体" w:eastAsia="宋体" w:hint="default"/>
                            <w:sz w:val="16"/>
                            <w:szCs w:val="16"/>
                          </w:rPr>
                          <w:t>河南同盟智慧城市科技有限公司</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9"/>
                          <w:jc w:val="right"/>
                          <w:rPr>
                            <w:rFonts w:ascii="宋体" w:hAnsi="宋体" w:cs="宋体" w:eastAsia="宋体" w:hint="default"/>
                            <w:sz w:val="16"/>
                            <w:szCs w:val="16"/>
                          </w:rPr>
                        </w:pPr>
                        <w:r>
                          <w:rPr>
                            <w:rFonts w:ascii="宋体"/>
                            <w:spacing w:val="-2"/>
                            <w:sz w:val="16"/>
                          </w:rPr>
                          <w:t>1,000,000.00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1"/>
                          <w:jc w:val="right"/>
                          <w:rPr>
                            <w:rFonts w:ascii="宋体" w:hAnsi="宋体" w:cs="宋体" w:eastAsia="宋体" w:hint="default"/>
                            <w:sz w:val="16"/>
                            <w:szCs w:val="16"/>
                          </w:rPr>
                        </w:pPr>
                        <w:r>
                          <w:rPr>
                            <w:rFonts w:ascii="宋体"/>
                            <w:spacing w:val="-1"/>
                            <w:sz w:val="16"/>
                          </w:rPr>
                          <w:t>0.00</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3"/>
                          <w:jc w:val="right"/>
                          <w:rPr>
                            <w:rFonts w:ascii="宋体" w:hAnsi="宋体" w:cs="宋体" w:eastAsia="宋体" w:hint="default"/>
                            <w:sz w:val="16"/>
                            <w:szCs w:val="16"/>
                          </w:rPr>
                        </w:pPr>
                        <w:r>
                          <w:rPr>
                            <w:rFonts w:ascii="宋体"/>
                            <w:spacing w:val="-1"/>
                            <w:sz w:val="16"/>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宋体" w:hAnsi="宋体" w:cs="宋体" w:eastAsia="宋体" w:hint="default"/>
                            <w:sz w:val="16"/>
                            <w:szCs w:val="16"/>
                          </w:rPr>
                        </w:pPr>
                        <w:r>
                          <w:rPr>
                            <w:rFonts w:ascii="宋体"/>
                            <w:spacing w:val="-1"/>
                            <w:sz w:val="16"/>
                          </w:rPr>
                          <w:t>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3"/>
                          <w:jc w:val="right"/>
                          <w:rPr>
                            <w:rFonts w:ascii="宋体" w:hAnsi="宋体" w:cs="宋体" w:eastAsia="宋体" w:hint="default"/>
                            <w:sz w:val="16"/>
                            <w:szCs w:val="16"/>
                          </w:rPr>
                        </w:pPr>
                        <w:r>
                          <w:rPr>
                            <w:rFonts w:ascii="宋体"/>
                            <w:spacing w:val="-2"/>
                            <w:sz w:val="16"/>
                          </w:rPr>
                          <w:t>1,000,000.00</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90"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3" w:right="0"/>
                          <w:jc w:val="left"/>
                          <w:rPr>
                            <w:rFonts w:ascii="宋体" w:hAnsi="宋体" w:cs="宋体" w:eastAsia="宋体" w:hint="default"/>
                            <w:sz w:val="16"/>
                            <w:szCs w:val="16"/>
                          </w:rPr>
                        </w:pPr>
                        <w:r>
                          <w:rPr>
                            <w:rFonts w:ascii="宋体"/>
                            <w:sz w:val="16"/>
                          </w:rPr>
                          <w:t>TechnovatorQatar</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2"/>
                            <w:sz w:val="16"/>
                          </w:rPr>
                          <w:t>184,361.40</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9"/>
                          <w:jc w:val="right"/>
                          <w:rPr>
                            <w:rFonts w:ascii="宋体" w:hAnsi="宋体" w:cs="宋体" w:eastAsia="宋体" w:hint="default"/>
                            <w:sz w:val="16"/>
                            <w:szCs w:val="16"/>
                          </w:rPr>
                        </w:pPr>
                        <w:r>
                          <w:rPr>
                            <w:rFonts w:ascii="宋体"/>
                            <w:spacing w:val="-1"/>
                            <w:sz w:val="16"/>
                          </w:rPr>
                          <w:t>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1"/>
                          <w:jc w:val="right"/>
                          <w:rPr>
                            <w:rFonts w:ascii="宋体" w:hAnsi="宋体" w:cs="宋体" w:eastAsia="宋体" w:hint="default"/>
                            <w:sz w:val="16"/>
                            <w:szCs w:val="16"/>
                          </w:rPr>
                        </w:pPr>
                        <w:r>
                          <w:rPr>
                            <w:rFonts w:ascii="宋体"/>
                            <w:spacing w:val="-1"/>
                            <w:sz w:val="16"/>
                          </w:rPr>
                          <w:t>0.00</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3"/>
                          <w:jc w:val="right"/>
                          <w:rPr>
                            <w:rFonts w:ascii="宋体" w:hAnsi="宋体" w:cs="宋体" w:eastAsia="宋体" w:hint="default"/>
                            <w:sz w:val="16"/>
                            <w:szCs w:val="16"/>
                          </w:rPr>
                        </w:pPr>
                        <w:r>
                          <w:rPr>
                            <w:rFonts w:ascii="宋体"/>
                            <w:spacing w:val="-1"/>
                            <w:sz w:val="16"/>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宋体" w:hAnsi="宋体" w:cs="宋体" w:eastAsia="宋体" w:hint="default"/>
                            <w:sz w:val="16"/>
                            <w:szCs w:val="16"/>
                          </w:rPr>
                        </w:pPr>
                        <w:r>
                          <w:rPr>
                            <w:rFonts w:ascii="宋体"/>
                            <w:spacing w:val="-1"/>
                            <w:sz w:val="16"/>
                          </w:rPr>
                          <w:t>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3"/>
                          <w:jc w:val="right"/>
                          <w:rPr>
                            <w:rFonts w:ascii="宋体" w:hAnsi="宋体" w:cs="宋体" w:eastAsia="宋体" w:hint="default"/>
                            <w:sz w:val="16"/>
                            <w:szCs w:val="16"/>
                          </w:rPr>
                        </w:pPr>
                        <w:r>
                          <w:rPr>
                            <w:rFonts w:ascii="宋体"/>
                            <w:spacing w:val="-2"/>
                            <w:sz w:val="16"/>
                          </w:rPr>
                          <w:t>184,361.40</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2"/>
                            <w:sz w:val="16"/>
                          </w:rPr>
                          <w:t>184,361.40</w:t>
                        </w:r>
                      </w:p>
                    </w:tc>
                  </w:tr>
                  <w:tr>
                    <w:trPr>
                      <w:trHeight w:val="291"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3" w:right="0"/>
                          <w:jc w:val="left"/>
                          <w:rPr>
                            <w:rFonts w:ascii="宋体" w:hAnsi="宋体" w:cs="宋体" w:eastAsia="宋体" w:hint="default"/>
                            <w:sz w:val="16"/>
                            <w:szCs w:val="16"/>
                          </w:rPr>
                        </w:pPr>
                        <w:r>
                          <w:rPr>
                            <w:rFonts w:ascii="宋体" w:hAnsi="宋体" w:cs="宋体" w:eastAsia="宋体" w:hint="default"/>
                            <w:sz w:val="16"/>
                            <w:szCs w:val="16"/>
                          </w:rPr>
                          <w:t>北京同方博宇工程技术有限公司</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9"/>
                          <w:jc w:val="right"/>
                          <w:rPr>
                            <w:rFonts w:ascii="宋体" w:hAnsi="宋体" w:cs="宋体" w:eastAsia="宋体" w:hint="default"/>
                            <w:sz w:val="16"/>
                            <w:szCs w:val="16"/>
                          </w:rPr>
                        </w:pPr>
                        <w:r>
                          <w:rPr>
                            <w:rFonts w:ascii="宋体"/>
                            <w:spacing w:val="-1"/>
                            <w:sz w:val="16"/>
                          </w:rPr>
                          <w:t>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1"/>
                          <w:jc w:val="right"/>
                          <w:rPr>
                            <w:rFonts w:ascii="宋体" w:hAnsi="宋体" w:cs="宋体" w:eastAsia="宋体" w:hint="default"/>
                            <w:sz w:val="16"/>
                            <w:szCs w:val="16"/>
                          </w:rPr>
                        </w:pPr>
                        <w:r>
                          <w:rPr>
                            <w:rFonts w:ascii="宋体"/>
                            <w:spacing w:val="-1"/>
                            <w:sz w:val="16"/>
                          </w:rPr>
                          <w:t>0.00</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3"/>
                          <w:jc w:val="right"/>
                          <w:rPr>
                            <w:rFonts w:ascii="宋体" w:hAnsi="宋体" w:cs="宋体" w:eastAsia="宋体" w:hint="default"/>
                            <w:sz w:val="16"/>
                            <w:szCs w:val="16"/>
                          </w:rPr>
                        </w:pPr>
                        <w:r>
                          <w:rPr>
                            <w:rFonts w:ascii="宋体"/>
                            <w:spacing w:val="-1"/>
                            <w:sz w:val="16"/>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宋体" w:hAnsi="宋体" w:cs="宋体" w:eastAsia="宋体" w:hint="default"/>
                            <w:sz w:val="16"/>
                            <w:szCs w:val="16"/>
                          </w:rPr>
                        </w:pPr>
                        <w:r>
                          <w:rPr>
                            <w:rFonts w:ascii="宋体"/>
                            <w:spacing w:val="-1"/>
                            <w:sz w:val="16"/>
                          </w:rPr>
                          <w:t>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3"/>
                          <w:jc w:val="right"/>
                          <w:rPr>
                            <w:rFonts w:ascii="宋体" w:hAnsi="宋体" w:cs="宋体" w:eastAsia="宋体" w:hint="default"/>
                            <w:sz w:val="16"/>
                            <w:szCs w:val="16"/>
                          </w:rPr>
                        </w:pPr>
                        <w:r>
                          <w:rPr>
                            <w:rFonts w:ascii="宋体"/>
                            <w:spacing w:val="-1"/>
                            <w:sz w:val="16"/>
                          </w:rPr>
                          <w:t>0.00</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89"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3" w:right="0"/>
                          <w:jc w:val="left"/>
                          <w:rPr>
                            <w:rFonts w:ascii="宋体" w:hAnsi="宋体" w:cs="宋体" w:eastAsia="宋体" w:hint="default"/>
                            <w:sz w:val="16"/>
                            <w:szCs w:val="16"/>
                          </w:rPr>
                        </w:pPr>
                        <w:r>
                          <w:rPr>
                            <w:rFonts w:ascii="宋体" w:hAnsi="宋体" w:cs="宋体" w:eastAsia="宋体" w:hint="default"/>
                            <w:sz w:val="16"/>
                            <w:szCs w:val="16"/>
                          </w:rPr>
                          <w:t>重庆同方合志科技有限公司</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9"/>
                          <w:jc w:val="right"/>
                          <w:rPr>
                            <w:rFonts w:ascii="宋体" w:hAnsi="宋体" w:cs="宋体" w:eastAsia="宋体" w:hint="default"/>
                            <w:sz w:val="16"/>
                            <w:szCs w:val="16"/>
                          </w:rPr>
                        </w:pPr>
                        <w:r>
                          <w:rPr>
                            <w:rFonts w:ascii="宋体"/>
                            <w:spacing w:val="-1"/>
                            <w:sz w:val="16"/>
                          </w:rPr>
                          <w:t>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1"/>
                          <w:jc w:val="right"/>
                          <w:rPr>
                            <w:rFonts w:ascii="宋体" w:hAnsi="宋体" w:cs="宋体" w:eastAsia="宋体" w:hint="default"/>
                            <w:sz w:val="16"/>
                            <w:szCs w:val="16"/>
                          </w:rPr>
                        </w:pPr>
                        <w:r>
                          <w:rPr>
                            <w:rFonts w:ascii="宋体"/>
                            <w:spacing w:val="-1"/>
                            <w:sz w:val="16"/>
                          </w:rPr>
                          <w:t>0.00</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3"/>
                          <w:jc w:val="right"/>
                          <w:rPr>
                            <w:rFonts w:ascii="宋体" w:hAnsi="宋体" w:cs="宋体" w:eastAsia="宋体" w:hint="default"/>
                            <w:sz w:val="16"/>
                            <w:szCs w:val="16"/>
                          </w:rPr>
                        </w:pPr>
                        <w:r>
                          <w:rPr>
                            <w:rFonts w:ascii="宋体"/>
                            <w:spacing w:val="-1"/>
                            <w:sz w:val="16"/>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宋体" w:hAnsi="宋体" w:cs="宋体" w:eastAsia="宋体" w:hint="default"/>
                            <w:sz w:val="16"/>
                            <w:szCs w:val="16"/>
                          </w:rPr>
                        </w:pPr>
                        <w:r>
                          <w:rPr>
                            <w:rFonts w:ascii="宋体"/>
                            <w:spacing w:val="-1"/>
                            <w:sz w:val="16"/>
                          </w:rPr>
                          <w:t>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3"/>
                          <w:jc w:val="right"/>
                          <w:rPr>
                            <w:rFonts w:ascii="宋体" w:hAnsi="宋体" w:cs="宋体" w:eastAsia="宋体" w:hint="default"/>
                            <w:sz w:val="16"/>
                            <w:szCs w:val="16"/>
                          </w:rPr>
                        </w:pPr>
                        <w:r>
                          <w:rPr>
                            <w:rFonts w:ascii="宋体"/>
                            <w:spacing w:val="-1"/>
                            <w:sz w:val="16"/>
                          </w:rPr>
                          <w:t>0.00</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89"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3" w:right="0"/>
                          <w:jc w:val="left"/>
                          <w:rPr>
                            <w:rFonts w:ascii="宋体" w:hAnsi="宋体" w:cs="宋体" w:eastAsia="宋体" w:hint="default"/>
                            <w:sz w:val="16"/>
                            <w:szCs w:val="16"/>
                          </w:rPr>
                        </w:pPr>
                        <w:r>
                          <w:rPr>
                            <w:rFonts w:ascii="宋体" w:hAnsi="宋体" w:cs="宋体" w:eastAsia="宋体" w:hint="default"/>
                            <w:sz w:val="16"/>
                            <w:szCs w:val="16"/>
                          </w:rPr>
                          <w:t>北京中录同方文化传播有限公司</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4"/>
                          <w:jc w:val="right"/>
                          <w:rPr>
                            <w:rFonts w:ascii="宋体" w:hAnsi="宋体" w:cs="宋体" w:eastAsia="宋体" w:hint="default"/>
                            <w:sz w:val="16"/>
                            <w:szCs w:val="16"/>
                          </w:rPr>
                        </w:pPr>
                        <w:r>
                          <w:rPr>
                            <w:rFonts w:ascii="宋体"/>
                            <w:spacing w:val="-1"/>
                            <w:sz w:val="16"/>
                          </w:rPr>
                          <w:t>0.00</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9"/>
                          <w:jc w:val="right"/>
                          <w:rPr>
                            <w:rFonts w:ascii="宋体" w:hAnsi="宋体" w:cs="宋体" w:eastAsia="宋体" w:hint="default"/>
                            <w:sz w:val="16"/>
                            <w:szCs w:val="16"/>
                          </w:rPr>
                        </w:pPr>
                        <w:r>
                          <w:rPr>
                            <w:rFonts w:ascii="宋体"/>
                            <w:spacing w:val="-1"/>
                            <w:sz w:val="16"/>
                          </w:rPr>
                          <w:t>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6"/>
                          <w:jc w:val="right"/>
                          <w:rPr>
                            <w:rFonts w:ascii="宋体" w:hAnsi="宋体" w:cs="宋体" w:eastAsia="宋体" w:hint="default"/>
                            <w:sz w:val="16"/>
                            <w:szCs w:val="16"/>
                          </w:rPr>
                        </w:pPr>
                        <w:r>
                          <w:rPr>
                            <w:rFonts w:ascii="宋体"/>
                            <w:spacing w:val="-1"/>
                            <w:sz w:val="16"/>
                          </w:rPr>
                          <w:t>0.00</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01"/>
                          <w:jc w:val="right"/>
                          <w:rPr>
                            <w:rFonts w:ascii="宋体" w:hAnsi="宋体" w:cs="宋体" w:eastAsia="宋体" w:hint="default"/>
                            <w:sz w:val="16"/>
                            <w:szCs w:val="16"/>
                          </w:rPr>
                        </w:pPr>
                        <w:r>
                          <w:rPr>
                            <w:rFonts w:ascii="宋体"/>
                            <w:spacing w:val="-1"/>
                            <w:sz w:val="16"/>
                          </w:rPr>
                          <w:t>0.00</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3"/>
                          <w:jc w:val="right"/>
                          <w:rPr>
                            <w:rFonts w:ascii="宋体" w:hAnsi="宋体" w:cs="宋体" w:eastAsia="宋体" w:hint="default"/>
                            <w:sz w:val="16"/>
                            <w:szCs w:val="16"/>
                          </w:rPr>
                        </w:pPr>
                        <w:r>
                          <w:rPr>
                            <w:rFonts w:ascii="宋体"/>
                            <w:spacing w:val="-1"/>
                            <w:sz w:val="16"/>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4"/>
                          <w:jc w:val="right"/>
                          <w:rPr>
                            <w:rFonts w:ascii="宋体" w:hAnsi="宋体" w:cs="宋体" w:eastAsia="宋体" w:hint="default"/>
                            <w:sz w:val="16"/>
                            <w:szCs w:val="16"/>
                          </w:rPr>
                        </w:pPr>
                        <w:r>
                          <w:rPr>
                            <w:rFonts w:ascii="宋体"/>
                            <w:spacing w:val="-1"/>
                            <w:sz w:val="16"/>
                          </w:rPr>
                          <w:t>0.00</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9"/>
                          <w:jc w:val="right"/>
                          <w:rPr>
                            <w:rFonts w:ascii="宋体" w:hAnsi="宋体" w:cs="宋体" w:eastAsia="宋体" w:hint="default"/>
                            <w:sz w:val="16"/>
                            <w:szCs w:val="16"/>
                          </w:rPr>
                        </w:pPr>
                        <w:r>
                          <w:rPr>
                            <w:rFonts w:ascii="宋体"/>
                            <w:spacing w:val="-1"/>
                            <w:sz w:val="16"/>
                          </w:rPr>
                          <w:t>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3"/>
                          <w:jc w:val="right"/>
                          <w:rPr>
                            <w:rFonts w:ascii="宋体" w:hAnsi="宋体" w:cs="宋体" w:eastAsia="宋体" w:hint="default"/>
                            <w:sz w:val="16"/>
                            <w:szCs w:val="16"/>
                          </w:rPr>
                        </w:pPr>
                        <w:r>
                          <w:rPr>
                            <w:rFonts w:ascii="宋体"/>
                            <w:spacing w:val="-1"/>
                            <w:sz w:val="16"/>
                          </w:rPr>
                          <w:t>0.00</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
                          <w:jc w:val="right"/>
                          <w:rPr>
                            <w:rFonts w:ascii="宋体" w:hAnsi="宋体" w:cs="宋体" w:eastAsia="宋体" w:hint="default"/>
                            <w:sz w:val="16"/>
                            <w:szCs w:val="16"/>
                          </w:rPr>
                        </w:pPr>
                        <w:r>
                          <w:rPr>
                            <w:rFonts w:ascii="宋体"/>
                            <w:spacing w:val="-1"/>
                            <w:sz w:val="16"/>
                          </w:rPr>
                          <w:t>0.00</w:t>
                        </w:r>
                      </w:p>
                    </w:tc>
                  </w:tr>
                  <w:tr>
                    <w:trPr>
                      <w:trHeight w:val="290"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3" w:right="0"/>
                          <w:jc w:val="left"/>
                          <w:rPr>
                            <w:rFonts w:ascii="宋体" w:hAnsi="宋体" w:cs="宋体" w:eastAsia="宋体" w:hint="default"/>
                            <w:sz w:val="16"/>
                            <w:szCs w:val="16"/>
                          </w:rPr>
                        </w:pPr>
                        <w:r>
                          <w:rPr>
                            <w:rFonts w:ascii="宋体" w:hAnsi="宋体" w:cs="宋体" w:eastAsia="宋体" w:hint="default"/>
                            <w:sz w:val="16"/>
                            <w:szCs w:val="16"/>
                          </w:rPr>
                          <w:t>北京海视安数据科技有限公司</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9"/>
                          <w:jc w:val="right"/>
                          <w:rPr>
                            <w:rFonts w:ascii="宋体" w:hAnsi="宋体" w:cs="宋体" w:eastAsia="宋体" w:hint="default"/>
                            <w:sz w:val="16"/>
                            <w:szCs w:val="16"/>
                          </w:rPr>
                        </w:pPr>
                        <w:r>
                          <w:rPr>
                            <w:rFonts w:ascii="宋体"/>
                            <w:spacing w:val="-1"/>
                            <w:sz w:val="16"/>
                          </w:rPr>
                          <w:t>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1" w:right="0"/>
                          <w:jc w:val="left"/>
                          <w:rPr>
                            <w:rFonts w:ascii="宋体" w:hAnsi="宋体" w:cs="宋体" w:eastAsia="宋体" w:hint="default"/>
                            <w:sz w:val="16"/>
                            <w:szCs w:val="16"/>
                          </w:rPr>
                        </w:pPr>
                        <w:r>
                          <w:rPr>
                            <w:rFonts w:ascii="宋体"/>
                            <w:sz w:val="16"/>
                          </w:rPr>
                          <w:t>808,963.25</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1"/>
                          <w:jc w:val="right"/>
                          <w:rPr>
                            <w:rFonts w:ascii="宋体" w:hAnsi="宋体" w:cs="宋体" w:eastAsia="宋体" w:hint="default"/>
                            <w:sz w:val="16"/>
                            <w:szCs w:val="16"/>
                          </w:rPr>
                        </w:pPr>
                        <w:r>
                          <w:rPr>
                            <w:rFonts w:ascii="宋体"/>
                            <w:spacing w:val="-1"/>
                            <w:sz w:val="16"/>
                          </w:rPr>
                          <w:t>0.00</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3"/>
                          <w:jc w:val="right"/>
                          <w:rPr>
                            <w:rFonts w:ascii="宋体" w:hAnsi="宋体" w:cs="宋体" w:eastAsia="宋体" w:hint="default"/>
                            <w:sz w:val="16"/>
                            <w:szCs w:val="16"/>
                          </w:rPr>
                        </w:pPr>
                        <w:r>
                          <w:rPr>
                            <w:rFonts w:ascii="宋体"/>
                            <w:spacing w:val="-1"/>
                            <w:sz w:val="16"/>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2"/>
                            <w:sz w:val="16"/>
                          </w:rPr>
                          <w:t>808,963.25</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宋体" w:hAnsi="宋体" w:cs="宋体" w:eastAsia="宋体" w:hint="default"/>
                            <w:sz w:val="16"/>
                            <w:szCs w:val="16"/>
                          </w:rPr>
                        </w:pPr>
                        <w:r>
                          <w:rPr>
                            <w:rFonts w:ascii="宋体"/>
                            <w:spacing w:val="-1"/>
                            <w:sz w:val="16"/>
                          </w:rPr>
                          <w:t>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3"/>
                          <w:jc w:val="right"/>
                          <w:rPr>
                            <w:rFonts w:ascii="宋体" w:hAnsi="宋体" w:cs="宋体" w:eastAsia="宋体" w:hint="default"/>
                            <w:sz w:val="16"/>
                            <w:szCs w:val="16"/>
                          </w:rPr>
                        </w:pPr>
                        <w:r>
                          <w:rPr>
                            <w:rFonts w:ascii="宋体"/>
                            <w:spacing w:val="-1"/>
                            <w:sz w:val="16"/>
                          </w:rPr>
                          <w:t>0.00</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290"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3" w:right="0"/>
                          <w:jc w:val="left"/>
                          <w:rPr>
                            <w:rFonts w:ascii="宋体" w:hAnsi="宋体" w:cs="宋体" w:eastAsia="宋体" w:hint="default"/>
                            <w:sz w:val="16"/>
                            <w:szCs w:val="16"/>
                          </w:rPr>
                        </w:pPr>
                        <w:r>
                          <w:rPr>
                            <w:rFonts w:ascii="宋体" w:hAnsi="宋体" w:cs="宋体" w:eastAsia="宋体" w:hint="default"/>
                            <w:sz w:val="16"/>
                            <w:szCs w:val="16"/>
                          </w:rPr>
                          <w:t>北京文录激光科技有限公司</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9"/>
                          <w:jc w:val="right"/>
                          <w:rPr>
                            <w:rFonts w:ascii="宋体" w:hAnsi="宋体" w:cs="宋体" w:eastAsia="宋体" w:hint="default"/>
                            <w:sz w:val="16"/>
                            <w:szCs w:val="16"/>
                          </w:rPr>
                        </w:pPr>
                        <w:r>
                          <w:rPr>
                            <w:rFonts w:ascii="宋体"/>
                            <w:spacing w:val="-1"/>
                            <w:sz w:val="16"/>
                          </w:rPr>
                          <w:t>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1"/>
                          <w:jc w:val="right"/>
                          <w:rPr>
                            <w:rFonts w:ascii="宋体" w:hAnsi="宋体" w:cs="宋体" w:eastAsia="宋体" w:hint="default"/>
                            <w:sz w:val="16"/>
                            <w:szCs w:val="16"/>
                          </w:rPr>
                        </w:pPr>
                        <w:r>
                          <w:rPr>
                            <w:rFonts w:ascii="宋体"/>
                            <w:spacing w:val="-1"/>
                            <w:sz w:val="16"/>
                          </w:rPr>
                          <w:t>0.00</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3"/>
                          <w:jc w:val="right"/>
                          <w:rPr>
                            <w:rFonts w:ascii="宋体" w:hAnsi="宋体" w:cs="宋体" w:eastAsia="宋体" w:hint="default"/>
                            <w:sz w:val="16"/>
                            <w:szCs w:val="16"/>
                          </w:rPr>
                        </w:pPr>
                        <w:r>
                          <w:rPr>
                            <w:rFonts w:ascii="宋体"/>
                            <w:spacing w:val="-1"/>
                            <w:sz w:val="16"/>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9"/>
                          <w:jc w:val="right"/>
                          <w:rPr>
                            <w:rFonts w:ascii="宋体" w:hAnsi="宋体" w:cs="宋体" w:eastAsia="宋体" w:hint="default"/>
                            <w:sz w:val="16"/>
                            <w:szCs w:val="16"/>
                          </w:rPr>
                        </w:pPr>
                        <w:r>
                          <w:rPr>
                            <w:rFonts w:ascii="宋体"/>
                            <w:spacing w:val="-1"/>
                            <w:sz w:val="16"/>
                          </w:rPr>
                          <w:t>0.00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3"/>
                          <w:jc w:val="right"/>
                          <w:rPr>
                            <w:rFonts w:ascii="宋体" w:hAnsi="宋体" w:cs="宋体" w:eastAsia="宋体" w:hint="default"/>
                            <w:sz w:val="16"/>
                            <w:szCs w:val="16"/>
                          </w:rPr>
                        </w:pPr>
                        <w:r>
                          <w:rPr>
                            <w:rFonts w:ascii="宋体"/>
                            <w:spacing w:val="-1"/>
                            <w:sz w:val="16"/>
                          </w:rPr>
                          <w:t>0.00</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r>
                    <w:trPr>
                      <w:trHeight w:val="306" w:hRule="exact"/>
                    </w:trPr>
                    <w:tc>
                      <w:tcPr>
                        <w:tcW w:w="3187"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left="33" w:right="0"/>
                          <w:jc w:val="left"/>
                          <w:rPr>
                            <w:rFonts w:ascii="宋体" w:hAnsi="宋体" w:cs="宋体" w:eastAsia="宋体" w:hint="default"/>
                            <w:sz w:val="16"/>
                            <w:szCs w:val="16"/>
                          </w:rPr>
                        </w:pPr>
                        <w:r>
                          <w:rPr>
                            <w:rFonts w:ascii="宋体" w:hAnsi="宋体" w:cs="宋体" w:eastAsia="宋体" w:hint="default"/>
                            <w:sz w:val="16"/>
                            <w:szCs w:val="16"/>
                          </w:rPr>
                          <w:t>重庆同方弘强股权投资基金管理有限公司</w:t>
                        </w:r>
                      </w:p>
                    </w:tc>
                    <w:tc>
                      <w:tcPr>
                        <w:tcW w:w="1489"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1269"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49"/>
                          <w:jc w:val="right"/>
                          <w:rPr>
                            <w:rFonts w:ascii="宋体" w:hAnsi="宋体" w:cs="宋体" w:eastAsia="宋体" w:hint="default"/>
                            <w:sz w:val="16"/>
                            <w:szCs w:val="16"/>
                          </w:rPr>
                        </w:pPr>
                        <w:r>
                          <w:rPr>
                            <w:rFonts w:ascii="宋体"/>
                            <w:spacing w:val="-2"/>
                            <w:sz w:val="16"/>
                          </w:rPr>
                          <w:t>900,000.00</w:t>
                        </w:r>
                      </w:p>
                    </w:tc>
                    <w:tc>
                      <w:tcPr>
                        <w:tcW w:w="1030"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176"/>
                          <w:jc w:val="right"/>
                          <w:rPr>
                            <w:rFonts w:ascii="宋体" w:hAnsi="宋体" w:cs="宋体" w:eastAsia="宋体" w:hint="default"/>
                            <w:sz w:val="16"/>
                            <w:szCs w:val="16"/>
                          </w:rPr>
                        </w:pPr>
                        <w:r>
                          <w:rPr>
                            <w:rFonts w:ascii="宋体"/>
                            <w:spacing w:val="-1"/>
                            <w:sz w:val="16"/>
                          </w:rPr>
                          <w:t>0.00</w:t>
                        </w:r>
                      </w:p>
                    </w:tc>
                    <w:tc>
                      <w:tcPr>
                        <w:tcW w:w="1722"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501"/>
                          <w:jc w:val="right"/>
                          <w:rPr>
                            <w:rFonts w:ascii="宋体" w:hAnsi="宋体" w:cs="宋体" w:eastAsia="宋体" w:hint="default"/>
                            <w:sz w:val="16"/>
                            <w:szCs w:val="16"/>
                          </w:rPr>
                        </w:pPr>
                        <w:r>
                          <w:rPr>
                            <w:rFonts w:ascii="宋体"/>
                            <w:spacing w:val="-1"/>
                            <w:sz w:val="16"/>
                          </w:rPr>
                          <w:t>-900,000.00</w:t>
                        </w:r>
                      </w:p>
                    </w:tc>
                    <w:tc>
                      <w:tcPr>
                        <w:tcW w:w="970"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143"/>
                          <w:jc w:val="right"/>
                          <w:rPr>
                            <w:rFonts w:ascii="宋体" w:hAnsi="宋体" w:cs="宋体" w:eastAsia="宋体" w:hint="default"/>
                            <w:sz w:val="16"/>
                            <w:szCs w:val="16"/>
                          </w:rPr>
                        </w:pPr>
                        <w:r>
                          <w:rPr>
                            <w:rFonts w:ascii="宋体"/>
                            <w:spacing w:val="-1"/>
                            <w:sz w:val="16"/>
                          </w:rPr>
                          <w:t>0.00</w:t>
                        </w:r>
                      </w:p>
                    </w:tc>
                    <w:tc>
                      <w:tcPr>
                        <w:tcW w:w="1033"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85"/>
                          <w:jc w:val="right"/>
                          <w:rPr>
                            <w:rFonts w:ascii="宋体" w:hAnsi="宋体" w:cs="宋体" w:eastAsia="宋体" w:hint="default"/>
                            <w:sz w:val="16"/>
                            <w:szCs w:val="16"/>
                          </w:rPr>
                        </w:pPr>
                        <w:r>
                          <w:rPr>
                            <w:rFonts w:ascii="宋体"/>
                            <w:spacing w:val="-1"/>
                            <w:sz w:val="16"/>
                          </w:rPr>
                          <w:t>0.00</w:t>
                        </w:r>
                      </w:p>
                    </w:tc>
                    <w:tc>
                      <w:tcPr>
                        <w:tcW w:w="1305"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254"/>
                          <w:jc w:val="right"/>
                          <w:rPr>
                            <w:rFonts w:ascii="宋体" w:hAnsi="宋体" w:cs="宋体" w:eastAsia="宋体" w:hint="default"/>
                            <w:sz w:val="16"/>
                            <w:szCs w:val="16"/>
                          </w:rPr>
                        </w:pPr>
                        <w:r>
                          <w:rPr>
                            <w:rFonts w:ascii="宋体"/>
                            <w:spacing w:val="-1"/>
                            <w:sz w:val="16"/>
                          </w:rPr>
                          <w:t>0.00</w:t>
                        </w:r>
                      </w:p>
                    </w:tc>
                    <w:tc>
                      <w:tcPr>
                        <w:tcW w:w="789"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209"/>
                          <w:jc w:val="right"/>
                          <w:rPr>
                            <w:rFonts w:ascii="宋体" w:hAnsi="宋体" w:cs="宋体" w:eastAsia="宋体" w:hint="default"/>
                            <w:sz w:val="16"/>
                            <w:szCs w:val="16"/>
                          </w:rPr>
                        </w:pPr>
                        <w:r>
                          <w:rPr>
                            <w:rFonts w:ascii="宋体"/>
                            <w:spacing w:val="-1"/>
                            <w:sz w:val="16"/>
                          </w:rPr>
                          <w:t>0.00</w:t>
                        </w:r>
                      </w:p>
                    </w:tc>
                    <w:tc>
                      <w:tcPr>
                        <w:tcW w:w="1298"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123"/>
                          <w:jc w:val="right"/>
                          <w:rPr>
                            <w:rFonts w:ascii="宋体" w:hAnsi="宋体" w:cs="宋体" w:eastAsia="宋体" w:hint="default"/>
                            <w:sz w:val="16"/>
                            <w:szCs w:val="16"/>
                          </w:rPr>
                        </w:pPr>
                        <w:r>
                          <w:rPr>
                            <w:rFonts w:ascii="宋体"/>
                            <w:spacing w:val="-1"/>
                            <w:sz w:val="16"/>
                          </w:rPr>
                          <w:t>0.00</w:t>
                        </w:r>
                      </w:p>
                    </w:tc>
                    <w:tc>
                      <w:tcPr>
                        <w:tcW w:w="1119"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30"/>
                          <w:jc w:val="right"/>
                          <w:rPr>
                            <w:rFonts w:ascii="宋体" w:hAnsi="宋体" w:cs="宋体" w:eastAsia="宋体" w:hint="default"/>
                            <w:sz w:val="16"/>
                            <w:szCs w:val="16"/>
                          </w:rPr>
                        </w:pPr>
                        <w:r>
                          <w:rPr>
                            <w:rFonts w:ascii="宋体"/>
                            <w:spacing w:val="-1"/>
                            <w:sz w:val="16"/>
                          </w:rPr>
                          <w:t>0.00</w:t>
                        </w:r>
                      </w:p>
                    </w:tc>
                  </w:tr>
                </w:tbl>
                <w:p>
                  <w:pPr/>
                </w:p>
              </w:txbxContent>
            </v:textbox>
            <w10:wrap type="none"/>
          </v:shape>
        </w:pict>
      </w:r>
      <w:r>
        <w:rPr>
          <w:rFonts w:ascii="宋体" w:hAnsi="宋体" w:cs="宋体" w:eastAsia="宋体" w:hint="default"/>
          <w:b/>
          <w:bCs/>
          <w:sz w:val="16"/>
          <w:szCs w:val="16"/>
        </w:rPr>
        <w:t>权益法下确认的</w:t>
      </w:r>
      <w:r>
        <w:rPr>
          <w:rFonts w:ascii="宋体" w:hAnsi="宋体" w:cs="宋体" w:eastAsia="宋体" w:hint="default"/>
          <w:sz w:val="16"/>
          <w:szCs w:val="16"/>
        </w:rPr>
      </w:r>
    </w:p>
    <w:p>
      <w:pPr>
        <w:spacing w:line="161" w:lineRule="exact" w:before="0"/>
        <w:ind w:left="437" w:right="-19" w:firstLine="0"/>
        <w:jc w:val="left"/>
        <w:rPr>
          <w:rFonts w:ascii="宋体" w:hAnsi="宋体" w:cs="宋体" w:eastAsia="宋体" w:hint="default"/>
          <w:sz w:val="16"/>
          <w:szCs w:val="16"/>
        </w:rPr>
      </w:pPr>
      <w:r>
        <w:rPr/>
        <w:br w:type="column"/>
      </w:r>
      <w:r>
        <w:rPr>
          <w:rFonts w:ascii="宋体" w:hAnsi="宋体" w:cs="宋体" w:eastAsia="宋体" w:hint="default"/>
          <w:b/>
          <w:bCs/>
          <w:sz w:val="16"/>
          <w:szCs w:val="16"/>
        </w:rPr>
        <w:t>其他综合</w:t>
      </w:r>
      <w:r>
        <w:rPr>
          <w:rFonts w:ascii="宋体" w:hAnsi="宋体" w:cs="宋体" w:eastAsia="宋体" w:hint="default"/>
          <w:sz w:val="16"/>
          <w:szCs w:val="16"/>
        </w:rPr>
      </w:r>
    </w:p>
    <w:p>
      <w:pPr>
        <w:spacing w:line="161" w:lineRule="exact" w:before="0"/>
        <w:ind w:left="444" w:right="-19" w:firstLine="0"/>
        <w:jc w:val="left"/>
        <w:rPr>
          <w:rFonts w:ascii="宋体" w:hAnsi="宋体" w:cs="宋体" w:eastAsia="宋体" w:hint="default"/>
          <w:sz w:val="16"/>
          <w:szCs w:val="16"/>
        </w:rPr>
      </w:pPr>
      <w:r>
        <w:rPr/>
        <w:br w:type="column"/>
      </w:r>
      <w:r>
        <w:rPr>
          <w:rFonts w:ascii="宋体" w:hAnsi="宋体" w:cs="宋体" w:eastAsia="宋体" w:hint="default"/>
          <w:b/>
          <w:bCs/>
          <w:sz w:val="16"/>
          <w:szCs w:val="16"/>
        </w:rPr>
        <w:t>其他权益变</w:t>
      </w:r>
      <w:r>
        <w:rPr>
          <w:rFonts w:ascii="宋体" w:hAnsi="宋体" w:cs="宋体" w:eastAsia="宋体" w:hint="default"/>
          <w:sz w:val="16"/>
          <w:szCs w:val="16"/>
        </w:rPr>
      </w:r>
    </w:p>
    <w:p>
      <w:pPr>
        <w:spacing w:line="161" w:lineRule="exact" w:before="0"/>
        <w:ind w:left="195" w:right="0" w:firstLine="0"/>
        <w:jc w:val="left"/>
        <w:rPr>
          <w:rFonts w:ascii="宋体" w:hAnsi="宋体" w:cs="宋体" w:eastAsia="宋体" w:hint="default"/>
          <w:sz w:val="16"/>
          <w:szCs w:val="16"/>
        </w:rPr>
      </w:pPr>
      <w:r>
        <w:rPr/>
        <w:br w:type="column"/>
      </w:r>
      <w:r>
        <w:rPr>
          <w:rFonts w:ascii="宋体" w:hAnsi="宋体" w:cs="宋体" w:eastAsia="宋体" w:hint="default"/>
          <w:b/>
          <w:bCs/>
          <w:sz w:val="16"/>
          <w:szCs w:val="16"/>
        </w:rPr>
        <w:t>宣告发放现金</w:t>
      </w:r>
      <w:r>
        <w:rPr>
          <w:rFonts w:ascii="宋体" w:hAnsi="宋体" w:cs="宋体" w:eastAsia="宋体" w:hint="default"/>
          <w:sz w:val="16"/>
          <w:szCs w:val="16"/>
        </w:rPr>
      </w:r>
    </w:p>
    <w:p>
      <w:pPr>
        <w:spacing w:after="0" w:line="161" w:lineRule="exact"/>
        <w:jc w:val="left"/>
        <w:rPr>
          <w:rFonts w:ascii="宋体" w:hAnsi="宋体" w:cs="宋体" w:eastAsia="宋体" w:hint="default"/>
          <w:sz w:val="16"/>
          <w:szCs w:val="16"/>
        </w:rPr>
        <w:sectPr>
          <w:type w:val="continuous"/>
          <w:pgSz w:w="16840" w:h="11910" w:orient="landscape"/>
          <w:pgMar w:top="1000" w:bottom="280" w:left="700" w:right="700"/>
          <w:cols w:num="4" w:equalWidth="0">
            <w:col w:w="8198" w:space="40"/>
            <w:col w:w="1082" w:space="40"/>
            <w:col w:w="1249" w:space="40"/>
            <w:col w:w="4791"/>
          </w:cols>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spacing w:line="28" w:lineRule="exact"/>
        <w:ind w:left="124" w:right="0" w:firstLine="0"/>
        <w:rPr>
          <w:rFonts w:ascii="宋体" w:hAnsi="宋体" w:cs="宋体" w:eastAsia="宋体" w:hint="default"/>
          <w:sz w:val="2"/>
          <w:szCs w:val="2"/>
        </w:rPr>
      </w:pPr>
      <w:r>
        <w:rPr>
          <w:rFonts w:ascii="宋体" w:hAnsi="宋体" w:cs="宋体" w:eastAsia="宋体" w:hint="default"/>
          <w:position w:val="0"/>
          <w:sz w:val="2"/>
          <w:szCs w:val="2"/>
        </w:rPr>
        <w:pict>
          <v:group style="width:761.3pt;height:1.45pt;mso-position-horizontal-relative:char;mso-position-vertical-relative:line" coordorigin="0,0" coordsize="15226,29">
            <v:group style="position:absolute;left:14;top:14;width:3133;height:2" coordorigin="14,14" coordsize="3133,2">
              <v:shape style="position:absolute;left:14;top:14;width:3133;height:2" coordorigin="14,14" coordsize="3133,0" path="m14,14l3147,14e" filled="false" stroked="true" strokeweight="1.44pt" strokecolor="#000000">
                <v:path arrowok="t"/>
              </v:shape>
            </v:group>
            <v:group style="position:absolute;left:3147;top:14;width:29;height:2" coordorigin="3147,14" coordsize="29,2">
              <v:shape style="position:absolute;left:3147;top:14;width:29;height:2" coordorigin="3147,14" coordsize="29,0" path="m3147,14l3176,14e" filled="false" stroked="true" strokeweight="1.44pt" strokecolor="#000000">
                <v:path arrowok="t"/>
              </v:shape>
            </v:group>
            <v:group style="position:absolute;left:3176;top:14;width:1282;height:2" coordorigin="3176,14" coordsize="1282,2">
              <v:shape style="position:absolute;left:3176;top:14;width:1282;height:2" coordorigin="3176,14" coordsize="1282,0" path="m3176,14l4457,14e" filled="false" stroked="true" strokeweight="1.44pt" strokecolor="#000000">
                <v:path arrowok="t"/>
              </v:shape>
            </v:group>
            <v:group style="position:absolute;left:4457;top:14;width:29;height:2" coordorigin="4457,14" coordsize="29,2">
              <v:shape style="position:absolute;left:4457;top:14;width:29;height:2" coordorigin="4457,14" coordsize="29,0" path="m4457,14l4486,14e" filled="false" stroked="true" strokeweight="1.44pt" strokecolor="#000000">
                <v:path arrowok="t"/>
              </v:shape>
            </v:group>
            <v:group style="position:absolute;left:4486;top:14;width:8131;height:2" coordorigin="4486,14" coordsize="8131,2">
              <v:shape style="position:absolute;left:4486;top:14;width:8131;height:2" coordorigin="4486,14" coordsize="8131,0" path="m4486,14l12616,14e" filled="false" stroked="true" strokeweight="1.44pt" strokecolor="#000000">
                <v:path arrowok="t"/>
              </v:shape>
            </v:group>
            <v:group style="position:absolute;left:12616;top:14;width:29;height:2" coordorigin="12616,14" coordsize="29,2">
              <v:shape style="position:absolute;left:12616;top:14;width:29;height:2" coordorigin="12616,14" coordsize="29,0" path="m12616,14l12645,14e" filled="false" stroked="true" strokeweight="1.44pt" strokecolor="#000000">
                <v:path arrowok="t"/>
              </v:shape>
            </v:group>
            <v:group style="position:absolute;left:12645;top:14;width:1356;height:2" coordorigin="12645,14" coordsize="1356,2">
              <v:shape style="position:absolute;left:12645;top:14;width:1356;height:2" coordorigin="12645,14" coordsize="1356,0" path="m12645,14l14001,14e" filled="false" stroked="true" strokeweight="1.44pt" strokecolor="#000000">
                <v:path arrowok="t"/>
              </v:shape>
            </v:group>
            <v:group style="position:absolute;left:14001;top:14;width:29;height:2" coordorigin="14001,14" coordsize="29,2">
              <v:shape style="position:absolute;left:14001;top:14;width:29;height:2" coordorigin="14001,14" coordsize="29,0" path="m14001,14l14030,14e" filled="false" stroked="true" strokeweight="1.44pt" strokecolor="#000000">
                <v:path arrowok="t"/>
              </v:shape>
            </v:group>
            <v:group style="position:absolute;left:14030;top:14;width:1181;height:2" coordorigin="14030,14" coordsize="1181,2">
              <v:shape style="position:absolute;left:14030;top:14;width:1181;height:2" coordorigin="14030,14" coordsize="1181,0" path="m14030,14l15211,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6840" w:h="11910" w:orient="landscape"/>
          <w:pgMar w:header="0" w:footer="1053" w:top="1100" w:bottom="1240" w:left="680" w:right="700"/>
        </w:sectPr>
      </w:pPr>
    </w:p>
    <w:p>
      <w:pPr>
        <w:spacing w:line="240" w:lineRule="auto" w:before="10"/>
        <w:rPr>
          <w:rFonts w:ascii="宋体" w:hAnsi="宋体" w:cs="宋体" w:eastAsia="宋体" w:hint="default"/>
          <w:b/>
          <w:bCs/>
          <w:sz w:val="18"/>
          <w:szCs w:val="18"/>
        </w:rPr>
      </w:pPr>
    </w:p>
    <w:p>
      <w:pPr>
        <w:tabs>
          <w:tab w:pos="3604" w:val="left" w:leader="none"/>
        </w:tabs>
        <w:spacing w:line="111" w:lineRule="exact" w:before="0"/>
        <w:ind w:left="1302" w:right="-19" w:firstLine="0"/>
        <w:jc w:val="left"/>
        <w:rPr>
          <w:rFonts w:ascii="宋体" w:hAnsi="宋体" w:cs="宋体" w:eastAsia="宋体" w:hint="default"/>
          <w:sz w:val="16"/>
          <w:szCs w:val="16"/>
        </w:rPr>
      </w:pPr>
      <w:r>
        <w:rPr/>
        <w:pict>
          <v:group style="position:absolute;margin-left:262.820007pt;margin-top:3.823738pt;width:408.45pt;height:.5pt;mso-position-horizontal-relative:page;mso-position-vertical-relative:paragraph;z-index:4096" coordorigin="5256,76" coordsize="8169,10">
            <v:group style="position:absolute;left:5261;top:81;width:1472;height:2" coordorigin="5261,81" coordsize="1472,2">
              <v:shape style="position:absolute;left:5261;top:81;width:1472;height:2" coordorigin="5261,81" coordsize="1472,0" path="m5261,81l6733,81e" filled="false" stroked="true" strokeweight=".48pt" strokecolor="#000000">
                <v:path arrowok="t"/>
              </v:shape>
            </v:group>
            <v:group style="position:absolute;left:6733;top:81;width:10;height:2" coordorigin="6733,81" coordsize="10,2">
              <v:shape style="position:absolute;left:6733;top:81;width:10;height:2" coordorigin="6733,81" coordsize="10,0" path="m6733,81l6743,81e" filled="false" stroked="true" strokeweight=".48pt" strokecolor="#000000">
                <v:path arrowok="t"/>
              </v:shape>
            </v:group>
            <v:group style="position:absolute;left:6743;top:81;width:893;height:2" coordorigin="6743,81" coordsize="893,2">
              <v:shape style="position:absolute;left:6743;top:81;width:893;height:2" coordorigin="6743,81" coordsize="893,0" path="m6743,81l7635,81e" filled="false" stroked="true" strokeweight=".48pt" strokecolor="#000000">
                <v:path arrowok="t"/>
              </v:shape>
            </v:group>
            <v:group style="position:absolute;left:7635;top:81;width:10;height:2" coordorigin="7635,81" coordsize="10,2">
              <v:shape style="position:absolute;left:7635;top:81;width:10;height:2" coordorigin="7635,81" coordsize="10,0" path="m7635,81l7645,81e" filled="false" stroked="true" strokeweight=".48pt" strokecolor="#000000">
                <v:path arrowok="t"/>
              </v:shape>
            </v:group>
            <v:group style="position:absolute;left:7645;top:81;width:1388;height:2" coordorigin="7645,81" coordsize="1388,2">
              <v:shape style="position:absolute;left:7645;top:81;width:1388;height:2" coordorigin="7645,81" coordsize="1388,0" path="m7645,81l9032,81e" filled="false" stroked="true" strokeweight=".48pt" strokecolor="#000000">
                <v:path arrowok="t"/>
              </v:shape>
            </v:group>
            <v:group style="position:absolute;left:9032;top:81;width:10;height:2" coordorigin="9032,81" coordsize="10,2">
              <v:shape style="position:absolute;left:9032;top:81;width:10;height:2" coordorigin="9032,81" coordsize="10,0" path="m9032,81l9042,81e" filled="false" stroked="true" strokeweight=".48pt" strokecolor="#000000">
                <v:path arrowok="t"/>
              </v:shape>
            </v:group>
            <v:group style="position:absolute;left:9042;top:81;width:1316;height:2" coordorigin="9042,81" coordsize="1316,2">
              <v:shape style="position:absolute;left:9042;top:81;width:1316;height:2" coordorigin="9042,81" coordsize="1316,0" path="m9042,81l10357,81e" filled="false" stroked="true" strokeweight=".48pt" strokecolor="#000000">
                <v:path arrowok="t"/>
              </v:shape>
            </v:group>
            <v:group style="position:absolute;left:10357;top:81;width:10;height:2" coordorigin="10357,81" coordsize="10,2">
              <v:shape style="position:absolute;left:10357;top:81;width:10;height:2" coordorigin="10357,81" coordsize="10,0" path="m10357,81l10367,81e" filled="false" stroked="true" strokeweight=".48pt" strokecolor="#000000">
                <v:path arrowok="t"/>
              </v:shape>
            </v:group>
            <v:group style="position:absolute;left:10367;top:81;width:1085;height:2" coordorigin="10367,81" coordsize="1085,2">
              <v:shape style="position:absolute;left:10367;top:81;width:1085;height:2" coordorigin="10367,81" coordsize="1085,0" path="m10367,81l11452,81e" filled="false" stroked="true" strokeweight=".48pt" strokecolor="#000000">
                <v:path arrowok="t"/>
              </v:shape>
            </v:group>
            <v:group style="position:absolute;left:11452;top:81;width:10;height:2" coordorigin="11452,81" coordsize="10,2">
              <v:shape style="position:absolute;left:11452;top:81;width:10;height:2" coordorigin="11452,81" coordsize="10,0" path="m11452,81l11461,81e" filled="false" stroked="true" strokeweight=".48pt" strokecolor="#000000">
                <v:path arrowok="t"/>
              </v:shape>
            </v:group>
            <v:group style="position:absolute;left:11461;top:81;width:1126;height:2" coordorigin="11461,81" coordsize="1126,2">
              <v:shape style="position:absolute;left:11461;top:81;width:1126;height:2" coordorigin="11461,81" coordsize="1126,0" path="m11461,81l12587,81e" filled="false" stroked="true" strokeweight=".48pt" strokecolor="#000000">
                <v:path arrowok="t"/>
              </v:shape>
            </v:group>
            <v:group style="position:absolute;left:12587;top:81;width:10;height:2" coordorigin="12587,81" coordsize="10,2">
              <v:shape style="position:absolute;left:12587;top:81;width:10;height:2" coordorigin="12587,81" coordsize="10,0" path="m12587,81l12597,81e" filled="false" stroked="true" strokeweight=".48pt" strokecolor="#000000">
                <v:path arrowok="t"/>
              </v:shape>
            </v:group>
            <v:group style="position:absolute;left:12597;top:81;width:824;height:2" coordorigin="12597,81" coordsize="824,2">
              <v:shape style="position:absolute;left:12597;top:81;width:824;height:2" coordorigin="12597,81" coordsize="824,0" path="m12597,81l13420,81e" filled="false" stroked="true" strokeweight=".48pt" strokecolor="#000000">
                <v:path arrowok="t"/>
              </v:shape>
            </v:group>
            <w10:wrap type="none"/>
          </v:group>
        </w:pict>
      </w:r>
      <w:r>
        <w:rPr>
          <w:rFonts w:ascii="宋体" w:hAnsi="宋体" w:cs="宋体" w:eastAsia="宋体" w:hint="default"/>
          <w:b/>
          <w:bCs/>
          <w:sz w:val="16"/>
          <w:szCs w:val="16"/>
        </w:rPr>
        <w:t>被投资单位</w:t>
        <w:tab/>
        <w:t>年初余额</w:t>
      </w:r>
      <w:r>
        <w:rPr>
          <w:rFonts w:ascii="宋体" w:hAnsi="宋体" w:cs="宋体" w:eastAsia="宋体" w:hint="default"/>
          <w:sz w:val="16"/>
          <w:szCs w:val="16"/>
        </w:rPr>
      </w:r>
    </w:p>
    <w:p>
      <w:pPr>
        <w:spacing w:before="32"/>
        <w:ind w:left="1302" w:right="-19" w:firstLine="0"/>
        <w:jc w:val="left"/>
        <w:rPr>
          <w:rFonts w:ascii="宋体" w:hAnsi="宋体" w:cs="宋体" w:eastAsia="宋体" w:hint="default"/>
          <w:sz w:val="16"/>
          <w:szCs w:val="16"/>
        </w:rPr>
      </w:pPr>
      <w:r>
        <w:rPr/>
        <w:br w:type="column"/>
      </w:r>
      <w:r>
        <w:rPr>
          <w:rFonts w:ascii="宋体" w:hAnsi="宋体" w:cs="宋体" w:eastAsia="宋体" w:hint="default"/>
          <w:b/>
          <w:bCs/>
          <w:sz w:val="16"/>
          <w:szCs w:val="16"/>
        </w:rPr>
        <w:t>本年增减变动</w:t>
      </w:r>
      <w:r>
        <w:rPr>
          <w:rFonts w:ascii="宋体" w:hAnsi="宋体" w:cs="宋体" w:eastAsia="宋体" w:hint="default"/>
          <w:sz w:val="16"/>
          <w:szCs w:val="16"/>
        </w:rPr>
      </w:r>
    </w:p>
    <w:p>
      <w:pPr>
        <w:tabs>
          <w:tab w:pos="2440" w:val="left" w:leader="none"/>
        </w:tabs>
        <w:spacing w:line="217" w:lineRule="exact" w:before="140"/>
        <w:ind w:left="1302" w:right="0" w:firstLine="0"/>
        <w:jc w:val="left"/>
        <w:rPr>
          <w:rFonts w:ascii="宋体" w:hAnsi="宋体" w:cs="宋体" w:eastAsia="宋体" w:hint="default"/>
          <w:sz w:val="16"/>
          <w:szCs w:val="16"/>
        </w:rPr>
      </w:pPr>
      <w:r>
        <w:rPr/>
        <w:br w:type="column"/>
      </w:r>
      <w:r>
        <w:rPr>
          <w:rFonts w:ascii="宋体" w:hAnsi="宋体" w:cs="宋体" w:eastAsia="宋体" w:hint="default"/>
          <w:b/>
          <w:bCs/>
          <w:position w:val="-10"/>
          <w:sz w:val="16"/>
          <w:szCs w:val="16"/>
        </w:rPr>
        <w:t>年末余额</w:t>
        <w:tab/>
      </w:r>
      <w:r>
        <w:rPr>
          <w:rFonts w:ascii="宋体" w:hAnsi="宋体" w:cs="宋体" w:eastAsia="宋体" w:hint="default"/>
          <w:b/>
          <w:bCs/>
          <w:sz w:val="16"/>
          <w:szCs w:val="16"/>
        </w:rPr>
        <w:t>减值准备年末</w:t>
      </w:r>
      <w:r>
        <w:rPr>
          <w:rFonts w:ascii="宋体" w:hAnsi="宋体" w:cs="宋体" w:eastAsia="宋体" w:hint="default"/>
          <w:sz w:val="16"/>
          <w:szCs w:val="16"/>
        </w:rPr>
      </w:r>
    </w:p>
    <w:p>
      <w:pPr>
        <w:spacing w:after="0" w:line="217" w:lineRule="exact"/>
        <w:jc w:val="left"/>
        <w:rPr>
          <w:rFonts w:ascii="宋体" w:hAnsi="宋体" w:cs="宋体" w:eastAsia="宋体" w:hint="default"/>
          <w:sz w:val="16"/>
          <w:szCs w:val="16"/>
        </w:rPr>
        <w:sectPr>
          <w:type w:val="continuous"/>
          <w:pgSz w:w="16840" w:h="11910" w:orient="landscape"/>
          <w:pgMar w:top="1000" w:bottom="280" w:left="680" w:right="700"/>
          <w:cols w:num="3" w:equalWidth="0">
            <w:col w:w="4248" w:space="2626"/>
            <w:col w:w="2268" w:space="2667"/>
            <w:col w:w="3651"/>
          </w:cols>
        </w:sectPr>
      </w:pPr>
    </w:p>
    <w:p>
      <w:pPr>
        <w:tabs>
          <w:tab w:pos="6182" w:val="left" w:leader="none"/>
          <w:tab w:pos="7092" w:val="left" w:leader="none"/>
        </w:tabs>
        <w:spacing w:line="211" w:lineRule="exact" w:before="0"/>
        <w:ind w:left="4994" w:right="-19" w:firstLine="0"/>
        <w:jc w:val="left"/>
        <w:rPr>
          <w:rFonts w:ascii="宋体" w:hAnsi="宋体" w:cs="宋体" w:eastAsia="宋体" w:hint="default"/>
          <w:sz w:val="16"/>
          <w:szCs w:val="16"/>
        </w:rPr>
      </w:pPr>
      <w:r>
        <w:rPr>
          <w:rFonts w:ascii="宋体" w:hAnsi="宋体" w:cs="宋体" w:eastAsia="宋体" w:hint="default"/>
          <w:b/>
          <w:bCs/>
          <w:sz w:val="16"/>
          <w:szCs w:val="16"/>
        </w:rPr>
        <w:t>追加投资</w:t>
        <w:tab/>
        <w:t>减少投资</w:t>
        <w:tab/>
      </w:r>
      <w:r>
        <w:rPr>
          <w:rFonts w:ascii="宋体" w:hAnsi="宋体" w:cs="宋体" w:eastAsia="宋体" w:hint="default"/>
          <w:b/>
          <w:bCs/>
          <w:position w:val="10"/>
          <w:sz w:val="16"/>
          <w:szCs w:val="16"/>
        </w:rPr>
        <w:t>权益法下确认的</w:t>
      </w:r>
      <w:r>
        <w:rPr>
          <w:rFonts w:ascii="宋体" w:hAnsi="宋体" w:cs="宋体" w:eastAsia="宋体" w:hint="default"/>
          <w:sz w:val="16"/>
          <w:szCs w:val="16"/>
        </w:rPr>
      </w:r>
    </w:p>
    <w:p>
      <w:pPr>
        <w:spacing w:line="156" w:lineRule="exact" w:before="0"/>
        <w:ind w:left="0" w:right="240" w:firstLine="0"/>
        <w:jc w:val="right"/>
        <w:rPr>
          <w:rFonts w:ascii="宋体" w:hAnsi="宋体" w:cs="宋体" w:eastAsia="宋体" w:hint="default"/>
          <w:sz w:val="16"/>
          <w:szCs w:val="16"/>
        </w:rPr>
      </w:pPr>
      <w:r>
        <w:rPr/>
        <w:pict>
          <v:group style="position:absolute;margin-left:40.68pt;margin-top:9.089362pt;width:760.3pt;height:.5pt;mso-position-horizontal-relative:page;mso-position-vertical-relative:paragraph;z-index:-1226200" coordorigin="814,182" coordsize="15206,10">
            <v:group style="position:absolute;left:818;top:187;width:3133;height:2" coordorigin="818,187" coordsize="3133,2">
              <v:shape style="position:absolute;left:818;top:187;width:3133;height:2" coordorigin="818,187" coordsize="3133,0" path="m818,187l3951,187e" filled="false" stroked="true" strokeweight=".48pt" strokecolor="#000000">
                <v:path arrowok="t"/>
              </v:shape>
            </v:group>
            <v:group style="position:absolute;left:3951;top:187;width:10;height:2" coordorigin="3951,187" coordsize="10,2">
              <v:shape style="position:absolute;left:3951;top:187;width:10;height:2" coordorigin="3951,187" coordsize="10,0" path="m3951,187l3960,187e" filled="false" stroked="true" strokeweight=".48pt" strokecolor="#000000">
                <v:path arrowok="t"/>
              </v:shape>
            </v:group>
            <v:group style="position:absolute;left:3960;top:187;width:1301;height:2" coordorigin="3960,187" coordsize="1301,2">
              <v:shape style="position:absolute;left:3960;top:187;width:1301;height:2" coordorigin="3960,187" coordsize="1301,0" path="m3960,187l5261,187e" filled="false" stroked="true" strokeweight=".48pt" strokecolor="#000000">
                <v:path arrowok="t"/>
              </v:shape>
            </v:group>
            <v:group style="position:absolute;left:5261;top:187;width:10;height:2" coordorigin="5261,187" coordsize="10,2">
              <v:shape style="position:absolute;left:5261;top:187;width:10;height:2" coordorigin="5261,187" coordsize="10,0" path="m5261,187l5271,187e" filled="false" stroked="true" strokeweight=".48pt" strokecolor="#000000">
                <v:path arrowok="t"/>
              </v:shape>
            </v:group>
            <v:group style="position:absolute;left:5271;top:187;width:1463;height:2" coordorigin="5271,187" coordsize="1463,2">
              <v:shape style="position:absolute;left:5271;top:187;width:1463;height:2" coordorigin="5271,187" coordsize="1463,0" path="m5271,187l6733,187e" filled="false" stroked="true" strokeweight=".48pt" strokecolor="#000000">
                <v:path arrowok="t"/>
              </v:shape>
            </v:group>
            <v:group style="position:absolute;left:6733;top:187;width:10;height:2" coordorigin="6733,187" coordsize="10,2">
              <v:shape style="position:absolute;left:6733;top:187;width:10;height:2" coordorigin="6733,187" coordsize="10,0" path="m6733,187l6743,187e" filled="false" stroked="true" strokeweight=".48pt" strokecolor="#000000">
                <v:path arrowok="t"/>
              </v:shape>
            </v:group>
            <v:group style="position:absolute;left:6743;top:187;width:893;height:2" coordorigin="6743,187" coordsize="893,2">
              <v:shape style="position:absolute;left:6743;top:187;width:893;height:2" coordorigin="6743,187" coordsize="893,0" path="m6743,187l7635,187e" filled="false" stroked="true" strokeweight=".48pt" strokecolor="#000000">
                <v:path arrowok="t"/>
              </v:shape>
            </v:group>
            <v:group style="position:absolute;left:7635;top:187;width:10;height:2" coordorigin="7635,187" coordsize="10,2">
              <v:shape style="position:absolute;left:7635;top:187;width:10;height:2" coordorigin="7635,187" coordsize="10,0" path="m7635,187l7645,187e" filled="false" stroked="true" strokeweight=".48pt" strokecolor="#000000">
                <v:path arrowok="t"/>
              </v:shape>
            </v:group>
            <v:group style="position:absolute;left:7645;top:187;width:1388;height:2" coordorigin="7645,187" coordsize="1388,2">
              <v:shape style="position:absolute;left:7645;top:187;width:1388;height:2" coordorigin="7645,187" coordsize="1388,0" path="m7645,187l9032,187e" filled="false" stroked="true" strokeweight=".48pt" strokecolor="#000000">
                <v:path arrowok="t"/>
              </v:shape>
            </v:group>
            <v:group style="position:absolute;left:9032;top:187;width:10;height:2" coordorigin="9032,187" coordsize="10,2">
              <v:shape style="position:absolute;left:9032;top:187;width:10;height:2" coordorigin="9032,187" coordsize="10,0" path="m9032,187l9042,187e" filled="false" stroked="true" strokeweight=".48pt" strokecolor="#000000">
                <v:path arrowok="t"/>
              </v:shape>
            </v:group>
            <v:group style="position:absolute;left:9042;top:187;width:1316;height:2" coordorigin="9042,187" coordsize="1316,2">
              <v:shape style="position:absolute;left:9042;top:187;width:1316;height:2" coordorigin="9042,187" coordsize="1316,0" path="m9042,187l10357,187e" filled="false" stroked="true" strokeweight=".48pt" strokecolor="#000000">
                <v:path arrowok="t"/>
              </v:shape>
            </v:group>
            <v:group style="position:absolute;left:10357;top:187;width:10;height:2" coordorigin="10357,187" coordsize="10,2">
              <v:shape style="position:absolute;left:10357;top:187;width:10;height:2" coordorigin="10357,187" coordsize="10,0" path="m10357,187l10367,187e" filled="false" stroked="true" strokeweight=".48pt" strokecolor="#000000">
                <v:path arrowok="t"/>
              </v:shape>
            </v:group>
            <v:group style="position:absolute;left:10367;top:187;width:1085;height:2" coordorigin="10367,187" coordsize="1085,2">
              <v:shape style="position:absolute;left:10367;top:187;width:1085;height:2" coordorigin="10367,187" coordsize="1085,0" path="m10367,187l11452,187e" filled="false" stroked="true" strokeweight=".48pt" strokecolor="#000000">
                <v:path arrowok="t"/>
              </v:shape>
            </v:group>
            <v:group style="position:absolute;left:11452;top:187;width:10;height:2" coordorigin="11452,187" coordsize="10,2">
              <v:shape style="position:absolute;left:11452;top:187;width:10;height:2" coordorigin="11452,187" coordsize="10,0" path="m11452,187l11461,187e" filled="false" stroked="true" strokeweight=".48pt" strokecolor="#000000">
                <v:path arrowok="t"/>
              </v:shape>
            </v:group>
            <v:group style="position:absolute;left:11461;top:187;width:1126;height:2" coordorigin="11461,187" coordsize="1126,2">
              <v:shape style="position:absolute;left:11461;top:187;width:1126;height:2" coordorigin="11461,187" coordsize="1126,0" path="m11461,187l12587,187e" filled="false" stroked="true" strokeweight=".48pt" strokecolor="#000000">
                <v:path arrowok="t"/>
              </v:shape>
            </v:group>
            <v:group style="position:absolute;left:12587;top:187;width:10;height:2" coordorigin="12587,187" coordsize="10,2">
              <v:shape style="position:absolute;left:12587;top:187;width:10;height:2" coordorigin="12587,187" coordsize="10,0" path="m12587,187l12597,187e" filled="false" stroked="true" strokeweight=".48pt" strokecolor="#000000">
                <v:path arrowok="t"/>
              </v:shape>
            </v:group>
            <v:group style="position:absolute;left:12597;top:187;width:824;height:2" coordorigin="12597,187" coordsize="824,2">
              <v:shape style="position:absolute;left:12597;top:187;width:824;height:2" coordorigin="12597,187" coordsize="824,0" path="m12597,187l13420,187e" filled="false" stroked="true" strokeweight=".48pt" strokecolor="#000000">
                <v:path arrowok="t"/>
              </v:shape>
            </v:group>
            <v:group style="position:absolute;left:13420;top:187;width:10;height:2" coordorigin="13420,187" coordsize="10,2">
              <v:shape style="position:absolute;left:13420;top:187;width:10;height:2" coordorigin="13420,187" coordsize="10,0" path="m13420,187l13430,187e" filled="false" stroked="true" strokeweight=".48pt" strokecolor="#000000">
                <v:path arrowok="t"/>
              </v:shape>
            </v:group>
            <v:group style="position:absolute;left:13430;top:187;width:1376;height:2" coordorigin="13430,187" coordsize="1376,2">
              <v:shape style="position:absolute;left:13430;top:187;width:1376;height:2" coordorigin="13430,187" coordsize="1376,0" path="m13430,187l14805,187e" filled="false" stroked="true" strokeweight=".48pt" strokecolor="#000000">
                <v:path arrowok="t"/>
              </v:shape>
            </v:group>
            <v:group style="position:absolute;left:14805;top:187;width:10;height:2" coordorigin="14805,187" coordsize="10,2">
              <v:shape style="position:absolute;left:14805;top:187;width:10;height:2" coordorigin="14805,187" coordsize="10,0" path="m14805,187l14815,187e" filled="false" stroked="true" strokeweight=".48pt" strokecolor="#000000">
                <v:path arrowok="t"/>
              </v:shape>
            </v:group>
            <v:group style="position:absolute;left:14815;top:187;width:1200;height:2" coordorigin="14815,187" coordsize="1200,2">
              <v:shape style="position:absolute;left:14815;top:187;width:1200;height:2" coordorigin="14815,187" coordsize="1200,0" path="m14815,187l16015,187e" filled="false" stroked="true" strokeweight=".48pt" strokecolor="#000000">
                <v:path arrowok="t"/>
              </v:shape>
            </v:group>
            <w10:wrap type="none"/>
          </v:group>
        </w:pict>
      </w:r>
      <w:r>
        <w:rPr>
          <w:rFonts w:ascii="宋体" w:hAnsi="宋体" w:cs="宋体" w:eastAsia="宋体" w:hint="default"/>
          <w:b/>
          <w:bCs/>
          <w:sz w:val="16"/>
          <w:szCs w:val="16"/>
        </w:rPr>
        <w:t>投资损益</w:t>
      </w:r>
      <w:r>
        <w:rPr>
          <w:rFonts w:ascii="宋体" w:hAnsi="宋体" w:cs="宋体" w:eastAsia="宋体" w:hint="default"/>
          <w:sz w:val="16"/>
          <w:szCs w:val="16"/>
        </w:rPr>
      </w:r>
    </w:p>
    <w:p>
      <w:pPr>
        <w:spacing w:line="159" w:lineRule="exact" w:before="0"/>
        <w:ind w:left="437" w:right="-19" w:firstLine="0"/>
        <w:jc w:val="left"/>
        <w:rPr>
          <w:rFonts w:ascii="宋体" w:hAnsi="宋体" w:cs="宋体" w:eastAsia="宋体" w:hint="default"/>
          <w:sz w:val="16"/>
          <w:szCs w:val="16"/>
        </w:rPr>
      </w:pPr>
      <w:r>
        <w:rPr/>
        <w:br w:type="column"/>
      </w:r>
      <w:r>
        <w:rPr>
          <w:rFonts w:ascii="宋体" w:hAnsi="宋体" w:cs="宋体" w:eastAsia="宋体" w:hint="default"/>
          <w:b/>
          <w:bCs/>
          <w:sz w:val="16"/>
          <w:szCs w:val="16"/>
        </w:rPr>
        <w:t>其他综合</w:t>
      </w:r>
      <w:r>
        <w:rPr>
          <w:rFonts w:ascii="宋体" w:hAnsi="宋体" w:cs="宋体" w:eastAsia="宋体" w:hint="default"/>
          <w:sz w:val="16"/>
          <w:szCs w:val="16"/>
        </w:rPr>
      </w:r>
    </w:p>
    <w:p>
      <w:pPr>
        <w:spacing w:line="208" w:lineRule="exact" w:before="0"/>
        <w:ind w:left="437" w:right="-19" w:firstLine="0"/>
        <w:jc w:val="left"/>
        <w:rPr>
          <w:rFonts w:ascii="宋体" w:hAnsi="宋体" w:cs="宋体" w:eastAsia="宋体" w:hint="default"/>
          <w:sz w:val="16"/>
          <w:szCs w:val="16"/>
        </w:rPr>
      </w:pPr>
      <w:r>
        <w:rPr>
          <w:rFonts w:ascii="宋体" w:hAnsi="宋体" w:cs="宋体" w:eastAsia="宋体" w:hint="default"/>
          <w:b/>
          <w:bCs/>
          <w:sz w:val="16"/>
          <w:szCs w:val="16"/>
        </w:rPr>
        <w:t>收益调整</w:t>
      </w:r>
      <w:r>
        <w:rPr>
          <w:rFonts w:ascii="宋体" w:hAnsi="宋体" w:cs="宋体" w:eastAsia="宋体" w:hint="default"/>
          <w:sz w:val="16"/>
          <w:szCs w:val="16"/>
        </w:rPr>
      </w:r>
    </w:p>
    <w:p>
      <w:pPr>
        <w:spacing w:line="159" w:lineRule="exact" w:before="0"/>
        <w:ind w:left="444" w:right="0" w:firstLine="0"/>
        <w:jc w:val="center"/>
        <w:rPr>
          <w:rFonts w:ascii="宋体" w:hAnsi="宋体" w:cs="宋体" w:eastAsia="宋体" w:hint="default"/>
          <w:sz w:val="16"/>
          <w:szCs w:val="16"/>
        </w:rPr>
      </w:pPr>
      <w:r>
        <w:rPr/>
        <w:br w:type="column"/>
      </w:r>
      <w:r>
        <w:rPr>
          <w:rFonts w:ascii="宋体" w:hAnsi="宋体" w:cs="宋体" w:eastAsia="宋体" w:hint="default"/>
          <w:b/>
          <w:bCs/>
          <w:sz w:val="16"/>
          <w:szCs w:val="16"/>
        </w:rPr>
        <w:t>其他权益变</w:t>
      </w:r>
      <w:r>
        <w:rPr>
          <w:rFonts w:ascii="宋体" w:hAnsi="宋体" w:cs="宋体" w:eastAsia="宋体" w:hint="default"/>
          <w:sz w:val="16"/>
          <w:szCs w:val="16"/>
        </w:rPr>
      </w:r>
    </w:p>
    <w:p>
      <w:pPr>
        <w:spacing w:line="208" w:lineRule="exact" w:before="0"/>
        <w:ind w:left="444" w:right="0" w:firstLine="0"/>
        <w:jc w:val="center"/>
        <w:rPr>
          <w:rFonts w:ascii="宋体" w:hAnsi="宋体" w:cs="宋体" w:eastAsia="宋体" w:hint="default"/>
          <w:sz w:val="16"/>
          <w:szCs w:val="16"/>
        </w:rPr>
      </w:pPr>
      <w:r>
        <w:rPr>
          <w:rFonts w:ascii="宋体" w:hAnsi="宋体" w:cs="宋体" w:eastAsia="宋体" w:hint="default"/>
          <w:b/>
          <w:bCs/>
          <w:w w:val="100"/>
          <w:sz w:val="16"/>
          <w:szCs w:val="16"/>
        </w:rPr>
        <w:t>动</w:t>
      </w:r>
      <w:r>
        <w:rPr>
          <w:rFonts w:ascii="宋体" w:hAnsi="宋体" w:cs="宋体" w:eastAsia="宋体" w:hint="default"/>
          <w:w w:val="100"/>
          <w:sz w:val="16"/>
          <w:szCs w:val="16"/>
        </w:rPr>
      </w:r>
    </w:p>
    <w:p>
      <w:pPr>
        <w:tabs>
          <w:tab w:pos="3903" w:val="left" w:leader="none"/>
        </w:tabs>
        <w:spacing w:line="129" w:lineRule="exact" w:before="0"/>
        <w:ind w:left="195" w:right="0" w:firstLine="0"/>
        <w:jc w:val="left"/>
        <w:rPr>
          <w:rFonts w:ascii="宋体" w:hAnsi="宋体" w:cs="宋体" w:eastAsia="宋体" w:hint="default"/>
          <w:sz w:val="16"/>
          <w:szCs w:val="16"/>
        </w:rPr>
      </w:pPr>
      <w:r>
        <w:rPr/>
        <w:br w:type="column"/>
      </w:r>
      <w:r>
        <w:rPr>
          <w:rFonts w:ascii="宋体" w:hAnsi="宋体" w:cs="宋体" w:eastAsia="宋体" w:hint="default"/>
          <w:b/>
          <w:bCs/>
          <w:sz w:val="16"/>
          <w:szCs w:val="16"/>
        </w:rPr>
        <w:t>宣告发放现金</w:t>
        <w:tab/>
      </w:r>
      <w:r>
        <w:rPr>
          <w:rFonts w:ascii="宋体" w:hAnsi="宋体" w:cs="宋体" w:eastAsia="宋体" w:hint="default"/>
          <w:b/>
          <w:bCs/>
          <w:position w:val="-3"/>
          <w:sz w:val="16"/>
          <w:szCs w:val="16"/>
        </w:rPr>
        <w:t>余额</w:t>
      </w:r>
      <w:r>
        <w:rPr>
          <w:rFonts w:ascii="宋体" w:hAnsi="宋体" w:cs="宋体" w:eastAsia="宋体" w:hint="default"/>
          <w:sz w:val="16"/>
          <w:szCs w:val="16"/>
        </w:rPr>
      </w:r>
    </w:p>
    <w:p>
      <w:pPr>
        <w:tabs>
          <w:tab w:pos="1494" w:val="left" w:leader="none"/>
        </w:tabs>
        <w:spacing w:line="238" w:lineRule="exact" w:before="0"/>
        <w:ind w:left="274" w:right="0" w:firstLine="0"/>
        <w:jc w:val="left"/>
        <w:rPr>
          <w:rFonts w:ascii="宋体" w:hAnsi="宋体" w:cs="宋体" w:eastAsia="宋体" w:hint="default"/>
          <w:sz w:val="16"/>
          <w:szCs w:val="16"/>
        </w:rPr>
      </w:pPr>
      <w:r>
        <w:rPr>
          <w:rFonts w:ascii="宋体" w:hAnsi="宋体" w:cs="宋体" w:eastAsia="宋体" w:hint="default"/>
          <w:b/>
          <w:bCs/>
          <w:sz w:val="16"/>
          <w:szCs w:val="16"/>
        </w:rPr>
        <w:t>股利或利润</w:t>
        <w:tab/>
      </w:r>
      <w:r>
        <w:rPr>
          <w:rFonts w:ascii="宋体" w:hAnsi="宋体" w:cs="宋体" w:eastAsia="宋体" w:hint="default"/>
          <w:b/>
          <w:bCs/>
          <w:position w:val="10"/>
          <w:sz w:val="16"/>
          <w:szCs w:val="16"/>
        </w:rPr>
        <w:t>其他</w:t>
      </w:r>
      <w:r>
        <w:rPr>
          <w:rFonts w:ascii="宋体" w:hAnsi="宋体" w:cs="宋体" w:eastAsia="宋体" w:hint="default"/>
          <w:sz w:val="16"/>
          <w:szCs w:val="16"/>
        </w:rPr>
      </w:r>
    </w:p>
    <w:p>
      <w:pPr>
        <w:spacing w:after="0" w:line="238" w:lineRule="exact"/>
        <w:jc w:val="left"/>
        <w:rPr>
          <w:rFonts w:ascii="宋体" w:hAnsi="宋体" w:cs="宋体" w:eastAsia="宋体" w:hint="default"/>
          <w:sz w:val="16"/>
          <w:szCs w:val="16"/>
        </w:rPr>
        <w:sectPr>
          <w:type w:val="continuous"/>
          <w:pgSz w:w="16840" w:h="11910" w:orient="landscape"/>
          <w:pgMar w:top="1000" w:bottom="280" w:left="680" w:right="700"/>
          <w:cols w:num="4" w:equalWidth="0">
            <w:col w:w="8218" w:space="40"/>
            <w:col w:w="1082" w:space="40"/>
            <w:col w:w="1249" w:space="40"/>
            <w:col w:w="4791"/>
          </w:cols>
        </w:sectPr>
      </w:pPr>
    </w:p>
    <w:p>
      <w:pPr>
        <w:tabs>
          <w:tab w:pos="3333" w:val="left" w:leader="none"/>
        </w:tabs>
        <w:spacing w:line="152" w:lineRule="exact" w:before="9"/>
        <w:ind w:left="174" w:right="-6" w:firstLine="0"/>
        <w:jc w:val="left"/>
        <w:rPr>
          <w:rFonts w:ascii="宋体" w:hAnsi="宋体" w:cs="宋体" w:eastAsia="宋体" w:hint="default"/>
          <w:sz w:val="16"/>
          <w:szCs w:val="16"/>
        </w:rPr>
      </w:pPr>
      <w:r>
        <w:rPr>
          <w:rFonts w:ascii="宋体" w:hAnsi="宋体" w:cs="宋体" w:eastAsia="宋体" w:hint="default"/>
          <w:b/>
          <w:bCs/>
          <w:position w:val="-9"/>
          <w:sz w:val="16"/>
          <w:szCs w:val="16"/>
        </w:rPr>
        <w:t>合计</w:t>
        <w:tab/>
      </w:r>
      <w:r>
        <w:rPr>
          <w:rFonts w:ascii="宋体" w:hAnsi="宋体" w:cs="宋体" w:eastAsia="宋体" w:hint="default"/>
          <w:b/>
          <w:bCs/>
          <w:spacing w:val="-1"/>
          <w:sz w:val="16"/>
          <w:szCs w:val="16"/>
        </w:rPr>
        <w:t>17,722,634,765.</w:t>
      </w:r>
      <w:r>
        <w:rPr>
          <w:rFonts w:ascii="宋体" w:hAnsi="宋体" w:cs="宋体" w:eastAsia="宋体" w:hint="default"/>
          <w:spacing w:val="-1"/>
          <w:sz w:val="16"/>
          <w:szCs w:val="16"/>
        </w:rPr>
      </w:r>
    </w:p>
    <w:p>
      <w:pPr>
        <w:spacing w:line="152" w:lineRule="exact" w:before="9"/>
        <w:ind w:left="174" w:right="0" w:firstLine="0"/>
        <w:jc w:val="left"/>
        <w:rPr>
          <w:rFonts w:ascii="宋体" w:hAnsi="宋体" w:cs="宋体" w:eastAsia="宋体" w:hint="default"/>
          <w:sz w:val="16"/>
          <w:szCs w:val="16"/>
        </w:rPr>
      </w:pPr>
      <w:r>
        <w:rPr/>
        <w:br w:type="column"/>
      </w:r>
      <w:r>
        <w:rPr>
          <w:rFonts w:ascii="宋体"/>
          <w:b/>
          <w:sz w:val="16"/>
        </w:rPr>
        <w:t>77,431,453.8</w:t>
      </w:r>
      <w:r>
        <w:rPr>
          <w:rFonts w:ascii="宋体"/>
          <w:b/>
          <w:spacing w:val="-17"/>
          <w:sz w:val="16"/>
        </w:rPr>
        <w:t> </w:t>
      </w:r>
      <w:r>
        <w:rPr>
          <w:rFonts w:ascii="宋体"/>
          <w:b/>
          <w:sz w:val="16"/>
        </w:rPr>
        <w:t>340,049,744.2</w:t>
      </w:r>
      <w:r>
        <w:rPr>
          <w:rFonts w:ascii="宋体"/>
          <w:sz w:val="16"/>
        </w:rPr>
      </w:r>
    </w:p>
    <w:p>
      <w:pPr>
        <w:spacing w:line="152" w:lineRule="exact" w:before="9"/>
        <w:ind w:left="174" w:right="0" w:firstLine="0"/>
        <w:jc w:val="left"/>
        <w:rPr>
          <w:rFonts w:ascii="宋体" w:hAnsi="宋体" w:cs="宋体" w:eastAsia="宋体" w:hint="default"/>
          <w:sz w:val="16"/>
          <w:szCs w:val="16"/>
        </w:rPr>
      </w:pPr>
      <w:r>
        <w:rPr/>
        <w:br w:type="column"/>
      </w:r>
      <w:r>
        <w:rPr>
          <w:rFonts w:ascii="宋体"/>
          <w:b/>
          <w:sz w:val="16"/>
        </w:rPr>
        <w:t>17,933,567,756.9</w:t>
      </w:r>
      <w:r>
        <w:rPr>
          <w:rFonts w:ascii="宋体"/>
          <w:b/>
          <w:spacing w:val="-23"/>
          <w:sz w:val="16"/>
        </w:rPr>
        <w:t> </w:t>
      </w:r>
      <w:r>
        <w:rPr>
          <w:rFonts w:ascii="宋体"/>
          <w:b/>
          <w:sz w:val="16"/>
        </w:rPr>
        <w:t>1,417,766,078.</w:t>
      </w:r>
      <w:r>
        <w:rPr>
          <w:rFonts w:ascii="宋体"/>
          <w:sz w:val="16"/>
        </w:rPr>
      </w:r>
    </w:p>
    <w:p>
      <w:pPr>
        <w:spacing w:after="0" w:line="152" w:lineRule="exact"/>
        <w:jc w:val="left"/>
        <w:rPr>
          <w:rFonts w:ascii="宋体" w:hAnsi="宋体" w:cs="宋体" w:eastAsia="宋体" w:hint="default"/>
          <w:sz w:val="16"/>
          <w:szCs w:val="16"/>
        </w:rPr>
        <w:sectPr>
          <w:type w:val="continuous"/>
          <w:pgSz w:w="16840" w:h="11910" w:orient="landscape"/>
          <w:pgMar w:top="1000" w:bottom="280" w:left="680" w:right="700"/>
          <w:cols w:num="3" w:equalWidth="0">
            <w:col w:w="4543" w:space="5051"/>
            <w:col w:w="2277" w:space="752"/>
            <w:col w:w="2837"/>
          </w:cols>
        </w:sectPr>
      </w:pPr>
    </w:p>
    <w:p>
      <w:pPr>
        <w:tabs>
          <w:tab w:pos="4888" w:val="left" w:leader="none"/>
          <w:tab w:pos="7188" w:val="left" w:leader="none"/>
          <w:tab w:pos="10654" w:val="left" w:leader="none"/>
        </w:tabs>
        <w:spacing w:line="261" w:lineRule="exact" w:before="0"/>
        <w:ind w:left="4382" w:right="-21" w:firstLine="0"/>
        <w:jc w:val="left"/>
        <w:rPr>
          <w:rFonts w:ascii="宋体" w:hAnsi="宋体" w:cs="宋体" w:eastAsia="宋体" w:hint="default"/>
          <w:sz w:val="16"/>
          <w:szCs w:val="16"/>
        </w:rPr>
      </w:pPr>
      <w:r>
        <w:rPr>
          <w:rFonts w:ascii="宋体"/>
          <w:b/>
          <w:position w:val="-9"/>
          <w:sz w:val="16"/>
        </w:rPr>
        <w:t>56</w:t>
        <w:tab/>
      </w:r>
      <w:r>
        <w:rPr>
          <w:rFonts w:ascii="宋体"/>
          <w:b/>
          <w:sz w:val="16"/>
        </w:rPr>
        <w:t>395,230,977.32</w:t>
      </w:r>
      <w:r>
        <w:rPr>
          <w:rFonts w:ascii="宋体"/>
          <w:b/>
          <w:spacing w:val="-7"/>
          <w:sz w:val="16"/>
        </w:rPr>
        <w:t> </w:t>
      </w:r>
      <w:r>
        <w:rPr>
          <w:rFonts w:ascii="宋体"/>
          <w:b/>
          <w:sz w:val="16"/>
        </w:rPr>
        <w:t>808,963.25</w:t>
        <w:tab/>
        <w:t>419,574,087.26</w:t>
      </w:r>
      <w:r>
        <w:rPr>
          <w:rFonts w:ascii="宋体"/>
          <w:b/>
          <w:spacing w:val="11"/>
          <w:sz w:val="16"/>
        </w:rPr>
        <w:t> </w:t>
      </w:r>
      <w:r>
        <w:rPr>
          <w:rFonts w:ascii="宋体"/>
          <w:b/>
          <w:sz w:val="16"/>
        </w:rPr>
        <w:t>-340,516,086.86</w:t>
        <w:tab/>
      </w:r>
      <w:r>
        <w:rPr>
          <w:rFonts w:ascii="宋体"/>
          <w:b/>
          <w:position w:val="-9"/>
          <w:sz w:val="16"/>
        </w:rPr>
        <w:t>1</w:t>
      </w:r>
      <w:r>
        <w:rPr>
          <w:rFonts w:ascii="宋体"/>
          <w:sz w:val="16"/>
        </w:rPr>
      </w:r>
    </w:p>
    <w:p>
      <w:pPr>
        <w:spacing w:line="261" w:lineRule="exact" w:before="0"/>
        <w:ind w:left="1014" w:right="-11" w:firstLine="0"/>
        <w:jc w:val="left"/>
        <w:rPr>
          <w:rFonts w:ascii="宋体" w:hAnsi="宋体" w:cs="宋体" w:eastAsia="宋体" w:hint="default"/>
          <w:sz w:val="16"/>
          <w:szCs w:val="16"/>
        </w:rPr>
      </w:pPr>
      <w:r>
        <w:rPr/>
        <w:br w:type="column"/>
      </w:r>
      <w:r>
        <w:rPr>
          <w:rFonts w:ascii="宋体"/>
          <w:b/>
          <w:position w:val="-9"/>
          <w:sz w:val="16"/>
        </w:rPr>
        <w:t>1</w:t>
      </w:r>
      <w:r>
        <w:rPr>
          <w:rFonts w:ascii="宋体"/>
          <w:b/>
          <w:spacing w:val="19"/>
          <w:position w:val="-9"/>
          <w:sz w:val="16"/>
        </w:rPr>
        <w:t> </w:t>
      </w:r>
      <w:r>
        <w:rPr>
          <w:rFonts w:ascii="宋体"/>
          <w:b/>
          <w:sz w:val="16"/>
        </w:rPr>
        <w:t>71,267.34</w:t>
      </w:r>
      <w:r>
        <w:rPr>
          <w:rFonts w:ascii="宋体"/>
          <w:sz w:val="16"/>
        </w:rPr>
      </w:r>
    </w:p>
    <w:p>
      <w:pPr>
        <w:tabs>
          <w:tab w:pos="2396" w:val="left" w:leader="none"/>
        </w:tabs>
        <w:spacing w:before="54"/>
        <w:ind w:left="1263" w:right="0" w:firstLine="0"/>
        <w:jc w:val="left"/>
        <w:rPr>
          <w:rFonts w:ascii="宋体" w:hAnsi="宋体" w:cs="宋体" w:eastAsia="宋体" w:hint="default"/>
          <w:sz w:val="16"/>
          <w:szCs w:val="16"/>
        </w:rPr>
      </w:pPr>
      <w:r>
        <w:rPr>
          <w:w w:val="95"/>
        </w:rPr>
        <w:br w:type="column"/>
      </w:r>
      <w:r>
        <w:rPr>
          <w:rFonts w:ascii="宋体"/>
          <w:b/>
          <w:w w:val="95"/>
          <w:sz w:val="16"/>
        </w:rPr>
        <w:t>7</w:t>
        <w:tab/>
      </w:r>
      <w:r>
        <w:rPr>
          <w:rFonts w:ascii="宋体"/>
          <w:b/>
          <w:sz w:val="16"/>
        </w:rPr>
        <w:t>68</w:t>
      </w:r>
      <w:r>
        <w:rPr>
          <w:rFonts w:ascii="宋体"/>
          <w:sz w:val="16"/>
        </w:rPr>
      </w:r>
    </w:p>
    <w:p>
      <w:pPr>
        <w:spacing w:after="0"/>
        <w:jc w:val="left"/>
        <w:rPr>
          <w:rFonts w:ascii="宋体" w:hAnsi="宋体" w:cs="宋体" w:eastAsia="宋体" w:hint="default"/>
          <w:sz w:val="16"/>
          <w:szCs w:val="16"/>
        </w:rPr>
        <w:sectPr>
          <w:type w:val="continuous"/>
          <w:pgSz w:w="16840" w:h="11910" w:orient="landscape"/>
          <w:pgMar w:top="1000" w:bottom="280" w:left="680" w:right="700"/>
          <w:cols w:num="3" w:equalWidth="0">
            <w:col w:w="10735" w:space="40"/>
            <w:col w:w="1930" w:space="40"/>
            <w:col w:w="2715"/>
          </w:cols>
        </w:sectPr>
      </w:pPr>
    </w:p>
    <w:p>
      <w:pPr>
        <w:spacing w:line="240" w:lineRule="auto" w:before="0"/>
        <w:rPr>
          <w:rFonts w:ascii="宋体" w:hAnsi="宋体" w:cs="宋体" w:eastAsia="宋体" w:hint="default"/>
          <w:b/>
          <w:bCs/>
          <w:sz w:val="2"/>
          <w:szCs w:val="2"/>
        </w:rPr>
      </w:pPr>
    </w:p>
    <w:p>
      <w:pPr>
        <w:spacing w:line="28" w:lineRule="exact"/>
        <w:ind w:left="109" w:right="0" w:firstLine="0"/>
        <w:rPr>
          <w:rFonts w:ascii="宋体" w:hAnsi="宋体" w:cs="宋体" w:eastAsia="宋体" w:hint="default"/>
          <w:sz w:val="2"/>
          <w:szCs w:val="2"/>
        </w:rPr>
      </w:pPr>
      <w:r>
        <w:rPr>
          <w:rFonts w:ascii="宋体" w:hAnsi="宋体" w:cs="宋体" w:eastAsia="宋体" w:hint="default"/>
          <w:position w:val="0"/>
          <w:sz w:val="2"/>
          <w:szCs w:val="2"/>
        </w:rPr>
        <w:pict>
          <v:group style="width:762pt;height:1.45pt;mso-position-horizontal-relative:char;mso-position-vertical-relative:line" coordorigin="0,0" coordsize="15240,29">
            <v:group style="position:absolute;left:14;top:14;width:3147;height:2" coordorigin="14,14" coordsize="3147,2">
              <v:shape style="position:absolute;left:14;top:14;width:3147;height:2" coordorigin="14,14" coordsize="3147,0" path="m14,14l3161,14e" filled="false" stroked="true" strokeweight="1.44pt" strokecolor="#000000">
                <v:path arrowok="t"/>
              </v:shape>
            </v:group>
            <v:group style="position:absolute;left:3147;top:14;width:29;height:2" coordorigin="3147,14" coordsize="29,2">
              <v:shape style="position:absolute;left:3147;top:14;width:29;height:2" coordorigin="3147,14" coordsize="29,0" path="m3147,14l3176,14e" filled="false" stroked="true" strokeweight="1.44pt" strokecolor="#000000">
                <v:path arrowok="t"/>
              </v:shape>
            </v:group>
            <v:group style="position:absolute;left:3176;top:14;width:1296;height:2" coordorigin="3176,14" coordsize="1296,2">
              <v:shape style="position:absolute;left:3176;top:14;width:1296;height:2" coordorigin="3176,14" coordsize="1296,0" path="m3176,14l4472,14e" filled="false" stroked="true" strokeweight="1.44pt" strokecolor="#000000">
                <v:path arrowok="t"/>
              </v:shape>
            </v:group>
            <v:group style="position:absolute;left:4457;top:14;width:29;height:2" coordorigin="4457,14" coordsize="29,2">
              <v:shape style="position:absolute;left:4457;top:14;width:29;height:2" coordorigin="4457,14" coordsize="29,0" path="m4457,14l4486,14e" filled="false" stroked="true" strokeweight="1.44pt" strokecolor="#000000">
                <v:path arrowok="t"/>
              </v:shape>
            </v:group>
            <v:group style="position:absolute;left:4486;top:14;width:1458;height:2" coordorigin="4486,14" coordsize="1458,2">
              <v:shape style="position:absolute;left:4486;top:14;width:1458;height:2" coordorigin="4486,14" coordsize="1458,0" path="m4486,14l5943,14e" filled="false" stroked="true" strokeweight="1.44pt" strokecolor="#000000">
                <v:path arrowok="t"/>
              </v:shape>
            </v:group>
            <v:group style="position:absolute;left:5929;top:14;width:29;height:2" coordorigin="5929,14" coordsize="29,2">
              <v:shape style="position:absolute;left:5929;top:14;width:29;height:2" coordorigin="5929,14" coordsize="29,0" path="m5929,14l5958,14e" filled="false" stroked="true" strokeweight="1.44pt" strokecolor="#000000">
                <v:path arrowok="t"/>
              </v:shape>
            </v:group>
            <v:group style="position:absolute;left:5958;top:14;width:888;height:2" coordorigin="5958,14" coordsize="888,2">
              <v:shape style="position:absolute;left:5958;top:14;width:888;height:2" coordorigin="5958,14" coordsize="888,0" path="m5958,14l6846,14e" filled="false" stroked="true" strokeweight="1.44pt" strokecolor="#000000">
                <v:path arrowok="t"/>
              </v:shape>
            </v:group>
            <v:group style="position:absolute;left:6831;top:14;width:29;height:2" coordorigin="6831,14" coordsize="29,2">
              <v:shape style="position:absolute;left:6831;top:14;width:29;height:2" coordorigin="6831,14" coordsize="29,0" path="m6831,14l6860,14e" filled="false" stroked="true" strokeweight="1.44pt" strokecolor="#000000">
                <v:path arrowok="t"/>
              </v:shape>
            </v:group>
            <v:group style="position:absolute;left:6860;top:14;width:1383;height:2" coordorigin="6860,14" coordsize="1383,2">
              <v:shape style="position:absolute;left:6860;top:14;width:1383;height:2" coordorigin="6860,14" coordsize="1383,0" path="m6860,14l8243,14e" filled="false" stroked="true" strokeweight="1.44pt" strokecolor="#000000">
                <v:path arrowok="t"/>
              </v:shape>
            </v:group>
            <v:group style="position:absolute;left:8228;top:14;width:29;height:2" coordorigin="8228,14" coordsize="29,2">
              <v:shape style="position:absolute;left:8228;top:14;width:29;height:2" coordorigin="8228,14" coordsize="29,0" path="m8228,14l8257,14e" filled="false" stroked="true" strokeweight="1.44pt" strokecolor="#000000">
                <v:path arrowok="t"/>
              </v:shape>
            </v:group>
            <v:group style="position:absolute;left:8257;top:14;width:1311;height:2" coordorigin="8257,14" coordsize="1311,2">
              <v:shape style="position:absolute;left:8257;top:14;width:1311;height:2" coordorigin="8257,14" coordsize="1311,0" path="m8257,14l9568,14e" filled="false" stroked="true" strokeweight="1.44pt" strokecolor="#000000">
                <v:path arrowok="t"/>
              </v:shape>
            </v:group>
            <v:group style="position:absolute;left:9553;top:14;width:29;height:2" coordorigin="9553,14" coordsize="29,2">
              <v:shape style="position:absolute;left:9553;top:14;width:29;height:2" coordorigin="9553,14" coordsize="29,0" path="m9553,14l9582,14e" filled="false" stroked="true" strokeweight="1.44pt" strokecolor="#000000">
                <v:path arrowok="t"/>
              </v:shape>
            </v:group>
            <v:group style="position:absolute;left:9582;top:14;width:1080;height:2" coordorigin="9582,14" coordsize="1080,2">
              <v:shape style="position:absolute;left:9582;top:14;width:1080;height:2" coordorigin="9582,14" coordsize="1080,0" path="m9582,14l10662,14e" filled="false" stroked="true" strokeweight="1.44pt" strokecolor="#000000">
                <v:path arrowok="t"/>
              </v:shape>
            </v:group>
            <v:group style="position:absolute;left:10648;top:14;width:29;height:2" coordorigin="10648,14" coordsize="29,2">
              <v:shape style="position:absolute;left:10648;top:14;width:29;height:2" coordorigin="10648,14" coordsize="29,0" path="m10648,14l10677,14e" filled="false" stroked="true" strokeweight="1.44pt" strokecolor="#000000">
                <v:path arrowok="t"/>
              </v:shape>
            </v:group>
            <v:group style="position:absolute;left:10677;top:14;width:1121;height:2" coordorigin="10677,14" coordsize="1121,2">
              <v:shape style="position:absolute;left:10677;top:14;width:1121;height:2" coordorigin="10677,14" coordsize="1121,0" path="m10677,14l11797,14e" filled="false" stroked="true" strokeweight="1.44pt" strokecolor="#000000">
                <v:path arrowok="t"/>
              </v:shape>
            </v:group>
            <v:group style="position:absolute;left:11783;top:14;width:29;height:2" coordorigin="11783,14" coordsize="29,2">
              <v:shape style="position:absolute;left:11783;top:14;width:29;height:2" coordorigin="11783,14" coordsize="29,0" path="m11783,14l11812,14e" filled="false" stroked="true" strokeweight="1.44pt" strokecolor="#000000">
                <v:path arrowok="t"/>
              </v:shape>
            </v:group>
            <v:group style="position:absolute;left:11812;top:14;width:819;height:2" coordorigin="11812,14" coordsize="819,2">
              <v:shape style="position:absolute;left:11812;top:14;width:819;height:2" coordorigin="11812,14" coordsize="819,0" path="m11812,14l12631,14e" filled="false" stroked="true" strokeweight="1.44pt" strokecolor="#000000">
                <v:path arrowok="t"/>
              </v:shape>
            </v:group>
            <v:group style="position:absolute;left:12616;top:14;width:29;height:2" coordorigin="12616,14" coordsize="29,2">
              <v:shape style="position:absolute;left:12616;top:14;width:29;height:2" coordorigin="12616,14" coordsize="29,0" path="m12616,14l12645,14e" filled="false" stroked="true" strokeweight="1.44pt" strokecolor="#000000">
                <v:path arrowok="t"/>
              </v:shape>
            </v:group>
            <v:group style="position:absolute;left:12645;top:14;width:1371;height:2" coordorigin="12645,14" coordsize="1371,2">
              <v:shape style="position:absolute;left:12645;top:14;width:1371;height:2" coordorigin="12645,14" coordsize="1371,0" path="m12645,14l14016,14e" filled="false" stroked="true" strokeweight="1.44pt" strokecolor="#000000">
                <v:path arrowok="t"/>
              </v:shape>
            </v:group>
            <v:group style="position:absolute;left:14001;top:14;width:29;height:2" coordorigin="14001,14" coordsize="29,2">
              <v:shape style="position:absolute;left:14001;top:14;width:29;height:2" coordorigin="14001,14" coordsize="29,0" path="m14001,14l14030,14e" filled="false" stroked="true" strokeweight="1.44pt" strokecolor="#000000">
                <v:path arrowok="t"/>
              </v:shape>
            </v:group>
            <v:group style="position:absolute;left:14030;top:14;width:1196;height:2" coordorigin="14030,14" coordsize="1196,2">
              <v:shape style="position:absolute;left:14030;top:14;width:1196;height:2" coordorigin="14030,14" coordsize="1196,0" path="m14030,14l15225,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type w:val="continuous"/>
          <w:pgSz w:w="16840" w:h="11910" w:orient="landscape"/>
          <w:pgMar w:top="1000" w:bottom="280" w:left="680" w:right="700"/>
        </w:sectPr>
      </w:pPr>
    </w:p>
    <w:p>
      <w:pPr>
        <w:tabs>
          <w:tab w:pos="1841" w:val="left" w:leader="none"/>
        </w:tabs>
        <w:spacing w:before="6"/>
        <w:ind w:left="1166" w:right="0" w:firstLine="0"/>
        <w:jc w:val="left"/>
        <w:rPr>
          <w:rFonts w:ascii="宋体" w:hAnsi="宋体" w:cs="宋体" w:eastAsia="宋体" w:hint="default"/>
          <w:sz w:val="22"/>
          <w:szCs w:val="22"/>
        </w:rPr>
      </w:pPr>
      <w:r>
        <w:rPr>
          <w:rFonts w:ascii="宋体" w:hAnsi="宋体" w:cs="宋体" w:eastAsia="宋体" w:hint="default"/>
          <w:b/>
          <w:bCs/>
          <w:sz w:val="22"/>
          <w:szCs w:val="22"/>
        </w:rPr>
        <w:t>(2)</w:t>
        <w:tab/>
      </w:r>
      <w:r>
        <w:rPr>
          <w:rFonts w:ascii="宋体" w:hAnsi="宋体" w:cs="宋体" w:eastAsia="宋体" w:hint="default"/>
          <w:sz w:val="22"/>
          <w:szCs w:val="22"/>
        </w:rPr>
        <w:t>长期股权投资减值准备</w:t>
      </w:r>
    </w:p>
    <w:p>
      <w:pPr>
        <w:spacing w:line="240" w:lineRule="auto" w:before="9"/>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914"/>
        <w:gridCol w:w="1544"/>
        <w:gridCol w:w="1642"/>
        <w:gridCol w:w="1112"/>
        <w:gridCol w:w="1568"/>
      </w:tblGrid>
      <w:tr>
        <w:trPr>
          <w:trHeight w:val="314" w:hRule="exact"/>
        </w:trPr>
        <w:tc>
          <w:tcPr>
            <w:tcW w:w="3914" w:type="dxa"/>
            <w:tcBorders>
              <w:top w:val="single" w:sz="12" w:space="0" w:color="000000"/>
              <w:left w:val="nil" w:sz="6" w:space="0" w:color="auto"/>
              <w:bottom w:val="single" w:sz="4" w:space="0" w:color="000000"/>
              <w:right w:val="nil" w:sz="6" w:space="0" w:color="auto"/>
            </w:tcBorders>
          </w:tcPr>
          <w:p>
            <w:pPr>
              <w:pStyle w:val="TableParagraph"/>
              <w:spacing w:line="240" w:lineRule="auto" w:before="3"/>
              <w:ind w:left="107"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544" w:type="dxa"/>
            <w:tcBorders>
              <w:top w:val="single" w:sz="12" w:space="0" w:color="000000"/>
              <w:left w:val="nil" w:sz="6" w:space="0" w:color="auto"/>
              <w:bottom w:val="single" w:sz="4" w:space="0" w:color="000000"/>
              <w:right w:val="nil" w:sz="6" w:space="0" w:color="auto"/>
            </w:tcBorders>
          </w:tcPr>
          <w:p>
            <w:pPr>
              <w:pStyle w:val="TableParagraph"/>
              <w:spacing w:line="240" w:lineRule="auto" w:before="3"/>
              <w:ind w:left="313"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642" w:type="dxa"/>
            <w:tcBorders>
              <w:top w:val="single" w:sz="12" w:space="0" w:color="000000"/>
              <w:left w:val="nil" w:sz="6" w:space="0" w:color="auto"/>
              <w:bottom w:val="single" w:sz="4" w:space="0" w:color="000000"/>
              <w:right w:val="nil" w:sz="6" w:space="0" w:color="auto"/>
            </w:tcBorders>
          </w:tcPr>
          <w:p>
            <w:pPr>
              <w:pStyle w:val="TableParagraph"/>
              <w:spacing w:line="240" w:lineRule="auto" w:before="3"/>
              <w:ind w:left="399"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112" w:type="dxa"/>
            <w:tcBorders>
              <w:top w:val="single" w:sz="12" w:space="0" w:color="000000"/>
              <w:left w:val="nil" w:sz="6" w:space="0" w:color="auto"/>
              <w:bottom w:val="single" w:sz="4" w:space="0" w:color="000000"/>
              <w:right w:val="nil" w:sz="6" w:space="0" w:color="auto"/>
            </w:tcBorders>
          </w:tcPr>
          <w:p>
            <w:pPr>
              <w:pStyle w:val="TableParagraph"/>
              <w:spacing w:line="240" w:lineRule="auto" w:before="3"/>
              <w:ind w:left="163"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1568" w:type="dxa"/>
            <w:tcBorders>
              <w:top w:val="single" w:sz="12" w:space="0" w:color="000000"/>
              <w:left w:val="nil" w:sz="6" w:space="0" w:color="auto"/>
              <w:bottom w:val="single" w:sz="4" w:space="0" w:color="000000"/>
              <w:right w:val="nil" w:sz="6" w:space="0" w:color="auto"/>
            </w:tcBorders>
          </w:tcPr>
          <w:p>
            <w:pPr>
              <w:pStyle w:val="TableParagraph"/>
              <w:spacing w:line="240" w:lineRule="auto" w:before="3"/>
              <w:ind w:left="435"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99" w:hRule="exact"/>
        </w:trPr>
        <w:tc>
          <w:tcPr>
            <w:tcW w:w="391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8"/>
                <w:szCs w:val="18"/>
              </w:rPr>
            </w:pPr>
            <w:r>
              <w:rPr>
                <w:rFonts w:ascii="宋体" w:hAnsi="宋体" w:cs="宋体" w:eastAsia="宋体" w:hint="default"/>
                <w:sz w:val="18"/>
                <w:szCs w:val="18"/>
              </w:rPr>
              <w:t>深圳市华融泰资产管理有限公司</w:t>
            </w:r>
          </w:p>
        </w:tc>
        <w:tc>
          <w:tcPr>
            <w:tcW w:w="154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64"/>
              <w:jc w:val="right"/>
              <w:rPr>
                <w:rFonts w:ascii="宋体" w:hAnsi="宋体" w:cs="宋体" w:eastAsia="宋体" w:hint="default"/>
                <w:sz w:val="18"/>
                <w:szCs w:val="18"/>
              </w:rPr>
            </w:pPr>
            <w:r>
              <w:rPr>
                <w:rFonts w:ascii="宋体"/>
                <w:spacing w:val="-1"/>
                <w:sz w:val="18"/>
              </w:rPr>
              <w:t>255,984,588.34</w:t>
            </w:r>
          </w:p>
        </w:tc>
        <w:tc>
          <w:tcPr>
            <w:tcW w:w="1642"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122"/>
              <w:jc w:val="right"/>
              <w:rPr>
                <w:rFonts w:ascii="宋体" w:hAnsi="宋体" w:cs="宋体" w:eastAsia="宋体" w:hint="default"/>
                <w:sz w:val="18"/>
                <w:szCs w:val="18"/>
              </w:rPr>
            </w:pPr>
            <w:r>
              <w:rPr>
                <w:rFonts w:ascii="宋体"/>
                <w:spacing w:val="-1"/>
                <w:sz w:val="18"/>
              </w:rPr>
              <w:t>382,001,078.30</w:t>
            </w:r>
          </w:p>
        </w:tc>
        <w:tc>
          <w:tcPr>
            <w:tcW w:w="1112"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77"/>
              <w:jc w:val="right"/>
              <w:rPr>
                <w:rFonts w:ascii="宋体" w:hAnsi="宋体" w:cs="宋体" w:eastAsia="宋体" w:hint="default"/>
                <w:sz w:val="18"/>
                <w:szCs w:val="18"/>
              </w:rPr>
            </w:pPr>
            <w:r>
              <w:rPr>
                <w:rFonts w:ascii="宋体"/>
                <w:sz w:val="18"/>
              </w:rPr>
              <w:t>0.00</w:t>
            </w:r>
          </w:p>
        </w:tc>
        <w:tc>
          <w:tcPr>
            <w:tcW w:w="156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34"/>
              <w:jc w:val="right"/>
              <w:rPr>
                <w:rFonts w:ascii="宋体" w:hAnsi="宋体" w:cs="宋体" w:eastAsia="宋体" w:hint="default"/>
                <w:sz w:val="18"/>
                <w:szCs w:val="18"/>
              </w:rPr>
            </w:pPr>
            <w:r>
              <w:rPr>
                <w:rFonts w:ascii="宋体"/>
                <w:spacing w:val="-1"/>
                <w:sz w:val="18"/>
              </w:rPr>
              <w:t>637,985,666.64</w:t>
            </w:r>
          </w:p>
        </w:tc>
      </w:tr>
      <w:tr>
        <w:trPr>
          <w:trHeight w:val="294" w:hRule="exact"/>
        </w:trPr>
        <w:tc>
          <w:tcPr>
            <w:tcW w:w="3914"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18"/>
                <w:szCs w:val="18"/>
              </w:rPr>
            </w:pPr>
            <w:r>
              <w:rPr>
                <w:rFonts w:ascii="宋体" w:hAnsi="宋体" w:cs="宋体" w:eastAsia="宋体" w:hint="default"/>
                <w:sz w:val="18"/>
                <w:szCs w:val="18"/>
              </w:rPr>
              <w:t>中国医疗网络有限公司</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4"/>
              <w:jc w:val="right"/>
              <w:rPr>
                <w:rFonts w:ascii="宋体" w:hAnsi="宋体" w:cs="宋体" w:eastAsia="宋体" w:hint="default"/>
                <w:sz w:val="18"/>
                <w:szCs w:val="18"/>
              </w:rPr>
            </w:pPr>
            <w:r>
              <w:rPr>
                <w:rFonts w:ascii="宋体"/>
                <w:spacing w:val="-1"/>
                <w:sz w:val="18"/>
              </w:rPr>
              <w:t>77,929,934.60</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2"/>
              <w:jc w:val="right"/>
              <w:rPr>
                <w:rFonts w:ascii="宋体" w:hAnsi="宋体" w:cs="宋体" w:eastAsia="宋体" w:hint="default"/>
                <w:sz w:val="18"/>
                <w:szCs w:val="18"/>
              </w:rPr>
            </w:pPr>
            <w:r>
              <w:rPr>
                <w:rFonts w:ascii="宋体"/>
                <w:spacing w:val="-1"/>
                <w:sz w:val="18"/>
              </w:rPr>
              <w:t>663,418,787.48</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77"/>
              <w:jc w:val="right"/>
              <w:rPr>
                <w:rFonts w:ascii="宋体" w:hAnsi="宋体" w:cs="宋体" w:eastAsia="宋体" w:hint="default"/>
                <w:sz w:val="18"/>
                <w:szCs w:val="18"/>
              </w:rPr>
            </w:pPr>
            <w:r>
              <w:rPr>
                <w:rFonts w:ascii="宋体"/>
                <w:sz w:val="18"/>
              </w:rPr>
              <w:t>0.00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
              <w:jc w:val="right"/>
              <w:rPr>
                <w:rFonts w:ascii="宋体" w:hAnsi="宋体" w:cs="宋体" w:eastAsia="宋体" w:hint="default"/>
                <w:sz w:val="18"/>
                <w:szCs w:val="18"/>
              </w:rPr>
            </w:pPr>
            <w:r>
              <w:rPr>
                <w:rFonts w:ascii="宋体"/>
                <w:spacing w:val="-1"/>
                <w:sz w:val="18"/>
              </w:rPr>
              <w:t>741,348,722.08</w:t>
            </w:r>
          </w:p>
        </w:tc>
      </w:tr>
      <w:tr>
        <w:trPr>
          <w:trHeight w:val="294" w:hRule="exact"/>
        </w:trPr>
        <w:tc>
          <w:tcPr>
            <w:tcW w:w="3914"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8"/>
                <w:szCs w:val="18"/>
              </w:rPr>
            </w:pPr>
            <w:r>
              <w:rPr>
                <w:rFonts w:ascii="宋体" w:hAnsi="宋体" w:cs="宋体" w:eastAsia="宋体" w:hint="default"/>
                <w:sz w:val="18"/>
                <w:szCs w:val="18"/>
              </w:rPr>
              <w:t>山西左云晋能新能源发电有限公司</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4"/>
              <w:jc w:val="right"/>
              <w:rPr>
                <w:rFonts w:ascii="宋体" w:hAnsi="宋体" w:cs="宋体" w:eastAsia="宋体" w:hint="default"/>
                <w:sz w:val="18"/>
                <w:szCs w:val="18"/>
              </w:rPr>
            </w:pPr>
            <w:r>
              <w:rPr>
                <w:rFonts w:ascii="宋体"/>
                <w:spacing w:val="-1"/>
                <w:sz w:val="18"/>
              </w:rPr>
              <w:t>21,153,563.00</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21"/>
              <w:jc w:val="right"/>
              <w:rPr>
                <w:rFonts w:ascii="宋体" w:hAnsi="宋体" w:cs="宋体" w:eastAsia="宋体" w:hint="default"/>
                <w:sz w:val="18"/>
                <w:szCs w:val="18"/>
              </w:rPr>
            </w:pPr>
            <w:r>
              <w:rPr>
                <w:rFonts w:ascii="宋体"/>
                <w:sz w:val="18"/>
              </w:rPr>
              <w:t>0.00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77"/>
              <w:jc w:val="right"/>
              <w:rPr>
                <w:rFonts w:ascii="宋体" w:hAnsi="宋体" w:cs="宋体" w:eastAsia="宋体" w:hint="default"/>
                <w:sz w:val="18"/>
                <w:szCs w:val="18"/>
              </w:rPr>
            </w:pPr>
            <w:r>
              <w:rPr>
                <w:rFonts w:ascii="宋体"/>
                <w:sz w:val="18"/>
              </w:rPr>
              <w:t>0.00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
              <w:jc w:val="right"/>
              <w:rPr>
                <w:rFonts w:ascii="宋体" w:hAnsi="宋体" w:cs="宋体" w:eastAsia="宋体" w:hint="default"/>
                <w:sz w:val="18"/>
                <w:szCs w:val="18"/>
              </w:rPr>
            </w:pPr>
            <w:r>
              <w:rPr>
                <w:rFonts w:ascii="宋体"/>
                <w:spacing w:val="-1"/>
                <w:sz w:val="18"/>
              </w:rPr>
              <w:t>21,153,563.00</w:t>
            </w:r>
          </w:p>
        </w:tc>
      </w:tr>
      <w:tr>
        <w:trPr>
          <w:trHeight w:val="280" w:hRule="exact"/>
        </w:trPr>
        <w:tc>
          <w:tcPr>
            <w:tcW w:w="3914"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18"/>
                <w:szCs w:val="18"/>
              </w:rPr>
            </w:pPr>
            <w:r>
              <w:rPr>
                <w:rFonts w:ascii="宋体" w:hAnsi="宋体" w:cs="宋体" w:eastAsia="宋体" w:hint="default"/>
                <w:sz w:val="18"/>
                <w:szCs w:val="18"/>
              </w:rPr>
              <w:t>天津北方移动传媒有限公司</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64"/>
              <w:jc w:val="right"/>
              <w:rPr>
                <w:rFonts w:ascii="宋体" w:hAnsi="宋体" w:cs="宋体" w:eastAsia="宋体" w:hint="default"/>
                <w:sz w:val="18"/>
                <w:szCs w:val="18"/>
              </w:rPr>
            </w:pPr>
            <w:r>
              <w:rPr>
                <w:rFonts w:ascii="宋体"/>
                <w:spacing w:val="-1"/>
                <w:sz w:val="18"/>
              </w:rPr>
              <w:t>13,089,387.46</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1"/>
              <w:jc w:val="right"/>
              <w:rPr>
                <w:rFonts w:ascii="宋体" w:hAnsi="宋体" w:cs="宋体" w:eastAsia="宋体" w:hint="default"/>
                <w:sz w:val="18"/>
                <w:szCs w:val="18"/>
              </w:rPr>
            </w:pPr>
            <w:r>
              <w:rPr>
                <w:rFonts w:ascii="宋体"/>
                <w:sz w:val="18"/>
              </w:rPr>
              <w:t>0.00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77"/>
              <w:jc w:val="right"/>
              <w:rPr>
                <w:rFonts w:ascii="宋体" w:hAnsi="宋体" w:cs="宋体" w:eastAsia="宋体" w:hint="default"/>
                <w:sz w:val="18"/>
                <w:szCs w:val="18"/>
              </w:rPr>
            </w:pPr>
            <w:r>
              <w:rPr>
                <w:rFonts w:ascii="宋体"/>
                <w:sz w:val="18"/>
              </w:rPr>
              <w:t>0.00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
              <w:jc w:val="right"/>
              <w:rPr>
                <w:rFonts w:ascii="宋体" w:hAnsi="宋体" w:cs="宋体" w:eastAsia="宋体" w:hint="default"/>
                <w:sz w:val="18"/>
                <w:szCs w:val="18"/>
              </w:rPr>
            </w:pPr>
            <w:r>
              <w:rPr>
                <w:rFonts w:ascii="宋体"/>
                <w:spacing w:val="-1"/>
                <w:sz w:val="18"/>
              </w:rPr>
              <w:t>13,089,387.46</w:t>
            </w:r>
          </w:p>
        </w:tc>
      </w:tr>
      <w:tr>
        <w:trPr>
          <w:trHeight w:val="497" w:hRule="exact"/>
        </w:trPr>
        <w:tc>
          <w:tcPr>
            <w:tcW w:w="3914" w:type="dxa"/>
            <w:tcBorders>
              <w:top w:val="nil" w:sz="6" w:space="0" w:color="auto"/>
              <w:left w:val="nil" w:sz="6" w:space="0" w:color="auto"/>
              <w:bottom w:val="nil" w:sz="6" w:space="0" w:color="auto"/>
              <w:right w:val="nil" w:sz="6" w:space="0" w:color="auto"/>
            </w:tcBorders>
          </w:tcPr>
          <w:p>
            <w:pPr>
              <w:pStyle w:val="TableParagraph"/>
              <w:tabs>
                <w:tab w:pos="781" w:val="left" w:leader="none"/>
                <w:tab w:pos="1345" w:val="left" w:leader="none"/>
                <w:tab w:pos="2630" w:val="left" w:leader="none"/>
              </w:tabs>
              <w:spacing w:line="232" w:lineRule="exact" w:before="11"/>
              <w:ind w:left="103" w:right="205" w:hanging="68"/>
              <w:jc w:val="left"/>
              <w:rPr>
                <w:rFonts w:ascii="宋体" w:hAnsi="宋体" w:cs="宋体" w:eastAsia="宋体" w:hint="default"/>
                <w:sz w:val="18"/>
                <w:szCs w:val="18"/>
              </w:rPr>
            </w:pPr>
            <w:r>
              <w:rPr>
                <w:rFonts w:ascii="宋体"/>
                <w:sz w:val="18"/>
              </w:rPr>
              <w:t>Lime</w:t>
              <w:tab/>
            </w:r>
            <w:r>
              <w:rPr>
                <w:rFonts w:ascii="宋体"/>
                <w:spacing w:val="-1"/>
                <w:sz w:val="18"/>
              </w:rPr>
              <w:t>PC</w:t>
              <w:tab/>
              <w:t>Multimedia</w:t>
              <w:tab/>
              <w:t>Technologies</w:t>
            </w:r>
            <w:r>
              <w:rPr>
                <w:rFonts w:ascii="宋体"/>
                <w:spacing w:val="-88"/>
                <w:sz w:val="18"/>
              </w:rPr>
              <w:t> </w:t>
            </w:r>
            <w:r>
              <w:rPr>
                <w:rFonts w:ascii="宋体"/>
                <w:spacing w:val="-88"/>
                <w:sz w:val="18"/>
              </w:rPr>
            </w:r>
            <w:r>
              <w:rPr>
                <w:rFonts w:ascii="宋体"/>
                <w:sz w:val="18"/>
              </w:rPr>
              <w:t>Co.,Limited</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64"/>
              <w:jc w:val="right"/>
              <w:rPr>
                <w:rFonts w:ascii="宋体" w:hAnsi="宋体" w:cs="宋体" w:eastAsia="宋体" w:hint="default"/>
                <w:sz w:val="18"/>
                <w:szCs w:val="18"/>
              </w:rPr>
            </w:pPr>
            <w:r>
              <w:rPr>
                <w:rFonts w:ascii="宋体"/>
                <w:spacing w:val="-1"/>
                <w:sz w:val="18"/>
              </w:rPr>
              <w:t>2,327,202.38</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21"/>
              <w:jc w:val="right"/>
              <w:rPr>
                <w:rFonts w:ascii="宋体" w:hAnsi="宋体" w:cs="宋体" w:eastAsia="宋体" w:hint="default"/>
                <w:sz w:val="18"/>
                <w:szCs w:val="18"/>
              </w:rPr>
            </w:pPr>
            <w:r>
              <w:rPr>
                <w:rFonts w:ascii="宋体"/>
                <w:sz w:val="18"/>
              </w:rPr>
              <w:t>0.00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79"/>
              <w:jc w:val="right"/>
              <w:rPr>
                <w:rFonts w:ascii="宋体" w:hAnsi="宋体" w:cs="宋体" w:eastAsia="宋体" w:hint="default"/>
                <w:sz w:val="18"/>
                <w:szCs w:val="18"/>
              </w:rPr>
            </w:pPr>
            <w:r>
              <w:rPr>
                <w:rFonts w:ascii="宋体"/>
                <w:spacing w:val="-1"/>
                <w:sz w:val="18"/>
              </w:rPr>
              <w:t>117,175.72</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
              <w:jc w:val="right"/>
              <w:rPr>
                <w:rFonts w:ascii="宋体" w:hAnsi="宋体" w:cs="宋体" w:eastAsia="宋体" w:hint="default"/>
                <w:sz w:val="18"/>
                <w:szCs w:val="18"/>
              </w:rPr>
            </w:pPr>
            <w:r>
              <w:rPr>
                <w:rFonts w:ascii="宋体"/>
                <w:spacing w:val="-1"/>
                <w:sz w:val="18"/>
              </w:rPr>
              <w:t>2,444,378.10</w:t>
            </w:r>
          </w:p>
        </w:tc>
      </w:tr>
      <w:tr>
        <w:trPr>
          <w:trHeight w:val="278" w:hRule="exact"/>
        </w:trPr>
        <w:tc>
          <w:tcPr>
            <w:tcW w:w="3914"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宋体" w:hAnsi="宋体" w:cs="宋体" w:eastAsia="宋体" w:hint="default"/>
                <w:sz w:val="18"/>
                <w:szCs w:val="18"/>
              </w:rPr>
            </w:pPr>
            <w:r>
              <w:rPr>
                <w:rFonts w:ascii="宋体" w:hAnsi="宋体" w:cs="宋体" w:eastAsia="宋体" w:hint="default"/>
                <w:sz w:val="18"/>
                <w:szCs w:val="18"/>
              </w:rPr>
              <w:t>广州同艺照明有限公司</w:t>
            </w:r>
          </w:p>
        </w:tc>
        <w:tc>
          <w:tcPr>
            <w:tcW w:w="1544" w:type="dxa"/>
            <w:tcBorders>
              <w:top w:val="nil" w:sz="6" w:space="0" w:color="auto"/>
              <w:left w:val="nil" w:sz="6" w:space="0" w:color="auto"/>
              <w:bottom w:val="nil" w:sz="6" w:space="0" w:color="auto"/>
              <w:right w:val="nil" w:sz="6" w:space="0" w:color="auto"/>
            </w:tcBorders>
          </w:tcPr>
          <w:p>
            <w:pPr>
              <w:pStyle w:val="TableParagraph"/>
              <w:spacing w:line="222" w:lineRule="exact"/>
              <w:ind w:right="64"/>
              <w:jc w:val="right"/>
              <w:rPr>
                <w:rFonts w:ascii="宋体" w:hAnsi="宋体" w:cs="宋体" w:eastAsia="宋体" w:hint="default"/>
                <w:sz w:val="18"/>
                <w:szCs w:val="18"/>
              </w:rPr>
            </w:pPr>
            <w:r>
              <w:rPr>
                <w:rFonts w:ascii="宋体"/>
                <w:spacing w:val="-1"/>
                <w:sz w:val="18"/>
              </w:rPr>
              <w:t>1,560,000.00</w:t>
            </w:r>
          </w:p>
        </w:tc>
        <w:tc>
          <w:tcPr>
            <w:tcW w:w="1642" w:type="dxa"/>
            <w:tcBorders>
              <w:top w:val="nil" w:sz="6" w:space="0" w:color="auto"/>
              <w:left w:val="nil" w:sz="6" w:space="0" w:color="auto"/>
              <w:bottom w:val="nil" w:sz="6" w:space="0" w:color="auto"/>
              <w:right w:val="nil" w:sz="6" w:space="0" w:color="auto"/>
            </w:tcBorders>
          </w:tcPr>
          <w:p>
            <w:pPr>
              <w:pStyle w:val="TableParagraph"/>
              <w:spacing w:line="222" w:lineRule="exact"/>
              <w:ind w:right="121"/>
              <w:jc w:val="right"/>
              <w:rPr>
                <w:rFonts w:ascii="宋体" w:hAnsi="宋体" w:cs="宋体" w:eastAsia="宋体" w:hint="default"/>
                <w:sz w:val="18"/>
                <w:szCs w:val="18"/>
              </w:rPr>
            </w:pPr>
            <w:r>
              <w:rPr>
                <w:rFonts w:ascii="宋体"/>
                <w:sz w:val="18"/>
              </w:rPr>
              <w:t>0.00</w:t>
            </w:r>
          </w:p>
        </w:tc>
        <w:tc>
          <w:tcPr>
            <w:tcW w:w="1112" w:type="dxa"/>
            <w:tcBorders>
              <w:top w:val="nil" w:sz="6" w:space="0" w:color="auto"/>
              <w:left w:val="nil" w:sz="6" w:space="0" w:color="auto"/>
              <w:bottom w:val="nil" w:sz="6" w:space="0" w:color="auto"/>
              <w:right w:val="nil" w:sz="6" w:space="0" w:color="auto"/>
            </w:tcBorders>
          </w:tcPr>
          <w:p>
            <w:pPr>
              <w:pStyle w:val="TableParagraph"/>
              <w:spacing w:line="222" w:lineRule="exact"/>
              <w:ind w:right="77"/>
              <w:jc w:val="right"/>
              <w:rPr>
                <w:rFonts w:ascii="宋体" w:hAnsi="宋体" w:cs="宋体" w:eastAsia="宋体" w:hint="default"/>
                <w:sz w:val="18"/>
                <w:szCs w:val="18"/>
              </w:rPr>
            </w:pPr>
            <w:r>
              <w:rPr>
                <w:rFonts w:ascii="宋体"/>
                <w:sz w:val="18"/>
              </w:rPr>
              <w:t>0.00</w:t>
            </w:r>
          </w:p>
        </w:tc>
        <w:tc>
          <w:tcPr>
            <w:tcW w:w="1568" w:type="dxa"/>
            <w:tcBorders>
              <w:top w:val="nil" w:sz="6" w:space="0" w:color="auto"/>
              <w:left w:val="nil" w:sz="6" w:space="0" w:color="auto"/>
              <w:bottom w:val="nil" w:sz="6" w:space="0" w:color="auto"/>
              <w:right w:val="nil" w:sz="6" w:space="0" w:color="auto"/>
            </w:tcBorders>
          </w:tcPr>
          <w:p>
            <w:pPr>
              <w:pStyle w:val="TableParagraph"/>
              <w:spacing w:line="222" w:lineRule="exact"/>
              <w:ind w:right="34"/>
              <w:jc w:val="right"/>
              <w:rPr>
                <w:rFonts w:ascii="宋体" w:hAnsi="宋体" w:cs="宋体" w:eastAsia="宋体" w:hint="default"/>
                <w:sz w:val="18"/>
                <w:szCs w:val="18"/>
              </w:rPr>
            </w:pPr>
            <w:r>
              <w:rPr>
                <w:rFonts w:ascii="宋体"/>
                <w:spacing w:val="-1"/>
                <w:sz w:val="18"/>
              </w:rPr>
              <w:t>1,560,000.00</w:t>
            </w:r>
          </w:p>
        </w:tc>
      </w:tr>
      <w:tr>
        <w:trPr>
          <w:trHeight w:val="300" w:hRule="exact"/>
        </w:trPr>
        <w:tc>
          <w:tcPr>
            <w:tcW w:w="391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35" w:right="0"/>
              <w:jc w:val="left"/>
              <w:rPr>
                <w:rFonts w:ascii="宋体" w:hAnsi="宋体" w:cs="宋体" w:eastAsia="宋体" w:hint="default"/>
                <w:sz w:val="18"/>
                <w:szCs w:val="18"/>
              </w:rPr>
            </w:pPr>
            <w:r>
              <w:rPr>
                <w:rFonts w:ascii="宋体"/>
                <w:sz w:val="18"/>
              </w:rPr>
              <w:t>Technovator</w:t>
            </w:r>
            <w:r>
              <w:rPr>
                <w:rFonts w:ascii="宋体"/>
                <w:spacing w:val="-5"/>
                <w:sz w:val="18"/>
              </w:rPr>
              <w:t> </w:t>
            </w:r>
            <w:r>
              <w:rPr>
                <w:rFonts w:ascii="宋体"/>
                <w:sz w:val="18"/>
              </w:rPr>
              <w:t>Qatar</w:t>
            </w:r>
          </w:p>
        </w:tc>
        <w:tc>
          <w:tcPr>
            <w:tcW w:w="154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66"/>
              <w:jc w:val="right"/>
              <w:rPr>
                <w:rFonts w:ascii="宋体" w:hAnsi="宋体" w:cs="宋体" w:eastAsia="宋体" w:hint="default"/>
                <w:sz w:val="18"/>
                <w:szCs w:val="18"/>
              </w:rPr>
            </w:pPr>
            <w:r>
              <w:rPr>
                <w:rFonts w:ascii="宋体"/>
                <w:spacing w:val="-1"/>
                <w:sz w:val="18"/>
              </w:rPr>
              <w:t>184,361.40</w:t>
            </w:r>
          </w:p>
        </w:tc>
        <w:tc>
          <w:tcPr>
            <w:tcW w:w="164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121"/>
              <w:jc w:val="right"/>
              <w:rPr>
                <w:rFonts w:ascii="宋体" w:hAnsi="宋体" w:cs="宋体" w:eastAsia="宋体" w:hint="default"/>
                <w:sz w:val="18"/>
                <w:szCs w:val="18"/>
              </w:rPr>
            </w:pPr>
            <w:r>
              <w:rPr>
                <w:rFonts w:ascii="宋体"/>
                <w:sz w:val="18"/>
              </w:rPr>
              <w:t>0.00</w:t>
            </w:r>
          </w:p>
        </w:tc>
        <w:tc>
          <w:tcPr>
            <w:tcW w:w="111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77"/>
              <w:jc w:val="right"/>
              <w:rPr>
                <w:rFonts w:ascii="宋体" w:hAnsi="宋体" w:cs="宋体" w:eastAsia="宋体" w:hint="default"/>
                <w:sz w:val="18"/>
                <w:szCs w:val="18"/>
              </w:rPr>
            </w:pPr>
            <w:r>
              <w:rPr>
                <w:rFonts w:ascii="宋体"/>
                <w:sz w:val="18"/>
              </w:rPr>
              <w:t>0.00</w:t>
            </w:r>
          </w:p>
        </w:tc>
        <w:tc>
          <w:tcPr>
            <w:tcW w:w="156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36"/>
              <w:jc w:val="right"/>
              <w:rPr>
                <w:rFonts w:ascii="宋体" w:hAnsi="宋体" w:cs="宋体" w:eastAsia="宋体" w:hint="default"/>
                <w:sz w:val="18"/>
                <w:szCs w:val="18"/>
              </w:rPr>
            </w:pPr>
            <w:r>
              <w:rPr>
                <w:rFonts w:ascii="宋体"/>
                <w:spacing w:val="-1"/>
                <w:sz w:val="18"/>
              </w:rPr>
              <w:t>184,361.40</w:t>
            </w:r>
          </w:p>
        </w:tc>
      </w:tr>
      <w:tr>
        <w:trPr>
          <w:trHeight w:val="314" w:hRule="exact"/>
        </w:trPr>
        <w:tc>
          <w:tcPr>
            <w:tcW w:w="3914" w:type="dxa"/>
            <w:tcBorders>
              <w:top w:val="single" w:sz="4" w:space="0" w:color="000000"/>
              <w:left w:val="nil" w:sz="6" w:space="0" w:color="auto"/>
              <w:bottom w:val="single" w:sz="12" w:space="0" w:color="000000"/>
              <w:right w:val="nil" w:sz="6" w:space="0" w:color="auto"/>
            </w:tcBorders>
          </w:tcPr>
          <w:p>
            <w:pPr>
              <w:pStyle w:val="TableParagraph"/>
              <w:spacing w:line="240" w:lineRule="auto" w:before="1"/>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44" w:type="dxa"/>
            <w:tcBorders>
              <w:top w:val="single" w:sz="4" w:space="0" w:color="000000"/>
              <w:left w:val="nil" w:sz="6" w:space="0" w:color="auto"/>
              <w:bottom w:val="single" w:sz="12" w:space="0" w:color="000000"/>
              <w:right w:val="nil" w:sz="6" w:space="0" w:color="auto"/>
            </w:tcBorders>
          </w:tcPr>
          <w:p>
            <w:pPr>
              <w:pStyle w:val="TableParagraph"/>
              <w:spacing w:line="240" w:lineRule="auto" w:before="1"/>
              <w:ind w:right="64"/>
              <w:jc w:val="right"/>
              <w:rPr>
                <w:rFonts w:ascii="宋体" w:hAnsi="宋体" w:cs="宋体" w:eastAsia="宋体" w:hint="default"/>
                <w:sz w:val="18"/>
                <w:szCs w:val="18"/>
              </w:rPr>
            </w:pPr>
            <w:r>
              <w:rPr>
                <w:rFonts w:ascii="宋体"/>
                <w:b/>
                <w:w w:val="95"/>
                <w:sz w:val="18"/>
              </w:rPr>
              <w:t>372,229,037.18</w:t>
            </w:r>
            <w:r>
              <w:rPr>
                <w:rFonts w:ascii="宋体"/>
                <w:sz w:val="18"/>
              </w:rPr>
            </w:r>
          </w:p>
        </w:tc>
        <w:tc>
          <w:tcPr>
            <w:tcW w:w="1642" w:type="dxa"/>
            <w:tcBorders>
              <w:top w:val="single" w:sz="4" w:space="0" w:color="000000"/>
              <w:left w:val="nil" w:sz="6" w:space="0" w:color="auto"/>
              <w:bottom w:val="single" w:sz="12" w:space="0" w:color="000000"/>
              <w:right w:val="nil" w:sz="6" w:space="0" w:color="auto"/>
            </w:tcBorders>
          </w:tcPr>
          <w:p>
            <w:pPr>
              <w:pStyle w:val="TableParagraph"/>
              <w:spacing w:line="240" w:lineRule="auto" w:before="1"/>
              <w:ind w:right="122"/>
              <w:jc w:val="right"/>
              <w:rPr>
                <w:rFonts w:ascii="宋体" w:hAnsi="宋体" w:cs="宋体" w:eastAsia="宋体" w:hint="default"/>
                <w:sz w:val="18"/>
                <w:szCs w:val="18"/>
              </w:rPr>
            </w:pPr>
            <w:r>
              <w:rPr>
                <w:rFonts w:ascii="宋体"/>
                <w:b/>
                <w:w w:val="95"/>
                <w:sz w:val="18"/>
              </w:rPr>
              <w:t>1,045,419,865.78</w:t>
            </w:r>
            <w:r>
              <w:rPr>
                <w:rFonts w:ascii="宋体"/>
                <w:sz w:val="18"/>
              </w:rPr>
            </w:r>
          </w:p>
        </w:tc>
        <w:tc>
          <w:tcPr>
            <w:tcW w:w="1112" w:type="dxa"/>
            <w:tcBorders>
              <w:top w:val="single" w:sz="4" w:space="0" w:color="000000"/>
              <w:left w:val="nil" w:sz="6" w:space="0" w:color="auto"/>
              <w:bottom w:val="single" w:sz="12" w:space="0" w:color="000000"/>
              <w:right w:val="nil" w:sz="6" w:space="0" w:color="auto"/>
            </w:tcBorders>
          </w:tcPr>
          <w:p>
            <w:pPr>
              <w:pStyle w:val="TableParagraph"/>
              <w:spacing w:line="240" w:lineRule="auto" w:before="1"/>
              <w:ind w:right="79"/>
              <w:jc w:val="right"/>
              <w:rPr>
                <w:rFonts w:ascii="宋体" w:hAnsi="宋体" w:cs="宋体" w:eastAsia="宋体" w:hint="default"/>
                <w:sz w:val="18"/>
                <w:szCs w:val="18"/>
              </w:rPr>
            </w:pPr>
            <w:r>
              <w:rPr>
                <w:rFonts w:ascii="宋体"/>
                <w:b/>
                <w:w w:val="95"/>
                <w:sz w:val="18"/>
              </w:rPr>
              <w:t>117,175.72</w:t>
            </w:r>
            <w:r>
              <w:rPr>
                <w:rFonts w:ascii="宋体"/>
                <w:sz w:val="18"/>
              </w:rPr>
            </w:r>
          </w:p>
        </w:tc>
        <w:tc>
          <w:tcPr>
            <w:tcW w:w="1568" w:type="dxa"/>
            <w:tcBorders>
              <w:top w:val="single" w:sz="4" w:space="0" w:color="000000"/>
              <w:left w:val="nil" w:sz="6" w:space="0" w:color="auto"/>
              <w:bottom w:val="single" w:sz="12" w:space="0" w:color="000000"/>
              <w:right w:val="nil" w:sz="6" w:space="0" w:color="auto"/>
            </w:tcBorders>
          </w:tcPr>
          <w:p>
            <w:pPr>
              <w:pStyle w:val="TableParagraph"/>
              <w:spacing w:line="240" w:lineRule="auto" w:before="1"/>
              <w:ind w:right="34"/>
              <w:jc w:val="right"/>
              <w:rPr>
                <w:rFonts w:ascii="宋体" w:hAnsi="宋体" w:cs="宋体" w:eastAsia="宋体" w:hint="default"/>
                <w:sz w:val="18"/>
                <w:szCs w:val="18"/>
              </w:rPr>
            </w:pPr>
            <w:r>
              <w:rPr>
                <w:rFonts w:ascii="宋体"/>
                <w:b/>
                <w:w w:val="95"/>
                <w:sz w:val="18"/>
              </w:rPr>
              <w:t>1,417,766,078.68</w:t>
            </w:r>
            <w:r>
              <w:rPr>
                <w:rFonts w:ascii="宋体"/>
                <w:sz w:val="18"/>
              </w:rPr>
            </w:r>
          </w:p>
        </w:tc>
      </w:tr>
    </w:tbl>
    <w:p>
      <w:pPr>
        <w:spacing w:before="81"/>
        <w:ind w:left="11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12.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投资性房地产</w:t>
      </w:r>
    </w:p>
    <w:p>
      <w:pPr>
        <w:spacing w:before="113"/>
        <w:ind w:left="1169"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33"/>
          <w:sz w:val="22"/>
          <w:szCs w:val="22"/>
        </w:rPr>
        <w:t> </w:t>
      </w:r>
      <w:r>
        <w:rPr>
          <w:rFonts w:ascii="宋体" w:hAnsi="宋体" w:cs="宋体" w:eastAsia="宋体" w:hint="default"/>
          <w:sz w:val="22"/>
          <w:szCs w:val="22"/>
        </w:rPr>
        <w:t>采用公允价值计量模式的投资性房地产</w:t>
      </w:r>
    </w:p>
    <w:p>
      <w:pPr>
        <w:spacing w:line="240" w:lineRule="auto" w:before="9"/>
        <w:rPr>
          <w:rFonts w:ascii="宋体" w:hAnsi="宋体" w:cs="宋体" w:eastAsia="宋体" w:hint="default"/>
          <w:sz w:val="12"/>
          <w:szCs w:val="12"/>
        </w:rPr>
      </w:pPr>
    </w:p>
    <w:tbl>
      <w:tblPr>
        <w:tblW w:w="0" w:type="auto"/>
        <w:jc w:val="left"/>
        <w:tblInd w:w="634" w:type="dxa"/>
        <w:tblLayout w:type="fixed"/>
        <w:tblCellMar>
          <w:top w:w="0" w:type="dxa"/>
          <w:left w:w="0" w:type="dxa"/>
          <w:bottom w:w="0" w:type="dxa"/>
          <w:right w:w="0" w:type="dxa"/>
        </w:tblCellMar>
        <w:tblLook w:val="01E0"/>
      </w:tblPr>
      <w:tblGrid>
        <w:gridCol w:w="2765"/>
        <w:gridCol w:w="2065"/>
        <w:gridCol w:w="2123"/>
        <w:gridCol w:w="1772"/>
      </w:tblGrid>
      <w:tr>
        <w:trPr>
          <w:trHeight w:val="307" w:hRule="exact"/>
        </w:trPr>
        <w:tc>
          <w:tcPr>
            <w:tcW w:w="276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6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46" w:right="0"/>
              <w:jc w:val="left"/>
              <w:rPr>
                <w:rFonts w:ascii="宋体" w:hAnsi="宋体" w:cs="宋体" w:eastAsia="宋体" w:hint="default"/>
                <w:sz w:val="18"/>
                <w:szCs w:val="18"/>
              </w:rPr>
            </w:pPr>
            <w:r>
              <w:rPr>
                <w:rFonts w:ascii="宋体" w:hAnsi="宋体" w:cs="宋体" w:eastAsia="宋体" w:hint="default"/>
                <w:b/>
                <w:bCs/>
                <w:sz w:val="18"/>
                <w:szCs w:val="18"/>
              </w:rPr>
              <w:t>房屋建筑物</w:t>
            </w:r>
            <w:r>
              <w:rPr>
                <w:rFonts w:ascii="宋体" w:hAnsi="宋体" w:cs="宋体" w:eastAsia="宋体" w:hint="default"/>
                <w:sz w:val="18"/>
                <w:szCs w:val="18"/>
              </w:rPr>
            </w:r>
          </w:p>
        </w:tc>
        <w:tc>
          <w:tcPr>
            <w:tcW w:w="212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42"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77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55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288" w:hRule="exact"/>
        </w:trPr>
        <w:tc>
          <w:tcPr>
            <w:tcW w:w="2765"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一、年初余额</w:t>
            </w:r>
          </w:p>
        </w:tc>
        <w:tc>
          <w:tcPr>
            <w:tcW w:w="2065" w:type="dxa"/>
            <w:tcBorders>
              <w:top w:val="single" w:sz="4" w:space="0" w:color="000000"/>
              <w:left w:val="nil" w:sz="6" w:space="0" w:color="auto"/>
              <w:bottom w:val="nil" w:sz="6" w:space="0" w:color="auto"/>
              <w:right w:val="nil" w:sz="6" w:space="0" w:color="auto"/>
            </w:tcBorders>
          </w:tcPr>
          <w:p>
            <w:pPr>
              <w:pStyle w:val="TableParagraph"/>
              <w:spacing w:line="232" w:lineRule="exact"/>
              <w:ind w:right="341"/>
              <w:jc w:val="right"/>
              <w:rPr>
                <w:rFonts w:ascii="宋体" w:hAnsi="宋体" w:cs="宋体" w:eastAsia="宋体" w:hint="default"/>
                <w:sz w:val="18"/>
                <w:szCs w:val="18"/>
              </w:rPr>
            </w:pPr>
            <w:r>
              <w:rPr>
                <w:rFonts w:ascii="宋体"/>
                <w:spacing w:val="-1"/>
                <w:sz w:val="18"/>
              </w:rPr>
              <w:t>14,200,000.00</w:t>
            </w:r>
          </w:p>
        </w:tc>
        <w:tc>
          <w:tcPr>
            <w:tcW w:w="2123" w:type="dxa"/>
            <w:tcBorders>
              <w:top w:val="single" w:sz="4" w:space="0" w:color="000000"/>
              <w:left w:val="nil" w:sz="6" w:space="0" w:color="auto"/>
              <w:bottom w:val="nil" w:sz="6" w:space="0" w:color="auto"/>
              <w:right w:val="nil" w:sz="6" w:space="0" w:color="auto"/>
            </w:tcBorders>
          </w:tcPr>
          <w:p>
            <w:pPr>
              <w:pStyle w:val="TableParagraph"/>
              <w:spacing w:line="232" w:lineRule="exact"/>
              <w:ind w:right="399"/>
              <w:jc w:val="right"/>
              <w:rPr>
                <w:rFonts w:ascii="宋体" w:hAnsi="宋体" w:cs="宋体" w:eastAsia="宋体" w:hint="default"/>
                <w:sz w:val="18"/>
                <w:szCs w:val="18"/>
              </w:rPr>
            </w:pPr>
            <w:r>
              <w:rPr>
                <w:rFonts w:ascii="宋体"/>
                <w:sz w:val="18"/>
              </w:rPr>
              <w:t>0.00</w:t>
            </w:r>
          </w:p>
        </w:tc>
        <w:tc>
          <w:tcPr>
            <w:tcW w:w="1772" w:type="dxa"/>
            <w:tcBorders>
              <w:top w:val="single" w:sz="4" w:space="0" w:color="000000"/>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14,200,000.00</w:t>
            </w:r>
          </w:p>
        </w:tc>
      </w:tr>
      <w:tr>
        <w:trPr>
          <w:trHeight w:val="284" w:hRule="exact"/>
        </w:trPr>
        <w:tc>
          <w:tcPr>
            <w:tcW w:w="276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二、本年变动</w:t>
            </w:r>
          </w:p>
        </w:tc>
        <w:tc>
          <w:tcPr>
            <w:tcW w:w="2065" w:type="dxa"/>
            <w:tcBorders>
              <w:top w:val="nil" w:sz="6" w:space="0" w:color="auto"/>
              <w:left w:val="nil" w:sz="6" w:space="0" w:color="auto"/>
              <w:bottom w:val="nil" w:sz="6" w:space="0" w:color="auto"/>
              <w:right w:val="nil" w:sz="6" w:space="0" w:color="auto"/>
            </w:tcBorders>
          </w:tcPr>
          <w:p>
            <w:pPr>
              <w:pStyle w:val="TableParagraph"/>
              <w:spacing w:line="232" w:lineRule="exact"/>
              <w:ind w:right="340"/>
              <w:jc w:val="right"/>
              <w:rPr>
                <w:rFonts w:ascii="宋体" w:hAnsi="宋体" w:cs="宋体" w:eastAsia="宋体" w:hint="default"/>
                <w:sz w:val="18"/>
                <w:szCs w:val="18"/>
              </w:rPr>
            </w:pPr>
            <w:r>
              <w:rPr>
                <w:rFonts w:ascii="宋体"/>
                <w:sz w:val="18"/>
              </w:rPr>
              <w:t>0.00</w:t>
            </w:r>
          </w:p>
        </w:tc>
        <w:tc>
          <w:tcPr>
            <w:tcW w:w="2123" w:type="dxa"/>
            <w:tcBorders>
              <w:top w:val="nil" w:sz="6" w:space="0" w:color="auto"/>
              <w:left w:val="nil" w:sz="6" w:space="0" w:color="auto"/>
              <w:bottom w:val="nil" w:sz="6" w:space="0" w:color="auto"/>
              <w:right w:val="nil" w:sz="6" w:space="0" w:color="auto"/>
            </w:tcBorders>
          </w:tcPr>
          <w:p>
            <w:pPr>
              <w:pStyle w:val="TableParagraph"/>
              <w:spacing w:line="232" w:lineRule="exact"/>
              <w:ind w:right="400"/>
              <w:jc w:val="right"/>
              <w:rPr>
                <w:rFonts w:ascii="宋体" w:hAnsi="宋体" w:cs="宋体" w:eastAsia="宋体" w:hint="default"/>
                <w:sz w:val="18"/>
                <w:szCs w:val="18"/>
              </w:rPr>
            </w:pPr>
            <w:r>
              <w:rPr>
                <w:rFonts w:ascii="宋体"/>
                <w:spacing w:val="-1"/>
                <w:sz w:val="18"/>
              </w:rPr>
              <w:t>758,764,600.00</w:t>
            </w:r>
          </w:p>
        </w:tc>
        <w:tc>
          <w:tcPr>
            <w:tcW w:w="1772"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758,764,600.00</w:t>
            </w:r>
          </w:p>
        </w:tc>
      </w:tr>
      <w:tr>
        <w:trPr>
          <w:trHeight w:val="272" w:hRule="exact"/>
        </w:trPr>
        <w:tc>
          <w:tcPr>
            <w:tcW w:w="276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加：外购</w:t>
            </w:r>
          </w:p>
        </w:tc>
        <w:tc>
          <w:tcPr>
            <w:tcW w:w="2065" w:type="dxa"/>
            <w:tcBorders>
              <w:top w:val="nil" w:sz="6" w:space="0" w:color="auto"/>
              <w:left w:val="nil" w:sz="6" w:space="0" w:color="auto"/>
              <w:bottom w:val="nil" w:sz="6" w:space="0" w:color="auto"/>
              <w:right w:val="nil" w:sz="6" w:space="0" w:color="auto"/>
            </w:tcBorders>
          </w:tcPr>
          <w:p>
            <w:pPr>
              <w:pStyle w:val="TableParagraph"/>
              <w:spacing w:line="233" w:lineRule="exact"/>
              <w:ind w:right="340"/>
              <w:jc w:val="right"/>
              <w:rPr>
                <w:rFonts w:ascii="宋体" w:hAnsi="宋体" w:cs="宋体" w:eastAsia="宋体" w:hint="default"/>
                <w:sz w:val="18"/>
                <w:szCs w:val="18"/>
              </w:rPr>
            </w:pPr>
            <w:r>
              <w:rPr>
                <w:rFonts w:ascii="宋体"/>
                <w:sz w:val="18"/>
              </w:rPr>
              <w:t>0.00</w:t>
            </w:r>
          </w:p>
        </w:tc>
        <w:tc>
          <w:tcPr>
            <w:tcW w:w="2123" w:type="dxa"/>
            <w:tcBorders>
              <w:top w:val="nil" w:sz="6" w:space="0" w:color="auto"/>
              <w:left w:val="nil" w:sz="6" w:space="0" w:color="auto"/>
              <w:bottom w:val="nil" w:sz="6" w:space="0" w:color="auto"/>
              <w:right w:val="nil" w:sz="6" w:space="0" w:color="auto"/>
            </w:tcBorders>
          </w:tcPr>
          <w:p>
            <w:pPr>
              <w:pStyle w:val="TableParagraph"/>
              <w:spacing w:line="233" w:lineRule="exact"/>
              <w:ind w:right="400"/>
              <w:jc w:val="right"/>
              <w:rPr>
                <w:rFonts w:ascii="宋体" w:hAnsi="宋体" w:cs="宋体" w:eastAsia="宋体" w:hint="default"/>
                <w:sz w:val="18"/>
                <w:szCs w:val="18"/>
              </w:rPr>
            </w:pPr>
            <w:r>
              <w:rPr>
                <w:rFonts w:ascii="宋体"/>
                <w:spacing w:val="-1"/>
                <w:sz w:val="18"/>
              </w:rPr>
              <w:t>592,156,593.82</w:t>
            </w:r>
          </w:p>
        </w:tc>
        <w:tc>
          <w:tcPr>
            <w:tcW w:w="1772"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592,156,593.82</w:t>
            </w:r>
          </w:p>
        </w:tc>
      </w:tr>
      <w:tr>
        <w:trPr>
          <w:trHeight w:val="492" w:hRule="exact"/>
        </w:trPr>
        <w:tc>
          <w:tcPr>
            <w:tcW w:w="2765" w:type="dxa"/>
            <w:tcBorders>
              <w:top w:val="nil" w:sz="6" w:space="0" w:color="auto"/>
              <w:left w:val="nil" w:sz="6" w:space="0" w:color="auto"/>
              <w:bottom w:val="nil" w:sz="6" w:space="0" w:color="auto"/>
              <w:right w:val="nil" w:sz="6" w:space="0" w:color="auto"/>
            </w:tcBorders>
          </w:tcPr>
          <w:p>
            <w:pPr>
              <w:pStyle w:val="TableParagraph"/>
              <w:spacing w:line="232" w:lineRule="exact" w:before="8"/>
              <w:ind w:left="108" w:right="344"/>
              <w:jc w:val="left"/>
              <w:rPr>
                <w:rFonts w:ascii="宋体" w:hAnsi="宋体" w:cs="宋体" w:eastAsia="宋体" w:hint="default"/>
                <w:sz w:val="18"/>
                <w:szCs w:val="18"/>
              </w:rPr>
            </w:pPr>
            <w:r>
              <w:rPr>
                <w:rFonts w:ascii="宋体" w:hAnsi="宋体" w:cs="宋体" w:eastAsia="宋体" w:hint="default"/>
                <w:spacing w:val="11"/>
                <w:sz w:val="18"/>
                <w:szCs w:val="18"/>
              </w:rPr>
              <w:t>存货</w:t>
            </w:r>
            <w:r>
              <w:rPr>
                <w:rFonts w:ascii="宋体" w:hAnsi="宋体" w:cs="宋体" w:eastAsia="宋体" w:hint="default"/>
                <w:spacing w:val="11"/>
                <w:sz w:val="18"/>
                <w:szCs w:val="18"/>
              </w:rPr>
              <w:t>\</w:t>
            </w:r>
            <w:r>
              <w:rPr>
                <w:rFonts w:ascii="宋体" w:hAnsi="宋体" w:cs="宋体" w:eastAsia="宋体" w:hint="default"/>
                <w:spacing w:val="11"/>
                <w:sz w:val="18"/>
                <w:szCs w:val="18"/>
              </w:rPr>
              <w:t>固定资产</w:t>
            </w:r>
            <w:r>
              <w:rPr>
                <w:rFonts w:ascii="宋体" w:hAnsi="宋体" w:cs="宋体" w:eastAsia="宋体" w:hint="default"/>
                <w:spacing w:val="11"/>
                <w:sz w:val="18"/>
                <w:szCs w:val="18"/>
              </w:rPr>
              <w:t>\</w:t>
            </w:r>
            <w:r>
              <w:rPr>
                <w:rFonts w:ascii="宋体" w:hAnsi="宋体" w:cs="宋体" w:eastAsia="宋体" w:hint="default"/>
                <w:spacing w:val="11"/>
                <w:sz w:val="18"/>
                <w:szCs w:val="18"/>
              </w:rPr>
              <w:t>在建工程转</w:t>
            </w:r>
            <w:r>
              <w:rPr>
                <w:rFonts w:ascii="宋体" w:hAnsi="宋体" w:cs="宋体" w:eastAsia="宋体" w:hint="default"/>
                <w:sz w:val="18"/>
                <w:szCs w:val="18"/>
              </w:rPr>
              <w:t> 入</w:t>
            </w:r>
          </w:p>
        </w:tc>
        <w:tc>
          <w:tcPr>
            <w:tcW w:w="206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40"/>
              <w:jc w:val="right"/>
              <w:rPr>
                <w:rFonts w:ascii="宋体" w:hAnsi="宋体" w:cs="宋体" w:eastAsia="宋体" w:hint="default"/>
                <w:sz w:val="18"/>
                <w:szCs w:val="18"/>
              </w:rPr>
            </w:pPr>
            <w:r>
              <w:rPr>
                <w:rFonts w:ascii="宋体"/>
                <w:sz w:val="18"/>
              </w:rPr>
              <w:t>0.00</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00"/>
              <w:jc w:val="right"/>
              <w:rPr>
                <w:rFonts w:ascii="宋体" w:hAnsi="宋体" w:cs="宋体" w:eastAsia="宋体" w:hint="default"/>
                <w:sz w:val="18"/>
                <w:szCs w:val="18"/>
              </w:rPr>
            </w:pPr>
            <w:r>
              <w:rPr>
                <w:rFonts w:ascii="宋体"/>
                <w:spacing w:val="-1"/>
                <w:sz w:val="18"/>
              </w:rPr>
              <w:t>174,380,000.41</w:t>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8"/>
              <w:jc w:val="right"/>
              <w:rPr>
                <w:rFonts w:ascii="宋体" w:hAnsi="宋体" w:cs="宋体" w:eastAsia="宋体" w:hint="default"/>
                <w:sz w:val="18"/>
                <w:szCs w:val="18"/>
              </w:rPr>
            </w:pPr>
            <w:r>
              <w:rPr>
                <w:rFonts w:ascii="宋体"/>
                <w:spacing w:val="-1"/>
                <w:sz w:val="18"/>
              </w:rPr>
              <w:t>174,380,000.41</w:t>
            </w:r>
          </w:p>
        </w:tc>
      </w:tr>
      <w:tr>
        <w:trPr>
          <w:trHeight w:val="272" w:hRule="exact"/>
        </w:trPr>
        <w:tc>
          <w:tcPr>
            <w:tcW w:w="2765" w:type="dxa"/>
            <w:tcBorders>
              <w:top w:val="nil" w:sz="6" w:space="0" w:color="auto"/>
              <w:left w:val="nil" w:sz="6" w:space="0" w:color="auto"/>
              <w:bottom w:val="nil" w:sz="6" w:space="0" w:color="auto"/>
              <w:right w:val="nil" w:sz="6" w:space="0" w:color="auto"/>
            </w:tcBorders>
          </w:tcPr>
          <w:p>
            <w:pPr>
              <w:pStyle w:val="TableParagraph"/>
              <w:spacing w:line="220" w:lineRule="exact"/>
              <w:ind w:left="108" w:right="0"/>
              <w:jc w:val="left"/>
              <w:rPr>
                <w:rFonts w:ascii="宋体" w:hAnsi="宋体" w:cs="宋体" w:eastAsia="宋体" w:hint="default"/>
                <w:sz w:val="18"/>
                <w:szCs w:val="18"/>
              </w:rPr>
            </w:pPr>
            <w:r>
              <w:rPr>
                <w:rFonts w:ascii="宋体" w:hAnsi="宋体" w:cs="宋体" w:eastAsia="宋体" w:hint="default"/>
                <w:sz w:val="18"/>
                <w:szCs w:val="18"/>
              </w:rPr>
              <w:t>加：公允价值变动</w:t>
            </w:r>
          </w:p>
        </w:tc>
        <w:tc>
          <w:tcPr>
            <w:tcW w:w="2065" w:type="dxa"/>
            <w:tcBorders>
              <w:top w:val="nil" w:sz="6" w:space="0" w:color="auto"/>
              <w:left w:val="nil" w:sz="6" w:space="0" w:color="auto"/>
              <w:bottom w:val="nil" w:sz="6" w:space="0" w:color="auto"/>
              <w:right w:val="nil" w:sz="6" w:space="0" w:color="auto"/>
            </w:tcBorders>
          </w:tcPr>
          <w:p>
            <w:pPr>
              <w:pStyle w:val="TableParagraph"/>
              <w:spacing w:line="220" w:lineRule="exact"/>
              <w:ind w:right="340"/>
              <w:jc w:val="right"/>
              <w:rPr>
                <w:rFonts w:ascii="宋体" w:hAnsi="宋体" w:cs="宋体" w:eastAsia="宋体" w:hint="default"/>
                <w:sz w:val="18"/>
                <w:szCs w:val="18"/>
              </w:rPr>
            </w:pPr>
            <w:r>
              <w:rPr>
                <w:rFonts w:ascii="宋体"/>
                <w:sz w:val="18"/>
              </w:rPr>
              <w:t>0.00</w:t>
            </w:r>
          </w:p>
        </w:tc>
        <w:tc>
          <w:tcPr>
            <w:tcW w:w="2123" w:type="dxa"/>
            <w:tcBorders>
              <w:top w:val="nil" w:sz="6" w:space="0" w:color="auto"/>
              <w:left w:val="nil" w:sz="6" w:space="0" w:color="auto"/>
              <w:bottom w:val="nil" w:sz="6" w:space="0" w:color="auto"/>
              <w:right w:val="nil" w:sz="6" w:space="0" w:color="auto"/>
            </w:tcBorders>
          </w:tcPr>
          <w:p>
            <w:pPr>
              <w:pStyle w:val="TableParagraph"/>
              <w:spacing w:line="220" w:lineRule="exact"/>
              <w:ind w:right="400"/>
              <w:jc w:val="right"/>
              <w:rPr>
                <w:rFonts w:ascii="宋体" w:hAnsi="宋体" w:cs="宋体" w:eastAsia="宋体" w:hint="default"/>
                <w:sz w:val="18"/>
                <w:szCs w:val="18"/>
              </w:rPr>
            </w:pPr>
            <w:r>
              <w:rPr>
                <w:rFonts w:ascii="宋体"/>
                <w:spacing w:val="-1"/>
                <w:sz w:val="18"/>
              </w:rPr>
              <w:t>-7,771,994.23</w:t>
            </w:r>
          </w:p>
        </w:tc>
        <w:tc>
          <w:tcPr>
            <w:tcW w:w="1772" w:type="dxa"/>
            <w:tcBorders>
              <w:top w:val="nil" w:sz="6" w:space="0" w:color="auto"/>
              <w:left w:val="nil" w:sz="6" w:space="0" w:color="auto"/>
              <w:bottom w:val="nil" w:sz="6" w:space="0" w:color="auto"/>
              <w:right w:val="nil" w:sz="6" w:space="0" w:color="auto"/>
            </w:tcBorders>
          </w:tcPr>
          <w:p>
            <w:pPr>
              <w:pStyle w:val="TableParagraph"/>
              <w:spacing w:line="220" w:lineRule="exact"/>
              <w:ind w:right="108"/>
              <w:jc w:val="right"/>
              <w:rPr>
                <w:rFonts w:ascii="宋体" w:hAnsi="宋体" w:cs="宋体" w:eastAsia="宋体" w:hint="default"/>
                <w:sz w:val="18"/>
                <w:szCs w:val="18"/>
              </w:rPr>
            </w:pPr>
            <w:r>
              <w:rPr>
                <w:rFonts w:ascii="宋体"/>
                <w:spacing w:val="-1"/>
                <w:sz w:val="18"/>
              </w:rPr>
              <w:t>-7,771,994.23</w:t>
            </w:r>
          </w:p>
        </w:tc>
      </w:tr>
      <w:tr>
        <w:trPr>
          <w:trHeight w:val="303" w:hRule="exact"/>
        </w:trPr>
        <w:tc>
          <w:tcPr>
            <w:tcW w:w="2765" w:type="dxa"/>
            <w:tcBorders>
              <w:top w:val="nil" w:sz="6" w:space="0" w:color="auto"/>
              <w:left w:val="nil" w:sz="6" w:space="0" w:color="auto"/>
              <w:bottom w:val="single" w:sz="1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三、年末余额</w:t>
            </w:r>
          </w:p>
        </w:tc>
        <w:tc>
          <w:tcPr>
            <w:tcW w:w="2065" w:type="dxa"/>
            <w:tcBorders>
              <w:top w:val="nil" w:sz="6" w:space="0" w:color="auto"/>
              <w:left w:val="nil" w:sz="6" w:space="0" w:color="auto"/>
              <w:bottom w:val="single" w:sz="12" w:space="0" w:color="000000"/>
              <w:right w:val="nil" w:sz="6" w:space="0" w:color="auto"/>
            </w:tcBorders>
          </w:tcPr>
          <w:p>
            <w:pPr>
              <w:pStyle w:val="TableParagraph"/>
              <w:spacing w:line="233" w:lineRule="exact"/>
              <w:ind w:right="341"/>
              <w:jc w:val="right"/>
              <w:rPr>
                <w:rFonts w:ascii="宋体" w:hAnsi="宋体" w:cs="宋体" w:eastAsia="宋体" w:hint="default"/>
                <w:sz w:val="18"/>
                <w:szCs w:val="18"/>
              </w:rPr>
            </w:pPr>
            <w:r>
              <w:rPr>
                <w:rFonts w:ascii="宋体"/>
                <w:spacing w:val="-1"/>
                <w:sz w:val="18"/>
              </w:rPr>
              <w:t>14,200,000.00</w:t>
            </w:r>
          </w:p>
        </w:tc>
        <w:tc>
          <w:tcPr>
            <w:tcW w:w="2123" w:type="dxa"/>
            <w:tcBorders>
              <w:top w:val="nil" w:sz="6" w:space="0" w:color="auto"/>
              <w:left w:val="nil" w:sz="6" w:space="0" w:color="auto"/>
              <w:bottom w:val="single" w:sz="12" w:space="0" w:color="000000"/>
              <w:right w:val="nil" w:sz="6" w:space="0" w:color="auto"/>
            </w:tcBorders>
          </w:tcPr>
          <w:p>
            <w:pPr>
              <w:pStyle w:val="TableParagraph"/>
              <w:spacing w:line="233" w:lineRule="exact"/>
              <w:ind w:right="400"/>
              <w:jc w:val="right"/>
              <w:rPr>
                <w:rFonts w:ascii="宋体" w:hAnsi="宋体" w:cs="宋体" w:eastAsia="宋体" w:hint="default"/>
                <w:sz w:val="18"/>
                <w:szCs w:val="18"/>
              </w:rPr>
            </w:pPr>
            <w:r>
              <w:rPr>
                <w:rFonts w:ascii="宋体"/>
                <w:spacing w:val="-1"/>
                <w:sz w:val="18"/>
              </w:rPr>
              <w:t>758,764,600.00</w:t>
            </w:r>
          </w:p>
        </w:tc>
        <w:tc>
          <w:tcPr>
            <w:tcW w:w="1772" w:type="dxa"/>
            <w:tcBorders>
              <w:top w:val="nil" w:sz="6" w:space="0" w:color="auto"/>
              <w:left w:val="nil" w:sz="6" w:space="0" w:color="auto"/>
              <w:bottom w:val="single" w:sz="12" w:space="0" w:color="000000"/>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772,964,600.00</w:t>
            </w:r>
          </w:p>
        </w:tc>
      </w:tr>
    </w:tbl>
    <w:p>
      <w:pPr>
        <w:spacing w:before="81"/>
        <w:ind w:left="11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13.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固定资产</w:t>
      </w:r>
    </w:p>
    <w:p>
      <w:pPr>
        <w:spacing w:line="240" w:lineRule="auto" w:before="5"/>
        <w:rPr>
          <w:rFonts w:ascii="宋体" w:hAnsi="宋体" w:cs="宋体" w:eastAsia="宋体" w:hint="default"/>
          <w:sz w:val="11"/>
          <w:szCs w:val="11"/>
        </w:rPr>
      </w:pPr>
    </w:p>
    <w:tbl>
      <w:tblPr>
        <w:tblW w:w="0" w:type="auto"/>
        <w:jc w:val="left"/>
        <w:tblInd w:w="607" w:type="dxa"/>
        <w:tblLayout w:type="fixed"/>
        <w:tblCellMar>
          <w:top w:w="0" w:type="dxa"/>
          <w:left w:w="0" w:type="dxa"/>
          <w:bottom w:w="0" w:type="dxa"/>
          <w:right w:w="0" w:type="dxa"/>
        </w:tblCellMar>
        <w:tblLook w:val="01E0"/>
      </w:tblPr>
      <w:tblGrid>
        <w:gridCol w:w="2148"/>
        <w:gridCol w:w="2055"/>
        <w:gridCol w:w="1527"/>
        <w:gridCol w:w="1426"/>
        <w:gridCol w:w="1605"/>
      </w:tblGrid>
      <w:tr>
        <w:trPr>
          <w:trHeight w:val="305" w:hRule="exact"/>
        </w:trPr>
        <w:tc>
          <w:tcPr>
            <w:tcW w:w="2148" w:type="dxa"/>
            <w:tcBorders>
              <w:top w:val="single" w:sz="12" w:space="0" w:color="000000"/>
              <w:left w:val="nil" w:sz="6" w:space="0" w:color="auto"/>
              <w:bottom w:val="single" w:sz="2" w:space="0" w:color="000000"/>
              <w:right w:val="nil" w:sz="6" w:space="0" w:color="auto"/>
            </w:tcBorders>
          </w:tcPr>
          <w:p>
            <w:pPr>
              <w:pStyle w:val="TableParagraph"/>
              <w:spacing w:line="234" w:lineRule="exact"/>
              <w:ind w:left="4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55" w:type="dxa"/>
            <w:tcBorders>
              <w:top w:val="single" w:sz="12" w:space="0" w:color="000000"/>
              <w:left w:val="nil" w:sz="6" w:space="0" w:color="auto"/>
              <w:bottom w:val="single" w:sz="2" w:space="0" w:color="000000"/>
              <w:right w:val="nil" w:sz="6" w:space="0" w:color="auto"/>
            </w:tcBorders>
          </w:tcPr>
          <w:p>
            <w:pPr>
              <w:pStyle w:val="TableParagraph"/>
              <w:spacing w:line="234" w:lineRule="exact"/>
              <w:ind w:left="785" w:right="0"/>
              <w:jc w:val="left"/>
              <w:rPr>
                <w:rFonts w:ascii="宋体" w:hAnsi="宋体" w:cs="宋体" w:eastAsia="宋体" w:hint="default"/>
                <w:sz w:val="18"/>
                <w:szCs w:val="18"/>
              </w:rPr>
            </w:pPr>
            <w:r>
              <w:rPr>
                <w:rFonts w:ascii="宋体" w:hAnsi="宋体" w:cs="宋体" w:eastAsia="宋体" w:hint="default"/>
                <w:b/>
                <w:bCs/>
                <w:sz w:val="18"/>
                <w:szCs w:val="18"/>
              </w:rPr>
              <w:t>房屋建筑物</w:t>
            </w:r>
            <w:r>
              <w:rPr>
                <w:rFonts w:ascii="宋体" w:hAnsi="宋体" w:cs="宋体" w:eastAsia="宋体" w:hint="default"/>
                <w:sz w:val="18"/>
                <w:szCs w:val="18"/>
              </w:rPr>
            </w:r>
          </w:p>
        </w:tc>
        <w:tc>
          <w:tcPr>
            <w:tcW w:w="1527" w:type="dxa"/>
            <w:tcBorders>
              <w:top w:val="single" w:sz="12" w:space="0" w:color="000000"/>
              <w:left w:val="nil" w:sz="6" w:space="0" w:color="auto"/>
              <w:bottom w:val="single" w:sz="2" w:space="0" w:color="000000"/>
              <w:right w:val="nil" w:sz="6" w:space="0" w:color="auto"/>
            </w:tcBorders>
          </w:tcPr>
          <w:p>
            <w:pPr>
              <w:pStyle w:val="TableParagraph"/>
              <w:spacing w:line="234" w:lineRule="exact"/>
              <w:ind w:left="13" w:right="0"/>
              <w:jc w:val="center"/>
              <w:rPr>
                <w:rFonts w:ascii="宋体" w:hAnsi="宋体" w:cs="宋体" w:eastAsia="宋体" w:hint="default"/>
                <w:sz w:val="18"/>
                <w:szCs w:val="18"/>
              </w:rPr>
            </w:pPr>
            <w:r>
              <w:rPr>
                <w:rFonts w:ascii="宋体" w:hAnsi="宋体" w:cs="宋体" w:eastAsia="宋体" w:hint="default"/>
                <w:b/>
                <w:bCs/>
                <w:sz w:val="18"/>
                <w:szCs w:val="18"/>
              </w:rPr>
              <w:t>设备</w:t>
            </w:r>
            <w:r>
              <w:rPr>
                <w:rFonts w:ascii="宋体" w:hAnsi="宋体" w:cs="宋体" w:eastAsia="宋体" w:hint="default"/>
                <w:sz w:val="18"/>
                <w:szCs w:val="18"/>
              </w:rPr>
            </w:r>
          </w:p>
        </w:tc>
        <w:tc>
          <w:tcPr>
            <w:tcW w:w="1426" w:type="dxa"/>
            <w:tcBorders>
              <w:top w:val="single" w:sz="12" w:space="0" w:color="000000"/>
              <w:left w:val="nil" w:sz="6" w:space="0" w:color="auto"/>
              <w:bottom w:val="single" w:sz="2" w:space="0" w:color="000000"/>
              <w:right w:val="nil" w:sz="6" w:space="0" w:color="auto"/>
            </w:tcBorders>
          </w:tcPr>
          <w:p>
            <w:pPr>
              <w:pStyle w:val="TableParagraph"/>
              <w:spacing w:line="234" w:lineRule="exact"/>
              <w:ind w:right="86"/>
              <w:jc w:val="center"/>
              <w:rPr>
                <w:rFonts w:ascii="宋体" w:hAnsi="宋体" w:cs="宋体" w:eastAsia="宋体" w:hint="default"/>
                <w:sz w:val="18"/>
                <w:szCs w:val="18"/>
              </w:rPr>
            </w:pPr>
            <w:r>
              <w:rPr>
                <w:rFonts w:ascii="宋体" w:hAnsi="宋体" w:cs="宋体" w:eastAsia="宋体" w:hint="default"/>
                <w:b/>
                <w:bCs/>
                <w:sz w:val="18"/>
                <w:szCs w:val="18"/>
              </w:rPr>
              <w:t>车辆</w:t>
            </w:r>
            <w:r>
              <w:rPr>
                <w:rFonts w:ascii="宋体" w:hAnsi="宋体" w:cs="宋体" w:eastAsia="宋体" w:hint="default"/>
                <w:sz w:val="18"/>
                <w:szCs w:val="18"/>
              </w:rPr>
            </w:r>
          </w:p>
        </w:tc>
        <w:tc>
          <w:tcPr>
            <w:tcW w:w="1605" w:type="dxa"/>
            <w:tcBorders>
              <w:top w:val="single" w:sz="12" w:space="0" w:color="000000"/>
              <w:left w:val="nil" w:sz="6" w:space="0" w:color="auto"/>
              <w:bottom w:val="single" w:sz="2" w:space="0" w:color="000000"/>
              <w:right w:val="nil" w:sz="6" w:space="0" w:color="auto"/>
            </w:tcBorders>
          </w:tcPr>
          <w:p>
            <w:pPr>
              <w:pStyle w:val="TableParagraph"/>
              <w:spacing w:line="234" w:lineRule="exact"/>
              <w:ind w:right="87"/>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285" w:hRule="exact"/>
        </w:trPr>
        <w:tc>
          <w:tcPr>
            <w:tcW w:w="2148" w:type="dxa"/>
            <w:tcBorders>
              <w:top w:val="single" w:sz="2" w:space="0" w:color="000000"/>
              <w:left w:val="nil" w:sz="6" w:space="0" w:color="auto"/>
              <w:bottom w:val="nil" w:sz="6" w:space="0" w:color="auto"/>
              <w:right w:val="nil" w:sz="6" w:space="0" w:color="auto"/>
            </w:tcBorders>
          </w:tcPr>
          <w:p>
            <w:pPr>
              <w:pStyle w:val="TableParagraph"/>
              <w:spacing w:line="229" w:lineRule="exact"/>
              <w:ind w:left="40"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055" w:type="dxa"/>
            <w:tcBorders>
              <w:top w:val="single" w:sz="2" w:space="0" w:color="000000"/>
              <w:left w:val="nil" w:sz="6" w:space="0" w:color="auto"/>
              <w:bottom w:val="nil" w:sz="6" w:space="0" w:color="auto"/>
              <w:right w:val="nil" w:sz="6" w:space="0" w:color="auto"/>
            </w:tcBorders>
          </w:tcPr>
          <w:p>
            <w:pPr/>
          </w:p>
        </w:tc>
        <w:tc>
          <w:tcPr>
            <w:tcW w:w="1527" w:type="dxa"/>
            <w:tcBorders>
              <w:top w:val="single" w:sz="2" w:space="0" w:color="000000"/>
              <w:left w:val="nil" w:sz="6" w:space="0" w:color="auto"/>
              <w:bottom w:val="nil" w:sz="6" w:space="0" w:color="auto"/>
              <w:right w:val="nil" w:sz="6" w:space="0" w:color="auto"/>
            </w:tcBorders>
          </w:tcPr>
          <w:p>
            <w:pPr/>
          </w:p>
        </w:tc>
        <w:tc>
          <w:tcPr>
            <w:tcW w:w="1426" w:type="dxa"/>
            <w:tcBorders>
              <w:top w:val="single" w:sz="2" w:space="0" w:color="000000"/>
              <w:left w:val="nil" w:sz="6" w:space="0" w:color="auto"/>
              <w:bottom w:val="nil" w:sz="6" w:space="0" w:color="auto"/>
              <w:right w:val="nil" w:sz="6" w:space="0" w:color="auto"/>
            </w:tcBorders>
          </w:tcPr>
          <w:p>
            <w:pPr/>
          </w:p>
        </w:tc>
        <w:tc>
          <w:tcPr>
            <w:tcW w:w="1605" w:type="dxa"/>
            <w:tcBorders>
              <w:top w:val="single" w:sz="2" w:space="0" w:color="000000"/>
              <w:left w:val="nil" w:sz="6" w:space="0" w:color="auto"/>
              <w:bottom w:val="nil" w:sz="6" w:space="0" w:color="auto"/>
              <w:right w:val="nil" w:sz="6" w:space="0" w:color="auto"/>
            </w:tcBorders>
          </w:tcPr>
          <w:p>
            <w:pPr/>
          </w:p>
        </w:tc>
      </w:tr>
      <w:tr>
        <w:trPr>
          <w:trHeight w:val="286"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33" w:lineRule="exact"/>
              <w:ind w:left="4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年初余额</w:t>
            </w:r>
          </w:p>
        </w:tc>
        <w:tc>
          <w:tcPr>
            <w:tcW w:w="2055" w:type="dxa"/>
            <w:tcBorders>
              <w:top w:val="nil" w:sz="6" w:space="0" w:color="auto"/>
              <w:left w:val="nil" w:sz="6" w:space="0" w:color="auto"/>
              <w:bottom w:val="nil" w:sz="6" w:space="0" w:color="auto"/>
              <w:right w:val="nil" w:sz="6" w:space="0" w:color="auto"/>
            </w:tcBorders>
          </w:tcPr>
          <w:p>
            <w:pPr>
              <w:pStyle w:val="TableParagraph"/>
              <w:spacing w:line="233" w:lineRule="exact"/>
              <w:ind w:right="37"/>
              <w:jc w:val="right"/>
              <w:rPr>
                <w:rFonts w:ascii="宋体" w:hAnsi="宋体" w:cs="宋体" w:eastAsia="宋体" w:hint="default"/>
                <w:sz w:val="18"/>
                <w:szCs w:val="18"/>
              </w:rPr>
            </w:pPr>
            <w:r>
              <w:rPr>
                <w:rFonts w:ascii="宋体"/>
                <w:spacing w:val="-1"/>
                <w:sz w:val="18"/>
              </w:rPr>
              <w:t>4,235,412,657.98</w:t>
            </w:r>
          </w:p>
        </w:tc>
        <w:tc>
          <w:tcPr>
            <w:tcW w:w="1527" w:type="dxa"/>
            <w:tcBorders>
              <w:top w:val="nil" w:sz="6" w:space="0" w:color="auto"/>
              <w:left w:val="nil" w:sz="6" w:space="0" w:color="auto"/>
              <w:bottom w:val="nil" w:sz="6" w:space="0" w:color="auto"/>
              <w:right w:val="nil" w:sz="6" w:space="0" w:color="auto"/>
            </w:tcBorders>
          </w:tcPr>
          <w:p>
            <w:pPr>
              <w:pStyle w:val="TableParagraph"/>
              <w:spacing w:line="233" w:lineRule="exact"/>
              <w:ind w:right="25"/>
              <w:jc w:val="right"/>
              <w:rPr>
                <w:rFonts w:ascii="宋体" w:hAnsi="宋体" w:cs="宋体" w:eastAsia="宋体" w:hint="default"/>
                <w:sz w:val="18"/>
                <w:szCs w:val="18"/>
              </w:rPr>
            </w:pPr>
            <w:r>
              <w:rPr>
                <w:rFonts w:ascii="宋体"/>
                <w:spacing w:val="-1"/>
                <w:sz w:val="18"/>
              </w:rPr>
              <w:t>3,310,281,243.16</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14"/>
              <w:jc w:val="right"/>
              <w:rPr>
                <w:rFonts w:ascii="宋体" w:hAnsi="宋体" w:cs="宋体" w:eastAsia="宋体" w:hint="default"/>
                <w:sz w:val="18"/>
                <w:szCs w:val="18"/>
              </w:rPr>
            </w:pPr>
            <w:r>
              <w:rPr>
                <w:rFonts w:ascii="宋体"/>
                <w:spacing w:val="-1"/>
                <w:sz w:val="18"/>
              </w:rPr>
              <w:t>145,423,676.70</w:t>
            </w:r>
          </w:p>
        </w:tc>
        <w:tc>
          <w:tcPr>
            <w:tcW w:w="1605" w:type="dxa"/>
            <w:tcBorders>
              <w:top w:val="nil" w:sz="6" w:space="0" w:color="auto"/>
              <w:left w:val="nil" w:sz="6" w:space="0" w:color="auto"/>
              <w:bottom w:val="nil" w:sz="6" w:space="0" w:color="auto"/>
              <w:right w:val="nil" w:sz="6" w:space="0" w:color="auto"/>
            </w:tcBorders>
          </w:tcPr>
          <w:p>
            <w:pPr>
              <w:pStyle w:val="TableParagraph"/>
              <w:spacing w:line="233" w:lineRule="exact"/>
              <w:ind w:right="26"/>
              <w:jc w:val="right"/>
              <w:rPr>
                <w:rFonts w:ascii="宋体" w:hAnsi="宋体" w:cs="宋体" w:eastAsia="宋体" w:hint="default"/>
                <w:sz w:val="18"/>
                <w:szCs w:val="18"/>
              </w:rPr>
            </w:pPr>
            <w:r>
              <w:rPr>
                <w:rFonts w:ascii="宋体"/>
                <w:spacing w:val="-1"/>
                <w:sz w:val="18"/>
              </w:rPr>
              <w:t>7,691,117,577.84</w:t>
            </w:r>
          </w:p>
        </w:tc>
      </w:tr>
      <w:tr>
        <w:trPr>
          <w:trHeight w:val="286"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33" w:lineRule="exact"/>
              <w:ind w:left="4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本年增加金额</w:t>
            </w:r>
          </w:p>
        </w:tc>
        <w:tc>
          <w:tcPr>
            <w:tcW w:w="2055" w:type="dxa"/>
            <w:tcBorders>
              <w:top w:val="nil" w:sz="6" w:space="0" w:color="auto"/>
              <w:left w:val="nil" w:sz="6" w:space="0" w:color="auto"/>
              <w:bottom w:val="nil" w:sz="6" w:space="0" w:color="auto"/>
              <w:right w:val="nil" w:sz="6" w:space="0" w:color="auto"/>
            </w:tcBorders>
          </w:tcPr>
          <w:p>
            <w:pPr>
              <w:pStyle w:val="TableParagraph"/>
              <w:spacing w:line="233" w:lineRule="exact"/>
              <w:ind w:right="36"/>
              <w:jc w:val="right"/>
              <w:rPr>
                <w:rFonts w:ascii="宋体" w:hAnsi="宋体" w:cs="宋体" w:eastAsia="宋体" w:hint="default"/>
                <w:sz w:val="18"/>
                <w:szCs w:val="18"/>
              </w:rPr>
            </w:pPr>
            <w:r>
              <w:rPr>
                <w:rFonts w:ascii="宋体"/>
                <w:spacing w:val="-1"/>
                <w:sz w:val="18"/>
              </w:rPr>
              <w:t>218,348,962.15</w:t>
            </w:r>
          </w:p>
        </w:tc>
        <w:tc>
          <w:tcPr>
            <w:tcW w:w="1527" w:type="dxa"/>
            <w:tcBorders>
              <w:top w:val="nil" w:sz="6" w:space="0" w:color="auto"/>
              <w:left w:val="nil" w:sz="6" w:space="0" w:color="auto"/>
              <w:bottom w:val="nil" w:sz="6" w:space="0" w:color="auto"/>
              <w:right w:val="nil" w:sz="6" w:space="0" w:color="auto"/>
            </w:tcBorders>
          </w:tcPr>
          <w:p>
            <w:pPr>
              <w:pStyle w:val="TableParagraph"/>
              <w:spacing w:line="233" w:lineRule="exact"/>
              <w:ind w:right="46"/>
              <w:jc w:val="right"/>
              <w:rPr>
                <w:rFonts w:ascii="宋体" w:hAnsi="宋体" w:cs="宋体" w:eastAsia="宋体" w:hint="default"/>
                <w:sz w:val="18"/>
                <w:szCs w:val="18"/>
              </w:rPr>
            </w:pPr>
            <w:r>
              <w:rPr>
                <w:rFonts w:ascii="宋体"/>
                <w:spacing w:val="-1"/>
                <w:sz w:val="18"/>
              </w:rPr>
              <w:t>297,665,219.53</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36"/>
              <w:jc w:val="right"/>
              <w:rPr>
                <w:rFonts w:ascii="宋体" w:hAnsi="宋体" w:cs="宋体" w:eastAsia="宋体" w:hint="default"/>
                <w:sz w:val="18"/>
                <w:szCs w:val="18"/>
              </w:rPr>
            </w:pPr>
            <w:r>
              <w:rPr>
                <w:rFonts w:ascii="宋体"/>
                <w:spacing w:val="-1"/>
                <w:sz w:val="18"/>
              </w:rPr>
              <w:t>10,739,574.04</w:t>
            </w:r>
          </w:p>
        </w:tc>
        <w:tc>
          <w:tcPr>
            <w:tcW w:w="1605" w:type="dxa"/>
            <w:tcBorders>
              <w:top w:val="nil" w:sz="6" w:space="0" w:color="auto"/>
              <w:left w:val="nil" w:sz="6" w:space="0" w:color="auto"/>
              <w:bottom w:val="nil" w:sz="6" w:space="0" w:color="auto"/>
              <w:right w:val="nil" w:sz="6" w:space="0" w:color="auto"/>
            </w:tcBorders>
          </w:tcPr>
          <w:p>
            <w:pPr>
              <w:pStyle w:val="TableParagraph"/>
              <w:spacing w:line="233" w:lineRule="exact"/>
              <w:ind w:right="47"/>
              <w:jc w:val="right"/>
              <w:rPr>
                <w:rFonts w:ascii="宋体" w:hAnsi="宋体" w:cs="宋体" w:eastAsia="宋体" w:hint="default"/>
                <w:sz w:val="18"/>
                <w:szCs w:val="18"/>
              </w:rPr>
            </w:pPr>
            <w:r>
              <w:rPr>
                <w:rFonts w:ascii="宋体"/>
                <w:spacing w:val="-1"/>
                <w:sz w:val="18"/>
              </w:rPr>
              <w:t>526,753,755.72</w:t>
            </w:r>
          </w:p>
        </w:tc>
      </w:tr>
      <w:tr>
        <w:trPr>
          <w:trHeight w:val="284"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33" w:lineRule="exact"/>
              <w:ind w:left="4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2055" w:type="dxa"/>
            <w:tcBorders>
              <w:top w:val="nil" w:sz="6" w:space="0" w:color="auto"/>
              <w:left w:val="nil" w:sz="6" w:space="0" w:color="auto"/>
              <w:bottom w:val="nil" w:sz="6" w:space="0" w:color="auto"/>
              <w:right w:val="nil" w:sz="6" w:space="0" w:color="auto"/>
            </w:tcBorders>
          </w:tcPr>
          <w:p>
            <w:pPr>
              <w:pStyle w:val="TableParagraph"/>
              <w:spacing w:line="233" w:lineRule="exact"/>
              <w:ind w:right="36"/>
              <w:jc w:val="right"/>
              <w:rPr>
                <w:rFonts w:ascii="宋体" w:hAnsi="宋体" w:cs="宋体" w:eastAsia="宋体" w:hint="default"/>
                <w:sz w:val="18"/>
                <w:szCs w:val="18"/>
              </w:rPr>
            </w:pPr>
            <w:r>
              <w:rPr>
                <w:rFonts w:ascii="宋体"/>
                <w:spacing w:val="-1"/>
                <w:sz w:val="18"/>
              </w:rPr>
              <w:t>133,393,087.42</w:t>
            </w:r>
          </w:p>
        </w:tc>
        <w:tc>
          <w:tcPr>
            <w:tcW w:w="1527" w:type="dxa"/>
            <w:tcBorders>
              <w:top w:val="nil" w:sz="6" w:space="0" w:color="auto"/>
              <w:left w:val="nil" w:sz="6" w:space="0" w:color="auto"/>
              <w:bottom w:val="nil" w:sz="6" w:space="0" w:color="auto"/>
              <w:right w:val="nil" w:sz="6" w:space="0" w:color="auto"/>
            </w:tcBorders>
          </w:tcPr>
          <w:p>
            <w:pPr>
              <w:pStyle w:val="TableParagraph"/>
              <w:spacing w:line="233" w:lineRule="exact"/>
              <w:ind w:right="46"/>
              <w:jc w:val="right"/>
              <w:rPr>
                <w:rFonts w:ascii="宋体" w:hAnsi="宋体" w:cs="宋体" w:eastAsia="宋体" w:hint="default"/>
                <w:sz w:val="18"/>
                <w:szCs w:val="18"/>
              </w:rPr>
            </w:pPr>
            <w:r>
              <w:rPr>
                <w:rFonts w:ascii="宋体"/>
                <w:spacing w:val="-1"/>
                <w:sz w:val="18"/>
              </w:rPr>
              <w:t>186,159,088.57</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36"/>
              <w:jc w:val="right"/>
              <w:rPr>
                <w:rFonts w:ascii="宋体" w:hAnsi="宋体" w:cs="宋体" w:eastAsia="宋体" w:hint="default"/>
                <w:sz w:val="18"/>
                <w:szCs w:val="18"/>
              </w:rPr>
            </w:pPr>
            <w:r>
              <w:rPr>
                <w:rFonts w:ascii="宋体"/>
                <w:spacing w:val="-1"/>
                <w:sz w:val="18"/>
              </w:rPr>
              <w:t>10,529,486.70</w:t>
            </w:r>
          </w:p>
        </w:tc>
        <w:tc>
          <w:tcPr>
            <w:tcW w:w="1605" w:type="dxa"/>
            <w:tcBorders>
              <w:top w:val="nil" w:sz="6" w:space="0" w:color="auto"/>
              <w:left w:val="nil" w:sz="6" w:space="0" w:color="auto"/>
              <w:bottom w:val="nil" w:sz="6" w:space="0" w:color="auto"/>
              <w:right w:val="nil" w:sz="6" w:space="0" w:color="auto"/>
            </w:tcBorders>
          </w:tcPr>
          <w:p>
            <w:pPr>
              <w:pStyle w:val="TableParagraph"/>
              <w:spacing w:line="233" w:lineRule="exact"/>
              <w:ind w:right="47"/>
              <w:jc w:val="right"/>
              <w:rPr>
                <w:rFonts w:ascii="宋体" w:hAnsi="宋体" w:cs="宋体" w:eastAsia="宋体" w:hint="default"/>
                <w:sz w:val="18"/>
                <w:szCs w:val="18"/>
              </w:rPr>
            </w:pPr>
            <w:r>
              <w:rPr>
                <w:rFonts w:ascii="宋体"/>
                <w:spacing w:val="-1"/>
                <w:sz w:val="18"/>
              </w:rPr>
              <w:t>330,081,662.69</w:t>
            </w:r>
          </w:p>
        </w:tc>
      </w:tr>
      <w:tr>
        <w:trPr>
          <w:trHeight w:val="284"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32" w:lineRule="exact"/>
              <w:ind w:left="4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2055" w:type="dxa"/>
            <w:tcBorders>
              <w:top w:val="nil" w:sz="6" w:space="0" w:color="auto"/>
              <w:left w:val="nil" w:sz="6" w:space="0" w:color="auto"/>
              <w:bottom w:val="nil" w:sz="6" w:space="0" w:color="auto"/>
              <w:right w:val="nil" w:sz="6" w:space="0" w:color="auto"/>
            </w:tcBorders>
          </w:tcPr>
          <w:p>
            <w:pPr>
              <w:pStyle w:val="TableParagraph"/>
              <w:spacing w:line="232" w:lineRule="exact"/>
              <w:ind w:right="36"/>
              <w:jc w:val="right"/>
              <w:rPr>
                <w:rFonts w:ascii="宋体" w:hAnsi="宋体" w:cs="宋体" w:eastAsia="宋体" w:hint="default"/>
                <w:sz w:val="18"/>
                <w:szCs w:val="18"/>
              </w:rPr>
            </w:pPr>
            <w:r>
              <w:rPr>
                <w:rFonts w:ascii="宋体"/>
                <w:spacing w:val="-1"/>
                <w:sz w:val="18"/>
              </w:rPr>
              <w:t>80,251,426.70</w:t>
            </w:r>
          </w:p>
        </w:tc>
        <w:tc>
          <w:tcPr>
            <w:tcW w:w="1527" w:type="dxa"/>
            <w:tcBorders>
              <w:top w:val="nil" w:sz="6" w:space="0" w:color="auto"/>
              <w:left w:val="nil" w:sz="6" w:space="0" w:color="auto"/>
              <w:bottom w:val="nil" w:sz="6" w:space="0" w:color="auto"/>
              <w:right w:val="nil" w:sz="6" w:space="0" w:color="auto"/>
            </w:tcBorders>
          </w:tcPr>
          <w:p>
            <w:pPr>
              <w:pStyle w:val="TableParagraph"/>
              <w:spacing w:line="232" w:lineRule="exact"/>
              <w:ind w:right="46"/>
              <w:jc w:val="right"/>
              <w:rPr>
                <w:rFonts w:ascii="宋体" w:hAnsi="宋体" w:cs="宋体" w:eastAsia="宋体" w:hint="default"/>
                <w:sz w:val="18"/>
                <w:szCs w:val="18"/>
              </w:rPr>
            </w:pPr>
            <w:r>
              <w:rPr>
                <w:rFonts w:ascii="宋体"/>
                <w:spacing w:val="-1"/>
                <w:sz w:val="18"/>
              </w:rPr>
              <w:t>106,101,590.56</w:t>
            </w:r>
          </w:p>
        </w:tc>
        <w:tc>
          <w:tcPr>
            <w:tcW w:w="1426" w:type="dxa"/>
            <w:tcBorders>
              <w:top w:val="nil" w:sz="6" w:space="0" w:color="auto"/>
              <w:left w:val="nil" w:sz="6" w:space="0" w:color="auto"/>
              <w:bottom w:val="nil" w:sz="6" w:space="0" w:color="auto"/>
              <w:right w:val="nil" w:sz="6" w:space="0" w:color="auto"/>
            </w:tcBorders>
          </w:tcPr>
          <w:p>
            <w:pPr>
              <w:pStyle w:val="TableParagraph"/>
              <w:spacing w:line="232" w:lineRule="exact"/>
              <w:ind w:right="135"/>
              <w:jc w:val="right"/>
              <w:rPr>
                <w:rFonts w:ascii="宋体" w:hAnsi="宋体" w:cs="宋体" w:eastAsia="宋体" w:hint="default"/>
                <w:sz w:val="18"/>
                <w:szCs w:val="18"/>
              </w:rPr>
            </w:pPr>
            <w:r>
              <w:rPr>
                <w:rFonts w:ascii="宋体"/>
                <w:sz w:val="18"/>
              </w:rPr>
              <w:t>0.00</w:t>
            </w:r>
          </w:p>
        </w:tc>
        <w:tc>
          <w:tcPr>
            <w:tcW w:w="1605" w:type="dxa"/>
            <w:tcBorders>
              <w:top w:val="nil" w:sz="6" w:space="0" w:color="auto"/>
              <w:left w:val="nil" w:sz="6" w:space="0" w:color="auto"/>
              <w:bottom w:val="nil" w:sz="6" w:space="0" w:color="auto"/>
              <w:right w:val="nil" w:sz="6" w:space="0" w:color="auto"/>
            </w:tcBorders>
          </w:tcPr>
          <w:p>
            <w:pPr>
              <w:pStyle w:val="TableParagraph"/>
              <w:spacing w:line="232" w:lineRule="exact"/>
              <w:ind w:right="47"/>
              <w:jc w:val="right"/>
              <w:rPr>
                <w:rFonts w:ascii="宋体" w:hAnsi="宋体" w:cs="宋体" w:eastAsia="宋体" w:hint="default"/>
                <w:sz w:val="18"/>
                <w:szCs w:val="18"/>
              </w:rPr>
            </w:pPr>
            <w:r>
              <w:rPr>
                <w:rFonts w:ascii="宋体"/>
                <w:spacing w:val="-1"/>
                <w:sz w:val="18"/>
              </w:rPr>
              <w:t>186,353,017.26</w:t>
            </w:r>
          </w:p>
        </w:tc>
      </w:tr>
      <w:tr>
        <w:trPr>
          <w:trHeight w:val="286"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33" w:lineRule="exact"/>
              <w:ind w:left="4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2055" w:type="dxa"/>
            <w:tcBorders>
              <w:top w:val="nil" w:sz="6" w:space="0" w:color="auto"/>
              <w:left w:val="nil" w:sz="6" w:space="0" w:color="auto"/>
              <w:bottom w:val="nil" w:sz="6" w:space="0" w:color="auto"/>
              <w:right w:val="nil" w:sz="6" w:space="0" w:color="auto"/>
            </w:tcBorders>
          </w:tcPr>
          <w:p>
            <w:pPr>
              <w:pStyle w:val="TableParagraph"/>
              <w:spacing w:line="233" w:lineRule="exact"/>
              <w:ind w:right="35"/>
              <w:jc w:val="right"/>
              <w:rPr>
                <w:rFonts w:ascii="宋体" w:hAnsi="宋体" w:cs="宋体" w:eastAsia="宋体" w:hint="default"/>
                <w:sz w:val="18"/>
                <w:szCs w:val="18"/>
              </w:rPr>
            </w:pPr>
            <w:r>
              <w:rPr>
                <w:rFonts w:ascii="宋体"/>
                <w:sz w:val="18"/>
              </w:rPr>
              <w:t>0.00</w:t>
            </w:r>
          </w:p>
        </w:tc>
        <w:tc>
          <w:tcPr>
            <w:tcW w:w="1527" w:type="dxa"/>
            <w:tcBorders>
              <w:top w:val="nil" w:sz="6" w:space="0" w:color="auto"/>
              <w:left w:val="nil" w:sz="6" w:space="0" w:color="auto"/>
              <w:bottom w:val="nil" w:sz="6" w:space="0" w:color="auto"/>
              <w:right w:val="nil" w:sz="6" w:space="0" w:color="auto"/>
            </w:tcBorders>
          </w:tcPr>
          <w:p>
            <w:pPr>
              <w:pStyle w:val="TableParagraph"/>
              <w:spacing w:line="233" w:lineRule="exact"/>
              <w:ind w:right="46"/>
              <w:jc w:val="right"/>
              <w:rPr>
                <w:rFonts w:ascii="宋体" w:hAnsi="宋体" w:cs="宋体" w:eastAsia="宋体" w:hint="default"/>
                <w:sz w:val="18"/>
                <w:szCs w:val="18"/>
              </w:rPr>
            </w:pPr>
            <w:r>
              <w:rPr>
                <w:rFonts w:ascii="宋体"/>
                <w:spacing w:val="-1"/>
                <w:sz w:val="18"/>
              </w:rPr>
              <w:t>7,243,283.60</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35"/>
              <w:jc w:val="right"/>
              <w:rPr>
                <w:rFonts w:ascii="宋体" w:hAnsi="宋体" w:cs="宋体" w:eastAsia="宋体" w:hint="default"/>
                <w:sz w:val="18"/>
                <w:szCs w:val="18"/>
              </w:rPr>
            </w:pPr>
            <w:r>
              <w:rPr>
                <w:rFonts w:ascii="宋体"/>
                <w:sz w:val="18"/>
              </w:rPr>
              <w:t>0.00</w:t>
            </w:r>
          </w:p>
        </w:tc>
        <w:tc>
          <w:tcPr>
            <w:tcW w:w="1605" w:type="dxa"/>
            <w:tcBorders>
              <w:top w:val="nil" w:sz="6" w:space="0" w:color="auto"/>
              <w:left w:val="nil" w:sz="6" w:space="0" w:color="auto"/>
              <w:bottom w:val="nil" w:sz="6" w:space="0" w:color="auto"/>
              <w:right w:val="nil" w:sz="6" w:space="0" w:color="auto"/>
            </w:tcBorders>
          </w:tcPr>
          <w:p>
            <w:pPr>
              <w:pStyle w:val="TableParagraph"/>
              <w:spacing w:line="233" w:lineRule="exact"/>
              <w:ind w:right="45"/>
              <w:jc w:val="right"/>
              <w:rPr>
                <w:rFonts w:ascii="宋体" w:hAnsi="宋体" w:cs="宋体" w:eastAsia="宋体" w:hint="default"/>
                <w:sz w:val="18"/>
                <w:szCs w:val="18"/>
              </w:rPr>
            </w:pPr>
            <w:r>
              <w:rPr>
                <w:rFonts w:ascii="宋体"/>
                <w:spacing w:val="-1"/>
                <w:sz w:val="18"/>
              </w:rPr>
              <w:t>7,243,283.60</w:t>
            </w:r>
          </w:p>
        </w:tc>
      </w:tr>
      <w:tr>
        <w:trPr>
          <w:trHeight w:val="286"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33" w:lineRule="exact"/>
              <w:ind w:left="4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）汇率变动增加</w:t>
            </w:r>
          </w:p>
        </w:tc>
        <w:tc>
          <w:tcPr>
            <w:tcW w:w="2055" w:type="dxa"/>
            <w:tcBorders>
              <w:top w:val="nil" w:sz="6" w:space="0" w:color="auto"/>
              <w:left w:val="nil" w:sz="6" w:space="0" w:color="auto"/>
              <w:bottom w:val="nil" w:sz="6" w:space="0" w:color="auto"/>
              <w:right w:val="nil" w:sz="6" w:space="0" w:color="auto"/>
            </w:tcBorders>
          </w:tcPr>
          <w:p>
            <w:pPr>
              <w:pStyle w:val="TableParagraph"/>
              <w:spacing w:line="233" w:lineRule="exact"/>
              <w:ind w:right="36"/>
              <w:jc w:val="right"/>
              <w:rPr>
                <w:rFonts w:ascii="宋体" w:hAnsi="宋体" w:cs="宋体" w:eastAsia="宋体" w:hint="default"/>
                <w:sz w:val="18"/>
                <w:szCs w:val="18"/>
              </w:rPr>
            </w:pPr>
            <w:r>
              <w:rPr>
                <w:rFonts w:ascii="宋体"/>
                <w:spacing w:val="-1"/>
                <w:sz w:val="18"/>
              </w:rPr>
              <w:t>4,704,448.03</w:t>
            </w:r>
          </w:p>
        </w:tc>
        <w:tc>
          <w:tcPr>
            <w:tcW w:w="1527" w:type="dxa"/>
            <w:tcBorders>
              <w:top w:val="nil" w:sz="6" w:space="0" w:color="auto"/>
              <w:left w:val="nil" w:sz="6" w:space="0" w:color="auto"/>
              <w:bottom w:val="nil" w:sz="6" w:space="0" w:color="auto"/>
              <w:right w:val="nil" w:sz="6" w:space="0" w:color="auto"/>
            </w:tcBorders>
          </w:tcPr>
          <w:p>
            <w:pPr>
              <w:pStyle w:val="TableParagraph"/>
              <w:spacing w:line="233" w:lineRule="exact"/>
              <w:ind w:right="46"/>
              <w:jc w:val="right"/>
              <w:rPr>
                <w:rFonts w:ascii="宋体" w:hAnsi="宋体" w:cs="宋体" w:eastAsia="宋体" w:hint="default"/>
                <w:sz w:val="18"/>
                <w:szCs w:val="18"/>
              </w:rPr>
            </w:pPr>
            <w:r>
              <w:rPr>
                <w:rFonts w:ascii="宋体"/>
                <w:spacing w:val="-1"/>
                <w:sz w:val="18"/>
              </w:rPr>
              <w:t>-1,838,743.20</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35"/>
              <w:jc w:val="right"/>
              <w:rPr>
                <w:rFonts w:ascii="宋体" w:hAnsi="宋体" w:cs="宋体" w:eastAsia="宋体" w:hint="default"/>
                <w:sz w:val="18"/>
                <w:szCs w:val="18"/>
              </w:rPr>
            </w:pPr>
            <w:r>
              <w:rPr>
                <w:rFonts w:ascii="宋体"/>
                <w:spacing w:val="-1"/>
                <w:sz w:val="18"/>
              </w:rPr>
              <w:t>210,087.34</w:t>
            </w:r>
          </w:p>
        </w:tc>
        <w:tc>
          <w:tcPr>
            <w:tcW w:w="1605" w:type="dxa"/>
            <w:tcBorders>
              <w:top w:val="nil" w:sz="6" w:space="0" w:color="auto"/>
              <w:left w:val="nil" w:sz="6" w:space="0" w:color="auto"/>
              <w:bottom w:val="nil" w:sz="6" w:space="0" w:color="auto"/>
              <w:right w:val="nil" w:sz="6" w:space="0" w:color="auto"/>
            </w:tcBorders>
          </w:tcPr>
          <w:p>
            <w:pPr>
              <w:pStyle w:val="TableParagraph"/>
              <w:spacing w:line="233" w:lineRule="exact"/>
              <w:ind w:right="45"/>
              <w:jc w:val="right"/>
              <w:rPr>
                <w:rFonts w:ascii="宋体" w:hAnsi="宋体" w:cs="宋体" w:eastAsia="宋体" w:hint="default"/>
                <w:sz w:val="18"/>
                <w:szCs w:val="18"/>
              </w:rPr>
            </w:pPr>
            <w:r>
              <w:rPr>
                <w:rFonts w:ascii="宋体"/>
                <w:spacing w:val="-1"/>
                <w:sz w:val="18"/>
              </w:rPr>
              <w:t>3,075,792.17</w:t>
            </w:r>
          </w:p>
        </w:tc>
      </w:tr>
      <w:tr>
        <w:trPr>
          <w:trHeight w:val="284"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33" w:lineRule="exact"/>
              <w:ind w:left="4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本年减少金额</w:t>
            </w:r>
          </w:p>
        </w:tc>
        <w:tc>
          <w:tcPr>
            <w:tcW w:w="2055" w:type="dxa"/>
            <w:tcBorders>
              <w:top w:val="nil" w:sz="6" w:space="0" w:color="auto"/>
              <w:left w:val="nil" w:sz="6" w:space="0" w:color="auto"/>
              <w:bottom w:val="nil" w:sz="6" w:space="0" w:color="auto"/>
              <w:right w:val="nil" w:sz="6" w:space="0" w:color="auto"/>
            </w:tcBorders>
          </w:tcPr>
          <w:p>
            <w:pPr>
              <w:pStyle w:val="TableParagraph"/>
              <w:spacing w:line="233" w:lineRule="exact"/>
              <w:ind w:right="36"/>
              <w:jc w:val="right"/>
              <w:rPr>
                <w:rFonts w:ascii="宋体" w:hAnsi="宋体" w:cs="宋体" w:eastAsia="宋体" w:hint="default"/>
                <w:sz w:val="18"/>
                <w:szCs w:val="18"/>
              </w:rPr>
            </w:pPr>
            <w:r>
              <w:rPr>
                <w:rFonts w:ascii="宋体"/>
                <w:spacing w:val="-1"/>
                <w:sz w:val="18"/>
              </w:rPr>
              <w:t>449,900,363.12</w:t>
            </w:r>
          </w:p>
        </w:tc>
        <w:tc>
          <w:tcPr>
            <w:tcW w:w="1527" w:type="dxa"/>
            <w:tcBorders>
              <w:top w:val="nil" w:sz="6" w:space="0" w:color="auto"/>
              <w:left w:val="nil" w:sz="6" w:space="0" w:color="auto"/>
              <w:bottom w:val="nil" w:sz="6" w:space="0" w:color="auto"/>
              <w:right w:val="nil" w:sz="6" w:space="0" w:color="auto"/>
            </w:tcBorders>
          </w:tcPr>
          <w:p>
            <w:pPr>
              <w:pStyle w:val="TableParagraph"/>
              <w:spacing w:line="233" w:lineRule="exact"/>
              <w:ind w:right="46"/>
              <w:jc w:val="right"/>
              <w:rPr>
                <w:rFonts w:ascii="宋体" w:hAnsi="宋体" w:cs="宋体" w:eastAsia="宋体" w:hint="default"/>
                <w:sz w:val="18"/>
                <w:szCs w:val="18"/>
              </w:rPr>
            </w:pPr>
            <w:r>
              <w:rPr>
                <w:rFonts w:ascii="宋体"/>
                <w:spacing w:val="-1"/>
                <w:sz w:val="18"/>
              </w:rPr>
              <w:t>263,925,461.39</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36"/>
              <w:jc w:val="right"/>
              <w:rPr>
                <w:rFonts w:ascii="宋体" w:hAnsi="宋体" w:cs="宋体" w:eastAsia="宋体" w:hint="default"/>
                <w:sz w:val="18"/>
                <w:szCs w:val="18"/>
              </w:rPr>
            </w:pPr>
            <w:r>
              <w:rPr>
                <w:rFonts w:ascii="宋体"/>
                <w:spacing w:val="-1"/>
                <w:sz w:val="18"/>
              </w:rPr>
              <w:t>12,452,791.60</w:t>
            </w:r>
          </w:p>
        </w:tc>
        <w:tc>
          <w:tcPr>
            <w:tcW w:w="1605" w:type="dxa"/>
            <w:tcBorders>
              <w:top w:val="nil" w:sz="6" w:space="0" w:color="auto"/>
              <w:left w:val="nil" w:sz="6" w:space="0" w:color="auto"/>
              <w:bottom w:val="nil" w:sz="6" w:space="0" w:color="auto"/>
              <w:right w:val="nil" w:sz="6" w:space="0" w:color="auto"/>
            </w:tcBorders>
          </w:tcPr>
          <w:p>
            <w:pPr>
              <w:pStyle w:val="TableParagraph"/>
              <w:spacing w:line="233" w:lineRule="exact"/>
              <w:ind w:right="47"/>
              <w:jc w:val="right"/>
              <w:rPr>
                <w:rFonts w:ascii="宋体" w:hAnsi="宋体" w:cs="宋体" w:eastAsia="宋体" w:hint="default"/>
                <w:sz w:val="18"/>
                <w:szCs w:val="18"/>
              </w:rPr>
            </w:pPr>
            <w:r>
              <w:rPr>
                <w:rFonts w:ascii="宋体"/>
                <w:spacing w:val="-1"/>
                <w:sz w:val="18"/>
              </w:rPr>
              <w:t>726,278,616.11</w:t>
            </w:r>
          </w:p>
        </w:tc>
      </w:tr>
      <w:tr>
        <w:trPr>
          <w:trHeight w:val="284"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32" w:lineRule="exact"/>
              <w:ind w:left="4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2055" w:type="dxa"/>
            <w:tcBorders>
              <w:top w:val="nil" w:sz="6" w:space="0" w:color="auto"/>
              <w:left w:val="nil" w:sz="6" w:space="0" w:color="auto"/>
              <w:bottom w:val="nil" w:sz="6" w:space="0" w:color="auto"/>
              <w:right w:val="nil" w:sz="6" w:space="0" w:color="auto"/>
            </w:tcBorders>
          </w:tcPr>
          <w:p>
            <w:pPr>
              <w:pStyle w:val="TableParagraph"/>
              <w:spacing w:line="232" w:lineRule="exact"/>
              <w:ind w:right="36"/>
              <w:jc w:val="right"/>
              <w:rPr>
                <w:rFonts w:ascii="宋体" w:hAnsi="宋体" w:cs="宋体" w:eastAsia="宋体" w:hint="default"/>
                <w:sz w:val="18"/>
                <w:szCs w:val="18"/>
              </w:rPr>
            </w:pPr>
            <w:r>
              <w:rPr>
                <w:rFonts w:ascii="宋体"/>
                <w:spacing w:val="-1"/>
                <w:sz w:val="18"/>
              </w:rPr>
              <w:t>449,900,363.12</w:t>
            </w:r>
          </w:p>
        </w:tc>
        <w:tc>
          <w:tcPr>
            <w:tcW w:w="1527" w:type="dxa"/>
            <w:tcBorders>
              <w:top w:val="nil" w:sz="6" w:space="0" w:color="auto"/>
              <w:left w:val="nil" w:sz="6" w:space="0" w:color="auto"/>
              <w:bottom w:val="nil" w:sz="6" w:space="0" w:color="auto"/>
              <w:right w:val="nil" w:sz="6" w:space="0" w:color="auto"/>
            </w:tcBorders>
          </w:tcPr>
          <w:p>
            <w:pPr>
              <w:pStyle w:val="TableParagraph"/>
              <w:spacing w:line="232" w:lineRule="exact"/>
              <w:ind w:right="46"/>
              <w:jc w:val="right"/>
              <w:rPr>
                <w:rFonts w:ascii="宋体" w:hAnsi="宋体" w:cs="宋体" w:eastAsia="宋体" w:hint="default"/>
                <w:sz w:val="18"/>
                <w:szCs w:val="18"/>
              </w:rPr>
            </w:pPr>
            <w:r>
              <w:rPr>
                <w:rFonts w:ascii="宋体"/>
                <w:spacing w:val="-1"/>
                <w:sz w:val="18"/>
              </w:rPr>
              <w:t>260,794,119.34</w:t>
            </w:r>
          </w:p>
        </w:tc>
        <w:tc>
          <w:tcPr>
            <w:tcW w:w="1426" w:type="dxa"/>
            <w:tcBorders>
              <w:top w:val="nil" w:sz="6" w:space="0" w:color="auto"/>
              <w:left w:val="nil" w:sz="6" w:space="0" w:color="auto"/>
              <w:bottom w:val="nil" w:sz="6" w:space="0" w:color="auto"/>
              <w:right w:val="nil" w:sz="6" w:space="0" w:color="auto"/>
            </w:tcBorders>
          </w:tcPr>
          <w:p>
            <w:pPr>
              <w:pStyle w:val="TableParagraph"/>
              <w:spacing w:line="232" w:lineRule="exact"/>
              <w:ind w:right="136"/>
              <w:jc w:val="right"/>
              <w:rPr>
                <w:rFonts w:ascii="宋体" w:hAnsi="宋体" w:cs="宋体" w:eastAsia="宋体" w:hint="default"/>
                <w:sz w:val="18"/>
                <w:szCs w:val="18"/>
              </w:rPr>
            </w:pPr>
            <w:r>
              <w:rPr>
                <w:rFonts w:ascii="宋体"/>
                <w:spacing w:val="-1"/>
                <w:sz w:val="18"/>
              </w:rPr>
              <w:t>12,452,791.60</w:t>
            </w:r>
          </w:p>
        </w:tc>
        <w:tc>
          <w:tcPr>
            <w:tcW w:w="1605" w:type="dxa"/>
            <w:tcBorders>
              <w:top w:val="nil" w:sz="6" w:space="0" w:color="auto"/>
              <w:left w:val="nil" w:sz="6" w:space="0" w:color="auto"/>
              <w:bottom w:val="nil" w:sz="6" w:space="0" w:color="auto"/>
              <w:right w:val="nil" w:sz="6" w:space="0" w:color="auto"/>
            </w:tcBorders>
          </w:tcPr>
          <w:p>
            <w:pPr>
              <w:pStyle w:val="TableParagraph"/>
              <w:spacing w:line="232" w:lineRule="exact"/>
              <w:ind w:right="47"/>
              <w:jc w:val="right"/>
              <w:rPr>
                <w:rFonts w:ascii="宋体" w:hAnsi="宋体" w:cs="宋体" w:eastAsia="宋体" w:hint="default"/>
                <w:sz w:val="18"/>
                <w:szCs w:val="18"/>
              </w:rPr>
            </w:pPr>
            <w:r>
              <w:rPr>
                <w:rFonts w:ascii="宋体"/>
                <w:spacing w:val="-1"/>
                <w:sz w:val="18"/>
              </w:rPr>
              <w:t>723,147,274.06</w:t>
            </w:r>
          </w:p>
        </w:tc>
      </w:tr>
      <w:tr>
        <w:trPr>
          <w:trHeight w:val="286"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33" w:lineRule="exact"/>
              <w:ind w:left="4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）企业合并减少</w:t>
            </w:r>
          </w:p>
        </w:tc>
        <w:tc>
          <w:tcPr>
            <w:tcW w:w="2055" w:type="dxa"/>
            <w:tcBorders>
              <w:top w:val="nil" w:sz="6" w:space="0" w:color="auto"/>
              <w:left w:val="nil" w:sz="6" w:space="0" w:color="auto"/>
              <w:bottom w:val="nil" w:sz="6" w:space="0" w:color="auto"/>
              <w:right w:val="nil" w:sz="6" w:space="0" w:color="auto"/>
            </w:tcBorders>
          </w:tcPr>
          <w:p>
            <w:pPr>
              <w:pStyle w:val="TableParagraph"/>
              <w:spacing w:line="233" w:lineRule="exact"/>
              <w:ind w:right="35"/>
              <w:jc w:val="right"/>
              <w:rPr>
                <w:rFonts w:ascii="宋体" w:hAnsi="宋体" w:cs="宋体" w:eastAsia="宋体" w:hint="default"/>
                <w:sz w:val="18"/>
                <w:szCs w:val="18"/>
              </w:rPr>
            </w:pPr>
            <w:r>
              <w:rPr>
                <w:rFonts w:ascii="宋体"/>
                <w:sz w:val="18"/>
              </w:rPr>
              <w:t>0.00</w:t>
            </w:r>
          </w:p>
        </w:tc>
        <w:tc>
          <w:tcPr>
            <w:tcW w:w="1527" w:type="dxa"/>
            <w:tcBorders>
              <w:top w:val="nil" w:sz="6" w:space="0" w:color="auto"/>
              <w:left w:val="nil" w:sz="6" w:space="0" w:color="auto"/>
              <w:bottom w:val="nil" w:sz="6" w:space="0" w:color="auto"/>
              <w:right w:val="nil" w:sz="6" w:space="0" w:color="auto"/>
            </w:tcBorders>
          </w:tcPr>
          <w:p>
            <w:pPr>
              <w:pStyle w:val="TableParagraph"/>
              <w:spacing w:line="233" w:lineRule="exact"/>
              <w:ind w:right="46"/>
              <w:jc w:val="right"/>
              <w:rPr>
                <w:rFonts w:ascii="宋体" w:hAnsi="宋体" w:cs="宋体" w:eastAsia="宋体" w:hint="default"/>
                <w:sz w:val="18"/>
                <w:szCs w:val="18"/>
              </w:rPr>
            </w:pPr>
            <w:r>
              <w:rPr>
                <w:rFonts w:ascii="宋体"/>
                <w:spacing w:val="-1"/>
                <w:sz w:val="18"/>
              </w:rPr>
              <w:t>3,131,342.05</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35"/>
              <w:jc w:val="right"/>
              <w:rPr>
                <w:rFonts w:ascii="宋体" w:hAnsi="宋体" w:cs="宋体" w:eastAsia="宋体" w:hint="default"/>
                <w:sz w:val="18"/>
                <w:szCs w:val="18"/>
              </w:rPr>
            </w:pPr>
            <w:r>
              <w:rPr>
                <w:rFonts w:ascii="宋体"/>
                <w:sz w:val="18"/>
              </w:rPr>
              <w:t>0.00</w:t>
            </w:r>
          </w:p>
        </w:tc>
        <w:tc>
          <w:tcPr>
            <w:tcW w:w="1605" w:type="dxa"/>
            <w:tcBorders>
              <w:top w:val="nil" w:sz="6" w:space="0" w:color="auto"/>
              <w:left w:val="nil" w:sz="6" w:space="0" w:color="auto"/>
              <w:bottom w:val="nil" w:sz="6" w:space="0" w:color="auto"/>
              <w:right w:val="nil" w:sz="6" w:space="0" w:color="auto"/>
            </w:tcBorders>
          </w:tcPr>
          <w:p>
            <w:pPr>
              <w:pStyle w:val="TableParagraph"/>
              <w:spacing w:line="233" w:lineRule="exact"/>
              <w:ind w:right="45"/>
              <w:jc w:val="right"/>
              <w:rPr>
                <w:rFonts w:ascii="宋体" w:hAnsi="宋体" w:cs="宋体" w:eastAsia="宋体" w:hint="default"/>
                <w:sz w:val="18"/>
                <w:szCs w:val="18"/>
              </w:rPr>
            </w:pPr>
            <w:r>
              <w:rPr>
                <w:rFonts w:ascii="宋体"/>
                <w:spacing w:val="-1"/>
                <w:sz w:val="18"/>
              </w:rPr>
              <w:t>3,131,342.05</w:t>
            </w:r>
          </w:p>
        </w:tc>
      </w:tr>
      <w:tr>
        <w:trPr>
          <w:trHeight w:val="291" w:hRule="exact"/>
        </w:trPr>
        <w:tc>
          <w:tcPr>
            <w:tcW w:w="2148" w:type="dxa"/>
            <w:tcBorders>
              <w:top w:val="nil" w:sz="6" w:space="0" w:color="auto"/>
              <w:left w:val="nil" w:sz="6" w:space="0" w:color="auto"/>
              <w:bottom w:val="single" w:sz="4" w:space="0" w:color="000000"/>
              <w:right w:val="nil" w:sz="6" w:space="0" w:color="auto"/>
            </w:tcBorders>
          </w:tcPr>
          <w:p>
            <w:pPr>
              <w:pStyle w:val="TableParagraph"/>
              <w:spacing w:line="233" w:lineRule="exact"/>
              <w:ind w:left="4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年末余额</w:t>
            </w:r>
          </w:p>
        </w:tc>
        <w:tc>
          <w:tcPr>
            <w:tcW w:w="2055" w:type="dxa"/>
            <w:tcBorders>
              <w:top w:val="nil" w:sz="6" w:space="0" w:color="auto"/>
              <w:left w:val="nil" w:sz="6" w:space="0" w:color="auto"/>
              <w:bottom w:val="single" w:sz="4" w:space="0" w:color="000000"/>
              <w:right w:val="nil" w:sz="6" w:space="0" w:color="auto"/>
            </w:tcBorders>
          </w:tcPr>
          <w:p>
            <w:pPr>
              <w:pStyle w:val="TableParagraph"/>
              <w:spacing w:line="233" w:lineRule="exact"/>
              <w:ind w:right="37"/>
              <w:jc w:val="right"/>
              <w:rPr>
                <w:rFonts w:ascii="宋体" w:hAnsi="宋体" w:cs="宋体" w:eastAsia="宋体" w:hint="default"/>
                <w:sz w:val="18"/>
                <w:szCs w:val="18"/>
              </w:rPr>
            </w:pPr>
            <w:r>
              <w:rPr>
                <w:rFonts w:ascii="宋体"/>
                <w:spacing w:val="-1"/>
                <w:sz w:val="18"/>
              </w:rPr>
              <w:t>4,003,861,257.01</w:t>
            </w:r>
          </w:p>
        </w:tc>
        <w:tc>
          <w:tcPr>
            <w:tcW w:w="1527" w:type="dxa"/>
            <w:tcBorders>
              <w:top w:val="nil" w:sz="6" w:space="0" w:color="auto"/>
              <w:left w:val="nil" w:sz="6" w:space="0" w:color="auto"/>
              <w:bottom w:val="single" w:sz="4" w:space="0" w:color="000000"/>
              <w:right w:val="nil" w:sz="6" w:space="0" w:color="auto"/>
            </w:tcBorders>
          </w:tcPr>
          <w:p>
            <w:pPr>
              <w:pStyle w:val="TableParagraph"/>
              <w:spacing w:line="233" w:lineRule="exact"/>
              <w:ind w:right="47"/>
              <w:jc w:val="right"/>
              <w:rPr>
                <w:rFonts w:ascii="宋体" w:hAnsi="宋体" w:cs="宋体" w:eastAsia="宋体" w:hint="default"/>
                <w:sz w:val="18"/>
                <w:szCs w:val="18"/>
              </w:rPr>
            </w:pPr>
            <w:r>
              <w:rPr>
                <w:rFonts w:ascii="宋体"/>
                <w:spacing w:val="-1"/>
                <w:sz w:val="18"/>
              </w:rPr>
              <w:t>3,344,021,001.30</w:t>
            </w:r>
          </w:p>
        </w:tc>
        <w:tc>
          <w:tcPr>
            <w:tcW w:w="1426" w:type="dxa"/>
            <w:tcBorders>
              <w:top w:val="nil" w:sz="6" w:space="0" w:color="auto"/>
              <w:left w:val="nil" w:sz="6" w:space="0" w:color="auto"/>
              <w:bottom w:val="single" w:sz="4" w:space="0" w:color="000000"/>
              <w:right w:val="nil" w:sz="6" w:space="0" w:color="auto"/>
            </w:tcBorders>
          </w:tcPr>
          <w:p>
            <w:pPr>
              <w:pStyle w:val="TableParagraph"/>
              <w:spacing w:line="233" w:lineRule="exact"/>
              <w:ind w:right="136"/>
              <w:jc w:val="right"/>
              <w:rPr>
                <w:rFonts w:ascii="宋体" w:hAnsi="宋体" w:cs="宋体" w:eastAsia="宋体" w:hint="default"/>
                <w:sz w:val="18"/>
                <w:szCs w:val="18"/>
              </w:rPr>
            </w:pPr>
            <w:r>
              <w:rPr>
                <w:rFonts w:ascii="宋体"/>
                <w:spacing w:val="-1"/>
                <w:sz w:val="18"/>
              </w:rPr>
              <w:t>143,710,459.14</w:t>
            </w:r>
          </w:p>
        </w:tc>
        <w:tc>
          <w:tcPr>
            <w:tcW w:w="1605" w:type="dxa"/>
            <w:tcBorders>
              <w:top w:val="nil" w:sz="6" w:space="0" w:color="auto"/>
              <w:left w:val="nil" w:sz="6" w:space="0" w:color="auto"/>
              <w:bottom w:val="single" w:sz="4" w:space="0" w:color="000000"/>
              <w:right w:val="nil" w:sz="6" w:space="0" w:color="auto"/>
            </w:tcBorders>
          </w:tcPr>
          <w:p>
            <w:pPr>
              <w:pStyle w:val="TableParagraph"/>
              <w:spacing w:line="233" w:lineRule="exact"/>
              <w:ind w:right="46"/>
              <w:jc w:val="right"/>
              <w:rPr>
                <w:rFonts w:ascii="宋体" w:hAnsi="宋体" w:cs="宋体" w:eastAsia="宋体" w:hint="default"/>
                <w:sz w:val="18"/>
                <w:szCs w:val="18"/>
              </w:rPr>
            </w:pPr>
            <w:r>
              <w:rPr>
                <w:rFonts w:ascii="宋体"/>
                <w:spacing w:val="-1"/>
                <w:sz w:val="18"/>
              </w:rPr>
              <w:t>7,491,592,717.45</w:t>
            </w:r>
          </w:p>
        </w:tc>
      </w:tr>
      <w:tr>
        <w:trPr>
          <w:trHeight w:val="289" w:hRule="exact"/>
        </w:trPr>
        <w:tc>
          <w:tcPr>
            <w:tcW w:w="2148" w:type="dxa"/>
            <w:tcBorders>
              <w:top w:val="single" w:sz="4" w:space="0" w:color="000000"/>
              <w:left w:val="nil" w:sz="6" w:space="0" w:color="auto"/>
              <w:bottom w:val="nil" w:sz="6" w:space="0" w:color="auto"/>
              <w:right w:val="nil" w:sz="6" w:space="0" w:color="auto"/>
            </w:tcBorders>
          </w:tcPr>
          <w:p>
            <w:pPr>
              <w:pStyle w:val="TableParagraph"/>
              <w:spacing w:line="232" w:lineRule="exact"/>
              <w:ind w:left="40"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055" w:type="dxa"/>
            <w:tcBorders>
              <w:top w:val="single" w:sz="4" w:space="0" w:color="000000"/>
              <w:left w:val="nil" w:sz="6" w:space="0" w:color="auto"/>
              <w:bottom w:val="nil" w:sz="6" w:space="0" w:color="auto"/>
              <w:right w:val="nil" w:sz="6" w:space="0" w:color="auto"/>
            </w:tcBorders>
          </w:tcPr>
          <w:p>
            <w:pPr/>
          </w:p>
        </w:tc>
        <w:tc>
          <w:tcPr>
            <w:tcW w:w="1527" w:type="dxa"/>
            <w:tcBorders>
              <w:top w:val="single" w:sz="4" w:space="0" w:color="000000"/>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nil" w:sz="6" w:space="0" w:color="auto"/>
              <w:right w:val="nil" w:sz="6" w:space="0" w:color="auto"/>
            </w:tcBorders>
          </w:tcPr>
          <w:p>
            <w:pPr/>
          </w:p>
        </w:tc>
        <w:tc>
          <w:tcPr>
            <w:tcW w:w="1605" w:type="dxa"/>
            <w:tcBorders>
              <w:top w:val="single" w:sz="4" w:space="0" w:color="000000"/>
              <w:left w:val="nil" w:sz="6" w:space="0" w:color="auto"/>
              <w:bottom w:val="nil" w:sz="6" w:space="0" w:color="auto"/>
              <w:right w:val="nil" w:sz="6" w:space="0" w:color="auto"/>
            </w:tcBorders>
          </w:tcPr>
          <w:p>
            <w:pPr/>
          </w:p>
        </w:tc>
      </w:tr>
      <w:tr>
        <w:trPr>
          <w:trHeight w:val="284"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33" w:lineRule="exact"/>
              <w:ind w:left="4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年初余额</w:t>
            </w:r>
          </w:p>
        </w:tc>
        <w:tc>
          <w:tcPr>
            <w:tcW w:w="2055" w:type="dxa"/>
            <w:tcBorders>
              <w:top w:val="nil" w:sz="6" w:space="0" w:color="auto"/>
              <w:left w:val="nil" w:sz="6" w:space="0" w:color="auto"/>
              <w:bottom w:val="nil" w:sz="6" w:space="0" w:color="auto"/>
              <w:right w:val="nil" w:sz="6" w:space="0" w:color="auto"/>
            </w:tcBorders>
          </w:tcPr>
          <w:p>
            <w:pPr>
              <w:pStyle w:val="TableParagraph"/>
              <w:spacing w:line="233" w:lineRule="exact"/>
              <w:ind w:right="37"/>
              <w:jc w:val="right"/>
              <w:rPr>
                <w:rFonts w:ascii="宋体" w:hAnsi="宋体" w:cs="宋体" w:eastAsia="宋体" w:hint="default"/>
                <w:sz w:val="18"/>
                <w:szCs w:val="18"/>
              </w:rPr>
            </w:pPr>
            <w:r>
              <w:rPr>
                <w:rFonts w:ascii="宋体"/>
                <w:spacing w:val="-1"/>
                <w:sz w:val="18"/>
              </w:rPr>
              <w:t>1,167,156,234.78</w:t>
            </w:r>
          </w:p>
        </w:tc>
        <w:tc>
          <w:tcPr>
            <w:tcW w:w="1527" w:type="dxa"/>
            <w:tcBorders>
              <w:top w:val="nil" w:sz="6" w:space="0" w:color="auto"/>
              <w:left w:val="nil" w:sz="6" w:space="0" w:color="auto"/>
              <w:bottom w:val="nil" w:sz="6" w:space="0" w:color="auto"/>
              <w:right w:val="nil" w:sz="6" w:space="0" w:color="auto"/>
            </w:tcBorders>
          </w:tcPr>
          <w:p>
            <w:pPr>
              <w:pStyle w:val="TableParagraph"/>
              <w:spacing w:line="233" w:lineRule="exact"/>
              <w:ind w:right="47"/>
              <w:jc w:val="right"/>
              <w:rPr>
                <w:rFonts w:ascii="宋体" w:hAnsi="宋体" w:cs="宋体" w:eastAsia="宋体" w:hint="default"/>
                <w:sz w:val="18"/>
                <w:szCs w:val="18"/>
              </w:rPr>
            </w:pPr>
            <w:r>
              <w:rPr>
                <w:rFonts w:ascii="宋体"/>
                <w:spacing w:val="-1"/>
                <w:sz w:val="18"/>
              </w:rPr>
              <w:t>2,055,290,691.83</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36"/>
              <w:jc w:val="right"/>
              <w:rPr>
                <w:rFonts w:ascii="宋体" w:hAnsi="宋体" w:cs="宋体" w:eastAsia="宋体" w:hint="default"/>
                <w:sz w:val="18"/>
                <w:szCs w:val="18"/>
              </w:rPr>
            </w:pPr>
            <w:r>
              <w:rPr>
                <w:rFonts w:ascii="宋体"/>
                <w:spacing w:val="-1"/>
                <w:sz w:val="18"/>
              </w:rPr>
              <w:t>92,207,449.36</w:t>
            </w:r>
          </w:p>
        </w:tc>
        <w:tc>
          <w:tcPr>
            <w:tcW w:w="1605" w:type="dxa"/>
            <w:tcBorders>
              <w:top w:val="nil" w:sz="6" w:space="0" w:color="auto"/>
              <w:left w:val="nil" w:sz="6" w:space="0" w:color="auto"/>
              <w:bottom w:val="nil" w:sz="6" w:space="0" w:color="auto"/>
              <w:right w:val="nil" w:sz="6" w:space="0" w:color="auto"/>
            </w:tcBorders>
          </w:tcPr>
          <w:p>
            <w:pPr>
              <w:pStyle w:val="TableParagraph"/>
              <w:spacing w:line="233" w:lineRule="exact"/>
              <w:ind w:right="46"/>
              <w:jc w:val="right"/>
              <w:rPr>
                <w:rFonts w:ascii="宋体" w:hAnsi="宋体" w:cs="宋体" w:eastAsia="宋体" w:hint="default"/>
                <w:sz w:val="18"/>
                <w:szCs w:val="18"/>
              </w:rPr>
            </w:pPr>
            <w:r>
              <w:rPr>
                <w:rFonts w:ascii="宋体"/>
                <w:spacing w:val="-1"/>
                <w:sz w:val="18"/>
              </w:rPr>
              <w:t>3,314,654,375.97</w:t>
            </w:r>
          </w:p>
        </w:tc>
      </w:tr>
      <w:tr>
        <w:trPr>
          <w:trHeight w:val="285"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32" w:lineRule="exact"/>
              <w:ind w:left="4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本年增加金额</w:t>
            </w:r>
          </w:p>
        </w:tc>
        <w:tc>
          <w:tcPr>
            <w:tcW w:w="2055" w:type="dxa"/>
            <w:tcBorders>
              <w:top w:val="nil" w:sz="6" w:space="0" w:color="auto"/>
              <w:left w:val="nil" w:sz="6" w:space="0" w:color="auto"/>
              <w:bottom w:val="nil" w:sz="6" w:space="0" w:color="auto"/>
              <w:right w:val="nil" w:sz="6" w:space="0" w:color="auto"/>
            </w:tcBorders>
          </w:tcPr>
          <w:p>
            <w:pPr>
              <w:pStyle w:val="TableParagraph"/>
              <w:spacing w:line="232" w:lineRule="exact"/>
              <w:ind w:right="36"/>
              <w:jc w:val="right"/>
              <w:rPr>
                <w:rFonts w:ascii="宋体" w:hAnsi="宋体" w:cs="宋体" w:eastAsia="宋体" w:hint="default"/>
                <w:sz w:val="18"/>
                <w:szCs w:val="18"/>
              </w:rPr>
            </w:pPr>
            <w:r>
              <w:rPr>
                <w:rFonts w:ascii="宋体"/>
                <w:spacing w:val="-1"/>
                <w:sz w:val="18"/>
              </w:rPr>
              <w:t>116,811,194.08</w:t>
            </w:r>
          </w:p>
        </w:tc>
        <w:tc>
          <w:tcPr>
            <w:tcW w:w="1527" w:type="dxa"/>
            <w:tcBorders>
              <w:top w:val="nil" w:sz="6" w:space="0" w:color="auto"/>
              <w:left w:val="nil" w:sz="6" w:space="0" w:color="auto"/>
              <w:bottom w:val="nil" w:sz="6" w:space="0" w:color="auto"/>
              <w:right w:val="nil" w:sz="6" w:space="0" w:color="auto"/>
            </w:tcBorders>
          </w:tcPr>
          <w:p>
            <w:pPr>
              <w:pStyle w:val="TableParagraph"/>
              <w:spacing w:line="232" w:lineRule="exact"/>
              <w:ind w:right="46"/>
              <w:jc w:val="right"/>
              <w:rPr>
                <w:rFonts w:ascii="宋体" w:hAnsi="宋体" w:cs="宋体" w:eastAsia="宋体" w:hint="default"/>
                <w:sz w:val="18"/>
                <w:szCs w:val="18"/>
              </w:rPr>
            </w:pPr>
            <w:r>
              <w:rPr>
                <w:rFonts w:ascii="宋体"/>
                <w:spacing w:val="-1"/>
                <w:sz w:val="18"/>
              </w:rPr>
              <w:t>218,295,617.26</w:t>
            </w:r>
          </w:p>
        </w:tc>
        <w:tc>
          <w:tcPr>
            <w:tcW w:w="1426" w:type="dxa"/>
            <w:tcBorders>
              <w:top w:val="nil" w:sz="6" w:space="0" w:color="auto"/>
              <w:left w:val="nil" w:sz="6" w:space="0" w:color="auto"/>
              <w:bottom w:val="nil" w:sz="6" w:space="0" w:color="auto"/>
              <w:right w:val="nil" w:sz="6" w:space="0" w:color="auto"/>
            </w:tcBorders>
          </w:tcPr>
          <w:p>
            <w:pPr>
              <w:pStyle w:val="TableParagraph"/>
              <w:spacing w:line="232" w:lineRule="exact"/>
              <w:ind w:right="136"/>
              <w:jc w:val="right"/>
              <w:rPr>
                <w:rFonts w:ascii="宋体" w:hAnsi="宋体" w:cs="宋体" w:eastAsia="宋体" w:hint="default"/>
                <w:sz w:val="18"/>
                <w:szCs w:val="18"/>
              </w:rPr>
            </w:pPr>
            <w:r>
              <w:rPr>
                <w:rFonts w:ascii="宋体"/>
                <w:spacing w:val="-1"/>
                <w:sz w:val="18"/>
              </w:rPr>
              <w:t>11,774,881.16</w:t>
            </w:r>
          </w:p>
        </w:tc>
        <w:tc>
          <w:tcPr>
            <w:tcW w:w="1605" w:type="dxa"/>
            <w:tcBorders>
              <w:top w:val="nil" w:sz="6" w:space="0" w:color="auto"/>
              <w:left w:val="nil" w:sz="6" w:space="0" w:color="auto"/>
              <w:bottom w:val="nil" w:sz="6" w:space="0" w:color="auto"/>
              <w:right w:val="nil" w:sz="6" w:space="0" w:color="auto"/>
            </w:tcBorders>
          </w:tcPr>
          <w:p>
            <w:pPr>
              <w:pStyle w:val="TableParagraph"/>
              <w:spacing w:line="232" w:lineRule="exact"/>
              <w:ind w:right="47"/>
              <w:jc w:val="right"/>
              <w:rPr>
                <w:rFonts w:ascii="宋体" w:hAnsi="宋体" w:cs="宋体" w:eastAsia="宋体" w:hint="default"/>
                <w:sz w:val="18"/>
                <w:szCs w:val="18"/>
              </w:rPr>
            </w:pPr>
            <w:r>
              <w:rPr>
                <w:rFonts w:ascii="宋体"/>
                <w:spacing w:val="-1"/>
                <w:sz w:val="18"/>
              </w:rPr>
              <w:t>346,881,692.50</w:t>
            </w:r>
          </w:p>
        </w:tc>
      </w:tr>
      <w:tr>
        <w:trPr>
          <w:trHeight w:val="286"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33" w:lineRule="exact"/>
              <w:ind w:left="4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2055" w:type="dxa"/>
            <w:tcBorders>
              <w:top w:val="nil" w:sz="6" w:space="0" w:color="auto"/>
              <w:left w:val="nil" w:sz="6" w:space="0" w:color="auto"/>
              <w:bottom w:val="nil" w:sz="6" w:space="0" w:color="auto"/>
              <w:right w:val="nil" w:sz="6" w:space="0" w:color="auto"/>
            </w:tcBorders>
          </w:tcPr>
          <w:p>
            <w:pPr>
              <w:pStyle w:val="TableParagraph"/>
              <w:spacing w:line="233" w:lineRule="exact"/>
              <w:ind w:right="36"/>
              <w:jc w:val="right"/>
              <w:rPr>
                <w:rFonts w:ascii="宋体" w:hAnsi="宋体" w:cs="宋体" w:eastAsia="宋体" w:hint="default"/>
                <w:sz w:val="18"/>
                <w:szCs w:val="18"/>
              </w:rPr>
            </w:pPr>
            <w:r>
              <w:rPr>
                <w:rFonts w:ascii="宋体"/>
                <w:spacing w:val="-1"/>
                <w:sz w:val="18"/>
              </w:rPr>
              <w:t>114,061,702.03</w:t>
            </w:r>
          </w:p>
        </w:tc>
        <w:tc>
          <w:tcPr>
            <w:tcW w:w="1527" w:type="dxa"/>
            <w:tcBorders>
              <w:top w:val="nil" w:sz="6" w:space="0" w:color="auto"/>
              <w:left w:val="nil" w:sz="6" w:space="0" w:color="auto"/>
              <w:bottom w:val="nil" w:sz="6" w:space="0" w:color="auto"/>
              <w:right w:val="nil" w:sz="6" w:space="0" w:color="auto"/>
            </w:tcBorders>
          </w:tcPr>
          <w:p>
            <w:pPr>
              <w:pStyle w:val="TableParagraph"/>
              <w:spacing w:line="233" w:lineRule="exact"/>
              <w:ind w:right="46"/>
              <w:jc w:val="right"/>
              <w:rPr>
                <w:rFonts w:ascii="宋体" w:hAnsi="宋体" w:cs="宋体" w:eastAsia="宋体" w:hint="default"/>
                <w:sz w:val="18"/>
                <w:szCs w:val="18"/>
              </w:rPr>
            </w:pPr>
            <w:r>
              <w:rPr>
                <w:rFonts w:ascii="宋体"/>
                <w:spacing w:val="-1"/>
                <w:sz w:val="18"/>
              </w:rPr>
              <w:t>209,032,213.23</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36"/>
              <w:jc w:val="right"/>
              <w:rPr>
                <w:rFonts w:ascii="宋体" w:hAnsi="宋体" w:cs="宋体" w:eastAsia="宋体" w:hint="default"/>
                <w:sz w:val="18"/>
                <w:szCs w:val="18"/>
              </w:rPr>
            </w:pPr>
            <w:r>
              <w:rPr>
                <w:rFonts w:ascii="宋体"/>
                <w:spacing w:val="-1"/>
                <w:sz w:val="18"/>
              </w:rPr>
              <w:t>11,442,798.06</w:t>
            </w:r>
          </w:p>
        </w:tc>
        <w:tc>
          <w:tcPr>
            <w:tcW w:w="1605" w:type="dxa"/>
            <w:tcBorders>
              <w:top w:val="nil" w:sz="6" w:space="0" w:color="auto"/>
              <w:left w:val="nil" w:sz="6" w:space="0" w:color="auto"/>
              <w:bottom w:val="nil" w:sz="6" w:space="0" w:color="auto"/>
              <w:right w:val="nil" w:sz="6" w:space="0" w:color="auto"/>
            </w:tcBorders>
          </w:tcPr>
          <w:p>
            <w:pPr>
              <w:pStyle w:val="TableParagraph"/>
              <w:spacing w:line="233" w:lineRule="exact"/>
              <w:ind w:right="47"/>
              <w:jc w:val="right"/>
              <w:rPr>
                <w:rFonts w:ascii="宋体" w:hAnsi="宋体" w:cs="宋体" w:eastAsia="宋体" w:hint="default"/>
                <w:sz w:val="18"/>
                <w:szCs w:val="18"/>
              </w:rPr>
            </w:pPr>
            <w:r>
              <w:rPr>
                <w:rFonts w:ascii="宋体"/>
                <w:spacing w:val="-1"/>
                <w:sz w:val="18"/>
              </w:rPr>
              <w:t>334,536,713.32</w:t>
            </w:r>
          </w:p>
        </w:tc>
      </w:tr>
      <w:tr>
        <w:trPr>
          <w:trHeight w:val="286"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33" w:lineRule="exact"/>
              <w:ind w:left="4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）企业合并增加</w:t>
            </w:r>
          </w:p>
        </w:tc>
        <w:tc>
          <w:tcPr>
            <w:tcW w:w="2055" w:type="dxa"/>
            <w:tcBorders>
              <w:top w:val="nil" w:sz="6" w:space="0" w:color="auto"/>
              <w:left w:val="nil" w:sz="6" w:space="0" w:color="auto"/>
              <w:bottom w:val="nil" w:sz="6" w:space="0" w:color="auto"/>
              <w:right w:val="nil" w:sz="6" w:space="0" w:color="auto"/>
            </w:tcBorders>
          </w:tcPr>
          <w:p>
            <w:pPr>
              <w:pStyle w:val="TableParagraph"/>
              <w:spacing w:line="233" w:lineRule="exact"/>
              <w:ind w:right="35"/>
              <w:jc w:val="right"/>
              <w:rPr>
                <w:rFonts w:ascii="宋体" w:hAnsi="宋体" w:cs="宋体" w:eastAsia="宋体" w:hint="default"/>
                <w:sz w:val="18"/>
                <w:szCs w:val="18"/>
              </w:rPr>
            </w:pPr>
            <w:r>
              <w:rPr>
                <w:rFonts w:ascii="宋体"/>
                <w:sz w:val="18"/>
              </w:rPr>
              <w:t>0.00</w:t>
            </w:r>
          </w:p>
        </w:tc>
        <w:tc>
          <w:tcPr>
            <w:tcW w:w="1527" w:type="dxa"/>
            <w:tcBorders>
              <w:top w:val="nil" w:sz="6" w:space="0" w:color="auto"/>
              <w:left w:val="nil" w:sz="6" w:space="0" w:color="auto"/>
              <w:bottom w:val="nil" w:sz="6" w:space="0" w:color="auto"/>
              <w:right w:val="nil" w:sz="6" w:space="0" w:color="auto"/>
            </w:tcBorders>
          </w:tcPr>
          <w:p>
            <w:pPr>
              <w:pStyle w:val="TableParagraph"/>
              <w:spacing w:line="233" w:lineRule="exact"/>
              <w:ind w:right="46"/>
              <w:jc w:val="right"/>
              <w:rPr>
                <w:rFonts w:ascii="宋体" w:hAnsi="宋体" w:cs="宋体" w:eastAsia="宋体" w:hint="default"/>
                <w:sz w:val="18"/>
                <w:szCs w:val="18"/>
              </w:rPr>
            </w:pPr>
            <w:r>
              <w:rPr>
                <w:rFonts w:ascii="宋体"/>
                <w:spacing w:val="-1"/>
                <w:sz w:val="18"/>
              </w:rPr>
              <w:t>5,158,042.34</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35"/>
              <w:jc w:val="right"/>
              <w:rPr>
                <w:rFonts w:ascii="宋体" w:hAnsi="宋体" w:cs="宋体" w:eastAsia="宋体" w:hint="default"/>
                <w:sz w:val="18"/>
                <w:szCs w:val="18"/>
              </w:rPr>
            </w:pPr>
            <w:r>
              <w:rPr>
                <w:rFonts w:ascii="宋体"/>
                <w:sz w:val="18"/>
              </w:rPr>
              <w:t>0.00</w:t>
            </w:r>
          </w:p>
        </w:tc>
        <w:tc>
          <w:tcPr>
            <w:tcW w:w="1605" w:type="dxa"/>
            <w:tcBorders>
              <w:top w:val="nil" w:sz="6" w:space="0" w:color="auto"/>
              <w:left w:val="nil" w:sz="6" w:space="0" w:color="auto"/>
              <w:bottom w:val="nil" w:sz="6" w:space="0" w:color="auto"/>
              <w:right w:val="nil" w:sz="6" w:space="0" w:color="auto"/>
            </w:tcBorders>
          </w:tcPr>
          <w:p>
            <w:pPr>
              <w:pStyle w:val="TableParagraph"/>
              <w:spacing w:line="233" w:lineRule="exact"/>
              <w:ind w:right="45"/>
              <w:jc w:val="right"/>
              <w:rPr>
                <w:rFonts w:ascii="宋体" w:hAnsi="宋体" w:cs="宋体" w:eastAsia="宋体" w:hint="default"/>
                <w:sz w:val="18"/>
                <w:szCs w:val="18"/>
              </w:rPr>
            </w:pPr>
            <w:r>
              <w:rPr>
                <w:rFonts w:ascii="宋体"/>
                <w:spacing w:val="-1"/>
                <w:sz w:val="18"/>
              </w:rPr>
              <w:t>5,158,042.34</w:t>
            </w:r>
          </w:p>
        </w:tc>
      </w:tr>
      <w:tr>
        <w:trPr>
          <w:trHeight w:val="284"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33" w:lineRule="exact"/>
              <w:ind w:left="4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）汇率变动增加</w:t>
            </w:r>
          </w:p>
        </w:tc>
        <w:tc>
          <w:tcPr>
            <w:tcW w:w="2055" w:type="dxa"/>
            <w:tcBorders>
              <w:top w:val="nil" w:sz="6" w:space="0" w:color="auto"/>
              <w:left w:val="nil" w:sz="6" w:space="0" w:color="auto"/>
              <w:bottom w:val="nil" w:sz="6" w:space="0" w:color="auto"/>
              <w:right w:val="nil" w:sz="6" w:space="0" w:color="auto"/>
            </w:tcBorders>
          </w:tcPr>
          <w:p>
            <w:pPr>
              <w:pStyle w:val="TableParagraph"/>
              <w:spacing w:line="233" w:lineRule="exact"/>
              <w:ind w:right="36"/>
              <w:jc w:val="right"/>
              <w:rPr>
                <w:rFonts w:ascii="宋体" w:hAnsi="宋体" w:cs="宋体" w:eastAsia="宋体" w:hint="default"/>
                <w:sz w:val="18"/>
                <w:szCs w:val="18"/>
              </w:rPr>
            </w:pPr>
            <w:r>
              <w:rPr>
                <w:rFonts w:ascii="宋体"/>
                <w:spacing w:val="-1"/>
                <w:sz w:val="18"/>
              </w:rPr>
              <w:t>2,749,492.05</w:t>
            </w:r>
          </w:p>
        </w:tc>
        <w:tc>
          <w:tcPr>
            <w:tcW w:w="1527" w:type="dxa"/>
            <w:tcBorders>
              <w:top w:val="nil" w:sz="6" w:space="0" w:color="auto"/>
              <w:left w:val="nil" w:sz="6" w:space="0" w:color="auto"/>
              <w:bottom w:val="nil" w:sz="6" w:space="0" w:color="auto"/>
              <w:right w:val="nil" w:sz="6" w:space="0" w:color="auto"/>
            </w:tcBorders>
          </w:tcPr>
          <w:p>
            <w:pPr>
              <w:pStyle w:val="TableParagraph"/>
              <w:spacing w:line="233" w:lineRule="exact"/>
              <w:ind w:right="46"/>
              <w:jc w:val="right"/>
              <w:rPr>
                <w:rFonts w:ascii="宋体" w:hAnsi="宋体" w:cs="宋体" w:eastAsia="宋体" w:hint="default"/>
                <w:sz w:val="18"/>
                <w:szCs w:val="18"/>
              </w:rPr>
            </w:pPr>
            <w:r>
              <w:rPr>
                <w:rFonts w:ascii="宋体"/>
                <w:spacing w:val="-1"/>
                <w:sz w:val="18"/>
              </w:rPr>
              <w:t>4,105,361.69</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35"/>
              <w:jc w:val="right"/>
              <w:rPr>
                <w:rFonts w:ascii="宋体" w:hAnsi="宋体" w:cs="宋体" w:eastAsia="宋体" w:hint="default"/>
                <w:sz w:val="18"/>
                <w:szCs w:val="18"/>
              </w:rPr>
            </w:pPr>
            <w:r>
              <w:rPr>
                <w:rFonts w:ascii="宋体"/>
                <w:spacing w:val="-1"/>
                <w:sz w:val="18"/>
              </w:rPr>
              <w:t>332,083.10</w:t>
            </w:r>
          </w:p>
        </w:tc>
        <w:tc>
          <w:tcPr>
            <w:tcW w:w="1605" w:type="dxa"/>
            <w:tcBorders>
              <w:top w:val="nil" w:sz="6" w:space="0" w:color="auto"/>
              <w:left w:val="nil" w:sz="6" w:space="0" w:color="auto"/>
              <w:bottom w:val="nil" w:sz="6" w:space="0" w:color="auto"/>
              <w:right w:val="nil" w:sz="6" w:space="0" w:color="auto"/>
            </w:tcBorders>
          </w:tcPr>
          <w:p>
            <w:pPr>
              <w:pStyle w:val="TableParagraph"/>
              <w:spacing w:line="233" w:lineRule="exact"/>
              <w:ind w:right="45"/>
              <w:jc w:val="right"/>
              <w:rPr>
                <w:rFonts w:ascii="宋体" w:hAnsi="宋体" w:cs="宋体" w:eastAsia="宋体" w:hint="default"/>
                <w:sz w:val="18"/>
                <w:szCs w:val="18"/>
              </w:rPr>
            </w:pPr>
            <w:r>
              <w:rPr>
                <w:rFonts w:ascii="宋体"/>
                <w:spacing w:val="-1"/>
                <w:sz w:val="18"/>
              </w:rPr>
              <w:t>7,186,936.84</w:t>
            </w:r>
          </w:p>
        </w:tc>
      </w:tr>
      <w:tr>
        <w:trPr>
          <w:trHeight w:val="284"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32" w:lineRule="exact"/>
              <w:ind w:left="4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本年减少金额</w:t>
            </w:r>
          </w:p>
        </w:tc>
        <w:tc>
          <w:tcPr>
            <w:tcW w:w="2055" w:type="dxa"/>
            <w:tcBorders>
              <w:top w:val="nil" w:sz="6" w:space="0" w:color="auto"/>
              <w:left w:val="nil" w:sz="6" w:space="0" w:color="auto"/>
              <w:bottom w:val="nil" w:sz="6" w:space="0" w:color="auto"/>
              <w:right w:val="nil" w:sz="6" w:space="0" w:color="auto"/>
            </w:tcBorders>
          </w:tcPr>
          <w:p>
            <w:pPr>
              <w:pStyle w:val="TableParagraph"/>
              <w:spacing w:line="232" w:lineRule="exact"/>
              <w:ind w:right="36"/>
              <w:jc w:val="right"/>
              <w:rPr>
                <w:rFonts w:ascii="宋体" w:hAnsi="宋体" w:cs="宋体" w:eastAsia="宋体" w:hint="default"/>
                <w:sz w:val="18"/>
                <w:szCs w:val="18"/>
              </w:rPr>
            </w:pPr>
            <w:r>
              <w:rPr>
                <w:rFonts w:ascii="宋体"/>
                <w:spacing w:val="-1"/>
                <w:sz w:val="18"/>
              </w:rPr>
              <w:t>287,769,308.88</w:t>
            </w:r>
          </w:p>
        </w:tc>
        <w:tc>
          <w:tcPr>
            <w:tcW w:w="1527" w:type="dxa"/>
            <w:tcBorders>
              <w:top w:val="nil" w:sz="6" w:space="0" w:color="auto"/>
              <w:left w:val="nil" w:sz="6" w:space="0" w:color="auto"/>
              <w:bottom w:val="nil" w:sz="6" w:space="0" w:color="auto"/>
              <w:right w:val="nil" w:sz="6" w:space="0" w:color="auto"/>
            </w:tcBorders>
          </w:tcPr>
          <w:p>
            <w:pPr>
              <w:pStyle w:val="TableParagraph"/>
              <w:spacing w:line="232" w:lineRule="exact"/>
              <w:ind w:right="46"/>
              <w:jc w:val="right"/>
              <w:rPr>
                <w:rFonts w:ascii="宋体" w:hAnsi="宋体" w:cs="宋体" w:eastAsia="宋体" w:hint="default"/>
                <w:sz w:val="18"/>
                <w:szCs w:val="18"/>
              </w:rPr>
            </w:pPr>
            <w:r>
              <w:rPr>
                <w:rFonts w:ascii="宋体"/>
                <w:spacing w:val="-1"/>
                <w:sz w:val="18"/>
              </w:rPr>
              <w:t>225,278,560.39</w:t>
            </w:r>
          </w:p>
        </w:tc>
        <w:tc>
          <w:tcPr>
            <w:tcW w:w="1426" w:type="dxa"/>
            <w:tcBorders>
              <w:top w:val="nil" w:sz="6" w:space="0" w:color="auto"/>
              <w:left w:val="nil" w:sz="6" w:space="0" w:color="auto"/>
              <w:bottom w:val="nil" w:sz="6" w:space="0" w:color="auto"/>
              <w:right w:val="nil" w:sz="6" w:space="0" w:color="auto"/>
            </w:tcBorders>
          </w:tcPr>
          <w:p>
            <w:pPr>
              <w:pStyle w:val="TableParagraph"/>
              <w:spacing w:line="232" w:lineRule="exact"/>
              <w:ind w:right="136"/>
              <w:jc w:val="right"/>
              <w:rPr>
                <w:rFonts w:ascii="宋体" w:hAnsi="宋体" w:cs="宋体" w:eastAsia="宋体" w:hint="default"/>
                <w:sz w:val="18"/>
                <w:szCs w:val="18"/>
              </w:rPr>
            </w:pPr>
            <w:r>
              <w:rPr>
                <w:rFonts w:ascii="宋体"/>
                <w:spacing w:val="-1"/>
                <w:sz w:val="18"/>
              </w:rPr>
              <w:t>11,061,254.29</w:t>
            </w:r>
          </w:p>
        </w:tc>
        <w:tc>
          <w:tcPr>
            <w:tcW w:w="1605" w:type="dxa"/>
            <w:tcBorders>
              <w:top w:val="nil" w:sz="6" w:space="0" w:color="auto"/>
              <w:left w:val="nil" w:sz="6" w:space="0" w:color="auto"/>
              <w:bottom w:val="nil" w:sz="6" w:space="0" w:color="auto"/>
              <w:right w:val="nil" w:sz="6" w:space="0" w:color="auto"/>
            </w:tcBorders>
          </w:tcPr>
          <w:p>
            <w:pPr>
              <w:pStyle w:val="TableParagraph"/>
              <w:spacing w:line="232" w:lineRule="exact"/>
              <w:ind w:right="47"/>
              <w:jc w:val="right"/>
              <w:rPr>
                <w:rFonts w:ascii="宋体" w:hAnsi="宋体" w:cs="宋体" w:eastAsia="宋体" w:hint="default"/>
                <w:sz w:val="18"/>
                <w:szCs w:val="18"/>
              </w:rPr>
            </w:pPr>
            <w:r>
              <w:rPr>
                <w:rFonts w:ascii="宋体"/>
                <w:spacing w:val="-1"/>
                <w:sz w:val="18"/>
              </w:rPr>
              <w:t>524,109,123.56</w:t>
            </w:r>
          </w:p>
        </w:tc>
      </w:tr>
      <w:tr>
        <w:trPr>
          <w:trHeight w:val="286"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33" w:lineRule="exact"/>
              <w:ind w:left="4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2055" w:type="dxa"/>
            <w:tcBorders>
              <w:top w:val="nil" w:sz="6" w:space="0" w:color="auto"/>
              <w:left w:val="nil" w:sz="6" w:space="0" w:color="auto"/>
              <w:bottom w:val="nil" w:sz="6" w:space="0" w:color="auto"/>
              <w:right w:val="nil" w:sz="6" w:space="0" w:color="auto"/>
            </w:tcBorders>
          </w:tcPr>
          <w:p>
            <w:pPr>
              <w:pStyle w:val="TableParagraph"/>
              <w:spacing w:line="233" w:lineRule="exact"/>
              <w:ind w:right="36"/>
              <w:jc w:val="right"/>
              <w:rPr>
                <w:rFonts w:ascii="宋体" w:hAnsi="宋体" w:cs="宋体" w:eastAsia="宋体" w:hint="default"/>
                <w:sz w:val="18"/>
                <w:szCs w:val="18"/>
              </w:rPr>
            </w:pPr>
            <w:r>
              <w:rPr>
                <w:rFonts w:ascii="宋体"/>
                <w:spacing w:val="-1"/>
                <w:sz w:val="18"/>
              </w:rPr>
              <w:t>287,769,308.88</w:t>
            </w:r>
          </w:p>
        </w:tc>
        <w:tc>
          <w:tcPr>
            <w:tcW w:w="1527" w:type="dxa"/>
            <w:tcBorders>
              <w:top w:val="nil" w:sz="6" w:space="0" w:color="auto"/>
              <w:left w:val="nil" w:sz="6" w:space="0" w:color="auto"/>
              <w:bottom w:val="nil" w:sz="6" w:space="0" w:color="auto"/>
              <w:right w:val="nil" w:sz="6" w:space="0" w:color="auto"/>
            </w:tcBorders>
          </w:tcPr>
          <w:p>
            <w:pPr>
              <w:pStyle w:val="TableParagraph"/>
              <w:spacing w:line="233" w:lineRule="exact"/>
              <w:ind w:right="46"/>
              <w:jc w:val="right"/>
              <w:rPr>
                <w:rFonts w:ascii="宋体" w:hAnsi="宋体" w:cs="宋体" w:eastAsia="宋体" w:hint="default"/>
                <w:sz w:val="18"/>
                <w:szCs w:val="18"/>
              </w:rPr>
            </w:pPr>
            <w:r>
              <w:rPr>
                <w:rFonts w:ascii="宋体"/>
                <w:spacing w:val="-1"/>
                <w:sz w:val="18"/>
              </w:rPr>
              <w:t>222,390,250.40</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36"/>
              <w:jc w:val="right"/>
              <w:rPr>
                <w:rFonts w:ascii="宋体" w:hAnsi="宋体" w:cs="宋体" w:eastAsia="宋体" w:hint="default"/>
                <w:sz w:val="18"/>
                <w:szCs w:val="18"/>
              </w:rPr>
            </w:pPr>
            <w:r>
              <w:rPr>
                <w:rFonts w:ascii="宋体"/>
                <w:spacing w:val="-1"/>
                <w:sz w:val="18"/>
              </w:rPr>
              <w:t>11,056,309.93</w:t>
            </w:r>
          </w:p>
        </w:tc>
        <w:tc>
          <w:tcPr>
            <w:tcW w:w="1605" w:type="dxa"/>
            <w:tcBorders>
              <w:top w:val="nil" w:sz="6" w:space="0" w:color="auto"/>
              <w:left w:val="nil" w:sz="6" w:space="0" w:color="auto"/>
              <w:bottom w:val="nil" w:sz="6" w:space="0" w:color="auto"/>
              <w:right w:val="nil" w:sz="6" w:space="0" w:color="auto"/>
            </w:tcBorders>
          </w:tcPr>
          <w:p>
            <w:pPr>
              <w:pStyle w:val="TableParagraph"/>
              <w:spacing w:line="233" w:lineRule="exact"/>
              <w:ind w:right="47"/>
              <w:jc w:val="right"/>
              <w:rPr>
                <w:rFonts w:ascii="宋体" w:hAnsi="宋体" w:cs="宋体" w:eastAsia="宋体" w:hint="default"/>
                <w:sz w:val="18"/>
                <w:szCs w:val="18"/>
              </w:rPr>
            </w:pPr>
            <w:r>
              <w:rPr>
                <w:rFonts w:ascii="宋体"/>
                <w:spacing w:val="-1"/>
                <w:sz w:val="18"/>
              </w:rPr>
              <w:t>521,215,869.21</w:t>
            </w:r>
          </w:p>
        </w:tc>
      </w:tr>
      <w:tr>
        <w:trPr>
          <w:trHeight w:val="286" w:hRule="exact"/>
        </w:trPr>
        <w:tc>
          <w:tcPr>
            <w:tcW w:w="2148" w:type="dxa"/>
            <w:tcBorders>
              <w:top w:val="nil" w:sz="6" w:space="0" w:color="auto"/>
              <w:left w:val="nil" w:sz="6" w:space="0" w:color="auto"/>
              <w:bottom w:val="nil" w:sz="6" w:space="0" w:color="auto"/>
              <w:right w:val="nil" w:sz="6" w:space="0" w:color="auto"/>
            </w:tcBorders>
          </w:tcPr>
          <w:p>
            <w:pPr>
              <w:pStyle w:val="TableParagraph"/>
              <w:spacing w:line="233" w:lineRule="exact"/>
              <w:ind w:left="4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）企业合并减少</w:t>
            </w:r>
          </w:p>
        </w:tc>
        <w:tc>
          <w:tcPr>
            <w:tcW w:w="2055" w:type="dxa"/>
            <w:tcBorders>
              <w:top w:val="nil" w:sz="6" w:space="0" w:color="auto"/>
              <w:left w:val="nil" w:sz="6" w:space="0" w:color="auto"/>
              <w:bottom w:val="nil" w:sz="6" w:space="0" w:color="auto"/>
              <w:right w:val="nil" w:sz="6" w:space="0" w:color="auto"/>
            </w:tcBorders>
          </w:tcPr>
          <w:p>
            <w:pPr>
              <w:pStyle w:val="TableParagraph"/>
              <w:spacing w:line="233" w:lineRule="exact"/>
              <w:ind w:right="35"/>
              <w:jc w:val="right"/>
              <w:rPr>
                <w:rFonts w:ascii="宋体" w:hAnsi="宋体" w:cs="宋体" w:eastAsia="宋体" w:hint="default"/>
                <w:sz w:val="18"/>
                <w:szCs w:val="18"/>
              </w:rPr>
            </w:pPr>
            <w:r>
              <w:rPr>
                <w:rFonts w:ascii="宋体"/>
                <w:sz w:val="18"/>
              </w:rPr>
              <w:t>0.00</w:t>
            </w:r>
          </w:p>
        </w:tc>
        <w:tc>
          <w:tcPr>
            <w:tcW w:w="1527" w:type="dxa"/>
            <w:tcBorders>
              <w:top w:val="nil" w:sz="6" w:space="0" w:color="auto"/>
              <w:left w:val="nil" w:sz="6" w:space="0" w:color="auto"/>
              <w:bottom w:val="nil" w:sz="6" w:space="0" w:color="auto"/>
              <w:right w:val="nil" w:sz="6" w:space="0" w:color="auto"/>
            </w:tcBorders>
          </w:tcPr>
          <w:p>
            <w:pPr>
              <w:pStyle w:val="TableParagraph"/>
              <w:spacing w:line="233" w:lineRule="exact"/>
              <w:ind w:right="46"/>
              <w:jc w:val="right"/>
              <w:rPr>
                <w:rFonts w:ascii="宋体" w:hAnsi="宋体" w:cs="宋体" w:eastAsia="宋体" w:hint="default"/>
                <w:sz w:val="18"/>
                <w:szCs w:val="18"/>
              </w:rPr>
            </w:pPr>
            <w:r>
              <w:rPr>
                <w:rFonts w:ascii="宋体"/>
                <w:spacing w:val="-1"/>
                <w:sz w:val="18"/>
              </w:rPr>
              <w:t>2,888,309.99</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35"/>
              <w:jc w:val="right"/>
              <w:rPr>
                <w:rFonts w:ascii="宋体" w:hAnsi="宋体" w:cs="宋体" w:eastAsia="宋体" w:hint="default"/>
                <w:sz w:val="18"/>
                <w:szCs w:val="18"/>
              </w:rPr>
            </w:pPr>
            <w:r>
              <w:rPr>
                <w:rFonts w:ascii="宋体"/>
                <w:spacing w:val="-1"/>
                <w:sz w:val="18"/>
              </w:rPr>
              <w:t>4,944.36</w:t>
            </w:r>
          </w:p>
        </w:tc>
        <w:tc>
          <w:tcPr>
            <w:tcW w:w="1605" w:type="dxa"/>
            <w:tcBorders>
              <w:top w:val="nil" w:sz="6" w:space="0" w:color="auto"/>
              <w:left w:val="nil" w:sz="6" w:space="0" w:color="auto"/>
              <w:bottom w:val="nil" w:sz="6" w:space="0" w:color="auto"/>
              <w:right w:val="nil" w:sz="6" w:space="0" w:color="auto"/>
            </w:tcBorders>
          </w:tcPr>
          <w:p>
            <w:pPr>
              <w:pStyle w:val="TableParagraph"/>
              <w:spacing w:line="233" w:lineRule="exact"/>
              <w:ind w:right="45"/>
              <w:jc w:val="right"/>
              <w:rPr>
                <w:rFonts w:ascii="宋体" w:hAnsi="宋体" w:cs="宋体" w:eastAsia="宋体" w:hint="default"/>
                <w:sz w:val="18"/>
                <w:szCs w:val="18"/>
              </w:rPr>
            </w:pPr>
            <w:r>
              <w:rPr>
                <w:rFonts w:ascii="宋体"/>
                <w:spacing w:val="-1"/>
                <w:sz w:val="18"/>
              </w:rPr>
              <w:t>2,893,254.35</w:t>
            </w:r>
          </w:p>
        </w:tc>
      </w:tr>
      <w:tr>
        <w:trPr>
          <w:trHeight w:val="291" w:hRule="exact"/>
        </w:trPr>
        <w:tc>
          <w:tcPr>
            <w:tcW w:w="2148" w:type="dxa"/>
            <w:tcBorders>
              <w:top w:val="nil" w:sz="6" w:space="0" w:color="auto"/>
              <w:left w:val="nil" w:sz="6" w:space="0" w:color="auto"/>
              <w:bottom w:val="single" w:sz="4" w:space="0" w:color="000000"/>
              <w:right w:val="nil" w:sz="6" w:space="0" w:color="auto"/>
            </w:tcBorders>
          </w:tcPr>
          <w:p>
            <w:pPr>
              <w:pStyle w:val="TableParagraph"/>
              <w:spacing w:line="233" w:lineRule="exact"/>
              <w:ind w:left="4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年末余额</w:t>
            </w:r>
          </w:p>
        </w:tc>
        <w:tc>
          <w:tcPr>
            <w:tcW w:w="2055" w:type="dxa"/>
            <w:tcBorders>
              <w:top w:val="nil" w:sz="6" w:space="0" w:color="auto"/>
              <w:left w:val="nil" w:sz="6" w:space="0" w:color="auto"/>
              <w:bottom w:val="single" w:sz="4" w:space="0" w:color="000000"/>
              <w:right w:val="nil" w:sz="6" w:space="0" w:color="auto"/>
            </w:tcBorders>
          </w:tcPr>
          <w:p>
            <w:pPr>
              <w:pStyle w:val="TableParagraph"/>
              <w:spacing w:line="233" w:lineRule="exact"/>
              <w:ind w:right="36"/>
              <w:jc w:val="right"/>
              <w:rPr>
                <w:rFonts w:ascii="宋体" w:hAnsi="宋体" w:cs="宋体" w:eastAsia="宋体" w:hint="default"/>
                <w:sz w:val="18"/>
                <w:szCs w:val="18"/>
              </w:rPr>
            </w:pPr>
            <w:r>
              <w:rPr>
                <w:rFonts w:ascii="宋体"/>
                <w:spacing w:val="-1"/>
                <w:sz w:val="18"/>
              </w:rPr>
              <w:t>996,198,119.98</w:t>
            </w:r>
          </w:p>
        </w:tc>
        <w:tc>
          <w:tcPr>
            <w:tcW w:w="1527" w:type="dxa"/>
            <w:tcBorders>
              <w:top w:val="nil" w:sz="6" w:space="0" w:color="auto"/>
              <w:left w:val="nil" w:sz="6" w:space="0" w:color="auto"/>
              <w:bottom w:val="single" w:sz="4" w:space="0" w:color="000000"/>
              <w:right w:val="nil" w:sz="6" w:space="0" w:color="auto"/>
            </w:tcBorders>
          </w:tcPr>
          <w:p>
            <w:pPr>
              <w:pStyle w:val="TableParagraph"/>
              <w:spacing w:line="233" w:lineRule="exact"/>
              <w:ind w:right="47"/>
              <w:jc w:val="right"/>
              <w:rPr>
                <w:rFonts w:ascii="宋体" w:hAnsi="宋体" w:cs="宋体" w:eastAsia="宋体" w:hint="default"/>
                <w:sz w:val="18"/>
                <w:szCs w:val="18"/>
              </w:rPr>
            </w:pPr>
            <w:r>
              <w:rPr>
                <w:rFonts w:ascii="宋体"/>
                <w:spacing w:val="-1"/>
                <w:sz w:val="18"/>
              </w:rPr>
              <w:t>2,048,307,748.70</w:t>
            </w:r>
          </w:p>
        </w:tc>
        <w:tc>
          <w:tcPr>
            <w:tcW w:w="1426" w:type="dxa"/>
            <w:tcBorders>
              <w:top w:val="nil" w:sz="6" w:space="0" w:color="auto"/>
              <w:left w:val="nil" w:sz="6" w:space="0" w:color="auto"/>
              <w:bottom w:val="single" w:sz="4" w:space="0" w:color="000000"/>
              <w:right w:val="nil" w:sz="6" w:space="0" w:color="auto"/>
            </w:tcBorders>
          </w:tcPr>
          <w:p>
            <w:pPr>
              <w:pStyle w:val="TableParagraph"/>
              <w:spacing w:line="233" w:lineRule="exact"/>
              <w:ind w:right="136"/>
              <w:jc w:val="right"/>
              <w:rPr>
                <w:rFonts w:ascii="宋体" w:hAnsi="宋体" w:cs="宋体" w:eastAsia="宋体" w:hint="default"/>
                <w:sz w:val="18"/>
                <w:szCs w:val="18"/>
              </w:rPr>
            </w:pPr>
            <w:r>
              <w:rPr>
                <w:rFonts w:ascii="宋体"/>
                <w:spacing w:val="-1"/>
                <w:sz w:val="18"/>
              </w:rPr>
              <w:t>92,921,076.23</w:t>
            </w:r>
          </w:p>
        </w:tc>
        <w:tc>
          <w:tcPr>
            <w:tcW w:w="1605" w:type="dxa"/>
            <w:tcBorders>
              <w:top w:val="nil" w:sz="6" w:space="0" w:color="auto"/>
              <w:left w:val="nil" w:sz="6" w:space="0" w:color="auto"/>
              <w:bottom w:val="single" w:sz="4" w:space="0" w:color="000000"/>
              <w:right w:val="nil" w:sz="6" w:space="0" w:color="auto"/>
            </w:tcBorders>
          </w:tcPr>
          <w:p>
            <w:pPr>
              <w:pStyle w:val="TableParagraph"/>
              <w:spacing w:line="233" w:lineRule="exact"/>
              <w:ind w:right="46"/>
              <w:jc w:val="right"/>
              <w:rPr>
                <w:rFonts w:ascii="宋体" w:hAnsi="宋体" w:cs="宋体" w:eastAsia="宋体" w:hint="default"/>
                <w:sz w:val="18"/>
                <w:szCs w:val="18"/>
              </w:rPr>
            </w:pPr>
            <w:r>
              <w:rPr>
                <w:rFonts w:ascii="宋体"/>
                <w:spacing w:val="-1"/>
                <w:sz w:val="18"/>
              </w:rPr>
              <w:t>3,137,426,944.91</w:t>
            </w:r>
          </w:p>
        </w:tc>
      </w:tr>
    </w:tbl>
    <w:p>
      <w:pPr>
        <w:spacing w:after="0" w:line="233" w:lineRule="exact"/>
        <w:jc w:val="right"/>
        <w:rPr>
          <w:rFonts w:ascii="宋体" w:hAnsi="宋体" w:cs="宋体" w:eastAsia="宋体" w:hint="default"/>
          <w:sz w:val="18"/>
          <w:szCs w:val="18"/>
        </w:rPr>
        <w:sectPr>
          <w:footerReference w:type="default" r:id="rId38"/>
          <w:pgSz w:w="11910" w:h="16840"/>
          <w:pgMar w:footer="1054" w:header="0" w:top="1360" w:bottom="1240" w:left="960" w:right="960"/>
          <w:pgNumType w:start="126"/>
        </w:sectPr>
      </w:pPr>
    </w:p>
    <w:p>
      <w:pPr>
        <w:spacing w:line="240" w:lineRule="auto" w:before="6"/>
        <w:rPr>
          <w:rFonts w:ascii="宋体" w:hAnsi="宋体" w:cs="宋体" w:eastAsia="宋体" w:hint="default"/>
          <w:sz w:val="6"/>
          <w:szCs w:val="6"/>
        </w:rPr>
      </w:pPr>
    </w:p>
    <w:tbl>
      <w:tblPr>
        <w:tblW w:w="0" w:type="auto"/>
        <w:jc w:val="left"/>
        <w:tblInd w:w="1087" w:type="dxa"/>
        <w:tblLayout w:type="fixed"/>
        <w:tblCellMar>
          <w:top w:w="0" w:type="dxa"/>
          <w:left w:w="0" w:type="dxa"/>
          <w:bottom w:w="0" w:type="dxa"/>
          <w:right w:w="0" w:type="dxa"/>
        </w:tblCellMar>
        <w:tblLook w:val="01E0"/>
      </w:tblPr>
      <w:tblGrid>
        <w:gridCol w:w="2058"/>
        <w:gridCol w:w="2235"/>
        <w:gridCol w:w="1471"/>
        <w:gridCol w:w="1381"/>
        <w:gridCol w:w="1615"/>
      </w:tblGrid>
      <w:tr>
        <w:trPr>
          <w:trHeight w:val="305" w:hRule="exact"/>
        </w:trPr>
        <w:tc>
          <w:tcPr>
            <w:tcW w:w="205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3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875" w:right="0"/>
              <w:jc w:val="left"/>
              <w:rPr>
                <w:rFonts w:ascii="宋体" w:hAnsi="宋体" w:cs="宋体" w:eastAsia="宋体" w:hint="default"/>
                <w:sz w:val="18"/>
                <w:szCs w:val="18"/>
              </w:rPr>
            </w:pPr>
            <w:r>
              <w:rPr>
                <w:rFonts w:ascii="宋体" w:hAnsi="宋体" w:cs="宋体" w:eastAsia="宋体" w:hint="default"/>
                <w:b/>
                <w:bCs/>
                <w:sz w:val="18"/>
                <w:szCs w:val="18"/>
              </w:rPr>
              <w:t>房屋建筑物</w:t>
            </w:r>
            <w:r>
              <w:rPr>
                <w:rFonts w:ascii="宋体" w:hAnsi="宋体" w:cs="宋体" w:eastAsia="宋体" w:hint="default"/>
                <w:sz w:val="18"/>
                <w:szCs w:val="18"/>
              </w:rPr>
            </w:r>
          </w:p>
        </w:tc>
        <w:tc>
          <w:tcPr>
            <w:tcW w:w="1471"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109"/>
              <w:jc w:val="center"/>
              <w:rPr>
                <w:rFonts w:ascii="宋体" w:hAnsi="宋体" w:cs="宋体" w:eastAsia="宋体" w:hint="default"/>
                <w:sz w:val="18"/>
                <w:szCs w:val="18"/>
              </w:rPr>
            </w:pPr>
            <w:r>
              <w:rPr>
                <w:rFonts w:ascii="宋体" w:hAnsi="宋体" w:cs="宋体" w:eastAsia="宋体" w:hint="default"/>
                <w:b/>
                <w:bCs/>
                <w:sz w:val="18"/>
                <w:szCs w:val="18"/>
              </w:rPr>
              <w:t>设备</w:t>
            </w:r>
            <w:r>
              <w:rPr>
                <w:rFonts w:ascii="宋体" w:hAnsi="宋体" w:cs="宋体" w:eastAsia="宋体" w:hint="default"/>
                <w:sz w:val="18"/>
                <w:szCs w:val="18"/>
              </w:rPr>
            </w:r>
          </w:p>
        </w:tc>
        <w:tc>
          <w:tcPr>
            <w:tcW w:w="138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51" w:right="0"/>
              <w:jc w:val="left"/>
              <w:rPr>
                <w:rFonts w:ascii="宋体" w:hAnsi="宋体" w:cs="宋体" w:eastAsia="宋体" w:hint="default"/>
                <w:sz w:val="18"/>
                <w:szCs w:val="18"/>
              </w:rPr>
            </w:pPr>
            <w:r>
              <w:rPr>
                <w:rFonts w:ascii="宋体" w:hAnsi="宋体" w:cs="宋体" w:eastAsia="宋体" w:hint="default"/>
                <w:b/>
                <w:bCs/>
                <w:sz w:val="18"/>
                <w:szCs w:val="18"/>
              </w:rPr>
              <w:t>车辆</w:t>
            </w:r>
            <w:r>
              <w:rPr>
                <w:rFonts w:ascii="宋体" w:hAnsi="宋体" w:cs="宋体" w:eastAsia="宋体" w:hint="default"/>
                <w:sz w:val="18"/>
                <w:szCs w:val="18"/>
              </w:rPr>
            </w:r>
          </w:p>
        </w:tc>
        <w:tc>
          <w:tcPr>
            <w:tcW w:w="1615"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77"/>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290" w:hRule="exact"/>
        </w:trPr>
        <w:tc>
          <w:tcPr>
            <w:tcW w:w="2058" w:type="dxa"/>
            <w:tcBorders>
              <w:top w:val="single" w:sz="4" w:space="0" w:color="000000"/>
              <w:left w:val="nil" w:sz="6" w:space="0" w:color="auto"/>
              <w:bottom w:val="nil" w:sz="6" w:space="0" w:color="auto"/>
              <w:right w:val="nil" w:sz="6" w:space="0" w:color="auto"/>
            </w:tcBorders>
          </w:tcPr>
          <w:p>
            <w:pPr>
              <w:pStyle w:val="TableParagraph"/>
              <w:spacing w:line="232" w:lineRule="exact"/>
              <w:ind w:left="40"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235" w:type="dxa"/>
            <w:tcBorders>
              <w:top w:val="single" w:sz="4" w:space="0" w:color="000000"/>
              <w:left w:val="nil" w:sz="6" w:space="0" w:color="auto"/>
              <w:bottom w:val="nil" w:sz="6" w:space="0" w:color="auto"/>
              <w:right w:val="nil" w:sz="6" w:space="0" w:color="auto"/>
            </w:tcBorders>
          </w:tcPr>
          <w:p>
            <w:pPr/>
          </w:p>
        </w:tc>
        <w:tc>
          <w:tcPr>
            <w:tcW w:w="1471" w:type="dxa"/>
            <w:tcBorders>
              <w:top w:val="single" w:sz="4" w:space="0" w:color="000000"/>
              <w:left w:val="nil" w:sz="6" w:space="0" w:color="auto"/>
              <w:bottom w:val="nil" w:sz="6" w:space="0" w:color="auto"/>
              <w:right w:val="nil" w:sz="6" w:space="0" w:color="auto"/>
            </w:tcBorders>
          </w:tcPr>
          <w:p>
            <w:pPr/>
          </w:p>
        </w:tc>
        <w:tc>
          <w:tcPr>
            <w:tcW w:w="1381" w:type="dxa"/>
            <w:tcBorders>
              <w:top w:val="single" w:sz="4" w:space="0" w:color="000000"/>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nil" w:sz="6" w:space="0" w:color="auto"/>
              <w:right w:val="nil" w:sz="6" w:space="0" w:color="auto"/>
            </w:tcBorders>
          </w:tcPr>
          <w:p>
            <w:pPr/>
          </w:p>
        </w:tc>
      </w:tr>
      <w:tr>
        <w:trPr>
          <w:trHeight w:val="284" w:hRule="exact"/>
        </w:trPr>
        <w:tc>
          <w:tcPr>
            <w:tcW w:w="2058" w:type="dxa"/>
            <w:tcBorders>
              <w:top w:val="nil" w:sz="6" w:space="0" w:color="auto"/>
              <w:left w:val="nil" w:sz="6" w:space="0" w:color="auto"/>
              <w:bottom w:val="nil" w:sz="6" w:space="0" w:color="auto"/>
              <w:right w:val="nil" w:sz="6" w:space="0" w:color="auto"/>
            </w:tcBorders>
          </w:tcPr>
          <w:p>
            <w:pPr>
              <w:pStyle w:val="TableParagraph"/>
              <w:spacing w:line="233" w:lineRule="exact"/>
              <w:ind w:left="4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年初余额</w:t>
            </w:r>
          </w:p>
        </w:tc>
        <w:tc>
          <w:tcPr>
            <w:tcW w:w="2235" w:type="dxa"/>
            <w:tcBorders>
              <w:top w:val="nil" w:sz="6" w:space="0" w:color="auto"/>
              <w:left w:val="nil" w:sz="6" w:space="0" w:color="auto"/>
              <w:bottom w:val="nil" w:sz="6" w:space="0" w:color="auto"/>
              <w:right w:val="nil" w:sz="6" w:space="0" w:color="auto"/>
            </w:tcBorders>
          </w:tcPr>
          <w:p>
            <w:pPr>
              <w:pStyle w:val="TableParagraph"/>
              <w:spacing w:line="233" w:lineRule="exact"/>
              <w:ind w:right="127"/>
              <w:jc w:val="right"/>
              <w:rPr>
                <w:rFonts w:ascii="宋体" w:hAnsi="宋体" w:cs="宋体" w:eastAsia="宋体" w:hint="default"/>
                <w:sz w:val="18"/>
                <w:szCs w:val="18"/>
              </w:rPr>
            </w:pPr>
            <w:r>
              <w:rPr>
                <w:rFonts w:ascii="宋体"/>
                <w:spacing w:val="-1"/>
                <w:sz w:val="18"/>
              </w:rPr>
              <w:t>300,438,459.60</w:t>
            </w:r>
          </w:p>
        </w:tc>
        <w:tc>
          <w:tcPr>
            <w:tcW w:w="1471" w:type="dxa"/>
            <w:tcBorders>
              <w:top w:val="nil" w:sz="6" w:space="0" w:color="auto"/>
              <w:left w:val="nil" w:sz="6" w:space="0" w:color="auto"/>
              <w:bottom w:val="nil" w:sz="6" w:space="0" w:color="auto"/>
              <w:right w:val="nil" w:sz="6" w:space="0" w:color="auto"/>
            </w:tcBorders>
          </w:tcPr>
          <w:p>
            <w:pPr>
              <w:pStyle w:val="TableParagraph"/>
              <w:spacing w:line="233" w:lineRule="exact"/>
              <w:ind w:right="81"/>
              <w:jc w:val="right"/>
              <w:rPr>
                <w:rFonts w:ascii="宋体" w:hAnsi="宋体" w:cs="宋体" w:eastAsia="宋体" w:hint="default"/>
                <w:sz w:val="18"/>
                <w:szCs w:val="18"/>
              </w:rPr>
            </w:pPr>
            <w:r>
              <w:rPr>
                <w:rFonts w:ascii="宋体"/>
                <w:spacing w:val="-1"/>
                <w:sz w:val="18"/>
              </w:rPr>
              <w:t>390,482,456.68</w:t>
            </w:r>
          </w:p>
        </w:tc>
        <w:tc>
          <w:tcPr>
            <w:tcW w:w="1381" w:type="dxa"/>
            <w:tcBorders>
              <w:top w:val="nil" w:sz="6" w:space="0" w:color="auto"/>
              <w:left w:val="nil" w:sz="6" w:space="0" w:color="auto"/>
              <w:bottom w:val="nil" w:sz="6" w:space="0" w:color="auto"/>
              <w:right w:val="nil" w:sz="6" w:space="0" w:color="auto"/>
            </w:tcBorders>
          </w:tcPr>
          <w:p>
            <w:pPr>
              <w:pStyle w:val="TableParagraph"/>
              <w:spacing w:line="233" w:lineRule="exact"/>
              <w:ind w:right="125"/>
              <w:jc w:val="right"/>
              <w:rPr>
                <w:rFonts w:ascii="宋体" w:hAnsi="宋体" w:cs="宋体" w:eastAsia="宋体" w:hint="default"/>
                <w:sz w:val="18"/>
                <w:szCs w:val="18"/>
              </w:rPr>
            </w:pPr>
            <w:r>
              <w:rPr>
                <w:rFonts w:ascii="宋体"/>
                <w:spacing w:val="-1"/>
                <w:sz w:val="18"/>
              </w:rPr>
              <w:t>1,517,539.00</w:t>
            </w:r>
          </w:p>
        </w:tc>
        <w:tc>
          <w:tcPr>
            <w:tcW w:w="1615" w:type="dxa"/>
            <w:tcBorders>
              <w:top w:val="nil" w:sz="6" w:space="0" w:color="auto"/>
              <w:left w:val="nil" w:sz="6" w:space="0" w:color="auto"/>
              <w:bottom w:val="nil" w:sz="6" w:space="0" w:color="auto"/>
              <w:right w:val="nil" w:sz="6" w:space="0" w:color="auto"/>
            </w:tcBorders>
          </w:tcPr>
          <w:p>
            <w:pPr>
              <w:pStyle w:val="TableParagraph"/>
              <w:spacing w:line="233" w:lineRule="exact"/>
              <w:ind w:right="47"/>
              <w:jc w:val="right"/>
              <w:rPr>
                <w:rFonts w:ascii="宋体" w:hAnsi="宋体" w:cs="宋体" w:eastAsia="宋体" w:hint="default"/>
                <w:sz w:val="18"/>
                <w:szCs w:val="18"/>
              </w:rPr>
            </w:pPr>
            <w:r>
              <w:rPr>
                <w:rFonts w:ascii="宋体"/>
                <w:spacing w:val="-1"/>
                <w:sz w:val="18"/>
              </w:rPr>
              <w:t>692,438,455.28</w:t>
            </w:r>
          </w:p>
        </w:tc>
      </w:tr>
      <w:tr>
        <w:trPr>
          <w:trHeight w:val="284" w:hRule="exact"/>
        </w:trPr>
        <w:tc>
          <w:tcPr>
            <w:tcW w:w="2058" w:type="dxa"/>
            <w:tcBorders>
              <w:top w:val="nil" w:sz="6" w:space="0" w:color="auto"/>
              <w:left w:val="nil" w:sz="6" w:space="0" w:color="auto"/>
              <w:bottom w:val="nil" w:sz="6" w:space="0" w:color="auto"/>
              <w:right w:val="nil" w:sz="6" w:space="0" w:color="auto"/>
            </w:tcBorders>
          </w:tcPr>
          <w:p>
            <w:pPr>
              <w:pStyle w:val="TableParagraph"/>
              <w:spacing w:line="232" w:lineRule="exact"/>
              <w:ind w:left="4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本年增加金额</w:t>
            </w:r>
          </w:p>
        </w:tc>
        <w:tc>
          <w:tcPr>
            <w:tcW w:w="2235" w:type="dxa"/>
            <w:tcBorders>
              <w:top w:val="nil" w:sz="6" w:space="0" w:color="auto"/>
              <w:left w:val="nil" w:sz="6" w:space="0" w:color="auto"/>
              <w:bottom w:val="nil" w:sz="6" w:space="0" w:color="auto"/>
              <w:right w:val="nil" w:sz="6" w:space="0" w:color="auto"/>
            </w:tcBorders>
          </w:tcPr>
          <w:p>
            <w:pPr>
              <w:pStyle w:val="TableParagraph"/>
              <w:spacing w:line="232" w:lineRule="exact"/>
              <w:ind w:right="126"/>
              <w:jc w:val="right"/>
              <w:rPr>
                <w:rFonts w:ascii="宋体" w:hAnsi="宋体" w:cs="宋体" w:eastAsia="宋体" w:hint="default"/>
                <w:sz w:val="18"/>
                <w:szCs w:val="18"/>
              </w:rPr>
            </w:pPr>
            <w:r>
              <w:rPr>
                <w:rFonts w:ascii="宋体"/>
                <w:sz w:val="18"/>
              </w:rPr>
              <w:t>0.00</w:t>
            </w:r>
          </w:p>
        </w:tc>
        <w:tc>
          <w:tcPr>
            <w:tcW w:w="1471" w:type="dxa"/>
            <w:tcBorders>
              <w:top w:val="nil" w:sz="6" w:space="0" w:color="auto"/>
              <w:left w:val="nil" w:sz="6" w:space="0" w:color="auto"/>
              <w:bottom w:val="nil" w:sz="6" w:space="0" w:color="auto"/>
              <w:right w:val="nil" w:sz="6" w:space="0" w:color="auto"/>
            </w:tcBorders>
          </w:tcPr>
          <w:p>
            <w:pPr>
              <w:pStyle w:val="TableParagraph"/>
              <w:spacing w:line="232" w:lineRule="exact"/>
              <w:ind w:right="80"/>
              <w:jc w:val="right"/>
              <w:rPr>
                <w:rFonts w:ascii="宋体" w:hAnsi="宋体" w:cs="宋体" w:eastAsia="宋体" w:hint="default"/>
                <w:sz w:val="18"/>
                <w:szCs w:val="18"/>
              </w:rPr>
            </w:pPr>
            <w:r>
              <w:rPr>
                <w:rFonts w:ascii="宋体"/>
                <w:sz w:val="18"/>
              </w:rPr>
              <w:t>0.00</w:t>
            </w:r>
          </w:p>
        </w:tc>
        <w:tc>
          <w:tcPr>
            <w:tcW w:w="1381" w:type="dxa"/>
            <w:tcBorders>
              <w:top w:val="nil" w:sz="6" w:space="0" w:color="auto"/>
              <w:left w:val="nil" w:sz="6" w:space="0" w:color="auto"/>
              <w:bottom w:val="nil" w:sz="6" w:space="0" w:color="auto"/>
              <w:right w:val="nil" w:sz="6" w:space="0" w:color="auto"/>
            </w:tcBorders>
          </w:tcPr>
          <w:p>
            <w:pPr>
              <w:pStyle w:val="TableParagraph"/>
              <w:spacing w:line="232" w:lineRule="exact"/>
              <w:ind w:right="125"/>
              <w:jc w:val="right"/>
              <w:rPr>
                <w:rFonts w:ascii="宋体" w:hAnsi="宋体" w:cs="宋体" w:eastAsia="宋体" w:hint="default"/>
                <w:sz w:val="18"/>
                <w:szCs w:val="18"/>
              </w:rPr>
            </w:pPr>
            <w:r>
              <w:rPr>
                <w:rFonts w:ascii="宋体"/>
                <w:sz w:val="18"/>
              </w:rPr>
              <w:t>0.00</w:t>
            </w:r>
          </w:p>
        </w:tc>
        <w:tc>
          <w:tcPr>
            <w:tcW w:w="1615" w:type="dxa"/>
            <w:tcBorders>
              <w:top w:val="nil" w:sz="6" w:space="0" w:color="auto"/>
              <w:left w:val="nil" w:sz="6" w:space="0" w:color="auto"/>
              <w:bottom w:val="nil" w:sz="6" w:space="0" w:color="auto"/>
              <w:right w:val="nil" w:sz="6" w:space="0" w:color="auto"/>
            </w:tcBorders>
          </w:tcPr>
          <w:p>
            <w:pPr>
              <w:pStyle w:val="TableParagraph"/>
              <w:spacing w:line="232" w:lineRule="exact"/>
              <w:ind w:right="45"/>
              <w:jc w:val="right"/>
              <w:rPr>
                <w:rFonts w:ascii="宋体" w:hAnsi="宋体" w:cs="宋体" w:eastAsia="宋体" w:hint="default"/>
                <w:sz w:val="18"/>
                <w:szCs w:val="18"/>
              </w:rPr>
            </w:pPr>
            <w:r>
              <w:rPr>
                <w:rFonts w:ascii="宋体"/>
                <w:sz w:val="18"/>
              </w:rPr>
              <w:t>0.00</w:t>
            </w:r>
          </w:p>
        </w:tc>
      </w:tr>
      <w:tr>
        <w:trPr>
          <w:trHeight w:val="286" w:hRule="exact"/>
        </w:trPr>
        <w:tc>
          <w:tcPr>
            <w:tcW w:w="2058" w:type="dxa"/>
            <w:tcBorders>
              <w:top w:val="nil" w:sz="6" w:space="0" w:color="auto"/>
              <w:left w:val="nil" w:sz="6" w:space="0" w:color="auto"/>
              <w:bottom w:val="nil" w:sz="6" w:space="0" w:color="auto"/>
              <w:right w:val="nil" w:sz="6" w:space="0" w:color="auto"/>
            </w:tcBorders>
          </w:tcPr>
          <w:p>
            <w:pPr>
              <w:pStyle w:val="TableParagraph"/>
              <w:spacing w:line="233" w:lineRule="exact"/>
              <w:ind w:left="4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2235" w:type="dxa"/>
            <w:tcBorders>
              <w:top w:val="nil" w:sz="6" w:space="0" w:color="auto"/>
              <w:left w:val="nil" w:sz="6" w:space="0" w:color="auto"/>
              <w:bottom w:val="nil" w:sz="6" w:space="0" w:color="auto"/>
              <w:right w:val="nil" w:sz="6" w:space="0" w:color="auto"/>
            </w:tcBorders>
          </w:tcPr>
          <w:p>
            <w:pPr>
              <w:pStyle w:val="TableParagraph"/>
              <w:spacing w:line="233" w:lineRule="exact"/>
              <w:ind w:right="126"/>
              <w:jc w:val="right"/>
              <w:rPr>
                <w:rFonts w:ascii="宋体" w:hAnsi="宋体" w:cs="宋体" w:eastAsia="宋体" w:hint="default"/>
                <w:sz w:val="18"/>
                <w:szCs w:val="18"/>
              </w:rPr>
            </w:pPr>
            <w:r>
              <w:rPr>
                <w:rFonts w:ascii="宋体"/>
                <w:sz w:val="18"/>
              </w:rPr>
              <w:t>0.00</w:t>
            </w:r>
          </w:p>
        </w:tc>
        <w:tc>
          <w:tcPr>
            <w:tcW w:w="1471" w:type="dxa"/>
            <w:tcBorders>
              <w:top w:val="nil" w:sz="6" w:space="0" w:color="auto"/>
              <w:left w:val="nil" w:sz="6" w:space="0" w:color="auto"/>
              <w:bottom w:val="nil" w:sz="6" w:space="0" w:color="auto"/>
              <w:right w:val="nil" w:sz="6" w:space="0" w:color="auto"/>
            </w:tcBorders>
          </w:tcPr>
          <w:p>
            <w:pPr>
              <w:pStyle w:val="TableParagraph"/>
              <w:spacing w:line="233" w:lineRule="exact"/>
              <w:ind w:right="80"/>
              <w:jc w:val="right"/>
              <w:rPr>
                <w:rFonts w:ascii="宋体" w:hAnsi="宋体" w:cs="宋体" w:eastAsia="宋体" w:hint="default"/>
                <w:sz w:val="18"/>
                <w:szCs w:val="18"/>
              </w:rPr>
            </w:pPr>
            <w:r>
              <w:rPr>
                <w:rFonts w:ascii="宋体"/>
                <w:sz w:val="18"/>
              </w:rPr>
              <w:t>0.00</w:t>
            </w:r>
          </w:p>
        </w:tc>
        <w:tc>
          <w:tcPr>
            <w:tcW w:w="1381" w:type="dxa"/>
            <w:tcBorders>
              <w:top w:val="nil" w:sz="6" w:space="0" w:color="auto"/>
              <w:left w:val="nil" w:sz="6" w:space="0" w:color="auto"/>
              <w:bottom w:val="nil" w:sz="6" w:space="0" w:color="auto"/>
              <w:right w:val="nil" w:sz="6" w:space="0" w:color="auto"/>
            </w:tcBorders>
          </w:tcPr>
          <w:p>
            <w:pPr>
              <w:pStyle w:val="TableParagraph"/>
              <w:spacing w:line="233" w:lineRule="exact"/>
              <w:ind w:right="125"/>
              <w:jc w:val="right"/>
              <w:rPr>
                <w:rFonts w:ascii="宋体" w:hAnsi="宋体" w:cs="宋体" w:eastAsia="宋体" w:hint="default"/>
                <w:sz w:val="18"/>
                <w:szCs w:val="18"/>
              </w:rPr>
            </w:pPr>
            <w:r>
              <w:rPr>
                <w:rFonts w:ascii="宋体"/>
                <w:sz w:val="18"/>
              </w:rPr>
              <w:t>0.00</w:t>
            </w:r>
          </w:p>
        </w:tc>
        <w:tc>
          <w:tcPr>
            <w:tcW w:w="1615" w:type="dxa"/>
            <w:tcBorders>
              <w:top w:val="nil" w:sz="6" w:space="0" w:color="auto"/>
              <w:left w:val="nil" w:sz="6" w:space="0" w:color="auto"/>
              <w:bottom w:val="nil" w:sz="6" w:space="0" w:color="auto"/>
              <w:right w:val="nil" w:sz="6" w:space="0" w:color="auto"/>
            </w:tcBorders>
          </w:tcPr>
          <w:p>
            <w:pPr>
              <w:pStyle w:val="TableParagraph"/>
              <w:spacing w:line="233" w:lineRule="exact"/>
              <w:ind w:right="45"/>
              <w:jc w:val="right"/>
              <w:rPr>
                <w:rFonts w:ascii="宋体" w:hAnsi="宋体" w:cs="宋体" w:eastAsia="宋体" w:hint="default"/>
                <w:sz w:val="18"/>
                <w:szCs w:val="18"/>
              </w:rPr>
            </w:pPr>
            <w:r>
              <w:rPr>
                <w:rFonts w:ascii="宋体"/>
                <w:sz w:val="18"/>
              </w:rPr>
              <w:t>0.00</w:t>
            </w:r>
          </w:p>
        </w:tc>
      </w:tr>
      <w:tr>
        <w:trPr>
          <w:trHeight w:val="286" w:hRule="exact"/>
        </w:trPr>
        <w:tc>
          <w:tcPr>
            <w:tcW w:w="2058" w:type="dxa"/>
            <w:tcBorders>
              <w:top w:val="nil" w:sz="6" w:space="0" w:color="auto"/>
              <w:left w:val="nil" w:sz="6" w:space="0" w:color="auto"/>
              <w:bottom w:val="nil" w:sz="6" w:space="0" w:color="auto"/>
              <w:right w:val="nil" w:sz="6" w:space="0" w:color="auto"/>
            </w:tcBorders>
          </w:tcPr>
          <w:p>
            <w:pPr>
              <w:pStyle w:val="TableParagraph"/>
              <w:spacing w:line="233" w:lineRule="exact"/>
              <w:ind w:left="4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本年减少金额</w:t>
            </w:r>
          </w:p>
        </w:tc>
        <w:tc>
          <w:tcPr>
            <w:tcW w:w="2235" w:type="dxa"/>
            <w:tcBorders>
              <w:top w:val="nil" w:sz="6" w:space="0" w:color="auto"/>
              <w:left w:val="nil" w:sz="6" w:space="0" w:color="auto"/>
              <w:bottom w:val="nil" w:sz="6" w:space="0" w:color="auto"/>
              <w:right w:val="nil" w:sz="6" w:space="0" w:color="auto"/>
            </w:tcBorders>
          </w:tcPr>
          <w:p>
            <w:pPr>
              <w:pStyle w:val="TableParagraph"/>
              <w:spacing w:line="233" w:lineRule="exact"/>
              <w:ind w:right="127"/>
              <w:jc w:val="right"/>
              <w:rPr>
                <w:rFonts w:ascii="宋体" w:hAnsi="宋体" w:cs="宋体" w:eastAsia="宋体" w:hint="default"/>
                <w:sz w:val="18"/>
                <w:szCs w:val="18"/>
              </w:rPr>
            </w:pPr>
            <w:r>
              <w:rPr>
                <w:rFonts w:ascii="宋体"/>
                <w:spacing w:val="-1"/>
                <w:sz w:val="18"/>
              </w:rPr>
              <w:t>123,952,201.43</w:t>
            </w:r>
          </w:p>
        </w:tc>
        <w:tc>
          <w:tcPr>
            <w:tcW w:w="1471" w:type="dxa"/>
            <w:tcBorders>
              <w:top w:val="nil" w:sz="6" w:space="0" w:color="auto"/>
              <w:left w:val="nil" w:sz="6" w:space="0" w:color="auto"/>
              <w:bottom w:val="nil" w:sz="6" w:space="0" w:color="auto"/>
              <w:right w:val="nil" w:sz="6" w:space="0" w:color="auto"/>
            </w:tcBorders>
          </w:tcPr>
          <w:p>
            <w:pPr>
              <w:pStyle w:val="TableParagraph"/>
              <w:spacing w:line="233" w:lineRule="exact"/>
              <w:ind w:right="81"/>
              <w:jc w:val="right"/>
              <w:rPr>
                <w:rFonts w:ascii="宋体" w:hAnsi="宋体" w:cs="宋体" w:eastAsia="宋体" w:hint="default"/>
                <w:sz w:val="18"/>
                <w:szCs w:val="18"/>
              </w:rPr>
            </w:pPr>
            <w:r>
              <w:rPr>
                <w:rFonts w:ascii="宋体"/>
                <w:spacing w:val="-1"/>
                <w:sz w:val="18"/>
              </w:rPr>
              <w:t>28,529,098.05</w:t>
            </w:r>
          </w:p>
        </w:tc>
        <w:tc>
          <w:tcPr>
            <w:tcW w:w="1381" w:type="dxa"/>
            <w:tcBorders>
              <w:top w:val="nil" w:sz="6" w:space="0" w:color="auto"/>
              <w:left w:val="nil" w:sz="6" w:space="0" w:color="auto"/>
              <w:bottom w:val="nil" w:sz="6" w:space="0" w:color="auto"/>
              <w:right w:val="nil" w:sz="6" w:space="0" w:color="auto"/>
            </w:tcBorders>
          </w:tcPr>
          <w:p>
            <w:pPr>
              <w:pStyle w:val="TableParagraph"/>
              <w:spacing w:line="233" w:lineRule="exact"/>
              <w:ind w:right="125"/>
              <w:jc w:val="right"/>
              <w:rPr>
                <w:rFonts w:ascii="宋体" w:hAnsi="宋体" w:cs="宋体" w:eastAsia="宋体" w:hint="default"/>
                <w:sz w:val="18"/>
                <w:szCs w:val="18"/>
              </w:rPr>
            </w:pPr>
            <w:r>
              <w:rPr>
                <w:rFonts w:ascii="宋体"/>
                <w:spacing w:val="-1"/>
                <w:sz w:val="18"/>
              </w:rPr>
              <w:t>9,988.00</w:t>
            </w:r>
          </w:p>
        </w:tc>
        <w:tc>
          <w:tcPr>
            <w:tcW w:w="1615" w:type="dxa"/>
            <w:tcBorders>
              <w:top w:val="nil" w:sz="6" w:space="0" w:color="auto"/>
              <w:left w:val="nil" w:sz="6" w:space="0" w:color="auto"/>
              <w:bottom w:val="nil" w:sz="6" w:space="0" w:color="auto"/>
              <w:right w:val="nil" w:sz="6" w:space="0" w:color="auto"/>
            </w:tcBorders>
          </w:tcPr>
          <w:p>
            <w:pPr>
              <w:pStyle w:val="TableParagraph"/>
              <w:spacing w:line="233" w:lineRule="exact"/>
              <w:ind w:right="47"/>
              <w:jc w:val="right"/>
              <w:rPr>
                <w:rFonts w:ascii="宋体" w:hAnsi="宋体" w:cs="宋体" w:eastAsia="宋体" w:hint="default"/>
                <w:sz w:val="18"/>
                <w:szCs w:val="18"/>
              </w:rPr>
            </w:pPr>
            <w:r>
              <w:rPr>
                <w:rFonts w:ascii="宋体"/>
                <w:spacing w:val="-1"/>
                <w:sz w:val="18"/>
              </w:rPr>
              <w:t>152,491,287.48</w:t>
            </w:r>
          </w:p>
        </w:tc>
      </w:tr>
      <w:tr>
        <w:trPr>
          <w:trHeight w:val="284" w:hRule="exact"/>
        </w:trPr>
        <w:tc>
          <w:tcPr>
            <w:tcW w:w="2058" w:type="dxa"/>
            <w:tcBorders>
              <w:top w:val="nil" w:sz="6" w:space="0" w:color="auto"/>
              <w:left w:val="nil" w:sz="6" w:space="0" w:color="auto"/>
              <w:bottom w:val="nil" w:sz="6" w:space="0" w:color="auto"/>
              <w:right w:val="nil" w:sz="6" w:space="0" w:color="auto"/>
            </w:tcBorders>
          </w:tcPr>
          <w:p>
            <w:pPr>
              <w:pStyle w:val="TableParagraph"/>
              <w:spacing w:line="233" w:lineRule="exact"/>
              <w:ind w:left="4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2235" w:type="dxa"/>
            <w:tcBorders>
              <w:top w:val="nil" w:sz="6" w:space="0" w:color="auto"/>
              <w:left w:val="nil" w:sz="6" w:space="0" w:color="auto"/>
              <w:bottom w:val="nil" w:sz="6" w:space="0" w:color="auto"/>
              <w:right w:val="nil" w:sz="6" w:space="0" w:color="auto"/>
            </w:tcBorders>
          </w:tcPr>
          <w:p>
            <w:pPr>
              <w:pStyle w:val="TableParagraph"/>
              <w:spacing w:line="233" w:lineRule="exact"/>
              <w:ind w:right="127"/>
              <w:jc w:val="right"/>
              <w:rPr>
                <w:rFonts w:ascii="宋体" w:hAnsi="宋体" w:cs="宋体" w:eastAsia="宋体" w:hint="default"/>
                <w:sz w:val="18"/>
                <w:szCs w:val="18"/>
              </w:rPr>
            </w:pPr>
            <w:r>
              <w:rPr>
                <w:rFonts w:ascii="宋体"/>
                <w:spacing w:val="-1"/>
                <w:sz w:val="18"/>
              </w:rPr>
              <w:t>123,952,201.43</w:t>
            </w:r>
          </w:p>
        </w:tc>
        <w:tc>
          <w:tcPr>
            <w:tcW w:w="1471" w:type="dxa"/>
            <w:tcBorders>
              <w:top w:val="nil" w:sz="6" w:space="0" w:color="auto"/>
              <w:left w:val="nil" w:sz="6" w:space="0" w:color="auto"/>
              <w:bottom w:val="nil" w:sz="6" w:space="0" w:color="auto"/>
              <w:right w:val="nil" w:sz="6" w:space="0" w:color="auto"/>
            </w:tcBorders>
          </w:tcPr>
          <w:p>
            <w:pPr>
              <w:pStyle w:val="TableParagraph"/>
              <w:spacing w:line="233" w:lineRule="exact"/>
              <w:ind w:right="81"/>
              <w:jc w:val="right"/>
              <w:rPr>
                <w:rFonts w:ascii="宋体" w:hAnsi="宋体" w:cs="宋体" w:eastAsia="宋体" w:hint="default"/>
                <w:sz w:val="18"/>
                <w:szCs w:val="18"/>
              </w:rPr>
            </w:pPr>
            <w:r>
              <w:rPr>
                <w:rFonts w:ascii="宋体"/>
                <w:spacing w:val="-1"/>
                <w:sz w:val="18"/>
              </w:rPr>
              <w:t>28,529,098.05</w:t>
            </w:r>
          </w:p>
        </w:tc>
        <w:tc>
          <w:tcPr>
            <w:tcW w:w="1381" w:type="dxa"/>
            <w:tcBorders>
              <w:top w:val="nil" w:sz="6" w:space="0" w:color="auto"/>
              <w:left w:val="nil" w:sz="6" w:space="0" w:color="auto"/>
              <w:bottom w:val="nil" w:sz="6" w:space="0" w:color="auto"/>
              <w:right w:val="nil" w:sz="6" w:space="0" w:color="auto"/>
            </w:tcBorders>
          </w:tcPr>
          <w:p>
            <w:pPr>
              <w:pStyle w:val="TableParagraph"/>
              <w:spacing w:line="233" w:lineRule="exact"/>
              <w:ind w:right="125"/>
              <w:jc w:val="right"/>
              <w:rPr>
                <w:rFonts w:ascii="宋体" w:hAnsi="宋体" w:cs="宋体" w:eastAsia="宋体" w:hint="default"/>
                <w:sz w:val="18"/>
                <w:szCs w:val="18"/>
              </w:rPr>
            </w:pPr>
            <w:r>
              <w:rPr>
                <w:rFonts w:ascii="宋体"/>
                <w:spacing w:val="-1"/>
                <w:sz w:val="18"/>
              </w:rPr>
              <w:t>9,988.00</w:t>
            </w:r>
          </w:p>
        </w:tc>
        <w:tc>
          <w:tcPr>
            <w:tcW w:w="1615" w:type="dxa"/>
            <w:tcBorders>
              <w:top w:val="nil" w:sz="6" w:space="0" w:color="auto"/>
              <w:left w:val="nil" w:sz="6" w:space="0" w:color="auto"/>
              <w:bottom w:val="nil" w:sz="6" w:space="0" w:color="auto"/>
              <w:right w:val="nil" w:sz="6" w:space="0" w:color="auto"/>
            </w:tcBorders>
          </w:tcPr>
          <w:p>
            <w:pPr>
              <w:pStyle w:val="TableParagraph"/>
              <w:spacing w:line="233" w:lineRule="exact"/>
              <w:ind w:right="47"/>
              <w:jc w:val="right"/>
              <w:rPr>
                <w:rFonts w:ascii="宋体" w:hAnsi="宋体" w:cs="宋体" w:eastAsia="宋体" w:hint="default"/>
                <w:sz w:val="18"/>
                <w:szCs w:val="18"/>
              </w:rPr>
            </w:pPr>
            <w:r>
              <w:rPr>
                <w:rFonts w:ascii="宋体"/>
                <w:spacing w:val="-1"/>
                <w:sz w:val="18"/>
              </w:rPr>
              <w:t>152,491,287.48</w:t>
            </w:r>
          </w:p>
        </w:tc>
      </w:tr>
      <w:tr>
        <w:trPr>
          <w:trHeight w:val="290" w:hRule="exact"/>
        </w:trPr>
        <w:tc>
          <w:tcPr>
            <w:tcW w:w="2058" w:type="dxa"/>
            <w:tcBorders>
              <w:top w:val="nil" w:sz="6" w:space="0" w:color="auto"/>
              <w:left w:val="nil" w:sz="6" w:space="0" w:color="auto"/>
              <w:bottom w:val="single" w:sz="4" w:space="0" w:color="000000"/>
              <w:right w:val="nil" w:sz="6" w:space="0" w:color="auto"/>
            </w:tcBorders>
          </w:tcPr>
          <w:p>
            <w:pPr>
              <w:pStyle w:val="TableParagraph"/>
              <w:spacing w:line="232" w:lineRule="exact"/>
              <w:ind w:left="4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年末余额</w:t>
            </w:r>
          </w:p>
        </w:tc>
        <w:tc>
          <w:tcPr>
            <w:tcW w:w="2235" w:type="dxa"/>
            <w:tcBorders>
              <w:top w:val="nil" w:sz="6" w:space="0" w:color="auto"/>
              <w:left w:val="nil" w:sz="6" w:space="0" w:color="auto"/>
              <w:bottom w:val="single" w:sz="4" w:space="0" w:color="000000"/>
              <w:right w:val="nil" w:sz="6" w:space="0" w:color="auto"/>
            </w:tcBorders>
          </w:tcPr>
          <w:p>
            <w:pPr>
              <w:pStyle w:val="TableParagraph"/>
              <w:spacing w:line="232" w:lineRule="exact"/>
              <w:ind w:right="127"/>
              <w:jc w:val="right"/>
              <w:rPr>
                <w:rFonts w:ascii="宋体" w:hAnsi="宋体" w:cs="宋体" w:eastAsia="宋体" w:hint="default"/>
                <w:sz w:val="18"/>
                <w:szCs w:val="18"/>
              </w:rPr>
            </w:pPr>
            <w:r>
              <w:rPr>
                <w:rFonts w:ascii="宋体"/>
                <w:spacing w:val="-1"/>
                <w:sz w:val="18"/>
              </w:rPr>
              <w:t>176,486,258.17</w:t>
            </w:r>
          </w:p>
        </w:tc>
        <w:tc>
          <w:tcPr>
            <w:tcW w:w="1471" w:type="dxa"/>
            <w:tcBorders>
              <w:top w:val="nil" w:sz="6" w:space="0" w:color="auto"/>
              <w:left w:val="nil" w:sz="6" w:space="0" w:color="auto"/>
              <w:bottom w:val="single" w:sz="4" w:space="0" w:color="000000"/>
              <w:right w:val="nil" w:sz="6" w:space="0" w:color="auto"/>
            </w:tcBorders>
          </w:tcPr>
          <w:p>
            <w:pPr>
              <w:pStyle w:val="TableParagraph"/>
              <w:spacing w:line="232" w:lineRule="exact"/>
              <w:ind w:right="81"/>
              <w:jc w:val="right"/>
              <w:rPr>
                <w:rFonts w:ascii="宋体" w:hAnsi="宋体" w:cs="宋体" w:eastAsia="宋体" w:hint="default"/>
                <w:sz w:val="18"/>
                <w:szCs w:val="18"/>
              </w:rPr>
            </w:pPr>
            <w:r>
              <w:rPr>
                <w:rFonts w:ascii="宋体"/>
                <w:spacing w:val="-1"/>
                <w:sz w:val="18"/>
              </w:rPr>
              <w:t>361,953,358.63</w:t>
            </w:r>
          </w:p>
        </w:tc>
        <w:tc>
          <w:tcPr>
            <w:tcW w:w="1381" w:type="dxa"/>
            <w:tcBorders>
              <w:top w:val="nil" w:sz="6" w:space="0" w:color="auto"/>
              <w:left w:val="nil" w:sz="6" w:space="0" w:color="auto"/>
              <w:bottom w:val="single" w:sz="4" w:space="0" w:color="000000"/>
              <w:right w:val="nil" w:sz="6" w:space="0" w:color="auto"/>
            </w:tcBorders>
          </w:tcPr>
          <w:p>
            <w:pPr>
              <w:pStyle w:val="TableParagraph"/>
              <w:spacing w:line="232" w:lineRule="exact"/>
              <w:ind w:right="125"/>
              <w:jc w:val="right"/>
              <w:rPr>
                <w:rFonts w:ascii="宋体" w:hAnsi="宋体" w:cs="宋体" w:eastAsia="宋体" w:hint="default"/>
                <w:sz w:val="18"/>
                <w:szCs w:val="18"/>
              </w:rPr>
            </w:pPr>
            <w:r>
              <w:rPr>
                <w:rFonts w:ascii="宋体"/>
                <w:spacing w:val="-1"/>
                <w:sz w:val="18"/>
              </w:rPr>
              <w:t>1,507,551.00</w:t>
            </w:r>
          </w:p>
        </w:tc>
        <w:tc>
          <w:tcPr>
            <w:tcW w:w="1615" w:type="dxa"/>
            <w:tcBorders>
              <w:top w:val="nil" w:sz="6" w:space="0" w:color="auto"/>
              <w:left w:val="nil" w:sz="6" w:space="0" w:color="auto"/>
              <w:bottom w:val="single" w:sz="4" w:space="0" w:color="000000"/>
              <w:right w:val="nil" w:sz="6" w:space="0" w:color="auto"/>
            </w:tcBorders>
          </w:tcPr>
          <w:p>
            <w:pPr>
              <w:pStyle w:val="TableParagraph"/>
              <w:spacing w:line="232" w:lineRule="exact"/>
              <w:ind w:right="47"/>
              <w:jc w:val="right"/>
              <w:rPr>
                <w:rFonts w:ascii="宋体" w:hAnsi="宋体" w:cs="宋体" w:eastAsia="宋体" w:hint="default"/>
                <w:sz w:val="18"/>
                <w:szCs w:val="18"/>
              </w:rPr>
            </w:pPr>
            <w:r>
              <w:rPr>
                <w:rFonts w:ascii="宋体"/>
                <w:spacing w:val="-1"/>
                <w:sz w:val="18"/>
              </w:rPr>
              <w:t>539,947,167.80</w:t>
            </w:r>
          </w:p>
        </w:tc>
      </w:tr>
      <w:tr>
        <w:trPr>
          <w:trHeight w:val="289" w:hRule="exact"/>
        </w:trPr>
        <w:tc>
          <w:tcPr>
            <w:tcW w:w="2058" w:type="dxa"/>
            <w:tcBorders>
              <w:top w:val="single" w:sz="4" w:space="0" w:color="000000"/>
              <w:left w:val="nil" w:sz="6" w:space="0" w:color="auto"/>
              <w:bottom w:val="nil" w:sz="6" w:space="0" w:color="auto"/>
              <w:right w:val="nil" w:sz="6" w:space="0" w:color="auto"/>
            </w:tcBorders>
          </w:tcPr>
          <w:p>
            <w:pPr>
              <w:pStyle w:val="TableParagraph"/>
              <w:spacing w:line="232" w:lineRule="exact"/>
              <w:ind w:left="40"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235" w:type="dxa"/>
            <w:tcBorders>
              <w:top w:val="single" w:sz="4" w:space="0" w:color="000000"/>
              <w:left w:val="nil" w:sz="6" w:space="0" w:color="auto"/>
              <w:bottom w:val="nil" w:sz="6" w:space="0" w:color="auto"/>
              <w:right w:val="nil" w:sz="6" w:space="0" w:color="auto"/>
            </w:tcBorders>
          </w:tcPr>
          <w:p>
            <w:pPr/>
          </w:p>
        </w:tc>
        <w:tc>
          <w:tcPr>
            <w:tcW w:w="1471" w:type="dxa"/>
            <w:tcBorders>
              <w:top w:val="single" w:sz="4" w:space="0" w:color="000000"/>
              <w:left w:val="nil" w:sz="6" w:space="0" w:color="auto"/>
              <w:bottom w:val="nil" w:sz="6" w:space="0" w:color="auto"/>
              <w:right w:val="nil" w:sz="6" w:space="0" w:color="auto"/>
            </w:tcBorders>
          </w:tcPr>
          <w:p>
            <w:pPr/>
          </w:p>
        </w:tc>
        <w:tc>
          <w:tcPr>
            <w:tcW w:w="1381" w:type="dxa"/>
            <w:tcBorders>
              <w:top w:val="single" w:sz="4" w:space="0" w:color="000000"/>
              <w:left w:val="nil" w:sz="6" w:space="0" w:color="auto"/>
              <w:bottom w:val="nil" w:sz="6" w:space="0" w:color="auto"/>
              <w:right w:val="nil" w:sz="6" w:space="0" w:color="auto"/>
            </w:tcBorders>
          </w:tcPr>
          <w:p>
            <w:pPr/>
          </w:p>
        </w:tc>
        <w:tc>
          <w:tcPr>
            <w:tcW w:w="1615" w:type="dxa"/>
            <w:tcBorders>
              <w:top w:val="single" w:sz="4" w:space="0" w:color="000000"/>
              <w:left w:val="nil" w:sz="6" w:space="0" w:color="auto"/>
              <w:bottom w:val="nil" w:sz="6" w:space="0" w:color="auto"/>
              <w:right w:val="nil" w:sz="6" w:space="0" w:color="auto"/>
            </w:tcBorders>
          </w:tcPr>
          <w:p>
            <w:pPr/>
          </w:p>
        </w:tc>
      </w:tr>
      <w:tr>
        <w:trPr>
          <w:trHeight w:val="286" w:hRule="exact"/>
        </w:trPr>
        <w:tc>
          <w:tcPr>
            <w:tcW w:w="2058" w:type="dxa"/>
            <w:tcBorders>
              <w:top w:val="nil" w:sz="6" w:space="0" w:color="auto"/>
              <w:left w:val="nil" w:sz="6" w:space="0" w:color="auto"/>
              <w:bottom w:val="nil" w:sz="6" w:space="0" w:color="auto"/>
              <w:right w:val="nil" w:sz="6" w:space="0" w:color="auto"/>
            </w:tcBorders>
          </w:tcPr>
          <w:p>
            <w:pPr>
              <w:pStyle w:val="TableParagraph"/>
              <w:spacing w:line="233" w:lineRule="exact"/>
              <w:ind w:left="4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年末账面价值</w:t>
            </w:r>
          </w:p>
        </w:tc>
        <w:tc>
          <w:tcPr>
            <w:tcW w:w="2235" w:type="dxa"/>
            <w:tcBorders>
              <w:top w:val="nil" w:sz="6" w:space="0" w:color="auto"/>
              <w:left w:val="nil" w:sz="6" w:space="0" w:color="auto"/>
              <w:bottom w:val="nil" w:sz="6" w:space="0" w:color="auto"/>
              <w:right w:val="nil" w:sz="6" w:space="0" w:color="auto"/>
            </w:tcBorders>
          </w:tcPr>
          <w:p>
            <w:pPr>
              <w:pStyle w:val="TableParagraph"/>
              <w:spacing w:line="233" w:lineRule="exact"/>
              <w:ind w:right="127"/>
              <w:jc w:val="right"/>
              <w:rPr>
                <w:rFonts w:ascii="宋体" w:hAnsi="宋体" w:cs="宋体" w:eastAsia="宋体" w:hint="default"/>
                <w:sz w:val="18"/>
                <w:szCs w:val="18"/>
              </w:rPr>
            </w:pPr>
            <w:r>
              <w:rPr>
                <w:rFonts w:ascii="宋体"/>
                <w:spacing w:val="-1"/>
                <w:sz w:val="18"/>
              </w:rPr>
              <w:t>2,831,176,878.86</w:t>
            </w:r>
          </w:p>
        </w:tc>
        <w:tc>
          <w:tcPr>
            <w:tcW w:w="1471" w:type="dxa"/>
            <w:tcBorders>
              <w:top w:val="nil" w:sz="6" w:space="0" w:color="auto"/>
              <w:left w:val="nil" w:sz="6" w:space="0" w:color="auto"/>
              <w:bottom w:val="nil" w:sz="6" w:space="0" w:color="auto"/>
              <w:right w:val="nil" w:sz="6" w:space="0" w:color="auto"/>
            </w:tcBorders>
          </w:tcPr>
          <w:p>
            <w:pPr>
              <w:pStyle w:val="TableParagraph"/>
              <w:spacing w:line="233" w:lineRule="exact"/>
              <w:ind w:right="81"/>
              <w:jc w:val="right"/>
              <w:rPr>
                <w:rFonts w:ascii="宋体" w:hAnsi="宋体" w:cs="宋体" w:eastAsia="宋体" w:hint="default"/>
                <w:sz w:val="18"/>
                <w:szCs w:val="18"/>
              </w:rPr>
            </w:pPr>
            <w:r>
              <w:rPr>
                <w:rFonts w:ascii="宋体"/>
                <w:spacing w:val="-1"/>
                <w:sz w:val="18"/>
              </w:rPr>
              <w:t>933,759,893.97</w:t>
            </w:r>
          </w:p>
        </w:tc>
        <w:tc>
          <w:tcPr>
            <w:tcW w:w="1381" w:type="dxa"/>
            <w:tcBorders>
              <w:top w:val="nil" w:sz="6" w:space="0" w:color="auto"/>
              <w:left w:val="nil" w:sz="6" w:space="0" w:color="auto"/>
              <w:bottom w:val="nil" w:sz="6" w:space="0" w:color="auto"/>
              <w:right w:val="nil" w:sz="6" w:space="0" w:color="auto"/>
            </w:tcBorders>
          </w:tcPr>
          <w:p>
            <w:pPr>
              <w:pStyle w:val="TableParagraph"/>
              <w:spacing w:line="233" w:lineRule="exact"/>
              <w:ind w:right="125"/>
              <w:jc w:val="right"/>
              <w:rPr>
                <w:rFonts w:ascii="宋体" w:hAnsi="宋体" w:cs="宋体" w:eastAsia="宋体" w:hint="default"/>
                <w:sz w:val="18"/>
                <w:szCs w:val="18"/>
              </w:rPr>
            </w:pPr>
            <w:r>
              <w:rPr>
                <w:rFonts w:ascii="宋体"/>
                <w:spacing w:val="-1"/>
                <w:sz w:val="18"/>
              </w:rPr>
              <w:t>49,281,831.91</w:t>
            </w:r>
          </w:p>
        </w:tc>
        <w:tc>
          <w:tcPr>
            <w:tcW w:w="1615" w:type="dxa"/>
            <w:tcBorders>
              <w:top w:val="nil" w:sz="6" w:space="0" w:color="auto"/>
              <w:left w:val="nil" w:sz="6" w:space="0" w:color="auto"/>
              <w:bottom w:val="nil" w:sz="6" w:space="0" w:color="auto"/>
              <w:right w:val="nil" w:sz="6" w:space="0" w:color="auto"/>
            </w:tcBorders>
          </w:tcPr>
          <w:p>
            <w:pPr>
              <w:pStyle w:val="TableParagraph"/>
              <w:spacing w:line="233" w:lineRule="exact"/>
              <w:ind w:right="46"/>
              <w:jc w:val="right"/>
              <w:rPr>
                <w:rFonts w:ascii="宋体" w:hAnsi="宋体" w:cs="宋体" w:eastAsia="宋体" w:hint="default"/>
                <w:sz w:val="18"/>
                <w:szCs w:val="18"/>
              </w:rPr>
            </w:pPr>
            <w:r>
              <w:rPr>
                <w:rFonts w:ascii="宋体"/>
                <w:spacing w:val="-1"/>
                <w:sz w:val="18"/>
              </w:rPr>
              <w:t>3,814,218,604.74</w:t>
            </w:r>
          </w:p>
        </w:tc>
      </w:tr>
      <w:tr>
        <w:trPr>
          <w:trHeight w:val="301" w:hRule="exact"/>
        </w:trPr>
        <w:tc>
          <w:tcPr>
            <w:tcW w:w="2058" w:type="dxa"/>
            <w:tcBorders>
              <w:top w:val="nil" w:sz="6" w:space="0" w:color="auto"/>
              <w:left w:val="nil" w:sz="6" w:space="0" w:color="auto"/>
              <w:bottom w:val="single" w:sz="12" w:space="0" w:color="000000"/>
              <w:right w:val="nil" w:sz="6" w:space="0" w:color="auto"/>
            </w:tcBorders>
          </w:tcPr>
          <w:p>
            <w:pPr>
              <w:pStyle w:val="TableParagraph"/>
              <w:spacing w:line="233" w:lineRule="exact"/>
              <w:ind w:left="4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年初账面价值</w:t>
            </w:r>
          </w:p>
        </w:tc>
        <w:tc>
          <w:tcPr>
            <w:tcW w:w="2235" w:type="dxa"/>
            <w:tcBorders>
              <w:top w:val="nil" w:sz="6" w:space="0" w:color="auto"/>
              <w:left w:val="nil" w:sz="6" w:space="0" w:color="auto"/>
              <w:bottom w:val="single" w:sz="12" w:space="0" w:color="000000"/>
              <w:right w:val="nil" w:sz="6" w:space="0" w:color="auto"/>
            </w:tcBorders>
          </w:tcPr>
          <w:p>
            <w:pPr>
              <w:pStyle w:val="TableParagraph"/>
              <w:spacing w:line="233" w:lineRule="exact"/>
              <w:ind w:right="127"/>
              <w:jc w:val="right"/>
              <w:rPr>
                <w:rFonts w:ascii="宋体" w:hAnsi="宋体" w:cs="宋体" w:eastAsia="宋体" w:hint="default"/>
                <w:sz w:val="18"/>
                <w:szCs w:val="18"/>
              </w:rPr>
            </w:pPr>
            <w:r>
              <w:rPr>
                <w:rFonts w:ascii="宋体"/>
                <w:spacing w:val="-1"/>
                <w:sz w:val="18"/>
              </w:rPr>
              <w:t>2,767,817,963.60</w:t>
            </w:r>
          </w:p>
        </w:tc>
        <w:tc>
          <w:tcPr>
            <w:tcW w:w="1471" w:type="dxa"/>
            <w:tcBorders>
              <w:top w:val="nil" w:sz="6" w:space="0" w:color="auto"/>
              <w:left w:val="nil" w:sz="6" w:space="0" w:color="auto"/>
              <w:bottom w:val="single" w:sz="12" w:space="0" w:color="000000"/>
              <w:right w:val="nil" w:sz="6" w:space="0" w:color="auto"/>
            </w:tcBorders>
          </w:tcPr>
          <w:p>
            <w:pPr>
              <w:pStyle w:val="TableParagraph"/>
              <w:spacing w:line="233" w:lineRule="exact"/>
              <w:ind w:right="81"/>
              <w:jc w:val="right"/>
              <w:rPr>
                <w:rFonts w:ascii="宋体" w:hAnsi="宋体" w:cs="宋体" w:eastAsia="宋体" w:hint="default"/>
                <w:sz w:val="18"/>
                <w:szCs w:val="18"/>
              </w:rPr>
            </w:pPr>
            <w:r>
              <w:rPr>
                <w:rFonts w:ascii="宋体"/>
                <w:spacing w:val="-1"/>
                <w:sz w:val="18"/>
              </w:rPr>
              <w:t>864,508,094.65</w:t>
            </w:r>
          </w:p>
        </w:tc>
        <w:tc>
          <w:tcPr>
            <w:tcW w:w="1381" w:type="dxa"/>
            <w:tcBorders>
              <w:top w:val="nil" w:sz="6" w:space="0" w:color="auto"/>
              <w:left w:val="nil" w:sz="6" w:space="0" w:color="auto"/>
              <w:bottom w:val="single" w:sz="12" w:space="0" w:color="000000"/>
              <w:right w:val="nil" w:sz="6" w:space="0" w:color="auto"/>
            </w:tcBorders>
          </w:tcPr>
          <w:p>
            <w:pPr>
              <w:pStyle w:val="TableParagraph"/>
              <w:spacing w:line="233" w:lineRule="exact"/>
              <w:ind w:right="125"/>
              <w:jc w:val="right"/>
              <w:rPr>
                <w:rFonts w:ascii="宋体" w:hAnsi="宋体" w:cs="宋体" w:eastAsia="宋体" w:hint="default"/>
                <w:sz w:val="18"/>
                <w:szCs w:val="18"/>
              </w:rPr>
            </w:pPr>
            <w:r>
              <w:rPr>
                <w:rFonts w:ascii="宋体"/>
                <w:spacing w:val="-1"/>
                <w:sz w:val="18"/>
              </w:rPr>
              <w:t>51,698,688.34</w:t>
            </w:r>
          </w:p>
        </w:tc>
        <w:tc>
          <w:tcPr>
            <w:tcW w:w="1615" w:type="dxa"/>
            <w:tcBorders>
              <w:top w:val="nil" w:sz="6" w:space="0" w:color="auto"/>
              <w:left w:val="nil" w:sz="6" w:space="0" w:color="auto"/>
              <w:bottom w:val="single" w:sz="12" w:space="0" w:color="000000"/>
              <w:right w:val="nil" w:sz="6" w:space="0" w:color="auto"/>
            </w:tcBorders>
          </w:tcPr>
          <w:p>
            <w:pPr>
              <w:pStyle w:val="TableParagraph"/>
              <w:spacing w:line="233" w:lineRule="exact"/>
              <w:ind w:right="46"/>
              <w:jc w:val="right"/>
              <w:rPr>
                <w:rFonts w:ascii="宋体" w:hAnsi="宋体" w:cs="宋体" w:eastAsia="宋体" w:hint="default"/>
                <w:sz w:val="18"/>
                <w:szCs w:val="18"/>
              </w:rPr>
            </w:pPr>
            <w:r>
              <w:rPr>
                <w:rFonts w:ascii="宋体"/>
                <w:spacing w:val="-1"/>
                <w:sz w:val="18"/>
              </w:rPr>
              <w:t>3,684,024,746.59</w:t>
            </w:r>
          </w:p>
        </w:tc>
      </w:tr>
    </w:tbl>
    <w:p>
      <w:pPr>
        <w:spacing w:before="81"/>
        <w:ind w:left="162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14.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在建工程</w:t>
      </w:r>
    </w:p>
    <w:p>
      <w:pPr>
        <w:spacing w:before="113"/>
        <w:ind w:left="1675"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5"/>
          <w:sz w:val="22"/>
          <w:szCs w:val="22"/>
        </w:rPr>
        <w:t> </w:t>
      </w:r>
      <w:r>
        <w:rPr>
          <w:rFonts w:ascii="宋体" w:hAnsi="宋体" w:cs="宋体" w:eastAsia="宋体" w:hint="default"/>
          <w:sz w:val="22"/>
          <w:szCs w:val="22"/>
        </w:rPr>
        <w:t>在建工程明细表</w:t>
      </w:r>
    </w:p>
    <w:p>
      <w:pPr>
        <w:spacing w:line="240" w:lineRule="auto" w:before="12"/>
        <w:rPr>
          <w:rFonts w:ascii="宋体" w:hAnsi="宋体" w:cs="宋体" w:eastAsia="宋体" w:hint="default"/>
          <w:sz w:val="12"/>
          <w:szCs w:val="12"/>
        </w:rPr>
      </w:pPr>
    </w:p>
    <w:p>
      <w:pPr>
        <w:spacing w:line="28" w:lineRule="exact"/>
        <w:ind w:left="1066" w:right="0" w:firstLine="0"/>
        <w:rPr>
          <w:rFonts w:ascii="宋体" w:hAnsi="宋体" w:cs="宋体" w:eastAsia="宋体" w:hint="default"/>
          <w:sz w:val="2"/>
          <w:szCs w:val="2"/>
        </w:rPr>
      </w:pPr>
      <w:r>
        <w:rPr>
          <w:rFonts w:ascii="宋体" w:hAnsi="宋体" w:cs="宋体" w:eastAsia="宋体" w:hint="default"/>
          <w:position w:val="0"/>
          <w:sz w:val="2"/>
          <w:szCs w:val="2"/>
        </w:rPr>
        <w:pict>
          <v:group style="width:440.95pt;height:1.45pt;mso-position-horizontal-relative:char;mso-position-vertical-relative:line" coordorigin="0,0" coordsize="8819,29">
            <v:group style="position:absolute;left:14;top:14;width:2331;height:2" coordorigin="14,14" coordsize="2331,2">
              <v:shape style="position:absolute;left:14;top:14;width:2331;height:2" coordorigin="14,14" coordsize="2331,0" path="m14,14l2345,14e" filled="false" stroked="true" strokeweight="1.44pt" strokecolor="#000000">
                <v:path arrowok="t"/>
              </v:shape>
            </v:group>
            <v:group style="position:absolute;left:2345;top:14;width:29;height:2" coordorigin="2345,14" coordsize="29,2">
              <v:shape style="position:absolute;left:2345;top:14;width:29;height:2" coordorigin="2345,14" coordsize="29,0" path="m2345,14l2374,14e" filled="false" stroked="true" strokeweight="1.44pt" strokecolor="#000000">
                <v:path arrowok="t"/>
              </v:shape>
            </v:group>
            <v:group style="position:absolute;left:2374;top:14;width:3202;height:2" coordorigin="2374,14" coordsize="3202,2">
              <v:shape style="position:absolute;left:2374;top:14;width:3202;height:2" coordorigin="2374,14" coordsize="3202,0" path="m2374,14l5576,14e" filled="false" stroked="true" strokeweight="1.44pt" strokecolor="#000000">
                <v:path arrowok="t"/>
              </v:shape>
            </v:group>
            <v:group style="position:absolute;left:5576;top:14;width:29;height:2" coordorigin="5576,14" coordsize="29,2">
              <v:shape style="position:absolute;left:5576;top:14;width:29;height:2" coordorigin="5576,14" coordsize="29,0" path="m5576,14l5605,14e" filled="false" stroked="true" strokeweight="1.44pt" strokecolor="#000000">
                <v:path arrowok="t"/>
              </v:shape>
            </v:group>
            <v:group style="position:absolute;left:5605;top:14;width:3200;height:2" coordorigin="5605,14" coordsize="3200,2">
              <v:shape style="position:absolute;left:5605;top:14;width:3200;height:2" coordorigin="5605,14" coordsize="3200,0" path="m5605,14l8805,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0" w:footer="1054" w:top="1320" w:bottom="1240" w:left="480" w:right="460"/>
        </w:sectPr>
      </w:pPr>
    </w:p>
    <w:p>
      <w:pPr>
        <w:spacing w:before="143"/>
        <w:ind w:left="1106"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spacing w:line="240" w:lineRule="auto" w:before="3"/>
        <w:rPr>
          <w:rFonts w:ascii="宋体" w:hAnsi="宋体" w:cs="宋体" w:eastAsia="宋体" w:hint="default"/>
          <w:b/>
          <w:bCs/>
          <w:sz w:val="14"/>
          <w:szCs w:val="14"/>
        </w:rPr>
      </w:pPr>
    </w:p>
    <w:p>
      <w:pPr>
        <w:spacing w:before="0"/>
        <w:ind w:left="1106" w:right="0" w:firstLine="0"/>
        <w:jc w:val="left"/>
        <w:rPr>
          <w:rFonts w:ascii="宋体" w:hAnsi="宋体" w:cs="宋体" w:eastAsia="宋体" w:hint="default"/>
          <w:sz w:val="16"/>
          <w:szCs w:val="16"/>
        </w:rPr>
      </w:pPr>
      <w:r>
        <w:rPr/>
        <w:pict>
          <v:group style="position:absolute;margin-left:77.783997pt;margin-top:.82376pt;width:440pt;height:.5pt;mso-position-horizontal-relative:page;mso-position-vertical-relative:paragraph;z-index:-1226104" coordorigin="1556,16" coordsize="8800,10">
            <v:group style="position:absolute;left:1560;top:21;width:2331;height:2" coordorigin="1560,21" coordsize="2331,2">
              <v:shape style="position:absolute;left:1560;top:21;width:2331;height:2" coordorigin="1560,21" coordsize="2331,0" path="m1560,21l3891,21e" filled="false" stroked="true" strokeweight=".48001pt" strokecolor="#000000">
                <v:path arrowok="t"/>
              </v:shape>
            </v:group>
            <v:group style="position:absolute;left:3891;top:21;width:10;height:2" coordorigin="3891,21" coordsize="10,2">
              <v:shape style="position:absolute;left:3891;top:21;width:10;height:2" coordorigin="3891,21" coordsize="10,0" path="m3891,21l3901,21e" filled="false" stroked="true" strokeweight=".48001pt" strokecolor="#000000">
                <v:path arrowok="t"/>
              </v:shape>
            </v:group>
            <v:group style="position:absolute;left:3901;top:21;width:1092;height:2" coordorigin="3901,21" coordsize="1092,2">
              <v:shape style="position:absolute;left:3901;top:21;width:1092;height:2" coordorigin="3901,21" coordsize="1092,0" path="m3901,21l4993,21e" filled="false" stroked="true" strokeweight=".48001pt" strokecolor="#000000">
                <v:path arrowok="t"/>
              </v:shape>
            </v:group>
            <v:group style="position:absolute;left:4993;top:21;width:10;height:2" coordorigin="4993,21" coordsize="10,2">
              <v:shape style="position:absolute;left:4993;top:21;width:10;height:2" coordorigin="4993,21" coordsize="10,0" path="m4993,21l5003,21e" filled="false" stroked="true" strokeweight=".48001pt" strokecolor="#000000">
                <v:path arrowok="t"/>
              </v:shape>
            </v:group>
            <v:group style="position:absolute;left:5003;top:21;width:1019;height:2" coordorigin="5003,21" coordsize="1019,2">
              <v:shape style="position:absolute;left:5003;top:21;width:1019;height:2" coordorigin="5003,21" coordsize="1019,0" path="m5003,21l6021,21e" filled="false" stroked="true" strokeweight=".48001pt" strokecolor="#000000">
                <v:path arrowok="t"/>
              </v:shape>
            </v:group>
            <v:group style="position:absolute;left:6021;top:21;width:10;height:2" coordorigin="6021,21" coordsize="10,2">
              <v:shape style="position:absolute;left:6021;top:21;width:10;height:2" coordorigin="6021,21" coordsize="10,0" path="m6021,21l6030,21e" filled="false" stroked="true" strokeweight=".48001pt" strokecolor="#000000">
                <v:path arrowok="t"/>
              </v:shape>
            </v:group>
            <v:group style="position:absolute;left:6030;top:21;width:1092;height:2" coordorigin="6030,21" coordsize="1092,2">
              <v:shape style="position:absolute;left:6030;top:21;width:1092;height:2" coordorigin="6030,21" coordsize="1092,0" path="m6030,21l7122,21e" filled="false" stroked="true" strokeweight=".48001pt" strokecolor="#000000">
                <v:path arrowok="t"/>
              </v:shape>
            </v:group>
            <v:group style="position:absolute;left:7122;top:21;width:10;height:2" coordorigin="7122,21" coordsize="10,2">
              <v:shape style="position:absolute;left:7122;top:21;width:10;height:2" coordorigin="7122,21" coordsize="10,0" path="m7122,21l7132,21e" filled="false" stroked="true" strokeweight=".48001pt" strokecolor="#000000">
                <v:path arrowok="t"/>
              </v:shape>
            </v:group>
            <v:group style="position:absolute;left:7132;top:21;width:1090;height:2" coordorigin="7132,21" coordsize="1090,2">
              <v:shape style="position:absolute;left:7132;top:21;width:1090;height:2" coordorigin="7132,21" coordsize="1090,0" path="m7132,21l8221,21e" filled="false" stroked="true" strokeweight=".48001pt" strokecolor="#000000">
                <v:path arrowok="t"/>
              </v:shape>
            </v:group>
            <v:group style="position:absolute;left:8221;top:21;width:10;height:2" coordorigin="8221,21" coordsize="10,2">
              <v:shape style="position:absolute;left:8221;top:21;width:10;height:2" coordorigin="8221,21" coordsize="10,0" path="m8221,21l8231,21e" filled="false" stroked="true" strokeweight=".48001pt" strokecolor="#000000">
                <v:path arrowok="t"/>
              </v:shape>
            </v:group>
            <v:group style="position:absolute;left:8231;top:21;width:1019;height:2" coordorigin="8231,21" coordsize="1019,2">
              <v:shape style="position:absolute;left:8231;top:21;width:1019;height:2" coordorigin="8231,21" coordsize="1019,0" path="m8231,21l9249,21e" filled="false" stroked="true" strokeweight=".48001pt" strokecolor="#000000">
                <v:path arrowok="t"/>
              </v:shape>
            </v:group>
            <v:group style="position:absolute;left:9249;top:21;width:10;height:2" coordorigin="9249,21" coordsize="10,2">
              <v:shape style="position:absolute;left:9249;top:21;width:10;height:2" coordorigin="9249,21" coordsize="10,0" path="m9249,21l9259,21e" filled="false" stroked="true" strokeweight=".48001pt" strokecolor="#000000">
                <v:path arrowok="t"/>
              </v:shape>
            </v:group>
            <v:group style="position:absolute;left:9259;top:21;width:1092;height:2" coordorigin="9259,21" coordsize="1092,2">
              <v:shape style="position:absolute;left:9259;top:21;width:1092;height:2" coordorigin="9259,21" coordsize="1092,0" path="m9259,21l10351,21e" filled="false" stroked="true" strokeweight=".48001pt" strokecolor="#000000">
                <v:path arrowok="t"/>
              </v:shape>
            </v:group>
            <w10:wrap type="none"/>
          </v:group>
        </w:pict>
      </w:r>
      <w:r>
        <w:rPr/>
        <w:pict>
          <v:shape style="position:absolute;margin-left:77.594002pt;margin-top:7.594395pt;width:440.4pt;height:150pt;mso-position-horizontal-relative:page;mso-position-vertical-relative:paragraph;z-index:4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82"/>
                    <w:gridCol w:w="1310"/>
                    <w:gridCol w:w="917"/>
                    <w:gridCol w:w="1101"/>
                    <w:gridCol w:w="1213"/>
                    <w:gridCol w:w="917"/>
                    <w:gridCol w:w="1067"/>
                  </w:tblGrid>
                  <w:tr>
                    <w:trPr>
                      <w:trHeight w:val="350" w:hRule="exact"/>
                    </w:trPr>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6"/>
                            <w:szCs w:val="16"/>
                          </w:rPr>
                        </w:pPr>
                        <w:r>
                          <w:rPr>
                            <w:rFonts w:ascii="宋体" w:hAnsi="宋体" w:cs="宋体" w:eastAsia="宋体" w:hint="default"/>
                            <w:spacing w:val="-10"/>
                            <w:sz w:val="16"/>
                            <w:szCs w:val="16"/>
                          </w:rPr>
                          <w:t>馆项目</w:t>
                        </w:r>
                      </w:p>
                    </w:tc>
                    <w:tc>
                      <w:tcPr>
                        <w:tcW w:w="1310" w:type="dxa"/>
                        <w:tcBorders>
                          <w:top w:val="nil" w:sz="6" w:space="0" w:color="auto"/>
                          <w:left w:val="nil" w:sz="6" w:space="0" w:color="auto"/>
                          <w:bottom w:val="nil" w:sz="6" w:space="0" w:color="auto"/>
                          <w:right w:val="nil" w:sz="6" w:space="0" w:color="auto"/>
                        </w:tcBorders>
                      </w:tcPr>
                      <w:p>
                        <w:pPr>
                          <w:pStyle w:val="TableParagraph"/>
                          <w:spacing w:line="161" w:lineRule="exact"/>
                          <w:ind w:right="178"/>
                          <w:jc w:val="right"/>
                          <w:rPr>
                            <w:rFonts w:ascii="宋体" w:hAnsi="宋体" w:cs="宋体" w:eastAsia="宋体" w:hint="default"/>
                            <w:sz w:val="16"/>
                            <w:szCs w:val="16"/>
                          </w:rPr>
                        </w:pPr>
                        <w:r>
                          <w:rPr>
                            <w:rFonts w:ascii="宋体"/>
                            <w:spacing w:val="-7"/>
                            <w:sz w:val="16"/>
                          </w:rPr>
                          <w:t>397,359,207.82</w:t>
                        </w:r>
                        <w:r>
                          <w:rPr>
                            <w:rFonts w:ascii="宋体"/>
                            <w:sz w:val="16"/>
                          </w:rPr>
                        </w:r>
                      </w:p>
                    </w:tc>
                    <w:tc>
                      <w:tcPr>
                        <w:tcW w:w="917" w:type="dxa"/>
                        <w:tcBorders>
                          <w:top w:val="nil" w:sz="6" w:space="0" w:color="auto"/>
                          <w:left w:val="nil" w:sz="6" w:space="0" w:color="auto"/>
                          <w:bottom w:val="nil" w:sz="6" w:space="0" w:color="auto"/>
                          <w:right w:val="nil" w:sz="6" w:space="0" w:color="auto"/>
                        </w:tcBorders>
                      </w:tcPr>
                      <w:p>
                        <w:pPr>
                          <w:pStyle w:val="TableParagraph"/>
                          <w:spacing w:line="161" w:lineRule="exact"/>
                          <w:ind w:right="65"/>
                          <w:jc w:val="right"/>
                          <w:rPr>
                            <w:rFonts w:ascii="宋体" w:hAnsi="宋体" w:cs="宋体" w:eastAsia="宋体" w:hint="default"/>
                            <w:sz w:val="16"/>
                            <w:szCs w:val="16"/>
                          </w:rPr>
                        </w:pPr>
                        <w:r>
                          <w:rPr>
                            <w:rFonts w:ascii="宋体"/>
                            <w:spacing w:val="-6"/>
                            <w:sz w:val="16"/>
                          </w:rPr>
                          <w:t>0.00</w:t>
                        </w:r>
                        <w:r>
                          <w:rPr>
                            <w:rFonts w:ascii="宋体"/>
                            <w:sz w:val="16"/>
                          </w:rPr>
                        </w:r>
                      </w:p>
                    </w:tc>
                    <w:tc>
                      <w:tcPr>
                        <w:tcW w:w="1101" w:type="dxa"/>
                        <w:tcBorders>
                          <w:top w:val="nil" w:sz="6" w:space="0" w:color="auto"/>
                          <w:left w:val="nil" w:sz="6" w:space="0" w:color="auto"/>
                          <w:bottom w:val="nil" w:sz="6" w:space="0" w:color="auto"/>
                          <w:right w:val="nil" w:sz="6" w:space="0" w:color="auto"/>
                        </w:tcBorders>
                      </w:tcPr>
                      <w:p>
                        <w:pPr>
                          <w:pStyle w:val="TableParagraph"/>
                          <w:spacing w:line="161" w:lineRule="exact"/>
                          <w:ind w:left="-8" w:right="66"/>
                          <w:jc w:val="right"/>
                          <w:rPr>
                            <w:rFonts w:ascii="宋体" w:hAnsi="宋体" w:cs="宋体" w:eastAsia="宋体" w:hint="default"/>
                            <w:sz w:val="16"/>
                            <w:szCs w:val="16"/>
                          </w:rPr>
                        </w:pPr>
                        <w:r>
                          <w:rPr>
                            <w:rFonts w:ascii="宋体"/>
                            <w:spacing w:val="-7"/>
                            <w:sz w:val="16"/>
                          </w:rPr>
                          <w:t>397,359,207.82</w:t>
                        </w:r>
                        <w:r>
                          <w:rPr>
                            <w:rFonts w:ascii="宋体"/>
                            <w:sz w:val="16"/>
                          </w:rPr>
                        </w:r>
                      </w:p>
                    </w:tc>
                    <w:tc>
                      <w:tcPr>
                        <w:tcW w:w="1213" w:type="dxa"/>
                        <w:tcBorders>
                          <w:top w:val="nil" w:sz="6" w:space="0" w:color="auto"/>
                          <w:left w:val="nil" w:sz="6" w:space="0" w:color="auto"/>
                          <w:bottom w:val="nil" w:sz="6" w:space="0" w:color="auto"/>
                          <w:right w:val="nil" w:sz="6" w:space="0" w:color="auto"/>
                        </w:tcBorders>
                      </w:tcPr>
                      <w:p>
                        <w:pPr>
                          <w:pStyle w:val="TableParagraph"/>
                          <w:spacing w:line="161" w:lineRule="exact"/>
                          <w:ind w:left="-7" w:right="178"/>
                          <w:jc w:val="right"/>
                          <w:rPr>
                            <w:rFonts w:ascii="宋体" w:hAnsi="宋体" w:cs="宋体" w:eastAsia="宋体" w:hint="default"/>
                            <w:sz w:val="16"/>
                            <w:szCs w:val="16"/>
                          </w:rPr>
                        </w:pPr>
                        <w:r>
                          <w:rPr>
                            <w:rFonts w:ascii="宋体"/>
                            <w:spacing w:val="-7"/>
                            <w:sz w:val="16"/>
                          </w:rPr>
                          <w:t>259,661,959.66</w:t>
                        </w:r>
                        <w:r>
                          <w:rPr>
                            <w:rFonts w:ascii="宋体"/>
                            <w:sz w:val="16"/>
                          </w:rPr>
                        </w:r>
                      </w:p>
                    </w:tc>
                    <w:tc>
                      <w:tcPr>
                        <w:tcW w:w="917" w:type="dxa"/>
                        <w:tcBorders>
                          <w:top w:val="nil" w:sz="6" w:space="0" w:color="auto"/>
                          <w:left w:val="nil" w:sz="6" w:space="0" w:color="auto"/>
                          <w:bottom w:val="nil" w:sz="6" w:space="0" w:color="auto"/>
                          <w:right w:val="nil" w:sz="6" w:space="0" w:color="auto"/>
                        </w:tcBorders>
                      </w:tcPr>
                      <w:p>
                        <w:pPr>
                          <w:pStyle w:val="TableParagraph"/>
                          <w:spacing w:line="161" w:lineRule="exact"/>
                          <w:ind w:right="65"/>
                          <w:jc w:val="right"/>
                          <w:rPr>
                            <w:rFonts w:ascii="宋体" w:hAnsi="宋体" w:cs="宋体" w:eastAsia="宋体" w:hint="default"/>
                            <w:sz w:val="16"/>
                            <w:szCs w:val="16"/>
                          </w:rPr>
                        </w:pPr>
                        <w:r>
                          <w:rPr>
                            <w:rFonts w:ascii="宋体"/>
                            <w:spacing w:val="-6"/>
                            <w:sz w:val="16"/>
                          </w:rPr>
                          <w:t>0.00</w:t>
                        </w:r>
                        <w:r>
                          <w:rPr>
                            <w:rFonts w:ascii="宋体"/>
                            <w:sz w:val="16"/>
                          </w:rPr>
                        </w:r>
                      </w:p>
                    </w:tc>
                    <w:tc>
                      <w:tcPr>
                        <w:tcW w:w="1067" w:type="dxa"/>
                        <w:tcBorders>
                          <w:top w:val="nil" w:sz="6" w:space="0" w:color="auto"/>
                          <w:left w:val="nil" w:sz="6" w:space="0" w:color="auto"/>
                          <w:bottom w:val="nil" w:sz="6" w:space="0" w:color="auto"/>
                          <w:right w:val="nil" w:sz="6" w:space="0" w:color="auto"/>
                        </w:tcBorders>
                      </w:tcPr>
                      <w:p>
                        <w:pPr>
                          <w:pStyle w:val="TableParagraph"/>
                          <w:spacing w:line="161" w:lineRule="exact"/>
                          <w:ind w:left="-8" w:right="33"/>
                          <w:jc w:val="right"/>
                          <w:rPr>
                            <w:rFonts w:ascii="宋体" w:hAnsi="宋体" w:cs="宋体" w:eastAsia="宋体" w:hint="default"/>
                            <w:sz w:val="16"/>
                            <w:szCs w:val="16"/>
                          </w:rPr>
                        </w:pPr>
                        <w:r>
                          <w:rPr>
                            <w:rFonts w:ascii="宋体"/>
                            <w:spacing w:val="-7"/>
                            <w:sz w:val="16"/>
                          </w:rPr>
                          <w:t>259,661,959.66</w:t>
                        </w:r>
                        <w:r>
                          <w:rPr>
                            <w:rFonts w:ascii="宋体"/>
                            <w:sz w:val="16"/>
                          </w:rPr>
                        </w:r>
                      </w:p>
                    </w:tc>
                  </w:tr>
                  <w:tr>
                    <w:trPr>
                      <w:trHeight w:val="223" w:hRule="exact"/>
                    </w:trPr>
                    <w:tc>
                      <w:tcPr>
                        <w:tcW w:w="2282" w:type="dxa"/>
                        <w:tcBorders>
                          <w:top w:val="nil" w:sz="6" w:space="0" w:color="auto"/>
                          <w:left w:val="nil" w:sz="6" w:space="0" w:color="auto"/>
                          <w:bottom w:val="nil" w:sz="6" w:space="0" w:color="auto"/>
                          <w:right w:val="nil" w:sz="6" w:space="0" w:color="auto"/>
                        </w:tcBorders>
                      </w:tcPr>
                      <w:p>
                        <w:pPr>
                          <w:pStyle w:val="TableParagraph"/>
                          <w:spacing w:line="161" w:lineRule="exact"/>
                          <w:ind w:left="35" w:right="0"/>
                          <w:jc w:val="left"/>
                          <w:rPr>
                            <w:rFonts w:ascii="宋体" w:hAnsi="宋体" w:cs="宋体" w:eastAsia="宋体" w:hint="default"/>
                            <w:sz w:val="16"/>
                            <w:szCs w:val="16"/>
                          </w:rPr>
                        </w:pPr>
                        <w:r>
                          <w:rPr>
                            <w:rFonts w:ascii="宋体" w:hAnsi="宋体" w:cs="宋体" w:eastAsia="宋体" w:hint="default"/>
                            <w:sz w:val="16"/>
                            <w:szCs w:val="16"/>
                          </w:rPr>
                          <w:t>友谊县友谊镇集中供热工程</w:t>
                        </w:r>
                      </w:p>
                    </w:tc>
                    <w:tc>
                      <w:tcPr>
                        <w:tcW w:w="2227" w:type="dxa"/>
                        <w:gridSpan w:val="2"/>
                        <w:tcBorders>
                          <w:top w:val="nil" w:sz="6" w:space="0" w:color="auto"/>
                          <w:left w:val="nil" w:sz="6" w:space="0" w:color="auto"/>
                          <w:bottom w:val="nil" w:sz="6" w:space="0" w:color="auto"/>
                          <w:right w:val="nil" w:sz="6" w:space="0" w:color="auto"/>
                        </w:tcBorders>
                      </w:tcPr>
                      <w:p>
                        <w:pPr>
                          <w:pStyle w:val="TableParagraph"/>
                          <w:tabs>
                            <w:tab w:pos="1861" w:val="left" w:leader="none"/>
                          </w:tabs>
                          <w:spacing w:line="161" w:lineRule="exact"/>
                          <w:ind w:left="165" w:right="0"/>
                          <w:jc w:val="left"/>
                          <w:rPr>
                            <w:rFonts w:ascii="宋体" w:hAnsi="宋体" w:cs="宋体" w:eastAsia="宋体" w:hint="default"/>
                            <w:sz w:val="16"/>
                            <w:szCs w:val="16"/>
                          </w:rPr>
                        </w:pPr>
                        <w:r>
                          <w:rPr>
                            <w:rFonts w:ascii="宋体"/>
                            <w:spacing w:val="-6"/>
                            <w:sz w:val="16"/>
                          </w:rPr>
                          <w:t>23,714,609.84</w:t>
                          <w:tab/>
                          <w:t>0.00</w:t>
                        </w:r>
                        <w:r>
                          <w:rPr>
                            <w:rFonts w:ascii="宋体"/>
                            <w:sz w:val="16"/>
                          </w:rPr>
                        </w:r>
                      </w:p>
                    </w:tc>
                    <w:tc>
                      <w:tcPr>
                        <w:tcW w:w="1101" w:type="dxa"/>
                        <w:tcBorders>
                          <w:top w:val="nil" w:sz="6" w:space="0" w:color="auto"/>
                          <w:left w:val="nil" w:sz="6" w:space="0" w:color="auto"/>
                          <w:bottom w:val="nil" w:sz="6" w:space="0" w:color="auto"/>
                          <w:right w:val="nil" w:sz="6" w:space="0" w:color="auto"/>
                        </w:tcBorders>
                      </w:tcPr>
                      <w:p>
                        <w:pPr>
                          <w:pStyle w:val="TableParagraph"/>
                          <w:spacing w:line="161" w:lineRule="exact"/>
                          <w:ind w:right="66"/>
                          <w:jc w:val="right"/>
                          <w:rPr>
                            <w:rFonts w:ascii="宋体" w:hAnsi="宋体" w:cs="宋体" w:eastAsia="宋体" w:hint="default"/>
                            <w:sz w:val="16"/>
                            <w:szCs w:val="16"/>
                          </w:rPr>
                        </w:pPr>
                        <w:r>
                          <w:rPr>
                            <w:rFonts w:ascii="宋体"/>
                            <w:spacing w:val="-7"/>
                            <w:sz w:val="16"/>
                          </w:rPr>
                          <w:t>23,714,609.84</w:t>
                        </w:r>
                        <w:r>
                          <w:rPr>
                            <w:rFonts w:ascii="宋体"/>
                            <w:sz w:val="16"/>
                          </w:rPr>
                        </w:r>
                      </w:p>
                    </w:tc>
                    <w:tc>
                      <w:tcPr>
                        <w:tcW w:w="2131" w:type="dxa"/>
                        <w:gridSpan w:val="2"/>
                        <w:tcBorders>
                          <w:top w:val="nil" w:sz="6" w:space="0" w:color="auto"/>
                          <w:left w:val="nil" w:sz="6" w:space="0" w:color="auto"/>
                          <w:bottom w:val="nil" w:sz="6" w:space="0" w:color="auto"/>
                          <w:right w:val="nil" w:sz="6" w:space="0" w:color="auto"/>
                        </w:tcBorders>
                      </w:tcPr>
                      <w:p>
                        <w:pPr>
                          <w:pStyle w:val="TableParagraph"/>
                          <w:tabs>
                            <w:tab w:pos="1765" w:val="left" w:leader="none"/>
                          </w:tabs>
                          <w:spacing w:line="161" w:lineRule="exact"/>
                          <w:ind w:left="68" w:right="0"/>
                          <w:jc w:val="left"/>
                          <w:rPr>
                            <w:rFonts w:ascii="宋体" w:hAnsi="宋体" w:cs="宋体" w:eastAsia="宋体" w:hint="default"/>
                            <w:sz w:val="16"/>
                            <w:szCs w:val="16"/>
                          </w:rPr>
                        </w:pPr>
                        <w:r>
                          <w:rPr>
                            <w:rFonts w:ascii="宋体"/>
                            <w:spacing w:val="-6"/>
                            <w:sz w:val="16"/>
                          </w:rPr>
                          <w:t>16,342,522.65</w:t>
                          <w:tab/>
                          <w:t>0.00</w:t>
                        </w:r>
                        <w:r>
                          <w:rPr>
                            <w:rFonts w:ascii="宋体"/>
                            <w:sz w:val="16"/>
                          </w:rPr>
                        </w:r>
                      </w:p>
                    </w:tc>
                    <w:tc>
                      <w:tcPr>
                        <w:tcW w:w="1067" w:type="dxa"/>
                        <w:tcBorders>
                          <w:top w:val="nil" w:sz="6" w:space="0" w:color="auto"/>
                          <w:left w:val="nil" w:sz="6" w:space="0" w:color="auto"/>
                          <w:bottom w:val="nil" w:sz="6" w:space="0" w:color="auto"/>
                          <w:right w:val="nil" w:sz="6" w:space="0" w:color="auto"/>
                        </w:tcBorders>
                      </w:tcPr>
                      <w:p>
                        <w:pPr>
                          <w:pStyle w:val="TableParagraph"/>
                          <w:spacing w:line="161" w:lineRule="exact"/>
                          <w:ind w:right="33"/>
                          <w:jc w:val="right"/>
                          <w:rPr>
                            <w:rFonts w:ascii="宋体" w:hAnsi="宋体" w:cs="宋体" w:eastAsia="宋体" w:hint="default"/>
                            <w:sz w:val="16"/>
                            <w:szCs w:val="16"/>
                          </w:rPr>
                        </w:pPr>
                        <w:r>
                          <w:rPr>
                            <w:rFonts w:ascii="宋体"/>
                            <w:spacing w:val="-7"/>
                            <w:sz w:val="16"/>
                          </w:rPr>
                          <w:t>16,342,522.65</w:t>
                        </w:r>
                        <w:r>
                          <w:rPr>
                            <w:rFonts w:ascii="宋体"/>
                            <w:sz w:val="16"/>
                          </w:rPr>
                        </w:r>
                      </w:p>
                    </w:tc>
                  </w:tr>
                  <w:tr>
                    <w:trPr>
                      <w:trHeight w:val="286" w:hRule="exact"/>
                    </w:trPr>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6"/>
                            <w:szCs w:val="16"/>
                          </w:rPr>
                        </w:pPr>
                        <w:r>
                          <w:rPr>
                            <w:rFonts w:ascii="宋体" w:hAnsi="宋体" w:cs="宋体" w:eastAsia="宋体" w:hint="default"/>
                            <w:spacing w:val="-13"/>
                            <w:sz w:val="16"/>
                            <w:szCs w:val="16"/>
                          </w:rPr>
                          <w:t>无锡同方炭素厂房建设工程</w:t>
                        </w:r>
                      </w:p>
                    </w:tc>
                    <w:tc>
                      <w:tcPr>
                        <w:tcW w:w="22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165" w:right="0"/>
                          <w:jc w:val="left"/>
                          <w:rPr>
                            <w:rFonts w:ascii="宋体" w:hAnsi="宋体" w:cs="宋体" w:eastAsia="宋体" w:hint="default"/>
                            <w:sz w:val="16"/>
                            <w:szCs w:val="16"/>
                          </w:rPr>
                        </w:pPr>
                        <w:r>
                          <w:rPr>
                            <w:rFonts w:ascii="宋体"/>
                            <w:spacing w:val="-6"/>
                            <w:sz w:val="16"/>
                          </w:rPr>
                          <w:t>19,561,832.71</w:t>
                        </w:r>
                        <w:r>
                          <w:rPr>
                            <w:rFonts w:ascii="宋体"/>
                            <w:spacing w:val="1"/>
                            <w:sz w:val="16"/>
                          </w:rPr>
                          <w:t> </w:t>
                        </w:r>
                        <w:r>
                          <w:rPr>
                            <w:rFonts w:ascii="宋体"/>
                            <w:spacing w:val="-7"/>
                            <w:sz w:val="16"/>
                          </w:rPr>
                          <w:t>15,324,974.08</w:t>
                        </w:r>
                        <w:r>
                          <w:rPr>
                            <w:rFonts w:ascii="宋体"/>
                            <w:sz w:val="16"/>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6"/>
                          <w:jc w:val="right"/>
                          <w:rPr>
                            <w:rFonts w:ascii="宋体" w:hAnsi="宋体" w:cs="宋体" w:eastAsia="宋体" w:hint="default"/>
                            <w:sz w:val="16"/>
                            <w:szCs w:val="16"/>
                          </w:rPr>
                        </w:pPr>
                        <w:r>
                          <w:rPr>
                            <w:rFonts w:ascii="宋体"/>
                            <w:spacing w:val="-7"/>
                            <w:sz w:val="16"/>
                          </w:rPr>
                          <w:t>4,236,858.63</w:t>
                        </w:r>
                        <w:r>
                          <w:rPr>
                            <w:rFonts w:ascii="宋体"/>
                            <w:sz w:val="16"/>
                          </w:rPr>
                        </w:r>
                      </w:p>
                    </w:tc>
                    <w:tc>
                      <w:tcPr>
                        <w:tcW w:w="21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left="68" w:right="0"/>
                          <w:jc w:val="left"/>
                          <w:rPr>
                            <w:rFonts w:ascii="宋体" w:hAnsi="宋体" w:cs="宋体" w:eastAsia="宋体" w:hint="default"/>
                            <w:sz w:val="16"/>
                            <w:szCs w:val="16"/>
                          </w:rPr>
                        </w:pPr>
                        <w:r>
                          <w:rPr>
                            <w:rFonts w:ascii="宋体"/>
                            <w:spacing w:val="-6"/>
                            <w:sz w:val="16"/>
                          </w:rPr>
                          <w:t>19,561,832.71</w:t>
                        </w:r>
                        <w:r>
                          <w:rPr>
                            <w:rFonts w:ascii="宋体"/>
                            <w:spacing w:val="1"/>
                            <w:sz w:val="16"/>
                          </w:rPr>
                          <w:t> </w:t>
                        </w:r>
                        <w:r>
                          <w:rPr>
                            <w:rFonts w:ascii="宋体"/>
                            <w:spacing w:val="-7"/>
                            <w:sz w:val="16"/>
                          </w:rPr>
                          <w:t>14,603,542.91</w:t>
                        </w:r>
                        <w:r>
                          <w:rPr>
                            <w:rFonts w:ascii="宋体"/>
                            <w:sz w:val="16"/>
                          </w:rPr>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16"/>
                            <w:szCs w:val="16"/>
                          </w:rPr>
                        </w:pPr>
                        <w:r>
                          <w:rPr>
                            <w:rFonts w:ascii="宋体"/>
                            <w:spacing w:val="-7"/>
                            <w:sz w:val="16"/>
                          </w:rPr>
                          <w:t>4,958,289.80</w:t>
                        </w:r>
                        <w:r>
                          <w:rPr>
                            <w:rFonts w:ascii="宋体"/>
                            <w:sz w:val="16"/>
                          </w:rPr>
                        </w:r>
                      </w:p>
                    </w:tc>
                  </w:tr>
                  <w:tr>
                    <w:trPr>
                      <w:trHeight w:val="284" w:hRule="exact"/>
                    </w:trPr>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6"/>
                            <w:szCs w:val="16"/>
                          </w:rPr>
                        </w:pPr>
                        <w:r>
                          <w:rPr>
                            <w:rFonts w:ascii="宋体" w:hAnsi="宋体" w:cs="宋体" w:eastAsia="宋体" w:hint="default"/>
                            <w:spacing w:val="-13"/>
                            <w:sz w:val="16"/>
                            <w:szCs w:val="16"/>
                          </w:rPr>
                          <w:t>同方泰德工业节能项目</w:t>
                        </w:r>
                      </w:p>
                    </w:tc>
                    <w:tc>
                      <w:tcPr>
                        <w:tcW w:w="2227" w:type="dxa"/>
                        <w:gridSpan w:val="2"/>
                        <w:tcBorders>
                          <w:top w:val="nil" w:sz="6" w:space="0" w:color="auto"/>
                          <w:left w:val="nil" w:sz="6" w:space="0" w:color="auto"/>
                          <w:bottom w:val="nil" w:sz="6" w:space="0" w:color="auto"/>
                          <w:right w:val="nil" w:sz="6" w:space="0" w:color="auto"/>
                        </w:tcBorders>
                      </w:tcPr>
                      <w:p>
                        <w:pPr>
                          <w:pStyle w:val="TableParagraph"/>
                          <w:tabs>
                            <w:tab w:pos="1861" w:val="left" w:leader="none"/>
                          </w:tabs>
                          <w:spacing w:line="240" w:lineRule="auto" w:before="13"/>
                          <w:ind w:left="239" w:right="0"/>
                          <w:jc w:val="left"/>
                          <w:rPr>
                            <w:rFonts w:ascii="宋体" w:hAnsi="宋体" w:cs="宋体" w:eastAsia="宋体" w:hint="default"/>
                            <w:sz w:val="16"/>
                            <w:szCs w:val="16"/>
                          </w:rPr>
                        </w:pPr>
                        <w:r>
                          <w:rPr>
                            <w:rFonts w:ascii="宋体"/>
                            <w:spacing w:val="-6"/>
                            <w:sz w:val="16"/>
                          </w:rPr>
                          <w:t>8,634,939.52</w:t>
                          <w:tab/>
                          <w:t>0.00</w:t>
                        </w:r>
                        <w:r>
                          <w:rPr>
                            <w:rFonts w:ascii="宋体"/>
                            <w:sz w:val="16"/>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6"/>
                          <w:jc w:val="right"/>
                          <w:rPr>
                            <w:rFonts w:ascii="宋体" w:hAnsi="宋体" w:cs="宋体" w:eastAsia="宋体" w:hint="default"/>
                            <w:sz w:val="16"/>
                            <w:szCs w:val="16"/>
                          </w:rPr>
                        </w:pPr>
                        <w:r>
                          <w:rPr>
                            <w:rFonts w:ascii="宋体"/>
                            <w:spacing w:val="-7"/>
                            <w:sz w:val="16"/>
                          </w:rPr>
                          <w:t>8,634,939.52</w:t>
                        </w:r>
                        <w:r>
                          <w:rPr>
                            <w:rFonts w:ascii="宋体"/>
                            <w:sz w:val="16"/>
                          </w:rPr>
                        </w:r>
                      </w:p>
                    </w:tc>
                    <w:tc>
                      <w:tcPr>
                        <w:tcW w:w="2131" w:type="dxa"/>
                        <w:gridSpan w:val="2"/>
                        <w:tcBorders>
                          <w:top w:val="nil" w:sz="6" w:space="0" w:color="auto"/>
                          <w:left w:val="nil" w:sz="6" w:space="0" w:color="auto"/>
                          <w:bottom w:val="nil" w:sz="6" w:space="0" w:color="auto"/>
                          <w:right w:val="nil" w:sz="6" w:space="0" w:color="auto"/>
                        </w:tcBorders>
                      </w:tcPr>
                      <w:p>
                        <w:pPr>
                          <w:pStyle w:val="TableParagraph"/>
                          <w:tabs>
                            <w:tab w:pos="1765" w:val="left" w:leader="none"/>
                          </w:tabs>
                          <w:spacing w:line="240" w:lineRule="auto" w:before="13"/>
                          <w:ind w:left="68" w:right="0"/>
                          <w:jc w:val="left"/>
                          <w:rPr>
                            <w:rFonts w:ascii="宋体" w:hAnsi="宋体" w:cs="宋体" w:eastAsia="宋体" w:hint="default"/>
                            <w:sz w:val="16"/>
                            <w:szCs w:val="16"/>
                          </w:rPr>
                        </w:pPr>
                        <w:r>
                          <w:rPr>
                            <w:rFonts w:ascii="宋体"/>
                            <w:spacing w:val="-6"/>
                            <w:sz w:val="16"/>
                          </w:rPr>
                          <w:t>73,023,775.87</w:t>
                          <w:tab/>
                          <w:t>0.00</w:t>
                        </w:r>
                        <w:r>
                          <w:rPr>
                            <w:rFonts w:ascii="宋体"/>
                            <w:sz w:val="16"/>
                          </w:rPr>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16"/>
                            <w:szCs w:val="16"/>
                          </w:rPr>
                        </w:pPr>
                        <w:r>
                          <w:rPr>
                            <w:rFonts w:ascii="宋体"/>
                            <w:spacing w:val="-7"/>
                            <w:sz w:val="16"/>
                          </w:rPr>
                          <w:t>73,023,775.87</w:t>
                        </w:r>
                        <w:r>
                          <w:rPr>
                            <w:rFonts w:ascii="宋体"/>
                            <w:sz w:val="16"/>
                          </w:rPr>
                        </w:r>
                      </w:p>
                    </w:tc>
                  </w:tr>
                  <w:tr>
                    <w:trPr>
                      <w:trHeight w:val="222" w:hRule="exact"/>
                    </w:trPr>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pacing w:val="-13"/>
                            <w:sz w:val="16"/>
                            <w:szCs w:val="16"/>
                          </w:rPr>
                          <w:t>同方人环主城区管网工程</w:t>
                        </w:r>
                      </w:p>
                    </w:tc>
                    <w:tc>
                      <w:tcPr>
                        <w:tcW w:w="2227" w:type="dxa"/>
                        <w:gridSpan w:val="2"/>
                        <w:tcBorders>
                          <w:top w:val="nil" w:sz="6" w:space="0" w:color="auto"/>
                          <w:left w:val="nil" w:sz="6" w:space="0" w:color="auto"/>
                          <w:bottom w:val="nil" w:sz="6" w:space="0" w:color="auto"/>
                          <w:right w:val="nil" w:sz="6" w:space="0" w:color="auto"/>
                        </w:tcBorders>
                      </w:tcPr>
                      <w:p>
                        <w:pPr>
                          <w:pStyle w:val="TableParagraph"/>
                          <w:tabs>
                            <w:tab w:pos="1861" w:val="left" w:leader="none"/>
                          </w:tabs>
                          <w:spacing w:line="240" w:lineRule="auto" w:before="12"/>
                          <w:ind w:left="239" w:right="0"/>
                          <w:jc w:val="left"/>
                          <w:rPr>
                            <w:rFonts w:ascii="宋体" w:hAnsi="宋体" w:cs="宋体" w:eastAsia="宋体" w:hint="default"/>
                            <w:sz w:val="16"/>
                            <w:szCs w:val="16"/>
                          </w:rPr>
                        </w:pPr>
                        <w:r>
                          <w:rPr>
                            <w:rFonts w:ascii="宋体"/>
                            <w:spacing w:val="-6"/>
                            <w:sz w:val="16"/>
                          </w:rPr>
                          <w:t>6,806,229.09</w:t>
                          <w:tab/>
                          <w:t>0.00</w:t>
                        </w:r>
                        <w:r>
                          <w:rPr>
                            <w:rFonts w:ascii="宋体"/>
                            <w:sz w:val="16"/>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7"/>
                            <w:sz w:val="16"/>
                          </w:rPr>
                          <w:t>6,806,229.09</w:t>
                        </w:r>
                        <w:r>
                          <w:rPr>
                            <w:rFonts w:ascii="宋体"/>
                            <w:sz w:val="16"/>
                          </w:rPr>
                        </w:r>
                      </w:p>
                    </w:tc>
                    <w:tc>
                      <w:tcPr>
                        <w:tcW w:w="2131" w:type="dxa"/>
                        <w:gridSpan w:val="2"/>
                        <w:tcBorders>
                          <w:top w:val="nil" w:sz="6" w:space="0" w:color="auto"/>
                          <w:left w:val="nil" w:sz="6" w:space="0" w:color="auto"/>
                          <w:bottom w:val="nil" w:sz="6" w:space="0" w:color="auto"/>
                          <w:right w:val="nil" w:sz="6" w:space="0" w:color="auto"/>
                        </w:tcBorders>
                      </w:tcPr>
                      <w:p>
                        <w:pPr>
                          <w:pStyle w:val="TableParagraph"/>
                          <w:tabs>
                            <w:tab w:pos="1765" w:val="left" w:leader="none"/>
                          </w:tabs>
                          <w:spacing w:line="240" w:lineRule="auto" w:before="12"/>
                          <w:ind w:left="735" w:right="0"/>
                          <w:jc w:val="left"/>
                          <w:rPr>
                            <w:rFonts w:ascii="宋体" w:hAnsi="宋体" w:cs="宋体" w:eastAsia="宋体" w:hint="default"/>
                            <w:sz w:val="16"/>
                            <w:szCs w:val="16"/>
                          </w:rPr>
                        </w:pPr>
                        <w:r>
                          <w:rPr>
                            <w:rFonts w:ascii="宋体"/>
                            <w:spacing w:val="-5"/>
                            <w:sz w:val="16"/>
                          </w:rPr>
                          <w:t>0.00</w:t>
                          <w:tab/>
                        </w:r>
                        <w:r>
                          <w:rPr>
                            <w:rFonts w:ascii="宋体"/>
                            <w:spacing w:val="-6"/>
                            <w:sz w:val="16"/>
                          </w:rPr>
                          <w:t>0.00</w:t>
                        </w:r>
                        <w:r>
                          <w:rPr>
                            <w:rFonts w:ascii="宋体"/>
                            <w:sz w:val="16"/>
                          </w:rPr>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6"/>
                            <w:sz w:val="16"/>
                          </w:rPr>
                          <w:t>0.00</w:t>
                        </w:r>
                        <w:r>
                          <w:rPr>
                            <w:rFonts w:ascii="宋体"/>
                            <w:sz w:val="16"/>
                          </w:rPr>
                        </w:r>
                      </w:p>
                    </w:tc>
                  </w:tr>
                  <w:tr>
                    <w:trPr>
                      <w:trHeight w:val="270" w:hRule="exact"/>
                    </w:trPr>
                    <w:tc>
                      <w:tcPr>
                        <w:tcW w:w="8808"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6"/>
                            <w:szCs w:val="16"/>
                          </w:rPr>
                        </w:pPr>
                        <w:r>
                          <w:rPr>
                            <w:rFonts w:ascii="宋体" w:hAnsi="宋体" w:cs="宋体" w:eastAsia="宋体" w:hint="default"/>
                            <w:spacing w:val="-13"/>
                            <w:sz w:val="16"/>
                            <w:szCs w:val="16"/>
                          </w:rPr>
                          <w:t>同方泰德仙桃数据谷智慧能源站项</w:t>
                        </w:r>
                      </w:p>
                    </w:tc>
                  </w:tr>
                  <w:tr>
                    <w:trPr>
                      <w:trHeight w:val="227" w:hRule="exact"/>
                    </w:trPr>
                    <w:tc>
                      <w:tcPr>
                        <w:tcW w:w="2282" w:type="dxa"/>
                        <w:tcBorders>
                          <w:top w:val="nil" w:sz="6" w:space="0" w:color="auto"/>
                          <w:left w:val="nil" w:sz="6" w:space="0" w:color="auto"/>
                          <w:bottom w:val="nil" w:sz="6" w:space="0" w:color="auto"/>
                          <w:right w:val="nil" w:sz="6" w:space="0" w:color="auto"/>
                        </w:tcBorders>
                      </w:tcPr>
                      <w:p>
                        <w:pPr>
                          <w:pStyle w:val="TableParagraph"/>
                          <w:spacing w:line="183" w:lineRule="exact"/>
                          <w:ind w:left="35" w:right="0"/>
                          <w:jc w:val="left"/>
                          <w:rPr>
                            <w:rFonts w:ascii="宋体" w:hAnsi="宋体" w:cs="宋体" w:eastAsia="宋体" w:hint="default"/>
                            <w:sz w:val="16"/>
                            <w:szCs w:val="16"/>
                          </w:rPr>
                        </w:pPr>
                        <w:r>
                          <w:rPr>
                            <w:rFonts w:ascii="宋体" w:hAnsi="宋体" w:cs="宋体" w:eastAsia="宋体" w:hint="default"/>
                            <w:w w:val="100"/>
                            <w:sz w:val="16"/>
                            <w:szCs w:val="16"/>
                          </w:rPr>
                          <w:t>目</w:t>
                        </w:r>
                      </w:p>
                    </w:tc>
                    <w:tc>
                      <w:tcPr>
                        <w:tcW w:w="1310" w:type="dxa"/>
                        <w:tcBorders>
                          <w:top w:val="nil" w:sz="6" w:space="0" w:color="auto"/>
                          <w:left w:val="nil" w:sz="6" w:space="0" w:color="auto"/>
                          <w:bottom w:val="nil" w:sz="6" w:space="0" w:color="auto"/>
                          <w:right w:val="nil" w:sz="6" w:space="0" w:color="auto"/>
                        </w:tcBorders>
                      </w:tcPr>
                      <w:p>
                        <w:pPr>
                          <w:pStyle w:val="TableParagraph"/>
                          <w:spacing w:line="80" w:lineRule="exact"/>
                          <w:ind w:right="178"/>
                          <w:jc w:val="right"/>
                          <w:rPr>
                            <w:rFonts w:ascii="宋体" w:hAnsi="宋体" w:cs="宋体" w:eastAsia="宋体" w:hint="default"/>
                            <w:sz w:val="16"/>
                            <w:szCs w:val="16"/>
                          </w:rPr>
                        </w:pPr>
                        <w:r>
                          <w:rPr>
                            <w:rFonts w:ascii="宋体"/>
                            <w:spacing w:val="-7"/>
                            <w:sz w:val="16"/>
                          </w:rPr>
                          <w:t>5,434,579.13</w:t>
                        </w:r>
                        <w:r>
                          <w:rPr>
                            <w:rFonts w:ascii="宋体"/>
                            <w:sz w:val="16"/>
                          </w:rPr>
                        </w:r>
                      </w:p>
                    </w:tc>
                    <w:tc>
                      <w:tcPr>
                        <w:tcW w:w="917" w:type="dxa"/>
                        <w:tcBorders>
                          <w:top w:val="nil" w:sz="6" w:space="0" w:color="auto"/>
                          <w:left w:val="nil" w:sz="6" w:space="0" w:color="auto"/>
                          <w:bottom w:val="nil" w:sz="6" w:space="0" w:color="auto"/>
                          <w:right w:val="nil" w:sz="6" w:space="0" w:color="auto"/>
                        </w:tcBorders>
                      </w:tcPr>
                      <w:p>
                        <w:pPr>
                          <w:pStyle w:val="TableParagraph"/>
                          <w:spacing w:line="80" w:lineRule="exact"/>
                          <w:ind w:right="65"/>
                          <w:jc w:val="right"/>
                          <w:rPr>
                            <w:rFonts w:ascii="宋体" w:hAnsi="宋体" w:cs="宋体" w:eastAsia="宋体" w:hint="default"/>
                            <w:sz w:val="16"/>
                            <w:szCs w:val="16"/>
                          </w:rPr>
                        </w:pPr>
                        <w:r>
                          <w:rPr>
                            <w:rFonts w:ascii="宋体"/>
                            <w:spacing w:val="-6"/>
                            <w:sz w:val="16"/>
                          </w:rPr>
                          <w:t>0.00</w:t>
                        </w:r>
                        <w:r>
                          <w:rPr>
                            <w:rFonts w:ascii="宋体"/>
                            <w:sz w:val="16"/>
                          </w:rPr>
                        </w:r>
                      </w:p>
                    </w:tc>
                    <w:tc>
                      <w:tcPr>
                        <w:tcW w:w="1101" w:type="dxa"/>
                        <w:tcBorders>
                          <w:top w:val="nil" w:sz="6" w:space="0" w:color="auto"/>
                          <w:left w:val="nil" w:sz="6" w:space="0" w:color="auto"/>
                          <w:bottom w:val="nil" w:sz="6" w:space="0" w:color="auto"/>
                          <w:right w:val="nil" w:sz="6" w:space="0" w:color="auto"/>
                        </w:tcBorders>
                      </w:tcPr>
                      <w:p>
                        <w:pPr>
                          <w:pStyle w:val="TableParagraph"/>
                          <w:spacing w:line="80" w:lineRule="exact"/>
                          <w:ind w:right="66"/>
                          <w:jc w:val="right"/>
                          <w:rPr>
                            <w:rFonts w:ascii="宋体" w:hAnsi="宋体" w:cs="宋体" w:eastAsia="宋体" w:hint="default"/>
                            <w:sz w:val="16"/>
                            <w:szCs w:val="16"/>
                          </w:rPr>
                        </w:pPr>
                        <w:r>
                          <w:rPr>
                            <w:rFonts w:ascii="宋体"/>
                            <w:spacing w:val="-7"/>
                            <w:sz w:val="16"/>
                          </w:rPr>
                          <w:t>5,434,579.13</w:t>
                        </w:r>
                        <w:r>
                          <w:rPr>
                            <w:rFonts w:ascii="宋体"/>
                            <w:sz w:val="16"/>
                          </w:rPr>
                        </w:r>
                      </w:p>
                    </w:tc>
                    <w:tc>
                      <w:tcPr>
                        <w:tcW w:w="1213" w:type="dxa"/>
                        <w:tcBorders>
                          <w:top w:val="nil" w:sz="6" w:space="0" w:color="auto"/>
                          <w:left w:val="nil" w:sz="6" w:space="0" w:color="auto"/>
                          <w:bottom w:val="nil" w:sz="6" w:space="0" w:color="auto"/>
                          <w:right w:val="nil" w:sz="6" w:space="0" w:color="auto"/>
                        </w:tcBorders>
                      </w:tcPr>
                      <w:p>
                        <w:pPr>
                          <w:pStyle w:val="TableParagraph"/>
                          <w:spacing w:line="80" w:lineRule="exact"/>
                          <w:ind w:right="178"/>
                          <w:jc w:val="right"/>
                          <w:rPr>
                            <w:rFonts w:ascii="宋体" w:hAnsi="宋体" w:cs="宋体" w:eastAsia="宋体" w:hint="default"/>
                            <w:sz w:val="16"/>
                            <w:szCs w:val="16"/>
                          </w:rPr>
                        </w:pPr>
                        <w:r>
                          <w:rPr>
                            <w:rFonts w:ascii="宋体"/>
                            <w:spacing w:val="-6"/>
                            <w:sz w:val="16"/>
                          </w:rPr>
                          <w:t>0.00</w:t>
                        </w:r>
                        <w:r>
                          <w:rPr>
                            <w:rFonts w:ascii="宋体"/>
                            <w:sz w:val="16"/>
                          </w:rPr>
                        </w:r>
                      </w:p>
                    </w:tc>
                    <w:tc>
                      <w:tcPr>
                        <w:tcW w:w="917" w:type="dxa"/>
                        <w:tcBorders>
                          <w:top w:val="nil" w:sz="6" w:space="0" w:color="auto"/>
                          <w:left w:val="nil" w:sz="6" w:space="0" w:color="auto"/>
                          <w:bottom w:val="nil" w:sz="6" w:space="0" w:color="auto"/>
                          <w:right w:val="nil" w:sz="6" w:space="0" w:color="auto"/>
                        </w:tcBorders>
                      </w:tcPr>
                      <w:p>
                        <w:pPr>
                          <w:pStyle w:val="TableParagraph"/>
                          <w:spacing w:line="80" w:lineRule="exact"/>
                          <w:ind w:right="65"/>
                          <w:jc w:val="right"/>
                          <w:rPr>
                            <w:rFonts w:ascii="宋体" w:hAnsi="宋体" w:cs="宋体" w:eastAsia="宋体" w:hint="default"/>
                            <w:sz w:val="16"/>
                            <w:szCs w:val="16"/>
                          </w:rPr>
                        </w:pPr>
                        <w:r>
                          <w:rPr>
                            <w:rFonts w:ascii="宋体"/>
                            <w:spacing w:val="-6"/>
                            <w:sz w:val="16"/>
                          </w:rPr>
                          <w:t>0.00</w:t>
                        </w:r>
                        <w:r>
                          <w:rPr>
                            <w:rFonts w:ascii="宋体"/>
                            <w:sz w:val="16"/>
                          </w:rPr>
                        </w:r>
                      </w:p>
                    </w:tc>
                    <w:tc>
                      <w:tcPr>
                        <w:tcW w:w="1067" w:type="dxa"/>
                        <w:tcBorders>
                          <w:top w:val="nil" w:sz="6" w:space="0" w:color="auto"/>
                          <w:left w:val="nil" w:sz="6" w:space="0" w:color="auto"/>
                          <w:bottom w:val="nil" w:sz="6" w:space="0" w:color="auto"/>
                          <w:right w:val="nil" w:sz="6" w:space="0" w:color="auto"/>
                        </w:tcBorders>
                      </w:tcPr>
                      <w:p>
                        <w:pPr>
                          <w:pStyle w:val="TableParagraph"/>
                          <w:spacing w:line="80" w:lineRule="exact"/>
                          <w:ind w:right="33"/>
                          <w:jc w:val="right"/>
                          <w:rPr>
                            <w:rFonts w:ascii="宋体" w:hAnsi="宋体" w:cs="宋体" w:eastAsia="宋体" w:hint="default"/>
                            <w:sz w:val="16"/>
                            <w:szCs w:val="16"/>
                          </w:rPr>
                        </w:pPr>
                        <w:r>
                          <w:rPr>
                            <w:rFonts w:ascii="宋体"/>
                            <w:spacing w:val="-6"/>
                            <w:sz w:val="16"/>
                          </w:rPr>
                          <w:t>0.00</w:t>
                        </w:r>
                        <w:r>
                          <w:rPr>
                            <w:rFonts w:ascii="宋体"/>
                            <w:sz w:val="16"/>
                          </w:rPr>
                        </w:r>
                      </w:p>
                    </w:tc>
                  </w:tr>
                  <w:tr>
                    <w:trPr>
                      <w:trHeight w:val="266" w:hRule="exact"/>
                    </w:trPr>
                    <w:tc>
                      <w:tcPr>
                        <w:tcW w:w="2282"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宋体" w:hAnsi="宋体" w:cs="宋体" w:eastAsia="宋体" w:hint="default"/>
                            <w:sz w:val="16"/>
                            <w:szCs w:val="16"/>
                          </w:rPr>
                        </w:pPr>
                        <w:r>
                          <w:rPr>
                            <w:rFonts w:ascii="宋体" w:hAnsi="宋体" w:cs="宋体" w:eastAsia="宋体" w:hint="default"/>
                            <w:spacing w:val="-13"/>
                            <w:sz w:val="16"/>
                            <w:szCs w:val="16"/>
                          </w:rPr>
                          <w:t>同方沈阳科技园区建设项目三期</w:t>
                        </w:r>
                      </w:p>
                    </w:tc>
                    <w:tc>
                      <w:tcPr>
                        <w:tcW w:w="1310" w:type="dxa"/>
                        <w:tcBorders>
                          <w:top w:val="nil" w:sz="6" w:space="0" w:color="auto"/>
                          <w:left w:val="nil" w:sz="6" w:space="0" w:color="auto"/>
                          <w:bottom w:val="nil" w:sz="6" w:space="0" w:color="auto"/>
                          <w:right w:val="nil" w:sz="6" w:space="0" w:color="auto"/>
                        </w:tcBorders>
                      </w:tcPr>
                      <w:p>
                        <w:pPr>
                          <w:pStyle w:val="TableParagraph"/>
                          <w:spacing w:line="204" w:lineRule="exact"/>
                          <w:ind w:right="178"/>
                          <w:jc w:val="right"/>
                          <w:rPr>
                            <w:rFonts w:ascii="宋体" w:hAnsi="宋体" w:cs="宋体" w:eastAsia="宋体" w:hint="default"/>
                            <w:sz w:val="16"/>
                            <w:szCs w:val="16"/>
                          </w:rPr>
                        </w:pPr>
                        <w:r>
                          <w:rPr>
                            <w:rFonts w:ascii="宋体"/>
                            <w:spacing w:val="-7"/>
                            <w:sz w:val="16"/>
                          </w:rPr>
                          <w:t>3,483,185.79</w:t>
                        </w:r>
                        <w:r>
                          <w:rPr>
                            <w:rFonts w:ascii="宋体"/>
                            <w:sz w:val="16"/>
                          </w:rPr>
                        </w:r>
                      </w:p>
                    </w:tc>
                    <w:tc>
                      <w:tcPr>
                        <w:tcW w:w="917" w:type="dxa"/>
                        <w:tcBorders>
                          <w:top w:val="nil" w:sz="6" w:space="0" w:color="auto"/>
                          <w:left w:val="nil" w:sz="6" w:space="0" w:color="auto"/>
                          <w:bottom w:val="nil" w:sz="6" w:space="0" w:color="auto"/>
                          <w:right w:val="nil" w:sz="6" w:space="0" w:color="auto"/>
                        </w:tcBorders>
                      </w:tcPr>
                      <w:p>
                        <w:pPr>
                          <w:pStyle w:val="TableParagraph"/>
                          <w:spacing w:line="204" w:lineRule="exact"/>
                          <w:ind w:right="65"/>
                          <w:jc w:val="right"/>
                          <w:rPr>
                            <w:rFonts w:ascii="宋体" w:hAnsi="宋体" w:cs="宋体" w:eastAsia="宋体" w:hint="default"/>
                            <w:sz w:val="16"/>
                            <w:szCs w:val="16"/>
                          </w:rPr>
                        </w:pPr>
                        <w:r>
                          <w:rPr>
                            <w:rFonts w:ascii="宋体"/>
                            <w:spacing w:val="-6"/>
                            <w:sz w:val="16"/>
                          </w:rPr>
                          <w:t>0.00</w:t>
                        </w:r>
                        <w:r>
                          <w:rPr>
                            <w:rFonts w:ascii="宋体"/>
                            <w:sz w:val="16"/>
                          </w:rPr>
                        </w:r>
                      </w:p>
                    </w:tc>
                    <w:tc>
                      <w:tcPr>
                        <w:tcW w:w="1101" w:type="dxa"/>
                        <w:tcBorders>
                          <w:top w:val="nil" w:sz="6" w:space="0" w:color="auto"/>
                          <w:left w:val="nil" w:sz="6" w:space="0" w:color="auto"/>
                          <w:bottom w:val="nil" w:sz="6" w:space="0" w:color="auto"/>
                          <w:right w:val="nil" w:sz="6" w:space="0" w:color="auto"/>
                        </w:tcBorders>
                      </w:tcPr>
                      <w:p>
                        <w:pPr>
                          <w:pStyle w:val="TableParagraph"/>
                          <w:spacing w:line="204" w:lineRule="exact"/>
                          <w:ind w:right="66"/>
                          <w:jc w:val="right"/>
                          <w:rPr>
                            <w:rFonts w:ascii="宋体" w:hAnsi="宋体" w:cs="宋体" w:eastAsia="宋体" w:hint="default"/>
                            <w:sz w:val="16"/>
                            <w:szCs w:val="16"/>
                          </w:rPr>
                        </w:pPr>
                        <w:r>
                          <w:rPr>
                            <w:rFonts w:ascii="宋体"/>
                            <w:spacing w:val="-7"/>
                            <w:sz w:val="16"/>
                          </w:rPr>
                          <w:t>3,483,185.79</w:t>
                        </w:r>
                        <w:r>
                          <w:rPr>
                            <w:rFonts w:ascii="宋体"/>
                            <w:sz w:val="16"/>
                          </w:rPr>
                        </w:r>
                      </w:p>
                    </w:tc>
                    <w:tc>
                      <w:tcPr>
                        <w:tcW w:w="1213" w:type="dxa"/>
                        <w:tcBorders>
                          <w:top w:val="nil" w:sz="6" w:space="0" w:color="auto"/>
                          <w:left w:val="nil" w:sz="6" w:space="0" w:color="auto"/>
                          <w:bottom w:val="nil" w:sz="6" w:space="0" w:color="auto"/>
                          <w:right w:val="nil" w:sz="6" w:space="0" w:color="auto"/>
                        </w:tcBorders>
                      </w:tcPr>
                      <w:p>
                        <w:pPr>
                          <w:pStyle w:val="TableParagraph"/>
                          <w:spacing w:line="204" w:lineRule="exact"/>
                          <w:ind w:right="178"/>
                          <w:jc w:val="right"/>
                          <w:rPr>
                            <w:rFonts w:ascii="宋体" w:hAnsi="宋体" w:cs="宋体" w:eastAsia="宋体" w:hint="default"/>
                            <w:sz w:val="16"/>
                            <w:szCs w:val="16"/>
                          </w:rPr>
                        </w:pPr>
                        <w:r>
                          <w:rPr>
                            <w:rFonts w:ascii="宋体"/>
                            <w:spacing w:val="-7"/>
                            <w:sz w:val="16"/>
                          </w:rPr>
                          <w:t>3,483,185.79</w:t>
                        </w:r>
                        <w:r>
                          <w:rPr>
                            <w:rFonts w:ascii="宋体"/>
                            <w:sz w:val="16"/>
                          </w:rPr>
                        </w:r>
                      </w:p>
                    </w:tc>
                    <w:tc>
                      <w:tcPr>
                        <w:tcW w:w="917" w:type="dxa"/>
                        <w:tcBorders>
                          <w:top w:val="nil" w:sz="6" w:space="0" w:color="auto"/>
                          <w:left w:val="nil" w:sz="6" w:space="0" w:color="auto"/>
                          <w:bottom w:val="nil" w:sz="6" w:space="0" w:color="auto"/>
                          <w:right w:val="nil" w:sz="6" w:space="0" w:color="auto"/>
                        </w:tcBorders>
                      </w:tcPr>
                      <w:p>
                        <w:pPr>
                          <w:pStyle w:val="TableParagraph"/>
                          <w:spacing w:line="204" w:lineRule="exact"/>
                          <w:ind w:right="65"/>
                          <w:jc w:val="right"/>
                          <w:rPr>
                            <w:rFonts w:ascii="宋体" w:hAnsi="宋体" w:cs="宋体" w:eastAsia="宋体" w:hint="default"/>
                            <w:sz w:val="16"/>
                            <w:szCs w:val="16"/>
                          </w:rPr>
                        </w:pPr>
                        <w:r>
                          <w:rPr>
                            <w:rFonts w:ascii="宋体"/>
                            <w:spacing w:val="-6"/>
                            <w:sz w:val="16"/>
                          </w:rPr>
                          <w:t>0.00</w:t>
                        </w:r>
                        <w:r>
                          <w:rPr>
                            <w:rFonts w:ascii="宋体"/>
                            <w:sz w:val="16"/>
                          </w:rPr>
                        </w:r>
                      </w:p>
                    </w:tc>
                    <w:tc>
                      <w:tcPr>
                        <w:tcW w:w="1067" w:type="dxa"/>
                        <w:tcBorders>
                          <w:top w:val="nil" w:sz="6" w:space="0" w:color="auto"/>
                          <w:left w:val="nil" w:sz="6" w:space="0" w:color="auto"/>
                          <w:bottom w:val="nil" w:sz="6" w:space="0" w:color="auto"/>
                          <w:right w:val="nil" w:sz="6" w:space="0" w:color="auto"/>
                        </w:tcBorders>
                      </w:tcPr>
                      <w:p>
                        <w:pPr>
                          <w:pStyle w:val="TableParagraph"/>
                          <w:spacing w:line="204" w:lineRule="exact"/>
                          <w:ind w:right="33"/>
                          <w:jc w:val="right"/>
                          <w:rPr>
                            <w:rFonts w:ascii="宋体" w:hAnsi="宋体" w:cs="宋体" w:eastAsia="宋体" w:hint="default"/>
                            <w:sz w:val="16"/>
                            <w:szCs w:val="16"/>
                          </w:rPr>
                        </w:pPr>
                        <w:r>
                          <w:rPr>
                            <w:rFonts w:ascii="宋体"/>
                            <w:spacing w:val="-7"/>
                            <w:sz w:val="16"/>
                          </w:rPr>
                          <w:t>3,483,185.79</w:t>
                        </w:r>
                        <w:r>
                          <w:rPr>
                            <w:rFonts w:ascii="宋体"/>
                            <w:sz w:val="16"/>
                          </w:rPr>
                        </w:r>
                      </w:p>
                    </w:tc>
                  </w:tr>
                  <w:tr>
                    <w:trPr>
                      <w:trHeight w:val="284" w:hRule="exact"/>
                    </w:trPr>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6"/>
                            <w:szCs w:val="16"/>
                          </w:rPr>
                        </w:pPr>
                        <w:r>
                          <w:rPr>
                            <w:rFonts w:ascii="宋体" w:hAnsi="宋体" w:cs="宋体" w:eastAsia="宋体" w:hint="default"/>
                            <w:spacing w:val="-13"/>
                            <w:sz w:val="16"/>
                            <w:szCs w:val="16"/>
                          </w:rPr>
                          <w:t>同方威视科技园区建设项目一期</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8"/>
                          <w:jc w:val="right"/>
                          <w:rPr>
                            <w:rFonts w:ascii="宋体" w:hAnsi="宋体" w:cs="宋体" w:eastAsia="宋体" w:hint="default"/>
                            <w:sz w:val="16"/>
                            <w:szCs w:val="16"/>
                          </w:rPr>
                        </w:pPr>
                        <w:r>
                          <w:rPr>
                            <w:rFonts w:ascii="宋体"/>
                            <w:spacing w:val="-7"/>
                            <w:sz w:val="16"/>
                          </w:rPr>
                          <w:t>2,351,811.36</w:t>
                        </w:r>
                        <w:r>
                          <w:rPr>
                            <w:rFonts w:ascii="宋体"/>
                            <w:sz w:val="16"/>
                          </w:rPr>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5"/>
                          <w:jc w:val="right"/>
                          <w:rPr>
                            <w:rFonts w:ascii="宋体" w:hAnsi="宋体" w:cs="宋体" w:eastAsia="宋体" w:hint="default"/>
                            <w:sz w:val="16"/>
                            <w:szCs w:val="16"/>
                          </w:rPr>
                        </w:pPr>
                        <w:r>
                          <w:rPr>
                            <w:rFonts w:ascii="宋体"/>
                            <w:spacing w:val="-6"/>
                            <w:sz w:val="16"/>
                          </w:rPr>
                          <w:t>0.00</w:t>
                        </w:r>
                        <w:r>
                          <w:rPr>
                            <w:rFonts w:ascii="宋体"/>
                            <w:sz w:val="16"/>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6"/>
                          <w:jc w:val="right"/>
                          <w:rPr>
                            <w:rFonts w:ascii="宋体" w:hAnsi="宋体" w:cs="宋体" w:eastAsia="宋体" w:hint="default"/>
                            <w:sz w:val="16"/>
                            <w:szCs w:val="16"/>
                          </w:rPr>
                        </w:pPr>
                        <w:r>
                          <w:rPr>
                            <w:rFonts w:ascii="宋体"/>
                            <w:spacing w:val="-7"/>
                            <w:sz w:val="16"/>
                          </w:rPr>
                          <w:t>2,351,811.36</w:t>
                        </w:r>
                        <w:r>
                          <w:rPr>
                            <w:rFonts w:ascii="宋体"/>
                            <w:sz w:val="16"/>
                          </w:rPr>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8"/>
                          <w:jc w:val="right"/>
                          <w:rPr>
                            <w:rFonts w:ascii="宋体" w:hAnsi="宋体" w:cs="宋体" w:eastAsia="宋体" w:hint="default"/>
                            <w:sz w:val="16"/>
                            <w:szCs w:val="16"/>
                          </w:rPr>
                        </w:pPr>
                        <w:r>
                          <w:rPr>
                            <w:rFonts w:ascii="宋体"/>
                            <w:spacing w:val="-7"/>
                            <w:sz w:val="16"/>
                          </w:rPr>
                          <w:t>2,430,447.50</w:t>
                        </w:r>
                        <w:r>
                          <w:rPr>
                            <w:rFonts w:ascii="宋体"/>
                            <w:sz w:val="16"/>
                          </w:rPr>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5"/>
                          <w:jc w:val="right"/>
                          <w:rPr>
                            <w:rFonts w:ascii="宋体" w:hAnsi="宋体" w:cs="宋体" w:eastAsia="宋体" w:hint="default"/>
                            <w:sz w:val="16"/>
                            <w:szCs w:val="16"/>
                          </w:rPr>
                        </w:pPr>
                        <w:r>
                          <w:rPr>
                            <w:rFonts w:ascii="宋体"/>
                            <w:spacing w:val="-6"/>
                            <w:sz w:val="16"/>
                          </w:rPr>
                          <w:t>0.00</w:t>
                        </w:r>
                        <w:r>
                          <w:rPr>
                            <w:rFonts w:ascii="宋体"/>
                            <w:sz w:val="16"/>
                          </w:rPr>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宋体" w:hAnsi="宋体" w:cs="宋体" w:eastAsia="宋体" w:hint="default"/>
                            <w:sz w:val="16"/>
                            <w:szCs w:val="16"/>
                          </w:rPr>
                        </w:pPr>
                        <w:r>
                          <w:rPr>
                            <w:rFonts w:ascii="宋体"/>
                            <w:spacing w:val="-7"/>
                            <w:sz w:val="16"/>
                          </w:rPr>
                          <w:t>2,430,447.50</w:t>
                        </w:r>
                        <w:r>
                          <w:rPr>
                            <w:rFonts w:ascii="宋体"/>
                            <w:sz w:val="16"/>
                          </w:rPr>
                        </w:r>
                      </w:p>
                    </w:tc>
                  </w:tr>
                  <w:tr>
                    <w:trPr>
                      <w:trHeight w:val="285" w:hRule="exact"/>
                    </w:trPr>
                    <w:tc>
                      <w:tcPr>
                        <w:tcW w:w="228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6"/>
                            <w:szCs w:val="16"/>
                          </w:rPr>
                        </w:pPr>
                        <w:r>
                          <w:rPr>
                            <w:rFonts w:ascii="宋体" w:hAnsi="宋体" w:cs="宋体" w:eastAsia="宋体" w:hint="default"/>
                            <w:spacing w:val="-13"/>
                            <w:sz w:val="16"/>
                            <w:szCs w:val="16"/>
                          </w:rPr>
                          <w:t>同方威视华沙在建新厂房项目</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9"/>
                          <w:jc w:val="right"/>
                          <w:rPr>
                            <w:rFonts w:ascii="宋体" w:hAnsi="宋体" w:cs="宋体" w:eastAsia="宋体" w:hint="default"/>
                            <w:sz w:val="16"/>
                            <w:szCs w:val="16"/>
                          </w:rPr>
                        </w:pPr>
                        <w:r>
                          <w:rPr>
                            <w:rFonts w:ascii="宋体"/>
                            <w:spacing w:val="-6"/>
                            <w:sz w:val="16"/>
                          </w:rPr>
                          <w:t>0.00</w:t>
                        </w:r>
                        <w:r>
                          <w:rPr>
                            <w:rFonts w:ascii="宋体"/>
                            <w:sz w:val="16"/>
                          </w:rPr>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spacing w:val="-6"/>
                            <w:sz w:val="16"/>
                          </w:rPr>
                          <w:t>0.00</w:t>
                        </w:r>
                        <w:r>
                          <w:rPr>
                            <w:rFonts w:ascii="宋体"/>
                            <w:sz w:val="16"/>
                          </w:rPr>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6"/>
                          <w:jc w:val="right"/>
                          <w:rPr>
                            <w:rFonts w:ascii="宋体" w:hAnsi="宋体" w:cs="宋体" w:eastAsia="宋体" w:hint="default"/>
                            <w:sz w:val="16"/>
                            <w:szCs w:val="16"/>
                          </w:rPr>
                        </w:pPr>
                        <w:r>
                          <w:rPr>
                            <w:rFonts w:ascii="宋体"/>
                            <w:spacing w:val="-6"/>
                            <w:sz w:val="16"/>
                          </w:rPr>
                          <w:t>0.00</w:t>
                        </w:r>
                        <w:r>
                          <w:rPr>
                            <w:rFonts w:ascii="宋体"/>
                            <w:sz w:val="16"/>
                          </w:rPr>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8"/>
                          <w:jc w:val="right"/>
                          <w:rPr>
                            <w:rFonts w:ascii="宋体" w:hAnsi="宋体" w:cs="宋体" w:eastAsia="宋体" w:hint="default"/>
                            <w:sz w:val="16"/>
                            <w:szCs w:val="16"/>
                          </w:rPr>
                        </w:pPr>
                        <w:r>
                          <w:rPr>
                            <w:rFonts w:ascii="宋体"/>
                            <w:spacing w:val="-7"/>
                            <w:sz w:val="16"/>
                          </w:rPr>
                          <w:t>21,340,255.68</w:t>
                        </w:r>
                        <w:r>
                          <w:rPr>
                            <w:rFonts w:ascii="宋体"/>
                            <w:sz w:val="16"/>
                          </w:rPr>
                        </w:r>
                      </w:p>
                    </w:tc>
                    <w:tc>
                      <w:tcPr>
                        <w:tcW w:w="91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宋体" w:hAnsi="宋体" w:cs="宋体" w:eastAsia="宋体" w:hint="default"/>
                            <w:sz w:val="16"/>
                            <w:szCs w:val="16"/>
                          </w:rPr>
                        </w:pPr>
                        <w:r>
                          <w:rPr>
                            <w:rFonts w:ascii="宋体"/>
                            <w:spacing w:val="-6"/>
                            <w:sz w:val="16"/>
                          </w:rPr>
                          <w:t>0.00</w:t>
                        </w:r>
                        <w:r>
                          <w:rPr>
                            <w:rFonts w:ascii="宋体"/>
                            <w:sz w:val="16"/>
                          </w:rPr>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宋体" w:hAnsi="宋体" w:cs="宋体" w:eastAsia="宋体" w:hint="default"/>
                            <w:sz w:val="16"/>
                            <w:szCs w:val="16"/>
                          </w:rPr>
                        </w:pPr>
                        <w:r>
                          <w:rPr>
                            <w:rFonts w:ascii="宋体"/>
                            <w:spacing w:val="-7"/>
                            <w:sz w:val="16"/>
                          </w:rPr>
                          <w:t>21,340,255.68</w:t>
                        </w:r>
                        <w:r>
                          <w:rPr>
                            <w:rFonts w:ascii="宋体"/>
                            <w:sz w:val="16"/>
                          </w:rPr>
                        </w:r>
                      </w:p>
                    </w:tc>
                  </w:tr>
                  <w:tr>
                    <w:trPr>
                      <w:trHeight w:val="292" w:hRule="exact"/>
                    </w:trPr>
                    <w:tc>
                      <w:tcPr>
                        <w:tcW w:w="2282"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35" w:right="0"/>
                          <w:jc w:val="left"/>
                          <w:rPr>
                            <w:rFonts w:ascii="宋体" w:hAnsi="宋体" w:cs="宋体" w:eastAsia="宋体" w:hint="default"/>
                            <w:sz w:val="16"/>
                            <w:szCs w:val="16"/>
                          </w:rPr>
                        </w:pPr>
                        <w:r>
                          <w:rPr>
                            <w:rFonts w:ascii="宋体" w:hAnsi="宋体" w:cs="宋体" w:eastAsia="宋体" w:hint="default"/>
                            <w:spacing w:val="-11"/>
                            <w:sz w:val="16"/>
                            <w:szCs w:val="16"/>
                          </w:rPr>
                          <w:t>零星工程</w:t>
                        </w:r>
                      </w:p>
                    </w:tc>
                    <w:tc>
                      <w:tcPr>
                        <w:tcW w:w="1310"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78"/>
                          <w:jc w:val="right"/>
                          <w:rPr>
                            <w:rFonts w:ascii="宋体" w:hAnsi="宋体" w:cs="宋体" w:eastAsia="宋体" w:hint="default"/>
                            <w:sz w:val="16"/>
                            <w:szCs w:val="16"/>
                          </w:rPr>
                        </w:pPr>
                        <w:r>
                          <w:rPr>
                            <w:rFonts w:ascii="宋体"/>
                            <w:spacing w:val="-7"/>
                            <w:sz w:val="16"/>
                          </w:rPr>
                          <w:t>36,340,817.08</w:t>
                        </w:r>
                        <w:r>
                          <w:rPr>
                            <w:rFonts w:ascii="宋体"/>
                            <w:sz w:val="16"/>
                          </w:rPr>
                        </w:r>
                      </w:p>
                    </w:tc>
                    <w:tc>
                      <w:tcPr>
                        <w:tcW w:w="917"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65"/>
                          <w:jc w:val="right"/>
                          <w:rPr>
                            <w:rFonts w:ascii="宋体" w:hAnsi="宋体" w:cs="宋体" w:eastAsia="宋体" w:hint="default"/>
                            <w:sz w:val="16"/>
                            <w:szCs w:val="16"/>
                          </w:rPr>
                        </w:pPr>
                        <w:r>
                          <w:rPr>
                            <w:rFonts w:ascii="宋体"/>
                            <w:spacing w:val="-6"/>
                            <w:sz w:val="16"/>
                          </w:rPr>
                          <w:t>37,595.23</w:t>
                        </w:r>
                        <w:r>
                          <w:rPr>
                            <w:rFonts w:ascii="宋体"/>
                            <w:sz w:val="16"/>
                          </w:rPr>
                        </w:r>
                      </w:p>
                    </w:tc>
                    <w:tc>
                      <w:tcPr>
                        <w:tcW w:w="1101"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66"/>
                          <w:jc w:val="right"/>
                          <w:rPr>
                            <w:rFonts w:ascii="宋体" w:hAnsi="宋体" w:cs="宋体" w:eastAsia="宋体" w:hint="default"/>
                            <w:sz w:val="16"/>
                            <w:szCs w:val="16"/>
                          </w:rPr>
                        </w:pPr>
                        <w:r>
                          <w:rPr>
                            <w:rFonts w:ascii="宋体"/>
                            <w:spacing w:val="-7"/>
                            <w:sz w:val="16"/>
                          </w:rPr>
                          <w:t>36,303,221.85</w:t>
                        </w:r>
                        <w:r>
                          <w:rPr>
                            <w:rFonts w:ascii="宋体"/>
                            <w:sz w:val="16"/>
                          </w:rPr>
                        </w:r>
                      </w:p>
                    </w:tc>
                    <w:tc>
                      <w:tcPr>
                        <w:tcW w:w="1213"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78"/>
                          <w:jc w:val="right"/>
                          <w:rPr>
                            <w:rFonts w:ascii="宋体" w:hAnsi="宋体" w:cs="宋体" w:eastAsia="宋体" w:hint="default"/>
                            <w:sz w:val="16"/>
                            <w:szCs w:val="16"/>
                          </w:rPr>
                        </w:pPr>
                        <w:r>
                          <w:rPr>
                            <w:rFonts w:ascii="宋体"/>
                            <w:spacing w:val="-7"/>
                            <w:sz w:val="16"/>
                          </w:rPr>
                          <w:t>45,868,748.57</w:t>
                        </w:r>
                        <w:r>
                          <w:rPr>
                            <w:rFonts w:ascii="宋体"/>
                            <w:sz w:val="16"/>
                          </w:rPr>
                        </w:r>
                      </w:p>
                    </w:tc>
                    <w:tc>
                      <w:tcPr>
                        <w:tcW w:w="917"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65"/>
                          <w:jc w:val="right"/>
                          <w:rPr>
                            <w:rFonts w:ascii="宋体" w:hAnsi="宋体" w:cs="宋体" w:eastAsia="宋体" w:hint="default"/>
                            <w:sz w:val="16"/>
                            <w:szCs w:val="16"/>
                          </w:rPr>
                        </w:pPr>
                        <w:r>
                          <w:rPr>
                            <w:rFonts w:ascii="宋体"/>
                            <w:spacing w:val="-6"/>
                            <w:sz w:val="16"/>
                          </w:rPr>
                          <w:t>37,595.23</w:t>
                        </w:r>
                        <w:r>
                          <w:rPr>
                            <w:rFonts w:ascii="宋体"/>
                            <w:sz w:val="16"/>
                          </w:rPr>
                        </w:r>
                      </w:p>
                    </w:tc>
                    <w:tc>
                      <w:tcPr>
                        <w:tcW w:w="1067"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33"/>
                          <w:jc w:val="right"/>
                          <w:rPr>
                            <w:rFonts w:ascii="宋体" w:hAnsi="宋体" w:cs="宋体" w:eastAsia="宋体" w:hint="default"/>
                            <w:sz w:val="16"/>
                            <w:szCs w:val="16"/>
                          </w:rPr>
                        </w:pPr>
                        <w:r>
                          <w:rPr>
                            <w:rFonts w:ascii="宋体"/>
                            <w:spacing w:val="-7"/>
                            <w:sz w:val="16"/>
                          </w:rPr>
                          <w:t>45,831,153.34</w:t>
                        </w:r>
                        <w:r>
                          <w:rPr>
                            <w:rFonts w:ascii="宋体"/>
                            <w:sz w:val="16"/>
                          </w:rPr>
                        </w:r>
                      </w:p>
                    </w:tc>
                  </w:tr>
                </w:tbl>
                <w:p>
                  <w:pPr/>
                </w:p>
              </w:txbxContent>
            </v:textbox>
            <w10:wrap type="none"/>
          </v:shape>
        </w:pict>
      </w:r>
      <w:r>
        <w:rPr>
          <w:rFonts w:ascii="宋体" w:hAnsi="宋体" w:cs="宋体" w:eastAsia="宋体" w:hint="default"/>
          <w:spacing w:val="-13"/>
          <w:sz w:val="16"/>
          <w:szCs w:val="16"/>
        </w:rPr>
        <w:t>“中国知网”数字出版与数字图书</w:t>
      </w:r>
    </w:p>
    <w:p>
      <w:pPr>
        <w:tabs>
          <w:tab w:pos="3231" w:val="left" w:leader="none"/>
        </w:tabs>
        <w:spacing w:line="233" w:lineRule="exact" w:before="0"/>
        <w:ind w:left="0" w:right="1067" w:firstLine="0"/>
        <w:jc w:val="center"/>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p>
      <w:pPr>
        <w:spacing w:line="20" w:lineRule="exact"/>
        <w:ind w:left="28" w:right="0" w:firstLine="0"/>
        <w:rPr>
          <w:rFonts w:ascii="宋体" w:hAnsi="宋体" w:cs="宋体" w:eastAsia="宋体" w:hint="default"/>
          <w:sz w:val="2"/>
          <w:szCs w:val="2"/>
        </w:rPr>
      </w:pPr>
      <w:r>
        <w:rPr>
          <w:rFonts w:ascii="宋体" w:hAnsi="宋体" w:cs="宋体" w:eastAsia="宋体" w:hint="default"/>
          <w:sz w:val="2"/>
          <w:szCs w:val="2"/>
        </w:rPr>
        <w:pict>
          <v:group style="width:323.45pt;height:.5pt;mso-position-horizontal-relative:char;mso-position-vertical-relative:line" coordorigin="0,0" coordsize="6469,10">
            <v:group style="position:absolute;left:5;top:5;width:1102;height:2" coordorigin="5,5" coordsize="1102,2">
              <v:shape style="position:absolute;left:5;top:5;width:1102;height:2" coordorigin="5,5" coordsize="1102,0" path="m5,5l1106,5e" filled="false" stroked="true" strokeweight=".48001pt" strokecolor="#000000">
                <v:path arrowok="t"/>
              </v:shape>
            </v:group>
            <v:group style="position:absolute;left:1106;top:5;width:10;height:2" coordorigin="1106,5" coordsize="10,2">
              <v:shape style="position:absolute;left:1106;top:5;width:10;height:2" coordorigin="1106,5" coordsize="10,0" path="m1106,5l1116,5e" filled="false" stroked="true" strokeweight=".48001pt" strokecolor="#000000">
                <v:path arrowok="t"/>
              </v:shape>
            </v:group>
            <v:group style="position:absolute;left:1116;top:5;width:1019;height:2" coordorigin="1116,5" coordsize="1019,2">
              <v:shape style="position:absolute;left:1116;top:5;width:1019;height:2" coordorigin="1116,5" coordsize="1019,0" path="m1116,5l2134,5e" filled="false" stroked="true" strokeweight=".48001pt" strokecolor="#000000">
                <v:path arrowok="t"/>
              </v:shape>
            </v:group>
            <v:group style="position:absolute;left:2134;top:5;width:10;height:2" coordorigin="2134,5" coordsize="10,2">
              <v:shape style="position:absolute;left:2134;top:5;width:10;height:2" coordorigin="2134,5" coordsize="10,0" path="m2134,5l2144,5e" filled="false" stroked="true" strokeweight=".48001pt" strokecolor="#000000">
                <v:path arrowok="t"/>
              </v:shape>
            </v:group>
            <v:group style="position:absolute;left:2144;top:5;width:1092;height:2" coordorigin="2144,5" coordsize="1092,2">
              <v:shape style="position:absolute;left:2144;top:5;width:1092;height:2" coordorigin="2144,5" coordsize="1092,0" path="m2144,5l3236,5e" filled="false" stroked="true" strokeweight=".48001pt" strokecolor="#000000">
                <v:path arrowok="t"/>
              </v:shape>
            </v:group>
            <v:group style="position:absolute;left:3236;top:5;width:10;height:2" coordorigin="3236,5" coordsize="10,2">
              <v:shape style="position:absolute;left:3236;top:5;width:10;height:2" coordorigin="3236,5" coordsize="10,0" path="m3236,5l3245,5e" filled="false" stroked="true" strokeweight=".48001pt" strokecolor="#000000">
                <v:path arrowok="t"/>
              </v:shape>
            </v:group>
            <v:group style="position:absolute;left:3245;top:5;width:1090;height:2" coordorigin="3245,5" coordsize="1090,2">
              <v:shape style="position:absolute;left:3245;top:5;width:1090;height:2" coordorigin="3245,5" coordsize="1090,0" path="m3245,5l4335,5e" filled="false" stroked="true" strokeweight=".48001pt" strokecolor="#000000">
                <v:path arrowok="t"/>
              </v:shape>
            </v:group>
            <v:group style="position:absolute;left:4335;top:5;width:10;height:2" coordorigin="4335,5" coordsize="10,2">
              <v:shape style="position:absolute;left:4335;top:5;width:10;height:2" coordorigin="4335,5" coordsize="10,0" path="m4335,5l4344,5e" filled="false" stroked="true" strokeweight=".48001pt" strokecolor="#000000">
                <v:path arrowok="t"/>
              </v:shape>
            </v:group>
            <v:group style="position:absolute;left:4344;top:5;width:1019;height:2" coordorigin="4344,5" coordsize="1019,2">
              <v:shape style="position:absolute;left:4344;top:5;width:1019;height:2" coordorigin="4344,5" coordsize="1019,0" path="m4344,5l5362,5e" filled="false" stroked="true" strokeweight=".48001pt" strokecolor="#000000">
                <v:path arrowok="t"/>
              </v:shape>
            </v:group>
            <v:group style="position:absolute;left:5363;top:5;width:10;height:2" coordorigin="5363,5" coordsize="10,2">
              <v:shape style="position:absolute;left:5363;top:5;width:10;height:2" coordorigin="5363,5" coordsize="10,0" path="m5363,5l5372,5e" filled="false" stroked="true" strokeweight=".48001pt" strokecolor="#000000">
                <v:path arrowok="t"/>
              </v:shape>
            </v:group>
            <v:group style="position:absolute;left:5372;top:5;width:1092;height:2" coordorigin="5372,5" coordsize="1092,2">
              <v:shape style="position:absolute;left:5372;top:5;width:1092;height:2" coordorigin="5372,5" coordsize="1092,0" path="m5372,5l6464,5e" filled="false" stroked="true" strokeweight=".48001pt" strokecolor="#000000">
                <v:path arrowok="t"/>
              </v:shape>
            </v:group>
          </v:group>
        </w:pict>
      </w:r>
      <w:r>
        <w:rPr>
          <w:rFonts w:ascii="宋体" w:hAnsi="宋体" w:cs="宋体" w:eastAsia="宋体" w:hint="default"/>
          <w:sz w:val="2"/>
          <w:szCs w:val="2"/>
        </w:rPr>
      </w:r>
    </w:p>
    <w:p>
      <w:pPr>
        <w:tabs>
          <w:tab w:pos="1065" w:val="left" w:leader="none"/>
          <w:tab w:pos="2129" w:val="left" w:leader="none"/>
          <w:tab w:pos="3230" w:val="left" w:leader="none"/>
          <w:tab w:pos="4296" w:val="left" w:leader="none"/>
          <w:tab w:pos="5360" w:val="left" w:leader="none"/>
        </w:tabs>
        <w:spacing w:before="0"/>
        <w:ind w:left="0" w:right="1065" w:firstLine="0"/>
        <w:jc w:val="center"/>
        <w:rPr>
          <w:rFonts w:ascii="宋体" w:hAnsi="宋体" w:cs="宋体" w:eastAsia="宋体" w:hint="default"/>
          <w:sz w:val="18"/>
          <w:szCs w:val="18"/>
        </w:rPr>
      </w:pPr>
      <w:r>
        <w:rPr>
          <w:rFonts w:ascii="宋体" w:hAnsi="宋体" w:cs="宋体" w:eastAsia="宋体" w:hint="default"/>
          <w:b/>
          <w:bCs/>
          <w:w w:val="95"/>
          <w:sz w:val="18"/>
          <w:szCs w:val="18"/>
        </w:rPr>
        <w:t>账面余额</w:t>
        <w:tab/>
        <w:t>减值准备</w:t>
        <w:tab/>
        <w:t>账面价值</w:t>
        <w:tab/>
        <w:t>账面余额</w:t>
        <w:tab/>
        <w:t>减值准备</w:t>
        <w:tab/>
      </w: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000" w:bottom="280" w:left="480" w:right="460"/>
          <w:cols w:num="2" w:equalWidth="0">
            <w:col w:w="3339" w:space="40"/>
            <w:col w:w="7591"/>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p>
      <w:pPr>
        <w:tabs>
          <w:tab w:pos="3437" w:val="left" w:leader="none"/>
        </w:tabs>
        <w:spacing w:before="51"/>
        <w:ind w:left="1106" w:right="0" w:firstLine="0"/>
        <w:jc w:val="left"/>
        <w:rPr>
          <w:rFonts w:ascii="宋体" w:hAnsi="宋体" w:cs="宋体" w:eastAsia="宋体" w:hint="default"/>
          <w:sz w:val="16"/>
          <w:szCs w:val="16"/>
        </w:rPr>
      </w:pPr>
      <w:r>
        <w:rPr>
          <w:rFonts w:ascii="宋体" w:hAnsi="宋体" w:cs="宋体" w:eastAsia="宋体" w:hint="default"/>
          <w:b/>
          <w:bCs/>
          <w:position w:val="-3"/>
          <w:sz w:val="16"/>
          <w:szCs w:val="16"/>
        </w:rPr>
        <w:t>合计</w:t>
        <w:tab/>
      </w:r>
      <w:r>
        <w:rPr>
          <w:rFonts w:ascii="宋体" w:hAnsi="宋体" w:cs="宋体" w:eastAsia="宋体" w:hint="default"/>
          <w:b/>
          <w:bCs/>
          <w:spacing w:val="-6"/>
          <w:sz w:val="16"/>
          <w:szCs w:val="16"/>
        </w:rPr>
        <w:t>503,687,212.34</w:t>
      </w:r>
      <w:r>
        <w:rPr>
          <w:rFonts w:ascii="宋体" w:hAnsi="宋体" w:cs="宋体" w:eastAsia="宋体" w:hint="default"/>
          <w:b/>
          <w:bCs/>
          <w:spacing w:val="-22"/>
          <w:sz w:val="16"/>
          <w:szCs w:val="16"/>
        </w:rPr>
        <w:t> </w:t>
      </w:r>
      <w:r>
        <w:rPr>
          <w:rFonts w:ascii="宋体" w:hAnsi="宋体" w:cs="宋体" w:eastAsia="宋体" w:hint="default"/>
          <w:b/>
          <w:bCs/>
          <w:spacing w:val="-6"/>
          <w:sz w:val="16"/>
          <w:szCs w:val="16"/>
        </w:rPr>
        <w:t>15,362,569.31</w:t>
      </w:r>
      <w:r>
        <w:rPr>
          <w:rFonts w:ascii="宋体" w:hAnsi="宋体" w:cs="宋体" w:eastAsia="宋体" w:hint="default"/>
          <w:b/>
          <w:bCs/>
          <w:spacing w:val="-27"/>
          <w:sz w:val="16"/>
          <w:szCs w:val="16"/>
        </w:rPr>
        <w:t> </w:t>
      </w:r>
      <w:r>
        <w:rPr>
          <w:rFonts w:ascii="宋体" w:hAnsi="宋体" w:cs="宋体" w:eastAsia="宋体" w:hint="default"/>
          <w:b/>
          <w:bCs/>
          <w:spacing w:val="-6"/>
          <w:sz w:val="16"/>
          <w:szCs w:val="16"/>
        </w:rPr>
        <w:t>488,324,643.03</w:t>
      </w:r>
      <w:r>
        <w:rPr>
          <w:rFonts w:ascii="宋体" w:hAnsi="宋体" w:cs="宋体" w:eastAsia="宋体" w:hint="default"/>
          <w:b/>
          <w:bCs/>
          <w:spacing w:val="-25"/>
          <w:sz w:val="16"/>
          <w:szCs w:val="16"/>
        </w:rPr>
        <w:t> </w:t>
      </w:r>
      <w:r>
        <w:rPr>
          <w:rFonts w:ascii="宋体" w:hAnsi="宋体" w:cs="宋体" w:eastAsia="宋体" w:hint="default"/>
          <w:b/>
          <w:bCs/>
          <w:spacing w:val="-6"/>
          <w:sz w:val="16"/>
          <w:szCs w:val="16"/>
        </w:rPr>
        <w:t>441,712,728.43</w:t>
      </w:r>
      <w:r>
        <w:rPr>
          <w:rFonts w:ascii="宋体" w:hAnsi="宋体" w:cs="宋体" w:eastAsia="宋体" w:hint="default"/>
          <w:b/>
          <w:bCs/>
          <w:spacing w:val="-22"/>
          <w:sz w:val="16"/>
          <w:szCs w:val="16"/>
        </w:rPr>
        <w:t> </w:t>
      </w:r>
      <w:r>
        <w:rPr>
          <w:rFonts w:ascii="宋体" w:hAnsi="宋体" w:cs="宋体" w:eastAsia="宋体" w:hint="default"/>
          <w:b/>
          <w:bCs/>
          <w:spacing w:val="-6"/>
          <w:sz w:val="16"/>
          <w:szCs w:val="16"/>
        </w:rPr>
        <w:t>14,641,138.14</w:t>
      </w:r>
      <w:r>
        <w:rPr>
          <w:rFonts w:ascii="宋体" w:hAnsi="宋体" w:cs="宋体" w:eastAsia="宋体" w:hint="default"/>
          <w:b/>
          <w:bCs/>
          <w:spacing w:val="-27"/>
          <w:sz w:val="16"/>
          <w:szCs w:val="16"/>
        </w:rPr>
        <w:t> </w:t>
      </w:r>
      <w:r>
        <w:rPr>
          <w:rFonts w:ascii="宋体" w:hAnsi="宋体" w:cs="宋体" w:eastAsia="宋体" w:hint="default"/>
          <w:b/>
          <w:bCs/>
          <w:spacing w:val="-6"/>
          <w:sz w:val="16"/>
          <w:szCs w:val="16"/>
        </w:rPr>
        <w:t>427,071,590.29</w:t>
      </w:r>
      <w:r>
        <w:rPr>
          <w:rFonts w:ascii="宋体" w:hAnsi="宋体" w:cs="宋体" w:eastAsia="宋体" w:hint="default"/>
          <w:spacing w:val="-6"/>
          <w:sz w:val="16"/>
          <w:szCs w:val="16"/>
        </w:rPr>
      </w:r>
    </w:p>
    <w:p>
      <w:pPr>
        <w:spacing w:line="28" w:lineRule="exact"/>
        <w:ind w:left="1051" w:right="0" w:firstLine="0"/>
        <w:rPr>
          <w:rFonts w:ascii="宋体" w:hAnsi="宋体" w:cs="宋体" w:eastAsia="宋体" w:hint="default"/>
          <w:sz w:val="2"/>
          <w:szCs w:val="2"/>
        </w:rPr>
      </w:pPr>
      <w:r>
        <w:rPr>
          <w:rFonts w:ascii="宋体" w:hAnsi="宋体" w:cs="宋体" w:eastAsia="宋体" w:hint="default"/>
          <w:position w:val="0"/>
          <w:sz w:val="2"/>
          <w:szCs w:val="2"/>
        </w:rPr>
        <w:pict>
          <v:group style="width:441.7pt;height:1.45pt;mso-position-horizontal-relative:char;mso-position-vertical-relative:line" coordorigin="0,0" coordsize="8834,29">
            <v:group style="position:absolute;left:14;top:14;width:2346;height:2" coordorigin="14,14" coordsize="2346,2">
              <v:shape style="position:absolute;left:14;top:14;width:2346;height:2" coordorigin="14,14" coordsize="2346,0" path="m14,14l2360,14e" filled="false" stroked="true" strokeweight="1.44pt" strokecolor="#000000">
                <v:path arrowok="t"/>
              </v:shape>
            </v:group>
            <v:group style="position:absolute;left:2345;top:14;width:29;height:2" coordorigin="2345,14" coordsize="29,2">
              <v:shape style="position:absolute;left:2345;top:14;width:29;height:2" coordorigin="2345,14" coordsize="29,0" path="m2345,14l2374,14e" filled="false" stroked="true" strokeweight="1.44pt" strokecolor="#000000">
                <v:path arrowok="t"/>
              </v:shape>
            </v:group>
            <v:group style="position:absolute;left:2374;top:14;width:1088;height:2" coordorigin="2374,14" coordsize="1088,2">
              <v:shape style="position:absolute;left:2374;top:14;width:1088;height:2" coordorigin="2374,14" coordsize="1088,0" path="m2374,14l3461,14e" filled="false" stroked="true" strokeweight="1.44pt" strokecolor="#000000">
                <v:path arrowok="t"/>
              </v:shape>
            </v:group>
            <v:group style="position:absolute;left:3447;top:14;width:29;height:2" coordorigin="3447,14" coordsize="29,2">
              <v:shape style="position:absolute;left:3447;top:14;width:29;height:2" coordorigin="3447,14" coordsize="29,0" path="m3447,14l3476,14e" filled="false" stroked="true" strokeweight="1.44pt" strokecolor="#000000">
                <v:path arrowok="t"/>
              </v:shape>
            </v:group>
            <v:group style="position:absolute;left:3476;top:14;width:1014;height:2" coordorigin="3476,14" coordsize="1014,2">
              <v:shape style="position:absolute;left:3476;top:14;width:1014;height:2" coordorigin="3476,14" coordsize="1014,0" path="m3476,14l4489,14e" filled="false" stroked="true" strokeweight="1.44pt" strokecolor="#000000">
                <v:path arrowok="t"/>
              </v:shape>
            </v:group>
            <v:group style="position:absolute;left:4475;top:14;width:29;height:2" coordorigin="4475,14" coordsize="29,2">
              <v:shape style="position:absolute;left:4475;top:14;width:29;height:2" coordorigin="4475,14" coordsize="29,0" path="m4475,14l4503,14e" filled="false" stroked="true" strokeweight="1.44pt" strokecolor="#000000">
                <v:path arrowok="t"/>
              </v:shape>
            </v:group>
            <v:group style="position:absolute;left:4503;top:14;width:1088;height:2" coordorigin="4503,14" coordsize="1088,2">
              <v:shape style="position:absolute;left:4503;top:14;width:1088;height:2" coordorigin="4503,14" coordsize="1088,0" path="m4503,14l5591,14e" filled="false" stroked="true" strokeweight="1.44pt" strokecolor="#000000">
                <v:path arrowok="t"/>
              </v:shape>
            </v:group>
            <v:group style="position:absolute;left:5576;top:14;width:29;height:2" coordorigin="5576,14" coordsize="29,2">
              <v:shape style="position:absolute;left:5576;top:14;width:29;height:2" coordorigin="5576,14" coordsize="29,0" path="m5576,14l5605,14e" filled="false" stroked="true" strokeweight="1.44pt" strokecolor="#000000">
                <v:path arrowok="t"/>
              </v:shape>
            </v:group>
            <v:group style="position:absolute;left:5605;top:14;width:1085;height:2" coordorigin="5605,14" coordsize="1085,2">
              <v:shape style="position:absolute;left:5605;top:14;width:1085;height:2" coordorigin="5605,14" coordsize="1085,0" path="m5605,14l6690,14e" filled="false" stroked="true" strokeweight="1.44pt" strokecolor="#000000">
                <v:path arrowok="t"/>
              </v:shape>
            </v:group>
            <v:group style="position:absolute;left:6675;top:14;width:29;height:2" coordorigin="6675,14" coordsize="29,2">
              <v:shape style="position:absolute;left:6675;top:14;width:29;height:2" coordorigin="6675,14" coordsize="29,0" path="m6675,14l6704,14e" filled="false" stroked="true" strokeweight="1.44pt" strokecolor="#000000">
                <v:path arrowok="t"/>
              </v:shape>
            </v:group>
            <v:group style="position:absolute;left:6704;top:14;width:1014;height:2" coordorigin="6704,14" coordsize="1014,2">
              <v:shape style="position:absolute;left:6704;top:14;width:1014;height:2" coordorigin="6704,14" coordsize="1014,0" path="m6704,14l7717,14e" filled="false" stroked="true" strokeweight="1.44pt" strokecolor="#000000">
                <v:path arrowok="t"/>
              </v:shape>
            </v:group>
            <v:group style="position:absolute;left:7703;top:14;width:29;height:2" coordorigin="7703,14" coordsize="29,2">
              <v:shape style="position:absolute;left:7703;top:14;width:29;height:2" coordorigin="7703,14" coordsize="29,0" path="m7703,14l7732,14e" filled="false" stroked="true" strokeweight="1.44pt" strokecolor="#000000">
                <v:path arrowok="t"/>
              </v:shape>
            </v:group>
            <v:group style="position:absolute;left:7732;top:14;width:1088;height:2" coordorigin="7732,14" coordsize="1088,2">
              <v:shape style="position:absolute;left:7732;top:14;width:1088;height:2" coordorigin="7732,14" coordsize="1088,0" path="m7732,14l8819,14e" filled="false" stroked="true" strokeweight="1.44pt" strokecolor="#000000">
                <v:path arrowok="t"/>
              </v:shape>
            </v:group>
          </v:group>
        </w:pict>
      </w:r>
      <w:r>
        <w:rPr>
          <w:rFonts w:ascii="宋体" w:hAnsi="宋体" w:cs="宋体" w:eastAsia="宋体" w:hint="default"/>
          <w:position w:val="0"/>
          <w:sz w:val="2"/>
          <w:szCs w:val="2"/>
        </w:rPr>
      </w:r>
    </w:p>
    <w:p>
      <w:pPr>
        <w:spacing w:before="106"/>
        <w:ind w:left="1675"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1"/>
          <w:sz w:val="22"/>
          <w:szCs w:val="22"/>
        </w:rPr>
        <w:t> </w:t>
      </w:r>
      <w:r>
        <w:rPr>
          <w:rFonts w:ascii="宋体" w:hAnsi="宋体" w:cs="宋体" w:eastAsia="宋体" w:hint="default"/>
          <w:sz w:val="22"/>
          <w:szCs w:val="22"/>
        </w:rPr>
        <w:t>在建工程项目变动情况</w:t>
      </w:r>
    </w:p>
    <w:p>
      <w:pPr>
        <w:spacing w:line="240" w:lineRule="auto" w:before="11"/>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648"/>
        <w:gridCol w:w="1070"/>
        <w:gridCol w:w="1172"/>
        <w:gridCol w:w="1164"/>
        <w:gridCol w:w="1196"/>
        <w:gridCol w:w="1138"/>
        <w:gridCol w:w="1104"/>
        <w:gridCol w:w="518"/>
        <w:gridCol w:w="738"/>
      </w:tblGrid>
      <w:tr>
        <w:trPr>
          <w:trHeight w:val="408" w:hRule="exact"/>
        </w:trPr>
        <w:tc>
          <w:tcPr>
            <w:tcW w:w="2648" w:type="dxa"/>
            <w:tcBorders>
              <w:top w:val="single" w:sz="12" w:space="0" w:color="000000"/>
              <w:left w:val="nil" w:sz="6" w:space="0" w:color="auto"/>
              <w:bottom w:val="single" w:sz="4" w:space="0" w:color="000000"/>
              <w:right w:val="nil" w:sz="6" w:space="0" w:color="auto"/>
            </w:tcBorders>
          </w:tcPr>
          <w:p>
            <w:pPr>
              <w:pStyle w:val="TableParagraph"/>
              <w:spacing w:line="240" w:lineRule="auto" w:before="74"/>
              <w:ind w:left="170" w:right="0"/>
              <w:jc w:val="center"/>
              <w:rPr>
                <w:rFonts w:ascii="宋体" w:hAnsi="宋体" w:cs="宋体" w:eastAsia="宋体" w:hint="default"/>
                <w:sz w:val="15"/>
                <w:szCs w:val="15"/>
              </w:rPr>
            </w:pPr>
            <w:r>
              <w:rPr>
                <w:rFonts w:ascii="宋体" w:hAnsi="宋体" w:cs="宋体" w:eastAsia="宋体" w:hint="default"/>
                <w:b/>
                <w:bCs/>
                <w:sz w:val="15"/>
                <w:szCs w:val="15"/>
              </w:rPr>
              <w:t>工程名称</w:t>
            </w:r>
            <w:r>
              <w:rPr>
                <w:rFonts w:ascii="宋体" w:hAnsi="宋体" w:cs="宋体" w:eastAsia="宋体" w:hint="default"/>
                <w:sz w:val="15"/>
                <w:szCs w:val="15"/>
              </w:rPr>
            </w:r>
          </w:p>
        </w:tc>
        <w:tc>
          <w:tcPr>
            <w:tcW w:w="1070" w:type="dxa"/>
            <w:tcBorders>
              <w:top w:val="single" w:sz="12" w:space="0" w:color="000000"/>
              <w:left w:val="nil" w:sz="6" w:space="0" w:color="auto"/>
              <w:bottom w:val="single" w:sz="4" w:space="0" w:color="000000"/>
              <w:right w:val="nil" w:sz="6" w:space="0" w:color="auto"/>
            </w:tcBorders>
          </w:tcPr>
          <w:p>
            <w:pPr>
              <w:pStyle w:val="TableParagraph"/>
              <w:spacing w:line="240" w:lineRule="auto" w:before="74"/>
              <w:ind w:right="138"/>
              <w:jc w:val="right"/>
              <w:rPr>
                <w:rFonts w:ascii="宋体" w:hAnsi="宋体" w:cs="宋体" w:eastAsia="宋体" w:hint="default"/>
                <w:sz w:val="15"/>
                <w:szCs w:val="15"/>
              </w:rPr>
            </w:pPr>
            <w:r>
              <w:rPr>
                <w:rFonts w:ascii="宋体" w:hAnsi="宋体" w:cs="宋体" w:eastAsia="宋体" w:hint="default"/>
                <w:b/>
                <w:bCs/>
                <w:spacing w:val="-1"/>
                <w:sz w:val="15"/>
                <w:szCs w:val="15"/>
              </w:rPr>
              <w:t>预算</w:t>
            </w:r>
            <w:r>
              <w:rPr>
                <w:rFonts w:ascii="宋体" w:hAnsi="宋体" w:cs="宋体" w:eastAsia="宋体" w:hint="default"/>
                <w:b/>
                <w:bCs/>
                <w:spacing w:val="-1"/>
                <w:sz w:val="15"/>
                <w:szCs w:val="15"/>
              </w:rPr>
              <w:t>/</w:t>
            </w:r>
            <w:r>
              <w:rPr>
                <w:rFonts w:ascii="宋体" w:hAnsi="宋体" w:cs="宋体" w:eastAsia="宋体" w:hint="default"/>
                <w:b/>
                <w:bCs/>
                <w:spacing w:val="-1"/>
                <w:sz w:val="15"/>
                <w:szCs w:val="15"/>
              </w:rPr>
              <w:t>万元</w:t>
            </w:r>
            <w:r>
              <w:rPr>
                <w:rFonts w:ascii="宋体" w:hAnsi="宋体" w:cs="宋体" w:eastAsia="宋体" w:hint="default"/>
                <w:sz w:val="15"/>
                <w:szCs w:val="15"/>
              </w:rPr>
            </w:r>
          </w:p>
        </w:tc>
        <w:tc>
          <w:tcPr>
            <w:tcW w:w="1172" w:type="dxa"/>
            <w:tcBorders>
              <w:top w:val="single" w:sz="12" w:space="0" w:color="000000"/>
              <w:left w:val="nil" w:sz="6" w:space="0" w:color="auto"/>
              <w:bottom w:val="single" w:sz="4" w:space="0" w:color="000000"/>
              <w:right w:val="nil" w:sz="6" w:space="0" w:color="auto"/>
            </w:tcBorders>
          </w:tcPr>
          <w:p>
            <w:pPr>
              <w:pStyle w:val="TableParagraph"/>
              <w:spacing w:line="240" w:lineRule="auto" w:before="74"/>
              <w:ind w:left="214" w:right="0"/>
              <w:jc w:val="left"/>
              <w:rPr>
                <w:rFonts w:ascii="宋体" w:hAnsi="宋体" w:cs="宋体" w:eastAsia="宋体" w:hint="default"/>
                <w:sz w:val="15"/>
                <w:szCs w:val="15"/>
              </w:rPr>
            </w:pPr>
            <w:r>
              <w:rPr>
                <w:rFonts w:ascii="宋体" w:hAnsi="宋体" w:cs="宋体" w:eastAsia="宋体" w:hint="default"/>
                <w:b/>
                <w:bCs/>
                <w:sz w:val="15"/>
                <w:szCs w:val="15"/>
              </w:rPr>
              <w:t>年初余额</w:t>
            </w:r>
            <w:r>
              <w:rPr>
                <w:rFonts w:ascii="宋体" w:hAnsi="宋体" w:cs="宋体" w:eastAsia="宋体" w:hint="default"/>
                <w:sz w:val="15"/>
                <w:szCs w:val="15"/>
              </w:rPr>
            </w:r>
          </w:p>
        </w:tc>
        <w:tc>
          <w:tcPr>
            <w:tcW w:w="1164" w:type="dxa"/>
            <w:tcBorders>
              <w:top w:val="single" w:sz="12" w:space="0" w:color="000000"/>
              <w:left w:val="nil" w:sz="6" w:space="0" w:color="auto"/>
              <w:bottom w:val="single" w:sz="4" w:space="0" w:color="000000"/>
              <w:right w:val="nil" w:sz="6" w:space="0" w:color="auto"/>
            </w:tcBorders>
          </w:tcPr>
          <w:p>
            <w:pPr>
              <w:pStyle w:val="TableParagraph"/>
              <w:spacing w:line="240" w:lineRule="auto" w:before="74"/>
              <w:ind w:left="213" w:right="0"/>
              <w:jc w:val="left"/>
              <w:rPr>
                <w:rFonts w:ascii="宋体" w:hAnsi="宋体" w:cs="宋体" w:eastAsia="宋体" w:hint="default"/>
                <w:sz w:val="15"/>
                <w:szCs w:val="15"/>
              </w:rPr>
            </w:pPr>
            <w:r>
              <w:rPr>
                <w:rFonts w:ascii="宋体" w:hAnsi="宋体" w:cs="宋体" w:eastAsia="宋体" w:hint="default"/>
                <w:b/>
                <w:bCs/>
                <w:sz w:val="15"/>
                <w:szCs w:val="15"/>
              </w:rPr>
              <w:t>本年增加</w:t>
            </w:r>
            <w:r>
              <w:rPr>
                <w:rFonts w:ascii="宋体" w:hAnsi="宋体" w:cs="宋体" w:eastAsia="宋体" w:hint="default"/>
                <w:sz w:val="15"/>
                <w:szCs w:val="15"/>
              </w:rPr>
            </w:r>
          </w:p>
        </w:tc>
        <w:tc>
          <w:tcPr>
            <w:tcW w:w="1196" w:type="dxa"/>
            <w:tcBorders>
              <w:top w:val="single" w:sz="12" w:space="0" w:color="000000"/>
              <w:left w:val="nil" w:sz="6" w:space="0" w:color="auto"/>
              <w:bottom w:val="single" w:sz="4" w:space="0" w:color="000000"/>
              <w:right w:val="nil" w:sz="6" w:space="0" w:color="auto"/>
            </w:tcBorders>
          </w:tcPr>
          <w:p>
            <w:pPr>
              <w:pStyle w:val="TableParagraph"/>
              <w:spacing w:line="240" w:lineRule="auto" w:before="74"/>
              <w:ind w:left="213" w:right="0"/>
              <w:jc w:val="left"/>
              <w:rPr>
                <w:rFonts w:ascii="宋体" w:hAnsi="宋体" w:cs="宋体" w:eastAsia="宋体" w:hint="default"/>
                <w:sz w:val="15"/>
                <w:szCs w:val="15"/>
              </w:rPr>
            </w:pPr>
            <w:r>
              <w:rPr>
                <w:rFonts w:ascii="宋体" w:hAnsi="宋体" w:cs="宋体" w:eastAsia="宋体" w:hint="default"/>
                <w:b/>
                <w:bCs/>
                <w:sz w:val="15"/>
                <w:szCs w:val="15"/>
              </w:rPr>
              <w:t>本年转固</w:t>
            </w:r>
            <w:r>
              <w:rPr>
                <w:rFonts w:ascii="宋体" w:hAnsi="宋体" w:cs="宋体" w:eastAsia="宋体" w:hint="default"/>
                <w:sz w:val="15"/>
                <w:szCs w:val="15"/>
              </w:rPr>
            </w:r>
          </w:p>
        </w:tc>
        <w:tc>
          <w:tcPr>
            <w:tcW w:w="1138" w:type="dxa"/>
            <w:tcBorders>
              <w:top w:val="single" w:sz="12" w:space="0" w:color="000000"/>
              <w:left w:val="nil" w:sz="6" w:space="0" w:color="auto"/>
              <w:bottom w:val="single" w:sz="4" w:space="0" w:color="000000"/>
              <w:right w:val="nil" w:sz="6" w:space="0" w:color="auto"/>
            </w:tcBorders>
          </w:tcPr>
          <w:p>
            <w:pPr>
              <w:pStyle w:val="TableParagraph"/>
              <w:spacing w:line="240" w:lineRule="auto" w:before="74"/>
              <w:ind w:left="173" w:right="0"/>
              <w:jc w:val="left"/>
              <w:rPr>
                <w:rFonts w:ascii="宋体" w:hAnsi="宋体" w:cs="宋体" w:eastAsia="宋体" w:hint="default"/>
                <w:sz w:val="15"/>
                <w:szCs w:val="15"/>
              </w:rPr>
            </w:pPr>
            <w:r>
              <w:rPr>
                <w:rFonts w:ascii="宋体" w:hAnsi="宋体" w:cs="宋体" w:eastAsia="宋体" w:hint="default"/>
                <w:b/>
                <w:bCs/>
                <w:sz w:val="15"/>
                <w:szCs w:val="15"/>
              </w:rPr>
              <w:t>其他减少</w:t>
            </w:r>
            <w:r>
              <w:rPr>
                <w:rFonts w:ascii="宋体" w:hAnsi="宋体" w:cs="宋体" w:eastAsia="宋体" w:hint="default"/>
                <w:sz w:val="15"/>
                <w:szCs w:val="15"/>
              </w:rPr>
            </w:r>
          </w:p>
        </w:tc>
        <w:tc>
          <w:tcPr>
            <w:tcW w:w="1104" w:type="dxa"/>
            <w:tcBorders>
              <w:top w:val="single" w:sz="12" w:space="0" w:color="000000"/>
              <w:left w:val="nil" w:sz="6" w:space="0" w:color="auto"/>
              <w:bottom w:val="single" w:sz="4" w:space="0" w:color="000000"/>
              <w:right w:val="nil" w:sz="6" w:space="0" w:color="auto"/>
            </w:tcBorders>
          </w:tcPr>
          <w:p>
            <w:pPr>
              <w:pStyle w:val="TableParagraph"/>
              <w:spacing w:line="240" w:lineRule="auto" w:before="74"/>
              <w:ind w:left="212" w:right="0"/>
              <w:jc w:val="left"/>
              <w:rPr>
                <w:rFonts w:ascii="宋体" w:hAnsi="宋体" w:cs="宋体" w:eastAsia="宋体" w:hint="default"/>
                <w:sz w:val="15"/>
                <w:szCs w:val="15"/>
              </w:rPr>
            </w:pPr>
            <w:r>
              <w:rPr>
                <w:rFonts w:ascii="宋体" w:hAnsi="宋体" w:cs="宋体" w:eastAsia="宋体" w:hint="default"/>
                <w:b/>
                <w:bCs/>
                <w:sz w:val="15"/>
                <w:szCs w:val="15"/>
              </w:rPr>
              <w:t>年末余额</w:t>
            </w:r>
            <w:r>
              <w:rPr>
                <w:rFonts w:ascii="宋体" w:hAnsi="宋体" w:cs="宋体" w:eastAsia="宋体" w:hint="default"/>
                <w:sz w:val="15"/>
                <w:szCs w:val="15"/>
              </w:rPr>
            </w:r>
          </w:p>
        </w:tc>
        <w:tc>
          <w:tcPr>
            <w:tcW w:w="518" w:type="dxa"/>
            <w:tcBorders>
              <w:top w:val="single" w:sz="12" w:space="0" w:color="000000"/>
              <w:left w:val="nil" w:sz="6" w:space="0" w:color="auto"/>
              <w:bottom w:val="single" w:sz="4" w:space="0" w:color="000000"/>
              <w:right w:val="nil" w:sz="6" w:space="0" w:color="auto"/>
            </w:tcBorders>
          </w:tcPr>
          <w:p>
            <w:pPr>
              <w:pStyle w:val="TableParagraph"/>
              <w:spacing w:line="171" w:lineRule="exact"/>
              <w:ind w:left="106" w:right="0"/>
              <w:jc w:val="left"/>
              <w:rPr>
                <w:rFonts w:ascii="宋体" w:hAnsi="宋体" w:cs="宋体" w:eastAsia="宋体" w:hint="default"/>
                <w:sz w:val="15"/>
                <w:szCs w:val="15"/>
              </w:rPr>
            </w:pPr>
            <w:r>
              <w:rPr>
                <w:rFonts w:ascii="宋体" w:hAnsi="宋体" w:cs="宋体" w:eastAsia="宋体" w:hint="default"/>
                <w:b/>
                <w:bCs/>
                <w:sz w:val="15"/>
                <w:szCs w:val="15"/>
              </w:rPr>
              <w:t>资金</w:t>
            </w:r>
            <w:r>
              <w:rPr>
                <w:rFonts w:ascii="宋体" w:hAnsi="宋体" w:cs="宋体" w:eastAsia="宋体" w:hint="default"/>
                <w:sz w:val="15"/>
                <w:szCs w:val="15"/>
              </w:rPr>
            </w:r>
          </w:p>
          <w:p>
            <w:pPr>
              <w:pStyle w:val="TableParagraph"/>
              <w:spacing w:line="195" w:lineRule="exact"/>
              <w:ind w:left="106" w:right="0"/>
              <w:jc w:val="left"/>
              <w:rPr>
                <w:rFonts w:ascii="宋体" w:hAnsi="宋体" w:cs="宋体" w:eastAsia="宋体" w:hint="default"/>
                <w:sz w:val="15"/>
                <w:szCs w:val="15"/>
              </w:rPr>
            </w:pPr>
            <w:r>
              <w:rPr>
                <w:rFonts w:ascii="宋体" w:hAnsi="宋体" w:cs="宋体" w:eastAsia="宋体" w:hint="default"/>
                <w:b/>
                <w:bCs/>
                <w:sz w:val="15"/>
                <w:szCs w:val="15"/>
              </w:rPr>
              <w:t>来源</w:t>
            </w:r>
            <w:r>
              <w:rPr>
                <w:rFonts w:ascii="宋体" w:hAnsi="宋体" w:cs="宋体" w:eastAsia="宋体" w:hint="default"/>
                <w:sz w:val="15"/>
                <w:szCs w:val="15"/>
              </w:rPr>
            </w:r>
          </w:p>
        </w:tc>
        <w:tc>
          <w:tcPr>
            <w:tcW w:w="738" w:type="dxa"/>
            <w:tcBorders>
              <w:top w:val="single" w:sz="12" w:space="0" w:color="000000"/>
              <w:left w:val="nil" w:sz="6" w:space="0" w:color="auto"/>
              <w:bottom w:val="single" w:sz="4" w:space="0" w:color="000000"/>
              <w:right w:val="nil" w:sz="6" w:space="0" w:color="auto"/>
            </w:tcBorders>
          </w:tcPr>
          <w:p>
            <w:pPr>
              <w:pStyle w:val="TableParagraph"/>
              <w:spacing w:line="171" w:lineRule="exact"/>
              <w:ind w:left="145" w:right="0" w:hanging="77"/>
              <w:jc w:val="left"/>
              <w:rPr>
                <w:rFonts w:ascii="宋体" w:hAnsi="宋体" w:cs="宋体" w:eastAsia="宋体" w:hint="default"/>
                <w:sz w:val="15"/>
                <w:szCs w:val="15"/>
              </w:rPr>
            </w:pPr>
            <w:r>
              <w:rPr>
                <w:rFonts w:ascii="宋体" w:hAnsi="宋体" w:cs="宋体" w:eastAsia="宋体" w:hint="default"/>
                <w:b/>
                <w:bCs/>
                <w:sz w:val="15"/>
                <w:szCs w:val="15"/>
              </w:rPr>
              <w:t>投入占预</w:t>
            </w:r>
            <w:r>
              <w:rPr>
                <w:rFonts w:ascii="宋体" w:hAnsi="宋体" w:cs="宋体" w:eastAsia="宋体" w:hint="default"/>
                <w:sz w:val="15"/>
                <w:szCs w:val="15"/>
              </w:rPr>
            </w:r>
          </w:p>
          <w:p>
            <w:pPr>
              <w:pStyle w:val="TableParagraph"/>
              <w:spacing w:line="195" w:lineRule="exact"/>
              <w:ind w:left="145" w:right="0"/>
              <w:jc w:val="left"/>
              <w:rPr>
                <w:rFonts w:ascii="宋体" w:hAnsi="宋体" w:cs="宋体" w:eastAsia="宋体" w:hint="default"/>
                <w:sz w:val="15"/>
                <w:szCs w:val="15"/>
              </w:rPr>
            </w:pPr>
            <w:r>
              <w:rPr>
                <w:rFonts w:ascii="宋体" w:hAnsi="宋体" w:cs="宋体" w:eastAsia="宋体" w:hint="default"/>
                <w:b/>
                <w:bCs/>
                <w:sz w:val="15"/>
                <w:szCs w:val="15"/>
              </w:rPr>
              <w:t>算比例</w:t>
            </w:r>
            <w:r>
              <w:rPr>
                <w:rFonts w:ascii="宋体" w:hAnsi="宋体" w:cs="宋体" w:eastAsia="宋体" w:hint="default"/>
                <w:sz w:val="15"/>
                <w:szCs w:val="15"/>
              </w:rPr>
            </w:r>
          </w:p>
        </w:tc>
      </w:tr>
      <w:tr>
        <w:trPr>
          <w:trHeight w:val="375" w:hRule="exact"/>
        </w:trPr>
        <w:tc>
          <w:tcPr>
            <w:tcW w:w="2648"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57" w:right="0"/>
              <w:jc w:val="left"/>
              <w:rPr>
                <w:rFonts w:ascii="宋体" w:hAnsi="宋体" w:cs="宋体" w:eastAsia="宋体" w:hint="default"/>
                <w:sz w:val="13"/>
                <w:szCs w:val="13"/>
              </w:rPr>
            </w:pPr>
            <w:r>
              <w:rPr>
                <w:rFonts w:ascii="宋体" w:hAnsi="宋体" w:cs="宋体" w:eastAsia="宋体" w:hint="default"/>
                <w:sz w:val="13"/>
                <w:szCs w:val="13"/>
              </w:rPr>
              <w:t>“中国知网”数字出版与数字图书馆项目</w:t>
            </w:r>
          </w:p>
        </w:tc>
        <w:tc>
          <w:tcPr>
            <w:tcW w:w="1070"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113"/>
              <w:jc w:val="right"/>
              <w:rPr>
                <w:rFonts w:ascii="宋体" w:hAnsi="宋体" w:cs="宋体" w:eastAsia="宋体" w:hint="default"/>
                <w:sz w:val="13"/>
                <w:szCs w:val="13"/>
              </w:rPr>
            </w:pPr>
            <w:r>
              <w:rPr>
                <w:rFonts w:ascii="宋体"/>
                <w:w w:val="95"/>
                <w:sz w:val="13"/>
              </w:rPr>
              <w:t>49,000.00</w:t>
            </w:r>
            <w:r>
              <w:rPr>
                <w:rFonts w:ascii="宋体"/>
                <w:sz w:val="13"/>
              </w:rPr>
            </w:r>
          </w:p>
        </w:tc>
        <w:tc>
          <w:tcPr>
            <w:tcW w:w="1172"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143"/>
              <w:jc w:val="right"/>
              <w:rPr>
                <w:rFonts w:ascii="宋体" w:hAnsi="宋体" w:cs="宋体" w:eastAsia="宋体" w:hint="default"/>
                <w:sz w:val="13"/>
                <w:szCs w:val="13"/>
              </w:rPr>
            </w:pPr>
            <w:r>
              <w:rPr>
                <w:rFonts w:ascii="宋体"/>
                <w:w w:val="95"/>
                <w:sz w:val="13"/>
              </w:rPr>
              <w:t>259,661,959.66</w:t>
            </w:r>
            <w:r>
              <w:rPr>
                <w:rFonts w:ascii="宋体"/>
                <w:sz w:val="13"/>
              </w:rPr>
            </w:r>
          </w:p>
        </w:tc>
        <w:tc>
          <w:tcPr>
            <w:tcW w:w="1164"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106"/>
              <w:jc w:val="right"/>
              <w:rPr>
                <w:rFonts w:ascii="宋体" w:hAnsi="宋体" w:cs="宋体" w:eastAsia="宋体" w:hint="default"/>
                <w:sz w:val="13"/>
                <w:szCs w:val="13"/>
              </w:rPr>
            </w:pPr>
            <w:r>
              <w:rPr>
                <w:rFonts w:ascii="宋体"/>
                <w:w w:val="95"/>
                <w:sz w:val="13"/>
              </w:rPr>
              <w:t>137,697,248.16</w:t>
            </w:r>
            <w:r>
              <w:rPr>
                <w:rFonts w:ascii="宋体"/>
                <w:sz w:val="13"/>
              </w:rPr>
            </w:r>
          </w:p>
        </w:tc>
        <w:tc>
          <w:tcPr>
            <w:tcW w:w="1196"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173"/>
              <w:jc w:val="right"/>
              <w:rPr>
                <w:rFonts w:ascii="宋体" w:hAnsi="宋体" w:cs="宋体" w:eastAsia="宋体" w:hint="default"/>
                <w:sz w:val="13"/>
                <w:szCs w:val="13"/>
              </w:rPr>
            </w:pPr>
            <w:r>
              <w:rPr>
                <w:rFonts w:ascii="宋体"/>
                <w:w w:val="95"/>
                <w:sz w:val="13"/>
              </w:rPr>
              <w:t>0.00</w:t>
            </w:r>
            <w:r>
              <w:rPr>
                <w:rFonts w:ascii="宋体"/>
                <w:sz w:val="13"/>
              </w:rPr>
            </w:r>
          </w:p>
        </w:tc>
        <w:tc>
          <w:tcPr>
            <w:tcW w:w="1138"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125"/>
              <w:jc w:val="right"/>
              <w:rPr>
                <w:rFonts w:ascii="宋体" w:hAnsi="宋体" w:cs="宋体" w:eastAsia="宋体" w:hint="default"/>
                <w:sz w:val="13"/>
                <w:szCs w:val="13"/>
              </w:rPr>
            </w:pPr>
            <w:r>
              <w:rPr>
                <w:rFonts w:ascii="宋体"/>
                <w:w w:val="95"/>
                <w:sz w:val="13"/>
              </w:rPr>
              <w:t>0.00</w:t>
            </w:r>
            <w:r>
              <w:rPr>
                <w:rFonts w:ascii="宋体"/>
                <w:sz w:val="13"/>
              </w:rPr>
            </w:r>
          </w:p>
        </w:tc>
        <w:tc>
          <w:tcPr>
            <w:tcW w:w="1104"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61"/>
              <w:jc w:val="right"/>
              <w:rPr>
                <w:rFonts w:ascii="宋体" w:hAnsi="宋体" w:cs="宋体" w:eastAsia="宋体" w:hint="default"/>
                <w:sz w:val="13"/>
                <w:szCs w:val="13"/>
              </w:rPr>
            </w:pPr>
            <w:r>
              <w:rPr>
                <w:rFonts w:ascii="宋体"/>
                <w:w w:val="95"/>
                <w:sz w:val="13"/>
              </w:rPr>
              <w:t>397,359,207.82</w:t>
            </w:r>
            <w:r>
              <w:rPr>
                <w:rFonts w:ascii="宋体"/>
                <w:sz w:val="13"/>
              </w:rPr>
            </w:r>
          </w:p>
        </w:tc>
        <w:tc>
          <w:tcPr>
            <w:tcW w:w="518"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128"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738"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55"/>
              <w:jc w:val="right"/>
              <w:rPr>
                <w:rFonts w:ascii="宋体" w:hAnsi="宋体" w:cs="宋体" w:eastAsia="宋体" w:hint="default"/>
                <w:sz w:val="13"/>
                <w:szCs w:val="13"/>
              </w:rPr>
            </w:pPr>
            <w:r>
              <w:rPr>
                <w:rFonts w:ascii="宋体"/>
                <w:w w:val="95"/>
                <w:sz w:val="13"/>
              </w:rPr>
              <w:t>95.24%</w:t>
            </w:r>
            <w:r>
              <w:rPr>
                <w:rFonts w:ascii="宋体"/>
                <w:sz w:val="13"/>
              </w:rPr>
            </w:r>
          </w:p>
        </w:tc>
      </w:tr>
      <w:tr>
        <w:trPr>
          <w:trHeight w:val="372"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7" w:right="0"/>
              <w:jc w:val="left"/>
              <w:rPr>
                <w:rFonts w:ascii="宋体" w:hAnsi="宋体" w:cs="宋体" w:eastAsia="宋体" w:hint="default"/>
                <w:sz w:val="13"/>
                <w:szCs w:val="13"/>
              </w:rPr>
            </w:pPr>
            <w:r>
              <w:rPr>
                <w:rFonts w:ascii="宋体" w:hAnsi="宋体" w:cs="宋体" w:eastAsia="宋体" w:hint="default"/>
                <w:sz w:val="13"/>
                <w:szCs w:val="13"/>
              </w:rPr>
              <w:t>友谊县友谊镇集中供热工程</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13"/>
              <w:jc w:val="right"/>
              <w:rPr>
                <w:rFonts w:ascii="宋体" w:hAnsi="宋体" w:cs="宋体" w:eastAsia="宋体" w:hint="default"/>
                <w:sz w:val="13"/>
                <w:szCs w:val="13"/>
              </w:rPr>
            </w:pPr>
            <w:r>
              <w:rPr>
                <w:rFonts w:ascii="宋体"/>
                <w:w w:val="95"/>
                <w:sz w:val="13"/>
              </w:rPr>
              <w:t>7,586.70</w:t>
            </w:r>
            <w:r>
              <w:rPr>
                <w:rFonts w:ascii="宋体"/>
                <w:sz w:val="13"/>
              </w:rPr>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43"/>
              <w:jc w:val="right"/>
              <w:rPr>
                <w:rFonts w:ascii="宋体" w:hAnsi="宋体" w:cs="宋体" w:eastAsia="宋体" w:hint="default"/>
                <w:sz w:val="13"/>
                <w:szCs w:val="13"/>
              </w:rPr>
            </w:pPr>
            <w:r>
              <w:rPr>
                <w:rFonts w:ascii="宋体"/>
                <w:w w:val="95"/>
                <w:sz w:val="13"/>
              </w:rPr>
              <w:t>16,342,522.65</w:t>
            </w:r>
            <w:r>
              <w:rPr>
                <w:rFonts w:ascii="宋体"/>
                <w:sz w:val="13"/>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6"/>
              <w:jc w:val="right"/>
              <w:rPr>
                <w:rFonts w:ascii="宋体" w:hAnsi="宋体" w:cs="宋体" w:eastAsia="宋体" w:hint="default"/>
                <w:sz w:val="13"/>
                <w:szCs w:val="13"/>
              </w:rPr>
            </w:pPr>
            <w:r>
              <w:rPr>
                <w:rFonts w:ascii="宋体"/>
                <w:w w:val="95"/>
                <w:sz w:val="13"/>
              </w:rPr>
              <w:t>7,372,087.19</w:t>
            </w:r>
            <w:r>
              <w:rPr>
                <w:rFonts w:ascii="宋体"/>
                <w:sz w:val="13"/>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73"/>
              <w:jc w:val="right"/>
              <w:rPr>
                <w:rFonts w:ascii="宋体" w:hAnsi="宋体" w:cs="宋体" w:eastAsia="宋体" w:hint="default"/>
                <w:sz w:val="13"/>
                <w:szCs w:val="13"/>
              </w:rPr>
            </w:pPr>
            <w:r>
              <w:rPr>
                <w:rFonts w:ascii="宋体"/>
                <w:w w:val="95"/>
                <w:sz w:val="13"/>
              </w:rPr>
              <w:t>0.00</w:t>
            </w:r>
            <w:r>
              <w:rPr>
                <w:rFonts w:ascii="宋体"/>
                <w:sz w:val="13"/>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25"/>
              <w:jc w:val="right"/>
              <w:rPr>
                <w:rFonts w:ascii="宋体" w:hAnsi="宋体" w:cs="宋体" w:eastAsia="宋体" w:hint="default"/>
                <w:sz w:val="13"/>
                <w:szCs w:val="13"/>
              </w:rPr>
            </w:pPr>
            <w:r>
              <w:rPr>
                <w:rFonts w:ascii="宋体"/>
                <w:w w:val="95"/>
                <w:sz w:val="13"/>
              </w:rPr>
              <w:t>0.00</w:t>
            </w:r>
            <w:r>
              <w:rPr>
                <w:rFonts w:ascii="宋体"/>
                <w:sz w:val="13"/>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61"/>
              <w:jc w:val="right"/>
              <w:rPr>
                <w:rFonts w:ascii="宋体" w:hAnsi="宋体" w:cs="宋体" w:eastAsia="宋体" w:hint="default"/>
                <w:sz w:val="13"/>
                <w:szCs w:val="13"/>
              </w:rPr>
            </w:pPr>
            <w:r>
              <w:rPr>
                <w:rFonts w:ascii="宋体"/>
                <w:w w:val="95"/>
                <w:sz w:val="13"/>
              </w:rPr>
              <w:t>23,714,609.84</w:t>
            </w:r>
            <w:r>
              <w:rPr>
                <w:rFonts w:ascii="宋体"/>
                <w:sz w:val="13"/>
              </w:rPr>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8"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5"/>
              <w:jc w:val="right"/>
              <w:rPr>
                <w:rFonts w:ascii="宋体" w:hAnsi="宋体" w:cs="宋体" w:eastAsia="宋体" w:hint="default"/>
                <w:sz w:val="13"/>
                <w:szCs w:val="13"/>
              </w:rPr>
            </w:pPr>
            <w:r>
              <w:rPr>
                <w:rFonts w:ascii="宋体"/>
                <w:w w:val="95"/>
                <w:sz w:val="13"/>
              </w:rPr>
              <w:t>31.26%</w:t>
            </w:r>
            <w:r>
              <w:rPr>
                <w:rFonts w:ascii="宋体"/>
                <w:sz w:val="13"/>
              </w:rPr>
            </w:r>
          </w:p>
        </w:tc>
      </w:tr>
      <w:tr>
        <w:trPr>
          <w:trHeight w:val="372"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7" w:right="0"/>
              <w:jc w:val="left"/>
              <w:rPr>
                <w:rFonts w:ascii="宋体" w:hAnsi="宋体" w:cs="宋体" w:eastAsia="宋体" w:hint="default"/>
                <w:sz w:val="13"/>
                <w:szCs w:val="13"/>
              </w:rPr>
            </w:pPr>
            <w:r>
              <w:rPr>
                <w:rFonts w:ascii="宋体" w:hAnsi="宋体" w:cs="宋体" w:eastAsia="宋体" w:hint="default"/>
                <w:sz w:val="13"/>
                <w:szCs w:val="13"/>
              </w:rPr>
              <w:t>无锡同方炭素厂房建设工程</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13"/>
              <w:jc w:val="right"/>
              <w:rPr>
                <w:rFonts w:ascii="宋体" w:hAnsi="宋体" w:cs="宋体" w:eastAsia="宋体" w:hint="default"/>
                <w:sz w:val="13"/>
                <w:szCs w:val="13"/>
              </w:rPr>
            </w:pPr>
            <w:r>
              <w:rPr>
                <w:rFonts w:ascii="宋体"/>
                <w:w w:val="95"/>
                <w:sz w:val="13"/>
              </w:rPr>
              <w:t>11,107.95</w:t>
            </w:r>
            <w:r>
              <w:rPr>
                <w:rFonts w:ascii="宋体"/>
                <w:sz w:val="13"/>
              </w:rPr>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43"/>
              <w:jc w:val="right"/>
              <w:rPr>
                <w:rFonts w:ascii="宋体" w:hAnsi="宋体" w:cs="宋体" w:eastAsia="宋体" w:hint="default"/>
                <w:sz w:val="13"/>
                <w:szCs w:val="13"/>
              </w:rPr>
            </w:pPr>
            <w:r>
              <w:rPr>
                <w:rFonts w:ascii="宋体"/>
                <w:w w:val="95"/>
                <w:sz w:val="13"/>
              </w:rPr>
              <w:t>19,561,832.71</w:t>
            </w:r>
            <w:r>
              <w:rPr>
                <w:rFonts w:ascii="宋体"/>
                <w:sz w:val="13"/>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3"/>
              <w:jc w:val="right"/>
              <w:rPr>
                <w:rFonts w:ascii="宋体" w:hAnsi="宋体" w:cs="宋体" w:eastAsia="宋体" w:hint="default"/>
                <w:sz w:val="13"/>
                <w:szCs w:val="13"/>
              </w:rPr>
            </w:pPr>
            <w:r>
              <w:rPr>
                <w:rFonts w:ascii="宋体"/>
                <w:w w:val="95"/>
                <w:sz w:val="13"/>
              </w:rPr>
              <w:t>0.00</w:t>
            </w:r>
            <w:r>
              <w:rPr>
                <w:rFonts w:ascii="宋体"/>
                <w:sz w:val="13"/>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73"/>
              <w:jc w:val="right"/>
              <w:rPr>
                <w:rFonts w:ascii="宋体" w:hAnsi="宋体" w:cs="宋体" w:eastAsia="宋体" w:hint="default"/>
                <w:sz w:val="13"/>
                <w:szCs w:val="13"/>
              </w:rPr>
            </w:pPr>
            <w:r>
              <w:rPr>
                <w:rFonts w:ascii="宋体"/>
                <w:w w:val="95"/>
                <w:sz w:val="13"/>
              </w:rPr>
              <w:t>0.00</w:t>
            </w:r>
            <w:r>
              <w:rPr>
                <w:rFonts w:ascii="宋体"/>
                <w:sz w:val="13"/>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25"/>
              <w:jc w:val="right"/>
              <w:rPr>
                <w:rFonts w:ascii="宋体" w:hAnsi="宋体" w:cs="宋体" w:eastAsia="宋体" w:hint="default"/>
                <w:sz w:val="13"/>
                <w:szCs w:val="13"/>
              </w:rPr>
            </w:pPr>
            <w:r>
              <w:rPr>
                <w:rFonts w:ascii="宋体"/>
                <w:w w:val="95"/>
                <w:sz w:val="13"/>
              </w:rPr>
              <w:t>0.00</w:t>
            </w:r>
            <w:r>
              <w:rPr>
                <w:rFonts w:ascii="宋体"/>
                <w:sz w:val="13"/>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61"/>
              <w:jc w:val="right"/>
              <w:rPr>
                <w:rFonts w:ascii="宋体" w:hAnsi="宋体" w:cs="宋体" w:eastAsia="宋体" w:hint="default"/>
                <w:sz w:val="13"/>
                <w:szCs w:val="13"/>
              </w:rPr>
            </w:pPr>
            <w:r>
              <w:rPr>
                <w:rFonts w:ascii="宋体"/>
                <w:w w:val="95"/>
                <w:sz w:val="13"/>
              </w:rPr>
              <w:t>19,561,832.71</w:t>
            </w:r>
            <w:r>
              <w:rPr>
                <w:rFonts w:ascii="宋体"/>
                <w:sz w:val="13"/>
              </w:rPr>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8"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5"/>
              <w:jc w:val="right"/>
              <w:rPr>
                <w:rFonts w:ascii="宋体" w:hAnsi="宋体" w:cs="宋体" w:eastAsia="宋体" w:hint="default"/>
                <w:sz w:val="13"/>
                <w:szCs w:val="13"/>
              </w:rPr>
            </w:pPr>
            <w:r>
              <w:rPr>
                <w:rFonts w:ascii="宋体"/>
                <w:w w:val="95"/>
                <w:sz w:val="13"/>
              </w:rPr>
              <w:t>83.99%</w:t>
            </w:r>
            <w:r>
              <w:rPr>
                <w:rFonts w:ascii="宋体"/>
                <w:sz w:val="13"/>
              </w:rPr>
            </w:r>
          </w:p>
        </w:tc>
      </w:tr>
      <w:tr>
        <w:trPr>
          <w:trHeight w:val="372"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7" w:right="0"/>
              <w:jc w:val="left"/>
              <w:rPr>
                <w:rFonts w:ascii="宋体" w:hAnsi="宋体" w:cs="宋体" w:eastAsia="宋体" w:hint="default"/>
                <w:sz w:val="13"/>
                <w:szCs w:val="13"/>
              </w:rPr>
            </w:pPr>
            <w:r>
              <w:rPr>
                <w:rFonts w:ascii="宋体" w:hAnsi="宋体" w:cs="宋体" w:eastAsia="宋体" w:hint="default"/>
                <w:sz w:val="13"/>
                <w:szCs w:val="13"/>
              </w:rPr>
              <w:t>同方泰德工业节能项目</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13"/>
              <w:jc w:val="right"/>
              <w:rPr>
                <w:rFonts w:ascii="宋体" w:hAnsi="宋体" w:cs="宋体" w:eastAsia="宋体" w:hint="default"/>
                <w:sz w:val="13"/>
                <w:szCs w:val="13"/>
              </w:rPr>
            </w:pPr>
            <w:r>
              <w:rPr>
                <w:rFonts w:ascii="宋体"/>
                <w:w w:val="95"/>
                <w:sz w:val="13"/>
              </w:rPr>
              <w:t>14,878.34</w:t>
            </w:r>
            <w:r>
              <w:rPr>
                <w:rFonts w:ascii="宋体"/>
                <w:sz w:val="13"/>
              </w:rPr>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43"/>
              <w:jc w:val="right"/>
              <w:rPr>
                <w:rFonts w:ascii="宋体" w:hAnsi="宋体" w:cs="宋体" w:eastAsia="宋体" w:hint="default"/>
                <w:sz w:val="13"/>
                <w:szCs w:val="13"/>
              </w:rPr>
            </w:pPr>
            <w:r>
              <w:rPr>
                <w:rFonts w:ascii="宋体"/>
                <w:w w:val="95"/>
                <w:sz w:val="13"/>
              </w:rPr>
              <w:t>73,023,775.87</w:t>
            </w:r>
            <w:r>
              <w:rPr>
                <w:rFonts w:ascii="宋体"/>
                <w:sz w:val="13"/>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6"/>
              <w:jc w:val="right"/>
              <w:rPr>
                <w:rFonts w:ascii="宋体" w:hAnsi="宋体" w:cs="宋体" w:eastAsia="宋体" w:hint="default"/>
                <w:sz w:val="13"/>
                <w:szCs w:val="13"/>
              </w:rPr>
            </w:pPr>
            <w:r>
              <w:rPr>
                <w:rFonts w:ascii="宋体"/>
                <w:w w:val="95"/>
                <w:sz w:val="13"/>
              </w:rPr>
              <w:t>10,508,599.65</w:t>
            </w:r>
            <w:r>
              <w:rPr>
                <w:rFonts w:ascii="宋体"/>
                <w:sz w:val="13"/>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74"/>
              <w:jc w:val="right"/>
              <w:rPr>
                <w:rFonts w:ascii="宋体" w:hAnsi="宋体" w:cs="宋体" w:eastAsia="宋体" w:hint="default"/>
                <w:sz w:val="13"/>
                <w:szCs w:val="13"/>
              </w:rPr>
            </w:pPr>
            <w:r>
              <w:rPr>
                <w:rFonts w:ascii="宋体"/>
                <w:w w:val="95"/>
                <w:sz w:val="13"/>
              </w:rPr>
              <w:t>74,897,436.00</w:t>
            </w:r>
            <w:r>
              <w:rPr>
                <w:rFonts w:ascii="宋体"/>
                <w:sz w:val="13"/>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25"/>
              <w:jc w:val="right"/>
              <w:rPr>
                <w:rFonts w:ascii="宋体" w:hAnsi="宋体" w:cs="宋体" w:eastAsia="宋体" w:hint="default"/>
                <w:sz w:val="13"/>
                <w:szCs w:val="13"/>
              </w:rPr>
            </w:pPr>
            <w:r>
              <w:rPr>
                <w:rFonts w:ascii="宋体"/>
                <w:w w:val="95"/>
                <w:sz w:val="13"/>
              </w:rPr>
              <w:t>0.00</w:t>
            </w:r>
            <w:r>
              <w:rPr>
                <w:rFonts w:ascii="宋体"/>
                <w:sz w:val="13"/>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61"/>
              <w:jc w:val="right"/>
              <w:rPr>
                <w:rFonts w:ascii="宋体" w:hAnsi="宋体" w:cs="宋体" w:eastAsia="宋体" w:hint="default"/>
                <w:sz w:val="13"/>
                <w:szCs w:val="13"/>
              </w:rPr>
            </w:pPr>
            <w:r>
              <w:rPr>
                <w:rFonts w:ascii="宋体"/>
                <w:w w:val="95"/>
                <w:sz w:val="13"/>
              </w:rPr>
              <w:t>8,634,939.52</w:t>
            </w:r>
            <w:r>
              <w:rPr>
                <w:rFonts w:ascii="宋体"/>
                <w:sz w:val="13"/>
              </w:rPr>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8"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5"/>
              <w:jc w:val="right"/>
              <w:rPr>
                <w:rFonts w:ascii="宋体" w:hAnsi="宋体" w:cs="宋体" w:eastAsia="宋体" w:hint="default"/>
                <w:sz w:val="13"/>
                <w:szCs w:val="13"/>
              </w:rPr>
            </w:pPr>
            <w:r>
              <w:rPr>
                <w:rFonts w:ascii="宋体"/>
                <w:w w:val="95"/>
                <w:sz w:val="13"/>
              </w:rPr>
              <w:t>56.14%</w:t>
            </w:r>
            <w:r>
              <w:rPr>
                <w:rFonts w:ascii="宋体"/>
                <w:sz w:val="13"/>
              </w:rPr>
            </w:r>
          </w:p>
        </w:tc>
      </w:tr>
      <w:tr>
        <w:trPr>
          <w:trHeight w:val="372"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7" w:right="0"/>
              <w:jc w:val="left"/>
              <w:rPr>
                <w:rFonts w:ascii="宋体" w:hAnsi="宋体" w:cs="宋体" w:eastAsia="宋体" w:hint="default"/>
                <w:sz w:val="13"/>
                <w:szCs w:val="13"/>
              </w:rPr>
            </w:pPr>
            <w:r>
              <w:rPr>
                <w:rFonts w:ascii="宋体" w:hAnsi="宋体" w:cs="宋体" w:eastAsia="宋体" w:hint="default"/>
                <w:sz w:val="13"/>
                <w:szCs w:val="13"/>
              </w:rPr>
              <w:t>同方人环主城区管网工程</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13"/>
              <w:jc w:val="right"/>
              <w:rPr>
                <w:rFonts w:ascii="宋体" w:hAnsi="宋体" w:cs="宋体" w:eastAsia="宋体" w:hint="default"/>
                <w:sz w:val="13"/>
                <w:szCs w:val="13"/>
              </w:rPr>
            </w:pPr>
            <w:r>
              <w:rPr>
                <w:rFonts w:ascii="宋体"/>
                <w:w w:val="95"/>
                <w:sz w:val="13"/>
              </w:rPr>
              <w:t>6,000.00</w:t>
            </w:r>
            <w:r>
              <w:rPr>
                <w:rFonts w:ascii="宋体"/>
                <w:sz w:val="13"/>
              </w:rPr>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39"/>
              <w:jc w:val="right"/>
              <w:rPr>
                <w:rFonts w:ascii="宋体" w:hAnsi="宋体" w:cs="宋体" w:eastAsia="宋体" w:hint="default"/>
                <w:sz w:val="13"/>
                <w:szCs w:val="13"/>
              </w:rPr>
            </w:pPr>
            <w:r>
              <w:rPr>
                <w:rFonts w:ascii="宋体"/>
                <w:w w:val="95"/>
                <w:sz w:val="13"/>
              </w:rPr>
              <w:t>0.00</w:t>
            </w:r>
            <w:r>
              <w:rPr>
                <w:rFonts w:ascii="宋体"/>
                <w:sz w:val="13"/>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6"/>
              <w:jc w:val="right"/>
              <w:rPr>
                <w:rFonts w:ascii="宋体" w:hAnsi="宋体" w:cs="宋体" w:eastAsia="宋体" w:hint="default"/>
                <w:sz w:val="13"/>
                <w:szCs w:val="13"/>
              </w:rPr>
            </w:pPr>
            <w:r>
              <w:rPr>
                <w:rFonts w:ascii="宋体"/>
                <w:w w:val="95"/>
                <w:sz w:val="13"/>
              </w:rPr>
              <w:t>6,806,229.09</w:t>
            </w:r>
            <w:r>
              <w:rPr>
                <w:rFonts w:ascii="宋体"/>
                <w:sz w:val="13"/>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73"/>
              <w:jc w:val="right"/>
              <w:rPr>
                <w:rFonts w:ascii="宋体" w:hAnsi="宋体" w:cs="宋体" w:eastAsia="宋体" w:hint="default"/>
                <w:sz w:val="13"/>
                <w:szCs w:val="13"/>
              </w:rPr>
            </w:pPr>
            <w:r>
              <w:rPr>
                <w:rFonts w:ascii="宋体"/>
                <w:w w:val="95"/>
                <w:sz w:val="13"/>
              </w:rPr>
              <w:t>0.00</w:t>
            </w:r>
            <w:r>
              <w:rPr>
                <w:rFonts w:ascii="宋体"/>
                <w:sz w:val="13"/>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25"/>
              <w:jc w:val="right"/>
              <w:rPr>
                <w:rFonts w:ascii="宋体" w:hAnsi="宋体" w:cs="宋体" w:eastAsia="宋体" w:hint="default"/>
                <w:sz w:val="13"/>
                <w:szCs w:val="13"/>
              </w:rPr>
            </w:pPr>
            <w:r>
              <w:rPr>
                <w:rFonts w:ascii="宋体"/>
                <w:w w:val="95"/>
                <w:sz w:val="13"/>
              </w:rPr>
              <w:t>0.00</w:t>
            </w:r>
            <w:r>
              <w:rPr>
                <w:rFonts w:ascii="宋体"/>
                <w:sz w:val="13"/>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61"/>
              <w:jc w:val="right"/>
              <w:rPr>
                <w:rFonts w:ascii="宋体" w:hAnsi="宋体" w:cs="宋体" w:eastAsia="宋体" w:hint="default"/>
                <w:sz w:val="13"/>
                <w:szCs w:val="13"/>
              </w:rPr>
            </w:pPr>
            <w:r>
              <w:rPr>
                <w:rFonts w:ascii="宋体"/>
                <w:w w:val="95"/>
                <w:sz w:val="13"/>
              </w:rPr>
              <w:t>6,806,229.09</w:t>
            </w:r>
            <w:r>
              <w:rPr>
                <w:rFonts w:ascii="宋体"/>
                <w:sz w:val="13"/>
              </w:rPr>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8"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5"/>
              <w:jc w:val="right"/>
              <w:rPr>
                <w:rFonts w:ascii="宋体" w:hAnsi="宋体" w:cs="宋体" w:eastAsia="宋体" w:hint="default"/>
                <w:sz w:val="13"/>
                <w:szCs w:val="13"/>
              </w:rPr>
            </w:pPr>
            <w:r>
              <w:rPr>
                <w:rFonts w:ascii="宋体"/>
                <w:w w:val="95"/>
                <w:sz w:val="13"/>
              </w:rPr>
              <w:t>11.34%</w:t>
            </w:r>
            <w:r>
              <w:rPr>
                <w:rFonts w:ascii="宋体"/>
                <w:sz w:val="13"/>
              </w:rPr>
            </w:r>
          </w:p>
        </w:tc>
      </w:tr>
      <w:tr>
        <w:trPr>
          <w:trHeight w:val="330"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7" w:right="0"/>
              <w:jc w:val="left"/>
              <w:rPr>
                <w:rFonts w:ascii="宋体" w:hAnsi="宋体" w:cs="宋体" w:eastAsia="宋体" w:hint="default"/>
                <w:sz w:val="13"/>
                <w:szCs w:val="13"/>
              </w:rPr>
            </w:pPr>
            <w:r>
              <w:rPr>
                <w:rFonts w:ascii="宋体" w:hAnsi="宋体" w:cs="宋体" w:eastAsia="宋体" w:hint="default"/>
                <w:sz w:val="13"/>
                <w:szCs w:val="13"/>
              </w:rPr>
              <w:t>同方泰德仙桃数据谷智慧能源站项目</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13"/>
              <w:jc w:val="right"/>
              <w:rPr>
                <w:rFonts w:ascii="宋体" w:hAnsi="宋体" w:cs="宋体" w:eastAsia="宋体" w:hint="default"/>
                <w:sz w:val="13"/>
                <w:szCs w:val="13"/>
              </w:rPr>
            </w:pPr>
            <w:r>
              <w:rPr>
                <w:rFonts w:ascii="宋体"/>
                <w:w w:val="95"/>
                <w:sz w:val="13"/>
              </w:rPr>
              <w:t>12,670.00</w:t>
            </w:r>
            <w:r>
              <w:rPr>
                <w:rFonts w:ascii="宋体"/>
                <w:sz w:val="13"/>
              </w:rPr>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39"/>
              <w:jc w:val="right"/>
              <w:rPr>
                <w:rFonts w:ascii="宋体" w:hAnsi="宋体" w:cs="宋体" w:eastAsia="宋体" w:hint="default"/>
                <w:sz w:val="13"/>
                <w:szCs w:val="13"/>
              </w:rPr>
            </w:pPr>
            <w:r>
              <w:rPr>
                <w:rFonts w:ascii="宋体"/>
                <w:w w:val="95"/>
                <w:sz w:val="13"/>
              </w:rPr>
              <w:t>0.00</w:t>
            </w:r>
            <w:r>
              <w:rPr>
                <w:rFonts w:ascii="宋体"/>
                <w:sz w:val="13"/>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6"/>
              <w:jc w:val="right"/>
              <w:rPr>
                <w:rFonts w:ascii="宋体" w:hAnsi="宋体" w:cs="宋体" w:eastAsia="宋体" w:hint="default"/>
                <w:sz w:val="13"/>
                <w:szCs w:val="13"/>
              </w:rPr>
            </w:pPr>
            <w:r>
              <w:rPr>
                <w:rFonts w:ascii="宋体"/>
                <w:w w:val="95"/>
                <w:sz w:val="13"/>
              </w:rPr>
              <w:t>5,434,579.13</w:t>
            </w:r>
            <w:r>
              <w:rPr>
                <w:rFonts w:ascii="宋体"/>
                <w:sz w:val="13"/>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73"/>
              <w:jc w:val="right"/>
              <w:rPr>
                <w:rFonts w:ascii="宋体" w:hAnsi="宋体" w:cs="宋体" w:eastAsia="宋体" w:hint="default"/>
                <w:sz w:val="13"/>
                <w:szCs w:val="13"/>
              </w:rPr>
            </w:pPr>
            <w:r>
              <w:rPr>
                <w:rFonts w:ascii="宋体"/>
                <w:w w:val="95"/>
                <w:sz w:val="13"/>
              </w:rPr>
              <w:t>0.00</w:t>
            </w:r>
            <w:r>
              <w:rPr>
                <w:rFonts w:ascii="宋体"/>
                <w:sz w:val="13"/>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25"/>
              <w:jc w:val="right"/>
              <w:rPr>
                <w:rFonts w:ascii="宋体" w:hAnsi="宋体" w:cs="宋体" w:eastAsia="宋体" w:hint="default"/>
                <w:sz w:val="13"/>
                <w:szCs w:val="13"/>
              </w:rPr>
            </w:pPr>
            <w:r>
              <w:rPr>
                <w:rFonts w:ascii="宋体"/>
                <w:w w:val="95"/>
                <w:sz w:val="13"/>
              </w:rPr>
              <w:t>0.00</w:t>
            </w:r>
            <w:r>
              <w:rPr>
                <w:rFonts w:ascii="宋体"/>
                <w:sz w:val="13"/>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61"/>
              <w:jc w:val="right"/>
              <w:rPr>
                <w:rFonts w:ascii="宋体" w:hAnsi="宋体" w:cs="宋体" w:eastAsia="宋体" w:hint="default"/>
                <w:sz w:val="13"/>
                <w:szCs w:val="13"/>
              </w:rPr>
            </w:pPr>
            <w:r>
              <w:rPr>
                <w:rFonts w:ascii="宋体"/>
                <w:w w:val="95"/>
                <w:sz w:val="13"/>
              </w:rPr>
              <w:t>5,434,579.13</w:t>
            </w:r>
            <w:r>
              <w:rPr>
                <w:rFonts w:ascii="宋体"/>
                <w:sz w:val="13"/>
              </w:rPr>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8"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3"/>
              <w:jc w:val="right"/>
              <w:rPr>
                <w:rFonts w:ascii="宋体" w:hAnsi="宋体" w:cs="宋体" w:eastAsia="宋体" w:hint="default"/>
                <w:sz w:val="13"/>
                <w:szCs w:val="13"/>
              </w:rPr>
            </w:pPr>
            <w:r>
              <w:rPr>
                <w:rFonts w:ascii="宋体"/>
                <w:w w:val="95"/>
                <w:sz w:val="13"/>
              </w:rPr>
              <w:t>4.29%</w:t>
            </w:r>
            <w:r>
              <w:rPr>
                <w:rFonts w:ascii="宋体"/>
                <w:sz w:val="13"/>
              </w:rPr>
            </w:r>
          </w:p>
        </w:tc>
      </w:tr>
      <w:tr>
        <w:trPr>
          <w:trHeight w:val="414"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left="57" w:right="0"/>
              <w:jc w:val="left"/>
              <w:rPr>
                <w:rFonts w:ascii="宋体" w:hAnsi="宋体" w:cs="宋体" w:eastAsia="宋体" w:hint="default"/>
                <w:sz w:val="13"/>
                <w:szCs w:val="13"/>
              </w:rPr>
            </w:pPr>
            <w:r>
              <w:rPr>
                <w:rFonts w:ascii="宋体" w:hAnsi="宋体" w:cs="宋体" w:eastAsia="宋体" w:hint="default"/>
                <w:sz w:val="13"/>
                <w:szCs w:val="13"/>
              </w:rPr>
              <w:t>同方沈阳科技园区建设项目三期</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113"/>
              <w:jc w:val="right"/>
              <w:rPr>
                <w:rFonts w:ascii="宋体" w:hAnsi="宋体" w:cs="宋体" w:eastAsia="宋体" w:hint="default"/>
                <w:sz w:val="13"/>
                <w:szCs w:val="13"/>
              </w:rPr>
            </w:pPr>
            <w:r>
              <w:rPr>
                <w:rFonts w:ascii="宋体"/>
                <w:w w:val="95"/>
                <w:sz w:val="13"/>
              </w:rPr>
              <w:t>11,890.00</w:t>
            </w:r>
            <w:r>
              <w:rPr>
                <w:rFonts w:ascii="宋体"/>
                <w:sz w:val="13"/>
              </w:rPr>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143"/>
              <w:jc w:val="right"/>
              <w:rPr>
                <w:rFonts w:ascii="宋体" w:hAnsi="宋体" w:cs="宋体" w:eastAsia="宋体" w:hint="default"/>
                <w:sz w:val="13"/>
                <w:szCs w:val="13"/>
              </w:rPr>
            </w:pPr>
            <w:r>
              <w:rPr>
                <w:rFonts w:ascii="宋体"/>
                <w:w w:val="95"/>
                <w:sz w:val="13"/>
              </w:rPr>
              <w:t>3,483,185.79</w:t>
            </w:r>
            <w:r>
              <w:rPr>
                <w:rFonts w:ascii="宋体"/>
                <w:sz w:val="13"/>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103"/>
              <w:jc w:val="right"/>
              <w:rPr>
                <w:rFonts w:ascii="宋体" w:hAnsi="宋体" w:cs="宋体" w:eastAsia="宋体" w:hint="default"/>
                <w:sz w:val="13"/>
                <w:szCs w:val="13"/>
              </w:rPr>
            </w:pPr>
            <w:r>
              <w:rPr>
                <w:rFonts w:ascii="宋体"/>
                <w:w w:val="95"/>
                <w:sz w:val="13"/>
              </w:rPr>
              <w:t>0.00</w:t>
            </w:r>
            <w:r>
              <w:rPr>
                <w:rFonts w:ascii="宋体"/>
                <w:sz w:val="13"/>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173"/>
              <w:jc w:val="right"/>
              <w:rPr>
                <w:rFonts w:ascii="宋体" w:hAnsi="宋体" w:cs="宋体" w:eastAsia="宋体" w:hint="default"/>
                <w:sz w:val="13"/>
                <w:szCs w:val="13"/>
              </w:rPr>
            </w:pPr>
            <w:r>
              <w:rPr>
                <w:rFonts w:ascii="宋体"/>
                <w:w w:val="95"/>
                <w:sz w:val="13"/>
              </w:rPr>
              <w:t>0.00</w:t>
            </w:r>
            <w:r>
              <w:rPr>
                <w:rFonts w:ascii="宋体"/>
                <w:sz w:val="13"/>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125"/>
              <w:jc w:val="right"/>
              <w:rPr>
                <w:rFonts w:ascii="宋体" w:hAnsi="宋体" w:cs="宋体" w:eastAsia="宋体" w:hint="default"/>
                <w:sz w:val="13"/>
                <w:szCs w:val="13"/>
              </w:rPr>
            </w:pPr>
            <w:r>
              <w:rPr>
                <w:rFonts w:ascii="宋体"/>
                <w:w w:val="95"/>
                <w:sz w:val="13"/>
              </w:rPr>
              <w:t>0.00</w:t>
            </w:r>
            <w:r>
              <w:rPr>
                <w:rFonts w:ascii="宋体"/>
                <w:sz w:val="13"/>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61"/>
              <w:jc w:val="right"/>
              <w:rPr>
                <w:rFonts w:ascii="宋体" w:hAnsi="宋体" w:cs="宋体" w:eastAsia="宋体" w:hint="default"/>
                <w:sz w:val="13"/>
                <w:szCs w:val="13"/>
              </w:rPr>
            </w:pPr>
            <w:r>
              <w:rPr>
                <w:rFonts w:ascii="宋体"/>
                <w:w w:val="95"/>
                <w:sz w:val="13"/>
              </w:rPr>
              <w:t>3,483,185.79</w:t>
            </w:r>
            <w:r>
              <w:rPr>
                <w:rFonts w:ascii="宋体"/>
                <w:sz w:val="13"/>
              </w:rPr>
            </w:r>
          </w:p>
        </w:tc>
        <w:tc>
          <w:tcPr>
            <w:tcW w:w="518" w:type="dxa"/>
            <w:tcBorders>
              <w:top w:val="nil" w:sz="6" w:space="0" w:color="auto"/>
              <w:left w:val="nil" w:sz="6" w:space="0" w:color="auto"/>
              <w:bottom w:val="nil" w:sz="6" w:space="0" w:color="auto"/>
              <w:right w:val="nil" w:sz="6" w:space="0" w:color="auto"/>
            </w:tcBorders>
          </w:tcPr>
          <w:p>
            <w:pPr>
              <w:pStyle w:val="TableParagraph"/>
              <w:spacing w:line="168" w:lineRule="exact" w:before="56"/>
              <w:ind w:left="193" w:right="66" w:hanging="132"/>
              <w:jc w:val="left"/>
              <w:rPr>
                <w:rFonts w:ascii="宋体" w:hAnsi="宋体" w:cs="宋体" w:eastAsia="宋体" w:hint="default"/>
                <w:sz w:val="13"/>
                <w:szCs w:val="13"/>
              </w:rPr>
            </w:pPr>
            <w:r>
              <w:rPr>
                <w:rFonts w:ascii="宋体" w:hAnsi="宋体" w:cs="宋体" w:eastAsia="宋体" w:hint="default"/>
                <w:sz w:val="13"/>
                <w:szCs w:val="13"/>
              </w:rPr>
              <w:t>自筹贷</w:t>
            </w:r>
            <w:r>
              <w:rPr>
                <w:rFonts w:ascii="宋体" w:hAnsi="宋体" w:cs="宋体" w:eastAsia="宋体" w:hint="default"/>
                <w:w w:val="99"/>
                <w:sz w:val="13"/>
                <w:szCs w:val="13"/>
              </w:rPr>
              <w:t> </w:t>
            </w:r>
            <w:r>
              <w:rPr>
                <w:rFonts w:ascii="宋体" w:hAnsi="宋体" w:cs="宋体" w:eastAsia="宋体" w:hint="default"/>
                <w:sz w:val="13"/>
                <w:szCs w:val="13"/>
              </w:rPr>
              <w:t>款</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9"/>
                <w:szCs w:val="9"/>
              </w:rPr>
            </w:pPr>
          </w:p>
          <w:p>
            <w:pPr>
              <w:pStyle w:val="TableParagraph"/>
              <w:spacing w:line="240" w:lineRule="auto"/>
              <w:ind w:right="55"/>
              <w:jc w:val="right"/>
              <w:rPr>
                <w:rFonts w:ascii="宋体" w:hAnsi="宋体" w:cs="宋体" w:eastAsia="宋体" w:hint="default"/>
                <w:sz w:val="13"/>
                <w:szCs w:val="13"/>
              </w:rPr>
            </w:pPr>
            <w:r>
              <w:rPr>
                <w:rFonts w:ascii="宋体"/>
                <w:w w:val="95"/>
                <w:sz w:val="13"/>
              </w:rPr>
              <w:t>85.72%</w:t>
            </w:r>
            <w:r>
              <w:rPr>
                <w:rFonts w:ascii="宋体"/>
                <w:sz w:val="13"/>
              </w:rPr>
            </w:r>
          </w:p>
        </w:tc>
      </w:tr>
      <w:tr>
        <w:trPr>
          <w:trHeight w:val="414"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7" w:right="0"/>
              <w:jc w:val="left"/>
              <w:rPr>
                <w:rFonts w:ascii="宋体" w:hAnsi="宋体" w:cs="宋体" w:eastAsia="宋体" w:hint="default"/>
                <w:sz w:val="13"/>
                <w:szCs w:val="13"/>
              </w:rPr>
            </w:pPr>
            <w:r>
              <w:rPr>
                <w:rFonts w:ascii="宋体" w:hAnsi="宋体" w:cs="宋体" w:eastAsia="宋体" w:hint="default"/>
                <w:sz w:val="13"/>
                <w:szCs w:val="13"/>
              </w:rPr>
              <w:t>同方威视科技园区建设项目一期</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13"/>
              <w:jc w:val="right"/>
              <w:rPr>
                <w:rFonts w:ascii="宋体" w:hAnsi="宋体" w:cs="宋体" w:eastAsia="宋体" w:hint="default"/>
                <w:sz w:val="13"/>
                <w:szCs w:val="13"/>
              </w:rPr>
            </w:pPr>
            <w:r>
              <w:rPr>
                <w:rFonts w:ascii="宋体"/>
                <w:w w:val="95"/>
                <w:sz w:val="13"/>
              </w:rPr>
              <w:t>46,000.00</w:t>
            </w:r>
            <w:r>
              <w:rPr>
                <w:rFonts w:ascii="宋体"/>
                <w:sz w:val="13"/>
              </w:rPr>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43"/>
              <w:jc w:val="right"/>
              <w:rPr>
                <w:rFonts w:ascii="宋体" w:hAnsi="宋体" w:cs="宋体" w:eastAsia="宋体" w:hint="default"/>
                <w:sz w:val="13"/>
                <w:szCs w:val="13"/>
              </w:rPr>
            </w:pPr>
            <w:r>
              <w:rPr>
                <w:rFonts w:ascii="宋体"/>
                <w:w w:val="95"/>
                <w:sz w:val="13"/>
              </w:rPr>
              <w:t>2,430,447.50</w:t>
            </w:r>
            <w:r>
              <w:rPr>
                <w:rFonts w:ascii="宋体"/>
                <w:sz w:val="13"/>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6"/>
              <w:jc w:val="right"/>
              <w:rPr>
                <w:rFonts w:ascii="宋体" w:hAnsi="宋体" w:cs="宋体" w:eastAsia="宋体" w:hint="default"/>
                <w:sz w:val="13"/>
                <w:szCs w:val="13"/>
              </w:rPr>
            </w:pPr>
            <w:r>
              <w:rPr>
                <w:rFonts w:ascii="宋体"/>
                <w:w w:val="95"/>
                <w:sz w:val="13"/>
              </w:rPr>
              <w:t>305,979.24</w:t>
            </w:r>
            <w:r>
              <w:rPr>
                <w:rFonts w:ascii="宋体"/>
                <w:sz w:val="13"/>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74"/>
              <w:jc w:val="right"/>
              <w:rPr>
                <w:rFonts w:ascii="宋体" w:hAnsi="宋体" w:cs="宋体" w:eastAsia="宋体" w:hint="default"/>
                <w:sz w:val="13"/>
                <w:szCs w:val="13"/>
              </w:rPr>
            </w:pPr>
            <w:r>
              <w:rPr>
                <w:rFonts w:ascii="宋体"/>
                <w:w w:val="95"/>
                <w:sz w:val="13"/>
              </w:rPr>
              <w:t>384,615.38</w:t>
            </w:r>
            <w:r>
              <w:rPr>
                <w:rFonts w:ascii="宋体"/>
                <w:sz w:val="13"/>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25"/>
              <w:jc w:val="right"/>
              <w:rPr>
                <w:rFonts w:ascii="宋体" w:hAnsi="宋体" w:cs="宋体" w:eastAsia="宋体" w:hint="default"/>
                <w:sz w:val="13"/>
                <w:szCs w:val="13"/>
              </w:rPr>
            </w:pPr>
            <w:r>
              <w:rPr>
                <w:rFonts w:ascii="宋体"/>
                <w:w w:val="95"/>
                <w:sz w:val="13"/>
              </w:rPr>
              <w:t>0.00</w:t>
            </w:r>
            <w:r>
              <w:rPr>
                <w:rFonts w:ascii="宋体"/>
                <w:sz w:val="13"/>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61"/>
              <w:jc w:val="right"/>
              <w:rPr>
                <w:rFonts w:ascii="宋体" w:hAnsi="宋体" w:cs="宋体" w:eastAsia="宋体" w:hint="default"/>
                <w:sz w:val="13"/>
                <w:szCs w:val="13"/>
              </w:rPr>
            </w:pPr>
            <w:r>
              <w:rPr>
                <w:rFonts w:ascii="宋体"/>
                <w:w w:val="95"/>
                <w:sz w:val="13"/>
              </w:rPr>
              <w:t>2,351,811.36</w:t>
            </w:r>
            <w:r>
              <w:rPr>
                <w:rFonts w:ascii="宋体"/>
                <w:sz w:val="13"/>
              </w:rPr>
            </w:r>
          </w:p>
        </w:tc>
        <w:tc>
          <w:tcPr>
            <w:tcW w:w="518" w:type="dxa"/>
            <w:tcBorders>
              <w:top w:val="nil" w:sz="6" w:space="0" w:color="auto"/>
              <w:left w:val="nil" w:sz="6" w:space="0" w:color="auto"/>
              <w:bottom w:val="nil" w:sz="6" w:space="0" w:color="auto"/>
              <w:right w:val="nil" w:sz="6" w:space="0" w:color="auto"/>
            </w:tcBorders>
          </w:tcPr>
          <w:p>
            <w:pPr>
              <w:pStyle w:val="TableParagraph"/>
              <w:spacing w:line="168" w:lineRule="exact" w:before="14"/>
              <w:ind w:left="193" w:right="66" w:hanging="132"/>
              <w:jc w:val="left"/>
              <w:rPr>
                <w:rFonts w:ascii="宋体" w:hAnsi="宋体" w:cs="宋体" w:eastAsia="宋体" w:hint="default"/>
                <w:sz w:val="13"/>
                <w:szCs w:val="13"/>
              </w:rPr>
            </w:pPr>
            <w:r>
              <w:rPr>
                <w:rFonts w:ascii="宋体" w:hAnsi="宋体" w:cs="宋体" w:eastAsia="宋体" w:hint="default"/>
                <w:sz w:val="13"/>
                <w:szCs w:val="13"/>
              </w:rPr>
              <w:t>自筹贷</w:t>
            </w:r>
            <w:r>
              <w:rPr>
                <w:rFonts w:ascii="宋体" w:hAnsi="宋体" w:cs="宋体" w:eastAsia="宋体" w:hint="default"/>
                <w:w w:val="99"/>
                <w:sz w:val="13"/>
                <w:szCs w:val="13"/>
              </w:rPr>
              <w:t> </w:t>
            </w:r>
            <w:r>
              <w:rPr>
                <w:rFonts w:ascii="宋体" w:hAnsi="宋体" w:cs="宋体" w:eastAsia="宋体" w:hint="default"/>
                <w:sz w:val="13"/>
                <w:szCs w:val="13"/>
              </w:rPr>
              <w:t>款</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5"/>
              <w:jc w:val="right"/>
              <w:rPr>
                <w:rFonts w:ascii="宋体" w:hAnsi="宋体" w:cs="宋体" w:eastAsia="宋体" w:hint="default"/>
                <w:sz w:val="13"/>
                <w:szCs w:val="13"/>
              </w:rPr>
            </w:pPr>
            <w:r>
              <w:rPr>
                <w:rFonts w:ascii="宋体"/>
                <w:w w:val="95"/>
                <w:sz w:val="13"/>
              </w:rPr>
              <w:t>95.00%</w:t>
            </w:r>
            <w:r>
              <w:rPr>
                <w:rFonts w:ascii="宋体"/>
                <w:sz w:val="13"/>
              </w:rPr>
            </w:r>
          </w:p>
        </w:tc>
      </w:tr>
      <w:tr>
        <w:trPr>
          <w:trHeight w:val="330"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57" w:right="0"/>
              <w:jc w:val="left"/>
              <w:rPr>
                <w:rFonts w:ascii="宋体" w:hAnsi="宋体" w:cs="宋体" w:eastAsia="宋体" w:hint="default"/>
                <w:sz w:val="13"/>
                <w:szCs w:val="13"/>
              </w:rPr>
            </w:pPr>
            <w:r>
              <w:rPr>
                <w:rFonts w:ascii="宋体" w:hAnsi="宋体" w:cs="宋体" w:eastAsia="宋体" w:hint="default"/>
                <w:sz w:val="13"/>
                <w:szCs w:val="13"/>
              </w:rPr>
              <w:t>同方威视华沙在建新厂房项目</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3"/>
              <w:jc w:val="right"/>
              <w:rPr>
                <w:rFonts w:ascii="宋体" w:hAnsi="宋体" w:cs="宋体" w:eastAsia="宋体" w:hint="default"/>
                <w:sz w:val="13"/>
                <w:szCs w:val="13"/>
              </w:rPr>
            </w:pPr>
            <w:r>
              <w:rPr>
                <w:rFonts w:ascii="宋体"/>
                <w:w w:val="95"/>
                <w:sz w:val="13"/>
              </w:rPr>
              <w:t>4,147.76</w:t>
            </w:r>
            <w:r>
              <w:rPr>
                <w:rFonts w:ascii="宋体"/>
                <w:sz w:val="13"/>
              </w:rPr>
            </w:r>
          </w:p>
        </w:tc>
        <w:tc>
          <w:tcPr>
            <w:tcW w:w="117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3"/>
              <w:jc w:val="right"/>
              <w:rPr>
                <w:rFonts w:ascii="宋体" w:hAnsi="宋体" w:cs="宋体" w:eastAsia="宋体" w:hint="default"/>
                <w:sz w:val="13"/>
                <w:szCs w:val="13"/>
              </w:rPr>
            </w:pPr>
            <w:r>
              <w:rPr>
                <w:rFonts w:ascii="宋体"/>
                <w:w w:val="95"/>
                <w:sz w:val="13"/>
              </w:rPr>
              <w:t>21,340,255.68</w:t>
            </w:r>
            <w:r>
              <w:rPr>
                <w:rFonts w:ascii="宋体"/>
                <w:sz w:val="13"/>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宋体" w:hAnsi="宋体" w:cs="宋体" w:eastAsia="宋体" w:hint="default"/>
                <w:sz w:val="13"/>
                <w:szCs w:val="13"/>
              </w:rPr>
            </w:pPr>
            <w:r>
              <w:rPr>
                <w:rFonts w:ascii="宋体"/>
                <w:w w:val="95"/>
                <w:sz w:val="13"/>
              </w:rPr>
              <w:t>20,137,429.69</w:t>
            </w:r>
            <w:r>
              <w:rPr>
                <w:rFonts w:ascii="宋体"/>
                <w:sz w:val="13"/>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74"/>
              <w:jc w:val="right"/>
              <w:rPr>
                <w:rFonts w:ascii="宋体" w:hAnsi="宋体" w:cs="宋体" w:eastAsia="宋体" w:hint="default"/>
                <w:sz w:val="13"/>
                <w:szCs w:val="13"/>
              </w:rPr>
            </w:pPr>
            <w:r>
              <w:rPr>
                <w:rFonts w:ascii="宋体"/>
                <w:w w:val="95"/>
                <w:sz w:val="13"/>
              </w:rPr>
              <w:t>41,477,685.37</w:t>
            </w:r>
            <w:r>
              <w:rPr>
                <w:rFonts w:ascii="宋体"/>
                <w:sz w:val="13"/>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25"/>
              <w:jc w:val="right"/>
              <w:rPr>
                <w:rFonts w:ascii="宋体" w:hAnsi="宋体" w:cs="宋体" w:eastAsia="宋体" w:hint="default"/>
                <w:sz w:val="13"/>
                <w:szCs w:val="13"/>
              </w:rPr>
            </w:pPr>
            <w:r>
              <w:rPr>
                <w:rFonts w:ascii="宋体"/>
                <w:w w:val="95"/>
                <w:sz w:val="13"/>
              </w:rPr>
              <w:t>0.00</w:t>
            </w:r>
            <w:r>
              <w:rPr>
                <w:rFonts w:ascii="宋体"/>
                <w:sz w:val="13"/>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9"/>
              <w:jc w:val="right"/>
              <w:rPr>
                <w:rFonts w:ascii="宋体" w:hAnsi="宋体" w:cs="宋体" w:eastAsia="宋体" w:hint="default"/>
                <w:sz w:val="13"/>
                <w:szCs w:val="13"/>
              </w:rPr>
            </w:pPr>
            <w:r>
              <w:rPr>
                <w:rFonts w:ascii="宋体"/>
                <w:w w:val="95"/>
                <w:sz w:val="13"/>
              </w:rPr>
              <w:t>0.00</w:t>
            </w:r>
            <w:r>
              <w:rPr>
                <w:rFonts w:ascii="宋体"/>
                <w:sz w:val="13"/>
              </w:rPr>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8" w:right="0"/>
              <w:jc w:val="left"/>
              <w:rPr>
                <w:rFonts w:ascii="宋体" w:hAnsi="宋体" w:cs="宋体" w:eastAsia="宋体" w:hint="default"/>
                <w:sz w:val="13"/>
                <w:szCs w:val="13"/>
              </w:rPr>
            </w:pPr>
            <w:r>
              <w:rPr>
                <w:rFonts w:ascii="宋体" w:hAnsi="宋体" w:cs="宋体" w:eastAsia="宋体" w:hint="default"/>
                <w:sz w:val="13"/>
                <w:szCs w:val="13"/>
              </w:rPr>
              <w:t>借款</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
              <w:jc w:val="right"/>
              <w:rPr>
                <w:rFonts w:ascii="宋体" w:hAnsi="宋体" w:cs="宋体" w:eastAsia="宋体" w:hint="default"/>
                <w:sz w:val="13"/>
                <w:szCs w:val="13"/>
              </w:rPr>
            </w:pPr>
            <w:r>
              <w:rPr>
                <w:rFonts w:ascii="宋体"/>
                <w:w w:val="95"/>
                <w:sz w:val="13"/>
              </w:rPr>
              <w:t>100.00%</w:t>
            </w:r>
            <w:r>
              <w:rPr>
                <w:rFonts w:ascii="宋体"/>
                <w:sz w:val="13"/>
              </w:rPr>
            </w:r>
          </w:p>
        </w:tc>
      </w:tr>
      <w:tr>
        <w:trPr>
          <w:trHeight w:val="381" w:hRule="exact"/>
        </w:trPr>
        <w:tc>
          <w:tcPr>
            <w:tcW w:w="2648"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57" w:right="0"/>
              <w:jc w:val="left"/>
              <w:rPr>
                <w:rFonts w:ascii="宋体" w:hAnsi="宋体" w:cs="宋体" w:eastAsia="宋体" w:hint="default"/>
                <w:sz w:val="13"/>
                <w:szCs w:val="13"/>
              </w:rPr>
            </w:pPr>
            <w:r>
              <w:rPr>
                <w:rFonts w:ascii="宋体" w:hAnsi="宋体" w:cs="宋体" w:eastAsia="宋体" w:hint="default"/>
                <w:sz w:val="13"/>
                <w:szCs w:val="13"/>
              </w:rPr>
              <w:t>零星工程</w:t>
            </w:r>
          </w:p>
        </w:tc>
        <w:tc>
          <w:tcPr>
            <w:tcW w:w="1070"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112" w:right="0"/>
              <w:jc w:val="center"/>
              <w:rPr>
                <w:rFonts w:ascii="宋体" w:hAnsi="宋体" w:cs="宋体" w:eastAsia="宋体" w:hint="default"/>
                <w:sz w:val="13"/>
                <w:szCs w:val="13"/>
              </w:rPr>
            </w:pPr>
            <w:r>
              <w:rPr>
                <w:rFonts w:ascii="宋体" w:hAnsi="宋体" w:cs="宋体" w:eastAsia="宋体" w:hint="default"/>
                <w:w w:val="99"/>
                <w:sz w:val="13"/>
                <w:szCs w:val="13"/>
              </w:rPr>
              <w:t>—</w:t>
            </w:r>
            <w:r>
              <w:rPr>
                <w:rFonts w:ascii="宋体" w:hAnsi="宋体" w:cs="宋体" w:eastAsia="宋体" w:hint="default"/>
                <w:sz w:val="13"/>
                <w:szCs w:val="13"/>
              </w:rPr>
            </w:r>
          </w:p>
        </w:tc>
        <w:tc>
          <w:tcPr>
            <w:tcW w:w="1172"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right="143"/>
              <w:jc w:val="right"/>
              <w:rPr>
                <w:rFonts w:ascii="宋体" w:hAnsi="宋体" w:cs="宋体" w:eastAsia="宋体" w:hint="default"/>
                <w:sz w:val="13"/>
                <w:szCs w:val="13"/>
              </w:rPr>
            </w:pPr>
            <w:r>
              <w:rPr>
                <w:rFonts w:ascii="宋体"/>
                <w:w w:val="95"/>
                <w:sz w:val="13"/>
              </w:rPr>
              <w:t>45,868,748.57</w:t>
            </w:r>
            <w:r>
              <w:rPr>
                <w:rFonts w:ascii="宋体"/>
                <w:sz w:val="13"/>
              </w:rPr>
            </w:r>
          </w:p>
        </w:tc>
        <w:tc>
          <w:tcPr>
            <w:tcW w:w="1164"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right="106"/>
              <w:jc w:val="right"/>
              <w:rPr>
                <w:rFonts w:ascii="宋体" w:hAnsi="宋体" w:cs="宋体" w:eastAsia="宋体" w:hint="default"/>
                <w:sz w:val="13"/>
                <w:szCs w:val="13"/>
              </w:rPr>
            </w:pPr>
            <w:r>
              <w:rPr>
                <w:rFonts w:ascii="宋体"/>
                <w:w w:val="95"/>
                <w:sz w:val="13"/>
              </w:rPr>
              <w:t>66,037,735.30</w:t>
            </w:r>
            <w:r>
              <w:rPr>
                <w:rFonts w:ascii="宋体"/>
                <w:sz w:val="13"/>
              </w:rPr>
            </w:r>
          </w:p>
        </w:tc>
        <w:tc>
          <w:tcPr>
            <w:tcW w:w="1196"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right="174"/>
              <w:jc w:val="right"/>
              <w:rPr>
                <w:rFonts w:ascii="宋体" w:hAnsi="宋体" w:cs="宋体" w:eastAsia="宋体" w:hint="default"/>
                <w:sz w:val="13"/>
                <w:szCs w:val="13"/>
              </w:rPr>
            </w:pPr>
            <w:r>
              <w:rPr>
                <w:rFonts w:ascii="宋体"/>
                <w:w w:val="95"/>
                <w:sz w:val="13"/>
              </w:rPr>
              <w:t>69,593,280.51</w:t>
            </w:r>
            <w:r>
              <w:rPr>
                <w:rFonts w:ascii="宋体"/>
                <w:sz w:val="13"/>
              </w:rPr>
            </w:r>
          </w:p>
        </w:tc>
        <w:tc>
          <w:tcPr>
            <w:tcW w:w="1138"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right="128"/>
              <w:jc w:val="right"/>
              <w:rPr>
                <w:rFonts w:ascii="宋体" w:hAnsi="宋体" w:cs="宋体" w:eastAsia="宋体" w:hint="default"/>
                <w:sz w:val="13"/>
                <w:szCs w:val="13"/>
              </w:rPr>
            </w:pPr>
            <w:r>
              <w:rPr>
                <w:rFonts w:ascii="宋体"/>
                <w:w w:val="95"/>
                <w:sz w:val="13"/>
              </w:rPr>
              <w:t>5,972,386.28</w:t>
            </w:r>
            <w:r>
              <w:rPr>
                <w:rFonts w:ascii="宋体"/>
                <w:sz w:val="13"/>
              </w:rPr>
            </w:r>
          </w:p>
        </w:tc>
        <w:tc>
          <w:tcPr>
            <w:tcW w:w="1104"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right="61"/>
              <w:jc w:val="right"/>
              <w:rPr>
                <w:rFonts w:ascii="宋体" w:hAnsi="宋体" w:cs="宋体" w:eastAsia="宋体" w:hint="default"/>
                <w:sz w:val="13"/>
                <w:szCs w:val="13"/>
              </w:rPr>
            </w:pPr>
            <w:r>
              <w:rPr>
                <w:rFonts w:ascii="宋体"/>
                <w:w w:val="95"/>
                <w:sz w:val="13"/>
              </w:rPr>
              <w:t>36,340,817.08</w:t>
            </w:r>
            <w:r>
              <w:rPr>
                <w:rFonts w:ascii="宋体"/>
                <w:sz w:val="13"/>
              </w:rPr>
            </w:r>
          </w:p>
        </w:tc>
        <w:tc>
          <w:tcPr>
            <w:tcW w:w="518"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193" w:right="0"/>
              <w:jc w:val="left"/>
              <w:rPr>
                <w:rFonts w:ascii="宋体" w:hAnsi="宋体" w:cs="宋体" w:eastAsia="宋体" w:hint="default"/>
                <w:sz w:val="13"/>
                <w:szCs w:val="13"/>
              </w:rPr>
            </w:pPr>
            <w:r>
              <w:rPr>
                <w:rFonts w:ascii="宋体" w:hAnsi="宋体" w:cs="宋体" w:eastAsia="宋体" w:hint="default"/>
                <w:w w:val="99"/>
                <w:sz w:val="13"/>
                <w:szCs w:val="13"/>
              </w:rPr>
              <w:t>—</w:t>
            </w:r>
            <w:r>
              <w:rPr>
                <w:rFonts w:ascii="宋体" w:hAnsi="宋体" w:cs="宋体" w:eastAsia="宋体" w:hint="default"/>
                <w:sz w:val="13"/>
                <w:szCs w:val="13"/>
              </w:rPr>
            </w:r>
          </w:p>
        </w:tc>
        <w:tc>
          <w:tcPr>
            <w:tcW w:w="738"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3" w:right="0"/>
              <w:jc w:val="center"/>
              <w:rPr>
                <w:rFonts w:ascii="宋体" w:hAnsi="宋体" w:cs="宋体" w:eastAsia="宋体" w:hint="default"/>
                <w:sz w:val="13"/>
                <w:szCs w:val="13"/>
              </w:rPr>
            </w:pPr>
            <w:r>
              <w:rPr>
                <w:rFonts w:ascii="宋体" w:hAnsi="宋体" w:cs="宋体" w:eastAsia="宋体" w:hint="default"/>
                <w:w w:val="99"/>
                <w:sz w:val="13"/>
                <w:szCs w:val="13"/>
              </w:rPr>
              <w:t>—</w:t>
            </w:r>
            <w:r>
              <w:rPr>
                <w:rFonts w:ascii="宋体" w:hAnsi="宋体" w:cs="宋体" w:eastAsia="宋体" w:hint="default"/>
                <w:sz w:val="13"/>
                <w:szCs w:val="13"/>
              </w:rPr>
            </w:r>
          </w:p>
        </w:tc>
      </w:tr>
      <w:tr>
        <w:trPr>
          <w:trHeight w:val="382" w:hRule="exact"/>
        </w:trPr>
        <w:tc>
          <w:tcPr>
            <w:tcW w:w="2648"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57" w:right="0"/>
              <w:jc w:val="left"/>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107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112" w:right="0"/>
              <w:jc w:val="center"/>
              <w:rPr>
                <w:rFonts w:ascii="宋体" w:hAnsi="宋体" w:cs="宋体" w:eastAsia="宋体" w:hint="default"/>
                <w:sz w:val="13"/>
                <w:szCs w:val="13"/>
              </w:rPr>
            </w:pPr>
            <w:r>
              <w:rPr>
                <w:rFonts w:ascii="宋体" w:hAnsi="宋体" w:cs="宋体" w:eastAsia="宋体" w:hint="default"/>
                <w:w w:val="99"/>
                <w:sz w:val="13"/>
                <w:szCs w:val="13"/>
              </w:rPr>
              <w:t>—</w:t>
            </w:r>
            <w:r>
              <w:rPr>
                <w:rFonts w:ascii="宋体" w:hAnsi="宋体" w:cs="宋体" w:eastAsia="宋体" w:hint="default"/>
                <w:sz w:val="13"/>
                <w:szCs w:val="13"/>
              </w:rPr>
            </w:r>
          </w:p>
        </w:tc>
        <w:tc>
          <w:tcPr>
            <w:tcW w:w="1172"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39"/>
              <w:jc w:val="right"/>
              <w:rPr>
                <w:rFonts w:ascii="宋体" w:hAnsi="宋体" w:cs="宋体" w:eastAsia="宋体" w:hint="default"/>
                <w:sz w:val="13"/>
                <w:szCs w:val="13"/>
              </w:rPr>
            </w:pPr>
            <w:r>
              <w:rPr>
                <w:rFonts w:ascii="宋体"/>
                <w:b/>
                <w:w w:val="95"/>
                <w:sz w:val="13"/>
              </w:rPr>
              <w:t>441,712,728.43</w:t>
            </w:r>
            <w:r>
              <w:rPr>
                <w:rFonts w:ascii="宋体"/>
                <w:sz w:val="13"/>
              </w:rPr>
            </w:r>
          </w:p>
        </w:tc>
        <w:tc>
          <w:tcPr>
            <w:tcW w:w="116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04"/>
              <w:jc w:val="right"/>
              <w:rPr>
                <w:rFonts w:ascii="宋体" w:hAnsi="宋体" w:cs="宋体" w:eastAsia="宋体" w:hint="default"/>
                <w:sz w:val="13"/>
                <w:szCs w:val="13"/>
              </w:rPr>
            </w:pPr>
            <w:r>
              <w:rPr>
                <w:rFonts w:ascii="宋体"/>
                <w:b/>
                <w:w w:val="95"/>
                <w:sz w:val="13"/>
              </w:rPr>
              <w:t>254,299,887.45</w:t>
            </w:r>
            <w:r>
              <w:rPr>
                <w:rFonts w:ascii="宋体"/>
                <w:sz w:val="13"/>
              </w:rPr>
            </w:r>
          </w:p>
        </w:tc>
        <w:tc>
          <w:tcPr>
            <w:tcW w:w="1196"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72"/>
              <w:jc w:val="right"/>
              <w:rPr>
                <w:rFonts w:ascii="宋体" w:hAnsi="宋体" w:cs="宋体" w:eastAsia="宋体" w:hint="default"/>
                <w:sz w:val="13"/>
                <w:szCs w:val="13"/>
              </w:rPr>
            </w:pPr>
            <w:r>
              <w:rPr>
                <w:rFonts w:ascii="宋体"/>
                <w:b/>
                <w:w w:val="95"/>
                <w:sz w:val="13"/>
              </w:rPr>
              <w:t>186,353,017.26</w:t>
            </w:r>
            <w:r>
              <w:rPr>
                <w:rFonts w:ascii="宋体"/>
                <w:sz w:val="13"/>
              </w:rPr>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24"/>
              <w:jc w:val="right"/>
              <w:rPr>
                <w:rFonts w:ascii="宋体" w:hAnsi="宋体" w:cs="宋体" w:eastAsia="宋体" w:hint="default"/>
                <w:sz w:val="13"/>
                <w:szCs w:val="13"/>
              </w:rPr>
            </w:pPr>
            <w:r>
              <w:rPr>
                <w:rFonts w:ascii="宋体"/>
                <w:b/>
                <w:w w:val="95"/>
                <w:sz w:val="13"/>
              </w:rPr>
              <w:t>5,972,386.28</w:t>
            </w:r>
            <w:r>
              <w:rPr>
                <w:rFonts w:ascii="宋体"/>
                <w:sz w:val="13"/>
              </w:rPr>
            </w:r>
          </w:p>
        </w:tc>
        <w:tc>
          <w:tcPr>
            <w:tcW w:w="110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59"/>
              <w:jc w:val="right"/>
              <w:rPr>
                <w:rFonts w:ascii="宋体" w:hAnsi="宋体" w:cs="宋体" w:eastAsia="宋体" w:hint="default"/>
                <w:sz w:val="13"/>
                <w:szCs w:val="13"/>
              </w:rPr>
            </w:pPr>
            <w:r>
              <w:rPr>
                <w:rFonts w:ascii="宋体"/>
                <w:b/>
                <w:w w:val="95"/>
                <w:sz w:val="13"/>
              </w:rPr>
              <w:t>503,687,212.34</w:t>
            </w:r>
            <w:r>
              <w:rPr>
                <w:rFonts w:ascii="宋体"/>
                <w:sz w:val="13"/>
              </w:rPr>
            </w:r>
          </w:p>
        </w:tc>
        <w:tc>
          <w:tcPr>
            <w:tcW w:w="51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193" w:right="0"/>
              <w:jc w:val="left"/>
              <w:rPr>
                <w:rFonts w:ascii="宋体" w:hAnsi="宋体" w:cs="宋体" w:eastAsia="宋体" w:hint="default"/>
                <w:sz w:val="13"/>
                <w:szCs w:val="13"/>
              </w:rPr>
            </w:pPr>
            <w:r>
              <w:rPr>
                <w:rFonts w:ascii="宋体" w:hAnsi="宋体" w:cs="宋体" w:eastAsia="宋体" w:hint="default"/>
                <w:w w:val="99"/>
                <w:sz w:val="13"/>
                <w:szCs w:val="13"/>
              </w:rPr>
              <w:t>—</w:t>
            </w:r>
            <w:r>
              <w:rPr>
                <w:rFonts w:ascii="宋体" w:hAnsi="宋体" w:cs="宋体" w:eastAsia="宋体" w:hint="default"/>
                <w:sz w:val="13"/>
                <w:szCs w:val="13"/>
              </w:rPr>
            </w:r>
          </w:p>
        </w:tc>
        <w:tc>
          <w:tcPr>
            <w:tcW w:w="73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3" w:right="0"/>
              <w:jc w:val="center"/>
              <w:rPr>
                <w:rFonts w:ascii="宋体" w:hAnsi="宋体" w:cs="宋体" w:eastAsia="宋体" w:hint="default"/>
                <w:sz w:val="13"/>
                <w:szCs w:val="13"/>
              </w:rPr>
            </w:pPr>
            <w:r>
              <w:rPr>
                <w:rFonts w:ascii="宋体" w:hAnsi="宋体" w:cs="宋体" w:eastAsia="宋体" w:hint="default"/>
                <w:w w:val="99"/>
                <w:sz w:val="13"/>
                <w:szCs w:val="13"/>
              </w:rPr>
              <w:t>—</w:t>
            </w:r>
            <w:r>
              <w:rPr>
                <w:rFonts w:ascii="宋体" w:hAnsi="宋体" w:cs="宋体" w:eastAsia="宋体" w:hint="default"/>
                <w:sz w:val="13"/>
                <w:szCs w:val="13"/>
              </w:rPr>
            </w:r>
          </w:p>
        </w:tc>
      </w:tr>
      <w:tr>
        <w:trPr>
          <w:trHeight w:val="391" w:hRule="exact"/>
        </w:trPr>
        <w:tc>
          <w:tcPr>
            <w:tcW w:w="2648" w:type="dxa"/>
            <w:tcBorders>
              <w:top w:val="single" w:sz="4" w:space="0" w:color="000000"/>
              <w:left w:val="nil" w:sz="6" w:space="0" w:color="auto"/>
              <w:bottom w:val="single" w:sz="12" w:space="0" w:color="000000"/>
              <w:right w:val="nil" w:sz="6" w:space="0" w:color="auto"/>
            </w:tcBorders>
          </w:tcPr>
          <w:p>
            <w:pPr>
              <w:pStyle w:val="TableParagraph"/>
              <w:spacing w:line="240" w:lineRule="auto" w:before="64"/>
              <w:ind w:left="57" w:right="0"/>
              <w:jc w:val="left"/>
              <w:rPr>
                <w:rFonts w:ascii="宋体" w:hAnsi="宋体" w:cs="宋体" w:eastAsia="宋体" w:hint="default"/>
                <w:sz w:val="15"/>
                <w:szCs w:val="15"/>
              </w:rPr>
            </w:pPr>
            <w:r>
              <w:rPr>
                <w:rFonts w:ascii="宋体" w:hAnsi="宋体" w:cs="宋体" w:eastAsia="宋体" w:hint="default"/>
                <w:b/>
                <w:bCs/>
                <w:sz w:val="15"/>
                <w:szCs w:val="15"/>
              </w:rPr>
              <w:t>其中利息资本化金额</w:t>
            </w:r>
            <w:r>
              <w:rPr>
                <w:rFonts w:ascii="宋体" w:hAnsi="宋体" w:cs="宋体" w:eastAsia="宋体" w:hint="default"/>
                <w:sz w:val="15"/>
                <w:szCs w:val="15"/>
              </w:rPr>
            </w:r>
          </w:p>
        </w:tc>
        <w:tc>
          <w:tcPr>
            <w:tcW w:w="1070"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left="112" w:right="0"/>
              <w:jc w:val="center"/>
              <w:rPr>
                <w:rFonts w:ascii="宋体" w:hAnsi="宋体" w:cs="宋体" w:eastAsia="宋体" w:hint="default"/>
                <w:sz w:val="13"/>
                <w:szCs w:val="13"/>
              </w:rPr>
            </w:pPr>
            <w:r>
              <w:rPr>
                <w:rFonts w:ascii="宋体" w:hAnsi="宋体" w:cs="宋体" w:eastAsia="宋体" w:hint="default"/>
                <w:w w:val="99"/>
                <w:sz w:val="13"/>
                <w:szCs w:val="13"/>
              </w:rPr>
              <w:t>—</w:t>
            </w:r>
            <w:r>
              <w:rPr>
                <w:rFonts w:ascii="宋体" w:hAnsi="宋体" w:cs="宋体" w:eastAsia="宋体" w:hint="default"/>
                <w:sz w:val="13"/>
                <w:szCs w:val="13"/>
              </w:rPr>
            </w:r>
          </w:p>
        </w:tc>
        <w:tc>
          <w:tcPr>
            <w:tcW w:w="1172"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39"/>
              <w:jc w:val="right"/>
              <w:rPr>
                <w:rFonts w:ascii="宋体" w:hAnsi="宋体" w:cs="宋体" w:eastAsia="宋体" w:hint="default"/>
                <w:sz w:val="13"/>
                <w:szCs w:val="13"/>
              </w:rPr>
            </w:pPr>
            <w:r>
              <w:rPr>
                <w:rFonts w:ascii="宋体"/>
                <w:b/>
                <w:w w:val="95"/>
                <w:sz w:val="13"/>
              </w:rPr>
              <w:t>71,473.50</w:t>
            </w:r>
            <w:r>
              <w:rPr>
                <w:rFonts w:ascii="宋体"/>
                <w:sz w:val="13"/>
              </w:rPr>
            </w:r>
          </w:p>
        </w:tc>
        <w:tc>
          <w:tcPr>
            <w:tcW w:w="1164"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04"/>
              <w:jc w:val="right"/>
              <w:rPr>
                <w:rFonts w:ascii="宋体" w:hAnsi="宋体" w:cs="宋体" w:eastAsia="宋体" w:hint="default"/>
                <w:sz w:val="13"/>
                <w:szCs w:val="13"/>
              </w:rPr>
            </w:pPr>
            <w:r>
              <w:rPr>
                <w:rFonts w:ascii="宋体"/>
                <w:b/>
                <w:w w:val="95"/>
                <w:sz w:val="13"/>
              </w:rPr>
              <w:t>220,347.24</w:t>
            </w:r>
            <w:r>
              <w:rPr>
                <w:rFonts w:ascii="宋体"/>
                <w:sz w:val="13"/>
              </w:rPr>
            </w:r>
          </w:p>
        </w:tc>
        <w:tc>
          <w:tcPr>
            <w:tcW w:w="1196"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72"/>
              <w:jc w:val="right"/>
              <w:rPr>
                <w:rFonts w:ascii="宋体" w:hAnsi="宋体" w:cs="宋体" w:eastAsia="宋体" w:hint="default"/>
                <w:sz w:val="13"/>
                <w:szCs w:val="13"/>
              </w:rPr>
            </w:pPr>
            <w:r>
              <w:rPr>
                <w:rFonts w:ascii="宋体"/>
                <w:b/>
                <w:w w:val="95"/>
                <w:sz w:val="13"/>
              </w:rPr>
              <w:t>0.00</w:t>
            </w:r>
            <w:r>
              <w:rPr>
                <w:rFonts w:ascii="宋体"/>
                <w:sz w:val="13"/>
              </w:rPr>
            </w:r>
          </w:p>
        </w:tc>
        <w:tc>
          <w:tcPr>
            <w:tcW w:w="1138"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24"/>
              <w:jc w:val="right"/>
              <w:rPr>
                <w:rFonts w:ascii="宋体" w:hAnsi="宋体" w:cs="宋体" w:eastAsia="宋体" w:hint="default"/>
                <w:sz w:val="13"/>
                <w:szCs w:val="13"/>
              </w:rPr>
            </w:pPr>
            <w:r>
              <w:rPr>
                <w:rFonts w:ascii="宋体"/>
                <w:b/>
                <w:w w:val="95"/>
                <w:sz w:val="13"/>
              </w:rPr>
              <w:t>0.00</w:t>
            </w:r>
            <w:r>
              <w:rPr>
                <w:rFonts w:ascii="宋体"/>
                <w:sz w:val="13"/>
              </w:rPr>
            </w:r>
          </w:p>
        </w:tc>
        <w:tc>
          <w:tcPr>
            <w:tcW w:w="1104"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59"/>
              <w:jc w:val="right"/>
              <w:rPr>
                <w:rFonts w:ascii="宋体" w:hAnsi="宋体" w:cs="宋体" w:eastAsia="宋体" w:hint="default"/>
                <w:sz w:val="13"/>
                <w:szCs w:val="13"/>
              </w:rPr>
            </w:pPr>
            <w:r>
              <w:rPr>
                <w:rFonts w:ascii="宋体"/>
                <w:b/>
                <w:w w:val="95"/>
                <w:sz w:val="13"/>
              </w:rPr>
              <w:t>291,820.74</w:t>
            </w:r>
            <w:r>
              <w:rPr>
                <w:rFonts w:ascii="宋体"/>
                <w:sz w:val="13"/>
              </w:rPr>
            </w:r>
          </w:p>
        </w:tc>
        <w:tc>
          <w:tcPr>
            <w:tcW w:w="518"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left="193" w:right="0"/>
              <w:jc w:val="left"/>
              <w:rPr>
                <w:rFonts w:ascii="宋体" w:hAnsi="宋体" w:cs="宋体" w:eastAsia="宋体" w:hint="default"/>
                <w:sz w:val="13"/>
                <w:szCs w:val="13"/>
              </w:rPr>
            </w:pPr>
            <w:r>
              <w:rPr>
                <w:rFonts w:ascii="宋体" w:hAnsi="宋体" w:cs="宋体" w:eastAsia="宋体" w:hint="default"/>
                <w:w w:val="99"/>
                <w:sz w:val="13"/>
                <w:szCs w:val="13"/>
              </w:rPr>
              <w:t>—</w:t>
            </w:r>
            <w:r>
              <w:rPr>
                <w:rFonts w:ascii="宋体" w:hAnsi="宋体" w:cs="宋体" w:eastAsia="宋体" w:hint="default"/>
                <w:sz w:val="13"/>
                <w:szCs w:val="13"/>
              </w:rPr>
            </w:r>
          </w:p>
        </w:tc>
        <w:tc>
          <w:tcPr>
            <w:tcW w:w="738"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left="3" w:right="0"/>
              <w:jc w:val="center"/>
              <w:rPr>
                <w:rFonts w:ascii="宋体" w:hAnsi="宋体" w:cs="宋体" w:eastAsia="宋体" w:hint="default"/>
                <w:sz w:val="13"/>
                <w:szCs w:val="13"/>
              </w:rPr>
            </w:pPr>
            <w:r>
              <w:rPr>
                <w:rFonts w:ascii="宋体" w:hAnsi="宋体" w:cs="宋体" w:eastAsia="宋体" w:hint="default"/>
                <w:w w:val="99"/>
                <w:sz w:val="13"/>
                <w:szCs w:val="13"/>
              </w:rPr>
              <w:t>—</w:t>
            </w:r>
            <w:r>
              <w:rPr>
                <w:rFonts w:ascii="宋体" w:hAnsi="宋体" w:cs="宋体" w:eastAsia="宋体" w:hint="default"/>
                <w:sz w:val="13"/>
                <w:szCs w:val="13"/>
              </w:rPr>
            </w:r>
          </w:p>
        </w:tc>
      </w:tr>
    </w:tbl>
    <w:p>
      <w:pPr>
        <w:spacing w:after="0" w:line="240" w:lineRule="auto"/>
        <w:jc w:val="center"/>
        <w:rPr>
          <w:rFonts w:ascii="宋体" w:hAnsi="宋体" w:cs="宋体" w:eastAsia="宋体" w:hint="default"/>
          <w:sz w:val="13"/>
          <w:szCs w:val="13"/>
        </w:rPr>
        <w:sectPr>
          <w:type w:val="continuous"/>
          <w:pgSz w:w="11910" w:h="16840"/>
          <w:pgMar w:top="1000" w:bottom="280" w:left="480" w:right="4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32"/>
        <w:ind w:left="64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15.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无形资产</w:t>
      </w:r>
    </w:p>
    <w:tbl>
      <w:tblPr>
        <w:tblW w:w="0" w:type="auto"/>
        <w:jc w:val="left"/>
        <w:tblInd w:w="116" w:type="dxa"/>
        <w:tblLayout w:type="fixed"/>
        <w:tblCellMar>
          <w:top w:w="0" w:type="dxa"/>
          <w:left w:w="0" w:type="dxa"/>
          <w:bottom w:w="0" w:type="dxa"/>
          <w:right w:w="0" w:type="dxa"/>
        </w:tblCellMar>
        <w:tblLook w:val="01E0"/>
      </w:tblPr>
      <w:tblGrid>
        <w:gridCol w:w="2081"/>
        <w:gridCol w:w="2166"/>
        <w:gridCol w:w="1635"/>
        <w:gridCol w:w="1822"/>
        <w:gridCol w:w="1663"/>
        <w:gridCol w:w="1616"/>
        <w:gridCol w:w="1619"/>
        <w:gridCol w:w="1607"/>
      </w:tblGrid>
      <w:tr>
        <w:trPr>
          <w:trHeight w:val="245" w:hRule="exact"/>
        </w:trPr>
        <w:tc>
          <w:tcPr>
            <w:tcW w:w="2081"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2166"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756" w:right="0"/>
              <w:jc w:val="left"/>
              <w:rPr>
                <w:rFonts w:ascii="宋体" w:hAnsi="宋体" w:cs="宋体" w:eastAsia="宋体" w:hint="default"/>
                <w:sz w:val="16"/>
                <w:szCs w:val="16"/>
              </w:rPr>
            </w:pPr>
            <w:r>
              <w:rPr>
                <w:rFonts w:ascii="宋体" w:hAnsi="宋体" w:cs="宋体" w:eastAsia="宋体" w:hint="default"/>
                <w:b/>
                <w:bCs/>
                <w:sz w:val="16"/>
                <w:szCs w:val="16"/>
              </w:rPr>
              <w:t>土地使用权</w:t>
            </w:r>
            <w:r>
              <w:rPr>
                <w:rFonts w:ascii="宋体" w:hAnsi="宋体" w:cs="宋体" w:eastAsia="宋体" w:hint="default"/>
                <w:sz w:val="16"/>
                <w:szCs w:val="16"/>
              </w:rPr>
            </w:r>
          </w:p>
        </w:tc>
        <w:tc>
          <w:tcPr>
            <w:tcW w:w="1635"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275" w:right="0"/>
              <w:jc w:val="left"/>
              <w:rPr>
                <w:rFonts w:ascii="宋体" w:hAnsi="宋体" w:cs="宋体" w:eastAsia="宋体" w:hint="default"/>
                <w:sz w:val="16"/>
                <w:szCs w:val="16"/>
              </w:rPr>
            </w:pPr>
            <w:r>
              <w:rPr>
                <w:rFonts w:ascii="宋体" w:hAnsi="宋体" w:cs="宋体" w:eastAsia="宋体" w:hint="default"/>
                <w:b/>
                <w:bCs/>
                <w:sz w:val="16"/>
                <w:szCs w:val="16"/>
              </w:rPr>
              <w:t>房屋使用权</w:t>
            </w:r>
            <w:r>
              <w:rPr>
                <w:rFonts w:ascii="宋体" w:hAnsi="宋体" w:cs="宋体" w:eastAsia="宋体" w:hint="default"/>
                <w:sz w:val="16"/>
                <w:szCs w:val="16"/>
              </w:rPr>
            </w:r>
          </w:p>
        </w:tc>
        <w:tc>
          <w:tcPr>
            <w:tcW w:w="1822"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217" w:right="0"/>
              <w:jc w:val="left"/>
              <w:rPr>
                <w:rFonts w:ascii="宋体" w:hAnsi="宋体" w:cs="宋体" w:eastAsia="宋体" w:hint="default"/>
                <w:sz w:val="16"/>
                <w:szCs w:val="16"/>
              </w:rPr>
            </w:pPr>
            <w:r>
              <w:rPr>
                <w:rFonts w:ascii="宋体" w:hAnsi="宋体" w:cs="宋体" w:eastAsia="宋体" w:hint="default"/>
                <w:b/>
                <w:bCs/>
                <w:sz w:val="16"/>
                <w:szCs w:val="16"/>
              </w:rPr>
              <w:t>专利及专有技术</w:t>
            </w:r>
            <w:r>
              <w:rPr>
                <w:rFonts w:ascii="宋体" w:hAnsi="宋体" w:cs="宋体" w:eastAsia="宋体" w:hint="default"/>
                <w:sz w:val="16"/>
                <w:szCs w:val="16"/>
              </w:rPr>
            </w:r>
          </w:p>
        </w:tc>
        <w:tc>
          <w:tcPr>
            <w:tcW w:w="1663"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256" w:right="0"/>
              <w:jc w:val="left"/>
              <w:rPr>
                <w:rFonts w:ascii="宋体" w:hAnsi="宋体" w:cs="宋体" w:eastAsia="宋体" w:hint="default"/>
                <w:sz w:val="16"/>
                <w:szCs w:val="16"/>
              </w:rPr>
            </w:pPr>
            <w:r>
              <w:rPr>
                <w:rFonts w:ascii="宋体" w:hAnsi="宋体" w:cs="宋体" w:eastAsia="宋体" w:hint="default"/>
                <w:b/>
                <w:bCs/>
                <w:sz w:val="16"/>
                <w:szCs w:val="16"/>
              </w:rPr>
              <w:t>特许经营权</w:t>
            </w:r>
            <w:r>
              <w:rPr>
                <w:rFonts w:ascii="宋体" w:hAnsi="宋体" w:cs="宋体" w:eastAsia="宋体" w:hint="default"/>
                <w:sz w:val="16"/>
                <w:szCs w:val="16"/>
              </w:rPr>
            </w:r>
          </w:p>
        </w:tc>
        <w:tc>
          <w:tcPr>
            <w:tcW w:w="1616"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385" w:right="0"/>
              <w:jc w:val="left"/>
              <w:rPr>
                <w:rFonts w:ascii="宋体" w:hAnsi="宋体" w:cs="宋体" w:eastAsia="宋体" w:hint="default"/>
                <w:sz w:val="16"/>
                <w:szCs w:val="16"/>
              </w:rPr>
            </w:pPr>
            <w:r>
              <w:rPr>
                <w:rFonts w:ascii="宋体" w:hAnsi="宋体" w:cs="宋体" w:eastAsia="宋体" w:hint="default"/>
                <w:b/>
                <w:bCs/>
                <w:sz w:val="16"/>
                <w:szCs w:val="16"/>
              </w:rPr>
              <w:t>商标权</w:t>
            </w:r>
            <w:r>
              <w:rPr>
                <w:rFonts w:ascii="宋体" w:hAnsi="宋体" w:cs="宋体" w:eastAsia="宋体" w:hint="default"/>
                <w:sz w:val="16"/>
                <w:szCs w:val="16"/>
              </w:rPr>
            </w:r>
          </w:p>
        </w:tc>
        <w:tc>
          <w:tcPr>
            <w:tcW w:w="1619"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269" w:right="0"/>
              <w:jc w:val="left"/>
              <w:rPr>
                <w:rFonts w:ascii="宋体" w:hAnsi="宋体" w:cs="宋体" w:eastAsia="宋体" w:hint="default"/>
                <w:sz w:val="16"/>
                <w:szCs w:val="16"/>
              </w:rPr>
            </w:pPr>
            <w:r>
              <w:rPr>
                <w:rFonts w:ascii="宋体" w:hAnsi="宋体" w:cs="宋体" w:eastAsia="宋体" w:hint="default"/>
                <w:b/>
                <w:bCs/>
                <w:sz w:val="16"/>
                <w:szCs w:val="16"/>
              </w:rPr>
              <w:t>软件及其他</w:t>
            </w:r>
            <w:r>
              <w:rPr>
                <w:rFonts w:ascii="宋体" w:hAnsi="宋体" w:cs="宋体" w:eastAsia="宋体" w:hint="default"/>
                <w:sz w:val="16"/>
                <w:szCs w:val="16"/>
              </w:rPr>
            </w:r>
          </w:p>
        </w:tc>
        <w:tc>
          <w:tcPr>
            <w:tcW w:w="1607" w:type="dxa"/>
            <w:tcBorders>
              <w:top w:val="single" w:sz="12" w:space="0" w:color="000000"/>
              <w:left w:val="nil" w:sz="6" w:space="0" w:color="auto"/>
              <w:bottom w:val="single" w:sz="4" w:space="0" w:color="000000"/>
              <w:right w:val="nil" w:sz="6" w:space="0" w:color="auto"/>
            </w:tcBorders>
          </w:tcPr>
          <w:p>
            <w:pPr>
              <w:pStyle w:val="TableParagraph"/>
              <w:spacing w:line="200" w:lineRule="exact"/>
              <w:ind w:right="113"/>
              <w:jc w:val="center"/>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r>
      <w:tr>
        <w:trPr>
          <w:trHeight w:val="252" w:hRule="exact"/>
        </w:trPr>
        <w:tc>
          <w:tcPr>
            <w:tcW w:w="2081" w:type="dxa"/>
            <w:tcBorders>
              <w:top w:val="single" w:sz="4" w:space="0" w:color="000000"/>
              <w:left w:val="nil" w:sz="6" w:space="0" w:color="auto"/>
              <w:bottom w:val="nil" w:sz="6" w:space="0" w:color="auto"/>
              <w:right w:val="nil" w:sz="6" w:space="0" w:color="auto"/>
            </w:tcBorders>
          </w:tcPr>
          <w:p>
            <w:pPr>
              <w:pStyle w:val="TableParagraph"/>
              <w:spacing w:line="203" w:lineRule="exact"/>
              <w:ind w:left="122" w:right="0"/>
              <w:jc w:val="left"/>
              <w:rPr>
                <w:rFonts w:ascii="宋体" w:hAnsi="宋体" w:cs="宋体" w:eastAsia="宋体" w:hint="default"/>
                <w:sz w:val="16"/>
                <w:szCs w:val="16"/>
              </w:rPr>
            </w:pPr>
            <w:r>
              <w:rPr>
                <w:rFonts w:ascii="宋体" w:hAnsi="宋体" w:cs="宋体" w:eastAsia="宋体" w:hint="default"/>
                <w:sz w:val="16"/>
                <w:szCs w:val="16"/>
              </w:rPr>
              <w:t>一、账面原值</w:t>
            </w:r>
          </w:p>
        </w:tc>
        <w:tc>
          <w:tcPr>
            <w:tcW w:w="2166" w:type="dxa"/>
            <w:tcBorders>
              <w:top w:val="single" w:sz="4" w:space="0" w:color="000000"/>
              <w:left w:val="nil" w:sz="6" w:space="0" w:color="auto"/>
              <w:bottom w:val="nil" w:sz="6" w:space="0" w:color="auto"/>
              <w:right w:val="nil" w:sz="6" w:space="0" w:color="auto"/>
            </w:tcBorders>
          </w:tcPr>
          <w:p>
            <w:pPr/>
          </w:p>
        </w:tc>
        <w:tc>
          <w:tcPr>
            <w:tcW w:w="1635" w:type="dxa"/>
            <w:tcBorders>
              <w:top w:val="single" w:sz="4" w:space="0" w:color="000000"/>
              <w:left w:val="nil" w:sz="6" w:space="0" w:color="auto"/>
              <w:bottom w:val="nil" w:sz="6" w:space="0" w:color="auto"/>
              <w:right w:val="nil" w:sz="6" w:space="0" w:color="auto"/>
            </w:tcBorders>
          </w:tcPr>
          <w:p>
            <w:pPr/>
          </w:p>
        </w:tc>
        <w:tc>
          <w:tcPr>
            <w:tcW w:w="1822" w:type="dxa"/>
            <w:tcBorders>
              <w:top w:val="single" w:sz="4" w:space="0" w:color="000000"/>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nil" w:sz="6" w:space="0" w:color="auto"/>
              <w:right w:val="nil" w:sz="6" w:space="0" w:color="auto"/>
            </w:tcBorders>
          </w:tcPr>
          <w:p>
            <w:pPr/>
          </w:p>
        </w:tc>
        <w:tc>
          <w:tcPr>
            <w:tcW w:w="1616" w:type="dxa"/>
            <w:tcBorders>
              <w:top w:val="single" w:sz="4" w:space="0" w:color="000000"/>
              <w:left w:val="nil" w:sz="6" w:space="0" w:color="auto"/>
              <w:bottom w:val="nil" w:sz="6" w:space="0" w:color="auto"/>
              <w:right w:val="nil" w:sz="6" w:space="0" w:color="auto"/>
            </w:tcBorders>
          </w:tcPr>
          <w:p>
            <w:pPr/>
          </w:p>
        </w:tc>
        <w:tc>
          <w:tcPr>
            <w:tcW w:w="1619" w:type="dxa"/>
            <w:tcBorders>
              <w:top w:val="single" w:sz="4" w:space="0" w:color="000000"/>
              <w:left w:val="nil" w:sz="6" w:space="0" w:color="auto"/>
              <w:bottom w:val="nil" w:sz="6" w:space="0" w:color="auto"/>
              <w:right w:val="nil" w:sz="6" w:space="0" w:color="auto"/>
            </w:tcBorders>
          </w:tcPr>
          <w:p>
            <w:pPr/>
          </w:p>
        </w:tc>
        <w:tc>
          <w:tcPr>
            <w:tcW w:w="1607" w:type="dxa"/>
            <w:tcBorders>
              <w:top w:val="single" w:sz="4" w:space="0" w:color="000000"/>
              <w:left w:val="nil" w:sz="6" w:space="0" w:color="auto"/>
              <w:bottom w:val="nil" w:sz="6" w:space="0" w:color="auto"/>
              <w:right w:val="nil" w:sz="6" w:space="0" w:color="auto"/>
            </w:tcBorders>
          </w:tcPr>
          <w:p>
            <w:pPr/>
          </w:p>
        </w:tc>
      </w:tr>
      <w:tr>
        <w:trPr>
          <w:trHeight w:val="252"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年初余额</w:t>
            </w:r>
          </w:p>
        </w:tc>
        <w:tc>
          <w:tcPr>
            <w:tcW w:w="2166" w:type="dxa"/>
            <w:tcBorders>
              <w:top w:val="nil" w:sz="6" w:space="0" w:color="auto"/>
              <w:left w:val="nil" w:sz="6" w:space="0" w:color="auto"/>
              <w:bottom w:val="nil" w:sz="6" w:space="0" w:color="auto"/>
              <w:right w:val="nil" w:sz="6" w:space="0" w:color="auto"/>
            </w:tcBorders>
          </w:tcPr>
          <w:p>
            <w:pPr>
              <w:pStyle w:val="TableParagraph"/>
              <w:spacing w:line="205" w:lineRule="exact"/>
              <w:ind w:right="274"/>
              <w:jc w:val="right"/>
              <w:rPr>
                <w:rFonts w:ascii="宋体" w:hAnsi="宋体" w:cs="宋体" w:eastAsia="宋体" w:hint="default"/>
                <w:sz w:val="16"/>
                <w:szCs w:val="16"/>
              </w:rPr>
            </w:pPr>
            <w:r>
              <w:rPr>
                <w:rFonts w:ascii="宋体"/>
                <w:spacing w:val="-2"/>
                <w:sz w:val="16"/>
              </w:rPr>
              <w:t>646,237,026.61</w:t>
            </w:r>
          </w:p>
        </w:tc>
        <w:tc>
          <w:tcPr>
            <w:tcW w:w="1635" w:type="dxa"/>
            <w:tcBorders>
              <w:top w:val="nil" w:sz="6" w:space="0" w:color="auto"/>
              <w:left w:val="nil" w:sz="6" w:space="0" w:color="auto"/>
              <w:bottom w:val="nil" w:sz="6" w:space="0" w:color="auto"/>
              <w:right w:val="nil" w:sz="6" w:space="0" w:color="auto"/>
            </w:tcBorders>
          </w:tcPr>
          <w:p>
            <w:pPr>
              <w:pStyle w:val="TableParagraph"/>
              <w:spacing w:line="205" w:lineRule="exact"/>
              <w:ind w:right="216"/>
              <w:jc w:val="right"/>
              <w:rPr>
                <w:rFonts w:ascii="宋体" w:hAnsi="宋体" w:cs="宋体" w:eastAsia="宋体" w:hint="default"/>
                <w:sz w:val="16"/>
                <w:szCs w:val="16"/>
              </w:rPr>
            </w:pPr>
            <w:r>
              <w:rPr>
                <w:rFonts w:ascii="宋体"/>
                <w:spacing w:val="-2"/>
                <w:sz w:val="16"/>
              </w:rPr>
              <w:t>1,321,428.54</w:t>
            </w:r>
          </w:p>
        </w:tc>
        <w:tc>
          <w:tcPr>
            <w:tcW w:w="1822" w:type="dxa"/>
            <w:tcBorders>
              <w:top w:val="nil" w:sz="6" w:space="0" w:color="auto"/>
              <w:left w:val="nil" w:sz="6" w:space="0" w:color="auto"/>
              <w:bottom w:val="nil" w:sz="6" w:space="0" w:color="auto"/>
              <w:right w:val="nil" w:sz="6" w:space="0" w:color="auto"/>
            </w:tcBorders>
          </w:tcPr>
          <w:p>
            <w:pPr>
              <w:pStyle w:val="TableParagraph"/>
              <w:spacing w:line="205" w:lineRule="exact"/>
              <w:ind w:right="254"/>
              <w:jc w:val="right"/>
              <w:rPr>
                <w:rFonts w:ascii="宋体" w:hAnsi="宋体" w:cs="宋体" w:eastAsia="宋体" w:hint="default"/>
                <w:sz w:val="16"/>
                <w:szCs w:val="16"/>
              </w:rPr>
            </w:pPr>
            <w:r>
              <w:rPr>
                <w:rFonts w:ascii="宋体"/>
                <w:spacing w:val="-2"/>
                <w:sz w:val="16"/>
              </w:rPr>
              <w:t>1,321,886,551.77</w:t>
            </w:r>
          </w:p>
        </w:tc>
        <w:tc>
          <w:tcPr>
            <w:tcW w:w="1663" w:type="dxa"/>
            <w:tcBorders>
              <w:top w:val="nil" w:sz="6" w:space="0" w:color="auto"/>
              <w:left w:val="nil" w:sz="6" w:space="0" w:color="auto"/>
              <w:bottom w:val="nil" w:sz="6" w:space="0" w:color="auto"/>
              <w:right w:val="nil" w:sz="6" w:space="0" w:color="auto"/>
            </w:tcBorders>
          </w:tcPr>
          <w:p>
            <w:pPr>
              <w:pStyle w:val="TableParagraph"/>
              <w:spacing w:line="205" w:lineRule="exact"/>
              <w:ind w:left="318" w:right="0"/>
              <w:jc w:val="left"/>
              <w:rPr>
                <w:rFonts w:ascii="宋体" w:hAnsi="宋体" w:cs="宋体" w:eastAsia="宋体" w:hint="default"/>
                <w:sz w:val="16"/>
                <w:szCs w:val="16"/>
              </w:rPr>
            </w:pPr>
            <w:r>
              <w:rPr>
                <w:rFonts w:ascii="宋体"/>
                <w:sz w:val="16"/>
              </w:rPr>
              <w:t>10,448,875.00</w:t>
            </w:r>
          </w:p>
        </w:tc>
        <w:tc>
          <w:tcPr>
            <w:tcW w:w="1616" w:type="dxa"/>
            <w:tcBorders>
              <w:top w:val="nil" w:sz="6" w:space="0" w:color="auto"/>
              <w:left w:val="nil" w:sz="6" w:space="0" w:color="auto"/>
              <w:bottom w:val="nil" w:sz="6" w:space="0" w:color="auto"/>
              <w:right w:val="nil" w:sz="6" w:space="0" w:color="auto"/>
            </w:tcBorders>
          </w:tcPr>
          <w:p>
            <w:pPr>
              <w:pStyle w:val="TableParagraph"/>
              <w:spacing w:line="205" w:lineRule="exact"/>
              <w:ind w:right="267"/>
              <w:jc w:val="right"/>
              <w:rPr>
                <w:rFonts w:ascii="宋体" w:hAnsi="宋体" w:cs="宋体" w:eastAsia="宋体" w:hint="default"/>
                <w:sz w:val="16"/>
                <w:szCs w:val="16"/>
              </w:rPr>
            </w:pPr>
            <w:r>
              <w:rPr>
                <w:rFonts w:ascii="宋体"/>
                <w:spacing w:val="-2"/>
                <w:sz w:val="16"/>
              </w:rPr>
              <w:t>61,000,000.00</w:t>
            </w:r>
          </w:p>
        </w:tc>
        <w:tc>
          <w:tcPr>
            <w:tcW w:w="1619" w:type="dxa"/>
            <w:tcBorders>
              <w:top w:val="nil" w:sz="6" w:space="0" w:color="auto"/>
              <w:left w:val="nil" w:sz="6" w:space="0" w:color="auto"/>
              <w:bottom w:val="nil" w:sz="6" w:space="0" w:color="auto"/>
              <w:right w:val="nil" w:sz="6" w:space="0" w:color="auto"/>
            </w:tcBorders>
          </w:tcPr>
          <w:p>
            <w:pPr>
              <w:pStyle w:val="TableParagraph"/>
              <w:spacing w:line="205" w:lineRule="exact"/>
              <w:ind w:right="219"/>
              <w:jc w:val="right"/>
              <w:rPr>
                <w:rFonts w:ascii="宋体" w:hAnsi="宋体" w:cs="宋体" w:eastAsia="宋体" w:hint="default"/>
                <w:sz w:val="16"/>
                <w:szCs w:val="16"/>
              </w:rPr>
            </w:pPr>
            <w:r>
              <w:rPr>
                <w:rFonts w:ascii="宋体"/>
                <w:spacing w:val="-2"/>
                <w:sz w:val="16"/>
              </w:rPr>
              <w:t>648,242,948.71</w:t>
            </w:r>
          </w:p>
        </w:tc>
        <w:tc>
          <w:tcPr>
            <w:tcW w:w="1607" w:type="dxa"/>
            <w:tcBorders>
              <w:top w:val="nil" w:sz="6" w:space="0" w:color="auto"/>
              <w:left w:val="nil" w:sz="6" w:space="0" w:color="auto"/>
              <w:bottom w:val="nil" w:sz="6" w:space="0" w:color="auto"/>
              <w:right w:val="nil" w:sz="6" w:space="0" w:color="auto"/>
            </w:tcBorders>
          </w:tcPr>
          <w:p>
            <w:pPr>
              <w:pStyle w:val="TableParagraph"/>
              <w:spacing w:line="205" w:lineRule="exact"/>
              <w:ind w:right="105"/>
              <w:jc w:val="right"/>
              <w:rPr>
                <w:rFonts w:ascii="宋体" w:hAnsi="宋体" w:cs="宋体" w:eastAsia="宋体" w:hint="default"/>
                <w:sz w:val="16"/>
                <w:szCs w:val="16"/>
              </w:rPr>
            </w:pPr>
            <w:r>
              <w:rPr>
                <w:rFonts w:ascii="宋体"/>
                <w:spacing w:val="-2"/>
                <w:sz w:val="16"/>
              </w:rPr>
              <w:t>2,689,136,830.63</w:t>
            </w:r>
          </w:p>
        </w:tc>
      </w:tr>
      <w:tr>
        <w:trPr>
          <w:trHeight w:val="256"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07" w:lineRule="exact"/>
              <w:ind w:left="122"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本年增加金额</w:t>
            </w:r>
          </w:p>
        </w:tc>
        <w:tc>
          <w:tcPr>
            <w:tcW w:w="2166" w:type="dxa"/>
            <w:tcBorders>
              <w:top w:val="nil" w:sz="6" w:space="0" w:color="auto"/>
              <w:left w:val="nil" w:sz="6" w:space="0" w:color="auto"/>
              <w:bottom w:val="nil" w:sz="6" w:space="0" w:color="auto"/>
              <w:right w:val="nil" w:sz="6" w:space="0" w:color="auto"/>
            </w:tcBorders>
          </w:tcPr>
          <w:p>
            <w:pPr>
              <w:pStyle w:val="TableParagraph"/>
              <w:spacing w:line="207" w:lineRule="exact"/>
              <w:ind w:right="274"/>
              <w:jc w:val="right"/>
              <w:rPr>
                <w:rFonts w:ascii="宋体" w:hAnsi="宋体" w:cs="宋体" w:eastAsia="宋体" w:hint="default"/>
                <w:sz w:val="16"/>
                <w:szCs w:val="16"/>
              </w:rPr>
            </w:pPr>
            <w:r>
              <w:rPr>
                <w:rFonts w:ascii="宋体"/>
                <w:spacing w:val="-2"/>
                <w:sz w:val="16"/>
              </w:rPr>
              <w:t>29,885,350.00</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right="215"/>
              <w:jc w:val="right"/>
              <w:rPr>
                <w:rFonts w:ascii="宋体" w:hAnsi="宋体" w:cs="宋体" w:eastAsia="宋体" w:hint="default"/>
                <w:sz w:val="16"/>
                <w:szCs w:val="16"/>
              </w:rPr>
            </w:pPr>
            <w:r>
              <w:rPr>
                <w:rFonts w:ascii="宋体"/>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07" w:lineRule="exact"/>
              <w:ind w:right="254"/>
              <w:jc w:val="right"/>
              <w:rPr>
                <w:rFonts w:ascii="宋体" w:hAnsi="宋体" w:cs="宋体" w:eastAsia="宋体" w:hint="default"/>
                <w:sz w:val="16"/>
                <w:szCs w:val="16"/>
              </w:rPr>
            </w:pPr>
            <w:r>
              <w:rPr>
                <w:rFonts w:ascii="宋体"/>
                <w:spacing w:val="-2"/>
                <w:sz w:val="16"/>
              </w:rPr>
              <w:t>144,968,108.22</w:t>
            </w:r>
          </w:p>
        </w:tc>
        <w:tc>
          <w:tcPr>
            <w:tcW w:w="1663" w:type="dxa"/>
            <w:tcBorders>
              <w:top w:val="nil" w:sz="6" w:space="0" w:color="auto"/>
              <w:left w:val="nil" w:sz="6" w:space="0" w:color="auto"/>
              <w:bottom w:val="nil" w:sz="6" w:space="0" w:color="auto"/>
              <w:right w:val="nil" w:sz="6" w:space="0" w:color="auto"/>
            </w:tcBorders>
          </w:tcPr>
          <w:p>
            <w:pPr>
              <w:pStyle w:val="TableParagraph"/>
              <w:spacing w:line="207" w:lineRule="exact"/>
              <w:ind w:right="302"/>
              <w:jc w:val="right"/>
              <w:rPr>
                <w:rFonts w:ascii="宋体" w:hAnsi="宋体" w:cs="宋体" w:eastAsia="宋体" w:hint="default"/>
                <w:sz w:val="16"/>
                <w:szCs w:val="16"/>
              </w:rPr>
            </w:pPr>
            <w:r>
              <w:rPr>
                <w:rFonts w:ascii="宋体"/>
                <w:spacing w:val="-2"/>
                <w:sz w:val="16"/>
              </w:rPr>
              <w:t>503,625.00</w:t>
            </w:r>
          </w:p>
        </w:tc>
        <w:tc>
          <w:tcPr>
            <w:tcW w:w="1616" w:type="dxa"/>
            <w:tcBorders>
              <w:top w:val="nil" w:sz="6" w:space="0" w:color="auto"/>
              <w:left w:val="nil" w:sz="6" w:space="0" w:color="auto"/>
              <w:bottom w:val="nil" w:sz="6" w:space="0" w:color="auto"/>
              <w:right w:val="nil" w:sz="6" w:space="0" w:color="auto"/>
            </w:tcBorders>
          </w:tcPr>
          <w:p>
            <w:pPr>
              <w:pStyle w:val="TableParagraph"/>
              <w:spacing w:line="207" w:lineRule="exact"/>
              <w:ind w:right="267"/>
              <w:jc w:val="right"/>
              <w:rPr>
                <w:rFonts w:ascii="宋体" w:hAnsi="宋体" w:cs="宋体" w:eastAsia="宋体" w:hint="default"/>
                <w:sz w:val="16"/>
                <w:szCs w:val="16"/>
              </w:rPr>
            </w:pPr>
            <w:r>
              <w:rPr>
                <w:rFonts w:ascii="宋体"/>
                <w:spacing w:val="-1"/>
                <w:sz w:val="16"/>
              </w:rPr>
              <w:t>0.00</w:t>
            </w:r>
          </w:p>
        </w:tc>
        <w:tc>
          <w:tcPr>
            <w:tcW w:w="1619" w:type="dxa"/>
            <w:tcBorders>
              <w:top w:val="nil" w:sz="6" w:space="0" w:color="auto"/>
              <w:left w:val="nil" w:sz="6" w:space="0" w:color="auto"/>
              <w:bottom w:val="nil" w:sz="6" w:space="0" w:color="auto"/>
              <w:right w:val="nil" w:sz="6" w:space="0" w:color="auto"/>
            </w:tcBorders>
          </w:tcPr>
          <w:p>
            <w:pPr>
              <w:pStyle w:val="TableParagraph"/>
              <w:spacing w:line="207" w:lineRule="exact"/>
              <w:ind w:right="219"/>
              <w:jc w:val="right"/>
              <w:rPr>
                <w:rFonts w:ascii="宋体" w:hAnsi="宋体" w:cs="宋体" w:eastAsia="宋体" w:hint="default"/>
                <w:sz w:val="16"/>
                <w:szCs w:val="16"/>
              </w:rPr>
            </w:pPr>
            <w:r>
              <w:rPr>
                <w:rFonts w:ascii="宋体"/>
                <w:spacing w:val="-2"/>
                <w:sz w:val="16"/>
              </w:rPr>
              <w:t>104,766,330.69</w:t>
            </w:r>
          </w:p>
        </w:tc>
        <w:tc>
          <w:tcPr>
            <w:tcW w:w="1607" w:type="dxa"/>
            <w:tcBorders>
              <w:top w:val="nil" w:sz="6" w:space="0" w:color="auto"/>
              <w:left w:val="nil" w:sz="6" w:space="0" w:color="auto"/>
              <w:bottom w:val="nil" w:sz="6" w:space="0" w:color="auto"/>
              <w:right w:val="nil" w:sz="6" w:space="0" w:color="auto"/>
            </w:tcBorders>
          </w:tcPr>
          <w:p>
            <w:pPr>
              <w:pStyle w:val="TableParagraph"/>
              <w:spacing w:line="207" w:lineRule="exact"/>
              <w:ind w:right="105"/>
              <w:jc w:val="right"/>
              <w:rPr>
                <w:rFonts w:ascii="宋体" w:hAnsi="宋体" w:cs="宋体" w:eastAsia="宋体" w:hint="default"/>
                <w:sz w:val="16"/>
                <w:szCs w:val="16"/>
              </w:rPr>
            </w:pPr>
            <w:r>
              <w:rPr>
                <w:rFonts w:ascii="宋体"/>
                <w:spacing w:val="-2"/>
                <w:sz w:val="16"/>
              </w:rPr>
              <w:t>280,123,413.91</w:t>
            </w:r>
          </w:p>
        </w:tc>
      </w:tr>
      <w:tr>
        <w:trPr>
          <w:trHeight w:val="256"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09" w:lineRule="exact"/>
              <w:ind w:left="122"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购置</w:t>
            </w:r>
          </w:p>
        </w:tc>
        <w:tc>
          <w:tcPr>
            <w:tcW w:w="2166" w:type="dxa"/>
            <w:tcBorders>
              <w:top w:val="nil" w:sz="6" w:space="0" w:color="auto"/>
              <w:left w:val="nil" w:sz="6" w:space="0" w:color="auto"/>
              <w:bottom w:val="nil" w:sz="6" w:space="0" w:color="auto"/>
              <w:right w:val="nil" w:sz="6" w:space="0" w:color="auto"/>
            </w:tcBorders>
          </w:tcPr>
          <w:p>
            <w:pPr>
              <w:pStyle w:val="TableParagraph"/>
              <w:spacing w:line="209" w:lineRule="exact"/>
              <w:ind w:right="274"/>
              <w:jc w:val="right"/>
              <w:rPr>
                <w:rFonts w:ascii="宋体" w:hAnsi="宋体" w:cs="宋体" w:eastAsia="宋体" w:hint="default"/>
                <w:sz w:val="16"/>
                <w:szCs w:val="16"/>
              </w:rPr>
            </w:pPr>
            <w:r>
              <w:rPr>
                <w:rFonts w:ascii="宋体"/>
                <w:spacing w:val="-2"/>
                <w:sz w:val="16"/>
              </w:rPr>
              <w:t>29,468,300.00</w:t>
            </w:r>
          </w:p>
        </w:tc>
        <w:tc>
          <w:tcPr>
            <w:tcW w:w="1635" w:type="dxa"/>
            <w:tcBorders>
              <w:top w:val="nil" w:sz="6" w:space="0" w:color="auto"/>
              <w:left w:val="nil" w:sz="6" w:space="0" w:color="auto"/>
              <w:bottom w:val="nil" w:sz="6" w:space="0" w:color="auto"/>
              <w:right w:val="nil" w:sz="6" w:space="0" w:color="auto"/>
            </w:tcBorders>
          </w:tcPr>
          <w:p>
            <w:pPr>
              <w:pStyle w:val="TableParagraph"/>
              <w:spacing w:line="209" w:lineRule="exact"/>
              <w:ind w:right="215"/>
              <w:jc w:val="right"/>
              <w:rPr>
                <w:rFonts w:ascii="宋体" w:hAnsi="宋体" w:cs="宋体" w:eastAsia="宋体" w:hint="default"/>
                <w:sz w:val="16"/>
                <w:szCs w:val="16"/>
              </w:rPr>
            </w:pPr>
            <w:r>
              <w:rPr>
                <w:rFonts w:ascii="宋体"/>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09" w:lineRule="exact"/>
              <w:ind w:right="254"/>
              <w:jc w:val="right"/>
              <w:rPr>
                <w:rFonts w:ascii="宋体" w:hAnsi="宋体" w:cs="宋体" w:eastAsia="宋体" w:hint="default"/>
                <w:sz w:val="16"/>
                <w:szCs w:val="16"/>
              </w:rPr>
            </w:pPr>
            <w:r>
              <w:rPr>
                <w:rFonts w:ascii="宋体"/>
                <w:spacing w:val="-2"/>
                <w:sz w:val="16"/>
              </w:rPr>
              <w:t>50,000,000.00</w:t>
            </w:r>
          </w:p>
        </w:tc>
        <w:tc>
          <w:tcPr>
            <w:tcW w:w="1663" w:type="dxa"/>
            <w:tcBorders>
              <w:top w:val="nil" w:sz="6" w:space="0" w:color="auto"/>
              <w:left w:val="nil" w:sz="6" w:space="0" w:color="auto"/>
              <w:bottom w:val="nil" w:sz="6" w:space="0" w:color="auto"/>
              <w:right w:val="nil" w:sz="6" w:space="0" w:color="auto"/>
            </w:tcBorders>
          </w:tcPr>
          <w:p>
            <w:pPr>
              <w:pStyle w:val="TableParagraph"/>
              <w:spacing w:line="209" w:lineRule="exact"/>
              <w:ind w:right="302"/>
              <w:jc w:val="right"/>
              <w:rPr>
                <w:rFonts w:ascii="宋体" w:hAnsi="宋体" w:cs="宋体" w:eastAsia="宋体" w:hint="default"/>
                <w:sz w:val="16"/>
                <w:szCs w:val="16"/>
              </w:rPr>
            </w:pPr>
            <w:r>
              <w:rPr>
                <w:rFonts w:ascii="宋体"/>
                <w:spacing w:val="-1"/>
                <w:sz w:val="16"/>
              </w:rPr>
              <w:t>0.00</w:t>
            </w:r>
          </w:p>
        </w:tc>
        <w:tc>
          <w:tcPr>
            <w:tcW w:w="1616" w:type="dxa"/>
            <w:tcBorders>
              <w:top w:val="nil" w:sz="6" w:space="0" w:color="auto"/>
              <w:left w:val="nil" w:sz="6" w:space="0" w:color="auto"/>
              <w:bottom w:val="nil" w:sz="6" w:space="0" w:color="auto"/>
              <w:right w:val="nil" w:sz="6" w:space="0" w:color="auto"/>
            </w:tcBorders>
          </w:tcPr>
          <w:p>
            <w:pPr>
              <w:pStyle w:val="TableParagraph"/>
              <w:spacing w:line="209" w:lineRule="exact"/>
              <w:ind w:right="267"/>
              <w:jc w:val="right"/>
              <w:rPr>
                <w:rFonts w:ascii="宋体" w:hAnsi="宋体" w:cs="宋体" w:eastAsia="宋体" w:hint="default"/>
                <w:sz w:val="16"/>
                <w:szCs w:val="16"/>
              </w:rPr>
            </w:pPr>
            <w:r>
              <w:rPr>
                <w:rFonts w:ascii="宋体"/>
                <w:spacing w:val="-1"/>
                <w:sz w:val="16"/>
              </w:rPr>
              <w:t>0.00</w:t>
            </w:r>
          </w:p>
        </w:tc>
        <w:tc>
          <w:tcPr>
            <w:tcW w:w="1619" w:type="dxa"/>
            <w:tcBorders>
              <w:top w:val="nil" w:sz="6" w:space="0" w:color="auto"/>
              <w:left w:val="nil" w:sz="6" w:space="0" w:color="auto"/>
              <w:bottom w:val="nil" w:sz="6" w:space="0" w:color="auto"/>
              <w:right w:val="nil" w:sz="6" w:space="0" w:color="auto"/>
            </w:tcBorders>
          </w:tcPr>
          <w:p>
            <w:pPr>
              <w:pStyle w:val="TableParagraph"/>
              <w:spacing w:line="209" w:lineRule="exact"/>
              <w:ind w:right="219"/>
              <w:jc w:val="right"/>
              <w:rPr>
                <w:rFonts w:ascii="宋体" w:hAnsi="宋体" w:cs="宋体" w:eastAsia="宋体" w:hint="default"/>
                <w:sz w:val="16"/>
                <w:szCs w:val="16"/>
              </w:rPr>
            </w:pPr>
            <w:r>
              <w:rPr>
                <w:rFonts w:ascii="宋体"/>
                <w:spacing w:val="-2"/>
                <w:sz w:val="16"/>
              </w:rPr>
              <w:t>9,793,071.06</w:t>
            </w:r>
          </w:p>
        </w:tc>
        <w:tc>
          <w:tcPr>
            <w:tcW w:w="1607" w:type="dxa"/>
            <w:tcBorders>
              <w:top w:val="nil" w:sz="6" w:space="0" w:color="auto"/>
              <w:left w:val="nil" w:sz="6" w:space="0" w:color="auto"/>
              <w:bottom w:val="nil" w:sz="6" w:space="0" w:color="auto"/>
              <w:right w:val="nil" w:sz="6" w:space="0" w:color="auto"/>
            </w:tcBorders>
          </w:tcPr>
          <w:p>
            <w:pPr>
              <w:pStyle w:val="TableParagraph"/>
              <w:spacing w:line="209" w:lineRule="exact"/>
              <w:ind w:right="105"/>
              <w:jc w:val="right"/>
              <w:rPr>
                <w:rFonts w:ascii="宋体" w:hAnsi="宋体" w:cs="宋体" w:eastAsia="宋体" w:hint="default"/>
                <w:sz w:val="16"/>
                <w:szCs w:val="16"/>
              </w:rPr>
            </w:pPr>
            <w:r>
              <w:rPr>
                <w:rFonts w:ascii="宋体"/>
                <w:spacing w:val="-2"/>
                <w:sz w:val="16"/>
              </w:rPr>
              <w:t>89,261,371.06</w:t>
            </w:r>
          </w:p>
        </w:tc>
      </w:tr>
      <w:tr>
        <w:trPr>
          <w:trHeight w:val="255"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07" w:lineRule="exact"/>
              <w:ind w:left="122"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内部研发</w:t>
            </w:r>
          </w:p>
        </w:tc>
        <w:tc>
          <w:tcPr>
            <w:tcW w:w="2166" w:type="dxa"/>
            <w:tcBorders>
              <w:top w:val="nil" w:sz="6" w:space="0" w:color="auto"/>
              <w:left w:val="nil" w:sz="6" w:space="0" w:color="auto"/>
              <w:bottom w:val="nil" w:sz="6" w:space="0" w:color="auto"/>
              <w:right w:val="nil" w:sz="6" w:space="0" w:color="auto"/>
            </w:tcBorders>
          </w:tcPr>
          <w:p>
            <w:pPr>
              <w:pStyle w:val="TableParagraph"/>
              <w:spacing w:line="207" w:lineRule="exact"/>
              <w:ind w:right="273"/>
              <w:jc w:val="right"/>
              <w:rPr>
                <w:rFonts w:ascii="宋体" w:hAnsi="宋体" w:cs="宋体" w:eastAsia="宋体" w:hint="default"/>
                <w:sz w:val="16"/>
                <w:szCs w:val="16"/>
              </w:rPr>
            </w:pPr>
            <w:r>
              <w:rPr>
                <w:rFonts w:ascii="宋体"/>
                <w:spacing w:val="-1"/>
                <w:sz w:val="16"/>
              </w:rPr>
              <w:t>0.00</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right="215"/>
              <w:jc w:val="right"/>
              <w:rPr>
                <w:rFonts w:ascii="宋体" w:hAnsi="宋体" w:cs="宋体" w:eastAsia="宋体" w:hint="default"/>
                <w:sz w:val="16"/>
                <w:szCs w:val="16"/>
              </w:rPr>
            </w:pPr>
            <w:r>
              <w:rPr>
                <w:rFonts w:ascii="宋体"/>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07" w:lineRule="exact"/>
              <w:ind w:right="254"/>
              <w:jc w:val="right"/>
              <w:rPr>
                <w:rFonts w:ascii="宋体" w:hAnsi="宋体" w:cs="宋体" w:eastAsia="宋体" w:hint="default"/>
                <w:sz w:val="16"/>
                <w:szCs w:val="16"/>
              </w:rPr>
            </w:pPr>
            <w:r>
              <w:rPr>
                <w:rFonts w:ascii="宋体"/>
                <w:spacing w:val="-2"/>
                <w:sz w:val="16"/>
              </w:rPr>
              <w:t>91,543,865.67</w:t>
            </w:r>
          </w:p>
        </w:tc>
        <w:tc>
          <w:tcPr>
            <w:tcW w:w="1663" w:type="dxa"/>
            <w:tcBorders>
              <w:top w:val="nil" w:sz="6" w:space="0" w:color="auto"/>
              <w:left w:val="nil" w:sz="6" w:space="0" w:color="auto"/>
              <w:bottom w:val="nil" w:sz="6" w:space="0" w:color="auto"/>
              <w:right w:val="nil" w:sz="6" w:space="0" w:color="auto"/>
            </w:tcBorders>
          </w:tcPr>
          <w:p>
            <w:pPr>
              <w:pStyle w:val="TableParagraph"/>
              <w:spacing w:line="207" w:lineRule="exact"/>
              <w:ind w:right="302"/>
              <w:jc w:val="right"/>
              <w:rPr>
                <w:rFonts w:ascii="宋体" w:hAnsi="宋体" w:cs="宋体" w:eastAsia="宋体" w:hint="default"/>
                <w:sz w:val="16"/>
                <w:szCs w:val="16"/>
              </w:rPr>
            </w:pPr>
            <w:r>
              <w:rPr>
                <w:rFonts w:ascii="宋体"/>
                <w:spacing w:val="-1"/>
                <w:sz w:val="16"/>
              </w:rPr>
              <w:t>0.00</w:t>
            </w:r>
          </w:p>
        </w:tc>
        <w:tc>
          <w:tcPr>
            <w:tcW w:w="1616" w:type="dxa"/>
            <w:tcBorders>
              <w:top w:val="nil" w:sz="6" w:space="0" w:color="auto"/>
              <w:left w:val="nil" w:sz="6" w:space="0" w:color="auto"/>
              <w:bottom w:val="nil" w:sz="6" w:space="0" w:color="auto"/>
              <w:right w:val="nil" w:sz="6" w:space="0" w:color="auto"/>
            </w:tcBorders>
          </w:tcPr>
          <w:p>
            <w:pPr>
              <w:pStyle w:val="TableParagraph"/>
              <w:spacing w:line="207" w:lineRule="exact"/>
              <w:ind w:right="267"/>
              <w:jc w:val="right"/>
              <w:rPr>
                <w:rFonts w:ascii="宋体" w:hAnsi="宋体" w:cs="宋体" w:eastAsia="宋体" w:hint="default"/>
                <w:sz w:val="16"/>
                <w:szCs w:val="16"/>
              </w:rPr>
            </w:pPr>
            <w:r>
              <w:rPr>
                <w:rFonts w:ascii="宋体"/>
                <w:spacing w:val="-1"/>
                <w:sz w:val="16"/>
              </w:rPr>
              <w:t>0.00</w:t>
            </w:r>
          </w:p>
        </w:tc>
        <w:tc>
          <w:tcPr>
            <w:tcW w:w="1619" w:type="dxa"/>
            <w:tcBorders>
              <w:top w:val="nil" w:sz="6" w:space="0" w:color="auto"/>
              <w:left w:val="nil" w:sz="6" w:space="0" w:color="auto"/>
              <w:bottom w:val="nil" w:sz="6" w:space="0" w:color="auto"/>
              <w:right w:val="nil" w:sz="6" w:space="0" w:color="auto"/>
            </w:tcBorders>
          </w:tcPr>
          <w:p>
            <w:pPr>
              <w:pStyle w:val="TableParagraph"/>
              <w:spacing w:line="207" w:lineRule="exact"/>
              <w:ind w:right="219"/>
              <w:jc w:val="right"/>
              <w:rPr>
                <w:rFonts w:ascii="宋体" w:hAnsi="宋体" w:cs="宋体" w:eastAsia="宋体" w:hint="default"/>
                <w:sz w:val="16"/>
                <w:szCs w:val="16"/>
              </w:rPr>
            </w:pPr>
            <w:r>
              <w:rPr>
                <w:rFonts w:ascii="宋体"/>
                <w:spacing w:val="-2"/>
                <w:sz w:val="16"/>
              </w:rPr>
              <w:t>87,714,060.78</w:t>
            </w:r>
          </w:p>
        </w:tc>
        <w:tc>
          <w:tcPr>
            <w:tcW w:w="1607" w:type="dxa"/>
            <w:tcBorders>
              <w:top w:val="nil" w:sz="6" w:space="0" w:color="auto"/>
              <w:left w:val="nil" w:sz="6" w:space="0" w:color="auto"/>
              <w:bottom w:val="nil" w:sz="6" w:space="0" w:color="auto"/>
              <w:right w:val="nil" w:sz="6" w:space="0" w:color="auto"/>
            </w:tcBorders>
          </w:tcPr>
          <w:p>
            <w:pPr>
              <w:pStyle w:val="TableParagraph"/>
              <w:spacing w:line="207" w:lineRule="exact"/>
              <w:ind w:right="105"/>
              <w:jc w:val="right"/>
              <w:rPr>
                <w:rFonts w:ascii="宋体" w:hAnsi="宋体" w:cs="宋体" w:eastAsia="宋体" w:hint="default"/>
                <w:sz w:val="16"/>
                <w:szCs w:val="16"/>
              </w:rPr>
            </w:pPr>
            <w:r>
              <w:rPr>
                <w:rFonts w:ascii="宋体"/>
                <w:spacing w:val="-2"/>
                <w:sz w:val="16"/>
              </w:rPr>
              <w:t>179,257,926.45</w:t>
            </w:r>
          </w:p>
        </w:tc>
      </w:tr>
      <w:tr>
        <w:trPr>
          <w:trHeight w:val="255"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企业合并增加</w:t>
            </w:r>
          </w:p>
        </w:tc>
        <w:tc>
          <w:tcPr>
            <w:tcW w:w="2166" w:type="dxa"/>
            <w:tcBorders>
              <w:top w:val="nil" w:sz="6" w:space="0" w:color="auto"/>
              <w:left w:val="nil" w:sz="6" w:space="0" w:color="auto"/>
              <w:bottom w:val="nil" w:sz="6" w:space="0" w:color="auto"/>
              <w:right w:val="nil" w:sz="6" w:space="0" w:color="auto"/>
            </w:tcBorders>
          </w:tcPr>
          <w:p>
            <w:pPr>
              <w:pStyle w:val="TableParagraph"/>
              <w:spacing w:line="208" w:lineRule="exact"/>
              <w:ind w:right="273"/>
              <w:jc w:val="right"/>
              <w:rPr>
                <w:rFonts w:ascii="宋体" w:hAnsi="宋体" w:cs="宋体" w:eastAsia="宋体" w:hint="default"/>
                <w:sz w:val="16"/>
                <w:szCs w:val="16"/>
              </w:rPr>
            </w:pPr>
            <w:r>
              <w:rPr>
                <w:rFonts w:ascii="宋体"/>
                <w:spacing w:val="-2"/>
                <w:sz w:val="16"/>
              </w:rPr>
              <w:t>581,105.70</w:t>
            </w:r>
          </w:p>
        </w:tc>
        <w:tc>
          <w:tcPr>
            <w:tcW w:w="1635" w:type="dxa"/>
            <w:tcBorders>
              <w:top w:val="nil" w:sz="6" w:space="0" w:color="auto"/>
              <w:left w:val="nil" w:sz="6" w:space="0" w:color="auto"/>
              <w:bottom w:val="nil" w:sz="6" w:space="0" w:color="auto"/>
              <w:right w:val="nil" w:sz="6" w:space="0" w:color="auto"/>
            </w:tcBorders>
          </w:tcPr>
          <w:p>
            <w:pPr>
              <w:pStyle w:val="TableParagraph"/>
              <w:spacing w:line="208" w:lineRule="exact"/>
              <w:ind w:right="215"/>
              <w:jc w:val="right"/>
              <w:rPr>
                <w:rFonts w:ascii="宋体" w:hAnsi="宋体" w:cs="宋体" w:eastAsia="宋体" w:hint="default"/>
                <w:sz w:val="16"/>
                <w:szCs w:val="16"/>
              </w:rPr>
            </w:pPr>
            <w:r>
              <w:rPr>
                <w:rFonts w:ascii="宋体"/>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08" w:lineRule="exact"/>
              <w:ind w:right="254"/>
              <w:jc w:val="right"/>
              <w:rPr>
                <w:rFonts w:ascii="宋体" w:hAnsi="宋体" w:cs="宋体" w:eastAsia="宋体" w:hint="default"/>
                <w:sz w:val="16"/>
                <w:szCs w:val="16"/>
              </w:rPr>
            </w:pPr>
            <w:r>
              <w:rPr>
                <w:rFonts w:ascii="宋体"/>
                <w:spacing w:val="-2"/>
                <w:sz w:val="16"/>
              </w:rPr>
              <w:t>33,846.15</w:t>
            </w:r>
          </w:p>
        </w:tc>
        <w:tc>
          <w:tcPr>
            <w:tcW w:w="1663" w:type="dxa"/>
            <w:tcBorders>
              <w:top w:val="nil" w:sz="6" w:space="0" w:color="auto"/>
              <w:left w:val="nil" w:sz="6" w:space="0" w:color="auto"/>
              <w:bottom w:val="nil" w:sz="6" w:space="0" w:color="auto"/>
              <w:right w:val="nil" w:sz="6" w:space="0" w:color="auto"/>
            </w:tcBorders>
          </w:tcPr>
          <w:p>
            <w:pPr>
              <w:pStyle w:val="TableParagraph"/>
              <w:spacing w:line="208" w:lineRule="exact"/>
              <w:ind w:right="302"/>
              <w:jc w:val="right"/>
              <w:rPr>
                <w:rFonts w:ascii="宋体" w:hAnsi="宋体" w:cs="宋体" w:eastAsia="宋体" w:hint="default"/>
                <w:sz w:val="16"/>
                <w:szCs w:val="16"/>
              </w:rPr>
            </w:pPr>
            <w:r>
              <w:rPr>
                <w:rFonts w:ascii="宋体"/>
                <w:spacing w:val="-1"/>
                <w:sz w:val="16"/>
              </w:rPr>
              <w:t>0.00</w:t>
            </w:r>
          </w:p>
        </w:tc>
        <w:tc>
          <w:tcPr>
            <w:tcW w:w="1616" w:type="dxa"/>
            <w:tcBorders>
              <w:top w:val="nil" w:sz="6" w:space="0" w:color="auto"/>
              <w:left w:val="nil" w:sz="6" w:space="0" w:color="auto"/>
              <w:bottom w:val="nil" w:sz="6" w:space="0" w:color="auto"/>
              <w:right w:val="nil" w:sz="6" w:space="0" w:color="auto"/>
            </w:tcBorders>
          </w:tcPr>
          <w:p>
            <w:pPr>
              <w:pStyle w:val="TableParagraph"/>
              <w:spacing w:line="208" w:lineRule="exact"/>
              <w:ind w:right="267"/>
              <w:jc w:val="right"/>
              <w:rPr>
                <w:rFonts w:ascii="宋体" w:hAnsi="宋体" w:cs="宋体" w:eastAsia="宋体" w:hint="default"/>
                <w:sz w:val="16"/>
                <w:szCs w:val="16"/>
              </w:rPr>
            </w:pPr>
            <w:r>
              <w:rPr>
                <w:rFonts w:ascii="宋体"/>
                <w:spacing w:val="-1"/>
                <w:sz w:val="16"/>
              </w:rPr>
              <w:t>0.00</w:t>
            </w:r>
          </w:p>
        </w:tc>
        <w:tc>
          <w:tcPr>
            <w:tcW w:w="1619" w:type="dxa"/>
            <w:tcBorders>
              <w:top w:val="nil" w:sz="6" w:space="0" w:color="auto"/>
              <w:left w:val="nil" w:sz="6" w:space="0" w:color="auto"/>
              <w:bottom w:val="nil" w:sz="6" w:space="0" w:color="auto"/>
              <w:right w:val="nil" w:sz="6" w:space="0" w:color="auto"/>
            </w:tcBorders>
          </w:tcPr>
          <w:p>
            <w:pPr>
              <w:pStyle w:val="TableParagraph"/>
              <w:spacing w:line="208" w:lineRule="exact"/>
              <w:ind w:right="218"/>
              <w:jc w:val="right"/>
              <w:rPr>
                <w:rFonts w:ascii="宋体" w:hAnsi="宋体" w:cs="宋体" w:eastAsia="宋体" w:hint="default"/>
                <w:sz w:val="16"/>
                <w:szCs w:val="16"/>
              </w:rPr>
            </w:pPr>
            <w:r>
              <w:rPr>
                <w:rFonts w:ascii="宋体"/>
                <w:spacing w:val="-2"/>
                <w:sz w:val="16"/>
              </w:rPr>
              <w:t>219,190.69</w:t>
            </w:r>
          </w:p>
        </w:tc>
        <w:tc>
          <w:tcPr>
            <w:tcW w:w="1607" w:type="dxa"/>
            <w:tcBorders>
              <w:top w:val="nil" w:sz="6" w:space="0" w:color="auto"/>
              <w:left w:val="nil" w:sz="6" w:space="0" w:color="auto"/>
              <w:bottom w:val="nil" w:sz="6" w:space="0" w:color="auto"/>
              <w:right w:val="nil" w:sz="6" w:space="0" w:color="auto"/>
            </w:tcBorders>
          </w:tcPr>
          <w:p>
            <w:pPr>
              <w:pStyle w:val="TableParagraph"/>
              <w:spacing w:line="208" w:lineRule="exact"/>
              <w:ind w:right="105"/>
              <w:jc w:val="right"/>
              <w:rPr>
                <w:rFonts w:ascii="宋体" w:hAnsi="宋体" w:cs="宋体" w:eastAsia="宋体" w:hint="default"/>
                <w:sz w:val="16"/>
                <w:szCs w:val="16"/>
              </w:rPr>
            </w:pPr>
            <w:r>
              <w:rPr>
                <w:rFonts w:ascii="宋体"/>
                <w:spacing w:val="-2"/>
                <w:sz w:val="16"/>
              </w:rPr>
              <w:t>834,142.54</w:t>
            </w:r>
          </w:p>
        </w:tc>
      </w:tr>
      <w:tr>
        <w:trPr>
          <w:trHeight w:val="256"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07" w:lineRule="exact"/>
              <w:ind w:left="122"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其他变动增加</w:t>
            </w:r>
          </w:p>
        </w:tc>
        <w:tc>
          <w:tcPr>
            <w:tcW w:w="2166" w:type="dxa"/>
            <w:tcBorders>
              <w:top w:val="nil" w:sz="6" w:space="0" w:color="auto"/>
              <w:left w:val="nil" w:sz="6" w:space="0" w:color="auto"/>
              <w:bottom w:val="nil" w:sz="6" w:space="0" w:color="auto"/>
              <w:right w:val="nil" w:sz="6" w:space="0" w:color="auto"/>
            </w:tcBorders>
          </w:tcPr>
          <w:p>
            <w:pPr>
              <w:pStyle w:val="TableParagraph"/>
              <w:spacing w:line="207" w:lineRule="exact"/>
              <w:ind w:right="273"/>
              <w:jc w:val="right"/>
              <w:rPr>
                <w:rFonts w:ascii="宋体" w:hAnsi="宋体" w:cs="宋体" w:eastAsia="宋体" w:hint="default"/>
                <w:sz w:val="16"/>
                <w:szCs w:val="16"/>
              </w:rPr>
            </w:pPr>
            <w:r>
              <w:rPr>
                <w:rFonts w:ascii="宋体"/>
                <w:spacing w:val="-1"/>
                <w:sz w:val="16"/>
              </w:rPr>
              <w:t>-164,055.70</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right="215"/>
              <w:jc w:val="right"/>
              <w:rPr>
                <w:rFonts w:ascii="宋体" w:hAnsi="宋体" w:cs="宋体" w:eastAsia="宋体" w:hint="default"/>
                <w:sz w:val="16"/>
                <w:szCs w:val="16"/>
              </w:rPr>
            </w:pPr>
            <w:r>
              <w:rPr>
                <w:rFonts w:ascii="宋体"/>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07" w:lineRule="exact"/>
              <w:ind w:right="254"/>
              <w:jc w:val="right"/>
              <w:rPr>
                <w:rFonts w:ascii="宋体" w:hAnsi="宋体" w:cs="宋体" w:eastAsia="宋体" w:hint="default"/>
                <w:sz w:val="16"/>
                <w:szCs w:val="16"/>
              </w:rPr>
            </w:pPr>
            <w:r>
              <w:rPr>
                <w:rFonts w:ascii="宋体"/>
                <w:spacing w:val="-2"/>
                <w:sz w:val="16"/>
              </w:rPr>
              <w:t>3,390,396.40</w:t>
            </w:r>
          </w:p>
        </w:tc>
        <w:tc>
          <w:tcPr>
            <w:tcW w:w="1663" w:type="dxa"/>
            <w:tcBorders>
              <w:top w:val="nil" w:sz="6" w:space="0" w:color="auto"/>
              <w:left w:val="nil" w:sz="6" w:space="0" w:color="auto"/>
              <w:bottom w:val="nil" w:sz="6" w:space="0" w:color="auto"/>
              <w:right w:val="nil" w:sz="6" w:space="0" w:color="auto"/>
            </w:tcBorders>
          </w:tcPr>
          <w:p>
            <w:pPr>
              <w:pStyle w:val="TableParagraph"/>
              <w:spacing w:line="207" w:lineRule="exact"/>
              <w:ind w:right="302"/>
              <w:jc w:val="right"/>
              <w:rPr>
                <w:rFonts w:ascii="宋体" w:hAnsi="宋体" w:cs="宋体" w:eastAsia="宋体" w:hint="default"/>
                <w:sz w:val="16"/>
                <w:szCs w:val="16"/>
              </w:rPr>
            </w:pPr>
            <w:r>
              <w:rPr>
                <w:rFonts w:ascii="宋体"/>
                <w:spacing w:val="-2"/>
                <w:sz w:val="16"/>
              </w:rPr>
              <w:t>503,625.00</w:t>
            </w:r>
          </w:p>
        </w:tc>
        <w:tc>
          <w:tcPr>
            <w:tcW w:w="1616" w:type="dxa"/>
            <w:tcBorders>
              <w:top w:val="nil" w:sz="6" w:space="0" w:color="auto"/>
              <w:left w:val="nil" w:sz="6" w:space="0" w:color="auto"/>
              <w:bottom w:val="nil" w:sz="6" w:space="0" w:color="auto"/>
              <w:right w:val="nil" w:sz="6" w:space="0" w:color="auto"/>
            </w:tcBorders>
          </w:tcPr>
          <w:p>
            <w:pPr>
              <w:pStyle w:val="TableParagraph"/>
              <w:spacing w:line="207" w:lineRule="exact"/>
              <w:ind w:right="267"/>
              <w:jc w:val="right"/>
              <w:rPr>
                <w:rFonts w:ascii="宋体" w:hAnsi="宋体" w:cs="宋体" w:eastAsia="宋体" w:hint="default"/>
                <w:sz w:val="16"/>
                <w:szCs w:val="16"/>
              </w:rPr>
            </w:pPr>
            <w:r>
              <w:rPr>
                <w:rFonts w:ascii="宋体"/>
                <w:spacing w:val="-1"/>
                <w:sz w:val="16"/>
              </w:rPr>
              <w:t>0.00</w:t>
            </w:r>
          </w:p>
        </w:tc>
        <w:tc>
          <w:tcPr>
            <w:tcW w:w="1619" w:type="dxa"/>
            <w:tcBorders>
              <w:top w:val="nil" w:sz="6" w:space="0" w:color="auto"/>
              <w:left w:val="nil" w:sz="6" w:space="0" w:color="auto"/>
              <w:bottom w:val="nil" w:sz="6" w:space="0" w:color="auto"/>
              <w:right w:val="nil" w:sz="6" w:space="0" w:color="auto"/>
            </w:tcBorders>
          </w:tcPr>
          <w:p>
            <w:pPr>
              <w:pStyle w:val="TableParagraph"/>
              <w:spacing w:line="207" w:lineRule="exact"/>
              <w:ind w:right="219"/>
              <w:jc w:val="right"/>
              <w:rPr>
                <w:rFonts w:ascii="宋体" w:hAnsi="宋体" w:cs="宋体" w:eastAsia="宋体" w:hint="default"/>
                <w:sz w:val="16"/>
                <w:szCs w:val="16"/>
              </w:rPr>
            </w:pPr>
            <w:r>
              <w:rPr>
                <w:rFonts w:ascii="宋体"/>
                <w:spacing w:val="-2"/>
                <w:sz w:val="16"/>
              </w:rPr>
              <w:t>7,040,008.16</w:t>
            </w:r>
          </w:p>
        </w:tc>
        <w:tc>
          <w:tcPr>
            <w:tcW w:w="1607" w:type="dxa"/>
            <w:tcBorders>
              <w:top w:val="nil" w:sz="6" w:space="0" w:color="auto"/>
              <w:left w:val="nil" w:sz="6" w:space="0" w:color="auto"/>
              <w:bottom w:val="nil" w:sz="6" w:space="0" w:color="auto"/>
              <w:right w:val="nil" w:sz="6" w:space="0" w:color="auto"/>
            </w:tcBorders>
          </w:tcPr>
          <w:p>
            <w:pPr>
              <w:pStyle w:val="TableParagraph"/>
              <w:spacing w:line="207" w:lineRule="exact"/>
              <w:ind w:right="105"/>
              <w:jc w:val="right"/>
              <w:rPr>
                <w:rFonts w:ascii="宋体" w:hAnsi="宋体" w:cs="宋体" w:eastAsia="宋体" w:hint="default"/>
                <w:sz w:val="16"/>
                <w:szCs w:val="16"/>
              </w:rPr>
            </w:pPr>
            <w:r>
              <w:rPr>
                <w:rFonts w:ascii="宋体"/>
                <w:spacing w:val="-2"/>
                <w:sz w:val="16"/>
              </w:rPr>
              <w:t>10,769,973.86</w:t>
            </w:r>
          </w:p>
        </w:tc>
      </w:tr>
      <w:tr>
        <w:trPr>
          <w:trHeight w:val="256"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09" w:lineRule="exact"/>
              <w:ind w:left="122"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本年减少金额</w:t>
            </w:r>
          </w:p>
        </w:tc>
        <w:tc>
          <w:tcPr>
            <w:tcW w:w="2166" w:type="dxa"/>
            <w:tcBorders>
              <w:top w:val="nil" w:sz="6" w:space="0" w:color="auto"/>
              <w:left w:val="nil" w:sz="6" w:space="0" w:color="auto"/>
              <w:bottom w:val="nil" w:sz="6" w:space="0" w:color="auto"/>
              <w:right w:val="nil" w:sz="6" w:space="0" w:color="auto"/>
            </w:tcBorders>
          </w:tcPr>
          <w:p>
            <w:pPr>
              <w:pStyle w:val="TableParagraph"/>
              <w:spacing w:line="209" w:lineRule="exact"/>
              <w:ind w:right="274"/>
              <w:jc w:val="right"/>
              <w:rPr>
                <w:rFonts w:ascii="宋体" w:hAnsi="宋体" w:cs="宋体" w:eastAsia="宋体" w:hint="default"/>
                <w:sz w:val="16"/>
                <w:szCs w:val="16"/>
              </w:rPr>
            </w:pPr>
            <w:r>
              <w:rPr>
                <w:rFonts w:ascii="宋体"/>
                <w:spacing w:val="-2"/>
                <w:sz w:val="16"/>
              </w:rPr>
              <w:t>15,692,202.00</w:t>
            </w:r>
          </w:p>
        </w:tc>
        <w:tc>
          <w:tcPr>
            <w:tcW w:w="1635" w:type="dxa"/>
            <w:tcBorders>
              <w:top w:val="nil" w:sz="6" w:space="0" w:color="auto"/>
              <w:left w:val="nil" w:sz="6" w:space="0" w:color="auto"/>
              <w:bottom w:val="nil" w:sz="6" w:space="0" w:color="auto"/>
              <w:right w:val="nil" w:sz="6" w:space="0" w:color="auto"/>
            </w:tcBorders>
          </w:tcPr>
          <w:p>
            <w:pPr>
              <w:pStyle w:val="TableParagraph"/>
              <w:spacing w:line="209" w:lineRule="exact"/>
              <w:ind w:right="215"/>
              <w:jc w:val="right"/>
              <w:rPr>
                <w:rFonts w:ascii="宋体" w:hAnsi="宋体" w:cs="宋体" w:eastAsia="宋体" w:hint="default"/>
                <w:sz w:val="16"/>
                <w:szCs w:val="16"/>
              </w:rPr>
            </w:pPr>
            <w:r>
              <w:rPr>
                <w:rFonts w:ascii="宋体"/>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09" w:lineRule="exact"/>
              <w:ind w:right="254"/>
              <w:jc w:val="right"/>
              <w:rPr>
                <w:rFonts w:ascii="宋体" w:hAnsi="宋体" w:cs="宋体" w:eastAsia="宋体" w:hint="default"/>
                <w:sz w:val="16"/>
                <w:szCs w:val="16"/>
              </w:rPr>
            </w:pPr>
            <w:r>
              <w:rPr>
                <w:rFonts w:ascii="宋体"/>
                <w:spacing w:val="-2"/>
                <w:sz w:val="16"/>
              </w:rPr>
              <w:t>17,656.42</w:t>
            </w:r>
          </w:p>
        </w:tc>
        <w:tc>
          <w:tcPr>
            <w:tcW w:w="1663" w:type="dxa"/>
            <w:tcBorders>
              <w:top w:val="nil" w:sz="6" w:space="0" w:color="auto"/>
              <w:left w:val="nil" w:sz="6" w:space="0" w:color="auto"/>
              <w:bottom w:val="nil" w:sz="6" w:space="0" w:color="auto"/>
              <w:right w:val="nil" w:sz="6" w:space="0" w:color="auto"/>
            </w:tcBorders>
          </w:tcPr>
          <w:p>
            <w:pPr>
              <w:pStyle w:val="TableParagraph"/>
              <w:spacing w:line="209" w:lineRule="exact"/>
              <w:ind w:right="302"/>
              <w:jc w:val="right"/>
              <w:rPr>
                <w:rFonts w:ascii="宋体" w:hAnsi="宋体" w:cs="宋体" w:eastAsia="宋体" w:hint="default"/>
                <w:sz w:val="16"/>
                <w:szCs w:val="16"/>
              </w:rPr>
            </w:pPr>
            <w:r>
              <w:rPr>
                <w:rFonts w:ascii="宋体"/>
                <w:spacing w:val="-1"/>
                <w:sz w:val="16"/>
              </w:rPr>
              <w:t>0.00</w:t>
            </w:r>
          </w:p>
        </w:tc>
        <w:tc>
          <w:tcPr>
            <w:tcW w:w="1616" w:type="dxa"/>
            <w:tcBorders>
              <w:top w:val="nil" w:sz="6" w:space="0" w:color="auto"/>
              <w:left w:val="nil" w:sz="6" w:space="0" w:color="auto"/>
              <w:bottom w:val="nil" w:sz="6" w:space="0" w:color="auto"/>
              <w:right w:val="nil" w:sz="6" w:space="0" w:color="auto"/>
            </w:tcBorders>
          </w:tcPr>
          <w:p>
            <w:pPr>
              <w:pStyle w:val="TableParagraph"/>
              <w:spacing w:line="209" w:lineRule="exact"/>
              <w:ind w:right="267"/>
              <w:jc w:val="right"/>
              <w:rPr>
                <w:rFonts w:ascii="宋体" w:hAnsi="宋体" w:cs="宋体" w:eastAsia="宋体" w:hint="default"/>
                <w:sz w:val="16"/>
                <w:szCs w:val="16"/>
              </w:rPr>
            </w:pPr>
            <w:r>
              <w:rPr>
                <w:rFonts w:ascii="宋体"/>
                <w:spacing w:val="-1"/>
                <w:sz w:val="16"/>
              </w:rPr>
              <w:t>0.00</w:t>
            </w:r>
          </w:p>
        </w:tc>
        <w:tc>
          <w:tcPr>
            <w:tcW w:w="1619" w:type="dxa"/>
            <w:tcBorders>
              <w:top w:val="nil" w:sz="6" w:space="0" w:color="auto"/>
              <w:left w:val="nil" w:sz="6" w:space="0" w:color="auto"/>
              <w:bottom w:val="nil" w:sz="6" w:space="0" w:color="auto"/>
              <w:right w:val="nil" w:sz="6" w:space="0" w:color="auto"/>
            </w:tcBorders>
          </w:tcPr>
          <w:p>
            <w:pPr>
              <w:pStyle w:val="TableParagraph"/>
              <w:spacing w:line="209" w:lineRule="exact"/>
              <w:ind w:right="219"/>
              <w:jc w:val="right"/>
              <w:rPr>
                <w:rFonts w:ascii="宋体" w:hAnsi="宋体" w:cs="宋体" w:eastAsia="宋体" w:hint="default"/>
                <w:sz w:val="16"/>
                <w:szCs w:val="16"/>
              </w:rPr>
            </w:pPr>
            <w:r>
              <w:rPr>
                <w:rFonts w:ascii="宋体"/>
                <w:spacing w:val="-2"/>
                <w:sz w:val="16"/>
              </w:rPr>
              <w:t>13,166,425.03</w:t>
            </w:r>
          </w:p>
        </w:tc>
        <w:tc>
          <w:tcPr>
            <w:tcW w:w="1607" w:type="dxa"/>
            <w:tcBorders>
              <w:top w:val="nil" w:sz="6" w:space="0" w:color="auto"/>
              <w:left w:val="nil" w:sz="6" w:space="0" w:color="auto"/>
              <w:bottom w:val="nil" w:sz="6" w:space="0" w:color="auto"/>
              <w:right w:val="nil" w:sz="6" w:space="0" w:color="auto"/>
            </w:tcBorders>
          </w:tcPr>
          <w:p>
            <w:pPr>
              <w:pStyle w:val="TableParagraph"/>
              <w:spacing w:line="209" w:lineRule="exact"/>
              <w:ind w:right="105"/>
              <w:jc w:val="right"/>
              <w:rPr>
                <w:rFonts w:ascii="宋体" w:hAnsi="宋体" w:cs="宋体" w:eastAsia="宋体" w:hint="default"/>
                <w:sz w:val="16"/>
                <w:szCs w:val="16"/>
              </w:rPr>
            </w:pPr>
            <w:r>
              <w:rPr>
                <w:rFonts w:ascii="宋体"/>
                <w:spacing w:val="-2"/>
                <w:sz w:val="16"/>
              </w:rPr>
              <w:t>28,876,283.45</w:t>
            </w:r>
          </w:p>
        </w:tc>
      </w:tr>
      <w:tr>
        <w:trPr>
          <w:trHeight w:val="254"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07" w:lineRule="exact"/>
              <w:ind w:left="122"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处置</w:t>
            </w:r>
          </w:p>
        </w:tc>
        <w:tc>
          <w:tcPr>
            <w:tcW w:w="2166" w:type="dxa"/>
            <w:tcBorders>
              <w:top w:val="nil" w:sz="6" w:space="0" w:color="auto"/>
              <w:left w:val="nil" w:sz="6" w:space="0" w:color="auto"/>
              <w:bottom w:val="nil" w:sz="6" w:space="0" w:color="auto"/>
              <w:right w:val="nil" w:sz="6" w:space="0" w:color="auto"/>
            </w:tcBorders>
          </w:tcPr>
          <w:p>
            <w:pPr>
              <w:pStyle w:val="TableParagraph"/>
              <w:spacing w:line="207" w:lineRule="exact"/>
              <w:ind w:right="274"/>
              <w:jc w:val="right"/>
              <w:rPr>
                <w:rFonts w:ascii="宋体" w:hAnsi="宋体" w:cs="宋体" w:eastAsia="宋体" w:hint="default"/>
                <w:sz w:val="16"/>
                <w:szCs w:val="16"/>
              </w:rPr>
            </w:pPr>
            <w:r>
              <w:rPr>
                <w:rFonts w:ascii="宋体"/>
                <w:spacing w:val="-2"/>
                <w:sz w:val="16"/>
              </w:rPr>
              <w:t>15,692,202.00</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right="215"/>
              <w:jc w:val="right"/>
              <w:rPr>
                <w:rFonts w:ascii="宋体" w:hAnsi="宋体" w:cs="宋体" w:eastAsia="宋体" w:hint="default"/>
                <w:sz w:val="16"/>
                <w:szCs w:val="16"/>
              </w:rPr>
            </w:pPr>
            <w:r>
              <w:rPr>
                <w:rFonts w:ascii="宋体"/>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07" w:lineRule="exact"/>
              <w:ind w:right="254"/>
              <w:jc w:val="right"/>
              <w:rPr>
                <w:rFonts w:ascii="宋体" w:hAnsi="宋体" w:cs="宋体" w:eastAsia="宋体" w:hint="default"/>
                <w:sz w:val="16"/>
                <w:szCs w:val="16"/>
              </w:rPr>
            </w:pPr>
            <w:r>
              <w:rPr>
                <w:rFonts w:ascii="宋体"/>
                <w:spacing w:val="-1"/>
                <w:sz w:val="16"/>
              </w:rPr>
              <w:t>0.00</w:t>
            </w:r>
          </w:p>
        </w:tc>
        <w:tc>
          <w:tcPr>
            <w:tcW w:w="1663" w:type="dxa"/>
            <w:tcBorders>
              <w:top w:val="nil" w:sz="6" w:space="0" w:color="auto"/>
              <w:left w:val="nil" w:sz="6" w:space="0" w:color="auto"/>
              <w:bottom w:val="nil" w:sz="6" w:space="0" w:color="auto"/>
              <w:right w:val="nil" w:sz="6" w:space="0" w:color="auto"/>
            </w:tcBorders>
          </w:tcPr>
          <w:p>
            <w:pPr>
              <w:pStyle w:val="TableParagraph"/>
              <w:spacing w:line="207" w:lineRule="exact"/>
              <w:ind w:right="302"/>
              <w:jc w:val="right"/>
              <w:rPr>
                <w:rFonts w:ascii="宋体" w:hAnsi="宋体" w:cs="宋体" w:eastAsia="宋体" w:hint="default"/>
                <w:sz w:val="16"/>
                <w:szCs w:val="16"/>
              </w:rPr>
            </w:pPr>
            <w:r>
              <w:rPr>
                <w:rFonts w:ascii="宋体"/>
                <w:spacing w:val="-1"/>
                <w:sz w:val="16"/>
              </w:rPr>
              <w:t>0.00</w:t>
            </w:r>
          </w:p>
        </w:tc>
        <w:tc>
          <w:tcPr>
            <w:tcW w:w="1616" w:type="dxa"/>
            <w:tcBorders>
              <w:top w:val="nil" w:sz="6" w:space="0" w:color="auto"/>
              <w:left w:val="nil" w:sz="6" w:space="0" w:color="auto"/>
              <w:bottom w:val="nil" w:sz="6" w:space="0" w:color="auto"/>
              <w:right w:val="nil" w:sz="6" w:space="0" w:color="auto"/>
            </w:tcBorders>
          </w:tcPr>
          <w:p>
            <w:pPr>
              <w:pStyle w:val="TableParagraph"/>
              <w:spacing w:line="207" w:lineRule="exact"/>
              <w:ind w:right="267"/>
              <w:jc w:val="right"/>
              <w:rPr>
                <w:rFonts w:ascii="宋体" w:hAnsi="宋体" w:cs="宋体" w:eastAsia="宋体" w:hint="default"/>
                <w:sz w:val="16"/>
                <w:szCs w:val="16"/>
              </w:rPr>
            </w:pPr>
            <w:r>
              <w:rPr>
                <w:rFonts w:ascii="宋体"/>
                <w:spacing w:val="-1"/>
                <w:sz w:val="16"/>
              </w:rPr>
              <w:t>0.00</w:t>
            </w:r>
          </w:p>
        </w:tc>
        <w:tc>
          <w:tcPr>
            <w:tcW w:w="1619" w:type="dxa"/>
            <w:tcBorders>
              <w:top w:val="nil" w:sz="6" w:space="0" w:color="auto"/>
              <w:left w:val="nil" w:sz="6" w:space="0" w:color="auto"/>
              <w:bottom w:val="nil" w:sz="6" w:space="0" w:color="auto"/>
              <w:right w:val="nil" w:sz="6" w:space="0" w:color="auto"/>
            </w:tcBorders>
          </w:tcPr>
          <w:p>
            <w:pPr>
              <w:pStyle w:val="TableParagraph"/>
              <w:spacing w:line="207" w:lineRule="exact"/>
              <w:ind w:right="219"/>
              <w:jc w:val="right"/>
              <w:rPr>
                <w:rFonts w:ascii="宋体" w:hAnsi="宋体" w:cs="宋体" w:eastAsia="宋体" w:hint="default"/>
                <w:sz w:val="16"/>
                <w:szCs w:val="16"/>
              </w:rPr>
            </w:pPr>
            <w:r>
              <w:rPr>
                <w:rFonts w:ascii="宋体"/>
                <w:spacing w:val="-2"/>
                <w:sz w:val="16"/>
              </w:rPr>
              <w:t>13,166,425.03</w:t>
            </w:r>
          </w:p>
        </w:tc>
        <w:tc>
          <w:tcPr>
            <w:tcW w:w="1607" w:type="dxa"/>
            <w:tcBorders>
              <w:top w:val="nil" w:sz="6" w:space="0" w:color="auto"/>
              <w:left w:val="nil" w:sz="6" w:space="0" w:color="auto"/>
              <w:bottom w:val="nil" w:sz="6" w:space="0" w:color="auto"/>
              <w:right w:val="nil" w:sz="6" w:space="0" w:color="auto"/>
            </w:tcBorders>
          </w:tcPr>
          <w:p>
            <w:pPr>
              <w:pStyle w:val="TableParagraph"/>
              <w:spacing w:line="207" w:lineRule="exact"/>
              <w:ind w:right="105"/>
              <w:jc w:val="right"/>
              <w:rPr>
                <w:rFonts w:ascii="宋体" w:hAnsi="宋体" w:cs="宋体" w:eastAsia="宋体" w:hint="default"/>
                <w:sz w:val="16"/>
                <w:szCs w:val="16"/>
              </w:rPr>
            </w:pPr>
            <w:r>
              <w:rPr>
                <w:rFonts w:ascii="宋体"/>
                <w:spacing w:val="-2"/>
                <w:sz w:val="16"/>
              </w:rPr>
              <w:t>28,858,627.03</w:t>
            </w:r>
          </w:p>
        </w:tc>
      </w:tr>
      <w:tr>
        <w:trPr>
          <w:trHeight w:val="254"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07" w:lineRule="exact"/>
              <w:ind w:left="122"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企业合并减少</w:t>
            </w:r>
          </w:p>
        </w:tc>
        <w:tc>
          <w:tcPr>
            <w:tcW w:w="2166" w:type="dxa"/>
            <w:tcBorders>
              <w:top w:val="nil" w:sz="6" w:space="0" w:color="auto"/>
              <w:left w:val="nil" w:sz="6" w:space="0" w:color="auto"/>
              <w:bottom w:val="nil" w:sz="6" w:space="0" w:color="auto"/>
              <w:right w:val="nil" w:sz="6" w:space="0" w:color="auto"/>
            </w:tcBorders>
          </w:tcPr>
          <w:p>
            <w:pPr>
              <w:pStyle w:val="TableParagraph"/>
              <w:spacing w:line="207" w:lineRule="exact"/>
              <w:ind w:right="273"/>
              <w:jc w:val="right"/>
              <w:rPr>
                <w:rFonts w:ascii="宋体" w:hAnsi="宋体" w:cs="宋体" w:eastAsia="宋体" w:hint="default"/>
                <w:sz w:val="16"/>
                <w:szCs w:val="16"/>
              </w:rPr>
            </w:pPr>
            <w:r>
              <w:rPr>
                <w:rFonts w:ascii="宋体"/>
                <w:spacing w:val="-1"/>
                <w:sz w:val="16"/>
              </w:rPr>
              <w:t>0.00</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right="215"/>
              <w:jc w:val="right"/>
              <w:rPr>
                <w:rFonts w:ascii="宋体" w:hAnsi="宋体" w:cs="宋体" w:eastAsia="宋体" w:hint="default"/>
                <w:sz w:val="16"/>
                <w:szCs w:val="16"/>
              </w:rPr>
            </w:pPr>
            <w:r>
              <w:rPr>
                <w:rFonts w:ascii="宋体"/>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07" w:lineRule="exact"/>
              <w:ind w:right="254"/>
              <w:jc w:val="right"/>
              <w:rPr>
                <w:rFonts w:ascii="宋体" w:hAnsi="宋体" w:cs="宋体" w:eastAsia="宋体" w:hint="default"/>
                <w:sz w:val="16"/>
                <w:szCs w:val="16"/>
              </w:rPr>
            </w:pPr>
            <w:r>
              <w:rPr>
                <w:rFonts w:ascii="宋体"/>
                <w:spacing w:val="-2"/>
                <w:sz w:val="16"/>
              </w:rPr>
              <w:t>17,656.42</w:t>
            </w:r>
          </w:p>
        </w:tc>
        <w:tc>
          <w:tcPr>
            <w:tcW w:w="1663" w:type="dxa"/>
            <w:tcBorders>
              <w:top w:val="nil" w:sz="6" w:space="0" w:color="auto"/>
              <w:left w:val="nil" w:sz="6" w:space="0" w:color="auto"/>
              <w:bottom w:val="nil" w:sz="6" w:space="0" w:color="auto"/>
              <w:right w:val="nil" w:sz="6" w:space="0" w:color="auto"/>
            </w:tcBorders>
          </w:tcPr>
          <w:p>
            <w:pPr>
              <w:pStyle w:val="TableParagraph"/>
              <w:spacing w:line="207" w:lineRule="exact"/>
              <w:ind w:right="302"/>
              <w:jc w:val="right"/>
              <w:rPr>
                <w:rFonts w:ascii="宋体" w:hAnsi="宋体" w:cs="宋体" w:eastAsia="宋体" w:hint="default"/>
                <w:sz w:val="16"/>
                <w:szCs w:val="16"/>
              </w:rPr>
            </w:pPr>
            <w:r>
              <w:rPr>
                <w:rFonts w:ascii="宋体"/>
                <w:spacing w:val="-1"/>
                <w:sz w:val="16"/>
              </w:rPr>
              <w:t>0.00</w:t>
            </w:r>
          </w:p>
        </w:tc>
        <w:tc>
          <w:tcPr>
            <w:tcW w:w="1616" w:type="dxa"/>
            <w:tcBorders>
              <w:top w:val="nil" w:sz="6" w:space="0" w:color="auto"/>
              <w:left w:val="nil" w:sz="6" w:space="0" w:color="auto"/>
              <w:bottom w:val="nil" w:sz="6" w:space="0" w:color="auto"/>
              <w:right w:val="nil" w:sz="6" w:space="0" w:color="auto"/>
            </w:tcBorders>
          </w:tcPr>
          <w:p>
            <w:pPr>
              <w:pStyle w:val="TableParagraph"/>
              <w:spacing w:line="207" w:lineRule="exact"/>
              <w:ind w:right="267"/>
              <w:jc w:val="right"/>
              <w:rPr>
                <w:rFonts w:ascii="宋体" w:hAnsi="宋体" w:cs="宋体" w:eastAsia="宋体" w:hint="default"/>
                <w:sz w:val="16"/>
                <w:szCs w:val="16"/>
              </w:rPr>
            </w:pPr>
            <w:r>
              <w:rPr>
                <w:rFonts w:ascii="宋体"/>
                <w:spacing w:val="-1"/>
                <w:sz w:val="16"/>
              </w:rPr>
              <w:t>0.00</w:t>
            </w:r>
          </w:p>
        </w:tc>
        <w:tc>
          <w:tcPr>
            <w:tcW w:w="1619" w:type="dxa"/>
            <w:tcBorders>
              <w:top w:val="nil" w:sz="6" w:space="0" w:color="auto"/>
              <w:left w:val="nil" w:sz="6" w:space="0" w:color="auto"/>
              <w:bottom w:val="nil" w:sz="6" w:space="0" w:color="auto"/>
              <w:right w:val="nil" w:sz="6" w:space="0" w:color="auto"/>
            </w:tcBorders>
          </w:tcPr>
          <w:p>
            <w:pPr>
              <w:pStyle w:val="TableParagraph"/>
              <w:spacing w:line="207" w:lineRule="exact"/>
              <w:ind w:right="218"/>
              <w:jc w:val="right"/>
              <w:rPr>
                <w:rFonts w:ascii="宋体" w:hAnsi="宋体" w:cs="宋体" w:eastAsia="宋体" w:hint="default"/>
                <w:sz w:val="16"/>
                <w:szCs w:val="16"/>
              </w:rPr>
            </w:pPr>
            <w:r>
              <w:rPr>
                <w:rFonts w:ascii="宋体"/>
                <w:spacing w:val="-1"/>
                <w:sz w:val="16"/>
              </w:rPr>
              <w:t>0.00</w:t>
            </w:r>
          </w:p>
        </w:tc>
        <w:tc>
          <w:tcPr>
            <w:tcW w:w="1607" w:type="dxa"/>
            <w:tcBorders>
              <w:top w:val="nil" w:sz="6" w:space="0" w:color="auto"/>
              <w:left w:val="nil" w:sz="6" w:space="0" w:color="auto"/>
              <w:bottom w:val="nil" w:sz="6" w:space="0" w:color="auto"/>
              <w:right w:val="nil" w:sz="6" w:space="0" w:color="auto"/>
            </w:tcBorders>
          </w:tcPr>
          <w:p>
            <w:pPr>
              <w:pStyle w:val="TableParagraph"/>
              <w:spacing w:line="207" w:lineRule="exact"/>
              <w:ind w:right="105"/>
              <w:jc w:val="right"/>
              <w:rPr>
                <w:rFonts w:ascii="宋体" w:hAnsi="宋体" w:cs="宋体" w:eastAsia="宋体" w:hint="default"/>
                <w:sz w:val="16"/>
                <w:szCs w:val="16"/>
              </w:rPr>
            </w:pPr>
            <w:r>
              <w:rPr>
                <w:rFonts w:ascii="宋体"/>
                <w:spacing w:val="-2"/>
                <w:sz w:val="16"/>
              </w:rPr>
              <w:t>17,656.42</w:t>
            </w:r>
          </w:p>
        </w:tc>
      </w:tr>
      <w:tr>
        <w:trPr>
          <w:trHeight w:val="262" w:hRule="exact"/>
        </w:trPr>
        <w:tc>
          <w:tcPr>
            <w:tcW w:w="2081" w:type="dxa"/>
            <w:tcBorders>
              <w:top w:val="nil" w:sz="6" w:space="0" w:color="auto"/>
              <w:left w:val="nil" w:sz="6" w:space="0" w:color="auto"/>
              <w:bottom w:val="single" w:sz="4" w:space="0" w:color="000000"/>
              <w:right w:val="nil" w:sz="6" w:space="0" w:color="auto"/>
            </w:tcBorders>
          </w:tcPr>
          <w:p>
            <w:pPr>
              <w:pStyle w:val="TableParagraph"/>
              <w:spacing w:line="207" w:lineRule="exact"/>
              <w:ind w:left="122"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年末余额</w:t>
            </w:r>
          </w:p>
        </w:tc>
        <w:tc>
          <w:tcPr>
            <w:tcW w:w="2166" w:type="dxa"/>
            <w:tcBorders>
              <w:top w:val="nil" w:sz="6" w:space="0" w:color="auto"/>
              <w:left w:val="nil" w:sz="6" w:space="0" w:color="auto"/>
              <w:bottom w:val="single" w:sz="4" w:space="0" w:color="000000"/>
              <w:right w:val="nil" w:sz="6" w:space="0" w:color="auto"/>
            </w:tcBorders>
          </w:tcPr>
          <w:p>
            <w:pPr>
              <w:pStyle w:val="TableParagraph"/>
              <w:spacing w:line="207" w:lineRule="exact"/>
              <w:ind w:right="274"/>
              <w:jc w:val="right"/>
              <w:rPr>
                <w:rFonts w:ascii="宋体" w:hAnsi="宋体" w:cs="宋体" w:eastAsia="宋体" w:hint="default"/>
                <w:sz w:val="16"/>
                <w:szCs w:val="16"/>
              </w:rPr>
            </w:pPr>
            <w:r>
              <w:rPr>
                <w:rFonts w:ascii="宋体"/>
                <w:spacing w:val="-2"/>
                <w:sz w:val="16"/>
              </w:rPr>
              <w:t>660,430,174.61</w:t>
            </w:r>
          </w:p>
        </w:tc>
        <w:tc>
          <w:tcPr>
            <w:tcW w:w="1635" w:type="dxa"/>
            <w:tcBorders>
              <w:top w:val="nil" w:sz="6" w:space="0" w:color="auto"/>
              <w:left w:val="nil" w:sz="6" w:space="0" w:color="auto"/>
              <w:bottom w:val="single" w:sz="4" w:space="0" w:color="000000"/>
              <w:right w:val="nil" w:sz="6" w:space="0" w:color="auto"/>
            </w:tcBorders>
          </w:tcPr>
          <w:p>
            <w:pPr>
              <w:pStyle w:val="TableParagraph"/>
              <w:spacing w:line="207" w:lineRule="exact"/>
              <w:ind w:right="216"/>
              <w:jc w:val="right"/>
              <w:rPr>
                <w:rFonts w:ascii="宋体" w:hAnsi="宋体" w:cs="宋体" w:eastAsia="宋体" w:hint="default"/>
                <w:sz w:val="16"/>
                <w:szCs w:val="16"/>
              </w:rPr>
            </w:pPr>
            <w:r>
              <w:rPr>
                <w:rFonts w:ascii="宋体"/>
                <w:spacing w:val="-2"/>
                <w:sz w:val="16"/>
              </w:rPr>
              <w:t>1,321,428.54</w:t>
            </w:r>
          </w:p>
        </w:tc>
        <w:tc>
          <w:tcPr>
            <w:tcW w:w="1822" w:type="dxa"/>
            <w:tcBorders>
              <w:top w:val="nil" w:sz="6" w:space="0" w:color="auto"/>
              <w:left w:val="nil" w:sz="6" w:space="0" w:color="auto"/>
              <w:bottom w:val="single" w:sz="4" w:space="0" w:color="000000"/>
              <w:right w:val="nil" w:sz="6" w:space="0" w:color="auto"/>
            </w:tcBorders>
          </w:tcPr>
          <w:p>
            <w:pPr>
              <w:pStyle w:val="TableParagraph"/>
              <w:spacing w:line="207" w:lineRule="exact"/>
              <w:ind w:right="254"/>
              <w:jc w:val="right"/>
              <w:rPr>
                <w:rFonts w:ascii="宋体" w:hAnsi="宋体" w:cs="宋体" w:eastAsia="宋体" w:hint="default"/>
                <w:sz w:val="16"/>
                <w:szCs w:val="16"/>
              </w:rPr>
            </w:pPr>
            <w:r>
              <w:rPr>
                <w:rFonts w:ascii="宋体"/>
                <w:spacing w:val="-2"/>
                <w:sz w:val="16"/>
              </w:rPr>
              <w:t>1,466,837,003.57</w:t>
            </w:r>
          </w:p>
        </w:tc>
        <w:tc>
          <w:tcPr>
            <w:tcW w:w="1663" w:type="dxa"/>
            <w:tcBorders>
              <w:top w:val="nil" w:sz="6" w:space="0" w:color="auto"/>
              <w:left w:val="nil" w:sz="6" w:space="0" w:color="auto"/>
              <w:bottom w:val="single" w:sz="4" w:space="0" w:color="000000"/>
              <w:right w:val="nil" w:sz="6" w:space="0" w:color="auto"/>
            </w:tcBorders>
          </w:tcPr>
          <w:p>
            <w:pPr>
              <w:pStyle w:val="TableParagraph"/>
              <w:spacing w:line="207" w:lineRule="exact"/>
              <w:ind w:left="318" w:right="0"/>
              <w:jc w:val="left"/>
              <w:rPr>
                <w:rFonts w:ascii="宋体" w:hAnsi="宋体" w:cs="宋体" w:eastAsia="宋体" w:hint="default"/>
                <w:sz w:val="16"/>
                <w:szCs w:val="16"/>
              </w:rPr>
            </w:pPr>
            <w:r>
              <w:rPr>
                <w:rFonts w:ascii="宋体"/>
                <w:sz w:val="16"/>
              </w:rPr>
              <w:t>10,952,500.00</w:t>
            </w:r>
          </w:p>
        </w:tc>
        <w:tc>
          <w:tcPr>
            <w:tcW w:w="1616" w:type="dxa"/>
            <w:tcBorders>
              <w:top w:val="nil" w:sz="6" w:space="0" w:color="auto"/>
              <w:left w:val="nil" w:sz="6" w:space="0" w:color="auto"/>
              <w:bottom w:val="single" w:sz="4" w:space="0" w:color="000000"/>
              <w:right w:val="nil" w:sz="6" w:space="0" w:color="auto"/>
            </w:tcBorders>
          </w:tcPr>
          <w:p>
            <w:pPr>
              <w:pStyle w:val="TableParagraph"/>
              <w:spacing w:line="207" w:lineRule="exact"/>
              <w:ind w:right="267"/>
              <w:jc w:val="right"/>
              <w:rPr>
                <w:rFonts w:ascii="宋体" w:hAnsi="宋体" w:cs="宋体" w:eastAsia="宋体" w:hint="default"/>
                <w:sz w:val="16"/>
                <w:szCs w:val="16"/>
              </w:rPr>
            </w:pPr>
            <w:r>
              <w:rPr>
                <w:rFonts w:ascii="宋体"/>
                <w:spacing w:val="-2"/>
                <w:sz w:val="16"/>
              </w:rPr>
              <w:t>61,000,000.00</w:t>
            </w:r>
          </w:p>
        </w:tc>
        <w:tc>
          <w:tcPr>
            <w:tcW w:w="1619" w:type="dxa"/>
            <w:tcBorders>
              <w:top w:val="nil" w:sz="6" w:space="0" w:color="auto"/>
              <w:left w:val="nil" w:sz="6" w:space="0" w:color="auto"/>
              <w:bottom w:val="single" w:sz="4" w:space="0" w:color="000000"/>
              <w:right w:val="nil" w:sz="6" w:space="0" w:color="auto"/>
            </w:tcBorders>
          </w:tcPr>
          <w:p>
            <w:pPr>
              <w:pStyle w:val="TableParagraph"/>
              <w:spacing w:line="207" w:lineRule="exact"/>
              <w:ind w:right="219"/>
              <w:jc w:val="right"/>
              <w:rPr>
                <w:rFonts w:ascii="宋体" w:hAnsi="宋体" w:cs="宋体" w:eastAsia="宋体" w:hint="default"/>
                <w:sz w:val="16"/>
                <w:szCs w:val="16"/>
              </w:rPr>
            </w:pPr>
            <w:r>
              <w:rPr>
                <w:rFonts w:ascii="宋体"/>
                <w:spacing w:val="-2"/>
                <w:sz w:val="16"/>
              </w:rPr>
              <w:t>739,842,854.37</w:t>
            </w:r>
          </w:p>
        </w:tc>
        <w:tc>
          <w:tcPr>
            <w:tcW w:w="1607" w:type="dxa"/>
            <w:tcBorders>
              <w:top w:val="nil" w:sz="6" w:space="0" w:color="auto"/>
              <w:left w:val="nil" w:sz="6" w:space="0" w:color="auto"/>
              <w:bottom w:val="single" w:sz="4" w:space="0" w:color="000000"/>
              <w:right w:val="nil" w:sz="6" w:space="0" w:color="auto"/>
            </w:tcBorders>
          </w:tcPr>
          <w:p>
            <w:pPr>
              <w:pStyle w:val="TableParagraph"/>
              <w:spacing w:line="207" w:lineRule="exact"/>
              <w:ind w:right="105"/>
              <w:jc w:val="right"/>
              <w:rPr>
                <w:rFonts w:ascii="宋体" w:hAnsi="宋体" w:cs="宋体" w:eastAsia="宋体" w:hint="default"/>
                <w:sz w:val="16"/>
                <w:szCs w:val="16"/>
              </w:rPr>
            </w:pPr>
            <w:r>
              <w:rPr>
                <w:rFonts w:ascii="宋体"/>
                <w:spacing w:val="-2"/>
                <w:sz w:val="16"/>
              </w:rPr>
              <w:t>2,940,383,961.09</w:t>
            </w:r>
          </w:p>
        </w:tc>
      </w:tr>
      <w:tr>
        <w:trPr>
          <w:trHeight w:val="252" w:hRule="exact"/>
        </w:trPr>
        <w:tc>
          <w:tcPr>
            <w:tcW w:w="2081" w:type="dxa"/>
            <w:tcBorders>
              <w:top w:val="single" w:sz="4" w:space="0" w:color="000000"/>
              <w:left w:val="nil" w:sz="6" w:space="0" w:color="auto"/>
              <w:bottom w:val="nil" w:sz="6" w:space="0" w:color="auto"/>
              <w:right w:val="nil" w:sz="6" w:space="0" w:color="auto"/>
            </w:tcBorders>
          </w:tcPr>
          <w:p>
            <w:pPr>
              <w:pStyle w:val="TableParagraph"/>
              <w:spacing w:line="203" w:lineRule="exact"/>
              <w:ind w:left="122" w:right="0"/>
              <w:jc w:val="left"/>
              <w:rPr>
                <w:rFonts w:ascii="宋体" w:hAnsi="宋体" w:cs="宋体" w:eastAsia="宋体" w:hint="default"/>
                <w:sz w:val="16"/>
                <w:szCs w:val="16"/>
              </w:rPr>
            </w:pPr>
            <w:r>
              <w:rPr>
                <w:rFonts w:ascii="宋体" w:hAnsi="宋体" w:cs="宋体" w:eastAsia="宋体" w:hint="default"/>
                <w:sz w:val="16"/>
                <w:szCs w:val="16"/>
              </w:rPr>
              <w:t>二、累计摊销</w:t>
            </w:r>
          </w:p>
        </w:tc>
        <w:tc>
          <w:tcPr>
            <w:tcW w:w="2166" w:type="dxa"/>
            <w:tcBorders>
              <w:top w:val="single" w:sz="4" w:space="0" w:color="000000"/>
              <w:left w:val="nil" w:sz="6" w:space="0" w:color="auto"/>
              <w:bottom w:val="nil" w:sz="6" w:space="0" w:color="auto"/>
              <w:right w:val="nil" w:sz="6" w:space="0" w:color="auto"/>
            </w:tcBorders>
          </w:tcPr>
          <w:p>
            <w:pPr/>
          </w:p>
        </w:tc>
        <w:tc>
          <w:tcPr>
            <w:tcW w:w="1635" w:type="dxa"/>
            <w:tcBorders>
              <w:top w:val="single" w:sz="4" w:space="0" w:color="000000"/>
              <w:left w:val="nil" w:sz="6" w:space="0" w:color="auto"/>
              <w:bottom w:val="nil" w:sz="6" w:space="0" w:color="auto"/>
              <w:right w:val="nil" w:sz="6" w:space="0" w:color="auto"/>
            </w:tcBorders>
          </w:tcPr>
          <w:p>
            <w:pPr/>
          </w:p>
        </w:tc>
        <w:tc>
          <w:tcPr>
            <w:tcW w:w="1822" w:type="dxa"/>
            <w:tcBorders>
              <w:top w:val="single" w:sz="4" w:space="0" w:color="000000"/>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nil" w:sz="6" w:space="0" w:color="auto"/>
              <w:right w:val="nil" w:sz="6" w:space="0" w:color="auto"/>
            </w:tcBorders>
          </w:tcPr>
          <w:p>
            <w:pPr/>
          </w:p>
        </w:tc>
        <w:tc>
          <w:tcPr>
            <w:tcW w:w="1616" w:type="dxa"/>
            <w:tcBorders>
              <w:top w:val="single" w:sz="4" w:space="0" w:color="000000"/>
              <w:left w:val="nil" w:sz="6" w:space="0" w:color="auto"/>
              <w:bottom w:val="nil" w:sz="6" w:space="0" w:color="auto"/>
              <w:right w:val="nil" w:sz="6" w:space="0" w:color="auto"/>
            </w:tcBorders>
          </w:tcPr>
          <w:p>
            <w:pPr/>
          </w:p>
        </w:tc>
        <w:tc>
          <w:tcPr>
            <w:tcW w:w="1619" w:type="dxa"/>
            <w:tcBorders>
              <w:top w:val="single" w:sz="4" w:space="0" w:color="000000"/>
              <w:left w:val="nil" w:sz="6" w:space="0" w:color="auto"/>
              <w:bottom w:val="nil" w:sz="6" w:space="0" w:color="auto"/>
              <w:right w:val="nil" w:sz="6" w:space="0" w:color="auto"/>
            </w:tcBorders>
          </w:tcPr>
          <w:p>
            <w:pPr/>
          </w:p>
        </w:tc>
        <w:tc>
          <w:tcPr>
            <w:tcW w:w="1607" w:type="dxa"/>
            <w:tcBorders>
              <w:top w:val="single" w:sz="4" w:space="0" w:color="000000"/>
              <w:left w:val="nil" w:sz="6" w:space="0" w:color="auto"/>
              <w:bottom w:val="nil" w:sz="6" w:space="0" w:color="auto"/>
              <w:right w:val="nil" w:sz="6" w:space="0" w:color="auto"/>
            </w:tcBorders>
          </w:tcPr>
          <w:p>
            <w:pPr/>
          </w:p>
        </w:tc>
      </w:tr>
      <w:tr>
        <w:trPr>
          <w:trHeight w:val="252"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年初余额</w:t>
            </w:r>
          </w:p>
        </w:tc>
        <w:tc>
          <w:tcPr>
            <w:tcW w:w="2166" w:type="dxa"/>
            <w:tcBorders>
              <w:top w:val="nil" w:sz="6" w:space="0" w:color="auto"/>
              <w:left w:val="nil" w:sz="6" w:space="0" w:color="auto"/>
              <w:bottom w:val="nil" w:sz="6" w:space="0" w:color="auto"/>
              <w:right w:val="nil" w:sz="6" w:space="0" w:color="auto"/>
            </w:tcBorders>
          </w:tcPr>
          <w:p>
            <w:pPr>
              <w:pStyle w:val="TableParagraph"/>
              <w:spacing w:line="205" w:lineRule="exact"/>
              <w:ind w:right="274"/>
              <w:jc w:val="right"/>
              <w:rPr>
                <w:rFonts w:ascii="宋体" w:hAnsi="宋体" w:cs="宋体" w:eastAsia="宋体" w:hint="default"/>
                <w:sz w:val="16"/>
                <w:szCs w:val="16"/>
              </w:rPr>
            </w:pPr>
            <w:r>
              <w:rPr>
                <w:rFonts w:ascii="宋体"/>
                <w:spacing w:val="-2"/>
                <w:sz w:val="16"/>
              </w:rPr>
              <w:t>100,929,532.88</w:t>
            </w:r>
          </w:p>
        </w:tc>
        <w:tc>
          <w:tcPr>
            <w:tcW w:w="1635" w:type="dxa"/>
            <w:tcBorders>
              <w:top w:val="nil" w:sz="6" w:space="0" w:color="auto"/>
              <w:left w:val="nil" w:sz="6" w:space="0" w:color="auto"/>
              <w:bottom w:val="nil" w:sz="6" w:space="0" w:color="auto"/>
              <w:right w:val="nil" w:sz="6" w:space="0" w:color="auto"/>
            </w:tcBorders>
          </w:tcPr>
          <w:p>
            <w:pPr>
              <w:pStyle w:val="TableParagraph"/>
              <w:spacing w:line="205" w:lineRule="exact"/>
              <w:ind w:right="216"/>
              <w:jc w:val="right"/>
              <w:rPr>
                <w:rFonts w:ascii="宋体" w:hAnsi="宋体" w:cs="宋体" w:eastAsia="宋体" w:hint="default"/>
                <w:sz w:val="16"/>
                <w:szCs w:val="16"/>
              </w:rPr>
            </w:pPr>
            <w:r>
              <w:rPr>
                <w:rFonts w:ascii="宋体"/>
                <w:spacing w:val="-2"/>
                <w:sz w:val="16"/>
              </w:rPr>
              <w:t>335,443.09</w:t>
            </w:r>
          </w:p>
        </w:tc>
        <w:tc>
          <w:tcPr>
            <w:tcW w:w="1822" w:type="dxa"/>
            <w:tcBorders>
              <w:top w:val="nil" w:sz="6" w:space="0" w:color="auto"/>
              <w:left w:val="nil" w:sz="6" w:space="0" w:color="auto"/>
              <w:bottom w:val="nil" w:sz="6" w:space="0" w:color="auto"/>
              <w:right w:val="nil" w:sz="6" w:space="0" w:color="auto"/>
            </w:tcBorders>
          </w:tcPr>
          <w:p>
            <w:pPr>
              <w:pStyle w:val="TableParagraph"/>
              <w:spacing w:line="205" w:lineRule="exact"/>
              <w:ind w:right="254"/>
              <w:jc w:val="right"/>
              <w:rPr>
                <w:rFonts w:ascii="宋体" w:hAnsi="宋体" w:cs="宋体" w:eastAsia="宋体" w:hint="default"/>
                <w:sz w:val="16"/>
                <w:szCs w:val="16"/>
              </w:rPr>
            </w:pPr>
            <w:r>
              <w:rPr>
                <w:rFonts w:ascii="宋体"/>
                <w:spacing w:val="-2"/>
                <w:sz w:val="16"/>
              </w:rPr>
              <w:t>778,888,687.74</w:t>
            </w:r>
          </w:p>
        </w:tc>
        <w:tc>
          <w:tcPr>
            <w:tcW w:w="1663" w:type="dxa"/>
            <w:tcBorders>
              <w:top w:val="nil" w:sz="6" w:space="0" w:color="auto"/>
              <w:left w:val="nil" w:sz="6" w:space="0" w:color="auto"/>
              <w:bottom w:val="nil" w:sz="6" w:space="0" w:color="auto"/>
              <w:right w:val="nil" w:sz="6" w:space="0" w:color="auto"/>
            </w:tcBorders>
          </w:tcPr>
          <w:p>
            <w:pPr>
              <w:pStyle w:val="TableParagraph"/>
              <w:spacing w:line="205" w:lineRule="exact"/>
              <w:ind w:right="302"/>
              <w:jc w:val="right"/>
              <w:rPr>
                <w:rFonts w:ascii="宋体" w:hAnsi="宋体" w:cs="宋体" w:eastAsia="宋体" w:hint="default"/>
                <w:sz w:val="16"/>
                <w:szCs w:val="16"/>
              </w:rPr>
            </w:pPr>
            <w:r>
              <w:rPr>
                <w:rFonts w:ascii="宋体"/>
                <w:spacing w:val="-2"/>
                <w:sz w:val="16"/>
              </w:rPr>
              <w:t>1,003,092.00</w:t>
            </w:r>
          </w:p>
        </w:tc>
        <w:tc>
          <w:tcPr>
            <w:tcW w:w="1616" w:type="dxa"/>
            <w:tcBorders>
              <w:top w:val="nil" w:sz="6" w:space="0" w:color="auto"/>
              <w:left w:val="nil" w:sz="6" w:space="0" w:color="auto"/>
              <w:bottom w:val="nil" w:sz="6" w:space="0" w:color="auto"/>
              <w:right w:val="nil" w:sz="6" w:space="0" w:color="auto"/>
            </w:tcBorders>
          </w:tcPr>
          <w:p>
            <w:pPr>
              <w:pStyle w:val="TableParagraph"/>
              <w:spacing w:line="205" w:lineRule="exact"/>
              <w:ind w:right="267"/>
              <w:jc w:val="right"/>
              <w:rPr>
                <w:rFonts w:ascii="宋体" w:hAnsi="宋体" w:cs="宋体" w:eastAsia="宋体" w:hint="default"/>
                <w:sz w:val="16"/>
                <w:szCs w:val="16"/>
              </w:rPr>
            </w:pPr>
            <w:r>
              <w:rPr>
                <w:rFonts w:ascii="宋体"/>
                <w:spacing w:val="-1"/>
                <w:sz w:val="16"/>
              </w:rPr>
              <w:t>0.00</w:t>
            </w:r>
          </w:p>
        </w:tc>
        <w:tc>
          <w:tcPr>
            <w:tcW w:w="1619" w:type="dxa"/>
            <w:tcBorders>
              <w:top w:val="nil" w:sz="6" w:space="0" w:color="auto"/>
              <w:left w:val="nil" w:sz="6" w:space="0" w:color="auto"/>
              <w:bottom w:val="nil" w:sz="6" w:space="0" w:color="auto"/>
              <w:right w:val="nil" w:sz="6" w:space="0" w:color="auto"/>
            </w:tcBorders>
          </w:tcPr>
          <w:p>
            <w:pPr>
              <w:pStyle w:val="TableParagraph"/>
              <w:spacing w:line="205" w:lineRule="exact"/>
              <w:ind w:right="219"/>
              <w:jc w:val="right"/>
              <w:rPr>
                <w:rFonts w:ascii="宋体" w:hAnsi="宋体" w:cs="宋体" w:eastAsia="宋体" w:hint="default"/>
                <w:sz w:val="16"/>
                <w:szCs w:val="16"/>
              </w:rPr>
            </w:pPr>
            <w:r>
              <w:rPr>
                <w:rFonts w:ascii="宋体"/>
                <w:spacing w:val="-2"/>
                <w:sz w:val="16"/>
              </w:rPr>
              <w:t>432,570,605.93</w:t>
            </w:r>
          </w:p>
        </w:tc>
        <w:tc>
          <w:tcPr>
            <w:tcW w:w="1607" w:type="dxa"/>
            <w:tcBorders>
              <w:top w:val="nil" w:sz="6" w:space="0" w:color="auto"/>
              <w:left w:val="nil" w:sz="6" w:space="0" w:color="auto"/>
              <w:bottom w:val="nil" w:sz="6" w:space="0" w:color="auto"/>
              <w:right w:val="nil" w:sz="6" w:space="0" w:color="auto"/>
            </w:tcBorders>
          </w:tcPr>
          <w:p>
            <w:pPr>
              <w:pStyle w:val="TableParagraph"/>
              <w:spacing w:line="205" w:lineRule="exact"/>
              <w:ind w:right="105"/>
              <w:jc w:val="right"/>
              <w:rPr>
                <w:rFonts w:ascii="宋体" w:hAnsi="宋体" w:cs="宋体" w:eastAsia="宋体" w:hint="default"/>
                <w:sz w:val="16"/>
                <w:szCs w:val="16"/>
              </w:rPr>
            </w:pPr>
            <w:r>
              <w:rPr>
                <w:rFonts w:ascii="宋体"/>
                <w:spacing w:val="-2"/>
                <w:sz w:val="16"/>
              </w:rPr>
              <w:t>1,313,727,361.64</w:t>
            </w:r>
          </w:p>
        </w:tc>
      </w:tr>
      <w:tr>
        <w:trPr>
          <w:trHeight w:val="255"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07" w:lineRule="exact"/>
              <w:ind w:left="122"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本年增加金额</w:t>
            </w:r>
          </w:p>
        </w:tc>
        <w:tc>
          <w:tcPr>
            <w:tcW w:w="2166" w:type="dxa"/>
            <w:tcBorders>
              <w:top w:val="nil" w:sz="6" w:space="0" w:color="auto"/>
              <w:left w:val="nil" w:sz="6" w:space="0" w:color="auto"/>
              <w:bottom w:val="nil" w:sz="6" w:space="0" w:color="auto"/>
              <w:right w:val="nil" w:sz="6" w:space="0" w:color="auto"/>
            </w:tcBorders>
          </w:tcPr>
          <w:p>
            <w:pPr>
              <w:pStyle w:val="TableParagraph"/>
              <w:spacing w:line="207" w:lineRule="exact"/>
              <w:ind w:right="274"/>
              <w:jc w:val="right"/>
              <w:rPr>
                <w:rFonts w:ascii="宋体" w:hAnsi="宋体" w:cs="宋体" w:eastAsia="宋体" w:hint="default"/>
                <w:sz w:val="16"/>
                <w:szCs w:val="16"/>
              </w:rPr>
            </w:pPr>
            <w:r>
              <w:rPr>
                <w:rFonts w:ascii="宋体"/>
                <w:spacing w:val="-2"/>
                <w:sz w:val="16"/>
              </w:rPr>
              <w:t>14,568,222.08</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right="216"/>
              <w:jc w:val="right"/>
              <w:rPr>
                <w:rFonts w:ascii="宋体" w:hAnsi="宋体" w:cs="宋体" w:eastAsia="宋体" w:hint="default"/>
                <w:sz w:val="16"/>
                <w:szCs w:val="16"/>
              </w:rPr>
            </w:pPr>
            <w:r>
              <w:rPr>
                <w:rFonts w:ascii="宋体"/>
                <w:spacing w:val="-2"/>
                <w:sz w:val="16"/>
              </w:rPr>
              <w:t>30,494.50</w:t>
            </w:r>
          </w:p>
        </w:tc>
        <w:tc>
          <w:tcPr>
            <w:tcW w:w="1822" w:type="dxa"/>
            <w:tcBorders>
              <w:top w:val="nil" w:sz="6" w:space="0" w:color="auto"/>
              <w:left w:val="nil" w:sz="6" w:space="0" w:color="auto"/>
              <w:bottom w:val="nil" w:sz="6" w:space="0" w:color="auto"/>
              <w:right w:val="nil" w:sz="6" w:space="0" w:color="auto"/>
            </w:tcBorders>
          </w:tcPr>
          <w:p>
            <w:pPr>
              <w:pStyle w:val="TableParagraph"/>
              <w:spacing w:line="207" w:lineRule="exact"/>
              <w:ind w:right="254"/>
              <w:jc w:val="right"/>
              <w:rPr>
                <w:rFonts w:ascii="宋体" w:hAnsi="宋体" w:cs="宋体" w:eastAsia="宋体" w:hint="default"/>
                <w:sz w:val="16"/>
                <w:szCs w:val="16"/>
              </w:rPr>
            </w:pPr>
            <w:r>
              <w:rPr>
                <w:rFonts w:ascii="宋体"/>
                <w:spacing w:val="-2"/>
                <w:sz w:val="16"/>
              </w:rPr>
              <w:t>193,580,384.70</w:t>
            </w:r>
          </w:p>
        </w:tc>
        <w:tc>
          <w:tcPr>
            <w:tcW w:w="1663" w:type="dxa"/>
            <w:tcBorders>
              <w:top w:val="nil" w:sz="6" w:space="0" w:color="auto"/>
              <w:left w:val="nil" w:sz="6" w:space="0" w:color="auto"/>
              <w:bottom w:val="nil" w:sz="6" w:space="0" w:color="auto"/>
              <w:right w:val="nil" w:sz="6" w:space="0" w:color="auto"/>
            </w:tcBorders>
          </w:tcPr>
          <w:p>
            <w:pPr>
              <w:pStyle w:val="TableParagraph"/>
              <w:spacing w:line="207" w:lineRule="exact"/>
              <w:ind w:right="302"/>
              <w:jc w:val="right"/>
              <w:rPr>
                <w:rFonts w:ascii="宋体" w:hAnsi="宋体" w:cs="宋体" w:eastAsia="宋体" w:hint="default"/>
                <w:sz w:val="16"/>
                <w:szCs w:val="16"/>
              </w:rPr>
            </w:pPr>
            <w:r>
              <w:rPr>
                <w:rFonts w:ascii="宋体"/>
                <w:spacing w:val="-2"/>
                <w:sz w:val="16"/>
              </w:rPr>
              <w:t>1,099,788.00</w:t>
            </w:r>
          </w:p>
        </w:tc>
        <w:tc>
          <w:tcPr>
            <w:tcW w:w="1616" w:type="dxa"/>
            <w:tcBorders>
              <w:top w:val="nil" w:sz="6" w:space="0" w:color="auto"/>
              <w:left w:val="nil" w:sz="6" w:space="0" w:color="auto"/>
              <w:bottom w:val="nil" w:sz="6" w:space="0" w:color="auto"/>
              <w:right w:val="nil" w:sz="6" w:space="0" w:color="auto"/>
            </w:tcBorders>
          </w:tcPr>
          <w:p>
            <w:pPr>
              <w:pStyle w:val="TableParagraph"/>
              <w:spacing w:line="207" w:lineRule="exact"/>
              <w:ind w:right="267"/>
              <w:jc w:val="right"/>
              <w:rPr>
                <w:rFonts w:ascii="宋体" w:hAnsi="宋体" w:cs="宋体" w:eastAsia="宋体" w:hint="default"/>
                <w:sz w:val="16"/>
                <w:szCs w:val="16"/>
              </w:rPr>
            </w:pPr>
            <w:r>
              <w:rPr>
                <w:rFonts w:ascii="宋体"/>
                <w:spacing w:val="-1"/>
                <w:sz w:val="16"/>
              </w:rPr>
              <w:t>0.00</w:t>
            </w:r>
          </w:p>
        </w:tc>
        <w:tc>
          <w:tcPr>
            <w:tcW w:w="1619" w:type="dxa"/>
            <w:tcBorders>
              <w:top w:val="nil" w:sz="6" w:space="0" w:color="auto"/>
              <w:left w:val="nil" w:sz="6" w:space="0" w:color="auto"/>
              <w:bottom w:val="nil" w:sz="6" w:space="0" w:color="auto"/>
              <w:right w:val="nil" w:sz="6" w:space="0" w:color="auto"/>
            </w:tcBorders>
          </w:tcPr>
          <w:p>
            <w:pPr>
              <w:pStyle w:val="TableParagraph"/>
              <w:spacing w:line="207" w:lineRule="exact"/>
              <w:ind w:right="219"/>
              <w:jc w:val="right"/>
              <w:rPr>
                <w:rFonts w:ascii="宋体" w:hAnsi="宋体" w:cs="宋体" w:eastAsia="宋体" w:hint="default"/>
                <w:sz w:val="16"/>
                <w:szCs w:val="16"/>
              </w:rPr>
            </w:pPr>
            <w:r>
              <w:rPr>
                <w:rFonts w:ascii="宋体"/>
                <w:spacing w:val="-2"/>
                <w:sz w:val="16"/>
              </w:rPr>
              <w:t>94,634,441.12</w:t>
            </w:r>
          </w:p>
        </w:tc>
        <w:tc>
          <w:tcPr>
            <w:tcW w:w="1607" w:type="dxa"/>
            <w:tcBorders>
              <w:top w:val="nil" w:sz="6" w:space="0" w:color="auto"/>
              <w:left w:val="nil" w:sz="6" w:space="0" w:color="auto"/>
              <w:bottom w:val="nil" w:sz="6" w:space="0" w:color="auto"/>
              <w:right w:val="nil" w:sz="6" w:space="0" w:color="auto"/>
            </w:tcBorders>
          </w:tcPr>
          <w:p>
            <w:pPr>
              <w:pStyle w:val="TableParagraph"/>
              <w:spacing w:line="207" w:lineRule="exact"/>
              <w:ind w:right="105"/>
              <w:jc w:val="right"/>
              <w:rPr>
                <w:rFonts w:ascii="宋体" w:hAnsi="宋体" w:cs="宋体" w:eastAsia="宋体" w:hint="default"/>
                <w:sz w:val="16"/>
                <w:szCs w:val="16"/>
              </w:rPr>
            </w:pPr>
            <w:r>
              <w:rPr>
                <w:rFonts w:ascii="宋体"/>
                <w:spacing w:val="-2"/>
                <w:sz w:val="16"/>
              </w:rPr>
              <w:t>303,913,330.40</w:t>
            </w:r>
          </w:p>
        </w:tc>
      </w:tr>
      <w:tr>
        <w:trPr>
          <w:trHeight w:val="256"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计提</w:t>
            </w:r>
          </w:p>
        </w:tc>
        <w:tc>
          <w:tcPr>
            <w:tcW w:w="2166" w:type="dxa"/>
            <w:tcBorders>
              <w:top w:val="nil" w:sz="6" w:space="0" w:color="auto"/>
              <w:left w:val="nil" w:sz="6" w:space="0" w:color="auto"/>
              <w:bottom w:val="nil" w:sz="6" w:space="0" w:color="auto"/>
              <w:right w:val="nil" w:sz="6" w:space="0" w:color="auto"/>
            </w:tcBorders>
          </w:tcPr>
          <w:p>
            <w:pPr>
              <w:pStyle w:val="TableParagraph"/>
              <w:spacing w:line="208" w:lineRule="exact"/>
              <w:ind w:right="274"/>
              <w:jc w:val="right"/>
              <w:rPr>
                <w:rFonts w:ascii="宋体" w:hAnsi="宋体" w:cs="宋体" w:eastAsia="宋体" w:hint="default"/>
                <w:sz w:val="16"/>
                <w:szCs w:val="16"/>
              </w:rPr>
            </w:pPr>
            <w:r>
              <w:rPr>
                <w:rFonts w:ascii="宋体"/>
                <w:spacing w:val="-2"/>
                <w:sz w:val="16"/>
              </w:rPr>
              <w:t>14,422,705.02</w:t>
            </w:r>
          </w:p>
        </w:tc>
        <w:tc>
          <w:tcPr>
            <w:tcW w:w="1635" w:type="dxa"/>
            <w:tcBorders>
              <w:top w:val="nil" w:sz="6" w:space="0" w:color="auto"/>
              <w:left w:val="nil" w:sz="6" w:space="0" w:color="auto"/>
              <w:bottom w:val="nil" w:sz="6" w:space="0" w:color="auto"/>
              <w:right w:val="nil" w:sz="6" w:space="0" w:color="auto"/>
            </w:tcBorders>
          </w:tcPr>
          <w:p>
            <w:pPr>
              <w:pStyle w:val="TableParagraph"/>
              <w:spacing w:line="208" w:lineRule="exact"/>
              <w:ind w:right="216"/>
              <w:jc w:val="right"/>
              <w:rPr>
                <w:rFonts w:ascii="宋体" w:hAnsi="宋体" w:cs="宋体" w:eastAsia="宋体" w:hint="default"/>
                <w:sz w:val="16"/>
                <w:szCs w:val="16"/>
              </w:rPr>
            </w:pPr>
            <w:r>
              <w:rPr>
                <w:rFonts w:ascii="宋体"/>
                <w:spacing w:val="-2"/>
                <w:sz w:val="16"/>
              </w:rPr>
              <w:t>30,494.50</w:t>
            </w:r>
          </w:p>
        </w:tc>
        <w:tc>
          <w:tcPr>
            <w:tcW w:w="1822" w:type="dxa"/>
            <w:tcBorders>
              <w:top w:val="nil" w:sz="6" w:space="0" w:color="auto"/>
              <w:left w:val="nil" w:sz="6" w:space="0" w:color="auto"/>
              <w:bottom w:val="nil" w:sz="6" w:space="0" w:color="auto"/>
              <w:right w:val="nil" w:sz="6" w:space="0" w:color="auto"/>
            </w:tcBorders>
          </w:tcPr>
          <w:p>
            <w:pPr>
              <w:pStyle w:val="TableParagraph"/>
              <w:spacing w:line="208" w:lineRule="exact"/>
              <w:ind w:right="254"/>
              <w:jc w:val="right"/>
              <w:rPr>
                <w:rFonts w:ascii="宋体" w:hAnsi="宋体" w:cs="宋体" w:eastAsia="宋体" w:hint="default"/>
                <w:sz w:val="16"/>
                <w:szCs w:val="16"/>
              </w:rPr>
            </w:pPr>
            <w:r>
              <w:rPr>
                <w:rFonts w:ascii="宋体"/>
                <w:spacing w:val="-2"/>
                <w:sz w:val="16"/>
              </w:rPr>
              <w:t>191,541,348.87</w:t>
            </w:r>
          </w:p>
        </w:tc>
        <w:tc>
          <w:tcPr>
            <w:tcW w:w="1663" w:type="dxa"/>
            <w:tcBorders>
              <w:top w:val="nil" w:sz="6" w:space="0" w:color="auto"/>
              <w:left w:val="nil" w:sz="6" w:space="0" w:color="auto"/>
              <w:bottom w:val="nil" w:sz="6" w:space="0" w:color="auto"/>
              <w:right w:val="nil" w:sz="6" w:space="0" w:color="auto"/>
            </w:tcBorders>
          </w:tcPr>
          <w:p>
            <w:pPr>
              <w:pStyle w:val="TableParagraph"/>
              <w:spacing w:line="208" w:lineRule="exact"/>
              <w:ind w:right="302"/>
              <w:jc w:val="right"/>
              <w:rPr>
                <w:rFonts w:ascii="宋体" w:hAnsi="宋体" w:cs="宋体" w:eastAsia="宋体" w:hint="default"/>
                <w:sz w:val="16"/>
                <w:szCs w:val="16"/>
              </w:rPr>
            </w:pPr>
            <w:r>
              <w:rPr>
                <w:rFonts w:ascii="宋体"/>
                <w:spacing w:val="-2"/>
                <w:sz w:val="16"/>
              </w:rPr>
              <w:t>1,051,440.00</w:t>
            </w:r>
          </w:p>
        </w:tc>
        <w:tc>
          <w:tcPr>
            <w:tcW w:w="1616" w:type="dxa"/>
            <w:tcBorders>
              <w:top w:val="nil" w:sz="6" w:space="0" w:color="auto"/>
              <w:left w:val="nil" w:sz="6" w:space="0" w:color="auto"/>
              <w:bottom w:val="nil" w:sz="6" w:space="0" w:color="auto"/>
              <w:right w:val="nil" w:sz="6" w:space="0" w:color="auto"/>
            </w:tcBorders>
          </w:tcPr>
          <w:p>
            <w:pPr>
              <w:pStyle w:val="TableParagraph"/>
              <w:spacing w:line="208" w:lineRule="exact"/>
              <w:ind w:right="267"/>
              <w:jc w:val="right"/>
              <w:rPr>
                <w:rFonts w:ascii="宋体" w:hAnsi="宋体" w:cs="宋体" w:eastAsia="宋体" w:hint="default"/>
                <w:sz w:val="16"/>
                <w:szCs w:val="16"/>
              </w:rPr>
            </w:pPr>
            <w:r>
              <w:rPr>
                <w:rFonts w:ascii="宋体"/>
                <w:spacing w:val="-1"/>
                <w:sz w:val="16"/>
              </w:rPr>
              <w:t>0.00</w:t>
            </w:r>
          </w:p>
        </w:tc>
        <w:tc>
          <w:tcPr>
            <w:tcW w:w="1619" w:type="dxa"/>
            <w:tcBorders>
              <w:top w:val="nil" w:sz="6" w:space="0" w:color="auto"/>
              <w:left w:val="nil" w:sz="6" w:space="0" w:color="auto"/>
              <w:bottom w:val="nil" w:sz="6" w:space="0" w:color="auto"/>
              <w:right w:val="nil" w:sz="6" w:space="0" w:color="auto"/>
            </w:tcBorders>
          </w:tcPr>
          <w:p>
            <w:pPr>
              <w:pStyle w:val="TableParagraph"/>
              <w:spacing w:line="208" w:lineRule="exact"/>
              <w:ind w:right="219"/>
              <w:jc w:val="right"/>
              <w:rPr>
                <w:rFonts w:ascii="宋体" w:hAnsi="宋体" w:cs="宋体" w:eastAsia="宋体" w:hint="default"/>
                <w:sz w:val="16"/>
                <w:szCs w:val="16"/>
              </w:rPr>
            </w:pPr>
            <w:r>
              <w:rPr>
                <w:rFonts w:ascii="宋体"/>
                <w:spacing w:val="-2"/>
                <w:sz w:val="16"/>
              </w:rPr>
              <w:t>92,124,021.84</w:t>
            </w:r>
          </w:p>
        </w:tc>
        <w:tc>
          <w:tcPr>
            <w:tcW w:w="1607" w:type="dxa"/>
            <w:tcBorders>
              <w:top w:val="nil" w:sz="6" w:space="0" w:color="auto"/>
              <w:left w:val="nil" w:sz="6" w:space="0" w:color="auto"/>
              <w:bottom w:val="nil" w:sz="6" w:space="0" w:color="auto"/>
              <w:right w:val="nil" w:sz="6" w:space="0" w:color="auto"/>
            </w:tcBorders>
          </w:tcPr>
          <w:p>
            <w:pPr>
              <w:pStyle w:val="TableParagraph"/>
              <w:spacing w:line="208" w:lineRule="exact"/>
              <w:ind w:right="105"/>
              <w:jc w:val="right"/>
              <w:rPr>
                <w:rFonts w:ascii="宋体" w:hAnsi="宋体" w:cs="宋体" w:eastAsia="宋体" w:hint="default"/>
                <w:sz w:val="16"/>
                <w:szCs w:val="16"/>
              </w:rPr>
            </w:pPr>
            <w:r>
              <w:rPr>
                <w:rFonts w:ascii="宋体"/>
                <w:spacing w:val="-2"/>
                <w:sz w:val="16"/>
              </w:rPr>
              <w:t>299,170,010.23</w:t>
            </w:r>
          </w:p>
        </w:tc>
      </w:tr>
      <w:tr>
        <w:trPr>
          <w:trHeight w:val="256"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09" w:lineRule="exact"/>
              <w:ind w:left="122"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企业合并增加</w:t>
            </w:r>
          </w:p>
        </w:tc>
        <w:tc>
          <w:tcPr>
            <w:tcW w:w="2166" w:type="dxa"/>
            <w:tcBorders>
              <w:top w:val="nil" w:sz="6" w:space="0" w:color="auto"/>
              <w:left w:val="nil" w:sz="6" w:space="0" w:color="auto"/>
              <w:bottom w:val="nil" w:sz="6" w:space="0" w:color="auto"/>
              <w:right w:val="nil" w:sz="6" w:space="0" w:color="auto"/>
            </w:tcBorders>
          </w:tcPr>
          <w:p>
            <w:pPr>
              <w:pStyle w:val="TableParagraph"/>
              <w:spacing w:line="209" w:lineRule="exact"/>
              <w:ind w:right="273"/>
              <w:jc w:val="right"/>
              <w:rPr>
                <w:rFonts w:ascii="宋体" w:hAnsi="宋体" w:cs="宋体" w:eastAsia="宋体" w:hint="default"/>
                <w:sz w:val="16"/>
                <w:szCs w:val="16"/>
              </w:rPr>
            </w:pPr>
            <w:r>
              <w:rPr>
                <w:rFonts w:ascii="宋体"/>
                <w:spacing w:val="-1"/>
                <w:sz w:val="16"/>
              </w:rPr>
              <w:t>0.00</w:t>
            </w:r>
          </w:p>
        </w:tc>
        <w:tc>
          <w:tcPr>
            <w:tcW w:w="1635" w:type="dxa"/>
            <w:tcBorders>
              <w:top w:val="nil" w:sz="6" w:space="0" w:color="auto"/>
              <w:left w:val="nil" w:sz="6" w:space="0" w:color="auto"/>
              <w:bottom w:val="nil" w:sz="6" w:space="0" w:color="auto"/>
              <w:right w:val="nil" w:sz="6" w:space="0" w:color="auto"/>
            </w:tcBorders>
          </w:tcPr>
          <w:p>
            <w:pPr>
              <w:pStyle w:val="TableParagraph"/>
              <w:spacing w:line="209" w:lineRule="exact"/>
              <w:ind w:right="215"/>
              <w:jc w:val="right"/>
              <w:rPr>
                <w:rFonts w:ascii="宋体" w:hAnsi="宋体" w:cs="宋体" w:eastAsia="宋体" w:hint="default"/>
                <w:sz w:val="16"/>
                <w:szCs w:val="16"/>
              </w:rPr>
            </w:pPr>
            <w:r>
              <w:rPr>
                <w:rFonts w:ascii="宋体"/>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09" w:lineRule="exact"/>
              <w:ind w:right="254"/>
              <w:jc w:val="right"/>
              <w:rPr>
                <w:rFonts w:ascii="宋体" w:hAnsi="宋体" w:cs="宋体" w:eastAsia="宋体" w:hint="default"/>
                <w:sz w:val="16"/>
                <w:szCs w:val="16"/>
              </w:rPr>
            </w:pPr>
            <w:r>
              <w:rPr>
                <w:rFonts w:ascii="宋体"/>
                <w:spacing w:val="-1"/>
                <w:sz w:val="16"/>
              </w:rPr>
              <w:t>5,076.90</w:t>
            </w:r>
          </w:p>
        </w:tc>
        <w:tc>
          <w:tcPr>
            <w:tcW w:w="1663" w:type="dxa"/>
            <w:tcBorders>
              <w:top w:val="nil" w:sz="6" w:space="0" w:color="auto"/>
              <w:left w:val="nil" w:sz="6" w:space="0" w:color="auto"/>
              <w:bottom w:val="nil" w:sz="6" w:space="0" w:color="auto"/>
              <w:right w:val="nil" w:sz="6" w:space="0" w:color="auto"/>
            </w:tcBorders>
          </w:tcPr>
          <w:p>
            <w:pPr>
              <w:pStyle w:val="TableParagraph"/>
              <w:spacing w:line="209" w:lineRule="exact"/>
              <w:ind w:right="302"/>
              <w:jc w:val="right"/>
              <w:rPr>
                <w:rFonts w:ascii="宋体" w:hAnsi="宋体" w:cs="宋体" w:eastAsia="宋体" w:hint="default"/>
                <w:sz w:val="16"/>
                <w:szCs w:val="16"/>
              </w:rPr>
            </w:pPr>
            <w:r>
              <w:rPr>
                <w:rFonts w:ascii="宋体"/>
                <w:spacing w:val="-1"/>
                <w:sz w:val="16"/>
              </w:rPr>
              <w:t>0.00</w:t>
            </w:r>
          </w:p>
        </w:tc>
        <w:tc>
          <w:tcPr>
            <w:tcW w:w="1616" w:type="dxa"/>
            <w:tcBorders>
              <w:top w:val="nil" w:sz="6" w:space="0" w:color="auto"/>
              <w:left w:val="nil" w:sz="6" w:space="0" w:color="auto"/>
              <w:bottom w:val="nil" w:sz="6" w:space="0" w:color="auto"/>
              <w:right w:val="nil" w:sz="6" w:space="0" w:color="auto"/>
            </w:tcBorders>
          </w:tcPr>
          <w:p>
            <w:pPr>
              <w:pStyle w:val="TableParagraph"/>
              <w:spacing w:line="209" w:lineRule="exact"/>
              <w:ind w:right="267"/>
              <w:jc w:val="right"/>
              <w:rPr>
                <w:rFonts w:ascii="宋体" w:hAnsi="宋体" w:cs="宋体" w:eastAsia="宋体" w:hint="default"/>
                <w:sz w:val="16"/>
                <w:szCs w:val="16"/>
              </w:rPr>
            </w:pPr>
            <w:r>
              <w:rPr>
                <w:rFonts w:ascii="宋体"/>
                <w:spacing w:val="-1"/>
                <w:sz w:val="16"/>
              </w:rPr>
              <w:t>0.00</w:t>
            </w:r>
          </w:p>
        </w:tc>
        <w:tc>
          <w:tcPr>
            <w:tcW w:w="1619" w:type="dxa"/>
            <w:tcBorders>
              <w:top w:val="nil" w:sz="6" w:space="0" w:color="auto"/>
              <w:left w:val="nil" w:sz="6" w:space="0" w:color="auto"/>
              <w:bottom w:val="nil" w:sz="6" w:space="0" w:color="auto"/>
              <w:right w:val="nil" w:sz="6" w:space="0" w:color="auto"/>
            </w:tcBorders>
          </w:tcPr>
          <w:p>
            <w:pPr>
              <w:pStyle w:val="TableParagraph"/>
              <w:spacing w:line="209" w:lineRule="exact"/>
              <w:ind w:right="218"/>
              <w:jc w:val="right"/>
              <w:rPr>
                <w:rFonts w:ascii="宋体" w:hAnsi="宋体" w:cs="宋体" w:eastAsia="宋体" w:hint="default"/>
                <w:sz w:val="16"/>
                <w:szCs w:val="16"/>
              </w:rPr>
            </w:pPr>
            <w:r>
              <w:rPr>
                <w:rFonts w:ascii="宋体"/>
                <w:spacing w:val="-2"/>
                <w:sz w:val="16"/>
              </w:rPr>
              <w:t>124,930.96</w:t>
            </w:r>
          </w:p>
        </w:tc>
        <w:tc>
          <w:tcPr>
            <w:tcW w:w="1607" w:type="dxa"/>
            <w:tcBorders>
              <w:top w:val="nil" w:sz="6" w:space="0" w:color="auto"/>
              <w:left w:val="nil" w:sz="6" w:space="0" w:color="auto"/>
              <w:bottom w:val="nil" w:sz="6" w:space="0" w:color="auto"/>
              <w:right w:val="nil" w:sz="6" w:space="0" w:color="auto"/>
            </w:tcBorders>
          </w:tcPr>
          <w:p>
            <w:pPr>
              <w:pStyle w:val="TableParagraph"/>
              <w:spacing w:line="209" w:lineRule="exact"/>
              <w:ind w:right="105"/>
              <w:jc w:val="right"/>
              <w:rPr>
                <w:rFonts w:ascii="宋体" w:hAnsi="宋体" w:cs="宋体" w:eastAsia="宋体" w:hint="default"/>
                <w:sz w:val="16"/>
                <w:szCs w:val="16"/>
              </w:rPr>
            </w:pPr>
            <w:r>
              <w:rPr>
                <w:rFonts w:ascii="宋体"/>
                <w:spacing w:val="-2"/>
                <w:sz w:val="16"/>
              </w:rPr>
              <w:t>130,007.86</w:t>
            </w:r>
          </w:p>
        </w:tc>
      </w:tr>
      <w:tr>
        <w:trPr>
          <w:trHeight w:val="254"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07" w:lineRule="exact"/>
              <w:ind w:left="122"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其他变动增加</w:t>
            </w:r>
          </w:p>
        </w:tc>
        <w:tc>
          <w:tcPr>
            <w:tcW w:w="2166" w:type="dxa"/>
            <w:tcBorders>
              <w:top w:val="nil" w:sz="6" w:space="0" w:color="auto"/>
              <w:left w:val="nil" w:sz="6" w:space="0" w:color="auto"/>
              <w:bottom w:val="nil" w:sz="6" w:space="0" w:color="auto"/>
              <w:right w:val="nil" w:sz="6" w:space="0" w:color="auto"/>
            </w:tcBorders>
          </w:tcPr>
          <w:p>
            <w:pPr>
              <w:pStyle w:val="TableParagraph"/>
              <w:spacing w:line="207" w:lineRule="exact"/>
              <w:ind w:right="273"/>
              <w:jc w:val="right"/>
              <w:rPr>
                <w:rFonts w:ascii="宋体" w:hAnsi="宋体" w:cs="宋体" w:eastAsia="宋体" w:hint="default"/>
                <w:sz w:val="16"/>
                <w:szCs w:val="16"/>
              </w:rPr>
            </w:pPr>
            <w:r>
              <w:rPr>
                <w:rFonts w:ascii="宋体"/>
                <w:spacing w:val="-2"/>
                <w:sz w:val="16"/>
              </w:rPr>
              <w:t>145,517.06</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right="215"/>
              <w:jc w:val="right"/>
              <w:rPr>
                <w:rFonts w:ascii="宋体" w:hAnsi="宋体" w:cs="宋体" w:eastAsia="宋体" w:hint="default"/>
                <w:sz w:val="16"/>
                <w:szCs w:val="16"/>
              </w:rPr>
            </w:pPr>
            <w:r>
              <w:rPr>
                <w:rFonts w:ascii="宋体"/>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07" w:lineRule="exact"/>
              <w:ind w:right="254"/>
              <w:jc w:val="right"/>
              <w:rPr>
                <w:rFonts w:ascii="宋体" w:hAnsi="宋体" w:cs="宋体" w:eastAsia="宋体" w:hint="default"/>
                <w:sz w:val="16"/>
                <w:szCs w:val="16"/>
              </w:rPr>
            </w:pPr>
            <w:r>
              <w:rPr>
                <w:rFonts w:ascii="宋体"/>
                <w:spacing w:val="-2"/>
                <w:sz w:val="16"/>
              </w:rPr>
              <w:t>2,033,958.93</w:t>
            </w:r>
          </w:p>
        </w:tc>
        <w:tc>
          <w:tcPr>
            <w:tcW w:w="1663" w:type="dxa"/>
            <w:tcBorders>
              <w:top w:val="nil" w:sz="6" w:space="0" w:color="auto"/>
              <w:left w:val="nil" w:sz="6" w:space="0" w:color="auto"/>
              <w:bottom w:val="nil" w:sz="6" w:space="0" w:color="auto"/>
              <w:right w:val="nil" w:sz="6" w:space="0" w:color="auto"/>
            </w:tcBorders>
          </w:tcPr>
          <w:p>
            <w:pPr>
              <w:pStyle w:val="TableParagraph"/>
              <w:spacing w:line="207" w:lineRule="exact"/>
              <w:ind w:right="302"/>
              <w:jc w:val="right"/>
              <w:rPr>
                <w:rFonts w:ascii="宋体" w:hAnsi="宋体" w:cs="宋体" w:eastAsia="宋体" w:hint="default"/>
                <w:sz w:val="16"/>
                <w:szCs w:val="16"/>
              </w:rPr>
            </w:pPr>
            <w:r>
              <w:rPr>
                <w:rFonts w:ascii="宋体"/>
                <w:spacing w:val="-2"/>
                <w:sz w:val="16"/>
              </w:rPr>
              <w:t>48,348.00</w:t>
            </w:r>
          </w:p>
        </w:tc>
        <w:tc>
          <w:tcPr>
            <w:tcW w:w="1616" w:type="dxa"/>
            <w:tcBorders>
              <w:top w:val="nil" w:sz="6" w:space="0" w:color="auto"/>
              <w:left w:val="nil" w:sz="6" w:space="0" w:color="auto"/>
              <w:bottom w:val="nil" w:sz="6" w:space="0" w:color="auto"/>
              <w:right w:val="nil" w:sz="6" w:space="0" w:color="auto"/>
            </w:tcBorders>
          </w:tcPr>
          <w:p>
            <w:pPr>
              <w:pStyle w:val="TableParagraph"/>
              <w:spacing w:line="207" w:lineRule="exact"/>
              <w:ind w:right="267"/>
              <w:jc w:val="right"/>
              <w:rPr>
                <w:rFonts w:ascii="宋体" w:hAnsi="宋体" w:cs="宋体" w:eastAsia="宋体" w:hint="default"/>
                <w:sz w:val="16"/>
                <w:szCs w:val="16"/>
              </w:rPr>
            </w:pPr>
            <w:r>
              <w:rPr>
                <w:rFonts w:ascii="宋体"/>
                <w:spacing w:val="-1"/>
                <w:sz w:val="16"/>
              </w:rPr>
              <w:t>0.00</w:t>
            </w:r>
          </w:p>
        </w:tc>
        <w:tc>
          <w:tcPr>
            <w:tcW w:w="1619" w:type="dxa"/>
            <w:tcBorders>
              <w:top w:val="nil" w:sz="6" w:space="0" w:color="auto"/>
              <w:left w:val="nil" w:sz="6" w:space="0" w:color="auto"/>
              <w:bottom w:val="nil" w:sz="6" w:space="0" w:color="auto"/>
              <w:right w:val="nil" w:sz="6" w:space="0" w:color="auto"/>
            </w:tcBorders>
          </w:tcPr>
          <w:p>
            <w:pPr>
              <w:pStyle w:val="TableParagraph"/>
              <w:spacing w:line="207" w:lineRule="exact"/>
              <w:ind w:right="219"/>
              <w:jc w:val="right"/>
              <w:rPr>
                <w:rFonts w:ascii="宋体" w:hAnsi="宋体" w:cs="宋体" w:eastAsia="宋体" w:hint="default"/>
                <w:sz w:val="16"/>
                <w:szCs w:val="16"/>
              </w:rPr>
            </w:pPr>
            <w:r>
              <w:rPr>
                <w:rFonts w:ascii="宋体"/>
                <w:spacing w:val="-2"/>
                <w:sz w:val="16"/>
              </w:rPr>
              <w:t>2,385,488.32</w:t>
            </w:r>
          </w:p>
        </w:tc>
        <w:tc>
          <w:tcPr>
            <w:tcW w:w="1607" w:type="dxa"/>
            <w:tcBorders>
              <w:top w:val="nil" w:sz="6" w:space="0" w:color="auto"/>
              <w:left w:val="nil" w:sz="6" w:space="0" w:color="auto"/>
              <w:bottom w:val="nil" w:sz="6" w:space="0" w:color="auto"/>
              <w:right w:val="nil" w:sz="6" w:space="0" w:color="auto"/>
            </w:tcBorders>
          </w:tcPr>
          <w:p>
            <w:pPr>
              <w:pStyle w:val="TableParagraph"/>
              <w:spacing w:line="207" w:lineRule="exact"/>
              <w:ind w:right="105"/>
              <w:jc w:val="right"/>
              <w:rPr>
                <w:rFonts w:ascii="宋体" w:hAnsi="宋体" w:cs="宋体" w:eastAsia="宋体" w:hint="default"/>
                <w:sz w:val="16"/>
                <w:szCs w:val="16"/>
              </w:rPr>
            </w:pPr>
            <w:r>
              <w:rPr>
                <w:rFonts w:ascii="宋体"/>
                <w:spacing w:val="-2"/>
                <w:sz w:val="16"/>
              </w:rPr>
              <w:t>4,613,312.31</w:t>
            </w:r>
          </w:p>
        </w:tc>
      </w:tr>
      <w:tr>
        <w:trPr>
          <w:trHeight w:val="254"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07" w:lineRule="exact"/>
              <w:ind w:left="122"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本年减少金额</w:t>
            </w:r>
          </w:p>
        </w:tc>
        <w:tc>
          <w:tcPr>
            <w:tcW w:w="2166" w:type="dxa"/>
            <w:tcBorders>
              <w:top w:val="nil" w:sz="6" w:space="0" w:color="auto"/>
              <w:left w:val="nil" w:sz="6" w:space="0" w:color="auto"/>
              <w:bottom w:val="nil" w:sz="6" w:space="0" w:color="auto"/>
              <w:right w:val="nil" w:sz="6" w:space="0" w:color="auto"/>
            </w:tcBorders>
          </w:tcPr>
          <w:p>
            <w:pPr>
              <w:pStyle w:val="TableParagraph"/>
              <w:spacing w:line="207" w:lineRule="exact"/>
              <w:ind w:right="274"/>
              <w:jc w:val="right"/>
              <w:rPr>
                <w:rFonts w:ascii="宋体" w:hAnsi="宋体" w:cs="宋体" w:eastAsia="宋体" w:hint="default"/>
                <w:sz w:val="16"/>
                <w:szCs w:val="16"/>
              </w:rPr>
            </w:pPr>
            <w:r>
              <w:rPr>
                <w:rFonts w:ascii="宋体"/>
                <w:spacing w:val="-2"/>
                <w:sz w:val="16"/>
              </w:rPr>
              <w:t>4,518,785.59</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right="215"/>
              <w:jc w:val="right"/>
              <w:rPr>
                <w:rFonts w:ascii="宋体" w:hAnsi="宋体" w:cs="宋体" w:eastAsia="宋体" w:hint="default"/>
                <w:sz w:val="16"/>
                <w:szCs w:val="16"/>
              </w:rPr>
            </w:pPr>
            <w:r>
              <w:rPr>
                <w:rFonts w:ascii="宋体"/>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07" w:lineRule="exact"/>
              <w:ind w:right="254"/>
              <w:jc w:val="right"/>
              <w:rPr>
                <w:rFonts w:ascii="宋体" w:hAnsi="宋体" w:cs="宋体" w:eastAsia="宋体" w:hint="default"/>
                <w:sz w:val="16"/>
                <w:szCs w:val="16"/>
              </w:rPr>
            </w:pPr>
            <w:r>
              <w:rPr>
                <w:rFonts w:ascii="宋体"/>
                <w:spacing w:val="-1"/>
                <w:sz w:val="16"/>
              </w:rPr>
              <w:t>0.00</w:t>
            </w:r>
          </w:p>
        </w:tc>
        <w:tc>
          <w:tcPr>
            <w:tcW w:w="1663" w:type="dxa"/>
            <w:tcBorders>
              <w:top w:val="nil" w:sz="6" w:space="0" w:color="auto"/>
              <w:left w:val="nil" w:sz="6" w:space="0" w:color="auto"/>
              <w:bottom w:val="nil" w:sz="6" w:space="0" w:color="auto"/>
              <w:right w:val="nil" w:sz="6" w:space="0" w:color="auto"/>
            </w:tcBorders>
          </w:tcPr>
          <w:p>
            <w:pPr>
              <w:pStyle w:val="TableParagraph"/>
              <w:spacing w:line="207" w:lineRule="exact"/>
              <w:ind w:right="302"/>
              <w:jc w:val="right"/>
              <w:rPr>
                <w:rFonts w:ascii="宋体" w:hAnsi="宋体" w:cs="宋体" w:eastAsia="宋体" w:hint="default"/>
                <w:sz w:val="16"/>
                <w:szCs w:val="16"/>
              </w:rPr>
            </w:pPr>
            <w:r>
              <w:rPr>
                <w:rFonts w:ascii="宋体"/>
                <w:spacing w:val="-1"/>
                <w:sz w:val="16"/>
              </w:rPr>
              <w:t>0.00</w:t>
            </w:r>
          </w:p>
        </w:tc>
        <w:tc>
          <w:tcPr>
            <w:tcW w:w="1616" w:type="dxa"/>
            <w:tcBorders>
              <w:top w:val="nil" w:sz="6" w:space="0" w:color="auto"/>
              <w:left w:val="nil" w:sz="6" w:space="0" w:color="auto"/>
              <w:bottom w:val="nil" w:sz="6" w:space="0" w:color="auto"/>
              <w:right w:val="nil" w:sz="6" w:space="0" w:color="auto"/>
            </w:tcBorders>
          </w:tcPr>
          <w:p>
            <w:pPr>
              <w:pStyle w:val="TableParagraph"/>
              <w:spacing w:line="207" w:lineRule="exact"/>
              <w:ind w:right="267"/>
              <w:jc w:val="right"/>
              <w:rPr>
                <w:rFonts w:ascii="宋体" w:hAnsi="宋体" w:cs="宋体" w:eastAsia="宋体" w:hint="default"/>
                <w:sz w:val="16"/>
                <w:szCs w:val="16"/>
              </w:rPr>
            </w:pPr>
            <w:r>
              <w:rPr>
                <w:rFonts w:ascii="宋体"/>
                <w:spacing w:val="-1"/>
                <w:sz w:val="16"/>
              </w:rPr>
              <w:t>0.00</w:t>
            </w:r>
          </w:p>
        </w:tc>
        <w:tc>
          <w:tcPr>
            <w:tcW w:w="1619" w:type="dxa"/>
            <w:tcBorders>
              <w:top w:val="nil" w:sz="6" w:space="0" w:color="auto"/>
              <w:left w:val="nil" w:sz="6" w:space="0" w:color="auto"/>
              <w:bottom w:val="nil" w:sz="6" w:space="0" w:color="auto"/>
              <w:right w:val="nil" w:sz="6" w:space="0" w:color="auto"/>
            </w:tcBorders>
          </w:tcPr>
          <w:p>
            <w:pPr>
              <w:pStyle w:val="TableParagraph"/>
              <w:spacing w:line="207" w:lineRule="exact"/>
              <w:ind w:right="218"/>
              <w:jc w:val="right"/>
              <w:rPr>
                <w:rFonts w:ascii="宋体" w:hAnsi="宋体" w:cs="宋体" w:eastAsia="宋体" w:hint="default"/>
                <w:sz w:val="16"/>
                <w:szCs w:val="16"/>
              </w:rPr>
            </w:pPr>
            <w:r>
              <w:rPr>
                <w:rFonts w:ascii="宋体"/>
                <w:spacing w:val="-2"/>
                <w:sz w:val="16"/>
              </w:rPr>
              <w:t>557,850.74</w:t>
            </w:r>
          </w:p>
        </w:tc>
        <w:tc>
          <w:tcPr>
            <w:tcW w:w="1607" w:type="dxa"/>
            <w:tcBorders>
              <w:top w:val="nil" w:sz="6" w:space="0" w:color="auto"/>
              <w:left w:val="nil" w:sz="6" w:space="0" w:color="auto"/>
              <w:bottom w:val="nil" w:sz="6" w:space="0" w:color="auto"/>
              <w:right w:val="nil" w:sz="6" w:space="0" w:color="auto"/>
            </w:tcBorders>
          </w:tcPr>
          <w:p>
            <w:pPr>
              <w:pStyle w:val="TableParagraph"/>
              <w:spacing w:line="207" w:lineRule="exact"/>
              <w:ind w:right="105"/>
              <w:jc w:val="right"/>
              <w:rPr>
                <w:rFonts w:ascii="宋体" w:hAnsi="宋体" w:cs="宋体" w:eastAsia="宋体" w:hint="default"/>
                <w:sz w:val="16"/>
                <w:szCs w:val="16"/>
              </w:rPr>
            </w:pPr>
            <w:r>
              <w:rPr>
                <w:rFonts w:ascii="宋体"/>
                <w:spacing w:val="-2"/>
                <w:sz w:val="16"/>
              </w:rPr>
              <w:t>5,076,636.33</w:t>
            </w:r>
          </w:p>
        </w:tc>
      </w:tr>
      <w:tr>
        <w:trPr>
          <w:trHeight w:val="256"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07" w:lineRule="exact"/>
              <w:ind w:left="122"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处置</w:t>
            </w:r>
          </w:p>
        </w:tc>
        <w:tc>
          <w:tcPr>
            <w:tcW w:w="2166" w:type="dxa"/>
            <w:tcBorders>
              <w:top w:val="nil" w:sz="6" w:space="0" w:color="auto"/>
              <w:left w:val="nil" w:sz="6" w:space="0" w:color="auto"/>
              <w:bottom w:val="nil" w:sz="6" w:space="0" w:color="auto"/>
              <w:right w:val="nil" w:sz="6" w:space="0" w:color="auto"/>
            </w:tcBorders>
          </w:tcPr>
          <w:p>
            <w:pPr>
              <w:pStyle w:val="TableParagraph"/>
              <w:spacing w:line="207" w:lineRule="exact"/>
              <w:ind w:right="274"/>
              <w:jc w:val="right"/>
              <w:rPr>
                <w:rFonts w:ascii="宋体" w:hAnsi="宋体" w:cs="宋体" w:eastAsia="宋体" w:hint="default"/>
                <w:sz w:val="16"/>
                <w:szCs w:val="16"/>
              </w:rPr>
            </w:pPr>
            <w:r>
              <w:rPr>
                <w:rFonts w:ascii="宋体"/>
                <w:spacing w:val="-2"/>
                <w:sz w:val="16"/>
              </w:rPr>
              <w:t>4,518,785.59</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right="215"/>
              <w:jc w:val="right"/>
              <w:rPr>
                <w:rFonts w:ascii="宋体" w:hAnsi="宋体" w:cs="宋体" w:eastAsia="宋体" w:hint="default"/>
                <w:sz w:val="16"/>
                <w:szCs w:val="16"/>
              </w:rPr>
            </w:pPr>
            <w:r>
              <w:rPr>
                <w:rFonts w:ascii="宋体"/>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07" w:lineRule="exact"/>
              <w:ind w:right="254"/>
              <w:jc w:val="right"/>
              <w:rPr>
                <w:rFonts w:ascii="宋体" w:hAnsi="宋体" w:cs="宋体" w:eastAsia="宋体" w:hint="default"/>
                <w:sz w:val="16"/>
                <w:szCs w:val="16"/>
              </w:rPr>
            </w:pPr>
            <w:r>
              <w:rPr>
                <w:rFonts w:ascii="宋体"/>
                <w:spacing w:val="-1"/>
                <w:sz w:val="16"/>
              </w:rPr>
              <w:t>0.00</w:t>
            </w:r>
          </w:p>
        </w:tc>
        <w:tc>
          <w:tcPr>
            <w:tcW w:w="1663" w:type="dxa"/>
            <w:tcBorders>
              <w:top w:val="nil" w:sz="6" w:space="0" w:color="auto"/>
              <w:left w:val="nil" w:sz="6" w:space="0" w:color="auto"/>
              <w:bottom w:val="nil" w:sz="6" w:space="0" w:color="auto"/>
              <w:right w:val="nil" w:sz="6" w:space="0" w:color="auto"/>
            </w:tcBorders>
          </w:tcPr>
          <w:p>
            <w:pPr>
              <w:pStyle w:val="TableParagraph"/>
              <w:spacing w:line="207" w:lineRule="exact"/>
              <w:ind w:right="302"/>
              <w:jc w:val="right"/>
              <w:rPr>
                <w:rFonts w:ascii="宋体" w:hAnsi="宋体" w:cs="宋体" w:eastAsia="宋体" w:hint="default"/>
                <w:sz w:val="16"/>
                <w:szCs w:val="16"/>
              </w:rPr>
            </w:pPr>
            <w:r>
              <w:rPr>
                <w:rFonts w:ascii="宋体"/>
                <w:spacing w:val="-1"/>
                <w:sz w:val="16"/>
              </w:rPr>
              <w:t>0.00</w:t>
            </w:r>
          </w:p>
        </w:tc>
        <w:tc>
          <w:tcPr>
            <w:tcW w:w="1616" w:type="dxa"/>
            <w:tcBorders>
              <w:top w:val="nil" w:sz="6" w:space="0" w:color="auto"/>
              <w:left w:val="nil" w:sz="6" w:space="0" w:color="auto"/>
              <w:bottom w:val="nil" w:sz="6" w:space="0" w:color="auto"/>
              <w:right w:val="nil" w:sz="6" w:space="0" w:color="auto"/>
            </w:tcBorders>
          </w:tcPr>
          <w:p>
            <w:pPr>
              <w:pStyle w:val="TableParagraph"/>
              <w:spacing w:line="207" w:lineRule="exact"/>
              <w:ind w:right="267"/>
              <w:jc w:val="right"/>
              <w:rPr>
                <w:rFonts w:ascii="宋体" w:hAnsi="宋体" w:cs="宋体" w:eastAsia="宋体" w:hint="default"/>
                <w:sz w:val="16"/>
                <w:szCs w:val="16"/>
              </w:rPr>
            </w:pPr>
            <w:r>
              <w:rPr>
                <w:rFonts w:ascii="宋体"/>
                <w:spacing w:val="-1"/>
                <w:sz w:val="16"/>
              </w:rPr>
              <w:t>0.00</w:t>
            </w:r>
          </w:p>
        </w:tc>
        <w:tc>
          <w:tcPr>
            <w:tcW w:w="1619" w:type="dxa"/>
            <w:tcBorders>
              <w:top w:val="nil" w:sz="6" w:space="0" w:color="auto"/>
              <w:left w:val="nil" w:sz="6" w:space="0" w:color="auto"/>
              <w:bottom w:val="nil" w:sz="6" w:space="0" w:color="auto"/>
              <w:right w:val="nil" w:sz="6" w:space="0" w:color="auto"/>
            </w:tcBorders>
          </w:tcPr>
          <w:p>
            <w:pPr>
              <w:pStyle w:val="TableParagraph"/>
              <w:spacing w:line="207" w:lineRule="exact"/>
              <w:ind w:right="218"/>
              <w:jc w:val="right"/>
              <w:rPr>
                <w:rFonts w:ascii="宋体" w:hAnsi="宋体" w:cs="宋体" w:eastAsia="宋体" w:hint="default"/>
                <w:sz w:val="16"/>
                <w:szCs w:val="16"/>
              </w:rPr>
            </w:pPr>
            <w:r>
              <w:rPr>
                <w:rFonts w:ascii="宋体"/>
                <w:spacing w:val="-2"/>
                <w:sz w:val="16"/>
              </w:rPr>
              <w:t>557,850.74</w:t>
            </w:r>
          </w:p>
        </w:tc>
        <w:tc>
          <w:tcPr>
            <w:tcW w:w="1607" w:type="dxa"/>
            <w:tcBorders>
              <w:top w:val="nil" w:sz="6" w:space="0" w:color="auto"/>
              <w:left w:val="nil" w:sz="6" w:space="0" w:color="auto"/>
              <w:bottom w:val="nil" w:sz="6" w:space="0" w:color="auto"/>
              <w:right w:val="nil" w:sz="6" w:space="0" w:color="auto"/>
            </w:tcBorders>
          </w:tcPr>
          <w:p>
            <w:pPr>
              <w:pStyle w:val="TableParagraph"/>
              <w:spacing w:line="207" w:lineRule="exact"/>
              <w:ind w:right="105"/>
              <w:jc w:val="right"/>
              <w:rPr>
                <w:rFonts w:ascii="宋体" w:hAnsi="宋体" w:cs="宋体" w:eastAsia="宋体" w:hint="default"/>
                <w:sz w:val="16"/>
                <w:szCs w:val="16"/>
              </w:rPr>
            </w:pPr>
            <w:r>
              <w:rPr>
                <w:rFonts w:ascii="宋体"/>
                <w:spacing w:val="-2"/>
                <w:sz w:val="16"/>
              </w:rPr>
              <w:t>5,076,636.33</w:t>
            </w:r>
          </w:p>
        </w:tc>
      </w:tr>
      <w:tr>
        <w:trPr>
          <w:trHeight w:val="261" w:hRule="exact"/>
        </w:trPr>
        <w:tc>
          <w:tcPr>
            <w:tcW w:w="2081" w:type="dxa"/>
            <w:tcBorders>
              <w:top w:val="nil" w:sz="6" w:space="0" w:color="auto"/>
              <w:left w:val="nil" w:sz="6" w:space="0" w:color="auto"/>
              <w:bottom w:val="single" w:sz="4" w:space="0" w:color="000000"/>
              <w:right w:val="nil" w:sz="6" w:space="0" w:color="auto"/>
            </w:tcBorders>
          </w:tcPr>
          <w:p>
            <w:pPr>
              <w:pStyle w:val="TableParagraph"/>
              <w:spacing w:line="209" w:lineRule="exact"/>
              <w:ind w:left="122"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年末余额</w:t>
            </w:r>
          </w:p>
        </w:tc>
        <w:tc>
          <w:tcPr>
            <w:tcW w:w="2166" w:type="dxa"/>
            <w:tcBorders>
              <w:top w:val="nil" w:sz="6" w:space="0" w:color="auto"/>
              <w:left w:val="nil" w:sz="6" w:space="0" w:color="auto"/>
              <w:bottom w:val="single" w:sz="4" w:space="0" w:color="000000"/>
              <w:right w:val="nil" w:sz="6" w:space="0" w:color="auto"/>
            </w:tcBorders>
          </w:tcPr>
          <w:p>
            <w:pPr>
              <w:pStyle w:val="TableParagraph"/>
              <w:spacing w:line="209" w:lineRule="exact"/>
              <w:ind w:right="274"/>
              <w:jc w:val="right"/>
              <w:rPr>
                <w:rFonts w:ascii="宋体" w:hAnsi="宋体" w:cs="宋体" w:eastAsia="宋体" w:hint="default"/>
                <w:sz w:val="16"/>
                <w:szCs w:val="16"/>
              </w:rPr>
            </w:pPr>
            <w:r>
              <w:rPr>
                <w:rFonts w:ascii="宋体"/>
                <w:spacing w:val="-2"/>
                <w:sz w:val="16"/>
              </w:rPr>
              <w:t>110,978,969.37</w:t>
            </w:r>
          </w:p>
        </w:tc>
        <w:tc>
          <w:tcPr>
            <w:tcW w:w="1635" w:type="dxa"/>
            <w:tcBorders>
              <w:top w:val="nil" w:sz="6" w:space="0" w:color="auto"/>
              <w:left w:val="nil" w:sz="6" w:space="0" w:color="auto"/>
              <w:bottom w:val="single" w:sz="4" w:space="0" w:color="000000"/>
              <w:right w:val="nil" w:sz="6" w:space="0" w:color="auto"/>
            </w:tcBorders>
          </w:tcPr>
          <w:p>
            <w:pPr>
              <w:pStyle w:val="TableParagraph"/>
              <w:spacing w:line="209" w:lineRule="exact"/>
              <w:ind w:right="216"/>
              <w:jc w:val="right"/>
              <w:rPr>
                <w:rFonts w:ascii="宋体" w:hAnsi="宋体" w:cs="宋体" w:eastAsia="宋体" w:hint="default"/>
                <w:sz w:val="16"/>
                <w:szCs w:val="16"/>
              </w:rPr>
            </w:pPr>
            <w:r>
              <w:rPr>
                <w:rFonts w:ascii="宋体"/>
                <w:spacing w:val="-2"/>
                <w:sz w:val="16"/>
              </w:rPr>
              <w:t>365,937.59</w:t>
            </w:r>
          </w:p>
        </w:tc>
        <w:tc>
          <w:tcPr>
            <w:tcW w:w="1822" w:type="dxa"/>
            <w:tcBorders>
              <w:top w:val="nil" w:sz="6" w:space="0" w:color="auto"/>
              <w:left w:val="nil" w:sz="6" w:space="0" w:color="auto"/>
              <w:bottom w:val="single" w:sz="4" w:space="0" w:color="000000"/>
              <w:right w:val="nil" w:sz="6" w:space="0" w:color="auto"/>
            </w:tcBorders>
          </w:tcPr>
          <w:p>
            <w:pPr>
              <w:pStyle w:val="TableParagraph"/>
              <w:spacing w:line="209" w:lineRule="exact"/>
              <w:ind w:right="254"/>
              <w:jc w:val="right"/>
              <w:rPr>
                <w:rFonts w:ascii="宋体" w:hAnsi="宋体" w:cs="宋体" w:eastAsia="宋体" w:hint="default"/>
                <w:sz w:val="16"/>
                <w:szCs w:val="16"/>
              </w:rPr>
            </w:pPr>
            <w:r>
              <w:rPr>
                <w:rFonts w:ascii="宋体"/>
                <w:spacing w:val="-2"/>
                <w:sz w:val="16"/>
              </w:rPr>
              <w:t>972,469,072.44</w:t>
            </w:r>
          </w:p>
        </w:tc>
        <w:tc>
          <w:tcPr>
            <w:tcW w:w="1663" w:type="dxa"/>
            <w:tcBorders>
              <w:top w:val="nil" w:sz="6" w:space="0" w:color="auto"/>
              <w:left w:val="nil" w:sz="6" w:space="0" w:color="auto"/>
              <w:bottom w:val="single" w:sz="4" w:space="0" w:color="000000"/>
              <w:right w:val="nil" w:sz="6" w:space="0" w:color="auto"/>
            </w:tcBorders>
          </w:tcPr>
          <w:p>
            <w:pPr>
              <w:pStyle w:val="TableParagraph"/>
              <w:spacing w:line="209" w:lineRule="exact"/>
              <w:ind w:right="302"/>
              <w:jc w:val="right"/>
              <w:rPr>
                <w:rFonts w:ascii="宋体" w:hAnsi="宋体" w:cs="宋体" w:eastAsia="宋体" w:hint="default"/>
                <w:sz w:val="16"/>
                <w:szCs w:val="16"/>
              </w:rPr>
            </w:pPr>
            <w:r>
              <w:rPr>
                <w:rFonts w:ascii="宋体"/>
                <w:spacing w:val="-2"/>
                <w:sz w:val="16"/>
              </w:rPr>
              <w:t>2,102,880.00</w:t>
            </w:r>
          </w:p>
        </w:tc>
        <w:tc>
          <w:tcPr>
            <w:tcW w:w="1616" w:type="dxa"/>
            <w:tcBorders>
              <w:top w:val="nil" w:sz="6" w:space="0" w:color="auto"/>
              <w:left w:val="nil" w:sz="6" w:space="0" w:color="auto"/>
              <w:bottom w:val="single" w:sz="4" w:space="0" w:color="000000"/>
              <w:right w:val="nil" w:sz="6" w:space="0" w:color="auto"/>
            </w:tcBorders>
          </w:tcPr>
          <w:p>
            <w:pPr>
              <w:pStyle w:val="TableParagraph"/>
              <w:spacing w:line="209" w:lineRule="exact"/>
              <w:ind w:right="267"/>
              <w:jc w:val="right"/>
              <w:rPr>
                <w:rFonts w:ascii="宋体" w:hAnsi="宋体" w:cs="宋体" w:eastAsia="宋体" w:hint="default"/>
                <w:sz w:val="16"/>
                <w:szCs w:val="16"/>
              </w:rPr>
            </w:pPr>
            <w:r>
              <w:rPr>
                <w:rFonts w:ascii="宋体"/>
                <w:spacing w:val="-1"/>
                <w:sz w:val="16"/>
              </w:rPr>
              <w:t>0.00</w:t>
            </w:r>
          </w:p>
        </w:tc>
        <w:tc>
          <w:tcPr>
            <w:tcW w:w="1619" w:type="dxa"/>
            <w:tcBorders>
              <w:top w:val="nil" w:sz="6" w:space="0" w:color="auto"/>
              <w:left w:val="nil" w:sz="6" w:space="0" w:color="auto"/>
              <w:bottom w:val="single" w:sz="4" w:space="0" w:color="000000"/>
              <w:right w:val="nil" w:sz="6" w:space="0" w:color="auto"/>
            </w:tcBorders>
          </w:tcPr>
          <w:p>
            <w:pPr>
              <w:pStyle w:val="TableParagraph"/>
              <w:spacing w:line="209" w:lineRule="exact"/>
              <w:ind w:right="219"/>
              <w:jc w:val="right"/>
              <w:rPr>
                <w:rFonts w:ascii="宋体" w:hAnsi="宋体" w:cs="宋体" w:eastAsia="宋体" w:hint="default"/>
                <w:sz w:val="16"/>
                <w:szCs w:val="16"/>
              </w:rPr>
            </w:pPr>
            <w:r>
              <w:rPr>
                <w:rFonts w:ascii="宋体"/>
                <w:spacing w:val="-2"/>
                <w:sz w:val="16"/>
              </w:rPr>
              <w:t>526,647,196.31</w:t>
            </w:r>
          </w:p>
        </w:tc>
        <w:tc>
          <w:tcPr>
            <w:tcW w:w="1607" w:type="dxa"/>
            <w:tcBorders>
              <w:top w:val="nil" w:sz="6" w:space="0" w:color="auto"/>
              <w:left w:val="nil" w:sz="6" w:space="0" w:color="auto"/>
              <w:bottom w:val="single" w:sz="4" w:space="0" w:color="000000"/>
              <w:right w:val="nil" w:sz="6" w:space="0" w:color="auto"/>
            </w:tcBorders>
          </w:tcPr>
          <w:p>
            <w:pPr>
              <w:pStyle w:val="TableParagraph"/>
              <w:spacing w:line="209" w:lineRule="exact"/>
              <w:ind w:right="105"/>
              <w:jc w:val="right"/>
              <w:rPr>
                <w:rFonts w:ascii="宋体" w:hAnsi="宋体" w:cs="宋体" w:eastAsia="宋体" w:hint="default"/>
                <w:sz w:val="16"/>
                <w:szCs w:val="16"/>
              </w:rPr>
            </w:pPr>
            <w:r>
              <w:rPr>
                <w:rFonts w:ascii="宋体"/>
                <w:spacing w:val="-2"/>
                <w:sz w:val="16"/>
              </w:rPr>
              <w:t>1,612,564,055.71</w:t>
            </w:r>
          </w:p>
        </w:tc>
      </w:tr>
      <w:tr>
        <w:trPr>
          <w:trHeight w:val="252" w:hRule="exact"/>
        </w:trPr>
        <w:tc>
          <w:tcPr>
            <w:tcW w:w="2081" w:type="dxa"/>
            <w:tcBorders>
              <w:top w:val="single" w:sz="4" w:space="0" w:color="000000"/>
              <w:left w:val="nil" w:sz="6" w:space="0" w:color="auto"/>
              <w:bottom w:val="nil" w:sz="6" w:space="0" w:color="auto"/>
              <w:right w:val="nil" w:sz="6" w:space="0" w:color="auto"/>
            </w:tcBorders>
          </w:tcPr>
          <w:p>
            <w:pPr>
              <w:pStyle w:val="TableParagraph"/>
              <w:spacing w:line="203" w:lineRule="exact"/>
              <w:ind w:left="122" w:right="0"/>
              <w:jc w:val="left"/>
              <w:rPr>
                <w:rFonts w:ascii="宋体" w:hAnsi="宋体" w:cs="宋体" w:eastAsia="宋体" w:hint="default"/>
                <w:sz w:val="16"/>
                <w:szCs w:val="16"/>
              </w:rPr>
            </w:pPr>
            <w:r>
              <w:rPr>
                <w:rFonts w:ascii="宋体" w:hAnsi="宋体" w:cs="宋体" w:eastAsia="宋体" w:hint="default"/>
                <w:sz w:val="16"/>
                <w:szCs w:val="16"/>
              </w:rPr>
              <w:t>三、减值准备</w:t>
            </w:r>
          </w:p>
        </w:tc>
        <w:tc>
          <w:tcPr>
            <w:tcW w:w="2166" w:type="dxa"/>
            <w:tcBorders>
              <w:top w:val="single" w:sz="4" w:space="0" w:color="000000"/>
              <w:left w:val="nil" w:sz="6" w:space="0" w:color="auto"/>
              <w:bottom w:val="nil" w:sz="6" w:space="0" w:color="auto"/>
              <w:right w:val="nil" w:sz="6" w:space="0" w:color="auto"/>
            </w:tcBorders>
          </w:tcPr>
          <w:p>
            <w:pPr/>
          </w:p>
        </w:tc>
        <w:tc>
          <w:tcPr>
            <w:tcW w:w="1635" w:type="dxa"/>
            <w:tcBorders>
              <w:top w:val="single" w:sz="4" w:space="0" w:color="000000"/>
              <w:left w:val="nil" w:sz="6" w:space="0" w:color="auto"/>
              <w:bottom w:val="nil" w:sz="6" w:space="0" w:color="auto"/>
              <w:right w:val="nil" w:sz="6" w:space="0" w:color="auto"/>
            </w:tcBorders>
          </w:tcPr>
          <w:p>
            <w:pPr/>
          </w:p>
        </w:tc>
        <w:tc>
          <w:tcPr>
            <w:tcW w:w="1822" w:type="dxa"/>
            <w:tcBorders>
              <w:top w:val="single" w:sz="4" w:space="0" w:color="000000"/>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nil" w:sz="6" w:space="0" w:color="auto"/>
              <w:right w:val="nil" w:sz="6" w:space="0" w:color="auto"/>
            </w:tcBorders>
          </w:tcPr>
          <w:p>
            <w:pPr/>
          </w:p>
        </w:tc>
        <w:tc>
          <w:tcPr>
            <w:tcW w:w="1616" w:type="dxa"/>
            <w:tcBorders>
              <w:top w:val="single" w:sz="4" w:space="0" w:color="000000"/>
              <w:left w:val="nil" w:sz="6" w:space="0" w:color="auto"/>
              <w:bottom w:val="nil" w:sz="6" w:space="0" w:color="auto"/>
              <w:right w:val="nil" w:sz="6" w:space="0" w:color="auto"/>
            </w:tcBorders>
          </w:tcPr>
          <w:p>
            <w:pPr/>
          </w:p>
        </w:tc>
        <w:tc>
          <w:tcPr>
            <w:tcW w:w="1619" w:type="dxa"/>
            <w:tcBorders>
              <w:top w:val="single" w:sz="4" w:space="0" w:color="000000"/>
              <w:left w:val="nil" w:sz="6" w:space="0" w:color="auto"/>
              <w:bottom w:val="nil" w:sz="6" w:space="0" w:color="auto"/>
              <w:right w:val="nil" w:sz="6" w:space="0" w:color="auto"/>
            </w:tcBorders>
          </w:tcPr>
          <w:p>
            <w:pPr/>
          </w:p>
        </w:tc>
        <w:tc>
          <w:tcPr>
            <w:tcW w:w="1607" w:type="dxa"/>
            <w:tcBorders>
              <w:top w:val="single" w:sz="4" w:space="0" w:color="000000"/>
              <w:left w:val="nil" w:sz="6" w:space="0" w:color="auto"/>
              <w:bottom w:val="nil" w:sz="6" w:space="0" w:color="auto"/>
              <w:right w:val="nil" w:sz="6" w:space="0" w:color="auto"/>
            </w:tcBorders>
          </w:tcPr>
          <w:p>
            <w:pPr/>
          </w:p>
        </w:tc>
      </w:tr>
      <w:tr>
        <w:trPr>
          <w:trHeight w:val="252"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年初余额</w:t>
            </w:r>
          </w:p>
        </w:tc>
        <w:tc>
          <w:tcPr>
            <w:tcW w:w="2166" w:type="dxa"/>
            <w:tcBorders>
              <w:top w:val="nil" w:sz="6" w:space="0" w:color="auto"/>
              <w:left w:val="nil" w:sz="6" w:space="0" w:color="auto"/>
              <w:bottom w:val="nil" w:sz="6" w:space="0" w:color="auto"/>
              <w:right w:val="nil" w:sz="6" w:space="0" w:color="auto"/>
            </w:tcBorders>
          </w:tcPr>
          <w:p>
            <w:pPr>
              <w:pStyle w:val="TableParagraph"/>
              <w:spacing w:line="205" w:lineRule="exact"/>
              <w:ind w:right="273"/>
              <w:jc w:val="right"/>
              <w:rPr>
                <w:rFonts w:ascii="宋体" w:hAnsi="宋体" w:cs="宋体" w:eastAsia="宋体" w:hint="default"/>
                <w:sz w:val="16"/>
                <w:szCs w:val="16"/>
              </w:rPr>
            </w:pPr>
            <w:r>
              <w:rPr>
                <w:rFonts w:ascii="宋体"/>
                <w:spacing w:val="-1"/>
                <w:sz w:val="16"/>
              </w:rPr>
              <w:t>0.00</w:t>
            </w:r>
          </w:p>
        </w:tc>
        <w:tc>
          <w:tcPr>
            <w:tcW w:w="1635" w:type="dxa"/>
            <w:tcBorders>
              <w:top w:val="nil" w:sz="6" w:space="0" w:color="auto"/>
              <w:left w:val="nil" w:sz="6" w:space="0" w:color="auto"/>
              <w:bottom w:val="nil" w:sz="6" w:space="0" w:color="auto"/>
              <w:right w:val="nil" w:sz="6" w:space="0" w:color="auto"/>
            </w:tcBorders>
          </w:tcPr>
          <w:p>
            <w:pPr>
              <w:pStyle w:val="TableParagraph"/>
              <w:spacing w:line="205" w:lineRule="exact"/>
              <w:ind w:right="215"/>
              <w:jc w:val="right"/>
              <w:rPr>
                <w:rFonts w:ascii="宋体" w:hAnsi="宋体" w:cs="宋体" w:eastAsia="宋体" w:hint="default"/>
                <w:sz w:val="16"/>
                <w:szCs w:val="16"/>
              </w:rPr>
            </w:pPr>
            <w:r>
              <w:rPr>
                <w:rFonts w:ascii="宋体"/>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05" w:lineRule="exact"/>
              <w:ind w:right="254"/>
              <w:jc w:val="right"/>
              <w:rPr>
                <w:rFonts w:ascii="宋体" w:hAnsi="宋体" w:cs="宋体" w:eastAsia="宋体" w:hint="default"/>
                <w:sz w:val="16"/>
                <w:szCs w:val="16"/>
              </w:rPr>
            </w:pPr>
            <w:r>
              <w:rPr>
                <w:rFonts w:ascii="宋体"/>
                <w:spacing w:val="-2"/>
                <w:sz w:val="16"/>
              </w:rPr>
              <w:t>4,811,854.77</w:t>
            </w:r>
          </w:p>
        </w:tc>
        <w:tc>
          <w:tcPr>
            <w:tcW w:w="1663" w:type="dxa"/>
            <w:tcBorders>
              <w:top w:val="nil" w:sz="6" w:space="0" w:color="auto"/>
              <w:left w:val="nil" w:sz="6" w:space="0" w:color="auto"/>
              <w:bottom w:val="nil" w:sz="6" w:space="0" w:color="auto"/>
              <w:right w:val="nil" w:sz="6" w:space="0" w:color="auto"/>
            </w:tcBorders>
          </w:tcPr>
          <w:p>
            <w:pPr>
              <w:pStyle w:val="TableParagraph"/>
              <w:spacing w:line="205" w:lineRule="exact"/>
              <w:ind w:right="302"/>
              <w:jc w:val="right"/>
              <w:rPr>
                <w:rFonts w:ascii="宋体" w:hAnsi="宋体" w:cs="宋体" w:eastAsia="宋体" w:hint="default"/>
                <w:sz w:val="16"/>
                <w:szCs w:val="16"/>
              </w:rPr>
            </w:pPr>
            <w:r>
              <w:rPr>
                <w:rFonts w:ascii="宋体"/>
                <w:spacing w:val="-1"/>
                <w:sz w:val="16"/>
              </w:rPr>
              <w:t>0.00</w:t>
            </w:r>
          </w:p>
        </w:tc>
        <w:tc>
          <w:tcPr>
            <w:tcW w:w="1616" w:type="dxa"/>
            <w:tcBorders>
              <w:top w:val="nil" w:sz="6" w:space="0" w:color="auto"/>
              <w:left w:val="nil" w:sz="6" w:space="0" w:color="auto"/>
              <w:bottom w:val="nil" w:sz="6" w:space="0" w:color="auto"/>
              <w:right w:val="nil" w:sz="6" w:space="0" w:color="auto"/>
            </w:tcBorders>
          </w:tcPr>
          <w:p>
            <w:pPr>
              <w:pStyle w:val="TableParagraph"/>
              <w:spacing w:line="205" w:lineRule="exact"/>
              <w:ind w:right="267"/>
              <w:jc w:val="right"/>
              <w:rPr>
                <w:rFonts w:ascii="宋体" w:hAnsi="宋体" w:cs="宋体" w:eastAsia="宋体" w:hint="default"/>
                <w:sz w:val="16"/>
                <w:szCs w:val="16"/>
              </w:rPr>
            </w:pPr>
            <w:r>
              <w:rPr>
                <w:rFonts w:ascii="宋体"/>
                <w:spacing w:val="-1"/>
                <w:sz w:val="16"/>
              </w:rPr>
              <w:t>0.00</w:t>
            </w:r>
          </w:p>
        </w:tc>
        <w:tc>
          <w:tcPr>
            <w:tcW w:w="1619" w:type="dxa"/>
            <w:tcBorders>
              <w:top w:val="nil" w:sz="6" w:space="0" w:color="auto"/>
              <w:left w:val="nil" w:sz="6" w:space="0" w:color="auto"/>
              <w:bottom w:val="nil" w:sz="6" w:space="0" w:color="auto"/>
              <w:right w:val="nil" w:sz="6" w:space="0" w:color="auto"/>
            </w:tcBorders>
          </w:tcPr>
          <w:p>
            <w:pPr>
              <w:pStyle w:val="TableParagraph"/>
              <w:spacing w:line="205" w:lineRule="exact"/>
              <w:ind w:right="218"/>
              <w:jc w:val="right"/>
              <w:rPr>
                <w:rFonts w:ascii="宋体" w:hAnsi="宋体" w:cs="宋体" w:eastAsia="宋体" w:hint="default"/>
                <w:sz w:val="16"/>
                <w:szCs w:val="16"/>
              </w:rPr>
            </w:pPr>
            <w:r>
              <w:rPr>
                <w:rFonts w:ascii="宋体"/>
                <w:spacing w:val="-1"/>
                <w:sz w:val="16"/>
              </w:rPr>
              <w:t>0.00</w:t>
            </w:r>
          </w:p>
        </w:tc>
        <w:tc>
          <w:tcPr>
            <w:tcW w:w="1607" w:type="dxa"/>
            <w:tcBorders>
              <w:top w:val="nil" w:sz="6" w:space="0" w:color="auto"/>
              <w:left w:val="nil" w:sz="6" w:space="0" w:color="auto"/>
              <w:bottom w:val="nil" w:sz="6" w:space="0" w:color="auto"/>
              <w:right w:val="nil" w:sz="6" w:space="0" w:color="auto"/>
            </w:tcBorders>
          </w:tcPr>
          <w:p>
            <w:pPr>
              <w:pStyle w:val="TableParagraph"/>
              <w:spacing w:line="205" w:lineRule="exact"/>
              <w:ind w:right="105"/>
              <w:jc w:val="right"/>
              <w:rPr>
                <w:rFonts w:ascii="宋体" w:hAnsi="宋体" w:cs="宋体" w:eastAsia="宋体" w:hint="default"/>
                <w:sz w:val="16"/>
                <w:szCs w:val="16"/>
              </w:rPr>
            </w:pPr>
            <w:r>
              <w:rPr>
                <w:rFonts w:ascii="宋体"/>
                <w:spacing w:val="-2"/>
                <w:sz w:val="16"/>
              </w:rPr>
              <w:t>4,811,854.77</w:t>
            </w:r>
          </w:p>
        </w:tc>
      </w:tr>
      <w:tr>
        <w:trPr>
          <w:trHeight w:val="256"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07" w:lineRule="exact"/>
              <w:ind w:left="122"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本年增加金额</w:t>
            </w:r>
          </w:p>
        </w:tc>
        <w:tc>
          <w:tcPr>
            <w:tcW w:w="2166" w:type="dxa"/>
            <w:tcBorders>
              <w:top w:val="nil" w:sz="6" w:space="0" w:color="auto"/>
              <w:left w:val="nil" w:sz="6" w:space="0" w:color="auto"/>
              <w:bottom w:val="nil" w:sz="6" w:space="0" w:color="auto"/>
              <w:right w:val="nil" w:sz="6" w:space="0" w:color="auto"/>
            </w:tcBorders>
          </w:tcPr>
          <w:p>
            <w:pPr>
              <w:pStyle w:val="TableParagraph"/>
              <w:spacing w:line="207" w:lineRule="exact"/>
              <w:ind w:right="273"/>
              <w:jc w:val="right"/>
              <w:rPr>
                <w:rFonts w:ascii="宋体" w:hAnsi="宋体" w:cs="宋体" w:eastAsia="宋体" w:hint="default"/>
                <w:sz w:val="16"/>
                <w:szCs w:val="16"/>
              </w:rPr>
            </w:pPr>
            <w:r>
              <w:rPr>
                <w:rFonts w:ascii="宋体"/>
                <w:spacing w:val="-1"/>
                <w:sz w:val="16"/>
              </w:rPr>
              <w:t>0.00</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right="215"/>
              <w:jc w:val="right"/>
              <w:rPr>
                <w:rFonts w:ascii="宋体" w:hAnsi="宋体" w:cs="宋体" w:eastAsia="宋体" w:hint="default"/>
                <w:sz w:val="16"/>
                <w:szCs w:val="16"/>
              </w:rPr>
            </w:pPr>
            <w:r>
              <w:rPr>
                <w:rFonts w:ascii="宋体"/>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07" w:lineRule="exact"/>
              <w:ind w:right="254"/>
              <w:jc w:val="right"/>
              <w:rPr>
                <w:rFonts w:ascii="宋体" w:hAnsi="宋体" w:cs="宋体" w:eastAsia="宋体" w:hint="default"/>
                <w:sz w:val="16"/>
                <w:szCs w:val="16"/>
              </w:rPr>
            </w:pPr>
            <w:r>
              <w:rPr>
                <w:rFonts w:ascii="宋体"/>
                <w:spacing w:val="-2"/>
                <w:sz w:val="16"/>
              </w:rPr>
              <w:t>147,578.25</w:t>
            </w:r>
          </w:p>
        </w:tc>
        <w:tc>
          <w:tcPr>
            <w:tcW w:w="1663" w:type="dxa"/>
            <w:tcBorders>
              <w:top w:val="nil" w:sz="6" w:space="0" w:color="auto"/>
              <w:left w:val="nil" w:sz="6" w:space="0" w:color="auto"/>
              <w:bottom w:val="nil" w:sz="6" w:space="0" w:color="auto"/>
              <w:right w:val="nil" w:sz="6" w:space="0" w:color="auto"/>
            </w:tcBorders>
          </w:tcPr>
          <w:p>
            <w:pPr>
              <w:pStyle w:val="TableParagraph"/>
              <w:spacing w:line="207" w:lineRule="exact"/>
              <w:ind w:right="302"/>
              <w:jc w:val="right"/>
              <w:rPr>
                <w:rFonts w:ascii="宋体" w:hAnsi="宋体" w:cs="宋体" w:eastAsia="宋体" w:hint="default"/>
                <w:sz w:val="16"/>
                <w:szCs w:val="16"/>
              </w:rPr>
            </w:pPr>
            <w:r>
              <w:rPr>
                <w:rFonts w:ascii="宋体"/>
                <w:spacing w:val="-1"/>
                <w:sz w:val="16"/>
              </w:rPr>
              <w:t>0.00</w:t>
            </w:r>
          </w:p>
        </w:tc>
        <w:tc>
          <w:tcPr>
            <w:tcW w:w="1616" w:type="dxa"/>
            <w:tcBorders>
              <w:top w:val="nil" w:sz="6" w:space="0" w:color="auto"/>
              <w:left w:val="nil" w:sz="6" w:space="0" w:color="auto"/>
              <w:bottom w:val="nil" w:sz="6" w:space="0" w:color="auto"/>
              <w:right w:val="nil" w:sz="6" w:space="0" w:color="auto"/>
            </w:tcBorders>
          </w:tcPr>
          <w:p>
            <w:pPr>
              <w:pStyle w:val="TableParagraph"/>
              <w:spacing w:line="207" w:lineRule="exact"/>
              <w:ind w:right="267"/>
              <w:jc w:val="right"/>
              <w:rPr>
                <w:rFonts w:ascii="宋体" w:hAnsi="宋体" w:cs="宋体" w:eastAsia="宋体" w:hint="default"/>
                <w:sz w:val="16"/>
                <w:szCs w:val="16"/>
              </w:rPr>
            </w:pPr>
            <w:r>
              <w:rPr>
                <w:rFonts w:ascii="宋体"/>
                <w:spacing w:val="-2"/>
                <w:sz w:val="16"/>
              </w:rPr>
              <w:t>61,000,000.00</w:t>
            </w:r>
          </w:p>
        </w:tc>
        <w:tc>
          <w:tcPr>
            <w:tcW w:w="1619" w:type="dxa"/>
            <w:tcBorders>
              <w:top w:val="nil" w:sz="6" w:space="0" w:color="auto"/>
              <w:left w:val="nil" w:sz="6" w:space="0" w:color="auto"/>
              <w:bottom w:val="nil" w:sz="6" w:space="0" w:color="auto"/>
              <w:right w:val="nil" w:sz="6" w:space="0" w:color="auto"/>
            </w:tcBorders>
          </w:tcPr>
          <w:p>
            <w:pPr>
              <w:pStyle w:val="TableParagraph"/>
              <w:spacing w:line="207" w:lineRule="exact"/>
              <w:ind w:right="218"/>
              <w:jc w:val="right"/>
              <w:rPr>
                <w:rFonts w:ascii="宋体" w:hAnsi="宋体" w:cs="宋体" w:eastAsia="宋体" w:hint="default"/>
                <w:sz w:val="16"/>
                <w:szCs w:val="16"/>
              </w:rPr>
            </w:pPr>
            <w:r>
              <w:rPr>
                <w:rFonts w:ascii="宋体"/>
                <w:spacing w:val="-1"/>
                <w:sz w:val="16"/>
              </w:rPr>
              <w:t>0.00</w:t>
            </w:r>
          </w:p>
        </w:tc>
        <w:tc>
          <w:tcPr>
            <w:tcW w:w="1607" w:type="dxa"/>
            <w:tcBorders>
              <w:top w:val="nil" w:sz="6" w:space="0" w:color="auto"/>
              <w:left w:val="nil" w:sz="6" w:space="0" w:color="auto"/>
              <w:bottom w:val="nil" w:sz="6" w:space="0" w:color="auto"/>
              <w:right w:val="nil" w:sz="6" w:space="0" w:color="auto"/>
            </w:tcBorders>
          </w:tcPr>
          <w:p>
            <w:pPr>
              <w:pStyle w:val="TableParagraph"/>
              <w:spacing w:line="207" w:lineRule="exact"/>
              <w:ind w:right="105"/>
              <w:jc w:val="right"/>
              <w:rPr>
                <w:rFonts w:ascii="宋体" w:hAnsi="宋体" w:cs="宋体" w:eastAsia="宋体" w:hint="default"/>
                <w:sz w:val="16"/>
                <w:szCs w:val="16"/>
              </w:rPr>
            </w:pPr>
            <w:r>
              <w:rPr>
                <w:rFonts w:ascii="宋体"/>
                <w:spacing w:val="-2"/>
                <w:sz w:val="16"/>
              </w:rPr>
              <w:t>61,147,578.25</w:t>
            </w:r>
          </w:p>
        </w:tc>
      </w:tr>
      <w:tr>
        <w:trPr>
          <w:trHeight w:val="256"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09" w:lineRule="exact"/>
              <w:ind w:left="122"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计提</w:t>
            </w:r>
          </w:p>
        </w:tc>
        <w:tc>
          <w:tcPr>
            <w:tcW w:w="2166" w:type="dxa"/>
            <w:tcBorders>
              <w:top w:val="nil" w:sz="6" w:space="0" w:color="auto"/>
              <w:left w:val="nil" w:sz="6" w:space="0" w:color="auto"/>
              <w:bottom w:val="nil" w:sz="6" w:space="0" w:color="auto"/>
              <w:right w:val="nil" w:sz="6" w:space="0" w:color="auto"/>
            </w:tcBorders>
          </w:tcPr>
          <w:p>
            <w:pPr>
              <w:pStyle w:val="TableParagraph"/>
              <w:spacing w:line="209" w:lineRule="exact"/>
              <w:ind w:right="273"/>
              <w:jc w:val="right"/>
              <w:rPr>
                <w:rFonts w:ascii="宋体" w:hAnsi="宋体" w:cs="宋体" w:eastAsia="宋体" w:hint="default"/>
                <w:sz w:val="16"/>
                <w:szCs w:val="16"/>
              </w:rPr>
            </w:pPr>
            <w:r>
              <w:rPr>
                <w:rFonts w:ascii="宋体"/>
                <w:spacing w:val="-1"/>
                <w:sz w:val="16"/>
              </w:rPr>
              <w:t>0.00</w:t>
            </w:r>
          </w:p>
        </w:tc>
        <w:tc>
          <w:tcPr>
            <w:tcW w:w="1635" w:type="dxa"/>
            <w:tcBorders>
              <w:top w:val="nil" w:sz="6" w:space="0" w:color="auto"/>
              <w:left w:val="nil" w:sz="6" w:space="0" w:color="auto"/>
              <w:bottom w:val="nil" w:sz="6" w:space="0" w:color="auto"/>
              <w:right w:val="nil" w:sz="6" w:space="0" w:color="auto"/>
            </w:tcBorders>
          </w:tcPr>
          <w:p>
            <w:pPr>
              <w:pStyle w:val="TableParagraph"/>
              <w:spacing w:line="209" w:lineRule="exact"/>
              <w:ind w:right="215"/>
              <w:jc w:val="right"/>
              <w:rPr>
                <w:rFonts w:ascii="宋体" w:hAnsi="宋体" w:cs="宋体" w:eastAsia="宋体" w:hint="default"/>
                <w:sz w:val="16"/>
                <w:szCs w:val="16"/>
              </w:rPr>
            </w:pPr>
            <w:r>
              <w:rPr>
                <w:rFonts w:ascii="宋体"/>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09" w:lineRule="exact"/>
              <w:ind w:right="254"/>
              <w:jc w:val="right"/>
              <w:rPr>
                <w:rFonts w:ascii="宋体" w:hAnsi="宋体" w:cs="宋体" w:eastAsia="宋体" w:hint="default"/>
                <w:sz w:val="16"/>
                <w:szCs w:val="16"/>
              </w:rPr>
            </w:pPr>
            <w:r>
              <w:rPr>
                <w:rFonts w:ascii="宋体"/>
                <w:spacing w:val="-1"/>
                <w:sz w:val="16"/>
              </w:rPr>
              <w:t>0.00</w:t>
            </w:r>
          </w:p>
        </w:tc>
        <w:tc>
          <w:tcPr>
            <w:tcW w:w="1663" w:type="dxa"/>
            <w:tcBorders>
              <w:top w:val="nil" w:sz="6" w:space="0" w:color="auto"/>
              <w:left w:val="nil" w:sz="6" w:space="0" w:color="auto"/>
              <w:bottom w:val="nil" w:sz="6" w:space="0" w:color="auto"/>
              <w:right w:val="nil" w:sz="6" w:space="0" w:color="auto"/>
            </w:tcBorders>
          </w:tcPr>
          <w:p>
            <w:pPr>
              <w:pStyle w:val="TableParagraph"/>
              <w:spacing w:line="209" w:lineRule="exact"/>
              <w:ind w:right="302"/>
              <w:jc w:val="right"/>
              <w:rPr>
                <w:rFonts w:ascii="宋体" w:hAnsi="宋体" w:cs="宋体" w:eastAsia="宋体" w:hint="default"/>
                <w:sz w:val="16"/>
                <w:szCs w:val="16"/>
              </w:rPr>
            </w:pPr>
            <w:r>
              <w:rPr>
                <w:rFonts w:ascii="宋体"/>
                <w:spacing w:val="-1"/>
                <w:sz w:val="16"/>
              </w:rPr>
              <w:t>0.00</w:t>
            </w:r>
          </w:p>
        </w:tc>
        <w:tc>
          <w:tcPr>
            <w:tcW w:w="1616" w:type="dxa"/>
            <w:tcBorders>
              <w:top w:val="nil" w:sz="6" w:space="0" w:color="auto"/>
              <w:left w:val="nil" w:sz="6" w:space="0" w:color="auto"/>
              <w:bottom w:val="nil" w:sz="6" w:space="0" w:color="auto"/>
              <w:right w:val="nil" w:sz="6" w:space="0" w:color="auto"/>
            </w:tcBorders>
          </w:tcPr>
          <w:p>
            <w:pPr>
              <w:pStyle w:val="TableParagraph"/>
              <w:spacing w:line="209" w:lineRule="exact"/>
              <w:ind w:right="267"/>
              <w:jc w:val="right"/>
              <w:rPr>
                <w:rFonts w:ascii="宋体" w:hAnsi="宋体" w:cs="宋体" w:eastAsia="宋体" w:hint="default"/>
                <w:sz w:val="16"/>
                <w:szCs w:val="16"/>
              </w:rPr>
            </w:pPr>
            <w:r>
              <w:rPr>
                <w:rFonts w:ascii="宋体"/>
                <w:spacing w:val="-2"/>
                <w:sz w:val="16"/>
              </w:rPr>
              <w:t>61,000,000.00</w:t>
            </w:r>
          </w:p>
        </w:tc>
        <w:tc>
          <w:tcPr>
            <w:tcW w:w="1619" w:type="dxa"/>
            <w:tcBorders>
              <w:top w:val="nil" w:sz="6" w:space="0" w:color="auto"/>
              <w:left w:val="nil" w:sz="6" w:space="0" w:color="auto"/>
              <w:bottom w:val="nil" w:sz="6" w:space="0" w:color="auto"/>
              <w:right w:val="nil" w:sz="6" w:space="0" w:color="auto"/>
            </w:tcBorders>
          </w:tcPr>
          <w:p>
            <w:pPr>
              <w:pStyle w:val="TableParagraph"/>
              <w:spacing w:line="209" w:lineRule="exact"/>
              <w:ind w:right="218"/>
              <w:jc w:val="right"/>
              <w:rPr>
                <w:rFonts w:ascii="宋体" w:hAnsi="宋体" w:cs="宋体" w:eastAsia="宋体" w:hint="default"/>
                <w:sz w:val="16"/>
                <w:szCs w:val="16"/>
              </w:rPr>
            </w:pPr>
            <w:r>
              <w:rPr>
                <w:rFonts w:ascii="宋体"/>
                <w:spacing w:val="-1"/>
                <w:sz w:val="16"/>
              </w:rPr>
              <w:t>0.00</w:t>
            </w:r>
          </w:p>
        </w:tc>
        <w:tc>
          <w:tcPr>
            <w:tcW w:w="1607" w:type="dxa"/>
            <w:tcBorders>
              <w:top w:val="nil" w:sz="6" w:space="0" w:color="auto"/>
              <w:left w:val="nil" w:sz="6" w:space="0" w:color="auto"/>
              <w:bottom w:val="nil" w:sz="6" w:space="0" w:color="auto"/>
              <w:right w:val="nil" w:sz="6" w:space="0" w:color="auto"/>
            </w:tcBorders>
          </w:tcPr>
          <w:p>
            <w:pPr>
              <w:pStyle w:val="TableParagraph"/>
              <w:spacing w:line="209" w:lineRule="exact"/>
              <w:ind w:right="105"/>
              <w:jc w:val="right"/>
              <w:rPr>
                <w:rFonts w:ascii="宋体" w:hAnsi="宋体" w:cs="宋体" w:eastAsia="宋体" w:hint="default"/>
                <w:sz w:val="16"/>
                <w:szCs w:val="16"/>
              </w:rPr>
            </w:pPr>
            <w:r>
              <w:rPr>
                <w:rFonts w:ascii="宋体"/>
                <w:spacing w:val="-2"/>
                <w:sz w:val="16"/>
              </w:rPr>
              <w:t>61,000,000.00</w:t>
            </w:r>
          </w:p>
        </w:tc>
      </w:tr>
      <w:tr>
        <w:trPr>
          <w:trHeight w:val="255"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08" w:lineRule="exact"/>
              <w:ind w:left="122"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其他变动增加</w:t>
            </w:r>
          </w:p>
        </w:tc>
        <w:tc>
          <w:tcPr>
            <w:tcW w:w="2166" w:type="dxa"/>
            <w:tcBorders>
              <w:top w:val="nil" w:sz="6" w:space="0" w:color="auto"/>
              <w:left w:val="nil" w:sz="6" w:space="0" w:color="auto"/>
              <w:bottom w:val="nil" w:sz="6" w:space="0" w:color="auto"/>
              <w:right w:val="nil" w:sz="6" w:space="0" w:color="auto"/>
            </w:tcBorders>
          </w:tcPr>
          <w:p>
            <w:pPr>
              <w:pStyle w:val="TableParagraph"/>
              <w:spacing w:line="208" w:lineRule="exact"/>
              <w:ind w:right="273"/>
              <w:jc w:val="right"/>
              <w:rPr>
                <w:rFonts w:ascii="宋体" w:hAnsi="宋体" w:cs="宋体" w:eastAsia="宋体" w:hint="default"/>
                <w:sz w:val="16"/>
                <w:szCs w:val="16"/>
              </w:rPr>
            </w:pPr>
            <w:r>
              <w:rPr>
                <w:rFonts w:ascii="宋体"/>
                <w:spacing w:val="-1"/>
                <w:sz w:val="16"/>
              </w:rPr>
              <w:t>0.00</w:t>
            </w:r>
          </w:p>
        </w:tc>
        <w:tc>
          <w:tcPr>
            <w:tcW w:w="1635" w:type="dxa"/>
            <w:tcBorders>
              <w:top w:val="nil" w:sz="6" w:space="0" w:color="auto"/>
              <w:left w:val="nil" w:sz="6" w:space="0" w:color="auto"/>
              <w:bottom w:val="nil" w:sz="6" w:space="0" w:color="auto"/>
              <w:right w:val="nil" w:sz="6" w:space="0" w:color="auto"/>
            </w:tcBorders>
          </w:tcPr>
          <w:p>
            <w:pPr>
              <w:pStyle w:val="TableParagraph"/>
              <w:spacing w:line="208" w:lineRule="exact"/>
              <w:ind w:right="215"/>
              <w:jc w:val="right"/>
              <w:rPr>
                <w:rFonts w:ascii="宋体" w:hAnsi="宋体" w:cs="宋体" w:eastAsia="宋体" w:hint="default"/>
                <w:sz w:val="16"/>
                <w:szCs w:val="16"/>
              </w:rPr>
            </w:pPr>
            <w:r>
              <w:rPr>
                <w:rFonts w:ascii="宋体"/>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08" w:lineRule="exact"/>
              <w:ind w:right="254"/>
              <w:jc w:val="right"/>
              <w:rPr>
                <w:rFonts w:ascii="宋体" w:hAnsi="宋体" w:cs="宋体" w:eastAsia="宋体" w:hint="default"/>
                <w:sz w:val="16"/>
                <w:szCs w:val="16"/>
              </w:rPr>
            </w:pPr>
            <w:r>
              <w:rPr>
                <w:rFonts w:ascii="宋体"/>
                <w:spacing w:val="-2"/>
                <w:sz w:val="16"/>
              </w:rPr>
              <w:t>147,578.25</w:t>
            </w:r>
          </w:p>
        </w:tc>
        <w:tc>
          <w:tcPr>
            <w:tcW w:w="1663" w:type="dxa"/>
            <w:tcBorders>
              <w:top w:val="nil" w:sz="6" w:space="0" w:color="auto"/>
              <w:left w:val="nil" w:sz="6" w:space="0" w:color="auto"/>
              <w:bottom w:val="nil" w:sz="6" w:space="0" w:color="auto"/>
              <w:right w:val="nil" w:sz="6" w:space="0" w:color="auto"/>
            </w:tcBorders>
          </w:tcPr>
          <w:p>
            <w:pPr>
              <w:pStyle w:val="TableParagraph"/>
              <w:spacing w:line="208" w:lineRule="exact"/>
              <w:ind w:right="302"/>
              <w:jc w:val="right"/>
              <w:rPr>
                <w:rFonts w:ascii="宋体" w:hAnsi="宋体" w:cs="宋体" w:eastAsia="宋体" w:hint="default"/>
                <w:sz w:val="16"/>
                <w:szCs w:val="16"/>
              </w:rPr>
            </w:pPr>
            <w:r>
              <w:rPr>
                <w:rFonts w:ascii="宋体"/>
                <w:spacing w:val="-1"/>
                <w:sz w:val="16"/>
              </w:rPr>
              <w:t>0.00</w:t>
            </w:r>
          </w:p>
        </w:tc>
        <w:tc>
          <w:tcPr>
            <w:tcW w:w="1616" w:type="dxa"/>
            <w:tcBorders>
              <w:top w:val="nil" w:sz="6" w:space="0" w:color="auto"/>
              <w:left w:val="nil" w:sz="6" w:space="0" w:color="auto"/>
              <w:bottom w:val="nil" w:sz="6" w:space="0" w:color="auto"/>
              <w:right w:val="nil" w:sz="6" w:space="0" w:color="auto"/>
            </w:tcBorders>
          </w:tcPr>
          <w:p>
            <w:pPr>
              <w:pStyle w:val="TableParagraph"/>
              <w:spacing w:line="208" w:lineRule="exact"/>
              <w:ind w:right="267"/>
              <w:jc w:val="right"/>
              <w:rPr>
                <w:rFonts w:ascii="宋体" w:hAnsi="宋体" w:cs="宋体" w:eastAsia="宋体" w:hint="default"/>
                <w:sz w:val="16"/>
                <w:szCs w:val="16"/>
              </w:rPr>
            </w:pPr>
            <w:r>
              <w:rPr>
                <w:rFonts w:ascii="宋体"/>
                <w:spacing w:val="-1"/>
                <w:sz w:val="16"/>
              </w:rPr>
              <w:t>0.00</w:t>
            </w:r>
          </w:p>
        </w:tc>
        <w:tc>
          <w:tcPr>
            <w:tcW w:w="1619" w:type="dxa"/>
            <w:tcBorders>
              <w:top w:val="nil" w:sz="6" w:space="0" w:color="auto"/>
              <w:left w:val="nil" w:sz="6" w:space="0" w:color="auto"/>
              <w:bottom w:val="nil" w:sz="6" w:space="0" w:color="auto"/>
              <w:right w:val="nil" w:sz="6" w:space="0" w:color="auto"/>
            </w:tcBorders>
          </w:tcPr>
          <w:p>
            <w:pPr>
              <w:pStyle w:val="TableParagraph"/>
              <w:spacing w:line="208" w:lineRule="exact"/>
              <w:ind w:right="218"/>
              <w:jc w:val="right"/>
              <w:rPr>
                <w:rFonts w:ascii="宋体" w:hAnsi="宋体" w:cs="宋体" w:eastAsia="宋体" w:hint="default"/>
                <w:sz w:val="16"/>
                <w:szCs w:val="16"/>
              </w:rPr>
            </w:pPr>
            <w:r>
              <w:rPr>
                <w:rFonts w:ascii="宋体"/>
                <w:spacing w:val="-1"/>
                <w:sz w:val="16"/>
              </w:rPr>
              <w:t>0.00</w:t>
            </w:r>
          </w:p>
        </w:tc>
        <w:tc>
          <w:tcPr>
            <w:tcW w:w="1607" w:type="dxa"/>
            <w:tcBorders>
              <w:top w:val="nil" w:sz="6" w:space="0" w:color="auto"/>
              <w:left w:val="nil" w:sz="6" w:space="0" w:color="auto"/>
              <w:bottom w:val="nil" w:sz="6" w:space="0" w:color="auto"/>
              <w:right w:val="nil" w:sz="6" w:space="0" w:color="auto"/>
            </w:tcBorders>
          </w:tcPr>
          <w:p>
            <w:pPr>
              <w:pStyle w:val="TableParagraph"/>
              <w:spacing w:line="208" w:lineRule="exact"/>
              <w:ind w:right="105"/>
              <w:jc w:val="right"/>
              <w:rPr>
                <w:rFonts w:ascii="宋体" w:hAnsi="宋体" w:cs="宋体" w:eastAsia="宋体" w:hint="default"/>
                <w:sz w:val="16"/>
                <w:szCs w:val="16"/>
              </w:rPr>
            </w:pPr>
            <w:r>
              <w:rPr>
                <w:rFonts w:ascii="宋体"/>
                <w:spacing w:val="-2"/>
                <w:sz w:val="16"/>
              </w:rPr>
              <w:t>147,578.25</w:t>
            </w:r>
          </w:p>
        </w:tc>
      </w:tr>
      <w:tr>
        <w:trPr>
          <w:trHeight w:val="254"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07" w:lineRule="exact"/>
              <w:ind w:left="122"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本年减少金额</w:t>
            </w:r>
          </w:p>
        </w:tc>
        <w:tc>
          <w:tcPr>
            <w:tcW w:w="2166" w:type="dxa"/>
            <w:tcBorders>
              <w:top w:val="nil" w:sz="6" w:space="0" w:color="auto"/>
              <w:left w:val="nil" w:sz="6" w:space="0" w:color="auto"/>
              <w:bottom w:val="nil" w:sz="6" w:space="0" w:color="auto"/>
              <w:right w:val="nil" w:sz="6" w:space="0" w:color="auto"/>
            </w:tcBorders>
          </w:tcPr>
          <w:p>
            <w:pPr>
              <w:pStyle w:val="TableParagraph"/>
              <w:spacing w:line="207" w:lineRule="exact"/>
              <w:ind w:right="273"/>
              <w:jc w:val="right"/>
              <w:rPr>
                <w:rFonts w:ascii="宋体" w:hAnsi="宋体" w:cs="宋体" w:eastAsia="宋体" w:hint="default"/>
                <w:sz w:val="16"/>
                <w:szCs w:val="16"/>
              </w:rPr>
            </w:pPr>
            <w:r>
              <w:rPr>
                <w:rFonts w:ascii="宋体"/>
                <w:spacing w:val="-1"/>
                <w:sz w:val="16"/>
              </w:rPr>
              <w:t>0.00</w:t>
            </w:r>
          </w:p>
        </w:tc>
        <w:tc>
          <w:tcPr>
            <w:tcW w:w="1635" w:type="dxa"/>
            <w:tcBorders>
              <w:top w:val="nil" w:sz="6" w:space="0" w:color="auto"/>
              <w:left w:val="nil" w:sz="6" w:space="0" w:color="auto"/>
              <w:bottom w:val="nil" w:sz="6" w:space="0" w:color="auto"/>
              <w:right w:val="nil" w:sz="6" w:space="0" w:color="auto"/>
            </w:tcBorders>
          </w:tcPr>
          <w:p>
            <w:pPr>
              <w:pStyle w:val="TableParagraph"/>
              <w:spacing w:line="207" w:lineRule="exact"/>
              <w:ind w:right="215"/>
              <w:jc w:val="right"/>
              <w:rPr>
                <w:rFonts w:ascii="宋体" w:hAnsi="宋体" w:cs="宋体" w:eastAsia="宋体" w:hint="default"/>
                <w:sz w:val="16"/>
                <w:szCs w:val="16"/>
              </w:rPr>
            </w:pPr>
            <w:r>
              <w:rPr>
                <w:rFonts w:ascii="宋体"/>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07" w:lineRule="exact"/>
              <w:ind w:right="254"/>
              <w:jc w:val="right"/>
              <w:rPr>
                <w:rFonts w:ascii="宋体" w:hAnsi="宋体" w:cs="宋体" w:eastAsia="宋体" w:hint="default"/>
                <w:sz w:val="16"/>
                <w:szCs w:val="16"/>
              </w:rPr>
            </w:pPr>
            <w:r>
              <w:rPr>
                <w:rFonts w:ascii="宋体"/>
                <w:spacing w:val="-1"/>
                <w:sz w:val="16"/>
              </w:rPr>
              <w:t>0.00</w:t>
            </w:r>
          </w:p>
        </w:tc>
        <w:tc>
          <w:tcPr>
            <w:tcW w:w="1663" w:type="dxa"/>
            <w:tcBorders>
              <w:top w:val="nil" w:sz="6" w:space="0" w:color="auto"/>
              <w:left w:val="nil" w:sz="6" w:space="0" w:color="auto"/>
              <w:bottom w:val="nil" w:sz="6" w:space="0" w:color="auto"/>
              <w:right w:val="nil" w:sz="6" w:space="0" w:color="auto"/>
            </w:tcBorders>
          </w:tcPr>
          <w:p>
            <w:pPr>
              <w:pStyle w:val="TableParagraph"/>
              <w:spacing w:line="207" w:lineRule="exact"/>
              <w:ind w:right="302"/>
              <w:jc w:val="right"/>
              <w:rPr>
                <w:rFonts w:ascii="宋体" w:hAnsi="宋体" w:cs="宋体" w:eastAsia="宋体" w:hint="default"/>
                <w:sz w:val="16"/>
                <w:szCs w:val="16"/>
              </w:rPr>
            </w:pPr>
            <w:r>
              <w:rPr>
                <w:rFonts w:ascii="宋体"/>
                <w:spacing w:val="-1"/>
                <w:sz w:val="16"/>
              </w:rPr>
              <w:t>0.00</w:t>
            </w:r>
          </w:p>
        </w:tc>
        <w:tc>
          <w:tcPr>
            <w:tcW w:w="1616" w:type="dxa"/>
            <w:tcBorders>
              <w:top w:val="nil" w:sz="6" w:space="0" w:color="auto"/>
              <w:left w:val="nil" w:sz="6" w:space="0" w:color="auto"/>
              <w:bottom w:val="nil" w:sz="6" w:space="0" w:color="auto"/>
              <w:right w:val="nil" w:sz="6" w:space="0" w:color="auto"/>
            </w:tcBorders>
          </w:tcPr>
          <w:p>
            <w:pPr>
              <w:pStyle w:val="TableParagraph"/>
              <w:spacing w:line="207" w:lineRule="exact"/>
              <w:ind w:right="267"/>
              <w:jc w:val="right"/>
              <w:rPr>
                <w:rFonts w:ascii="宋体" w:hAnsi="宋体" w:cs="宋体" w:eastAsia="宋体" w:hint="default"/>
                <w:sz w:val="16"/>
                <w:szCs w:val="16"/>
              </w:rPr>
            </w:pPr>
            <w:r>
              <w:rPr>
                <w:rFonts w:ascii="宋体"/>
                <w:spacing w:val="-1"/>
                <w:sz w:val="16"/>
              </w:rPr>
              <w:t>0.00</w:t>
            </w:r>
          </w:p>
        </w:tc>
        <w:tc>
          <w:tcPr>
            <w:tcW w:w="1619" w:type="dxa"/>
            <w:tcBorders>
              <w:top w:val="nil" w:sz="6" w:space="0" w:color="auto"/>
              <w:left w:val="nil" w:sz="6" w:space="0" w:color="auto"/>
              <w:bottom w:val="nil" w:sz="6" w:space="0" w:color="auto"/>
              <w:right w:val="nil" w:sz="6" w:space="0" w:color="auto"/>
            </w:tcBorders>
          </w:tcPr>
          <w:p>
            <w:pPr>
              <w:pStyle w:val="TableParagraph"/>
              <w:spacing w:line="207" w:lineRule="exact"/>
              <w:ind w:right="218"/>
              <w:jc w:val="right"/>
              <w:rPr>
                <w:rFonts w:ascii="宋体" w:hAnsi="宋体" w:cs="宋体" w:eastAsia="宋体" w:hint="default"/>
                <w:sz w:val="16"/>
                <w:szCs w:val="16"/>
              </w:rPr>
            </w:pPr>
            <w:r>
              <w:rPr>
                <w:rFonts w:ascii="宋体"/>
                <w:spacing w:val="-1"/>
                <w:sz w:val="16"/>
              </w:rPr>
              <w:t>0.00</w:t>
            </w:r>
          </w:p>
        </w:tc>
        <w:tc>
          <w:tcPr>
            <w:tcW w:w="1607" w:type="dxa"/>
            <w:tcBorders>
              <w:top w:val="nil" w:sz="6" w:space="0" w:color="auto"/>
              <w:left w:val="nil" w:sz="6" w:space="0" w:color="auto"/>
              <w:bottom w:val="nil" w:sz="6" w:space="0" w:color="auto"/>
              <w:right w:val="nil" w:sz="6" w:space="0" w:color="auto"/>
            </w:tcBorders>
          </w:tcPr>
          <w:p>
            <w:pPr>
              <w:pStyle w:val="TableParagraph"/>
              <w:spacing w:line="207" w:lineRule="exact"/>
              <w:ind w:right="104"/>
              <w:jc w:val="right"/>
              <w:rPr>
                <w:rFonts w:ascii="宋体" w:hAnsi="宋体" w:cs="宋体" w:eastAsia="宋体" w:hint="default"/>
                <w:sz w:val="16"/>
                <w:szCs w:val="16"/>
              </w:rPr>
            </w:pPr>
            <w:r>
              <w:rPr>
                <w:rFonts w:ascii="宋体"/>
                <w:spacing w:val="-1"/>
                <w:sz w:val="16"/>
              </w:rPr>
              <w:t>0.00</w:t>
            </w:r>
          </w:p>
        </w:tc>
      </w:tr>
      <w:tr>
        <w:trPr>
          <w:trHeight w:val="262" w:hRule="exact"/>
        </w:trPr>
        <w:tc>
          <w:tcPr>
            <w:tcW w:w="2081" w:type="dxa"/>
            <w:tcBorders>
              <w:top w:val="nil" w:sz="6" w:space="0" w:color="auto"/>
              <w:left w:val="nil" w:sz="6" w:space="0" w:color="auto"/>
              <w:bottom w:val="single" w:sz="4" w:space="0" w:color="000000"/>
              <w:right w:val="nil" w:sz="6" w:space="0" w:color="auto"/>
            </w:tcBorders>
          </w:tcPr>
          <w:p>
            <w:pPr>
              <w:pStyle w:val="TableParagraph"/>
              <w:spacing w:line="207" w:lineRule="exact"/>
              <w:ind w:left="122"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年末余额</w:t>
            </w:r>
          </w:p>
        </w:tc>
        <w:tc>
          <w:tcPr>
            <w:tcW w:w="2166" w:type="dxa"/>
            <w:tcBorders>
              <w:top w:val="nil" w:sz="6" w:space="0" w:color="auto"/>
              <w:left w:val="nil" w:sz="6" w:space="0" w:color="auto"/>
              <w:bottom w:val="single" w:sz="4" w:space="0" w:color="000000"/>
              <w:right w:val="nil" w:sz="6" w:space="0" w:color="auto"/>
            </w:tcBorders>
          </w:tcPr>
          <w:p>
            <w:pPr>
              <w:pStyle w:val="TableParagraph"/>
              <w:spacing w:line="207" w:lineRule="exact"/>
              <w:ind w:right="276"/>
              <w:jc w:val="right"/>
              <w:rPr>
                <w:rFonts w:ascii="宋体" w:hAnsi="宋体" w:cs="宋体" w:eastAsia="宋体" w:hint="default"/>
                <w:sz w:val="16"/>
                <w:szCs w:val="16"/>
              </w:rPr>
            </w:pPr>
            <w:r>
              <w:rPr>
                <w:rFonts w:ascii="宋体"/>
                <w:spacing w:val="-1"/>
                <w:sz w:val="16"/>
              </w:rPr>
              <w:t>0.00</w:t>
            </w:r>
          </w:p>
        </w:tc>
        <w:tc>
          <w:tcPr>
            <w:tcW w:w="1635" w:type="dxa"/>
            <w:tcBorders>
              <w:top w:val="nil" w:sz="6" w:space="0" w:color="auto"/>
              <w:left w:val="nil" w:sz="6" w:space="0" w:color="auto"/>
              <w:bottom w:val="single" w:sz="4" w:space="0" w:color="000000"/>
              <w:right w:val="nil" w:sz="6" w:space="0" w:color="auto"/>
            </w:tcBorders>
          </w:tcPr>
          <w:p>
            <w:pPr>
              <w:pStyle w:val="TableParagraph"/>
              <w:spacing w:line="207" w:lineRule="exact"/>
              <w:ind w:right="218"/>
              <w:jc w:val="right"/>
              <w:rPr>
                <w:rFonts w:ascii="宋体" w:hAnsi="宋体" w:cs="宋体" w:eastAsia="宋体" w:hint="default"/>
                <w:sz w:val="16"/>
                <w:szCs w:val="16"/>
              </w:rPr>
            </w:pPr>
            <w:r>
              <w:rPr>
                <w:rFonts w:ascii="宋体"/>
                <w:spacing w:val="-1"/>
                <w:sz w:val="16"/>
              </w:rPr>
              <w:t>0.00</w:t>
            </w:r>
          </w:p>
        </w:tc>
        <w:tc>
          <w:tcPr>
            <w:tcW w:w="1822" w:type="dxa"/>
            <w:tcBorders>
              <w:top w:val="nil" w:sz="6" w:space="0" w:color="auto"/>
              <w:left w:val="nil" w:sz="6" w:space="0" w:color="auto"/>
              <w:bottom w:val="single" w:sz="4" w:space="0" w:color="000000"/>
              <w:right w:val="nil" w:sz="6" w:space="0" w:color="auto"/>
            </w:tcBorders>
          </w:tcPr>
          <w:p>
            <w:pPr>
              <w:pStyle w:val="TableParagraph"/>
              <w:spacing w:line="207" w:lineRule="exact"/>
              <w:ind w:right="254"/>
              <w:jc w:val="right"/>
              <w:rPr>
                <w:rFonts w:ascii="宋体" w:hAnsi="宋体" w:cs="宋体" w:eastAsia="宋体" w:hint="default"/>
                <w:sz w:val="16"/>
                <w:szCs w:val="16"/>
              </w:rPr>
            </w:pPr>
            <w:r>
              <w:rPr>
                <w:rFonts w:ascii="宋体"/>
                <w:spacing w:val="-2"/>
                <w:sz w:val="16"/>
              </w:rPr>
              <w:t>4,959,433.02</w:t>
            </w:r>
          </w:p>
        </w:tc>
        <w:tc>
          <w:tcPr>
            <w:tcW w:w="1663" w:type="dxa"/>
            <w:tcBorders>
              <w:top w:val="nil" w:sz="6" w:space="0" w:color="auto"/>
              <w:left w:val="nil" w:sz="6" w:space="0" w:color="auto"/>
              <w:bottom w:val="single" w:sz="4" w:space="0" w:color="000000"/>
              <w:right w:val="nil" w:sz="6" w:space="0" w:color="auto"/>
            </w:tcBorders>
          </w:tcPr>
          <w:p>
            <w:pPr>
              <w:pStyle w:val="TableParagraph"/>
              <w:spacing w:line="207" w:lineRule="exact"/>
              <w:ind w:right="304"/>
              <w:jc w:val="right"/>
              <w:rPr>
                <w:rFonts w:ascii="宋体" w:hAnsi="宋体" w:cs="宋体" w:eastAsia="宋体" w:hint="default"/>
                <w:sz w:val="16"/>
                <w:szCs w:val="16"/>
              </w:rPr>
            </w:pPr>
            <w:r>
              <w:rPr>
                <w:rFonts w:ascii="宋体"/>
                <w:spacing w:val="-1"/>
                <w:sz w:val="16"/>
              </w:rPr>
              <w:t>0.00</w:t>
            </w:r>
          </w:p>
        </w:tc>
        <w:tc>
          <w:tcPr>
            <w:tcW w:w="1616" w:type="dxa"/>
            <w:tcBorders>
              <w:top w:val="nil" w:sz="6" w:space="0" w:color="auto"/>
              <w:left w:val="nil" w:sz="6" w:space="0" w:color="auto"/>
              <w:bottom w:val="single" w:sz="4" w:space="0" w:color="000000"/>
              <w:right w:val="nil" w:sz="6" w:space="0" w:color="auto"/>
            </w:tcBorders>
          </w:tcPr>
          <w:p>
            <w:pPr>
              <w:pStyle w:val="TableParagraph"/>
              <w:spacing w:line="207" w:lineRule="exact"/>
              <w:ind w:right="270"/>
              <w:jc w:val="right"/>
              <w:rPr>
                <w:rFonts w:ascii="宋体" w:hAnsi="宋体" w:cs="宋体" w:eastAsia="宋体" w:hint="default"/>
                <w:sz w:val="16"/>
                <w:szCs w:val="16"/>
              </w:rPr>
            </w:pPr>
            <w:r>
              <w:rPr>
                <w:rFonts w:ascii="宋体"/>
                <w:spacing w:val="-2"/>
                <w:sz w:val="16"/>
              </w:rPr>
              <w:t>61,000,000.00</w:t>
            </w:r>
          </w:p>
        </w:tc>
        <w:tc>
          <w:tcPr>
            <w:tcW w:w="1619" w:type="dxa"/>
            <w:tcBorders>
              <w:top w:val="nil" w:sz="6" w:space="0" w:color="auto"/>
              <w:left w:val="nil" w:sz="6" w:space="0" w:color="auto"/>
              <w:bottom w:val="single" w:sz="4" w:space="0" w:color="000000"/>
              <w:right w:val="nil" w:sz="6" w:space="0" w:color="auto"/>
            </w:tcBorders>
          </w:tcPr>
          <w:p>
            <w:pPr>
              <w:pStyle w:val="TableParagraph"/>
              <w:spacing w:line="207" w:lineRule="exact"/>
              <w:ind w:right="220"/>
              <w:jc w:val="right"/>
              <w:rPr>
                <w:rFonts w:ascii="宋体" w:hAnsi="宋体" w:cs="宋体" w:eastAsia="宋体" w:hint="default"/>
                <w:sz w:val="16"/>
                <w:szCs w:val="16"/>
              </w:rPr>
            </w:pPr>
            <w:r>
              <w:rPr>
                <w:rFonts w:ascii="宋体"/>
                <w:spacing w:val="-1"/>
                <w:sz w:val="16"/>
              </w:rPr>
              <w:t>0.00</w:t>
            </w:r>
          </w:p>
        </w:tc>
        <w:tc>
          <w:tcPr>
            <w:tcW w:w="1607" w:type="dxa"/>
            <w:tcBorders>
              <w:top w:val="nil" w:sz="6" w:space="0" w:color="auto"/>
              <w:left w:val="nil" w:sz="6" w:space="0" w:color="auto"/>
              <w:bottom w:val="single" w:sz="4" w:space="0" w:color="000000"/>
              <w:right w:val="nil" w:sz="6" w:space="0" w:color="auto"/>
            </w:tcBorders>
          </w:tcPr>
          <w:p>
            <w:pPr>
              <w:pStyle w:val="TableParagraph"/>
              <w:spacing w:line="207" w:lineRule="exact"/>
              <w:ind w:right="105"/>
              <w:jc w:val="right"/>
              <w:rPr>
                <w:rFonts w:ascii="宋体" w:hAnsi="宋体" w:cs="宋体" w:eastAsia="宋体" w:hint="default"/>
                <w:sz w:val="16"/>
                <w:szCs w:val="16"/>
              </w:rPr>
            </w:pPr>
            <w:r>
              <w:rPr>
                <w:rFonts w:ascii="宋体"/>
                <w:spacing w:val="-2"/>
                <w:sz w:val="16"/>
              </w:rPr>
              <w:t>65,959,433.02</w:t>
            </w:r>
          </w:p>
        </w:tc>
      </w:tr>
      <w:tr>
        <w:trPr>
          <w:trHeight w:val="252" w:hRule="exact"/>
        </w:trPr>
        <w:tc>
          <w:tcPr>
            <w:tcW w:w="2081" w:type="dxa"/>
            <w:tcBorders>
              <w:top w:val="single" w:sz="4" w:space="0" w:color="000000"/>
              <w:left w:val="nil" w:sz="6" w:space="0" w:color="auto"/>
              <w:bottom w:val="nil" w:sz="6" w:space="0" w:color="auto"/>
              <w:right w:val="nil" w:sz="6" w:space="0" w:color="auto"/>
            </w:tcBorders>
          </w:tcPr>
          <w:p>
            <w:pPr>
              <w:pStyle w:val="TableParagraph"/>
              <w:spacing w:line="203" w:lineRule="exact"/>
              <w:ind w:left="122" w:right="0"/>
              <w:jc w:val="left"/>
              <w:rPr>
                <w:rFonts w:ascii="宋体" w:hAnsi="宋体" w:cs="宋体" w:eastAsia="宋体" w:hint="default"/>
                <w:sz w:val="16"/>
                <w:szCs w:val="16"/>
              </w:rPr>
            </w:pPr>
            <w:r>
              <w:rPr>
                <w:rFonts w:ascii="宋体" w:hAnsi="宋体" w:cs="宋体" w:eastAsia="宋体" w:hint="default"/>
                <w:sz w:val="16"/>
                <w:szCs w:val="16"/>
              </w:rPr>
              <w:t>四、账面价值</w:t>
            </w:r>
          </w:p>
        </w:tc>
        <w:tc>
          <w:tcPr>
            <w:tcW w:w="2166" w:type="dxa"/>
            <w:tcBorders>
              <w:top w:val="single" w:sz="4" w:space="0" w:color="000000"/>
              <w:left w:val="nil" w:sz="6" w:space="0" w:color="auto"/>
              <w:bottom w:val="nil" w:sz="6" w:space="0" w:color="auto"/>
              <w:right w:val="nil" w:sz="6" w:space="0" w:color="auto"/>
            </w:tcBorders>
          </w:tcPr>
          <w:p>
            <w:pPr/>
          </w:p>
        </w:tc>
        <w:tc>
          <w:tcPr>
            <w:tcW w:w="1635" w:type="dxa"/>
            <w:tcBorders>
              <w:top w:val="single" w:sz="4" w:space="0" w:color="000000"/>
              <w:left w:val="nil" w:sz="6" w:space="0" w:color="auto"/>
              <w:bottom w:val="nil" w:sz="6" w:space="0" w:color="auto"/>
              <w:right w:val="nil" w:sz="6" w:space="0" w:color="auto"/>
            </w:tcBorders>
          </w:tcPr>
          <w:p>
            <w:pPr/>
          </w:p>
        </w:tc>
        <w:tc>
          <w:tcPr>
            <w:tcW w:w="1822" w:type="dxa"/>
            <w:tcBorders>
              <w:top w:val="single" w:sz="4" w:space="0" w:color="000000"/>
              <w:left w:val="nil" w:sz="6" w:space="0" w:color="auto"/>
              <w:bottom w:val="nil" w:sz="6" w:space="0" w:color="auto"/>
              <w:right w:val="nil" w:sz="6" w:space="0" w:color="auto"/>
            </w:tcBorders>
          </w:tcPr>
          <w:p>
            <w:pPr/>
          </w:p>
        </w:tc>
        <w:tc>
          <w:tcPr>
            <w:tcW w:w="1663" w:type="dxa"/>
            <w:tcBorders>
              <w:top w:val="single" w:sz="4" w:space="0" w:color="000000"/>
              <w:left w:val="nil" w:sz="6" w:space="0" w:color="auto"/>
              <w:bottom w:val="nil" w:sz="6" w:space="0" w:color="auto"/>
              <w:right w:val="nil" w:sz="6" w:space="0" w:color="auto"/>
            </w:tcBorders>
          </w:tcPr>
          <w:p>
            <w:pPr/>
          </w:p>
        </w:tc>
        <w:tc>
          <w:tcPr>
            <w:tcW w:w="1616" w:type="dxa"/>
            <w:tcBorders>
              <w:top w:val="single" w:sz="4" w:space="0" w:color="000000"/>
              <w:left w:val="nil" w:sz="6" w:space="0" w:color="auto"/>
              <w:bottom w:val="nil" w:sz="6" w:space="0" w:color="auto"/>
              <w:right w:val="nil" w:sz="6" w:space="0" w:color="auto"/>
            </w:tcBorders>
          </w:tcPr>
          <w:p>
            <w:pPr/>
          </w:p>
        </w:tc>
        <w:tc>
          <w:tcPr>
            <w:tcW w:w="1619" w:type="dxa"/>
            <w:tcBorders>
              <w:top w:val="single" w:sz="4" w:space="0" w:color="000000"/>
              <w:left w:val="nil" w:sz="6" w:space="0" w:color="auto"/>
              <w:bottom w:val="nil" w:sz="6" w:space="0" w:color="auto"/>
              <w:right w:val="nil" w:sz="6" w:space="0" w:color="auto"/>
            </w:tcBorders>
          </w:tcPr>
          <w:p>
            <w:pPr/>
          </w:p>
        </w:tc>
        <w:tc>
          <w:tcPr>
            <w:tcW w:w="1607" w:type="dxa"/>
            <w:tcBorders>
              <w:top w:val="single" w:sz="4" w:space="0" w:color="000000"/>
              <w:left w:val="nil" w:sz="6" w:space="0" w:color="auto"/>
              <w:bottom w:val="nil" w:sz="6" w:space="0" w:color="auto"/>
              <w:right w:val="nil" w:sz="6" w:space="0" w:color="auto"/>
            </w:tcBorders>
          </w:tcPr>
          <w:p>
            <w:pPr/>
          </w:p>
        </w:tc>
      </w:tr>
      <w:tr>
        <w:trPr>
          <w:trHeight w:val="252" w:hRule="exact"/>
        </w:trPr>
        <w:tc>
          <w:tcPr>
            <w:tcW w:w="2081" w:type="dxa"/>
            <w:tcBorders>
              <w:top w:val="nil" w:sz="6" w:space="0" w:color="auto"/>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年末账面价值</w:t>
            </w:r>
          </w:p>
        </w:tc>
        <w:tc>
          <w:tcPr>
            <w:tcW w:w="2166" w:type="dxa"/>
            <w:tcBorders>
              <w:top w:val="nil" w:sz="6" w:space="0" w:color="auto"/>
              <w:left w:val="nil" w:sz="6" w:space="0" w:color="auto"/>
              <w:bottom w:val="nil" w:sz="6" w:space="0" w:color="auto"/>
              <w:right w:val="nil" w:sz="6" w:space="0" w:color="auto"/>
            </w:tcBorders>
          </w:tcPr>
          <w:p>
            <w:pPr>
              <w:pStyle w:val="TableParagraph"/>
              <w:spacing w:line="205" w:lineRule="exact"/>
              <w:ind w:right="274"/>
              <w:jc w:val="right"/>
              <w:rPr>
                <w:rFonts w:ascii="宋体" w:hAnsi="宋体" w:cs="宋体" w:eastAsia="宋体" w:hint="default"/>
                <w:sz w:val="16"/>
                <w:szCs w:val="16"/>
              </w:rPr>
            </w:pPr>
            <w:r>
              <w:rPr>
                <w:rFonts w:ascii="宋体"/>
                <w:spacing w:val="-2"/>
                <w:sz w:val="16"/>
              </w:rPr>
              <w:t>549,451,205.24</w:t>
            </w:r>
          </w:p>
        </w:tc>
        <w:tc>
          <w:tcPr>
            <w:tcW w:w="1635" w:type="dxa"/>
            <w:tcBorders>
              <w:top w:val="nil" w:sz="6" w:space="0" w:color="auto"/>
              <w:left w:val="nil" w:sz="6" w:space="0" w:color="auto"/>
              <w:bottom w:val="nil" w:sz="6" w:space="0" w:color="auto"/>
              <w:right w:val="nil" w:sz="6" w:space="0" w:color="auto"/>
            </w:tcBorders>
          </w:tcPr>
          <w:p>
            <w:pPr>
              <w:pStyle w:val="TableParagraph"/>
              <w:spacing w:line="205" w:lineRule="exact"/>
              <w:ind w:right="216"/>
              <w:jc w:val="right"/>
              <w:rPr>
                <w:rFonts w:ascii="宋体" w:hAnsi="宋体" w:cs="宋体" w:eastAsia="宋体" w:hint="default"/>
                <w:sz w:val="16"/>
                <w:szCs w:val="16"/>
              </w:rPr>
            </w:pPr>
            <w:r>
              <w:rPr>
                <w:rFonts w:ascii="宋体"/>
                <w:spacing w:val="-2"/>
                <w:sz w:val="16"/>
              </w:rPr>
              <w:t>955,490.95</w:t>
            </w:r>
          </w:p>
        </w:tc>
        <w:tc>
          <w:tcPr>
            <w:tcW w:w="1822" w:type="dxa"/>
            <w:tcBorders>
              <w:top w:val="nil" w:sz="6" w:space="0" w:color="auto"/>
              <w:left w:val="nil" w:sz="6" w:space="0" w:color="auto"/>
              <w:bottom w:val="nil" w:sz="6" w:space="0" w:color="auto"/>
              <w:right w:val="nil" w:sz="6" w:space="0" w:color="auto"/>
            </w:tcBorders>
          </w:tcPr>
          <w:p>
            <w:pPr>
              <w:pStyle w:val="TableParagraph"/>
              <w:spacing w:line="205" w:lineRule="exact"/>
              <w:ind w:right="254"/>
              <w:jc w:val="right"/>
              <w:rPr>
                <w:rFonts w:ascii="宋体" w:hAnsi="宋体" w:cs="宋体" w:eastAsia="宋体" w:hint="default"/>
                <w:sz w:val="16"/>
                <w:szCs w:val="16"/>
              </w:rPr>
            </w:pPr>
            <w:r>
              <w:rPr>
                <w:rFonts w:ascii="宋体"/>
                <w:spacing w:val="-2"/>
                <w:sz w:val="16"/>
              </w:rPr>
              <w:t>489,408,498.11</w:t>
            </w:r>
          </w:p>
        </w:tc>
        <w:tc>
          <w:tcPr>
            <w:tcW w:w="1663" w:type="dxa"/>
            <w:tcBorders>
              <w:top w:val="nil" w:sz="6" w:space="0" w:color="auto"/>
              <w:left w:val="nil" w:sz="6" w:space="0" w:color="auto"/>
              <w:bottom w:val="nil" w:sz="6" w:space="0" w:color="auto"/>
              <w:right w:val="nil" w:sz="6" w:space="0" w:color="auto"/>
            </w:tcBorders>
          </w:tcPr>
          <w:p>
            <w:pPr>
              <w:pStyle w:val="TableParagraph"/>
              <w:spacing w:line="205" w:lineRule="exact"/>
              <w:ind w:right="302"/>
              <w:jc w:val="right"/>
              <w:rPr>
                <w:rFonts w:ascii="宋体" w:hAnsi="宋体" w:cs="宋体" w:eastAsia="宋体" w:hint="default"/>
                <w:sz w:val="16"/>
                <w:szCs w:val="16"/>
              </w:rPr>
            </w:pPr>
            <w:r>
              <w:rPr>
                <w:rFonts w:ascii="宋体"/>
                <w:spacing w:val="-2"/>
                <w:sz w:val="16"/>
              </w:rPr>
              <w:t>8,849,620.00</w:t>
            </w:r>
          </w:p>
        </w:tc>
        <w:tc>
          <w:tcPr>
            <w:tcW w:w="1616" w:type="dxa"/>
            <w:tcBorders>
              <w:top w:val="nil" w:sz="6" w:space="0" w:color="auto"/>
              <w:left w:val="nil" w:sz="6" w:space="0" w:color="auto"/>
              <w:bottom w:val="nil" w:sz="6" w:space="0" w:color="auto"/>
              <w:right w:val="nil" w:sz="6" w:space="0" w:color="auto"/>
            </w:tcBorders>
          </w:tcPr>
          <w:p>
            <w:pPr>
              <w:pStyle w:val="TableParagraph"/>
              <w:spacing w:line="205" w:lineRule="exact"/>
              <w:ind w:right="267"/>
              <w:jc w:val="right"/>
              <w:rPr>
                <w:rFonts w:ascii="宋体" w:hAnsi="宋体" w:cs="宋体" w:eastAsia="宋体" w:hint="default"/>
                <w:sz w:val="16"/>
                <w:szCs w:val="16"/>
              </w:rPr>
            </w:pPr>
            <w:r>
              <w:rPr>
                <w:rFonts w:ascii="宋体"/>
                <w:spacing w:val="-1"/>
                <w:sz w:val="16"/>
              </w:rPr>
              <w:t>0.00</w:t>
            </w:r>
          </w:p>
        </w:tc>
        <w:tc>
          <w:tcPr>
            <w:tcW w:w="1619" w:type="dxa"/>
            <w:tcBorders>
              <w:top w:val="nil" w:sz="6" w:space="0" w:color="auto"/>
              <w:left w:val="nil" w:sz="6" w:space="0" w:color="auto"/>
              <w:bottom w:val="nil" w:sz="6" w:space="0" w:color="auto"/>
              <w:right w:val="nil" w:sz="6" w:space="0" w:color="auto"/>
            </w:tcBorders>
          </w:tcPr>
          <w:p>
            <w:pPr>
              <w:pStyle w:val="TableParagraph"/>
              <w:spacing w:line="205" w:lineRule="exact"/>
              <w:ind w:right="219"/>
              <w:jc w:val="right"/>
              <w:rPr>
                <w:rFonts w:ascii="宋体" w:hAnsi="宋体" w:cs="宋体" w:eastAsia="宋体" w:hint="default"/>
                <w:sz w:val="16"/>
                <w:szCs w:val="16"/>
              </w:rPr>
            </w:pPr>
            <w:r>
              <w:rPr>
                <w:rFonts w:ascii="宋体"/>
                <w:spacing w:val="-2"/>
                <w:sz w:val="16"/>
              </w:rPr>
              <w:t>213,195,658.06</w:t>
            </w:r>
          </w:p>
        </w:tc>
        <w:tc>
          <w:tcPr>
            <w:tcW w:w="1607" w:type="dxa"/>
            <w:tcBorders>
              <w:top w:val="nil" w:sz="6" w:space="0" w:color="auto"/>
              <w:left w:val="nil" w:sz="6" w:space="0" w:color="auto"/>
              <w:bottom w:val="nil" w:sz="6" w:space="0" w:color="auto"/>
              <w:right w:val="nil" w:sz="6" w:space="0" w:color="auto"/>
            </w:tcBorders>
          </w:tcPr>
          <w:p>
            <w:pPr>
              <w:pStyle w:val="TableParagraph"/>
              <w:spacing w:line="205" w:lineRule="exact"/>
              <w:ind w:right="105"/>
              <w:jc w:val="right"/>
              <w:rPr>
                <w:rFonts w:ascii="宋体" w:hAnsi="宋体" w:cs="宋体" w:eastAsia="宋体" w:hint="default"/>
                <w:sz w:val="16"/>
                <w:szCs w:val="16"/>
              </w:rPr>
            </w:pPr>
            <w:r>
              <w:rPr>
                <w:rFonts w:ascii="宋体"/>
                <w:spacing w:val="-2"/>
                <w:sz w:val="16"/>
              </w:rPr>
              <w:t>1,261,860,472.36</w:t>
            </w:r>
          </w:p>
        </w:tc>
      </w:tr>
      <w:tr>
        <w:trPr>
          <w:trHeight w:val="271" w:hRule="exact"/>
        </w:trPr>
        <w:tc>
          <w:tcPr>
            <w:tcW w:w="2081" w:type="dxa"/>
            <w:tcBorders>
              <w:top w:val="nil" w:sz="6" w:space="0" w:color="auto"/>
              <w:left w:val="nil" w:sz="6" w:space="0" w:color="auto"/>
              <w:bottom w:val="single" w:sz="12" w:space="0" w:color="000000"/>
              <w:right w:val="nil" w:sz="6" w:space="0" w:color="auto"/>
            </w:tcBorders>
          </w:tcPr>
          <w:p>
            <w:pPr>
              <w:pStyle w:val="TableParagraph"/>
              <w:spacing w:line="207" w:lineRule="exact"/>
              <w:ind w:left="122"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年初账面价值</w:t>
            </w:r>
          </w:p>
        </w:tc>
        <w:tc>
          <w:tcPr>
            <w:tcW w:w="2166" w:type="dxa"/>
            <w:tcBorders>
              <w:top w:val="nil" w:sz="6" w:space="0" w:color="auto"/>
              <w:left w:val="nil" w:sz="6" w:space="0" w:color="auto"/>
              <w:bottom w:val="single" w:sz="12" w:space="0" w:color="000000"/>
              <w:right w:val="nil" w:sz="6" w:space="0" w:color="auto"/>
            </w:tcBorders>
          </w:tcPr>
          <w:p>
            <w:pPr>
              <w:pStyle w:val="TableParagraph"/>
              <w:spacing w:line="207" w:lineRule="exact"/>
              <w:ind w:right="274"/>
              <w:jc w:val="right"/>
              <w:rPr>
                <w:rFonts w:ascii="宋体" w:hAnsi="宋体" w:cs="宋体" w:eastAsia="宋体" w:hint="default"/>
                <w:sz w:val="16"/>
                <w:szCs w:val="16"/>
              </w:rPr>
            </w:pPr>
            <w:r>
              <w:rPr>
                <w:rFonts w:ascii="宋体"/>
                <w:spacing w:val="-2"/>
                <w:sz w:val="16"/>
              </w:rPr>
              <w:t>545,307,493.73</w:t>
            </w:r>
          </w:p>
        </w:tc>
        <w:tc>
          <w:tcPr>
            <w:tcW w:w="1635" w:type="dxa"/>
            <w:tcBorders>
              <w:top w:val="nil" w:sz="6" w:space="0" w:color="auto"/>
              <w:left w:val="nil" w:sz="6" w:space="0" w:color="auto"/>
              <w:bottom w:val="single" w:sz="12" w:space="0" w:color="000000"/>
              <w:right w:val="nil" w:sz="6" w:space="0" w:color="auto"/>
            </w:tcBorders>
          </w:tcPr>
          <w:p>
            <w:pPr>
              <w:pStyle w:val="TableParagraph"/>
              <w:spacing w:line="207" w:lineRule="exact"/>
              <w:ind w:right="216"/>
              <w:jc w:val="right"/>
              <w:rPr>
                <w:rFonts w:ascii="宋体" w:hAnsi="宋体" w:cs="宋体" w:eastAsia="宋体" w:hint="default"/>
                <w:sz w:val="16"/>
                <w:szCs w:val="16"/>
              </w:rPr>
            </w:pPr>
            <w:r>
              <w:rPr>
                <w:rFonts w:ascii="宋体"/>
                <w:spacing w:val="-2"/>
                <w:sz w:val="16"/>
              </w:rPr>
              <w:t>985,985.45</w:t>
            </w:r>
          </w:p>
        </w:tc>
        <w:tc>
          <w:tcPr>
            <w:tcW w:w="1822" w:type="dxa"/>
            <w:tcBorders>
              <w:top w:val="nil" w:sz="6" w:space="0" w:color="auto"/>
              <w:left w:val="nil" w:sz="6" w:space="0" w:color="auto"/>
              <w:bottom w:val="single" w:sz="12" w:space="0" w:color="000000"/>
              <w:right w:val="nil" w:sz="6" w:space="0" w:color="auto"/>
            </w:tcBorders>
          </w:tcPr>
          <w:p>
            <w:pPr>
              <w:pStyle w:val="TableParagraph"/>
              <w:spacing w:line="207" w:lineRule="exact"/>
              <w:ind w:right="254"/>
              <w:jc w:val="right"/>
              <w:rPr>
                <w:rFonts w:ascii="宋体" w:hAnsi="宋体" w:cs="宋体" w:eastAsia="宋体" w:hint="default"/>
                <w:sz w:val="16"/>
                <w:szCs w:val="16"/>
              </w:rPr>
            </w:pPr>
            <w:r>
              <w:rPr>
                <w:rFonts w:ascii="宋体"/>
                <w:spacing w:val="-2"/>
                <w:sz w:val="16"/>
              </w:rPr>
              <w:t>538,186,009.26</w:t>
            </w:r>
          </w:p>
        </w:tc>
        <w:tc>
          <w:tcPr>
            <w:tcW w:w="1663" w:type="dxa"/>
            <w:tcBorders>
              <w:top w:val="nil" w:sz="6" w:space="0" w:color="auto"/>
              <w:left w:val="nil" w:sz="6" w:space="0" w:color="auto"/>
              <w:bottom w:val="single" w:sz="12" w:space="0" w:color="000000"/>
              <w:right w:val="nil" w:sz="6" w:space="0" w:color="auto"/>
            </w:tcBorders>
          </w:tcPr>
          <w:p>
            <w:pPr>
              <w:pStyle w:val="TableParagraph"/>
              <w:spacing w:line="207" w:lineRule="exact"/>
              <w:ind w:right="302"/>
              <w:jc w:val="right"/>
              <w:rPr>
                <w:rFonts w:ascii="宋体" w:hAnsi="宋体" w:cs="宋体" w:eastAsia="宋体" w:hint="default"/>
                <w:sz w:val="16"/>
                <w:szCs w:val="16"/>
              </w:rPr>
            </w:pPr>
            <w:r>
              <w:rPr>
                <w:rFonts w:ascii="宋体"/>
                <w:spacing w:val="-2"/>
                <w:sz w:val="16"/>
              </w:rPr>
              <w:t>9,445,783.00</w:t>
            </w:r>
          </w:p>
        </w:tc>
        <w:tc>
          <w:tcPr>
            <w:tcW w:w="1616" w:type="dxa"/>
            <w:tcBorders>
              <w:top w:val="nil" w:sz="6" w:space="0" w:color="auto"/>
              <w:left w:val="nil" w:sz="6" w:space="0" w:color="auto"/>
              <w:bottom w:val="single" w:sz="12" w:space="0" w:color="000000"/>
              <w:right w:val="nil" w:sz="6" w:space="0" w:color="auto"/>
            </w:tcBorders>
          </w:tcPr>
          <w:p>
            <w:pPr>
              <w:pStyle w:val="TableParagraph"/>
              <w:spacing w:line="207" w:lineRule="exact"/>
              <w:ind w:right="267"/>
              <w:jc w:val="right"/>
              <w:rPr>
                <w:rFonts w:ascii="宋体" w:hAnsi="宋体" w:cs="宋体" w:eastAsia="宋体" w:hint="default"/>
                <w:sz w:val="16"/>
                <w:szCs w:val="16"/>
              </w:rPr>
            </w:pPr>
            <w:r>
              <w:rPr>
                <w:rFonts w:ascii="宋体"/>
                <w:spacing w:val="-2"/>
                <w:sz w:val="16"/>
              </w:rPr>
              <w:t>61,000,000.00</w:t>
            </w:r>
          </w:p>
        </w:tc>
        <w:tc>
          <w:tcPr>
            <w:tcW w:w="1619" w:type="dxa"/>
            <w:tcBorders>
              <w:top w:val="nil" w:sz="6" w:space="0" w:color="auto"/>
              <w:left w:val="nil" w:sz="6" w:space="0" w:color="auto"/>
              <w:bottom w:val="single" w:sz="12" w:space="0" w:color="000000"/>
              <w:right w:val="nil" w:sz="6" w:space="0" w:color="auto"/>
            </w:tcBorders>
          </w:tcPr>
          <w:p>
            <w:pPr>
              <w:pStyle w:val="TableParagraph"/>
              <w:spacing w:line="207" w:lineRule="exact"/>
              <w:ind w:right="219"/>
              <w:jc w:val="right"/>
              <w:rPr>
                <w:rFonts w:ascii="宋体" w:hAnsi="宋体" w:cs="宋体" w:eastAsia="宋体" w:hint="default"/>
                <w:sz w:val="16"/>
                <w:szCs w:val="16"/>
              </w:rPr>
            </w:pPr>
            <w:r>
              <w:rPr>
                <w:rFonts w:ascii="宋体"/>
                <w:spacing w:val="-2"/>
                <w:sz w:val="16"/>
              </w:rPr>
              <w:t>215,672,342.78</w:t>
            </w:r>
          </w:p>
        </w:tc>
        <w:tc>
          <w:tcPr>
            <w:tcW w:w="1607" w:type="dxa"/>
            <w:tcBorders>
              <w:top w:val="nil" w:sz="6" w:space="0" w:color="auto"/>
              <w:left w:val="nil" w:sz="6" w:space="0" w:color="auto"/>
              <w:bottom w:val="single" w:sz="12" w:space="0" w:color="000000"/>
              <w:right w:val="nil" w:sz="6" w:space="0" w:color="auto"/>
            </w:tcBorders>
          </w:tcPr>
          <w:p>
            <w:pPr>
              <w:pStyle w:val="TableParagraph"/>
              <w:spacing w:line="207" w:lineRule="exact"/>
              <w:ind w:right="105"/>
              <w:jc w:val="right"/>
              <w:rPr>
                <w:rFonts w:ascii="宋体" w:hAnsi="宋体" w:cs="宋体" w:eastAsia="宋体" w:hint="default"/>
                <w:sz w:val="16"/>
                <w:szCs w:val="16"/>
              </w:rPr>
            </w:pPr>
            <w:r>
              <w:rPr>
                <w:rFonts w:ascii="宋体"/>
                <w:spacing w:val="-2"/>
                <w:sz w:val="16"/>
              </w:rPr>
              <w:t>1,370,597,614.22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63"/>
        <w:ind w:left="7080" w:right="7038" w:firstLine="0"/>
        <w:jc w:val="center"/>
        <w:rPr>
          <w:rFonts w:ascii="Calibri" w:hAnsi="Calibri" w:cs="Calibri" w:eastAsia="Calibri" w:hint="default"/>
          <w:sz w:val="18"/>
          <w:szCs w:val="18"/>
        </w:rPr>
      </w:pPr>
      <w:r>
        <w:rPr>
          <w:rFonts w:ascii="Calibri"/>
          <w:sz w:val="18"/>
        </w:rPr>
        <w:t>128</w:t>
      </w:r>
    </w:p>
    <w:p>
      <w:pPr>
        <w:spacing w:after="0"/>
        <w:jc w:val="center"/>
        <w:rPr>
          <w:rFonts w:ascii="Calibri" w:hAnsi="Calibri" w:cs="Calibri" w:eastAsia="Calibri" w:hint="default"/>
          <w:sz w:val="18"/>
          <w:szCs w:val="18"/>
        </w:rPr>
        <w:sectPr>
          <w:footerReference w:type="default" r:id="rId39"/>
          <w:pgSz w:w="16840" w:h="11910" w:orient="landscape"/>
          <w:pgMar w:footer="0" w:header="0" w:top="1100" w:bottom="280" w:left="1180" w:right="1220"/>
        </w:sectPr>
      </w:pPr>
    </w:p>
    <w:p>
      <w:pPr>
        <w:spacing w:line="240" w:lineRule="auto" w:before="4"/>
        <w:rPr>
          <w:rFonts w:ascii="Times New Roman" w:hAnsi="Times New Roman" w:cs="Times New Roman" w:eastAsia="Times New Roman" w:hint="default"/>
          <w:sz w:val="6"/>
          <w:szCs w:val="6"/>
        </w:rPr>
      </w:pPr>
      <w:r>
        <w:rPr/>
        <w:pict>
          <v:group style="position:absolute;margin-left:185.690002pt;margin-top:110.539993pt;width:276.2pt;height:.5pt;mso-position-horizontal-relative:page;mso-position-vertical-relative:page;z-index:-1226056" coordorigin="3714,2211" coordsize="5524,10">
            <v:group style="position:absolute;left:3719;top:2216;width:1371;height:2" coordorigin="3719,2216" coordsize="1371,2">
              <v:shape style="position:absolute;left:3719;top:2216;width:1371;height:2" coordorigin="3719,2216" coordsize="1371,0" path="m3719,2216l5089,2216e" filled="false" stroked="true" strokeweight=".48pt" strokecolor="#000000">
                <v:path arrowok="t"/>
              </v:shape>
            </v:group>
            <v:group style="position:absolute;left:5089;top:2216;width:10;height:2" coordorigin="5089,2216" coordsize="10,2">
              <v:shape style="position:absolute;left:5089;top:2216;width:10;height:2" coordorigin="5089,2216" coordsize="10,0" path="m5089,2216l5099,2216e" filled="false" stroked="true" strokeweight=".48pt" strokecolor="#000000">
                <v:path arrowok="t"/>
              </v:shape>
            </v:group>
            <v:group style="position:absolute;left:5099;top:2216;width:1479;height:2" coordorigin="5099,2216" coordsize="1479,2">
              <v:shape style="position:absolute;left:5099;top:2216;width:1479;height:2" coordorigin="5099,2216" coordsize="1479,0" path="m5099,2216l6577,2216e" filled="false" stroked="true" strokeweight=".48pt" strokecolor="#000000">
                <v:path arrowok="t"/>
              </v:shape>
            </v:group>
            <v:group style="position:absolute;left:6577;top:2216;width:10;height:2" coordorigin="6577,2216" coordsize="10,2">
              <v:shape style="position:absolute;left:6577;top:2216;width:10;height:2" coordorigin="6577,2216" coordsize="10,0" path="m6577,2216l6587,2216e" filled="false" stroked="true" strokeweight=".48pt" strokecolor="#000000">
                <v:path arrowok="t"/>
              </v:shape>
            </v:group>
            <v:group style="position:absolute;left:6587;top:2216;width:1349;height:2" coordorigin="6587,2216" coordsize="1349,2">
              <v:shape style="position:absolute;left:6587;top:2216;width:1349;height:2" coordorigin="6587,2216" coordsize="1349,0" path="m6587,2216l7936,2216e" filled="false" stroked="true" strokeweight=".48pt" strokecolor="#000000">
                <v:path arrowok="t"/>
              </v:shape>
            </v:group>
            <v:group style="position:absolute;left:7936;top:2216;width:10;height:2" coordorigin="7936,2216" coordsize="10,2">
              <v:shape style="position:absolute;left:7936;top:2216;width:10;height:2" coordorigin="7936,2216" coordsize="10,0" path="m7936,2216l7945,2216e" filled="false" stroked="true" strokeweight=".48pt" strokecolor="#000000">
                <v:path arrowok="t"/>
              </v:shape>
            </v:group>
            <v:group style="position:absolute;left:7945;top:2216;width:1287;height:2" coordorigin="7945,2216" coordsize="1287,2">
              <v:shape style="position:absolute;left:7945;top:2216;width:1287;height:2" coordorigin="7945,2216" coordsize="1287,0" path="m7945,2216l9232,2216e" filled="false" stroked="true" strokeweight=".48pt" strokecolor="#000000">
                <v:path arrowok="t"/>
              </v:shape>
            </v:group>
            <w10:wrap type="none"/>
          </v:group>
        </w:pict>
      </w:r>
      <w:r>
        <w:rPr/>
        <w:pict>
          <v:group style="position:absolute;margin-left:280.489990pt;margin-top:560.589966pt;width:164.35pt;height:.5pt;mso-position-horizontal-relative:page;mso-position-vertical-relative:page;z-index:-1226032" coordorigin="5610,11212" coordsize="3287,10">
            <v:group style="position:absolute;left:5615;top:11217;width:1347;height:2" coordorigin="5615,11217" coordsize="1347,2">
              <v:shape style="position:absolute;left:5615;top:11217;width:1347;height:2" coordorigin="5615,11217" coordsize="1347,0" path="m5615,11217l6961,11217e" filled="false" stroked="true" strokeweight=".48004pt" strokecolor="#000000">
                <v:path arrowok="t"/>
              </v:shape>
            </v:group>
            <v:group style="position:absolute;left:6961;top:11217;width:10;height:2" coordorigin="6961,11217" coordsize="10,2">
              <v:shape style="position:absolute;left:6961;top:11217;width:10;height:2" coordorigin="6961,11217" coordsize="10,0" path="m6961,11217l6971,11217e" filled="false" stroked="true" strokeweight=".48004pt" strokecolor="#000000">
                <v:path arrowok="t"/>
              </v:shape>
            </v:group>
            <v:group style="position:absolute;left:6971;top:11217;width:941;height:2" coordorigin="6971,11217" coordsize="941,2">
              <v:shape style="position:absolute;left:6971;top:11217;width:941;height:2" coordorigin="6971,11217" coordsize="941,0" path="m6971,11217l7912,11217e" filled="false" stroked="true" strokeweight=".48004pt" strokecolor="#000000">
                <v:path arrowok="t"/>
              </v:shape>
            </v:group>
            <v:group style="position:absolute;left:7912;top:11217;width:10;height:2" coordorigin="7912,11217" coordsize="10,2">
              <v:shape style="position:absolute;left:7912;top:11217;width:10;height:2" coordorigin="7912,11217" coordsize="10,0" path="m7912,11217l7921,11217e" filled="false" stroked="true" strokeweight=".48004pt" strokecolor="#000000">
                <v:path arrowok="t"/>
              </v:shape>
            </v:group>
            <v:group style="position:absolute;left:7921;top:11217;width:971;height:2" coordorigin="7921,11217" coordsize="971,2">
              <v:shape style="position:absolute;left:7921;top:11217;width:971;height:2" coordorigin="7921,11217" coordsize="971,0" path="m7921,11217l8891,11217e" filled="false" stroked="true" strokeweight=".48004pt" strokecolor="#000000">
                <v:path arrowok="t"/>
              </v:shape>
            </v:group>
            <w10:wrap type="none"/>
          </v:group>
        </w:pict>
      </w:r>
    </w:p>
    <w:tbl>
      <w:tblPr>
        <w:tblW w:w="0" w:type="auto"/>
        <w:jc w:val="left"/>
        <w:tblInd w:w="365" w:type="dxa"/>
        <w:tblLayout w:type="fixed"/>
        <w:tblCellMar>
          <w:top w:w="0" w:type="dxa"/>
          <w:left w:w="0" w:type="dxa"/>
          <w:bottom w:w="0" w:type="dxa"/>
          <w:right w:w="0" w:type="dxa"/>
        </w:tblCellMar>
        <w:tblLook w:val="01E0"/>
      </w:tblPr>
      <w:tblGrid>
        <w:gridCol w:w="660"/>
        <w:gridCol w:w="1624"/>
        <w:gridCol w:w="1436"/>
        <w:gridCol w:w="1495"/>
        <w:gridCol w:w="1331"/>
        <w:gridCol w:w="1265"/>
        <w:gridCol w:w="1210"/>
      </w:tblGrid>
      <w:tr>
        <w:trPr>
          <w:trHeight w:val="501" w:hRule="exact"/>
        </w:trPr>
        <w:tc>
          <w:tcPr>
            <w:tcW w:w="660" w:type="dxa"/>
            <w:vMerge w:val="restart"/>
            <w:tcBorders>
              <w:top w:val="nil" w:sz="6" w:space="0" w:color="auto"/>
              <w:left w:val="nil" w:sz="6" w:space="0" w:color="auto"/>
              <w:right w:val="nil" w:sz="6" w:space="0" w:color="auto"/>
            </w:tcBorders>
          </w:tcPr>
          <w:p>
            <w:pPr/>
          </w:p>
        </w:tc>
        <w:tc>
          <w:tcPr>
            <w:tcW w:w="1624"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16.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开发支出</w:t>
            </w:r>
          </w:p>
        </w:tc>
        <w:tc>
          <w:tcPr>
            <w:tcW w:w="6737" w:type="dxa"/>
            <w:gridSpan w:val="5"/>
            <w:tcBorders>
              <w:top w:val="nil" w:sz="6" w:space="0" w:color="auto"/>
              <w:left w:val="nil" w:sz="6" w:space="0" w:color="auto"/>
              <w:bottom w:val="single" w:sz="12" w:space="0" w:color="000000"/>
              <w:right w:val="nil" w:sz="6" w:space="0" w:color="auto"/>
            </w:tcBorders>
          </w:tcPr>
          <w:p>
            <w:pPr/>
          </w:p>
        </w:tc>
      </w:tr>
      <w:tr>
        <w:trPr>
          <w:trHeight w:val="233" w:hRule="exact"/>
        </w:trPr>
        <w:tc>
          <w:tcPr>
            <w:tcW w:w="660" w:type="dxa"/>
            <w:vMerge/>
            <w:tcBorders>
              <w:left w:val="nil" w:sz="6" w:space="0" w:color="auto"/>
              <w:bottom w:val="nil" w:sz="6" w:space="0" w:color="auto"/>
              <w:right w:val="nil" w:sz="6" w:space="0" w:color="auto"/>
            </w:tcBorders>
          </w:tcPr>
          <w:p>
            <w:pPr/>
          </w:p>
        </w:tc>
        <w:tc>
          <w:tcPr>
            <w:tcW w:w="1624" w:type="dxa"/>
            <w:tcBorders>
              <w:top w:val="single" w:sz="12" w:space="0" w:color="000000"/>
              <w:left w:val="nil" w:sz="6" w:space="0" w:color="auto"/>
              <w:bottom w:val="nil" w:sz="6" w:space="0" w:color="auto"/>
              <w:right w:val="nil" w:sz="6" w:space="0" w:color="auto"/>
            </w:tcBorders>
          </w:tcPr>
          <w:p>
            <w:pPr/>
          </w:p>
        </w:tc>
        <w:tc>
          <w:tcPr>
            <w:tcW w:w="1436" w:type="dxa"/>
            <w:tcBorders>
              <w:top w:val="single" w:sz="12" w:space="0" w:color="000000"/>
              <w:left w:val="nil" w:sz="6" w:space="0" w:color="auto"/>
              <w:bottom w:val="nil" w:sz="6" w:space="0" w:color="auto"/>
              <w:right w:val="nil" w:sz="6" w:space="0" w:color="auto"/>
            </w:tcBorders>
          </w:tcPr>
          <w:p>
            <w:pPr>
              <w:pStyle w:val="TableParagraph"/>
              <w:spacing w:line="240" w:lineRule="auto" w:before="14"/>
              <w:ind w:left="351" w:right="0"/>
              <w:jc w:val="left"/>
              <w:rPr>
                <w:rFonts w:ascii="宋体" w:hAnsi="宋体" w:cs="宋体" w:eastAsia="宋体" w:hint="default"/>
                <w:sz w:val="16"/>
                <w:szCs w:val="16"/>
              </w:rPr>
            </w:pPr>
            <w:r>
              <w:rPr>
                <w:rFonts w:ascii="宋体" w:hAnsi="宋体" w:cs="宋体" w:eastAsia="宋体" w:hint="default"/>
                <w:b/>
                <w:bCs/>
                <w:sz w:val="16"/>
                <w:szCs w:val="16"/>
              </w:rPr>
              <w:t>本年增加</w:t>
            </w:r>
            <w:r>
              <w:rPr>
                <w:rFonts w:ascii="宋体" w:hAnsi="宋体" w:cs="宋体" w:eastAsia="宋体" w:hint="default"/>
                <w:sz w:val="16"/>
                <w:szCs w:val="16"/>
              </w:rPr>
            </w:r>
          </w:p>
        </w:tc>
        <w:tc>
          <w:tcPr>
            <w:tcW w:w="1495" w:type="dxa"/>
            <w:tcBorders>
              <w:top w:val="single" w:sz="12" w:space="0" w:color="000000"/>
              <w:left w:val="nil" w:sz="6" w:space="0" w:color="auto"/>
              <w:bottom w:val="nil" w:sz="6" w:space="0" w:color="auto"/>
              <w:right w:val="nil" w:sz="6" w:space="0" w:color="auto"/>
            </w:tcBorders>
          </w:tcPr>
          <w:p>
            <w:pPr/>
          </w:p>
        </w:tc>
        <w:tc>
          <w:tcPr>
            <w:tcW w:w="1331" w:type="dxa"/>
            <w:tcBorders>
              <w:top w:val="single" w:sz="12" w:space="0" w:color="000000"/>
              <w:left w:val="nil" w:sz="6" w:space="0" w:color="auto"/>
              <w:bottom w:val="nil" w:sz="6" w:space="0" w:color="auto"/>
              <w:right w:val="nil" w:sz="6" w:space="0" w:color="auto"/>
            </w:tcBorders>
          </w:tcPr>
          <w:p>
            <w:pPr>
              <w:pStyle w:val="TableParagraph"/>
              <w:spacing w:line="240" w:lineRule="auto" w:before="14"/>
              <w:ind w:left="176" w:right="0"/>
              <w:jc w:val="left"/>
              <w:rPr>
                <w:rFonts w:ascii="宋体" w:hAnsi="宋体" w:cs="宋体" w:eastAsia="宋体" w:hint="default"/>
                <w:sz w:val="16"/>
                <w:szCs w:val="16"/>
              </w:rPr>
            </w:pPr>
            <w:r>
              <w:rPr>
                <w:rFonts w:ascii="宋体" w:hAnsi="宋体" w:cs="宋体" w:eastAsia="宋体" w:hint="default"/>
                <w:b/>
                <w:bCs/>
                <w:sz w:val="16"/>
                <w:szCs w:val="16"/>
              </w:rPr>
              <w:t>本年减少</w:t>
            </w:r>
            <w:r>
              <w:rPr>
                <w:rFonts w:ascii="宋体" w:hAnsi="宋体" w:cs="宋体" w:eastAsia="宋体" w:hint="default"/>
                <w:sz w:val="16"/>
                <w:szCs w:val="16"/>
              </w:rPr>
            </w:r>
          </w:p>
        </w:tc>
        <w:tc>
          <w:tcPr>
            <w:tcW w:w="1265" w:type="dxa"/>
            <w:tcBorders>
              <w:top w:val="single" w:sz="12" w:space="0" w:color="000000"/>
              <w:left w:val="nil" w:sz="6" w:space="0" w:color="auto"/>
              <w:bottom w:val="nil" w:sz="6" w:space="0" w:color="auto"/>
              <w:right w:val="nil" w:sz="6" w:space="0" w:color="auto"/>
            </w:tcBorders>
          </w:tcPr>
          <w:p>
            <w:pPr/>
          </w:p>
        </w:tc>
        <w:tc>
          <w:tcPr>
            <w:tcW w:w="1210" w:type="dxa"/>
            <w:tcBorders>
              <w:top w:val="single" w:sz="12" w:space="0" w:color="000000"/>
              <w:left w:val="nil" w:sz="6" w:space="0" w:color="auto"/>
              <w:bottom w:val="nil" w:sz="6" w:space="0" w:color="auto"/>
              <w:right w:val="nil" w:sz="6" w:space="0" w:color="auto"/>
            </w:tcBorders>
          </w:tcPr>
          <w:p>
            <w:pPr/>
          </w:p>
        </w:tc>
      </w:tr>
      <w:tr>
        <w:trPr>
          <w:trHeight w:val="148" w:hRule="exact"/>
        </w:trPr>
        <w:tc>
          <w:tcPr>
            <w:tcW w:w="660" w:type="dxa"/>
            <w:tcBorders>
              <w:top w:val="nil" w:sz="6" w:space="0" w:color="auto"/>
              <w:left w:val="nil" w:sz="6" w:space="0" w:color="auto"/>
              <w:bottom w:val="nil" w:sz="6" w:space="0" w:color="auto"/>
              <w:right w:val="nil" w:sz="6" w:space="0" w:color="auto"/>
            </w:tcBorders>
          </w:tcPr>
          <w:p>
            <w:pPr>
              <w:pStyle w:val="TableParagraph"/>
              <w:spacing w:line="155" w:lineRule="exact"/>
              <w:ind w:left="26"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624" w:type="dxa"/>
            <w:tcBorders>
              <w:top w:val="nil" w:sz="6" w:space="0" w:color="auto"/>
              <w:left w:val="nil" w:sz="6" w:space="0" w:color="auto"/>
              <w:bottom w:val="nil" w:sz="6" w:space="0" w:color="auto"/>
              <w:right w:val="nil" w:sz="6" w:space="0" w:color="auto"/>
            </w:tcBorders>
          </w:tcPr>
          <w:p>
            <w:pPr>
              <w:pStyle w:val="TableParagraph"/>
              <w:spacing w:line="155" w:lineRule="exact"/>
              <w:ind w:left="640"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1436"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155" w:lineRule="exact"/>
              <w:ind w:left="268" w:right="0"/>
              <w:jc w:val="left"/>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tc>
      </w:tr>
      <w:tr>
        <w:trPr>
          <w:trHeight w:val="222" w:hRule="exact"/>
        </w:trPr>
        <w:tc>
          <w:tcPr>
            <w:tcW w:w="660" w:type="dxa"/>
            <w:tcBorders>
              <w:top w:val="nil" w:sz="6" w:space="0" w:color="auto"/>
              <w:left w:val="nil" w:sz="6" w:space="0" w:color="auto"/>
              <w:bottom w:val="single" w:sz="4" w:space="0" w:color="000000"/>
              <w:right w:val="nil" w:sz="6" w:space="0" w:color="auto"/>
            </w:tcBorders>
          </w:tcPr>
          <w:p>
            <w:pPr/>
          </w:p>
        </w:tc>
        <w:tc>
          <w:tcPr>
            <w:tcW w:w="1624" w:type="dxa"/>
            <w:tcBorders>
              <w:top w:val="nil" w:sz="6" w:space="0" w:color="auto"/>
              <w:left w:val="nil" w:sz="6" w:space="0" w:color="auto"/>
              <w:bottom w:val="single" w:sz="4" w:space="0" w:color="000000"/>
              <w:right w:val="nil" w:sz="6" w:space="0" w:color="auto"/>
            </w:tcBorders>
          </w:tcPr>
          <w:p>
            <w:pPr/>
          </w:p>
        </w:tc>
        <w:tc>
          <w:tcPr>
            <w:tcW w:w="1436" w:type="dxa"/>
            <w:tcBorders>
              <w:top w:val="nil" w:sz="6" w:space="0" w:color="auto"/>
              <w:left w:val="nil" w:sz="6" w:space="0" w:color="auto"/>
              <w:bottom w:val="single" w:sz="4" w:space="0" w:color="000000"/>
              <w:right w:val="nil" w:sz="6" w:space="0" w:color="auto"/>
            </w:tcBorders>
          </w:tcPr>
          <w:p>
            <w:pPr>
              <w:pStyle w:val="TableParagraph"/>
              <w:spacing w:line="153" w:lineRule="exact"/>
              <w:ind w:left="190" w:right="0"/>
              <w:jc w:val="left"/>
              <w:rPr>
                <w:rFonts w:ascii="宋体" w:hAnsi="宋体" w:cs="宋体" w:eastAsia="宋体" w:hint="default"/>
                <w:sz w:val="16"/>
                <w:szCs w:val="16"/>
              </w:rPr>
            </w:pPr>
            <w:r>
              <w:rPr>
                <w:rFonts w:ascii="宋体" w:hAnsi="宋体" w:cs="宋体" w:eastAsia="宋体" w:hint="default"/>
                <w:b/>
                <w:bCs/>
                <w:sz w:val="16"/>
                <w:szCs w:val="16"/>
              </w:rPr>
              <w:t>内部开发支出</w:t>
            </w:r>
            <w:r>
              <w:rPr>
                <w:rFonts w:ascii="宋体" w:hAnsi="宋体" w:cs="宋体" w:eastAsia="宋体" w:hint="default"/>
                <w:sz w:val="16"/>
                <w:szCs w:val="16"/>
              </w:rPr>
            </w:r>
          </w:p>
        </w:tc>
        <w:tc>
          <w:tcPr>
            <w:tcW w:w="1495" w:type="dxa"/>
            <w:tcBorders>
              <w:top w:val="nil" w:sz="6" w:space="0" w:color="auto"/>
              <w:left w:val="nil" w:sz="6" w:space="0" w:color="auto"/>
              <w:bottom w:val="single" w:sz="4" w:space="0" w:color="000000"/>
              <w:right w:val="nil" w:sz="6" w:space="0" w:color="auto"/>
            </w:tcBorders>
          </w:tcPr>
          <w:p>
            <w:pPr>
              <w:pStyle w:val="TableParagraph"/>
              <w:spacing w:line="153" w:lineRule="exact"/>
              <w:ind w:left="104" w:right="0"/>
              <w:jc w:val="left"/>
              <w:rPr>
                <w:rFonts w:ascii="宋体" w:hAnsi="宋体" w:cs="宋体" w:eastAsia="宋体" w:hint="default"/>
                <w:sz w:val="16"/>
                <w:szCs w:val="16"/>
              </w:rPr>
            </w:pPr>
            <w:r>
              <w:rPr>
                <w:rFonts w:ascii="宋体" w:hAnsi="宋体" w:cs="宋体" w:eastAsia="宋体" w:hint="default"/>
                <w:b/>
                <w:bCs/>
                <w:sz w:val="16"/>
                <w:szCs w:val="16"/>
              </w:rPr>
              <w:t>确认为无形资产</w:t>
            </w:r>
            <w:r>
              <w:rPr>
                <w:rFonts w:ascii="宋体" w:hAnsi="宋体" w:cs="宋体" w:eastAsia="宋体" w:hint="default"/>
                <w:sz w:val="16"/>
                <w:szCs w:val="16"/>
              </w:rPr>
            </w:r>
          </w:p>
        </w:tc>
        <w:tc>
          <w:tcPr>
            <w:tcW w:w="1331" w:type="dxa"/>
            <w:tcBorders>
              <w:top w:val="nil" w:sz="6" w:space="0" w:color="auto"/>
              <w:left w:val="nil" w:sz="6" w:space="0" w:color="auto"/>
              <w:bottom w:val="single" w:sz="4" w:space="0" w:color="000000"/>
              <w:right w:val="nil" w:sz="6" w:space="0" w:color="auto"/>
            </w:tcBorders>
          </w:tcPr>
          <w:p>
            <w:pPr>
              <w:pStyle w:val="TableParagraph"/>
              <w:spacing w:line="153" w:lineRule="exact"/>
              <w:ind w:left="111" w:right="0"/>
              <w:jc w:val="left"/>
              <w:rPr>
                <w:rFonts w:ascii="宋体" w:hAnsi="宋体" w:cs="宋体" w:eastAsia="宋体" w:hint="default"/>
                <w:sz w:val="16"/>
                <w:szCs w:val="16"/>
              </w:rPr>
            </w:pPr>
            <w:r>
              <w:rPr>
                <w:rFonts w:ascii="宋体" w:hAnsi="宋体" w:cs="宋体" w:eastAsia="宋体" w:hint="default"/>
                <w:b/>
                <w:bCs/>
                <w:sz w:val="16"/>
                <w:szCs w:val="16"/>
              </w:rPr>
              <w:t>转入当期损益</w:t>
            </w:r>
            <w:r>
              <w:rPr>
                <w:rFonts w:ascii="宋体" w:hAnsi="宋体" w:cs="宋体" w:eastAsia="宋体" w:hint="default"/>
                <w:sz w:val="16"/>
                <w:szCs w:val="16"/>
              </w:rPr>
            </w:r>
          </w:p>
        </w:tc>
        <w:tc>
          <w:tcPr>
            <w:tcW w:w="1265" w:type="dxa"/>
            <w:tcBorders>
              <w:top w:val="nil" w:sz="6" w:space="0" w:color="auto"/>
              <w:left w:val="nil" w:sz="6" w:space="0" w:color="auto"/>
              <w:bottom w:val="single" w:sz="4" w:space="0" w:color="000000"/>
              <w:right w:val="nil" w:sz="6" w:space="0" w:color="auto"/>
            </w:tcBorders>
          </w:tcPr>
          <w:p>
            <w:pPr>
              <w:pStyle w:val="TableParagraph"/>
              <w:spacing w:line="153" w:lineRule="exact"/>
              <w:ind w:left="268" w:right="0"/>
              <w:jc w:val="left"/>
              <w:rPr>
                <w:rFonts w:ascii="宋体" w:hAnsi="宋体" w:cs="宋体" w:eastAsia="宋体" w:hint="default"/>
                <w:sz w:val="16"/>
                <w:szCs w:val="16"/>
              </w:rPr>
            </w:pPr>
            <w:r>
              <w:rPr>
                <w:rFonts w:ascii="宋体" w:hAnsi="宋体" w:cs="宋体" w:eastAsia="宋体" w:hint="default"/>
                <w:b/>
                <w:bCs/>
                <w:sz w:val="16"/>
                <w:szCs w:val="16"/>
              </w:rPr>
              <w:t>其他减少</w:t>
            </w:r>
            <w:r>
              <w:rPr>
                <w:rFonts w:ascii="宋体" w:hAnsi="宋体" w:cs="宋体" w:eastAsia="宋体" w:hint="default"/>
                <w:sz w:val="16"/>
                <w:szCs w:val="16"/>
              </w:rPr>
            </w:r>
          </w:p>
        </w:tc>
        <w:tc>
          <w:tcPr>
            <w:tcW w:w="1210" w:type="dxa"/>
            <w:tcBorders>
              <w:top w:val="nil" w:sz="6" w:space="0" w:color="auto"/>
              <w:left w:val="nil" w:sz="6" w:space="0" w:color="auto"/>
              <w:bottom w:val="single" w:sz="4" w:space="0" w:color="000000"/>
              <w:right w:val="nil" w:sz="6" w:space="0" w:color="auto"/>
            </w:tcBorders>
          </w:tcPr>
          <w:p>
            <w:pPr/>
          </w:p>
        </w:tc>
      </w:tr>
      <w:tr>
        <w:trPr>
          <w:trHeight w:val="289" w:hRule="exact"/>
        </w:trPr>
        <w:tc>
          <w:tcPr>
            <w:tcW w:w="66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26" w:right="-10"/>
              <w:jc w:val="left"/>
              <w:rPr>
                <w:rFonts w:ascii="宋体" w:hAnsi="宋体" w:cs="宋体" w:eastAsia="宋体" w:hint="default"/>
                <w:sz w:val="16"/>
                <w:szCs w:val="16"/>
              </w:rPr>
            </w:pPr>
            <w:r>
              <w:rPr>
                <w:rFonts w:ascii="宋体" w:hAnsi="宋体" w:cs="宋体" w:eastAsia="宋体" w:hint="default"/>
                <w:sz w:val="16"/>
                <w:szCs w:val="16"/>
              </w:rPr>
              <w:t>开发支出</w:t>
            </w:r>
          </w:p>
        </w:tc>
        <w:tc>
          <w:tcPr>
            <w:tcW w:w="162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37"/>
              <w:jc w:val="right"/>
              <w:rPr>
                <w:rFonts w:ascii="宋体" w:hAnsi="宋体" w:cs="宋体" w:eastAsia="宋体" w:hint="default"/>
                <w:sz w:val="16"/>
                <w:szCs w:val="16"/>
              </w:rPr>
            </w:pPr>
            <w:r>
              <w:rPr>
                <w:rFonts w:ascii="宋体"/>
                <w:spacing w:val="-2"/>
                <w:sz w:val="16"/>
              </w:rPr>
              <w:t>792,420,033.04</w:t>
            </w:r>
          </w:p>
        </w:tc>
        <w:tc>
          <w:tcPr>
            <w:tcW w:w="143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2"/>
              <w:jc w:val="right"/>
              <w:rPr>
                <w:rFonts w:ascii="宋体" w:hAnsi="宋体" w:cs="宋体" w:eastAsia="宋体" w:hint="default"/>
                <w:sz w:val="16"/>
                <w:szCs w:val="16"/>
              </w:rPr>
            </w:pPr>
            <w:r>
              <w:rPr>
                <w:rFonts w:ascii="宋体"/>
                <w:spacing w:val="-2"/>
                <w:sz w:val="16"/>
              </w:rPr>
              <w:t>797,781,275.70</w:t>
            </w:r>
          </w:p>
        </w:tc>
        <w:tc>
          <w:tcPr>
            <w:tcW w:w="149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spacing w:val="-2"/>
                <w:sz w:val="16"/>
              </w:rPr>
              <w:t>179,257,926.45</w:t>
            </w:r>
          </w:p>
        </w:tc>
        <w:tc>
          <w:tcPr>
            <w:tcW w:w="133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25" w:right="0"/>
              <w:jc w:val="left"/>
              <w:rPr>
                <w:rFonts w:ascii="宋体" w:hAnsi="宋体" w:cs="宋体" w:eastAsia="宋体" w:hint="default"/>
                <w:sz w:val="16"/>
                <w:szCs w:val="16"/>
              </w:rPr>
            </w:pPr>
            <w:r>
              <w:rPr>
                <w:rFonts w:ascii="宋体"/>
                <w:sz w:val="16"/>
              </w:rPr>
              <w:t>301,246,496.67</w:t>
            </w: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50"/>
              <w:jc w:val="right"/>
              <w:rPr>
                <w:rFonts w:ascii="宋体" w:hAnsi="宋体" w:cs="宋体" w:eastAsia="宋体" w:hint="default"/>
                <w:sz w:val="16"/>
                <w:szCs w:val="16"/>
              </w:rPr>
            </w:pPr>
            <w:r>
              <w:rPr>
                <w:rFonts w:ascii="宋体"/>
                <w:spacing w:val="-2"/>
                <w:sz w:val="16"/>
              </w:rPr>
              <w:t>155,204,193.94</w:t>
            </w:r>
          </w:p>
        </w:tc>
        <w:tc>
          <w:tcPr>
            <w:tcW w:w="121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16"/>
                <w:szCs w:val="16"/>
              </w:rPr>
            </w:pPr>
            <w:r>
              <w:rPr>
                <w:rFonts w:ascii="宋体"/>
                <w:spacing w:val="-2"/>
                <w:sz w:val="16"/>
              </w:rPr>
              <w:t>954,492,691.68</w:t>
            </w:r>
          </w:p>
        </w:tc>
      </w:tr>
      <w:tr>
        <w:trPr>
          <w:trHeight w:val="289" w:hRule="exact"/>
        </w:trPr>
        <w:tc>
          <w:tcPr>
            <w:tcW w:w="660"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left="26" w:right="-10"/>
              <w:jc w:val="left"/>
              <w:rPr>
                <w:rFonts w:ascii="宋体" w:hAnsi="宋体" w:cs="宋体" w:eastAsia="宋体" w:hint="default"/>
                <w:sz w:val="16"/>
                <w:szCs w:val="16"/>
              </w:rPr>
            </w:pPr>
            <w:r>
              <w:rPr>
                <w:rFonts w:ascii="宋体" w:hAnsi="宋体" w:cs="宋体" w:eastAsia="宋体" w:hint="default"/>
                <w:sz w:val="16"/>
                <w:szCs w:val="16"/>
              </w:rPr>
              <w:t>研究支出</w:t>
            </w:r>
          </w:p>
        </w:tc>
        <w:tc>
          <w:tcPr>
            <w:tcW w:w="1624"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39"/>
              <w:jc w:val="right"/>
              <w:rPr>
                <w:rFonts w:ascii="宋体" w:hAnsi="宋体" w:cs="宋体" w:eastAsia="宋体" w:hint="default"/>
                <w:sz w:val="16"/>
                <w:szCs w:val="16"/>
              </w:rPr>
            </w:pPr>
            <w:r>
              <w:rPr>
                <w:rFonts w:ascii="宋体"/>
                <w:spacing w:val="-1"/>
                <w:sz w:val="16"/>
              </w:rPr>
              <w:t>0.00</w:t>
            </w:r>
          </w:p>
        </w:tc>
        <w:tc>
          <w:tcPr>
            <w:tcW w:w="1436"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102"/>
              <w:jc w:val="right"/>
              <w:rPr>
                <w:rFonts w:ascii="宋体" w:hAnsi="宋体" w:cs="宋体" w:eastAsia="宋体" w:hint="default"/>
                <w:sz w:val="16"/>
                <w:szCs w:val="16"/>
              </w:rPr>
            </w:pPr>
            <w:r>
              <w:rPr>
                <w:rFonts w:ascii="宋体"/>
                <w:spacing w:val="-2"/>
                <w:sz w:val="16"/>
              </w:rPr>
              <w:t>621,151,084.34</w:t>
            </w: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112"/>
              <w:jc w:val="right"/>
              <w:rPr>
                <w:rFonts w:ascii="宋体" w:hAnsi="宋体" w:cs="宋体" w:eastAsia="宋体" w:hint="default"/>
                <w:sz w:val="16"/>
                <w:szCs w:val="16"/>
              </w:rPr>
            </w:pPr>
            <w:r>
              <w:rPr>
                <w:rFonts w:ascii="宋体"/>
                <w:spacing w:val="-1"/>
                <w:sz w:val="16"/>
              </w:rPr>
              <w:t>0.00</w:t>
            </w:r>
          </w:p>
        </w:tc>
        <w:tc>
          <w:tcPr>
            <w:tcW w:w="1331"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left="125" w:right="0"/>
              <w:jc w:val="left"/>
              <w:rPr>
                <w:rFonts w:ascii="宋体" w:hAnsi="宋体" w:cs="宋体" w:eastAsia="宋体" w:hint="default"/>
                <w:sz w:val="16"/>
                <w:szCs w:val="16"/>
              </w:rPr>
            </w:pPr>
            <w:r>
              <w:rPr>
                <w:rFonts w:ascii="宋体"/>
                <w:sz w:val="16"/>
              </w:rPr>
              <w:t>562,404,412.81</w:t>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52"/>
              <w:jc w:val="right"/>
              <w:rPr>
                <w:rFonts w:ascii="宋体" w:hAnsi="宋体" w:cs="宋体" w:eastAsia="宋体" w:hint="default"/>
                <w:sz w:val="16"/>
                <w:szCs w:val="16"/>
              </w:rPr>
            </w:pPr>
            <w:r>
              <w:rPr>
                <w:rFonts w:ascii="宋体"/>
                <w:spacing w:val="-2"/>
                <w:sz w:val="16"/>
              </w:rPr>
              <w:t>58,746,671.53</w:t>
            </w:r>
          </w:p>
        </w:tc>
        <w:tc>
          <w:tcPr>
            <w:tcW w:w="1210"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28"/>
              <w:jc w:val="right"/>
              <w:rPr>
                <w:rFonts w:ascii="宋体" w:hAnsi="宋体" w:cs="宋体" w:eastAsia="宋体" w:hint="default"/>
                <w:sz w:val="16"/>
                <w:szCs w:val="16"/>
              </w:rPr>
            </w:pPr>
            <w:r>
              <w:rPr>
                <w:rFonts w:ascii="宋体"/>
                <w:spacing w:val="-1"/>
                <w:sz w:val="16"/>
              </w:rPr>
              <w:t>0.00</w:t>
            </w:r>
          </w:p>
        </w:tc>
      </w:tr>
      <w:tr>
        <w:trPr>
          <w:trHeight w:val="307" w:hRule="exact"/>
        </w:trPr>
        <w:tc>
          <w:tcPr>
            <w:tcW w:w="660"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left="26"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624"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right="38"/>
              <w:jc w:val="right"/>
              <w:rPr>
                <w:rFonts w:ascii="宋体" w:hAnsi="宋体" w:cs="宋体" w:eastAsia="宋体" w:hint="default"/>
                <w:sz w:val="16"/>
                <w:szCs w:val="16"/>
              </w:rPr>
            </w:pPr>
            <w:r>
              <w:rPr>
                <w:rFonts w:ascii="宋体"/>
                <w:b/>
                <w:spacing w:val="-1"/>
                <w:sz w:val="16"/>
              </w:rPr>
              <w:t>792,420,033.04</w:t>
            </w:r>
            <w:r>
              <w:rPr>
                <w:rFonts w:ascii="宋体"/>
                <w:spacing w:val="-1"/>
                <w:sz w:val="16"/>
              </w:rPr>
            </w:r>
          </w:p>
        </w:tc>
        <w:tc>
          <w:tcPr>
            <w:tcW w:w="1436"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right="103"/>
              <w:jc w:val="right"/>
              <w:rPr>
                <w:rFonts w:ascii="宋体" w:hAnsi="宋体" w:cs="宋体" w:eastAsia="宋体" w:hint="default"/>
                <w:sz w:val="16"/>
                <w:szCs w:val="16"/>
              </w:rPr>
            </w:pPr>
            <w:r>
              <w:rPr>
                <w:rFonts w:ascii="宋体"/>
                <w:b/>
                <w:spacing w:val="-1"/>
                <w:sz w:val="16"/>
              </w:rPr>
              <w:t>1,418,932,360.04</w:t>
            </w:r>
            <w:r>
              <w:rPr>
                <w:rFonts w:ascii="宋体"/>
                <w:spacing w:val="-1"/>
                <w:sz w:val="16"/>
              </w:rPr>
            </w:r>
          </w:p>
        </w:tc>
        <w:tc>
          <w:tcPr>
            <w:tcW w:w="1495"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right="110"/>
              <w:jc w:val="right"/>
              <w:rPr>
                <w:rFonts w:ascii="宋体" w:hAnsi="宋体" w:cs="宋体" w:eastAsia="宋体" w:hint="default"/>
                <w:sz w:val="16"/>
                <w:szCs w:val="16"/>
              </w:rPr>
            </w:pPr>
            <w:r>
              <w:rPr>
                <w:rFonts w:ascii="宋体"/>
                <w:b/>
                <w:spacing w:val="-1"/>
                <w:sz w:val="16"/>
              </w:rPr>
              <w:t>179,257,926.45</w:t>
            </w:r>
            <w:r>
              <w:rPr>
                <w:rFonts w:ascii="宋体"/>
                <w:spacing w:val="-1"/>
                <w:sz w:val="16"/>
              </w:rPr>
            </w:r>
          </w:p>
        </w:tc>
        <w:tc>
          <w:tcPr>
            <w:tcW w:w="1331"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left="118" w:right="0"/>
              <w:jc w:val="left"/>
              <w:rPr>
                <w:rFonts w:ascii="宋体" w:hAnsi="宋体" w:cs="宋体" w:eastAsia="宋体" w:hint="default"/>
                <w:sz w:val="16"/>
                <w:szCs w:val="16"/>
              </w:rPr>
            </w:pPr>
            <w:r>
              <w:rPr>
                <w:rFonts w:ascii="宋体"/>
                <w:b/>
                <w:sz w:val="16"/>
              </w:rPr>
              <w:t>863,650,909.48</w:t>
            </w:r>
            <w:r>
              <w:rPr>
                <w:rFonts w:ascii="宋体"/>
                <w:sz w:val="16"/>
              </w:rPr>
            </w:r>
          </w:p>
        </w:tc>
        <w:tc>
          <w:tcPr>
            <w:tcW w:w="1265"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right="51"/>
              <w:jc w:val="right"/>
              <w:rPr>
                <w:rFonts w:ascii="宋体" w:hAnsi="宋体" w:cs="宋体" w:eastAsia="宋体" w:hint="default"/>
                <w:sz w:val="16"/>
                <w:szCs w:val="16"/>
              </w:rPr>
            </w:pPr>
            <w:r>
              <w:rPr>
                <w:rFonts w:ascii="宋体"/>
                <w:b/>
                <w:spacing w:val="-1"/>
                <w:sz w:val="16"/>
              </w:rPr>
              <w:t>213,950,865.47</w:t>
            </w:r>
            <w:r>
              <w:rPr>
                <w:rFonts w:ascii="宋体"/>
                <w:spacing w:val="-1"/>
                <w:sz w:val="16"/>
              </w:rPr>
            </w:r>
          </w:p>
        </w:tc>
        <w:tc>
          <w:tcPr>
            <w:tcW w:w="1210"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right="27"/>
              <w:jc w:val="right"/>
              <w:rPr>
                <w:rFonts w:ascii="宋体" w:hAnsi="宋体" w:cs="宋体" w:eastAsia="宋体" w:hint="default"/>
                <w:sz w:val="16"/>
                <w:szCs w:val="16"/>
              </w:rPr>
            </w:pPr>
            <w:r>
              <w:rPr>
                <w:rFonts w:ascii="宋体"/>
                <w:b/>
                <w:spacing w:val="-1"/>
                <w:sz w:val="16"/>
              </w:rPr>
              <w:t>954,492,691.68</w:t>
            </w:r>
            <w:r>
              <w:rPr>
                <w:rFonts w:ascii="宋体"/>
                <w:spacing w:val="-1"/>
                <w:sz w:val="16"/>
              </w:rPr>
            </w:r>
          </w:p>
        </w:tc>
      </w:tr>
      <w:tr>
        <w:trPr>
          <w:trHeight w:val="487" w:hRule="exact"/>
        </w:trPr>
        <w:tc>
          <w:tcPr>
            <w:tcW w:w="660" w:type="dxa"/>
            <w:tcBorders>
              <w:top w:val="single" w:sz="12" w:space="0" w:color="000000"/>
              <w:left w:val="nil" w:sz="6" w:space="0" w:color="auto"/>
              <w:bottom w:val="nil" w:sz="6" w:space="0" w:color="auto"/>
              <w:right w:val="nil" w:sz="6" w:space="0" w:color="auto"/>
            </w:tcBorders>
          </w:tcPr>
          <w:p>
            <w:pPr/>
          </w:p>
        </w:tc>
        <w:tc>
          <w:tcPr>
            <w:tcW w:w="1624" w:type="dxa"/>
            <w:tcBorders>
              <w:top w:val="single" w:sz="12" w:space="0" w:color="000000"/>
              <w:left w:val="nil" w:sz="6" w:space="0" w:color="auto"/>
              <w:bottom w:val="nil" w:sz="6" w:space="0" w:color="auto"/>
              <w:right w:val="nil" w:sz="6" w:space="0" w:color="auto"/>
            </w:tcBorders>
          </w:tcPr>
          <w:p>
            <w:pPr>
              <w:pStyle w:val="TableParagraph"/>
              <w:spacing w:line="240" w:lineRule="auto" w:before="81"/>
              <w:ind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17.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商誉</w:t>
            </w:r>
          </w:p>
        </w:tc>
        <w:tc>
          <w:tcPr>
            <w:tcW w:w="1436" w:type="dxa"/>
            <w:tcBorders>
              <w:top w:val="single" w:sz="12" w:space="0" w:color="000000"/>
              <w:left w:val="nil" w:sz="6" w:space="0" w:color="auto"/>
              <w:bottom w:val="nil" w:sz="6" w:space="0" w:color="auto"/>
              <w:right w:val="nil" w:sz="6" w:space="0" w:color="auto"/>
            </w:tcBorders>
          </w:tcPr>
          <w:p>
            <w:pPr/>
          </w:p>
        </w:tc>
        <w:tc>
          <w:tcPr>
            <w:tcW w:w="1495" w:type="dxa"/>
            <w:tcBorders>
              <w:top w:val="single" w:sz="12" w:space="0" w:color="000000"/>
              <w:left w:val="nil" w:sz="6" w:space="0" w:color="auto"/>
              <w:bottom w:val="nil" w:sz="6" w:space="0" w:color="auto"/>
              <w:right w:val="nil" w:sz="6" w:space="0" w:color="auto"/>
            </w:tcBorders>
          </w:tcPr>
          <w:p>
            <w:pPr/>
          </w:p>
        </w:tc>
        <w:tc>
          <w:tcPr>
            <w:tcW w:w="1331" w:type="dxa"/>
            <w:tcBorders>
              <w:top w:val="single" w:sz="12" w:space="0" w:color="000000"/>
              <w:left w:val="nil" w:sz="6" w:space="0" w:color="auto"/>
              <w:bottom w:val="nil" w:sz="6" w:space="0" w:color="auto"/>
              <w:right w:val="nil" w:sz="6" w:space="0" w:color="auto"/>
            </w:tcBorders>
          </w:tcPr>
          <w:p>
            <w:pPr/>
          </w:p>
        </w:tc>
        <w:tc>
          <w:tcPr>
            <w:tcW w:w="1265" w:type="dxa"/>
            <w:tcBorders>
              <w:top w:val="single" w:sz="12" w:space="0" w:color="000000"/>
              <w:left w:val="nil" w:sz="6" w:space="0" w:color="auto"/>
              <w:bottom w:val="nil" w:sz="6" w:space="0" w:color="auto"/>
              <w:right w:val="nil" w:sz="6" w:space="0" w:color="auto"/>
            </w:tcBorders>
          </w:tcPr>
          <w:p>
            <w:pPr/>
          </w:p>
        </w:tc>
        <w:tc>
          <w:tcPr>
            <w:tcW w:w="1210" w:type="dxa"/>
            <w:tcBorders>
              <w:top w:val="single" w:sz="12" w:space="0" w:color="000000"/>
              <w:left w:val="nil" w:sz="6" w:space="0" w:color="auto"/>
              <w:bottom w:val="nil" w:sz="6" w:space="0" w:color="auto"/>
              <w:right w:val="nil" w:sz="6" w:space="0" w:color="auto"/>
            </w:tcBorders>
          </w:tcPr>
          <w:p>
            <w:pPr/>
          </w:p>
        </w:tc>
      </w:tr>
      <w:tr>
        <w:trPr>
          <w:trHeight w:val="412" w:hRule="exact"/>
        </w:trPr>
        <w:tc>
          <w:tcPr>
            <w:tcW w:w="660" w:type="dxa"/>
            <w:tcBorders>
              <w:top w:val="nil" w:sz="6" w:space="0" w:color="auto"/>
              <w:left w:val="nil" w:sz="6" w:space="0" w:color="auto"/>
              <w:bottom w:val="nil" w:sz="6" w:space="0" w:color="auto"/>
              <w:right w:val="nil" w:sz="6" w:space="0" w:color="auto"/>
            </w:tcBorders>
          </w:tcPr>
          <w:p>
            <w:pP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0"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12"/>
                <w:sz w:val="22"/>
                <w:szCs w:val="22"/>
              </w:rPr>
              <w:t> </w:t>
            </w:r>
            <w:r>
              <w:rPr>
                <w:rFonts w:ascii="宋体" w:hAnsi="宋体" w:cs="宋体" w:eastAsia="宋体" w:hint="default"/>
                <w:sz w:val="22"/>
                <w:szCs w:val="22"/>
              </w:rPr>
              <w:t>商誉原值</w:t>
            </w:r>
          </w:p>
        </w:tc>
        <w:tc>
          <w:tcPr>
            <w:tcW w:w="1436"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Times New Roman" w:hAnsi="Times New Roman" w:cs="Times New Roman" w:eastAsia="Times New Roman"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906"/>
        <w:gridCol w:w="1629"/>
        <w:gridCol w:w="1287"/>
        <w:gridCol w:w="988"/>
        <w:gridCol w:w="1279"/>
        <w:gridCol w:w="1454"/>
      </w:tblGrid>
      <w:tr>
        <w:trPr>
          <w:trHeight w:val="300" w:hRule="exact"/>
        </w:trPr>
        <w:tc>
          <w:tcPr>
            <w:tcW w:w="2906"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55" w:right="0"/>
              <w:jc w:val="left"/>
              <w:rPr>
                <w:rFonts w:ascii="宋体" w:hAnsi="宋体" w:cs="宋体" w:eastAsia="宋体" w:hint="default"/>
                <w:sz w:val="16"/>
                <w:szCs w:val="16"/>
              </w:rPr>
            </w:pPr>
            <w:r>
              <w:rPr>
                <w:rFonts w:ascii="宋体" w:hAnsi="宋体" w:cs="宋体" w:eastAsia="宋体" w:hint="default"/>
                <w:b/>
                <w:bCs/>
                <w:sz w:val="16"/>
                <w:szCs w:val="16"/>
              </w:rPr>
              <w:t>被投资单位名称</w:t>
            </w:r>
            <w:r>
              <w:rPr>
                <w:rFonts w:ascii="宋体" w:hAnsi="宋体" w:cs="宋体" w:eastAsia="宋体" w:hint="default"/>
                <w:sz w:val="16"/>
                <w:szCs w:val="16"/>
              </w:rPr>
            </w:r>
          </w:p>
        </w:tc>
        <w:tc>
          <w:tcPr>
            <w:tcW w:w="1629"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500"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1287"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259" w:right="0"/>
              <w:jc w:val="left"/>
              <w:rPr>
                <w:rFonts w:ascii="宋体" w:hAnsi="宋体" w:cs="宋体" w:eastAsia="宋体" w:hint="default"/>
                <w:sz w:val="16"/>
                <w:szCs w:val="16"/>
              </w:rPr>
            </w:pPr>
            <w:r>
              <w:rPr>
                <w:rFonts w:ascii="宋体" w:hAnsi="宋体" w:cs="宋体" w:eastAsia="宋体" w:hint="default"/>
                <w:b/>
                <w:bCs/>
                <w:sz w:val="16"/>
                <w:szCs w:val="16"/>
              </w:rPr>
              <w:t>本年增加</w:t>
            </w:r>
            <w:r>
              <w:rPr>
                <w:rFonts w:ascii="宋体" w:hAnsi="宋体" w:cs="宋体" w:eastAsia="宋体" w:hint="default"/>
                <w:sz w:val="16"/>
                <w:szCs w:val="16"/>
              </w:rPr>
            </w:r>
          </w:p>
        </w:tc>
        <w:tc>
          <w:tcPr>
            <w:tcW w:w="988"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109" w:right="0"/>
              <w:jc w:val="left"/>
              <w:rPr>
                <w:rFonts w:ascii="宋体" w:hAnsi="宋体" w:cs="宋体" w:eastAsia="宋体" w:hint="default"/>
                <w:sz w:val="16"/>
                <w:szCs w:val="16"/>
              </w:rPr>
            </w:pPr>
            <w:r>
              <w:rPr>
                <w:rFonts w:ascii="宋体" w:hAnsi="宋体" w:cs="宋体" w:eastAsia="宋体" w:hint="default"/>
                <w:b/>
                <w:bCs/>
                <w:sz w:val="16"/>
                <w:szCs w:val="16"/>
              </w:rPr>
              <w:t>本年减少</w:t>
            </w:r>
            <w:r>
              <w:rPr>
                <w:rFonts w:ascii="宋体" w:hAnsi="宋体" w:cs="宋体" w:eastAsia="宋体" w:hint="default"/>
                <w:sz w:val="16"/>
                <w:szCs w:val="16"/>
              </w:rPr>
            </w:r>
          </w:p>
        </w:tc>
        <w:tc>
          <w:tcPr>
            <w:tcW w:w="1279"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120" w:right="0"/>
              <w:jc w:val="left"/>
              <w:rPr>
                <w:rFonts w:ascii="宋体" w:hAnsi="宋体" w:cs="宋体" w:eastAsia="宋体" w:hint="default"/>
                <w:sz w:val="16"/>
                <w:szCs w:val="16"/>
              </w:rPr>
            </w:pPr>
            <w:r>
              <w:rPr>
                <w:rFonts w:ascii="宋体" w:hAnsi="宋体" w:cs="宋体" w:eastAsia="宋体" w:hint="default"/>
                <w:b/>
                <w:bCs/>
                <w:sz w:val="16"/>
                <w:szCs w:val="16"/>
              </w:rPr>
              <w:t>汇率变动影响</w:t>
            </w:r>
            <w:r>
              <w:rPr>
                <w:rFonts w:ascii="宋体" w:hAnsi="宋体" w:cs="宋体" w:eastAsia="宋体" w:hint="default"/>
                <w:sz w:val="16"/>
                <w:szCs w:val="16"/>
              </w:rPr>
            </w:r>
          </w:p>
        </w:tc>
        <w:tc>
          <w:tcPr>
            <w:tcW w:w="1454"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402" w:right="0"/>
              <w:jc w:val="left"/>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tc>
      </w:tr>
      <w:tr>
        <w:trPr>
          <w:trHeight w:val="287" w:hRule="exact"/>
        </w:trPr>
        <w:tc>
          <w:tcPr>
            <w:tcW w:w="290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55" w:right="0"/>
              <w:jc w:val="left"/>
              <w:rPr>
                <w:rFonts w:ascii="宋体" w:hAnsi="宋体" w:cs="宋体" w:eastAsia="宋体" w:hint="default"/>
                <w:sz w:val="16"/>
                <w:szCs w:val="16"/>
              </w:rPr>
            </w:pPr>
            <w:r>
              <w:rPr>
                <w:rFonts w:ascii="宋体" w:hAnsi="宋体" w:cs="宋体" w:eastAsia="宋体" w:hint="default"/>
                <w:sz w:val="16"/>
                <w:szCs w:val="16"/>
              </w:rPr>
              <w:t>北京壹人壹本信息科技有限公司</w:t>
            </w:r>
          </w:p>
        </w:tc>
        <w:tc>
          <w:tcPr>
            <w:tcW w:w="162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25"/>
              <w:jc w:val="right"/>
              <w:rPr>
                <w:rFonts w:ascii="宋体" w:hAnsi="宋体" w:cs="宋体" w:eastAsia="宋体" w:hint="default"/>
                <w:sz w:val="16"/>
                <w:szCs w:val="16"/>
              </w:rPr>
            </w:pPr>
            <w:r>
              <w:rPr>
                <w:rFonts w:ascii="宋体"/>
                <w:spacing w:val="-2"/>
                <w:sz w:val="16"/>
              </w:rPr>
              <w:t>902,329,518.71</w:t>
            </w:r>
          </w:p>
        </w:tc>
        <w:tc>
          <w:tcPr>
            <w:tcW w:w="128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spacing w:val="-1"/>
                <w:sz w:val="16"/>
              </w:rPr>
              <w:t>0.00</w:t>
            </w:r>
          </w:p>
        </w:tc>
        <w:tc>
          <w:tcPr>
            <w:tcW w:w="98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23"/>
              <w:jc w:val="right"/>
              <w:rPr>
                <w:rFonts w:ascii="宋体" w:hAnsi="宋体" w:cs="宋体" w:eastAsia="宋体" w:hint="default"/>
                <w:sz w:val="16"/>
                <w:szCs w:val="16"/>
              </w:rPr>
            </w:pPr>
            <w:r>
              <w:rPr>
                <w:rFonts w:ascii="宋体"/>
                <w:spacing w:val="-1"/>
                <w:sz w:val="16"/>
              </w:rPr>
              <w:t>0.00</w:t>
            </w:r>
          </w:p>
        </w:tc>
        <w:tc>
          <w:tcPr>
            <w:tcW w:w="127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0.00</w:t>
            </w:r>
          </w:p>
        </w:tc>
        <w:tc>
          <w:tcPr>
            <w:tcW w:w="145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2"/>
                <w:sz w:val="16"/>
              </w:rPr>
              <w:t>902,329,518.71</w:t>
            </w:r>
          </w:p>
        </w:tc>
      </w:tr>
      <w:tr>
        <w:trPr>
          <w:trHeight w:val="281"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5" w:right="0"/>
              <w:jc w:val="left"/>
              <w:rPr>
                <w:rFonts w:ascii="宋体" w:hAnsi="宋体" w:cs="宋体" w:eastAsia="宋体" w:hint="default"/>
                <w:sz w:val="16"/>
                <w:szCs w:val="16"/>
              </w:rPr>
            </w:pPr>
            <w:r>
              <w:rPr>
                <w:rFonts w:ascii="宋体" w:hAnsi="宋体" w:cs="宋体" w:eastAsia="宋体" w:hint="default"/>
                <w:sz w:val="16"/>
                <w:szCs w:val="16"/>
              </w:rPr>
              <w:t>同方友友控股有限公司</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5"/>
              <w:jc w:val="right"/>
              <w:rPr>
                <w:rFonts w:ascii="宋体" w:hAnsi="宋体" w:cs="宋体" w:eastAsia="宋体" w:hint="default"/>
                <w:sz w:val="16"/>
                <w:szCs w:val="16"/>
              </w:rPr>
            </w:pPr>
            <w:r>
              <w:rPr>
                <w:rFonts w:ascii="宋体"/>
                <w:spacing w:val="-2"/>
                <w:sz w:val="16"/>
              </w:rPr>
              <w:t>127,224,330.86</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6"/>
                <w:szCs w:val="16"/>
              </w:rPr>
            </w:pPr>
            <w:r>
              <w:rPr>
                <w:rFonts w:ascii="宋体"/>
                <w:spacing w:val="-1"/>
                <w:sz w:val="16"/>
              </w:rPr>
              <w:t>0.00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3"/>
              <w:jc w:val="right"/>
              <w:rPr>
                <w:rFonts w:ascii="宋体" w:hAnsi="宋体" w:cs="宋体" w:eastAsia="宋体" w:hint="default"/>
                <w:sz w:val="16"/>
                <w:szCs w:val="16"/>
              </w:rPr>
            </w:pPr>
            <w:r>
              <w:rPr>
                <w:rFonts w:ascii="宋体"/>
                <w:spacing w:val="-1"/>
                <w:sz w:val="16"/>
              </w:rPr>
              <w:t>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0.00</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7"/>
              <w:jc w:val="right"/>
              <w:rPr>
                <w:rFonts w:ascii="宋体" w:hAnsi="宋体" w:cs="宋体" w:eastAsia="宋体" w:hint="default"/>
                <w:sz w:val="16"/>
                <w:szCs w:val="16"/>
              </w:rPr>
            </w:pPr>
            <w:r>
              <w:rPr>
                <w:rFonts w:ascii="宋体"/>
                <w:spacing w:val="-2"/>
                <w:sz w:val="16"/>
              </w:rPr>
              <w:t>127,224,330.86</w:t>
            </w:r>
          </w:p>
        </w:tc>
      </w:tr>
      <w:tr>
        <w:trPr>
          <w:trHeight w:val="281"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5" w:right="0"/>
              <w:jc w:val="left"/>
              <w:rPr>
                <w:rFonts w:ascii="宋体" w:hAnsi="宋体" w:cs="宋体" w:eastAsia="宋体" w:hint="default"/>
                <w:sz w:val="16"/>
                <w:szCs w:val="16"/>
              </w:rPr>
            </w:pPr>
            <w:r>
              <w:rPr>
                <w:rFonts w:ascii="宋体" w:hAnsi="宋体" w:cs="宋体" w:eastAsia="宋体" w:hint="default"/>
                <w:sz w:val="16"/>
                <w:szCs w:val="16"/>
              </w:rPr>
              <w:t>同方证券有限公司</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5"/>
              <w:jc w:val="right"/>
              <w:rPr>
                <w:rFonts w:ascii="宋体" w:hAnsi="宋体" w:cs="宋体" w:eastAsia="宋体" w:hint="default"/>
                <w:sz w:val="16"/>
                <w:szCs w:val="16"/>
              </w:rPr>
            </w:pPr>
            <w:r>
              <w:rPr>
                <w:rFonts w:ascii="宋体"/>
                <w:spacing w:val="-2"/>
                <w:sz w:val="16"/>
              </w:rPr>
              <w:t>115,293,459.72</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6"/>
                <w:szCs w:val="16"/>
              </w:rPr>
            </w:pPr>
            <w:r>
              <w:rPr>
                <w:rFonts w:ascii="宋体"/>
                <w:spacing w:val="-1"/>
                <w:sz w:val="16"/>
              </w:rPr>
              <w:t>0.00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3"/>
              <w:jc w:val="right"/>
              <w:rPr>
                <w:rFonts w:ascii="宋体" w:hAnsi="宋体" w:cs="宋体" w:eastAsia="宋体" w:hint="default"/>
                <w:sz w:val="16"/>
                <w:szCs w:val="16"/>
              </w:rPr>
            </w:pPr>
            <w:r>
              <w:rPr>
                <w:rFonts w:ascii="宋体"/>
                <w:spacing w:val="-1"/>
                <w:sz w:val="16"/>
              </w:rPr>
              <w:t>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2"/>
                <w:sz w:val="16"/>
              </w:rPr>
              <w:t>5,557,025.86</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7"/>
              <w:jc w:val="right"/>
              <w:rPr>
                <w:rFonts w:ascii="宋体" w:hAnsi="宋体" w:cs="宋体" w:eastAsia="宋体" w:hint="default"/>
                <w:sz w:val="16"/>
                <w:szCs w:val="16"/>
              </w:rPr>
            </w:pPr>
            <w:r>
              <w:rPr>
                <w:rFonts w:ascii="宋体"/>
                <w:spacing w:val="-2"/>
                <w:sz w:val="16"/>
              </w:rPr>
              <w:t>120,850,485.58</w:t>
            </w:r>
          </w:p>
        </w:tc>
      </w:tr>
      <w:tr>
        <w:trPr>
          <w:trHeight w:val="281"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5" w:right="0"/>
              <w:jc w:val="left"/>
              <w:rPr>
                <w:rFonts w:ascii="宋体" w:hAnsi="宋体" w:cs="宋体" w:eastAsia="宋体" w:hint="default"/>
                <w:sz w:val="16"/>
                <w:szCs w:val="16"/>
              </w:rPr>
            </w:pPr>
            <w:r>
              <w:rPr>
                <w:rFonts w:ascii="宋体"/>
                <w:sz w:val="16"/>
              </w:rPr>
              <w:t>UnitedStack(China)Corporation</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4"/>
              <w:jc w:val="right"/>
              <w:rPr>
                <w:rFonts w:ascii="宋体" w:hAnsi="宋体" w:cs="宋体" w:eastAsia="宋体" w:hint="default"/>
                <w:sz w:val="16"/>
                <w:szCs w:val="16"/>
              </w:rPr>
            </w:pPr>
            <w:r>
              <w:rPr>
                <w:rFonts w:ascii="宋体"/>
                <w:spacing w:val="-1"/>
                <w:sz w:val="16"/>
              </w:rPr>
              <w:t>0.00</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8"/>
              <w:jc w:val="right"/>
              <w:rPr>
                <w:rFonts w:ascii="宋体" w:hAnsi="宋体" w:cs="宋体" w:eastAsia="宋体" w:hint="default"/>
                <w:sz w:val="16"/>
                <w:szCs w:val="16"/>
              </w:rPr>
            </w:pPr>
            <w:r>
              <w:rPr>
                <w:rFonts w:ascii="宋体"/>
                <w:spacing w:val="-2"/>
                <w:sz w:val="16"/>
              </w:rPr>
              <w:t>37,665,398.27</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3"/>
              <w:jc w:val="right"/>
              <w:rPr>
                <w:rFonts w:ascii="宋体" w:hAnsi="宋体" w:cs="宋体" w:eastAsia="宋体" w:hint="default"/>
                <w:sz w:val="16"/>
                <w:szCs w:val="16"/>
              </w:rPr>
            </w:pPr>
            <w:r>
              <w:rPr>
                <w:rFonts w:ascii="宋体"/>
                <w:spacing w:val="-1"/>
                <w:sz w:val="16"/>
              </w:rPr>
              <w:t>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0.00</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7"/>
              <w:jc w:val="right"/>
              <w:rPr>
                <w:rFonts w:ascii="宋体" w:hAnsi="宋体" w:cs="宋体" w:eastAsia="宋体" w:hint="default"/>
                <w:sz w:val="16"/>
                <w:szCs w:val="16"/>
              </w:rPr>
            </w:pPr>
            <w:r>
              <w:rPr>
                <w:rFonts w:ascii="宋体"/>
                <w:spacing w:val="-2"/>
                <w:sz w:val="16"/>
              </w:rPr>
              <w:t>37,665,398.27</w:t>
            </w:r>
          </w:p>
        </w:tc>
      </w:tr>
      <w:tr>
        <w:trPr>
          <w:trHeight w:val="281"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5" w:right="0"/>
              <w:jc w:val="left"/>
              <w:rPr>
                <w:rFonts w:ascii="宋体" w:hAnsi="宋体" w:cs="宋体" w:eastAsia="宋体" w:hint="default"/>
                <w:sz w:val="16"/>
                <w:szCs w:val="16"/>
              </w:rPr>
            </w:pPr>
            <w:r>
              <w:rPr>
                <w:rFonts w:ascii="宋体"/>
                <w:sz w:val="16"/>
              </w:rPr>
              <w:t>Tivoli,</w:t>
            </w:r>
            <w:r>
              <w:rPr>
                <w:rFonts w:ascii="宋体"/>
                <w:spacing w:val="-6"/>
                <w:sz w:val="16"/>
              </w:rPr>
              <w:t> </w:t>
            </w:r>
            <w:r>
              <w:rPr>
                <w:rFonts w:ascii="宋体"/>
                <w:sz w:val="16"/>
              </w:rPr>
              <w:t>LLC</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4"/>
              <w:jc w:val="right"/>
              <w:rPr>
                <w:rFonts w:ascii="宋体" w:hAnsi="宋体" w:cs="宋体" w:eastAsia="宋体" w:hint="default"/>
                <w:sz w:val="16"/>
                <w:szCs w:val="16"/>
              </w:rPr>
            </w:pPr>
            <w:r>
              <w:rPr>
                <w:rFonts w:ascii="宋体"/>
                <w:spacing w:val="-2"/>
                <w:sz w:val="16"/>
              </w:rPr>
              <w:t>8,160,131.12</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6"/>
                <w:szCs w:val="16"/>
              </w:rPr>
            </w:pPr>
            <w:r>
              <w:rPr>
                <w:rFonts w:ascii="宋体"/>
                <w:spacing w:val="-1"/>
                <w:sz w:val="16"/>
              </w:rPr>
              <w:t>0.00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3"/>
              <w:jc w:val="right"/>
              <w:rPr>
                <w:rFonts w:ascii="宋体" w:hAnsi="宋体" w:cs="宋体" w:eastAsia="宋体" w:hint="default"/>
                <w:sz w:val="16"/>
                <w:szCs w:val="16"/>
              </w:rPr>
            </w:pPr>
            <w:r>
              <w:rPr>
                <w:rFonts w:ascii="宋体"/>
                <w:spacing w:val="-1"/>
                <w:sz w:val="16"/>
              </w:rPr>
              <w:t>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6"/>
              <w:jc w:val="right"/>
              <w:rPr>
                <w:rFonts w:ascii="宋体" w:hAnsi="宋体" w:cs="宋体" w:eastAsia="宋体" w:hint="default"/>
                <w:sz w:val="16"/>
                <w:szCs w:val="16"/>
              </w:rPr>
            </w:pPr>
            <w:r>
              <w:rPr>
                <w:rFonts w:ascii="宋体"/>
                <w:spacing w:val="-2"/>
                <w:sz w:val="16"/>
              </w:rPr>
              <w:t>410,866.39</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7"/>
              <w:jc w:val="right"/>
              <w:rPr>
                <w:rFonts w:ascii="宋体" w:hAnsi="宋体" w:cs="宋体" w:eastAsia="宋体" w:hint="default"/>
                <w:sz w:val="16"/>
                <w:szCs w:val="16"/>
              </w:rPr>
            </w:pPr>
            <w:r>
              <w:rPr>
                <w:rFonts w:ascii="宋体"/>
                <w:spacing w:val="-2"/>
                <w:sz w:val="16"/>
              </w:rPr>
              <w:t>8,570,997.51</w:t>
            </w:r>
          </w:p>
        </w:tc>
      </w:tr>
      <w:tr>
        <w:trPr>
          <w:trHeight w:val="281"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5" w:right="0"/>
              <w:jc w:val="left"/>
              <w:rPr>
                <w:rFonts w:ascii="宋体" w:hAnsi="宋体" w:cs="宋体" w:eastAsia="宋体" w:hint="default"/>
                <w:sz w:val="16"/>
                <w:szCs w:val="16"/>
              </w:rPr>
            </w:pPr>
            <w:r>
              <w:rPr>
                <w:rFonts w:ascii="宋体" w:hAnsi="宋体" w:cs="宋体" w:eastAsia="宋体" w:hint="default"/>
                <w:sz w:val="16"/>
                <w:szCs w:val="16"/>
              </w:rPr>
              <w:t>苏州微木智能系统有限公司</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4"/>
              <w:jc w:val="right"/>
              <w:rPr>
                <w:rFonts w:ascii="宋体" w:hAnsi="宋体" w:cs="宋体" w:eastAsia="宋体" w:hint="default"/>
                <w:sz w:val="16"/>
                <w:szCs w:val="16"/>
              </w:rPr>
            </w:pPr>
            <w:r>
              <w:rPr>
                <w:rFonts w:ascii="宋体"/>
                <w:spacing w:val="-2"/>
                <w:sz w:val="16"/>
              </w:rPr>
              <w:t>5,695,889.45</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6"/>
                <w:szCs w:val="16"/>
              </w:rPr>
            </w:pPr>
            <w:r>
              <w:rPr>
                <w:rFonts w:ascii="宋体"/>
                <w:spacing w:val="-1"/>
                <w:sz w:val="16"/>
              </w:rPr>
              <w:t>0.00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3"/>
              <w:jc w:val="right"/>
              <w:rPr>
                <w:rFonts w:ascii="宋体" w:hAnsi="宋体" w:cs="宋体" w:eastAsia="宋体" w:hint="default"/>
                <w:sz w:val="16"/>
                <w:szCs w:val="16"/>
              </w:rPr>
            </w:pPr>
            <w:r>
              <w:rPr>
                <w:rFonts w:ascii="宋体"/>
                <w:spacing w:val="-1"/>
                <w:sz w:val="16"/>
              </w:rPr>
              <w:t>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0.00</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7"/>
              <w:jc w:val="right"/>
              <w:rPr>
                <w:rFonts w:ascii="宋体" w:hAnsi="宋体" w:cs="宋体" w:eastAsia="宋体" w:hint="default"/>
                <w:sz w:val="16"/>
                <w:szCs w:val="16"/>
              </w:rPr>
            </w:pPr>
            <w:r>
              <w:rPr>
                <w:rFonts w:ascii="宋体"/>
                <w:spacing w:val="-2"/>
                <w:sz w:val="16"/>
              </w:rPr>
              <w:t>5,695,889.45</w:t>
            </w:r>
          </w:p>
        </w:tc>
      </w:tr>
      <w:tr>
        <w:trPr>
          <w:trHeight w:val="282"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5" w:right="0"/>
              <w:jc w:val="left"/>
              <w:rPr>
                <w:rFonts w:ascii="宋体" w:hAnsi="宋体" w:cs="宋体" w:eastAsia="宋体" w:hint="default"/>
                <w:sz w:val="16"/>
                <w:szCs w:val="16"/>
              </w:rPr>
            </w:pPr>
            <w:r>
              <w:rPr>
                <w:rFonts w:ascii="宋体" w:hAnsi="宋体" w:cs="宋体" w:eastAsia="宋体" w:hint="default"/>
                <w:sz w:val="16"/>
                <w:szCs w:val="16"/>
              </w:rPr>
              <w:t>北京同方洁净技术有限公司</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4"/>
              <w:jc w:val="right"/>
              <w:rPr>
                <w:rFonts w:ascii="宋体" w:hAnsi="宋体" w:cs="宋体" w:eastAsia="宋体" w:hint="default"/>
                <w:sz w:val="16"/>
                <w:szCs w:val="16"/>
              </w:rPr>
            </w:pPr>
            <w:r>
              <w:rPr>
                <w:rFonts w:ascii="宋体"/>
                <w:spacing w:val="-2"/>
                <w:sz w:val="16"/>
              </w:rPr>
              <w:t>5,138,915.10</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6"/>
                <w:szCs w:val="16"/>
              </w:rPr>
            </w:pPr>
            <w:r>
              <w:rPr>
                <w:rFonts w:ascii="宋体"/>
                <w:spacing w:val="-1"/>
                <w:sz w:val="16"/>
              </w:rPr>
              <w:t>0.00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3"/>
              <w:jc w:val="right"/>
              <w:rPr>
                <w:rFonts w:ascii="宋体" w:hAnsi="宋体" w:cs="宋体" w:eastAsia="宋体" w:hint="default"/>
                <w:sz w:val="16"/>
                <w:szCs w:val="16"/>
              </w:rPr>
            </w:pPr>
            <w:r>
              <w:rPr>
                <w:rFonts w:ascii="宋体"/>
                <w:spacing w:val="-1"/>
                <w:sz w:val="16"/>
              </w:rPr>
              <w:t>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0.00</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7"/>
              <w:jc w:val="right"/>
              <w:rPr>
                <w:rFonts w:ascii="宋体" w:hAnsi="宋体" w:cs="宋体" w:eastAsia="宋体" w:hint="default"/>
                <w:sz w:val="16"/>
                <w:szCs w:val="16"/>
              </w:rPr>
            </w:pPr>
            <w:r>
              <w:rPr>
                <w:rFonts w:ascii="宋体"/>
                <w:spacing w:val="-2"/>
                <w:sz w:val="16"/>
              </w:rPr>
              <w:t>5,138,915.10</w:t>
            </w:r>
          </w:p>
        </w:tc>
      </w:tr>
      <w:tr>
        <w:trPr>
          <w:trHeight w:val="282"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5" w:right="0"/>
              <w:jc w:val="left"/>
              <w:rPr>
                <w:rFonts w:ascii="宋体" w:hAnsi="宋体" w:cs="宋体" w:eastAsia="宋体" w:hint="default"/>
                <w:sz w:val="16"/>
                <w:szCs w:val="16"/>
              </w:rPr>
            </w:pPr>
            <w:r>
              <w:rPr>
                <w:rFonts w:ascii="宋体" w:hAnsi="宋体" w:cs="宋体" w:eastAsia="宋体" w:hint="default"/>
                <w:sz w:val="16"/>
                <w:szCs w:val="16"/>
              </w:rPr>
              <w:t>北京同方凌讯科技有限公司</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4"/>
              <w:jc w:val="right"/>
              <w:rPr>
                <w:rFonts w:ascii="宋体" w:hAnsi="宋体" w:cs="宋体" w:eastAsia="宋体" w:hint="default"/>
                <w:sz w:val="16"/>
                <w:szCs w:val="16"/>
              </w:rPr>
            </w:pPr>
            <w:r>
              <w:rPr>
                <w:rFonts w:ascii="宋体"/>
                <w:spacing w:val="-2"/>
                <w:sz w:val="16"/>
              </w:rPr>
              <w:t>5,040,000.00</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spacing w:val="-1"/>
                <w:sz w:val="16"/>
              </w:rPr>
              <w:t>0.00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3"/>
              <w:jc w:val="right"/>
              <w:rPr>
                <w:rFonts w:ascii="宋体" w:hAnsi="宋体" w:cs="宋体" w:eastAsia="宋体" w:hint="default"/>
                <w:sz w:val="16"/>
                <w:szCs w:val="16"/>
              </w:rPr>
            </w:pPr>
            <w:r>
              <w:rPr>
                <w:rFonts w:ascii="宋体"/>
                <w:spacing w:val="-1"/>
                <w:sz w:val="16"/>
              </w:rPr>
              <w:t>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1"/>
                <w:sz w:val="16"/>
              </w:rPr>
              <w:t>0.00</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7"/>
              <w:jc w:val="right"/>
              <w:rPr>
                <w:rFonts w:ascii="宋体" w:hAnsi="宋体" w:cs="宋体" w:eastAsia="宋体" w:hint="default"/>
                <w:sz w:val="16"/>
                <w:szCs w:val="16"/>
              </w:rPr>
            </w:pPr>
            <w:r>
              <w:rPr>
                <w:rFonts w:ascii="宋体"/>
                <w:spacing w:val="-2"/>
                <w:sz w:val="16"/>
              </w:rPr>
              <w:t>5,040,000.00</w:t>
            </w:r>
          </w:p>
        </w:tc>
      </w:tr>
      <w:tr>
        <w:trPr>
          <w:trHeight w:val="281"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5" w:right="0"/>
              <w:jc w:val="left"/>
              <w:rPr>
                <w:rFonts w:ascii="宋体" w:hAnsi="宋体" w:cs="宋体" w:eastAsia="宋体" w:hint="default"/>
                <w:sz w:val="16"/>
                <w:szCs w:val="16"/>
              </w:rPr>
            </w:pPr>
            <w:r>
              <w:rPr>
                <w:rFonts w:ascii="宋体" w:hAnsi="宋体" w:cs="宋体" w:eastAsia="宋体" w:hint="default"/>
                <w:sz w:val="16"/>
                <w:szCs w:val="16"/>
              </w:rPr>
              <w:t>广东同方照明有限公司</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4"/>
              <w:jc w:val="right"/>
              <w:rPr>
                <w:rFonts w:ascii="宋体" w:hAnsi="宋体" w:cs="宋体" w:eastAsia="宋体" w:hint="default"/>
                <w:sz w:val="16"/>
                <w:szCs w:val="16"/>
              </w:rPr>
            </w:pPr>
            <w:r>
              <w:rPr>
                <w:rFonts w:ascii="宋体"/>
                <w:spacing w:val="-2"/>
                <w:sz w:val="16"/>
              </w:rPr>
              <w:t>4,079,128.94</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6"/>
                <w:szCs w:val="16"/>
              </w:rPr>
            </w:pPr>
            <w:r>
              <w:rPr>
                <w:rFonts w:ascii="宋体"/>
                <w:spacing w:val="-1"/>
                <w:sz w:val="16"/>
              </w:rPr>
              <w:t>0.00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3"/>
              <w:jc w:val="right"/>
              <w:rPr>
                <w:rFonts w:ascii="宋体" w:hAnsi="宋体" w:cs="宋体" w:eastAsia="宋体" w:hint="default"/>
                <w:sz w:val="16"/>
                <w:szCs w:val="16"/>
              </w:rPr>
            </w:pPr>
            <w:r>
              <w:rPr>
                <w:rFonts w:ascii="宋体"/>
                <w:spacing w:val="-1"/>
                <w:sz w:val="16"/>
              </w:rPr>
              <w:t>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0.00</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7"/>
              <w:jc w:val="right"/>
              <w:rPr>
                <w:rFonts w:ascii="宋体" w:hAnsi="宋体" w:cs="宋体" w:eastAsia="宋体" w:hint="default"/>
                <w:sz w:val="16"/>
                <w:szCs w:val="16"/>
              </w:rPr>
            </w:pPr>
            <w:r>
              <w:rPr>
                <w:rFonts w:ascii="宋体"/>
                <w:spacing w:val="-2"/>
                <w:sz w:val="16"/>
              </w:rPr>
              <w:t>4,079,128.94</w:t>
            </w:r>
          </w:p>
        </w:tc>
      </w:tr>
      <w:tr>
        <w:trPr>
          <w:trHeight w:val="281"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5" w:right="0"/>
              <w:jc w:val="left"/>
              <w:rPr>
                <w:rFonts w:ascii="宋体" w:hAnsi="宋体" w:cs="宋体" w:eastAsia="宋体" w:hint="default"/>
                <w:sz w:val="16"/>
                <w:szCs w:val="16"/>
              </w:rPr>
            </w:pPr>
            <w:r>
              <w:rPr>
                <w:rFonts w:ascii="宋体" w:hAnsi="宋体" w:cs="宋体" w:eastAsia="宋体" w:hint="default"/>
                <w:sz w:val="16"/>
                <w:szCs w:val="16"/>
              </w:rPr>
              <w:t>清芯光电有限公司</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4"/>
              <w:jc w:val="right"/>
              <w:rPr>
                <w:rFonts w:ascii="宋体" w:hAnsi="宋体" w:cs="宋体" w:eastAsia="宋体" w:hint="default"/>
                <w:sz w:val="16"/>
                <w:szCs w:val="16"/>
              </w:rPr>
            </w:pPr>
            <w:r>
              <w:rPr>
                <w:rFonts w:ascii="宋体"/>
                <w:spacing w:val="-2"/>
                <w:sz w:val="16"/>
              </w:rPr>
              <w:t>4,041,174.42</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6"/>
                <w:szCs w:val="16"/>
              </w:rPr>
            </w:pPr>
            <w:r>
              <w:rPr>
                <w:rFonts w:ascii="宋体"/>
                <w:spacing w:val="-1"/>
                <w:sz w:val="16"/>
              </w:rPr>
              <w:t>0.00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3"/>
              <w:jc w:val="right"/>
              <w:rPr>
                <w:rFonts w:ascii="宋体" w:hAnsi="宋体" w:cs="宋体" w:eastAsia="宋体" w:hint="default"/>
                <w:sz w:val="16"/>
                <w:szCs w:val="16"/>
              </w:rPr>
            </w:pPr>
            <w:r>
              <w:rPr>
                <w:rFonts w:ascii="宋体"/>
                <w:spacing w:val="-1"/>
                <w:sz w:val="16"/>
              </w:rPr>
              <w:t>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0.00</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7"/>
              <w:jc w:val="right"/>
              <w:rPr>
                <w:rFonts w:ascii="宋体" w:hAnsi="宋体" w:cs="宋体" w:eastAsia="宋体" w:hint="default"/>
                <w:sz w:val="16"/>
                <w:szCs w:val="16"/>
              </w:rPr>
            </w:pPr>
            <w:r>
              <w:rPr>
                <w:rFonts w:ascii="宋体"/>
                <w:spacing w:val="-2"/>
                <w:sz w:val="16"/>
              </w:rPr>
              <w:t>4,041,174.42</w:t>
            </w:r>
          </w:p>
        </w:tc>
      </w:tr>
      <w:tr>
        <w:trPr>
          <w:trHeight w:val="281"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5" w:right="0"/>
              <w:jc w:val="left"/>
              <w:rPr>
                <w:rFonts w:ascii="宋体" w:hAnsi="宋体" w:cs="宋体" w:eastAsia="宋体" w:hint="default"/>
                <w:sz w:val="16"/>
                <w:szCs w:val="16"/>
              </w:rPr>
            </w:pPr>
            <w:r>
              <w:rPr>
                <w:rFonts w:ascii="宋体" w:hAnsi="宋体" w:cs="宋体" w:eastAsia="宋体" w:hint="default"/>
                <w:sz w:val="16"/>
                <w:szCs w:val="16"/>
              </w:rPr>
              <w:t>扬州同方水务有限公司</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4"/>
              <w:jc w:val="right"/>
              <w:rPr>
                <w:rFonts w:ascii="宋体" w:hAnsi="宋体" w:cs="宋体" w:eastAsia="宋体" w:hint="default"/>
                <w:sz w:val="16"/>
                <w:szCs w:val="16"/>
              </w:rPr>
            </w:pPr>
            <w:r>
              <w:rPr>
                <w:rFonts w:ascii="宋体"/>
                <w:spacing w:val="-2"/>
                <w:sz w:val="16"/>
              </w:rPr>
              <w:t>2,996,693.24</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6"/>
                <w:szCs w:val="16"/>
              </w:rPr>
            </w:pPr>
            <w:r>
              <w:rPr>
                <w:rFonts w:ascii="宋体"/>
                <w:spacing w:val="-1"/>
                <w:sz w:val="16"/>
              </w:rPr>
              <w:t>0.00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3"/>
              <w:jc w:val="right"/>
              <w:rPr>
                <w:rFonts w:ascii="宋体" w:hAnsi="宋体" w:cs="宋体" w:eastAsia="宋体" w:hint="default"/>
                <w:sz w:val="16"/>
                <w:szCs w:val="16"/>
              </w:rPr>
            </w:pPr>
            <w:r>
              <w:rPr>
                <w:rFonts w:ascii="宋体"/>
                <w:spacing w:val="-1"/>
                <w:sz w:val="16"/>
              </w:rPr>
              <w:t>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0.00</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7"/>
              <w:jc w:val="right"/>
              <w:rPr>
                <w:rFonts w:ascii="宋体" w:hAnsi="宋体" w:cs="宋体" w:eastAsia="宋体" w:hint="default"/>
                <w:sz w:val="16"/>
                <w:szCs w:val="16"/>
              </w:rPr>
            </w:pPr>
            <w:r>
              <w:rPr>
                <w:rFonts w:ascii="宋体"/>
                <w:spacing w:val="-2"/>
                <w:sz w:val="16"/>
              </w:rPr>
              <w:t>2,996,693.24</w:t>
            </w:r>
          </w:p>
        </w:tc>
      </w:tr>
      <w:tr>
        <w:trPr>
          <w:trHeight w:val="281"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5" w:right="0"/>
              <w:jc w:val="left"/>
              <w:rPr>
                <w:rFonts w:ascii="宋体" w:hAnsi="宋体" w:cs="宋体" w:eastAsia="宋体" w:hint="default"/>
                <w:sz w:val="16"/>
                <w:szCs w:val="16"/>
              </w:rPr>
            </w:pPr>
            <w:r>
              <w:rPr>
                <w:rFonts w:ascii="宋体" w:hAnsi="宋体" w:cs="宋体" w:eastAsia="宋体" w:hint="default"/>
                <w:sz w:val="16"/>
                <w:szCs w:val="16"/>
              </w:rPr>
              <w:t>北京同方软件股份有限公司</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4"/>
              <w:jc w:val="right"/>
              <w:rPr>
                <w:rFonts w:ascii="宋体" w:hAnsi="宋体" w:cs="宋体" w:eastAsia="宋体" w:hint="default"/>
                <w:sz w:val="16"/>
                <w:szCs w:val="16"/>
              </w:rPr>
            </w:pPr>
            <w:r>
              <w:rPr>
                <w:rFonts w:ascii="宋体"/>
                <w:spacing w:val="-2"/>
                <w:sz w:val="16"/>
              </w:rPr>
              <w:t>1,993,272.21</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6"/>
                <w:szCs w:val="16"/>
              </w:rPr>
            </w:pPr>
            <w:r>
              <w:rPr>
                <w:rFonts w:ascii="宋体"/>
                <w:spacing w:val="-1"/>
                <w:sz w:val="16"/>
              </w:rPr>
              <w:t>0.00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3"/>
              <w:jc w:val="right"/>
              <w:rPr>
                <w:rFonts w:ascii="宋体" w:hAnsi="宋体" w:cs="宋体" w:eastAsia="宋体" w:hint="default"/>
                <w:sz w:val="16"/>
                <w:szCs w:val="16"/>
              </w:rPr>
            </w:pPr>
            <w:r>
              <w:rPr>
                <w:rFonts w:ascii="宋体"/>
                <w:spacing w:val="-1"/>
                <w:sz w:val="16"/>
              </w:rPr>
              <w:t>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0.00</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7"/>
              <w:jc w:val="right"/>
              <w:rPr>
                <w:rFonts w:ascii="宋体" w:hAnsi="宋体" w:cs="宋体" w:eastAsia="宋体" w:hint="default"/>
                <w:sz w:val="16"/>
                <w:szCs w:val="16"/>
              </w:rPr>
            </w:pPr>
            <w:r>
              <w:rPr>
                <w:rFonts w:ascii="宋体"/>
                <w:spacing w:val="-2"/>
                <w:sz w:val="16"/>
              </w:rPr>
              <w:t>1,993,272.21</w:t>
            </w:r>
          </w:p>
        </w:tc>
      </w:tr>
      <w:tr>
        <w:trPr>
          <w:trHeight w:val="281"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5" w:right="0"/>
              <w:jc w:val="left"/>
              <w:rPr>
                <w:rFonts w:ascii="宋体" w:hAnsi="宋体" w:cs="宋体" w:eastAsia="宋体" w:hint="default"/>
                <w:sz w:val="16"/>
                <w:szCs w:val="16"/>
              </w:rPr>
            </w:pPr>
            <w:r>
              <w:rPr>
                <w:rFonts w:ascii="宋体" w:hAnsi="宋体" w:cs="宋体" w:eastAsia="宋体" w:hint="default"/>
                <w:sz w:val="16"/>
                <w:szCs w:val="16"/>
              </w:rPr>
              <w:t>同方健康科技</w:t>
            </w:r>
            <w:r>
              <w:rPr>
                <w:rFonts w:ascii="宋体" w:hAnsi="宋体" w:cs="宋体" w:eastAsia="宋体" w:hint="default"/>
                <w:sz w:val="16"/>
                <w:szCs w:val="16"/>
              </w:rPr>
              <w:t>(</w:t>
            </w:r>
            <w:r>
              <w:rPr>
                <w:rFonts w:ascii="宋体" w:hAnsi="宋体" w:cs="宋体" w:eastAsia="宋体" w:hint="default"/>
                <w:sz w:val="16"/>
                <w:szCs w:val="16"/>
              </w:rPr>
              <w:t>北京</w:t>
            </w:r>
            <w:r>
              <w:rPr>
                <w:rFonts w:ascii="宋体" w:hAnsi="宋体" w:cs="宋体" w:eastAsia="宋体" w:hint="default"/>
                <w:sz w:val="16"/>
                <w:szCs w:val="16"/>
              </w:rPr>
              <w:t>)</w:t>
            </w:r>
            <w:r>
              <w:rPr>
                <w:rFonts w:ascii="宋体" w:hAnsi="宋体" w:cs="宋体" w:eastAsia="宋体" w:hint="default"/>
                <w:sz w:val="16"/>
                <w:szCs w:val="16"/>
              </w:rPr>
              <w:t>股份有限公司</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4"/>
              <w:jc w:val="right"/>
              <w:rPr>
                <w:rFonts w:ascii="宋体" w:hAnsi="宋体" w:cs="宋体" w:eastAsia="宋体" w:hint="default"/>
                <w:sz w:val="16"/>
                <w:szCs w:val="16"/>
              </w:rPr>
            </w:pPr>
            <w:r>
              <w:rPr>
                <w:rFonts w:ascii="宋体"/>
                <w:spacing w:val="-2"/>
                <w:sz w:val="16"/>
              </w:rPr>
              <w:t>1,891,614.86</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6"/>
                <w:szCs w:val="16"/>
              </w:rPr>
            </w:pPr>
            <w:r>
              <w:rPr>
                <w:rFonts w:ascii="宋体"/>
                <w:spacing w:val="-1"/>
                <w:sz w:val="16"/>
              </w:rPr>
              <w:t>0.00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3"/>
              <w:jc w:val="right"/>
              <w:rPr>
                <w:rFonts w:ascii="宋体" w:hAnsi="宋体" w:cs="宋体" w:eastAsia="宋体" w:hint="default"/>
                <w:sz w:val="16"/>
                <w:szCs w:val="16"/>
              </w:rPr>
            </w:pPr>
            <w:r>
              <w:rPr>
                <w:rFonts w:ascii="宋体"/>
                <w:spacing w:val="-1"/>
                <w:sz w:val="16"/>
              </w:rPr>
              <w:t>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0.00</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7"/>
              <w:jc w:val="right"/>
              <w:rPr>
                <w:rFonts w:ascii="宋体" w:hAnsi="宋体" w:cs="宋体" w:eastAsia="宋体" w:hint="default"/>
                <w:sz w:val="16"/>
                <w:szCs w:val="16"/>
              </w:rPr>
            </w:pPr>
            <w:r>
              <w:rPr>
                <w:rFonts w:ascii="宋体"/>
                <w:spacing w:val="-2"/>
                <w:sz w:val="16"/>
              </w:rPr>
              <w:t>1,891,614.86</w:t>
            </w:r>
          </w:p>
        </w:tc>
      </w:tr>
      <w:tr>
        <w:trPr>
          <w:trHeight w:val="281"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5" w:right="0"/>
              <w:jc w:val="left"/>
              <w:rPr>
                <w:rFonts w:ascii="宋体" w:hAnsi="宋体" w:cs="宋体" w:eastAsia="宋体" w:hint="default"/>
                <w:sz w:val="16"/>
                <w:szCs w:val="16"/>
              </w:rPr>
            </w:pPr>
            <w:r>
              <w:rPr>
                <w:rFonts w:ascii="宋体" w:hAnsi="宋体" w:cs="宋体" w:eastAsia="宋体" w:hint="default"/>
                <w:sz w:val="16"/>
                <w:szCs w:val="16"/>
              </w:rPr>
              <w:t>北京同方吉兆科技有限公司</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4"/>
              <w:jc w:val="right"/>
              <w:rPr>
                <w:rFonts w:ascii="宋体" w:hAnsi="宋体" w:cs="宋体" w:eastAsia="宋体" w:hint="default"/>
                <w:sz w:val="16"/>
                <w:szCs w:val="16"/>
              </w:rPr>
            </w:pPr>
            <w:r>
              <w:rPr>
                <w:rFonts w:ascii="宋体"/>
                <w:spacing w:val="-2"/>
                <w:sz w:val="16"/>
              </w:rPr>
              <w:t>1,286,280.05</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6"/>
                <w:szCs w:val="16"/>
              </w:rPr>
            </w:pPr>
            <w:r>
              <w:rPr>
                <w:rFonts w:ascii="宋体"/>
                <w:spacing w:val="-1"/>
                <w:sz w:val="16"/>
              </w:rPr>
              <w:t>0.00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3"/>
              <w:jc w:val="right"/>
              <w:rPr>
                <w:rFonts w:ascii="宋体" w:hAnsi="宋体" w:cs="宋体" w:eastAsia="宋体" w:hint="default"/>
                <w:sz w:val="16"/>
                <w:szCs w:val="16"/>
              </w:rPr>
            </w:pPr>
            <w:r>
              <w:rPr>
                <w:rFonts w:ascii="宋体"/>
                <w:spacing w:val="-1"/>
                <w:sz w:val="16"/>
              </w:rPr>
              <w:t>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0.00</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7"/>
              <w:jc w:val="right"/>
              <w:rPr>
                <w:rFonts w:ascii="宋体" w:hAnsi="宋体" w:cs="宋体" w:eastAsia="宋体" w:hint="default"/>
                <w:sz w:val="16"/>
                <w:szCs w:val="16"/>
              </w:rPr>
            </w:pPr>
            <w:r>
              <w:rPr>
                <w:rFonts w:ascii="宋体"/>
                <w:spacing w:val="-2"/>
                <w:sz w:val="16"/>
              </w:rPr>
              <w:t>1,286,280.05</w:t>
            </w:r>
          </w:p>
        </w:tc>
      </w:tr>
      <w:tr>
        <w:trPr>
          <w:trHeight w:val="281"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5" w:right="0"/>
              <w:jc w:val="left"/>
              <w:rPr>
                <w:rFonts w:ascii="宋体" w:hAnsi="宋体" w:cs="宋体" w:eastAsia="宋体" w:hint="default"/>
                <w:sz w:val="16"/>
                <w:szCs w:val="16"/>
              </w:rPr>
            </w:pPr>
            <w:r>
              <w:rPr>
                <w:rFonts w:ascii="宋体"/>
                <w:sz w:val="16"/>
              </w:rPr>
              <w:t>Technovator International</w:t>
            </w:r>
            <w:r>
              <w:rPr>
                <w:rFonts w:ascii="宋体"/>
                <w:spacing w:val="-26"/>
                <w:sz w:val="16"/>
              </w:rPr>
              <w:t> </w:t>
            </w:r>
            <w:r>
              <w:rPr>
                <w:rFonts w:ascii="宋体"/>
                <w:sz w:val="16"/>
              </w:rPr>
              <w:t>Limited</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7"/>
              <w:jc w:val="right"/>
              <w:rPr>
                <w:rFonts w:ascii="宋体" w:hAnsi="宋体" w:cs="宋体" w:eastAsia="宋体" w:hint="default"/>
                <w:sz w:val="16"/>
                <w:szCs w:val="16"/>
              </w:rPr>
            </w:pPr>
            <w:r>
              <w:rPr>
                <w:rFonts w:ascii="宋体"/>
                <w:spacing w:val="-2"/>
                <w:sz w:val="16"/>
              </w:rPr>
              <w:t>663,112.00</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6"/>
                <w:szCs w:val="16"/>
              </w:rPr>
            </w:pPr>
            <w:r>
              <w:rPr>
                <w:rFonts w:ascii="宋体"/>
                <w:spacing w:val="-1"/>
                <w:sz w:val="16"/>
              </w:rPr>
              <w:t>0.00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3"/>
              <w:jc w:val="right"/>
              <w:rPr>
                <w:rFonts w:ascii="宋体" w:hAnsi="宋体" w:cs="宋体" w:eastAsia="宋体" w:hint="default"/>
                <w:sz w:val="16"/>
                <w:szCs w:val="16"/>
              </w:rPr>
            </w:pPr>
            <w:r>
              <w:rPr>
                <w:rFonts w:ascii="宋体"/>
                <w:spacing w:val="-1"/>
                <w:sz w:val="16"/>
              </w:rPr>
              <w:t>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0.00</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9"/>
              <w:jc w:val="right"/>
              <w:rPr>
                <w:rFonts w:ascii="宋体" w:hAnsi="宋体" w:cs="宋体" w:eastAsia="宋体" w:hint="default"/>
                <w:sz w:val="16"/>
                <w:szCs w:val="16"/>
              </w:rPr>
            </w:pPr>
            <w:r>
              <w:rPr>
                <w:rFonts w:ascii="宋体"/>
                <w:spacing w:val="-2"/>
                <w:sz w:val="16"/>
              </w:rPr>
              <w:t>663,112.00</w:t>
            </w:r>
          </w:p>
        </w:tc>
      </w:tr>
      <w:tr>
        <w:trPr>
          <w:trHeight w:val="281"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5" w:right="0"/>
              <w:jc w:val="left"/>
              <w:rPr>
                <w:rFonts w:ascii="宋体" w:hAnsi="宋体" w:cs="宋体" w:eastAsia="宋体" w:hint="default"/>
                <w:sz w:val="16"/>
                <w:szCs w:val="16"/>
              </w:rPr>
            </w:pPr>
            <w:r>
              <w:rPr>
                <w:rFonts w:ascii="宋体"/>
                <w:sz w:val="16"/>
              </w:rPr>
              <w:t>Neo-Neon-EruopeGmbH</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4"/>
              <w:jc w:val="right"/>
              <w:rPr>
                <w:rFonts w:ascii="宋体" w:hAnsi="宋体" w:cs="宋体" w:eastAsia="宋体" w:hint="default"/>
                <w:sz w:val="16"/>
                <w:szCs w:val="16"/>
              </w:rPr>
            </w:pPr>
            <w:r>
              <w:rPr>
                <w:rFonts w:ascii="宋体"/>
                <w:spacing w:val="-2"/>
                <w:sz w:val="16"/>
              </w:rPr>
              <w:t>619,409.31</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6"/>
                <w:szCs w:val="16"/>
              </w:rPr>
            </w:pPr>
            <w:r>
              <w:rPr>
                <w:rFonts w:ascii="宋体"/>
                <w:spacing w:val="-1"/>
                <w:sz w:val="16"/>
              </w:rPr>
              <w:t>0.00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3"/>
              <w:jc w:val="right"/>
              <w:rPr>
                <w:rFonts w:ascii="宋体" w:hAnsi="宋体" w:cs="宋体" w:eastAsia="宋体" w:hint="default"/>
                <w:sz w:val="16"/>
                <w:szCs w:val="16"/>
              </w:rPr>
            </w:pPr>
            <w:r>
              <w:rPr>
                <w:rFonts w:ascii="宋体"/>
                <w:spacing w:val="-1"/>
                <w:sz w:val="16"/>
              </w:rPr>
              <w:t>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2"/>
                <w:sz w:val="16"/>
              </w:rPr>
              <w:t>29,854.89</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7"/>
              <w:jc w:val="right"/>
              <w:rPr>
                <w:rFonts w:ascii="宋体" w:hAnsi="宋体" w:cs="宋体" w:eastAsia="宋体" w:hint="default"/>
                <w:sz w:val="16"/>
                <w:szCs w:val="16"/>
              </w:rPr>
            </w:pPr>
            <w:r>
              <w:rPr>
                <w:rFonts w:ascii="宋体"/>
                <w:spacing w:val="-2"/>
                <w:sz w:val="16"/>
              </w:rPr>
              <w:t>649,264.20</w:t>
            </w:r>
          </w:p>
        </w:tc>
      </w:tr>
      <w:tr>
        <w:trPr>
          <w:trHeight w:val="281"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5" w:right="0"/>
              <w:jc w:val="left"/>
              <w:rPr>
                <w:rFonts w:ascii="宋体" w:hAnsi="宋体" w:cs="宋体" w:eastAsia="宋体" w:hint="default"/>
                <w:sz w:val="16"/>
                <w:szCs w:val="16"/>
              </w:rPr>
            </w:pPr>
            <w:r>
              <w:rPr>
                <w:rFonts w:ascii="宋体" w:hAnsi="宋体" w:cs="宋体" w:eastAsia="宋体" w:hint="default"/>
                <w:sz w:val="16"/>
                <w:szCs w:val="16"/>
              </w:rPr>
              <w:t>同方人工环境有限公司</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7"/>
              <w:jc w:val="right"/>
              <w:rPr>
                <w:rFonts w:ascii="宋体" w:hAnsi="宋体" w:cs="宋体" w:eastAsia="宋体" w:hint="default"/>
                <w:sz w:val="16"/>
                <w:szCs w:val="16"/>
              </w:rPr>
            </w:pPr>
            <w:r>
              <w:rPr>
                <w:rFonts w:ascii="宋体"/>
                <w:spacing w:val="-2"/>
                <w:sz w:val="16"/>
              </w:rPr>
              <w:t>375,077.30</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6"/>
                <w:szCs w:val="16"/>
              </w:rPr>
            </w:pPr>
            <w:r>
              <w:rPr>
                <w:rFonts w:ascii="宋体"/>
                <w:spacing w:val="-1"/>
                <w:sz w:val="16"/>
              </w:rPr>
              <w:t>0.00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3"/>
              <w:jc w:val="right"/>
              <w:rPr>
                <w:rFonts w:ascii="宋体" w:hAnsi="宋体" w:cs="宋体" w:eastAsia="宋体" w:hint="default"/>
                <w:sz w:val="16"/>
                <w:szCs w:val="16"/>
              </w:rPr>
            </w:pPr>
            <w:r>
              <w:rPr>
                <w:rFonts w:ascii="宋体"/>
                <w:spacing w:val="-1"/>
                <w:sz w:val="16"/>
              </w:rPr>
              <w:t>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0.00</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9"/>
              <w:jc w:val="right"/>
              <w:rPr>
                <w:rFonts w:ascii="宋体" w:hAnsi="宋体" w:cs="宋体" w:eastAsia="宋体" w:hint="default"/>
                <w:sz w:val="16"/>
                <w:szCs w:val="16"/>
              </w:rPr>
            </w:pPr>
            <w:r>
              <w:rPr>
                <w:rFonts w:ascii="宋体"/>
                <w:spacing w:val="-2"/>
                <w:sz w:val="16"/>
              </w:rPr>
              <w:t>375,077.30</w:t>
            </w:r>
          </w:p>
        </w:tc>
      </w:tr>
      <w:tr>
        <w:trPr>
          <w:trHeight w:val="281" w:hRule="exact"/>
        </w:trPr>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5" w:right="0"/>
              <w:jc w:val="left"/>
              <w:rPr>
                <w:rFonts w:ascii="宋体" w:hAnsi="宋体" w:cs="宋体" w:eastAsia="宋体" w:hint="default"/>
                <w:sz w:val="16"/>
                <w:szCs w:val="16"/>
              </w:rPr>
            </w:pPr>
            <w:r>
              <w:rPr>
                <w:rFonts w:ascii="宋体" w:hAnsi="宋体" w:cs="宋体" w:eastAsia="宋体" w:hint="default"/>
                <w:sz w:val="16"/>
                <w:szCs w:val="16"/>
              </w:rPr>
              <w:t>同方知网数字出版技术股份有限公司</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7"/>
              <w:jc w:val="right"/>
              <w:rPr>
                <w:rFonts w:ascii="宋体" w:hAnsi="宋体" w:cs="宋体" w:eastAsia="宋体" w:hint="default"/>
                <w:sz w:val="16"/>
                <w:szCs w:val="16"/>
              </w:rPr>
            </w:pPr>
            <w:r>
              <w:rPr>
                <w:rFonts w:ascii="宋体"/>
                <w:spacing w:val="-2"/>
                <w:sz w:val="16"/>
              </w:rPr>
              <w:t>110,441.27</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宋体" w:hAnsi="宋体" w:cs="宋体" w:eastAsia="宋体" w:hint="default"/>
                <w:sz w:val="16"/>
                <w:szCs w:val="16"/>
              </w:rPr>
            </w:pPr>
            <w:r>
              <w:rPr>
                <w:rFonts w:ascii="宋体"/>
                <w:spacing w:val="-1"/>
                <w:sz w:val="16"/>
              </w:rPr>
              <w:t>0.00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3"/>
              <w:jc w:val="right"/>
              <w:rPr>
                <w:rFonts w:ascii="宋体" w:hAnsi="宋体" w:cs="宋体" w:eastAsia="宋体" w:hint="default"/>
                <w:sz w:val="16"/>
                <w:szCs w:val="16"/>
              </w:rPr>
            </w:pPr>
            <w:r>
              <w:rPr>
                <w:rFonts w:ascii="宋体"/>
                <w:spacing w:val="-1"/>
                <w:sz w:val="16"/>
              </w:rPr>
              <w:t>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0.00</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9"/>
              <w:jc w:val="right"/>
              <w:rPr>
                <w:rFonts w:ascii="宋体" w:hAnsi="宋体" w:cs="宋体" w:eastAsia="宋体" w:hint="default"/>
                <w:sz w:val="16"/>
                <w:szCs w:val="16"/>
              </w:rPr>
            </w:pPr>
            <w:r>
              <w:rPr>
                <w:rFonts w:ascii="宋体"/>
                <w:spacing w:val="-2"/>
                <w:sz w:val="16"/>
              </w:rPr>
              <w:t>110,441.27</w:t>
            </w:r>
          </w:p>
        </w:tc>
      </w:tr>
      <w:tr>
        <w:trPr>
          <w:trHeight w:val="287" w:hRule="exact"/>
        </w:trPr>
        <w:tc>
          <w:tcPr>
            <w:tcW w:w="290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55" w:right="0"/>
              <w:jc w:val="left"/>
              <w:rPr>
                <w:rFonts w:ascii="宋体" w:hAnsi="宋体" w:cs="宋体" w:eastAsia="宋体" w:hint="default"/>
                <w:sz w:val="16"/>
                <w:szCs w:val="16"/>
              </w:rPr>
            </w:pPr>
            <w:r>
              <w:rPr>
                <w:rFonts w:ascii="宋体" w:hAnsi="宋体" w:cs="宋体" w:eastAsia="宋体" w:hint="default"/>
                <w:sz w:val="16"/>
                <w:szCs w:val="16"/>
              </w:rPr>
              <w:t>江西同方昌明消防车辆有限公司</w:t>
            </w:r>
          </w:p>
        </w:tc>
        <w:tc>
          <w:tcPr>
            <w:tcW w:w="1629"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24"/>
              <w:jc w:val="right"/>
              <w:rPr>
                <w:rFonts w:ascii="宋体" w:hAnsi="宋体" w:cs="宋体" w:eastAsia="宋体" w:hint="default"/>
                <w:sz w:val="16"/>
                <w:szCs w:val="16"/>
              </w:rPr>
            </w:pPr>
            <w:r>
              <w:rPr>
                <w:rFonts w:ascii="宋体"/>
                <w:spacing w:val="-2"/>
                <w:sz w:val="16"/>
              </w:rPr>
              <w:t>52,740.49</w:t>
            </w:r>
          </w:p>
        </w:tc>
        <w:tc>
          <w:tcPr>
            <w:tcW w:w="128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7"/>
              <w:jc w:val="right"/>
              <w:rPr>
                <w:rFonts w:ascii="宋体" w:hAnsi="宋体" w:cs="宋体" w:eastAsia="宋体" w:hint="default"/>
                <w:sz w:val="16"/>
                <w:szCs w:val="16"/>
              </w:rPr>
            </w:pPr>
            <w:r>
              <w:rPr>
                <w:rFonts w:ascii="宋体"/>
                <w:spacing w:val="-1"/>
                <w:sz w:val="16"/>
              </w:rPr>
              <w:t>0.00</w:t>
            </w:r>
          </w:p>
        </w:tc>
        <w:tc>
          <w:tcPr>
            <w:tcW w:w="98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23"/>
              <w:jc w:val="right"/>
              <w:rPr>
                <w:rFonts w:ascii="宋体" w:hAnsi="宋体" w:cs="宋体" w:eastAsia="宋体" w:hint="default"/>
                <w:sz w:val="16"/>
                <w:szCs w:val="16"/>
              </w:rPr>
            </w:pPr>
            <w:r>
              <w:rPr>
                <w:rFonts w:ascii="宋体"/>
                <w:spacing w:val="-1"/>
                <w:sz w:val="16"/>
              </w:rPr>
              <w:t>0.00</w:t>
            </w:r>
          </w:p>
        </w:tc>
        <w:tc>
          <w:tcPr>
            <w:tcW w:w="1279"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5"/>
              <w:jc w:val="right"/>
              <w:rPr>
                <w:rFonts w:ascii="宋体" w:hAnsi="宋体" w:cs="宋体" w:eastAsia="宋体" w:hint="default"/>
                <w:sz w:val="16"/>
                <w:szCs w:val="16"/>
              </w:rPr>
            </w:pPr>
            <w:r>
              <w:rPr>
                <w:rFonts w:ascii="宋体"/>
                <w:spacing w:val="-1"/>
                <w:sz w:val="16"/>
              </w:rPr>
              <w:t>0.00</w:t>
            </w:r>
          </w:p>
        </w:tc>
        <w:tc>
          <w:tcPr>
            <w:tcW w:w="145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57"/>
              <w:jc w:val="right"/>
              <w:rPr>
                <w:rFonts w:ascii="宋体" w:hAnsi="宋体" w:cs="宋体" w:eastAsia="宋体" w:hint="default"/>
                <w:sz w:val="16"/>
                <w:szCs w:val="16"/>
              </w:rPr>
            </w:pPr>
            <w:r>
              <w:rPr>
                <w:rFonts w:ascii="宋体"/>
                <w:spacing w:val="-2"/>
                <w:sz w:val="16"/>
              </w:rPr>
              <w:t>52,740.49</w:t>
            </w:r>
          </w:p>
        </w:tc>
      </w:tr>
      <w:tr>
        <w:trPr>
          <w:trHeight w:val="302" w:hRule="exact"/>
        </w:trPr>
        <w:tc>
          <w:tcPr>
            <w:tcW w:w="2906"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55"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629"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126"/>
              <w:jc w:val="right"/>
              <w:rPr>
                <w:rFonts w:ascii="宋体" w:hAnsi="宋体" w:cs="宋体" w:eastAsia="宋体" w:hint="default"/>
                <w:sz w:val="16"/>
                <w:szCs w:val="16"/>
              </w:rPr>
            </w:pPr>
            <w:r>
              <w:rPr>
                <w:rFonts w:ascii="宋体"/>
                <w:b/>
                <w:spacing w:val="-1"/>
                <w:sz w:val="16"/>
              </w:rPr>
              <w:t>1,186,991,189.05</w:t>
            </w:r>
            <w:r>
              <w:rPr>
                <w:rFonts w:ascii="宋体"/>
                <w:spacing w:val="-1"/>
                <w:sz w:val="16"/>
              </w:rPr>
            </w:r>
          </w:p>
        </w:tc>
        <w:tc>
          <w:tcPr>
            <w:tcW w:w="1287"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109"/>
              <w:jc w:val="right"/>
              <w:rPr>
                <w:rFonts w:ascii="宋体" w:hAnsi="宋体" w:cs="宋体" w:eastAsia="宋体" w:hint="default"/>
                <w:sz w:val="16"/>
                <w:szCs w:val="16"/>
              </w:rPr>
            </w:pPr>
            <w:r>
              <w:rPr>
                <w:rFonts w:ascii="宋体"/>
                <w:b/>
                <w:spacing w:val="-1"/>
                <w:sz w:val="16"/>
              </w:rPr>
              <w:t>37,665,398.27</w:t>
            </w:r>
            <w:r>
              <w:rPr>
                <w:rFonts w:ascii="宋体"/>
                <w:spacing w:val="-1"/>
                <w:sz w:val="16"/>
              </w:rPr>
            </w:r>
          </w:p>
        </w:tc>
        <w:tc>
          <w:tcPr>
            <w:tcW w:w="988"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118"/>
              <w:jc w:val="right"/>
              <w:rPr>
                <w:rFonts w:ascii="宋体" w:hAnsi="宋体" w:cs="宋体" w:eastAsia="宋体" w:hint="default"/>
                <w:sz w:val="16"/>
                <w:szCs w:val="16"/>
              </w:rPr>
            </w:pPr>
            <w:r>
              <w:rPr>
                <w:rFonts w:ascii="宋体"/>
                <w:b/>
                <w:spacing w:val="-4"/>
                <w:w w:val="95"/>
                <w:sz w:val="16"/>
              </w:rPr>
              <w:t>0.00</w:t>
            </w:r>
            <w:r>
              <w:rPr>
                <w:rFonts w:ascii="宋体"/>
                <w:spacing w:val="-4"/>
                <w:sz w:val="16"/>
              </w:rPr>
            </w:r>
          </w:p>
        </w:tc>
        <w:tc>
          <w:tcPr>
            <w:tcW w:w="1279"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100"/>
              <w:jc w:val="right"/>
              <w:rPr>
                <w:rFonts w:ascii="宋体" w:hAnsi="宋体" w:cs="宋体" w:eastAsia="宋体" w:hint="default"/>
                <w:sz w:val="16"/>
                <w:szCs w:val="16"/>
              </w:rPr>
            </w:pPr>
            <w:r>
              <w:rPr>
                <w:rFonts w:ascii="宋体"/>
                <w:b/>
                <w:spacing w:val="-6"/>
                <w:sz w:val="16"/>
              </w:rPr>
              <w:t>5,997,747.14</w:t>
            </w:r>
            <w:r>
              <w:rPr>
                <w:rFonts w:ascii="宋体"/>
                <w:spacing w:val="-6"/>
                <w:sz w:val="16"/>
              </w:rPr>
            </w:r>
          </w:p>
        </w:tc>
        <w:tc>
          <w:tcPr>
            <w:tcW w:w="1454"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58"/>
              <w:jc w:val="right"/>
              <w:rPr>
                <w:rFonts w:ascii="宋体" w:hAnsi="宋体" w:cs="宋体" w:eastAsia="宋体" w:hint="default"/>
                <w:sz w:val="16"/>
                <w:szCs w:val="16"/>
              </w:rPr>
            </w:pPr>
            <w:r>
              <w:rPr>
                <w:rFonts w:ascii="宋体"/>
                <w:b/>
                <w:spacing w:val="-1"/>
                <w:sz w:val="16"/>
              </w:rPr>
              <w:t>1,230,654,334.46</w:t>
            </w:r>
            <w:r>
              <w:rPr>
                <w:rFonts w:ascii="宋体"/>
                <w:spacing w:val="-1"/>
                <w:sz w:val="16"/>
              </w:rPr>
            </w:r>
          </w:p>
        </w:tc>
      </w:tr>
    </w:tbl>
    <w:p>
      <w:pPr>
        <w:spacing w:line="240" w:lineRule="auto" w:before="3"/>
        <w:rPr>
          <w:rFonts w:ascii="Times New Roman" w:hAnsi="Times New Roman" w:cs="Times New Roman" w:eastAsia="Times New Roman" w:hint="default"/>
          <w:sz w:val="4"/>
          <w:szCs w:val="4"/>
        </w:rPr>
      </w:pPr>
    </w:p>
    <w:tbl>
      <w:tblPr>
        <w:tblW w:w="0" w:type="auto"/>
        <w:jc w:val="left"/>
        <w:tblInd w:w="593" w:type="dxa"/>
        <w:tblLayout w:type="fixed"/>
        <w:tblCellMar>
          <w:top w:w="0" w:type="dxa"/>
          <w:left w:w="0" w:type="dxa"/>
          <w:bottom w:w="0" w:type="dxa"/>
          <w:right w:w="0" w:type="dxa"/>
        </w:tblCellMar>
        <w:tblLook w:val="01E0"/>
      </w:tblPr>
      <w:tblGrid>
        <w:gridCol w:w="2607"/>
        <w:gridCol w:w="1335"/>
        <w:gridCol w:w="1484"/>
        <w:gridCol w:w="881"/>
        <w:gridCol w:w="911"/>
        <w:gridCol w:w="1346"/>
      </w:tblGrid>
      <w:tr>
        <w:trPr>
          <w:trHeight w:val="503" w:hRule="exact"/>
        </w:trPr>
        <w:tc>
          <w:tcPr>
            <w:tcW w:w="2607"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left="482"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1"/>
                <w:sz w:val="22"/>
                <w:szCs w:val="22"/>
              </w:rPr>
              <w:t> </w:t>
            </w:r>
            <w:r>
              <w:rPr>
                <w:rFonts w:ascii="宋体" w:hAnsi="宋体" w:cs="宋体" w:eastAsia="宋体" w:hint="default"/>
                <w:sz w:val="22"/>
                <w:szCs w:val="22"/>
              </w:rPr>
              <w:t>商誉减值准备</w:t>
            </w:r>
          </w:p>
        </w:tc>
        <w:tc>
          <w:tcPr>
            <w:tcW w:w="5958" w:type="dxa"/>
            <w:gridSpan w:val="5"/>
            <w:tcBorders>
              <w:top w:val="nil" w:sz="6" w:space="0" w:color="auto"/>
              <w:left w:val="nil" w:sz="6" w:space="0" w:color="auto"/>
              <w:bottom w:val="single" w:sz="12" w:space="0" w:color="000000"/>
              <w:right w:val="nil" w:sz="6" w:space="0" w:color="auto"/>
            </w:tcBorders>
          </w:tcPr>
          <w:p>
            <w:pPr/>
          </w:p>
        </w:tc>
      </w:tr>
      <w:tr>
        <w:trPr>
          <w:trHeight w:val="241" w:hRule="exact"/>
        </w:trPr>
        <w:tc>
          <w:tcPr>
            <w:tcW w:w="2607" w:type="dxa"/>
            <w:tcBorders>
              <w:top w:val="single" w:sz="12" w:space="0" w:color="000000"/>
              <w:left w:val="nil" w:sz="6" w:space="0" w:color="auto"/>
              <w:bottom w:val="nil" w:sz="6" w:space="0" w:color="auto"/>
              <w:right w:val="nil" w:sz="6" w:space="0" w:color="auto"/>
            </w:tcBorders>
          </w:tcPr>
          <w:p>
            <w:pPr/>
          </w:p>
        </w:tc>
        <w:tc>
          <w:tcPr>
            <w:tcW w:w="1335" w:type="dxa"/>
            <w:tcBorders>
              <w:top w:val="single" w:sz="12" w:space="0" w:color="000000"/>
              <w:left w:val="nil" w:sz="6" w:space="0" w:color="auto"/>
              <w:bottom w:val="nil" w:sz="6" w:space="0" w:color="auto"/>
              <w:right w:val="nil" w:sz="6" w:space="0" w:color="auto"/>
            </w:tcBorders>
          </w:tcPr>
          <w:p>
            <w:pPr/>
          </w:p>
        </w:tc>
        <w:tc>
          <w:tcPr>
            <w:tcW w:w="1484" w:type="dxa"/>
            <w:tcBorders>
              <w:top w:val="single" w:sz="12" w:space="0" w:color="000000"/>
              <w:left w:val="nil" w:sz="6" w:space="0" w:color="auto"/>
              <w:bottom w:val="nil" w:sz="6" w:space="0" w:color="auto"/>
              <w:right w:val="nil" w:sz="6" w:space="0" w:color="auto"/>
            </w:tcBorders>
          </w:tcPr>
          <w:p>
            <w:pPr>
              <w:pStyle w:val="TableParagraph"/>
              <w:spacing w:line="240" w:lineRule="auto" w:before="19"/>
              <w:ind w:left="825" w:right="0"/>
              <w:jc w:val="left"/>
              <w:rPr>
                <w:rFonts w:ascii="宋体" w:hAnsi="宋体" w:cs="宋体" w:eastAsia="宋体" w:hint="default"/>
                <w:sz w:val="16"/>
                <w:szCs w:val="16"/>
              </w:rPr>
            </w:pPr>
            <w:r>
              <w:rPr>
                <w:rFonts w:ascii="宋体" w:hAnsi="宋体" w:cs="宋体" w:eastAsia="宋体" w:hint="default"/>
                <w:b/>
                <w:bCs/>
                <w:sz w:val="16"/>
                <w:szCs w:val="16"/>
              </w:rPr>
              <w:t>本年增加</w:t>
            </w:r>
            <w:r>
              <w:rPr>
                <w:rFonts w:ascii="宋体" w:hAnsi="宋体" w:cs="宋体" w:eastAsia="宋体" w:hint="default"/>
                <w:sz w:val="16"/>
                <w:szCs w:val="16"/>
              </w:rPr>
            </w:r>
          </w:p>
        </w:tc>
        <w:tc>
          <w:tcPr>
            <w:tcW w:w="881" w:type="dxa"/>
            <w:tcBorders>
              <w:top w:val="single" w:sz="12" w:space="0" w:color="000000"/>
              <w:left w:val="nil" w:sz="6" w:space="0" w:color="auto"/>
              <w:bottom w:val="nil" w:sz="6" w:space="0" w:color="auto"/>
              <w:right w:val="nil" w:sz="6" w:space="0" w:color="auto"/>
            </w:tcBorders>
          </w:tcPr>
          <w:p>
            <w:pPr/>
          </w:p>
        </w:tc>
        <w:tc>
          <w:tcPr>
            <w:tcW w:w="911" w:type="dxa"/>
            <w:tcBorders>
              <w:top w:val="single" w:sz="12" w:space="0" w:color="000000"/>
              <w:left w:val="nil" w:sz="6" w:space="0" w:color="auto"/>
              <w:bottom w:val="nil" w:sz="6" w:space="0" w:color="auto"/>
              <w:right w:val="nil" w:sz="6" w:space="0" w:color="auto"/>
            </w:tcBorders>
          </w:tcPr>
          <w:p>
            <w:pPr>
              <w:pStyle w:val="TableParagraph"/>
              <w:spacing w:line="240" w:lineRule="auto" w:before="19"/>
              <w:ind w:left="96" w:right="0"/>
              <w:jc w:val="left"/>
              <w:rPr>
                <w:rFonts w:ascii="宋体" w:hAnsi="宋体" w:cs="宋体" w:eastAsia="宋体" w:hint="default"/>
                <w:sz w:val="16"/>
                <w:szCs w:val="16"/>
              </w:rPr>
            </w:pPr>
            <w:r>
              <w:rPr>
                <w:rFonts w:ascii="宋体" w:hAnsi="宋体" w:cs="宋体" w:eastAsia="宋体" w:hint="default"/>
                <w:b/>
                <w:bCs/>
                <w:sz w:val="16"/>
                <w:szCs w:val="16"/>
              </w:rPr>
              <w:t>本年减少</w:t>
            </w:r>
            <w:r>
              <w:rPr>
                <w:rFonts w:ascii="宋体" w:hAnsi="宋体" w:cs="宋体" w:eastAsia="宋体" w:hint="default"/>
                <w:sz w:val="16"/>
                <w:szCs w:val="16"/>
              </w:rPr>
            </w:r>
          </w:p>
        </w:tc>
        <w:tc>
          <w:tcPr>
            <w:tcW w:w="1346" w:type="dxa"/>
            <w:tcBorders>
              <w:top w:val="single" w:sz="12" w:space="0" w:color="000000"/>
              <w:left w:val="nil" w:sz="6" w:space="0" w:color="auto"/>
              <w:bottom w:val="nil" w:sz="6" w:space="0" w:color="auto"/>
              <w:right w:val="nil" w:sz="6" w:space="0" w:color="auto"/>
            </w:tcBorders>
          </w:tcPr>
          <w:p>
            <w:pPr/>
          </w:p>
        </w:tc>
      </w:tr>
      <w:tr>
        <w:trPr>
          <w:trHeight w:val="156"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158" w:lineRule="exact"/>
              <w:ind w:left="28" w:right="0"/>
              <w:jc w:val="left"/>
              <w:rPr>
                <w:rFonts w:ascii="宋体" w:hAnsi="宋体" w:cs="宋体" w:eastAsia="宋体" w:hint="default"/>
                <w:sz w:val="16"/>
                <w:szCs w:val="16"/>
              </w:rPr>
            </w:pPr>
            <w:r>
              <w:rPr>
                <w:rFonts w:ascii="宋体" w:hAnsi="宋体" w:cs="宋体" w:eastAsia="宋体" w:hint="default"/>
                <w:b/>
                <w:bCs/>
                <w:sz w:val="16"/>
                <w:szCs w:val="16"/>
              </w:rPr>
              <w:t>被投资单位名称</w:t>
            </w:r>
            <w:r>
              <w:rPr>
                <w:rFonts w:ascii="宋体" w:hAnsi="宋体" w:cs="宋体" w:eastAsia="宋体" w:hint="default"/>
                <w:sz w:val="16"/>
                <w:szCs w:val="16"/>
              </w:rPr>
            </w:r>
          </w:p>
        </w:tc>
        <w:tc>
          <w:tcPr>
            <w:tcW w:w="1335" w:type="dxa"/>
            <w:tcBorders>
              <w:top w:val="nil" w:sz="6" w:space="0" w:color="auto"/>
              <w:left w:val="nil" w:sz="6" w:space="0" w:color="auto"/>
              <w:bottom w:val="nil" w:sz="6" w:space="0" w:color="auto"/>
              <w:right w:val="nil" w:sz="6" w:space="0" w:color="auto"/>
            </w:tcBorders>
          </w:tcPr>
          <w:p>
            <w:pPr>
              <w:pStyle w:val="TableParagraph"/>
              <w:spacing w:line="158" w:lineRule="exact"/>
              <w:ind w:left="376"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1484"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158" w:lineRule="exact"/>
              <w:ind w:left="352" w:right="0"/>
              <w:jc w:val="left"/>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tc>
      </w:tr>
      <w:tr>
        <w:trPr>
          <w:trHeight w:val="232" w:hRule="exact"/>
        </w:trPr>
        <w:tc>
          <w:tcPr>
            <w:tcW w:w="2607" w:type="dxa"/>
            <w:tcBorders>
              <w:top w:val="nil" w:sz="6" w:space="0" w:color="auto"/>
              <w:left w:val="nil" w:sz="6" w:space="0" w:color="auto"/>
              <w:bottom w:val="single" w:sz="4" w:space="0" w:color="000000"/>
              <w:right w:val="nil" w:sz="6" w:space="0" w:color="auto"/>
            </w:tcBorders>
          </w:tcPr>
          <w:p>
            <w:pPr/>
          </w:p>
        </w:tc>
        <w:tc>
          <w:tcPr>
            <w:tcW w:w="1335" w:type="dxa"/>
            <w:tcBorders>
              <w:top w:val="nil" w:sz="6" w:space="0" w:color="auto"/>
              <w:left w:val="nil" w:sz="6" w:space="0" w:color="auto"/>
              <w:bottom w:val="single" w:sz="4" w:space="0" w:color="000000"/>
              <w:right w:val="nil" w:sz="6" w:space="0" w:color="auto"/>
            </w:tcBorders>
          </w:tcPr>
          <w:p>
            <w:pPr/>
          </w:p>
        </w:tc>
        <w:tc>
          <w:tcPr>
            <w:tcW w:w="1484" w:type="dxa"/>
            <w:tcBorders>
              <w:top w:val="nil" w:sz="6" w:space="0" w:color="auto"/>
              <w:left w:val="nil" w:sz="6" w:space="0" w:color="auto"/>
              <w:bottom w:val="single" w:sz="4" w:space="0" w:color="000000"/>
              <w:right w:val="nil" w:sz="6" w:space="0" w:color="auto"/>
            </w:tcBorders>
          </w:tcPr>
          <w:p>
            <w:pPr>
              <w:pStyle w:val="TableParagraph"/>
              <w:spacing w:line="158" w:lineRule="exact"/>
              <w:ind w:right="133"/>
              <w:jc w:val="center"/>
              <w:rPr>
                <w:rFonts w:ascii="宋体" w:hAnsi="宋体" w:cs="宋体" w:eastAsia="宋体" w:hint="default"/>
                <w:sz w:val="16"/>
                <w:szCs w:val="16"/>
              </w:rPr>
            </w:pPr>
            <w:r>
              <w:rPr>
                <w:rFonts w:ascii="宋体" w:hAnsi="宋体" w:cs="宋体" w:eastAsia="宋体" w:hint="default"/>
                <w:b/>
                <w:bCs/>
                <w:sz w:val="16"/>
                <w:szCs w:val="16"/>
              </w:rPr>
              <w:t>计提</w:t>
            </w:r>
            <w:r>
              <w:rPr>
                <w:rFonts w:ascii="宋体" w:hAnsi="宋体" w:cs="宋体" w:eastAsia="宋体" w:hint="default"/>
                <w:sz w:val="16"/>
                <w:szCs w:val="16"/>
              </w:rPr>
            </w:r>
          </w:p>
        </w:tc>
        <w:tc>
          <w:tcPr>
            <w:tcW w:w="881" w:type="dxa"/>
            <w:tcBorders>
              <w:top w:val="nil" w:sz="6" w:space="0" w:color="auto"/>
              <w:left w:val="nil" w:sz="6" w:space="0" w:color="auto"/>
              <w:bottom w:val="single" w:sz="4" w:space="0" w:color="000000"/>
              <w:right w:val="nil" w:sz="6" w:space="0" w:color="auto"/>
            </w:tcBorders>
          </w:tcPr>
          <w:p>
            <w:pPr>
              <w:pStyle w:val="TableParagraph"/>
              <w:spacing w:line="158" w:lineRule="exact"/>
              <w:ind w:left="15" w:right="0"/>
              <w:jc w:val="left"/>
              <w:rPr>
                <w:rFonts w:ascii="宋体" w:hAnsi="宋体" w:cs="宋体" w:eastAsia="宋体" w:hint="default"/>
                <w:sz w:val="16"/>
                <w:szCs w:val="16"/>
              </w:rPr>
            </w:pPr>
            <w:r>
              <w:rPr>
                <w:rFonts w:ascii="宋体" w:hAnsi="宋体" w:cs="宋体" w:eastAsia="宋体" w:hint="default"/>
                <w:b/>
                <w:bCs/>
                <w:sz w:val="16"/>
                <w:szCs w:val="16"/>
              </w:rPr>
              <w:t>汇率变动</w:t>
            </w:r>
            <w:r>
              <w:rPr>
                <w:rFonts w:ascii="宋体" w:hAnsi="宋体" w:cs="宋体" w:eastAsia="宋体" w:hint="default"/>
                <w:sz w:val="16"/>
                <w:szCs w:val="16"/>
              </w:rPr>
            </w:r>
          </w:p>
        </w:tc>
        <w:tc>
          <w:tcPr>
            <w:tcW w:w="911" w:type="dxa"/>
            <w:tcBorders>
              <w:top w:val="nil" w:sz="6" w:space="0" w:color="auto"/>
              <w:left w:val="nil" w:sz="6" w:space="0" w:color="auto"/>
              <w:bottom w:val="single" w:sz="4" w:space="0" w:color="000000"/>
              <w:right w:val="nil" w:sz="6" w:space="0" w:color="auto"/>
            </w:tcBorders>
          </w:tcPr>
          <w:p>
            <w:pPr>
              <w:pStyle w:val="TableParagraph"/>
              <w:spacing w:line="158" w:lineRule="exact"/>
              <w:ind w:left="257" w:right="0"/>
              <w:jc w:val="left"/>
              <w:rPr>
                <w:rFonts w:ascii="宋体" w:hAnsi="宋体" w:cs="宋体" w:eastAsia="宋体" w:hint="default"/>
                <w:sz w:val="16"/>
                <w:szCs w:val="16"/>
              </w:rPr>
            </w:pPr>
            <w:r>
              <w:rPr>
                <w:rFonts w:ascii="宋体" w:hAnsi="宋体" w:cs="宋体" w:eastAsia="宋体" w:hint="default"/>
                <w:b/>
                <w:bCs/>
                <w:sz w:val="16"/>
                <w:szCs w:val="16"/>
              </w:rPr>
              <w:t>处置</w:t>
            </w:r>
            <w:r>
              <w:rPr>
                <w:rFonts w:ascii="宋体" w:hAnsi="宋体" w:cs="宋体" w:eastAsia="宋体" w:hint="default"/>
                <w:sz w:val="16"/>
                <w:szCs w:val="16"/>
              </w:rPr>
            </w:r>
          </w:p>
        </w:tc>
        <w:tc>
          <w:tcPr>
            <w:tcW w:w="1346" w:type="dxa"/>
            <w:tcBorders>
              <w:top w:val="nil" w:sz="6" w:space="0" w:color="auto"/>
              <w:left w:val="nil" w:sz="6" w:space="0" w:color="auto"/>
              <w:bottom w:val="single" w:sz="4" w:space="0" w:color="000000"/>
              <w:right w:val="nil" w:sz="6" w:space="0" w:color="auto"/>
            </w:tcBorders>
          </w:tcPr>
          <w:p>
            <w:pPr/>
          </w:p>
        </w:tc>
      </w:tr>
      <w:tr>
        <w:trPr>
          <w:trHeight w:val="306" w:hRule="exact"/>
        </w:trPr>
        <w:tc>
          <w:tcPr>
            <w:tcW w:w="260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6"/>
                <w:szCs w:val="16"/>
              </w:rPr>
            </w:pPr>
            <w:r>
              <w:rPr>
                <w:rFonts w:ascii="宋体" w:hAnsi="宋体" w:cs="宋体" w:eastAsia="宋体" w:hint="default"/>
                <w:sz w:val="16"/>
                <w:szCs w:val="16"/>
              </w:rPr>
              <w:t>北京壹人壹本信息科技有限公司</w:t>
            </w:r>
          </w:p>
        </w:tc>
        <w:tc>
          <w:tcPr>
            <w:tcW w:w="133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
              <w:jc w:val="right"/>
              <w:rPr>
                <w:rFonts w:ascii="宋体" w:hAnsi="宋体" w:cs="宋体" w:eastAsia="宋体" w:hint="default"/>
                <w:sz w:val="16"/>
                <w:szCs w:val="16"/>
              </w:rPr>
            </w:pPr>
            <w:r>
              <w:rPr>
                <w:rFonts w:ascii="宋体"/>
                <w:spacing w:val="-1"/>
                <w:sz w:val="16"/>
              </w:rPr>
              <w:t>0.00</w:t>
            </w:r>
          </w:p>
        </w:tc>
        <w:tc>
          <w:tcPr>
            <w:tcW w:w="148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98" w:right="0"/>
              <w:jc w:val="left"/>
              <w:rPr>
                <w:rFonts w:ascii="宋体" w:hAnsi="宋体" w:cs="宋体" w:eastAsia="宋体" w:hint="default"/>
                <w:sz w:val="16"/>
                <w:szCs w:val="16"/>
              </w:rPr>
            </w:pPr>
            <w:r>
              <w:rPr>
                <w:rFonts w:ascii="宋体"/>
                <w:sz w:val="16"/>
              </w:rPr>
              <w:t>902,329,518.71</w:t>
            </w:r>
          </w:p>
        </w:tc>
        <w:tc>
          <w:tcPr>
            <w:tcW w:w="88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94"/>
              <w:jc w:val="right"/>
              <w:rPr>
                <w:rFonts w:ascii="宋体" w:hAnsi="宋体" w:cs="宋体" w:eastAsia="宋体" w:hint="default"/>
                <w:sz w:val="16"/>
                <w:szCs w:val="16"/>
              </w:rPr>
            </w:pPr>
            <w:r>
              <w:rPr>
                <w:rFonts w:ascii="宋体"/>
                <w:spacing w:val="-1"/>
                <w:sz w:val="16"/>
              </w:rPr>
              <w:t>0.00</w:t>
            </w:r>
          </w:p>
        </w:tc>
        <w:tc>
          <w:tcPr>
            <w:tcW w:w="91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
              <w:jc w:val="right"/>
              <w:rPr>
                <w:rFonts w:ascii="宋体" w:hAnsi="宋体" w:cs="宋体" w:eastAsia="宋体" w:hint="default"/>
                <w:sz w:val="16"/>
                <w:szCs w:val="16"/>
              </w:rPr>
            </w:pPr>
            <w:r>
              <w:rPr>
                <w:rFonts w:ascii="宋体"/>
                <w:spacing w:val="-1"/>
                <w:sz w:val="16"/>
              </w:rPr>
              <w:t>0.00</w:t>
            </w:r>
          </w:p>
        </w:tc>
        <w:tc>
          <w:tcPr>
            <w:tcW w:w="134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3"/>
              <w:jc w:val="right"/>
              <w:rPr>
                <w:rFonts w:ascii="宋体" w:hAnsi="宋体" w:cs="宋体" w:eastAsia="宋体" w:hint="default"/>
                <w:sz w:val="16"/>
                <w:szCs w:val="16"/>
              </w:rPr>
            </w:pPr>
            <w:r>
              <w:rPr>
                <w:rFonts w:ascii="宋体"/>
                <w:spacing w:val="-2"/>
                <w:sz w:val="16"/>
              </w:rPr>
              <w:t>902,329,518.71</w:t>
            </w:r>
          </w:p>
        </w:tc>
      </w:tr>
      <w:tr>
        <w:trPr>
          <w:trHeight w:val="300"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6"/>
                <w:szCs w:val="16"/>
              </w:rPr>
            </w:pPr>
            <w:r>
              <w:rPr>
                <w:rFonts w:ascii="宋体" w:hAnsi="宋体" w:cs="宋体" w:eastAsia="宋体" w:hint="default"/>
                <w:sz w:val="16"/>
                <w:szCs w:val="16"/>
              </w:rPr>
              <w:t>同方友友控股有限公司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
              <w:jc w:val="right"/>
              <w:rPr>
                <w:rFonts w:ascii="宋体" w:hAnsi="宋体" w:cs="宋体" w:eastAsia="宋体" w:hint="default"/>
                <w:sz w:val="16"/>
                <w:szCs w:val="16"/>
              </w:rPr>
            </w:pPr>
            <w:r>
              <w:rPr>
                <w:rFonts w:ascii="宋体"/>
                <w:spacing w:val="-1"/>
                <w:sz w:val="16"/>
              </w:rPr>
              <w:t>0.00</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98" w:right="0"/>
              <w:jc w:val="left"/>
              <w:rPr>
                <w:rFonts w:ascii="宋体" w:hAnsi="宋体" w:cs="宋体" w:eastAsia="宋体" w:hint="default"/>
                <w:sz w:val="16"/>
                <w:szCs w:val="16"/>
              </w:rPr>
            </w:pPr>
            <w:r>
              <w:rPr>
                <w:rFonts w:ascii="宋体"/>
                <w:sz w:val="16"/>
              </w:rPr>
              <w:t>127,224,330.86</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4"/>
              <w:jc w:val="right"/>
              <w:rPr>
                <w:rFonts w:ascii="宋体" w:hAnsi="宋体" w:cs="宋体" w:eastAsia="宋体" w:hint="default"/>
                <w:sz w:val="16"/>
                <w:szCs w:val="16"/>
              </w:rPr>
            </w:pPr>
            <w:r>
              <w:rPr>
                <w:rFonts w:ascii="宋体"/>
                <w:spacing w:val="-1"/>
                <w:sz w:val="16"/>
              </w:rPr>
              <w:t>0.00</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
              <w:jc w:val="right"/>
              <w:rPr>
                <w:rFonts w:ascii="宋体" w:hAnsi="宋体" w:cs="宋体" w:eastAsia="宋体" w:hint="default"/>
                <w:sz w:val="16"/>
                <w:szCs w:val="16"/>
              </w:rPr>
            </w:pPr>
            <w:r>
              <w:rPr>
                <w:rFonts w:ascii="宋体"/>
                <w:spacing w:val="-1"/>
                <w:sz w:val="16"/>
              </w:rPr>
              <w:t>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
              <w:jc w:val="right"/>
              <w:rPr>
                <w:rFonts w:ascii="宋体" w:hAnsi="宋体" w:cs="宋体" w:eastAsia="宋体" w:hint="default"/>
                <w:sz w:val="16"/>
                <w:szCs w:val="16"/>
              </w:rPr>
            </w:pPr>
            <w:r>
              <w:rPr>
                <w:rFonts w:ascii="宋体"/>
                <w:spacing w:val="-2"/>
                <w:sz w:val="16"/>
              </w:rPr>
              <w:t>127,224,330.86</w:t>
            </w:r>
          </w:p>
        </w:tc>
      </w:tr>
      <w:tr>
        <w:trPr>
          <w:trHeight w:val="300"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6"/>
                <w:szCs w:val="16"/>
              </w:rPr>
            </w:pPr>
            <w:r>
              <w:rPr>
                <w:rFonts w:ascii="宋体"/>
                <w:sz w:val="16"/>
              </w:rPr>
              <w:t>UnitedStack(China)Corporation</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
              <w:jc w:val="right"/>
              <w:rPr>
                <w:rFonts w:ascii="宋体" w:hAnsi="宋体" w:cs="宋体" w:eastAsia="宋体" w:hint="default"/>
                <w:sz w:val="16"/>
                <w:szCs w:val="16"/>
              </w:rPr>
            </w:pPr>
            <w:r>
              <w:rPr>
                <w:rFonts w:ascii="宋体"/>
                <w:spacing w:val="-1"/>
                <w:sz w:val="16"/>
              </w:rPr>
              <w:t>0.00</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0" w:right="0"/>
              <w:jc w:val="left"/>
              <w:rPr>
                <w:rFonts w:ascii="宋体" w:hAnsi="宋体" w:cs="宋体" w:eastAsia="宋体" w:hint="default"/>
                <w:sz w:val="16"/>
                <w:szCs w:val="16"/>
              </w:rPr>
            </w:pPr>
            <w:r>
              <w:rPr>
                <w:rFonts w:ascii="宋体"/>
                <w:sz w:val="16"/>
              </w:rPr>
              <w:t>37,665,398.27</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4"/>
              <w:jc w:val="right"/>
              <w:rPr>
                <w:rFonts w:ascii="宋体" w:hAnsi="宋体" w:cs="宋体" w:eastAsia="宋体" w:hint="default"/>
                <w:sz w:val="16"/>
                <w:szCs w:val="16"/>
              </w:rPr>
            </w:pPr>
            <w:r>
              <w:rPr>
                <w:rFonts w:ascii="宋体"/>
                <w:spacing w:val="-1"/>
                <w:sz w:val="16"/>
              </w:rPr>
              <w:t>0.00</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
              <w:jc w:val="right"/>
              <w:rPr>
                <w:rFonts w:ascii="宋体" w:hAnsi="宋体" w:cs="宋体" w:eastAsia="宋体" w:hint="default"/>
                <w:sz w:val="16"/>
                <w:szCs w:val="16"/>
              </w:rPr>
            </w:pPr>
            <w:r>
              <w:rPr>
                <w:rFonts w:ascii="宋体"/>
                <w:spacing w:val="-1"/>
                <w:sz w:val="16"/>
              </w:rPr>
              <w:t>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
              <w:jc w:val="right"/>
              <w:rPr>
                <w:rFonts w:ascii="宋体" w:hAnsi="宋体" w:cs="宋体" w:eastAsia="宋体" w:hint="default"/>
                <w:sz w:val="16"/>
                <w:szCs w:val="16"/>
              </w:rPr>
            </w:pPr>
            <w:r>
              <w:rPr>
                <w:rFonts w:ascii="宋体"/>
                <w:spacing w:val="-2"/>
                <w:sz w:val="16"/>
              </w:rPr>
              <w:t>37,665,398.27</w:t>
            </w:r>
          </w:p>
        </w:tc>
      </w:tr>
      <w:tr>
        <w:trPr>
          <w:trHeight w:val="300"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6"/>
                <w:szCs w:val="16"/>
              </w:rPr>
            </w:pPr>
            <w:r>
              <w:rPr>
                <w:rFonts w:ascii="宋体" w:hAnsi="宋体" w:cs="宋体" w:eastAsia="宋体" w:hint="default"/>
                <w:sz w:val="16"/>
                <w:szCs w:val="16"/>
              </w:rPr>
              <w:t>广东同方照明有限公司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
              <w:jc w:val="right"/>
              <w:rPr>
                <w:rFonts w:ascii="宋体" w:hAnsi="宋体" w:cs="宋体" w:eastAsia="宋体" w:hint="default"/>
                <w:sz w:val="16"/>
                <w:szCs w:val="16"/>
              </w:rPr>
            </w:pPr>
            <w:r>
              <w:rPr>
                <w:rFonts w:ascii="宋体"/>
                <w:spacing w:val="-2"/>
                <w:sz w:val="16"/>
              </w:rPr>
              <w:t>4,079,128.94</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1"/>
              <w:jc w:val="right"/>
              <w:rPr>
                <w:rFonts w:ascii="宋体" w:hAnsi="宋体" w:cs="宋体" w:eastAsia="宋体" w:hint="default"/>
                <w:sz w:val="16"/>
                <w:szCs w:val="16"/>
              </w:rPr>
            </w:pPr>
            <w:r>
              <w:rPr>
                <w:rFonts w:ascii="宋体"/>
                <w:spacing w:val="-1"/>
                <w:sz w:val="16"/>
              </w:rPr>
              <w:t>0.00</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4"/>
              <w:jc w:val="right"/>
              <w:rPr>
                <w:rFonts w:ascii="宋体" w:hAnsi="宋体" w:cs="宋体" w:eastAsia="宋体" w:hint="default"/>
                <w:sz w:val="16"/>
                <w:szCs w:val="16"/>
              </w:rPr>
            </w:pPr>
            <w:r>
              <w:rPr>
                <w:rFonts w:ascii="宋体"/>
                <w:spacing w:val="-1"/>
                <w:sz w:val="16"/>
              </w:rPr>
              <w:t>0.00</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
              <w:jc w:val="right"/>
              <w:rPr>
                <w:rFonts w:ascii="宋体" w:hAnsi="宋体" w:cs="宋体" w:eastAsia="宋体" w:hint="default"/>
                <w:sz w:val="16"/>
                <w:szCs w:val="16"/>
              </w:rPr>
            </w:pPr>
            <w:r>
              <w:rPr>
                <w:rFonts w:ascii="宋体"/>
                <w:spacing w:val="-1"/>
                <w:sz w:val="16"/>
              </w:rPr>
              <w:t>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
              <w:jc w:val="right"/>
              <w:rPr>
                <w:rFonts w:ascii="宋体" w:hAnsi="宋体" w:cs="宋体" w:eastAsia="宋体" w:hint="default"/>
                <w:sz w:val="16"/>
                <w:szCs w:val="16"/>
              </w:rPr>
            </w:pPr>
            <w:r>
              <w:rPr>
                <w:rFonts w:ascii="宋体"/>
                <w:spacing w:val="-2"/>
                <w:sz w:val="16"/>
              </w:rPr>
              <w:t>4,079,128.94</w:t>
            </w:r>
          </w:p>
        </w:tc>
      </w:tr>
      <w:tr>
        <w:trPr>
          <w:trHeight w:val="300"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6"/>
                <w:szCs w:val="16"/>
              </w:rPr>
            </w:pPr>
            <w:r>
              <w:rPr>
                <w:rFonts w:ascii="宋体" w:hAnsi="宋体" w:cs="宋体" w:eastAsia="宋体" w:hint="default"/>
                <w:sz w:val="16"/>
                <w:szCs w:val="16"/>
              </w:rPr>
              <w:t>清芯光电有限公司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
              <w:jc w:val="right"/>
              <w:rPr>
                <w:rFonts w:ascii="宋体" w:hAnsi="宋体" w:cs="宋体" w:eastAsia="宋体" w:hint="default"/>
                <w:sz w:val="16"/>
                <w:szCs w:val="16"/>
              </w:rPr>
            </w:pPr>
            <w:r>
              <w:rPr>
                <w:rFonts w:ascii="宋体"/>
                <w:spacing w:val="-2"/>
                <w:sz w:val="16"/>
              </w:rPr>
              <w:t>4,041,174.42</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1"/>
              <w:jc w:val="right"/>
              <w:rPr>
                <w:rFonts w:ascii="宋体" w:hAnsi="宋体" w:cs="宋体" w:eastAsia="宋体" w:hint="default"/>
                <w:sz w:val="16"/>
                <w:szCs w:val="16"/>
              </w:rPr>
            </w:pPr>
            <w:r>
              <w:rPr>
                <w:rFonts w:ascii="宋体"/>
                <w:spacing w:val="-1"/>
                <w:sz w:val="16"/>
              </w:rPr>
              <w:t>0.00</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4"/>
              <w:jc w:val="right"/>
              <w:rPr>
                <w:rFonts w:ascii="宋体" w:hAnsi="宋体" w:cs="宋体" w:eastAsia="宋体" w:hint="default"/>
                <w:sz w:val="16"/>
                <w:szCs w:val="16"/>
              </w:rPr>
            </w:pPr>
            <w:r>
              <w:rPr>
                <w:rFonts w:ascii="宋体"/>
                <w:spacing w:val="-1"/>
                <w:sz w:val="16"/>
              </w:rPr>
              <w:t>0.00</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
              <w:jc w:val="right"/>
              <w:rPr>
                <w:rFonts w:ascii="宋体" w:hAnsi="宋体" w:cs="宋体" w:eastAsia="宋体" w:hint="default"/>
                <w:sz w:val="16"/>
                <w:szCs w:val="16"/>
              </w:rPr>
            </w:pPr>
            <w:r>
              <w:rPr>
                <w:rFonts w:ascii="宋体"/>
                <w:spacing w:val="-1"/>
                <w:sz w:val="16"/>
              </w:rPr>
              <w:t>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
              <w:jc w:val="right"/>
              <w:rPr>
                <w:rFonts w:ascii="宋体" w:hAnsi="宋体" w:cs="宋体" w:eastAsia="宋体" w:hint="default"/>
                <w:sz w:val="16"/>
                <w:szCs w:val="16"/>
              </w:rPr>
            </w:pPr>
            <w:r>
              <w:rPr>
                <w:rFonts w:ascii="宋体"/>
                <w:spacing w:val="-2"/>
                <w:sz w:val="16"/>
              </w:rPr>
              <w:t>4,041,174.42</w:t>
            </w:r>
          </w:p>
        </w:tc>
      </w:tr>
      <w:tr>
        <w:trPr>
          <w:trHeight w:val="300"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6"/>
                <w:szCs w:val="16"/>
              </w:rPr>
            </w:pPr>
            <w:r>
              <w:rPr>
                <w:rFonts w:ascii="宋体" w:hAnsi="宋体" w:cs="宋体" w:eastAsia="宋体" w:hint="default"/>
                <w:sz w:val="16"/>
                <w:szCs w:val="16"/>
              </w:rPr>
              <w:t>北京同方软件股份有限公司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
              <w:jc w:val="right"/>
              <w:rPr>
                <w:rFonts w:ascii="宋体" w:hAnsi="宋体" w:cs="宋体" w:eastAsia="宋体" w:hint="default"/>
                <w:sz w:val="16"/>
                <w:szCs w:val="16"/>
              </w:rPr>
            </w:pPr>
            <w:r>
              <w:rPr>
                <w:rFonts w:ascii="宋体"/>
                <w:spacing w:val="-2"/>
                <w:sz w:val="16"/>
              </w:rPr>
              <w:t>1,993,272.21</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1"/>
              <w:jc w:val="right"/>
              <w:rPr>
                <w:rFonts w:ascii="宋体" w:hAnsi="宋体" w:cs="宋体" w:eastAsia="宋体" w:hint="default"/>
                <w:sz w:val="16"/>
                <w:szCs w:val="16"/>
              </w:rPr>
            </w:pPr>
            <w:r>
              <w:rPr>
                <w:rFonts w:ascii="宋体"/>
                <w:spacing w:val="-1"/>
                <w:sz w:val="16"/>
              </w:rPr>
              <w:t>0.00</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4"/>
              <w:jc w:val="right"/>
              <w:rPr>
                <w:rFonts w:ascii="宋体" w:hAnsi="宋体" w:cs="宋体" w:eastAsia="宋体" w:hint="default"/>
                <w:sz w:val="16"/>
                <w:szCs w:val="16"/>
              </w:rPr>
            </w:pPr>
            <w:r>
              <w:rPr>
                <w:rFonts w:ascii="宋体"/>
                <w:spacing w:val="-1"/>
                <w:sz w:val="16"/>
              </w:rPr>
              <w:t>0.00</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
              <w:jc w:val="right"/>
              <w:rPr>
                <w:rFonts w:ascii="宋体" w:hAnsi="宋体" w:cs="宋体" w:eastAsia="宋体" w:hint="default"/>
                <w:sz w:val="16"/>
                <w:szCs w:val="16"/>
              </w:rPr>
            </w:pPr>
            <w:r>
              <w:rPr>
                <w:rFonts w:ascii="宋体"/>
                <w:spacing w:val="-1"/>
                <w:sz w:val="16"/>
              </w:rPr>
              <w:t>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
              <w:jc w:val="right"/>
              <w:rPr>
                <w:rFonts w:ascii="宋体" w:hAnsi="宋体" w:cs="宋体" w:eastAsia="宋体" w:hint="default"/>
                <w:sz w:val="16"/>
                <w:szCs w:val="16"/>
              </w:rPr>
            </w:pPr>
            <w:r>
              <w:rPr>
                <w:rFonts w:ascii="宋体"/>
                <w:spacing w:val="-2"/>
                <w:sz w:val="16"/>
              </w:rPr>
              <w:t>1,993,272.21</w:t>
            </w:r>
          </w:p>
        </w:tc>
      </w:tr>
      <w:tr>
        <w:trPr>
          <w:trHeight w:val="300"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6"/>
                <w:szCs w:val="16"/>
              </w:rPr>
            </w:pPr>
            <w:r>
              <w:rPr>
                <w:rFonts w:ascii="宋体" w:hAnsi="宋体" w:cs="宋体" w:eastAsia="宋体" w:hint="default"/>
                <w:sz w:val="16"/>
                <w:szCs w:val="16"/>
              </w:rPr>
              <w:t>北京同方吉兆科技有限公司</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
              <w:jc w:val="right"/>
              <w:rPr>
                <w:rFonts w:ascii="宋体" w:hAnsi="宋体" w:cs="宋体" w:eastAsia="宋体" w:hint="default"/>
                <w:sz w:val="16"/>
                <w:szCs w:val="16"/>
              </w:rPr>
            </w:pPr>
            <w:r>
              <w:rPr>
                <w:rFonts w:ascii="宋体"/>
                <w:spacing w:val="-2"/>
                <w:sz w:val="16"/>
              </w:rPr>
              <w:t>1,286,280.05</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1"/>
              <w:jc w:val="right"/>
              <w:rPr>
                <w:rFonts w:ascii="宋体" w:hAnsi="宋体" w:cs="宋体" w:eastAsia="宋体" w:hint="default"/>
                <w:sz w:val="16"/>
                <w:szCs w:val="16"/>
              </w:rPr>
            </w:pPr>
            <w:r>
              <w:rPr>
                <w:rFonts w:ascii="宋体"/>
                <w:spacing w:val="-1"/>
                <w:sz w:val="16"/>
              </w:rPr>
              <w:t>0.00</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4"/>
              <w:jc w:val="right"/>
              <w:rPr>
                <w:rFonts w:ascii="宋体" w:hAnsi="宋体" w:cs="宋体" w:eastAsia="宋体" w:hint="default"/>
                <w:sz w:val="16"/>
                <w:szCs w:val="16"/>
              </w:rPr>
            </w:pPr>
            <w:r>
              <w:rPr>
                <w:rFonts w:ascii="宋体"/>
                <w:spacing w:val="-1"/>
                <w:sz w:val="16"/>
              </w:rPr>
              <w:t>0.00</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
              <w:jc w:val="right"/>
              <w:rPr>
                <w:rFonts w:ascii="宋体" w:hAnsi="宋体" w:cs="宋体" w:eastAsia="宋体" w:hint="default"/>
                <w:sz w:val="16"/>
                <w:szCs w:val="16"/>
              </w:rPr>
            </w:pPr>
            <w:r>
              <w:rPr>
                <w:rFonts w:ascii="宋体"/>
                <w:spacing w:val="-1"/>
                <w:sz w:val="16"/>
              </w:rPr>
              <w:t>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
              <w:jc w:val="right"/>
              <w:rPr>
                <w:rFonts w:ascii="宋体" w:hAnsi="宋体" w:cs="宋体" w:eastAsia="宋体" w:hint="default"/>
                <w:sz w:val="16"/>
                <w:szCs w:val="16"/>
              </w:rPr>
            </w:pPr>
            <w:r>
              <w:rPr>
                <w:rFonts w:ascii="宋体"/>
                <w:spacing w:val="-2"/>
                <w:sz w:val="16"/>
              </w:rPr>
              <w:t>1,286,280.05</w:t>
            </w:r>
          </w:p>
        </w:tc>
      </w:tr>
      <w:tr>
        <w:trPr>
          <w:trHeight w:val="300"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6"/>
                <w:szCs w:val="16"/>
              </w:rPr>
            </w:pPr>
            <w:r>
              <w:rPr>
                <w:rFonts w:ascii="宋体"/>
                <w:sz w:val="16"/>
              </w:rPr>
              <w:t>Neo-Neon-EruopeGmbH</w:t>
            </w:r>
          </w:p>
        </w:tc>
        <w:tc>
          <w:tcPr>
            <w:tcW w:w="133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
              <w:jc w:val="right"/>
              <w:rPr>
                <w:rFonts w:ascii="宋体" w:hAnsi="宋体" w:cs="宋体" w:eastAsia="宋体" w:hint="default"/>
                <w:sz w:val="16"/>
                <w:szCs w:val="16"/>
              </w:rPr>
            </w:pPr>
            <w:r>
              <w:rPr>
                <w:rFonts w:ascii="宋体"/>
                <w:spacing w:val="-2"/>
                <w:sz w:val="16"/>
              </w:rPr>
              <w:t>619,409.31</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1"/>
              <w:jc w:val="right"/>
              <w:rPr>
                <w:rFonts w:ascii="宋体" w:hAnsi="宋体" w:cs="宋体" w:eastAsia="宋体" w:hint="default"/>
                <w:sz w:val="16"/>
                <w:szCs w:val="16"/>
              </w:rPr>
            </w:pPr>
            <w:r>
              <w:rPr>
                <w:rFonts w:ascii="宋体"/>
                <w:spacing w:val="-1"/>
                <w:sz w:val="16"/>
              </w:rPr>
              <w:t>0.00</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63" w:right="0"/>
              <w:jc w:val="left"/>
              <w:rPr>
                <w:rFonts w:ascii="宋体" w:hAnsi="宋体" w:cs="宋体" w:eastAsia="宋体" w:hint="default"/>
                <w:sz w:val="16"/>
                <w:szCs w:val="16"/>
              </w:rPr>
            </w:pPr>
            <w:r>
              <w:rPr>
                <w:rFonts w:ascii="宋体"/>
                <w:sz w:val="16"/>
              </w:rPr>
              <w:t>29,854.89</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
              <w:jc w:val="right"/>
              <w:rPr>
                <w:rFonts w:ascii="宋体" w:hAnsi="宋体" w:cs="宋体" w:eastAsia="宋体" w:hint="default"/>
                <w:sz w:val="16"/>
                <w:szCs w:val="16"/>
              </w:rPr>
            </w:pPr>
            <w:r>
              <w:rPr>
                <w:rFonts w:ascii="宋体"/>
                <w:spacing w:val="-1"/>
                <w:sz w:val="16"/>
              </w:rPr>
              <w:t>0.00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
              <w:jc w:val="right"/>
              <w:rPr>
                <w:rFonts w:ascii="宋体" w:hAnsi="宋体" w:cs="宋体" w:eastAsia="宋体" w:hint="default"/>
                <w:sz w:val="16"/>
                <w:szCs w:val="16"/>
              </w:rPr>
            </w:pPr>
            <w:r>
              <w:rPr>
                <w:rFonts w:ascii="宋体"/>
                <w:spacing w:val="-2"/>
                <w:sz w:val="16"/>
              </w:rPr>
              <w:t>649,264.20</w:t>
            </w:r>
          </w:p>
        </w:tc>
      </w:tr>
      <w:tr>
        <w:trPr>
          <w:trHeight w:val="304" w:hRule="exact"/>
        </w:trPr>
        <w:tc>
          <w:tcPr>
            <w:tcW w:w="2607"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28" w:right="0"/>
              <w:jc w:val="left"/>
              <w:rPr>
                <w:rFonts w:ascii="宋体" w:hAnsi="宋体" w:cs="宋体" w:eastAsia="宋体" w:hint="default"/>
                <w:sz w:val="16"/>
                <w:szCs w:val="16"/>
              </w:rPr>
            </w:pPr>
            <w:r>
              <w:rPr>
                <w:rFonts w:ascii="宋体" w:hAnsi="宋体" w:cs="宋体" w:eastAsia="宋体" w:hint="default"/>
                <w:sz w:val="16"/>
                <w:szCs w:val="16"/>
              </w:rPr>
              <w:t>江西同方昌明消防车辆有限公司</w:t>
            </w:r>
          </w:p>
        </w:tc>
        <w:tc>
          <w:tcPr>
            <w:tcW w:w="1335"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26"/>
              <w:jc w:val="right"/>
              <w:rPr>
                <w:rFonts w:ascii="宋体" w:hAnsi="宋体" w:cs="宋体" w:eastAsia="宋体" w:hint="default"/>
                <w:sz w:val="16"/>
                <w:szCs w:val="16"/>
              </w:rPr>
            </w:pPr>
            <w:r>
              <w:rPr>
                <w:rFonts w:ascii="宋体"/>
                <w:spacing w:val="-2"/>
                <w:sz w:val="16"/>
              </w:rPr>
              <w:t>52,740.49</w:t>
            </w:r>
          </w:p>
        </w:tc>
        <w:tc>
          <w:tcPr>
            <w:tcW w:w="1484"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61"/>
              <w:jc w:val="right"/>
              <w:rPr>
                <w:rFonts w:ascii="宋体" w:hAnsi="宋体" w:cs="宋体" w:eastAsia="宋体" w:hint="default"/>
                <w:sz w:val="16"/>
                <w:szCs w:val="16"/>
              </w:rPr>
            </w:pPr>
            <w:r>
              <w:rPr>
                <w:rFonts w:ascii="宋体"/>
                <w:spacing w:val="-1"/>
                <w:sz w:val="16"/>
              </w:rPr>
              <w:t>0.00</w:t>
            </w:r>
          </w:p>
        </w:tc>
        <w:tc>
          <w:tcPr>
            <w:tcW w:w="881"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94"/>
              <w:jc w:val="right"/>
              <w:rPr>
                <w:rFonts w:ascii="宋体" w:hAnsi="宋体" w:cs="宋体" w:eastAsia="宋体" w:hint="default"/>
                <w:sz w:val="16"/>
                <w:szCs w:val="16"/>
              </w:rPr>
            </w:pPr>
            <w:r>
              <w:rPr>
                <w:rFonts w:ascii="宋体"/>
                <w:spacing w:val="-1"/>
                <w:sz w:val="16"/>
              </w:rPr>
              <w:t>0.00</w:t>
            </w:r>
          </w:p>
        </w:tc>
        <w:tc>
          <w:tcPr>
            <w:tcW w:w="911"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26"/>
              <w:jc w:val="right"/>
              <w:rPr>
                <w:rFonts w:ascii="宋体" w:hAnsi="宋体" w:cs="宋体" w:eastAsia="宋体" w:hint="default"/>
                <w:sz w:val="16"/>
                <w:szCs w:val="16"/>
              </w:rPr>
            </w:pPr>
            <w:r>
              <w:rPr>
                <w:rFonts w:ascii="宋体"/>
                <w:spacing w:val="-1"/>
                <w:sz w:val="16"/>
              </w:rPr>
              <w:t>0.00</w:t>
            </w:r>
          </w:p>
        </w:tc>
        <w:tc>
          <w:tcPr>
            <w:tcW w:w="1346"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23"/>
              <w:jc w:val="right"/>
              <w:rPr>
                <w:rFonts w:ascii="宋体" w:hAnsi="宋体" w:cs="宋体" w:eastAsia="宋体" w:hint="default"/>
                <w:sz w:val="16"/>
                <w:szCs w:val="16"/>
              </w:rPr>
            </w:pPr>
            <w:r>
              <w:rPr>
                <w:rFonts w:ascii="宋体"/>
                <w:spacing w:val="-2"/>
                <w:sz w:val="16"/>
              </w:rPr>
              <w:t>52,740.49</w:t>
            </w:r>
          </w:p>
        </w:tc>
      </w:tr>
      <w:tr>
        <w:trPr>
          <w:trHeight w:val="322" w:hRule="exact"/>
        </w:trPr>
        <w:tc>
          <w:tcPr>
            <w:tcW w:w="2607"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28"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335"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7"/>
              <w:jc w:val="right"/>
              <w:rPr>
                <w:rFonts w:ascii="宋体" w:hAnsi="宋体" w:cs="宋体" w:eastAsia="宋体" w:hint="default"/>
                <w:sz w:val="16"/>
                <w:szCs w:val="16"/>
              </w:rPr>
            </w:pPr>
            <w:r>
              <w:rPr>
                <w:rFonts w:ascii="宋体"/>
                <w:b/>
                <w:spacing w:val="-1"/>
                <w:sz w:val="16"/>
              </w:rPr>
              <w:t>12,072,005.42</w:t>
            </w:r>
            <w:r>
              <w:rPr>
                <w:rFonts w:ascii="宋体"/>
                <w:spacing w:val="-1"/>
                <w:sz w:val="16"/>
              </w:rPr>
            </w:r>
          </w:p>
        </w:tc>
        <w:tc>
          <w:tcPr>
            <w:tcW w:w="1484"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28" w:right="0"/>
              <w:jc w:val="left"/>
              <w:rPr>
                <w:rFonts w:ascii="宋体" w:hAnsi="宋体" w:cs="宋体" w:eastAsia="宋体" w:hint="default"/>
                <w:sz w:val="16"/>
                <w:szCs w:val="16"/>
              </w:rPr>
            </w:pPr>
            <w:r>
              <w:rPr>
                <w:rFonts w:ascii="宋体"/>
                <w:b/>
                <w:sz w:val="16"/>
              </w:rPr>
              <w:t>1,067,219,247.84</w:t>
            </w:r>
            <w:r>
              <w:rPr>
                <w:rFonts w:ascii="宋体"/>
                <w:sz w:val="16"/>
              </w:rPr>
            </w:r>
          </w:p>
        </w:tc>
        <w:tc>
          <w:tcPr>
            <w:tcW w:w="881"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58" w:right="0"/>
              <w:jc w:val="left"/>
              <w:rPr>
                <w:rFonts w:ascii="宋体" w:hAnsi="宋体" w:cs="宋体" w:eastAsia="宋体" w:hint="default"/>
                <w:sz w:val="16"/>
                <w:szCs w:val="16"/>
              </w:rPr>
            </w:pPr>
            <w:r>
              <w:rPr>
                <w:rFonts w:ascii="宋体"/>
                <w:b/>
                <w:sz w:val="16"/>
              </w:rPr>
              <w:t>29,854.89</w:t>
            </w:r>
            <w:r>
              <w:rPr>
                <w:rFonts w:ascii="宋体"/>
                <w:sz w:val="16"/>
              </w:rPr>
            </w:r>
          </w:p>
        </w:tc>
        <w:tc>
          <w:tcPr>
            <w:tcW w:w="911"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6"/>
              <w:jc w:val="right"/>
              <w:rPr>
                <w:rFonts w:ascii="宋体" w:hAnsi="宋体" w:cs="宋体" w:eastAsia="宋体" w:hint="default"/>
                <w:sz w:val="16"/>
                <w:szCs w:val="16"/>
              </w:rPr>
            </w:pPr>
            <w:r>
              <w:rPr>
                <w:rFonts w:ascii="宋体"/>
                <w:b/>
                <w:spacing w:val="-1"/>
                <w:sz w:val="16"/>
              </w:rPr>
              <w:t>0.00</w:t>
            </w:r>
            <w:r>
              <w:rPr>
                <w:rFonts w:ascii="宋体"/>
                <w:spacing w:val="-1"/>
                <w:sz w:val="16"/>
              </w:rPr>
            </w:r>
          </w:p>
        </w:tc>
        <w:tc>
          <w:tcPr>
            <w:tcW w:w="1346"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right="25"/>
              <w:jc w:val="right"/>
              <w:rPr>
                <w:rFonts w:ascii="宋体" w:hAnsi="宋体" w:cs="宋体" w:eastAsia="宋体" w:hint="default"/>
                <w:sz w:val="16"/>
                <w:szCs w:val="16"/>
              </w:rPr>
            </w:pPr>
            <w:r>
              <w:rPr>
                <w:rFonts w:ascii="宋体"/>
                <w:b/>
                <w:spacing w:val="-1"/>
                <w:sz w:val="16"/>
              </w:rPr>
              <w:t>1,079,321,108.15</w:t>
            </w:r>
            <w:r>
              <w:rPr>
                <w:rFonts w:ascii="宋体"/>
                <w:spacing w:val="-1"/>
                <w:sz w:val="16"/>
              </w:rPr>
            </w:r>
          </w:p>
        </w:tc>
      </w:tr>
      <w:tr>
        <w:trPr>
          <w:trHeight w:val="496" w:hRule="exact"/>
        </w:trPr>
        <w:tc>
          <w:tcPr>
            <w:tcW w:w="2607" w:type="dxa"/>
            <w:tcBorders>
              <w:top w:val="single" w:sz="12" w:space="0" w:color="000000"/>
              <w:left w:val="nil" w:sz="6" w:space="0" w:color="auto"/>
              <w:bottom w:val="nil" w:sz="6" w:space="0" w:color="auto"/>
              <w:right w:val="nil" w:sz="6" w:space="0" w:color="auto"/>
            </w:tcBorders>
          </w:tcPr>
          <w:p>
            <w:pPr>
              <w:pStyle w:val="TableParagraph"/>
              <w:spacing w:line="240" w:lineRule="auto" w:before="81"/>
              <w:ind w:left="43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18.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长期待摊费用</w:t>
            </w:r>
          </w:p>
        </w:tc>
        <w:tc>
          <w:tcPr>
            <w:tcW w:w="1335" w:type="dxa"/>
            <w:tcBorders>
              <w:top w:val="single" w:sz="12" w:space="0" w:color="000000"/>
              <w:left w:val="nil" w:sz="6" w:space="0" w:color="auto"/>
              <w:bottom w:val="nil" w:sz="6" w:space="0" w:color="auto"/>
              <w:right w:val="nil" w:sz="6" w:space="0" w:color="auto"/>
            </w:tcBorders>
          </w:tcPr>
          <w:p>
            <w:pPr/>
          </w:p>
        </w:tc>
        <w:tc>
          <w:tcPr>
            <w:tcW w:w="1484" w:type="dxa"/>
            <w:tcBorders>
              <w:top w:val="single" w:sz="12" w:space="0" w:color="000000"/>
              <w:left w:val="nil" w:sz="6" w:space="0" w:color="auto"/>
              <w:bottom w:val="nil" w:sz="6" w:space="0" w:color="auto"/>
              <w:right w:val="nil" w:sz="6" w:space="0" w:color="auto"/>
            </w:tcBorders>
          </w:tcPr>
          <w:p>
            <w:pPr/>
          </w:p>
        </w:tc>
        <w:tc>
          <w:tcPr>
            <w:tcW w:w="881" w:type="dxa"/>
            <w:tcBorders>
              <w:top w:val="single" w:sz="12" w:space="0" w:color="000000"/>
              <w:left w:val="nil" w:sz="6" w:space="0" w:color="auto"/>
              <w:bottom w:val="nil" w:sz="6" w:space="0" w:color="auto"/>
              <w:right w:val="nil" w:sz="6" w:space="0" w:color="auto"/>
            </w:tcBorders>
          </w:tcPr>
          <w:p>
            <w:pPr/>
          </w:p>
        </w:tc>
        <w:tc>
          <w:tcPr>
            <w:tcW w:w="911" w:type="dxa"/>
            <w:tcBorders>
              <w:top w:val="single" w:sz="12" w:space="0" w:color="000000"/>
              <w:left w:val="nil" w:sz="6" w:space="0" w:color="auto"/>
              <w:bottom w:val="nil" w:sz="6" w:space="0" w:color="auto"/>
              <w:right w:val="nil" w:sz="6" w:space="0" w:color="auto"/>
            </w:tcBorders>
          </w:tcPr>
          <w:p>
            <w:pPr/>
          </w:p>
        </w:tc>
        <w:tc>
          <w:tcPr>
            <w:tcW w:w="1346" w:type="dxa"/>
            <w:tcBorders>
              <w:top w:val="single" w:sz="12" w:space="0" w:color="000000"/>
              <w:left w:val="nil" w:sz="6" w:space="0" w:color="auto"/>
              <w:bottom w:val="nil" w:sz="6" w:space="0" w:color="auto"/>
              <w:right w:val="nil" w:sz="6" w:space="0" w:color="auto"/>
            </w:tcBorders>
          </w:tcPr>
          <w:p>
            <w:pPr/>
          </w:p>
        </w:tc>
      </w:tr>
    </w:tbl>
    <w:p>
      <w:pPr>
        <w:spacing w:after="0"/>
        <w:sectPr>
          <w:footerReference w:type="default" r:id="rId40"/>
          <w:pgSz w:w="11910" w:h="16840"/>
          <w:pgMar w:footer="1054" w:header="0" w:top="1320" w:bottom="1240" w:left="1080" w:right="1080"/>
          <w:pgNumType w:start="12"/>
        </w:sectPr>
      </w:pPr>
    </w:p>
    <w:p>
      <w:pPr>
        <w:spacing w:line="240" w:lineRule="auto" w:before="4"/>
        <w:rPr>
          <w:rFonts w:ascii="Times New Roman" w:hAnsi="Times New Roman" w:cs="Times New Roman" w:eastAsia="Times New Roman" w:hint="default"/>
          <w:sz w:val="7"/>
          <w:szCs w:val="7"/>
        </w:rPr>
      </w:pPr>
    </w:p>
    <w:tbl>
      <w:tblPr>
        <w:tblW w:w="0" w:type="auto"/>
        <w:jc w:val="left"/>
        <w:tblInd w:w="634" w:type="dxa"/>
        <w:tblLayout w:type="fixed"/>
        <w:tblCellMar>
          <w:top w:w="0" w:type="dxa"/>
          <w:left w:w="0" w:type="dxa"/>
          <w:bottom w:w="0" w:type="dxa"/>
          <w:right w:w="0" w:type="dxa"/>
        </w:tblCellMar>
        <w:tblLook w:val="01E0"/>
      </w:tblPr>
      <w:tblGrid>
        <w:gridCol w:w="1450"/>
        <w:gridCol w:w="1730"/>
        <w:gridCol w:w="1398"/>
        <w:gridCol w:w="1499"/>
        <w:gridCol w:w="1254"/>
        <w:gridCol w:w="1396"/>
      </w:tblGrid>
      <w:tr>
        <w:trPr>
          <w:trHeight w:val="305" w:hRule="exact"/>
        </w:trPr>
        <w:tc>
          <w:tcPr>
            <w:tcW w:w="145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3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3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9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3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99"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34" w:right="0"/>
              <w:jc w:val="left"/>
              <w:rPr>
                <w:rFonts w:ascii="宋体" w:hAnsi="宋体" w:cs="宋体" w:eastAsia="宋体" w:hint="default"/>
                <w:sz w:val="18"/>
                <w:szCs w:val="18"/>
              </w:rPr>
            </w:pPr>
            <w:r>
              <w:rPr>
                <w:rFonts w:ascii="宋体" w:hAnsi="宋体" w:cs="宋体" w:eastAsia="宋体" w:hint="default"/>
                <w:b/>
                <w:bCs/>
                <w:sz w:val="18"/>
                <w:szCs w:val="18"/>
              </w:rPr>
              <w:t>本年摊销</w:t>
            </w:r>
            <w:r>
              <w:rPr>
                <w:rFonts w:ascii="宋体" w:hAnsi="宋体" w:cs="宋体" w:eastAsia="宋体" w:hint="default"/>
                <w:sz w:val="18"/>
                <w:szCs w:val="18"/>
              </w:rPr>
            </w:r>
          </w:p>
        </w:tc>
        <w:tc>
          <w:tcPr>
            <w:tcW w:w="125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11"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1396"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290" w:hRule="exact"/>
        </w:trPr>
        <w:tc>
          <w:tcPr>
            <w:tcW w:w="1450"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装修改造费</w:t>
            </w:r>
          </w:p>
        </w:tc>
        <w:tc>
          <w:tcPr>
            <w:tcW w:w="1730" w:type="dxa"/>
            <w:tcBorders>
              <w:top w:val="single" w:sz="4" w:space="0" w:color="000000"/>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pacing w:val="-1"/>
                <w:sz w:val="18"/>
              </w:rPr>
              <w:t>36,105,345.86</w:t>
            </w:r>
          </w:p>
        </w:tc>
        <w:tc>
          <w:tcPr>
            <w:tcW w:w="1398" w:type="dxa"/>
            <w:tcBorders>
              <w:top w:val="single" w:sz="4" w:space="0" w:color="000000"/>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pacing w:val="-1"/>
                <w:sz w:val="18"/>
              </w:rPr>
              <w:t>31,697,325.21</w:t>
            </w:r>
          </w:p>
        </w:tc>
        <w:tc>
          <w:tcPr>
            <w:tcW w:w="1499" w:type="dxa"/>
            <w:tcBorders>
              <w:top w:val="single" w:sz="4" w:space="0" w:color="000000"/>
              <w:left w:val="nil" w:sz="6" w:space="0" w:color="auto"/>
              <w:bottom w:val="nil" w:sz="6" w:space="0" w:color="auto"/>
              <w:right w:val="nil" w:sz="6" w:space="0" w:color="auto"/>
            </w:tcBorders>
          </w:tcPr>
          <w:p>
            <w:pPr>
              <w:pStyle w:val="TableParagraph"/>
              <w:spacing w:line="232" w:lineRule="exact"/>
              <w:ind w:right="209"/>
              <w:jc w:val="right"/>
              <w:rPr>
                <w:rFonts w:ascii="宋体" w:hAnsi="宋体" w:cs="宋体" w:eastAsia="宋体" w:hint="default"/>
                <w:sz w:val="18"/>
                <w:szCs w:val="18"/>
              </w:rPr>
            </w:pPr>
            <w:r>
              <w:rPr>
                <w:rFonts w:ascii="宋体"/>
                <w:spacing w:val="-1"/>
                <w:sz w:val="18"/>
              </w:rPr>
              <w:t>24,048,377.79</w:t>
            </w:r>
          </w:p>
        </w:tc>
        <w:tc>
          <w:tcPr>
            <w:tcW w:w="1254" w:type="dxa"/>
            <w:tcBorders>
              <w:top w:val="single" w:sz="4" w:space="0" w:color="000000"/>
              <w:left w:val="nil" w:sz="6" w:space="0" w:color="auto"/>
              <w:bottom w:val="nil" w:sz="6" w:space="0" w:color="auto"/>
              <w:right w:val="nil" w:sz="6" w:space="0" w:color="auto"/>
            </w:tcBorders>
          </w:tcPr>
          <w:p>
            <w:pPr>
              <w:pStyle w:val="TableParagraph"/>
              <w:spacing w:line="232" w:lineRule="exact"/>
              <w:ind w:right="109"/>
              <w:jc w:val="right"/>
              <w:rPr>
                <w:rFonts w:ascii="宋体" w:hAnsi="宋体" w:cs="宋体" w:eastAsia="宋体" w:hint="default"/>
                <w:sz w:val="18"/>
                <w:szCs w:val="18"/>
              </w:rPr>
            </w:pPr>
            <w:r>
              <w:rPr>
                <w:rFonts w:ascii="宋体"/>
                <w:spacing w:val="-1"/>
                <w:sz w:val="18"/>
              </w:rPr>
              <w:t>205,272.22</w:t>
            </w:r>
          </w:p>
        </w:tc>
        <w:tc>
          <w:tcPr>
            <w:tcW w:w="1396" w:type="dxa"/>
            <w:tcBorders>
              <w:top w:val="single" w:sz="4" w:space="0" w:color="000000"/>
              <w:left w:val="nil" w:sz="6" w:space="0" w:color="auto"/>
              <w:bottom w:val="nil" w:sz="6" w:space="0" w:color="auto"/>
              <w:right w:val="nil" w:sz="6" w:space="0" w:color="auto"/>
            </w:tcBorders>
          </w:tcPr>
          <w:p>
            <w:pPr>
              <w:pStyle w:val="TableParagraph"/>
              <w:spacing w:line="232" w:lineRule="exact"/>
              <w:ind w:left="9" w:right="0"/>
              <w:jc w:val="center"/>
              <w:rPr>
                <w:rFonts w:ascii="宋体" w:hAnsi="宋体" w:cs="宋体" w:eastAsia="宋体" w:hint="default"/>
                <w:sz w:val="18"/>
                <w:szCs w:val="18"/>
              </w:rPr>
            </w:pPr>
            <w:r>
              <w:rPr>
                <w:rFonts w:ascii="宋体"/>
                <w:sz w:val="18"/>
              </w:rPr>
              <w:t>43,959,565.50</w:t>
            </w:r>
          </w:p>
        </w:tc>
      </w:tr>
      <w:tr>
        <w:trPr>
          <w:trHeight w:val="284" w:hRule="exact"/>
        </w:trPr>
        <w:tc>
          <w:tcPr>
            <w:tcW w:w="1450"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土地租赁费</w:t>
            </w:r>
          </w:p>
        </w:tc>
        <w:tc>
          <w:tcPr>
            <w:tcW w:w="1730"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9,321,896.90</w:t>
            </w:r>
          </w:p>
        </w:tc>
        <w:tc>
          <w:tcPr>
            <w:tcW w:w="1398" w:type="dxa"/>
            <w:tcBorders>
              <w:top w:val="nil" w:sz="6" w:space="0" w:color="auto"/>
              <w:left w:val="nil" w:sz="6" w:space="0" w:color="auto"/>
              <w:bottom w:val="nil" w:sz="6" w:space="0" w:color="auto"/>
              <w:right w:val="nil" w:sz="6" w:space="0" w:color="auto"/>
            </w:tcBorders>
          </w:tcPr>
          <w:p>
            <w:pPr>
              <w:pStyle w:val="TableParagraph"/>
              <w:spacing w:line="233" w:lineRule="exact"/>
              <w:ind w:right="106"/>
              <w:jc w:val="right"/>
              <w:rPr>
                <w:rFonts w:ascii="宋体" w:hAnsi="宋体" w:cs="宋体" w:eastAsia="宋体" w:hint="default"/>
                <w:sz w:val="18"/>
                <w:szCs w:val="18"/>
              </w:rPr>
            </w:pPr>
            <w:r>
              <w:rPr>
                <w:rFonts w:ascii="宋体"/>
                <w:sz w:val="18"/>
              </w:rPr>
              <w:t>0.00</w:t>
            </w:r>
          </w:p>
        </w:tc>
        <w:tc>
          <w:tcPr>
            <w:tcW w:w="1499" w:type="dxa"/>
            <w:tcBorders>
              <w:top w:val="nil" w:sz="6" w:space="0" w:color="auto"/>
              <w:left w:val="nil" w:sz="6" w:space="0" w:color="auto"/>
              <w:bottom w:val="nil" w:sz="6" w:space="0" w:color="auto"/>
              <w:right w:val="nil" w:sz="6" w:space="0" w:color="auto"/>
            </w:tcBorders>
          </w:tcPr>
          <w:p>
            <w:pPr>
              <w:pStyle w:val="TableParagraph"/>
              <w:spacing w:line="233" w:lineRule="exact"/>
              <w:ind w:right="209"/>
              <w:jc w:val="right"/>
              <w:rPr>
                <w:rFonts w:ascii="宋体" w:hAnsi="宋体" w:cs="宋体" w:eastAsia="宋体" w:hint="default"/>
                <w:sz w:val="18"/>
                <w:szCs w:val="18"/>
              </w:rPr>
            </w:pPr>
            <w:r>
              <w:rPr>
                <w:rFonts w:ascii="宋体"/>
                <w:spacing w:val="-1"/>
                <w:sz w:val="18"/>
              </w:rPr>
              <w:t>366,889.20</w:t>
            </w:r>
          </w:p>
        </w:tc>
        <w:tc>
          <w:tcPr>
            <w:tcW w:w="1254"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0.00</w:t>
            </w:r>
          </w:p>
        </w:tc>
        <w:tc>
          <w:tcPr>
            <w:tcW w:w="1396" w:type="dxa"/>
            <w:tcBorders>
              <w:top w:val="nil" w:sz="6" w:space="0" w:color="auto"/>
              <w:left w:val="nil" w:sz="6" w:space="0" w:color="auto"/>
              <w:bottom w:val="nil" w:sz="6" w:space="0" w:color="auto"/>
              <w:right w:val="nil" w:sz="6" w:space="0" w:color="auto"/>
            </w:tcBorders>
          </w:tcPr>
          <w:p>
            <w:pPr>
              <w:pStyle w:val="TableParagraph"/>
              <w:spacing w:line="233" w:lineRule="exact"/>
              <w:ind w:left="100" w:right="0"/>
              <w:jc w:val="center"/>
              <w:rPr>
                <w:rFonts w:ascii="宋体" w:hAnsi="宋体" w:cs="宋体" w:eastAsia="宋体" w:hint="default"/>
                <w:sz w:val="18"/>
                <w:szCs w:val="18"/>
              </w:rPr>
            </w:pPr>
            <w:r>
              <w:rPr>
                <w:rFonts w:ascii="宋体"/>
                <w:sz w:val="18"/>
              </w:rPr>
              <w:t>8,955,007.70</w:t>
            </w:r>
          </w:p>
        </w:tc>
      </w:tr>
      <w:tr>
        <w:trPr>
          <w:trHeight w:val="290" w:hRule="exact"/>
        </w:trPr>
        <w:tc>
          <w:tcPr>
            <w:tcW w:w="1450"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30"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pacing w:val="-1"/>
                <w:sz w:val="18"/>
              </w:rPr>
              <w:t>1,602,567.54</w:t>
            </w:r>
          </w:p>
        </w:tc>
        <w:tc>
          <w:tcPr>
            <w:tcW w:w="1398"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pacing w:val="-1"/>
                <w:sz w:val="18"/>
              </w:rPr>
              <w:t>11,094,835.90</w:t>
            </w:r>
          </w:p>
        </w:tc>
        <w:tc>
          <w:tcPr>
            <w:tcW w:w="1499" w:type="dxa"/>
            <w:tcBorders>
              <w:top w:val="nil" w:sz="6" w:space="0" w:color="auto"/>
              <w:left w:val="nil" w:sz="6" w:space="0" w:color="auto"/>
              <w:bottom w:val="single" w:sz="4" w:space="0" w:color="000000"/>
              <w:right w:val="nil" w:sz="6" w:space="0" w:color="auto"/>
            </w:tcBorders>
          </w:tcPr>
          <w:p>
            <w:pPr>
              <w:pStyle w:val="TableParagraph"/>
              <w:spacing w:line="232" w:lineRule="exact"/>
              <w:ind w:right="209"/>
              <w:jc w:val="right"/>
              <w:rPr>
                <w:rFonts w:ascii="宋体" w:hAnsi="宋体" w:cs="宋体" w:eastAsia="宋体" w:hint="default"/>
                <w:sz w:val="18"/>
                <w:szCs w:val="18"/>
              </w:rPr>
            </w:pPr>
            <w:r>
              <w:rPr>
                <w:rFonts w:ascii="宋体"/>
                <w:spacing w:val="-1"/>
                <w:sz w:val="18"/>
              </w:rPr>
              <w:t>4,378,541.32</w:t>
            </w:r>
          </w:p>
        </w:tc>
        <w:tc>
          <w:tcPr>
            <w:tcW w:w="1254"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c>
          <w:tcPr>
            <w:tcW w:w="1396" w:type="dxa"/>
            <w:tcBorders>
              <w:top w:val="nil" w:sz="6" w:space="0" w:color="auto"/>
              <w:left w:val="nil" w:sz="6" w:space="0" w:color="auto"/>
              <w:bottom w:val="single" w:sz="4" w:space="0" w:color="000000"/>
              <w:right w:val="nil" w:sz="6" w:space="0" w:color="auto"/>
            </w:tcBorders>
          </w:tcPr>
          <w:p>
            <w:pPr>
              <w:pStyle w:val="TableParagraph"/>
              <w:spacing w:line="232" w:lineRule="exact"/>
              <w:ind w:left="100" w:right="0"/>
              <w:jc w:val="center"/>
              <w:rPr>
                <w:rFonts w:ascii="宋体" w:hAnsi="宋体" w:cs="宋体" w:eastAsia="宋体" w:hint="default"/>
                <w:sz w:val="18"/>
                <w:szCs w:val="18"/>
              </w:rPr>
            </w:pPr>
            <w:r>
              <w:rPr>
                <w:rFonts w:ascii="宋体"/>
                <w:sz w:val="18"/>
              </w:rPr>
              <w:t>8,318,862.12</w:t>
            </w:r>
          </w:p>
        </w:tc>
      </w:tr>
      <w:tr>
        <w:trPr>
          <w:trHeight w:val="307" w:hRule="exact"/>
        </w:trPr>
        <w:tc>
          <w:tcPr>
            <w:tcW w:w="1450"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30"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b/>
                <w:w w:val="95"/>
                <w:sz w:val="18"/>
              </w:rPr>
              <w:t>47,029,810.30</w:t>
            </w:r>
            <w:r>
              <w:rPr>
                <w:rFonts w:ascii="宋体"/>
                <w:sz w:val="18"/>
              </w:rPr>
            </w:r>
          </w:p>
        </w:tc>
        <w:tc>
          <w:tcPr>
            <w:tcW w:w="1398"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b/>
                <w:w w:val="95"/>
                <w:sz w:val="18"/>
              </w:rPr>
              <w:t>42,792,161.11</w:t>
            </w:r>
            <w:r>
              <w:rPr>
                <w:rFonts w:ascii="宋体"/>
                <w:sz w:val="18"/>
              </w:rPr>
            </w:r>
          </w:p>
        </w:tc>
        <w:tc>
          <w:tcPr>
            <w:tcW w:w="1499"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09"/>
              <w:jc w:val="right"/>
              <w:rPr>
                <w:rFonts w:ascii="宋体" w:hAnsi="宋体" w:cs="宋体" w:eastAsia="宋体" w:hint="default"/>
                <w:sz w:val="18"/>
                <w:szCs w:val="18"/>
              </w:rPr>
            </w:pPr>
            <w:r>
              <w:rPr>
                <w:rFonts w:ascii="宋体"/>
                <w:b/>
                <w:w w:val="95"/>
                <w:sz w:val="18"/>
              </w:rPr>
              <w:t>28,793,808.31</w:t>
            </w:r>
            <w:r>
              <w:rPr>
                <w:rFonts w:ascii="宋体"/>
                <w:sz w:val="18"/>
              </w:rPr>
            </w:r>
          </w:p>
        </w:tc>
        <w:tc>
          <w:tcPr>
            <w:tcW w:w="1254"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9"/>
              <w:jc w:val="right"/>
              <w:rPr>
                <w:rFonts w:ascii="宋体" w:hAnsi="宋体" w:cs="宋体" w:eastAsia="宋体" w:hint="default"/>
                <w:sz w:val="18"/>
                <w:szCs w:val="18"/>
              </w:rPr>
            </w:pPr>
            <w:r>
              <w:rPr>
                <w:rFonts w:ascii="宋体"/>
                <w:b/>
                <w:w w:val="95"/>
                <w:sz w:val="18"/>
              </w:rPr>
              <w:t>205,272.22</w:t>
            </w:r>
            <w:r>
              <w:rPr>
                <w:rFonts w:ascii="宋体"/>
                <w:sz w:val="18"/>
              </w:rPr>
            </w:r>
          </w:p>
        </w:tc>
        <w:tc>
          <w:tcPr>
            <w:tcW w:w="1396"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 w:right="0"/>
              <w:jc w:val="center"/>
              <w:rPr>
                <w:rFonts w:ascii="宋体" w:hAnsi="宋体" w:cs="宋体" w:eastAsia="宋体" w:hint="default"/>
                <w:sz w:val="18"/>
                <w:szCs w:val="18"/>
              </w:rPr>
            </w:pPr>
            <w:r>
              <w:rPr>
                <w:rFonts w:ascii="宋体"/>
                <w:b/>
                <w:sz w:val="18"/>
              </w:rPr>
              <w:t>61,233,435.32</w:t>
            </w:r>
            <w:r>
              <w:rPr>
                <w:rFonts w:ascii="宋体"/>
                <w:sz w:val="18"/>
              </w:rPr>
            </w:r>
          </w:p>
        </w:tc>
      </w:tr>
    </w:tbl>
    <w:p>
      <w:pPr>
        <w:spacing w:before="81"/>
        <w:ind w:left="11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19.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递延所得税资产和递延所得税负债</w:t>
      </w:r>
    </w:p>
    <w:p>
      <w:pPr>
        <w:spacing w:before="113"/>
        <w:ind w:left="1195"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9"/>
          <w:sz w:val="22"/>
          <w:szCs w:val="22"/>
        </w:rPr>
        <w:t> </w:t>
      </w:r>
      <w:r>
        <w:rPr>
          <w:rFonts w:ascii="宋体" w:hAnsi="宋体" w:cs="宋体" w:eastAsia="宋体" w:hint="default"/>
          <w:sz w:val="22"/>
          <w:szCs w:val="22"/>
        </w:rPr>
        <w:t>已确认递延所得税资产和递延所得税负债</w:t>
      </w:r>
    </w:p>
    <w:p>
      <w:pPr>
        <w:spacing w:line="240" w:lineRule="auto" w:before="9"/>
        <w:rPr>
          <w:rFonts w:ascii="宋体" w:hAnsi="宋体" w:cs="宋体" w:eastAsia="宋体" w:hint="default"/>
          <w:sz w:val="12"/>
          <w:szCs w:val="12"/>
        </w:rPr>
      </w:pPr>
    </w:p>
    <w:tbl>
      <w:tblPr>
        <w:tblW w:w="0" w:type="auto"/>
        <w:jc w:val="left"/>
        <w:tblInd w:w="619" w:type="dxa"/>
        <w:tblLayout w:type="fixed"/>
        <w:tblCellMar>
          <w:top w:w="0" w:type="dxa"/>
          <w:left w:w="0" w:type="dxa"/>
          <w:bottom w:w="0" w:type="dxa"/>
          <w:right w:w="0" w:type="dxa"/>
        </w:tblCellMar>
        <w:tblLook w:val="01E0"/>
      </w:tblPr>
      <w:tblGrid>
        <w:gridCol w:w="4379"/>
        <w:gridCol w:w="2815"/>
        <w:gridCol w:w="1546"/>
      </w:tblGrid>
      <w:tr>
        <w:trPr>
          <w:trHeight w:val="305" w:hRule="exact"/>
        </w:trPr>
        <w:tc>
          <w:tcPr>
            <w:tcW w:w="4379"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1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52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54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8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9" w:hRule="exact"/>
        </w:trPr>
        <w:tc>
          <w:tcPr>
            <w:tcW w:w="4379" w:type="dxa"/>
            <w:tcBorders>
              <w:top w:val="single" w:sz="4" w:space="0" w:color="000000"/>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一、递延所得税资产</w:t>
            </w:r>
            <w:r>
              <w:rPr>
                <w:rFonts w:ascii="宋体" w:hAnsi="宋体" w:cs="宋体" w:eastAsia="宋体" w:hint="default"/>
                <w:sz w:val="18"/>
                <w:szCs w:val="18"/>
              </w:rPr>
            </w:r>
          </w:p>
        </w:tc>
        <w:tc>
          <w:tcPr>
            <w:tcW w:w="2815" w:type="dxa"/>
            <w:tcBorders>
              <w:top w:val="single" w:sz="4" w:space="0" w:color="000000"/>
              <w:left w:val="nil" w:sz="6" w:space="0" w:color="auto"/>
              <w:bottom w:val="nil" w:sz="6" w:space="0" w:color="auto"/>
              <w:right w:val="nil" w:sz="6" w:space="0" w:color="auto"/>
            </w:tcBorders>
          </w:tcPr>
          <w:p>
            <w:pPr/>
          </w:p>
        </w:tc>
        <w:tc>
          <w:tcPr>
            <w:tcW w:w="1546" w:type="dxa"/>
            <w:tcBorders>
              <w:top w:val="single" w:sz="4" w:space="0" w:color="000000"/>
              <w:left w:val="nil" w:sz="6" w:space="0" w:color="auto"/>
              <w:bottom w:val="nil" w:sz="6" w:space="0" w:color="auto"/>
              <w:right w:val="nil" w:sz="6" w:space="0" w:color="auto"/>
            </w:tcBorders>
          </w:tcPr>
          <w:p>
            <w:pPr/>
          </w:p>
        </w:tc>
      </w:tr>
      <w:tr>
        <w:trPr>
          <w:trHeight w:val="286" w:hRule="exact"/>
        </w:trPr>
        <w:tc>
          <w:tcPr>
            <w:tcW w:w="437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非特殊项目暂时性差异之所得税资产</w:t>
            </w:r>
          </w:p>
        </w:tc>
        <w:tc>
          <w:tcPr>
            <w:tcW w:w="2815" w:type="dxa"/>
            <w:tcBorders>
              <w:top w:val="nil" w:sz="6" w:space="0" w:color="auto"/>
              <w:left w:val="nil" w:sz="6" w:space="0" w:color="auto"/>
              <w:bottom w:val="nil" w:sz="6" w:space="0" w:color="auto"/>
              <w:right w:val="nil" w:sz="6" w:space="0" w:color="auto"/>
            </w:tcBorders>
          </w:tcPr>
          <w:p>
            <w:pPr>
              <w:pStyle w:val="TableParagraph"/>
              <w:spacing w:line="233" w:lineRule="exact"/>
              <w:ind w:right="166"/>
              <w:jc w:val="right"/>
              <w:rPr>
                <w:rFonts w:ascii="宋体" w:hAnsi="宋体" w:cs="宋体" w:eastAsia="宋体" w:hint="default"/>
                <w:sz w:val="18"/>
                <w:szCs w:val="18"/>
              </w:rPr>
            </w:pPr>
            <w:r>
              <w:rPr>
                <w:rFonts w:ascii="宋体"/>
                <w:spacing w:val="-1"/>
                <w:sz w:val="18"/>
              </w:rPr>
              <w:t>524,623,760.79</w:t>
            </w:r>
          </w:p>
        </w:tc>
        <w:tc>
          <w:tcPr>
            <w:tcW w:w="1546"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375,299,282.15</w:t>
            </w:r>
          </w:p>
        </w:tc>
      </w:tr>
      <w:tr>
        <w:trPr>
          <w:trHeight w:val="291" w:hRule="exact"/>
        </w:trPr>
        <w:tc>
          <w:tcPr>
            <w:tcW w:w="4379" w:type="dxa"/>
            <w:tcBorders>
              <w:top w:val="nil" w:sz="6" w:space="0" w:color="auto"/>
              <w:left w:val="nil" w:sz="6" w:space="0" w:color="auto"/>
              <w:bottom w:val="single" w:sz="4" w:space="0" w:color="000000"/>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特殊项目暂时性差异之所得税资产</w:t>
            </w:r>
          </w:p>
        </w:tc>
        <w:tc>
          <w:tcPr>
            <w:tcW w:w="2815" w:type="dxa"/>
            <w:tcBorders>
              <w:top w:val="nil" w:sz="6" w:space="0" w:color="auto"/>
              <w:left w:val="nil" w:sz="6" w:space="0" w:color="auto"/>
              <w:bottom w:val="single" w:sz="4" w:space="0" w:color="000000"/>
              <w:right w:val="nil" w:sz="6" w:space="0" w:color="auto"/>
            </w:tcBorders>
          </w:tcPr>
          <w:p>
            <w:pPr>
              <w:pStyle w:val="TableParagraph"/>
              <w:spacing w:line="233" w:lineRule="exact"/>
              <w:ind w:right="166"/>
              <w:jc w:val="right"/>
              <w:rPr>
                <w:rFonts w:ascii="宋体" w:hAnsi="宋体" w:cs="宋体" w:eastAsia="宋体" w:hint="default"/>
                <w:sz w:val="18"/>
                <w:szCs w:val="18"/>
              </w:rPr>
            </w:pPr>
            <w:r>
              <w:rPr>
                <w:rFonts w:ascii="宋体"/>
                <w:spacing w:val="-1"/>
                <w:sz w:val="18"/>
              </w:rPr>
              <w:t>464,989,992.82</w:t>
            </w:r>
          </w:p>
        </w:tc>
        <w:tc>
          <w:tcPr>
            <w:tcW w:w="1546" w:type="dxa"/>
            <w:tcBorders>
              <w:top w:val="nil" w:sz="6" w:space="0" w:color="auto"/>
              <w:left w:val="nil" w:sz="6" w:space="0" w:color="auto"/>
              <w:bottom w:val="single" w:sz="4" w:space="0" w:color="000000"/>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298,132,759.71</w:t>
            </w:r>
          </w:p>
        </w:tc>
      </w:tr>
      <w:tr>
        <w:trPr>
          <w:trHeight w:val="295" w:hRule="exact"/>
        </w:trPr>
        <w:tc>
          <w:tcPr>
            <w:tcW w:w="4379"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15"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66"/>
              <w:jc w:val="right"/>
              <w:rPr>
                <w:rFonts w:ascii="宋体" w:hAnsi="宋体" w:cs="宋体" w:eastAsia="宋体" w:hint="default"/>
                <w:sz w:val="18"/>
                <w:szCs w:val="18"/>
              </w:rPr>
            </w:pPr>
            <w:r>
              <w:rPr>
                <w:rFonts w:ascii="宋体"/>
                <w:b/>
                <w:w w:val="95"/>
                <w:sz w:val="18"/>
              </w:rPr>
              <w:t>989,613,753.61</w:t>
            </w:r>
            <w:r>
              <w:rPr>
                <w:rFonts w:ascii="宋体"/>
                <w:sz w:val="18"/>
              </w:rPr>
            </w:r>
          </w:p>
        </w:tc>
        <w:tc>
          <w:tcPr>
            <w:tcW w:w="1546"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673,432,041.86</w:t>
            </w:r>
            <w:r>
              <w:rPr>
                <w:rFonts w:ascii="宋体"/>
                <w:sz w:val="18"/>
              </w:rPr>
            </w:r>
          </w:p>
        </w:tc>
      </w:tr>
      <w:tr>
        <w:trPr>
          <w:trHeight w:val="289" w:hRule="exact"/>
        </w:trPr>
        <w:tc>
          <w:tcPr>
            <w:tcW w:w="4379" w:type="dxa"/>
            <w:tcBorders>
              <w:top w:val="single" w:sz="4" w:space="0" w:color="000000"/>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二、递延所得税负债</w:t>
            </w:r>
            <w:r>
              <w:rPr>
                <w:rFonts w:ascii="宋体" w:hAnsi="宋体" w:cs="宋体" w:eastAsia="宋体" w:hint="default"/>
                <w:sz w:val="18"/>
                <w:szCs w:val="18"/>
              </w:rPr>
            </w:r>
          </w:p>
        </w:tc>
        <w:tc>
          <w:tcPr>
            <w:tcW w:w="2815" w:type="dxa"/>
            <w:tcBorders>
              <w:top w:val="single" w:sz="4" w:space="0" w:color="000000"/>
              <w:left w:val="nil" w:sz="6" w:space="0" w:color="auto"/>
              <w:bottom w:val="nil" w:sz="6" w:space="0" w:color="auto"/>
              <w:right w:val="nil" w:sz="6" w:space="0" w:color="auto"/>
            </w:tcBorders>
          </w:tcPr>
          <w:p>
            <w:pPr/>
          </w:p>
        </w:tc>
        <w:tc>
          <w:tcPr>
            <w:tcW w:w="1546" w:type="dxa"/>
            <w:tcBorders>
              <w:top w:val="single" w:sz="4" w:space="0" w:color="000000"/>
              <w:left w:val="nil" w:sz="6" w:space="0" w:color="auto"/>
              <w:bottom w:val="nil" w:sz="6" w:space="0" w:color="auto"/>
              <w:right w:val="nil" w:sz="6" w:space="0" w:color="auto"/>
            </w:tcBorders>
          </w:tcPr>
          <w:p>
            <w:pPr/>
          </w:p>
        </w:tc>
      </w:tr>
      <w:tr>
        <w:trPr>
          <w:trHeight w:val="290" w:hRule="exact"/>
        </w:trPr>
        <w:tc>
          <w:tcPr>
            <w:tcW w:w="4379" w:type="dxa"/>
            <w:tcBorders>
              <w:top w:val="nil" w:sz="6" w:space="0" w:color="auto"/>
              <w:left w:val="nil" w:sz="6" w:space="0" w:color="auto"/>
              <w:bottom w:val="single" w:sz="4"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815" w:type="dxa"/>
            <w:tcBorders>
              <w:top w:val="nil" w:sz="6" w:space="0" w:color="auto"/>
              <w:left w:val="nil" w:sz="6" w:space="0" w:color="auto"/>
              <w:bottom w:val="single" w:sz="4" w:space="0" w:color="000000"/>
              <w:right w:val="nil" w:sz="6" w:space="0" w:color="auto"/>
            </w:tcBorders>
          </w:tcPr>
          <w:p>
            <w:pPr>
              <w:pStyle w:val="TableParagraph"/>
              <w:spacing w:line="232" w:lineRule="exact"/>
              <w:ind w:right="166"/>
              <w:jc w:val="right"/>
              <w:rPr>
                <w:rFonts w:ascii="宋体" w:hAnsi="宋体" w:cs="宋体" w:eastAsia="宋体" w:hint="default"/>
                <w:sz w:val="18"/>
                <w:szCs w:val="18"/>
              </w:rPr>
            </w:pPr>
            <w:r>
              <w:rPr>
                <w:rFonts w:ascii="宋体"/>
                <w:spacing w:val="-1"/>
                <w:sz w:val="18"/>
              </w:rPr>
              <w:t>217,998,613.17</w:t>
            </w:r>
          </w:p>
        </w:tc>
        <w:tc>
          <w:tcPr>
            <w:tcW w:w="1546"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pacing w:val="-1"/>
                <w:sz w:val="18"/>
              </w:rPr>
              <w:t>571,375,970.01</w:t>
            </w:r>
          </w:p>
        </w:tc>
      </w:tr>
      <w:tr>
        <w:trPr>
          <w:trHeight w:val="307" w:hRule="exact"/>
        </w:trPr>
        <w:tc>
          <w:tcPr>
            <w:tcW w:w="4379"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1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66"/>
              <w:jc w:val="right"/>
              <w:rPr>
                <w:rFonts w:ascii="宋体" w:hAnsi="宋体" w:cs="宋体" w:eastAsia="宋体" w:hint="default"/>
                <w:sz w:val="18"/>
                <w:szCs w:val="18"/>
              </w:rPr>
            </w:pPr>
            <w:r>
              <w:rPr>
                <w:rFonts w:ascii="宋体"/>
                <w:b/>
                <w:w w:val="95"/>
                <w:sz w:val="18"/>
              </w:rPr>
              <w:t>217,998,613.17</w:t>
            </w:r>
            <w:r>
              <w:rPr>
                <w:rFonts w:ascii="宋体"/>
                <w:sz w:val="18"/>
              </w:rPr>
            </w:r>
          </w:p>
        </w:tc>
        <w:tc>
          <w:tcPr>
            <w:tcW w:w="1546"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571,375,970.01</w:t>
            </w:r>
            <w:r>
              <w:rPr>
                <w:rFonts w:ascii="宋体"/>
                <w:sz w:val="18"/>
              </w:rPr>
            </w:r>
          </w:p>
        </w:tc>
      </w:tr>
    </w:tbl>
    <w:p>
      <w:pPr>
        <w:spacing w:before="81"/>
        <w:ind w:left="1195"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9"/>
          <w:sz w:val="22"/>
          <w:szCs w:val="22"/>
        </w:rPr>
        <w:t> </w:t>
      </w:r>
      <w:r>
        <w:rPr>
          <w:rFonts w:ascii="宋体" w:hAnsi="宋体" w:cs="宋体" w:eastAsia="宋体" w:hint="default"/>
          <w:sz w:val="22"/>
          <w:szCs w:val="22"/>
        </w:rPr>
        <w:t>应纳税差异和可抵扣差异项目明细</w:t>
      </w:r>
    </w:p>
    <w:p>
      <w:pPr>
        <w:spacing w:line="240" w:lineRule="auto" w:before="9"/>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5820"/>
        <w:gridCol w:w="2242"/>
        <w:gridCol w:w="1692"/>
      </w:tblGrid>
      <w:tr>
        <w:trPr>
          <w:trHeight w:val="305" w:hRule="exact"/>
        </w:trPr>
        <w:tc>
          <w:tcPr>
            <w:tcW w:w="5820" w:type="dxa"/>
            <w:tcBorders>
              <w:top w:val="single" w:sz="12" w:space="0" w:color="000000"/>
              <w:left w:val="nil" w:sz="6" w:space="0" w:color="auto"/>
              <w:bottom w:val="single" w:sz="2" w:space="0" w:color="000000"/>
              <w:right w:val="nil" w:sz="6" w:space="0" w:color="auto"/>
            </w:tcBorders>
          </w:tcPr>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42" w:type="dxa"/>
            <w:tcBorders>
              <w:top w:val="single" w:sz="12" w:space="0" w:color="000000"/>
              <w:left w:val="nil" w:sz="6" w:space="0" w:color="auto"/>
              <w:bottom w:val="single" w:sz="2" w:space="0" w:color="000000"/>
              <w:right w:val="nil" w:sz="6" w:space="0" w:color="auto"/>
            </w:tcBorders>
          </w:tcPr>
          <w:p>
            <w:pPr>
              <w:pStyle w:val="TableParagraph"/>
              <w:spacing w:line="234" w:lineRule="exact"/>
              <w:ind w:left="83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692" w:type="dxa"/>
            <w:tcBorders>
              <w:top w:val="single" w:sz="12" w:space="0" w:color="000000"/>
              <w:left w:val="nil" w:sz="6" w:space="0" w:color="auto"/>
              <w:bottom w:val="single" w:sz="2" w:space="0" w:color="000000"/>
              <w:right w:val="nil" w:sz="6" w:space="0" w:color="auto"/>
            </w:tcBorders>
          </w:tcPr>
          <w:p>
            <w:pPr>
              <w:pStyle w:val="TableParagraph"/>
              <w:spacing w:line="234" w:lineRule="exact"/>
              <w:ind w:left="46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7" w:hRule="exact"/>
        </w:trPr>
        <w:tc>
          <w:tcPr>
            <w:tcW w:w="5820" w:type="dxa"/>
            <w:tcBorders>
              <w:top w:val="single" w:sz="2" w:space="0" w:color="000000"/>
              <w:left w:val="nil" w:sz="6" w:space="0" w:color="auto"/>
              <w:bottom w:val="nil" w:sz="6" w:space="0" w:color="auto"/>
              <w:right w:val="nil" w:sz="6" w:space="0" w:color="auto"/>
            </w:tcBorders>
          </w:tcPr>
          <w:p>
            <w:pPr>
              <w:pStyle w:val="TableParagraph"/>
              <w:spacing w:line="232" w:lineRule="exact"/>
              <w:ind w:left="120" w:right="0"/>
              <w:jc w:val="left"/>
              <w:rPr>
                <w:rFonts w:ascii="宋体" w:hAnsi="宋体" w:cs="宋体" w:eastAsia="宋体" w:hint="default"/>
                <w:sz w:val="18"/>
                <w:szCs w:val="18"/>
              </w:rPr>
            </w:pPr>
            <w:r>
              <w:rPr>
                <w:rFonts w:ascii="宋体" w:hAnsi="宋体" w:cs="宋体" w:eastAsia="宋体" w:hint="default"/>
                <w:b/>
                <w:bCs/>
                <w:sz w:val="18"/>
                <w:szCs w:val="18"/>
              </w:rPr>
              <w:t>一、可抵扣暂时性差异项目</w:t>
            </w:r>
            <w:r>
              <w:rPr>
                <w:rFonts w:ascii="宋体" w:hAnsi="宋体" w:cs="宋体" w:eastAsia="宋体" w:hint="default"/>
                <w:sz w:val="18"/>
                <w:szCs w:val="18"/>
              </w:rPr>
            </w:r>
          </w:p>
        </w:tc>
        <w:tc>
          <w:tcPr>
            <w:tcW w:w="2242" w:type="dxa"/>
            <w:tcBorders>
              <w:top w:val="single" w:sz="2" w:space="0" w:color="000000"/>
              <w:left w:val="nil" w:sz="6" w:space="0" w:color="auto"/>
              <w:bottom w:val="nil" w:sz="6" w:space="0" w:color="auto"/>
              <w:right w:val="nil" w:sz="6" w:space="0" w:color="auto"/>
            </w:tcBorders>
          </w:tcPr>
          <w:p>
            <w:pPr/>
          </w:p>
        </w:tc>
        <w:tc>
          <w:tcPr>
            <w:tcW w:w="1692" w:type="dxa"/>
            <w:tcBorders>
              <w:top w:val="single" w:sz="2" w:space="0" w:color="000000"/>
              <w:left w:val="nil" w:sz="6" w:space="0" w:color="auto"/>
              <w:bottom w:val="nil" w:sz="6" w:space="0" w:color="auto"/>
              <w:right w:val="nil" w:sz="6" w:space="0" w:color="auto"/>
            </w:tcBorders>
          </w:tcPr>
          <w:p>
            <w:pPr/>
          </w:p>
        </w:tc>
      </w:tr>
      <w:tr>
        <w:trPr>
          <w:trHeight w:val="286" w:hRule="exact"/>
        </w:trPr>
        <w:tc>
          <w:tcPr>
            <w:tcW w:w="5820" w:type="dxa"/>
            <w:tcBorders>
              <w:top w:val="nil" w:sz="6" w:space="0" w:color="auto"/>
              <w:left w:val="nil" w:sz="6" w:space="0" w:color="auto"/>
              <w:bottom w:val="nil" w:sz="6" w:space="0" w:color="auto"/>
              <w:right w:val="nil" w:sz="6" w:space="0" w:color="auto"/>
            </w:tcBorders>
          </w:tcPr>
          <w:p>
            <w:pPr>
              <w:pStyle w:val="TableParagraph"/>
              <w:spacing w:line="233" w:lineRule="exact"/>
              <w:ind w:left="1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42" w:type="dxa"/>
            <w:tcBorders>
              <w:top w:val="nil" w:sz="6" w:space="0" w:color="auto"/>
              <w:left w:val="nil" w:sz="6" w:space="0" w:color="auto"/>
              <w:bottom w:val="nil" w:sz="6" w:space="0" w:color="auto"/>
              <w:right w:val="nil" w:sz="6" w:space="0" w:color="auto"/>
            </w:tcBorders>
          </w:tcPr>
          <w:p>
            <w:pPr>
              <w:pStyle w:val="TableParagraph"/>
              <w:spacing w:line="233" w:lineRule="exact"/>
              <w:ind w:right="128"/>
              <w:jc w:val="right"/>
              <w:rPr>
                <w:rFonts w:ascii="宋体" w:hAnsi="宋体" w:cs="宋体" w:eastAsia="宋体" w:hint="default"/>
                <w:sz w:val="18"/>
                <w:szCs w:val="18"/>
              </w:rPr>
            </w:pPr>
            <w:r>
              <w:rPr>
                <w:rFonts w:ascii="宋体"/>
                <w:spacing w:val="-1"/>
                <w:sz w:val="18"/>
              </w:rPr>
              <w:t>1,375,547,067.32</w:t>
            </w:r>
          </w:p>
        </w:tc>
        <w:tc>
          <w:tcPr>
            <w:tcW w:w="1692" w:type="dxa"/>
            <w:tcBorders>
              <w:top w:val="nil" w:sz="6" w:space="0" w:color="auto"/>
              <w:left w:val="nil" w:sz="6" w:space="0" w:color="auto"/>
              <w:bottom w:val="nil" w:sz="6" w:space="0" w:color="auto"/>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spacing w:val="-1"/>
                <w:sz w:val="18"/>
              </w:rPr>
              <w:t>1,162,185,697.06</w:t>
            </w:r>
          </w:p>
        </w:tc>
      </w:tr>
      <w:tr>
        <w:trPr>
          <w:trHeight w:val="287" w:hRule="exact"/>
        </w:trPr>
        <w:tc>
          <w:tcPr>
            <w:tcW w:w="5820" w:type="dxa"/>
            <w:tcBorders>
              <w:top w:val="nil" w:sz="6" w:space="0" w:color="auto"/>
              <w:left w:val="nil" w:sz="6" w:space="0" w:color="auto"/>
              <w:bottom w:val="nil" w:sz="6" w:space="0" w:color="auto"/>
              <w:right w:val="nil" w:sz="6" w:space="0" w:color="auto"/>
            </w:tcBorders>
          </w:tcPr>
          <w:p>
            <w:pPr>
              <w:pStyle w:val="TableParagraph"/>
              <w:spacing w:line="233" w:lineRule="exact"/>
              <w:ind w:left="120"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242" w:type="dxa"/>
            <w:tcBorders>
              <w:top w:val="nil" w:sz="6" w:space="0" w:color="auto"/>
              <w:left w:val="nil" w:sz="6" w:space="0" w:color="auto"/>
              <w:bottom w:val="nil" w:sz="6" w:space="0" w:color="auto"/>
              <w:right w:val="nil" w:sz="6" w:space="0" w:color="auto"/>
            </w:tcBorders>
          </w:tcPr>
          <w:p>
            <w:pPr>
              <w:pStyle w:val="TableParagraph"/>
              <w:spacing w:line="233" w:lineRule="exact"/>
              <w:ind w:right="128"/>
              <w:jc w:val="right"/>
              <w:rPr>
                <w:rFonts w:ascii="宋体" w:hAnsi="宋体" w:cs="宋体" w:eastAsia="宋体" w:hint="default"/>
                <w:sz w:val="18"/>
                <w:szCs w:val="18"/>
              </w:rPr>
            </w:pPr>
            <w:r>
              <w:rPr>
                <w:rFonts w:ascii="宋体"/>
                <w:spacing w:val="-1"/>
                <w:sz w:val="18"/>
              </w:rPr>
              <w:t>897,698,265.46</w:t>
            </w:r>
          </w:p>
        </w:tc>
        <w:tc>
          <w:tcPr>
            <w:tcW w:w="1692"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359,768,224.77</w:t>
            </w:r>
          </w:p>
        </w:tc>
      </w:tr>
      <w:tr>
        <w:trPr>
          <w:trHeight w:val="287" w:hRule="exact"/>
        </w:trPr>
        <w:tc>
          <w:tcPr>
            <w:tcW w:w="5820" w:type="dxa"/>
            <w:tcBorders>
              <w:top w:val="nil" w:sz="6" w:space="0" w:color="auto"/>
              <w:left w:val="nil" w:sz="6" w:space="0" w:color="auto"/>
              <w:bottom w:val="nil" w:sz="6" w:space="0" w:color="auto"/>
              <w:right w:val="nil" w:sz="6" w:space="0" w:color="auto"/>
            </w:tcBorders>
          </w:tcPr>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可供出售金融资产减值准备</w:t>
            </w:r>
          </w:p>
        </w:tc>
        <w:tc>
          <w:tcPr>
            <w:tcW w:w="2242" w:type="dxa"/>
            <w:tcBorders>
              <w:top w:val="nil" w:sz="6" w:space="0" w:color="auto"/>
              <w:left w:val="nil" w:sz="6" w:space="0" w:color="auto"/>
              <w:bottom w:val="nil" w:sz="6" w:space="0" w:color="auto"/>
              <w:right w:val="nil" w:sz="6" w:space="0" w:color="auto"/>
            </w:tcBorders>
          </w:tcPr>
          <w:p>
            <w:pPr>
              <w:pStyle w:val="TableParagraph"/>
              <w:spacing w:line="234" w:lineRule="exact"/>
              <w:ind w:right="128"/>
              <w:jc w:val="right"/>
              <w:rPr>
                <w:rFonts w:ascii="宋体" w:hAnsi="宋体" w:cs="宋体" w:eastAsia="宋体" w:hint="default"/>
                <w:sz w:val="18"/>
                <w:szCs w:val="18"/>
              </w:rPr>
            </w:pPr>
            <w:r>
              <w:rPr>
                <w:rFonts w:ascii="宋体"/>
                <w:spacing w:val="-1"/>
                <w:sz w:val="18"/>
              </w:rPr>
              <w:t>189,283,826.50</w:t>
            </w:r>
          </w:p>
        </w:tc>
        <w:tc>
          <w:tcPr>
            <w:tcW w:w="1692" w:type="dxa"/>
            <w:tcBorders>
              <w:top w:val="nil" w:sz="6" w:space="0" w:color="auto"/>
              <w:left w:val="nil" w:sz="6" w:space="0" w:color="auto"/>
              <w:bottom w:val="nil" w:sz="6" w:space="0" w:color="auto"/>
              <w:right w:val="nil" w:sz="6" w:space="0" w:color="auto"/>
            </w:tcBorders>
          </w:tcPr>
          <w:p>
            <w:pPr>
              <w:pStyle w:val="TableParagraph"/>
              <w:spacing w:line="234" w:lineRule="exact"/>
              <w:ind w:right="107"/>
              <w:jc w:val="right"/>
              <w:rPr>
                <w:rFonts w:ascii="宋体" w:hAnsi="宋体" w:cs="宋体" w:eastAsia="宋体" w:hint="default"/>
                <w:sz w:val="18"/>
                <w:szCs w:val="18"/>
              </w:rPr>
            </w:pPr>
            <w:r>
              <w:rPr>
                <w:rFonts w:ascii="宋体"/>
                <w:sz w:val="18"/>
              </w:rPr>
              <w:t>0.00</w:t>
            </w:r>
          </w:p>
        </w:tc>
      </w:tr>
      <w:tr>
        <w:trPr>
          <w:trHeight w:val="286" w:hRule="exact"/>
        </w:trPr>
        <w:tc>
          <w:tcPr>
            <w:tcW w:w="5820" w:type="dxa"/>
            <w:tcBorders>
              <w:top w:val="nil" w:sz="6" w:space="0" w:color="auto"/>
              <w:left w:val="nil" w:sz="6" w:space="0" w:color="auto"/>
              <w:bottom w:val="nil" w:sz="6" w:space="0" w:color="auto"/>
              <w:right w:val="nil" w:sz="6" w:space="0" w:color="auto"/>
            </w:tcBorders>
          </w:tcPr>
          <w:p>
            <w:pPr>
              <w:pStyle w:val="TableParagraph"/>
              <w:spacing w:line="233" w:lineRule="exact"/>
              <w:ind w:left="120" w:right="0"/>
              <w:jc w:val="left"/>
              <w:rPr>
                <w:rFonts w:ascii="宋体" w:hAnsi="宋体" w:cs="宋体" w:eastAsia="宋体" w:hint="default"/>
                <w:sz w:val="18"/>
                <w:szCs w:val="18"/>
              </w:rPr>
            </w:pPr>
            <w:r>
              <w:rPr>
                <w:rFonts w:ascii="宋体" w:hAnsi="宋体" w:cs="宋体" w:eastAsia="宋体" w:hint="default"/>
                <w:sz w:val="18"/>
                <w:szCs w:val="18"/>
              </w:rPr>
              <w:t>未实现销售损益</w:t>
            </w:r>
          </w:p>
        </w:tc>
        <w:tc>
          <w:tcPr>
            <w:tcW w:w="2242" w:type="dxa"/>
            <w:tcBorders>
              <w:top w:val="nil" w:sz="6" w:space="0" w:color="auto"/>
              <w:left w:val="nil" w:sz="6" w:space="0" w:color="auto"/>
              <w:bottom w:val="nil" w:sz="6" w:space="0" w:color="auto"/>
              <w:right w:val="nil" w:sz="6" w:space="0" w:color="auto"/>
            </w:tcBorders>
          </w:tcPr>
          <w:p>
            <w:pPr>
              <w:pStyle w:val="TableParagraph"/>
              <w:spacing w:line="233" w:lineRule="exact"/>
              <w:ind w:right="128"/>
              <w:jc w:val="right"/>
              <w:rPr>
                <w:rFonts w:ascii="宋体" w:hAnsi="宋体" w:cs="宋体" w:eastAsia="宋体" w:hint="default"/>
                <w:sz w:val="18"/>
                <w:szCs w:val="18"/>
              </w:rPr>
            </w:pPr>
            <w:r>
              <w:rPr>
                <w:rFonts w:ascii="宋体"/>
                <w:spacing w:val="-1"/>
                <w:sz w:val="18"/>
              </w:rPr>
              <w:t>377,862,897.33</w:t>
            </w:r>
          </w:p>
        </w:tc>
        <w:tc>
          <w:tcPr>
            <w:tcW w:w="1692"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158,549,746.93</w:t>
            </w:r>
          </w:p>
        </w:tc>
      </w:tr>
      <w:tr>
        <w:trPr>
          <w:trHeight w:val="286" w:hRule="exact"/>
        </w:trPr>
        <w:tc>
          <w:tcPr>
            <w:tcW w:w="5820" w:type="dxa"/>
            <w:tcBorders>
              <w:top w:val="nil" w:sz="6" w:space="0" w:color="auto"/>
              <w:left w:val="nil" w:sz="6" w:space="0" w:color="auto"/>
              <w:bottom w:val="nil" w:sz="6" w:space="0" w:color="auto"/>
              <w:right w:val="nil" w:sz="6" w:space="0" w:color="auto"/>
            </w:tcBorders>
          </w:tcPr>
          <w:p>
            <w:pPr>
              <w:pStyle w:val="TableParagraph"/>
              <w:spacing w:line="233" w:lineRule="exact"/>
              <w:ind w:left="12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42" w:type="dxa"/>
            <w:tcBorders>
              <w:top w:val="nil" w:sz="6" w:space="0" w:color="auto"/>
              <w:left w:val="nil" w:sz="6" w:space="0" w:color="auto"/>
              <w:bottom w:val="nil" w:sz="6" w:space="0" w:color="auto"/>
              <w:right w:val="nil" w:sz="6" w:space="0" w:color="auto"/>
            </w:tcBorders>
          </w:tcPr>
          <w:p>
            <w:pPr>
              <w:pStyle w:val="TableParagraph"/>
              <w:spacing w:line="233" w:lineRule="exact"/>
              <w:ind w:right="128"/>
              <w:jc w:val="right"/>
              <w:rPr>
                <w:rFonts w:ascii="宋体" w:hAnsi="宋体" w:cs="宋体" w:eastAsia="宋体" w:hint="default"/>
                <w:sz w:val="18"/>
                <w:szCs w:val="18"/>
              </w:rPr>
            </w:pPr>
            <w:r>
              <w:rPr>
                <w:rFonts w:ascii="宋体"/>
                <w:spacing w:val="-1"/>
                <w:sz w:val="18"/>
              </w:rPr>
              <w:t>224,744,847.65</w:t>
            </w:r>
          </w:p>
        </w:tc>
        <w:tc>
          <w:tcPr>
            <w:tcW w:w="1692"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226,830,039.25</w:t>
            </w:r>
          </w:p>
        </w:tc>
      </w:tr>
      <w:tr>
        <w:trPr>
          <w:trHeight w:val="286" w:hRule="exact"/>
        </w:trPr>
        <w:tc>
          <w:tcPr>
            <w:tcW w:w="5820" w:type="dxa"/>
            <w:tcBorders>
              <w:top w:val="nil" w:sz="6" w:space="0" w:color="auto"/>
              <w:left w:val="nil" w:sz="6" w:space="0" w:color="auto"/>
              <w:bottom w:val="nil" w:sz="6" w:space="0" w:color="auto"/>
              <w:right w:val="nil" w:sz="6" w:space="0" w:color="auto"/>
            </w:tcBorders>
          </w:tcPr>
          <w:p>
            <w:pPr>
              <w:pStyle w:val="TableParagraph"/>
              <w:spacing w:line="233" w:lineRule="exact"/>
              <w:ind w:left="120" w:right="0"/>
              <w:jc w:val="left"/>
              <w:rPr>
                <w:rFonts w:ascii="宋体" w:hAnsi="宋体" w:cs="宋体" w:eastAsia="宋体" w:hint="default"/>
                <w:sz w:val="18"/>
                <w:szCs w:val="18"/>
              </w:rPr>
            </w:pPr>
            <w:r>
              <w:rPr>
                <w:rFonts w:ascii="宋体" w:hAnsi="宋体" w:cs="宋体" w:eastAsia="宋体" w:hint="default"/>
                <w:sz w:val="18"/>
                <w:szCs w:val="18"/>
              </w:rPr>
              <w:t>递延收益和专项应付款</w:t>
            </w:r>
          </w:p>
        </w:tc>
        <w:tc>
          <w:tcPr>
            <w:tcW w:w="2242" w:type="dxa"/>
            <w:tcBorders>
              <w:top w:val="nil" w:sz="6" w:space="0" w:color="auto"/>
              <w:left w:val="nil" w:sz="6" w:space="0" w:color="auto"/>
              <w:bottom w:val="nil" w:sz="6" w:space="0" w:color="auto"/>
              <w:right w:val="nil" w:sz="6" w:space="0" w:color="auto"/>
            </w:tcBorders>
          </w:tcPr>
          <w:p>
            <w:pPr>
              <w:pStyle w:val="TableParagraph"/>
              <w:spacing w:line="233" w:lineRule="exact"/>
              <w:ind w:right="128"/>
              <w:jc w:val="right"/>
              <w:rPr>
                <w:rFonts w:ascii="宋体" w:hAnsi="宋体" w:cs="宋体" w:eastAsia="宋体" w:hint="default"/>
                <w:sz w:val="18"/>
                <w:szCs w:val="18"/>
              </w:rPr>
            </w:pPr>
            <w:r>
              <w:rPr>
                <w:rFonts w:ascii="宋体"/>
                <w:spacing w:val="-1"/>
                <w:sz w:val="18"/>
              </w:rPr>
              <w:t>180,194,060.86</w:t>
            </w:r>
          </w:p>
        </w:tc>
        <w:tc>
          <w:tcPr>
            <w:tcW w:w="1692"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206,939,113.33</w:t>
            </w:r>
          </w:p>
        </w:tc>
      </w:tr>
      <w:tr>
        <w:trPr>
          <w:trHeight w:val="286" w:hRule="exact"/>
        </w:trPr>
        <w:tc>
          <w:tcPr>
            <w:tcW w:w="5820" w:type="dxa"/>
            <w:tcBorders>
              <w:top w:val="nil" w:sz="6" w:space="0" w:color="auto"/>
              <w:left w:val="nil" w:sz="6" w:space="0" w:color="auto"/>
              <w:bottom w:val="nil" w:sz="6" w:space="0" w:color="auto"/>
              <w:right w:val="nil" w:sz="6" w:space="0" w:color="auto"/>
            </w:tcBorders>
          </w:tcPr>
          <w:p>
            <w:pPr>
              <w:pStyle w:val="TableParagraph"/>
              <w:spacing w:line="233" w:lineRule="exact"/>
              <w:ind w:left="120"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2242" w:type="dxa"/>
            <w:tcBorders>
              <w:top w:val="nil" w:sz="6" w:space="0" w:color="auto"/>
              <w:left w:val="nil" w:sz="6" w:space="0" w:color="auto"/>
              <w:bottom w:val="nil" w:sz="6" w:space="0" w:color="auto"/>
              <w:right w:val="nil" w:sz="6" w:space="0" w:color="auto"/>
            </w:tcBorders>
          </w:tcPr>
          <w:p>
            <w:pPr>
              <w:pStyle w:val="TableParagraph"/>
              <w:spacing w:line="233" w:lineRule="exact"/>
              <w:ind w:right="128"/>
              <w:jc w:val="right"/>
              <w:rPr>
                <w:rFonts w:ascii="宋体" w:hAnsi="宋体" w:cs="宋体" w:eastAsia="宋体" w:hint="default"/>
                <w:sz w:val="18"/>
                <w:szCs w:val="18"/>
              </w:rPr>
            </w:pPr>
            <w:r>
              <w:rPr>
                <w:rFonts w:ascii="宋体"/>
                <w:spacing w:val="-1"/>
                <w:sz w:val="18"/>
              </w:rPr>
              <w:t>69,108,957.39</w:t>
            </w:r>
          </w:p>
        </w:tc>
        <w:tc>
          <w:tcPr>
            <w:tcW w:w="1692"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74,837,017.47</w:t>
            </w:r>
          </w:p>
        </w:tc>
      </w:tr>
      <w:tr>
        <w:trPr>
          <w:trHeight w:val="287" w:hRule="exact"/>
        </w:trPr>
        <w:tc>
          <w:tcPr>
            <w:tcW w:w="5820" w:type="dxa"/>
            <w:tcBorders>
              <w:top w:val="nil" w:sz="6" w:space="0" w:color="auto"/>
              <w:left w:val="nil" w:sz="6" w:space="0" w:color="auto"/>
              <w:bottom w:val="nil" w:sz="6" w:space="0" w:color="auto"/>
              <w:right w:val="nil" w:sz="6" w:space="0" w:color="auto"/>
            </w:tcBorders>
          </w:tcPr>
          <w:p>
            <w:pPr>
              <w:pStyle w:val="TableParagraph"/>
              <w:spacing w:line="233" w:lineRule="exact"/>
              <w:ind w:left="120" w:right="0"/>
              <w:jc w:val="left"/>
              <w:rPr>
                <w:rFonts w:ascii="宋体" w:hAnsi="宋体" w:cs="宋体" w:eastAsia="宋体" w:hint="default"/>
                <w:sz w:val="18"/>
                <w:szCs w:val="18"/>
              </w:rPr>
            </w:pPr>
            <w:r>
              <w:rPr>
                <w:rFonts w:ascii="宋体" w:hAnsi="宋体" w:cs="宋体" w:eastAsia="宋体" w:hint="default"/>
                <w:sz w:val="18"/>
                <w:szCs w:val="18"/>
              </w:rPr>
              <w:t>境外子公司依据其所在地特殊税法规定确认的可抵扣暂时性差异</w:t>
            </w:r>
          </w:p>
        </w:tc>
        <w:tc>
          <w:tcPr>
            <w:tcW w:w="2242" w:type="dxa"/>
            <w:tcBorders>
              <w:top w:val="nil" w:sz="6" w:space="0" w:color="auto"/>
              <w:left w:val="nil" w:sz="6" w:space="0" w:color="auto"/>
              <w:bottom w:val="nil" w:sz="6" w:space="0" w:color="auto"/>
              <w:right w:val="nil" w:sz="6" w:space="0" w:color="auto"/>
            </w:tcBorders>
          </w:tcPr>
          <w:p>
            <w:pPr>
              <w:pStyle w:val="TableParagraph"/>
              <w:spacing w:line="233" w:lineRule="exact"/>
              <w:ind w:right="128"/>
              <w:jc w:val="right"/>
              <w:rPr>
                <w:rFonts w:ascii="宋体" w:hAnsi="宋体" w:cs="宋体" w:eastAsia="宋体" w:hint="default"/>
                <w:sz w:val="18"/>
                <w:szCs w:val="18"/>
              </w:rPr>
            </w:pPr>
            <w:r>
              <w:rPr>
                <w:rFonts w:ascii="宋体"/>
                <w:spacing w:val="-1"/>
                <w:sz w:val="18"/>
              </w:rPr>
              <w:t>43,206,776.31</w:t>
            </w:r>
          </w:p>
        </w:tc>
        <w:tc>
          <w:tcPr>
            <w:tcW w:w="1692"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25,546,377.19</w:t>
            </w:r>
          </w:p>
        </w:tc>
      </w:tr>
      <w:tr>
        <w:trPr>
          <w:trHeight w:val="287" w:hRule="exact"/>
        </w:trPr>
        <w:tc>
          <w:tcPr>
            <w:tcW w:w="5820" w:type="dxa"/>
            <w:tcBorders>
              <w:top w:val="nil" w:sz="6" w:space="0" w:color="auto"/>
              <w:left w:val="nil" w:sz="6" w:space="0" w:color="auto"/>
              <w:bottom w:val="nil" w:sz="6" w:space="0" w:color="auto"/>
              <w:right w:val="nil" w:sz="6" w:space="0" w:color="auto"/>
            </w:tcBorders>
          </w:tcPr>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2242" w:type="dxa"/>
            <w:tcBorders>
              <w:top w:val="nil" w:sz="6" w:space="0" w:color="auto"/>
              <w:left w:val="nil" w:sz="6" w:space="0" w:color="auto"/>
              <w:bottom w:val="nil" w:sz="6" w:space="0" w:color="auto"/>
              <w:right w:val="nil" w:sz="6" w:space="0" w:color="auto"/>
            </w:tcBorders>
          </w:tcPr>
          <w:p>
            <w:pPr>
              <w:pStyle w:val="TableParagraph"/>
              <w:spacing w:line="234" w:lineRule="exact"/>
              <w:ind w:right="128"/>
              <w:jc w:val="right"/>
              <w:rPr>
                <w:rFonts w:ascii="宋体" w:hAnsi="宋体" w:cs="宋体" w:eastAsia="宋体" w:hint="default"/>
                <w:sz w:val="18"/>
                <w:szCs w:val="18"/>
              </w:rPr>
            </w:pPr>
            <w:r>
              <w:rPr>
                <w:rFonts w:ascii="宋体"/>
                <w:spacing w:val="-1"/>
                <w:sz w:val="18"/>
              </w:rPr>
              <w:t>29,349,965.15</w:t>
            </w:r>
          </w:p>
        </w:tc>
        <w:tc>
          <w:tcPr>
            <w:tcW w:w="1692" w:type="dxa"/>
            <w:tcBorders>
              <w:top w:val="nil" w:sz="6" w:space="0" w:color="auto"/>
              <w:left w:val="nil" w:sz="6" w:space="0" w:color="auto"/>
              <w:bottom w:val="nil" w:sz="6" w:space="0" w:color="auto"/>
              <w:right w:val="nil" w:sz="6" w:space="0" w:color="auto"/>
            </w:tcBorders>
          </w:tcPr>
          <w:p>
            <w:pPr>
              <w:pStyle w:val="TableParagraph"/>
              <w:spacing w:line="234" w:lineRule="exact"/>
              <w:ind w:right="108"/>
              <w:jc w:val="right"/>
              <w:rPr>
                <w:rFonts w:ascii="宋体" w:hAnsi="宋体" w:cs="宋体" w:eastAsia="宋体" w:hint="default"/>
                <w:sz w:val="18"/>
                <w:szCs w:val="18"/>
              </w:rPr>
            </w:pPr>
            <w:r>
              <w:rPr>
                <w:rFonts w:ascii="宋体"/>
                <w:spacing w:val="-1"/>
                <w:sz w:val="18"/>
              </w:rPr>
              <w:t>29,349,965.15</w:t>
            </w:r>
          </w:p>
        </w:tc>
      </w:tr>
      <w:tr>
        <w:trPr>
          <w:trHeight w:val="286" w:hRule="exact"/>
        </w:trPr>
        <w:tc>
          <w:tcPr>
            <w:tcW w:w="5820" w:type="dxa"/>
            <w:tcBorders>
              <w:top w:val="nil" w:sz="6" w:space="0" w:color="auto"/>
              <w:left w:val="nil" w:sz="6" w:space="0" w:color="auto"/>
              <w:bottom w:val="nil" w:sz="6" w:space="0" w:color="auto"/>
              <w:right w:val="nil" w:sz="6" w:space="0" w:color="auto"/>
            </w:tcBorders>
          </w:tcPr>
          <w:p>
            <w:pPr>
              <w:pStyle w:val="TableParagraph"/>
              <w:spacing w:line="233" w:lineRule="exact"/>
              <w:ind w:left="120" w:right="0"/>
              <w:jc w:val="left"/>
              <w:rPr>
                <w:rFonts w:ascii="宋体" w:hAnsi="宋体" w:cs="宋体" w:eastAsia="宋体" w:hint="default"/>
                <w:sz w:val="18"/>
                <w:szCs w:val="18"/>
              </w:rPr>
            </w:pPr>
            <w:r>
              <w:rPr>
                <w:rFonts w:ascii="宋体" w:hAnsi="宋体" w:cs="宋体" w:eastAsia="宋体" w:hint="default"/>
                <w:sz w:val="18"/>
                <w:szCs w:val="18"/>
              </w:rPr>
              <w:t>已计提未发放应付职工薪酬</w:t>
            </w:r>
          </w:p>
        </w:tc>
        <w:tc>
          <w:tcPr>
            <w:tcW w:w="2242" w:type="dxa"/>
            <w:tcBorders>
              <w:top w:val="nil" w:sz="6" w:space="0" w:color="auto"/>
              <w:left w:val="nil" w:sz="6" w:space="0" w:color="auto"/>
              <w:bottom w:val="nil" w:sz="6" w:space="0" w:color="auto"/>
              <w:right w:val="nil" w:sz="6" w:space="0" w:color="auto"/>
            </w:tcBorders>
          </w:tcPr>
          <w:p>
            <w:pPr>
              <w:pStyle w:val="TableParagraph"/>
              <w:spacing w:line="233" w:lineRule="exact"/>
              <w:ind w:right="128"/>
              <w:jc w:val="right"/>
              <w:rPr>
                <w:rFonts w:ascii="宋体" w:hAnsi="宋体" w:cs="宋体" w:eastAsia="宋体" w:hint="default"/>
                <w:sz w:val="18"/>
                <w:szCs w:val="18"/>
              </w:rPr>
            </w:pPr>
            <w:r>
              <w:rPr>
                <w:rFonts w:ascii="宋体"/>
                <w:spacing w:val="-1"/>
                <w:sz w:val="18"/>
              </w:rPr>
              <w:t>15,360,889.98</w:t>
            </w:r>
          </w:p>
        </w:tc>
        <w:tc>
          <w:tcPr>
            <w:tcW w:w="1692"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52,463,832.19</w:t>
            </w:r>
          </w:p>
        </w:tc>
      </w:tr>
      <w:tr>
        <w:trPr>
          <w:trHeight w:val="286" w:hRule="exact"/>
        </w:trPr>
        <w:tc>
          <w:tcPr>
            <w:tcW w:w="5820" w:type="dxa"/>
            <w:tcBorders>
              <w:top w:val="nil" w:sz="6" w:space="0" w:color="auto"/>
              <w:left w:val="nil" w:sz="6" w:space="0" w:color="auto"/>
              <w:bottom w:val="nil" w:sz="6" w:space="0" w:color="auto"/>
              <w:right w:val="nil" w:sz="6" w:space="0" w:color="auto"/>
            </w:tcBorders>
          </w:tcPr>
          <w:p>
            <w:pPr>
              <w:pStyle w:val="TableParagraph"/>
              <w:spacing w:line="233" w:lineRule="exact"/>
              <w:ind w:left="120"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242" w:type="dxa"/>
            <w:tcBorders>
              <w:top w:val="nil" w:sz="6" w:space="0" w:color="auto"/>
              <w:left w:val="nil" w:sz="6" w:space="0" w:color="auto"/>
              <w:bottom w:val="nil" w:sz="6" w:space="0" w:color="auto"/>
              <w:right w:val="nil" w:sz="6" w:space="0" w:color="auto"/>
            </w:tcBorders>
          </w:tcPr>
          <w:p>
            <w:pPr>
              <w:pStyle w:val="TableParagraph"/>
              <w:spacing w:line="233" w:lineRule="exact"/>
              <w:ind w:right="128"/>
              <w:jc w:val="right"/>
              <w:rPr>
                <w:rFonts w:ascii="宋体" w:hAnsi="宋体" w:cs="宋体" w:eastAsia="宋体" w:hint="default"/>
                <w:sz w:val="18"/>
                <w:szCs w:val="18"/>
              </w:rPr>
            </w:pPr>
            <w:r>
              <w:rPr>
                <w:rFonts w:ascii="宋体"/>
                <w:spacing w:val="-1"/>
                <w:sz w:val="18"/>
              </w:rPr>
              <w:t>387,947.32</w:t>
            </w:r>
          </w:p>
        </w:tc>
        <w:tc>
          <w:tcPr>
            <w:tcW w:w="1692"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387,947.32</w:t>
            </w:r>
          </w:p>
        </w:tc>
      </w:tr>
      <w:tr>
        <w:trPr>
          <w:trHeight w:val="286" w:hRule="exact"/>
        </w:trPr>
        <w:tc>
          <w:tcPr>
            <w:tcW w:w="5820" w:type="dxa"/>
            <w:tcBorders>
              <w:top w:val="nil" w:sz="6" w:space="0" w:color="auto"/>
              <w:left w:val="nil" w:sz="6" w:space="0" w:color="auto"/>
              <w:bottom w:val="nil" w:sz="6" w:space="0" w:color="auto"/>
              <w:right w:val="nil" w:sz="6" w:space="0" w:color="auto"/>
            </w:tcBorders>
          </w:tcPr>
          <w:p>
            <w:pPr>
              <w:pStyle w:val="TableParagraph"/>
              <w:spacing w:line="233" w:lineRule="exact"/>
              <w:ind w:left="120" w:right="0"/>
              <w:jc w:val="left"/>
              <w:rPr>
                <w:rFonts w:ascii="宋体" w:hAnsi="宋体" w:cs="宋体" w:eastAsia="宋体" w:hint="default"/>
                <w:sz w:val="18"/>
                <w:szCs w:val="18"/>
              </w:rPr>
            </w:pPr>
            <w:r>
              <w:rPr>
                <w:rFonts w:ascii="宋体" w:hAnsi="宋体" w:cs="宋体" w:eastAsia="宋体" w:hint="default"/>
                <w:sz w:val="18"/>
                <w:szCs w:val="18"/>
              </w:rPr>
              <w:t>在建工程减值准备</w:t>
            </w:r>
          </w:p>
        </w:tc>
        <w:tc>
          <w:tcPr>
            <w:tcW w:w="2242" w:type="dxa"/>
            <w:tcBorders>
              <w:top w:val="nil" w:sz="6" w:space="0" w:color="auto"/>
              <w:left w:val="nil" w:sz="6" w:space="0" w:color="auto"/>
              <w:bottom w:val="nil" w:sz="6" w:space="0" w:color="auto"/>
              <w:right w:val="nil" w:sz="6" w:space="0" w:color="auto"/>
            </w:tcBorders>
          </w:tcPr>
          <w:p>
            <w:pPr>
              <w:pStyle w:val="TableParagraph"/>
              <w:spacing w:line="233" w:lineRule="exact"/>
              <w:ind w:right="128"/>
              <w:jc w:val="right"/>
              <w:rPr>
                <w:rFonts w:ascii="宋体" w:hAnsi="宋体" w:cs="宋体" w:eastAsia="宋体" w:hint="default"/>
                <w:sz w:val="18"/>
                <w:szCs w:val="18"/>
              </w:rPr>
            </w:pPr>
            <w:r>
              <w:rPr>
                <w:rFonts w:ascii="宋体"/>
                <w:spacing w:val="-1"/>
                <w:sz w:val="18"/>
              </w:rPr>
              <w:t>37,595.23</w:t>
            </w:r>
          </w:p>
        </w:tc>
        <w:tc>
          <w:tcPr>
            <w:tcW w:w="1692"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37,595.23</w:t>
            </w:r>
          </w:p>
        </w:tc>
      </w:tr>
      <w:tr>
        <w:trPr>
          <w:trHeight w:val="289" w:hRule="exact"/>
        </w:trPr>
        <w:tc>
          <w:tcPr>
            <w:tcW w:w="5820" w:type="dxa"/>
            <w:tcBorders>
              <w:top w:val="nil" w:sz="6" w:space="0" w:color="auto"/>
              <w:left w:val="nil" w:sz="6" w:space="0" w:color="auto"/>
              <w:bottom w:val="single" w:sz="2" w:space="0" w:color="000000"/>
              <w:right w:val="nil" w:sz="6" w:space="0" w:color="auto"/>
            </w:tcBorders>
          </w:tcPr>
          <w:p>
            <w:pPr>
              <w:pStyle w:val="TableParagraph"/>
              <w:spacing w:line="233" w:lineRule="exact"/>
              <w:ind w:left="120"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2242" w:type="dxa"/>
            <w:tcBorders>
              <w:top w:val="nil" w:sz="6" w:space="0" w:color="auto"/>
              <w:left w:val="nil" w:sz="6" w:space="0" w:color="auto"/>
              <w:bottom w:val="single" w:sz="2" w:space="0" w:color="000000"/>
              <w:right w:val="nil" w:sz="6" w:space="0" w:color="auto"/>
            </w:tcBorders>
          </w:tcPr>
          <w:p>
            <w:pPr>
              <w:pStyle w:val="TableParagraph"/>
              <w:spacing w:line="233" w:lineRule="exact"/>
              <w:ind w:right="127"/>
              <w:jc w:val="right"/>
              <w:rPr>
                <w:rFonts w:ascii="宋体" w:hAnsi="宋体" w:cs="宋体" w:eastAsia="宋体" w:hint="default"/>
                <w:sz w:val="18"/>
                <w:szCs w:val="18"/>
              </w:rPr>
            </w:pPr>
            <w:r>
              <w:rPr>
                <w:rFonts w:ascii="宋体"/>
                <w:sz w:val="18"/>
              </w:rPr>
              <w:t>0.00</w:t>
            </w:r>
          </w:p>
        </w:tc>
        <w:tc>
          <w:tcPr>
            <w:tcW w:w="1692" w:type="dxa"/>
            <w:tcBorders>
              <w:top w:val="nil" w:sz="6" w:space="0" w:color="auto"/>
              <w:left w:val="nil" w:sz="6" w:space="0" w:color="auto"/>
              <w:bottom w:val="single" w:sz="2" w:space="0" w:color="000000"/>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21,153,563.00</w:t>
            </w:r>
          </w:p>
        </w:tc>
      </w:tr>
      <w:tr>
        <w:trPr>
          <w:trHeight w:val="293" w:hRule="exact"/>
        </w:trPr>
        <w:tc>
          <w:tcPr>
            <w:tcW w:w="5820" w:type="dxa"/>
            <w:tcBorders>
              <w:top w:val="single" w:sz="2" w:space="0" w:color="000000"/>
              <w:left w:val="nil" w:sz="6" w:space="0" w:color="auto"/>
              <w:bottom w:val="single" w:sz="2" w:space="0" w:color="000000"/>
              <w:right w:val="nil" w:sz="6" w:space="0" w:color="auto"/>
            </w:tcBorders>
          </w:tcPr>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242" w:type="dxa"/>
            <w:tcBorders>
              <w:top w:val="single" w:sz="2" w:space="0" w:color="000000"/>
              <w:left w:val="nil" w:sz="6" w:space="0" w:color="auto"/>
              <w:bottom w:val="single" w:sz="2" w:space="0" w:color="000000"/>
              <w:right w:val="nil" w:sz="6" w:space="0" w:color="auto"/>
            </w:tcBorders>
          </w:tcPr>
          <w:p>
            <w:pPr>
              <w:pStyle w:val="TableParagraph"/>
              <w:spacing w:line="234" w:lineRule="exact"/>
              <w:ind w:right="129"/>
              <w:jc w:val="right"/>
              <w:rPr>
                <w:rFonts w:ascii="宋体" w:hAnsi="宋体" w:cs="宋体" w:eastAsia="宋体" w:hint="default"/>
                <w:sz w:val="18"/>
                <w:szCs w:val="18"/>
              </w:rPr>
            </w:pPr>
            <w:r>
              <w:rPr>
                <w:rFonts w:ascii="宋体"/>
                <w:b/>
                <w:w w:val="95"/>
                <w:sz w:val="18"/>
              </w:rPr>
              <w:t>3,402,783,096.49</w:t>
            </w:r>
            <w:r>
              <w:rPr>
                <w:rFonts w:ascii="宋体"/>
                <w:sz w:val="18"/>
              </w:rPr>
            </w:r>
          </w:p>
        </w:tc>
        <w:tc>
          <w:tcPr>
            <w:tcW w:w="1692" w:type="dxa"/>
            <w:tcBorders>
              <w:top w:val="single" w:sz="2" w:space="0" w:color="000000"/>
              <w:left w:val="nil" w:sz="6" w:space="0" w:color="auto"/>
              <w:bottom w:val="single" w:sz="2" w:space="0" w:color="000000"/>
              <w:right w:val="nil" w:sz="6" w:space="0" w:color="auto"/>
            </w:tcBorders>
          </w:tcPr>
          <w:p>
            <w:pPr>
              <w:pStyle w:val="TableParagraph"/>
              <w:spacing w:line="234" w:lineRule="exact"/>
              <w:ind w:right="109"/>
              <w:jc w:val="right"/>
              <w:rPr>
                <w:rFonts w:ascii="宋体" w:hAnsi="宋体" w:cs="宋体" w:eastAsia="宋体" w:hint="default"/>
                <w:sz w:val="18"/>
                <w:szCs w:val="18"/>
              </w:rPr>
            </w:pPr>
            <w:r>
              <w:rPr>
                <w:rFonts w:ascii="宋体"/>
                <w:b/>
                <w:w w:val="95"/>
                <w:sz w:val="18"/>
              </w:rPr>
              <w:t>2,318,049,118.89</w:t>
            </w:r>
            <w:r>
              <w:rPr>
                <w:rFonts w:ascii="宋体"/>
                <w:sz w:val="18"/>
              </w:rPr>
            </w:r>
          </w:p>
        </w:tc>
      </w:tr>
      <w:tr>
        <w:trPr>
          <w:trHeight w:val="287" w:hRule="exact"/>
        </w:trPr>
        <w:tc>
          <w:tcPr>
            <w:tcW w:w="5820" w:type="dxa"/>
            <w:tcBorders>
              <w:top w:val="single" w:sz="2" w:space="0" w:color="000000"/>
              <w:left w:val="nil" w:sz="6" w:space="0" w:color="auto"/>
              <w:bottom w:val="nil" w:sz="6" w:space="0" w:color="auto"/>
              <w:right w:val="nil" w:sz="6" w:space="0" w:color="auto"/>
            </w:tcBorders>
          </w:tcPr>
          <w:p>
            <w:pPr>
              <w:pStyle w:val="TableParagraph"/>
              <w:spacing w:line="232" w:lineRule="exact"/>
              <w:ind w:left="120" w:right="0"/>
              <w:jc w:val="left"/>
              <w:rPr>
                <w:rFonts w:ascii="宋体" w:hAnsi="宋体" w:cs="宋体" w:eastAsia="宋体" w:hint="default"/>
                <w:sz w:val="18"/>
                <w:szCs w:val="18"/>
              </w:rPr>
            </w:pPr>
            <w:r>
              <w:rPr>
                <w:rFonts w:ascii="宋体" w:hAnsi="宋体" w:cs="宋体" w:eastAsia="宋体" w:hint="default"/>
                <w:b/>
                <w:bCs/>
                <w:sz w:val="18"/>
                <w:szCs w:val="18"/>
              </w:rPr>
              <w:t>二、应纳税暂时性差异项目</w:t>
            </w:r>
            <w:r>
              <w:rPr>
                <w:rFonts w:ascii="宋体" w:hAnsi="宋体" w:cs="宋体" w:eastAsia="宋体" w:hint="default"/>
                <w:sz w:val="18"/>
                <w:szCs w:val="18"/>
              </w:rPr>
            </w:r>
          </w:p>
        </w:tc>
        <w:tc>
          <w:tcPr>
            <w:tcW w:w="2242" w:type="dxa"/>
            <w:tcBorders>
              <w:top w:val="single" w:sz="2" w:space="0" w:color="000000"/>
              <w:left w:val="nil" w:sz="6" w:space="0" w:color="auto"/>
              <w:bottom w:val="nil" w:sz="6" w:space="0" w:color="auto"/>
              <w:right w:val="nil" w:sz="6" w:space="0" w:color="auto"/>
            </w:tcBorders>
          </w:tcPr>
          <w:p>
            <w:pPr/>
          </w:p>
        </w:tc>
        <w:tc>
          <w:tcPr>
            <w:tcW w:w="1692" w:type="dxa"/>
            <w:tcBorders>
              <w:top w:val="single" w:sz="2" w:space="0" w:color="000000"/>
              <w:left w:val="nil" w:sz="6" w:space="0" w:color="auto"/>
              <w:bottom w:val="nil" w:sz="6" w:space="0" w:color="auto"/>
              <w:right w:val="nil" w:sz="6" w:space="0" w:color="auto"/>
            </w:tcBorders>
          </w:tcPr>
          <w:p>
            <w:pPr/>
          </w:p>
        </w:tc>
      </w:tr>
      <w:tr>
        <w:trPr>
          <w:trHeight w:val="286" w:hRule="exact"/>
        </w:trPr>
        <w:tc>
          <w:tcPr>
            <w:tcW w:w="5820" w:type="dxa"/>
            <w:tcBorders>
              <w:top w:val="nil" w:sz="6" w:space="0" w:color="auto"/>
              <w:left w:val="nil" w:sz="6" w:space="0" w:color="auto"/>
              <w:bottom w:val="nil" w:sz="6" w:space="0" w:color="auto"/>
              <w:right w:val="nil" w:sz="6" w:space="0" w:color="auto"/>
            </w:tcBorders>
          </w:tcPr>
          <w:p>
            <w:pPr>
              <w:pStyle w:val="TableParagraph"/>
              <w:spacing w:line="233" w:lineRule="exact"/>
              <w:ind w:left="120"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2242" w:type="dxa"/>
            <w:tcBorders>
              <w:top w:val="nil" w:sz="6" w:space="0" w:color="auto"/>
              <w:left w:val="nil" w:sz="6" w:space="0" w:color="auto"/>
              <w:bottom w:val="nil" w:sz="6" w:space="0" w:color="auto"/>
              <w:right w:val="nil" w:sz="6" w:space="0" w:color="auto"/>
            </w:tcBorders>
          </w:tcPr>
          <w:p>
            <w:pPr>
              <w:pStyle w:val="TableParagraph"/>
              <w:spacing w:line="233" w:lineRule="exact"/>
              <w:ind w:right="128"/>
              <w:jc w:val="right"/>
              <w:rPr>
                <w:rFonts w:ascii="宋体" w:hAnsi="宋体" w:cs="宋体" w:eastAsia="宋体" w:hint="default"/>
                <w:sz w:val="18"/>
                <w:szCs w:val="18"/>
              </w:rPr>
            </w:pPr>
            <w:r>
              <w:rPr>
                <w:rFonts w:ascii="宋体"/>
                <w:spacing w:val="-1"/>
                <w:sz w:val="18"/>
              </w:rPr>
              <w:t>936,705,255.21</w:t>
            </w:r>
          </w:p>
        </w:tc>
        <w:tc>
          <w:tcPr>
            <w:tcW w:w="1692" w:type="dxa"/>
            <w:tcBorders>
              <w:top w:val="nil" w:sz="6" w:space="0" w:color="auto"/>
              <w:left w:val="nil" w:sz="6" w:space="0" w:color="auto"/>
              <w:bottom w:val="nil" w:sz="6" w:space="0" w:color="auto"/>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spacing w:val="-1"/>
                <w:sz w:val="18"/>
              </w:rPr>
              <w:t>2,596,429,584.90</w:t>
            </w:r>
          </w:p>
        </w:tc>
      </w:tr>
      <w:tr>
        <w:trPr>
          <w:trHeight w:val="272" w:hRule="exact"/>
        </w:trPr>
        <w:tc>
          <w:tcPr>
            <w:tcW w:w="5820" w:type="dxa"/>
            <w:tcBorders>
              <w:top w:val="nil" w:sz="6" w:space="0" w:color="auto"/>
              <w:left w:val="nil" w:sz="6" w:space="0" w:color="auto"/>
              <w:bottom w:val="nil" w:sz="6" w:space="0" w:color="auto"/>
              <w:right w:val="nil" w:sz="6" w:space="0" w:color="auto"/>
            </w:tcBorders>
          </w:tcPr>
          <w:p>
            <w:pPr>
              <w:pStyle w:val="TableParagraph"/>
              <w:spacing w:line="233" w:lineRule="exact"/>
              <w:ind w:left="12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42" w:type="dxa"/>
            <w:tcBorders>
              <w:top w:val="nil" w:sz="6" w:space="0" w:color="auto"/>
              <w:left w:val="nil" w:sz="6" w:space="0" w:color="auto"/>
              <w:bottom w:val="nil" w:sz="6" w:space="0" w:color="auto"/>
              <w:right w:val="nil" w:sz="6" w:space="0" w:color="auto"/>
            </w:tcBorders>
          </w:tcPr>
          <w:p>
            <w:pPr>
              <w:pStyle w:val="TableParagraph"/>
              <w:spacing w:line="233" w:lineRule="exact"/>
              <w:ind w:right="128"/>
              <w:jc w:val="right"/>
              <w:rPr>
                <w:rFonts w:ascii="宋体" w:hAnsi="宋体" w:cs="宋体" w:eastAsia="宋体" w:hint="default"/>
                <w:sz w:val="18"/>
                <w:szCs w:val="18"/>
              </w:rPr>
            </w:pPr>
            <w:r>
              <w:rPr>
                <w:rFonts w:ascii="宋体"/>
                <w:spacing w:val="-1"/>
                <w:sz w:val="18"/>
              </w:rPr>
              <w:t>252,843,715.54</w:t>
            </w:r>
          </w:p>
        </w:tc>
        <w:tc>
          <w:tcPr>
            <w:tcW w:w="1692"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198,852,074.53</w:t>
            </w:r>
          </w:p>
        </w:tc>
      </w:tr>
      <w:tr>
        <w:trPr>
          <w:trHeight w:val="299" w:hRule="exact"/>
        </w:trPr>
        <w:tc>
          <w:tcPr>
            <w:tcW w:w="5820" w:type="dxa"/>
            <w:tcBorders>
              <w:top w:val="nil" w:sz="6" w:space="0" w:color="auto"/>
              <w:left w:val="nil" w:sz="6" w:space="0" w:color="auto"/>
              <w:bottom w:val="nil" w:sz="6" w:space="0" w:color="auto"/>
              <w:right w:val="nil" w:sz="6" w:space="0" w:color="auto"/>
            </w:tcBorders>
          </w:tcPr>
          <w:p>
            <w:pPr>
              <w:pStyle w:val="TableParagraph"/>
              <w:spacing w:line="220" w:lineRule="exact"/>
              <w:ind w:left="120" w:right="0"/>
              <w:jc w:val="left"/>
              <w:rPr>
                <w:rFonts w:ascii="宋体" w:hAnsi="宋体" w:cs="宋体" w:eastAsia="宋体" w:hint="default"/>
                <w:sz w:val="18"/>
                <w:szCs w:val="18"/>
              </w:rPr>
            </w:pPr>
            <w:r>
              <w:rPr>
                <w:rFonts w:ascii="宋体" w:hAnsi="宋体" w:cs="宋体" w:eastAsia="宋体" w:hint="default"/>
                <w:sz w:val="18"/>
                <w:szCs w:val="18"/>
              </w:rPr>
              <w:t>资产评估增值</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8"/>
              <w:jc w:val="right"/>
              <w:rPr>
                <w:rFonts w:ascii="宋体" w:hAnsi="宋体" w:cs="宋体" w:eastAsia="宋体" w:hint="default"/>
                <w:sz w:val="18"/>
                <w:szCs w:val="18"/>
              </w:rPr>
            </w:pPr>
            <w:r>
              <w:rPr>
                <w:rFonts w:ascii="宋体"/>
                <w:spacing w:val="-1"/>
                <w:sz w:val="18"/>
              </w:rPr>
              <w:t>164,394,905.36</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1"/>
              <w:jc w:val="right"/>
              <w:rPr>
                <w:rFonts w:ascii="宋体" w:hAnsi="宋体" w:cs="宋体" w:eastAsia="宋体" w:hint="default"/>
                <w:sz w:val="18"/>
                <w:szCs w:val="18"/>
              </w:rPr>
            </w:pPr>
            <w:r>
              <w:rPr>
                <w:rFonts w:ascii="宋体"/>
                <w:spacing w:val="-1"/>
                <w:sz w:val="18"/>
              </w:rPr>
              <w:t>9,205,286.23</w:t>
            </w:r>
          </w:p>
        </w:tc>
      </w:tr>
      <w:tr>
        <w:trPr>
          <w:trHeight w:val="287" w:hRule="exact"/>
        </w:trPr>
        <w:tc>
          <w:tcPr>
            <w:tcW w:w="5820" w:type="dxa"/>
            <w:tcBorders>
              <w:top w:val="nil" w:sz="6" w:space="0" w:color="auto"/>
              <w:left w:val="nil" w:sz="6" w:space="0" w:color="auto"/>
              <w:bottom w:val="nil" w:sz="6" w:space="0" w:color="auto"/>
              <w:right w:val="nil" w:sz="6" w:space="0" w:color="auto"/>
            </w:tcBorders>
          </w:tcPr>
          <w:p>
            <w:pPr>
              <w:pStyle w:val="TableParagraph"/>
              <w:spacing w:line="233" w:lineRule="exact"/>
              <w:ind w:left="120" w:right="0"/>
              <w:jc w:val="left"/>
              <w:rPr>
                <w:rFonts w:ascii="宋体" w:hAnsi="宋体" w:cs="宋体" w:eastAsia="宋体" w:hint="default"/>
                <w:sz w:val="18"/>
                <w:szCs w:val="18"/>
              </w:rPr>
            </w:pPr>
            <w:r>
              <w:rPr>
                <w:rFonts w:ascii="宋体" w:hAnsi="宋体" w:cs="宋体" w:eastAsia="宋体" w:hint="default"/>
                <w:sz w:val="18"/>
                <w:szCs w:val="18"/>
              </w:rPr>
              <w:t>未分配盈利之预扣税</w:t>
            </w:r>
          </w:p>
        </w:tc>
        <w:tc>
          <w:tcPr>
            <w:tcW w:w="2242" w:type="dxa"/>
            <w:tcBorders>
              <w:top w:val="nil" w:sz="6" w:space="0" w:color="auto"/>
              <w:left w:val="nil" w:sz="6" w:space="0" w:color="auto"/>
              <w:bottom w:val="nil" w:sz="6" w:space="0" w:color="auto"/>
              <w:right w:val="nil" w:sz="6" w:space="0" w:color="auto"/>
            </w:tcBorders>
          </w:tcPr>
          <w:p>
            <w:pPr>
              <w:pStyle w:val="TableParagraph"/>
              <w:spacing w:line="233" w:lineRule="exact"/>
              <w:ind w:right="128"/>
              <w:jc w:val="right"/>
              <w:rPr>
                <w:rFonts w:ascii="宋体" w:hAnsi="宋体" w:cs="宋体" w:eastAsia="宋体" w:hint="default"/>
                <w:sz w:val="18"/>
                <w:szCs w:val="18"/>
              </w:rPr>
            </w:pPr>
            <w:r>
              <w:rPr>
                <w:rFonts w:ascii="宋体"/>
                <w:spacing w:val="-1"/>
                <w:sz w:val="18"/>
              </w:rPr>
              <w:t>14,448,538.00</w:t>
            </w:r>
          </w:p>
        </w:tc>
        <w:tc>
          <w:tcPr>
            <w:tcW w:w="1692"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13,784,155.90</w:t>
            </w:r>
          </w:p>
        </w:tc>
      </w:tr>
      <w:tr>
        <w:trPr>
          <w:trHeight w:val="293" w:hRule="exact"/>
        </w:trPr>
        <w:tc>
          <w:tcPr>
            <w:tcW w:w="5820" w:type="dxa"/>
            <w:tcBorders>
              <w:top w:val="nil" w:sz="6" w:space="0" w:color="auto"/>
              <w:left w:val="nil" w:sz="6" w:space="0" w:color="auto"/>
              <w:bottom w:val="single" w:sz="4" w:space="0" w:color="000000"/>
              <w:right w:val="nil" w:sz="6" w:space="0" w:color="auto"/>
            </w:tcBorders>
          </w:tcPr>
          <w:p>
            <w:pPr>
              <w:pStyle w:val="TableParagraph"/>
              <w:spacing w:line="234" w:lineRule="exact"/>
              <w:ind w:left="120" w:right="0"/>
              <w:jc w:val="left"/>
              <w:rPr>
                <w:rFonts w:ascii="宋体" w:hAnsi="宋体" w:cs="宋体" w:eastAsia="宋体" w:hint="default"/>
                <w:sz w:val="18"/>
                <w:szCs w:val="18"/>
              </w:rPr>
            </w:pPr>
            <w:r>
              <w:rPr>
                <w:rFonts w:ascii="宋体" w:hAnsi="宋体" w:cs="宋体" w:eastAsia="宋体" w:hint="default"/>
                <w:sz w:val="18"/>
                <w:szCs w:val="18"/>
              </w:rPr>
              <w:t>境外子公司依据其所在地特殊税法规定确认的应纳税暂时性差异</w:t>
            </w:r>
          </w:p>
        </w:tc>
        <w:tc>
          <w:tcPr>
            <w:tcW w:w="2242" w:type="dxa"/>
            <w:tcBorders>
              <w:top w:val="nil" w:sz="6" w:space="0" w:color="auto"/>
              <w:left w:val="nil" w:sz="6" w:space="0" w:color="auto"/>
              <w:bottom w:val="single" w:sz="4" w:space="0" w:color="000000"/>
              <w:right w:val="nil" w:sz="6" w:space="0" w:color="auto"/>
            </w:tcBorders>
          </w:tcPr>
          <w:p>
            <w:pPr>
              <w:pStyle w:val="TableParagraph"/>
              <w:spacing w:line="234" w:lineRule="exact"/>
              <w:ind w:right="128"/>
              <w:jc w:val="right"/>
              <w:rPr>
                <w:rFonts w:ascii="宋体" w:hAnsi="宋体" w:cs="宋体" w:eastAsia="宋体" w:hint="default"/>
                <w:sz w:val="18"/>
                <w:szCs w:val="18"/>
              </w:rPr>
            </w:pPr>
            <w:r>
              <w:rPr>
                <w:rFonts w:ascii="宋体"/>
                <w:spacing w:val="-1"/>
                <w:sz w:val="18"/>
              </w:rPr>
              <w:t>7,331,655.99</w:t>
            </w:r>
          </w:p>
        </w:tc>
        <w:tc>
          <w:tcPr>
            <w:tcW w:w="1692" w:type="dxa"/>
            <w:tcBorders>
              <w:top w:val="nil" w:sz="6" w:space="0" w:color="auto"/>
              <w:left w:val="nil" w:sz="6" w:space="0" w:color="auto"/>
              <w:bottom w:val="single" w:sz="4" w:space="0" w:color="000000"/>
              <w:right w:val="nil" w:sz="6" w:space="0" w:color="auto"/>
            </w:tcBorders>
          </w:tcPr>
          <w:p>
            <w:pPr>
              <w:pStyle w:val="TableParagraph"/>
              <w:spacing w:line="234" w:lineRule="exact"/>
              <w:ind w:right="108"/>
              <w:jc w:val="right"/>
              <w:rPr>
                <w:rFonts w:ascii="宋体" w:hAnsi="宋体" w:cs="宋体" w:eastAsia="宋体" w:hint="default"/>
                <w:sz w:val="18"/>
                <w:szCs w:val="18"/>
              </w:rPr>
            </w:pPr>
            <w:r>
              <w:rPr>
                <w:rFonts w:ascii="宋体"/>
                <w:spacing w:val="-1"/>
                <w:sz w:val="18"/>
              </w:rPr>
              <w:t>5,413,696.33</w:t>
            </w:r>
          </w:p>
        </w:tc>
      </w:tr>
      <w:tr>
        <w:trPr>
          <w:trHeight w:val="295" w:hRule="exact"/>
        </w:trPr>
        <w:tc>
          <w:tcPr>
            <w:tcW w:w="5820"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20"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242"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29"/>
              <w:jc w:val="right"/>
              <w:rPr>
                <w:rFonts w:ascii="宋体" w:hAnsi="宋体" w:cs="宋体" w:eastAsia="宋体" w:hint="default"/>
                <w:sz w:val="18"/>
                <w:szCs w:val="18"/>
              </w:rPr>
            </w:pPr>
            <w:r>
              <w:rPr>
                <w:rFonts w:ascii="宋体"/>
                <w:b/>
                <w:w w:val="95"/>
                <w:sz w:val="18"/>
              </w:rPr>
              <w:t>1,375,724,070.11</w:t>
            </w:r>
            <w:r>
              <w:rPr>
                <w:rFonts w:ascii="宋体"/>
                <w:sz w:val="18"/>
              </w:rPr>
            </w:r>
          </w:p>
        </w:tc>
        <w:tc>
          <w:tcPr>
            <w:tcW w:w="1692"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09"/>
              <w:jc w:val="right"/>
              <w:rPr>
                <w:rFonts w:ascii="宋体" w:hAnsi="宋体" w:cs="宋体" w:eastAsia="宋体" w:hint="default"/>
                <w:sz w:val="18"/>
                <w:szCs w:val="18"/>
              </w:rPr>
            </w:pPr>
            <w:r>
              <w:rPr>
                <w:rFonts w:ascii="宋体"/>
                <w:b/>
                <w:w w:val="95"/>
                <w:sz w:val="18"/>
              </w:rPr>
              <w:t>2,823,684,797.89</w:t>
            </w:r>
            <w:r>
              <w:rPr>
                <w:rFonts w:ascii="宋体"/>
                <w:sz w:val="18"/>
              </w:rPr>
            </w:r>
          </w:p>
        </w:tc>
      </w:tr>
      <w:tr>
        <w:trPr>
          <w:trHeight w:val="289" w:hRule="exact"/>
        </w:trPr>
        <w:tc>
          <w:tcPr>
            <w:tcW w:w="5820" w:type="dxa"/>
            <w:tcBorders>
              <w:top w:val="single" w:sz="4" w:space="0" w:color="000000"/>
              <w:left w:val="nil" w:sz="6" w:space="0" w:color="auto"/>
              <w:bottom w:val="nil" w:sz="6" w:space="0" w:color="auto"/>
              <w:right w:val="nil" w:sz="6" w:space="0" w:color="auto"/>
            </w:tcBorders>
          </w:tcPr>
          <w:p>
            <w:pPr>
              <w:pStyle w:val="TableParagraph"/>
              <w:spacing w:line="232" w:lineRule="exact"/>
              <w:ind w:left="120" w:right="0"/>
              <w:jc w:val="left"/>
              <w:rPr>
                <w:rFonts w:ascii="宋体" w:hAnsi="宋体" w:cs="宋体" w:eastAsia="宋体" w:hint="default"/>
                <w:sz w:val="18"/>
                <w:szCs w:val="18"/>
              </w:rPr>
            </w:pPr>
            <w:r>
              <w:rPr>
                <w:rFonts w:ascii="宋体" w:hAnsi="宋体" w:cs="宋体" w:eastAsia="宋体" w:hint="default"/>
                <w:b/>
                <w:bCs/>
                <w:sz w:val="18"/>
                <w:szCs w:val="18"/>
              </w:rPr>
              <w:t>三、特殊暂时性差异项目</w:t>
            </w:r>
            <w:r>
              <w:rPr>
                <w:rFonts w:ascii="宋体" w:hAnsi="宋体" w:cs="宋体" w:eastAsia="宋体" w:hint="default"/>
                <w:sz w:val="18"/>
                <w:szCs w:val="18"/>
              </w:rPr>
            </w:r>
          </w:p>
        </w:tc>
        <w:tc>
          <w:tcPr>
            <w:tcW w:w="2242" w:type="dxa"/>
            <w:tcBorders>
              <w:top w:val="single" w:sz="4" w:space="0" w:color="000000"/>
              <w:left w:val="nil" w:sz="6" w:space="0" w:color="auto"/>
              <w:bottom w:val="nil" w:sz="6" w:space="0" w:color="auto"/>
              <w:right w:val="nil" w:sz="6" w:space="0" w:color="auto"/>
            </w:tcBorders>
          </w:tcPr>
          <w:p>
            <w:pPr/>
          </w:p>
        </w:tc>
        <w:tc>
          <w:tcPr>
            <w:tcW w:w="1692" w:type="dxa"/>
            <w:tcBorders>
              <w:top w:val="single" w:sz="4" w:space="0" w:color="000000"/>
              <w:left w:val="nil" w:sz="6" w:space="0" w:color="auto"/>
              <w:bottom w:val="nil" w:sz="6" w:space="0" w:color="auto"/>
              <w:right w:val="nil" w:sz="6" w:space="0" w:color="auto"/>
            </w:tcBorders>
          </w:tcPr>
          <w:p>
            <w:pPr/>
          </w:p>
        </w:tc>
      </w:tr>
      <w:tr>
        <w:trPr>
          <w:trHeight w:val="291" w:hRule="exact"/>
        </w:trPr>
        <w:tc>
          <w:tcPr>
            <w:tcW w:w="5820" w:type="dxa"/>
            <w:tcBorders>
              <w:top w:val="nil" w:sz="6" w:space="0" w:color="auto"/>
              <w:left w:val="nil" w:sz="6" w:space="0" w:color="auto"/>
              <w:bottom w:val="single" w:sz="2" w:space="0" w:color="000000"/>
              <w:right w:val="nil" w:sz="6" w:space="0" w:color="auto"/>
            </w:tcBorders>
          </w:tcPr>
          <w:p>
            <w:pPr>
              <w:pStyle w:val="TableParagraph"/>
              <w:spacing w:line="233" w:lineRule="exact"/>
              <w:ind w:left="120"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242" w:type="dxa"/>
            <w:tcBorders>
              <w:top w:val="nil" w:sz="6" w:space="0" w:color="auto"/>
              <w:left w:val="nil" w:sz="6" w:space="0" w:color="auto"/>
              <w:bottom w:val="single" w:sz="2" w:space="0" w:color="000000"/>
              <w:right w:val="nil" w:sz="6" w:space="0" w:color="auto"/>
            </w:tcBorders>
          </w:tcPr>
          <w:p>
            <w:pPr>
              <w:pStyle w:val="TableParagraph"/>
              <w:spacing w:line="233" w:lineRule="exact"/>
              <w:ind w:right="128"/>
              <w:jc w:val="right"/>
              <w:rPr>
                <w:rFonts w:ascii="宋体" w:hAnsi="宋体" w:cs="宋体" w:eastAsia="宋体" w:hint="default"/>
                <w:sz w:val="18"/>
                <w:szCs w:val="18"/>
              </w:rPr>
            </w:pPr>
            <w:r>
              <w:rPr>
                <w:rFonts w:ascii="宋体"/>
                <w:spacing w:val="-1"/>
                <w:sz w:val="18"/>
              </w:rPr>
              <w:t>3,433,428,711.54</w:t>
            </w:r>
          </w:p>
        </w:tc>
        <w:tc>
          <w:tcPr>
            <w:tcW w:w="1692" w:type="dxa"/>
            <w:tcBorders>
              <w:top w:val="nil" w:sz="6" w:space="0" w:color="auto"/>
              <w:left w:val="nil" w:sz="6" w:space="0" w:color="auto"/>
              <w:bottom w:val="single" w:sz="2" w:space="0" w:color="000000"/>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spacing w:val="-1"/>
                <w:sz w:val="18"/>
              </w:rPr>
              <w:t>1,915,379,934.10</w:t>
            </w:r>
          </w:p>
        </w:tc>
      </w:tr>
      <w:tr>
        <w:trPr>
          <w:trHeight w:val="302" w:hRule="exact"/>
        </w:trPr>
        <w:tc>
          <w:tcPr>
            <w:tcW w:w="5820" w:type="dxa"/>
            <w:tcBorders>
              <w:top w:val="single" w:sz="2" w:space="0" w:color="000000"/>
              <w:left w:val="nil" w:sz="6" w:space="0" w:color="auto"/>
              <w:bottom w:val="single" w:sz="12" w:space="0" w:color="000000"/>
              <w:right w:val="nil" w:sz="6" w:space="0" w:color="auto"/>
            </w:tcBorders>
          </w:tcPr>
          <w:p>
            <w:pPr>
              <w:pStyle w:val="TableParagraph"/>
              <w:spacing w:line="232" w:lineRule="exact"/>
              <w:ind w:left="120"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242" w:type="dxa"/>
            <w:tcBorders>
              <w:top w:val="single" w:sz="2" w:space="0" w:color="000000"/>
              <w:left w:val="nil" w:sz="6" w:space="0" w:color="auto"/>
              <w:bottom w:val="single" w:sz="12" w:space="0" w:color="000000"/>
              <w:right w:val="nil" w:sz="6" w:space="0" w:color="auto"/>
            </w:tcBorders>
          </w:tcPr>
          <w:p>
            <w:pPr>
              <w:pStyle w:val="TableParagraph"/>
              <w:spacing w:line="232" w:lineRule="exact"/>
              <w:ind w:right="129"/>
              <w:jc w:val="right"/>
              <w:rPr>
                <w:rFonts w:ascii="宋体" w:hAnsi="宋体" w:cs="宋体" w:eastAsia="宋体" w:hint="default"/>
                <w:sz w:val="18"/>
                <w:szCs w:val="18"/>
              </w:rPr>
            </w:pPr>
            <w:r>
              <w:rPr>
                <w:rFonts w:ascii="宋体"/>
                <w:b/>
                <w:w w:val="95"/>
                <w:sz w:val="18"/>
              </w:rPr>
              <w:t>3,433,428,711.54</w:t>
            </w:r>
            <w:r>
              <w:rPr>
                <w:rFonts w:ascii="宋体"/>
                <w:sz w:val="18"/>
              </w:rPr>
            </w:r>
          </w:p>
        </w:tc>
        <w:tc>
          <w:tcPr>
            <w:tcW w:w="1692" w:type="dxa"/>
            <w:tcBorders>
              <w:top w:val="single" w:sz="2" w:space="0" w:color="000000"/>
              <w:left w:val="nil" w:sz="6" w:space="0" w:color="auto"/>
              <w:bottom w:val="single" w:sz="12" w:space="0" w:color="000000"/>
              <w:right w:val="nil" w:sz="6" w:space="0" w:color="auto"/>
            </w:tcBorders>
          </w:tcPr>
          <w:p>
            <w:pPr>
              <w:pStyle w:val="TableParagraph"/>
              <w:spacing w:line="232" w:lineRule="exact"/>
              <w:ind w:right="109"/>
              <w:jc w:val="right"/>
              <w:rPr>
                <w:rFonts w:ascii="宋体" w:hAnsi="宋体" w:cs="宋体" w:eastAsia="宋体" w:hint="default"/>
                <w:sz w:val="18"/>
                <w:szCs w:val="18"/>
              </w:rPr>
            </w:pPr>
            <w:r>
              <w:rPr>
                <w:rFonts w:ascii="宋体"/>
                <w:b/>
                <w:w w:val="95"/>
                <w:sz w:val="18"/>
              </w:rPr>
              <w:t>1,915,379,934.10</w:t>
            </w:r>
            <w:r>
              <w:rPr>
                <w:rFonts w:ascii="宋体"/>
                <w:sz w:val="18"/>
              </w:rPr>
            </w:r>
          </w:p>
        </w:tc>
      </w:tr>
    </w:tbl>
    <w:p>
      <w:pPr>
        <w:spacing w:before="81"/>
        <w:ind w:left="11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 </w:t>
      </w:r>
      <w:r>
        <w:rPr>
          <w:rFonts w:ascii="Times New Roman" w:hAnsi="Times New Roman" w:cs="Times New Roman" w:eastAsia="Times New Roman" w:hint="default"/>
          <w:b/>
          <w:bCs/>
          <w:spacing w:val="13"/>
          <w:sz w:val="22"/>
          <w:szCs w:val="22"/>
        </w:rPr>
        <w:t> </w:t>
      </w:r>
      <w:r>
        <w:rPr>
          <w:rFonts w:ascii="宋体" w:hAnsi="宋体" w:cs="宋体" w:eastAsia="宋体" w:hint="default"/>
          <w:sz w:val="22"/>
          <w:szCs w:val="22"/>
        </w:rPr>
        <w:t>其他非流动资产</w:t>
      </w:r>
    </w:p>
    <w:p>
      <w:pPr>
        <w:spacing w:line="240" w:lineRule="auto" w:before="8"/>
        <w:rPr>
          <w:rFonts w:ascii="宋体" w:hAnsi="宋体" w:cs="宋体" w:eastAsia="宋体" w:hint="default"/>
          <w:sz w:val="11"/>
          <w:szCs w:val="11"/>
        </w:rPr>
      </w:pPr>
    </w:p>
    <w:tbl>
      <w:tblPr>
        <w:tblW w:w="0" w:type="auto"/>
        <w:jc w:val="left"/>
        <w:tblInd w:w="634" w:type="dxa"/>
        <w:tblLayout w:type="fixed"/>
        <w:tblCellMar>
          <w:top w:w="0" w:type="dxa"/>
          <w:left w:w="0" w:type="dxa"/>
          <w:bottom w:w="0" w:type="dxa"/>
          <w:right w:w="0" w:type="dxa"/>
        </w:tblCellMar>
        <w:tblLook w:val="01E0"/>
      </w:tblPr>
      <w:tblGrid>
        <w:gridCol w:w="2894"/>
        <w:gridCol w:w="3797"/>
        <w:gridCol w:w="2034"/>
      </w:tblGrid>
      <w:tr>
        <w:trPr>
          <w:trHeight w:val="305" w:hRule="exact"/>
        </w:trPr>
        <w:tc>
          <w:tcPr>
            <w:tcW w:w="289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9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420"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03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5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bl>
    <w:p>
      <w:pPr>
        <w:spacing w:after="0" w:line="232" w:lineRule="exact"/>
        <w:jc w:val="left"/>
        <w:rPr>
          <w:rFonts w:ascii="宋体" w:hAnsi="宋体" w:cs="宋体" w:eastAsia="宋体" w:hint="default"/>
          <w:sz w:val="18"/>
          <w:szCs w:val="18"/>
        </w:rPr>
        <w:sectPr>
          <w:pgSz w:w="11910" w:h="16840"/>
          <w:pgMar w:header="0" w:footer="1054" w:top="1320" w:bottom="1240" w:left="960" w:right="980"/>
        </w:sectPr>
      </w:pPr>
    </w:p>
    <w:p>
      <w:pPr>
        <w:spacing w:line="240" w:lineRule="auto" w:before="6"/>
        <w:rPr>
          <w:rFonts w:ascii="宋体" w:hAnsi="宋体" w:cs="宋体" w:eastAsia="宋体" w:hint="default"/>
          <w:sz w:val="6"/>
          <w:szCs w:val="6"/>
        </w:rPr>
      </w:pPr>
      <w:r>
        <w:rPr/>
        <w:pict>
          <v:group style="position:absolute;margin-left:207.289993pt;margin-top:452.569977pt;width:225.8pt;height:1pt;mso-position-horizontal-relative:page;mso-position-vertical-relative:page;z-index:-1225960" coordorigin="4146,9051" coordsize="4516,20">
            <v:group style="position:absolute;left:4155;top:9061;width:1613;height:2" coordorigin="4155,9061" coordsize="1613,2">
              <v:shape style="position:absolute;left:4155;top:9061;width:1613;height:2" coordorigin="4155,9061" coordsize="1613,0" path="m4155,9061l5768,9061e" filled="false" stroked="true" strokeweight=".96002pt" strokecolor="#000000">
                <v:path arrowok="t"/>
              </v:shape>
            </v:group>
            <v:group style="position:absolute;left:5768;top:9061;width:20;height:2" coordorigin="5768,9061" coordsize="20,2">
              <v:shape style="position:absolute;left:5768;top:9061;width:20;height:2" coordorigin="5768,9061" coordsize="20,0" path="m5768,9061l5787,9061e" filled="false" stroked="true" strokeweight=".96002pt" strokecolor="#000000">
                <v:path arrowok="t"/>
              </v:shape>
            </v:group>
            <v:group style="position:absolute;left:5787;top:9061;width:1376;height:2" coordorigin="5787,9061" coordsize="1376,2">
              <v:shape style="position:absolute;left:5787;top:9061;width:1376;height:2" coordorigin="5787,9061" coordsize="1376,0" path="m5787,9061l7163,9061e" filled="false" stroked="true" strokeweight=".96002pt" strokecolor="#000000">
                <v:path arrowok="t"/>
              </v:shape>
            </v:group>
            <v:group style="position:absolute;left:7163;top:9061;width:20;height:2" coordorigin="7163,9061" coordsize="20,2">
              <v:shape style="position:absolute;left:7163;top:9061;width:20;height:2" coordorigin="7163,9061" coordsize="20,0" path="m7163,9061l7182,9061e" filled="false" stroked="true" strokeweight=".96002pt" strokecolor="#000000">
                <v:path arrowok="t"/>
              </v:shape>
            </v:group>
            <v:group style="position:absolute;left:7182;top:9061;width:1470;height:2" coordorigin="7182,9061" coordsize="1470,2">
              <v:shape style="position:absolute;left:7182;top:9061;width:1470;height:2" coordorigin="7182,9061" coordsize="1470,0" path="m7182,9061l8651,9061e" filled="false" stroked="true" strokeweight=".96002pt" strokecolor="#000000">
                <v:path arrowok="t"/>
              </v:shape>
            </v:group>
            <w10:wrap type="none"/>
          </v:group>
        </w:pict>
      </w:r>
    </w:p>
    <w:tbl>
      <w:tblPr>
        <w:tblW w:w="0" w:type="auto"/>
        <w:jc w:val="left"/>
        <w:tblInd w:w="134" w:type="dxa"/>
        <w:tblLayout w:type="fixed"/>
        <w:tblCellMar>
          <w:top w:w="0" w:type="dxa"/>
          <w:left w:w="0" w:type="dxa"/>
          <w:bottom w:w="0" w:type="dxa"/>
          <w:right w:w="0" w:type="dxa"/>
        </w:tblCellMar>
        <w:tblLook w:val="01E0"/>
      </w:tblPr>
      <w:tblGrid>
        <w:gridCol w:w="4691"/>
        <w:gridCol w:w="2274"/>
        <w:gridCol w:w="1760"/>
      </w:tblGrid>
      <w:tr>
        <w:trPr>
          <w:trHeight w:val="288" w:hRule="exact"/>
        </w:trPr>
        <w:tc>
          <w:tcPr>
            <w:tcW w:w="4691"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中石化混合所有制改革资产管理计划</w:t>
            </w:r>
          </w:p>
        </w:tc>
        <w:tc>
          <w:tcPr>
            <w:tcW w:w="2274" w:type="dxa"/>
            <w:tcBorders>
              <w:top w:val="single" w:sz="4" w:space="0" w:color="000000"/>
              <w:left w:val="nil" w:sz="6" w:space="0" w:color="auto"/>
              <w:bottom w:val="nil" w:sz="6" w:space="0" w:color="auto"/>
              <w:right w:val="nil" w:sz="6" w:space="0" w:color="auto"/>
            </w:tcBorders>
          </w:tcPr>
          <w:p>
            <w:pPr>
              <w:pStyle w:val="TableParagraph"/>
              <w:spacing w:line="232" w:lineRule="exact"/>
              <w:ind w:right="378"/>
              <w:jc w:val="right"/>
              <w:rPr>
                <w:rFonts w:ascii="宋体" w:hAnsi="宋体" w:cs="宋体" w:eastAsia="宋体" w:hint="default"/>
                <w:sz w:val="18"/>
                <w:szCs w:val="18"/>
              </w:rPr>
            </w:pPr>
            <w:r>
              <w:rPr>
                <w:rFonts w:ascii="宋体"/>
                <w:spacing w:val="-1"/>
                <w:sz w:val="18"/>
              </w:rPr>
              <w:t>290,988,660.00</w:t>
            </w:r>
          </w:p>
        </w:tc>
        <w:tc>
          <w:tcPr>
            <w:tcW w:w="1760" w:type="dxa"/>
            <w:tcBorders>
              <w:top w:val="single" w:sz="4" w:space="0" w:color="000000"/>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271,166,358.02</w:t>
            </w:r>
          </w:p>
        </w:tc>
      </w:tr>
      <w:tr>
        <w:trPr>
          <w:trHeight w:val="285" w:hRule="exact"/>
        </w:trPr>
        <w:tc>
          <w:tcPr>
            <w:tcW w:w="469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北京同方以衡创业投资中心</w:t>
            </w:r>
          </w:p>
        </w:tc>
        <w:tc>
          <w:tcPr>
            <w:tcW w:w="2274" w:type="dxa"/>
            <w:tcBorders>
              <w:top w:val="nil" w:sz="6" w:space="0" w:color="auto"/>
              <w:left w:val="nil" w:sz="6" w:space="0" w:color="auto"/>
              <w:bottom w:val="nil" w:sz="6" w:space="0" w:color="auto"/>
              <w:right w:val="nil" w:sz="6" w:space="0" w:color="auto"/>
            </w:tcBorders>
          </w:tcPr>
          <w:p>
            <w:pPr>
              <w:pStyle w:val="TableParagraph"/>
              <w:spacing w:line="232" w:lineRule="exact"/>
              <w:ind w:right="378"/>
              <w:jc w:val="right"/>
              <w:rPr>
                <w:rFonts w:ascii="宋体" w:hAnsi="宋体" w:cs="宋体" w:eastAsia="宋体" w:hint="default"/>
                <w:sz w:val="18"/>
                <w:szCs w:val="18"/>
              </w:rPr>
            </w:pPr>
            <w:r>
              <w:rPr>
                <w:rFonts w:ascii="宋体"/>
                <w:spacing w:val="-1"/>
                <w:sz w:val="18"/>
              </w:rPr>
              <w:t>140,284,064.79</w:t>
            </w:r>
          </w:p>
        </w:tc>
        <w:tc>
          <w:tcPr>
            <w:tcW w:w="1760"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142,368,823.22</w:t>
            </w:r>
          </w:p>
        </w:tc>
      </w:tr>
      <w:tr>
        <w:trPr>
          <w:trHeight w:val="286" w:hRule="exact"/>
        </w:trPr>
        <w:tc>
          <w:tcPr>
            <w:tcW w:w="4691"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青岛嘉鸿壹号创业投资基金</w:t>
            </w:r>
          </w:p>
        </w:tc>
        <w:tc>
          <w:tcPr>
            <w:tcW w:w="2274" w:type="dxa"/>
            <w:tcBorders>
              <w:top w:val="nil" w:sz="6" w:space="0" w:color="auto"/>
              <w:left w:val="nil" w:sz="6" w:space="0" w:color="auto"/>
              <w:bottom w:val="nil" w:sz="6" w:space="0" w:color="auto"/>
              <w:right w:val="nil" w:sz="6" w:space="0" w:color="auto"/>
            </w:tcBorders>
          </w:tcPr>
          <w:p>
            <w:pPr>
              <w:pStyle w:val="TableParagraph"/>
              <w:spacing w:line="233" w:lineRule="exact"/>
              <w:ind w:right="378"/>
              <w:jc w:val="right"/>
              <w:rPr>
                <w:rFonts w:ascii="宋体" w:hAnsi="宋体" w:cs="宋体" w:eastAsia="宋体" w:hint="default"/>
                <w:sz w:val="18"/>
                <w:szCs w:val="18"/>
              </w:rPr>
            </w:pPr>
            <w:r>
              <w:rPr>
                <w:rFonts w:ascii="宋体"/>
                <w:spacing w:val="-1"/>
                <w:sz w:val="18"/>
              </w:rPr>
              <w:t>92,098,523.33</w:t>
            </w:r>
          </w:p>
        </w:tc>
        <w:tc>
          <w:tcPr>
            <w:tcW w:w="1760"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99,256,466.80</w:t>
            </w:r>
          </w:p>
        </w:tc>
      </w:tr>
      <w:tr>
        <w:trPr>
          <w:trHeight w:val="286" w:hRule="exact"/>
        </w:trPr>
        <w:tc>
          <w:tcPr>
            <w:tcW w:w="4691"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中车同方（天津）股权投资基金合伙企业</w:t>
            </w:r>
          </w:p>
        </w:tc>
        <w:tc>
          <w:tcPr>
            <w:tcW w:w="2274" w:type="dxa"/>
            <w:tcBorders>
              <w:top w:val="nil" w:sz="6" w:space="0" w:color="auto"/>
              <w:left w:val="nil" w:sz="6" w:space="0" w:color="auto"/>
              <w:bottom w:val="nil" w:sz="6" w:space="0" w:color="auto"/>
              <w:right w:val="nil" w:sz="6" w:space="0" w:color="auto"/>
            </w:tcBorders>
          </w:tcPr>
          <w:p>
            <w:pPr>
              <w:pStyle w:val="TableParagraph"/>
              <w:spacing w:line="233" w:lineRule="exact"/>
              <w:ind w:right="378"/>
              <w:jc w:val="right"/>
              <w:rPr>
                <w:rFonts w:ascii="宋体" w:hAnsi="宋体" w:cs="宋体" w:eastAsia="宋体" w:hint="default"/>
                <w:sz w:val="18"/>
                <w:szCs w:val="18"/>
              </w:rPr>
            </w:pPr>
            <w:r>
              <w:rPr>
                <w:rFonts w:ascii="宋体"/>
                <w:spacing w:val="-1"/>
                <w:sz w:val="18"/>
              </w:rPr>
              <w:t>90,813,533.78</w:t>
            </w:r>
          </w:p>
        </w:tc>
        <w:tc>
          <w:tcPr>
            <w:tcW w:w="1760"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62,776,539.84</w:t>
            </w:r>
          </w:p>
        </w:tc>
      </w:tr>
      <w:tr>
        <w:trPr>
          <w:trHeight w:val="284" w:hRule="exact"/>
        </w:trPr>
        <w:tc>
          <w:tcPr>
            <w:tcW w:w="4691"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华控基石（天津）创业投资合伙企业</w:t>
            </w:r>
          </w:p>
        </w:tc>
        <w:tc>
          <w:tcPr>
            <w:tcW w:w="2274" w:type="dxa"/>
            <w:tcBorders>
              <w:top w:val="nil" w:sz="6" w:space="0" w:color="auto"/>
              <w:left w:val="nil" w:sz="6" w:space="0" w:color="auto"/>
              <w:bottom w:val="nil" w:sz="6" w:space="0" w:color="auto"/>
              <w:right w:val="nil" w:sz="6" w:space="0" w:color="auto"/>
            </w:tcBorders>
          </w:tcPr>
          <w:p>
            <w:pPr>
              <w:pStyle w:val="TableParagraph"/>
              <w:spacing w:line="233" w:lineRule="exact"/>
              <w:ind w:right="378"/>
              <w:jc w:val="right"/>
              <w:rPr>
                <w:rFonts w:ascii="宋体" w:hAnsi="宋体" w:cs="宋体" w:eastAsia="宋体" w:hint="default"/>
                <w:sz w:val="18"/>
                <w:szCs w:val="18"/>
              </w:rPr>
            </w:pPr>
            <w:r>
              <w:rPr>
                <w:rFonts w:ascii="宋体"/>
                <w:spacing w:val="-1"/>
                <w:sz w:val="18"/>
              </w:rPr>
              <w:t>19,173,288.33</w:t>
            </w:r>
          </w:p>
        </w:tc>
        <w:tc>
          <w:tcPr>
            <w:tcW w:w="1760"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19,609,754.28</w:t>
            </w:r>
          </w:p>
        </w:tc>
      </w:tr>
      <w:tr>
        <w:trPr>
          <w:trHeight w:val="284" w:hRule="exact"/>
        </w:trPr>
        <w:tc>
          <w:tcPr>
            <w:tcW w:w="469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苏州清弘环创投资合伙企业（有限合伙）</w:t>
            </w:r>
          </w:p>
        </w:tc>
        <w:tc>
          <w:tcPr>
            <w:tcW w:w="2274" w:type="dxa"/>
            <w:tcBorders>
              <w:top w:val="nil" w:sz="6" w:space="0" w:color="auto"/>
              <w:left w:val="nil" w:sz="6" w:space="0" w:color="auto"/>
              <w:bottom w:val="nil" w:sz="6" w:space="0" w:color="auto"/>
              <w:right w:val="nil" w:sz="6" w:space="0" w:color="auto"/>
            </w:tcBorders>
          </w:tcPr>
          <w:p>
            <w:pPr>
              <w:pStyle w:val="TableParagraph"/>
              <w:spacing w:line="232" w:lineRule="exact"/>
              <w:ind w:right="378"/>
              <w:jc w:val="right"/>
              <w:rPr>
                <w:rFonts w:ascii="宋体" w:hAnsi="宋体" w:cs="宋体" w:eastAsia="宋体" w:hint="default"/>
                <w:sz w:val="18"/>
                <w:szCs w:val="18"/>
              </w:rPr>
            </w:pPr>
            <w:r>
              <w:rPr>
                <w:rFonts w:ascii="宋体"/>
                <w:spacing w:val="-1"/>
                <w:sz w:val="18"/>
              </w:rPr>
              <w:t>13,523,489.78</w:t>
            </w:r>
          </w:p>
        </w:tc>
        <w:tc>
          <w:tcPr>
            <w:tcW w:w="1760"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6" w:hRule="exact"/>
        </w:trPr>
        <w:tc>
          <w:tcPr>
            <w:tcW w:w="4691"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青岛嘉鸿投资管理中心（有限合伙）</w:t>
            </w:r>
          </w:p>
        </w:tc>
        <w:tc>
          <w:tcPr>
            <w:tcW w:w="2274" w:type="dxa"/>
            <w:tcBorders>
              <w:top w:val="nil" w:sz="6" w:space="0" w:color="auto"/>
              <w:left w:val="nil" w:sz="6" w:space="0" w:color="auto"/>
              <w:bottom w:val="nil" w:sz="6" w:space="0" w:color="auto"/>
              <w:right w:val="nil" w:sz="6" w:space="0" w:color="auto"/>
            </w:tcBorders>
          </w:tcPr>
          <w:p>
            <w:pPr>
              <w:pStyle w:val="TableParagraph"/>
              <w:spacing w:line="233" w:lineRule="exact"/>
              <w:ind w:right="378"/>
              <w:jc w:val="right"/>
              <w:rPr>
                <w:rFonts w:ascii="宋体" w:hAnsi="宋体" w:cs="宋体" w:eastAsia="宋体" w:hint="default"/>
                <w:sz w:val="18"/>
                <w:szCs w:val="18"/>
              </w:rPr>
            </w:pPr>
            <w:r>
              <w:rPr>
                <w:rFonts w:ascii="宋体"/>
                <w:spacing w:val="-1"/>
                <w:sz w:val="18"/>
              </w:rPr>
              <w:t>4,975,000.00</w:t>
            </w:r>
          </w:p>
        </w:tc>
        <w:tc>
          <w:tcPr>
            <w:tcW w:w="1760"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0.00</w:t>
            </w:r>
          </w:p>
        </w:tc>
      </w:tr>
      <w:tr>
        <w:trPr>
          <w:trHeight w:val="286" w:hRule="exact"/>
        </w:trPr>
        <w:tc>
          <w:tcPr>
            <w:tcW w:w="4691"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北京同方刀郎新兴产业投资合伙企业（有限合伙）</w:t>
            </w:r>
          </w:p>
        </w:tc>
        <w:tc>
          <w:tcPr>
            <w:tcW w:w="2274" w:type="dxa"/>
            <w:tcBorders>
              <w:top w:val="nil" w:sz="6" w:space="0" w:color="auto"/>
              <w:left w:val="nil" w:sz="6" w:space="0" w:color="auto"/>
              <w:bottom w:val="nil" w:sz="6" w:space="0" w:color="auto"/>
              <w:right w:val="nil" w:sz="6" w:space="0" w:color="auto"/>
            </w:tcBorders>
          </w:tcPr>
          <w:p>
            <w:pPr>
              <w:pStyle w:val="TableParagraph"/>
              <w:spacing w:line="233" w:lineRule="exact"/>
              <w:ind w:right="378"/>
              <w:jc w:val="right"/>
              <w:rPr>
                <w:rFonts w:ascii="宋体" w:hAnsi="宋体" w:cs="宋体" w:eastAsia="宋体" w:hint="default"/>
                <w:sz w:val="18"/>
                <w:szCs w:val="18"/>
              </w:rPr>
            </w:pPr>
            <w:r>
              <w:rPr>
                <w:rFonts w:ascii="宋体"/>
                <w:spacing w:val="-1"/>
                <w:sz w:val="18"/>
              </w:rPr>
              <w:t>2,015,978.97</w:t>
            </w:r>
          </w:p>
        </w:tc>
        <w:tc>
          <w:tcPr>
            <w:tcW w:w="1760"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0.00</w:t>
            </w:r>
          </w:p>
        </w:tc>
      </w:tr>
      <w:tr>
        <w:trPr>
          <w:trHeight w:val="291" w:hRule="exact"/>
        </w:trPr>
        <w:tc>
          <w:tcPr>
            <w:tcW w:w="4691"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2274" w:type="dxa"/>
            <w:tcBorders>
              <w:top w:val="nil" w:sz="6" w:space="0" w:color="auto"/>
              <w:left w:val="nil" w:sz="6" w:space="0" w:color="auto"/>
              <w:bottom w:val="single" w:sz="4" w:space="0" w:color="000000"/>
              <w:right w:val="nil" w:sz="6" w:space="0" w:color="auto"/>
            </w:tcBorders>
          </w:tcPr>
          <w:p>
            <w:pPr>
              <w:pStyle w:val="TableParagraph"/>
              <w:spacing w:line="233" w:lineRule="exact"/>
              <w:ind w:right="378"/>
              <w:jc w:val="right"/>
              <w:rPr>
                <w:rFonts w:ascii="宋体" w:hAnsi="宋体" w:cs="宋体" w:eastAsia="宋体" w:hint="default"/>
                <w:sz w:val="18"/>
                <w:szCs w:val="18"/>
              </w:rPr>
            </w:pPr>
            <w:r>
              <w:rPr>
                <w:rFonts w:ascii="宋体"/>
                <w:spacing w:val="-1"/>
                <w:sz w:val="18"/>
              </w:rPr>
              <w:t>222,306,093.90</w:t>
            </w:r>
          </w:p>
        </w:tc>
        <w:tc>
          <w:tcPr>
            <w:tcW w:w="1760" w:type="dxa"/>
            <w:tcBorders>
              <w:top w:val="nil" w:sz="6" w:space="0" w:color="auto"/>
              <w:left w:val="nil" w:sz="6" w:space="0" w:color="auto"/>
              <w:bottom w:val="single" w:sz="4" w:space="0" w:color="000000"/>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62,608,179.00</w:t>
            </w:r>
          </w:p>
        </w:tc>
      </w:tr>
      <w:tr>
        <w:trPr>
          <w:trHeight w:val="305" w:hRule="exact"/>
        </w:trPr>
        <w:tc>
          <w:tcPr>
            <w:tcW w:w="4691"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74"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379"/>
              <w:jc w:val="right"/>
              <w:rPr>
                <w:rFonts w:ascii="宋体" w:hAnsi="宋体" w:cs="宋体" w:eastAsia="宋体" w:hint="default"/>
                <w:sz w:val="18"/>
                <w:szCs w:val="18"/>
              </w:rPr>
            </w:pPr>
            <w:r>
              <w:rPr>
                <w:rFonts w:ascii="宋体"/>
                <w:b/>
                <w:w w:val="95"/>
                <w:sz w:val="18"/>
              </w:rPr>
              <w:t>876,178,632.88</w:t>
            </w:r>
            <w:r>
              <w:rPr>
                <w:rFonts w:ascii="宋体"/>
                <w:sz w:val="18"/>
              </w:rPr>
            </w:r>
          </w:p>
        </w:tc>
        <w:tc>
          <w:tcPr>
            <w:tcW w:w="1760"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657,786,121.16</w:t>
            </w:r>
            <w:r>
              <w:rPr>
                <w:rFonts w:ascii="宋体"/>
                <w:sz w:val="18"/>
              </w:rPr>
            </w:r>
          </w:p>
        </w:tc>
      </w:tr>
    </w:tbl>
    <w:p>
      <w:pPr>
        <w:spacing w:before="81"/>
        <w:ind w:left="6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21.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资产减值准备</w:t>
      </w:r>
    </w:p>
    <w:p>
      <w:pPr>
        <w:spacing w:line="240" w:lineRule="auto" w:before="8"/>
        <w:rPr>
          <w:rFonts w:ascii="宋体" w:hAnsi="宋体" w:cs="宋体" w:eastAsia="宋体" w:hint="default"/>
          <w:sz w:val="11"/>
          <w:szCs w:val="11"/>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2622;height:2" coordorigin="14,14" coordsize="2622,2">
              <v:shape style="position:absolute;left:14;top:14;width:2622;height:2" coordorigin="14,14" coordsize="2622,0" path="m14,14l2636,14e" filled="false" stroked="true" strokeweight="1.44pt" strokecolor="#000000">
                <v:path arrowok="t"/>
              </v:shape>
            </v:group>
            <v:group style="position:absolute;left:2636;top:14;width:29;height:2" coordorigin="2636,14" coordsize="29,2">
              <v:shape style="position:absolute;left:2636;top:14;width:29;height:2" coordorigin="2636,14" coordsize="29,0" path="m2636,14l2665,14e" filled="false" stroked="true" strokeweight="1.44pt" strokecolor="#000000">
                <v:path arrowok="t"/>
              </v:shape>
            </v:group>
            <v:group style="position:absolute;left:2665;top:14;width:1642;height:2" coordorigin="2665,14" coordsize="1642,2">
              <v:shape style="position:absolute;left:2665;top:14;width:1642;height:2" coordorigin="2665,14" coordsize="1642,0" path="m2665,14l4306,14e" filled="false" stroked="true" strokeweight="1.44pt" strokecolor="#000000">
                <v:path arrowok="t"/>
              </v:shape>
            </v:group>
            <v:group style="position:absolute;left:4306;top:14;width:29;height:2" coordorigin="4306,14" coordsize="29,2">
              <v:shape style="position:absolute;left:4306;top:14;width:29;height:2" coordorigin="4306,14" coordsize="29,0" path="m4306,14l4335,14e" filled="false" stroked="true" strokeweight="1.44pt" strokecolor="#000000">
                <v:path arrowok="t"/>
              </v:shape>
            </v:group>
            <v:group style="position:absolute;left:4335;top:14;width:4405;height:2" coordorigin="4335,14" coordsize="4405,2">
              <v:shape style="position:absolute;left:4335;top:14;width:4405;height:2" coordorigin="4335,14" coordsize="4405,0" path="m4335,14l8740,14e" filled="false" stroked="true" strokeweight="1.44pt" strokecolor="#000000">
                <v:path arrowok="t"/>
              </v:shape>
            </v:group>
          </v:group>
        </w:pict>
      </w:r>
      <w:r>
        <w:rPr>
          <w:rFonts w:ascii="宋体" w:hAnsi="宋体" w:cs="宋体" w:eastAsia="宋体" w:hint="default"/>
          <w:position w:val="0"/>
          <w:sz w:val="2"/>
          <w:szCs w:val="2"/>
        </w:rPr>
      </w:r>
    </w:p>
    <w:p>
      <w:pPr>
        <w:spacing w:before="11"/>
        <w:ind w:left="0" w:right="1937" w:firstLine="0"/>
        <w:jc w:val="right"/>
        <w:rPr>
          <w:rFonts w:ascii="宋体" w:hAnsi="宋体" w:cs="宋体" w:eastAsia="宋体" w:hint="default"/>
          <w:sz w:val="18"/>
          <w:szCs w:val="18"/>
        </w:rPr>
      </w:pPr>
      <w:r>
        <w:rPr/>
        <w:pict>
          <v:group style="position:absolute;margin-left:293.809998pt;margin-top:15.861682pt;width:222.65pt;height:1pt;mso-position-horizontal-relative:page;mso-position-vertical-relative:paragraph;z-index:-1225984" coordorigin="5876,317" coordsize="4453,20">
            <v:group style="position:absolute;left:5886;top:327;width:1669;height:2" coordorigin="5886,327" coordsize="1669,2">
              <v:shape style="position:absolute;left:5886;top:327;width:1669;height:2" coordorigin="5886,327" coordsize="1669,0" path="m5886,327l7554,327e" filled="false" stroked="true" strokeweight=".96002pt" strokecolor="#000000">
                <v:path arrowok="t"/>
              </v:shape>
            </v:group>
            <v:group style="position:absolute;left:7554;top:327;width:20;height:2" coordorigin="7554,327" coordsize="20,2">
              <v:shape style="position:absolute;left:7554;top:327;width:20;height:2" coordorigin="7554,327" coordsize="20,0" path="m7554,327l7573,327e" filled="false" stroked="true" strokeweight=".96002pt" strokecolor="#000000">
                <v:path arrowok="t"/>
              </v:shape>
            </v:group>
            <v:group style="position:absolute;left:7573;top:327;width:1304;height:2" coordorigin="7573,327" coordsize="1304,2">
              <v:shape style="position:absolute;left:7573;top:327;width:1304;height:2" coordorigin="7573,327" coordsize="1304,0" path="m7573,327l8877,327e" filled="false" stroked="true" strokeweight=".96002pt" strokecolor="#000000">
                <v:path arrowok="t"/>
              </v:shape>
            </v:group>
            <v:group style="position:absolute;left:8877;top:327;width:20;height:2" coordorigin="8877,327" coordsize="20,2">
              <v:shape style="position:absolute;left:8877;top:327;width:20;height:2" coordorigin="8877,327" coordsize="20,0" path="m8877,327l8896,327e" filled="false" stroked="true" strokeweight=".96002pt" strokecolor="#000000">
                <v:path arrowok="t"/>
              </v:shape>
            </v:group>
            <v:group style="position:absolute;left:8896;top:327;width:1424;height:2" coordorigin="8896,327" coordsize="1424,2">
              <v:shape style="position:absolute;left:8896;top:327;width:1424;height:2" coordorigin="8896,327" coordsize="1424,0" path="m8896,327l10320,327e" filled="false" stroked="true" strokeweight=".96002pt" strokecolor="#000000">
                <v:path arrowok="t"/>
              </v:shape>
            </v:group>
            <w10:wrap type="none"/>
          </v:group>
        </w:pict>
      </w:r>
      <w:r>
        <w:rPr>
          <w:rFonts w:ascii="宋体" w:hAnsi="宋体" w:cs="宋体" w:eastAsia="宋体" w:hint="default"/>
          <w:b/>
          <w:bCs/>
          <w:w w:val="95"/>
          <w:sz w:val="18"/>
          <w:szCs w:val="18"/>
        </w:rPr>
        <w:t>本年增加</w:t>
      </w:r>
      <w:r>
        <w:rPr>
          <w:rFonts w:ascii="宋体" w:hAnsi="宋体" w:cs="宋体" w:eastAsia="宋体" w:hint="default"/>
          <w:sz w:val="18"/>
          <w:szCs w:val="18"/>
        </w:rPr>
      </w:r>
    </w:p>
    <w:tbl>
      <w:tblPr>
        <w:tblW w:w="0" w:type="auto"/>
        <w:jc w:val="left"/>
        <w:tblInd w:w="134" w:type="dxa"/>
        <w:tblLayout w:type="fixed"/>
        <w:tblCellMar>
          <w:top w:w="0" w:type="dxa"/>
          <w:left w:w="0" w:type="dxa"/>
          <w:bottom w:w="0" w:type="dxa"/>
          <w:right w:w="0" w:type="dxa"/>
        </w:tblCellMar>
        <w:tblLook w:val="01E0"/>
      </w:tblPr>
      <w:tblGrid>
        <w:gridCol w:w="2500"/>
        <w:gridCol w:w="1732"/>
        <w:gridCol w:w="2931"/>
        <w:gridCol w:w="1562"/>
      </w:tblGrid>
      <w:tr>
        <w:trPr>
          <w:trHeight w:val="422" w:hRule="exact"/>
        </w:trPr>
        <w:tc>
          <w:tcPr>
            <w:tcW w:w="2500" w:type="dxa"/>
            <w:tcBorders>
              <w:top w:val="nil" w:sz="6" w:space="0" w:color="auto"/>
              <w:left w:val="nil" w:sz="6" w:space="0" w:color="auto"/>
              <w:bottom w:val="single" w:sz="6" w:space="0" w:color="000000"/>
              <w:right w:val="nil" w:sz="6" w:space="0" w:color="auto"/>
            </w:tcBorders>
          </w:tcPr>
          <w:p>
            <w:pPr>
              <w:pStyle w:val="TableParagraph"/>
              <w:spacing w:line="166" w:lineRule="exact"/>
              <w:ind w:left="12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32" w:type="dxa"/>
            <w:tcBorders>
              <w:top w:val="nil" w:sz="6" w:space="0" w:color="auto"/>
              <w:left w:val="nil" w:sz="6" w:space="0" w:color="auto"/>
              <w:bottom w:val="single" w:sz="6" w:space="0" w:color="000000"/>
              <w:right w:val="nil" w:sz="6" w:space="0" w:color="auto"/>
            </w:tcBorders>
          </w:tcPr>
          <w:p>
            <w:pPr>
              <w:pStyle w:val="TableParagraph"/>
              <w:spacing w:line="166" w:lineRule="exact"/>
              <w:ind w:left="63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931" w:type="dxa"/>
            <w:tcBorders>
              <w:top w:val="nil" w:sz="6" w:space="0" w:color="auto"/>
              <w:left w:val="nil" w:sz="6" w:space="0" w:color="auto"/>
              <w:bottom w:val="single" w:sz="6" w:space="0" w:color="000000"/>
              <w:right w:val="nil" w:sz="6" w:space="0" w:color="auto"/>
            </w:tcBorders>
          </w:tcPr>
          <w:p>
            <w:pPr>
              <w:pStyle w:val="TableParagraph"/>
              <w:tabs>
                <w:tab w:pos="2073" w:val="left" w:leader="none"/>
              </w:tabs>
              <w:spacing w:line="240" w:lineRule="auto" w:before="103"/>
              <w:ind w:left="578" w:right="0"/>
              <w:jc w:val="left"/>
              <w:rPr>
                <w:rFonts w:ascii="宋体" w:hAnsi="宋体" w:cs="宋体" w:eastAsia="宋体" w:hint="default"/>
                <w:sz w:val="18"/>
                <w:szCs w:val="18"/>
              </w:rPr>
            </w:pPr>
            <w:r>
              <w:rPr>
                <w:rFonts w:ascii="宋体" w:hAnsi="宋体" w:cs="宋体" w:eastAsia="宋体" w:hint="default"/>
                <w:b/>
                <w:bCs/>
                <w:w w:val="95"/>
                <w:sz w:val="18"/>
                <w:szCs w:val="18"/>
              </w:rPr>
              <w:t>本年计提</w:t>
              <w:tab/>
            </w:r>
            <w:r>
              <w:rPr>
                <w:rFonts w:ascii="宋体" w:hAnsi="宋体" w:cs="宋体" w:eastAsia="宋体" w:hint="default"/>
                <w:b/>
                <w:bCs/>
                <w:sz w:val="18"/>
                <w:szCs w:val="18"/>
              </w:rPr>
              <w:t>合并增加</w:t>
            </w:r>
            <w:r>
              <w:rPr>
                <w:rFonts w:ascii="宋体" w:hAnsi="宋体" w:cs="宋体" w:eastAsia="宋体" w:hint="default"/>
                <w:sz w:val="18"/>
                <w:szCs w:val="18"/>
              </w:rPr>
            </w:r>
          </w:p>
        </w:tc>
        <w:tc>
          <w:tcPr>
            <w:tcW w:w="1562" w:type="dxa"/>
            <w:tcBorders>
              <w:top w:val="nil" w:sz="6" w:space="0" w:color="auto"/>
              <w:left w:val="nil" w:sz="6" w:space="0" w:color="auto"/>
              <w:bottom w:val="single" w:sz="6" w:space="0" w:color="000000"/>
              <w:right w:val="nil" w:sz="6" w:space="0" w:color="auto"/>
            </w:tcBorders>
          </w:tcPr>
          <w:p>
            <w:pPr>
              <w:pStyle w:val="TableParagraph"/>
              <w:spacing w:line="240" w:lineRule="auto" w:before="103"/>
              <w:ind w:left="523"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r>
      <w:tr>
        <w:trPr>
          <w:trHeight w:val="292" w:hRule="exact"/>
        </w:trPr>
        <w:tc>
          <w:tcPr>
            <w:tcW w:w="2500" w:type="dxa"/>
            <w:tcBorders>
              <w:top w:val="single" w:sz="6" w:space="0" w:color="000000"/>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坏账减值准备</w:t>
            </w:r>
          </w:p>
        </w:tc>
        <w:tc>
          <w:tcPr>
            <w:tcW w:w="1732" w:type="dxa"/>
            <w:tcBorders>
              <w:top w:val="single" w:sz="6" w:space="0" w:color="000000"/>
              <w:left w:val="nil" w:sz="6" w:space="0" w:color="auto"/>
              <w:bottom w:val="nil" w:sz="6" w:space="0" w:color="auto"/>
              <w:right w:val="nil" w:sz="6" w:space="0" w:color="auto"/>
            </w:tcBorders>
          </w:tcPr>
          <w:p>
            <w:pPr>
              <w:pStyle w:val="TableParagraph"/>
              <w:spacing w:line="217" w:lineRule="exact"/>
              <w:ind w:right="48"/>
              <w:jc w:val="right"/>
              <w:rPr>
                <w:rFonts w:ascii="宋体" w:hAnsi="宋体" w:cs="宋体" w:eastAsia="宋体" w:hint="default"/>
                <w:sz w:val="18"/>
                <w:szCs w:val="18"/>
              </w:rPr>
            </w:pPr>
            <w:r>
              <w:rPr>
                <w:rFonts w:ascii="宋体"/>
                <w:spacing w:val="-1"/>
                <w:sz w:val="18"/>
              </w:rPr>
              <w:t>1,930,522,509.80</w:t>
            </w:r>
          </w:p>
        </w:tc>
        <w:tc>
          <w:tcPr>
            <w:tcW w:w="2931" w:type="dxa"/>
            <w:tcBorders>
              <w:top w:val="single" w:sz="6" w:space="0" w:color="000000"/>
              <w:left w:val="nil" w:sz="6" w:space="0" w:color="auto"/>
              <w:bottom w:val="nil" w:sz="6" w:space="0" w:color="auto"/>
              <w:right w:val="nil" w:sz="6" w:space="0" w:color="auto"/>
            </w:tcBorders>
          </w:tcPr>
          <w:p>
            <w:pPr>
              <w:pStyle w:val="TableParagraph"/>
              <w:tabs>
                <w:tab w:pos="1682" w:val="left" w:leader="none"/>
              </w:tabs>
              <w:spacing w:line="217" w:lineRule="exact"/>
              <w:ind w:right="-10"/>
              <w:jc w:val="right"/>
              <w:rPr>
                <w:rFonts w:ascii="宋体" w:hAnsi="宋体" w:cs="宋体" w:eastAsia="宋体" w:hint="default"/>
                <w:sz w:val="18"/>
                <w:szCs w:val="18"/>
              </w:rPr>
            </w:pPr>
            <w:r>
              <w:rPr>
                <w:rFonts w:ascii="宋体"/>
                <w:spacing w:val="-1"/>
                <w:sz w:val="18"/>
              </w:rPr>
              <w:t>558,680,134.34</w:t>
              <w:tab/>
              <w:t>243,480.61</w:t>
            </w:r>
          </w:p>
        </w:tc>
        <w:tc>
          <w:tcPr>
            <w:tcW w:w="1562" w:type="dxa"/>
            <w:tcBorders>
              <w:top w:val="single" w:sz="6" w:space="0" w:color="000000"/>
              <w:left w:val="nil" w:sz="6" w:space="0" w:color="auto"/>
              <w:bottom w:val="nil" w:sz="6" w:space="0" w:color="auto"/>
              <w:right w:val="nil" w:sz="6" w:space="0" w:color="auto"/>
            </w:tcBorders>
          </w:tcPr>
          <w:p>
            <w:pPr>
              <w:pStyle w:val="TableParagraph"/>
              <w:spacing w:line="217" w:lineRule="exact"/>
              <w:ind w:right="108"/>
              <w:jc w:val="right"/>
              <w:rPr>
                <w:rFonts w:ascii="宋体" w:hAnsi="宋体" w:cs="宋体" w:eastAsia="宋体" w:hint="default"/>
                <w:sz w:val="18"/>
                <w:szCs w:val="18"/>
              </w:rPr>
            </w:pPr>
            <w:r>
              <w:rPr>
                <w:rFonts w:ascii="宋体"/>
                <w:spacing w:val="-1"/>
                <w:sz w:val="18"/>
              </w:rPr>
              <w:t>22,301,133.79</w:t>
            </w:r>
          </w:p>
        </w:tc>
      </w:tr>
      <w:tr>
        <w:trPr>
          <w:trHeight w:val="286"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732" w:type="dxa"/>
            <w:tcBorders>
              <w:top w:val="nil" w:sz="6" w:space="0" w:color="auto"/>
              <w:left w:val="nil" w:sz="6" w:space="0" w:color="auto"/>
              <w:bottom w:val="nil" w:sz="6" w:space="0" w:color="auto"/>
              <w:right w:val="nil" w:sz="6" w:space="0" w:color="auto"/>
            </w:tcBorders>
          </w:tcPr>
          <w:p>
            <w:pPr>
              <w:pStyle w:val="TableParagraph"/>
              <w:spacing w:line="218" w:lineRule="exact"/>
              <w:ind w:right="48"/>
              <w:jc w:val="right"/>
              <w:rPr>
                <w:rFonts w:ascii="宋体" w:hAnsi="宋体" w:cs="宋体" w:eastAsia="宋体" w:hint="default"/>
                <w:sz w:val="18"/>
                <w:szCs w:val="18"/>
              </w:rPr>
            </w:pPr>
            <w:r>
              <w:rPr>
                <w:rFonts w:ascii="宋体"/>
                <w:spacing w:val="-1"/>
                <w:sz w:val="18"/>
              </w:rPr>
              <w:t>753,565,122.15</w:t>
            </w:r>
          </w:p>
        </w:tc>
        <w:tc>
          <w:tcPr>
            <w:tcW w:w="2931" w:type="dxa"/>
            <w:tcBorders>
              <w:top w:val="nil" w:sz="6" w:space="0" w:color="auto"/>
              <w:left w:val="nil" w:sz="6" w:space="0" w:color="auto"/>
              <w:bottom w:val="nil" w:sz="6" w:space="0" w:color="auto"/>
              <w:right w:val="nil" w:sz="6" w:space="0" w:color="auto"/>
            </w:tcBorders>
          </w:tcPr>
          <w:p>
            <w:pPr>
              <w:pStyle w:val="TableParagraph"/>
              <w:tabs>
                <w:tab w:pos="2220" w:val="left" w:leader="none"/>
              </w:tabs>
              <w:spacing w:line="218" w:lineRule="exact"/>
              <w:ind w:right="-11"/>
              <w:jc w:val="right"/>
              <w:rPr>
                <w:rFonts w:ascii="宋体" w:hAnsi="宋体" w:cs="宋体" w:eastAsia="宋体" w:hint="default"/>
                <w:sz w:val="18"/>
                <w:szCs w:val="18"/>
              </w:rPr>
            </w:pPr>
            <w:r>
              <w:rPr>
                <w:rFonts w:ascii="宋体"/>
                <w:spacing w:val="-1"/>
                <w:sz w:val="18"/>
              </w:rPr>
              <w:t>588,542,921.10</w:t>
              <w:tab/>
            </w:r>
            <w:r>
              <w:rPr>
                <w:rFonts w:ascii="宋体"/>
                <w:sz w:val="18"/>
              </w:rPr>
              <w:t>0.00</w:t>
            </w:r>
          </w:p>
        </w:tc>
        <w:tc>
          <w:tcPr>
            <w:tcW w:w="1562" w:type="dxa"/>
            <w:tcBorders>
              <w:top w:val="nil" w:sz="6" w:space="0" w:color="auto"/>
              <w:left w:val="nil" w:sz="6" w:space="0" w:color="auto"/>
              <w:bottom w:val="nil" w:sz="6" w:space="0" w:color="auto"/>
              <w:right w:val="nil" w:sz="6" w:space="0" w:color="auto"/>
            </w:tcBorders>
          </w:tcPr>
          <w:p>
            <w:pPr>
              <w:pStyle w:val="TableParagraph"/>
              <w:spacing w:line="218" w:lineRule="exact"/>
              <w:ind w:right="110"/>
              <w:jc w:val="right"/>
              <w:rPr>
                <w:rFonts w:ascii="宋体" w:hAnsi="宋体" w:cs="宋体" w:eastAsia="宋体" w:hint="default"/>
                <w:sz w:val="18"/>
                <w:szCs w:val="18"/>
              </w:rPr>
            </w:pPr>
            <w:r>
              <w:rPr>
                <w:rFonts w:ascii="宋体"/>
                <w:spacing w:val="-1"/>
                <w:sz w:val="18"/>
              </w:rPr>
              <w:t>2,382,346.30</w:t>
            </w:r>
          </w:p>
        </w:tc>
      </w:tr>
      <w:tr>
        <w:trPr>
          <w:trHeight w:val="284"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可供出售金融资产减值准备</w:t>
            </w:r>
          </w:p>
        </w:tc>
        <w:tc>
          <w:tcPr>
            <w:tcW w:w="1732" w:type="dxa"/>
            <w:tcBorders>
              <w:top w:val="nil" w:sz="6" w:space="0" w:color="auto"/>
              <w:left w:val="nil" w:sz="6" w:space="0" w:color="auto"/>
              <w:bottom w:val="nil" w:sz="6" w:space="0" w:color="auto"/>
              <w:right w:val="nil" w:sz="6" w:space="0" w:color="auto"/>
            </w:tcBorders>
          </w:tcPr>
          <w:p>
            <w:pPr>
              <w:pStyle w:val="TableParagraph"/>
              <w:spacing w:line="218" w:lineRule="exact"/>
              <w:ind w:right="48"/>
              <w:jc w:val="right"/>
              <w:rPr>
                <w:rFonts w:ascii="宋体" w:hAnsi="宋体" w:cs="宋体" w:eastAsia="宋体" w:hint="default"/>
                <w:sz w:val="18"/>
                <w:szCs w:val="18"/>
              </w:rPr>
            </w:pPr>
            <w:r>
              <w:rPr>
                <w:rFonts w:ascii="宋体"/>
                <w:spacing w:val="-1"/>
                <w:sz w:val="18"/>
              </w:rPr>
              <w:t>1,777,840.46</w:t>
            </w:r>
          </w:p>
        </w:tc>
        <w:tc>
          <w:tcPr>
            <w:tcW w:w="2931" w:type="dxa"/>
            <w:tcBorders>
              <w:top w:val="nil" w:sz="6" w:space="0" w:color="auto"/>
              <w:left w:val="nil" w:sz="6" w:space="0" w:color="auto"/>
              <w:bottom w:val="nil" w:sz="6" w:space="0" w:color="auto"/>
              <w:right w:val="nil" w:sz="6" w:space="0" w:color="auto"/>
            </w:tcBorders>
          </w:tcPr>
          <w:p>
            <w:pPr>
              <w:pStyle w:val="TableParagraph"/>
              <w:tabs>
                <w:tab w:pos="1502" w:val="left" w:leader="none"/>
              </w:tabs>
              <w:spacing w:line="218" w:lineRule="exact"/>
              <w:ind w:right="-10"/>
              <w:jc w:val="right"/>
              <w:rPr>
                <w:rFonts w:ascii="宋体" w:hAnsi="宋体" w:cs="宋体" w:eastAsia="宋体" w:hint="default"/>
                <w:sz w:val="18"/>
                <w:szCs w:val="18"/>
              </w:rPr>
            </w:pPr>
            <w:r>
              <w:rPr>
                <w:rFonts w:ascii="宋体"/>
                <w:spacing w:val="-1"/>
                <w:sz w:val="18"/>
              </w:rPr>
              <w:t>312,710,141.09</w:t>
              <w:tab/>
              <w:t>1,500,000.00</w:t>
            </w:r>
          </w:p>
        </w:tc>
        <w:tc>
          <w:tcPr>
            <w:tcW w:w="1562" w:type="dxa"/>
            <w:tcBorders>
              <w:top w:val="nil" w:sz="6" w:space="0" w:color="auto"/>
              <w:left w:val="nil" w:sz="6" w:space="0" w:color="auto"/>
              <w:bottom w:val="nil" w:sz="6" w:space="0" w:color="auto"/>
              <w:right w:val="nil" w:sz="6" w:space="0" w:color="auto"/>
            </w:tcBorders>
          </w:tcPr>
          <w:p>
            <w:pPr>
              <w:pStyle w:val="TableParagraph"/>
              <w:spacing w:line="218" w:lineRule="exact"/>
              <w:ind w:right="109"/>
              <w:jc w:val="right"/>
              <w:rPr>
                <w:rFonts w:ascii="宋体" w:hAnsi="宋体" w:cs="宋体" w:eastAsia="宋体" w:hint="default"/>
                <w:sz w:val="18"/>
                <w:szCs w:val="18"/>
              </w:rPr>
            </w:pPr>
            <w:r>
              <w:rPr>
                <w:rFonts w:ascii="宋体"/>
                <w:sz w:val="18"/>
              </w:rPr>
              <w:t>0.00</w:t>
            </w:r>
          </w:p>
        </w:tc>
      </w:tr>
      <w:tr>
        <w:trPr>
          <w:trHeight w:val="284"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1732" w:type="dxa"/>
            <w:tcBorders>
              <w:top w:val="nil" w:sz="6" w:space="0" w:color="auto"/>
              <w:left w:val="nil" w:sz="6" w:space="0" w:color="auto"/>
              <w:bottom w:val="nil" w:sz="6" w:space="0" w:color="auto"/>
              <w:right w:val="nil" w:sz="6" w:space="0" w:color="auto"/>
            </w:tcBorders>
          </w:tcPr>
          <w:p>
            <w:pPr>
              <w:pStyle w:val="TableParagraph"/>
              <w:spacing w:line="217" w:lineRule="exact"/>
              <w:ind w:right="48"/>
              <w:jc w:val="right"/>
              <w:rPr>
                <w:rFonts w:ascii="宋体" w:hAnsi="宋体" w:cs="宋体" w:eastAsia="宋体" w:hint="default"/>
                <w:sz w:val="18"/>
                <w:szCs w:val="18"/>
              </w:rPr>
            </w:pPr>
            <w:r>
              <w:rPr>
                <w:rFonts w:ascii="宋体"/>
                <w:spacing w:val="-1"/>
                <w:sz w:val="18"/>
              </w:rPr>
              <w:t>372,229,037.18</w:t>
            </w:r>
          </w:p>
        </w:tc>
        <w:tc>
          <w:tcPr>
            <w:tcW w:w="2931" w:type="dxa"/>
            <w:tcBorders>
              <w:top w:val="nil" w:sz="6" w:space="0" w:color="auto"/>
              <w:left w:val="nil" w:sz="6" w:space="0" w:color="auto"/>
              <w:bottom w:val="nil" w:sz="6" w:space="0" w:color="auto"/>
              <w:right w:val="nil" w:sz="6" w:space="0" w:color="auto"/>
            </w:tcBorders>
          </w:tcPr>
          <w:p>
            <w:pPr>
              <w:pStyle w:val="TableParagraph"/>
              <w:tabs>
                <w:tab w:pos="2400" w:val="left" w:leader="none"/>
              </w:tabs>
              <w:spacing w:line="217" w:lineRule="exact"/>
              <w:ind w:right="-11"/>
              <w:jc w:val="right"/>
              <w:rPr>
                <w:rFonts w:ascii="宋体" w:hAnsi="宋体" w:cs="宋体" w:eastAsia="宋体" w:hint="default"/>
                <w:sz w:val="18"/>
                <w:szCs w:val="18"/>
              </w:rPr>
            </w:pPr>
            <w:r>
              <w:rPr>
                <w:rFonts w:ascii="宋体"/>
                <w:spacing w:val="-1"/>
                <w:sz w:val="18"/>
              </w:rPr>
              <w:t>1,045,419,865.78</w:t>
              <w:tab/>
            </w:r>
            <w:r>
              <w:rPr>
                <w:rFonts w:ascii="宋体"/>
                <w:sz w:val="18"/>
              </w:rPr>
              <w:t>0.00</w:t>
            </w:r>
          </w:p>
        </w:tc>
        <w:tc>
          <w:tcPr>
            <w:tcW w:w="1562" w:type="dxa"/>
            <w:tcBorders>
              <w:top w:val="nil" w:sz="6" w:space="0" w:color="auto"/>
              <w:left w:val="nil" w:sz="6" w:space="0" w:color="auto"/>
              <w:bottom w:val="nil" w:sz="6" w:space="0" w:color="auto"/>
              <w:right w:val="nil" w:sz="6" w:space="0" w:color="auto"/>
            </w:tcBorders>
          </w:tcPr>
          <w:p>
            <w:pPr>
              <w:pStyle w:val="TableParagraph"/>
              <w:spacing w:line="217" w:lineRule="exact"/>
              <w:ind w:right="110"/>
              <w:jc w:val="right"/>
              <w:rPr>
                <w:rFonts w:ascii="宋体" w:hAnsi="宋体" w:cs="宋体" w:eastAsia="宋体" w:hint="default"/>
                <w:sz w:val="18"/>
                <w:szCs w:val="18"/>
              </w:rPr>
            </w:pPr>
            <w:r>
              <w:rPr>
                <w:rFonts w:ascii="宋体"/>
                <w:spacing w:val="-1"/>
                <w:sz w:val="18"/>
              </w:rPr>
              <w:t>117,175.72</w:t>
            </w:r>
          </w:p>
        </w:tc>
      </w:tr>
      <w:tr>
        <w:trPr>
          <w:trHeight w:val="286"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732" w:type="dxa"/>
            <w:tcBorders>
              <w:top w:val="nil" w:sz="6" w:space="0" w:color="auto"/>
              <w:left w:val="nil" w:sz="6" w:space="0" w:color="auto"/>
              <w:bottom w:val="nil" w:sz="6" w:space="0" w:color="auto"/>
              <w:right w:val="nil" w:sz="6" w:space="0" w:color="auto"/>
            </w:tcBorders>
          </w:tcPr>
          <w:p>
            <w:pPr>
              <w:pStyle w:val="TableParagraph"/>
              <w:spacing w:line="218" w:lineRule="exact"/>
              <w:ind w:right="48"/>
              <w:jc w:val="right"/>
              <w:rPr>
                <w:rFonts w:ascii="宋体" w:hAnsi="宋体" w:cs="宋体" w:eastAsia="宋体" w:hint="default"/>
                <w:sz w:val="18"/>
                <w:szCs w:val="18"/>
              </w:rPr>
            </w:pPr>
            <w:r>
              <w:rPr>
                <w:rFonts w:ascii="宋体"/>
                <w:spacing w:val="-1"/>
                <w:sz w:val="18"/>
              </w:rPr>
              <w:t>692,438,455.28</w:t>
            </w:r>
          </w:p>
        </w:tc>
        <w:tc>
          <w:tcPr>
            <w:tcW w:w="2931" w:type="dxa"/>
            <w:tcBorders>
              <w:top w:val="nil" w:sz="6" w:space="0" w:color="auto"/>
              <w:left w:val="nil" w:sz="6" w:space="0" w:color="auto"/>
              <w:bottom w:val="nil" w:sz="6" w:space="0" w:color="auto"/>
              <w:right w:val="nil" w:sz="6" w:space="0" w:color="auto"/>
            </w:tcBorders>
          </w:tcPr>
          <w:p>
            <w:pPr>
              <w:pStyle w:val="TableParagraph"/>
              <w:tabs>
                <w:tab w:pos="1322" w:val="left" w:leader="none"/>
              </w:tabs>
              <w:spacing w:line="218" w:lineRule="exact"/>
              <w:ind w:right="-11"/>
              <w:jc w:val="right"/>
              <w:rPr>
                <w:rFonts w:ascii="宋体" w:hAnsi="宋体" w:cs="宋体" w:eastAsia="宋体" w:hint="default"/>
                <w:sz w:val="18"/>
                <w:szCs w:val="18"/>
              </w:rPr>
            </w:pPr>
            <w:r>
              <w:rPr>
                <w:rFonts w:ascii="宋体"/>
                <w:sz w:val="18"/>
              </w:rPr>
              <w:t>0.00</w:t>
              <w:tab/>
              <w:t>0.00</w:t>
            </w:r>
          </w:p>
        </w:tc>
        <w:tc>
          <w:tcPr>
            <w:tcW w:w="1562" w:type="dxa"/>
            <w:tcBorders>
              <w:top w:val="nil" w:sz="6" w:space="0" w:color="auto"/>
              <w:left w:val="nil" w:sz="6" w:space="0" w:color="auto"/>
              <w:bottom w:val="nil" w:sz="6" w:space="0" w:color="auto"/>
              <w:right w:val="nil" w:sz="6" w:space="0" w:color="auto"/>
            </w:tcBorders>
          </w:tcPr>
          <w:p>
            <w:pPr>
              <w:pStyle w:val="TableParagraph"/>
              <w:spacing w:line="218" w:lineRule="exact"/>
              <w:ind w:right="109"/>
              <w:jc w:val="right"/>
              <w:rPr>
                <w:rFonts w:ascii="宋体" w:hAnsi="宋体" w:cs="宋体" w:eastAsia="宋体" w:hint="default"/>
                <w:sz w:val="18"/>
                <w:szCs w:val="18"/>
              </w:rPr>
            </w:pPr>
            <w:r>
              <w:rPr>
                <w:rFonts w:ascii="宋体"/>
                <w:sz w:val="18"/>
              </w:rPr>
              <w:t>0.00</w:t>
            </w:r>
          </w:p>
        </w:tc>
      </w:tr>
      <w:tr>
        <w:trPr>
          <w:trHeight w:val="286"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在建工程减值准备</w:t>
            </w:r>
          </w:p>
        </w:tc>
        <w:tc>
          <w:tcPr>
            <w:tcW w:w="1732" w:type="dxa"/>
            <w:tcBorders>
              <w:top w:val="nil" w:sz="6" w:space="0" w:color="auto"/>
              <w:left w:val="nil" w:sz="6" w:space="0" w:color="auto"/>
              <w:bottom w:val="nil" w:sz="6" w:space="0" w:color="auto"/>
              <w:right w:val="nil" w:sz="6" w:space="0" w:color="auto"/>
            </w:tcBorders>
          </w:tcPr>
          <w:p>
            <w:pPr>
              <w:pStyle w:val="TableParagraph"/>
              <w:spacing w:line="218" w:lineRule="exact"/>
              <w:ind w:right="45"/>
              <w:jc w:val="right"/>
              <w:rPr>
                <w:rFonts w:ascii="宋体" w:hAnsi="宋体" w:cs="宋体" w:eastAsia="宋体" w:hint="default"/>
                <w:sz w:val="18"/>
                <w:szCs w:val="18"/>
              </w:rPr>
            </w:pPr>
            <w:r>
              <w:rPr>
                <w:rFonts w:ascii="宋体"/>
                <w:spacing w:val="-1"/>
                <w:sz w:val="18"/>
              </w:rPr>
              <w:t>14,641,138.14</w:t>
            </w:r>
          </w:p>
        </w:tc>
        <w:tc>
          <w:tcPr>
            <w:tcW w:w="2931" w:type="dxa"/>
            <w:tcBorders>
              <w:top w:val="nil" w:sz="6" w:space="0" w:color="auto"/>
              <w:left w:val="nil" w:sz="6" w:space="0" w:color="auto"/>
              <w:bottom w:val="nil" w:sz="6" w:space="0" w:color="auto"/>
              <w:right w:val="nil" w:sz="6" w:space="0" w:color="auto"/>
            </w:tcBorders>
          </w:tcPr>
          <w:p>
            <w:pPr>
              <w:pStyle w:val="TableParagraph"/>
              <w:tabs>
                <w:tab w:pos="1862" w:val="left" w:leader="none"/>
              </w:tabs>
              <w:spacing w:line="218" w:lineRule="exact"/>
              <w:ind w:right="-11"/>
              <w:jc w:val="right"/>
              <w:rPr>
                <w:rFonts w:ascii="宋体" w:hAnsi="宋体" w:cs="宋体" w:eastAsia="宋体" w:hint="default"/>
                <w:sz w:val="18"/>
                <w:szCs w:val="18"/>
              </w:rPr>
            </w:pPr>
            <w:r>
              <w:rPr>
                <w:rFonts w:ascii="宋体"/>
                <w:spacing w:val="-1"/>
                <w:sz w:val="18"/>
              </w:rPr>
              <w:t>721,431.17</w:t>
              <w:tab/>
            </w:r>
            <w:r>
              <w:rPr>
                <w:rFonts w:ascii="宋体"/>
                <w:sz w:val="18"/>
              </w:rPr>
              <w:t>0.00</w:t>
            </w:r>
          </w:p>
        </w:tc>
        <w:tc>
          <w:tcPr>
            <w:tcW w:w="1562" w:type="dxa"/>
            <w:tcBorders>
              <w:top w:val="nil" w:sz="6" w:space="0" w:color="auto"/>
              <w:left w:val="nil" w:sz="6" w:space="0" w:color="auto"/>
              <w:bottom w:val="nil" w:sz="6" w:space="0" w:color="auto"/>
              <w:right w:val="nil" w:sz="6" w:space="0" w:color="auto"/>
            </w:tcBorders>
          </w:tcPr>
          <w:p>
            <w:pPr>
              <w:pStyle w:val="TableParagraph"/>
              <w:spacing w:line="218" w:lineRule="exact"/>
              <w:ind w:right="109"/>
              <w:jc w:val="right"/>
              <w:rPr>
                <w:rFonts w:ascii="宋体" w:hAnsi="宋体" w:cs="宋体" w:eastAsia="宋体" w:hint="default"/>
                <w:sz w:val="18"/>
                <w:szCs w:val="18"/>
              </w:rPr>
            </w:pPr>
            <w:r>
              <w:rPr>
                <w:rFonts w:ascii="宋体"/>
                <w:sz w:val="18"/>
              </w:rPr>
              <w:t>0.00</w:t>
            </w:r>
          </w:p>
        </w:tc>
      </w:tr>
      <w:tr>
        <w:trPr>
          <w:trHeight w:val="284"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1732" w:type="dxa"/>
            <w:tcBorders>
              <w:top w:val="nil" w:sz="6" w:space="0" w:color="auto"/>
              <w:left w:val="nil" w:sz="6" w:space="0" w:color="auto"/>
              <w:bottom w:val="nil" w:sz="6" w:space="0" w:color="auto"/>
              <w:right w:val="nil" w:sz="6" w:space="0" w:color="auto"/>
            </w:tcBorders>
          </w:tcPr>
          <w:p>
            <w:pPr>
              <w:pStyle w:val="TableParagraph"/>
              <w:spacing w:line="218" w:lineRule="exact"/>
              <w:ind w:right="48"/>
              <w:jc w:val="right"/>
              <w:rPr>
                <w:rFonts w:ascii="宋体" w:hAnsi="宋体" w:cs="宋体" w:eastAsia="宋体" w:hint="default"/>
                <w:sz w:val="18"/>
                <w:szCs w:val="18"/>
              </w:rPr>
            </w:pPr>
            <w:r>
              <w:rPr>
                <w:rFonts w:ascii="宋体"/>
                <w:spacing w:val="-1"/>
                <w:sz w:val="18"/>
              </w:rPr>
              <w:t>4,811,854.77</w:t>
            </w:r>
          </w:p>
        </w:tc>
        <w:tc>
          <w:tcPr>
            <w:tcW w:w="2931" w:type="dxa"/>
            <w:tcBorders>
              <w:top w:val="nil" w:sz="6" w:space="0" w:color="auto"/>
              <w:left w:val="nil" w:sz="6" w:space="0" w:color="auto"/>
              <w:bottom w:val="nil" w:sz="6" w:space="0" w:color="auto"/>
              <w:right w:val="nil" w:sz="6" w:space="0" w:color="auto"/>
            </w:tcBorders>
          </w:tcPr>
          <w:p>
            <w:pPr>
              <w:pStyle w:val="TableParagraph"/>
              <w:tabs>
                <w:tab w:pos="2131" w:val="left" w:leader="none"/>
              </w:tabs>
              <w:spacing w:line="218" w:lineRule="exact"/>
              <w:ind w:right="-11"/>
              <w:jc w:val="right"/>
              <w:rPr>
                <w:rFonts w:ascii="宋体" w:hAnsi="宋体" w:cs="宋体" w:eastAsia="宋体" w:hint="default"/>
                <w:sz w:val="18"/>
                <w:szCs w:val="18"/>
              </w:rPr>
            </w:pPr>
            <w:r>
              <w:rPr>
                <w:rFonts w:ascii="宋体"/>
                <w:spacing w:val="-1"/>
                <w:sz w:val="18"/>
              </w:rPr>
              <w:t>61,000,000.00</w:t>
              <w:tab/>
            </w:r>
            <w:r>
              <w:rPr>
                <w:rFonts w:ascii="宋体"/>
                <w:sz w:val="18"/>
              </w:rPr>
              <w:t>0.00</w:t>
            </w:r>
          </w:p>
        </w:tc>
        <w:tc>
          <w:tcPr>
            <w:tcW w:w="1562" w:type="dxa"/>
            <w:tcBorders>
              <w:top w:val="nil" w:sz="6" w:space="0" w:color="auto"/>
              <w:left w:val="nil" w:sz="6" w:space="0" w:color="auto"/>
              <w:bottom w:val="nil" w:sz="6" w:space="0" w:color="auto"/>
              <w:right w:val="nil" w:sz="6" w:space="0" w:color="auto"/>
            </w:tcBorders>
          </w:tcPr>
          <w:p>
            <w:pPr>
              <w:pStyle w:val="TableParagraph"/>
              <w:spacing w:line="218" w:lineRule="exact"/>
              <w:ind w:right="110"/>
              <w:jc w:val="right"/>
              <w:rPr>
                <w:rFonts w:ascii="宋体" w:hAnsi="宋体" w:cs="宋体" w:eastAsia="宋体" w:hint="default"/>
                <w:sz w:val="18"/>
                <w:szCs w:val="18"/>
              </w:rPr>
            </w:pPr>
            <w:r>
              <w:rPr>
                <w:rFonts w:ascii="宋体"/>
                <w:spacing w:val="-1"/>
                <w:sz w:val="18"/>
              </w:rPr>
              <w:t>147,578.25</w:t>
            </w:r>
          </w:p>
        </w:tc>
      </w:tr>
      <w:tr>
        <w:trPr>
          <w:trHeight w:val="293" w:hRule="exact"/>
        </w:trPr>
        <w:tc>
          <w:tcPr>
            <w:tcW w:w="2500" w:type="dxa"/>
            <w:tcBorders>
              <w:top w:val="nil" w:sz="6" w:space="0" w:color="auto"/>
              <w:left w:val="nil" w:sz="6" w:space="0" w:color="auto"/>
              <w:bottom w:val="single" w:sz="6" w:space="0" w:color="000000"/>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1732" w:type="dxa"/>
            <w:tcBorders>
              <w:top w:val="nil" w:sz="6" w:space="0" w:color="auto"/>
              <w:left w:val="nil" w:sz="6" w:space="0" w:color="auto"/>
              <w:bottom w:val="single" w:sz="6" w:space="0" w:color="000000"/>
              <w:right w:val="nil" w:sz="6" w:space="0" w:color="auto"/>
            </w:tcBorders>
          </w:tcPr>
          <w:p>
            <w:pPr>
              <w:pStyle w:val="TableParagraph"/>
              <w:spacing w:line="217" w:lineRule="exact"/>
              <w:ind w:right="45"/>
              <w:jc w:val="right"/>
              <w:rPr>
                <w:rFonts w:ascii="宋体" w:hAnsi="宋体" w:cs="宋体" w:eastAsia="宋体" w:hint="default"/>
                <w:sz w:val="18"/>
                <w:szCs w:val="18"/>
              </w:rPr>
            </w:pPr>
            <w:r>
              <w:rPr>
                <w:rFonts w:ascii="宋体"/>
                <w:spacing w:val="-1"/>
                <w:sz w:val="18"/>
              </w:rPr>
              <w:t>12,072,005.42</w:t>
            </w:r>
          </w:p>
        </w:tc>
        <w:tc>
          <w:tcPr>
            <w:tcW w:w="2931" w:type="dxa"/>
            <w:tcBorders>
              <w:top w:val="nil" w:sz="6" w:space="0" w:color="auto"/>
              <w:left w:val="nil" w:sz="6" w:space="0" w:color="auto"/>
              <w:bottom w:val="single" w:sz="6" w:space="0" w:color="000000"/>
              <w:right w:val="nil" w:sz="6" w:space="0" w:color="auto"/>
            </w:tcBorders>
          </w:tcPr>
          <w:p>
            <w:pPr>
              <w:pStyle w:val="TableParagraph"/>
              <w:tabs>
                <w:tab w:pos="2402" w:val="left" w:leader="none"/>
              </w:tabs>
              <w:spacing w:line="217" w:lineRule="exact"/>
              <w:ind w:right="-11"/>
              <w:jc w:val="right"/>
              <w:rPr>
                <w:rFonts w:ascii="宋体" w:hAnsi="宋体" w:cs="宋体" w:eastAsia="宋体" w:hint="default"/>
                <w:sz w:val="18"/>
                <w:szCs w:val="18"/>
              </w:rPr>
            </w:pPr>
            <w:r>
              <w:rPr>
                <w:rFonts w:ascii="宋体"/>
                <w:spacing w:val="-1"/>
                <w:sz w:val="18"/>
              </w:rPr>
              <w:t>1,067,219,247.84</w:t>
              <w:tab/>
            </w:r>
            <w:r>
              <w:rPr>
                <w:rFonts w:ascii="宋体"/>
                <w:sz w:val="18"/>
              </w:rPr>
              <w:t>0.00</w:t>
            </w:r>
          </w:p>
        </w:tc>
        <w:tc>
          <w:tcPr>
            <w:tcW w:w="1562" w:type="dxa"/>
            <w:tcBorders>
              <w:top w:val="nil" w:sz="6" w:space="0" w:color="auto"/>
              <w:left w:val="nil" w:sz="6" w:space="0" w:color="auto"/>
              <w:bottom w:val="single" w:sz="6" w:space="0" w:color="000000"/>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pacing w:val="-1"/>
                <w:sz w:val="18"/>
              </w:rPr>
              <w:t>29,854.89</w:t>
            </w:r>
          </w:p>
        </w:tc>
      </w:tr>
      <w:tr>
        <w:trPr>
          <w:trHeight w:val="324" w:hRule="exact"/>
        </w:trPr>
        <w:tc>
          <w:tcPr>
            <w:tcW w:w="2500" w:type="dxa"/>
            <w:tcBorders>
              <w:top w:val="single" w:sz="6" w:space="0" w:color="000000"/>
              <w:left w:val="nil" w:sz="6" w:space="0" w:color="auto"/>
              <w:bottom w:val="single" w:sz="12" w:space="0" w:color="000000"/>
              <w:right w:val="nil" w:sz="6" w:space="0" w:color="auto"/>
            </w:tcBorders>
          </w:tcPr>
          <w:p>
            <w:pPr>
              <w:pStyle w:val="TableParagraph"/>
              <w:spacing w:line="225" w:lineRule="exact"/>
              <w:ind w:left="21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32" w:type="dxa"/>
            <w:tcBorders>
              <w:top w:val="single" w:sz="6" w:space="0" w:color="000000"/>
              <w:left w:val="nil" w:sz="6" w:space="0" w:color="auto"/>
              <w:bottom w:val="single" w:sz="12" w:space="0" w:color="000000"/>
              <w:right w:val="nil" w:sz="6" w:space="0" w:color="auto"/>
            </w:tcBorders>
          </w:tcPr>
          <w:p>
            <w:pPr>
              <w:pStyle w:val="TableParagraph"/>
              <w:spacing w:line="225" w:lineRule="exact"/>
              <w:ind w:right="46"/>
              <w:jc w:val="right"/>
              <w:rPr>
                <w:rFonts w:ascii="宋体" w:hAnsi="宋体" w:cs="宋体" w:eastAsia="宋体" w:hint="default"/>
                <w:sz w:val="18"/>
                <w:szCs w:val="18"/>
              </w:rPr>
            </w:pPr>
            <w:r>
              <w:rPr>
                <w:rFonts w:ascii="宋体"/>
                <w:b/>
                <w:w w:val="95"/>
                <w:sz w:val="18"/>
              </w:rPr>
              <w:t>3,782,057,963.20</w:t>
            </w:r>
            <w:r>
              <w:rPr>
                <w:rFonts w:ascii="宋体"/>
                <w:sz w:val="18"/>
              </w:rPr>
            </w:r>
          </w:p>
        </w:tc>
        <w:tc>
          <w:tcPr>
            <w:tcW w:w="2931" w:type="dxa"/>
            <w:tcBorders>
              <w:top w:val="single" w:sz="6" w:space="0" w:color="000000"/>
              <w:left w:val="nil" w:sz="6" w:space="0" w:color="auto"/>
              <w:bottom w:val="single" w:sz="12" w:space="0" w:color="000000"/>
              <w:right w:val="nil" w:sz="6" w:space="0" w:color="auto"/>
            </w:tcBorders>
          </w:tcPr>
          <w:p>
            <w:pPr>
              <w:pStyle w:val="TableParagraph"/>
              <w:tabs>
                <w:tab w:pos="1684" w:val="left" w:leader="none"/>
              </w:tabs>
              <w:spacing w:line="225" w:lineRule="exact"/>
              <w:ind w:right="-12"/>
              <w:jc w:val="right"/>
              <w:rPr>
                <w:rFonts w:ascii="宋体" w:hAnsi="宋体" w:cs="宋体" w:eastAsia="宋体" w:hint="default"/>
                <w:sz w:val="18"/>
                <w:szCs w:val="18"/>
              </w:rPr>
            </w:pPr>
            <w:r>
              <w:rPr>
                <w:rFonts w:ascii="宋体"/>
                <w:b/>
                <w:w w:val="95"/>
                <w:sz w:val="18"/>
              </w:rPr>
              <w:t>3,634,293,741.32</w:t>
              <w:tab/>
              <w:t>1,743,480.61</w:t>
            </w:r>
            <w:r>
              <w:rPr>
                <w:rFonts w:ascii="宋体"/>
                <w:sz w:val="18"/>
              </w:rPr>
            </w:r>
          </w:p>
        </w:tc>
        <w:tc>
          <w:tcPr>
            <w:tcW w:w="1562" w:type="dxa"/>
            <w:tcBorders>
              <w:top w:val="single" w:sz="6" w:space="0" w:color="000000"/>
              <w:left w:val="nil" w:sz="6" w:space="0" w:color="auto"/>
              <w:bottom w:val="single" w:sz="12" w:space="0" w:color="000000"/>
              <w:right w:val="nil" w:sz="6" w:space="0" w:color="auto"/>
            </w:tcBorders>
          </w:tcPr>
          <w:p>
            <w:pPr>
              <w:pStyle w:val="TableParagraph"/>
              <w:spacing w:line="225" w:lineRule="exact"/>
              <w:ind w:right="110"/>
              <w:jc w:val="right"/>
              <w:rPr>
                <w:rFonts w:ascii="宋体" w:hAnsi="宋体" w:cs="宋体" w:eastAsia="宋体" w:hint="default"/>
                <w:sz w:val="18"/>
                <w:szCs w:val="18"/>
              </w:rPr>
            </w:pPr>
            <w:r>
              <w:rPr>
                <w:rFonts w:ascii="宋体"/>
                <w:b/>
                <w:w w:val="95"/>
                <w:sz w:val="18"/>
              </w:rPr>
              <w:t>24,978,088.95</w:t>
            </w:r>
            <w:r>
              <w:rPr>
                <w:rFonts w:ascii="宋体"/>
                <w:sz w:val="18"/>
              </w:rPr>
            </w:r>
          </w:p>
        </w:tc>
      </w:tr>
      <w:tr>
        <w:trPr>
          <w:trHeight w:val="566" w:hRule="exact"/>
        </w:trPr>
        <w:tc>
          <w:tcPr>
            <w:tcW w:w="2500" w:type="dxa"/>
            <w:tcBorders>
              <w:top w:val="single" w:sz="12" w:space="0" w:color="000000"/>
              <w:left w:val="nil" w:sz="6" w:space="0" w:color="auto"/>
              <w:bottom w:val="single" w:sz="12" w:space="0" w:color="000000"/>
              <w:right w:val="nil" w:sz="6" w:space="0" w:color="auto"/>
            </w:tcBorders>
          </w:tcPr>
          <w:p>
            <w:pPr>
              <w:pStyle w:val="TableParagraph"/>
              <w:spacing w:line="240" w:lineRule="auto" w:before="67"/>
              <w:ind w:left="532" w:right="0"/>
              <w:jc w:val="left"/>
              <w:rPr>
                <w:rFonts w:ascii="宋体" w:hAnsi="宋体" w:cs="宋体" w:eastAsia="宋体" w:hint="default"/>
                <w:sz w:val="22"/>
                <w:szCs w:val="22"/>
              </w:rPr>
            </w:pPr>
            <w:r>
              <w:rPr>
                <w:rFonts w:ascii="宋体" w:hAnsi="宋体" w:cs="宋体" w:eastAsia="宋体" w:hint="default"/>
                <w:sz w:val="22"/>
                <w:szCs w:val="22"/>
              </w:rPr>
              <w:t>（续表）</w:t>
            </w:r>
          </w:p>
        </w:tc>
        <w:tc>
          <w:tcPr>
            <w:tcW w:w="1732" w:type="dxa"/>
            <w:tcBorders>
              <w:top w:val="single" w:sz="12" w:space="0" w:color="000000"/>
              <w:left w:val="nil" w:sz="6" w:space="0" w:color="auto"/>
              <w:bottom w:val="single" w:sz="12" w:space="0" w:color="000000"/>
              <w:right w:val="nil" w:sz="6" w:space="0" w:color="auto"/>
            </w:tcBorders>
          </w:tcPr>
          <w:p>
            <w:pPr/>
          </w:p>
        </w:tc>
        <w:tc>
          <w:tcPr>
            <w:tcW w:w="2931" w:type="dxa"/>
            <w:tcBorders>
              <w:top w:val="single" w:sz="12" w:space="0" w:color="000000"/>
              <w:left w:val="nil" w:sz="6" w:space="0" w:color="auto"/>
              <w:bottom w:val="single" w:sz="12" w:space="0" w:color="000000"/>
              <w:right w:val="nil" w:sz="6" w:space="0" w:color="auto"/>
            </w:tcBorders>
          </w:tcPr>
          <w:p>
            <w:pPr/>
          </w:p>
        </w:tc>
        <w:tc>
          <w:tcPr>
            <w:tcW w:w="1562" w:type="dxa"/>
            <w:tcBorders>
              <w:top w:val="single" w:sz="12" w:space="0" w:color="000000"/>
              <w:left w:val="nil" w:sz="6" w:space="0" w:color="auto"/>
              <w:bottom w:val="single" w:sz="12" w:space="0" w:color="000000"/>
              <w:right w:val="nil" w:sz="6" w:space="0" w:color="auto"/>
            </w:tcBorders>
          </w:tcPr>
          <w:p>
            <w:pPr/>
          </w:p>
        </w:tc>
      </w:tr>
      <w:tr>
        <w:trPr>
          <w:trHeight w:val="254" w:hRule="exact"/>
        </w:trPr>
        <w:tc>
          <w:tcPr>
            <w:tcW w:w="2500" w:type="dxa"/>
            <w:tcBorders>
              <w:top w:val="single" w:sz="12" w:space="0" w:color="000000"/>
              <w:left w:val="nil" w:sz="6" w:space="0" w:color="auto"/>
              <w:bottom w:val="nil" w:sz="6" w:space="0" w:color="auto"/>
              <w:right w:val="nil" w:sz="6" w:space="0" w:color="auto"/>
            </w:tcBorders>
          </w:tcPr>
          <w:p>
            <w:pPr/>
          </w:p>
        </w:tc>
        <w:tc>
          <w:tcPr>
            <w:tcW w:w="1732" w:type="dxa"/>
            <w:tcBorders>
              <w:top w:val="single" w:sz="12" w:space="0" w:color="000000"/>
              <w:left w:val="nil" w:sz="6" w:space="0" w:color="auto"/>
              <w:bottom w:val="nil" w:sz="6" w:space="0" w:color="auto"/>
              <w:right w:val="nil" w:sz="6" w:space="0" w:color="auto"/>
            </w:tcBorders>
          </w:tcPr>
          <w:p>
            <w:pPr/>
          </w:p>
        </w:tc>
        <w:tc>
          <w:tcPr>
            <w:tcW w:w="2931" w:type="dxa"/>
            <w:tcBorders>
              <w:top w:val="single" w:sz="12" w:space="0" w:color="000000"/>
              <w:left w:val="nil" w:sz="6" w:space="0" w:color="auto"/>
              <w:bottom w:val="nil" w:sz="6" w:space="0" w:color="auto"/>
              <w:right w:val="nil" w:sz="6" w:space="0" w:color="auto"/>
            </w:tcBorders>
          </w:tcPr>
          <w:p>
            <w:pPr>
              <w:pStyle w:val="TableParagraph"/>
              <w:spacing w:line="232" w:lineRule="exact"/>
              <w:ind w:left="259"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62" w:type="dxa"/>
            <w:tcBorders>
              <w:top w:val="single" w:sz="12" w:space="0" w:color="000000"/>
              <w:left w:val="nil" w:sz="6" w:space="0" w:color="auto"/>
              <w:bottom w:val="nil" w:sz="6" w:space="0" w:color="auto"/>
              <w:right w:val="nil" w:sz="6" w:space="0" w:color="auto"/>
            </w:tcBorders>
          </w:tcPr>
          <w:p>
            <w:pPr/>
          </w:p>
        </w:tc>
      </w:tr>
      <w:tr>
        <w:trPr>
          <w:trHeight w:val="169"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159" w:lineRule="exact"/>
              <w:ind w:left="63"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32" w:type="dxa"/>
            <w:tcBorders>
              <w:top w:val="nil" w:sz="6" w:space="0" w:color="auto"/>
              <w:left w:val="nil" w:sz="6" w:space="0" w:color="auto"/>
              <w:bottom w:val="nil" w:sz="6" w:space="0" w:color="auto"/>
              <w:right w:val="nil" w:sz="6" w:space="0" w:color="auto"/>
            </w:tcBorders>
          </w:tcPr>
          <w:p>
            <w:pPr/>
          </w:p>
        </w:tc>
        <w:tc>
          <w:tcPr>
            <w:tcW w:w="2931"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159" w:lineRule="exact"/>
              <w:ind w:left="410"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45" w:hRule="exact"/>
        </w:trPr>
        <w:tc>
          <w:tcPr>
            <w:tcW w:w="2500" w:type="dxa"/>
            <w:tcBorders>
              <w:top w:val="nil" w:sz="6" w:space="0" w:color="auto"/>
              <w:left w:val="nil" w:sz="6" w:space="0" w:color="auto"/>
              <w:bottom w:val="single" w:sz="6" w:space="0" w:color="000000"/>
              <w:right w:val="nil" w:sz="6" w:space="0" w:color="auto"/>
            </w:tcBorders>
          </w:tcPr>
          <w:p>
            <w:pPr/>
          </w:p>
        </w:tc>
        <w:tc>
          <w:tcPr>
            <w:tcW w:w="1732" w:type="dxa"/>
            <w:tcBorders>
              <w:top w:val="nil" w:sz="6" w:space="0" w:color="auto"/>
              <w:left w:val="nil" w:sz="6" w:space="0" w:color="auto"/>
              <w:bottom w:val="single" w:sz="6" w:space="0" w:color="000000"/>
              <w:right w:val="nil" w:sz="6" w:space="0" w:color="auto"/>
            </w:tcBorders>
          </w:tcPr>
          <w:p>
            <w:pPr>
              <w:pStyle w:val="TableParagraph"/>
              <w:spacing w:line="162" w:lineRule="exact"/>
              <w:ind w:left="95" w:right="0"/>
              <w:jc w:val="center"/>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2931" w:type="dxa"/>
            <w:tcBorders>
              <w:top w:val="nil" w:sz="6" w:space="0" w:color="auto"/>
              <w:left w:val="nil" w:sz="6" w:space="0" w:color="auto"/>
              <w:bottom w:val="single" w:sz="6" w:space="0" w:color="000000"/>
              <w:right w:val="nil" w:sz="6" w:space="0" w:color="auto"/>
            </w:tcBorders>
          </w:tcPr>
          <w:p>
            <w:pPr>
              <w:pStyle w:val="TableParagraph"/>
              <w:tabs>
                <w:tab w:pos="1944" w:val="left" w:leader="none"/>
              </w:tabs>
              <w:spacing w:line="162" w:lineRule="exact"/>
              <w:ind w:left="321" w:right="0"/>
              <w:jc w:val="left"/>
              <w:rPr>
                <w:rFonts w:ascii="宋体" w:hAnsi="宋体" w:cs="宋体" w:eastAsia="宋体" w:hint="default"/>
                <w:sz w:val="18"/>
                <w:szCs w:val="18"/>
              </w:rPr>
            </w:pPr>
            <w:r>
              <w:rPr>
                <w:rFonts w:ascii="宋体" w:hAnsi="宋体" w:cs="宋体" w:eastAsia="宋体" w:hint="default"/>
                <w:b/>
                <w:bCs/>
                <w:w w:val="95"/>
                <w:sz w:val="18"/>
                <w:szCs w:val="18"/>
              </w:rPr>
              <w:t>合并减少</w:t>
              <w:tab/>
            </w:r>
            <w:r>
              <w:rPr>
                <w:rFonts w:ascii="宋体" w:hAnsi="宋体" w:cs="宋体" w:eastAsia="宋体" w:hint="default"/>
                <w:b/>
                <w:bCs/>
                <w:sz w:val="18"/>
                <w:szCs w:val="18"/>
              </w:rPr>
              <w:t>转出</w:t>
            </w:r>
            <w:r>
              <w:rPr>
                <w:rFonts w:ascii="宋体" w:hAnsi="宋体" w:cs="宋体" w:eastAsia="宋体" w:hint="default"/>
                <w:sz w:val="18"/>
                <w:szCs w:val="18"/>
              </w:rPr>
            </w:r>
          </w:p>
        </w:tc>
        <w:tc>
          <w:tcPr>
            <w:tcW w:w="1562" w:type="dxa"/>
            <w:tcBorders>
              <w:top w:val="nil" w:sz="6" w:space="0" w:color="auto"/>
              <w:left w:val="nil" w:sz="6" w:space="0" w:color="auto"/>
              <w:bottom w:val="single" w:sz="6" w:space="0" w:color="000000"/>
              <w:right w:val="nil" w:sz="6" w:space="0" w:color="auto"/>
            </w:tcBorders>
          </w:tcPr>
          <w:p>
            <w:pPr/>
          </w:p>
        </w:tc>
      </w:tr>
      <w:tr>
        <w:trPr>
          <w:trHeight w:val="292" w:hRule="exact"/>
        </w:trPr>
        <w:tc>
          <w:tcPr>
            <w:tcW w:w="2500" w:type="dxa"/>
            <w:tcBorders>
              <w:top w:val="single" w:sz="6" w:space="0" w:color="000000"/>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坏账减值准备</w:t>
            </w:r>
          </w:p>
        </w:tc>
        <w:tc>
          <w:tcPr>
            <w:tcW w:w="1732" w:type="dxa"/>
            <w:tcBorders>
              <w:top w:val="single" w:sz="6" w:space="0" w:color="000000"/>
              <w:left w:val="nil" w:sz="6" w:space="0" w:color="auto"/>
              <w:bottom w:val="nil" w:sz="6" w:space="0" w:color="auto"/>
              <w:right w:val="nil" w:sz="6" w:space="0" w:color="auto"/>
            </w:tcBorders>
          </w:tcPr>
          <w:p>
            <w:pPr>
              <w:pStyle w:val="TableParagraph"/>
              <w:spacing w:line="217" w:lineRule="exact"/>
              <w:ind w:left="395" w:right="0"/>
              <w:jc w:val="left"/>
              <w:rPr>
                <w:rFonts w:ascii="宋体" w:hAnsi="宋体" w:cs="宋体" w:eastAsia="宋体" w:hint="default"/>
                <w:sz w:val="18"/>
                <w:szCs w:val="18"/>
              </w:rPr>
            </w:pPr>
            <w:r>
              <w:rPr>
                <w:rFonts w:ascii="宋体"/>
                <w:sz w:val="18"/>
              </w:rPr>
              <w:t>28,078,832.16</w:t>
            </w:r>
          </w:p>
        </w:tc>
        <w:tc>
          <w:tcPr>
            <w:tcW w:w="2931" w:type="dxa"/>
            <w:tcBorders>
              <w:top w:val="single" w:sz="6" w:space="0" w:color="000000"/>
              <w:left w:val="nil" w:sz="6" w:space="0" w:color="auto"/>
              <w:bottom w:val="nil" w:sz="6" w:space="0" w:color="auto"/>
              <w:right w:val="nil" w:sz="6" w:space="0" w:color="auto"/>
            </w:tcBorders>
          </w:tcPr>
          <w:p>
            <w:pPr>
              <w:pStyle w:val="TableParagraph"/>
              <w:tabs>
                <w:tab w:pos="1543" w:val="left" w:leader="none"/>
              </w:tabs>
              <w:spacing w:line="217" w:lineRule="exact"/>
              <w:ind w:left="146" w:right="0"/>
              <w:jc w:val="left"/>
              <w:rPr>
                <w:rFonts w:ascii="宋体" w:hAnsi="宋体" w:cs="宋体" w:eastAsia="宋体" w:hint="default"/>
                <w:sz w:val="18"/>
                <w:szCs w:val="18"/>
              </w:rPr>
            </w:pPr>
            <w:r>
              <w:rPr>
                <w:rFonts w:ascii="宋体"/>
                <w:spacing w:val="-1"/>
                <w:sz w:val="18"/>
              </w:rPr>
              <w:t>7,116,771.15</w:t>
              <w:tab/>
              <w:t>44,993,822.36</w:t>
            </w:r>
          </w:p>
        </w:tc>
        <w:tc>
          <w:tcPr>
            <w:tcW w:w="1562" w:type="dxa"/>
            <w:tcBorders>
              <w:top w:val="single" w:sz="6" w:space="0" w:color="000000"/>
              <w:left w:val="nil" w:sz="6" w:space="0" w:color="auto"/>
              <w:bottom w:val="nil" w:sz="6" w:space="0" w:color="auto"/>
              <w:right w:val="nil" w:sz="6" w:space="0" w:color="auto"/>
            </w:tcBorders>
          </w:tcPr>
          <w:p>
            <w:pPr>
              <w:pStyle w:val="TableParagraph"/>
              <w:spacing w:line="217" w:lineRule="exact"/>
              <w:ind w:right="110"/>
              <w:jc w:val="right"/>
              <w:rPr>
                <w:rFonts w:ascii="宋体" w:hAnsi="宋体" w:cs="宋体" w:eastAsia="宋体" w:hint="default"/>
                <w:sz w:val="18"/>
                <w:szCs w:val="18"/>
              </w:rPr>
            </w:pPr>
            <w:r>
              <w:rPr>
                <w:rFonts w:ascii="宋体"/>
                <w:spacing w:val="-1"/>
                <w:sz w:val="18"/>
              </w:rPr>
              <w:t>2,431,557,832.87</w:t>
            </w:r>
          </w:p>
        </w:tc>
      </w:tr>
      <w:tr>
        <w:trPr>
          <w:trHeight w:val="284"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732" w:type="dxa"/>
            <w:tcBorders>
              <w:top w:val="nil" w:sz="6" w:space="0" w:color="auto"/>
              <w:left w:val="nil" w:sz="6" w:space="0" w:color="auto"/>
              <w:bottom w:val="nil" w:sz="6" w:space="0" w:color="auto"/>
              <w:right w:val="nil" w:sz="6" w:space="0" w:color="auto"/>
            </w:tcBorders>
          </w:tcPr>
          <w:p>
            <w:pPr>
              <w:pStyle w:val="TableParagraph"/>
              <w:spacing w:line="218" w:lineRule="exact"/>
              <w:ind w:left="395" w:right="0"/>
              <w:jc w:val="left"/>
              <w:rPr>
                <w:rFonts w:ascii="宋体" w:hAnsi="宋体" w:cs="宋体" w:eastAsia="宋体" w:hint="default"/>
                <w:sz w:val="18"/>
                <w:szCs w:val="18"/>
              </w:rPr>
            </w:pPr>
            <w:r>
              <w:rPr>
                <w:rFonts w:ascii="宋体"/>
                <w:sz w:val="18"/>
              </w:rPr>
              <w:t>10,847,936.70</w:t>
            </w:r>
          </w:p>
        </w:tc>
        <w:tc>
          <w:tcPr>
            <w:tcW w:w="2931" w:type="dxa"/>
            <w:tcBorders>
              <w:top w:val="nil" w:sz="6" w:space="0" w:color="auto"/>
              <w:left w:val="nil" w:sz="6" w:space="0" w:color="auto"/>
              <w:bottom w:val="nil" w:sz="6" w:space="0" w:color="auto"/>
              <w:right w:val="nil" w:sz="6" w:space="0" w:color="auto"/>
            </w:tcBorders>
          </w:tcPr>
          <w:p>
            <w:pPr>
              <w:pStyle w:val="TableParagraph"/>
              <w:tabs>
                <w:tab w:pos="1543" w:val="left" w:leader="none"/>
              </w:tabs>
              <w:spacing w:line="218" w:lineRule="exact"/>
              <w:ind w:left="57" w:right="0"/>
              <w:jc w:val="left"/>
              <w:rPr>
                <w:rFonts w:ascii="宋体" w:hAnsi="宋体" w:cs="宋体" w:eastAsia="宋体" w:hint="default"/>
                <w:sz w:val="18"/>
                <w:szCs w:val="18"/>
              </w:rPr>
            </w:pPr>
            <w:r>
              <w:rPr>
                <w:rFonts w:ascii="宋体"/>
                <w:spacing w:val="-1"/>
                <w:sz w:val="18"/>
              </w:rPr>
              <w:t>10,410,337.33</w:t>
              <w:tab/>
              <w:t>71,482,060.31</w:t>
            </w:r>
          </w:p>
        </w:tc>
        <w:tc>
          <w:tcPr>
            <w:tcW w:w="1562" w:type="dxa"/>
            <w:tcBorders>
              <w:top w:val="nil" w:sz="6" w:space="0" w:color="auto"/>
              <w:left w:val="nil" w:sz="6" w:space="0" w:color="auto"/>
              <w:bottom w:val="nil" w:sz="6" w:space="0" w:color="auto"/>
              <w:right w:val="nil" w:sz="6" w:space="0" w:color="auto"/>
            </w:tcBorders>
          </w:tcPr>
          <w:p>
            <w:pPr>
              <w:pStyle w:val="TableParagraph"/>
              <w:spacing w:line="218" w:lineRule="exact"/>
              <w:ind w:right="108"/>
              <w:jc w:val="right"/>
              <w:rPr>
                <w:rFonts w:ascii="宋体" w:hAnsi="宋体" w:cs="宋体" w:eastAsia="宋体" w:hint="default"/>
                <w:sz w:val="18"/>
                <w:szCs w:val="18"/>
              </w:rPr>
            </w:pPr>
            <w:r>
              <w:rPr>
                <w:rFonts w:ascii="宋体"/>
                <w:spacing w:val="-1"/>
                <w:sz w:val="18"/>
              </w:rPr>
              <w:t>1,251,750,055.21</w:t>
            </w:r>
          </w:p>
        </w:tc>
      </w:tr>
      <w:tr>
        <w:trPr>
          <w:trHeight w:val="284"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可供出售金融资产减值准备</w:t>
            </w:r>
          </w:p>
        </w:tc>
        <w:tc>
          <w:tcPr>
            <w:tcW w:w="1732" w:type="dxa"/>
            <w:tcBorders>
              <w:top w:val="nil" w:sz="6" w:space="0" w:color="auto"/>
              <w:left w:val="nil" w:sz="6" w:space="0" w:color="auto"/>
              <w:bottom w:val="nil" w:sz="6" w:space="0" w:color="auto"/>
              <w:right w:val="nil" w:sz="6" w:space="0" w:color="auto"/>
            </w:tcBorders>
          </w:tcPr>
          <w:p>
            <w:pPr>
              <w:pStyle w:val="TableParagraph"/>
              <w:spacing w:line="217" w:lineRule="exact"/>
              <w:ind w:right="165"/>
              <w:jc w:val="right"/>
              <w:rPr>
                <w:rFonts w:ascii="宋体" w:hAnsi="宋体" w:cs="宋体" w:eastAsia="宋体" w:hint="default"/>
                <w:sz w:val="18"/>
                <w:szCs w:val="18"/>
              </w:rPr>
            </w:pPr>
            <w:r>
              <w:rPr>
                <w:rFonts w:ascii="宋体"/>
                <w:sz w:val="18"/>
              </w:rPr>
              <w:t>0.00</w:t>
            </w:r>
          </w:p>
        </w:tc>
        <w:tc>
          <w:tcPr>
            <w:tcW w:w="2931" w:type="dxa"/>
            <w:tcBorders>
              <w:top w:val="nil" w:sz="6" w:space="0" w:color="auto"/>
              <w:left w:val="nil" w:sz="6" w:space="0" w:color="auto"/>
              <w:bottom w:val="nil" w:sz="6" w:space="0" w:color="auto"/>
              <w:right w:val="nil" w:sz="6" w:space="0" w:color="auto"/>
            </w:tcBorders>
          </w:tcPr>
          <w:p>
            <w:pPr>
              <w:pStyle w:val="TableParagraph"/>
              <w:tabs>
                <w:tab w:pos="2352" w:val="left" w:leader="none"/>
              </w:tabs>
              <w:spacing w:line="217" w:lineRule="exact"/>
              <w:ind w:left="866" w:right="0"/>
              <w:jc w:val="left"/>
              <w:rPr>
                <w:rFonts w:ascii="宋体" w:hAnsi="宋体" w:cs="宋体" w:eastAsia="宋体" w:hint="default"/>
                <w:sz w:val="18"/>
                <w:szCs w:val="18"/>
              </w:rPr>
            </w:pPr>
            <w:r>
              <w:rPr>
                <w:rFonts w:ascii="宋体"/>
                <w:sz w:val="18"/>
              </w:rPr>
              <w:t>0.00</w:t>
              <w:tab/>
              <w:t>0.00</w:t>
            </w:r>
          </w:p>
        </w:tc>
        <w:tc>
          <w:tcPr>
            <w:tcW w:w="1562" w:type="dxa"/>
            <w:tcBorders>
              <w:top w:val="nil" w:sz="6" w:space="0" w:color="auto"/>
              <w:left w:val="nil" w:sz="6" w:space="0" w:color="auto"/>
              <w:bottom w:val="nil" w:sz="6" w:space="0" w:color="auto"/>
              <w:right w:val="nil" w:sz="6" w:space="0" w:color="auto"/>
            </w:tcBorders>
          </w:tcPr>
          <w:p>
            <w:pPr>
              <w:pStyle w:val="TableParagraph"/>
              <w:spacing w:line="217" w:lineRule="exact"/>
              <w:ind w:right="110"/>
              <w:jc w:val="right"/>
              <w:rPr>
                <w:rFonts w:ascii="宋体" w:hAnsi="宋体" w:cs="宋体" w:eastAsia="宋体" w:hint="default"/>
                <w:sz w:val="18"/>
                <w:szCs w:val="18"/>
              </w:rPr>
            </w:pPr>
            <w:r>
              <w:rPr>
                <w:rFonts w:ascii="宋体"/>
                <w:spacing w:val="-1"/>
                <w:sz w:val="18"/>
              </w:rPr>
              <w:t>315,987,981.55</w:t>
            </w:r>
          </w:p>
        </w:tc>
      </w:tr>
      <w:tr>
        <w:trPr>
          <w:trHeight w:val="286"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1732" w:type="dxa"/>
            <w:tcBorders>
              <w:top w:val="nil" w:sz="6" w:space="0" w:color="auto"/>
              <w:left w:val="nil" w:sz="6" w:space="0" w:color="auto"/>
              <w:bottom w:val="nil" w:sz="6" w:space="0" w:color="auto"/>
              <w:right w:val="nil" w:sz="6" w:space="0" w:color="auto"/>
            </w:tcBorders>
          </w:tcPr>
          <w:p>
            <w:pPr>
              <w:pStyle w:val="TableParagraph"/>
              <w:spacing w:line="218" w:lineRule="exact"/>
              <w:ind w:right="165"/>
              <w:jc w:val="right"/>
              <w:rPr>
                <w:rFonts w:ascii="宋体" w:hAnsi="宋体" w:cs="宋体" w:eastAsia="宋体" w:hint="default"/>
                <w:sz w:val="18"/>
                <w:szCs w:val="18"/>
              </w:rPr>
            </w:pPr>
            <w:r>
              <w:rPr>
                <w:rFonts w:ascii="宋体"/>
                <w:sz w:val="18"/>
              </w:rPr>
              <w:t>0.00</w:t>
            </w:r>
          </w:p>
        </w:tc>
        <w:tc>
          <w:tcPr>
            <w:tcW w:w="2931" w:type="dxa"/>
            <w:tcBorders>
              <w:top w:val="nil" w:sz="6" w:space="0" w:color="auto"/>
              <w:left w:val="nil" w:sz="6" w:space="0" w:color="auto"/>
              <w:bottom w:val="nil" w:sz="6" w:space="0" w:color="auto"/>
              <w:right w:val="nil" w:sz="6" w:space="0" w:color="auto"/>
            </w:tcBorders>
          </w:tcPr>
          <w:p>
            <w:pPr>
              <w:pStyle w:val="TableParagraph"/>
              <w:tabs>
                <w:tab w:pos="2352" w:val="left" w:leader="none"/>
              </w:tabs>
              <w:spacing w:line="218" w:lineRule="exact"/>
              <w:ind w:left="866" w:right="0"/>
              <w:jc w:val="left"/>
              <w:rPr>
                <w:rFonts w:ascii="宋体" w:hAnsi="宋体" w:cs="宋体" w:eastAsia="宋体" w:hint="default"/>
                <w:sz w:val="18"/>
                <w:szCs w:val="18"/>
              </w:rPr>
            </w:pPr>
            <w:r>
              <w:rPr>
                <w:rFonts w:ascii="宋体"/>
                <w:sz w:val="18"/>
              </w:rPr>
              <w:t>0.00</w:t>
              <w:tab/>
              <w:t>0.00</w:t>
            </w:r>
          </w:p>
        </w:tc>
        <w:tc>
          <w:tcPr>
            <w:tcW w:w="1562" w:type="dxa"/>
            <w:tcBorders>
              <w:top w:val="nil" w:sz="6" w:space="0" w:color="auto"/>
              <w:left w:val="nil" w:sz="6" w:space="0" w:color="auto"/>
              <w:bottom w:val="nil" w:sz="6" w:space="0" w:color="auto"/>
              <w:right w:val="nil" w:sz="6" w:space="0" w:color="auto"/>
            </w:tcBorders>
          </w:tcPr>
          <w:p>
            <w:pPr>
              <w:pStyle w:val="TableParagraph"/>
              <w:spacing w:line="218" w:lineRule="exact"/>
              <w:ind w:right="108"/>
              <w:jc w:val="right"/>
              <w:rPr>
                <w:rFonts w:ascii="宋体" w:hAnsi="宋体" w:cs="宋体" w:eastAsia="宋体" w:hint="default"/>
                <w:sz w:val="18"/>
                <w:szCs w:val="18"/>
              </w:rPr>
            </w:pPr>
            <w:r>
              <w:rPr>
                <w:rFonts w:ascii="宋体"/>
                <w:spacing w:val="-1"/>
                <w:sz w:val="18"/>
              </w:rPr>
              <w:t>1,417,766,078.68</w:t>
            </w:r>
          </w:p>
        </w:tc>
      </w:tr>
      <w:tr>
        <w:trPr>
          <w:trHeight w:val="286"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732" w:type="dxa"/>
            <w:tcBorders>
              <w:top w:val="nil" w:sz="6" w:space="0" w:color="auto"/>
              <w:left w:val="nil" w:sz="6" w:space="0" w:color="auto"/>
              <w:bottom w:val="nil" w:sz="6" w:space="0" w:color="auto"/>
              <w:right w:val="nil" w:sz="6" w:space="0" w:color="auto"/>
            </w:tcBorders>
          </w:tcPr>
          <w:p>
            <w:pPr>
              <w:pStyle w:val="TableParagraph"/>
              <w:spacing w:line="218" w:lineRule="exact"/>
              <w:ind w:right="165"/>
              <w:jc w:val="right"/>
              <w:rPr>
                <w:rFonts w:ascii="宋体" w:hAnsi="宋体" w:cs="宋体" w:eastAsia="宋体" w:hint="default"/>
                <w:sz w:val="18"/>
                <w:szCs w:val="18"/>
              </w:rPr>
            </w:pPr>
            <w:r>
              <w:rPr>
                <w:rFonts w:ascii="宋体"/>
                <w:sz w:val="18"/>
              </w:rPr>
              <w:t>0.00</w:t>
            </w:r>
          </w:p>
        </w:tc>
        <w:tc>
          <w:tcPr>
            <w:tcW w:w="2931" w:type="dxa"/>
            <w:tcBorders>
              <w:top w:val="nil" w:sz="6" w:space="0" w:color="auto"/>
              <w:left w:val="nil" w:sz="6" w:space="0" w:color="auto"/>
              <w:bottom w:val="nil" w:sz="6" w:space="0" w:color="auto"/>
              <w:right w:val="nil" w:sz="6" w:space="0" w:color="auto"/>
            </w:tcBorders>
          </w:tcPr>
          <w:p>
            <w:pPr>
              <w:pStyle w:val="TableParagraph"/>
              <w:tabs>
                <w:tab w:pos="1452" w:val="left" w:leader="none"/>
              </w:tabs>
              <w:spacing w:line="218" w:lineRule="exact"/>
              <w:ind w:left="866" w:right="0"/>
              <w:jc w:val="left"/>
              <w:rPr>
                <w:rFonts w:ascii="宋体" w:hAnsi="宋体" w:cs="宋体" w:eastAsia="宋体" w:hint="default"/>
                <w:sz w:val="18"/>
                <w:szCs w:val="18"/>
              </w:rPr>
            </w:pPr>
            <w:r>
              <w:rPr>
                <w:rFonts w:ascii="宋体"/>
                <w:sz w:val="18"/>
              </w:rPr>
              <w:t>0.00</w:t>
              <w:tab/>
              <w:t>152,491,287.48</w:t>
            </w:r>
          </w:p>
        </w:tc>
        <w:tc>
          <w:tcPr>
            <w:tcW w:w="1562" w:type="dxa"/>
            <w:tcBorders>
              <w:top w:val="nil" w:sz="6" w:space="0" w:color="auto"/>
              <w:left w:val="nil" w:sz="6" w:space="0" w:color="auto"/>
              <w:bottom w:val="nil" w:sz="6" w:space="0" w:color="auto"/>
              <w:right w:val="nil" w:sz="6" w:space="0" w:color="auto"/>
            </w:tcBorders>
          </w:tcPr>
          <w:p>
            <w:pPr>
              <w:pStyle w:val="TableParagraph"/>
              <w:spacing w:line="218" w:lineRule="exact"/>
              <w:ind w:right="110"/>
              <w:jc w:val="right"/>
              <w:rPr>
                <w:rFonts w:ascii="宋体" w:hAnsi="宋体" w:cs="宋体" w:eastAsia="宋体" w:hint="default"/>
                <w:sz w:val="18"/>
                <w:szCs w:val="18"/>
              </w:rPr>
            </w:pPr>
            <w:r>
              <w:rPr>
                <w:rFonts w:ascii="宋体"/>
                <w:spacing w:val="-1"/>
                <w:sz w:val="18"/>
              </w:rPr>
              <w:t>539,947,167.80</w:t>
            </w:r>
          </w:p>
        </w:tc>
      </w:tr>
      <w:tr>
        <w:trPr>
          <w:trHeight w:val="284"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在建工程减值准备</w:t>
            </w:r>
          </w:p>
        </w:tc>
        <w:tc>
          <w:tcPr>
            <w:tcW w:w="1732" w:type="dxa"/>
            <w:tcBorders>
              <w:top w:val="nil" w:sz="6" w:space="0" w:color="auto"/>
              <w:left w:val="nil" w:sz="6" w:space="0" w:color="auto"/>
              <w:bottom w:val="nil" w:sz="6" w:space="0" w:color="auto"/>
              <w:right w:val="nil" w:sz="6" w:space="0" w:color="auto"/>
            </w:tcBorders>
          </w:tcPr>
          <w:p>
            <w:pPr>
              <w:pStyle w:val="TableParagraph"/>
              <w:spacing w:line="218" w:lineRule="exact"/>
              <w:ind w:right="165"/>
              <w:jc w:val="right"/>
              <w:rPr>
                <w:rFonts w:ascii="宋体" w:hAnsi="宋体" w:cs="宋体" w:eastAsia="宋体" w:hint="default"/>
                <w:sz w:val="18"/>
                <w:szCs w:val="18"/>
              </w:rPr>
            </w:pPr>
            <w:r>
              <w:rPr>
                <w:rFonts w:ascii="宋体"/>
                <w:sz w:val="18"/>
              </w:rPr>
              <w:t>0.00</w:t>
            </w:r>
          </w:p>
        </w:tc>
        <w:tc>
          <w:tcPr>
            <w:tcW w:w="2931" w:type="dxa"/>
            <w:tcBorders>
              <w:top w:val="nil" w:sz="6" w:space="0" w:color="auto"/>
              <w:left w:val="nil" w:sz="6" w:space="0" w:color="auto"/>
              <w:bottom w:val="nil" w:sz="6" w:space="0" w:color="auto"/>
              <w:right w:val="nil" w:sz="6" w:space="0" w:color="auto"/>
            </w:tcBorders>
          </w:tcPr>
          <w:p>
            <w:pPr>
              <w:pStyle w:val="TableParagraph"/>
              <w:tabs>
                <w:tab w:pos="2352" w:val="left" w:leader="none"/>
              </w:tabs>
              <w:spacing w:line="218" w:lineRule="exact"/>
              <w:ind w:left="866" w:right="0"/>
              <w:jc w:val="left"/>
              <w:rPr>
                <w:rFonts w:ascii="宋体" w:hAnsi="宋体" w:cs="宋体" w:eastAsia="宋体" w:hint="default"/>
                <w:sz w:val="18"/>
                <w:szCs w:val="18"/>
              </w:rPr>
            </w:pPr>
            <w:r>
              <w:rPr>
                <w:rFonts w:ascii="宋体"/>
                <w:sz w:val="18"/>
              </w:rPr>
              <w:t>0.00</w:t>
              <w:tab/>
              <w:t>0.00</w:t>
            </w:r>
          </w:p>
        </w:tc>
        <w:tc>
          <w:tcPr>
            <w:tcW w:w="1562" w:type="dxa"/>
            <w:tcBorders>
              <w:top w:val="nil" w:sz="6" w:space="0" w:color="auto"/>
              <w:left w:val="nil" w:sz="6" w:space="0" w:color="auto"/>
              <w:bottom w:val="nil" w:sz="6" w:space="0" w:color="auto"/>
              <w:right w:val="nil" w:sz="6" w:space="0" w:color="auto"/>
            </w:tcBorders>
          </w:tcPr>
          <w:p>
            <w:pPr>
              <w:pStyle w:val="TableParagraph"/>
              <w:spacing w:line="218" w:lineRule="exact"/>
              <w:ind w:right="108"/>
              <w:jc w:val="right"/>
              <w:rPr>
                <w:rFonts w:ascii="宋体" w:hAnsi="宋体" w:cs="宋体" w:eastAsia="宋体" w:hint="default"/>
                <w:sz w:val="18"/>
                <w:szCs w:val="18"/>
              </w:rPr>
            </w:pPr>
            <w:r>
              <w:rPr>
                <w:rFonts w:ascii="宋体"/>
                <w:spacing w:val="-1"/>
                <w:sz w:val="18"/>
              </w:rPr>
              <w:t>15,362,569.31</w:t>
            </w:r>
          </w:p>
        </w:tc>
      </w:tr>
      <w:tr>
        <w:trPr>
          <w:trHeight w:val="284"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1732" w:type="dxa"/>
            <w:tcBorders>
              <w:top w:val="nil" w:sz="6" w:space="0" w:color="auto"/>
              <w:left w:val="nil" w:sz="6" w:space="0" w:color="auto"/>
              <w:bottom w:val="nil" w:sz="6" w:space="0" w:color="auto"/>
              <w:right w:val="nil" w:sz="6" w:space="0" w:color="auto"/>
            </w:tcBorders>
          </w:tcPr>
          <w:p>
            <w:pPr>
              <w:pStyle w:val="TableParagraph"/>
              <w:spacing w:line="217" w:lineRule="exact"/>
              <w:ind w:right="165"/>
              <w:jc w:val="right"/>
              <w:rPr>
                <w:rFonts w:ascii="宋体" w:hAnsi="宋体" w:cs="宋体" w:eastAsia="宋体" w:hint="default"/>
                <w:sz w:val="18"/>
                <w:szCs w:val="18"/>
              </w:rPr>
            </w:pPr>
            <w:r>
              <w:rPr>
                <w:rFonts w:ascii="宋体"/>
                <w:sz w:val="18"/>
              </w:rPr>
              <w:t>0.00</w:t>
            </w:r>
          </w:p>
        </w:tc>
        <w:tc>
          <w:tcPr>
            <w:tcW w:w="2931" w:type="dxa"/>
            <w:tcBorders>
              <w:top w:val="nil" w:sz="6" w:space="0" w:color="auto"/>
              <w:left w:val="nil" w:sz="6" w:space="0" w:color="auto"/>
              <w:bottom w:val="nil" w:sz="6" w:space="0" w:color="auto"/>
              <w:right w:val="nil" w:sz="6" w:space="0" w:color="auto"/>
            </w:tcBorders>
          </w:tcPr>
          <w:p>
            <w:pPr>
              <w:pStyle w:val="TableParagraph"/>
              <w:tabs>
                <w:tab w:pos="2352" w:val="left" w:leader="none"/>
              </w:tabs>
              <w:spacing w:line="217" w:lineRule="exact"/>
              <w:ind w:left="866" w:right="0"/>
              <w:jc w:val="left"/>
              <w:rPr>
                <w:rFonts w:ascii="宋体" w:hAnsi="宋体" w:cs="宋体" w:eastAsia="宋体" w:hint="default"/>
                <w:sz w:val="18"/>
                <w:szCs w:val="18"/>
              </w:rPr>
            </w:pPr>
            <w:r>
              <w:rPr>
                <w:rFonts w:ascii="宋体"/>
                <w:sz w:val="18"/>
              </w:rPr>
              <w:t>0.00</w:t>
              <w:tab/>
              <w:t>0.00</w:t>
            </w:r>
          </w:p>
        </w:tc>
        <w:tc>
          <w:tcPr>
            <w:tcW w:w="1562" w:type="dxa"/>
            <w:tcBorders>
              <w:top w:val="nil" w:sz="6" w:space="0" w:color="auto"/>
              <w:left w:val="nil" w:sz="6" w:space="0" w:color="auto"/>
              <w:bottom w:val="nil" w:sz="6" w:space="0" w:color="auto"/>
              <w:right w:val="nil" w:sz="6" w:space="0" w:color="auto"/>
            </w:tcBorders>
          </w:tcPr>
          <w:p>
            <w:pPr>
              <w:pStyle w:val="TableParagraph"/>
              <w:spacing w:line="217" w:lineRule="exact"/>
              <w:ind w:right="108"/>
              <w:jc w:val="right"/>
              <w:rPr>
                <w:rFonts w:ascii="宋体" w:hAnsi="宋体" w:cs="宋体" w:eastAsia="宋体" w:hint="default"/>
                <w:sz w:val="18"/>
                <w:szCs w:val="18"/>
              </w:rPr>
            </w:pPr>
            <w:r>
              <w:rPr>
                <w:rFonts w:ascii="宋体"/>
                <w:spacing w:val="-1"/>
                <w:sz w:val="18"/>
              </w:rPr>
              <w:t>65,959,433.02</w:t>
            </w:r>
          </w:p>
        </w:tc>
      </w:tr>
      <w:tr>
        <w:trPr>
          <w:trHeight w:val="294" w:hRule="exact"/>
        </w:trPr>
        <w:tc>
          <w:tcPr>
            <w:tcW w:w="2500" w:type="dxa"/>
            <w:tcBorders>
              <w:top w:val="nil" w:sz="6" w:space="0" w:color="auto"/>
              <w:left w:val="nil" w:sz="6" w:space="0" w:color="auto"/>
              <w:bottom w:val="single" w:sz="6" w:space="0" w:color="000000"/>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1732" w:type="dxa"/>
            <w:tcBorders>
              <w:top w:val="nil" w:sz="6" w:space="0" w:color="auto"/>
              <w:left w:val="nil" w:sz="6" w:space="0" w:color="auto"/>
              <w:bottom w:val="single" w:sz="6" w:space="0" w:color="000000"/>
              <w:right w:val="nil" w:sz="6" w:space="0" w:color="auto"/>
            </w:tcBorders>
          </w:tcPr>
          <w:p>
            <w:pPr>
              <w:pStyle w:val="TableParagraph"/>
              <w:spacing w:line="218" w:lineRule="exact"/>
              <w:ind w:right="165"/>
              <w:jc w:val="right"/>
              <w:rPr>
                <w:rFonts w:ascii="宋体" w:hAnsi="宋体" w:cs="宋体" w:eastAsia="宋体" w:hint="default"/>
                <w:sz w:val="18"/>
                <w:szCs w:val="18"/>
              </w:rPr>
            </w:pPr>
            <w:r>
              <w:rPr>
                <w:rFonts w:ascii="宋体"/>
                <w:sz w:val="18"/>
              </w:rPr>
              <w:t>0.00</w:t>
            </w:r>
          </w:p>
        </w:tc>
        <w:tc>
          <w:tcPr>
            <w:tcW w:w="2931" w:type="dxa"/>
            <w:tcBorders>
              <w:top w:val="nil" w:sz="6" w:space="0" w:color="auto"/>
              <w:left w:val="nil" w:sz="6" w:space="0" w:color="auto"/>
              <w:bottom w:val="single" w:sz="6" w:space="0" w:color="000000"/>
              <w:right w:val="nil" w:sz="6" w:space="0" w:color="auto"/>
            </w:tcBorders>
          </w:tcPr>
          <w:p>
            <w:pPr>
              <w:pStyle w:val="TableParagraph"/>
              <w:tabs>
                <w:tab w:pos="2352" w:val="left" w:leader="none"/>
              </w:tabs>
              <w:spacing w:line="218" w:lineRule="exact"/>
              <w:ind w:left="866" w:right="0"/>
              <w:jc w:val="left"/>
              <w:rPr>
                <w:rFonts w:ascii="宋体" w:hAnsi="宋体" w:cs="宋体" w:eastAsia="宋体" w:hint="default"/>
                <w:sz w:val="18"/>
                <w:szCs w:val="18"/>
              </w:rPr>
            </w:pPr>
            <w:r>
              <w:rPr>
                <w:rFonts w:ascii="宋体"/>
                <w:sz w:val="18"/>
              </w:rPr>
              <w:t>0.00</w:t>
              <w:tab/>
              <w:t>0.00</w:t>
            </w:r>
          </w:p>
        </w:tc>
        <w:tc>
          <w:tcPr>
            <w:tcW w:w="1562" w:type="dxa"/>
            <w:tcBorders>
              <w:top w:val="nil" w:sz="6" w:space="0" w:color="auto"/>
              <w:left w:val="nil" w:sz="6" w:space="0" w:color="auto"/>
              <w:bottom w:val="single" w:sz="6" w:space="0" w:color="000000"/>
              <w:right w:val="nil" w:sz="6" w:space="0" w:color="auto"/>
            </w:tcBorders>
          </w:tcPr>
          <w:p>
            <w:pPr>
              <w:pStyle w:val="TableParagraph"/>
              <w:spacing w:line="218" w:lineRule="exact"/>
              <w:ind w:right="110"/>
              <w:jc w:val="right"/>
              <w:rPr>
                <w:rFonts w:ascii="宋体" w:hAnsi="宋体" w:cs="宋体" w:eastAsia="宋体" w:hint="default"/>
                <w:sz w:val="18"/>
                <w:szCs w:val="18"/>
              </w:rPr>
            </w:pPr>
            <w:r>
              <w:rPr>
                <w:rFonts w:ascii="宋体"/>
                <w:spacing w:val="-1"/>
                <w:sz w:val="18"/>
              </w:rPr>
              <w:t>1,079,321,108.15</w:t>
            </w:r>
          </w:p>
        </w:tc>
      </w:tr>
      <w:tr>
        <w:trPr>
          <w:trHeight w:val="324" w:hRule="exact"/>
        </w:trPr>
        <w:tc>
          <w:tcPr>
            <w:tcW w:w="2500" w:type="dxa"/>
            <w:tcBorders>
              <w:top w:val="single" w:sz="6" w:space="0" w:color="000000"/>
              <w:left w:val="nil" w:sz="6" w:space="0" w:color="auto"/>
              <w:bottom w:val="single" w:sz="12" w:space="0" w:color="000000"/>
              <w:right w:val="nil" w:sz="6" w:space="0" w:color="auto"/>
            </w:tcBorders>
          </w:tcPr>
          <w:p>
            <w:pPr>
              <w:pStyle w:val="TableParagraph"/>
              <w:spacing w:line="225" w:lineRule="exact"/>
              <w:ind w:left="21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32" w:type="dxa"/>
            <w:tcBorders>
              <w:top w:val="single" w:sz="6" w:space="0" w:color="000000"/>
              <w:left w:val="nil" w:sz="6" w:space="0" w:color="auto"/>
              <w:bottom w:val="single" w:sz="12" w:space="0" w:color="000000"/>
              <w:right w:val="nil" w:sz="6" w:space="0" w:color="auto"/>
            </w:tcBorders>
          </w:tcPr>
          <w:p>
            <w:pPr>
              <w:pStyle w:val="TableParagraph"/>
              <w:spacing w:line="225" w:lineRule="exact"/>
              <w:ind w:left="385" w:right="0"/>
              <w:jc w:val="left"/>
              <w:rPr>
                <w:rFonts w:ascii="宋体" w:hAnsi="宋体" w:cs="宋体" w:eastAsia="宋体" w:hint="default"/>
                <w:sz w:val="18"/>
                <w:szCs w:val="18"/>
              </w:rPr>
            </w:pPr>
            <w:r>
              <w:rPr>
                <w:rFonts w:ascii="宋体"/>
                <w:b/>
                <w:sz w:val="18"/>
              </w:rPr>
              <w:t>38,926,768.86</w:t>
            </w:r>
            <w:r>
              <w:rPr>
                <w:rFonts w:ascii="宋体"/>
                <w:sz w:val="18"/>
              </w:rPr>
            </w:r>
          </w:p>
        </w:tc>
        <w:tc>
          <w:tcPr>
            <w:tcW w:w="2931" w:type="dxa"/>
            <w:tcBorders>
              <w:top w:val="single" w:sz="6" w:space="0" w:color="000000"/>
              <w:left w:val="nil" w:sz="6" w:space="0" w:color="auto"/>
              <w:bottom w:val="single" w:sz="12" w:space="0" w:color="000000"/>
              <w:right w:val="nil" w:sz="6" w:space="0" w:color="auto"/>
            </w:tcBorders>
          </w:tcPr>
          <w:p>
            <w:pPr>
              <w:pStyle w:val="TableParagraph"/>
              <w:tabs>
                <w:tab w:pos="1445" w:val="left" w:leader="none"/>
              </w:tabs>
              <w:spacing w:line="225" w:lineRule="exact"/>
              <w:ind w:left="47" w:right="0"/>
              <w:jc w:val="left"/>
              <w:rPr>
                <w:rFonts w:ascii="宋体" w:hAnsi="宋体" w:cs="宋体" w:eastAsia="宋体" w:hint="default"/>
                <w:sz w:val="18"/>
                <w:szCs w:val="18"/>
              </w:rPr>
            </w:pPr>
            <w:r>
              <w:rPr>
                <w:rFonts w:ascii="宋体"/>
                <w:b/>
                <w:w w:val="95"/>
                <w:sz w:val="18"/>
              </w:rPr>
              <w:t>17,527,108.48</w:t>
              <w:tab/>
            </w:r>
            <w:r>
              <w:rPr>
                <w:rFonts w:ascii="宋体"/>
                <w:b/>
                <w:sz w:val="18"/>
              </w:rPr>
              <w:t>268,967,170.15</w:t>
            </w:r>
            <w:r>
              <w:rPr>
                <w:rFonts w:ascii="宋体"/>
                <w:sz w:val="18"/>
              </w:rPr>
            </w:r>
          </w:p>
        </w:tc>
        <w:tc>
          <w:tcPr>
            <w:tcW w:w="1562" w:type="dxa"/>
            <w:tcBorders>
              <w:top w:val="single" w:sz="6" w:space="0" w:color="000000"/>
              <w:left w:val="nil" w:sz="6" w:space="0" w:color="auto"/>
              <w:bottom w:val="single" w:sz="12" w:space="0" w:color="000000"/>
              <w:right w:val="nil" w:sz="6" w:space="0" w:color="auto"/>
            </w:tcBorders>
          </w:tcPr>
          <w:p>
            <w:pPr>
              <w:pStyle w:val="TableParagraph"/>
              <w:spacing w:line="225" w:lineRule="exact"/>
              <w:ind w:right="108"/>
              <w:jc w:val="right"/>
              <w:rPr>
                <w:rFonts w:ascii="宋体" w:hAnsi="宋体" w:cs="宋体" w:eastAsia="宋体" w:hint="default"/>
                <w:sz w:val="18"/>
                <w:szCs w:val="18"/>
              </w:rPr>
            </w:pPr>
            <w:r>
              <w:rPr>
                <w:rFonts w:ascii="宋体"/>
                <w:b/>
                <w:w w:val="95"/>
                <w:sz w:val="18"/>
              </w:rPr>
              <w:t>7,117,652,226.59</w:t>
            </w:r>
            <w:r>
              <w:rPr>
                <w:rFonts w:ascii="宋体"/>
                <w:sz w:val="18"/>
              </w:rPr>
            </w:r>
          </w:p>
        </w:tc>
      </w:tr>
    </w:tbl>
    <w:p>
      <w:pPr>
        <w:spacing w:before="52"/>
        <w:ind w:left="6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22.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短期借款</w:t>
      </w:r>
    </w:p>
    <w:p>
      <w:pPr>
        <w:spacing w:line="240" w:lineRule="auto" w:before="5"/>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415"/>
        <w:gridCol w:w="3894"/>
        <w:gridCol w:w="2417"/>
      </w:tblGrid>
      <w:tr>
        <w:trPr>
          <w:trHeight w:val="308" w:hRule="exact"/>
        </w:trPr>
        <w:tc>
          <w:tcPr>
            <w:tcW w:w="2415"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3894" w:type="dxa"/>
            <w:tcBorders>
              <w:top w:val="single" w:sz="12" w:space="0" w:color="000000"/>
              <w:left w:val="nil" w:sz="6" w:space="0" w:color="auto"/>
              <w:bottom w:val="single" w:sz="4" w:space="0" w:color="000000"/>
              <w:right w:val="nil" w:sz="6" w:space="0" w:color="auto"/>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17"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60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8" w:hRule="exact"/>
        </w:trPr>
        <w:tc>
          <w:tcPr>
            <w:tcW w:w="2415"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894" w:type="dxa"/>
            <w:tcBorders>
              <w:top w:val="single" w:sz="4" w:space="0" w:color="000000"/>
              <w:left w:val="nil" w:sz="6" w:space="0" w:color="auto"/>
              <w:bottom w:val="nil" w:sz="6" w:space="0" w:color="auto"/>
              <w:right w:val="nil" w:sz="6" w:space="0" w:color="auto"/>
            </w:tcBorders>
          </w:tcPr>
          <w:p>
            <w:pPr>
              <w:pStyle w:val="TableParagraph"/>
              <w:spacing w:line="232" w:lineRule="exact"/>
              <w:ind w:right="598"/>
              <w:jc w:val="right"/>
              <w:rPr>
                <w:rFonts w:ascii="宋体" w:hAnsi="宋体" w:cs="宋体" w:eastAsia="宋体" w:hint="default"/>
                <w:sz w:val="18"/>
                <w:szCs w:val="18"/>
              </w:rPr>
            </w:pPr>
            <w:r>
              <w:rPr>
                <w:rFonts w:ascii="宋体"/>
                <w:spacing w:val="-1"/>
                <w:sz w:val="18"/>
              </w:rPr>
              <w:t>5,692,749,319.02</w:t>
            </w:r>
          </w:p>
        </w:tc>
        <w:tc>
          <w:tcPr>
            <w:tcW w:w="2417"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6,164,136,200.65</w:t>
            </w:r>
          </w:p>
        </w:tc>
      </w:tr>
      <w:tr>
        <w:trPr>
          <w:trHeight w:val="286"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894" w:type="dxa"/>
            <w:tcBorders>
              <w:top w:val="nil" w:sz="6" w:space="0" w:color="auto"/>
              <w:left w:val="nil" w:sz="6" w:space="0" w:color="auto"/>
              <w:bottom w:val="nil" w:sz="6" w:space="0" w:color="auto"/>
              <w:right w:val="nil" w:sz="6" w:space="0" w:color="auto"/>
            </w:tcBorders>
          </w:tcPr>
          <w:p>
            <w:pPr>
              <w:pStyle w:val="TableParagraph"/>
              <w:spacing w:line="234" w:lineRule="exact"/>
              <w:ind w:right="598"/>
              <w:jc w:val="right"/>
              <w:rPr>
                <w:rFonts w:ascii="宋体" w:hAnsi="宋体" w:cs="宋体" w:eastAsia="宋体" w:hint="default"/>
                <w:sz w:val="18"/>
                <w:szCs w:val="18"/>
              </w:rPr>
            </w:pPr>
            <w:r>
              <w:rPr>
                <w:rFonts w:ascii="宋体"/>
                <w:spacing w:val="-1"/>
                <w:sz w:val="18"/>
              </w:rPr>
              <w:t>148,986,187.23</w:t>
            </w:r>
          </w:p>
        </w:tc>
        <w:tc>
          <w:tcPr>
            <w:tcW w:w="2417" w:type="dxa"/>
            <w:tcBorders>
              <w:top w:val="nil" w:sz="6" w:space="0" w:color="auto"/>
              <w:left w:val="nil" w:sz="6" w:space="0" w:color="auto"/>
              <w:bottom w:val="nil" w:sz="6" w:space="0" w:color="auto"/>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pacing w:val="-1"/>
                <w:sz w:val="18"/>
              </w:rPr>
              <w:t>57,174,249.41</w:t>
            </w:r>
          </w:p>
        </w:tc>
      </w:tr>
      <w:tr>
        <w:trPr>
          <w:trHeight w:val="290" w:hRule="exact"/>
        </w:trPr>
        <w:tc>
          <w:tcPr>
            <w:tcW w:w="2415"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894" w:type="dxa"/>
            <w:tcBorders>
              <w:top w:val="nil" w:sz="6" w:space="0" w:color="auto"/>
              <w:left w:val="nil" w:sz="6" w:space="0" w:color="auto"/>
              <w:bottom w:val="single" w:sz="4" w:space="0" w:color="000000"/>
              <w:right w:val="nil" w:sz="6" w:space="0" w:color="auto"/>
            </w:tcBorders>
          </w:tcPr>
          <w:p>
            <w:pPr>
              <w:pStyle w:val="TableParagraph"/>
              <w:spacing w:line="234" w:lineRule="exact"/>
              <w:ind w:right="598"/>
              <w:jc w:val="right"/>
              <w:rPr>
                <w:rFonts w:ascii="宋体" w:hAnsi="宋体" w:cs="宋体" w:eastAsia="宋体" w:hint="default"/>
                <w:sz w:val="18"/>
                <w:szCs w:val="18"/>
              </w:rPr>
            </w:pPr>
            <w:r>
              <w:rPr>
                <w:rFonts w:ascii="宋体"/>
                <w:spacing w:val="-1"/>
                <w:sz w:val="18"/>
              </w:rPr>
              <w:t>2,717,938,696.87</w:t>
            </w:r>
          </w:p>
        </w:tc>
        <w:tc>
          <w:tcPr>
            <w:tcW w:w="2417" w:type="dxa"/>
            <w:tcBorders>
              <w:top w:val="nil" w:sz="6" w:space="0" w:color="auto"/>
              <w:left w:val="nil" w:sz="6" w:space="0" w:color="auto"/>
              <w:bottom w:val="single" w:sz="4" w:space="0" w:color="000000"/>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pacing w:val="-1"/>
                <w:sz w:val="18"/>
              </w:rPr>
              <w:t>2,813,732,623.01</w:t>
            </w:r>
          </w:p>
        </w:tc>
      </w:tr>
      <w:tr>
        <w:trPr>
          <w:trHeight w:val="307" w:hRule="exact"/>
        </w:trPr>
        <w:tc>
          <w:tcPr>
            <w:tcW w:w="2415"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94" w:type="dxa"/>
            <w:tcBorders>
              <w:top w:val="single" w:sz="4" w:space="0" w:color="000000"/>
              <w:left w:val="nil" w:sz="6" w:space="0" w:color="auto"/>
              <w:bottom w:val="single" w:sz="12" w:space="0" w:color="000000"/>
              <w:right w:val="nil" w:sz="6" w:space="0" w:color="auto"/>
            </w:tcBorders>
          </w:tcPr>
          <w:p>
            <w:pPr>
              <w:pStyle w:val="TableParagraph"/>
              <w:spacing w:line="234" w:lineRule="exact"/>
              <w:ind w:right="599"/>
              <w:jc w:val="right"/>
              <w:rPr>
                <w:rFonts w:ascii="宋体" w:hAnsi="宋体" w:cs="宋体" w:eastAsia="宋体" w:hint="default"/>
                <w:sz w:val="18"/>
                <w:szCs w:val="18"/>
              </w:rPr>
            </w:pPr>
            <w:r>
              <w:rPr>
                <w:rFonts w:ascii="宋体"/>
                <w:b/>
                <w:w w:val="95"/>
                <w:sz w:val="18"/>
              </w:rPr>
              <w:t>8,559,674,203.12</w:t>
            </w:r>
            <w:r>
              <w:rPr>
                <w:rFonts w:ascii="宋体"/>
                <w:sz w:val="18"/>
              </w:rPr>
            </w:r>
          </w:p>
        </w:tc>
        <w:tc>
          <w:tcPr>
            <w:tcW w:w="2417" w:type="dxa"/>
            <w:tcBorders>
              <w:top w:val="single" w:sz="4" w:space="0" w:color="000000"/>
              <w:left w:val="nil" w:sz="6" w:space="0" w:color="auto"/>
              <w:bottom w:val="single" w:sz="12" w:space="0" w:color="000000"/>
              <w:right w:val="nil" w:sz="6" w:space="0" w:color="auto"/>
            </w:tcBorders>
          </w:tcPr>
          <w:p>
            <w:pPr>
              <w:pStyle w:val="TableParagraph"/>
              <w:spacing w:line="234" w:lineRule="exact"/>
              <w:ind w:right="106"/>
              <w:jc w:val="right"/>
              <w:rPr>
                <w:rFonts w:ascii="宋体" w:hAnsi="宋体" w:cs="宋体" w:eastAsia="宋体" w:hint="default"/>
                <w:sz w:val="18"/>
                <w:szCs w:val="18"/>
              </w:rPr>
            </w:pPr>
            <w:r>
              <w:rPr>
                <w:rFonts w:ascii="宋体"/>
                <w:b/>
                <w:w w:val="95"/>
                <w:sz w:val="18"/>
              </w:rPr>
              <w:t>9,035,043,073.07</w:t>
            </w:r>
            <w:r>
              <w:rPr>
                <w:rFonts w:ascii="宋体"/>
                <w:sz w:val="18"/>
              </w:rPr>
            </w:r>
          </w:p>
        </w:tc>
      </w:tr>
    </w:tbl>
    <w:p>
      <w:pPr>
        <w:spacing w:before="81"/>
        <w:ind w:left="674"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8"/>
          <w:sz w:val="22"/>
          <w:szCs w:val="22"/>
        </w:rPr>
        <w:t> </w:t>
      </w:r>
      <w:r>
        <w:rPr>
          <w:rFonts w:ascii="宋体" w:hAnsi="宋体" w:cs="宋体" w:eastAsia="宋体" w:hint="default"/>
          <w:sz w:val="22"/>
          <w:szCs w:val="22"/>
        </w:rPr>
        <w:t>2018</w:t>
      </w:r>
      <w:r>
        <w:rPr>
          <w:rFonts w:ascii="宋体" w:hAnsi="宋体" w:cs="宋体" w:eastAsia="宋体" w:hint="default"/>
          <w:spacing w:val="-50"/>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宋体" w:hAnsi="宋体" w:cs="宋体" w:eastAsia="宋体" w:hint="default"/>
          <w:sz w:val="22"/>
          <w:szCs w:val="22"/>
        </w:rPr>
        <w:t>12</w:t>
      </w:r>
      <w:r>
        <w:rPr>
          <w:rFonts w:ascii="宋体" w:hAnsi="宋体" w:cs="宋体" w:eastAsia="宋体" w:hint="default"/>
          <w:spacing w:val="-47"/>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48"/>
          <w:sz w:val="22"/>
          <w:szCs w:val="22"/>
        </w:rPr>
        <w:t> </w:t>
      </w:r>
      <w:r>
        <w:rPr>
          <w:rFonts w:ascii="宋体" w:hAnsi="宋体" w:cs="宋体" w:eastAsia="宋体" w:hint="default"/>
          <w:sz w:val="22"/>
          <w:szCs w:val="22"/>
        </w:rPr>
        <w:t>日，本公司短期抵押借款情况如下：本公司之三级子公司同方</w:t>
      </w:r>
    </w:p>
    <w:p>
      <w:pPr>
        <w:spacing w:before="67"/>
        <w:ind w:left="242" w:right="0" w:firstLine="0"/>
        <w:jc w:val="left"/>
        <w:rPr>
          <w:rFonts w:ascii="宋体" w:hAnsi="宋体" w:cs="宋体" w:eastAsia="宋体" w:hint="default"/>
          <w:sz w:val="22"/>
          <w:szCs w:val="22"/>
        </w:rPr>
      </w:pPr>
      <w:r>
        <w:rPr>
          <w:rFonts w:ascii="宋体" w:hAnsi="宋体" w:cs="宋体" w:eastAsia="宋体" w:hint="default"/>
          <w:sz w:val="22"/>
          <w:szCs w:val="22"/>
        </w:rPr>
        <w:t>友友控股有限公司以账面价值为人民币 </w:t>
      </w:r>
      <w:r>
        <w:rPr>
          <w:rFonts w:ascii="宋体" w:hAnsi="宋体" w:cs="宋体" w:eastAsia="宋体" w:hint="default"/>
          <w:sz w:val="22"/>
          <w:szCs w:val="22"/>
        </w:rPr>
        <w:t>134,364,860.78</w:t>
      </w:r>
      <w:r>
        <w:rPr>
          <w:rFonts w:ascii="宋体" w:hAnsi="宋体" w:cs="宋体" w:eastAsia="宋体" w:hint="default"/>
          <w:spacing w:val="-79"/>
          <w:sz w:val="22"/>
          <w:szCs w:val="22"/>
        </w:rPr>
        <w:t> </w:t>
      </w:r>
      <w:r>
        <w:rPr>
          <w:rFonts w:ascii="宋体" w:hAnsi="宋体" w:cs="宋体" w:eastAsia="宋体" w:hint="default"/>
          <w:sz w:val="22"/>
          <w:szCs w:val="22"/>
        </w:rPr>
        <w:t>元的存货和应收账款抵押取得借</w:t>
      </w:r>
    </w:p>
    <w:p>
      <w:pPr>
        <w:spacing w:before="69"/>
        <w:ind w:left="242" w:right="0" w:firstLine="0"/>
        <w:jc w:val="left"/>
        <w:rPr>
          <w:rFonts w:ascii="宋体" w:hAnsi="宋体" w:cs="宋体" w:eastAsia="宋体" w:hint="default"/>
          <w:sz w:val="22"/>
          <w:szCs w:val="22"/>
        </w:rPr>
      </w:pPr>
      <w:r>
        <w:rPr>
          <w:rFonts w:ascii="宋体" w:hAnsi="宋体" w:cs="宋体" w:eastAsia="宋体" w:hint="default"/>
          <w:sz w:val="22"/>
          <w:szCs w:val="22"/>
        </w:rPr>
        <w:t>款</w:t>
      </w:r>
      <w:r>
        <w:rPr>
          <w:rFonts w:ascii="宋体" w:hAnsi="宋体" w:cs="宋体" w:eastAsia="宋体" w:hint="default"/>
          <w:spacing w:val="-48"/>
          <w:sz w:val="22"/>
          <w:szCs w:val="22"/>
        </w:rPr>
        <w:t> </w:t>
      </w:r>
      <w:r>
        <w:rPr>
          <w:rFonts w:ascii="宋体" w:hAnsi="宋体" w:cs="宋体" w:eastAsia="宋体" w:hint="default"/>
          <w:sz w:val="22"/>
          <w:szCs w:val="22"/>
        </w:rPr>
        <w:t>8,750,000.00</w:t>
      </w:r>
      <w:r>
        <w:rPr>
          <w:rFonts w:ascii="宋体" w:hAnsi="宋体" w:cs="宋体" w:eastAsia="宋体" w:hint="default"/>
          <w:spacing w:val="-48"/>
          <w:sz w:val="22"/>
          <w:szCs w:val="22"/>
        </w:rPr>
        <w:t> </w:t>
      </w:r>
      <w:r>
        <w:rPr>
          <w:rFonts w:ascii="宋体" w:hAnsi="宋体" w:cs="宋体" w:eastAsia="宋体" w:hint="default"/>
          <w:sz w:val="22"/>
          <w:szCs w:val="22"/>
        </w:rPr>
        <w:t>美元（折合人民币</w:t>
      </w:r>
      <w:r>
        <w:rPr>
          <w:rFonts w:ascii="宋体" w:hAnsi="宋体" w:cs="宋体" w:eastAsia="宋体" w:hint="default"/>
          <w:spacing w:val="-47"/>
          <w:sz w:val="22"/>
          <w:szCs w:val="22"/>
        </w:rPr>
        <w:t> </w:t>
      </w:r>
      <w:r>
        <w:rPr>
          <w:rFonts w:ascii="宋体" w:hAnsi="宋体" w:cs="宋体" w:eastAsia="宋体" w:hint="default"/>
          <w:sz w:val="22"/>
          <w:szCs w:val="22"/>
        </w:rPr>
        <w:t>60,053,000.00</w:t>
      </w:r>
      <w:r>
        <w:rPr>
          <w:rFonts w:ascii="宋体" w:hAnsi="宋体" w:cs="宋体" w:eastAsia="宋体" w:hint="default"/>
          <w:spacing w:val="-47"/>
          <w:sz w:val="22"/>
          <w:szCs w:val="22"/>
        </w:rPr>
        <w:t> </w:t>
      </w:r>
      <w:r>
        <w:rPr>
          <w:rFonts w:ascii="宋体" w:hAnsi="宋体" w:cs="宋体" w:eastAsia="宋体" w:hint="default"/>
          <w:sz w:val="22"/>
          <w:szCs w:val="22"/>
        </w:rPr>
        <w:t>元）；本公司之三级子公司同方友友</w:t>
      </w:r>
    </w:p>
    <w:p>
      <w:pPr>
        <w:spacing w:after="0"/>
        <w:jc w:val="left"/>
        <w:rPr>
          <w:rFonts w:ascii="宋体" w:hAnsi="宋体" w:cs="宋体" w:eastAsia="宋体" w:hint="default"/>
          <w:sz w:val="22"/>
          <w:szCs w:val="22"/>
        </w:rPr>
        <w:sectPr>
          <w:footerReference w:type="default" r:id="rId41"/>
          <w:pgSz w:w="11910" w:h="16840"/>
          <w:pgMar w:footer="1054" w:header="0" w:top="1320" w:bottom="1240" w:left="1460" w:right="1460"/>
          <w:pgNumType w:start="131"/>
        </w:sectPr>
      </w:pPr>
    </w:p>
    <w:p>
      <w:pPr>
        <w:spacing w:line="297" w:lineRule="auto" w:before="6"/>
        <w:ind w:left="222" w:right="206" w:firstLine="0"/>
        <w:jc w:val="left"/>
        <w:rPr>
          <w:rFonts w:ascii="宋体" w:hAnsi="宋体" w:cs="宋体" w:eastAsia="宋体" w:hint="default"/>
          <w:sz w:val="22"/>
          <w:szCs w:val="22"/>
        </w:rPr>
      </w:pPr>
      <w:r>
        <w:rPr>
          <w:rFonts w:ascii="宋体" w:hAnsi="宋体" w:cs="宋体" w:eastAsia="宋体" w:hint="default"/>
          <w:spacing w:val="28"/>
          <w:sz w:val="22"/>
          <w:szCs w:val="22"/>
        </w:rPr>
        <w:t>控股有限公司以账</w:t>
      </w:r>
      <w:r>
        <w:rPr>
          <w:rFonts w:ascii="宋体" w:hAnsi="宋体" w:cs="宋体" w:eastAsia="宋体" w:hint="default"/>
          <w:spacing w:val="-78"/>
          <w:sz w:val="22"/>
          <w:szCs w:val="22"/>
        </w:rPr>
        <w:t> </w:t>
      </w:r>
      <w:r>
        <w:rPr>
          <w:rFonts w:ascii="宋体" w:hAnsi="宋体" w:cs="宋体" w:eastAsia="宋体" w:hint="default"/>
          <w:sz w:val="22"/>
          <w:szCs w:val="22"/>
        </w:rPr>
        <w:t>面</w:t>
      </w:r>
      <w:r>
        <w:rPr>
          <w:rFonts w:ascii="宋体" w:hAnsi="宋体" w:cs="宋体" w:eastAsia="宋体" w:hint="default"/>
          <w:spacing w:val="-78"/>
          <w:sz w:val="22"/>
          <w:szCs w:val="22"/>
        </w:rPr>
        <w:t> </w:t>
      </w:r>
      <w:r>
        <w:rPr>
          <w:rFonts w:ascii="宋体" w:hAnsi="宋体" w:cs="宋体" w:eastAsia="宋体" w:hint="default"/>
          <w:spacing w:val="26"/>
          <w:sz w:val="22"/>
          <w:szCs w:val="22"/>
        </w:rPr>
        <w:t>价值为人民币</w:t>
      </w:r>
      <w:r>
        <w:rPr>
          <w:rFonts w:ascii="宋体" w:hAnsi="宋体" w:cs="宋体" w:eastAsia="宋体" w:hint="default"/>
          <w:spacing w:val="41"/>
          <w:sz w:val="22"/>
          <w:szCs w:val="22"/>
        </w:rPr>
        <w:t> </w:t>
      </w:r>
      <w:r>
        <w:rPr>
          <w:rFonts w:ascii="宋体" w:hAnsi="宋体" w:cs="宋体" w:eastAsia="宋体" w:hint="default"/>
          <w:sz w:val="22"/>
          <w:szCs w:val="22"/>
        </w:rPr>
        <w:t>34,316,000.00</w:t>
      </w:r>
      <w:r>
        <w:rPr>
          <w:rFonts w:ascii="宋体" w:hAnsi="宋体" w:cs="宋体" w:eastAsia="宋体" w:hint="default"/>
          <w:spacing w:val="41"/>
          <w:sz w:val="22"/>
          <w:szCs w:val="22"/>
        </w:rPr>
        <w:t> </w:t>
      </w:r>
      <w:r>
        <w:rPr>
          <w:rFonts w:ascii="宋体" w:hAnsi="宋体" w:cs="宋体" w:eastAsia="宋体" w:hint="default"/>
          <w:sz w:val="22"/>
          <w:szCs w:val="22"/>
        </w:rPr>
        <w:t>元</w:t>
      </w:r>
      <w:r>
        <w:rPr>
          <w:rFonts w:ascii="宋体" w:hAnsi="宋体" w:cs="宋体" w:eastAsia="宋体" w:hint="default"/>
          <w:spacing w:val="-76"/>
          <w:sz w:val="22"/>
          <w:szCs w:val="22"/>
        </w:rPr>
        <w:t> </w:t>
      </w:r>
      <w:r>
        <w:rPr>
          <w:rFonts w:ascii="宋体" w:hAnsi="宋体" w:cs="宋体" w:eastAsia="宋体" w:hint="default"/>
          <w:sz w:val="22"/>
          <w:szCs w:val="22"/>
        </w:rPr>
        <w:t>的</w:t>
      </w:r>
      <w:r>
        <w:rPr>
          <w:rFonts w:ascii="宋体" w:hAnsi="宋体" w:cs="宋体" w:eastAsia="宋体" w:hint="default"/>
          <w:spacing w:val="-79"/>
          <w:sz w:val="22"/>
          <w:szCs w:val="22"/>
        </w:rPr>
        <w:t> </w:t>
      </w:r>
      <w:r>
        <w:rPr>
          <w:rFonts w:ascii="宋体" w:hAnsi="宋体" w:cs="宋体" w:eastAsia="宋体" w:hint="default"/>
          <w:sz w:val="22"/>
          <w:szCs w:val="22"/>
        </w:rPr>
        <w:t>银</w:t>
      </w:r>
      <w:r>
        <w:rPr>
          <w:rFonts w:ascii="宋体" w:hAnsi="宋体" w:cs="宋体" w:eastAsia="宋体" w:hint="default"/>
          <w:spacing w:val="-76"/>
          <w:sz w:val="22"/>
          <w:szCs w:val="22"/>
        </w:rPr>
        <w:t> </w:t>
      </w:r>
      <w:r>
        <w:rPr>
          <w:rFonts w:ascii="宋体" w:hAnsi="宋体" w:cs="宋体" w:eastAsia="宋体" w:hint="default"/>
          <w:sz w:val="22"/>
          <w:szCs w:val="22"/>
        </w:rPr>
        <w:t>行</w:t>
      </w:r>
      <w:r>
        <w:rPr>
          <w:rFonts w:ascii="宋体" w:hAnsi="宋体" w:cs="宋体" w:eastAsia="宋体" w:hint="default"/>
          <w:spacing w:val="-76"/>
          <w:sz w:val="22"/>
          <w:szCs w:val="22"/>
        </w:rPr>
        <w:t> </w:t>
      </w:r>
      <w:r>
        <w:rPr>
          <w:rFonts w:ascii="宋体" w:hAnsi="宋体" w:cs="宋体" w:eastAsia="宋体" w:hint="default"/>
          <w:sz w:val="22"/>
          <w:szCs w:val="22"/>
        </w:rPr>
        <w:t>存</w:t>
      </w:r>
      <w:r>
        <w:rPr>
          <w:rFonts w:ascii="宋体" w:hAnsi="宋体" w:cs="宋体" w:eastAsia="宋体" w:hint="default"/>
          <w:spacing w:val="-76"/>
          <w:sz w:val="22"/>
          <w:szCs w:val="22"/>
        </w:rPr>
        <w:t> </w:t>
      </w:r>
      <w:r>
        <w:rPr>
          <w:rFonts w:ascii="宋体" w:hAnsi="宋体" w:cs="宋体" w:eastAsia="宋体" w:hint="default"/>
          <w:sz w:val="22"/>
          <w:szCs w:val="22"/>
        </w:rPr>
        <w:t>单</w:t>
      </w:r>
      <w:r>
        <w:rPr>
          <w:rFonts w:ascii="宋体" w:hAnsi="宋体" w:cs="宋体" w:eastAsia="宋体" w:hint="default"/>
          <w:spacing w:val="-79"/>
          <w:sz w:val="22"/>
          <w:szCs w:val="22"/>
        </w:rPr>
        <w:t> </w:t>
      </w:r>
      <w:r>
        <w:rPr>
          <w:rFonts w:ascii="宋体" w:hAnsi="宋体" w:cs="宋体" w:eastAsia="宋体" w:hint="default"/>
          <w:sz w:val="22"/>
          <w:szCs w:val="22"/>
        </w:rPr>
        <w:t>抵</w:t>
      </w:r>
      <w:r>
        <w:rPr>
          <w:rFonts w:ascii="宋体" w:hAnsi="宋体" w:cs="宋体" w:eastAsia="宋体" w:hint="default"/>
          <w:spacing w:val="-76"/>
          <w:sz w:val="22"/>
          <w:szCs w:val="22"/>
        </w:rPr>
        <w:t> </w:t>
      </w:r>
      <w:r>
        <w:rPr>
          <w:rFonts w:ascii="宋体" w:hAnsi="宋体" w:cs="宋体" w:eastAsia="宋体" w:hint="default"/>
          <w:sz w:val="22"/>
          <w:szCs w:val="22"/>
        </w:rPr>
        <w:t>押</w:t>
      </w:r>
      <w:r>
        <w:rPr>
          <w:rFonts w:ascii="宋体" w:hAnsi="宋体" w:cs="宋体" w:eastAsia="宋体" w:hint="default"/>
          <w:spacing w:val="-76"/>
          <w:sz w:val="22"/>
          <w:szCs w:val="22"/>
        </w:rPr>
        <w:t> </w:t>
      </w:r>
      <w:r>
        <w:rPr>
          <w:rFonts w:ascii="宋体" w:hAnsi="宋体" w:cs="宋体" w:eastAsia="宋体" w:hint="default"/>
          <w:sz w:val="22"/>
          <w:szCs w:val="22"/>
        </w:rPr>
        <w:t>取</w:t>
      </w:r>
      <w:r>
        <w:rPr>
          <w:rFonts w:ascii="宋体" w:hAnsi="宋体" w:cs="宋体" w:eastAsia="宋体" w:hint="default"/>
          <w:spacing w:val="-76"/>
          <w:sz w:val="22"/>
          <w:szCs w:val="22"/>
        </w:rPr>
        <w:t> </w:t>
      </w:r>
      <w:r>
        <w:rPr>
          <w:rFonts w:ascii="宋体" w:hAnsi="宋体" w:cs="宋体" w:eastAsia="宋体" w:hint="default"/>
          <w:sz w:val="22"/>
          <w:szCs w:val="22"/>
        </w:rPr>
        <w:t>得</w:t>
      </w:r>
      <w:r>
        <w:rPr>
          <w:rFonts w:ascii="宋体" w:hAnsi="宋体" w:cs="宋体" w:eastAsia="宋体" w:hint="default"/>
          <w:spacing w:val="-76"/>
          <w:sz w:val="22"/>
          <w:szCs w:val="22"/>
        </w:rPr>
        <w:t> </w:t>
      </w:r>
      <w:r>
        <w:rPr>
          <w:rFonts w:ascii="宋体" w:hAnsi="宋体" w:cs="宋体" w:eastAsia="宋体" w:hint="default"/>
          <w:sz w:val="22"/>
          <w:szCs w:val="22"/>
        </w:rPr>
        <w:t>借</w:t>
      </w:r>
      <w:r>
        <w:rPr>
          <w:rFonts w:ascii="宋体" w:hAnsi="宋体" w:cs="宋体" w:eastAsia="宋体" w:hint="default"/>
          <w:spacing w:val="-76"/>
          <w:sz w:val="22"/>
          <w:szCs w:val="22"/>
        </w:rPr>
        <w:t> </w:t>
      </w:r>
      <w:r>
        <w:rPr>
          <w:rFonts w:ascii="宋体" w:hAnsi="宋体" w:cs="宋体" w:eastAsia="宋体" w:hint="default"/>
          <w:sz w:val="22"/>
          <w:szCs w:val="22"/>
        </w:rPr>
        <w:t>款</w:t>
      </w:r>
      <w:r>
        <w:rPr>
          <w:rFonts w:ascii="宋体" w:hAnsi="宋体" w:cs="宋体" w:eastAsia="宋体" w:hint="default"/>
          <w:w w:val="100"/>
          <w:sz w:val="22"/>
          <w:szCs w:val="22"/>
        </w:rPr>
        <w:t> </w:t>
      </w:r>
      <w:r>
        <w:rPr>
          <w:rFonts w:ascii="宋体" w:hAnsi="宋体" w:cs="宋体" w:eastAsia="宋体" w:hint="default"/>
          <w:sz w:val="22"/>
          <w:szCs w:val="22"/>
        </w:rPr>
        <w:t>78,000,000.00</w:t>
      </w:r>
      <w:r>
        <w:rPr>
          <w:rFonts w:ascii="宋体" w:hAnsi="宋体" w:cs="宋体" w:eastAsia="宋体" w:hint="default"/>
          <w:spacing w:val="-64"/>
          <w:sz w:val="22"/>
          <w:szCs w:val="22"/>
        </w:rPr>
        <w:t> </w:t>
      </w:r>
      <w:r>
        <w:rPr>
          <w:rFonts w:ascii="宋体" w:hAnsi="宋体" w:cs="宋体" w:eastAsia="宋体" w:hint="default"/>
          <w:sz w:val="22"/>
          <w:szCs w:val="22"/>
        </w:rPr>
        <w:t>港币（折合人民币</w:t>
      </w:r>
      <w:r>
        <w:rPr>
          <w:rFonts w:ascii="宋体" w:hAnsi="宋体" w:cs="宋体" w:eastAsia="宋体" w:hint="default"/>
          <w:spacing w:val="-63"/>
          <w:sz w:val="22"/>
          <w:szCs w:val="22"/>
        </w:rPr>
        <w:t> </w:t>
      </w:r>
      <w:r>
        <w:rPr>
          <w:rFonts w:ascii="宋体" w:hAnsi="宋体" w:cs="宋体" w:eastAsia="宋体" w:hint="default"/>
          <w:sz w:val="22"/>
          <w:szCs w:val="22"/>
        </w:rPr>
        <w:t>68,343,600.00</w:t>
      </w:r>
      <w:r>
        <w:rPr>
          <w:rFonts w:ascii="宋体" w:hAnsi="宋体" w:cs="宋体" w:eastAsia="宋体" w:hint="default"/>
          <w:spacing w:val="-63"/>
          <w:sz w:val="22"/>
          <w:szCs w:val="22"/>
        </w:rPr>
        <w:t> </w:t>
      </w:r>
      <w:r>
        <w:rPr>
          <w:rFonts w:ascii="宋体" w:hAnsi="宋体" w:cs="宋体" w:eastAsia="宋体" w:hint="default"/>
          <w:sz w:val="22"/>
          <w:szCs w:val="22"/>
        </w:rPr>
        <w:t>元）；本公司之二级子公司清华同方威</w:t>
      </w:r>
    </w:p>
    <w:p>
      <w:pPr>
        <w:spacing w:before="17"/>
        <w:ind w:left="222" w:right="106" w:firstLine="0"/>
        <w:jc w:val="left"/>
        <w:rPr>
          <w:rFonts w:ascii="宋体" w:hAnsi="宋体" w:cs="宋体" w:eastAsia="宋体" w:hint="default"/>
          <w:sz w:val="22"/>
          <w:szCs w:val="22"/>
        </w:rPr>
      </w:pPr>
      <w:r>
        <w:rPr>
          <w:rFonts w:ascii="宋体" w:hAnsi="宋体" w:cs="宋体" w:eastAsia="宋体" w:hint="default"/>
          <w:spacing w:val="2"/>
          <w:sz w:val="22"/>
          <w:szCs w:val="22"/>
        </w:rPr>
        <w:t>视技术（香港）有限公司以账面价值为人民币 </w:t>
      </w:r>
      <w:r>
        <w:rPr>
          <w:rFonts w:ascii="宋体" w:hAnsi="宋体" w:cs="宋体" w:eastAsia="宋体" w:hint="default"/>
          <w:sz w:val="22"/>
          <w:szCs w:val="22"/>
        </w:rPr>
        <w:t>946,924.52</w:t>
      </w:r>
      <w:r>
        <w:rPr>
          <w:rFonts w:ascii="宋体" w:hAnsi="宋体" w:cs="宋体" w:eastAsia="宋体" w:hint="default"/>
          <w:spacing w:val="68"/>
          <w:sz w:val="22"/>
          <w:szCs w:val="22"/>
        </w:rPr>
        <w:t> </w:t>
      </w:r>
      <w:r>
        <w:rPr>
          <w:rFonts w:ascii="宋体" w:hAnsi="宋体" w:cs="宋体" w:eastAsia="宋体" w:hint="default"/>
          <w:spacing w:val="2"/>
          <w:sz w:val="22"/>
          <w:szCs w:val="22"/>
        </w:rPr>
        <w:t>元的固定资产抵押取得借款</w:t>
      </w:r>
    </w:p>
    <w:p>
      <w:pPr>
        <w:spacing w:before="69"/>
        <w:ind w:left="222" w:right="3346" w:firstLine="0"/>
        <w:jc w:val="left"/>
        <w:rPr>
          <w:rFonts w:ascii="宋体" w:hAnsi="宋体" w:cs="宋体" w:eastAsia="宋体" w:hint="default"/>
          <w:sz w:val="22"/>
          <w:szCs w:val="22"/>
        </w:rPr>
      </w:pPr>
      <w:r>
        <w:rPr>
          <w:rFonts w:ascii="宋体" w:hAnsi="宋体" w:cs="宋体" w:eastAsia="宋体" w:hint="default"/>
          <w:sz w:val="22"/>
          <w:szCs w:val="22"/>
        </w:rPr>
        <w:t>3,000,000.00</w:t>
      </w:r>
      <w:r>
        <w:rPr>
          <w:rFonts w:ascii="宋体" w:hAnsi="宋体" w:cs="宋体" w:eastAsia="宋体" w:hint="default"/>
          <w:spacing w:val="-54"/>
          <w:sz w:val="22"/>
          <w:szCs w:val="22"/>
        </w:rPr>
        <w:t> </w:t>
      </w:r>
      <w:r>
        <w:rPr>
          <w:rFonts w:ascii="宋体" w:hAnsi="宋体" w:cs="宋体" w:eastAsia="宋体" w:hint="default"/>
          <w:sz w:val="22"/>
          <w:szCs w:val="22"/>
        </w:rPr>
        <w:t>美元（折合人民币</w:t>
      </w:r>
      <w:r>
        <w:rPr>
          <w:rFonts w:ascii="宋体" w:hAnsi="宋体" w:cs="宋体" w:eastAsia="宋体" w:hint="default"/>
          <w:spacing w:val="-56"/>
          <w:sz w:val="22"/>
          <w:szCs w:val="22"/>
        </w:rPr>
        <w:t> </w:t>
      </w:r>
      <w:r>
        <w:rPr>
          <w:rFonts w:ascii="宋体" w:hAnsi="宋体" w:cs="宋体" w:eastAsia="宋体" w:hint="default"/>
          <w:sz w:val="22"/>
          <w:szCs w:val="22"/>
        </w:rPr>
        <w:t>20,589,587.23</w:t>
      </w:r>
      <w:r>
        <w:rPr>
          <w:rFonts w:ascii="宋体" w:hAnsi="宋体" w:cs="宋体" w:eastAsia="宋体" w:hint="default"/>
          <w:spacing w:val="-56"/>
          <w:sz w:val="22"/>
          <w:szCs w:val="22"/>
        </w:rPr>
        <w:t> </w:t>
      </w:r>
      <w:r>
        <w:rPr>
          <w:rFonts w:ascii="宋体" w:hAnsi="宋体" w:cs="宋体" w:eastAsia="宋体" w:hint="default"/>
          <w:sz w:val="22"/>
          <w:szCs w:val="22"/>
        </w:rPr>
        <w:t>元）。</w:t>
      </w:r>
    </w:p>
    <w:p>
      <w:pPr>
        <w:spacing w:before="187"/>
        <w:ind w:left="654" w:right="106"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宋体" w:hAnsi="宋体" w:cs="宋体" w:eastAsia="宋体" w:hint="default"/>
          <w:sz w:val="22"/>
          <w:szCs w:val="22"/>
        </w:rPr>
        <w:t>2018</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z w:val="22"/>
          <w:szCs w:val="22"/>
        </w:rPr>
        <w:t>日，本公司短期保证借款担保情况详见附注十、（二）、</w:t>
      </w:r>
      <w:r>
        <w:rPr>
          <w:rFonts w:ascii="宋体" w:hAnsi="宋体" w:cs="宋体" w:eastAsia="宋体" w:hint="default"/>
          <w:sz w:val="22"/>
          <w:szCs w:val="22"/>
        </w:rPr>
        <w:t>4</w:t>
      </w:r>
      <w:r>
        <w:rPr>
          <w:rFonts w:ascii="宋体" w:hAnsi="宋体" w:cs="宋体" w:eastAsia="宋体" w:hint="default"/>
          <w:sz w:val="22"/>
          <w:szCs w:val="22"/>
        </w:rPr>
        <w:t>。</w:t>
      </w:r>
    </w:p>
    <w:p>
      <w:pPr>
        <w:spacing w:before="189"/>
        <w:ind w:left="62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23.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应付票据及应付账款</w:t>
      </w:r>
    </w:p>
    <w:p>
      <w:pPr>
        <w:spacing w:line="240" w:lineRule="auto" w:before="5"/>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214"/>
        <w:gridCol w:w="3893"/>
        <w:gridCol w:w="2618"/>
      </w:tblGrid>
      <w:tr>
        <w:trPr>
          <w:trHeight w:val="307" w:hRule="exact"/>
        </w:trPr>
        <w:tc>
          <w:tcPr>
            <w:tcW w:w="221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93" w:type="dxa"/>
            <w:tcBorders>
              <w:top w:val="single" w:sz="12" w:space="0" w:color="000000"/>
              <w:left w:val="nil" w:sz="6" w:space="0" w:color="auto"/>
              <w:bottom w:val="single" w:sz="4" w:space="0" w:color="000000"/>
              <w:right w:val="nil" w:sz="6" w:space="0" w:color="auto"/>
            </w:tcBorders>
          </w:tcPr>
          <w:p>
            <w:pPr>
              <w:pStyle w:val="TableParagraph"/>
              <w:spacing w:line="234" w:lineRule="exact"/>
              <w:ind w:right="396"/>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61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66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8" w:hRule="exact"/>
        </w:trPr>
        <w:tc>
          <w:tcPr>
            <w:tcW w:w="2214"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893" w:type="dxa"/>
            <w:tcBorders>
              <w:top w:val="single" w:sz="4" w:space="0" w:color="000000"/>
              <w:left w:val="nil" w:sz="6" w:space="0" w:color="auto"/>
              <w:bottom w:val="nil" w:sz="6" w:space="0" w:color="auto"/>
              <w:right w:val="nil" w:sz="6" w:space="0" w:color="auto"/>
            </w:tcBorders>
          </w:tcPr>
          <w:p>
            <w:pPr>
              <w:pStyle w:val="TableParagraph"/>
              <w:spacing w:line="232" w:lineRule="exact"/>
              <w:ind w:right="664"/>
              <w:jc w:val="right"/>
              <w:rPr>
                <w:rFonts w:ascii="宋体" w:hAnsi="宋体" w:cs="宋体" w:eastAsia="宋体" w:hint="default"/>
                <w:sz w:val="18"/>
                <w:szCs w:val="18"/>
              </w:rPr>
            </w:pPr>
            <w:r>
              <w:rPr>
                <w:rFonts w:ascii="宋体"/>
                <w:spacing w:val="-1"/>
                <w:sz w:val="18"/>
              </w:rPr>
              <w:t>629,870,878.18</w:t>
            </w:r>
          </w:p>
        </w:tc>
        <w:tc>
          <w:tcPr>
            <w:tcW w:w="2618" w:type="dxa"/>
            <w:tcBorders>
              <w:top w:val="single" w:sz="4" w:space="0" w:color="000000"/>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540,795,170.13</w:t>
            </w:r>
          </w:p>
        </w:tc>
      </w:tr>
      <w:tr>
        <w:trPr>
          <w:trHeight w:val="290" w:hRule="exact"/>
        </w:trPr>
        <w:tc>
          <w:tcPr>
            <w:tcW w:w="2214"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893" w:type="dxa"/>
            <w:tcBorders>
              <w:top w:val="nil" w:sz="6" w:space="0" w:color="auto"/>
              <w:left w:val="nil" w:sz="6" w:space="0" w:color="auto"/>
              <w:bottom w:val="single" w:sz="4" w:space="0" w:color="000000"/>
              <w:right w:val="nil" w:sz="6" w:space="0" w:color="auto"/>
            </w:tcBorders>
          </w:tcPr>
          <w:p>
            <w:pPr>
              <w:pStyle w:val="TableParagraph"/>
              <w:spacing w:line="232" w:lineRule="exact"/>
              <w:ind w:right="664"/>
              <w:jc w:val="right"/>
              <w:rPr>
                <w:rFonts w:ascii="宋体" w:hAnsi="宋体" w:cs="宋体" w:eastAsia="宋体" w:hint="default"/>
                <w:sz w:val="18"/>
                <w:szCs w:val="18"/>
              </w:rPr>
            </w:pPr>
            <w:r>
              <w:rPr>
                <w:rFonts w:ascii="宋体"/>
                <w:spacing w:val="-1"/>
                <w:sz w:val="18"/>
              </w:rPr>
              <w:t>7,219,272,583.01</w:t>
            </w:r>
          </w:p>
        </w:tc>
        <w:tc>
          <w:tcPr>
            <w:tcW w:w="2618" w:type="dxa"/>
            <w:tcBorders>
              <w:top w:val="nil" w:sz="6" w:space="0" w:color="auto"/>
              <w:left w:val="nil" w:sz="6" w:space="0" w:color="auto"/>
              <w:bottom w:val="single" w:sz="4"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6,988,622,676.53</w:t>
            </w:r>
          </w:p>
        </w:tc>
      </w:tr>
      <w:tr>
        <w:trPr>
          <w:trHeight w:val="307" w:hRule="exact"/>
        </w:trPr>
        <w:tc>
          <w:tcPr>
            <w:tcW w:w="2214"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893"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664"/>
              <w:jc w:val="right"/>
              <w:rPr>
                <w:rFonts w:ascii="宋体" w:hAnsi="宋体" w:cs="宋体" w:eastAsia="宋体" w:hint="default"/>
                <w:sz w:val="18"/>
                <w:szCs w:val="18"/>
              </w:rPr>
            </w:pPr>
            <w:r>
              <w:rPr>
                <w:rFonts w:ascii="宋体"/>
                <w:b/>
                <w:w w:val="95"/>
                <w:sz w:val="18"/>
              </w:rPr>
              <w:t>7,849,143,461.19</w:t>
            </w:r>
            <w:r>
              <w:rPr>
                <w:rFonts w:ascii="宋体"/>
                <w:sz w:val="18"/>
              </w:rPr>
            </w:r>
          </w:p>
        </w:tc>
        <w:tc>
          <w:tcPr>
            <w:tcW w:w="2618"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7,529,417,846.66</w:t>
            </w:r>
            <w:r>
              <w:rPr>
                <w:rFonts w:ascii="宋体"/>
                <w:sz w:val="18"/>
              </w:rPr>
            </w:r>
          </w:p>
        </w:tc>
      </w:tr>
    </w:tbl>
    <w:p>
      <w:pPr>
        <w:spacing w:before="81"/>
        <w:ind w:left="598" w:right="3346" w:firstLine="0"/>
        <w:jc w:val="left"/>
        <w:rPr>
          <w:rFonts w:ascii="宋体" w:hAnsi="宋体" w:cs="宋体" w:eastAsia="宋体" w:hint="default"/>
          <w:sz w:val="22"/>
          <w:szCs w:val="22"/>
        </w:rPr>
      </w:pPr>
      <w:r>
        <w:rPr>
          <w:rFonts w:ascii="宋体" w:hAnsi="宋体" w:cs="宋体" w:eastAsia="宋体" w:hint="default"/>
          <w:b/>
          <w:bCs/>
          <w:sz w:val="22"/>
          <w:szCs w:val="22"/>
        </w:rPr>
        <w:t>23.1.</w:t>
      </w:r>
      <w:r>
        <w:rPr>
          <w:rFonts w:ascii="宋体" w:hAnsi="宋体" w:cs="宋体" w:eastAsia="宋体" w:hint="default"/>
          <w:b/>
          <w:bCs/>
          <w:spacing w:val="-47"/>
          <w:sz w:val="22"/>
          <w:szCs w:val="22"/>
        </w:rPr>
        <w:t> </w:t>
      </w:r>
      <w:r>
        <w:rPr>
          <w:rFonts w:ascii="宋体" w:hAnsi="宋体" w:cs="宋体" w:eastAsia="宋体" w:hint="default"/>
          <w:sz w:val="22"/>
          <w:szCs w:val="22"/>
        </w:rPr>
        <w:t>应付票据</w:t>
      </w:r>
    </w:p>
    <w:p>
      <w:pPr>
        <w:spacing w:line="240" w:lineRule="auto" w:before="9"/>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394"/>
        <w:gridCol w:w="3714"/>
        <w:gridCol w:w="2617"/>
      </w:tblGrid>
      <w:tr>
        <w:trPr>
          <w:trHeight w:val="307" w:hRule="exact"/>
        </w:trPr>
        <w:tc>
          <w:tcPr>
            <w:tcW w:w="239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sz w:val="18"/>
                <w:szCs w:val="18"/>
              </w:rPr>
            </w:r>
          </w:p>
        </w:tc>
        <w:tc>
          <w:tcPr>
            <w:tcW w:w="371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0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617"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66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8" w:hRule="exact"/>
        </w:trPr>
        <w:tc>
          <w:tcPr>
            <w:tcW w:w="2394"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714" w:type="dxa"/>
            <w:tcBorders>
              <w:top w:val="single" w:sz="4" w:space="0" w:color="000000"/>
              <w:left w:val="nil" w:sz="6" w:space="0" w:color="auto"/>
              <w:bottom w:val="nil" w:sz="6" w:space="0" w:color="auto"/>
              <w:right w:val="nil" w:sz="6" w:space="0" w:color="auto"/>
            </w:tcBorders>
          </w:tcPr>
          <w:p>
            <w:pPr>
              <w:pStyle w:val="TableParagraph"/>
              <w:spacing w:line="232" w:lineRule="exact"/>
              <w:ind w:right="664"/>
              <w:jc w:val="right"/>
              <w:rPr>
                <w:rFonts w:ascii="宋体" w:hAnsi="宋体" w:cs="宋体" w:eastAsia="宋体" w:hint="default"/>
                <w:sz w:val="18"/>
                <w:szCs w:val="18"/>
              </w:rPr>
            </w:pPr>
            <w:r>
              <w:rPr>
                <w:rFonts w:ascii="宋体"/>
                <w:spacing w:val="-1"/>
                <w:sz w:val="18"/>
              </w:rPr>
              <w:t>629,870,878.18</w:t>
            </w:r>
          </w:p>
        </w:tc>
        <w:tc>
          <w:tcPr>
            <w:tcW w:w="2617" w:type="dxa"/>
            <w:tcBorders>
              <w:top w:val="single" w:sz="4" w:space="0" w:color="000000"/>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528,634,220.73</w:t>
            </w:r>
          </w:p>
        </w:tc>
      </w:tr>
      <w:tr>
        <w:trPr>
          <w:trHeight w:val="290" w:hRule="exact"/>
        </w:trPr>
        <w:tc>
          <w:tcPr>
            <w:tcW w:w="2394"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714" w:type="dxa"/>
            <w:tcBorders>
              <w:top w:val="nil" w:sz="6" w:space="0" w:color="auto"/>
              <w:left w:val="nil" w:sz="6" w:space="0" w:color="auto"/>
              <w:bottom w:val="single" w:sz="4" w:space="0" w:color="000000"/>
              <w:right w:val="nil" w:sz="6" w:space="0" w:color="auto"/>
            </w:tcBorders>
          </w:tcPr>
          <w:p>
            <w:pPr>
              <w:pStyle w:val="TableParagraph"/>
              <w:spacing w:line="232" w:lineRule="exact"/>
              <w:ind w:right="663"/>
              <w:jc w:val="right"/>
              <w:rPr>
                <w:rFonts w:ascii="宋体" w:hAnsi="宋体" w:cs="宋体" w:eastAsia="宋体" w:hint="default"/>
                <w:sz w:val="18"/>
                <w:szCs w:val="18"/>
              </w:rPr>
            </w:pPr>
            <w:r>
              <w:rPr>
                <w:rFonts w:ascii="宋体"/>
                <w:sz w:val="18"/>
              </w:rPr>
              <w:t>0.00</w:t>
            </w:r>
          </w:p>
        </w:tc>
        <w:tc>
          <w:tcPr>
            <w:tcW w:w="2617" w:type="dxa"/>
            <w:tcBorders>
              <w:top w:val="nil" w:sz="6" w:space="0" w:color="auto"/>
              <w:left w:val="nil" w:sz="6" w:space="0" w:color="auto"/>
              <w:bottom w:val="single" w:sz="4"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12,160,949.40</w:t>
            </w:r>
          </w:p>
        </w:tc>
      </w:tr>
      <w:tr>
        <w:trPr>
          <w:trHeight w:val="307" w:hRule="exact"/>
        </w:trPr>
        <w:tc>
          <w:tcPr>
            <w:tcW w:w="2394"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714"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665"/>
              <w:jc w:val="right"/>
              <w:rPr>
                <w:rFonts w:ascii="宋体" w:hAnsi="宋体" w:cs="宋体" w:eastAsia="宋体" w:hint="default"/>
                <w:sz w:val="18"/>
                <w:szCs w:val="18"/>
              </w:rPr>
            </w:pPr>
            <w:r>
              <w:rPr>
                <w:rFonts w:ascii="宋体"/>
                <w:b/>
                <w:w w:val="95"/>
                <w:sz w:val="18"/>
              </w:rPr>
              <w:t>629,870,878.18</w:t>
            </w:r>
            <w:r>
              <w:rPr>
                <w:rFonts w:ascii="宋体"/>
                <w:sz w:val="18"/>
              </w:rPr>
            </w:r>
          </w:p>
        </w:tc>
        <w:tc>
          <w:tcPr>
            <w:tcW w:w="2617"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540,795,170.13</w:t>
            </w:r>
            <w:r>
              <w:rPr>
                <w:rFonts w:ascii="宋体"/>
                <w:sz w:val="18"/>
              </w:rPr>
            </w:r>
          </w:p>
        </w:tc>
      </w:tr>
    </w:tbl>
    <w:p>
      <w:pPr>
        <w:spacing w:before="81"/>
        <w:ind w:left="598" w:right="3346" w:firstLine="0"/>
        <w:jc w:val="left"/>
        <w:rPr>
          <w:rFonts w:ascii="宋体" w:hAnsi="宋体" w:cs="宋体" w:eastAsia="宋体" w:hint="default"/>
          <w:sz w:val="22"/>
          <w:szCs w:val="22"/>
        </w:rPr>
      </w:pPr>
      <w:r>
        <w:rPr>
          <w:rFonts w:ascii="宋体" w:hAnsi="宋体" w:cs="宋体" w:eastAsia="宋体" w:hint="default"/>
          <w:b/>
          <w:bCs/>
          <w:sz w:val="22"/>
          <w:szCs w:val="22"/>
        </w:rPr>
        <w:t>23.2.</w:t>
      </w:r>
      <w:r>
        <w:rPr>
          <w:rFonts w:ascii="宋体" w:hAnsi="宋体" w:cs="宋体" w:eastAsia="宋体" w:hint="default"/>
          <w:b/>
          <w:bCs/>
          <w:spacing w:val="-47"/>
          <w:sz w:val="22"/>
          <w:szCs w:val="22"/>
        </w:rPr>
        <w:t> </w:t>
      </w:r>
      <w:r>
        <w:rPr>
          <w:rFonts w:ascii="宋体" w:hAnsi="宋体" w:cs="宋体" w:eastAsia="宋体" w:hint="default"/>
          <w:sz w:val="22"/>
          <w:szCs w:val="22"/>
        </w:rPr>
        <w:t>应付账款</w:t>
      </w:r>
    </w:p>
    <w:p>
      <w:pPr>
        <w:spacing w:line="240" w:lineRule="auto" w:before="9"/>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463"/>
        <w:gridCol w:w="3645"/>
        <w:gridCol w:w="2618"/>
      </w:tblGrid>
      <w:tr>
        <w:trPr>
          <w:trHeight w:val="307" w:hRule="exact"/>
        </w:trPr>
        <w:tc>
          <w:tcPr>
            <w:tcW w:w="246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4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13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61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66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7" w:hRule="exact"/>
        </w:trPr>
        <w:tc>
          <w:tcPr>
            <w:tcW w:w="2463" w:type="dxa"/>
            <w:tcBorders>
              <w:top w:val="single" w:sz="4" w:space="0" w:color="000000"/>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应付账款</w:t>
            </w:r>
            <w:r>
              <w:rPr>
                <w:rFonts w:ascii="宋体" w:hAnsi="宋体" w:cs="宋体" w:eastAsia="宋体" w:hint="default"/>
                <w:sz w:val="18"/>
                <w:szCs w:val="18"/>
              </w:rPr>
            </w:r>
          </w:p>
        </w:tc>
        <w:tc>
          <w:tcPr>
            <w:tcW w:w="3645" w:type="dxa"/>
            <w:tcBorders>
              <w:top w:val="single" w:sz="4" w:space="0" w:color="000000"/>
              <w:left w:val="nil" w:sz="6" w:space="0" w:color="auto"/>
              <w:bottom w:val="nil" w:sz="6" w:space="0" w:color="auto"/>
              <w:right w:val="nil" w:sz="6" w:space="0" w:color="auto"/>
            </w:tcBorders>
          </w:tcPr>
          <w:p>
            <w:pPr>
              <w:pStyle w:val="TableParagraph"/>
              <w:spacing w:line="229" w:lineRule="exact"/>
              <w:ind w:right="664"/>
              <w:jc w:val="right"/>
              <w:rPr>
                <w:rFonts w:ascii="宋体" w:hAnsi="宋体" w:cs="宋体" w:eastAsia="宋体" w:hint="default"/>
                <w:sz w:val="18"/>
                <w:szCs w:val="18"/>
              </w:rPr>
            </w:pPr>
            <w:r>
              <w:rPr>
                <w:rFonts w:ascii="宋体"/>
                <w:b/>
                <w:w w:val="95"/>
                <w:sz w:val="18"/>
              </w:rPr>
              <w:t>7,219,272,583.01</w:t>
            </w:r>
            <w:r>
              <w:rPr>
                <w:rFonts w:ascii="宋体"/>
                <w:sz w:val="18"/>
              </w:rPr>
            </w:r>
          </w:p>
        </w:tc>
        <w:tc>
          <w:tcPr>
            <w:tcW w:w="2618" w:type="dxa"/>
            <w:tcBorders>
              <w:top w:val="single" w:sz="4" w:space="0" w:color="000000"/>
              <w:left w:val="nil" w:sz="6" w:space="0" w:color="auto"/>
              <w:bottom w:val="nil" w:sz="6" w:space="0" w:color="auto"/>
              <w:right w:val="nil" w:sz="6" w:space="0" w:color="auto"/>
            </w:tcBorders>
          </w:tcPr>
          <w:p>
            <w:pPr>
              <w:pStyle w:val="TableParagraph"/>
              <w:spacing w:line="229" w:lineRule="exact"/>
              <w:ind w:right="108"/>
              <w:jc w:val="right"/>
              <w:rPr>
                <w:rFonts w:ascii="宋体" w:hAnsi="宋体" w:cs="宋体" w:eastAsia="宋体" w:hint="default"/>
                <w:sz w:val="18"/>
                <w:szCs w:val="18"/>
              </w:rPr>
            </w:pPr>
            <w:r>
              <w:rPr>
                <w:rFonts w:ascii="宋体"/>
                <w:b/>
                <w:w w:val="95"/>
                <w:sz w:val="18"/>
              </w:rPr>
              <w:t>6,988,622,676.53</w:t>
            </w:r>
            <w:r>
              <w:rPr>
                <w:rFonts w:ascii="宋体"/>
                <w:sz w:val="18"/>
              </w:rPr>
            </w:r>
          </w:p>
        </w:tc>
      </w:tr>
      <w:tr>
        <w:trPr>
          <w:trHeight w:val="303" w:hRule="exact"/>
        </w:trPr>
        <w:tc>
          <w:tcPr>
            <w:tcW w:w="2463" w:type="dxa"/>
            <w:tcBorders>
              <w:top w:val="nil" w:sz="6" w:space="0" w:color="auto"/>
              <w:left w:val="nil" w:sz="6" w:space="0" w:color="auto"/>
              <w:bottom w:val="single" w:sz="1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3645" w:type="dxa"/>
            <w:tcBorders>
              <w:top w:val="nil" w:sz="6" w:space="0" w:color="auto"/>
              <w:left w:val="nil" w:sz="6" w:space="0" w:color="auto"/>
              <w:bottom w:val="single" w:sz="12" w:space="0" w:color="000000"/>
              <w:right w:val="nil" w:sz="6" w:space="0" w:color="auto"/>
            </w:tcBorders>
          </w:tcPr>
          <w:p>
            <w:pPr>
              <w:pStyle w:val="TableParagraph"/>
              <w:spacing w:line="233" w:lineRule="exact"/>
              <w:ind w:right="664"/>
              <w:jc w:val="right"/>
              <w:rPr>
                <w:rFonts w:ascii="宋体" w:hAnsi="宋体" w:cs="宋体" w:eastAsia="宋体" w:hint="default"/>
                <w:sz w:val="18"/>
                <w:szCs w:val="18"/>
              </w:rPr>
            </w:pPr>
            <w:r>
              <w:rPr>
                <w:rFonts w:ascii="宋体"/>
                <w:spacing w:val="-1"/>
                <w:sz w:val="18"/>
              </w:rPr>
              <w:t>1,881,496,502.57</w:t>
            </w:r>
          </w:p>
        </w:tc>
        <w:tc>
          <w:tcPr>
            <w:tcW w:w="2618" w:type="dxa"/>
            <w:tcBorders>
              <w:top w:val="nil" w:sz="6" w:space="0" w:color="auto"/>
              <w:left w:val="nil" w:sz="6" w:space="0" w:color="auto"/>
              <w:bottom w:val="single" w:sz="12" w:space="0" w:color="000000"/>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1,556,363,146.22</w:t>
            </w:r>
          </w:p>
        </w:tc>
      </w:tr>
    </w:tbl>
    <w:p>
      <w:pPr>
        <w:spacing w:before="81"/>
        <w:ind w:left="62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24.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预收款项</w:t>
      </w:r>
    </w:p>
    <w:p>
      <w:pPr>
        <w:spacing w:line="240" w:lineRule="auto" w:before="5"/>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458"/>
        <w:gridCol w:w="3645"/>
        <w:gridCol w:w="2623"/>
      </w:tblGrid>
      <w:tr>
        <w:trPr>
          <w:trHeight w:val="308" w:hRule="exact"/>
        </w:trPr>
        <w:tc>
          <w:tcPr>
            <w:tcW w:w="245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4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13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62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66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7" w:hRule="exact"/>
        </w:trPr>
        <w:tc>
          <w:tcPr>
            <w:tcW w:w="2458" w:type="dxa"/>
            <w:tcBorders>
              <w:top w:val="single" w:sz="4" w:space="0" w:color="000000"/>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预收账款</w:t>
            </w:r>
            <w:r>
              <w:rPr>
                <w:rFonts w:ascii="宋体" w:hAnsi="宋体" w:cs="宋体" w:eastAsia="宋体" w:hint="default"/>
                <w:sz w:val="18"/>
                <w:szCs w:val="18"/>
              </w:rPr>
            </w:r>
          </w:p>
        </w:tc>
        <w:tc>
          <w:tcPr>
            <w:tcW w:w="3645" w:type="dxa"/>
            <w:tcBorders>
              <w:top w:val="single" w:sz="4" w:space="0" w:color="000000"/>
              <w:left w:val="nil" w:sz="6" w:space="0" w:color="auto"/>
              <w:bottom w:val="nil" w:sz="6" w:space="0" w:color="auto"/>
              <w:right w:val="nil" w:sz="6" w:space="0" w:color="auto"/>
            </w:tcBorders>
          </w:tcPr>
          <w:p>
            <w:pPr>
              <w:pStyle w:val="TableParagraph"/>
              <w:spacing w:line="229" w:lineRule="exact"/>
              <w:ind w:right="668"/>
              <w:jc w:val="right"/>
              <w:rPr>
                <w:rFonts w:ascii="宋体" w:hAnsi="宋体" w:cs="宋体" w:eastAsia="宋体" w:hint="default"/>
                <w:sz w:val="18"/>
                <w:szCs w:val="18"/>
              </w:rPr>
            </w:pPr>
            <w:r>
              <w:rPr>
                <w:rFonts w:ascii="宋体"/>
                <w:b/>
                <w:w w:val="95"/>
                <w:sz w:val="18"/>
              </w:rPr>
              <w:t>5,076,844,548.71</w:t>
            </w:r>
            <w:r>
              <w:rPr>
                <w:rFonts w:ascii="宋体"/>
                <w:sz w:val="18"/>
              </w:rPr>
            </w:r>
          </w:p>
        </w:tc>
        <w:tc>
          <w:tcPr>
            <w:tcW w:w="2623" w:type="dxa"/>
            <w:tcBorders>
              <w:top w:val="single" w:sz="4" w:space="0" w:color="000000"/>
              <w:left w:val="nil" w:sz="6" w:space="0" w:color="auto"/>
              <w:bottom w:val="nil" w:sz="6" w:space="0" w:color="auto"/>
              <w:right w:val="nil" w:sz="6" w:space="0" w:color="auto"/>
            </w:tcBorders>
          </w:tcPr>
          <w:p>
            <w:pPr>
              <w:pStyle w:val="TableParagraph"/>
              <w:spacing w:line="229" w:lineRule="exact"/>
              <w:ind w:right="108"/>
              <w:jc w:val="right"/>
              <w:rPr>
                <w:rFonts w:ascii="宋体" w:hAnsi="宋体" w:cs="宋体" w:eastAsia="宋体" w:hint="default"/>
                <w:sz w:val="18"/>
                <w:szCs w:val="18"/>
              </w:rPr>
            </w:pPr>
            <w:r>
              <w:rPr>
                <w:rFonts w:ascii="宋体"/>
                <w:b/>
                <w:w w:val="95"/>
                <w:sz w:val="18"/>
              </w:rPr>
              <w:t>4,664,947,062.40</w:t>
            </w:r>
            <w:r>
              <w:rPr>
                <w:rFonts w:ascii="宋体"/>
                <w:sz w:val="18"/>
              </w:rPr>
            </w:r>
          </w:p>
        </w:tc>
      </w:tr>
      <w:tr>
        <w:trPr>
          <w:trHeight w:val="303" w:hRule="exact"/>
        </w:trPr>
        <w:tc>
          <w:tcPr>
            <w:tcW w:w="2458" w:type="dxa"/>
            <w:tcBorders>
              <w:top w:val="nil" w:sz="6" w:space="0" w:color="auto"/>
              <w:left w:val="nil" w:sz="6" w:space="0" w:color="auto"/>
              <w:bottom w:val="single" w:sz="1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年以上</w:t>
            </w:r>
          </w:p>
        </w:tc>
        <w:tc>
          <w:tcPr>
            <w:tcW w:w="3645" w:type="dxa"/>
            <w:tcBorders>
              <w:top w:val="nil" w:sz="6" w:space="0" w:color="auto"/>
              <w:left w:val="nil" w:sz="6" w:space="0" w:color="auto"/>
              <w:bottom w:val="single" w:sz="12" w:space="0" w:color="000000"/>
              <w:right w:val="nil" w:sz="6" w:space="0" w:color="auto"/>
            </w:tcBorders>
          </w:tcPr>
          <w:p>
            <w:pPr>
              <w:pStyle w:val="TableParagraph"/>
              <w:spacing w:line="233" w:lineRule="exact"/>
              <w:ind w:right="666"/>
              <w:jc w:val="right"/>
              <w:rPr>
                <w:rFonts w:ascii="宋体" w:hAnsi="宋体" w:cs="宋体" w:eastAsia="宋体" w:hint="default"/>
                <w:sz w:val="18"/>
                <w:szCs w:val="18"/>
              </w:rPr>
            </w:pPr>
            <w:r>
              <w:rPr>
                <w:rFonts w:ascii="宋体"/>
                <w:spacing w:val="-1"/>
                <w:sz w:val="18"/>
              </w:rPr>
              <w:t>1,535,090,196.35</w:t>
            </w:r>
          </w:p>
        </w:tc>
        <w:tc>
          <w:tcPr>
            <w:tcW w:w="2623" w:type="dxa"/>
            <w:tcBorders>
              <w:top w:val="nil" w:sz="6" w:space="0" w:color="auto"/>
              <w:left w:val="nil" w:sz="6" w:space="0" w:color="auto"/>
              <w:bottom w:val="single" w:sz="12" w:space="0" w:color="000000"/>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904,169,684.97</w:t>
            </w:r>
          </w:p>
        </w:tc>
      </w:tr>
    </w:tbl>
    <w:p>
      <w:pPr>
        <w:spacing w:before="81"/>
        <w:ind w:left="62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25.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应付职工薪酬</w:t>
      </w:r>
    </w:p>
    <w:p>
      <w:pPr>
        <w:spacing w:before="170"/>
        <w:ind w:left="675" w:right="3346"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10"/>
          <w:sz w:val="22"/>
          <w:szCs w:val="22"/>
        </w:rPr>
        <w:t> </w:t>
      </w:r>
      <w:r>
        <w:rPr>
          <w:rFonts w:ascii="宋体" w:hAnsi="宋体" w:cs="宋体" w:eastAsia="宋体" w:hint="default"/>
          <w:sz w:val="22"/>
          <w:szCs w:val="22"/>
        </w:rPr>
        <w:t>应付职工薪酬分类</w:t>
      </w:r>
    </w:p>
    <w:p>
      <w:pPr>
        <w:spacing w:line="240" w:lineRule="auto" w:before="11"/>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351"/>
        <w:gridCol w:w="1550"/>
        <w:gridCol w:w="1668"/>
        <w:gridCol w:w="1668"/>
        <w:gridCol w:w="1488"/>
      </w:tblGrid>
      <w:tr>
        <w:trPr>
          <w:trHeight w:val="305" w:hRule="exact"/>
        </w:trPr>
        <w:tc>
          <w:tcPr>
            <w:tcW w:w="235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1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6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72"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6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7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8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8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289" w:hRule="exact"/>
        </w:trPr>
        <w:tc>
          <w:tcPr>
            <w:tcW w:w="2351"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550" w:type="dxa"/>
            <w:tcBorders>
              <w:top w:val="single" w:sz="4" w:space="0" w:color="000000"/>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pacing w:val="-1"/>
                <w:sz w:val="18"/>
              </w:rPr>
              <w:t>607,559,885.43</w:t>
            </w:r>
          </w:p>
        </w:tc>
        <w:tc>
          <w:tcPr>
            <w:tcW w:w="1668" w:type="dxa"/>
            <w:tcBorders>
              <w:top w:val="single" w:sz="4" w:space="0" w:color="000000"/>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3,518,308,768.41</w:t>
            </w:r>
          </w:p>
        </w:tc>
        <w:tc>
          <w:tcPr>
            <w:tcW w:w="1668" w:type="dxa"/>
            <w:tcBorders>
              <w:top w:val="single" w:sz="4" w:space="0" w:color="000000"/>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3,456,103,214.60</w:t>
            </w:r>
          </w:p>
        </w:tc>
        <w:tc>
          <w:tcPr>
            <w:tcW w:w="1488" w:type="dxa"/>
            <w:tcBorders>
              <w:top w:val="single" w:sz="4" w:space="0" w:color="000000"/>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669,765,439.24</w:t>
            </w:r>
          </w:p>
        </w:tc>
      </w:tr>
      <w:tr>
        <w:trPr>
          <w:trHeight w:val="286" w:hRule="exact"/>
        </w:trPr>
        <w:tc>
          <w:tcPr>
            <w:tcW w:w="2351"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离职后福利</w:t>
            </w:r>
            <w:r>
              <w:rPr>
                <w:rFonts w:ascii="宋体" w:hAnsi="宋体" w:cs="宋体" w:eastAsia="宋体" w:hint="default"/>
                <w:sz w:val="18"/>
                <w:szCs w:val="18"/>
              </w:rPr>
              <w:t>-</w:t>
            </w:r>
            <w:r>
              <w:rPr>
                <w:rFonts w:ascii="宋体" w:hAnsi="宋体" w:cs="宋体" w:eastAsia="宋体" w:hint="default"/>
                <w:sz w:val="18"/>
                <w:szCs w:val="18"/>
              </w:rPr>
              <w:t>设定提存计划</w:t>
            </w:r>
          </w:p>
        </w:tc>
        <w:tc>
          <w:tcPr>
            <w:tcW w:w="1550" w:type="dxa"/>
            <w:tcBorders>
              <w:top w:val="nil" w:sz="6" w:space="0" w:color="auto"/>
              <w:left w:val="nil" w:sz="6" w:space="0" w:color="auto"/>
              <w:bottom w:val="nil" w:sz="6" w:space="0" w:color="auto"/>
              <w:right w:val="nil" w:sz="6" w:space="0" w:color="auto"/>
            </w:tcBorders>
          </w:tcPr>
          <w:p>
            <w:pPr>
              <w:pStyle w:val="TableParagraph"/>
              <w:spacing w:line="233" w:lineRule="exact"/>
              <w:ind w:right="106"/>
              <w:jc w:val="right"/>
              <w:rPr>
                <w:rFonts w:ascii="宋体" w:hAnsi="宋体" w:cs="宋体" w:eastAsia="宋体" w:hint="default"/>
                <w:sz w:val="18"/>
                <w:szCs w:val="18"/>
              </w:rPr>
            </w:pPr>
            <w:r>
              <w:rPr>
                <w:rFonts w:ascii="宋体"/>
                <w:spacing w:val="-1"/>
                <w:sz w:val="18"/>
              </w:rPr>
              <w:t>3,020,998.36</w:t>
            </w:r>
          </w:p>
        </w:tc>
        <w:tc>
          <w:tcPr>
            <w:tcW w:w="1668"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439,449,282.40</w:t>
            </w:r>
          </w:p>
        </w:tc>
        <w:tc>
          <w:tcPr>
            <w:tcW w:w="1668"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438,604,824.02</w:t>
            </w:r>
          </w:p>
        </w:tc>
        <w:tc>
          <w:tcPr>
            <w:tcW w:w="1488"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3,865,456.74</w:t>
            </w:r>
          </w:p>
        </w:tc>
      </w:tr>
      <w:tr>
        <w:trPr>
          <w:trHeight w:val="291" w:hRule="exact"/>
        </w:trPr>
        <w:tc>
          <w:tcPr>
            <w:tcW w:w="2351"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550" w:type="dxa"/>
            <w:tcBorders>
              <w:top w:val="nil" w:sz="6" w:space="0" w:color="auto"/>
              <w:left w:val="nil" w:sz="6" w:space="0" w:color="auto"/>
              <w:bottom w:val="single" w:sz="4"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z w:val="18"/>
              </w:rPr>
              <w:t>0.00</w:t>
            </w:r>
          </w:p>
        </w:tc>
        <w:tc>
          <w:tcPr>
            <w:tcW w:w="1668" w:type="dxa"/>
            <w:tcBorders>
              <w:top w:val="nil" w:sz="6" w:space="0" w:color="auto"/>
              <w:left w:val="nil" w:sz="6" w:space="0" w:color="auto"/>
              <w:bottom w:val="single" w:sz="4" w:space="0" w:color="000000"/>
              <w:right w:val="nil" w:sz="6" w:space="0" w:color="auto"/>
            </w:tcBorders>
          </w:tcPr>
          <w:p>
            <w:pPr>
              <w:pStyle w:val="TableParagraph"/>
              <w:spacing w:line="233" w:lineRule="exact"/>
              <w:ind w:right="106"/>
              <w:jc w:val="right"/>
              <w:rPr>
                <w:rFonts w:ascii="宋体" w:hAnsi="宋体" w:cs="宋体" w:eastAsia="宋体" w:hint="default"/>
                <w:sz w:val="18"/>
                <w:szCs w:val="18"/>
              </w:rPr>
            </w:pPr>
            <w:r>
              <w:rPr>
                <w:rFonts w:ascii="宋体"/>
                <w:spacing w:val="-1"/>
                <w:sz w:val="18"/>
              </w:rPr>
              <w:t>16,467,397.36</w:t>
            </w:r>
          </w:p>
        </w:tc>
        <w:tc>
          <w:tcPr>
            <w:tcW w:w="1668" w:type="dxa"/>
            <w:tcBorders>
              <w:top w:val="nil" w:sz="6" w:space="0" w:color="auto"/>
              <w:left w:val="nil" w:sz="6" w:space="0" w:color="auto"/>
              <w:bottom w:val="single" w:sz="4" w:space="0" w:color="000000"/>
              <w:right w:val="nil" w:sz="6" w:space="0" w:color="auto"/>
            </w:tcBorders>
          </w:tcPr>
          <w:p>
            <w:pPr>
              <w:pStyle w:val="TableParagraph"/>
              <w:spacing w:line="233" w:lineRule="exact"/>
              <w:ind w:right="106"/>
              <w:jc w:val="right"/>
              <w:rPr>
                <w:rFonts w:ascii="宋体" w:hAnsi="宋体" w:cs="宋体" w:eastAsia="宋体" w:hint="default"/>
                <w:sz w:val="18"/>
                <w:szCs w:val="18"/>
              </w:rPr>
            </w:pPr>
            <w:r>
              <w:rPr>
                <w:rFonts w:ascii="宋体"/>
                <w:spacing w:val="-1"/>
                <w:sz w:val="18"/>
              </w:rPr>
              <w:t>11,255,253.86</w:t>
            </w:r>
          </w:p>
        </w:tc>
        <w:tc>
          <w:tcPr>
            <w:tcW w:w="1488" w:type="dxa"/>
            <w:tcBorders>
              <w:top w:val="nil" w:sz="6" w:space="0" w:color="auto"/>
              <w:left w:val="nil" w:sz="6" w:space="0" w:color="auto"/>
              <w:bottom w:val="single" w:sz="4" w:space="0" w:color="000000"/>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5,212,143.50</w:t>
            </w:r>
          </w:p>
        </w:tc>
      </w:tr>
      <w:tr>
        <w:trPr>
          <w:trHeight w:val="305" w:hRule="exact"/>
        </w:trPr>
        <w:tc>
          <w:tcPr>
            <w:tcW w:w="2351"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0"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610,580,883.79</w:t>
            </w:r>
            <w:r>
              <w:rPr>
                <w:rFonts w:ascii="宋体"/>
                <w:sz w:val="18"/>
              </w:rPr>
            </w:r>
          </w:p>
        </w:tc>
        <w:tc>
          <w:tcPr>
            <w:tcW w:w="1668"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3,974,225,448.17</w:t>
            </w:r>
            <w:r>
              <w:rPr>
                <w:rFonts w:ascii="宋体"/>
                <w:sz w:val="18"/>
              </w:rPr>
            </w:r>
          </w:p>
        </w:tc>
        <w:tc>
          <w:tcPr>
            <w:tcW w:w="1668"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3,905,963,292.48</w:t>
            </w:r>
            <w:r>
              <w:rPr>
                <w:rFonts w:ascii="宋体"/>
                <w:sz w:val="18"/>
              </w:rPr>
            </w:r>
          </w:p>
        </w:tc>
        <w:tc>
          <w:tcPr>
            <w:tcW w:w="1488"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678,843,039.48</w:t>
            </w:r>
            <w:r>
              <w:rPr>
                <w:rFonts w:ascii="宋体"/>
                <w:sz w:val="18"/>
              </w:rPr>
            </w:r>
          </w:p>
        </w:tc>
      </w:tr>
    </w:tbl>
    <w:p>
      <w:pPr>
        <w:spacing w:before="81"/>
        <w:ind w:left="675" w:right="3346"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2"/>
          <w:sz w:val="22"/>
          <w:szCs w:val="22"/>
        </w:rPr>
        <w:t> </w:t>
      </w:r>
      <w:r>
        <w:rPr>
          <w:rFonts w:ascii="宋体" w:hAnsi="宋体" w:cs="宋体" w:eastAsia="宋体" w:hint="default"/>
          <w:sz w:val="22"/>
          <w:szCs w:val="22"/>
        </w:rPr>
        <w:t>短期薪酬</w:t>
      </w:r>
    </w:p>
    <w:p>
      <w:pPr>
        <w:spacing w:line="240" w:lineRule="auto" w:before="6"/>
        <w:rPr>
          <w:rFonts w:ascii="宋体" w:hAnsi="宋体" w:cs="宋体" w:eastAsia="宋体" w:hint="default"/>
          <w:sz w:val="17"/>
          <w:szCs w:val="17"/>
        </w:rPr>
      </w:pPr>
    </w:p>
    <w:tbl>
      <w:tblPr>
        <w:tblW w:w="0" w:type="auto"/>
        <w:jc w:val="left"/>
        <w:tblInd w:w="114" w:type="dxa"/>
        <w:tblLayout w:type="fixed"/>
        <w:tblCellMar>
          <w:top w:w="0" w:type="dxa"/>
          <w:left w:w="0" w:type="dxa"/>
          <w:bottom w:w="0" w:type="dxa"/>
          <w:right w:w="0" w:type="dxa"/>
        </w:tblCellMar>
        <w:tblLook w:val="01E0"/>
      </w:tblPr>
      <w:tblGrid>
        <w:gridCol w:w="2291"/>
        <w:gridCol w:w="1576"/>
        <w:gridCol w:w="1668"/>
        <w:gridCol w:w="1686"/>
        <w:gridCol w:w="1504"/>
      </w:tblGrid>
      <w:tr>
        <w:trPr>
          <w:trHeight w:val="305" w:hRule="exact"/>
        </w:trPr>
        <w:tc>
          <w:tcPr>
            <w:tcW w:w="229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7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4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6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67"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8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0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7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289" w:hRule="exact"/>
        </w:trPr>
        <w:tc>
          <w:tcPr>
            <w:tcW w:w="2291"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576" w:type="dxa"/>
            <w:tcBorders>
              <w:top w:val="single" w:sz="4" w:space="0" w:color="000000"/>
              <w:left w:val="nil" w:sz="6" w:space="0" w:color="auto"/>
              <w:bottom w:val="nil" w:sz="6" w:space="0" w:color="auto"/>
              <w:right w:val="nil" w:sz="6" w:space="0" w:color="auto"/>
            </w:tcBorders>
          </w:tcPr>
          <w:p>
            <w:pPr>
              <w:pStyle w:val="TableParagraph"/>
              <w:spacing w:line="232" w:lineRule="exact"/>
              <w:ind w:right="111"/>
              <w:jc w:val="right"/>
              <w:rPr>
                <w:rFonts w:ascii="宋体" w:hAnsi="宋体" w:cs="宋体" w:eastAsia="宋体" w:hint="default"/>
                <w:sz w:val="18"/>
                <w:szCs w:val="18"/>
              </w:rPr>
            </w:pPr>
            <w:r>
              <w:rPr>
                <w:rFonts w:ascii="宋体"/>
                <w:spacing w:val="-1"/>
                <w:sz w:val="18"/>
              </w:rPr>
              <w:t>379,882,824.43</w:t>
            </w:r>
          </w:p>
        </w:tc>
        <w:tc>
          <w:tcPr>
            <w:tcW w:w="1668" w:type="dxa"/>
            <w:tcBorders>
              <w:top w:val="single" w:sz="4" w:space="0" w:color="000000"/>
              <w:left w:val="nil" w:sz="6" w:space="0" w:color="auto"/>
              <w:bottom w:val="nil" w:sz="6" w:space="0" w:color="auto"/>
              <w:right w:val="nil" w:sz="6" w:space="0" w:color="auto"/>
            </w:tcBorders>
          </w:tcPr>
          <w:p>
            <w:pPr>
              <w:pStyle w:val="TableParagraph"/>
              <w:spacing w:line="232" w:lineRule="exact"/>
              <w:ind w:right="113"/>
              <w:jc w:val="right"/>
              <w:rPr>
                <w:rFonts w:ascii="宋体" w:hAnsi="宋体" w:cs="宋体" w:eastAsia="宋体" w:hint="default"/>
                <w:sz w:val="18"/>
                <w:szCs w:val="18"/>
              </w:rPr>
            </w:pPr>
            <w:r>
              <w:rPr>
                <w:rFonts w:ascii="宋体"/>
                <w:spacing w:val="-1"/>
                <w:sz w:val="18"/>
              </w:rPr>
              <w:t>2,909,090,339.74</w:t>
            </w:r>
          </w:p>
        </w:tc>
        <w:tc>
          <w:tcPr>
            <w:tcW w:w="1686" w:type="dxa"/>
            <w:tcBorders>
              <w:top w:val="single" w:sz="4" w:space="0" w:color="000000"/>
              <w:left w:val="nil" w:sz="6" w:space="0" w:color="auto"/>
              <w:bottom w:val="nil" w:sz="6" w:space="0" w:color="auto"/>
              <w:right w:val="nil" w:sz="6" w:space="0" w:color="auto"/>
            </w:tcBorders>
          </w:tcPr>
          <w:p>
            <w:pPr>
              <w:pStyle w:val="TableParagraph"/>
              <w:spacing w:line="232" w:lineRule="exact"/>
              <w:ind w:right="131"/>
              <w:jc w:val="right"/>
              <w:rPr>
                <w:rFonts w:ascii="宋体" w:hAnsi="宋体" w:cs="宋体" w:eastAsia="宋体" w:hint="default"/>
                <w:sz w:val="18"/>
                <w:szCs w:val="18"/>
              </w:rPr>
            </w:pPr>
            <w:r>
              <w:rPr>
                <w:rFonts w:ascii="宋体"/>
                <w:spacing w:val="-1"/>
                <w:sz w:val="18"/>
              </w:rPr>
              <w:t>2,891,072,363.57</w:t>
            </w:r>
          </w:p>
        </w:tc>
        <w:tc>
          <w:tcPr>
            <w:tcW w:w="1504" w:type="dxa"/>
            <w:tcBorders>
              <w:top w:val="single" w:sz="4" w:space="0" w:color="000000"/>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397,900,800.60</w:t>
            </w:r>
          </w:p>
        </w:tc>
      </w:tr>
      <w:tr>
        <w:trPr>
          <w:trHeight w:val="284"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57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z w:val="18"/>
              </w:rPr>
              <w:t>0.00</w:t>
            </w:r>
          </w:p>
        </w:tc>
        <w:tc>
          <w:tcPr>
            <w:tcW w:w="1668" w:type="dxa"/>
            <w:tcBorders>
              <w:top w:val="nil" w:sz="6" w:space="0" w:color="auto"/>
              <w:left w:val="nil" w:sz="6" w:space="0" w:color="auto"/>
              <w:bottom w:val="nil" w:sz="6" w:space="0" w:color="auto"/>
              <w:right w:val="nil" w:sz="6" w:space="0" w:color="auto"/>
            </w:tcBorders>
          </w:tcPr>
          <w:p>
            <w:pPr>
              <w:pStyle w:val="TableParagraph"/>
              <w:spacing w:line="233" w:lineRule="exact"/>
              <w:ind w:right="113"/>
              <w:jc w:val="right"/>
              <w:rPr>
                <w:rFonts w:ascii="宋体" w:hAnsi="宋体" w:cs="宋体" w:eastAsia="宋体" w:hint="default"/>
                <w:sz w:val="18"/>
                <w:szCs w:val="18"/>
              </w:rPr>
            </w:pPr>
            <w:r>
              <w:rPr>
                <w:rFonts w:ascii="宋体"/>
                <w:spacing w:val="-1"/>
                <w:sz w:val="18"/>
              </w:rPr>
              <w:t>105,715,856.97</w:t>
            </w:r>
          </w:p>
        </w:tc>
        <w:tc>
          <w:tcPr>
            <w:tcW w:w="1686" w:type="dxa"/>
            <w:tcBorders>
              <w:top w:val="nil" w:sz="6" w:space="0" w:color="auto"/>
              <w:left w:val="nil" w:sz="6" w:space="0" w:color="auto"/>
              <w:bottom w:val="nil" w:sz="6" w:space="0" w:color="auto"/>
              <w:right w:val="nil" w:sz="6" w:space="0" w:color="auto"/>
            </w:tcBorders>
          </w:tcPr>
          <w:p>
            <w:pPr>
              <w:pStyle w:val="TableParagraph"/>
              <w:spacing w:line="233" w:lineRule="exact"/>
              <w:ind w:right="131"/>
              <w:jc w:val="right"/>
              <w:rPr>
                <w:rFonts w:ascii="宋体" w:hAnsi="宋体" w:cs="宋体" w:eastAsia="宋体" w:hint="default"/>
                <w:sz w:val="18"/>
                <w:szCs w:val="18"/>
              </w:rPr>
            </w:pPr>
            <w:r>
              <w:rPr>
                <w:rFonts w:ascii="宋体"/>
                <w:spacing w:val="-1"/>
                <w:sz w:val="18"/>
              </w:rPr>
              <w:t>105,459,559.30</w:t>
            </w:r>
          </w:p>
        </w:tc>
        <w:tc>
          <w:tcPr>
            <w:tcW w:w="1504"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256,297.67</w:t>
            </w:r>
          </w:p>
        </w:tc>
      </w:tr>
      <w:tr>
        <w:trPr>
          <w:trHeight w:val="284"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576" w:type="dxa"/>
            <w:tcBorders>
              <w:top w:val="nil" w:sz="6" w:space="0" w:color="auto"/>
              <w:left w:val="nil" w:sz="6" w:space="0" w:color="auto"/>
              <w:bottom w:val="nil" w:sz="6" w:space="0" w:color="auto"/>
              <w:right w:val="nil" w:sz="6" w:space="0" w:color="auto"/>
            </w:tcBorders>
          </w:tcPr>
          <w:p>
            <w:pPr>
              <w:pStyle w:val="TableParagraph"/>
              <w:spacing w:line="232" w:lineRule="exact"/>
              <w:ind w:right="111"/>
              <w:jc w:val="right"/>
              <w:rPr>
                <w:rFonts w:ascii="宋体" w:hAnsi="宋体" w:cs="宋体" w:eastAsia="宋体" w:hint="default"/>
                <w:sz w:val="18"/>
                <w:szCs w:val="18"/>
              </w:rPr>
            </w:pPr>
            <w:r>
              <w:rPr>
                <w:rFonts w:ascii="宋体"/>
                <w:spacing w:val="-1"/>
                <w:sz w:val="18"/>
              </w:rPr>
              <w:t>5,241,036.48</w:t>
            </w:r>
          </w:p>
        </w:tc>
        <w:tc>
          <w:tcPr>
            <w:tcW w:w="1668" w:type="dxa"/>
            <w:tcBorders>
              <w:top w:val="nil" w:sz="6" w:space="0" w:color="auto"/>
              <w:left w:val="nil" w:sz="6" w:space="0" w:color="auto"/>
              <w:bottom w:val="nil" w:sz="6" w:space="0" w:color="auto"/>
              <w:right w:val="nil" w:sz="6" w:space="0" w:color="auto"/>
            </w:tcBorders>
          </w:tcPr>
          <w:p>
            <w:pPr>
              <w:pStyle w:val="TableParagraph"/>
              <w:spacing w:line="232" w:lineRule="exact"/>
              <w:ind w:right="113"/>
              <w:jc w:val="right"/>
              <w:rPr>
                <w:rFonts w:ascii="宋体" w:hAnsi="宋体" w:cs="宋体" w:eastAsia="宋体" w:hint="default"/>
                <w:sz w:val="18"/>
                <w:szCs w:val="18"/>
              </w:rPr>
            </w:pPr>
            <w:r>
              <w:rPr>
                <w:rFonts w:ascii="宋体"/>
                <w:spacing w:val="-1"/>
                <w:sz w:val="18"/>
              </w:rPr>
              <w:t>209,379,824.44</w:t>
            </w:r>
          </w:p>
        </w:tc>
        <w:tc>
          <w:tcPr>
            <w:tcW w:w="1686" w:type="dxa"/>
            <w:tcBorders>
              <w:top w:val="nil" w:sz="6" w:space="0" w:color="auto"/>
              <w:left w:val="nil" w:sz="6" w:space="0" w:color="auto"/>
              <w:bottom w:val="nil" w:sz="6" w:space="0" w:color="auto"/>
              <w:right w:val="nil" w:sz="6" w:space="0" w:color="auto"/>
            </w:tcBorders>
          </w:tcPr>
          <w:p>
            <w:pPr>
              <w:pStyle w:val="TableParagraph"/>
              <w:spacing w:line="232" w:lineRule="exact"/>
              <w:ind w:right="131"/>
              <w:jc w:val="right"/>
              <w:rPr>
                <w:rFonts w:ascii="宋体" w:hAnsi="宋体" w:cs="宋体" w:eastAsia="宋体" w:hint="default"/>
                <w:sz w:val="18"/>
                <w:szCs w:val="18"/>
              </w:rPr>
            </w:pPr>
            <w:r>
              <w:rPr>
                <w:rFonts w:ascii="宋体"/>
                <w:spacing w:val="-1"/>
                <w:sz w:val="18"/>
              </w:rPr>
              <w:t>209,014,977.66</w:t>
            </w:r>
          </w:p>
        </w:tc>
        <w:tc>
          <w:tcPr>
            <w:tcW w:w="1504"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5,605,883.26</w:t>
            </w:r>
          </w:p>
        </w:tc>
      </w:tr>
      <w:tr>
        <w:trPr>
          <w:trHeight w:val="286"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76" w:type="dxa"/>
            <w:tcBorders>
              <w:top w:val="nil" w:sz="6" w:space="0" w:color="auto"/>
              <w:left w:val="nil" w:sz="6" w:space="0" w:color="auto"/>
              <w:bottom w:val="nil" w:sz="6" w:space="0" w:color="auto"/>
              <w:right w:val="nil" w:sz="6" w:space="0" w:color="auto"/>
            </w:tcBorders>
          </w:tcPr>
          <w:p>
            <w:pPr>
              <w:pStyle w:val="TableParagraph"/>
              <w:spacing w:line="233" w:lineRule="exact"/>
              <w:ind w:right="111"/>
              <w:jc w:val="right"/>
              <w:rPr>
                <w:rFonts w:ascii="宋体" w:hAnsi="宋体" w:cs="宋体" w:eastAsia="宋体" w:hint="default"/>
                <w:sz w:val="18"/>
                <w:szCs w:val="18"/>
              </w:rPr>
            </w:pPr>
            <w:r>
              <w:rPr>
                <w:rFonts w:ascii="宋体"/>
                <w:spacing w:val="-1"/>
                <w:sz w:val="18"/>
              </w:rPr>
              <w:t>1,673,431.76</w:t>
            </w:r>
          </w:p>
        </w:tc>
        <w:tc>
          <w:tcPr>
            <w:tcW w:w="1668" w:type="dxa"/>
            <w:tcBorders>
              <w:top w:val="nil" w:sz="6" w:space="0" w:color="auto"/>
              <w:left w:val="nil" w:sz="6" w:space="0" w:color="auto"/>
              <w:bottom w:val="nil" w:sz="6" w:space="0" w:color="auto"/>
              <w:right w:val="nil" w:sz="6" w:space="0" w:color="auto"/>
            </w:tcBorders>
          </w:tcPr>
          <w:p>
            <w:pPr>
              <w:pStyle w:val="TableParagraph"/>
              <w:spacing w:line="233" w:lineRule="exact"/>
              <w:ind w:right="113"/>
              <w:jc w:val="right"/>
              <w:rPr>
                <w:rFonts w:ascii="宋体" w:hAnsi="宋体" w:cs="宋体" w:eastAsia="宋体" w:hint="default"/>
                <w:sz w:val="18"/>
                <w:szCs w:val="18"/>
              </w:rPr>
            </w:pPr>
            <w:r>
              <w:rPr>
                <w:rFonts w:ascii="宋体"/>
                <w:spacing w:val="-1"/>
                <w:sz w:val="18"/>
              </w:rPr>
              <w:t>182,282,161.02</w:t>
            </w:r>
          </w:p>
        </w:tc>
        <w:tc>
          <w:tcPr>
            <w:tcW w:w="1686" w:type="dxa"/>
            <w:tcBorders>
              <w:top w:val="nil" w:sz="6" w:space="0" w:color="auto"/>
              <w:left w:val="nil" w:sz="6" w:space="0" w:color="auto"/>
              <w:bottom w:val="nil" w:sz="6" w:space="0" w:color="auto"/>
              <w:right w:val="nil" w:sz="6" w:space="0" w:color="auto"/>
            </w:tcBorders>
          </w:tcPr>
          <w:p>
            <w:pPr>
              <w:pStyle w:val="TableParagraph"/>
              <w:spacing w:line="233" w:lineRule="exact"/>
              <w:ind w:right="131"/>
              <w:jc w:val="right"/>
              <w:rPr>
                <w:rFonts w:ascii="宋体" w:hAnsi="宋体" w:cs="宋体" w:eastAsia="宋体" w:hint="default"/>
                <w:sz w:val="18"/>
                <w:szCs w:val="18"/>
              </w:rPr>
            </w:pPr>
            <w:r>
              <w:rPr>
                <w:rFonts w:ascii="宋体"/>
                <w:spacing w:val="-1"/>
                <w:sz w:val="18"/>
              </w:rPr>
              <w:t>182,715,010.99</w:t>
            </w:r>
          </w:p>
        </w:tc>
        <w:tc>
          <w:tcPr>
            <w:tcW w:w="1504"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1,240,581.79</w:t>
            </w:r>
          </w:p>
        </w:tc>
      </w:tr>
      <w:tr>
        <w:trPr>
          <w:trHeight w:val="286"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33" w:lineRule="exact"/>
              <w:ind w:left="647"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7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253,237.45</w:t>
            </w:r>
          </w:p>
        </w:tc>
        <w:tc>
          <w:tcPr>
            <w:tcW w:w="1668" w:type="dxa"/>
            <w:tcBorders>
              <w:top w:val="nil" w:sz="6" w:space="0" w:color="auto"/>
              <w:left w:val="nil" w:sz="6" w:space="0" w:color="auto"/>
              <w:bottom w:val="nil" w:sz="6" w:space="0" w:color="auto"/>
              <w:right w:val="nil" w:sz="6" w:space="0" w:color="auto"/>
            </w:tcBorders>
          </w:tcPr>
          <w:p>
            <w:pPr>
              <w:pStyle w:val="TableParagraph"/>
              <w:spacing w:line="233" w:lineRule="exact"/>
              <w:ind w:right="113"/>
              <w:jc w:val="right"/>
              <w:rPr>
                <w:rFonts w:ascii="宋体" w:hAnsi="宋体" w:cs="宋体" w:eastAsia="宋体" w:hint="default"/>
                <w:sz w:val="18"/>
                <w:szCs w:val="18"/>
              </w:rPr>
            </w:pPr>
            <w:r>
              <w:rPr>
                <w:rFonts w:ascii="宋体"/>
                <w:spacing w:val="-1"/>
                <w:sz w:val="18"/>
              </w:rPr>
              <w:t>6,596,945.43</w:t>
            </w:r>
          </w:p>
        </w:tc>
        <w:tc>
          <w:tcPr>
            <w:tcW w:w="1686" w:type="dxa"/>
            <w:tcBorders>
              <w:top w:val="nil" w:sz="6" w:space="0" w:color="auto"/>
              <w:left w:val="nil" w:sz="6" w:space="0" w:color="auto"/>
              <w:bottom w:val="nil" w:sz="6" w:space="0" w:color="auto"/>
              <w:right w:val="nil" w:sz="6" w:space="0" w:color="auto"/>
            </w:tcBorders>
          </w:tcPr>
          <w:p>
            <w:pPr>
              <w:pStyle w:val="TableParagraph"/>
              <w:spacing w:line="233" w:lineRule="exact"/>
              <w:ind w:right="131"/>
              <w:jc w:val="right"/>
              <w:rPr>
                <w:rFonts w:ascii="宋体" w:hAnsi="宋体" w:cs="宋体" w:eastAsia="宋体" w:hint="default"/>
                <w:sz w:val="18"/>
                <w:szCs w:val="18"/>
              </w:rPr>
            </w:pPr>
            <w:r>
              <w:rPr>
                <w:rFonts w:ascii="宋体"/>
                <w:spacing w:val="-1"/>
                <w:sz w:val="18"/>
              </w:rPr>
              <w:t>6,610,754.20</w:t>
            </w:r>
          </w:p>
        </w:tc>
        <w:tc>
          <w:tcPr>
            <w:tcW w:w="1504"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239,428.68</w:t>
            </w:r>
          </w:p>
        </w:tc>
      </w:tr>
      <w:tr>
        <w:trPr>
          <w:trHeight w:val="284"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33" w:lineRule="exact"/>
              <w:ind w:left="647"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7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258,507.78</w:t>
            </w:r>
          </w:p>
        </w:tc>
        <w:tc>
          <w:tcPr>
            <w:tcW w:w="1668"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13,865,816.29</w:t>
            </w:r>
          </w:p>
        </w:tc>
        <w:tc>
          <w:tcPr>
            <w:tcW w:w="1686" w:type="dxa"/>
            <w:tcBorders>
              <w:top w:val="nil" w:sz="6" w:space="0" w:color="auto"/>
              <w:left w:val="nil" w:sz="6" w:space="0" w:color="auto"/>
              <w:bottom w:val="nil" w:sz="6" w:space="0" w:color="auto"/>
              <w:right w:val="nil" w:sz="6" w:space="0" w:color="auto"/>
            </w:tcBorders>
          </w:tcPr>
          <w:p>
            <w:pPr>
              <w:pStyle w:val="TableParagraph"/>
              <w:spacing w:line="233" w:lineRule="exact"/>
              <w:ind w:right="129"/>
              <w:jc w:val="right"/>
              <w:rPr>
                <w:rFonts w:ascii="宋体" w:hAnsi="宋体" w:cs="宋体" w:eastAsia="宋体" w:hint="default"/>
                <w:sz w:val="18"/>
                <w:szCs w:val="18"/>
              </w:rPr>
            </w:pPr>
            <w:r>
              <w:rPr>
                <w:rFonts w:ascii="宋体"/>
                <w:spacing w:val="-1"/>
                <w:sz w:val="18"/>
              </w:rPr>
              <w:t>13,877,870.33</w:t>
            </w:r>
          </w:p>
        </w:tc>
        <w:tc>
          <w:tcPr>
            <w:tcW w:w="1504"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246,453.74</w:t>
            </w:r>
          </w:p>
        </w:tc>
      </w:tr>
      <w:tr>
        <w:trPr>
          <w:trHeight w:val="302" w:hRule="exact"/>
        </w:trPr>
        <w:tc>
          <w:tcPr>
            <w:tcW w:w="2291" w:type="dxa"/>
            <w:tcBorders>
              <w:top w:val="nil" w:sz="6" w:space="0" w:color="auto"/>
              <w:left w:val="nil" w:sz="6" w:space="0" w:color="auto"/>
              <w:bottom w:val="single" w:sz="12" w:space="0" w:color="000000"/>
              <w:right w:val="nil" w:sz="6" w:space="0" w:color="auto"/>
            </w:tcBorders>
          </w:tcPr>
          <w:p>
            <w:pPr>
              <w:pStyle w:val="TableParagraph"/>
              <w:spacing w:line="232" w:lineRule="exact"/>
              <w:ind w:left="647" w:right="0"/>
              <w:jc w:val="left"/>
              <w:rPr>
                <w:rFonts w:ascii="宋体" w:hAnsi="宋体" w:cs="宋体" w:eastAsia="宋体" w:hint="default"/>
                <w:sz w:val="18"/>
                <w:szCs w:val="18"/>
              </w:rPr>
            </w:pPr>
            <w:r>
              <w:rPr>
                <w:rFonts w:ascii="宋体" w:hAnsi="宋体" w:cs="宋体" w:eastAsia="宋体" w:hint="default"/>
                <w:sz w:val="18"/>
                <w:szCs w:val="18"/>
              </w:rPr>
              <w:t>其他社会保险</w:t>
            </w:r>
          </w:p>
        </w:tc>
        <w:tc>
          <w:tcPr>
            <w:tcW w:w="1576" w:type="dxa"/>
            <w:tcBorders>
              <w:top w:val="nil" w:sz="6" w:space="0" w:color="auto"/>
              <w:left w:val="nil" w:sz="6" w:space="0" w:color="auto"/>
              <w:bottom w:val="single" w:sz="12" w:space="0" w:color="000000"/>
              <w:right w:val="nil" w:sz="6" w:space="0" w:color="auto"/>
            </w:tcBorders>
          </w:tcPr>
          <w:p>
            <w:pPr>
              <w:pStyle w:val="TableParagraph"/>
              <w:spacing w:line="232" w:lineRule="exact"/>
              <w:ind w:right="111"/>
              <w:jc w:val="right"/>
              <w:rPr>
                <w:rFonts w:ascii="宋体" w:hAnsi="宋体" w:cs="宋体" w:eastAsia="宋体" w:hint="default"/>
                <w:sz w:val="18"/>
                <w:szCs w:val="18"/>
              </w:rPr>
            </w:pPr>
            <w:r>
              <w:rPr>
                <w:rFonts w:ascii="宋体"/>
                <w:spacing w:val="-1"/>
                <w:sz w:val="18"/>
              </w:rPr>
              <w:t>3,055,859.49</w:t>
            </w:r>
          </w:p>
        </w:tc>
        <w:tc>
          <w:tcPr>
            <w:tcW w:w="1668" w:type="dxa"/>
            <w:tcBorders>
              <w:top w:val="nil" w:sz="6" w:space="0" w:color="auto"/>
              <w:left w:val="nil" w:sz="6" w:space="0" w:color="auto"/>
              <w:bottom w:val="single" w:sz="12" w:space="0" w:color="000000"/>
              <w:right w:val="nil" w:sz="6" w:space="0" w:color="auto"/>
            </w:tcBorders>
          </w:tcPr>
          <w:p>
            <w:pPr>
              <w:pStyle w:val="TableParagraph"/>
              <w:spacing w:line="232" w:lineRule="exact"/>
              <w:ind w:right="113"/>
              <w:jc w:val="right"/>
              <w:rPr>
                <w:rFonts w:ascii="宋体" w:hAnsi="宋体" w:cs="宋体" w:eastAsia="宋体" w:hint="default"/>
                <w:sz w:val="18"/>
                <w:szCs w:val="18"/>
              </w:rPr>
            </w:pPr>
            <w:r>
              <w:rPr>
                <w:rFonts w:ascii="宋体"/>
                <w:spacing w:val="-1"/>
                <w:sz w:val="18"/>
              </w:rPr>
              <w:t>6,634,901.70</w:t>
            </w:r>
          </w:p>
        </w:tc>
        <w:tc>
          <w:tcPr>
            <w:tcW w:w="1686" w:type="dxa"/>
            <w:tcBorders>
              <w:top w:val="nil" w:sz="6" w:space="0" w:color="auto"/>
              <w:left w:val="nil" w:sz="6" w:space="0" w:color="auto"/>
              <w:bottom w:val="single" w:sz="12" w:space="0" w:color="000000"/>
              <w:right w:val="nil" w:sz="6" w:space="0" w:color="auto"/>
            </w:tcBorders>
          </w:tcPr>
          <w:p>
            <w:pPr>
              <w:pStyle w:val="TableParagraph"/>
              <w:spacing w:line="232" w:lineRule="exact"/>
              <w:ind w:right="131"/>
              <w:jc w:val="right"/>
              <w:rPr>
                <w:rFonts w:ascii="宋体" w:hAnsi="宋体" w:cs="宋体" w:eastAsia="宋体" w:hint="default"/>
                <w:sz w:val="18"/>
                <w:szCs w:val="18"/>
              </w:rPr>
            </w:pPr>
            <w:r>
              <w:rPr>
                <w:rFonts w:ascii="宋体"/>
                <w:spacing w:val="-1"/>
                <w:sz w:val="18"/>
              </w:rPr>
              <w:t>5,811,342.14</w:t>
            </w:r>
          </w:p>
        </w:tc>
        <w:tc>
          <w:tcPr>
            <w:tcW w:w="1504" w:type="dxa"/>
            <w:tcBorders>
              <w:top w:val="nil" w:sz="6" w:space="0" w:color="auto"/>
              <w:left w:val="nil" w:sz="6" w:space="0" w:color="auto"/>
              <w:bottom w:val="single" w:sz="12" w:space="0" w:color="000000"/>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3,879,419.05</w:t>
            </w:r>
          </w:p>
        </w:tc>
      </w:tr>
    </w:tbl>
    <w:p>
      <w:pPr>
        <w:spacing w:after="0" w:line="232" w:lineRule="exact"/>
        <w:jc w:val="right"/>
        <w:rPr>
          <w:rFonts w:ascii="宋体" w:hAnsi="宋体" w:cs="宋体" w:eastAsia="宋体" w:hint="default"/>
          <w:sz w:val="18"/>
          <w:szCs w:val="18"/>
        </w:rPr>
        <w:sectPr>
          <w:pgSz w:w="11910" w:h="16840"/>
          <w:pgMar w:header="0" w:footer="1054" w:top="1360" w:bottom="1240" w:left="1480" w:right="1480"/>
        </w:sectPr>
      </w:pPr>
    </w:p>
    <w:p>
      <w:pPr>
        <w:spacing w:line="240" w:lineRule="auto" w:before="6"/>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2285"/>
        <w:gridCol w:w="1577"/>
        <w:gridCol w:w="1668"/>
        <w:gridCol w:w="1686"/>
        <w:gridCol w:w="1509"/>
      </w:tblGrid>
      <w:tr>
        <w:trPr>
          <w:trHeight w:val="305" w:hRule="exact"/>
        </w:trPr>
        <w:tc>
          <w:tcPr>
            <w:tcW w:w="228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7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5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6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72"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8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7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09"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8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290" w:hRule="exact"/>
        </w:trPr>
        <w:tc>
          <w:tcPr>
            <w:tcW w:w="2285"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577" w:type="dxa"/>
            <w:tcBorders>
              <w:top w:val="single" w:sz="4" w:space="0" w:color="000000"/>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pacing w:val="-1"/>
                <w:sz w:val="18"/>
              </w:rPr>
              <w:t>1,220,614.62</w:t>
            </w:r>
          </w:p>
        </w:tc>
        <w:tc>
          <w:tcPr>
            <w:tcW w:w="1668" w:type="dxa"/>
            <w:tcBorders>
              <w:top w:val="single" w:sz="4" w:space="0" w:color="000000"/>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217,394,858.05</w:t>
            </w:r>
          </w:p>
        </w:tc>
        <w:tc>
          <w:tcPr>
            <w:tcW w:w="1686" w:type="dxa"/>
            <w:tcBorders>
              <w:top w:val="single" w:sz="4" w:space="0" w:color="000000"/>
              <w:left w:val="nil" w:sz="6" w:space="0" w:color="auto"/>
              <w:bottom w:val="nil" w:sz="6" w:space="0" w:color="auto"/>
              <w:right w:val="nil" w:sz="6" w:space="0" w:color="auto"/>
            </w:tcBorders>
          </w:tcPr>
          <w:p>
            <w:pPr>
              <w:pStyle w:val="TableParagraph"/>
              <w:spacing w:line="232" w:lineRule="exact"/>
              <w:ind w:right="126"/>
              <w:jc w:val="right"/>
              <w:rPr>
                <w:rFonts w:ascii="宋体" w:hAnsi="宋体" w:cs="宋体" w:eastAsia="宋体" w:hint="default"/>
                <w:sz w:val="18"/>
                <w:szCs w:val="18"/>
              </w:rPr>
            </w:pPr>
            <w:r>
              <w:rPr>
                <w:rFonts w:ascii="宋体"/>
                <w:spacing w:val="-1"/>
                <w:sz w:val="18"/>
              </w:rPr>
              <w:t>217,020,678.79</w:t>
            </w:r>
          </w:p>
        </w:tc>
        <w:tc>
          <w:tcPr>
            <w:tcW w:w="1509" w:type="dxa"/>
            <w:tcBorders>
              <w:top w:val="single" w:sz="4" w:space="0" w:color="000000"/>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1,594,793.88</w:t>
            </w:r>
          </w:p>
        </w:tc>
      </w:tr>
      <w:tr>
        <w:trPr>
          <w:trHeight w:val="284" w:hRule="exact"/>
        </w:trPr>
        <w:tc>
          <w:tcPr>
            <w:tcW w:w="228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577" w:type="dxa"/>
            <w:tcBorders>
              <w:top w:val="nil" w:sz="6" w:space="0" w:color="auto"/>
              <w:left w:val="nil" w:sz="6" w:space="0" w:color="auto"/>
              <w:bottom w:val="nil" w:sz="6" w:space="0" w:color="auto"/>
              <w:right w:val="nil" w:sz="6" w:space="0" w:color="auto"/>
            </w:tcBorders>
          </w:tcPr>
          <w:p>
            <w:pPr>
              <w:pStyle w:val="TableParagraph"/>
              <w:spacing w:line="233" w:lineRule="exact"/>
              <w:ind w:right="106"/>
              <w:jc w:val="right"/>
              <w:rPr>
                <w:rFonts w:ascii="宋体" w:hAnsi="宋体" w:cs="宋体" w:eastAsia="宋体" w:hint="default"/>
                <w:sz w:val="18"/>
                <w:szCs w:val="18"/>
              </w:rPr>
            </w:pPr>
            <w:r>
              <w:rPr>
                <w:rFonts w:ascii="宋体"/>
                <w:spacing w:val="-1"/>
                <w:sz w:val="18"/>
              </w:rPr>
              <w:t>221,208,777.47</w:t>
            </w:r>
          </w:p>
        </w:tc>
        <w:tc>
          <w:tcPr>
            <w:tcW w:w="1668" w:type="dxa"/>
            <w:tcBorders>
              <w:top w:val="nil" w:sz="6" w:space="0" w:color="auto"/>
              <w:left w:val="nil" w:sz="6" w:space="0" w:color="auto"/>
              <w:bottom w:val="nil" w:sz="6" w:space="0" w:color="auto"/>
              <w:right w:val="nil" w:sz="6" w:space="0" w:color="auto"/>
            </w:tcBorders>
          </w:tcPr>
          <w:p>
            <w:pPr>
              <w:pStyle w:val="TableParagraph"/>
              <w:spacing w:line="233" w:lineRule="exact"/>
              <w:ind w:right="106"/>
              <w:jc w:val="right"/>
              <w:rPr>
                <w:rFonts w:ascii="宋体" w:hAnsi="宋体" w:cs="宋体" w:eastAsia="宋体" w:hint="default"/>
                <w:sz w:val="18"/>
                <w:szCs w:val="18"/>
              </w:rPr>
            </w:pPr>
            <w:r>
              <w:rPr>
                <w:rFonts w:ascii="宋体"/>
                <w:spacing w:val="-1"/>
                <w:sz w:val="18"/>
              </w:rPr>
              <w:t>76,109,180.59</w:t>
            </w:r>
          </w:p>
        </w:tc>
        <w:tc>
          <w:tcPr>
            <w:tcW w:w="1686" w:type="dxa"/>
            <w:tcBorders>
              <w:top w:val="nil" w:sz="6" w:space="0" w:color="auto"/>
              <w:left w:val="nil" w:sz="6" w:space="0" w:color="auto"/>
              <w:bottom w:val="nil" w:sz="6" w:space="0" w:color="auto"/>
              <w:right w:val="nil" w:sz="6" w:space="0" w:color="auto"/>
            </w:tcBorders>
          </w:tcPr>
          <w:p>
            <w:pPr>
              <w:pStyle w:val="TableParagraph"/>
              <w:spacing w:line="233" w:lineRule="exact"/>
              <w:ind w:right="124"/>
              <w:jc w:val="right"/>
              <w:rPr>
                <w:rFonts w:ascii="宋体" w:hAnsi="宋体" w:cs="宋体" w:eastAsia="宋体" w:hint="default"/>
                <w:sz w:val="18"/>
                <w:szCs w:val="18"/>
              </w:rPr>
            </w:pPr>
            <w:r>
              <w:rPr>
                <w:rFonts w:ascii="宋体"/>
                <w:spacing w:val="-1"/>
                <w:sz w:val="18"/>
              </w:rPr>
              <w:t>33,180,435.88</w:t>
            </w:r>
          </w:p>
        </w:tc>
        <w:tc>
          <w:tcPr>
            <w:tcW w:w="1509"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264,137,522.18</w:t>
            </w:r>
          </w:p>
        </w:tc>
      </w:tr>
      <w:tr>
        <w:trPr>
          <w:trHeight w:val="290" w:hRule="exact"/>
        </w:trPr>
        <w:tc>
          <w:tcPr>
            <w:tcW w:w="2285"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7" w:type="dxa"/>
            <w:tcBorders>
              <w:top w:val="nil" w:sz="6" w:space="0" w:color="auto"/>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6,632.43</w:t>
            </w:r>
          </w:p>
        </w:tc>
        <w:tc>
          <w:tcPr>
            <w:tcW w:w="1668"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pacing w:val="-1"/>
                <w:sz w:val="18"/>
              </w:rPr>
              <w:t>618,708.62</w:t>
            </w:r>
          </w:p>
        </w:tc>
        <w:tc>
          <w:tcPr>
            <w:tcW w:w="1686" w:type="dxa"/>
            <w:tcBorders>
              <w:top w:val="nil" w:sz="6" w:space="0" w:color="auto"/>
              <w:left w:val="nil" w:sz="6" w:space="0" w:color="auto"/>
              <w:bottom w:val="single" w:sz="4" w:space="0" w:color="000000"/>
              <w:right w:val="nil" w:sz="6" w:space="0" w:color="auto"/>
            </w:tcBorders>
          </w:tcPr>
          <w:p>
            <w:pPr>
              <w:pStyle w:val="TableParagraph"/>
              <w:spacing w:line="232" w:lineRule="exact"/>
              <w:ind w:right="126"/>
              <w:jc w:val="right"/>
              <w:rPr>
                <w:rFonts w:ascii="宋体" w:hAnsi="宋体" w:cs="宋体" w:eastAsia="宋体" w:hint="default"/>
                <w:sz w:val="18"/>
                <w:szCs w:val="18"/>
              </w:rPr>
            </w:pPr>
            <w:r>
              <w:rPr>
                <w:rFonts w:ascii="宋体"/>
                <w:spacing w:val="-1"/>
                <w:sz w:val="18"/>
              </w:rPr>
              <w:t>355,199.40</w:t>
            </w:r>
          </w:p>
        </w:tc>
        <w:tc>
          <w:tcPr>
            <w:tcW w:w="1509" w:type="dxa"/>
            <w:tcBorders>
              <w:top w:val="nil" w:sz="6" w:space="0" w:color="auto"/>
              <w:left w:val="nil" w:sz="6" w:space="0" w:color="auto"/>
              <w:bottom w:val="single" w:sz="4"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270,141.65</w:t>
            </w:r>
          </w:p>
        </w:tc>
      </w:tr>
      <w:tr>
        <w:trPr>
          <w:trHeight w:val="307" w:hRule="exact"/>
        </w:trPr>
        <w:tc>
          <w:tcPr>
            <w:tcW w:w="2285"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77"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607,559,885.43</w:t>
            </w:r>
            <w:r>
              <w:rPr>
                <w:rFonts w:ascii="宋体"/>
                <w:sz w:val="18"/>
              </w:rPr>
            </w:r>
          </w:p>
        </w:tc>
        <w:tc>
          <w:tcPr>
            <w:tcW w:w="1668"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3,518,308,768.41</w:t>
            </w:r>
            <w:r>
              <w:rPr>
                <w:rFonts w:ascii="宋体"/>
                <w:sz w:val="18"/>
              </w:rPr>
            </w:r>
          </w:p>
        </w:tc>
        <w:tc>
          <w:tcPr>
            <w:tcW w:w="1686"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24"/>
              <w:jc w:val="right"/>
              <w:rPr>
                <w:rFonts w:ascii="宋体" w:hAnsi="宋体" w:cs="宋体" w:eastAsia="宋体" w:hint="default"/>
                <w:sz w:val="18"/>
                <w:szCs w:val="18"/>
              </w:rPr>
            </w:pPr>
            <w:r>
              <w:rPr>
                <w:rFonts w:ascii="宋体"/>
                <w:b/>
                <w:w w:val="95"/>
                <w:sz w:val="18"/>
              </w:rPr>
              <w:t>3,456,103,214.60</w:t>
            </w:r>
            <w:r>
              <w:rPr>
                <w:rFonts w:ascii="宋体"/>
                <w:sz w:val="18"/>
              </w:rPr>
            </w:r>
          </w:p>
        </w:tc>
        <w:tc>
          <w:tcPr>
            <w:tcW w:w="1509"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11"/>
              <w:jc w:val="right"/>
              <w:rPr>
                <w:rFonts w:ascii="宋体" w:hAnsi="宋体" w:cs="宋体" w:eastAsia="宋体" w:hint="default"/>
                <w:sz w:val="18"/>
                <w:szCs w:val="18"/>
              </w:rPr>
            </w:pPr>
            <w:r>
              <w:rPr>
                <w:rFonts w:ascii="宋体"/>
                <w:b/>
                <w:w w:val="95"/>
                <w:sz w:val="18"/>
              </w:rPr>
              <w:t>669,765,439.24</w:t>
            </w:r>
            <w:r>
              <w:rPr>
                <w:rFonts w:ascii="宋体"/>
                <w:sz w:val="18"/>
              </w:rPr>
            </w:r>
          </w:p>
        </w:tc>
      </w:tr>
    </w:tbl>
    <w:p>
      <w:pPr>
        <w:spacing w:before="81"/>
        <w:ind w:left="675" w:right="3346"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11"/>
          <w:sz w:val="22"/>
          <w:szCs w:val="22"/>
        </w:rPr>
        <w:t> </w:t>
      </w:r>
      <w:r>
        <w:rPr>
          <w:rFonts w:ascii="宋体" w:hAnsi="宋体" w:cs="宋体" w:eastAsia="宋体" w:hint="default"/>
          <w:sz w:val="22"/>
          <w:szCs w:val="22"/>
        </w:rPr>
        <w:t>设定提存计划</w:t>
      </w:r>
    </w:p>
    <w:p>
      <w:pPr>
        <w:spacing w:line="240" w:lineRule="auto" w:before="11"/>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984"/>
        <w:gridCol w:w="2042"/>
        <w:gridCol w:w="1582"/>
        <w:gridCol w:w="1673"/>
        <w:gridCol w:w="1445"/>
      </w:tblGrid>
      <w:tr>
        <w:trPr>
          <w:trHeight w:val="305" w:hRule="exact"/>
        </w:trPr>
        <w:tc>
          <w:tcPr>
            <w:tcW w:w="198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4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84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82"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93"/>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7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81"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4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9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288" w:hRule="exact"/>
        </w:trPr>
        <w:tc>
          <w:tcPr>
            <w:tcW w:w="1984"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2042" w:type="dxa"/>
            <w:tcBorders>
              <w:top w:val="single" w:sz="4" w:space="0" w:color="000000"/>
              <w:left w:val="nil" w:sz="6" w:space="0" w:color="auto"/>
              <w:bottom w:val="nil" w:sz="6" w:space="0" w:color="auto"/>
              <w:right w:val="nil" w:sz="6" w:space="0" w:color="auto"/>
            </w:tcBorders>
          </w:tcPr>
          <w:p>
            <w:pPr>
              <w:pStyle w:val="TableParagraph"/>
              <w:spacing w:line="232" w:lineRule="exact"/>
              <w:ind w:right="155"/>
              <w:jc w:val="right"/>
              <w:rPr>
                <w:rFonts w:ascii="宋体" w:hAnsi="宋体" w:cs="宋体" w:eastAsia="宋体" w:hint="default"/>
                <w:sz w:val="18"/>
                <w:szCs w:val="18"/>
              </w:rPr>
            </w:pPr>
            <w:r>
              <w:rPr>
                <w:rFonts w:ascii="宋体"/>
                <w:spacing w:val="-1"/>
                <w:sz w:val="18"/>
              </w:rPr>
              <w:t>2,554,201.66</w:t>
            </w:r>
          </w:p>
        </w:tc>
        <w:tc>
          <w:tcPr>
            <w:tcW w:w="1582" w:type="dxa"/>
            <w:tcBorders>
              <w:top w:val="single" w:sz="4" w:space="0" w:color="000000"/>
              <w:left w:val="nil" w:sz="6" w:space="0" w:color="auto"/>
              <w:bottom w:val="nil" w:sz="6" w:space="0" w:color="auto"/>
              <w:right w:val="nil" w:sz="6" w:space="0" w:color="auto"/>
            </w:tcBorders>
          </w:tcPr>
          <w:p>
            <w:pPr>
              <w:pStyle w:val="TableParagraph"/>
              <w:spacing w:line="232" w:lineRule="exact"/>
              <w:ind w:left="4" w:right="0"/>
              <w:jc w:val="center"/>
              <w:rPr>
                <w:rFonts w:ascii="宋体" w:hAnsi="宋体" w:cs="宋体" w:eastAsia="宋体" w:hint="default"/>
                <w:sz w:val="18"/>
                <w:szCs w:val="18"/>
              </w:rPr>
            </w:pPr>
            <w:r>
              <w:rPr>
                <w:rFonts w:ascii="宋体"/>
                <w:sz w:val="18"/>
              </w:rPr>
              <w:t>355,217,551.76</w:t>
            </w:r>
          </w:p>
        </w:tc>
        <w:tc>
          <w:tcPr>
            <w:tcW w:w="1673" w:type="dxa"/>
            <w:tcBorders>
              <w:top w:val="single" w:sz="4" w:space="0" w:color="000000"/>
              <w:left w:val="nil" w:sz="6" w:space="0" w:color="auto"/>
              <w:bottom w:val="nil" w:sz="6" w:space="0" w:color="auto"/>
              <w:right w:val="nil" w:sz="6" w:space="0" w:color="auto"/>
            </w:tcBorders>
          </w:tcPr>
          <w:p>
            <w:pPr>
              <w:pStyle w:val="TableParagraph"/>
              <w:spacing w:line="232" w:lineRule="exact"/>
              <w:ind w:right="247"/>
              <w:jc w:val="right"/>
              <w:rPr>
                <w:rFonts w:ascii="宋体" w:hAnsi="宋体" w:cs="宋体" w:eastAsia="宋体" w:hint="default"/>
                <w:sz w:val="18"/>
                <w:szCs w:val="18"/>
              </w:rPr>
            </w:pPr>
            <w:r>
              <w:rPr>
                <w:rFonts w:ascii="宋体"/>
                <w:spacing w:val="-1"/>
                <w:sz w:val="18"/>
              </w:rPr>
              <w:t>354,308,694.19</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3,463,059.23</w:t>
            </w:r>
          </w:p>
        </w:tc>
      </w:tr>
      <w:tr>
        <w:trPr>
          <w:trHeight w:val="284" w:hRule="exact"/>
        </w:trPr>
        <w:tc>
          <w:tcPr>
            <w:tcW w:w="198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企业年金缴费</w:t>
            </w:r>
          </w:p>
        </w:tc>
        <w:tc>
          <w:tcPr>
            <w:tcW w:w="2042" w:type="dxa"/>
            <w:tcBorders>
              <w:top w:val="nil" w:sz="6" w:space="0" w:color="auto"/>
              <w:left w:val="nil" w:sz="6" w:space="0" w:color="auto"/>
              <w:bottom w:val="nil" w:sz="6" w:space="0" w:color="auto"/>
              <w:right w:val="nil" w:sz="6" w:space="0" w:color="auto"/>
            </w:tcBorders>
          </w:tcPr>
          <w:p>
            <w:pPr>
              <w:pStyle w:val="TableParagraph"/>
              <w:spacing w:line="232" w:lineRule="exact"/>
              <w:ind w:right="153"/>
              <w:jc w:val="right"/>
              <w:rPr>
                <w:rFonts w:ascii="宋体" w:hAnsi="宋体" w:cs="宋体" w:eastAsia="宋体" w:hint="default"/>
                <w:sz w:val="18"/>
                <w:szCs w:val="18"/>
              </w:rPr>
            </w:pPr>
            <w:r>
              <w:rPr>
                <w:rFonts w:ascii="宋体"/>
                <w:spacing w:val="-1"/>
                <w:sz w:val="18"/>
              </w:rPr>
              <w:t>105,994.51</w:t>
            </w:r>
          </w:p>
        </w:tc>
        <w:tc>
          <w:tcPr>
            <w:tcW w:w="1582" w:type="dxa"/>
            <w:tcBorders>
              <w:top w:val="nil" w:sz="6" w:space="0" w:color="auto"/>
              <w:left w:val="nil" w:sz="6" w:space="0" w:color="auto"/>
              <w:bottom w:val="nil" w:sz="6" w:space="0" w:color="auto"/>
              <w:right w:val="nil" w:sz="6" w:space="0" w:color="auto"/>
            </w:tcBorders>
          </w:tcPr>
          <w:p>
            <w:pPr>
              <w:pStyle w:val="TableParagraph"/>
              <w:spacing w:line="232" w:lineRule="exact"/>
              <w:ind w:left="98" w:right="0"/>
              <w:jc w:val="center"/>
              <w:rPr>
                <w:rFonts w:ascii="宋体" w:hAnsi="宋体" w:cs="宋体" w:eastAsia="宋体" w:hint="default"/>
                <w:sz w:val="18"/>
                <w:szCs w:val="18"/>
              </w:rPr>
            </w:pPr>
            <w:r>
              <w:rPr>
                <w:rFonts w:ascii="宋体"/>
                <w:sz w:val="18"/>
              </w:rPr>
              <w:t>70,572,850.23</w:t>
            </w:r>
          </w:p>
        </w:tc>
        <w:tc>
          <w:tcPr>
            <w:tcW w:w="1673" w:type="dxa"/>
            <w:tcBorders>
              <w:top w:val="nil" w:sz="6" w:space="0" w:color="auto"/>
              <w:left w:val="nil" w:sz="6" w:space="0" w:color="auto"/>
              <w:bottom w:val="nil" w:sz="6" w:space="0" w:color="auto"/>
              <w:right w:val="nil" w:sz="6" w:space="0" w:color="auto"/>
            </w:tcBorders>
          </w:tcPr>
          <w:p>
            <w:pPr>
              <w:pStyle w:val="TableParagraph"/>
              <w:spacing w:line="232" w:lineRule="exact"/>
              <w:ind w:right="245"/>
              <w:jc w:val="right"/>
              <w:rPr>
                <w:rFonts w:ascii="宋体" w:hAnsi="宋体" w:cs="宋体" w:eastAsia="宋体" w:hint="default"/>
                <w:sz w:val="18"/>
                <w:szCs w:val="18"/>
              </w:rPr>
            </w:pPr>
            <w:r>
              <w:rPr>
                <w:rFonts w:ascii="宋体"/>
                <w:spacing w:val="-1"/>
                <w:sz w:val="18"/>
              </w:rPr>
              <w:t>70,616,891.15</w:t>
            </w:r>
          </w:p>
        </w:tc>
        <w:tc>
          <w:tcPr>
            <w:tcW w:w="144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61,953.59</w:t>
            </w:r>
          </w:p>
        </w:tc>
      </w:tr>
      <w:tr>
        <w:trPr>
          <w:trHeight w:val="291" w:hRule="exact"/>
        </w:trPr>
        <w:tc>
          <w:tcPr>
            <w:tcW w:w="1984"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2042" w:type="dxa"/>
            <w:tcBorders>
              <w:top w:val="nil" w:sz="6" w:space="0" w:color="auto"/>
              <w:left w:val="nil" w:sz="6" w:space="0" w:color="auto"/>
              <w:bottom w:val="single" w:sz="4" w:space="0" w:color="000000"/>
              <w:right w:val="nil" w:sz="6" w:space="0" w:color="auto"/>
            </w:tcBorders>
          </w:tcPr>
          <w:p>
            <w:pPr>
              <w:pStyle w:val="TableParagraph"/>
              <w:spacing w:line="233" w:lineRule="exact"/>
              <w:ind w:right="153"/>
              <w:jc w:val="right"/>
              <w:rPr>
                <w:rFonts w:ascii="宋体" w:hAnsi="宋体" w:cs="宋体" w:eastAsia="宋体" w:hint="default"/>
                <w:sz w:val="18"/>
                <w:szCs w:val="18"/>
              </w:rPr>
            </w:pPr>
            <w:r>
              <w:rPr>
                <w:rFonts w:ascii="宋体"/>
                <w:spacing w:val="-1"/>
                <w:sz w:val="18"/>
              </w:rPr>
              <w:t>360,802.19</w:t>
            </w:r>
          </w:p>
        </w:tc>
        <w:tc>
          <w:tcPr>
            <w:tcW w:w="1582" w:type="dxa"/>
            <w:tcBorders>
              <w:top w:val="nil" w:sz="6" w:space="0" w:color="auto"/>
              <w:left w:val="nil" w:sz="6" w:space="0" w:color="auto"/>
              <w:bottom w:val="single" w:sz="4" w:space="0" w:color="000000"/>
              <w:right w:val="nil" w:sz="6" w:space="0" w:color="auto"/>
            </w:tcBorders>
          </w:tcPr>
          <w:p>
            <w:pPr>
              <w:pStyle w:val="TableParagraph"/>
              <w:spacing w:line="233" w:lineRule="exact"/>
              <w:ind w:left="98" w:right="0"/>
              <w:jc w:val="center"/>
              <w:rPr>
                <w:rFonts w:ascii="宋体" w:hAnsi="宋体" w:cs="宋体" w:eastAsia="宋体" w:hint="default"/>
                <w:sz w:val="18"/>
                <w:szCs w:val="18"/>
              </w:rPr>
            </w:pPr>
            <w:r>
              <w:rPr>
                <w:rFonts w:ascii="宋体"/>
                <w:sz w:val="18"/>
              </w:rPr>
              <w:t>13,658,880.41</w:t>
            </w:r>
          </w:p>
        </w:tc>
        <w:tc>
          <w:tcPr>
            <w:tcW w:w="1673" w:type="dxa"/>
            <w:tcBorders>
              <w:top w:val="nil" w:sz="6" w:space="0" w:color="auto"/>
              <w:left w:val="nil" w:sz="6" w:space="0" w:color="auto"/>
              <w:bottom w:val="single" w:sz="4" w:space="0" w:color="000000"/>
              <w:right w:val="nil" w:sz="6" w:space="0" w:color="auto"/>
            </w:tcBorders>
          </w:tcPr>
          <w:p>
            <w:pPr>
              <w:pStyle w:val="TableParagraph"/>
              <w:spacing w:line="233" w:lineRule="exact"/>
              <w:ind w:right="245"/>
              <w:jc w:val="right"/>
              <w:rPr>
                <w:rFonts w:ascii="宋体" w:hAnsi="宋体" w:cs="宋体" w:eastAsia="宋体" w:hint="default"/>
                <w:sz w:val="18"/>
                <w:szCs w:val="18"/>
              </w:rPr>
            </w:pPr>
            <w:r>
              <w:rPr>
                <w:rFonts w:ascii="宋体"/>
                <w:spacing w:val="-1"/>
                <w:sz w:val="18"/>
              </w:rPr>
              <w:t>13,679,238.68</w:t>
            </w:r>
          </w:p>
        </w:tc>
        <w:tc>
          <w:tcPr>
            <w:tcW w:w="1445" w:type="dxa"/>
            <w:tcBorders>
              <w:top w:val="nil" w:sz="6" w:space="0" w:color="auto"/>
              <w:left w:val="nil" w:sz="6" w:space="0" w:color="auto"/>
              <w:bottom w:val="single" w:sz="4" w:space="0" w:color="000000"/>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340,443.92</w:t>
            </w:r>
          </w:p>
        </w:tc>
      </w:tr>
      <w:tr>
        <w:trPr>
          <w:trHeight w:val="307" w:hRule="exact"/>
        </w:trPr>
        <w:tc>
          <w:tcPr>
            <w:tcW w:w="1984"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42"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54"/>
              <w:jc w:val="right"/>
              <w:rPr>
                <w:rFonts w:ascii="宋体" w:hAnsi="宋体" w:cs="宋体" w:eastAsia="宋体" w:hint="default"/>
                <w:sz w:val="18"/>
                <w:szCs w:val="18"/>
              </w:rPr>
            </w:pPr>
            <w:r>
              <w:rPr>
                <w:rFonts w:ascii="宋体"/>
                <w:b/>
                <w:w w:val="95"/>
                <w:sz w:val="18"/>
              </w:rPr>
              <w:t>3,020,998.36</w:t>
            </w:r>
            <w:r>
              <w:rPr>
                <w:rFonts w:ascii="宋体"/>
                <w:sz w:val="18"/>
              </w:rPr>
            </w:r>
          </w:p>
        </w:tc>
        <w:tc>
          <w:tcPr>
            <w:tcW w:w="1582"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b/>
                <w:sz w:val="18"/>
              </w:rPr>
              <w:t>439,449,282.40</w:t>
            </w:r>
            <w:r>
              <w:rPr>
                <w:rFonts w:ascii="宋体"/>
                <w:sz w:val="18"/>
              </w:rPr>
            </w:r>
          </w:p>
        </w:tc>
        <w:tc>
          <w:tcPr>
            <w:tcW w:w="1673"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45"/>
              <w:jc w:val="right"/>
              <w:rPr>
                <w:rFonts w:ascii="宋体" w:hAnsi="宋体" w:cs="宋体" w:eastAsia="宋体" w:hint="default"/>
                <w:sz w:val="18"/>
                <w:szCs w:val="18"/>
              </w:rPr>
            </w:pPr>
            <w:r>
              <w:rPr>
                <w:rFonts w:ascii="宋体"/>
                <w:b/>
                <w:w w:val="95"/>
                <w:sz w:val="18"/>
              </w:rPr>
              <w:t>438,604,824.02</w:t>
            </w:r>
            <w:r>
              <w:rPr>
                <w:rFonts w:ascii="宋体"/>
                <w:sz w:val="18"/>
              </w:rPr>
            </w:r>
          </w:p>
        </w:tc>
        <w:tc>
          <w:tcPr>
            <w:tcW w:w="144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3,865,456.74</w:t>
            </w:r>
            <w:r>
              <w:rPr>
                <w:rFonts w:ascii="宋体"/>
                <w:sz w:val="18"/>
              </w:rPr>
            </w:r>
          </w:p>
        </w:tc>
      </w:tr>
    </w:tbl>
    <w:p>
      <w:pPr>
        <w:spacing w:before="81"/>
        <w:ind w:left="62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26.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应交税费</w:t>
      </w:r>
    </w:p>
    <w:p>
      <w:pPr>
        <w:spacing w:line="240" w:lineRule="auto" w:before="6"/>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683"/>
        <w:gridCol w:w="3624"/>
        <w:gridCol w:w="2418"/>
      </w:tblGrid>
      <w:tr>
        <w:trPr>
          <w:trHeight w:val="305" w:hRule="exact"/>
        </w:trPr>
        <w:tc>
          <w:tcPr>
            <w:tcW w:w="268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24"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268"/>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1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0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9" w:hRule="exact"/>
        </w:trPr>
        <w:tc>
          <w:tcPr>
            <w:tcW w:w="2683"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624" w:type="dxa"/>
            <w:tcBorders>
              <w:top w:val="single" w:sz="4" w:space="0" w:color="000000"/>
              <w:left w:val="nil" w:sz="6" w:space="0" w:color="auto"/>
              <w:bottom w:val="nil" w:sz="6" w:space="0" w:color="auto"/>
              <w:right w:val="nil" w:sz="6" w:space="0" w:color="auto"/>
            </w:tcBorders>
          </w:tcPr>
          <w:p>
            <w:pPr>
              <w:pStyle w:val="TableParagraph"/>
              <w:spacing w:line="232" w:lineRule="exact"/>
              <w:ind w:right="599"/>
              <w:jc w:val="right"/>
              <w:rPr>
                <w:rFonts w:ascii="宋体" w:hAnsi="宋体" w:cs="宋体" w:eastAsia="宋体" w:hint="default"/>
                <w:sz w:val="18"/>
                <w:szCs w:val="18"/>
              </w:rPr>
            </w:pPr>
            <w:r>
              <w:rPr>
                <w:rFonts w:ascii="宋体"/>
                <w:spacing w:val="-1"/>
                <w:sz w:val="18"/>
              </w:rPr>
              <w:t>282,206,105.34</w:t>
            </w:r>
          </w:p>
        </w:tc>
        <w:tc>
          <w:tcPr>
            <w:tcW w:w="2418"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92,951,924.44</w:t>
            </w:r>
          </w:p>
        </w:tc>
      </w:tr>
      <w:tr>
        <w:trPr>
          <w:trHeight w:val="286" w:hRule="exact"/>
        </w:trPr>
        <w:tc>
          <w:tcPr>
            <w:tcW w:w="2683"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624" w:type="dxa"/>
            <w:tcBorders>
              <w:top w:val="nil" w:sz="6" w:space="0" w:color="auto"/>
              <w:left w:val="nil" w:sz="6" w:space="0" w:color="auto"/>
              <w:bottom w:val="nil" w:sz="6" w:space="0" w:color="auto"/>
              <w:right w:val="nil" w:sz="6" w:space="0" w:color="auto"/>
            </w:tcBorders>
          </w:tcPr>
          <w:p>
            <w:pPr>
              <w:pStyle w:val="TableParagraph"/>
              <w:spacing w:line="233" w:lineRule="exact"/>
              <w:ind w:right="599"/>
              <w:jc w:val="right"/>
              <w:rPr>
                <w:rFonts w:ascii="宋体" w:hAnsi="宋体" w:cs="宋体" w:eastAsia="宋体" w:hint="default"/>
                <w:sz w:val="18"/>
                <w:szCs w:val="18"/>
              </w:rPr>
            </w:pPr>
            <w:r>
              <w:rPr>
                <w:rFonts w:ascii="宋体"/>
                <w:spacing w:val="-1"/>
                <w:sz w:val="18"/>
              </w:rPr>
              <w:t>279,428,474.28</w:t>
            </w:r>
          </w:p>
        </w:tc>
        <w:tc>
          <w:tcPr>
            <w:tcW w:w="2418"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160,683,207.59</w:t>
            </w:r>
          </w:p>
        </w:tc>
      </w:tr>
      <w:tr>
        <w:trPr>
          <w:trHeight w:val="286" w:hRule="exact"/>
        </w:trPr>
        <w:tc>
          <w:tcPr>
            <w:tcW w:w="2683"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624" w:type="dxa"/>
            <w:tcBorders>
              <w:top w:val="nil" w:sz="6" w:space="0" w:color="auto"/>
              <w:left w:val="nil" w:sz="6" w:space="0" w:color="auto"/>
              <w:bottom w:val="nil" w:sz="6" w:space="0" w:color="auto"/>
              <w:right w:val="nil" w:sz="6" w:space="0" w:color="auto"/>
            </w:tcBorders>
          </w:tcPr>
          <w:p>
            <w:pPr>
              <w:pStyle w:val="TableParagraph"/>
              <w:spacing w:line="233" w:lineRule="exact"/>
              <w:ind w:right="599"/>
              <w:jc w:val="right"/>
              <w:rPr>
                <w:rFonts w:ascii="宋体" w:hAnsi="宋体" w:cs="宋体" w:eastAsia="宋体" w:hint="default"/>
                <w:sz w:val="18"/>
                <w:szCs w:val="18"/>
              </w:rPr>
            </w:pPr>
            <w:r>
              <w:rPr>
                <w:rFonts w:ascii="宋体"/>
                <w:spacing w:val="-1"/>
                <w:sz w:val="18"/>
              </w:rPr>
              <w:t>11,872,873.13</w:t>
            </w:r>
          </w:p>
        </w:tc>
        <w:tc>
          <w:tcPr>
            <w:tcW w:w="2418"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11,066,466.00</w:t>
            </w:r>
          </w:p>
        </w:tc>
      </w:tr>
      <w:tr>
        <w:trPr>
          <w:trHeight w:val="284" w:hRule="exact"/>
        </w:trPr>
        <w:tc>
          <w:tcPr>
            <w:tcW w:w="2683"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624" w:type="dxa"/>
            <w:tcBorders>
              <w:top w:val="nil" w:sz="6" w:space="0" w:color="auto"/>
              <w:left w:val="nil" w:sz="6" w:space="0" w:color="auto"/>
              <w:bottom w:val="nil" w:sz="6" w:space="0" w:color="auto"/>
              <w:right w:val="nil" w:sz="6" w:space="0" w:color="auto"/>
            </w:tcBorders>
          </w:tcPr>
          <w:p>
            <w:pPr>
              <w:pStyle w:val="TableParagraph"/>
              <w:spacing w:line="233" w:lineRule="exact"/>
              <w:ind w:right="599"/>
              <w:jc w:val="right"/>
              <w:rPr>
                <w:rFonts w:ascii="宋体" w:hAnsi="宋体" w:cs="宋体" w:eastAsia="宋体" w:hint="default"/>
                <w:sz w:val="18"/>
                <w:szCs w:val="18"/>
              </w:rPr>
            </w:pPr>
            <w:r>
              <w:rPr>
                <w:rFonts w:ascii="宋体"/>
                <w:spacing w:val="-1"/>
                <w:sz w:val="18"/>
              </w:rPr>
              <w:t>9,310,104.00</w:t>
            </w:r>
          </w:p>
        </w:tc>
        <w:tc>
          <w:tcPr>
            <w:tcW w:w="2418"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18,835,105.16</w:t>
            </w:r>
          </w:p>
        </w:tc>
      </w:tr>
      <w:tr>
        <w:trPr>
          <w:trHeight w:val="284" w:hRule="exact"/>
        </w:trPr>
        <w:tc>
          <w:tcPr>
            <w:tcW w:w="268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624" w:type="dxa"/>
            <w:tcBorders>
              <w:top w:val="nil" w:sz="6" w:space="0" w:color="auto"/>
              <w:left w:val="nil" w:sz="6" w:space="0" w:color="auto"/>
              <w:bottom w:val="nil" w:sz="6" w:space="0" w:color="auto"/>
              <w:right w:val="nil" w:sz="6" w:space="0" w:color="auto"/>
            </w:tcBorders>
          </w:tcPr>
          <w:p>
            <w:pPr>
              <w:pStyle w:val="TableParagraph"/>
              <w:spacing w:line="232" w:lineRule="exact"/>
              <w:ind w:right="599"/>
              <w:jc w:val="right"/>
              <w:rPr>
                <w:rFonts w:ascii="宋体" w:hAnsi="宋体" w:cs="宋体" w:eastAsia="宋体" w:hint="default"/>
                <w:sz w:val="18"/>
                <w:szCs w:val="18"/>
              </w:rPr>
            </w:pPr>
            <w:r>
              <w:rPr>
                <w:rFonts w:ascii="宋体"/>
                <w:spacing w:val="-1"/>
                <w:sz w:val="18"/>
              </w:rPr>
              <w:t>8,972,375.33</w:t>
            </w:r>
          </w:p>
        </w:tc>
        <w:tc>
          <w:tcPr>
            <w:tcW w:w="2418"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8,548,986.92</w:t>
            </w:r>
          </w:p>
        </w:tc>
      </w:tr>
      <w:tr>
        <w:trPr>
          <w:trHeight w:val="286" w:hRule="exact"/>
        </w:trPr>
        <w:tc>
          <w:tcPr>
            <w:tcW w:w="2683"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624" w:type="dxa"/>
            <w:tcBorders>
              <w:top w:val="nil" w:sz="6" w:space="0" w:color="auto"/>
              <w:left w:val="nil" w:sz="6" w:space="0" w:color="auto"/>
              <w:bottom w:val="nil" w:sz="6" w:space="0" w:color="auto"/>
              <w:right w:val="nil" w:sz="6" w:space="0" w:color="auto"/>
            </w:tcBorders>
          </w:tcPr>
          <w:p>
            <w:pPr>
              <w:pStyle w:val="TableParagraph"/>
              <w:spacing w:line="233" w:lineRule="exact"/>
              <w:ind w:right="599"/>
              <w:jc w:val="right"/>
              <w:rPr>
                <w:rFonts w:ascii="宋体" w:hAnsi="宋体" w:cs="宋体" w:eastAsia="宋体" w:hint="default"/>
                <w:sz w:val="18"/>
                <w:szCs w:val="18"/>
              </w:rPr>
            </w:pPr>
            <w:r>
              <w:rPr>
                <w:rFonts w:ascii="宋体"/>
                <w:spacing w:val="-1"/>
                <w:sz w:val="18"/>
              </w:rPr>
              <w:t>5,784,678.34</w:t>
            </w:r>
          </w:p>
        </w:tc>
        <w:tc>
          <w:tcPr>
            <w:tcW w:w="2418"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10,402,389.73</w:t>
            </w:r>
          </w:p>
        </w:tc>
      </w:tr>
      <w:tr>
        <w:trPr>
          <w:trHeight w:val="286" w:hRule="exact"/>
        </w:trPr>
        <w:tc>
          <w:tcPr>
            <w:tcW w:w="2683"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624" w:type="dxa"/>
            <w:tcBorders>
              <w:top w:val="nil" w:sz="6" w:space="0" w:color="auto"/>
              <w:left w:val="nil" w:sz="6" w:space="0" w:color="auto"/>
              <w:bottom w:val="nil" w:sz="6" w:space="0" w:color="auto"/>
              <w:right w:val="nil" w:sz="6" w:space="0" w:color="auto"/>
            </w:tcBorders>
          </w:tcPr>
          <w:p>
            <w:pPr>
              <w:pStyle w:val="TableParagraph"/>
              <w:spacing w:line="233" w:lineRule="exact"/>
              <w:ind w:right="599"/>
              <w:jc w:val="right"/>
              <w:rPr>
                <w:rFonts w:ascii="宋体" w:hAnsi="宋体" w:cs="宋体" w:eastAsia="宋体" w:hint="default"/>
                <w:sz w:val="18"/>
                <w:szCs w:val="18"/>
              </w:rPr>
            </w:pPr>
            <w:r>
              <w:rPr>
                <w:rFonts w:ascii="宋体"/>
                <w:spacing w:val="-1"/>
                <w:sz w:val="18"/>
              </w:rPr>
              <w:t>2,501,925.79</w:t>
            </w:r>
          </w:p>
        </w:tc>
        <w:tc>
          <w:tcPr>
            <w:tcW w:w="2418"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1,632,815.50</w:t>
            </w:r>
          </w:p>
        </w:tc>
      </w:tr>
      <w:tr>
        <w:trPr>
          <w:trHeight w:val="284" w:hRule="exact"/>
        </w:trPr>
        <w:tc>
          <w:tcPr>
            <w:tcW w:w="2683"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624" w:type="dxa"/>
            <w:tcBorders>
              <w:top w:val="nil" w:sz="6" w:space="0" w:color="auto"/>
              <w:left w:val="nil" w:sz="6" w:space="0" w:color="auto"/>
              <w:bottom w:val="nil" w:sz="6" w:space="0" w:color="auto"/>
              <w:right w:val="nil" w:sz="6" w:space="0" w:color="auto"/>
            </w:tcBorders>
          </w:tcPr>
          <w:p>
            <w:pPr>
              <w:pStyle w:val="TableParagraph"/>
              <w:spacing w:line="233" w:lineRule="exact"/>
              <w:ind w:right="599"/>
              <w:jc w:val="right"/>
              <w:rPr>
                <w:rFonts w:ascii="宋体" w:hAnsi="宋体" w:cs="宋体" w:eastAsia="宋体" w:hint="default"/>
                <w:sz w:val="18"/>
                <w:szCs w:val="18"/>
              </w:rPr>
            </w:pPr>
            <w:r>
              <w:rPr>
                <w:rFonts w:ascii="宋体"/>
                <w:spacing w:val="-1"/>
                <w:sz w:val="18"/>
              </w:rPr>
              <w:t>330,399.99</w:t>
            </w:r>
          </w:p>
        </w:tc>
        <w:tc>
          <w:tcPr>
            <w:tcW w:w="2418"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434,588.79</w:t>
            </w:r>
          </w:p>
        </w:tc>
      </w:tr>
      <w:tr>
        <w:trPr>
          <w:trHeight w:val="290" w:hRule="exact"/>
        </w:trPr>
        <w:tc>
          <w:tcPr>
            <w:tcW w:w="2683"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24" w:type="dxa"/>
            <w:tcBorders>
              <w:top w:val="nil" w:sz="6" w:space="0" w:color="auto"/>
              <w:left w:val="nil" w:sz="6" w:space="0" w:color="auto"/>
              <w:bottom w:val="single" w:sz="4" w:space="0" w:color="000000"/>
              <w:right w:val="nil" w:sz="6" w:space="0" w:color="auto"/>
            </w:tcBorders>
          </w:tcPr>
          <w:p>
            <w:pPr>
              <w:pStyle w:val="TableParagraph"/>
              <w:spacing w:line="232" w:lineRule="exact"/>
              <w:ind w:right="599"/>
              <w:jc w:val="right"/>
              <w:rPr>
                <w:rFonts w:ascii="宋体" w:hAnsi="宋体" w:cs="宋体" w:eastAsia="宋体" w:hint="default"/>
                <w:sz w:val="18"/>
                <w:szCs w:val="18"/>
              </w:rPr>
            </w:pPr>
            <w:r>
              <w:rPr>
                <w:rFonts w:ascii="宋体"/>
                <w:spacing w:val="-1"/>
                <w:sz w:val="18"/>
              </w:rPr>
              <w:t>4,167,182.37</w:t>
            </w:r>
          </w:p>
        </w:tc>
        <w:tc>
          <w:tcPr>
            <w:tcW w:w="2418" w:type="dxa"/>
            <w:tcBorders>
              <w:top w:val="nil" w:sz="6" w:space="0" w:color="auto"/>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4,916,827.82</w:t>
            </w:r>
          </w:p>
        </w:tc>
      </w:tr>
      <w:tr>
        <w:trPr>
          <w:trHeight w:val="307" w:hRule="exact"/>
        </w:trPr>
        <w:tc>
          <w:tcPr>
            <w:tcW w:w="268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624"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599"/>
              <w:jc w:val="right"/>
              <w:rPr>
                <w:rFonts w:ascii="宋体" w:hAnsi="宋体" w:cs="宋体" w:eastAsia="宋体" w:hint="default"/>
                <w:sz w:val="18"/>
                <w:szCs w:val="18"/>
              </w:rPr>
            </w:pPr>
            <w:r>
              <w:rPr>
                <w:rFonts w:ascii="宋体"/>
                <w:b/>
                <w:w w:val="95"/>
                <w:sz w:val="18"/>
              </w:rPr>
              <w:t>604,574,118.57</w:t>
            </w:r>
            <w:r>
              <w:rPr>
                <w:rFonts w:ascii="宋体"/>
                <w:sz w:val="18"/>
              </w:rPr>
            </w:r>
          </w:p>
        </w:tc>
        <w:tc>
          <w:tcPr>
            <w:tcW w:w="2418"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309,472,311.95</w:t>
            </w:r>
            <w:r>
              <w:rPr>
                <w:rFonts w:ascii="宋体"/>
                <w:sz w:val="18"/>
              </w:rPr>
            </w:r>
          </w:p>
        </w:tc>
      </w:tr>
    </w:tbl>
    <w:p>
      <w:pPr>
        <w:spacing w:before="81"/>
        <w:ind w:left="62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27.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其他应付款</w:t>
      </w:r>
    </w:p>
    <w:p>
      <w:pPr>
        <w:spacing w:line="240" w:lineRule="auto" w:before="6"/>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503"/>
        <w:gridCol w:w="3804"/>
        <w:gridCol w:w="2418"/>
      </w:tblGrid>
      <w:tr>
        <w:trPr>
          <w:trHeight w:val="305" w:hRule="exact"/>
        </w:trPr>
        <w:tc>
          <w:tcPr>
            <w:tcW w:w="2503" w:type="dxa"/>
            <w:tcBorders>
              <w:top w:val="single" w:sz="12" w:space="0" w:color="000000"/>
              <w:left w:val="nil" w:sz="6" w:space="0" w:color="auto"/>
              <w:bottom w:val="single" w:sz="2"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04" w:type="dxa"/>
            <w:tcBorders>
              <w:top w:val="single" w:sz="12" w:space="0" w:color="000000"/>
              <w:left w:val="nil" w:sz="6" w:space="0" w:color="auto"/>
              <w:bottom w:val="single" w:sz="2" w:space="0" w:color="000000"/>
              <w:right w:val="nil" w:sz="6" w:space="0" w:color="auto"/>
            </w:tcBorders>
          </w:tcPr>
          <w:p>
            <w:pPr>
              <w:pStyle w:val="TableParagraph"/>
              <w:spacing w:line="234" w:lineRule="exact"/>
              <w:ind w:right="88"/>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18" w:type="dxa"/>
            <w:tcBorders>
              <w:top w:val="single" w:sz="12" w:space="0" w:color="000000"/>
              <w:left w:val="nil" w:sz="6" w:space="0" w:color="auto"/>
              <w:bottom w:val="single" w:sz="2" w:space="0" w:color="000000"/>
              <w:right w:val="nil" w:sz="6" w:space="0" w:color="auto"/>
            </w:tcBorders>
          </w:tcPr>
          <w:p>
            <w:pPr>
              <w:pStyle w:val="TableParagraph"/>
              <w:spacing w:line="234" w:lineRule="exact"/>
              <w:ind w:left="60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5" w:hRule="exact"/>
        </w:trPr>
        <w:tc>
          <w:tcPr>
            <w:tcW w:w="2503" w:type="dxa"/>
            <w:tcBorders>
              <w:top w:val="single" w:sz="2" w:space="0" w:color="000000"/>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804" w:type="dxa"/>
            <w:tcBorders>
              <w:top w:val="single" w:sz="2" w:space="0" w:color="000000"/>
              <w:left w:val="nil" w:sz="6" w:space="0" w:color="auto"/>
              <w:bottom w:val="nil" w:sz="6" w:space="0" w:color="auto"/>
              <w:right w:val="nil" w:sz="6" w:space="0" w:color="auto"/>
            </w:tcBorders>
          </w:tcPr>
          <w:p>
            <w:pPr>
              <w:pStyle w:val="TableParagraph"/>
              <w:spacing w:line="229" w:lineRule="exact"/>
              <w:ind w:right="599"/>
              <w:jc w:val="right"/>
              <w:rPr>
                <w:rFonts w:ascii="宋体" w:hAnsi="宋体" w:cs="宋体" w:eastAsia="宋体" w:hint="default"/>
                <w:sz w:val="18"/>
                <w:szCs w:val="18"/>
              </w:rPr>
            </w:pPr>
            <w:r>
              <w:rPr>
                <w:rFonts w:ascii="宋体"/>
                <w:spacing w:val="-1"/>
                <w:sz w:val="18"/>
              </w:rPr>
              <w:t>313,519,484.58</w:t>
            </w:r>
          </w:p>
        </w:tc>
        <w:tc>
          <w:tcPr>
            <w:tcW w:w="2418" w:type="dxa"/>
            <w:tcBorders>
              <w:top w:val="single" w:sz="2" w:space="0" w:color="000000"/>
              <w:left w:val="nil" w:sz="6" w:space="0" w:color="auto"/>
              <w:bottom w:val="nil" w:sz="6" w:space="0" w:color="auto"/>
              <w:right w:val="nil" w:sz="6" w:space="0" w:color="auto"/>
            </w:tcBorders>
          </w:tcPr>
          <w:p>
            <w:pPr>
              <w:pStyle w:val="TableParagraph"/>
              <w:spacing w:line="229" w:lineRule="exact"/>
              <w:ind w:right="105"/>
              <w:jc w:val="right"/>
              <w:rPr>
                <w:rFonts w:ascii="宋体" w:hAnsi="宋体" w:cs="宋体" w:eastAsia="宋体" w:hint="default"/>
                <w:sz w:val="18"/>
                <w:szCs w:val="18"/>
              </w:rPr>
            </w:pPr>
            <w:r>
              <w:rPr>
                <w:rFonts w:ascii="宋体"/>
                <w:spacing w:val="-1"/>
                <w:sz w:val="18"/>
              </w:rPr>
              <w:t>136,295,707.78</w:t>
            </w:r>
          </w:p>
        </w:tc>
      </w:tr>
      <w:tr>
        <w:trPr>
          <w:trHeight w:val="286" w:hRule="exact"/>
        </w:trPr>
        <w:tc>
          <w:tcPr>
            <w:tcW w:w="2503"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804" w:type="dxa"/>
            <w:tcBorders>
              <w:top w:val="nil" w:sz="6" w:space="0" w:color="auto"/>
              <w:left w:val="nil" w:sz="6" w:space="0" w:color="auto"/>
              <w:bottom w:val="nil" w:sz="6" w:space="0" w:color="auto"/>
              <w:right w:val="nil" w:sz="6" w:space="0" w:color="auto"/>
            </w:tcBorders>
          </w:tcPr>
          <w:p>
            <w:pPr>
              <w:pStyle w:val="TableParagraph"/>
              <w:spacing w:line="233" w:lineRule="exact"/>
              <w:ind w:right="599"/>
              <w:jc w:val="right"/>
              <w:rPr>
                <w:rFonts w:ascii="宋体" w:hAnsi="宋体" w:cs="宋体" w:eastAsia="宋体" w:hint="default"/>
                <w:sz w:val="18"/>
                <w:szCs w:val="18"/>
              </w:rPr>
            </w:pPr>
            <w:r>
              <w:rPr>
                <w:rFonts w:ascii="宋体"/>
                <w:spacing w:val="-1"/>
                <w:sz w:val="18"/>
              </w:rPr>
              <w:t>52,649,349.88</w:t>
            </w:r>
          </w:p>
        </w:tc>
        <w:tc>
          <w:tcPr>
            <w:tcW w:w="2418"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13,630,961.88</w:t>
            </w:r>
          </w:p>
        </w:tc>
      </w:tr>
      <w:tr>
        <w:trPr>
          <w:trHeight w:val="289" w:hRule="exact"/>
        </w:trPr>
        <w:tc>
          <w:tcPr>
            <w:tcW w:w="2503" w:type="dxa"/>
            <w:tcBorders>
              <w:top w:val="nil" w:sz="6" w:space="0" w:color="auto"/>
              <w:left w:val="nil" w:sz="6" w:space="0" w:color="auto"/>
              <w:bottom w:val="single" w:sz="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804" w:type="dxa"/>
            <w:tcBorders>
              <w:top w:val="nil" w:sz="6" w:space="0" w:color="auto"/>
              <w:left w:val="nil" w:sz="6" w:space="0" w:color="auto"/>
              <w:bottom w:val="single" w:sz="2" w:space="0" w:color="000000"/>
              <w:right w:val="nil" w:sz="6" w:space="0" w:color="auto"/>
            </w:tcBorders>
          </w:tcPr>
          <w:p>
            <w:pPr>
              <w:pStyle w:val="TableParagraph"/>
              <w:spacing w:line="233" w:lineRule="exact"/>
              <w:ind w:right="599"/>
              <w:jc w:val="right"/>
              <w:rPr>
                <w:rFonts w:ascii="宋体" w:hAnsi="宋体" w:cs="宋体" w:eastAsia="宋体" w:hint="default"/>
                <w:sz w:val="18"/>
                <w:szCs w:val="18"/>
              </w:rPr>
            </w:pPr>
            <w:r>
              <w:rPr>
                <w:rFonts w:ascii="宋体"/>
                <w:spacing w:val="-1"/>
                <w:sz w:val="18"/>
              </w:rPr>
              <w:t>974,358,081.94</w:t>
            </w:r>
          </w:p>
        </w:tc>
        <w:tc>
          <w:tcPr>
            <w:tcW w:w="2418" w:type="dxa"/>
            <w:tcBorders>
              <w:top w:val="nil" w:sz="6" w:space="0" w:color="auto"/>
              <w:left w:val="nil" w:sz="6" w:space="0" w:color="auto"/>
              <w:bottom w:val="single" w:sz="2"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858,693,536.18</w:t>
            </w:r>
          </w:p>
        </w:tc>
      </w:tr>
      <w:tr>
        <w:trPr>
          <w:trHeight w:val="302" w:hRule="exact"/>
        </w:trPr>
        <w:tc>
          <w:tcPr>
            <w:tcW w:w="2503" w:type="dxa"/>
            <w:tcBorders>
              <w:top w:val="single" w:sz="2"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04" w:type="dxa"/>
            <w:tcBorders>
              <w:top w:val="single" w:sz="2" w:space="0" w:color="000000"/>
              <w:left w:val="nil" w:sz="6" w:space="0" w:color="auto"/>
              <w:bottom w:val="single" w:sz="12" w:space="0" w:color="000000"/>
              <w:right w:val="nil" w:sz="6" w:space="0" w:color="auto"/>
            </w:tcBorders>
          </w:tcPr>
          <w:p>
            <w:pPr>
              <w:pStyle w:val="TableParagraph"/>
              <w:spacing w:line="232" w:lineRule="exact"/>
              <w:ind w:right="600"/>
              <w:jc w:val="right"/>
              <w:rPr>
                <w:rFonts w:ascii="宋体" w:hAnsi="宋体" w:cs="宋体" w:eastAsia="宋体" w:hint="default"/>
                <w:sz w:val="18"/>
                <w:szCs w:val="18"/>
              </w:rPr>
            </w:pPr>
            <w:r>
              <w:rPr>
                <w:rFonts w:ascii="宋体"/>
                <w:b/>
                <w:w w:val="95"/>
                <w:sz w:val="18"/>
              </w:rPr>
              <w:t>1,340,526,916.40</w:t>
            </w:r>
            <w:r>
              <w:rPr>
                <w:rFonts w:ascii="宋体"/>
                <w:sz w:val="18"/>
              </w:rPr>
            </w:r>
          </w:p>
        </w:tc>
        <w:tc>
          <w:tcPr>
            <w:tcW w:w="2418" w:type="dxa"/>
            <w:tcBorders>
              <w:top w:val="single" w:sz="2"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1,008,620,205.84</w:t>
            </w:r>
            <w:r>
              <w:rPr>
                <w:rFonts w:ascii="宋体"/>
                <w:sz w:val="18"/>
              </w:rPr>
            </w:r>
          </w:p>
        </w:tc>
      </w:tr>
    </w:tbl>
    <w:p>
      <w:pPr>
        <w:spacing w:before="81"/>
        <w:ind w:left="627" w:right="3346" w:firstLine="0"/>
        <w:jc w:val="left"/>
        <w:rPr>
          <w:rFonts w:ascii="宋体" w:hAnsi="宋体" w:cs="宋体" w:eastAsia="宋体" w:hint="default"/>
          <w:sz w:val="22"/>
          <w:szCs w:val="22"/>
        </w:rPr>
      </w:pPr>
      <w:r>
        <w:rPr>
          <w:rFonts w:ascii="宋体" w:hAnsi="宋体" w:cs="宋体" w:eastAsia="宋体" w:hint="default"/>
          <w:b/>
          <w:bCs/>
          <w:sz w:val="22"/>
          <w:szCs w:val="22"/>
        </w:rPr>
        <w:t>27.1.</w:t>
      </w:r>
      <w:r>
        <w:rPr>
          <w:rFonts w:ascii="宋体" w:hAnsi="宋体" w:cs="宋体" w:eastAsia="宋体" w:hint="default"/>
          <w:b/>
          <w:bCs/>
          <w:spacing w:val="-61"/>
          <w:sz w:val="22"/>
          <w:szCs w:val="22"/>
        </w:rPr>
        <w:t> </w:t>
      </w:r>
      <w:r>
        <w:rPr>
          <w:rFonts w:ascii="宋体" w:hAnsi="宋体" w:cs="宋体" w:eastAsia="宋体" w:hint="default"/>
          <w:sz w:val="22"/>
          <w:szCs w:val="22"/>
        </w:rPr>
        <w:t>应付利息</w:t>
      </w:r>
    </w:p>
    <w:p>
      <w:pPr>
        <w:spacing w:line="240" w:lineRule="auto" w:before="11"/>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593"/>
        <w:gridCol w:w="3714"/>
        <w:gridCol w:w="2418"/>
      </w:tblGrid>
      <w:tr>
        <w:trPr>
          <w:trHeight w:val="302" w:hRule="exact"/>
        </w:trPr>
        <w:tc>
          <w:tcPr>
            <w:tcW w:w="2593"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14" w:type="dxa"/>
            <w:tcBorders>
              <w:top w:val="single" w:sz="12" w:space="0" w:color="000000"/>
              <w:left w:val="nil" w:sz="6" w:space="0" w:color="auto"/>
              <w:bottom w:val="single" w:sz="2" w:space="0" w:color="000000"/>
              <w:right w:val="nil" w:sz="6" w:space="0" w:color="auto"/>
            </w:tcBorders>
          </w:tcPr>
          <w:p>
            <w:pPr>
              <w:pStyle w:val="TableParagraph"/>
              <w:spacing w:line="232" w:lineRule="exact"/>
              <w:ind w:right="178"/>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18"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60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7" w:hRule="exact"/>
        </w:trPr>
        <w:tc>
          <w:tcPr>
            <w:tcW w:w="2593" w:type="dxa"/>
            <w:tcBorders>
              <w:top w:val="single" w:sz="2"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债券利息</w:t>
            </w:r>
          </w:p>
        </w:tc>
        <w:tc>
          <w:tcPr>
            <w:tcW w:w="3714" w:type="dxa"/>
            <w:tcBorders>
              <w:top w:val="single" w:sz="2" w:space="0" w:color="000000"/>
              <w:left w:val="nil" w:sz="6" w:space="0" w:color="auto"/>
              <w:bottom w:val="nil" w:sz="6" w:space="0" w:color="auto"/>
              <w:right w:val="nil" w:sz="6" w:space="0" w:color="auto"/>
            </w:tcBorders>
          </w:tcPr>
          <w:p>
            <w:pPr>
              <w:pStyle w:val="TableParagraph"/>
              <w:spacing w:line="232" w:lineRule="exact"/>
              <w:ind w:right="599"/>
              <w:jc w:val="right"/>
              <w:rPr>
                <w:rFonts w:ascii="宋体" w:hAnsi="宋体" w:cs="宋体" w:eastAsia="宋体" w:hint="default"/>
                <w:sz w:val="18"/>
                <w:szCs w:val="18"/>
              </w:rPr>
            </w:pPr>
            <w:r>
              <w:rPr>
                <w:rFonts w:ascii="宋体"/>
                <w:spacing w:val="-1"/>
                <w:sz w:val="18"/>
              </w:rPr>
              <w:t>283,320,069.51</w:t>
            </w:r>
          </w:p>
        </w:tc>
        <w:tc>
          <w:tcPr>
            <w:tcW w:w="2418" w:type="dxa"/>
            <w:tcBorders>
              <w:top w:val="single" w:sz="2"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106,756,630.13</w:t>
            </w:r>
          </w:p>
        </w:tc>
      </w:tr>
      <w:tr>
        <w:trPr>
          <w:trHeight w:val="284" w:hRule="exact"/>
        </w:trPr>
        <w:tc>
          <w:tcPr>
            <w:tcW w:w="2593"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长期借款利息</w:t>
            </w:r>
          </w:p>
        </w:tc>
        <w:tc>
          <w:tcPr>
            <w:tcW w:w="3714" w:type="dxa"/>
            <w:tcBorders>
              <w:top w:val="nil" w:sz="6" w:space="0" w:color="auto"/>
              <w:left w:val="nil" w:sz="6" w:space="0" w:color="auto"/>
              <w:bottom w:val="nil" w:sz="6" w:space="0" w:color="auto"/>
              <w:right w:val="nil" w:sz="6" w:space="0" w:color="auto"/>
            </w:tcBorders>
          </w:tcPr>
          <w:p>
            <w:pPr>
              <w:pStyle w:val="TableParagraph"/>
              <w:spacing w:line="233" w:lineRule="exact"/>
              <w:ind w:right="599"/>
              <w:jc w:val="right"/>
              <w:rPr>
                <w:rFonts w:ascii="宋体" w:hAnsi="宋体" w:cs="宋体" w:eastAsia="宋体" w:hint="default"/>
                <w:sz w:val="18"/>
                <w:szCs w:val="18"/>
              </w:rPr>
            </w:pPr>
            <w:r>
              <w:rPr>
                <w:rFonts w:ascii="宋体"/>
                <w:spacing w:val="-1"/>
                <w:sz w:val="18"/>
              </w:rPr>
              <w:t>24,778,355.62</w:t>
            </w:r>
          </w:p>
        </w:tc>
        <w:tc>
          <w:tcPr>
            <w:tcW w:w="2418"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25,333,101.03</w:t>
            </w:r>
          </w:p>
        </w:tc>
      </w:tr>
      <w:tr>
        <w:trPr>
          <w:trHeight w:val="288" w:hRule="exact"/>
        </w:trPr>
        <w:tc>
          <w:tcPr>
            <w:tcW w:w="2593" w:type="dxa"/>
            <w:tcBorders>
              <w:top w:val="nil" w:sz="6" w:space="0" w:color="auto"/>
              <w:left w:val="nil" w:sz="6" w:space="0" w:color="auto"/>
              <w:bottom w:val="single" w:sz="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短期借款利息</w:t>
            </w:r>
          </w:p>
        </w:tc>
        <w:tc>
          <w:tcPr>
            <w:tcW w:w="3714" w:type="dxa"/>
            <w:tcBorders>
              <w:top w:val="nil" w:sz="6" w:space="0" w:color="auto"/>
              <w:left w:val="nil" w:sz="6" w:space="0" w:color="auto"/>
              <w:bottom w:val="single" w:sz="2" w:space="0" w:color="000000"/>
              <w:right w:val="nil" w:sz="6" w:space="0" w:color="auto"/>
            </w:tcBorders>
          </w:tcPr>
          <w:p>
            <w:pPr>
              <w:pStyle w:val="TableParagraph"/>
              <w:spacing w:line="232" w:lineRule="exact"/>
              <w:ind w:right="599"/>
              <w:jc w:val="right"/>
              <w:rPr>
                <w:rFonts w:ascii="宋体" w:hAnsi="宋体" w:cs="宋体" w:eastAsia="宋体" w:hint="default"/>
                <w:sz w:val="18"/>
                <w:szCs w:val="18"/>
              </w:rPr>
            </w:pPr>
            <w:r>
              <w:rPr>
                <w:rFonts w:ascii="宋体"/>
                <w:spacing w:val="-1"/>
                <w:sz w:val="18"/>
              </w:rPr>
              <w:t>5,421,059.45</w:t>
            </w:r>
          </w:p>
        </w:tc>
        <w:tc>
          <w:tcPr>
            <w:tcW w:w="2418" w:type="dxa"/>
            <w:tcBorders>
              <w:top w:val="nil" w:sz="6" w:space="0" w:color="auto"/>
              <w:left w:val="nil" w:sz="6" w:space="0" w:color="auto"/>
              <w:bottom w:val="single" w:sz="2"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4,205,976.62</w:t>
            </w:r>
          </w:p>
        </w:tc>
      </w:tr>
      <w:tr>
        <w:trPr>
          <w:trHeight w:val="305" w:hRule="exact"/>
        </w:trPr>
        <w:tc>
          <w:tcPr>
            <w:tcW w:w="2593" w:type="dxa"/>
            <w:tcBorders>
              <w:top w:val="single" w:sz="2"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14" w:type="dxa"/>
            <w:tcBorders>
              <w:top w:val="single" w:sz="2" w:space="0" w:color="000000"/>
              <w:left w:val="nil" w:sz="6" w:space="0" w:color="auto"/>
              <w:bottom w:val="single" w:sz="12" w:space="0" w:color="000000"/>
              <w:right w:val="nil" w:sz="6" w:space="0" w:color="auto"/>
            </w:tcBorders>
          </w:tcPr>
          <w:p>
            <w:pPr>
              <w:pStyle w:val="TableParagraph"/>
              <w:spacing w:line="232" w:lineRule="exact"/>
              <w:ind w:right="599"/>
              <w:jc w:val="right"/>
              <w:rPr>
                <w:rFonts w:ascii="宋体" w:hAnsi="宋体" w:cs="宋体" w:eastAsia="宋体" w:hint="default"/>
                <w:sz w:val="18"/>
                <w:szCs w:val="18"/>
              </w:rPr>
            </w:pPr>
            <w:r>
              <w:rPr>
                <w:rFonts w:ascii="宋体"/>
                <w:b/>
                <w:w w:val="95"/>
                <w:sz w:val="18"/>
              </w:rPr>
              <w:t>313,519,484.58</w:t>
            </w:r>
            <w:r>
              <w:rPr>
                <w:rFonts w:ascii="宋体"/>
                <w:sz w:val="18"/>
              </w:rPr>
            </w:r>
          </w:p>
        </w:tc>
        <w:tc>
          <w:tcPr>
            <w:tcW w:w="2418" w:type="dxa"/>
            <w:tcBorders>
              <w:top w:val="single" w:sz="2"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136,295,707.78</w:t>
            </w:r>
            <w:r>
              <w:rPr>
                <w:rFonts w:ascii="宋体"/>
                <w:sz w:val="18"/>
              </w:rPr>
            </w:r>
          </w:p>
        </w:tc>
      </w:tr>
    </w:tbl>
    <w:p>
      <w:pPr>
        <w:spacing w:after="0" w:line="232" w:lineRule="exact"/>
        <w:jc w:val="right"/>
        <w:rPr>
          <w:rFonts w:ascii="宋体" w:hAnsi="宋体" w:cs="宋体" w:eastAsia="宋体" w:hint="default"/>
          <w:sz w:val="18"/>
          <w:szCs w:val="18"/>
        </w:rPr>
        <w:sectPr>
          <w:pgSz w:w="11910" w:h="16840"/>
          <w:pgMar w:header="0" w:footer="1054" w:top="1320" w:bottom="1240" w:left="1480" w:right="1480"/>
        </w:sectPr>
      </w:pPr>
    </w:p>
    <w:p>
      <w:pPr>
        <w:spacing w:before="6"/>
        <w:ind w:left="627" w:right="3346" w:firstLine="0"/>
        <w:jc w:val="left"/>
        <w:rPr>
          <w:rFonts w:ascii="宋体" w:hAnsi="宋体" w:cs="宋体" w:eastAsia="宋体" w:hint="default"/>
          <w:sz w:val="22"/>
          <w:szCs w:val="22"/>
        </w:rPr>
      </w:pPr>
      <w:r>
        <w:rPr>
          <w:rFonts w:ascii="宋体" w:hAnsi="宋体" w:cs="宋体" w:eastAsia="宋体" w:hint="default"/>
          <w:b/>
          <w:bCs/>
          <w:sz w:val="22"/>
          <w:szCs w:val="22"/>
        </w:rPr>
        <w:t>27.2.</w:t>
      </w:r>
      <w:r>
        <w:rPr>
          <w:rFonts w:ascii="宋体" w:hAnsi="宋体" w:cs="宋体" w:eastAsia="宋体" w:hint="default"/>
          <w:b/>
          <w:bCs/>
          <w:spacing w:val="-61"/>
          <w:sz w:val="22"/>
          <w:szCs w:val="22"/>
        </w:rPr>
        <w:t> </w:t>
      </w:r>
      <w:r>
        <w:rPr>
          <w:rFonts w:ascii="宋体" w:hAnsi="宋体" w:cs="宋体" w:eastAsia="宋体" w:hint="default"/>
          <w:sz w:val="22"/>
          <w:szCs w:val="22"/>
        </w:rPr>
        <w:t>应付股利</w:t>
      </w:r>
    </w:p>
    <w:p>
      <w:pPr>
        <w:spacing w:line="240" w:lineRule="auto" w:before="9"/>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4562"/>
        <w:gridCol w:w="2238"/>
        <w:gridCol w:w="1926"/>
      </w:tblGrid>
      <w:tr>
        <w:trPr>
          <w:trHeight w:val="307" w:hRule="exact"/>
        </w:trPr>
        <w:tc>
          <w:tcPr>
            <w:tcW w:w="456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3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49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926"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43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8" w:hRule="exact"/>
        </w:trPr>
        <w:tc>
          <w:tcPr>
            <w:tcW w:w="4562"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同方威视技术股份有限公司少数股东股利</w:t>
            </w:r>
          </w:p>
        </w:tc>
        <w:tc>
          <w:tcPr>
            <w:tcW w:w="2238" w:type="dxa"/>
            <w:tcBorders>
              <w:top w:val="single" w:sz="4" w:space="0" w:color="000000"/>
              <w:left w:val="nil" w:sz="6" w:space="0" w:color="auto"/>
              <w:bottom w:val="nil" w:sz="6" w:space="0" w:color="auto"/>
              <w:right w:val="nil" w:sz="6" w:space="0" w:color="auto"/>
            </w:tcBorders>
          </w:tcPr>
          <w:p>
            <w:pPr>
              <w:pStyle w:val="TableParagraph"/>
              <w:spacing w:line="232" w:lineRule="exact"/>
              <w:ind w:right="434"/>
              <w:jc w:val="right"/>
              <w:rPr>
                <w:rFonts w:ascii="宋体" w:hAnsi="宋体" w:cs="宋体" w:eastAsia="宋体" w:hint="default"/>
                <w:sz w:val="18"/>
                <w:szCs w:val="18"/>
              </w:rPr>
            </w:pPr>
            <w:r>
              <w:rPr>
                <w:rFonts w:ascii="宋体"/>
                <w:spacing w:val="-1"/>
                <w:sz w:val="18"/>
              </w:rPr>
              <w:t>39,018,388.00</w:t>
            </w:r>
          </w:p>
        </w:tc>
        <w:tc>
          <w:tcPr>
            <w:tcW w:w="1926" w:type="dxa"/>
            <w:tcBorders>
              <w:top w:val="single" w:sz="4" w:space="0" w:color="000000"/>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4" w:hRule="exact"/>
        </w:trPr>
        <w:tc>
          <w:tcPr>
            <w:tcW w:w="456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淮安同方水务有限公司少数股东股利</w:t>
            </w:r>
          </w:p>
        </w:tc>
        <w:tc>
          <w:tcPr>
            <w:tcW w:w="2238" w:type="dxa"/>
            <w:tcBorders>
              <w:top w:val="nil" w:sz="6" w:space="0" w:color="auto"/>
              <w:left w:val="nil" w:sz="6" w:space="0" w:color="auto"/>
              <w:bottom w:val="nil" w:sz="6" w:space="0" w:color="auto"/>
              <w:right w:val="nil" w:sz="6" w:space="0" w:color="auto"/>
            </w:tcBorders>
          </w:tcPr>
          <w:p>
            <w:pPr>
              <w:pStyle w:val="TableParagraph"/>
              <w:spacing w:line="232" w:lineRule="exact"/>
              <w:ind w:right="434"/>
              <w:jc w:val="right"/>
              <w:rPr>
                <w:rFonts w:ascii="宋体" w:hAnsi="宋体" w:cs="宋体" w:eastAsia="宋体" w:hint="default"/>
                <w:sz w:val="18"/>
                <w:szCs w:val="18"/>
              </w:rPr>
            </w:pPr>
            <w:r>
              <w:rPr>
                <w:rFonts w:ascii="宋体"/>
                <w:spacing w:val="-1"/>
                <w:sz w:val="18"/>
              </w:rPr>
              <w:t>13,621,500.00</w:t>
            </w:r>
          </w:p>
        </w:tc>
        <w:tc>
          <w:tcPr>
            <w:tcW w:w="1926"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13,621,500.00</w:t>
            </w:r>
          </w:p>
        </w:tc>
      </w:tr>
      <w:tr>
        <w:trPr>
          <w:trHeight w:val="291" w:hRule="exact"/>
        </w:trPr>
        <w:tc>
          <w:tcPr>
            <w:tcW w:w="4562"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北京同方信息安全技术股份有限公司少数股东股利</w:t>
            </w:r>
          </w:p>
        </w:tc>
        <w:tc>
          <w:tcPr>
            <w:tcW w:w="2238" w:type="dxa"/>
            <w:tcBorders>
              <w:top w:val="nil" w:sz="6" w:space="0" w:color="auto"/>
              <w:left w:val="nil" w:sz="6" w:space="0" w:color="auto"/>
              <w:bottom w:val="single" w:sz="4" w:space="0" w:color="000000"/>
              <w:right w:val="nil" w:sz="6" w:space="0" w:color="auto"/>
            </w:tcBorders>
          </w:tcPr>
          <w:p>
            <w:pPr>
              <w:pStyle w:val="TableParagraph"/>
              <w:spacing w:line="233" w:lineRule="exact"/>
              <w:ind w:right="433"/>
              <w:jc w:val="right"/>
              <w:rPr>
                <w:rFonts w:ascii="宋体" w:hAnsi="宋体" w:cs="宋体" w:eastAsia="宋体" w:hint="default"/>
                <w:sz w:val="18"/>
                <w:szCs w:val="18"/>
              </w:rPr>
            </w:pPr>
            <w:r>
              <w:rPr>
                <w:rFonts w:ascii="宋体"/>
                <w:spacing w:val="-1"/>
                <w:sz w:val="18"/>
              </w:rPr>
              <w:t>9,461.88</w:t>
            </w:r>
          </w:p>
        </w:tc>
        <w:tc>
          <w:tcPr>
            <w:tcW w:w="1926" w:type="dxa"/>
            <w:tcBorders>
              <w:top w:val="nil" w:sz="6" w:space="0" w:color="auto"/>
              <w:left w:val="nil" w:sz="6" w:space="0" w:color="auto"/>
              <w:bottom w:val="single" w:sz="4" w:space="0" w:color="000000"/>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9,461.88</w:t>
            </w:r>
          </w:p>
        </w:tc>
      </w:tr>
      <w:tr>
        <w:trPr>
          <w:trHeight w:val="307" w:hRule="exact"/>
        </w:trPr>
        <w:tc>
          <w:tcPr>
            <w:tcW w:w="4562"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38"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434"/>
              <w:jc w:val="right"/>
              <w:rPr>
                <w:rFonts w:ascii="宋体" w:hAnsi="宋体" w:cs="宋体" w:eastAsia="宋体" w:hint="default"/>
                <w:sz w:val="18"/>
                <w:szCs w:val="18"/>
              </w:rPr>
            </w:pPr>
            <w:r>
              <w:rPr>
                <w:rFonts w:ascii="宋体"/>
                <w:b/>
                <w:w w:val="95"/>
                <w:sz w:val="18"/>
              </w:rPr>
              <w:t>52,649,349.88</w:t>
            </w:r>
            <w:r>
              <w:rPr>
                <w:rFonts w:ascii="宋体"/>
                <w:sz w:val="18"/>
              </w:rPr>
            </w:r>
          </w:p>
        </w:tc>
        <w:tc>
          <w:tcPr>
            <w:tcW w:w="1926"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13,630,961.88</w:t>
            </w:r>
            <w:r>
              <w:rPr>
                <w:rFonts w:ascii="宋体"/>
                <w:sz w:val="18"/>
              </w:rPr>
            </w:r>
          </w:p>
        </w:tc>
      </w:tr>
    </w:tbl>
    <w:p>
      <w:pPr>
        <w:spacing w:before="81"/>
        <w:ind w:left="627" w:right="3346" w:firstLine="0"/>
        <w:jc w:val="left"/>
        <w:rPr>
          <w:rFonts w:ascii="宋体" w:hAnsi="宋体" w:cs="宋体" w:eastAsia="宋体" w:hint="default"/>
          <w:sz w:val="22"/>
          <w:szCs w:val="22"/>
        </w:rPr>
      </w:pPr>
      <w:r>
        <w:rPr>
          <w:rFonts w:ascii="宋体" w:hAnsi="宋体" w:cs="宋体" w:eastAsia="宋体" w:hint="default"/>
          <w:b/>
          <w:bCs/>
          <w:sz w:val="22"/>
          <w:szCs w:val="22"/>
        </w:rPr>
        <w:t>27.3.</w:t>
      </w:r>
      <w:r>
        <w:rPr>
          <w:rFonts w:ascii="宋体" w:hAnsi="宋体" w:cs="宋体" w:eastAsia="宋体" w:hint="default"/>
          <w:b/>
          <w:bCs/>
          <w:spacing w:val="-63"/>
          <w:sz w:val="22"/>
          <w:szCs w:val="22"/>
        </w:rPr>
        <w:t> </w:t>
      </w:r>
      <w:r>
        <w:rPr>
          <w:rFonts w:ascii="宋体" w:hAnsi="宋体" w:cs="宋体" w:eastAsia="宋体" w:hint="default"/>
          <w:sz w:val="22"/>
          <w:szCs w:val="22"/>
        </w:rPr>
        <w:t>其他应付款</w:t>
      </w:r>
    </w:p>
    <w:p>
      <w:pPr>
        <w:spacing w:line="240" w:lineRule="auto" w:before="9"/>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3086"/>
        <w:gridCol w:w="3720"/>
        <w:gridCol w:w="1920"/>
      </w:tblGrid>
      <w:tr>
        <w:trPr>
          <w:trHeight w:val="305" w:hRule="exact"/>
        </w:trPr>
        <w:tc>
          <w:tcPr>
            <w:tcW w:w="308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72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89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92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3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9" w:hRule="exact"/>
        </w:trPr>
        <w:tc>
          <w:tcPr>
            <w:tcW w:w="3086"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720" w:type="dxa"/>
            <w:tcBorders>
              <w:top w:val="single" w:sz="4" w:space="0" w:color="000000"/>
              <w:left w:val="nil" w:sz="6" w:space="0" w:color="auto"/>
              <w:bottom w:val="nil" w:sz="6" w:space="0" w:color="auto"/>
              <w:right w:val="nil" w:sz="6" w:space="0" w:color="auto"/>
            </w:tcBorders>
          </w:tcPr>
          <w:p>
            <w:pPr>
              <w:pStyle w:val="TableParagraph"/>
              <w:spacing w:line="232" w:lineRule="exact"/>
              <w:ind w:right="432"/>
              <w:jc w:val="right"/>
              <w:rPr>
                <w:rFonts w:ascii="宋体" w:hAnsi="宋体" w:cs="宋体" w:eastAsia="宋体" w:hint="default"/>
                <w:sz w:val="18"/>
                <w:szCs w:val="18"/>
              </w:rPr>
            </w:pPr>
            <w:r>
              <w:rPr>
                <w:rFonts w:ascii="宋体"/>
                <w:spacing w:val="-1"/>
                <w:sz w:val="18"/>
              </w:rPr>
              <w:t>401,327,262.76</w:t>
            </w:r>
          </w:p>
        </w:tc>
        <w:tc>
          <w:tcPr>
            <w:tcW w:w="1920" w:type="dxa"/>
            <w:tcBorders>
              <w:top w:val="single" w:sz="4" w:space="0" w:color="000000"/>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335,896,690.06</w:t>
            </w:r>
          </w:p>
        </w:tc>
      </w:tr>
      <w:tr>
        <w:trPr>
          <w:trHeight w:val="286"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720" w:type="dxa"/>
            <w:tcBorders>
              <w:top w:val="nil" w:sz="6" w:space="0" w:color="auto"/>
              <w:left w:val="nil" w:sz="6" w:space="0" w:color="auto"/>
              <w:bottom w:val="nil" w:sz="6" w:space="0" w:color="auto"/>
              <w:right w:val="nil" w:sz="6" w:space="0" w:color="auto"/>
            </w:tcBorders>
          </w:tcPr>
          <w:p>
            <w:pPr>
              <w:pStyle w:val="TableParagraph"/>
              <w:spacing w:line="233" w:lineRule="exact"/>
              <w:ind w:right="432"/>
              <w:jc w:val="right"/>
              <w:rPr>
                <w:rFonts w:ascii="宋体" w:hAnsi="宋体" w:cs="宋体" w:eastAsia="宋体" w:hint="default"/>
                <w:sz w:val="18"/>
                <w:szCs w:val="18"/>
              </w:rPr>
            </w:pPr>
            <w:r>
              <w:rPr>
                <w:rFonts w:ascii="宋体"/>
                <w:spacing w:val="-1"/>
                <w:sz w:val="18"/>
              </w:rPr>
              <w:t>229,771,886.20</w:t>
            </w:r>
          </w:p>
        </w:tc>
        <w:tc>
          <w:tcPr>
            <w:tcW w:w="1920"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146,769,428.74</w:t>
            </w:r>
          </w:p>
        </w:tc>
      </w:tr>
      <w:tr>
        <w:trPr>
          <w:trHeight w:val="286"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720" w:type="dxa"/>
            <w:tcBorders>
              <w:top w:val="nil" w:sz="6" w:space="0" w:color="auto"/>
              <w:left w:val="nil" w:sz="6" w:space="0" w:color="auto"/>
              <w:bottom w:val="nil" w:sz="6" w:space="0" w:color="auto"/>
              <w:right w:val="nil" w:sz="6" w:space="0" w:color="auto"/>
            </w:tcBorders>
          </w:tcPr>
          <w:p>
            <w:pPr>
              <w:pStyle w:val="TableParagraph"/>
              <w:spacing w:line="233" w:lineRule="exact"/>
              <w:ind w:right="432"/>
              <w:jc w:val="right"/>
              <w:rPr>
                <w:rFonts w:ascii="宋体" w:hAnsi="宋体" w:cs="宋体" w:eastAsia="宋体" w:hint="default"/>
                <w:sz w:val="18"/>
                <w:szCs w:val="18"/>
              </w:rPr>
            </w:pPr>
            <w:r>
              <w:rPr>
                <w:rFonts w:ascii="宋体"/>
                <w:spacing w:val="-1"/>
                <w:sz w:val="18"/>
              </w:rPr>
              <w:t>195,953,667.89</w:t>
            </w:r>
          </w:p>
        </w:tc>
        <w:tc>
          <w:tcPr>
            <w:tcW w:w="1920"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179,176,201.44</w:t>
            </w:r>
          </w:p>
        </w:tc>
      </w:tr>
      <w:tr>
        <w:trPr>
          <w:trHeight w:val="285"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720" w:type="dxa"/>
            <w:tcBorders>
              <w:top w:val="nil" w:sz="6" w:space="0" w:color="auto"/>
              <w:left w:val="nil" w:sz="6" w:space="0" w:color="auto"/>
              <w:bottom w:val="nil" w:sz="6" w:space="0" w:color="auto"/>
              <w:right w:val="nil" w:sz="6" w:space="0" w:color="auto"/>
            </w:tcBorders>
          </w:tcPr>
          <w:p>
            <w:pPr>
              <w:pStyle w:val="TableParagraph"/>
              <w:spacing w:line="233" w:lineRule="exact"/>
              <w:ind w:right="432"/>
              <w:jc w:val="right"/>
              <w:rPr>
                <w:rFonts w:ascii="宋体" w:hAnsi="宋体" w:cs="宋体" w:eastAsia="宋体" w:hint="default"/>
                <w:sz w:val="18"/>
                <w:szCs w:val="18"/>
              </w:rPr>
            </w:pPr>
            <w:r>
              <w:rPr>
                <w:rFonts w:ascii="宋体"/>
                <w:spacing w:val="-1"/>
                <w:sz w:val="18"/>
              </w:rPr>
              <w:t>46,134,725.58</w:t>
            </w:r>
          </w:p>
        </w:tc>
        <w:tc>
          <w:tcPr>
            <w:tcW w:w="1920"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56,567,959.84</w:t>
            </w:r>
          </w:p>
        </w:tc>
      </w:tr>
      <w:tr>
        <w:trPr>
          <w:trHeight w:val="285"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应退还补贴款</w:t>
            </w:r>
          </w:p>
        </w:tc>
        <w:tc>
          <w:tcPr>
            <w:tcW w:w="3720" w:type="dxa"/>
            <w:tcBorders>
              <w:top w:val="nil" w:sz="6" w:space="0" w:color="auto"/>
              <w:left w:val="nil" w:sz="6" w:space="0" w:color="auto"/>
              <w:bottom w:val="nil" w:sz="6" w:space="0" w:color="auto"/>
              <w:right w:val="nil" w:sz="6" w:space="0" w:color="auto"/>
            </w:tcBorders>
          </w:tcPr>
          <w:p>
            <w:pPr>
              <w:pStyle w:val="TableParagraph"/>
              <w:spacing w:line="232" w:lineRule="exact"/>
              <w:ind w:right="432"/>
              <w:jc w:val="right"/>
              <w:rPr>
                <w:rFonts w:ascii="宋体" w:hAnsi="宋体" w:cs="宋体" w:eastAsia="宋体" w:hint="default"/>
                <w:sz w:val="18"/>
                <w:szCs w:val="18"/>
              </w:rPr>
            </w:pPr>
            <w:r>
              <w:rPr>
                <w:rFonts w:ascii="宋体"/>
                <w:spacing w:val="-1"/>
                <w:sz w:val="18"/>
              </w:rPr>
              <w:t>24,015,200.00</w:t>
            </w:r>
          </w:p>
        </w:tc>
        <w:tc>
          <w:tcPr>
            <w:tcW w:w="1920"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24,037,209.30</w:t>
            </w:r>
          </w:p>
        </w:tc>
      </w:tr>
      <w:tr>
        <w:trPr>
          <w:trHeight w:val="286"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报销款</w:t>
            </w:r>
          </w:p>
        </w:tc>
        <w:tc>
          <w:tcPr>
            <w:tcW w:w="3720" w:type="dxa"/>
            <w:tcBorders>
              <w:top w:val="nil" w:sz="6" w:space="0" w:color="auto"/>
              <w:left w:val="nil" w:sz="6" w:space="0" w:color="auto"/>
              <w:bottom w:val="nil" w:sz="6" w:space="0" w:color="auto"/>
              <w:right w:val="nil" w:sz="6" w:space="0" w:color="auto"/>
            </w:tcBorders>
          </w:tcPr>
          <w:p>
            <w:pPr>
              <w:pStyle w:val="TableParagraph"/>
              <w:spacing w:line="233" w:lineRule="exact"/>
              <w:ind w:right="432"/>
              <w:jc w:val="right"/>
              <w:rPr>
                <w:rFonts w:ascii="宋体" w:hAnsi="宋体" w:cs="宋体" w:eastAsia="宋体" w:hint="default"/>
                <w:sz w:val="18"/>
                <w:szCs w:val="18"/>
              </w:rPr>
            </w:pPr>
            <w:r>
              <w:rPr>
                <w:rFonts w:ascii="宋体"/>
                <w:spacing w:val="-1"/>
                <w:sz w:val="18"/>
              </w:rPr>
              <w:t>21,540,888.59</w:t>
            </w:r>
          </w:p>
        </w:tc>
        <w:tc>
          <w:tcPr>
            <w:tcW w:w="1920"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8,827,049.88</w:t>
            </w:r>
          </w:p>
        </w:tc>
      </w:tr>
      <w:tr>
        <w:trPr>
          <w:trHeight w:val="286"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资产收购款</w:t>
            </w:r>
          </w:p>
        </w:tc>
        <w:tc>
          <w:tcPr>
            <w:tcW w:w="3720" w:type="dxa"/>
            <w:tcBorders>
              <w:top w:val="nil" w:sz="6" w:space="0" w:color="auto"/>
              <w:left w:val="nil" w:sz="6" w:space="0" w:color="auto"/>
              <w:bottom w:val="nil" w:sz="6" w:space="0" w:color="auto"/>
              <w:right w:val="nil" w:sz="6" w:space="0" w:color="auto"/>
            </w:tcBorders>
          </w:tcPr>
          <w:p>
            <w:pPr>
              <w:pStyle w:val="TableParagraph"/>
              <w:spacing w:line="233" w:lineRule="exact"/>
              <w:ind w:right="432"/>
              <w:jc w:val="right"/>
              <w:rPr>
                <w:rFonts w:ascii="宋体" w:hAnsi="宋体" w:cs="宋体" w:eastAsia="宋体" w:hint="default"/>
                <w:sz w:val="18"/>
                <w:szCs w:val="18"/>
              </w:rPr>
            </w:pPr>
            <w:r>
              <w:rPr>
                <w:rFonts w:ascii="宋体"/>
                <w:spacing w:val="-1"/>
                <w:sz w:val="18"/>
              </w:rPr>
              <w:t>16,434,283.85</w:t>
            </w:r>
          </w:p>
        </w:tc>
        <w:tc>
          <w:tcPr>
            <w:tcW w:w="1920"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13,209,120.00</w:t>
            </w:r>
          </w:p>
        </w:tc>
      </w:tr>
      <w:tr>
        <w:trPr>
          <w:trHeight w:val="284"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720" w:type="dxa"/>
            <w:tcBorders>
              <w:top w:val="nil" w:sz="6" w:space="0" w:color="auto"/>
              <w:left w:val="nil" w:sz="6" w:space="0" w:color="auto"/>
              <w:bottom w:val="nil" w:sz="6" w:space="0" w:color="auto"/>
              <w:right w:val="nil" w:sz="6" w:space="0" w:color="auto"/>
            </w:tcBorders>
          </w:tcPr>
          <w:p>
            <w:pPr>
              <w:pStyle w:val="TableParagraph"/>
              <w:spacing w:line="233" w:lineRule="exact"/>
              <w:ind w:right="432"/>
              <w:jc w:val="right"/>
              <w:rPr>
                <w:rFonts w:ascii="宋体" w:hAnsi="宋体" w:cs="宋体" w:eastAsia="宋体" w:hint="default"/>
                <w:sz w:val="18"/>
                <w:szCs w:val="18"/>
              </w:rPr>
            </w:pPr>
            <w:r>
              <w:rPr>
                <w:rFonts w:ascii="宋体"/>
                <w:spacing w:val="-1"/>
                <w:sz w:val="18"/>
              </w:rPr>
              <w:t>7,381,820.74</w:t>
            </w:r>
          </w:p>
        </w:tc>
        <w:tc>
          <w:tcPr>
            <w:tcW w:w="1920"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9,985,013.97</w:t>
            </w:r>
          </w:p>
        </w:tc>
      </w:tr>
      <w:tr>
        <w:trPr>
          <w:trHeight w:val="290" w:hRule="exact"/>
        </w:trPr>
        <w:tc>
          <w:tcPr>
            <w:tcW w:w="3086"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720" w:type="dxa"/>
            <w:tcBorders>
              <w:top w:val="nil" w:sz="6" w:space="0" w:color="auto"/>
              <w:left w:val="nil" w:sz="6" w:space="0" w:color="auto"/>
              <w:bottom w:val="single" w:sz="4" w:space="0" w:color="000000"/>
              <w:right w:val="nil" w:sz="6" w:space="0" w:color="auto"/>
            </w:tcBorders>
          </w:tcPr>
          <w:p>
            <w:pPr>
              <w:pStyle w:val="TableParagraph"/>
              <w:spacing w:line="232" w:lineRule="exact"/>
              <w:ind w:right="432"/>
              <w:jc w:val="right"/>
              <w:rPr>
                <w:rFonts w:ascii="宋体" w:hAnsi="宋体" w:cs="宋体" w:eastAsia="宋体" w:hint="default"/>
                <w:sz w:val="18"/>
                <w:szCs w:val="18"/>
              </w:rPr>
            </w:pPr>
            <w:r>
              <w:rPr>
                <w:rFonts w:ascii="宋体"/>
                <w:spacing w:val="-1"/>
                <w:sz w:val="18"/>
              </w:rPr>
              <w:t>31,798,346.33</w:t>
            </w:r>
          </w:p>
        </w:tc>
        <w:tc>
          <w:tcPr>
            <w:tcW w:w="1920" w:type="dxa"/>
            <w:tcBorders>
              <w:top w:val="nil" w:sz="6" w:space="0" w:color="auto"/>
              <w:left w:val="nil" w:sz="6" w:space="0" w:color="auto"/>
              <w:bottom w:val="single" w:sz="4"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84,224,862.95</w:t>
            </w:r>
          </w:p>
        </w:tc>
      </w:tr>
      <w:tr>
        <w:trPr>
          <w:trHeight w:val="307" w:hRule="exact"/>
        </w:trPr>
        <w:tc>
          <w:tcPr>
            <w:tcW w:w="3086"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20"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433"/>
              <w:jc w:val="right"/>
              <w:rPr>
                <w:rFonts w:ascii="宋体" w:hAnsi="宋体" w:cs="宋体" w:eastAsia="宋体" w:hint="default"/>
                <w:sz w:val="18"/>
                <w:szCs w:val="18"/>
              </w:rPr>
            </w:pPr>
            <w:r>
              <w:rPr>
                <w:rFonts w:ascii="宋体"/>
                <w:b/>
                <w:w w:val="95"/>
                <w:sz w:val="18"/>
              </w:rPr>
              <w:t>974,358,081.94</w:t>
            </w:r>
            <w:r>
              <w:rPr>
                <w:rFonts w:ascii="宋体"/>
                <w:sz w:val="18"/>
              </w:rPr>
            </w:r>
          </w:p>
        </w:tc>
        <w:tc>
          <w:tcPr>
            <w:tcW w:w="1920"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858,693,536.18</w:t>
            </w:r>
            <w:r>
              <w:rPr>
                <w:rFonts w:ascii="宋体"/>
                <w:sz w:val="18"/>
              </w:rPr>
            </w:r>
          </w:p>
        </w:tc>
      </w:tr>
    </w:tbl>
    <w:p>
      <w:pPr>
        <w:spacing w:before="81"/>
        <w:ind w:left="62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28.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一年内到期的非流动负债</w:t>
      </w:r>
    </w:p>
    <w:p>
      <w:pPr>
        <w:spacing w:before="110"/>
        <w:ind w:left="675" w:right="3346"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9"/>
          <w:sz w:val="22"/>
          <w:szCs w:val="22"/>
        </w:rPr>
        <w:t> </w:t>
      </w:r>
      <w:r>
        <w:rPr>
          <w:rFonts w:ascii="宋体" w:hAnsi="宋体" w:cs="宋体" w:eastAsia="宋体" w:hint="default"/>
          <w:sz w:val="22"/>
          <w:szCs w:val="22"/>
        </w:rPr>
        <w:t>一年内到期的非流动负债</w:t>
      </w:r>
    </w:p>
    <w:p>
      <w:pPr>
        <w:spacing w:line="240" w:lineRule="auto" w:before="11"/>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3406"/>
        <w:gridCol w:w="3388"/>
        <w:gridCol w:w="1931"/>
      </w:tblGrid>
      <w:tr>
        <w:trPr>
          <w:trHeight w:val="302" w:hRule="exact"/>
        </w:trPr>
        <w:tc>
          <w:tcPr>
            <w:tcW w:w="3406"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88"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1570"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931"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43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7" w:hRule="exact"/>
        </w:trPr>
        <w:tc>
          <w:tcPr>
            <w:tcW w:w="3406" w:type="dxa"/>
            <w:tcBorders>
              <w:top w:val="single" w:sz="2"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388" w:type="dxa"/>
            <w:tcBorders>
              <w:top w:val="single" w:sz="2" w:space="0" w:color="000000"/>
              <w:left w:val="nil" w:sz="6" w:space="0" w:color="auto"/>
              <w:bottom w:val="nil" w:sz="6" w:space="0" w:color="auto"/>
              <w:right w:val="nil" w:sz="6" w:space="0" w:color="auto"/>
            </w:tcBorders>
          </w:tcPr>
          <w:p>
            <w:pPr>
              <w:pStyle w:val="TableParagraph"/>
              <w:spacing w:line="232" w:lineRule="exact"/>
              <w:ind w:right="436"/>
              <w:jc w:val="right"/>
              <w:rPr>
                <w:rFonts w:ascii="宋体" w:hAnsi="宋体" w:cs="宋体" w:eastAsia="宋体" w:hint="default"/>
                <w:sz w:val="18"/>
                <w:szCs w:val="18"/>
              </w:rPr>
            </w:pPr>
            <w:r>
              <w:rPr>
                <w:rFonts w:ascii="宋体"/>
                <w:spacing w:val="-1"/>
                <w:sz w:val="18"/>
              </w:rPr>
              <w:t>710,173,098.98</w:t>
            </w:r>
          </w:p>
        </w:tc>
        <w:tc>
          <w:tcPr>
            <w:tcW w:w="1931" w:type="dxa"/>
            <w:tcBorders>
              <w:top w:val="single" w:sz="2" w:space="0" w:color="000000"/>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967,375,100.00</w:t>
            </w:r>
          </w:p>
        </w:tc>
      </w:tr>
      <w:tr>
        <w:trPr>
          <w:trHeight w:val="289" w:hRule="exact"/>
        </w:trPr>
        <w:tc>
          <w:tcPr>
            <w:tcW w:w="3406" w:type="dxa"/>
            <w:tcBorders>
              <w:top w:val="nil" w:sz="6" w:space="0" w:color="auto"/>
              <w:left w:val="nil" w:sz="6" w:space="0" w:color="auto"/>
              <w:bottom w:val="single" w:sz="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388" w:type="dxa"/>
            <w:tcBorders>
              <w:top w:val="nil" w:sz="6" w:space="0" w:color="auto"/>
              <w:left w:val="nil" w:sz="6" w:space="0" w:color="auto"/>
              <w:bottom w:val="single" w:sz="2" w:space="0" w:color="000000"/>
              <w:right w:val="nil" w:sz="6" w:space="0" w:color="auto"/>
            </w:tcBorders>
          </w:tcPr>
          <w:p>
            <w:pPr>
              <w:pStyle w:val="TableParagraph"/>
              <w:spacing w:line="233" w:lineRule="exact"/>
              <w:ind w:right="436"/>
              <w:jc w:val="right"/>
              <w:rPr>
                <w:rFonts w:ascii="宋体" w:hAnsi="宋体" w:cs="宋体" w:eastAsia="宋体" w:hint="default"/>
                <w:sz w:val="18"/>
                <w:szCs w:val="18"/>
              </w:rPr>
            </w:pPr>
            <w:r>
              <w:rPr>
                <w:rFonts w:ascii="宋体"/>
                <w:spacing w:val="-1"/>
                <w:sz w:val="18"/>
              </w:rPr>
              <w:t>800,000,000.00</w:t>
            </w:r>
          </w:p>
        </w:tc>
        <w:tc>
          <w:tcPr>
            <w:tcW w:w="1931" w:type="dxa"/>
            <w:tcBorders>
              <w:top w:val="nil" w:sz="6" w:space="0" w:color="auto"/>
              <w:left w:val="nil" w:sz="6" w:space="0" w:color="auto"/>
              <w:bottom w:val="single" w:sz="2" w:space="0" w:color="000000"/>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0.00</w:t>
            </w:r>
          </w:p>
        </w:tc>
      </w:tr>
      <w:tr>
        <w:trPr>
          <w:trHeight w:val="303" w:hRule="exact"/>
        </w:trPr>
        <w:tc>
          <w:tcPr>
            <w:tcW w:w="3406" w:type="dxa"/>
            <w:tcBorders>
              <w:top w:val="single" w:sz="2"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388" w:type="dxa"/>
            <w:tcBorders>
              <w:top w:val="single" w:sz="2" w:space="0" w:color="000000"/>
              <w:left w:val="nil" w:sz="6" w:space="0" w:color="auto"/>
              <w:bottom w:val="single" w:sz="12" w:space="0" w:color="000000"/>
              <w:right w:val="nil" w:sz="6" w:space="0" w:color="auto"/>
            </w:tcBorders>
          </w:tcPr>
          <w:p>
            <w:pPr>
              <w:pStyle w:val="TableParagraph"/>
              <w:spacing w:line="232" w:lineRule="exact"/>
              <w:ind w:right="436"/>
              <w:jc w:val="right"/>
              <w:rPr>
                <w:rFonts w:ascii="宋体" w:hAnsi="宋体" w:cs="宋体" w:eastAsia="宋体" w:hint="default"/>
                <w:sz w:val="18"/>
                <w:szCs w:val="18"/>
              </w:rPr>
            </w:pPr>
            <w:r>
              <w:rPr>
                <w:rFonts w:ascii="宋体"/>
                <w:b/>
                <w:w w:val="95"/>
                <w:sz w:val="18"/>
              </w:rPr>
              <w:t>1,510,173,098.98</w:t>
            </w:r>
            <w:r>
              <w:rPr>
                <w:rFonts w:ascii="宋体"/>
                <w:sz w:val="18"/>
              </w:rPr>
            </w:r>
          </w:p>
        </w:tc>
        <w:tc>
          <w:tcPr>
            <w:tcW w:w="1931" w:type="dxa"/>
            <w:tcBorders>
              <w:top w:val="single" w:sz="2" w:space="0" w:color="000000"/>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967,375,100.00</w:t>
            </w:r>
            <w:r>
              <w:rPr>
                <w:rFonts w:ascii="宋体"/>
                <w:sz w:val="18"/>
              </w:rPr>
            </w:r>
          </w:p>
        </w:tc>
      </w:tr>
    </w:tbl>
    <w:p>
      <w:pPr>
        <w:tabs>
          <w:tab w:pos="1239" w:val="left" w:leader="none"/>
        </w:tabs>
        <w:spacing w:before="21"/>
        <w:ind w:left="675" w:right="3346" w:firstLine="0"/>
        <w:jc w:val="left"/>
        <w:rPr>
          <w:rFonts w:ascii="宋体" w:hAnsi="宋体" w:cs="宋体" w:eastAsia="宋体" w:hint="default"/>
          <w:sz w:val="22"/>
          <w:szCs w:val="22"/>
        </w:rPr>
      </w:pPr>
      <w:r>
        <w:rPr>
          <w:rFonts w:ascii="宋体" w:hAnsi="宋体" w:cs="宋体" w:eastAsia="宋体" w:hint="default"/>
          <w:b/>
          <w:bCs/>
          <w:sz w:val="22"/>
          <w:szCs w:val="22"/>
        </w:rPr>
        <w:t>(2)</w:t>
        <w:tab/>
      </w:r>
      <w:r>
        <w:rPr>
          <w:rFonts w:ascii="宋体" w:hAnsi="宋体" w:cs="宋体" w:eastAsia="宋体" w:hint="default"/>
          <w:sz w:val="22"/>
          <w:szCs w:val="22"/>
        </w:rPr>
        <w:t>一年内到期的长期借款</w:t>
      </w:r>
    </w:p>
    <w:p>
      <w:pPr>
        <w:spacing w:line="240" w:lineRule="auto" w:before="11"/>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910"/>
        <w:gridCol w:w="3895"/>
        <w:gridCol w:w="1920"/>
      </w:tblGrid>
      <w:tr>
        <w:trPr>
          <w:trHeight w:val="302" w:hRule="exact"/>
        </w:trPr>
        <w:tc>
          <w:tcPr>
            <w:tcW w:w="2910"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3895"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2080"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1920"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434"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6" w:hRule="exact"/>
        </w:trPr>
        <w:tc>
          <w:tcPr>
            <w:tcW w:w="2910" w:type="dxa"/>
            <w:tcBorders>
              <w:top w:val="single" w:sz="2"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895" w:type="dxa"/>
            <w:tcBorders>
              <w:top w:val="single" w:sz="2" w:space="0" w:color="000000"/>
              <w:left w:val="nil" w:sz="6" w:space="0" w:color="auto"/>
              <w:bottom w:val="nil" w:sz="6" w:space="0" w:color="auto"/>
              <w:right w:val="nil" w:sz="6" w:space="0" w:color="auto"/>
            </w:tcBorders>
          </w:tcPr>
          <w:p>
            <w:pPr>
              <w:pStyle w:val="TableParagraph"/>
              <w:spacing w:line="232" w:lineRule="exact"/>
              <w:ind w:right="432"/>
              <w:jc w:val="right"/>
              <w:rPr>
                <w:rFonts w:ascii="宋体" w:hAnsi="宋体" w:cs="宋体" w:eastAsia="宋体" w:hint="default"/>
                <w:sz w:val="18"/>
                <w:szCs w:val="18"/>
              </w:rPr>
            </w:pPr>
            <w:r>
              <w:rPr>
                <w:rFonts w:ascii="宋体"/>
                <w:spacing w:val="-1"/>
                <w:sz w:val="18"/>
              </w:rPr>
              <w:t>68,832,000.00</w:t>
            </w:r>
          </w:p>
        </w:tc>
        <w:tc>
          <w:tcPr>
            <w:tcW w:w="1920" w:type="dxa"/>
            <w:tcBorders>
              <w:top w:val="single" w:sz="2" w:space="0" w:color="000000"/>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65,342,000.00</w:t>
            </w:r>
          </w:p>
        </w:tc>
      </w:tr>
      <w:tr>
        <w:trPr>
          <w:trHeight w:val="284"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895" w:type="dxa"/>
            <w:tcBorders>
              <w:top w:val="nil" w:sz="6" w:space="0" w:color="auto"/>
              <w:left w:val="nil" w:sz="6" w:space="0" w:color="auto"/>
              <w:bottom w:val="nil" w:sz="6" w:space="0" w:color="auto"/>
              <w:right w:val="nil" w:sz="6" w:space="0" w:color="auto"/>
            </w:tcBorders>
          </w:tcPr>
          <w:p>
            <w:pPr>
              <w:pStyle w:val="TableParagraph"/>
              <w:spacing w:line="232" w:lineRule="exact"/>
              <w:ind w:right="432"/>
              <w:jc w:val="right"/>
              <w:rPr>
                <w:rFonts w:ascii="宋体" w:hAnsi="宋体" w:cs="宋体" w:eastAsia="宋体" w:hint="default"/>
                <w:sz w:val="18"/>
                <w:szCs w:val="18"/>
              </w:rPr>
            </w:pPr>
            <w:r>
              <w:rPr>
                <w:rFonts w:ascii="宋体"/>
                <w:spacing w:val="-1"/>
                <w:sz w:val="18"/>
              </w:rPr>
              <w:t>1,116,508.86</w:t>
            </w:r>
          </w:p>
        </w:tc>
        <w:tc>
          <w:tcPr>
            <w:tcW w:w="1920"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6" w:hRule="exact"/>
        </w:trPr>
        <w:tc>
          <w:tcPr>
            <w:tcW w:w="2910"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895" w:type="dxa"/>
            <w:tcBorders>
              <w:top w:val="nil" w:sz="6" w:space="0" w:color="auto"/>
              <w:left w:val="nil" w:sz="6" w:space="0" w:color="auto"/>
              <w:bottom w:val="nil" w:sz="6" w:space="0" w:color="auto"/>
              <w:right w:val="nil" w:sz="6" w:space="0" w:color="auto"/>
            </w:tcBorders>
          </w:tcPr>
          <w:p>
            <w:pPr>
              <w:pStyle w:val="TableParagraph"/>
              <w:spacing w:line="233" w:lineRule="exact"/>
              <w:ind w:right="432"/>
              <w:jc w:val="right"/>
              <w:rPr>
                <w:rFonts w:ascii="宋体" w:hAnsi="宋体" w:cs="宋体" w:eastAsia="宋体" w:hint="default"/>
                <w:sz w:val="18"/>
                <w:szCs w:val="18"/>
              </w:rPr>
            </w:pPr>
            <w:r>
              <w:rPr>
                <w:rFonts w:ascii="宋体"/>
                <w:spacing w:val="-1"/>
                <w:sz w:val="18"/>
              </w:rPr>
              <w:t>559,124,590.12</w:t>
            </w:r>
          </w:p>
        </w:tc>
        <w:tc>
          <w:tcPr>
            <w:tcW w:w="1920"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871,633,100.00</w:t>
            </w:r>
          </w:p>
        </w:tc>
      </w:tr>
      <w:tr>
        <w:trPr>
          <w:trHeight w:val="289" w:hRule="exact"/>
        </w:trPr>
        <w:tc>
          <w:tcPr>
            <w:tcW w:w="2910" w:type="dxa"/>
            <w:tcBorders>
              <w:top w:val="nil" w:sz="6" w:space="0" w:color="auto"/>
              <w:left w:val="nil" w:sz="6" w:space="0" w:color="auto"/>
              <w:bottom w:val="single" w:sz="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895" w:type="dxa"/>
            <w:tcBorders>
              <w:top w:val="nil" w:sz="6" w:space="0" w:color="auto"/>
              <w:left w:val="nil" w:sz="6" w:space="0" w:color="auto"/>
              <w:bottom w:val="single" w:sz="2" w:space="0" w:color="000000"/>
              <w:right w:val="nil" w:sz="6" w:space="0" w:color="auto"/>
            </w:tcBorders>
          </w:tcPr>
          <w:p>
            <w:pPr>
              <w:pStyle w:val="TableParagraph"/>
              <w:spacing w:line="233" w:lineRule="exact"/>
              <w:ind w:right="432"/>
              <w:jc w:val="right"/>
              <w:rPr>
                <w:rFonts w:ascii="宋体" w:hAnsi="宋体" w:cs="宋体" w:eastAsia="宋体" w:hint="default"/>
                <w:sz w:val="18"/>
                <w:szCs w:val="18"/>
              </w:rPr>
            </w:pPr>
            <w:r>
              <w:rPr>
                <w:rFonts w:ascii="宋体"/>
                <w:spacing w:val="-1"/>
                <w:sz w:val="18"/>
              </w:rPr>
              <w:t>81,100,000.00</w:t>
            </w:r>
          </w:p>
        </w:tc>
        <w:tc>
          <w:tcPr>
            <w:tcW w:w="1920" w:type="dxa"/>
            <w:tcBorders>
              <w:top w:val="nil" w:sz="6" w:space="0" w:color="auto"/>
              <w:left w:val="nil" w:sz="6" w:space="0" w:color="auto"/>
              <w:bottom w:val="single" w:sz="2" w:space="0" w:color="000000"/>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30,400,000.00</w:t>
            </w:r>
          </w:p>
        </w:tc>
      </w:tr>
      <w:tr>
        <w:trPr>
          <w:trHeight w:val="302" w:hRule="exact"/>
        </w:trPr>
        <w:tc>
          <w:tcPr>
            <w:tcW w:w="2910" w:type="dxa"/>
            <w:tcBorders>
              <w:top w:val="single" w:sz="2"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95" w:type="dxa"/>
            <w:tcBorders>
              <w:top w:val="single" w:sz="2" w:space="0" w:color="000000"/>
              <w:left w:val="nil" w:sz="6" w:space="0" w:color="auto"/>
              <w:bottom w:val="single" w:sz="12" w:space="0" w:color="000000"/>
              <w:right w:val="nil" w:sz="6" w:space="0" w:color="auto"/>
            </w:tcBorders>
          </w:tcPr>
          <w:p>
            <w:pPr>
              <w:pStyle w:val="TableParagraph"/>
              <w:spacing w:line="232" w:lineRule="exact"/>
              <w:ind w:right="433"/>
              <w:jc w:val="right"/>
              <w:rPr>
                <w:rFonts w:ascii="宋体" w:hAnsi="宋体" w:cs="宋体" w:eastAsia="宋体" w:hint="default"/>
                <w:sz w:val="18"/>
                <w:szCs w:val="18"/>
              </w:rPr>
            </w:pPr>
            <w:r>
              <w:rPr>
                <w:rFonts w:ascii="宋体"/>
                <w:b/>
                <w:w w:val="95"/>
                <w:sz w:val="18"/>
              </w:rPr>
              <w:t>710,173,098.98</w:t>
            </w:r>
            <w:r>
              <w:rPr>
                <w:rFonts w:ascii="宋体"/>
                <w:sz w:val="18"/>
              </w:rPr>
            </w:r>
          </w:p>
        </w:tc>
        <w:tc>
          <w:tcPr>
            <w:tcW w:w="1920" w:type="dxa"/>
            <w:tcBorders>
              <w:top w:val="single" w:sz="2" w:space="0" w:color="000000"/>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967,375,100.00</w:t>
            </w:r>
            <w:r>
              <w:rPr>
                <w:rFonts w:ascii="宋体"/>
                <w:sz w:val="18"/>
              </w:rPr>
            </w:r>
          </w:p>
        </w:tc>
      </w:tr>
    </w:tbl>
    <w:p>
      <w:pPr>
        <w:spacing w:line="297" w:lineRule="auto" w:before="26"/>
        <w:ind w:left="641" w:right="210" w:firstLine="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日，本公司一年内到期的长期抵押借款情况如下：本公司之三级子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pacing w:val="-37"/>
          <w:sz w:val="21"/>
          <w:szCs w:val="21"/>
        </w:rPr>
        <w:t> </w:t>
      </w:r>
      <w:r>
        <w:rPr>
          <w:rFonts w:ascii="宋体" w:hAnsi="宋体" w:cs="宋体" w:eastAsia="宋体" w:hint="default"/>
          <w:sz w:val="21"/>
          <w:szCs w:val="21"/>
        </w:rPr>
        <w:t>NUCTECH</w:t>
      </w:r>
      <w:r>
        <w:rPr>
          <w:rFonts w:ascii="宋体" w:hAnsi="宋体" w:cs="宋体" w:eastAsia="宋体" w:hint="default"/>
          <w:spacing w:val="-3"/>
          <w:sz w:val="21"/>
          <w:szCs w:val="21"/>
        </w:rPr>
        <w:t> </w:t>
      </w:r>
      <w:r>
        <w:rPr>
          <w:rFonts w:ascii="宋体" w:hAnsi="宋体" w:cs="宋体" w:eastAsia="宋体" w:hint="default"/>
          <w:sz w:val="21"/>
          <w:szCs w:val="21"/>
        </w:rPr>
        <w:t>PANAMA,S.A.</w:t>
      </w:r>
      <w:r>
        <w:rPr>
          <w:rFonts w:ascii="宋体" w:hAnsi="宋体" w:cs="宋体" w:eastAsia="宋体" w:hint="default"/>
          <w:sz w:val="21"/>
          <w:szCs w:val="21"/>
        </w:rPr>
        <w:t>以账面价值为人民币</w:t>
      </w:r>
      <w:r>
        <w:rPr>
          <w:rFonts w:ascii="宋体" w:hAnsi="宋体" w:cs="宋体" w:eastAsia="宋体" w:hint="default"/>
          <w:spacing w:val="-37"/>
          <w:sz w:val="21"/>
          <w:szCs w:val="21"/>
        </w:rPr>
        <w:t> </w:t>
      </w:r>
      <w:r>
        <w:rPr>
          <w:rFonts w:ascii="宋体" w:hAnsi="宋体" w:cs="宋体" w:eastAsia="宋体" w:hint="default"/>
          <w:sz w:val="21"/>
          <w:szCs w:val="21"/>
        </w:rPr>
        <w:t>6,346,922.13</w:t>
      </w:r>
      <w:r>
        <w:rPr>
          <w:rFonts w:ascii="宋体" w:hAnsi="宋体" w:cs="宋体" w:eastAsia="宋体" w:hint="default"/>
          <w:spacing w:val="-37"/>
          <w:sz w:val="21"/>
          <w:szCs w:val="21"/>
        </w:rPr>
        <w:t> </w:t>
      </w:r>
      <w:r>
        <w:rPr>
          <w:rFonts w:ascii="宋体" w:hAnsi="宋体" w:cs="宋体" w:eastAsia="宋体" w:hint="default"/>
          <w:sz w:val="21"/>
          <w:szCs w:val="21"/>
        </w:rPr>
        <w:t>元的固定资产抵押取得借</w:t>
      </w:r>
      <w:r>
        <w:rPr>
          <w:rFonts w:ascii="宋体" w:hAnsi="宋体" w:cs="宋体" w:eastAsia="宋体" w:hint="default"/>
          <w:w w:val="100"/>
          <w:sz w:val="21"/>
          <w:szCs w:val="21"/>
        </w:rPr>
        <w:t> </w:t>
      </w:r>
      <w:r>
        <w:rPr>
          <w:rFonts w:ascii="宋体" w:hAnsi="宋体" w:cs="宋体" w:eastAsia="宋体" w:hint="default"/>
          <w:sz w:val="21"/>
          <w:szCs w:val="21"/>
        </w:rPr>
        <w:t>款</w:t>
      </w:r>
      <w:r>
        <w:rPr>
          <w:rFonts w:ascii="宋体" w:hAnsi="宋体" w:cs="宋体" w:eastAsia="宋体" w:hint="default"/>
          <w:spacing w:val="-53"/>
          <w:sz w:val="21"/>
          <w:szCs w:val="21"/>
        </w:rPr>
        <w:t> </w:t>
      </w:r>
      <w:r>
        <w:rPr>
          <w:rFonts w:ascii="宋体" w:hAnsi="宋体" w:cs="宋体" w:eastAsia="宋体" w:hint="default"/>
          <w:sz w:val="21"/>
          <w:szCs w:val="21"/>
        </w:rPr>
        <w:t>162,716.13</w:t>
      </w:r>
      <w:r>
        <w:rPr>
          <w:rFonts w:ascii="宋体" w:hAnsi="宋体" w:cs="宋体" w:eastAsia="宋体" w:hint="default"/>
          <w:spacing w:val="-55"/>
          <w:sz w:val="21"/>
          <w:szCs w:val="21"/>
        </w:rPr>
        <w:t> </w:t>
      </w:r>
      <w:r>
        <w:rPr>
          <w:rFonts w:ascii="宋体" w:hAnsi="宋体" w:cs="宋体" w:eastAsia="宋体" w:hint="default"/>
          <w:sz w:val="21"/>
          <w:szCs w:val="21"/>
        </w:rPr>
        <w:t>美元（折合人民币</w:t>
      </w:r>
      <w:r>
        <w:rPr>
          <w:rFonts w:ascii="宋体" w:hAnsi="宋体" w:cs="宋体" w:eastAsia="宋体" w:hint="default"/>
          <w:spacing w:val="-52"/>
          <w:sz w:val="21"/>
          <w:szCs w:val="21"/>
        </w:rPr>
        <w:t> </w:t>
      </w:r>
      <w:r>
        <w:rPr>
          <w:rFonts w:ascii="宋体" w:hAnsi="宋体" w:cs="宋体" w:eastAsia="宋体" w:hint="default"/>
          <w:sz w:val="21"/>
          <w:szCs w:val="21"/>
        </w:rPr>
        <w:t>1,116,508.86</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97" w:lineRule="auto" w:before="76"/>
        <w:ind w:left="641" w:right="210" w:firstLine="0"/>
        <w:jc w:val="both"/>
        <w:rPr>
          <w:rFonts w:ascii="宋体" w:hAnsi="宋体" w:cs="宋体" w:eastAsia="宋体" w:hint="default"/>
          <w:sz w:val="21"/>
          <w:szCs w:val="21"/>
        </w:rPr>
      </w:pPr>
      <w:r>
        <w:rPr>
          <w:rFonts w:ascii="宋体" w:hAnsi="宋体" w:cs="宋体" w:eastAsia="宋体" w:hint="default"/>
          <w:w w:val="100"/>
          <w:sz w:val="21"/>
          <w:szCs w:val="21"/>
        </w:rPr>
        <w:t>截至</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2018</w:t>
      </w:r>
      <w:r>
        <w:rPr>
          <w:rFonts w:ascii="宋体" w:hAnsi="宋体" w:cs="宋体" w:eastAsia="宋体" w:hint="default"/>
          <w:spacing w:val="-55"/>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12</w:t>
      </w:r>
      <w:r>
        <w:rPr>
          <w:rFonts w:ascii="宋体" w:hAnsi="宋体" w:cs="宋体" w:eastAsia="宋体" w:hint="default"/>
          <w:spacing w:val="-54"/>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spacing w:val="-2"/>
          <w:w w:val="100"/>
          <w:sz w:val="21"/>
          <w:szCs w:val="21"/>
        </w:rPr>
        <w:t>31</w:t>
      </w:r>
      <w:r>
        <w:rPr>
          <w:rFonts w:ascii="宋体" w:hAnsi="宋体" w:cs="宋体" w:eastAsia="宋体" w:hint="default"/>
          <w:spacing w:val="-53"/>
          <w:w w:val="100"/>
          <w:sz w:val="21"/>
          <w:szCs w:val="21"/>
        </w:rPr>
        <w:t> </w:t>
      </w:r>
      <w:r>
        <w:rPr>
          <w:rFonts w:ascii="宋体" w:hAnsi="宋体" w:cs="宋体" w:eastAsia="宋体" w:hint="default"/>
          <w:spacing w:val="-15"/>
          <w:w w:val="100"/>
          <w:sz w:val="21"/>
          <w:szCs w:val="21"/>
        </w:rPr>
        <w:t>日，本公司一年内到期的长期保证借款担保情况详见附注十、（二）、</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w:t>
      </w:r>
    </w:p>
    <w:p>
      <w:pPr>
        <w:spacing w:before="75"/>
        <w:ind w:left="641" w:right="0" w:firstLine="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日，本公司一年内到期的长期质押借款情况如下：本公司以持有同</w:t>
      </w:r>
    </w:p>
    <w:p>
      <w:pPr>
        <w:spacing w:line="297" w:lineRule="auto" w:before="63"/>
        <w:ind w:left="641" w:right="210" w:firstLine="0"/>
        <w:jc w:val="both"/>
        <w:rPr>
          <w:rFonts w:ascii="宋体" w:hAnsi="宋体" w:cs="宋体" w:eastAsia="宋体" w:hint="default"/>
          <w:sz w:val="21"/>
          <w:szCs w:val="21"/>
        </w:rPr>
      </w:pPr>
      <w:r>
        <w:rPr>
          <w:rFonts w:ascii="宋体" w:hAnsi="宋体" w:cs="宋体" w:eastAsia="宋体" w:hint="default"/>
          <w:spacing w:val="-2"/>
          <w:w w:val="100"/>
          <w:sz w:val="21"/>
          <w:szCs w:val="21"/>
        </w:rPr>
        <w:t>方威视股份有限公司部分股权质押取得借款</w:t>
      </w:r>
      <w:r>
        <w:rPr>
          <w:rFonts w:ascii="宋体" w:hAnsi="宋体" w:cs="宋体" w:eastAsia="宋体" w:hint="default"/>
          <w:spacing w:val="-43"/>
          <w:w w:val="100"/>
          <w:sz w:val="21"/>
          <w:szCs w:val="21"/>
        </w:rPr>
        <w:t> </w:t>
      </w:r>
      <w:r>
        <w:rPr>
          <w:rFonts w:ascii="宋体" w:hAnsi="宋体" w:cs="宋体" w:eastAsia="宋体" w:hint="default"/>
          <w:spacing w:val="-1"/>
          <w:w w:val="100"/>
          <w:sz w:val="21"/>
          <w:szCs w:val="21"/>
        </w:rPr>
        <w:t>50,000,000.00</w:t>
      </w:r>
      <w:r>
        <w:rPr>
          <w:rFonts w:ascii="宋体" w:hAnsi="宋体" w:cs="宋体" w:eastAsia="宋体" w:hint="default"/>
          <w:spacing w:val="-44"/>
          <w:w w:val="100"/>
          <w:sz w:val="21"/>
          <w:szCs w:val="21"/>
        </w:rPr>
        <w:t> </w:t>
      </w:r>
      <w:r>
        <w:rPr>
          <w:rFonts w:ascii="宋体" w:hAnsi="宋体" w:cs="宋体" w:eastAsia="宋体" w:hint="default"/>
          <w:spacing w:val="-10"/>
          <w:w w:val="100"/>
          <w:sz w:val="21"/>
          <w:szCs w:val="21"/>
        </w:rPr>
        <w:t>元；本公司之二级子公司金湖</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同方水务有限公司以部分</w:t>
      </w:r>
      <w:r>
        <w:rPr>
          <w:rFonts w:ascii="宋体" w:hAnsi="宋体" w:cs="宋体" w:eastAsia="宋体" w:hint="default"/>
          <w:spacing w:val="-55"/>
          <w:sz w:val="21"/>
          <w:szCs w:val="21"/>
        </w:rPr>
        <w:t> </w:t>
      </w:r>
      <w:r>
        <w:rPr>
          <w:rFonts w:ascii="宋体" w:hAnsi="宋体" w:cs="宋体" w:eastAsia="宋体" w:hint="default"/>
          <w:sz w:val="21"/>
          <w:szCs w:val="21"/>
        </w:rPr>
        <w:t>BOT</w:t>
      </w:r>
      <w:r>
        <w:rPr>
          <w:rFonts w:ascii="宋体" w:hAnsi="宋体" w:cs="宋体" w:eastAsia="宋体" w:hint="default"/>
          <w:spacing w:val="-53"/>
          <w:sz w:val="21"/>
          <w:szCs w:val="21"/>
        </w:rPr>
        <w:t> </w:t>
      </w:r>
      <w:r>
        <w:rPr>
          <w:rFonts w:ascii="宋体" w:hAnsi="宋体" w:cs="宋体" w:eastAsia="宋体" w:hint="default"/>
          <w:sz w:val="21"/>
          <w:szCs w:val="21"/>
        </w:rPr>
        <w:t>项目收费权质押取得借款</w:t>
      </w:r>
      <w:r>
        <w:rPr>
          <w:rFonts w:ascii="宋体" w:hAnsi="宋体" w:cs="宋体" w:eastAsia="宋体" w:hint="default"/>
          <w:spacing w:val="-53"/>
          <w:sz w:val="21"/>
          <w:szCs w:val="21"/>
        </w:rPr>
        <w:t> </w:t>
      </w:r>
      <w:r>
        <w:rPr>
          <w:rFonts w:ascii="宋体" w:hAnsi="宋体" w:cs="宋体" w:eastAsia="宋体" w:hint="default"/>
          <w:sz w:val="21"/>
          <w:szCs w:val="21"/>
        </w:rPr>
        <w:t>1,800,000.00</w:t>
      </w:r>
      <w:r>
        <w:rPr>
          <w:rFonts w:ascii="宋体" w:hAnsi="宋体" w:cs="宋体" w:eastAsia="宋体" w:hint="default"/>
          <w:spacing w:val="-52"/>
          <w:sz w:val="21"/>
          <w:szCs w:val="21"/>
        </w:rPr>
        <w:t> </w:t>
      </w:r>
      <w:r>
        <w:rPr>
          <w:rFonts w:ascii="宋体" w:hAnsi="宋体" w:cs="宋体" w:eastAsia="宋体" w:hint="default"/>
          <w:sz w:val="21"/>
          <w:szCs w:val="21"/>
        </w:rPr>
        <w:t>元，并由本公司提</w:t>
      </w:r>
      <w:r>
        <w:rPr>
          <w:rFonts w:ascii="宋体" w:hAnsi="宋体" w:cs="宋体" w:eastAsia="宋体" w:hint="default"/>
          <w:w w:val="100"/>
          <w:sz w:val="21"/>
          <w:szCs w:val="21"/>
        </w:rPr>
        <w:t> </w:t>
      </w:r>
      <w:r>
        <w:rPr>
          <w:rFonts w:ascii="宋体" w:hAnsi="宋体" w:cs="宋体" w:eastAsia="宋体" w:hint="default"/>
          <w:spacing w:val="-5"/>
          <w:w w:val="100"/>
          <w:sz w:val="21"/>
          <w:szCs w:val="21"/>
        </w:rPr>
        <w:t>供保证担保；本公司之二级子公司淮安同方盐化工业污水处理有限公司以部分</w:t>
      </w:r>
      <w:r>
        <w:rPr>
          <w:rFonts w:ascii="宋体" w:hAnsi="宋体" w:cs="宋体" w:eastAsia="宋体" w:hint="default"/>
          <w:spacing w:val="-49"/>
          <w:w w:val="100"/>
          <w:sz w:val="21"/>
          <w:szCs w:val="21"/>
        </w:rPr>
        <w:t> </w:t>
      </w:r>
      <w:r>
        <w:rPr>
          <w:rFonts w:ascii="宋体" w:hAnsi="宋体" w:cs="宋体" w:eastAsia="宋体" w:hint="default"/>
          <w:w w:val="100"/>
          <w:sz w:val="21"/>
          <w:szCs w:val="21"/>
        </w:rPr>
        <w:t>BOT</w:t>
      </w:r>
      <w:r>
        <w:rPr>
          <w:rFonts w:ascii="宋体" w:hAnsi="宋体" w:cs="宋体" w:eastAsia="宋体" w:hint="default"/>
          <w:spacing w:val="-46"/>
          <w:w w:val="100"/>
          <w:sz w:val="21"/>
          <w:szCs w:val="21"/>
        </w:rPr>
        <w:t> </w:t>
      </w:r>
      <w:r>
        <w:rPr>
          <w:rFonts w:ascii="宋体" w:hAnsi="宋体" w:cs="宋体" w:eastAsia="宋体" w:hint="default"/>
          <w:spacing w:val="-1"/>
          <w:w w:val="100"/>
          <w:sz w:val="21"/>
          <w:szCs w:val="21"/>
        </w:rPr>
        <w:t>项目收</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费权质押取得借款</w:t>
      </w:r>
      <w:r>
        <w:rPr>
          <w:rFonts w:ascii="宋体" w:hAnsi="宋体" w:cs="宋体" w:eastAsia="宋体" w:hint="default"/>
          <w:spacing w:val="-52"/>
          <w:sz w:val="21"/>
          <w:szCs w:val="21"/>
        </w:rPr>
        <w:t> </w:t>
      </w:r>
      <w:r>
        <w:rPr>
          <w:rFonts w:ascii="宋体" w:hAnsi="宋体" w:cs="宋体" w:eastAsia="宋体" w:hint="default"/>
          <w:sz w:val="21"/>
          <w:szCs w:val="21"/>
        </w:rPr>
        <w:t>3,500,000.00</w:t>
      </w:r>
      <w:r>
        <w:rPr>
          <w:rFonts w:ascii="宋体" w:hAnsi="宋体" w:cs="宋体" w:eastAsia="宋体" w:hint="default"/>
          <w:spacing w:val="-55"/>
          <w:sz w:val="21"/>
          <w:szCs w:val="21"/>
        </w:rPr>
        <w:t> </w:t>
      </w:r>
      <w:r>
        <w:rPr>
          <w:rFonts w:ascii="宋体" w:hAnsi="宋体" w:cs="宋体" w:eastAsia="宋体" w:hint="default"/>
          <w:sz w:val="21"/>
          <w:szCs w:val="21"/>
        </w:rPr>
        <w:t>元，并由本公司提供保证担保；公司之二级子公司涟水</w:t>
      </w:r>
    </w:p>
    <w:p>
      <w:pPr>
        <w:spacing w:after="0" w:line="297" w:lineRule="auto"/>
        <w:jc w:val="both"/>
        <w:rPr>
          <w:rFonts w:ascii="宋体" w:hAnsi="宋体" w:cs="宋体" w:eastAsia="宋体" w:hint="default"/>
          <w:sz w:val="21"/>
          <w:szCs w:val="21"/>
        </w:rPr>
        <w:sectPr>
          <w:pgSz w:w="11910" w:h="16840"/>
          <w:pgMar w:header="0" w:footer="1054" w:top="1480" w:bottom="1240" w:left="1480" w:right="1480"/>
        </w:sectPr>
      </w:pPr>
    </w:p>
    <w:p>
      <w:pPr>
        <w:spacing w:line="297" w:lineRule="auto" w:before="10"/>
        <w:ind w:left="661" w:right="210" w:firstLine="0"/>
        <w:jc w:val="both"/>
        <w:rPr>
          <w:rFonts w:ascii="宋体" w:hAnsi="宋体" w:cs="宋体" w:eastAsia="宋体" w:hint="default"/>
          <w:sz w:val="21"/>
          <w:szCs w:val="21"/>
        </w:rPr>
      </w:pPr>
      <w:r>
        <w:rPr>
          <w:rFonts w:ascii="宋体" w:hAnsi="宋体" w:cs="宋体" w:eastAsia="宋体" w:hint="default"/>
          <w:sz w:val="21"/>
          <w:szCs w:val="21"/>
        </w:rPr>
        <w:t>同方水务有限公司以部分</w:t>
      </w:r>
      <w:r>
        <w:rPr>
          <w:rFonts w:ascii="宋体" w:hAnsi="宋体" w:cs="宋体" w:eastAsia="宋体" w:hint="default"/>
          <w:spacing w:val="-55"/>
          <w:sz w:val="21"/>
          <w:szCs w:val="21"/>
        </w:rPr>
        <w:t> </w:t>
      </w:r>
      <w:r>
        <w:rPr>
          <w:rFonts w:ascii="宋体" w:hAnsi="宋体" w:cs="宋体" w:eastAsia="宋体" w:hint="default"/>
          <w:sz w:val="21"/>
          <w:szCs w:val="21"/>
        </w:rPr>
        <w:t>BOT</w:t>
      </w:r>
      <w:r>
        <w:rPr>
          <w:rFonts w:ascii="宋体" w:hAnsi="宋体" w:cs="宋体" w:eastAsia="宋体" w:hint="default"/>
          <w:spacing w:val="-53"/>
          <w:sz w:val="21"/>
          <w:szCs w:val="21"/>
        </w:rPr>
        <w:t> </w:t>
      </w:r>
      <w:r>
        <w:rPr>
          <w:rFonts w:ascii="宋体" w:hAnsi="宋体" w:cs="宋体" w:eastAsia="宋体" w:hint="default"/>
          <w:sz w:val="21"/>
          <w:szCs w:val="21"/>
        </w:rPr>
        <w:t>项目收费权质押取得借款</w:t>
      </w:r>
      <w:r>
        <w:rPr>
          <w:rFonts w:ascii="宋体" w:hAnsi="宋体" w:cs="宋体" w:eastAsia="宋体" w:hint="default"/>
          <w:spacing w:val="-53"/>
          <w:sz w:val="21"/>
          <w:szCs w:val="21"/>
        </w:rPr>
        <w:t> </w:t>
      </w:r>
      <w:r>
        <w:rPr>
          <w:rFonts w:ascii="宋体" w:hAnsi="宋体" w:cs="宋体" w:eastAsia="宋体" w:hint="default"/>
          <w:sz w:val="21"/>
          <w:szCs w:val="21"/>
        </w:rPr>
        <w:t>6,400,000.00</w:t>
      </w:r>
      <w:r>
        <w:rPr>
          <w:rFonts w:ascii="宋体" w:hAnsi="宋体" w:cs="宋体" w:eastAsia="宋体" w:hint="default"/>
          <w:spacing w:val="-52"/>
          <w:sz w:val="21"/>
          <w:szCs w:val="21"/>
        </w:rPr>
        <w:t> </w:t>
      </w:r>
      <w:r>
        <w:rPr>
          <w:rFonts w:ascii="宋体" w:hAnsi="宋体" w:cs="宋体" w:eastAsia="宋体" w:hint="default"/>
          <w:sz w:val="21"/>
          <w:szCs w:val="21"/>
        </w:rPr>
        <w:t>元，并由本公司提</w:t>
      </w:r>
      <w:r>
        <w:rPr>
          <w:rFonts w:ascii="宋体" w:hAnsi="宋体" w:cs="宋体" w:eastAsia="宋体" w:hint="default"/>
          <w:w w:val="100"/>
          <w:sz w:val="21"/>
          <w:szCs w:val="21"/>
        </w:rPr>
        <w:t> </w:t>
      </w:r>
      <w:r>
        <w:rPr>
          <w:rFonts w:ascii="宋体" w:hAnsi="宋体" w:cs="宋体" w:eastAsia="宋体" w:hint="default"/>
          <w:sz w:val="21"/>
          <w:szCs w:val="21"/>
        </w:rPr>
        <w:t>供保证担保；本公司之一级子公司淮安同方水务有限公司以部分</w:t>
      </w:r>
      <w:r>
        <w:rPr>
          <w:rFonts w:ascii="宋体" w:hAnsi="宋体" w:cs="宋体" w:eastAsia="宋体" w:hint="default"/>
          <w:spacing w:val="-53"/>
          <w:sz w:val="21"/>
          <w:szCs w:val="21"/>
        </w:rPr>
        <w:t> </w:t>
      </w:r>
      <w:r>
        <w:rPr>
          <w:rFonts w:ascii="宋体" w:hAnsi="宋体" w:cs="宋体" w:eastAsia="宋体" w:hint="default"/>
          <w:sz w:val="21"/>
          <w:szCs w:val="21"/>
        </w:rPr>
        <w:t>BOT</w:t>
      </w:r>
      <w:r>
        <w:rPr>
          <w:rFonts w:ascii="宋体" w:hAnsi="宋体" w:cs="宋体" w:eastAsia="宋体" w:hint="default"/>
          <w:sz w:val="21"/>
          <w:szCs w:val="21"/>
        </w:rPr>
        <w:t>、</w:t>
      </w:r>
      <w:r>
        <w:rPr>
          <w:rFonts w:ascii="宋体" w:hAnsi="宋体" w:cs="宋体" w:eastAsia="宋体" w:hint="default"/>
          <w:sz w:val="21"/>
          <w:szCs w:val="21"/>
        </w:rPr>
        <w:t>TOT</w:t>
      </w:r>
      <w:r>
        <w:rPr>
          <w:rFonts w:ascii="宋体" w:hAnsi="宋体" w:cs="宋体" w:eastAsia="宋体" w:hint="default"/>
          <w:spacing w:val="-55"/>
          <w:sz w:val="21"/>
          <w:szCs w:val="21"/>
        </w:rPr>
        <w:t> </w:t>
      </w:r>
      <w:r>
        <w:rPr>
          <w:rFonts w:ascii="宋体" w:hAnsi="宋体" w:cs="宋体" w:eastAsia="宋体" w:hint="default"/>
          <w:sz w:val="21"/>
          <w:szCs w:val="21"/>
        </w:rPr>
        <w:t>项目收费权质</w:t>
      </w:r>
      <w:r>
        <w:rPr>
          <w:rFonts w:ascii="宋体" w:hAnsi="宋体" w:cs="宋体" w:eastAsia="宋体" w:hint="default"/>
          <w:w w:val="100"/>
          <w:sz w:val="21"/>
          <w:szCs w:val="21"/>
        </w:rPr>
        <w:t> </w:t>
      </w:r>
      <w:r>
        <w:rPr>
          <w:rFonts w:ascii="宋体" w:hAnsi="宋体" w:cs="宋体" w:eastAsia="宋体" w:hint="default"/>
          <w:sz w:val="21"/>
          <w:szCs w:val="21"/>
        </w:rPr>
        <w:t>押取得借款</w:t>
      </w:r>
      <w:r>
        <w:rPr>
          <w:rFonts w:ascii="宋体" w:hAnsi="宋体" w:cs="宋体" w:eastAsia="宋体" w:hint="default"/>
          <w:spacing w:val="-56"/>
          <w:sz w:val="21"/>
          <w:szCs w:val="21"/>
        </w:rPr>
        <w:t> </w:t>
      </w:r>
      <w:r>
        <w:rPr>
          <w:rFonts w:ascii="宋体" w:hAnsi="宋体" w:cs="宋体" w:eastAsia="宋体" w:hint="default"/>
          <w:sz w:val="21"/>
          <w:szCs w:val="21"/>
        </w:rPr>
        <w:t>19,400,000.00</w:t>
      </w:r>
      <w:r>
        <w:rPr>
          <w:rFonts w:ascii="宋体" w:hAnsi="宋体" w:cs="宋体" w:eastAsia="宋体" w:hint="default"/>
          <w:spacing w:val="-55"/>
          <w:sz w:val="21"/>
          <w:szCs w:val="21"/>
        </w:rPr>
        <w:t> </w:t>
      </w:r>
      <w:r>
        <w:rPr>
          <w:rFonts w:ascii="宋体" w:hAnsi="宋体" w:cs="宋体" w:eastAsia="宋体" w:hint="default"/>
          <w:sz w:val="21"/>
          <w:szCs w:val="21"/>
        </w:rPr>
        <w:t>元，并由本公司提供保证担保。</w:t>
      </w:r>
    </w:p>
    <w:p>
      <w:pPr>
        <w:spacing w:before="128"/>
        <w:ind w:left="645" w:right="0" w:firstLine="0"/>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29.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其他流动负债</w:t>
      </w:r>
    </w:p>
    <w:p>
      <w:pPr>
        <w:spacing w:before="113"/>
        <w:ind w:left="695" w:right="0" w:firstLine="0"/>
        <w:jc w:val="both"/>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10"/>
          <w:sz w:val="22"/>
          <w:szCs w:val="22"/>
        </w:rPr>
        <w:t> </w:t>
      </w:r>
      <w:r>
        <w:rPr>
          <w:rFonts w:ascii="宋体" w:hAnsi="宋体" w:cs="宋体" w:eastAsia="宋体" w:hint="default"/>
          <w:sz w:val="22"/>
          <w:szCs w:val="22"/>
        </w:rPr>
        <w:t>其他流动负债分类</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3803"/>
        <w:gridCol w:w="2815"/>
        <w:gridCol w:w="2107"/>
      </w:tblGrid>
      <w:tr>
        <w:trPr>
          <w:trHeight w:val="305" w:hRule="exact"/>
        </w:trPr>
        <w:tc>
          <w:tcPr>
            <w:tcW w:w="380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1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81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10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9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8" w:hRule="exact"/>
        </w:trPr>
        <w:tc>
          <w:tcPr>
            <w:tcW w:w="3803"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超短期融资券</w:t>
            </w:r>
          </w:p>
        </w:tc>
        <w:tc>
          <w:tcPr>
            <w:tcW w:w="2815" w:type="dxa"/>
            <w:tcBorders>
              <w:top w:val="single" w:sz="4" w:space="0" w:color="000000"/>
              <w:left w:val="nil" w:sz="6" w:space="0" w:color="auto"/>
              <w:bottom w:val="nil" w:sz="6" w:space="0" w:color="auto"/>
              <w:right w:val="nil" w:sz="6" w:space="0" w:color="auto"/>
            </w:tcBorders>
          </w:tcPr>
          <w:p>
            <w:pPr>
              <w:pStyle w:val="TableParagraph"/>
              <w:spacing w:line="232" w:lineRule="exact"/>
              <w:ind w:right="495"/>
              <w:jc w:val="right"/>
              <w:rPr>
                <w:rFonts w:ascii="宋体" w:hAnsi="宋体" w:cs="宋体" w:eastAsia="宋体" w:hint="default"/>
                <w:sz w:val="18"/>
                <w:szCs w:val="18"/>
              </w:rPr>
            </w:pPr>
            <w:r>
              <w:rPr>
                <w:rFonts w:ascii="宋体"/>
                <w:spacing w:val="-1"/>
                <w:sz w:val="18"/>
              </w:rPr>
              <w:t>4,040,449,315.06</w:t>
            </w:r>
          </w:p>
        </w:tc>
        <w:tc>
          <w:tcPr>
            <w:tcW w:w="2107"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6,128,258,630.14</w:t>
            </w:r>
          </w:p>
        </w:tc>
      </w:tr>
      <w:tr>
        <w:trPr>
          <w:trHeight w:val="290" w:hRule="exact"/>
        </w:trPr>
        <w:tc>
          <w:tcPr>
            <w:tcW w:w="3803"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应付证券客户款项（同方证券并入）</w:t>
            </w:r>
          </w:p>
        </w:tc>
        <w:tc>
          <w:tcPr>
            <w:tcW w:w="2815" w:type="dxa"/>
            <w:tcBorders>
              <w:top w:val="nil" w:sz="6" w:space="0" w:color="auto"/>
              <w:left w:val="nil" w:sz="6" w:space="0" w:color="auto"/>
              <w:bottom w:val="single" w:sz="4" w:space="0" w:color="000000"/>
              <w:right w:val="nil" w:sz="6" w:space="0" w:color="auto"/>
            </w:tcBorders>
          </w:tcPr>
          <w:p>
            <w:pPr>
              <w:pStyle w:val="TableParagraph"/>
              <w:spacing w:line="232" w:lineRule="exact"/>
              <w:ind w:right="495"/>
              <w:jc w:val="right"/>
              <w:rPr>
                <w:rFonts w:ascii="宋体" w:hAnsi="宋体" w:cs="宋体" w:eastAsia="宋体" w:hint="default"/>
                <w:sz w:val="18"/>
                <w:szCs w:val="18"/>
              </w:rPr>
            </w:pPr>
            <w:r>
              <w:rPr>
                <w:rFonts w:ascii="宋体"/>
                <w:spacing w:val="-1"/>
                <w:sz w:val="18"/>
              </w:rPr>
              <w:t>4,056,217.72</w:t>
            </w:r>
          </w:p>
        </w:tc>
        <w:tc>
          <w:tcPr>
            <w:tcW w:w="2107" w:type="dxa"/>
            <w:tcBorders>
              <w:top w:val="nil" w:sz="6" w:space="0" w:color="auto"/>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90,320,747.81</w:t>
            </w:r>
          </w:p>
        </w:tc>
      </w:tr>
      <w:tr>
        <w:trPr>
          <w:trHeight w:val="307" w:hRule="exact"/>
        </w:trPr>
        <w:tc>
          <w:tcPr>
            <w:tcW w:w="380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1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495"/>
              <w:jc w:val="right"/>
              <w:rPr>
                <w:rFonts w:ascii="宋体" w:hAnsi="宋体" w:cs="宋体" w:eastAsia="宋体" w:hint="default"/>
                <w:sz w:val="18"/>
                <w:szCs w:val="18"/>
              </w:rPr>
            </w:pPr>
            <w:r>
              <w:rPr>
                <w:rFonts w:ascii="宋体"/>
                <w:b/>
                <w:w w:val="95"/>
                <w:sz w:val="18"/>
              </w:rPr>
              <w:t>4,044,505,532.78</w:t>
            </w:r>
            <w:r>
              <w:rPr>
                <w:rFonts w:ascii="宋体"/>
                <w:sz w:val="18"/>
              </w:rPr>
            </w:r>
          </w:p>
        </w:tc>
        <w:tc>
          <w:tcPr>
            <w:tcW w:w="2107"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6,218,579,377.95</w:t>
            </w:r>
            <w:r>
              <w:rPr>
                <w:rFonts w:ascii="宋体"/>
                <w:sz w:val="18"/>
              </w:rPr>
            </w:r>
          </w:p>
        </w:tc>
      </w:tr>
    </w:tbl>
    <w:p>
      <w:pPr>
        <w:spacing w:before="81"/>
        <w:ind w:left="695" w:right="4889"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0"/>
          <w:sz w:val="22"/>
          <w:szCs w:val="22"/>
        </w:rPr>
        <w:t> </w:t>
      </w:r>
      <w:r>
        <w:rPr>
          <w:rFonts w:ascii="宋体" w:hAnsi="宋体" w:cs="宋体" w:eastAsia="宋体" w:hint="default"/>
          <w:sz w:val="22"/>
          <w:szCs w:val="22"/>
        </w:rPr>
        <w:t>超短期融资券情况</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373"/>
        <w:gridCol w:w="1822"/>
        <w:gridCol w:w="1303"/>
        <w:gridCol w:w="1134"/>
        <w:gridCol w:w="1586"/>
        <w:gridCol w:w="1507"/>
      </w:tblGrid>
      <w:tr>
        <w:trPr>
          <w:trHeight w:val="308" w:hRule="exact"/>
        </w:trPr>
        <w:tc>
          <w:tcPr>
            <w:tcW w:w="1373" w:type="dxa"/>
            <w:tcBorders>
              <w:top w:val="single" w:sz="12" w:space="0" w:color="000000"/>
              <w:left w:val="nil" w:sz="6" w:space="0" w:color="auto"/>
              <w:bottom w:val="single" w:sz="6" w:space="0" w:color="000000"/>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b/>
                <w:bCs/>
                <w:sz w:val="16"/>
                <w:szCs w:val="16"/>
              </w:rPr>
              <w:t>债券名称</w:t>
            </w:r>
            <w:r>
              <w:rPr>
                <w:rFonts w:ascii="宋体" w:hAnsi="宋体" w:cs="宋体" w:eastAsia="宋体" w:hint="default"/>
                <w:sz w:val="16"/>
                <w:szCs w:val="16"/>
              </w:rPr>
            </w:r>
          </w:p>
        </w:tc>
        <w:tc>
          <w:tcPr>
            <w:tcW w:w="1822" w:type="dxa"/>
            <w:tcBorders>
              <w:top w:val="single" w:sz="12" w:space="0" w:color="000000"/>
              <w:left w:val="nil" w:sz="6" w:space="0" w:color="auto"/>
              <w:bottom w:val="single" w:sz="6" w:space="0" w:color="000000"/>
              <w:right w:val="nil" w:sz="6" w:space="0" w:color="auto"/>
            </w:tcBorders>
          </w:tcPr>
          <w:p>
            <w:pPr>
              <w:pStyle w:val="TableParagraph"/>
              <w:spacing w:line="240" w:lineRule="auto" w:before="12"/>
              <w:ind w:right="0"/>
              <w:jc w:val="center"/>
              <w:rPr>
                <w:rFonts w:ascii="宋体" w:hAnsi="宋体" w:cs="宋体" w:eastAsia="宋体" w:hint="default"/>
                <w:sz w:val="16"/>
                <w:szCs w:val="16"/>
              </w:rPr>
            </w:pPr>
            <w:r>
              <w:rPr>
                <w:rFonts w:ascii="宋体" w:hAnsi="宋体" w:cs="宋体" w:eastAsia="宋体" w:hint="default"/>
                <w:b/>
                <w:bCs/>
                <w:sz w:val="16"/>
                <w:szCs w:val="16"/>
              </w:rPr>
              <w:t>面值</w:t>
            </w:r>
            <w:r>
              <w:rPr>
                <w:rFonts w:ascii="宋体" w:hAnsi="宋体" w:cs="宋体" w:eastAsia="宋体" w:hint="default"/>
                <w:sz w:val="16"/>
                <w:szCs w:val="16"/>
              </w:rPr>
            </w:r>
          </w:p>
        </w:tc>
        <w:tc>
          <w:tcPr>
            <w:tcW w:w="1303" w:type="dxa"/>
            <w:tcBorders>
              <w:top w:val="single" w:sz="12" w:space="0" w:color="000000"/>
              <w:left w:val="nil" w:sz="6" w:space="0" w:color="auto"/>
              <w:bottom w:val="single" w:sz="6" w:space="0" w:color="000000"/>
              <w:right w:val="nil" w:sz="6" w:space="0" w:color="auto"/>
            </w:tcBorders>
          </w:tcPr>
          <w:p>
            <w:pPr>
              <w:pStyle w:val="TableParagraph"/>
              <w:spacing w:line="240" w:lineRule="auto" w:before="12"/>
              <w:ind w:left="225" w:right="0"/>
              <w:jc w:val="left"/>
              <w:rPr>
                <w:rFonts w:ascii="宋体" w:hAnsi="宋体" w:cs="宋体" w:eastAsia="宋体" w:hint="default"/>
                <w:sz w:val="16"/>
                <w:szCs w:val="16"/>
              </w:rPr>
            </w:pPr>
            <w:r>
              <w:rPr>
                <w:rFonts w:ascii="宋体" w:hAnsi="宋体" w:cs="宋体" w:eastAsia="宋体" w:hint="default"/>
                <w:b/>
                <w:bCs/>
                <w:sz w:val="16"/>
                <w:szCs w:val="16"/>
              </w:rPr>
              <w:t>发行日期</w:t>
            </w:r>
            <w:r>
              <w:rPr>
                <w:rFonts w:ascii="宋体" w:hAnsi="宋体" w:cs="宋体" w:eastAsia="宋体" w:hint="default"/>
                <w:sz w:val="16"/>
                <w:szCs w:val="16"/>
              </w:rPr>
            </w:r>
          </w:p>
        </w:tc>
        <w:tc>
          <w:tcPr>
            <w:tcW w:w="1134" w:type="dxa"/>
            <w:tcBorders>
              <w:top w:val="single" w:sz="12" w:space="0" w:color="000000"/>
              <w:left w:val="nil" w:sz="6" w:space="0" w:color="auto"/>
              <w:bottom w:val="single" w:sz="6" w:space="0" w:color="000000"/>
              <w:right w:val="nil" w:sz="6" w:space="0" w:color="auto"/>
            </w:tcBorders>
          </w:tcPr>
          <w:p>
            <w:pPr>
              <w:pStyle w:val="TableParagraph"/>
              <w:spacing w:line="240" w:lineRule="auto" w:before="12"/>
              <w:ind w:left="199" w:right="0"/>
              <w:jc w:val="left"/>
              <w:rPr>
                <w:rFonts w:ascii="宋体" w:hAnsi="宋体" w:cs="宋体" w:eastAsia="宋体" w:hint="default"/>
                <w:sz w:val="16"/>
                <w:szCs w:val="16"/>
              </w:rPr>
            </w:pPr>
            <w:r>
              <w:rPr>
                <w:rFonts w:ascii="宋体" w:hAnsi="宋体" w:cs="宋体" w:eastAsia="宋体" w:hint="default"/>
                <w:b/>
                <w:bCs/>
                <w:sz w:val="16"/>
                <w:szCs w:val="16"/>
              </w:rPr>
              <w:t>债券期限</w:t>
            </w:r>
            <w:r>
              <w:rPr>
                <w:rFonts w:ascii="宋体" w:hAnsi="宋体" w:cs="宋体" w:eastAsia="宋体" w:hint="default"/>
                <w:sz w:val="16"/>
                <w:szCs w:val="16"/>
              </w:rPr>
            </w:r>
          </w:p>
        </w:tc>
        <w:tc>
          <w:tcPr>
            <w:tcW w:w="1586" w:type="dxa"/>
            <w:tcBorders>
              <w:top w:val="single" w:sz="12" w:space="0" w:color="000000"/>
              <w:left w:val="nil" w:sz="6" w:space="0" w:color="auto"/>
              <w:bottom w:val="single" w:sz="6" w:space="0" w:color="000000"/>
              <w:right w:val="nil" w:sz="6" w:space="0" w:color="auto"/>
            </w:tcBorders>
          </w:tcPr>
          <w:p>
            <w:pPr>
              <w:pStyle w:val="TableParagraph"/>
              <w:spacing w:line="240" w:lineRule="auto" w:before="12"/>
              <w:ind w:left="469" w:right="0"/>
              <w:jc w:val="left"/>
              <w:rPr>
                <w:rFonts w:ascii="宋体" w:hAnsi="宋体" w:cs="宋体" w:eastAsia="宋体" w:hint="default"/>
                <w:sz w:val="16"/>
                <w:szCs w:val="16"/>
              </w:rPr>
            </w:pPr>
            <w:r>
              <w:rPr>
                <w:rFonts w:ascii="宋体" w:hAnsi="宋体" w:cs="宋体" w:eastAsia="宋体" w:hint="default"/>
                <w:b/>
                <w:bCs/>
                <w:sz w:val="16"/>
                <w:szCs w:val="16"/>
              </w:rPr>
              <w:t>发行金额</w:t>
            </w:r>
            <w:r>
              <w:rPr>
                <w:rFonts w:ascii="宋体" w:hAnsi="宋体" w:cs="宋体" w:eastAsia="宋体" w:hint="default"/>
                <w:sz w:val="16"/>
                <w:szCs w:val="16"/>
              </w:rPr>
            </w:r>
          </w:p>
        </w:tc>
        <w:tc>
          <w:tcPr>
            <w:tcW w:w="1507" w:type="dxa"/>
            <w:tcBorders>
              <w:top w:val="single" w:sz="12" w:space="0" w:color="000000"/>
              <w:left w:val="nil" w:sz="6" w:space="0" w:color="auto"/>
              <w:bottom w:val="single" w:sz="6" w:space="0" w:color="000000"/>
              <w:right w:val="nil" w:sz="6" w:space="0" w:color="auto"/>
            </w:tcBorders>
          </w:tcPr>
          <w:p>
            <w:pPr>
              <w:pStyle w:val="TableParagraph"/>
              <w:spacing w:line="240" w:lineRule="auto" w:before="12"/>
              <w:ind w:left="431"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r>
      <w:tr>
        <w:trPr>
          <w:trHeight w:val="292" w:hRule="exact"/>
        </w:trPr>
        <w:tc>
          <w:tcPr>
            <w:tcW w:w="1373"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17</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SCP001</w:t>
            </w:r>
          </w:p>
        </w:tc>
        <w:tc>
          <w:tcPr>
            <w:tcW w:w="1822"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223"/>
              <w:jc w:val="right"/>
              <w:rPr>
                <w:rFonts w:ascii="宋体" w:hAnsi="宋体" w:cs="宋体" w:eastAsia="宋体" w:hint="default"/>
                <w:sz w:val="16"/>
                <w:szCs w:val="16"/>
              </w:rPr>
            </w:pPr>
            <w:r>
              <w:rPr>
                <w:rFonts w:ascii="宋体"/>
                <w:spacing w:val="-2"/>
                <w:sz w:val="16"/>
              </w:rPr>
              <w:t>1,000,000,000.00</w:t>
            </w:r>
          </w:p>
        </w:tc>
        <w:tc>
          <w:tcPr>
            <w:tcW w:w="1303"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197"/>
              <w:jc w:val="right"/>
              <w:rPr>
                <w:rFonts w:ascii="宋体" w:hAnsi="宋体" w:cs="宋体" w:eastAsia="宋体" w:hint="default"/>
                <w:sz w:val="16"/>
                <w:szCs w:val="16"/>
              </w:rPr>
            </w:pPr>
            <w:r>
              <w:rPr>
                <w:rFonts w:ascii="宋体"/>
                <w:spacing w:val="-2"/>
                <w:sz w:val="16"/>
              </w:rPr>
              <w:t>2017-04-14</w:t>
            </w:r>
            <w:r>
              <w:rPr>
                <w:rFonts w:ascii="宋体"/>
                <w:sz w:val="16"/>
              </w:rPr>
            </w:r>
          </w:p>
        </w:tc>
        <w:tc>
          <w:tcPr>
            <w:tcW w:w="1134"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hAnsi="宋体" w:cs="宋体" w:eastAsia="宋体" w:hint="default"/>
                <w:sz w:val="16"/>
                <w:szCs w:val="16"/>
              </w:rPr>
              <w:t>270</w:t>
            </w:r>
            <w:r>
              <w:rPr>
                <w:rFonts w:ascii="宋体" w:hAnsi="宋体" w:cs="宋体" w:eastAsia="宋体" w:hint="default"/>
                <w:spacing w:val="-41"/>
                <w:sz w:val="16"/>
                <w:szCs w:val="16"/>
              </w:rPr>
              <w:t> </w:t>
            </w:r>
            <w:r>
              <w:rPr>
                <w:rFonts w:ascii="宋体" w:hAnsi="宋体" w:cs="宋体" w:eastAsia="宋体" w:hint="default"/>
                <w:sz w:val="16"/>
                <w:szCs w:val="16"/>
              </w:rPr>
              <w:t>天</w:t>
            </w:r>
          </w:p>
        </w:tc>
        <w:tc>
          <w:tcPr>
            <w:tcW w:w="1586"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2"/>
                <w:sz w:val="16"/>
              </w:rPr>
              <w:t>1,000,000,000.00</w:t>
            </w:r>
          </w:p>
        </w:tc>
        <w:tc>
          <w:tcPr>
            <w:tcW w:w="1507"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2"/>
                <w:sz w:val="16"/>
              </w:rPr>
              <w:t>1,031,820,547.95</w:t>
            </w:r>
          </w:p>
        </w:tc>
      </w:tr>
      <w:tr>
        <w:trPr>
          <w:trHeight w:val="286"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6"/>
                <w:szCs w:val="16"/>
              </w:rPr>
            </w:pPr>
            <w:r>
              <w:rPr>
                <w:rFonts w:ascii="宋体" w:hAnsi="宋体" w:cs="宋体" w:eastAsia="宋体" w:hint="default"/>
                <w:sz w:val="16"/>
                <w:szCs w:val="16"/>
              </w:rPr>
              <w:t>17</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SCP002</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23"/>
              <w:jc w:val="right"/>
              <w:rPr>
                <w:rFonts w:ascii="宋体" w:hAnsi="宋体" w:cs="宋体" w:eastAsia="宋体" w:hint="default"/>
                <w:sz w:val="16"/>
                <w:szCs w:val="16"/>
              </w:rPr>
            </w:pPr>
            <w:r>
              <w:rPr>
                <w:rFonts w:ascii="宋体"/>
                <w:spacing w:val="-2"/>
                <w:sz w:val="16"/>
              </w:rPr>
              <w:t>1,000,000,000.00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7"/>
              <w:jc w:val="right"/>
              <w:rPr>
                <w:rFonts w:ascii="宋体" w:hAnsi="宋体" w:cs="宋体" w:eastAsia="宋体" w:hint="default"/>
                <w:sz w:val="16"/>
                <w:szCs w:val="16"/>
              </w:rPr>
            </w:pPr>
            <w:r>
              <w:rPr>
                <w:rFonts w:ascii="宋体"/>
                <w:spacing w:val="-2"/>
                <w:sz w:val="16"/>
              </w:rPr>
              <w:t>2017-06-16</w:t>
            </w:r>
            <w:r>
              <w:rPr>
                <w:rFonts w:ascii="宋体"/>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4"/>
              <w:jc w:val="right"/>
              <w:rPr>
                <w:rFonts w:ascii="宋体" w:hAnsi="宋体" w:cs="宋体" w:eastAsia="宋体" w:hint="default"/>
                <w:sz w:val="16"/>
                <w:szCs w:val="16"/>
              </w:rPr>
            </w:pPr>
            <w:r>
              <w:rPr>
                <w:rFonts w:ascii="宋体" w:hAnsi="宋体" w:cs="宋体" w:eastAsia="宋体" w:hint="default"/>
                <w:sz w:val="16"/>
                <w:szCs w:val="16"/>
              </w:rPr>
              <w:t>270</w:t>
            </w:r>
            <w:r>
              <w:rPr>
                <w:rFonts w:ascii="宋体" w:hAnsi="宋体" w:cs="宋体" w:eastAsia="宋体" w:hint="default"/>
                <w:spacing w:val="-41"/>
                <w:sz w:val="16"/>
                <w:szCs w:val="16"/>
              </w:rPr>
              <w:t> </w:t>
            </w:r>
            <w:r>
              <w:rPr>
                <w:rFonts w:ascii="宋体" w:hAnsi="宋体" w:cs="宋体" w:eastAsia="宋体" w:hint="default"/>
                <w:sz w:val="16"/>
                <w:szCs w:val="16"/>
              </w:rPr>
              <w:t>天</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spacing w:val="-2"/>
                <w:sz w:val="16"/>
              </w:rPr>
              <w:t>1,000,000,000.00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spacing w:val="-2"/>
                <w:sz w:val="16"/>
              </w:rPr>
              <w:t>1,026,309,589.04</w:t>
            </w:r>
          </w:p>
        </w:tc>
      </w:tr>
      <w:tr>
        <w:trPr>
          <w:trHeight w:val="284"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6"/>
                <w:szCs w:val="16"/>
              </w:rPr>
            </w:pPr>
            <w:r>
              <w:rPr>
                <w:rFonts w:ascii="宋体" w:hAnsi="宋体" w:cs="宋体" w:eastAsia="宋体" w:hint="default"/>
                <w:sz w:val="16"/>
                <w:szCs w:val="16"/>
              </w:rPr>
              <w:t>17</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SCP003</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23"/>
              <w:jc w:val="right"/>
              <w:rPr>
                <w:rFonts w:ascii="宋体" w:hAnsi="宋体" w:cs="宋体" w:eastAsia="宋体" w:hint="default"/>
                <w:sz w:val="16"/>
                <w:szCs w:val="16"/>
              </w:rPr>
            </w:pPr>
            <w:r>
              <w:rPr>
                <w:rFonts w:ascii="宋体"/>
                <w:spacing w:val="-2"/>
                <w:sz w:val="16"/>
              </w:rPr>
              <w:t>1,000,000,000.00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7"/>
              <w:jc w:val="right"/>
              <w:rPr>
                <w:rFonts w:ascii="宋体" w:hAnsi="宋体" w:cs="宋体" w:eastAsia="宋体" w:hint="default"/>
                <w:sz w:val="16"/>
                <w:szCs w:val="16"/>
              </w:rPr>
            </w:pPr>
            <w:r>
              <w:rPr>
                <w:rFonts w:ascii="宋体"/>
                <w:spacing w:val="-2"/>
                <w:sz w:val="16"/>
              </w:rPr>
              <w:t>2017-07-06</w:t>
            </w:r>
            <w:r>
              <w:rPr>
                <w:rFonts w:ascii="宋体"/>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4"/>
              <w:jc w:val="right"/>
              <w:rPr>
                <w:rFonts w:ascii="宋体" w:hAnsi="宋体" w:cs="宋体" w:eastAsia="宋体" w:hint="default"/>
                <w:sz w:val="16"/>
                <w:szCs w:val="16"/>
              </w:rPr>
            </w:pPr>
            <w:r>
              <w:rPr>
                <w:rFonts w:ascii="宋体" w:hAnsi="宋体" w:cs="宋体" w:eastAsia="宋体" w:hint="default"/>
                <w:sz w:val="16"/>
                <w:szCs w:val="16"/>
              </w:rPr>
              <w:t>260</w:t>
            </w:r>
            <w:r>
              <w:rPr>
                <w:rFonts w:ascii="宋体" w:hAnsi="宋体" w:cs="宋体" w:eastAsia="宋体" w:hint="default"/>
                <w:spacing w:val="-41"/>
                <w:sz w:val="16"/>
                <w:szCs w:val="16"/>
              </w:rPr>
              <w:t> </w:t>
            </w:r>
            <w:r>
              <w:rPr>
                <w:rFonts w:ascii="宋体" w:hAnsi="宋体" w:cs="宋体" w:eastAsia="宋体" w:hint="default"/>
                <w:sz w:val="16"/>
                <w:szCs w:val="16"/>
              </w:rPr>
              <w:t>天</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spacing w:val="-2"/>
                <w:sz w:val="16"/>
              </w:rPr>
              <w:t>1,000,000,000.00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spacing w:val="-2"/>
                <w:sz w:val="16"/>
              </w:rPr>
              <w:t>1,022,335,342.47</w:t>
            </w:r>
          </w:p>
        </w:tc>
      </w:tr>
      <w:tr>
        <w:trPr>
          <w:trHeight w:val="284"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17</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SCP004</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23"/>
              <w:jc w:val="right"/>
              <w:rPr>
                <w:rFonts w:ascii="宋体" w:hAnsi="宋体" w:cs="宋体" w:eastAsia="宋体" w:hint="default"/>
                <w:sz w:val="16"/>
                <w:szCs w:val="16"/>
              </w:rPr>
            </w:pPr>
            <w:r>
              <w:rPr>
                <w:rFonts w:ascii="宋体"/>
                <w:spacing w:val="-2"/>
                <w:sz w:val="16"/>
              </w:rPr>
              <w:t>1,000,000,000.00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7"/>
              <w:jc w:val="right"/>
              <w:rPr>
                <w:rFonts w:ascii="宋体" w:hAnsi="宋体" w:cs="宋体" w:eastAsia="宋体" w:hint="default"/>
                <w:sz w:val="16"/>
                <w:szCs w:val="16"/>
              </w:rPr>
            </w:pPr>
            <w:r>
              <w:rPr>
                <w:rFonts w:ascii="宋体"/>
                <w:spacing w:val="-2"/>
                <w:sz w:val="16"/>
              </w:rPr>
              <w:t>2017-07-18</w:t>
            </w:r>
            <w:r>
              <w:rPr>
                <w:rFonts w:ascii="宋体"/>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hAnsi="宋体" w:cs="宋体" w:eastAsia="宋体" w:hint="default"/>
                <w:sz w:val="16"/>
                <w:szCs w:val="16"/>
              </w:rPr>
              <w:t>270</w:t>
            </w:r>
            <w:r>
              <w:rPr>
                <w:rFonts w:ascii="宋体" w:hAnsi="宋体" w:cs="宋体" w:eastAsia="宋体" w:hint="default"/>
                <w:spacing w:val="-41"/>
                <w:sz w:val="16"/>
                <w:szCs w:val="16"/>
              </w:rPr>
              <w:t> </w:t>
            </w:r>
            <w:r>
              <w:rPr>
                <w:rFonts w:ascii="宋体" w:hAnsi="宋体" w:cs="宋体" w:eastAsia="宋体" w:hint="default"/>
                <w:sz w:val="16"/>
                <w:szCs w:val="16"/>
              </w:rPr>
              <w:t>天</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2"/>
                <w:sz w:val="16"/>
              </w:rPr>
              <w:t>1,000,000,000.00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2"/>
                <w:sz w:val="16"/>
              </w:rPr>
              <w:t>1,020,420,273.97</w:t>
            </w:r>
          </w:p>
        </w:tc>
      </w:tr>
      <w:tr>
        <w:trPr>
          <w:trHeight w:val="286"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6"/>
                <w:szCs w:val="16"/>
              </w:rPr>
            </w:pPr>
            <w:r>
              <w:rPr>
                <w:rFonts w:ascii="宋体" w:hAnsi="宋体" w:cs="宋体" w:eastAsia="宋体" w:hint="default"/>
                <w:sz w:val="16"/>
                <w:szCs w:val="16"/>
              </w:rPr>
              <w:t>17</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SCP005</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23"/>
              <w:jc w:val="right"/>
              <w:rPr>
                <w:rFonts w:ascii="宋体" w:hAnsi="宋体" w:cs="宋体" w:eastAsia="宋体" w:hint="default"/>
                <w:sz w:val="16"/>
                <w:szCs w:val="16"/>
              </w:rPr>
            </w:pPr>
            <w:r>
              <w:rPr>
                <w:rFonts w:ascii="宋体"/>
                <w:spacing w:val="-2"/>
                <w:sz w:val="16"/>
              </w:rPr>
              <w:t>1,000,000,000.00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7"/>
              <w:jc w:val="right"/>
              <w:rPr>
                <w:rFonts w:ascii="宋体" w:hAnsi="宋体" w:cs="宋体" w:eastAsia="宋体" w:hint="default"/>
                <w:sz w:val="16"/>
                <w:szCs w:val="16"/>
              </w:rPr>
            </w:pPr>
            <w:r>
              <w:rPr>
                <w:rFonts w:ascii="宋体"/>
                <w:spacing w:val="-2"/>
                <w:sz w:val="16"/>
              </w:rPr>
              <w:t>2017-08-10</w:t>
            </w:r>
            <w:r>
              <w:rPr>
                <w:rFonts w:ascii="宋体"/>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4"/>
              <w:jc w:val="right"/>
              <w:rPr>
                <w:rFonts w:ascii="宋体" w:hAnsi="宋体" w:cs="宋体" w:eastAsia="宋体" w:hint="default"/>
                <w:sz w:val="16"/>
                <w:szCs w:val="16"/>
              </w:rPr>
            </w:pPr>
            <w:r>
              <w:rPr>
                <w:rFonts w:ascii="宋体" w:hAnsi="宋体" w:cs="宋体" w:eastAsia="宋体" w:hint="default"/>
                <w:sz w:val="16"/>
                <w:szCs w:val="16"/>
              </w:rPr>
              <w:t>260</w:t>
            </w:r>
            <w:r>
              <w:rPr>
                <w:rFonts w:ascii="宋体" w:hAnsi="宋体" w:cs="宋体" w:eastAsia="宋体" w:hint="default"/>
                <w:spacing w:val="-41"/>
                <w:sz w:val="16"/>
                <w:szCs w:val="16"/>
              </w:rPr>
              <w:t> </w:t>
            </w:r>
            <w:r>
              <w:rPr>
                <w:rFonts w:ascii="宋体" w:hAnsi="宋体" w:cs="宋体" w:eastAsia="宋体" w:hint="default"/>
                <w:sz w:val="16"/>
                <w:szCs w:val="16"/>
              </w:rPr>
              <w:t>天</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spacing w:val="-2"/>
                <w:sz w:val="16"/>
              </w:rPr>
              <w:t>1,000,000,000.00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spacing w:val="-2"/>
                <w:sz w:val="16"/>
              </w:rPr>
              <w:t>1,017,904,383.56</w:t>
            </w:r>
          </w:p>
        </w:tc>
      </w:tr>
      <w:tr>
        <w:trPr>
          <w:trHeight w:val="286"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6"/>
                <w:szCs w:val="16"/>
              </w:rPr>
            </w:pPr>
            <w:r>
              <w:rPr>
                <w:rFonts w:ascii="宋体" w:hAnsi="宋体" w:cs="宋体" w:eastAsia="宋体" w:hint="default"/>
                <w:sz w:val="16"/>
                <w:szCs w:val="16"/>
              </w:rPr>
              <w:t>17</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SCP006</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23"/>
              <w:jc w:val="right"/>
              <w:rPr>
                <w:rFonts w:ascii="宋体" w:hAnsi="宋体" w:cs="宋体" w:eastAsia="宋体" w:hint="default"/>
                <w:sz w:val="16"/>
                <w:szCs w:val="16"/>
              </w:rPr>
            </w:pPr>
            <w:r>
              <w:rPr>
                <w:rFonts w:ascii="宋体"/>
                <w:spacing w:val="-2"/>
                <w:sz w:val="16"/>
              </w:rPr>
              <w:t>1,000,000,000.00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7"/>
              <w:jc w:val="right"/>
              <w:rPr>
                <w:rFonts w:ascii="宋体" w:hAnsi="宋体" w:cs="宋体" w:eastAsia="宋体" w:hint="default"/>
                <w:sz w:val="16"/>
                <w:szCs w:val="16"/>
              </w:rPr>
            </w:pPr>
            <w:r>
              <w:rPr>
                <w:rFonts w:ascii="宋体"/>
                <w:spacing w:val="-2"/>
                <w:sz w:val="16"/>
              </w:rPr>
              <w:t>2017-10-20</w:t>
            </w:r>
            <w:r>
              <w:rPr>
                <w:rFonts w:ascii="宋体"/>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4"/>
              <w:jc w:val="right"/>
              <w:rPr>
                <w:rFonts w:ascii="宋体" w:hAnsi="宋体" w:cs="宋体" w:eastAsia="宋体" w:hint="default"/>
                <w:sz w:val="16"/>
                <w:szCs w:val="16"/>
              </w:rPr>
            </w:pPr>
            <w:r>
              <w:rPr>
                <w:rFonts w:ascii="宋体" w:hAnsi="宋体" w:cs="宋体" w:eastAsia="宋体" w:hint="default"/>
                <w:sz w:val="16"/>
                <w:szCs w:val="16"/>
              </w:rPr>
              <w:t>270</w:t>
            </w:r>
            <w:r>
              <w:rPr>
                <w:rFonts w:ascii="宋体" w:hAnsi="宋体" w:cs="宋体" w:eastAsia="宋体" w:hint="default"/>
                <w:spacing w:val="-41"/>
                <w:sz w:val="16"/>
                <w:szCs w:val="16"/>
              </w:rPr>
              <w:t> </w:t>
            </w:r>
            <w:r>
              <w:rPr>
                <w:rFonts w:ascii="宋体" w:hAnsi="宋体" w:cs="宋体" w:eastAsia="宋体" w:hint="default"/>
                <w:sz w:val="16"/>
                <w:szCs w:val="16"/>
              </w:rPr>
              <w:t>天</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spacing w:val="-2"/>
                <w:sz w:val="16"/>
              </w:rPr>
              <w:t>1,000,000,000.00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spacing w:val="-2"/>
                <w:sz w:val="16"/>
              </w:rPr>
              <w:t>1,009,468,493.15</w:t>
            </w:r>
          </w:p>
        </w:tc>
      </w:tr>
      <w:tr>
        <w:trPr>
          <w:trHeight w:val="284"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6"/>
                <w:szCs w:val="16"/>
              </w:rPr>
            </w:pPr>
            <w:r>
              <w:rPr>
                <w:rFonts w:ascii="宋体" w:hAnsi="宋体" w:cs="宋体" w:eastAsia="宋体" w:hint="default"/>
                <w:sz w:val="16"/>
                <w:szCs w:val="16"/>
              </w:rPr>
              <w:t>18</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SCP001</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23"/>
              <w:jc w:val="right"/>
              <w:rPr>
                <w:rFonts w:ascii="宋体" w:hAnsi="宋体" w:cs="宋体" w:eastAsia="宋体" w:hint="default"/>
                <w:sz w:val="16"/>
                <w:szCs w:val="16"/>
              </w:rPr>
            </w:pPr>
            <w:r>
              <w:rPr>
                <w:rFonts w:ascii="宋体"/>
                <w:spacing w:val="-2"/>
                <w:sz w:val="16"/>
              </w:rPr>
              <w:t>1,000,000,000.00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7"/>
              <w:jc w:val="right"/>
              <w:rPr>
                <w:rFonts w:ascii="宋体" w:hAnsi="宋体" w:cs="宋体" w:eastAsia="宋体" w:hint="default"/>
                <w:sz w:val="16"/>
                <w:szCs w:val="16"/>
              </w:rPr>
            </w:pPr>
            <w:r>
              <w:rPr>
                <w:rFonts w:ascii="宋体"/>
                <w:spacing w:val="-2"/>
                <w:sz w:val="16"/>
              </w:rPr>
              <w:t>2018-01-04</w:t>
            </w:r>
            <w:r>
              <w:rPr>
                <w:rFonts w:ascii="宋体"/>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4"/>
              <w:jc w:val="right"/>
              <w:rPr>
                <w:rFonts w:ascii="宋体" w:hAnsi="宋体" w:cs="宋体" w:eastAsia="宋体" w:hint="default"/>
                <w:sz w:val="16"/>
                <w:szCs w:val="16"/>
              </w:rPr>
            </w:pPr>
            <w:r>
              <w:rPr>
                <w:rFonts w:ascii="宋体" w:hAnsi="宋体" w:cs="宋体" w:eastAsia="宋体" w:hint="default"/>
                <w:sz w:val="16"/>
                <w:szCs w:val="16"/>
              </w:rPr>
              <w:t>260</w:t>
            </w:r>
            <w:r>
              <w:rPr>
                <w:rFonts w:ascii="宋体" w:hAnsi="宋体" w:cs="宋体" w:eastAsia="宋体" w:hint="default"/>
                <w:spacing w:val="-41"/>
                <w:sz w:val="16"/>
                <w:szCs w:val="16"/>
              </w:rPr>
              <w:t> </w:t>
            </w:r>
            <w:r>
              <w:rPr>
                <w:rFonts w:ascii="宋体" w:hAnsi="宋体" w:cs="宋体" w:eastAsia="宋体" w:hint="default"/>
                <w:sz w:val="16"/>
                <w:szCs w:val="16"/>
              </w:rPr>
              <w:t>天</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spacing w:val="-2"/>
                <w:sz w:val="16"/>
              </w:rPr>
              <w:t>1,000,000,000.00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4"/>
              <w:jc w:val="right"/>
              <w:rPr>
                <w:rFonts w:ascii="宋体" w:hAnsi="宋体" w:cs="宋体" w:eastAsia="宋体" w:hint="default"/>
                <w:sz w:val="16"/>
                <w:szCs w:val="16"/>
              </w:rPr>
            </w:pPr>
            <w:r>
              <w:rPr>
                <w:rFonts w:ascii="宋体"/>
                <w:spacing w:val="-1"/>
                <w:sz w:val="16"/>
              </w:rPr>
              <w:t>0.00</w:t>
            </w:r>
          </w:p>
        </w:tc>
      </w:tr>
      <w:tr>
        <w:trPr>
          <w:trHeight w:val="284"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18</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SCP002</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23"/>
              <w:jc w:val="right"/>
              <w:rPr>
                <w:rFonts w:ascii="宋体" w:hAnsi="宋体" w:cs="宋体" w:eastAsia="宋体" w:hint="default"/>
                <w:sz w:val="16"/>
                <w:szCs w:val="16"/>
              </w:rPr>
            </w:pPr>
            <w:r>
              <w:rPr>
                <w:rFonts w:ascii="宋体"/>
                <w:spacing w:val="-2"/>
                <w:sz w:val="16"/>
              </w:rPr>
              <w:t>1,000,000,000.00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7"/>
              <w:jc w:val="right"/>
              <w:rPr>
                <w:rFonts w:ascii="宋体" w:hAnsi="宋体" w:cs="宋体" w:eastAsia="宋体" w:hint="default"/>
                <w:sz w:val="16"/>
                <w:szCs w:val="16"/>
              </w:rPr>
            </w:pPr>
            <w:r>
              <w:rPr>
                <w:rFonts w:ascii="宋体"/>
                <w:spacing w:val="-2"/>
                <w:sz w:val="16"/>
              </w:rPr>
              <w:t>2018-03-06</w:t>
            </w:r>
            <w:r>
              <w:rPr>
                <w:rFonts w:ascii="宋体"/>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hAnsi="宋体" w:cs="宋体" w:eastAsia="宋体" w:hint="default"/>
                <w:sz w:val="16"/>
                <w:szCs w:val="16"/>
              </w:rPr>
              <w:t>270</w:t>
            </w:r>
            <w:r>
              <w:rPr>
                <w:rFonts w:ascii="宋体" w:hAnsi="宋体" w:cs="宋体" w:eastAsia="宋体" w:hint="default"/>
                <w:spacing w:val="-41"/>
                <w:sz w:val="16"/>
                <w:szCs w:val="16"/>
              </w:rPr>
              <w:t> </w:t>
            </w:r>
            <w:r>
              <w:rPr>
                <w:rFonts w:ascii="宋体" w:hAnsi="宋体" w:cs="宋体" w:eastAsia="宋体" w:hint="default"/>
                <w:sz w:val="16"/>
                <w:szCs w:val="16"/>
              </w:rPr>
              <w:t>天</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2"/>
                <w:sz w:val="16"/>
              </w:rPr>
              <w:t>1,000,000,000.00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0.00</w:t>
            </w:r>
          </w:p>
        </w:tc>
      </w:tr>
      <w:tr>
        <w:trPr>
          <w:trHeight w:val="286"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6"/>
                <w:szCs w:val="16"/>
              </w:rPr>
            </w:pPr>
            <w:r>
              <w:rPr>
                <w:rFonts w:ascii="宋体" w:hAnsi="宋体" w:cs="宋体" w:eastAsia="宋体" w:hint="default"/>
                <w:sz w:val="16"/>
                <w:szCs w:val="16"/>
              </w:rPr>
              <w:t>18</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SCP003</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23"/>
              <w:jc w:val="right"/>
              <w:rPr>
                <w:rFonts w:ascii="宋体" w:hAnsi="宋体" w:cs="宋体" w:eastAsia="宋体" w:hint="default"/>
                <w:sz w:val="16"/>
                <w:szCs w:val="16"/>
              </w:rPr>
            </w:pPr>
            <w:r>
              <w:rPr>
                <w:rFonts w:ascii="宋体"/>
                <w:spacing w:val="-2"/>
                <w:sz w:val="16"/>
              </w:rPr>
              <w:t>1,000,000,000.00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7"/>
              <w:jc w:val="right"/>
              <w:rPr>
                <w:rFonts w:ascii="宋体" w:hAnsi="宋体" w:cs="宋体" w:eastAsia="宋体" w:hint="default"/>
                <w:sz w:val="16"/>
                <w:szCs w:val="16"/>
              </w:rPr>
            </w:pPr>
            <w:r>
              <w:rPr>
                <w:rFonts w:ascii="宋体"/>
                <w:spacing w:val="-2"/>
                <w:sz w:val="16"/>
              </w:rPr>
              <w:t>2018-03-20</w:t>
            </w:r>
            <w:r>
              <w:rPr>
                <w:rFonts w:ascii="宋体"/>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4"/>
              <w:jc w:val="right"/>
              <w:rPr>
                <w:rFonts w:ascii="宋体" w:hAnsi="宋体" w:cs="宋体" w:eastAsia="宋体" w:hint="default"/>
                <w:sz w:val="16"/>
                <w:szCs w:val="16"/>
              </w:rPr>
            </w:pPr>
            <w:r>
              <w:rPr>
                <w:rFonts w:ascii="宋体" w:hAnsi="宋体" w:cs="宋体" w:eastAsia="宋体" w:hint="default"/>
                <w:sz w:val="16"/>
                <w:szCs w:val="16"/>
              </w:rPr>
              <w:t>270</w:t>
            </w:r>
            <w:r>
              <w:rPr>
                <w:rFonts w:ascii="宋体" w:hAnsi="宋体" w:cs="宋体" w:eastAsia="宋体" w:hint="default"/>
                <w:spacing w:val="-41"/>
                <w:sz w:val="16"/>
                <w:szCs w:val="16"/>
              </w:rPr>
              <w:t> </w:t>
            </w:r>
            <w:r>
              <w:rPr>
                <w:rFonts w:ascii="宋体" w:hAnsi="宋体" w:cs="宋体" w:eastAsia="宋体" w:hint="default"/>
                <w:sz w:val="16"/>
                <w:szCs w:val="16"/>
              </w:rPr>
              <w:t>天</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spacing w:val="-2"/>
                <w:sz w:val="16"/>
              </w:rPr>
              <w:t>1,000,000,000.00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4"/>
              <w:jc w:val="right"/>
              <w:rPr>
                <w:rFonts w:ascii="宋体" w:hAnsi="宋体" w:cs="宋体" w:eastAsia="宋体" w:hint="default"/>
                <w:sz w:val="16"/>
                <w:szCs w:val="16"/>
              </w:rPr>
            </w:pPr>
            <w:r>
              <w:rPr>
                <w:rFonts w:ascii="宋体"/>
                <w:spacing w:val="-1"/>
                <w:sz w:val="16"/>
              </w:rPr>
              <w:t>0.00</w:t>
            </w:r>
          </w:p>
        </w:tc>
      </w:tr>
      <w:tr>
        <w:trPr>
          <w:trHeight w:val="286"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6"/>
                <w:szCs w:val="16"/>
              </w:rPr>
            </w:pPr>
            <w:r>
              <w:rPr>
                <w:rFonts w:ascii="宋体" w:hAnsi="宋体" w:cs="宋体" w:eastAsia="宋体" w:hint="default"/>
                <w:sz w:val="16"/>
                <w:szCs w:val="16"/>
              </w:rPr>
              <w:t>18</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SCP004</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23"/>
              <w:jc w:val="right"/>
              <w:rPr>
                <w:rFonts w:ascii="宋体" w:hAnsi="宋体" w:cs="宋体" w:eastAsia="宋体" w:hint="default"/>
                <w:sz w:val="16"/>
                <w:szCs w:val="16"/>
              </w:rPr>
            </w:pPr>
            <w:r>
              <w:rPr>
                <w:rFonts w:ascii="宋体"/>
                <w:spacing w:val="-2"/>
                <w:sz w:val="16"/>
              </w:rPr>
              <w:t>1,000,000,000.00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7"/>
              <w:jc w:val="right"/>
              <w:rPr>
                <w:rFonts w:ascii="宋体" w:hAnsi="宋体" w:cs="宋体" w:eastAsia="宋体" w:hint="default"/>
                <w:sz w:val="16"/>
                <w:szCs w:val="16"/>
              </w:rPr>
            </w:pPr>
            <w:r>
              <w:rPr>
                <w:rFonts w:ascii="宋体"/>
                <w:spacing w:val="-2"/>
                <w:sz w:val="16"/>
              </w:rPr>
              <w:t>2018-07-25</w:t>
            </w:r>
            <w:r>
              <w:rPr>
                <w:rFonts w:ascii="宋体"/>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4"/>
              <w:jc w:val="right"/>
              <w:rPr>
                <w:rFonts w:ascii="宋体" w:hAnsi="宋体" w:cs="宋体" w:eastAsia="宋体" w:hint="default"/>
                <w:sz w:val="16"/>
                <w:szCs w:val="16"/>
              </w:rPr>
            </w:pPr>
            <w:r>
              <w:rPr>
                <w:rFonts w:ascii="宋体" w:hAnsi="宋体" w:cs="宋体" w:eastAsia="宋体" w:hint="default"/>
                <w:sz w:val="16"/>
                <w:szCs w:val="16"/>
              </w:rPr>
              <w:t>270</w:t>
            </w:r>
            <w:r>
              <w:rPr>
                <w:rFonts w:ascii="宋体" w:hAnsi="宋体" w:cs="宋体" w:eastAsia="宋体" w:hint="default"/>
                <w:spacing w:val="-41"/>
                <w:sz w:val="16"/>
                <w:szCs w:val="16"/>
              </w:rPr>
              <w:t> </w:t>
            </w:r>
            <w:r>
              <w:rPr>
                <w:rFonts w:ascii="宋体" w:hAnsi="宋体" w:cs="宋体" w:eastAsia="宋体" w:hint="default"/>
                <w:sz w:val="16"/>
                <w:szCs w:val="16"/>
              </w:rPr>
              <w:t>天</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spacing w:val="-2"/>
                <w:sz w:val="16"/>
              </w:rPr>
              <w:t>1,000,000,000.00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4"/>
              <w:jc w:val="right"/>
              <w:rPr>
                <w:rFonts w:ascii="宋体" w:hAnsi="宋体" w:cs="宋体" w:eastAsia="宋体" w:hint="default"/>
                <w:sz w:val="16"/>
                <w:szCs w:val="16"/>
              </w:rPr>
            </w:pPr>
            <w:r>
              <w:rPr>
                <w:rFonts w:ascii="宋体"/>
                <w:spacing w:val="-1"/>
                <w:sz w:val="16"/>
              </w:rPr>
              <w:t>0.00</w:t>
            </w:r>
          </w:p>
        </w:tc>
      </w:tr>
      <w:tr>
        <w:trPr>
          <w:trHeight w:val="284"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6"/>
                <w:szCs w:val="16"/>
              </w:rPr>
            </w:pPr>
            <w:r>
              <w:rPr>
                <w:rFonts w:ascii="宋体" w:hAnsi="宋体" w:cs="宋体" w:eastAsia="宋体" w:hint="default"/>
                <w:sz w:val="16"/>
                <w:szCs w:val="16"/>
              </w:rPr>
              <w:t>18</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SCP005</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23"/>
              <w:jc w:val="right"/>
              <w:rPr>
                <w:rFonts w:ascii="宋体" w:hAnsi="宋体" w:cs="宋体" w:eastAsia="宋体" w:hint="default"/>
                <w:sz w:val="16"/>
                <w:szCs w:val="16"/>
              </w:rPr>
            </w:pPr>
            <w:r>
              <w:rPr>
                <w:rFonts w:ascii="宋体"/>
                <w:spacing w:val="-2"/>
                <w:sz w:val="16"/>
              </w:rPr>
              <w:t>1,000,000,000.00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7"/>
              <w:jc w:val="right"/>
              <w:rPr>
                <w:rFonts w:ascii="宋体" w:hAnsi="宋体" w:cs="宋体" w:eastAsia="宋体" w:hint="default"/>
                <w:sz w:val="16"/>
                <w:szCs w:val="16"/>
              </w:rPr>
            </w:pPr>
            <w:r>
              <w:rPr>
                <w:rFonts w:ascii="宋体"/>
                <w:spacing w:val="-2"/>
                <w:sz w:val="16"/>
              </w:rPr>
              <w:t>2018-08-27</w:t>
            </w:r>
            <w:r>
              <w:rPr>
                <w:rFonts w:ascii="宋体"/>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4"/>
              <w:jc w:val="right"/>
              <w:rPr>
                <w:rFonts w:ascii="宋体" w:hAnsi="宋体" w:cs="宋体" w:eastAsia="宋体" w:hint="default"/>
                <w:sz w:val="16"/>
                <w:szCs w:val="16"/>
              </w:rPr>
            </w:pPr>
            <w:r>
              <w:rPr>
                <w:rFonts w:ascii="宋体" w:hAnsi="宋体" w:cs="宋体" w:eastAsia="宋体" w:hint="default"/>
                <w:sz w:val="16"/>
                <w:szCs w:val="16"/>
              </w:rPr>
              <w:t>260</w:t>
            </w:r>
            <w:r>
              <w:rPr>
                <w:rFonts w:ascii="宋体" w:hAnsi="宋体" w:cs="宋体" w:eastAsia="宋体" w:hint="default"/>
                <w:spacing w:val="-41"/>
                <w:sz w:val="16"/>
                <w:szCs w:val="16"/>
              </w:rPr>
              <w:t> </w:t>
            </w:r>
            <w:r>
              <w:rPr>
                <w:rFonts w:ascii="宋体" w:hAnsi="宋体" w:cs="宋体" w:eastAsia="宋体" w:hint="default"/>
                <w:sz w:val="16"/>
                <w:szCs w:val="16"/>
              </w:rPr>
              <w:t>天</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spacing w:val="-2"/>
                <w:sz w:val="16"/>
              </w:rPr>
              <w:t>1,000,000,000.00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4"/>
              <w:jc w:val="right"/>
              <w:rPr>
                <w:rFonts w:ascii="宋体" w:hAnsi="宋体" w:cs="宋体" w:eastAsia="宋体" w:hint="default"/>
                <w:sz w:val="16"/>
                <w:szCs w:val="16"/>
              </w:rPr>
            </w:pPr>
            <w:r>
              <w:rPr>
                <w:rFonts w:ascii="宋体"/>
                <w:spacing w:val="-1"/>
                <w:sz w:val="16"/>
              </w:rPr>
              <w:t>0.00</w:t>
            </w:r>
          </w:p>
        </w:tc>
      </w:tr>
      <w:tr>
        <w:trPr>
          <w:trHeight w:val="284"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18</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SCP006</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23"/>
              <w:jc w:val="right"/>
              <w:rPr>
                <w:rFonts w:ascii="宋体" w:hAnsi="宋体" w:cs="宋体" w:eastAsia="宋体" w:hint="default"/>
                <w:sz w:val="16"/>
                <w:szCs w:val="16"/>
              </w:rPr>
            </w:pPr>
            <w:r>
              <w:rPr>
                <w:rFonts w:ascii="宋体"/>
                <w:spacing w:val="-2"/>
                <w:sz w:val="16"/>
              </w:rPr>
              <w:t>1,000,000,000.00</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7"/>
              <w:jc w:val="right"/>
              <w:rPr>
                <w:rFonts w:ascii="宋体" w:hAnsi="宋体" w:cs="宋体" w:eastAsia="宋体" w:hint="default"/>
                <w:sz w:val="16"/>
                <w:szCs w:val="16"/>
              </w:rPr>
            </w:pPr>
            <w:r>
              <w:rPr>
                <w:rFonts w:ascii="宋体"/>
                <w:spacing w:val="-2"/>
                <w:sz w:val="16"/>
              </w:rPr>
              <w:t>2018-11-29</w:t>
            </w:r>
            <w:r>
              <w:rPr>
                <w:rFonts w:ascii="宋体"/>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hAnsi="宋体" w:cs="宋体" w:eastAsia="宋体" w:hint="default"/>
                <w:sz w:val="16"/>
                <w:szCs w:val="16"/>
              </w:rPr>
              <w:t>210</w:t>
            </w:r>
            <w:r>
              <w:rPr>
                <w:rFonts w:ascii="宋体" w:hAnsi="宋体" w:cs="宋体" w:eastAsia="宋体" w:hint="default"/>
                <w:spacing w:val="-41"/>
                <w:sz w:val="16"/>
                <w:szCs w:val="16"/>
              </w:rPr>
              <w:t> </w:t>
            </w:r>
            <w:r>
              <w:rPr>
                <w:rFonts w:ascii="宋体" w:hAnsi="宋体" w:cs="宋体" w:eastAsia="宋体" w:hint="default"/>
                <w:sz w:val="16"/>
                <w:szCs w:val="16"/>
              </w:rPr>
              <w:t>天</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spacing w:val="-2"/>
                <w:sz w:val="16"/>
              </w:rPr>
              <w:t>1,000,000,000.00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宋体" w:hAnsi="宋体" w:cs="宋体" w:eastAsia="宋体" w:hint="default"/>
                <w:sz w:val="16"/>
                <w:szCs w:val="16"/>
              </w:rPr>
            </w:pPr>
            <w:r>
              <w:rPr>
                <w:rFonts w:ascii="宋体"/>
                <w:spacing w:val="-1"/>
                <w:sz w:val="16"/>
              </w:rPr>
              <w:t>0.00</w:t>
            </w:r>
          </w:p>
        </w:tc>
      </w:tr>
      <w:tr>
        <w:trPr>
          <w:trHeight w:val="295" w:hRule="exact"/>
        </w:trPr>
        <w:tc>
          <w:tcPr>
            <w:tcW w:w="1373" w:type="dxa"/>
            <w:tcBorders>
              <w:top w:val="nil" w:sz="6" w:space="0" w:color="auto"/>
              <w:left w:val="nil" w:sz="6" w:space="0" w:color="auto"/>
              <w:bottom w:val="single" w:sz="6" w:space="0" w:color="000000"/>
              <w:right w:val="nil" w:sz="6" w:space="0" w:color="auto"/>
            </w:tcBorders>
          </w:tcPr>
          <w:p>
            <w:pPr>
              <w:pStyle w:val="TableParagraph"/>
              <w:spacing w:line="240" w:lineRule="auto" w:before="13"/>
              <w:ind w:left="108" w:right="0"/>
              <w:jc w:val="left"/>
              <w:rPr>
                <w:rFonts w:ascii="宋体" w:hAnsi="宋体" w:cs="宋体" w:eastAsia="宋体" w:hint="default"/>
                <w:sz w:val="16"/>
                <w:szCs w:val="16"/>
              </w:rPr>
            </w:pPr>
            <w:r>
              <w:rPr>
                <w:rFonts w:ascii="宋体" w:hAnsi="宋体" w:cs="宋体" w:eastAsia="宋体" w:hint="default"/>
                <w:sz w:val="16"/>
                <w:szCs w:val="16"/>
              </w:rPr>
              <w:t>18</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SCP007</w:t>
            </w:r>
          </w:p>
        </w:tc>
        <w:tc>
          <w:tcPr>
            <w:tcW w:w="1822" w:type="dxa"/>
            <w:tcBorders>
              <w:top w:val="nil" w:sz="6" w:space="0" w:color="auto"/>
              <w:left w:val="nil" w:sz="6" w:space="0" w:color="auto"/>
              <w:bottom w:val="single" w:sz="6" w:space="0" w:color="000000"/>
              <w:right w:val="nil" w:sz="6" w:space="0" w:color="auto"/>
            </w:tcBorders>
          </w:tcPr>
          <w:p>
            <w:pPr>
              <w:pStyle w:val="TableParagraph"/>
              <w:spacing w:line="240" w:lineRule="auto" w:before="13"/>
              <w:ind w:right="223"/>
              <w:jc w:val="right"/>
              <w:rPr>
                <w:rFonts w:ascii="宋体" w:hAnsi="宋体" w:cs="宋体" w:eastAsia="宋体" w:hint="default"/>
                <w:sz w:val="16"/>
                <w:szCs w:val="16"/>
              </w:rPr>
            </w:pPr>
            <w:r>
              <w:rPr>
                <w:rFonts w:ascii="宋体"/>
                <w:spacing w:val="-2"/>
                <w:sz w:val="16"/>
              </w:rPr>
              <w:t>1,000,000,000.00</w:t>
            </w:r>
          </w:p>
        </w:tc>
        <w:tc>
          <w:tcPr>
            <w:tcW w:w="1303" w:type="dxa"/>
            <w:tcBorders>
              <w:top w:val="nil" w:sz="6" w:space="0" w:color="auto"/>
              <w:left w:val="nil" w:sz="6" w:space="0" w:color="auto"/>
              <w:bottom w:val="single" w:sz="6" w:space="0" w:color="000000"/>
              <w:right w:val="nil" w:sz="6" w:space="0" w:color="auto"/>
            </w:tcBorders>
          </w:tcPr>
          <w:p>
            <w:pPr>
              <w:pStyle w:val="TableParagraph"/>
              <w:spacing w:line="240" w:lineRule="auto" w:before="13"/>
              <w:ind w:right="197"/>
              <w:jc w:val="right"/>
              <w:rPr>
                <w:rFonts w:ascii="宋体" w:hAnsi="宋体" w:cs="宋体" w:eastAsia="宋体" w:hint="default"/>
                <w:sz w:val="16"/>
                <w:szCs w:val="16"/>
              </w:rPr>
            </w:pPr>
            <w:r>
              <w:rPr>
                <w:rFonts w:ascii="宋体"/>
                <w:spacing w:val="-2"/>
                <w:sz w:val="16"/>
              </w:rPr>
              <w:t>2018-12-11</w:t>
            </w:r>
            <w:r>
              <w:rPr>
                <w:rFonts w:ascii="宋体"/>
                <w:sz w:val="16"/>
              </w:rPr>
            </w:r>
          </w:p>
        </w:tc>
        <w:tc>
          <w:tcPr>
            <w:tcW w:w="1134" w:type="dxa"/>
            <w:tcBorders>
              <w:top w:val="nil" w:sz="6" w:space="0" w:color="auto"/>
              <w:left w:val="nil" w:sz="6" w:space="0" w:color="auto"/>
              <w:bottom w:val="single" w:sz="6" w:space="0" w:color="000000"/>
              <w:right w:val="nil" w:sz="6" w:space="0" w:color="auto"/>
            </w:tcBorders>
          </w:tcPr>
          <w:p>
            <w:pPr>
              <w:pStyle w:val="TableParagraph"/>
              <w:spacing w:line="240" w:lineRule="auto" w:before="13"/>
              <w:ind w:right="104"/>
              <w:jc w:val="right"/>
              <w:rPr>
                <w:rFonts w:ascii="宋体" w:hAnsi="宋体" w:cs="宋体" w:eastAsia="宋体" w:hint="default"/>
                <w:sz w:val="16"/>
                <w:szCs w:val="16"/>
              </w:rPr>
            </w:pPr>
            <w:r>
              <w:rPr>
                <w:rFonts w:ascii="宋体" w:hAnsi="宋体" w:cs="宋体" w:eastAsia="宋体" w:hint="default"/>
                <w:sz w:val="16"/>
                <w:szCs w:val="16"/>
              </w:rPr>
              <w:t>270</w:t>
            </w:r>
            <w:r>
              <w:rPr>
                <w:rFonts w:ascii="宋体" w:hAnsi="宋体" w:cs="宋体" w:eastAsia="宋体" w:hint="default"/>
                <w:spacing w:val="-41"/>
                <w:sz w:val="16"/>
                <w:szCs w:val="16"/>
              </w:rPr>
              <w:t> </w:t>
            </w:r>
            <w:r>
              <w:rPr>
                <w:rFonts w:ascii="宋体" w:hAnsi="宋体" w:cs="宋体" w:eastAsia="宋体" w:hint="default"/>
                <w:sz w:val="16"/>
                <w:szCs w:val="16"/>
              </w:rPr>
              <w:t>天</w:t>
            </w:r>
          </w:p>
        </w:tc>
        <w:tc>
          <w:tcPr>
            <w:tcW w:w="1586" w:type="dxa"/>
            <w:tcBorders>
              <w:top w:val="nil" w:sz="6" w:space="0" w:color="auto"/>
              <w:left w:val="nil" w:sz="6" w:space="0" w:color="auto"/>
              <w:bottom w:val="single" w:sz="6" w:space="0" w:color="000000"/>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spacing w:val="-2"/>
                <w:sz w:val="16"/>
              </w:rPr>
              <w:t>1,000,000,000.00</w:t>
            </w:r>
          </w:p>
        </w:tc>
        <w:tc>
          <w:tcPr>
            <w:tcW w:w="1507" w:type="dxa"/>
            <w:tcBorders>
              <w:top w:val="nil" w:sz="6" w:space="0" w:color="auto"/>
              <w:left w:val="nil" w:sz="6" w:space="0" w:color="auto"/>
              <w:bottom w:val="single" w:sz="6" w:space="0" w:color="000000"/>
              <w:right w:val="nil" w:sz="6" w:space="0" w:color="auto"/>
            </w:tcBorders>
          </w:tcPr>
          <w:p>
            <w:pPr>
              <w:pStyle w:val="TableParagraph"/>
              <w:spacing w:line="240" w:lineRule="auto" w:before="13"/>
              <w:ind w:right="104"/>
              <w:jc w:val="right"/>
              <w:rPr>
                <w:rFonts w:ascii="宋体" w:hAnsi="宋体" w:cs="宋体" w:eastAsia="宋体" w:hint="default"/>
                <w:sz w:val="16"/>
                <w:szCs w:val="16"/>
              </w:rPr>
            </w:pPr>
            <w:r>
              <w:rPr>
                <w:rFonts w:ascii="宋体"/>
                <w:spacing w:val="-1"/>
                <w:sz w:val="16"/>
              </w:rPr>
              <w:t>0.00</w:t>
            </w:r>
          </w:p>
        </w:tc>
      </w:tr>
      <w:tr>
        <w:trPr>
          <w:trHeight w:val="307" w:hRule="exact"/>
        </w:trPr>
        <w:tc>
          <w:tcPr>
            <w:tcW w:w="1373" w:type="dxa"/>
            <w:tcBorders>
              <w:top w:val="single" w:sz="6" w:space="0" w:color="000000"/>
              <w:left w:val="nil" w:sz="6" w:space="0" w:color="auto"/>
              <w:bottom w:val="single" w:sz="12" w:space="0" w:color="000000"/>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822" w:type="dxa"/>
            <w:tcBorders>
              <w:top w:val="single" w:sz="6" w:space="0" w:color="000000"/>
              <w:left w:val="nil" w:sz="6" w:space="0" w:color="auto"/>
              <w:bottom w:val="single" w:sz="12" w:space="0" w:color="000000"/>
              <w:right w:val="nil" w:sz="6" w:space="0" w:color="auto"/>
            </w:tcBorders>
          </w:tcPr>
          <w:p>
            <w:pPr>
              <w:pStyle w:val="TableParagraph"/>
              <w:spacing w:line="240" w:lineRule="auto" w:before="12"/>
              <w:ind w:right="226"/>
              <w:jc w:val="right"/>
              <w:rPr>
                <w:rFonts w:ascii="宋体" w:hAnsi="宋体" w:cs="宋体" w:eastAsia="宋体" w:hint="default"/>
                <w:sz w:val="16"/>
                <w:szCs w:val="16"/>
              </w:rPr>
            </w:pPr>
            <w:r>
              <w:rPr>
                <w:rFonts w:ascii="宋体"/>
                <w:b/>
                <w:spacing w:val="-1"/>
                <w:sz w:val="16"/>
              </w:rPr>
              <w:t>13,000,000,000.00</w:t>
            </w:r>
            <w:r>
              <w:rPr>
                <w:rFonts w:ascii="宋体"/>
                <w:spacing w:val="-1"/>
                <w:sz w:val="16"/>
              </w:rPr>
            </w:r>
          </w:p>
        </w:tc>
        <w:tc>
          <w:tcPr>
            <w:tcW w:w="1303" w:type="dxa"/>
            <w:tcBorders>
              <w:top w:val="single" w:sz="6" w:space="0" w:color="000000"/>
              <w:left w:val="nil" w:sz="6" w:space="0" w:color="auto"/>
              <w:bottom w:val="single" w:sz="12" w:space="0" w:color="000000"/>
              <w:right w:val="nil" w:sz="6" w:space="0" w:color="auto"/>
            </w:tcBorders>
          </w:tcPr>
          <w:p>
            <w:pPr>
              <w:pStyle w:val="TableParagraph"/>
              <w:spacing w:line="240" w:lineRule="auto" w:before="12"/>
              <w:ind w:right="209"/>
              <w:jc w:val="center"/>
              <w:rPr>
                <w:rFonts w:ascii="宋体" w:hAnsi="宋体" w:cs="宋体" w:eastAsia="宋体" w:hint="default"/>
                <w:sz w:val="16"/>
                <w:szCs w:val="16"/>
              </w:rPr>
            </w:pPr>
            <w:r>
              <w:rPr>
                <w:rFonts w:ascii="宋体" w:hAnsi="宋体" w:cs="宋体" w:eastAsia="宋体" w:hint="default"/>
                <w:w w:val="100"/>
                <w:sz w:val="16"/>
                <w:szCs w:val="16"/>
              </w:rPr>
              <w:t>—</w:t>
            </w:r>
          </w:p>
        </w:tc>
        <w:tc>
          <w:tcPr>
            <w:tcW w:w="1134" w:type="dxa"/>
            <w:tcBorders>
              <w:top w:val="single" w:sz="6" w:space="0" w:color="000000"/>
              <w:left w:val="nil" w:sz="6" w:space="0" w:color="auto"/>
              <w:bottom w:val="single" w:sz="12" w:space="0" w:color="000000"/>
              <w:right w:val="nil" w:sz="6" w:space="0" w:color="auto"/>
            </w:tcBorders>
          </w:tcPr>
          <w:p>
            <w:pPr>
              <w:pStyle w:val="TableParagraph"/>
              <w:spacing w:line="240" w:lineRule="auto" w:before="12"/>
              <w:ind w:right="92"/>
              <w:jc w:val="center"/>
              <w:rPr>
                <w:rFonts w:ascii="宋体" w:hAnsi="宋体" w:cs="宋体" w:eastAsia="宋体" w:hint="default"/>
                <w:sz w:val="16"/>
                <w:szCs w:val="16"/>
              </w:rPr>
            </w:pPr>
            <w:r>
              <w:rPr>
                <w:rFonts w:ascii="宋体" w:hAnsi="宋体" w:cs="宋体" w:eastAsia="宋体" w:hint="default"/>
                <w:w w:val="100"/>
                <w:sz w:val="16"/>
                <w:szCs w:val="16"/>
              </w:rPr>
              <w:t>—</w:t>
            </w:r>
          </w:p>
        </w:tc>
        <w:tc>
          <w:tcPr>
            <w:tcW w:w="1586" w:type="dxa"/>
            <w:tcBorders>
              <w:top w:val="single" w:sz="6" w:space="0" w:color="000000"/>
              <w:left w:val="nil" w:sz="6" w:space="0" w:color="auto"/>
              <w:bottom w:val="single" w:sz="12" w:space="0" w:color="000000"/>
              <w:right w:val="nil" w:sz="6" w:space="0" w:color="auto"/>
            </w:tcBorders>
          </w:tcPr>
          <w:p>
            <w:pPr>
              <w:pStyle w:val="TableParagraph"/>
              <w:spacing w:line="240" w:lineRule="auto" w:before="12"/>
              <w:ind w:right="107"/>
              <w:jc w:val="right"/>
              <w:rPr>
                <w:rFonts w:ascii="宋体" w:hAnsi="宋体" w:cs="宋体" w:eastAsia="宋体" w:hint="default"/>
                <w:sz w:val="16"/>
                <w:szCs w:val="16"/>
              </w:rPr>
            </w:pPr>
            <w:r>
              <w:rPr>
                <w:rFonts w:ascii="宋体"/>
                <w:b/>
                <w:spacing w:val="-1"/>
                <w:sz w:val="16"/>
              </w:rPr>
              <w:t>13,000,000,000.00</w:t>
            </w:r>
            <w:r>
              <w:rPr>
                <w:rFonts w:ascii="宋体"/>
                <w:spacing w:val="-1"/>
                <w:sz w:val="16"/>
              </w:rPr>
            </w:r>
          </w:p>
        </w:tc>
        <w:tc>
          <w:tcPr>
            <w:tcW w:w="1507" w:type="dxa"/>
            <w:tcBorders>
              <w:top w:val="single" w:sz="6" w:space="0" w:color="000000"/>
              <w:left w:val="nil" w:sz="6" w:space="0" w:color="auto"/>
              <w:bottom w:val="single" w:sz="12" w:space="0" w:color="000000"/>
              <w:right w:val="nil" w:sz="6" w:space="0" w:color="auto"/>
            </w:tcBorders>
          </w:tcPr>
          <w:p>
            <w:pPr>
              <w:pStyle w:val="TableParagraph"/>
              <w:spacing w:line="240" w:lineRule="auto" w:before="12"/>
              <w:ind w:right="106"/>
              <w:jc w:val="right"/>
              <w:rPr>
                <w:rFonts w:ascii="宋体" w:hAnsi="宋体" w:cs="宋体" w:eastAsia="宋体" w:hint="default"/>
                <w:sz w:val="16"/>
                <w:szCs w:val="16"/>
              </w:rPr>
            </w:pPr>
            <w:r>
              <w:rPr>
                <w:rFonts w:ascii="宋体"/>
                <w:b/>
                <w:spacing w:val="-1"/>
                <w:sz w:val="16"/>
              </w:rPr>
              <w:t>6,128,258,630.14</w:t>
            </w:r>
            <w:r>
              <w:rPr>
                <w:rFonts w:ascii="宋体"/>
                <w:spacing w:val="-1"/>
                <w:sz w:val="16"/>
              </w:rPr>
            </w:r>
          </w:p>
        </w:tc>
      </w:tr>
    </w:tbl>
    <w:p>
      <w:pPr>
        <w:spacing w:before="81"/>
        <w:ind w:left="647" w:right="4889" w:firstLine="0"/>
        <w:jc w:val="left"/>
        <w:rPr>
          <w:rFonts w:ascii="宋体" w:hAnsi="宋体" w:cs="宋体" w:eastAsia="宋体" w:hint="default"/>
          <w:sz w:val="22"/>
          <w:szCs w:val="22"/>
        </w:rPr>
      </w:pPr>
      <w:r>
        <w:rPr>
          <w:rFonts w:ascii="宋体" w:hAnsi="宋体" w:cs="宋体" w:eastAsia="宋体" w:hint="default"/>
          <w:sz w:val="22"/>
          <w:szCs w:val="22"/>
        </w:rPr>
        <w:t>（续）</w:t>
      </w:r>
    </w:p>
    <w:p>
      <w:pPr>
        <w:spacing w:line="240" w:lineRule="auto" w:before="11"/>
        <w:rPr>
          <w:rFonts w:ascii="宋体" w:hAnsi="宋体" w:cs="宋体" w:eastAsia="宋体" w:hint="default"/>
          <w:sz w:val="12"/>
          <w:szCs w:val="12"/>
        </w:rPr>
      </w:pPr>
    </w:p>
    <w:tbl>
      <w:tblPr>
        <w:tblW w:w="0" w:type="auto"/>
        <w:jc w:val="left"/>
        <w:tblInd w:w="143" w:type="dxa"/>
        <w:tblLayout w:type="fixed"/>
        <w:tblCellMar>
          <w:top w:w="0" w:type="dxa"/>
          <w:left w:w="0" w:type="dxa"/>
          <w:bottom w:w="0" w:type="dxa"/>
          <w:right w:w="0" w:type="dxa"/>
        </w:tblCellMar>
        <w:tblLook w:val="01E0"/>
      </w:tblPr>
      <w:tblGrid>
        <w:gridCol w:w="1353"/>
        <w:gridCol w:w="1669"/>
        <w:gridCol w:w="1456"/>
        <w:gridCol w:w="1271"/>
        <w:gridCol w:w="1511"/>
        <w:gridCol w:w="1375"/>
      </w:tblGrid>
      <w:tr>
        <w:trPr>
          <w:trHeight w:val="305" w:hRule="exact"/>
        </w:trPr>
        <w:tc>
          <w:tcPr>
            <w:tcW w:w="1353"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28" w:right="0"/>
              <w:jc w:val="left"/>
              <w:rPr>
                <w:rFonts w:ascii="宋体" w:hAnsi="宋体" w:cs="宋体" w:eastAsia="宋体" w:hint="default"/>
                <w:sz w:val="16"/>
                <w:szCs w:val="16"/>
              </w:rPr>
            </w:pPr>
            <w:r>
              <w:rPr>
                <w:rFonts w:ascii="宋体" w:hAnsi="宋体" w:cs="宋体" w:eastAsia="宋体" w:hint="default"/>
                <w:b/>
                <w:bCs/>
                <w:sz w:val="16"/>
                <w:szCs w:val="16"/>
              </w:rPr>
              <w:t>债券名称</w:t>
            </w:r>
            <w:r>
              <w:rPr>
                <w:rFonts w:ascii="宋体" w:hAnsi="宋体" w:cs="宋体" w:eastAsia="宋体" w:hint="default"/>
                <w:sz w:val="16"/>
                <w:szCs w:val="16"/>
              </w:rPr>
            </w:r>
          </w:p>
        </w:tc>
        <w:tc>
          <w:tcPr>
            <w:tcW w:w="1669"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559" w:right="0"/>
              <w:jc w:val="left"/>
              <w:rPr>
                <w:rFonts w:ascii="宋体" w:hAnsi="宋体" w:cs="宋体" w:eastAsia="宋体" w:hint="default"/>
                <w:sz w:val="16"/>
                <w:szCs w:val="16"/>
              </w:rPr>
            </w:pPr>
            <w:r>
              <w:rPr>
                <w:rFonts w:ascii="宋体" w:hAnsi="宋体" w:cs="宋体" w:eastAsia="宋体" w:hint="default"/>
                <w:b/>
                <w:bCs/>
                <w:sz w:val="16"/>
                <w:szCs w:val="16"/>
              </w:rPr>
              <w:t>本年发行</w:t>
            </w:r>
            <w:r>
              <w:rPr>
                <w:rFonts w:ascii="宋体" w:hAnsi="宋体" w:cs="宋体" w:eastAsia="宋体" w:hint="default"/>
                <w:sz w:val="16"/>
                <w:szCs w:val="16"/>
              </w:rPr>
            </w:r>
          </w:p>
        </w:tc>
        <w:tc>
          <w:tcPr>
            <w:tcW w:w="1456"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91" w:right="0"/>
              <w:jc w:val="left"/>
              <w:rPr>
                <w:rFonts w:ascii="宋体" w:hAnsi="宋体" w:cs="宋体" w:eastAsia="宋体" w:hint="default"/>
                <w:sz w:val="16"/>
                <w:szCs w:val="16"/>
              </w:rPr>
            </w:pPr>
            <w:r>
              <w:rPr>
                <w:rFonts w:ascii="宋体" w:hAnsi="宋体" w:cs="宋体" w:eastAsia="宋体" w:hint="default"/>
                <w:b/>
                <w:bCs/>
                <w:sz w:val="16"/>
                <w:szCs w:val="16"/>
              </w:rPr>
              <w:t>按面值计提利息</w:t>
            </w:r>
            <w:r>
              <w:rPr>
                <w:rFonts w:ascii="宋体" w:hAnsi="宋体" w:cs="宋体" w:eastAsia="宋体" w:hint="default"/>
                <w:sz w:val="16"/>
                <w:szCs w:val="16"/>
              </w:rPr>
            </w:r>
          </w:p>
        </w:tc>
        <w:tc>
          <w:tcPr>
            <w:tcW w:w="1271"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150" w:right="0"/>
              <w:jc w:val="left"/>
              <w:rPr>
                <w:rFonts w:ascii="宋体" w:hAnsi="宋体" w:cs="宋体" w:eastAsia="宋体" w:hint="default"/>
                <w:sz w:val="16"/>
                <w:szCs w:val="16"/>
              </w:rPr>
            </w:pPr>
            <w:r>
              <w:rPr>
                <w:rFonts w:ascii="宋体" w:hAnsi="宋体" w:cs="宋体" w:eastAsia="宋体" w:hint="default"/>
                <w:b/>
                <w:bCs/>
                <w:sz w:val="16"/>
                <w:szCs w:val="16"/>
              </w:rPr>
              <w:t>溢折价摊销</w:t>
            </w:r>
            <w:r>
              <w:rPr>
                <w:rFonts w:ascii="宋体" w:hAnsi="宋体" w:cs="宋体" w:eastAsia="宋体" w:hint="default"/>
                <w:sz w:val="16"/>
                <w:szCs w:val="16"/>
              </w:rPr>
            </w:r>
          </w:p>
        </w:tc>
        <w:tc>
          <w:tcPr>
            <w:tcW w:w="1511"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375" w:right="0"/>
              <w:jc w:val="left"/>
              <w:rPr>
                <w:rFonts w:ascii="宋体" w:hAnsi="宋体" w:cs="宋体" w:eastAsia="宋体" w:hint="default"/>
                <w:sz w:val="16"/>
                <w:szCs w:val="16"/>
              </w:rPr>
            </w:pPr>
            <w:r>
              <w:rPr>
                <w:rFonts w:ascii="宋体" w:hAnsi="宋体" w:cs="宋体" w:eastAsia="宋体" w:hint="default"/>
                <w:b/>
                <w:bCs/>
                <w:sz w:val="16"/>
                <w:szCs w:val="16"/>
              </w:rPr>
              <w:t>本年偿还</w:t>
            </w:r>
            <w:r>
              <w:rPr>
                <w:rFonts w:ascii="宋体" w:hAnsi="宋体" w:cs="宋体" w:eastAsia="宋体" w:hint="default"/>
                <w:sz w:val="16"/>
                <w:szCs w:val="16"/>
              </w:rPr>
            </w:r>
          </w:p>
        </w:tc>
        <w:tc>
          <w:tcPr>
            <w:tcW w:w="1375"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352" w:right="0"/>
              <w:jc w:val="left"/>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tc>
      </w:tr>
      <w:tr>
        <w:trPr>
          <w:trHeight w:val="289" w:hRule="exact"/>
        </w:trPr>
        <w:tc>
          <w:tcPr>
            <w:tcW w:w="1353"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28" w:right="0"/>
              <w:jc w:val="left"/>
              <w:rPr>
                <w:rFonts w:ascii="宋体" w:hAnsi="宋体" w:cs="宋体" w:eastAsia="宋体" w:hint="default"/>
                <w:sz w:val="16"/>
                <w:szCs w:val="16"/>
              </w:rPr>
            </w:pPr>
            <w:r>
              <w:rPr>
                <w:rFonts w:ascii="宋体" w:hAnsi="宋体" w:cs="宋体" w:eastAsia="宋体" w:hint="default"/>
                <w:sz w:val="16"/>
                <w:szCs w:val="16"/>
              </w:rPr>
              <w:t>17</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SCP001</w:t>
            </w:r>
          </w:p>
        </w:tc>
        <w:tc>
          <w:tcPr>
            <w:tcW w:w="166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89"/>
              <w:jc w:val="right"/>
              <w:rPr>
                <w:rFonts w:ascii="宋体" w:hAnsi="宋体" w:cs="宋体" w:eastAsia="宋体" w:hint="default"/>
                <w:sz w:val="16"/>
                <w:szCs w:val="16"/>
              </w:rPr>
            </w:pPr>
            <w:r>
              <w:rPr>
                <w:rFonts w:ascii="宋体"/>
                <w:spacing w:val="-1"/>
                <w:sz w:val="16"/>
              </w:rPr>
              <w:t>0.00</w:t>
            </w:r>
          </w:p>
        </w:tc>
        <w:tc>
          <w:tcPr>
            <w:tcW w:w="145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49"/>
              <w:jc w:val="right"/>
              <w:rPr>
                <w:rFonts w:ascii="宋体" w:hAnsi="宋体" w:cs="宋体" w:eastAsia="宋体" w:hint="default"/>
                <w:sz w:val="16"/>
                <w:szCs w:val="16"/>
              </w:rPr>
            </w:pPr>
            <w:r>
              <w:rPr>
                <w:rFonts w:ascii="宋体"/>
                <w:spacing w:val="-2"/>
                <w:sz w:val="16"/>
              </w:rPr>
              <w:t>1,097,260.27</w:t>
            </w:r>
          </w:p>
        </w:tc>
        <w:tc>
          <w:tcPr>
            <w:tcW w:w="127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11"/>
              <w:jc w:val="right"/>
              <w:rPr>
                <w:rFonts w:ascii="宋体" w:hAnsi="宋体" w:cs="宋体" w:eastAsia="宋体" w:hint="default"/>
                <w:sz w:val="16"/>
                <w:szCs w:val="16"/>
              </w:rPr>
            </w:pPr>
            <w:r>
              <w:rPr>
                <w:rFonts w:ascii="宋体"/>
                <w:spacing w:val="-1"/>
                <w:sz w:val="16"/>
              </w:rPr>
              <w:t>0.00</w:t>
            </w:r>
          </w:p>
        </w:tc>
        <w:tc>
          <w:tcPr>
            <w:tcW w:w="151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2"/>
                <w:sz w:val="16"/>
              </w:rPr>
              <w:t>1,032,917,808.22</w:t>
            </w:r>
          </w:p>
        </w:tc>
        <w:tc>
          <w:tcPr>
            <w:tcW w:w="137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23"/>
              <w:jc w:val="right"/>
              <w:rPr>
                <w:rFonts w:ascii="宋体" w:hAnsi="宋体" w:cs="宋体" w:eastAsia="宋体" w:hint="default"/>
                <w:sz w:val="16"/>
                <w:szCs w:val="16"/>
              </w:rPr>
            </w:pPr>
            <w:r>
              <w:rPr>
                <w:rFonts w:ascii="宋体"/>
                <w:spacing w:val="-1"/>
                <w:sz w:val="16"/>
              </w:rPr>
              <w:t>0.00</w:t>
            </w:r>
          </w:p>
        </w:tc>
      </w:tr>
      <w:tr>
        <w:trPr>
          <w:trHeight w:val="286"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6"/>
                <w:szCs w:val="16"/>
              </w:rPr>
            </w:pPr>
            <w:r>
              <w:rPr>
                <w:rFonts w:ascii="宋体" w:hAnsi="宋体" w:cs="宋体" w:eastAsia="宋体" w:hint="default"/>
                <w:sz w:val="16"/>
                <w:szCs w:val="16"/>
              </w:rPr>
              <w:t>17</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SCP002</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9"/>
              <w:jc w:val="right"/>
              <w:rPr>
                <w:rFonts w:ascii="宋体" w:hAnsi="宋体" w:cs="宋体" w:eastAsia="宋体" w:hint="default"/>
                <w:sz w:val="16"/>
                <w:szCs w:val="16"/>
              </w:rPr>
            </w:pPr>
            <w:r>
              <w:rPr>
                <w:rFonts w:ascii="宋体"/>
                <w:spacing w:val="-1"/>
                <w:sz w:val="16"/>
              </w:rPr>
              <w:t>0.00</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9"/>
              <w:jc w:val="right"/>
              <w:rPr>
                <w:rFonts w:ascii="宋体" w:hAnsi="宋体" w:cs="宋体" w:eastAsia="宋体" w:hint="default"/>
                <w:sz w:val="16"/>
                <w:szCs w:val="16"/>
              </w:rPr>
            </w:pPr>
            <w:r>
              <w:rPr>
                <w:rFonts w:ascii="宋体"/>
                <w:spacing w:val="-2"/>
                <w:sz w:val="16"/>
              </w:rPr>
              <w:t>9,567,123.29</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9"/>
              <w:jc w:val="right"/>
              <w:rPr>
                <w:rFonts w:ascii="宋体" w:hAnsi="宋体" w:cs="宋体" w:eastAsia="宋体" w:hint="default"/>
                <w:sz w:val="16"/>
                <w:szCs w:val="16"/>
              </w:rPr>
            </w:pPr>
            <w:r>
              <w:rPr>
                <w:rFonts w:ascii="宋体"/>
                <w:spacing w:val="-1"/>
                <w:sz w:val="16"/>
              </w:rPr>
              <w:t>0.00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5" w:right="0"/>
              <w:jc w:val="left"/>
              <w:rPr>
                <w:rFonts w:ascii="宋体" w:hAnsi="宋体" w:cs="宋体" w:eastAsia="宋体" w:hint="default"/>
                <w:sz w:val="16"/>
                <w:szCs w:val="16"/>
              </w:rPr>
            </w:pPr>
            <w:r>
              <w:rPr>
                <w:rFonts w:ascii="宋体"/>
                <w:sz w:val="16"/>
              </w:rPr>
              <w:t>1,035,876,712.33</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3"/>
              <w:jc w:val="right"/>
              <w:rPr>
                <w:rFonts w:ascii="宋体" w:hAnsi="宋体" w:cs="宋体" w:eastAsia="宋体" w:hint="default"/>
                <w:sz w:val="16"/>
                <w:szCs w:val="16"/>
              </w:rPr>
            </w:pPr>
            <w:r>
              <w:rPr>
                <w:rFonts w:ascii="宋体"/>
                <w:spacing w:val="-1"/>
                <w:sz w:val="16"/>
              </w:rPr>
              <w:t>0.00</w:t>
            </w:r>
          </w:p>
        </w:tc>
      </w:tr>
      <w:tr>
        <w:trPr>
          <w:trHeight w:val="286"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6"/>
                <w:szCs w:val="16"/>
              </w:rPr>
            </w:pPr>
            <w:r>
              <w:rPr>
                <w:rFonts w:ascii="宋体" w:hAnsi="宋体" w:cs="宋体" w:eastAsia="宋体" w:hint="default"/>
                <w:sz w:val="16"/>
                <w:szCs w:val="16"/>
              </w:rPr>
              <w:t>17</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SCP003</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9"/>
              <w:jc w:val="right"/>
              <w:rPr>
                <w:rFonts w:ascii="宋体" w:hAnsi="宋体" w:cs="宋体" w:eastAsia="宋体" w:hint="default"/>
                <w:sz w:val="16"/>
                <w:szCs w:val="16"/>
              </w:rPr>
            </w:pPr>
            <w:r>
              <w:rPr>
                <w:rFonts w:ascii="宋体"/>
                <w:spacing w:val="-1"/>
                <w:sz w:val="16"/>
              </w:rPr>
              <w:t>0.00</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8"/>
              <w:jc w:val="right"/>
              <w:rPr>
                <w:rFonts w:ascii="宋体" w:hAnsi="宋体" w:cs="宋体" w:eastAsia="宋体" w:hint="default"/>
                <w:sz w:val="16"/>
                <w:szCs w:val="16"/>
              </w:rPr>
            </w:pPr>
            <w:r>
              <w:rPr>
                <w:rFonts w:ascii="宋体"/>
                <w:spacing w:val="-2"/>
                <w:sz w:val="16"/>
              </w:rPr>
              <w:t>10,289,315.06</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9"/>
              <w:jc w:val="right"/>
              <w:rPr>
                <w:rFonts w:ascii="宋体" w:hAnsi="宋体" w:cs="宋体" w:eastAsia="宋体" w:hint="default"/>
                <w:sz w:val="16"/>
                <w:szCs w:val="16"/>
              </w:rPr>
            </w:pPr>
            <w:r>
              <w:rPr>
                <w:rFonts w:ascii="宋体"/>
                <w:spacing w:val="-1"/>
                <w:sz w:val="16"/>
              </w:rPr>
              <w:t>0.00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5" w:right="0"/>
              <w:jc w:val="left"/>
              <w:rPr>
                <w:rFonts w:ascii="宋体" w:hAnsi="宋体" w:cs="宋体" w:eastAsia="宋体" w:hint="default"/>
                <w:sz w:val="16"/>
                <w:szCs w:val="16"/>
              </w:rPr>
            </w:pPr>
            <w:r>
              <w:rPr>
                <w:rFonts w:ascii="宋体"/>
                <w:sz w:val="16"/>
              </w:rPr>
              <w:t>1,032,624,657.53</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3"/>
              <w:jc w:val="right"/>
              <w:rPr>
                <w:rFonts w:ascii="宋体" w:hAnsi="宋体" w:cs="宋体" w:eastAsia="宋体" w:hint="default"/>
                <w:sz w:val="16"/>
                <w:szCs w:val="16"/>
              </w:rPr>
            </w:pPr>
            <w:r>
              <w:rPr>
                <w:rFonts w:ascii="宋体"/>
                <w:spacing w:val="-1"/>
                <w:sz w:val="16"/>
              </w:rPr>
              <w:t>0.00</w:t>
            </w:r>
          </w:p>
        </w:tc>
      </w:tr>
      <w:tr>
        <w:trPr>
          <w:trHeight w:val="284"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6"/>
                <w:szCs w:val="16"/>
              </w:rPr>
            </w:pPr>
            <w:r>
              <w:rPr>
                <w:rFonts w:ascii="宋体" w:hAnsi="宋体" w:cs="宋体" w:eastAsia="宋体" w:hint="default"/>
                <w:sz w:val="16"/>
                <w:szCs w:val="16"/>
              </w:rPr>
              <w:t>17</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SCP004</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9"/>
              <w:jc w:val="right"/>
              <w:rPr>
                <w:rFonts w:ascii="宋体" w:hAnsi="宋体" w:cs="宋体" w:eastAsia="宋体" w:hint="default"/>
                <w:sz w:val="16"/>
                <w:szCs w:val="16"/>
              </w:rPr>
            </w:pPr>
            <w:r>
              <w:rPr>
                <w:rFonts w:ascii="宋体"/>
                <w:spacing w:val="-1"/>
                <w:sz w:val="16"/>
              </w:rPr>
              <w:t>0.00</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8"/>
              <w:jc w:val="right"/>
              <w:rPr>
                <w:rFonts w:ascii="宋体" w:hAnsi="宋体" w:cs="宋体" w:eastAsia="宋体" w:hint="default"/>
                <w:sz w:val="16"/>
                <w:szCs w:val="16"/>
              </w:rPr>
            </w:pPr>
            <w:r>
              <w:rPr>
                <w:rFonts w:ascii="宋体"/>
                <w:spacing w:val="-2"/>
                <w:sz w:val="16"/>
              </w:rPr>
              <w:t>12,793,424.66</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9"/>
              <w:jc w:val="right"/>
              <w:rPr>
                <w:rFonts w:ascii="宋体" w:hAnsi="宋体" w:cs="宋体" w:eastAsia="宋体" w:hint="default"/>
                <w:sz w:val="16"/>
                <w:szCs w:val="16"/>
              </w:rPr>
            </w:pPr>
            <w:r>
              <w:rPr>
                <w:rFonts w:ascii="宋体"/>
                <w:spacing w:val="-1"/>
                <w:sz w:val="16"/>
              </w:rPr>
              <w:t>0.00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5" w:right="0"/>
              <w:jc w:val="left"/>
              <w:rPr>
                <w:rFonts w:ascii="宋体" w:hAnsi="宋体" w:cs="宋体" w:eastAsia="宋体" w:hint="default"/>
                <w:sz w:val="16"/>
                <w:szCs w:val="16"/>
              </w:rPr>
            </w:pPr>
            <w:r>
              <w:rPr>
                <w:rFonts w:ascii="宋体"/>
                <w:sz w:val="16"/>
              </w:rPr>
              <w:t>1,033,213,698.63</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3"/>
              <w:jc w:val="right"/>
              <w:rPr>
                <w:rFonts w:ascii="宋体" w:hAnsi="宋体" w:cs="宋体" w:eastAsia="宋体" w:hint="default"/>
                <w:sz w:val="16"/>
                <w:szCs w:val="16"/>
              </w:rPr>
            </w:pPr>
            <w:r>
              <w:rPr>
                <w:rFonts w:ascii="宋体"/>
                <w:spacing w:val="-1"/>
                <w:sz w:val="16"/>
              </w:rPr>
              <w:t>0.00</w:t>
            </w:r>
          </w:p>
        </w:tc>
      </w:tr>
      <w:tr>
        <w:trPr>
          <w:trHeight w:val="284"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 w:right="0"/>
              <w:jc w:val="left"/>
              <w:rPr>
                <w:rFonts w:ascii="宋体" w:hAnsi="宋体" w:cs="宋体" w:eastAsia="宋体" w:hint="default"/>
                <w:sz w:val="16"/>
                <w:szCs w:val="16"/>
              </w:rPr>
            </w:pPr>
            <w:r>
              <w:rPr>
                <w:rFonts w:ascii="宋体" w:hAnsi="宋体" w:cs="宋体" w:eastAsia="宋体" w:hint="default"/>
                <w:sz w:val="16"/>
                <w:szCs w:val="16"/>
              </w:rPr>
              <w:t>17</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SCP005</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9"/>
              <w:jc w:val="right"/>
              <w:rPr>
                <w:rFonts w:ascii="宋体" w:hAnsi="宋体" w:cs="宋体" w:eastAsia="宋体" w:hint="default"/>
                <w:sz w:val="16"/>
                <w:szCs w:val="16"/>
              </w:rPr>
            </w:pPr>
            <w:r>
              <w:rPr>
                <w:rFonts w:ascii="宋体"/>
                <w:spacing w:val="-1"/>
                <w:sz w:val="16"/>
              </w:rPr>
              <w:t>0.00</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8"/>
              <w:jc w:val="right"/>
              <w:rPr>
                <w:rFonts w:ascii="宋体" w:hAnsi="宋体" w:cs="宋体" w:eastAsia="宋体" w:hint="default"/>
                <w:sz w:val="16"/>
                <w:szCs w:val="16"/>
              </w:rPr>
            </w:pPr>
            <w:r>
              <w:rPr>
                <w:rFonts w:ascii="宋体"/>
                <w:spacing w:val="-2"/>
                <w:sz w:val="16"/>
              </w:rPr>
              <w:t>14,649,041.10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9"/>
              <w:jc w:val="right"/>
              <w:rPr>
                <w:rFonts w:ascii="宋体" w:hAnsi="宋体" w:cs="宋体" w:eastAsia="宋体" w:hint="default"/>
                <w:sz w:val="16"/>
                <w:szCs w:val="16"/>
              </w:rPr>
            </w:pPr>
            <w:r>
              <w:rPr>
                <w:rFonts w:ascii="宋体"/>
                <w:spacing w:val="-1"/>
                <w:sz w:val="16"/>
              </w:rPr>
              <w:t>0.00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5" w:right="0"/>
              <w:jc w:val="left"/>
              <w:rPr>
                <w:rFonts w:ascii="宋体" w:hAnsi="宋体" w:cs="宋体" w:eastAsia="宋体" w:hint="default"/>
                <w:sz w:val="16"/>
                <w:szCs w:val="16"/>
              </w:rPr>
            </w:pPr>
            <w:r>
              <w:rPr>
                <w:rFonts w:ascii="宋体"/>
                <w:sz w:val="16"/>
              </w:rPr>
              <w:t>1,032,553,424.66</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3"/>
              <w:jc w:val="right"/>
              <w:rPr>
                <w:rFonts w:ascii="宋体" w:hAnsi="宋体" w:cs="宋体" w:eastAsia="宋体" w:hint="default"/>
                <w:sz w:val="16"/>
                <w:szCs w:val="16"/>
              </w:rPr>
            </w:pPr>
            <w:r>
              <w:rPr>
                <w:rFonts w:ascii="宋体"/>
                <w:spacing w:val="-1"/>
                <w:sz w:val="16"/>
              </w:rPr>
              <w:t>0.00</w:t>
            </w:r>
          </w:p>
        </w:tc>
      </w:tr>
      <w:tr>
        <w:trPr>
          <w:trHeight w:val="286"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6"/>
                <w:szCs w:val="16"/>
              </w:rPr>
            </w:pPr>
            <w:r>
              <w:rPr>
                <w:rFonts w:ascii="宋体" w:hAnsi="宋体" w:cs="宋体" w:eastAsia="宋体" w:hint="default"/>
                <w:sz w:val="16"/>
                <w:szCs w:val="16"/>
              </w:rPr>
              <w:t>17</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SCP006</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9"/>
              <w:jc w:val="right"/>
              <w:rPr>
                <w:rFonts w:ascii="宋体" w:hAnsi="宋体" w:cs="宋体" w:eastAsia="宋体" w:hint="default"/>
                <w:sz w:val="16"/>
                <w:szCs w:val="16"/>
              </w:rPr>
            </w:pPr>
            <w:r>
              <w:rPr>
                <w:rFonts w:ascii="宋体"/>
                <w:spacing w:val="-1"/>
                <w:sz w:val="16"/>
              </w:rPr>
              <w:t>0.00</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8"/>
              <w:jc w:val="right"/>
              <w:rPr>
                <w:rFonts w:ascii="宋体" w:hAnsi="宋体" w:cs="宋体" w:eastAsia="宋体" w:hint="default"/>
                <w:sz w:val="16"/>
                <w:szCs w:val="16"/>
              </w:rPr>
            </w:pPr>
            <w:r>
              <w:rPr>
                <w:rFonts w:ascii="宋体"/>
                <w:spacing w:val="-2"/>
                <w:sz w:val="16"/>
              </w:rPr>
              <w:t>26,038,356.17</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9"/>
              <w:jc w:val="right"/>
              <w:rPr>
                <w:rFonts w:ascii="宋体" w:hAnsi="宋体" w:cs="宋体" w:eastAsia="宋体" w:hint="default"/>
                <w:sz w:val="16"/>
                <w:szCs w:val="16"/>
              </w:rPr>
            </w:pPr>
            <w:r>
              <w:rPr>
                <w:rFonts w:ascii="宋体"/>
                <w:spacing w:val="-1"/>
                <w:sz w:val="16"/>
              </w:rPr>
              <w:t>0.00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5" w:right="0"/>
              <w:jc w:val="left"/>
              <w:rPr>
                <w:rFonts w:ascii="宋体" w:hAnsi="宋体" w:cs="宋体" w:eastAsia="宋体" w:hint="default"/>
                <w:sz w:val="16"/>
                <w:szCs w:val="16"/>
              </w:rPr>
            </w:pPr>
            <w:r>
              <w:rPr>
                <w:rFonts w:ascii="宋体"/>
                <w:sz w:val="16"/>
              </w:rPr>
              <w:t>1,035,506,849.32</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3"/>
              <w:jc w:val="right"/>
              <w:rPr>
                <w:rFonts w:ascii="宋体" w:hAnsi="宋体" w:cs="宋体" w:eastAsia="宋体" w:hint="default"/>
                <w:sz w:val="16"/>
                <w:szCs w:val="16"/>
              </w:rPr>
            </w:pPr>
            <w:r>
              <w:rPr>
                <w:rFonts w:ascii="宋体"/>
                <w:spacing w:val="-1"/>
                <w:sz w:val="16"/>
              </w:rPr>
              <w:t>0.00</w:t>
            </w:r>
          </w:p>
        </w:tc>
      </w:tr>
      <w:tr>
        <w:trPr>
          <w:trHeight w:val="286"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6"/>
                <w:szCs w:val="16"/>
              </w:rPr>
            </w:pPr>
            <w:r>
              <w:rPr>
                <w:rFonts w:ascii="宋体" w:hAnsi="宋体" w:cs="宋体" w:eastAsia="宋体" w:hint="default"/>
                <w:sz w:val="16"/>
                <w:szCs w:val="16"/>
              </w:rPr>
              <w:t>18</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SCP001</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0"/>
              <w:jc w:val="right"/>
              <w:rPr>
                <w:rFonts w:ascii="宋体" w:hAnsi="宋体" w:cs="宋体" w:eastAsia="宋体" w:hint="default"/>
                <w:sz w:val="16"/>
                <w:szCs w:val="16"/>
              </w:rPr>
            </w:pPr>
            <w:r>
              <w:rPr>
                <w:rFonts w:ascii="宋体"/>
                <w:spacing w:val="-2"/>
                <w:sz w:val="16"/>
              </w:rPr>
              <w:t>1,000,000,000.00</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8"/>
              <w:jc w:val="right"/>
              <w:rPr>
                <w:rFonts w:ascii="宋体" w:hAnsi="宋体" w:cs="宋体" w:eastAsia="宋体" w:hint="default"/>
                <w:sz w:val="16"/>
                <w:szCs w:val="16"/>
              </w:rPr>
            </w:pPr>
            <w:r>
              <w:rPr>
                <w:rFonts w:ascii="宋体"/>
                <w:spacing w:val="-2"/>
                <w:sz w:val="16"/>
              </w:rPr>
              <w:t>37,468,493.15</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9"/>
              <w:jc w:val="right"/>
              <w:rPr>
                <w:rFonts w:ascii="宋体" w:hAnsi="宋体" w:cs="宋体" w:eastAsia="宋体" w:hint="default"/>
                <w:sz w:val="16"/>
                <w:szCs w:val="16"/>
              </w:rPr>
            </w:pPr>
            <w:r>
              <w:rPr>
                <w:rFonts w:ascii="宋体"/>
                <w:spacing w:val="-1"/>
                <w:sz w:val="16"/>
              </w:rPr>
              <w:t>0.00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5" w:right="0"/>
              <w:jc w:val="left"/>
              <w:rPr>
                <w:rFonts w:ascii="宋体" w:hAnsi="宋体" w:cs="宋体" w:eastAsia="宋体" w:hint="default"/>
                <w:sz w:val="16"/>
                <w:szCs w:val="16"/>
              </w:rPr>
            </w:pPr>
            <w:r>
              <w:rPr>
                <w:rFonts w:ascii="宋体"/>
                <w:sz w:val="16"/>
              </w:rPr>
              <w:t>1,037,468,493.15</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3"/>
              <w:jc w:val="right"/>
              <w:rPr>
                <w:rFonts w:ascii="宋体" w:hAnsi="宋体" w:cs="宋体" w:eastAsia="宋体" w:hint="default"/>
                <w:sz w:val="16"/>
                <w:szCs w:val="16"/>
              </w:rPr>
            </w:pPr>
            <w:r>
              <w:rPr>
                <w:rFonts w:ascii="宋体"/>
                <w:spacing w:val="-1"/>
                <w:sz w:val="16"/>
              </w:rPr>
              <w:t>0.00</w:t>
            </w:r>
          </w:p>
        </w:tc>
      </w:tr>
      <w:tr>
        <w:trPr>
          <w:trHeight w:val="285"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6"/>
                <w:szCs w:val="16"/>
              </w:rPr>
            </w:pPr>
            <w:r>
              <w:rPr>
                <w:rFonts w:ascii="宋体" w:hAnsi="宋体" w:cs="宋体" w:eastAsia="宋体" w:hint="default"/>
                <w:sz w:val="16"/>
                <w:szCs w:val="16"/>
              </w:rPr>
              <w:t>18</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SCP002</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0"/>
              <w:jc w:val="right"/>
              <w:rPr>
                <w:rFonts w:ascii="宋体" w:hAnsi="宋体" w:cs="宋体" w:eastAsia="宋体" w:hint="default"/>
                <w:sz w:val="16"/>
                <w:szCs w:val="16"/>
              </w:rPr>
            </w:pPr>
            <w:r>
              <w:rPr>
                <w:rFonts w:ascii="宋体"/>
                <w:spacing w:val="-2"/>
                <w:sz w:val="16"/>
              </w:rPr>
              <w:t>1,000,000,000.00</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8"/>
              <w:jc w:val="right"/>
              <w:rPr>
                <w:rFonts w:ascii="宋体" w:hAnsi="宋体" w:cs="宋体" w:eastAsia="宋体" w:hint="default"/>
                <w:sz w:val="16"/>
                <w:szCs w:val="16"/>
              </w:rPr>
            </w:pPr>
            <w:r>
              <w:rPr>
                <w:rFonts w:ascii="宋体"/>
                <w:spacing w:val="-2"/>
                <w:sz w:val="16"/>
              </w:rPr>
              <w:t>38,095,890.41</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9"/>
              <w:jc w:val="right"/>
              <w:rPr>
                <w:rFonts w:ascii="宋体" w:hAnsi="宋体" w:cs="宋体" w:eastAsia="宋体" w:hint="default"/>
                <w:sz w:val="16"/>
                <w:szCs w:val="16"/>
              </w:rPr>
            </w:pPr>
            <w:r>
              <w:rPr>
                <w:rFonts w:ascii="宋体"/>
                <w:spacing w:val="-1"/>
                <w:sz w:val="16"/>
              </w:rPr>
              <w:t>0.00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5" w:right="0"/>
              <w:jc w:val="left"/>
              <w:rPr>
                <w:rFonts w:ascii="宋体" w:hAnsi="宋体" w:cs="宋体" w:eastAsia="宋体" w:hint="default"/>
                <w:sz w:val="16"/>
                <w:szCs w:val="16"/>
              </w:rPr>
            </w:pPr>
            <w:r>
              <w:rPr>
                <w:rFonts w:ascii="宋体"/>
                <w:sz w:val="16"/>
              </w:rPr>
              <w:t>1,038,095,890.41</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3"/>
              <w:jc w:val="right"/>
              <w:rPr>
                <w:rFonts w:ascii="宋体" w:hAnsi="宋体" w:cs="宋体" w:eastAsia="宋体" w:hint="default"/>
                <w:sz w:val="16"/>
                <w:szCs w:val="16"/>
              </w:rPr>
            </w:pPr>
            <w:r>
              <w:rPr>
                <w:rFonts w:ascii="宋体"/>
                <w:spacing w:val="-1"/>
                <w:sz w:val="16"/>
              </w:rPr>
              <w:t>0.00</w:t>
            </w:r>
          </w:p>
        </w:tc>
      </w:tr>
      <w:tr>
        <w:trPr>
          <w:trHeight w:val="285"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6"/>
                <w:szCs w:val="16"/>
              </w:rPr>
            </w:pPr>
            <w:r>
              <w:rPr>
                <w:rFonts w:ascii="宋体" w:hAnsi="宋体" w:cs="宋体" w:eastAsia="宋体" w:hint="default"/>
                <w:sz w:val="16"/>
                <w:szCs w:val="16"/>
              </w:rPr>
              <w:t>18</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SCP003</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0"/>
              <w:jc w:val="right"/>
              <w:rPr>
                <w:rFonts w:ascii="宋体" w:hAnsi="宋体" w:cs="宋体" w:eastAsia="宋体" w:hint="default"/>
                <w:sz w:val="16"/>
                <w:szCs w:val="16"/>
              </w:rPr>
            </w:pPr>
            <w:r>
              <w:rPr>
                <w:rFonts w:ascii="宋体"/>
                <w:spacing w:val="-2"/>
                <w:sz w:val="16"/>
              </w:rPr>
              <w:t>1,000,000,000.00</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8"/>
              <w:jc w:val="right"/>
              <w:rPr>
                <w:rFonts w:ascii="宋体" w:hAnsi="宋体" w:cs="宋体" w:eastAsia="宋体" w:hint="default"/>
                <w:sz w:val="16"/>
                <w:szCs w:val="16"/>
              </w:rPr>
            </w:pPr>
            <w:r>
              <w:rPr>
                <w:rFonts w:ascii="宋体"/>
                <w:spacing w:val="-2"/>
                <w:sz w:val="16"/>
              </w:rPr>
              <w:t>38,391,780.82</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9"/>
              <w:jc w:val="right"/>
              <w:rPr>
                <w:rFonts w:ascii="宋体" w:hAnsi="宋体" w:cs="宋体" w:eastAsia="宋体" w:hint="default"/>
                <w:sz w:val="16"/>
                <w:szCs w:val="16"/>
              </w:rPr>
            </w:pPr>
            <w:r>
              <w:rPr>
                <w:rFonts w:ascii="宋体"/>
                <w:spacing w:val="-1"/>
                <w:sz w:val="16"/>
              </w:rPr>
              <w:t>0.00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5" w:right="0"/>
              <w:jc w:val="left"/>
              <w:rPr>
                <w:rFonts w:ascii="宋体" w:hAnsi="宋体" w:cs="宋体" w:eastAsia="宋体" w:hint="default"/>
                <w:sz w:val="16"/>
                <w:szCs w:val="16"/>
              </w:rPr>
            </w:pPr>
            <w:r>
              <w:rPr>
                <w:rFonts w:ascii="宋体"/>
                <w:sz w:val="16"/>
              </w:rPr>
              <w:t>1,038,391,780.82</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3"/>
              <w:jc w:val="right"/>
              <w:rPr>
                <w:rFonts w:ascii="宋体" w:hAnsi="宋体" w:cs="宋体" w:eastAsia="宋体" w:hint="default"/>
                <w:sz w:val="16"/>
                <w:szCs w:val="16"/>
              </w:rPr>
            </w:pPr>
            <w:r>
              <w:rPr>
                <w:rFonts w:ascii="宋体"/>
                <w:spacing w:val="-1"/>
                <w:sz w:val="16"/>
              </w:rPr>
              <w:t>0.00</w:t>
            </w:r>
          </w:p>
        </w:tc>
      </w:tr>
      <w:tr>
        <w:trPr>
          <w:trHeight w:val="286"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6"/>
                <w:szCs w:val="16"/>
              </w:rPr>
            </w:pPr>
            <w:r>
              <w:rPr>
                <w:rFonts w:ascii="宋体" w:hAnsi="宋体" w:cs="宋体" w:eastAsia="宋体" w:hint="default"/>
                <w:sz w:val="16"/>
                <w:szCs w:val="16"/>
              </w:rPr>
              <w:t>18</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SCP004</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0"/>
              <w:jc w:val="right"/>
              <w:rPr>
                <w:rFonts w:ascii="宋体" w:hAnsi="宋体" w:cs="宋体" w:eastAsia="宋体" w:hint="default"/>
                <w:sz w:val="16"/>
                <w:szCs w:val="16"/>
              </w:rPr>
            </w:pPr>
            <w:r>
              <w:rPr>
                <w:rFonts w:ascii="宋体"/>
                <w:spacing w:val="-2"/>
                <w:sz w:val="16"/>
              </w:rPr>
              <w:t>1,000,000,000.00</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8"/>
              <w:jc w:val="right"/>
              <w:rPr>
                <w:rFonts w:ascii="宋体" w:hAnsi="宋体" w:cs="宋体" w:eastAsia="宋体" w:hint="default"/>
                <w:sz w:val="16"/>
                <w:szCs w:val="16"/>
              </w:rPr>
            </w:pPr>
            <w:r>
              <w:rPr>
                <w:rFonts w:ascii="宋体"/>
                <w:spacing w:val="-2"/>
                <w:sz w:val="16"/>
              </w:rPr>
              <w:t>17,773,150.68</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9"/>
              <w:jc w:val="right"/>
              <w:rPr>
                <w:rFonts w:ascii="宋体" w:hAnsi="宋体" w:cs="宋体" w:eastAsia="宋体" w:hint="default"/>
                <w:sz w:val="16"/>
                <w:szCs w:val="16"/>
              </w:rPr>
            </w:pPr>
            <w:r>
              <w:rPr>
                <w:rFonts w:ascii="宋体"/>
                <w:spacing w:val="-1"/>
                <w:sz w:val="16"/>
              </w:rPr>
              <w:t>0.00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2"/>
              <w:jc w:val="right"/>
              <w:rPr>
                <w:rFonts w:ascii="宋体" w:hAnsi="宋体" w:cs="宋体" w:eastAsia="宋体" w:hint="default"/>
                <w:sz w:val="16"/>
                <w:szCs w:val="16"/>
              </w:rPr>
            </w:pPr>
            <w:r>
              <w:rPr>
                <w:rFonts w:ascii="宋体"/>
                <w:spacing w:val="-1"/>
                <w:sz w:val="16"/>
              </w:rPr>
              <w:t>0.00</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3"/>
              <w:jc w:val="right"/>
              <w:rPr>
                <w:rFonts w:ascii="宋体" w:hAnsi="宋体" w:cs="宋体" w:eastAsia="宋体" w:hint="default"/>
                <w:sz w:val="16"/>
                <w:szCs w:val="16"/>
              </w:rPr>
            </w:pPr>
            <w:r>
              <w:rPr>
                <w:rFonts w:ascii="宋体"/>
                <w:spacing w:val="-2"/>
                <w:sz w:val="16"/>
              </w:rPr>
              <w:t>1,017,773,150.68</w:t>
            </w:r>
          </w:p>
        </w:tc>
      </w:tr>
      <w:tr>
        <w:trPr>
          <w:trHeight w:val="286"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6"/>
                <w:szCs w:val="16"/>
              </w:rPr>
            </w:pPr>
            <w:r>
              <w:rPr>
                <w:rFonts w:ascii="宋体" w:hAnsi="宋体" w:cs="宋体" w:eastAsia="宋体" w:hint="default"/>
                <w:sz w:val="16"/>
                <w:szCs w:val="16"/>
              </w:rPr>
              <w:t>18</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SCP005</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0"/>
              <w:jc w:val="right"/>
              <w:rPr>
                <w:rFonts w:ascii="宋体" w:hAnsi="宋体" w:cs="宋体" w:eastAsia="宋体" w:hint="default"/>
                <w:sz w:val="16"/>
                <w:szCs w:val="16"/>
              </w:rPr>
            </w:pPr>
            <w:r>
              <w:rPr>
                <w:rFonts w:ascii="宋体"/>
                <w:spacing w:val="-2"/>
                <w:sz w:val="16"/>
              </w:rPr>
              <w:t>1,000,000,000.00</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8"/>
              <w:jc w:val="right"/>
              <w:rPr>
                <w:rFonts w:ascii="宋体" w:hAnsi="宋体" w:cs="宋体" w:eastAsia="宋体" w:hint="default"/>
                <w:sz w:val="16"/>
                <w:szCs w:val="16"/>
              </w:rPr>
            </w:pPr>
            <w:r>
              <w:rPr>
                <w:rFonts w:ascii="宋体"/>
                <w:spacing w:val="-2"/>
                <w:sz w:val="16"/>
              </w:rPr>
              <w:t>16,569,863.01</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9"/>
              <w:jc w:val="right"/>
              <w:rPr>
                <w:rFonts w:ascii="宋体" w:hAnsi="宋体" w:cs="宋体" w:eastAsia="宋体" w:hint="default"/>
                <w:sz w:val="16"/>
                <w:szCs w:val="16"/>
              </w:rPr>
            </w:pPr>
            <w:r>
              <w:rPr>
                <w:rFonts w:ascii="宋体"/>
                <w:spacing w:val="-1"/>
                <w:sz w:val="16"/>
              </w:rPr>
              <w:t>0.00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2"/>
              <w:jc w:val="right"/>
              <w:rPr>
                <w:rFonts w:ascii="宋体" w:hAnsi="宋体" w:cs="宋体" w:eastAsia="宋体" w:hint="default"/>
                <w:sz w:val="16"/>
                <w:szCs w:val="16"/>
              </w:rPr>
            </w:pPr>
            <w:r>
              <w:rPr>
                <w:rFonts w:ascii="宋体"/>
                <w:spacing w:val="-1"/>
                <w:sz w:val="16"/>
              </w:rPr>
              <w:t>0.00</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3"/>
              <w:jc w:val="right"/>
              <w:rPr>
                <w:rFonts w:ascii="宋体" w:hAnsi="宋体" w:cs="宋体" w:eastAsia="宋体" w:hint="default"/>
                <w:sz w:val="16"/>
                <w:szCs w:val="16"/>
              </w:rPr>
            </w:pPr>
            <w:r>
              <w:rPr>
                <w:rFonts w:ascii="宋体"/>
                <w:spacing w:val="-2"/>
                <w:sz w:val="16"/>
              </w:rPr>
              <w:t>1,016,569,863.01</w:t>
            </w:r>
          </w:p>
        </w:tc>
      </w:tr>
      <w:tr>
        <w:trPr>
          <w:trHeight w:val="284" w:hRule="exact"/>
        </w:trPr>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6"/>
                <w:szCs w:val="16"/>
              </w:rPr>
            </w:pPr>
            <w:r>
              <w:rPr>
                <w:rFonts w:ascii="宋体" w:hAnsi="宋体" w:cs="宋体" w:eastAsia="宋体" w:hint="default"/>
                <w:sz w:val="16"/>
                <w:szCs w:val="16"/>
              </w:rPr>
              <w:t>18</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SCP006</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0"/>
              <w:jc w:val="right"/>
              <w:rPr>
                <w:rFonts w:ascii="宋体" w:hAnsi="宋体" w:cs="宋体" w:eastAsia="宋体" w:hint="default"/>
                <w:sz w:val="16"/>
                <w:szCs w:val="16"/>
              </w:rPr>
            </w:pPr>
            <w:r>
              <w:rPr>
                <w:rFonts w:ascii="宋体"/>
                <w:spacing w:val="-2"/>
                <w:sz w:val="16"/>
              </w:rPr>
              <w:t>1,000,000,000.00</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49"/>
              <w:jc w:val="right"/>
              <w:rPr>
                <w:rFonts w:ascii="宋体" w:hAnsi="宋体" w:cs="宋体" w:eastAsia="宋体" w:hint="default"/>
                <w:sz w:val="16"/>
                <w:szCs w:val="16"/>
              </w:rPr>
            </w:pPr>
            <w:r>
              <w:rPr>
                <w:rFonts w:ascii="宋体"/>
                <w:spacing w:val="-2"/>
                <w:sz w:val="16"/>
              </w:rPr>
              <w:t>3,761,095.89</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59"/>
              <w:jc w:val="right"/>
              <w:rPr>
                <w:rFonts w:ascii="宋体" w:hAnsi="宋体" w:cs="宋体" w:eastAsia="宋体" w:hint="default"/>
                <w:sz w:val="16"/>
                <w:szCs w:val="16"/>
              </w:rPr>
            </w:pPr>
            <w:r>
              <w:rPr>
                <w:rFonts w:ascii="宋体"/>
                <w:spacing w:val="-1"/>
                <w:sz w:val="16"/>
              </w:rPr>
              <w:t>0.00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2"/>
              <w:jc w:val="right"/>
              <w:rPr>
                <w:rFonts w:ascii="宋体" w:hAnsi="宋体" w:cs="宋体" w:eastAsia="宋体" w:hint="default"/>
                <w:sz w:val="16"/>
                <w:szCs w:val="16"/>
              </w:rPr>
            </w:pPr>
            <w:r>
              <w:rPr>
                <w:rFonts w:ascii="宋体"/>
                <w:spacing w:val="-1"/>
                <w:sz w:val="16"/>
              </w:rPr>
              <w:t>0.00</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3"/>
              <w:jc w:val="right"/>
              <w:rPr>
                <w:rFonts w:ascii="宋体" w:hAnsi="宋体" w:cs="宋体" w:eastAsia="宋体" w:hint="default"/>
                <w:sz w:val="16"/>
                <w:szCs w:val="16"/>
              </w:rPr>
            </w:pPr>
            <w:r>
              <w:rPr>
                <w:rFonts w:ascii="宋体"/>
                <w:spacing w:val="-2"/>
                <w:sz w:val="16"/>
              </w:rPr>
              <w:t>1,003,761,095.89</w:t>
            </w:r>
          </w:p>
        </w:tc>
      </w:tr>
      <w:tr>
        <w:trPr>
          <w:trHeight w:val="291" w:hRule="exact"/>
        </w:trPr>
        <w:tc>
          <w:tcPr>
            <w:tcW w:w="1353"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left="28" w:right="0"/>
              <w:jc w:val="left"/>
              <w:rPr>
                <w:rFonts w:ascii="宋体" w:hAnsi="宋体" w:cs="宋体" w:eastAsia="宋体" w:hint="default"/>
                <w:sz w:val="16"/>
                <w:szCs w:val="16"/>
              </w:rPr>
            </w:pPr>
            <w:r>
              <w:rPr>
                <w:rFonts w:ascii="宋体" w:hAnsi="宋体" w:cs="宋体" w:eastAsia="宋体" w:hint="default"/>
                <w:sz w:val="16"/>
                <w:szCs w:val="16"/>
              </w:rPr>
              <w:t>18</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SCP007</w:t>
            </w:r>
          </w:p>
        </w:tc>
        <w:tc>
          <w:tcPr>
            <w:tcW w:w="1669"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90"/>
              <w:jc w:val="right"/>
              <w:rPr>
                <w:rFonts w:ascii="宋体" w:hAnsi="宋体" w:cs="宋体" w:eastAsia="宋体" w:hint="default"/>
                <w:sz w:val="16"/>
                <w:szCs w:val="16"/>
              </w:rPr>
            </w:pPr>
            <w:r>
              <w:rPr>
                <w:rFonts w:ascii="宋体"/>
                <w:spacing w:val="-2"/>
                <w:sz w:val="16"/>
              </w:rPr>
              <w:t>1,000,000,000.00</w:t>
            </w:r>
          </w:p>
        </w:tc>
        <w:tc>
          <w:tcPr>
            <w:tcW w:w="1456"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49"/>
              <w:jc w:val="right"/>
              <w:rPr>
                <w:rFonts w:ascii="宋体" w:hAnsi="宋体" w:cs="宋体" w:eastAsia="宋体" w:hint="default"/>
                <w:sz w:val="16"/>
                <w:szCs w:val="16"/>
              </w:rPr>
            </w:pPr>
            <w:r>
              <w:rPr>
                <w:rFonts w:ascii="宋体"/>
                <w:spacing w:val="-2"/>
                <w:sz w:val="16"/>
              </w:rPr>
              <w:t>2,345,205.48</w:t>
            </w:r>
          </w:p>
        </w:tc>
        <w:tc>
          <w:tcPr>
            <w:tcW w:w="1271"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59"/>
              <w:jc w:val="right"/>
              <w:rPr>
                <w:rFonts w:ascii="宋体" w:hAnsi="宋体" w:cs="宋体" w:eastAsia="宋体" w:hint="default"/>
                <w:sz w:val="16"/>
                <w:szCs w:val="16"/>
              </w:rPr>
            </w:pPr>
            <w:r>
              <w:rPr>
                <w:rFonts w:ascii="宋体"/>
                <w:spacing w:val="-1"/>
                <w:sz w:val="16"/>
              </w:rPr>
              <w:t>0.00</w:t>
            </w:r>
          </w:p>
        </w:tc>
        <w:tc>
          <w:tcPr>
            <w:tcW w:w="1511"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02"/>
              <w:jc w:val="right"/>
              <w:rPr>
                <w:rFonts w:ascii="宋体" w:hAnsi="宋体" w:cs="宋体" w:eastAsia="宋体" w:hint="default"/>
                <w:sz w:val="16"/>
                <w:szCs w:val="16"/>
              </w:rPr>
            </w:pPr>
            <w:r>
              <w:rPr>
                <w:rFonts w:ascii="宋体"/>
                <w:spacing w:val="-1"/>
                <w:sz w:val="16"/>
              </w:rPr>
              <w:t>0.00</w:t>
            </w:r>
          </w:p>
        </w:tc>
        <w:tc>
          <w:tcPr>
            <w:tcW w:w="1375"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23"/>
              <w:jc w:val="right"/>
              <w:rPr>
                <w:rFonts w:ascii="宋体" w:hAnsi="宋体" w:cs="宋体" w:eastAsia="宋体" w:hint="default"/>
                <w:sz w:val="16"/>
                <w:szCs w:val="16"/>
              </w:rPr>
            </w:pPr>
            <w:r>
              <w:rPr>
                <w:rFonts w:ascii="宋体"/>
                <w:spacing w:val="-2"/>
                <w:sz w:val="16"/>
              </w:rPr>
              <w:t>1,002,345,205.48</w:t>
            </w:r>
          </w:p>
        </w:tc>
      </w:tr>
      <w:tr>
        <w:trPr>
          <w:trHeight w:val="305" w:hRule="exact"/>
        </w:trPr>
        <w:tc>
          <w:tcPr>
            <w:tcW w:w="1353"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28"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669"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92"/>
              <w:jc w:val="right"/>
              <w:rPr>
                <w:rFonts w:ascii="宋体" w:hAnsi="宋体" w:cs="宋体" w:eastAsia="宋体" w:hint="default"/>
                <w:sz w:val="16"/>
                <w:szCs w:val="16"/>
              </w:rPr>
            </w:pPr>
            <w:r>
              <w:rPr>
                <w:rFonts w:ascii="宋体"/>
                <w:b/>
                <w:spacing w:val="-1"/>
                <w:sz w:val="16"/>
              </w:rPr>
              <w:t>7,000,000,000.00</w:t>
            </w:r>
            <w:r>
              <w:rPr>
                <w:rFonts w:ascii="宋体"/>
                <w:spacing w:val="-1"/>
                <w:sz w:val="16"/>
              </w:rPr>
            </w:r>
          </w:p>
        </w:tc>
        <w:tc>
          <w:tcPr>
            <w:tcW w:w="1456"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150"/>
              <w:jc w:val="right"/>
              <w:rPr>
                <w:rFonts w:ascii="宋体" w:hAnsi="宋体" w:cs="宋体" w:eastAsia="宋体" w:hint="default"/>
                <w:sz w:val="16"/>
                <w:szCs w:val="16"/>
              </w:rPr>
            </w:pPr>
            <w:r>
              <w:rPr>
                <w:rFonts w:ascii="宋体"/>
                <w:b/>
                <w:spacing w:val="-1"/>
                <w:sz w:val="16"/>
              </w:rPr>
              <w:t>228,839,999.99</w:t>
            </w:r>
            <w:r>
              <w:rPr>
                <w:rFonts w:ascii="宋体"/>
                <w:spacing w:val="-1"/>
                <w:sz w:val="16"/>
              </w:rPr>
            </w:r>
          </w:p>
        </w:tc>
        <w:tc>
          <w:tcPr>
            <w:tcW w:w="1271"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159"/>
              <w:jc w:val="right"/>
              <w:rPr>
                <w:rFonts w:ascii="宋体" w:hAnsi="宋体" w:cs="宋体" w:eastAsia="宋体" w:hint="default"/>
                <w:sz w:val="16"/>
                <w:szCs w:val="16"/>
              </w:rPr>
            </w:pPr>
            <w:r>
              <w:rPr>
                <w:rFonts w:ascii="宋体"/>
                <w:b/>
                <w:spacing w:val="-1"/>
                <w:sz w:val="16"/>
              </w:rPr>
              <w:t>0.00</w:t>
            </w:r>
            <w:r>
              <w:rPr>
                <w:rFonts w:ascii="宋体"/>
                <w:spacing w:val="-1"/>
                <w:sz w:val="16"/>
              </w:rPr>
            </w:r>
          </w:p>
        </w:tc>
        <w:tc>
          <w:tcPr>
            <w:tcW w:w="1511"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113" w:right="0"/>
              <w:jc w:val="left"/>
              <w:rPr>
                <w:rFonts w:ascii="宋体" w:hAnsi="宋体" w:cs="宋体" w:eastAsia="宋体" w:hint="default"/>
                <w:sz w:val="16"/>
                <w:szCs w:val="16"/>
              </w:rPr>
            </w:pPr>
            <w:r>
              <w:rPr>
                <w:rFonts w:ascii="宋体"/>
                <w:b/>
                <w:sz w:val="16"/>
              </w:rPr>
              <w:t>9,316,649,315.07</w:t>
            </w:r>
            <w:r>
              <w:rPr>
                <w:rFonts w:ascii="宋体"/>
                <w:sz w:val="16"/>
              </w:rPr>
            </w:r>
          </w:p>
        </w:tc>
        <w:tc>
          <w:tcPr>
            <w:tcW w:w="1375"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25"/>
              <w:jc w:val="right"/>
              <w:rPr>
                <w:rFonts w:ascii="宋体" w:hAnsi="宋体" w:cs="宋体" w:eastAsia="宋体" w:hint="default"/>
                <w:sz w:val="16"/>
                <w:szCs w:val="16"/>
              </w:rPr>
            </w:pPr>
            <w:r>
              <w:rPr>
                <w:rFonts w:ascii="宋体"/>
                <w:b/>
                <w:spacing w:val="-1"/>
                <w:sz w:val="16"/>
              </w:rPr>
              <w:t>4,040,449,315.06</w:t>
            </w:r>
            <w:r>
              <w:rPr>
                <w:rFonts w:ascii="宋体"/>
                <w:spacing w:val="-1"/>
                <w:sz w:val="16"/>
              </w:rPr>
            </w:r>
          </w:p>
        </w:tc>
      </w:tr>
    </w:tbl>
    <w:p>
      <w:pPr>
        <w:spacing w:before="81"/>
        <w:ind w:left="645" w:right="4889"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30.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长期借款</w:t>
      </w:r>
    </w:p>
    <w:p>
      <w:pPr>
        <w:spacing w:line="240" w:lineRule="auto" w:before="8"/>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436"/>
        <w:gridCol w:w="3408"/>
        <w:gridCol w:w="2882"/>
      </w:tblGrid>
      <w:tr>
        <w:trPr>
          <w:trHeight w:val="305" w:hRule="exact"/>
        </w:trPr>
        <w:tc>
          <w:tcPr>
            <w:tcW w:w="243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340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60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882"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bl>
    <w:p>
      <w:pPr>
        <w:spacing w:after="0" w:line="232" w:lineRule="exact"/>
        <w:jc w:val="center"/>
        <w:rPr>
          <w:rFonts w:ascii="宋体" w:hAnsi="宋体" w:cs="宋体" w:eastAsia="宋体" w:hint="default"/>
          <w:sz w:val="18"/>
          <w:szCs w:val="18"/>
        </w:rPr>
        <w:sectPr>
          <w:pgSz w:w="11910" w:h="16840"/>
          <w:pgMar w:header="0" w:footer="1054" w:top="1360" w:bottom="1240" w:left="1460" w:right="1480"/>
        </w:sectPr>
      </w:pPr>
    </w:p>
    <w:p>
      <w:pPr>
        <w:spacing w:line="240" w:lineRule="auto" w:before="6"/>
        <w:rPr>
          <w:rFonts w:ascii="宋体" w:hAnsi="宋体" w:cs="宋体" w:eastAsia="宋体" w:hint="default"/>
          <w:sz w:val="6"/>
          <w:szCs w:val="6"/>
        </w:rPr>
      </w:pPr>
    </w:p>
    <w:tbl>
      <w:tblPr>
        <w:tblW w:w="0" w:type="auto"/>
        <w:jc w:val="left"/>
        <w:tblInd w:w="154" w:type="dxa"/>
        <w:tblLayout w:type="fixed"/>
        <w:tblCellMar>
          <w:top w:w="0" w:type="dxa"/>
          <w:left w:w="0" w:type="dxa"/>
          <w:bottom w:w="0" w:type="dxa"/>
          <w:right w:w="0" w:type="dxa"/>
        </w:tblCellMar>
        <w:tblLook w:val="01E0"/>
      </w:tblPr>
      <w:tblGrid>
        <w:gridCol w:w="2436"/>
        <w:gridCol w:w="3894"/>
        <w:gridCol w:w="2395"/>
      </w:tblGrid>
      <w:tr>
        <w:trPr>
          <w:trHeight w:val="305" w:hRule="exact"/>
        </w:trPr>
        <w:tc>
          <w:tcPr>
            <w:tcW w:w="243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389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9"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39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9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1" w:hRule="exact"/>
        </w:trPr>
        <w:tc>
          <w:tcPr>
            <w:tcW w:w="2436"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894" w:type="dxa"/>
            <w:tcBorders>
              <w:top w:val="single" w:sz="4" w:space="0" w:color="000000"/>
              <w:left w:val="nil" w:sz="6" w:space="0" w:color="auto"/>
              <w:bottom w:val="nil" w:sz="6" w:space="0" w:color="auto"/>
              <w:right w:val="nil" w:sz="6" w:space="0" w:color="auto"/>
            </w:tcBorders>
          </w:tcPr>
          <w:p>
            <w:pPr>
              <w:pStyle w:val="TableParagraph"/>
              <w:spacing w:line="235" w:lineRule="exact"/>
              <w:ind w:right="592"/>
              <w:jc w:val="right"/>
              <w:rPr>
                <w:rFonts w:ascii="宋体" w:hAnsi="宋体" w:cs="宋体" w:eastAsia="宋体" w:hint="default"/>
                <w:sz w:val="18"/>
                <w:szCs w:val="18"/>
              </w:rPr>
            </w:pPr>
            <w:r>
              <w:rPr>
                <w:rFonts w:ascii="宋体"/>
                <w:spacing w:val="-1"/>
                <w:sz w:val="18"/>
              </w:rPr>
              <w:t>1,527,707,413.74</w:t>
            </w:r>
          </w:p>
        </w:tc>
        <w:tc>
          <w:tcPr>
            <w:tcW w:w="2395" w:type="dxa"/>
            <w:tcBorders>
              <w:top w:val="single" w:sz="4" w:space="0" w:color="000000"/>
              <w:left w:val="nil" w:sz="6" w:space="0" w:color="auto"/>
              <w:bottom w:val="nil" w:sz="6" w:space="0" w:color="auto"/>
              <w:right w:val="nil" w:sz="6" w:space="0" w:color="auto"/>
            </w:tcBorders>
          </w:tcPr>
          <w:p>
            <w:pPr>
              <w:pStyle w:val="TableParagraph"/>
              <w:spacing w:line="235" w:lineRule="exact"/>
              <w:ind w:right="105"/>
              <w:jc w:val="right"/>
              <w:rPr>
                <w:rFonts w:ascii="宋体" w:hAnsi="宋体" w:cs="宋体" w:eastAsia="宋体" w:hint="default"/>
                <w:sz w:val="18"/>
                <w:szCs w:val="18"/>
              </w:rPr>
            </w:pPr>
            <w:r>
              <w:rPr>
                <w:rFonts w:ascii="宋体"/>
                <w:spacing w:val="-1"/>
                <w:sz w:val="18"/>
              </w:rPr>
              <w:t>1,236,099,270.08</w:t>
            </w:r>
          </w:p>
        </w:tc>
      </w:tr>
      <w:tr>
        <w:trPr>
          <w:trHeight w:val="284"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894" w:type="dxa"/>
            <w:tcBorders>
              <w:top w:val="nil" w:sz="6" w:space="0" w:color="auto"/>
              <w:left w:val="nil" w:sz="6" w:space="0" w:color="auto"/>
              <w:bottom w:val="nil" w:sz="6" w:space="0" w:color="auto"/>
              <w:right w:val="nil" w:sz="6" w:space="0" w:color="auto"/>
            </w:tcBorders>
          </w:tcPr>
          <w:p>
            <w:pPr>
              <w:pStyle w:val="TableParagraph"/>
              <w:spacing w:line="234" w:lineRule="exact"/>
              <w:ind w:right="590"/>
              <w:jc w:val="right"/>
              <w:rPr>
                <w:rFonts w:ascii="宋体" w:hAnsi="宋体" w:cs="宋体" w:eastAsia="宋体" w:hint="default"/>
                <w:sz w:val="18"/>
                <w:szCs w:val="18"/>
              </w:rPr>
            </w:pPr>
            <w:r>
              <w:rPr>
                <w:rFonts w:ascii="宋体"/>
                <w:sz w:val="18"/>
              </w:rPr>
              <w:t>0.00</w:t>
            </w:r>
          </w:p>
        </w:tc>
        <w:tc>
          <w:tcPr>
            <w:tcW w:w="2395" w:type="dxa"/>
            <w:tcBorders>
              <w:top w:val="nil" w:sz="6" w:space="0" w:color="auto"/>
              <w:left w:val="nil" w:sz="6" w:space="0" w:color="auto"/>
              <w:bottom w:val="nil" w:sz="6" w:space="0" w:color="auto"/>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pacing w:val="-1"/>
                <w:sz w:val="18"/>
              </w:rPr>
              <w:t>2,089,551.81</w:t>
            </w:r>
          </w:p>
        </w:tc>
      </w:tr>
      <w:tr>
        <w:trPr>
          <w:trHeight w:val="284"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894" w:type="dxa"/>
            <w:tcBorders>
              <w:top w:val="nil" w:sz="6" w:space="0" w:color="auto"/>
              <w:left w:val="nil" w:sz="6" w:space="0" w:color="auto"/>
              <w:bottom w:val="nil" w:sz="6" w:space="0" w:color="auto"/>
              <w:right w:val="nil" w:sz="6" w:space="0" w:color="auto"/>
            </w:tcBorders>
          </w:tcPr>
          <w:p>
            <w:pPr>
              <w:pStyle w:val="TableParagraph"/>
              <w:spacing w:line="233" w:lineRule="exact"/>
              <w:ind w:right="592"/>
              <w:jc w:val="right"/>
              <w:rPr>
                <w:rFonts w:ascii="宋体" w:hAnsi="宋体" w:cs="宋体" w:eastAsia="宋体" w:hint="default"/>
                <w:sz w:val="18"/>
                <w:szCs w:val="18"/>
              </w:rPr>
            </w:pPr>
            <w:r>
              <w:rPr>
                <w:rFonts w:ascii="宋体"/>
                <w:spacing w:val="-1"/>
                <w:sz w:val="18"/>
              </w:rPr>
              <w:t>3,117,189,420.96</w:t>
            </w:r>
          </w:p>
        </w:tc>
        <w:tc>
          <w:tcPr>
            <w:tcW w:w="239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2,890,532,845.21</w:t>
            </w:r>
          </w:p>
        </w:tc>
      </w:tr>
      <w:tr>
        <w:trPr>
          <w:trHeight w:val="290" w:hRule="exact"/>
        </w:trPr>
        <w:tc>
          <w:tcPr>
            <w:tcW w:w="2436"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894" w:type="dxa"/>
            <w:tcBorders>
              <w:top w:val="nil" w:sz="6" w:space="0" w:color="auto"/>
              <w:left w:val="nil" w:sz="6" w:space="0" w:color="auto"/>
              <w:bottom w:val="single" w:sz="4" w:space="0" w:color="000000"/>
              <w:right w:val="nil" w:sz="6" w:space="0" w:color="auto"/>
            </w:tcBorders>
          </w:tcPr>
          <w:p>
            <w:pPr>
              <w:pStyle w:val="TableParagraph"/>
              <w:spacing w:line="234" w:lineRule="exact"/>
              <w:ind w:right="591"/>
              <w:jc w:val="right"/>
              <w:rPr>
                <w:rFonts w:ascii="宋体" w:hAnsi="宋体" w:cs="宋体" w:eastAsia="宋体" w:hint="default"/>
                <w:sz w:val="18"/>
                <w:szCs w:val="18"/>
              </w:rPr>
            </w:pPr>
            <w:r>
              <w:rPr>
                <w:rFonts w:ascii="宋体"/>
                <w:spacing w:val="-1"/>
                <w:sz w:val="18"/>
              </w:rPr>
              <w:t>568,550,000.00</w:t>
            </w:r>
          </w:p>
        </w:tc>
        <w:tc>
          <w:tcPr>
            <w:tcW w:w="2395" w:type="dxa"/>
            <w:tcBorders>
              <w:top w:val="nil" w:sz="6" w:space="0" w:color="auto"/>
              <w:left w:val="nil" w:sz="6" w:space="0" w:color="auto"/>
              <w:bottom w:val="single" w:sz="4" w:space="0" w:color="000000"/>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pacing w:val="-1"/>
                <w:sz w:val="18"/>
              </w:rPr>
              <w:t>140,200,000.00</w:t>
            </w:r>
          </w:p>
        </w:tc>
      </w:tr>
      <w:tr>
        <w:trPr>
          <w:trHeight w:val="307" w:hRule="exact"/>
        </w:trPr>
        <w:tc>
          <w:tcPr>
            <w:tcW w:w="2436"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94" w:type="dxa"/>
            <w:tcBorders>
              <w:top w:val="single" w:sz="4" w:space="0" w:color="000000"/>
              <w:left w:val="nil" w:sz="6" w:space="0" w:color="auto"/>
              <w:bottom w:val="single" w:sz="12" w:space="0" w:color="000000"/>
              <w:right w:val="nil" w:sz="6" w:space="0" w:color="auto"/>
            </w:tcBorders>
          </w:tcPr>
          <w:p>
            <w:pPr>
              <w:pStyle w:val="TableParagraph"/>
              <w:spacing w:line="234" w:lineRule="exact"/>
              <w:ind w:right="592"/>
              <w:jc w:val="right"/>
              <w:rPr>
                <w:rFonts w:ascii="宋体" w:hAnsi="宋体" w:cs="宋体" w:eastAsia="宋体" w:hint="default"/>
                <w:sz w:val="18"/>
                <w:szCs w:val="18"/>
              </w:rPr>
            </w:pPr>
            <w:r>
              <w:rPr>
                <w:rFonts w:ascii="宋体"/>
                <w:b/>
                <w:w w:val="95"/>
                <w:sz w:val="18"/>
              </w:rPr>
              <w:t>5,213,446,834.70</w:t>
            </w:r>
            <w:r>
              <w:rPr>
                <w:rFonts w:ascii="宋体"/>
                <w:sz w:val="18"/>
              </w:rPr>
            </w:r>
          </w:p>
        </w:tc>
        <w:tc>
          <w:tcPr>
            <w:tcW w:w="2395" w:type="dxa"/>
            <w:tcBorders>
              <w:top w:val="single" w:sz="4" w:space="0" w:color="000000"/>
              <w:left w:val="nil" w:sz="6" w:space="0" w:color="auto"/>
              <w:bottom w:val="single" w:sz="12" w:space="0" w:color="000000"/>
              <w:right w:val="nil" w:sz="6" w:space="0" w:color="auto"/>
            </w:tcBorders>
          </w:tcPr>
          <w:p>
            <w:pPr>
              <w:pStyle w:val="TableParagraph"/>
              <w:spacing w:line="234" w:lineRule="exact"/>
              <w:ind w:right="106"/>
              <w:jc w:val="right"/>
              <w:rPr>
                <w:rFonts w:ascii="宋体" w:hAnsi="宋体" w:cs="宋体" w:eastAsia="宋体" w:hint="default"/>
                <w:sz w:val="18"/>
                <w:szCs w:val="18"/>
              </w:rPr>
            </w:pPr>
            <w:r>
              <w:rPr>
                <w:rFonts w:ascii="宋体"/>
                <w:b/>
                <w:w w:val="95"/>
                <w:sz w:val="18"/>
              </w:rPr>
              <w:t>4,268,921,667.10</w:t>
            </w:r>
            <w:r>
              <w:rPr>
                <w:rFonts w:ascii="宋体"/>
                <w:sz w:val="18"/>
              </w:rPr>
            </w:r>
          </w:p>
        </w:tc>
      </w:tr>
    </w:tbl>
    <w:p>
      <w:pPr>
        <w:spacing w:before="86"/>
        <w:ind w:left="701" w:right="0" w:firstLine="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日，本公司长期保证借款的担保情况详见附注十、（二）、</w:t>
      </w:r>
      <w:r>
        <w:rPr>
          <w:rFonts w:ascii="宋体" w:hAnsi="宋体" w:cs="宋体" w:eastAsia="宋体" w:hint="default"/>
          <w:sz w:val="21"/>
          <w:szCs w:val="21"/>
        </w:rPr>
        <w:t>4</w:t>
      </w:r>
      <w:r>
        <w:rPr>
          <w:rFonts w:ascii="宋体" w:hAnsi="宋体" w:cs="宋体" w:eastAsia="宋体" w:hint="default"/>
          <w:sz w:val="21"/>
          <w:szCs w:val="21"/>
        </w:rPr>
        <w:t>。</w:t>
      </w:r>
    </w:p>
    <w:p>
      <w:pPr>
        <w:spacing w:before="126"/>
        <w:ind w:left="701" w:right="0" w:firstLine="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5"/>
          <w:sz w:val="21"/>
          <w:szCs w:val="21"/>
        </w:rPr>
        <w:t> </w:t>
      </w:r>
      <w:r>
        <w:rPr>
          <w:rFonts w:ascii="宋体" w:hAnsi="宋体" w:cs="宋体" w:eastAsia="宋体" w:hint="default"/>
          <w:sz w:val="21"/>
          <w:szCs w:val="21"/>
        </w:rPr>
        <w:t>2018</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31</w:t>
      </w:r>
      <w:r>
        <w:rPr>
          <w:rFonts w:ascii="宋体" w:hAnsi="宋体" w:cs="宋体" w:eastAsia="宋体" w:hint="default"/>
          <w:spacing w:val="-45"/>
          <w:sz w:val="21"/>
          <w:szCs w:val="21"/>
        </w:rPr>
        <w:t> </w:t>
      </w:r>
      <w:r>
        <w:rPr>
          <w:rFonts w:ascii="宋体" w:hAnsi="宋体" w:cs="宋体" w:eastAsia="宋体" w:hint="default"/>
          <w:spacing w:val="-9"/>
          <w:sz w:val="21"/>
          <w:szCs w:val="21"/>
        </w:rPr>
        <w:t>日，本公司长期质押借款情况如下：本公司以持有同方威视股份有限</w:t>
      </w:r>
      <w:r>
        <w:rPr>
          <w:rFonts w:ascii="宋体" w:hAnsi="宋体" w:cs="宋体" w:eastAsia="宋体" w:hint="default"/>
          <w:sz w:val="21"/>
          <w:szCs w:val="21"/>
        </w:rPr>
      </w:r>
    </w:p>
    <w:p>
      <w:pPr>
        <w:spacing w:line="297" w:lineRule="auto" w:before="63"/>
        <w:ind w:left="701" w:right="224" w:firstLine="0"/>
        <w:jc w:val="both"/>
        <w:rPr>
          <w:rFonts w:ascii="宋体" w:hAnsi="宋体" w:cs="宋体" w:eastAsia="宋体" w:hint="default"/>
          <w:sz w:val="21"/>
          <w:szCs w:val="21"/>
        </w:rPr>
      </w:pPr>
      <w:r>
        <w:rPr>
          <w:rFonts w:ascii="宋体" w:hAnsi="宋体" w:cs="宋体" w:eastAsia="宋体" w:hint="default"/>
          <w:spacing w:val="-9"/>
          <w:w w:val="100"/>
          <w:sz w:val="21"/>
          <w:szCs w:val="21"/>
        </w:rPr>
        <w:t>公司部分股权质押取得借款</w:t>
      </w:r>
      <w:r>
        <w:rPr>
          <w:rFonts w:ascii="宋体" w:hAnsi="宋体" w:cs="宋体" w:eastAsia="宋体" w:hint="default"/>
          <w:spacing w:val="-60"/>
          <w:w w:val="100"/>
          <w:sz w:val="21"/>
          <w:szCs w:val="21"/>
        </w:rPr>
        <w:t> </w:t>
      </w:r>
      <w:r>
        <w:rPr>
          <w:rFonts w:ascii="宋体" w:hAnsi="宋体" w:cs="宋体" w:eastAsia="宋体" w:hint="default"/>
          <w:spacing w:val="-5"/>
          <w:w w:val="100"/>
          <w:sz w:val="21"/>
          <w:szCs w:val="21"/>
        </w:rPr>
        <w:t>410,000,000.00</w:t>
      </w:r>
      <w:r>
        <w:rPr>
          <w:rFonts w:ascii="宋体" w:hAnsi="宋体" w:cs="宋体" w:eastAsia="宋体" w:hint="default"/>
          <w:spacing w:val="-53"/>
          <w:w w:val="100"/>
          <w:sz w:val="21"/>
          <w:szCs w:val="21"/>
        </w:rPr>
        <w:t> </w:t>
      </w:r>
      <w:r>
        <w:rPr>
          <w:rFonts w:ascii="宋体" w:hAnsi="宋体" w:cs="宋体" w:eastAsia="宋体" w:hint="default"/>
          <w:spacing w:val="-14"/>
          <w:w w:val="100"/>
          <w:sz w:val="21"/>
          <w:szCs w:val="21"/>
        </w:rPr>
        <w:t>元；本公司之二级子公司金湖同方水务有限公司</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7"/>
          <w:sz w:val="21"/>
          <w:szCs w:val="21"/>
        </w:rPr>
        <w:t>以部分</w:t>
      </w:r>
      <w:r>
        <w:rPr>
          <w:rFonts w:ascii="宋体" w:hAnsi="宋体" w:cs="宋体" w:eastAsia="宋体" w:hint="default"/>
          <w:spacing w:val="-51"/>
          <w:sz w:val="21"/>
          <w:szCs w:val="21"/>
        </w:rPr>
        <w:t> </w:t>
      </w:r>
      <w:r>
        <w:rPr>
          <w:rFonts w:ascii="宋体" w:hAnsi="宋体" w:cs="宋体" w:eastAsia="宋体" w:hint="default"/>
          <w:spacing w:val="-4"/>
          <w:sz w:val="21"/>
          <w:szCs w:val="21"/>
        </w:rPr>
        <w:t>BOT</w:t>
      </w:r>
      <w:r>
        <w:rPr>
          <w:rFonts w:ascii="宋体" w:hAnsi="宋体" w:cs="宋体" w:eastAsia="宋体" w:hint="default"/>
          <w:spacing w:val="-45"/>
          <w:sz w:val="21"/>
          <w:szCs w:val="21"/>
        </w:rPr>
        <w:t> </w:t>
      </w:r>
      <w:r>
        <w:rPr>
          <w:rFonts w:ascii="宋体" w:hAnsi="宋体" w:cs="宋体" w:eastAsia="宋体" w:hint="default"/>
          <w:spacing w:val="-9"/>
          <w:sz w:val="21"/>
          <w:szCs w:val="21"/>
        </w:rPr>
        <w:t>项目收费权质押取得借款</w:t>
      </w:r>
      <w:r>
        <w:rPr>
          <w:rFonts w:ascii="宋体" w:hAnsi="宋体" w:cs="宋体" w:eastAsia="宋体" w:hint="default"/>
          <w:spacing w:val="-51"/>
          <w:sz w:val="21"/>
          <w:szCs w:val="21"/>
        </w:rPr>
        <w:t> </w:t>
      </w:r>
      <w:r>
        <w:rPr>
          <w:rFonts w:ascii="宋体" w:hAnsi="宋体" w:cs="宋体" w:eastAsia="宋体" w:hint="default"/>
          <w:spacing w:val="-5"/>
          <w:sz w:val="21"/>
          <w:szCs w:val="21"/>
        </w:rPr>
        <w:t>9,100,000.00</w:t>
      </w:r>
      <w:r>
        <w:rPr>
          <w:rFonts w:ascii="宋体" w:hAnsi="宋体" w:cs="宋体" w:eastAsia="宋体" w:hint="default"/>
          <w:spacing w:val="-43"/>
          <w:sz w:val="21"/>
          <w:szCs w:val="21"/>
        </w:rPr>
        <w:t> </w:t>
      </w:r>
      <w:r>
        <w:rPr>
          <w:rFonts w:ascii="宋体" w:hAnsi="宋体" w:cs="宋体" w:eastAsia="宋体" w:hint="default"/>
          <w:spacing w:val="-15"/>
          <w:sz w:val="21"/>
          <w:szCs w:val="21"/>
        </w:rPr>
        <w:t>元，并由本公司提供保证担保；本公司之</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二级子公司淮安同方盐化工业污水处理有限公司以部分</w:t>
      </w:r>
      <w:r>
        <w:rPr>
          <w:rFonts w:ascii="宋体" w:hAnsi="宋体" w:cs="宋体" w:eastAsia="宋体" w:hint="default"/>
          <w:spacing w:val="43"/>
          <w:sz w:val="21"/>
          <w:szCs w:val="21"/>
        </w:rPr>
        <w:t> </w:t>
      </w:r>
      <w:r>
        <w:rPr>
          <w:rFonts w:ascii="宋体" w:hAnsi="宋体" w:cs="宋体" w:eastAsia="宋体" w:hint="default"/>
          <w:spacing w:val="-4"/>
          <w:sz w:val="21"/>
          <w:szCs w:val="21"/>
        </w:rPr>
        <w:t>BOT</w:t>
      </w:r>
      <w:r>
        <w:rPr>
          <w:rFonts w:ascii="宋体" w:hAnsi="宋体" w:cs="宋体" w:eastAsia="宋体" w:hint="default"/>
          <w:spacing w:val="43"/>
          <w:sz w:val="21"/>
          <w:szCs w:val="21"/>
        </w:rPr>
        <w:t> </w:t>
      </w:r>
      <w:r>
        <w:rPr>
          <w:rFonts w:ascii="宋体" w:hAnsi="宋体" w:cs="宋体" w:eastAsia="宋体" w:hint="default"/>
          <w:spacing w:val="3"/>
          <w:sz w:val="21"/>
          <w:szCs w:val="21"/>
        </w:rPr>
        <w:t>项目收费权质押取得借款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5"/>
          <w:sz w:val="21"/>
          <w:szCs w:val="21"/>
        </w:rPr>
        <w:t>24,500,000.00</w:t>
      </w:r>
      <w:r>
        <w:rPr>
          <w:rFonts w:ascii="宋体" w:hAnsi="宋体" w:cs="宋体" w:eastAsia="宋体" w:hint="default"/>
          <w:spacing w:val="53"/>
          <w:sz w:val="21"/>
          <w:szCs w:val="21"/>
        </w:rPr>
        <w:t> </w:t>
      </w:r>
      <w:r>
        <w:rPr>
          <w:rFonts w:ascii="宋体" w:hAnsi="宋体" w:cs="宋体" w:eastAsia="宋体" w:hint="default"/>
          <w:spacing w:val="-10"/>
          <w:sz w:val="21"/>
          <w:szCs w:val="21"/>
        </w:rPr>
        <w:t>元，并由本公司提供保证担保；公司之二级子公司涟水同方水务有限公司以</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5"/>
          <w:sz w:val="21"/>
          <w:szCs w:val="21"/>
        </w:rPr>
        <w:t>部分</w:t>
      </w:r>
      <w:r>
        <w:rPr>
          <w:rFonts w:ascii="宋体" w:hAnsi="宋体" w:cs="宋体" w:eastAsia="宋体" w:hint="default"/>
          <w:spacing w:val="-51"/>
          <w:sz w:val="21"/>
          <w:szCs w:val="21"/>
        </w:rPr>
        <w:t> </w:t>
      </w:r>
      <w:r>
        <w:rPr>
          <w:rFonts w:ascii="宋体" w:hAnsi="宋体" w:cs="宋体" w:eastAsia="宋体" w:hint="default"/>
          <w:spacing w:val="-4"/>
          <w:sz w:val="21"/>
          <w:szCs w:val="21"/>
        </w:rPr>
        <w:t>BOT</w:t>
      </w:r>
      <w:r>
        <w:rPr>
          <w:rFonts w:ascii="宋体" w:hAnsi="宋体" w:cs="宋体" w:eastAsia="宋体" w:hint="default"/>
          <w:spacing w:val="-44"/>
          <w:sz w:val="21"/>
          <w:szCs w:val="21"/>
        </w:rPr>
        <w:t> </w:t>
      </w:r>
      <w:r>
        <w:rPr>
          <w:rFonts w:ascii="宋体" w:hAnsi="宋体" w:cs="宋体" w:eastAsia="宋体" w:hint="default"/>
          <w:spacing w:val="-9"/>
          <w:sz w:val="21"/>
          <w:szCs w:val="21"/>
        </w:rPr>
        <w:t>项目收费权质押取得借款</w:t>
      </w:r>
      <w:r>
        <w:rPr>
          <w:rFonts w:ascii="宋体" w:hAnsi="宋体" w:cs="宋体" w:eastAsia="宋体" w:hint="default"/>
          <w:spacing w:val="-51"/>
          <w:sz w:val="21"/>
          <w:szCs w:val="21"/>
        </w:rPr>
        <w:t> </w:t>
      </w:r>
      <w:r>
        <w:rPr>
          <w:rFonts w:ascii="宋体" w:hAnsi="宋体" w:cs="宋体" w:eastAsia="宋体" w:hint="default"/>
          <w:spacing w:val="-5"/>
          <w:sz w:val="21"/>
          <w:szCs w:val="21"/>
        </w:rPr>
        <w:t>54,600,000.00</w:t>
      </w:r>
      <w:r>
        <w:rPr>
          <w:rFonts w:ascii="宋体" w:hAnsi="宋体" w:cs="宋体" w:eastAsia="宋体" w:hint="default"/>
          <w:spacing w:val="-44"/>
          <w:sz w:val="21"/>
          <w:szCs w:val="21"/>
        </w:rPr>
        <w:t> </w:t>
      </w:r>
      <w:r>
        <w:rPr>
          <w:rFonts w:ascii="宋体" w:hAnsi="宋体" w:cs="宋体" w:eastAsia="宋体" w:hint="default"/>
          <w:spacing w:val="-9"/>
          <w:sz w:val="21"/>
          <w:szCs w:val="21"/>
        </w:rPr>
        <w:t>元，并由本公司提供保证担保；本公司之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0"/>
          <w:sz w:val="21"/>
          <w:szCs w:val="21"/>
        </w:rPr>
        <w:t>一级子公司淮安同方水务有限公司以部分</w:t>
      </w:r>
      <w:r>
        <w:rPr>
          <w:rFonts w:ascii="宋体" w:hAnsi="宋体" w:cs="宋体" w:eastAsia="宋体" w:hint="default"/>
          <w:spacing w:val="-47"/>
          <w:sz w:val="21"/>
          <w:szCs w:val="21"/>
        </w:rPr>
        <w:t> </w:t>
      </w:r>
      <w:r>
        <w:rPr>
          <w:rFonts w:ascii="宋体" w:hAnsi="宋体" w:cs="宋体" w:eastAsia="宋体" w:hint="default"/>
          <w:spacing w:val="-11"/>
          <w:sz w:val="21"/>
          <w:szCs w:val="21"/>
        </w:rPr>
        <w:t>BOT</w:t>
      </w:r>
      <w:r>
        <w:rPr>
          <w:rFonts w:ascii="宋体" w:hAnsi="宋体" w:cs="宋体" w:eastAsia="宋体" w:hint="default"/>
          <w:spacing w:val="-11"/>
          <w:sz w:val="21"/>
          <w:szCs w:val="21"/>
        </w:rPr>
        <w:t>、</w:t>
      </w:r>
      <w:r>
        <w:rPr>
          <w:rFonts w:ascii="宋体" w:hAnsi="宋体" w:cs="宋体" w:eastAsia="宋体" w:hint="default"/>
          <w:spacing w:val="-11"/>
          <w:sz w:val="21"/>
          <w:szCs w:val="21"/>
        </w:rPr>
        <w:t>TOT</w:t>
      </w:r>
      <w:r>
        <w:rPr>
          <w:rFonts w:ascii="宋体" w:hAnsi="宋体" w:cs="宋体" w:eastAsia="宋体" w:hint="default"/>
          <w:spacing w:val="-39"/>
          <w:sz w:val="21"/>
          <w:szCs w:val="21"/>
        </w:rPr>
        <w:t> </w:t>
      </w:r>
      <w:r>
        <w:rPr>
          <w:rFonts w:ascii="宋体" w:hAnsi="宋体" w:cs="宋体" w:eastAsia="宋体" w:hint="default"/>
          <w:spacing w:val="-9"/>
          <w:sz w:val="21"/>
          <w:szCs w:val="21"/>
        </w:rPr>
        <w:t>项目收费权质押取得借款</w:t>
      </w:r>
      <w:r>
        <w:rPr>
          <w:rFonts w:ascii="宋体" w:hAnsi="宋体" w:cs="宋体" w:eastAsia="宋体" w:hint="default"/>
          <w:spacing w:val="-47"/>
          <w:sz w:val="21"/>
          <w:szCs w:val="21"/>
        </w:rPr>
        <w:t> </w:t>
      </w:r>
      <w:r>
        <w:rPr>
          <w:rFonts w:ascii="宋体" w:hAnsi="宋体" w:cs="宋体" w:eastAsia="宋体" w:hint="default"/>
          <w:spacing w:val="-5"/>
          <w:sz w:val="21"/>
          <w:szCs w:val="21"/>
        </w:rPr>
        <w:t>70,350,000.00</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9"/>
          <w:sz w:val="21"/>
          <w:szCs w:val="21"/>
        </w:rPr>
        <w:t>元，并由本公司提供保证担保。</w:t>
      </w:r>
    </w:p>
    <w:p>
      <w:pPr>
        <w:spacing w:before="71"/>
        <w:ind w:left="685" w:right="0" w:firstLine="0"/>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31.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应付债券</w:t>
      </w:r>
    </w:p>
    <w:p>
      <w:pPr>
        <w:spacing w:before="113"/>
        <w:ind w:left="735" w:right="0" w:firstLine="0"/>
        <w:jc w:val="both"/>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11"/>
          <w:sz w:val="22"/>
          <w:szCs w:val="22"/>
        </w:rPr>
        <w:t> </w:t>
      </w:r>
      <w:r>
        <w:rPr>
          <w:rFonts w:ascii="宋体" w:hAnsi="宋体" w:cs="宋体" w:eastAsia="宋体" w:hint="default"/>
          <w:sz w:val="22"/>
          <w:szCs w:val="22"/>
        </w:rPr>
        <w:t>应付债券分类</w:t>
      </w:r>
    </w:p>
    <w:p>
      <w:pPr>
        <w:spacing w:line="240" w:lineRule="auto" w:before="9"/>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3253"/>
        <w:gridCol w:w="3113"/>
        <w:gridCol w:w="2416"/>
      </w:tblGrid>
      <w:tr>
        <w:trPr>
          <w:trHeight w:val="307" w:hRule="exact"/>
        </w:trPr>
        <w:tc>
          <w:tcPr>
            <w:tcW w:w="325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1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80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16"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60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8" w:hRule="exact"/>
        </w:trPr>
        <w:tc>
          <w:tcPr>
            <w:tcW w:w="3253"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3113" w:type="dxa"/>
            <w:tcBorders>
              <w:top w:val="single" w:sz="4" w:space="0" w:color="000000"/>
              <w:left w:val="nil" w:sz="6" w:space="0" w:color="auto"/>
              <w:bottom w:val="nil" w:sz="6" w:space="0" w:color="auto"/>
              <w:right w:val="nil" w:sz="6" w:space="0" w:color="auto"/>
            </w:tcBorders>
          </w:tcPr>
          <w:p>
            <w:pPr>
              <w:pStyle w:val="TableParagraph"/>
              <w:spacing w:line="232" w:lineRule="exact"/>
              <w:ind w:right="599"/>
              <w:jc w:val="right"/>
              <w:rPr>
                <w:rFonts w:ascii="宋体" w:hAnsi="宋体" w:cs="宋体" w:eastAsia="宋体" w:hint="default"/>
                <w:sz w:val="18"/>
                <w:szCs w:val="18"/>
              </w:rPr>
            </w:pPr>
            <w:r>
              <w:rPr>
                <w:rFonts w:ascii="宋体"/>
                <w:spacing w:val="-1"/>
                <w:sz w:val="18"/>
              </w:rPr>
              <w:t>6,400,000,000.00</w:t>
            </w:r>
          </w:p>
        </w:tc>
        <w:tc>
          <w:tcPr>
            <w:tcW w:w="2416"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3,500,000,000.00</w:t>
            </w:r>
          </w:p>
        </w:tc>
      </w:tr>
      <w:tr>
        <w:trPr>
          <w:trHeight w:val="290" w:hRule="exact"/>
        </w:trPr>
        <w:tc>
          <w:tcPr>
            <w:tcW w:w="3253"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境外高级定息无抵押美元债券</w:t>
            </w:r>
          </w:p>
        </w:tc>
        <w:tc>
          <w:tcPr>
            <w:tcW w:w="3113" w:type="dxa"/>
            <w:tcBorders>
              <w:top w:val="nil" w:sz="6" w:space="0" w:color="auto"/>
              <w:left w:val="nil" w:sz="6" w:space="0" w:color="auto"/>
              <w:bottom w:val="single" w:sz="4" w:space="0" w:color="000000"/>
              <w:right w:val="nil" w:sz="6" w:space="0" w:color="auto"/>
            </w:tcBorders>
          </w:tcPr>
          <w:p>
            <w:pPr>
              <w:pStyle w:val="TableParagraph"/>
              <w:spacing w:line="232" w:lineRule="exact"/>
              <w:ind w:right="599"/>
              <w:jc w:val="right"/>
              <w:rPr>
                <w:rFonts w:ascii="宋体" w:hAnsi="宋体" w:cs="宋体" w:eastAsia="宋体" w:hint="default"/>
                <w:sz w:val="18"/>
                <w:szCs w:val="18"/>
              </w:rPr>
            </w:pPr>
            <w:r>
              <w:rPr>
                <w:rFonts w:ascii="宋体"/>
                <w:spacing w:val="-1"/>
                <w:sz w:val="18"/>
              </w:rPr>
              <w:t>2,032,090,572.00</w:t>
            </w:r>
          </w:p>
        </w:tc>
        <w:tc>
          <w:tcPr>
            <w:tcW w:w="2416" w:type="dxa"/>
            <w:tcBorders>
              <w:top w:val="nil" w:sz="6" w:space="0" w:color="auto"/>
              <w:left w:val="nil" w:sz="6" w:space="0" w:color="auto"/>
              <w:bottom w:val="single" w:sz="4" w:space="0" w:color="000000"/>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z w:val="18"/>
              </w:rPr>
              <w:t>0.00</w:t>
            </w:r>
          </w:p>
        </w:tc>
      </w:tr>
      <w:tr>
        <w:trPr>
          <w:trHeight w:val="307" w:hRule="exact"/>
        </w:trPr>
        <w:tc>
          <w:tcPr>
            <w:tcW w:w="325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13"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600"/>
              <w:jc w:val="right"/>
              <w:rPr>
                <w:rFonts w:ascii="宋体" w:hAnsi="宋体" w:cs="宋体" w:eastAsia="宋体" w:hint="default"/>
                <w:sz w:val="18"/>
                <w:szCs w:val="18"/>
              </w:rPr>
            </w:pPr>
            <w:r>
              <w:rPr>
                <w:rFonts w:ascii="宋体"/>
                <w:b/>
                <w:w w:val="95"/>
                <w:sz w:val="18"/>
              </w:rPr>
              <w:t>8,432,090,572.00</w:t>
            </w:r>
            <w:r>
              <w:rPr>
                <w:rFonts w:ascii="宋体"/>
                <w:sz w:val="18"/>
              </w:rPr>
            </w:r>
          </w:p>
        </w:tc>
        <w:tc>
          <w:tcPr>
            <w:tcW w:w="2416"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3,500,000,000.00</w:t>
            </w:r>
            <w:r>
              <w:rPr>
                <w:rFonts w:ascii="宋体"/>
                <w:sz w:val="18"/>
              </w:rPr>
            </w:r>
          </w:p>
        </w:tc>
      </w:tr>
    </w:tbl>
    <w:p>
      <w:pPr>
        <w:spacing w:before="81"/>
        <w:ind w:left="735"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0"/>
          <w:sz w:val="22"/>
          <w:szCs w:val="22"/>
        </w:rPr>
        <w:t> </w:t>
      </w:r>
      <w:r>
        <w:rPr>
          <w:rFonts w:ascii="宋体" w:hAnsi="宋体" w:cs="宋体" w:eastAsia="宋体" w:hint="default"/>
          <w:sz w:val="22"/>
          <w:szCs w:val="22"/>
        </w:rPr>
        <w:t>应付债券的增减变动</w:t>
      </w:r>
    </w:p>
    <w:p>
      <w:pPr>
        <w:spacing w:line="240" w:lineRule="auto" w:before="9"/>
        <w:rPr>
          <w:rFonts w:ascii="宋体" w:hAnsi="宋体" w:cs="宋体" w:eastAsia="宋体" w:hint="default"/>
          <w:sz w:val="12"/>
          <w:szCs w:val="12"/>
        </w:rPr>
      </w:pPr>
    </w:p>
    <w:tbl>
      <w:tblPr>
        <w:tblW w:w="0" w:type="auto"/>
        <w:jc w:val="left"/>
        <w:tblInd w:w="154" w:type="dxa"/>
        <w:tblLayout w:type="fixed"/>
        <w:tblCellMar>
          <w:top w:w="0" w:type="dxa"/>
          <w:left w:w="0" w:type="dxa"/>
          <w:bottom w:w="0" w:type="dxa"/>
          <w:right w:w="0" w:type="dxa"/>
        </w:tblCellMar>
        <w:tblLook w:val="01E0"/>
      </w:tblPr>
      <w:tblGrid>
        <w:gridCol w:w="1285"/>
        <w:gridCol w:w="1566"/>
        <w:gridCol w:w="927"/>
        <w:gridCol w:w="292"/>
        <w:gridCol w:w="1566"/>
        <w:gridCol w:w="1567"/>
        <w:gridCol w:w="1566"/>
      </w:tblGrid>
      <w:tr>
        <w:trPr>
          <w:trHeight w:val="955" w:hRule="exact"/>
        </w:trPr>
        <w:tc>
          <w:tcPr>
            <w:tcW w:w="1285"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b/>
                <w:bCs/>
                <w:sz w:val="18"/>
                <w:szCs w:val="18"/>
              </w:rPr>
              <w:t>债券名称</w:t>
            </w:r>
            <w:r>
              <w:rPr>
                <w:rFonts w:ascii="宋体" w:hAnsi="宋体" w:cs="宋体" w:eastAsia="宋体" w:hint="default"/>
                <w:sz w:val="18"/>
                <w:szCs w:val="18"/>
              </w:rPr>
            </w:r>
          </w:p>
        </w:tc>
        <w:tc>
          <w:tcPr>
            <w:tcW w:w="1566"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b/>
                <w:bCs/>
                <w:sz w:val="18"/>
                <w:szCs w:val="18"/>
              </w:rPr>
              <w:t>面值总额</w:t>
            </w:r>
            <w:r>
              <w:rPr>
                <w:rFonts w:ascii="宋体" w:hAnsi="宋体" w:cs="宋体" w:eastAsia="宋体" w:hint="default"/>
                <w:sz w:val="18"/>
                <w:szCs w:val="18"/>
              </w:rPr>
            </w:r>
          </w:p>
        </w:tc>
        <w:tc>
          <w:tcPr>
            <w:tcW w:w="927"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发行日期</w:t>
            </w:r>
            <w:r>
              <w:rPr>
                <w:rFonts w:ascii="宋体" w:hAnsi="宋体" w:cs="宋体" w:eastAsia="宋体" w:hint="default"/>
                <w:sz w:val="18"/>
                <w:szCs w:val="18"/>
              </w:rPr>
            </w:r>
          </w:p>
        </w:tc>
        <w:tc>
          <w:tcPr>
            <w:tcW w:w="292" w:type="dxa"/>
            <w:tcBorders>
              <w:top w:val="single" w:sz="12" w:space="0" w:color="000000"/>
              <w:left w:val="nil" w:sz="6" w:space="0" w:color="auto"/>
              <w:bottom w:val="single" w:sz="4" w:space="0" w:color="000000"/>
              <w:right w:val="nil" w:sz="6" w:space="0" w:color="auto"/>
            </w:tcBorders>
          </w:tcPr>
          <w:p>
            <w:pPr>
              <w:pStyle w:val="TableParagraph"/>
              <w:spacing w:line="206" w:lineRule="exact"/>
              <w:ind w:left="55" w:right="0"/>
              <w:jc w:val="both"/>
              <w:rPr>
                <w:rFonts w:ascii="宋体" w:hAnsi="宋体" w:cs="宋体" w:eastAsia="宋体" w:hint="default"/>
                <w:sz w:val="18"/>
                <w:szCs w:val="18"/>
              </w:rPr>
            </w:pPr>
            <w:r>
              <w:rPr>
                <w:rFonts w:ascii="宋体" w:hAnsi="宋体" w:cs="宋体" w:eastAsia="宋体" w:hint="default"/>
                <w:b/>
                <w:bCs/>
                <w:w w:val="99"/>
                <w:sz w:val="18"/>
                <w:szCs w:val="18"/>
              </w:rPr>
              <w:t>债</w:t>
            </w:r>
            <w:r>
              <w:rPr>
                <w:rFonts w:ascii="宋体" w:hAnsi="宋体" w:cs="宋体" w:eastAsia="宋体" w:hint="default"/>
                <w:sz w:val="18"/>
                <w:szCs w:val="18"/>
              </w:rPr>
            </w:r>
          </w:p>
          <w:p>
            <w:pPr>
              <w:pStyle w:val="TableParagraph"/>
              <w:spacing w:line="237" w:lineRule="auto"/>
              <w:ind w:left="55" w:right="54"/>
              <w:jc w:val="both"/>
              <w:rPr>
                <w:rFonts w:ascii="宋体" w:hAnsi="宋体" w:cs="宋体" w:eastAsia="宋体" w:hint="default"/>
                <w:sz w:val="18"/>
                <w:szCs w:val="18"/>
              </w:rPr>
            </w:pPr>
            <w:r>
              <w:rPr>
                <w:rFonts w:ascii="宋体" w:hAnsi="宋体" w:cs="宋体" w:eastAsia="宋体" w:hint="default"/>
                <w:b/>
                <w:bCs/>
                <w:sz w:val="18"/>
                <w:szCs w:val="18"/>
              </w:rPr>
              <w:t>券</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b/>
                <w:bCs/>
                <w:w w:val="99"/>
                <w:sz w:val="18"/>
                <w:szCs w:val="18"/>
              </w:rPr>
              <w:t> </w:t>
            </w:r>
            <w:r>
              <w:rPr>
                <w:rFonts w:ascii="宋体" w:hAnsi="宋体" w:cs="宋体" w:eastAsia="宋体" w:hint="default"/>
                <w:b/>
                <w:bCs/>
                <w:sz w:val="18"/>
                <w:szCs w:val="18"/>
              </w:rPr>
              <w:t>限</w:t>
            </w:r>
            <w:r>
              <w:rPr>
                <w:rFonts w:ascii="宋体" w:hAnsi="宋体" w:cs="宋体" w:eastAsia="宋体" w:hint="default"/>
                <w:sz w:val="18"/>
                <w:szCs w:val="18"/>
              </w:rPr>
            </w:r>
          </w:p>
        </w:tc>
        <w:tc>
          <w:tcPr>
            <w:tcW w:w="1566"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b/>
                <w:bCs/>
                <w:sz w:val="18"/>
                <w:szCs w:val="18"/>
              </w:rPr>
              <w:t>发行金额</w:t>
            </w:r>
            <w:r>
              <w:rPr>
                <w:rFonts w:ascii="宋体" w:hAnsi="宋体" w:cs="宋体" w:eastAsia="宋体" w:hint="default"/>
                <w:sz w:val="18"/>
                <w:szCs w:val="18"/>
              </w:rPr>
            </w:r>
          </w:p>
        </w:tc>
        <w:tc>
          <w:tcPr>
            <w:tcW w:w="1567"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66"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b/>
                <w:bCs/>
                <w:sz w:val="18"/>
                <w:szCs w:val="18"/>
              </w:rPr>
              <w:t>本年发行</w:t>
            </w:r>
            <w:r>
              <w:rPr>
                <w:rFonts w:ascii="宋体" w:hAnsi="宋体" w:cs="宋体" w:eastAsia="宋体" w:hint="default"/>
                <w:sz w:val="18"/>
                <w:szCs w:val="18"/>
              </w:rPr>
            </w:r>
          </w:p>
        </w:tc>
      </w:tr>
      <w:tr>
        <w:trPr>
          <w:trHeight w:val="471" w:hRule="exact"/>
        </w:trPr>
        <w:tc>
          <w:tcPr>
            <w:tcW w:w="1285"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57"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4"/>
                <w:sz w:val="18"/>
                <w:szCs w:val="18"/>
              </w:rPr>
              <w:t> </w:t>
            </w:r>
            <w:r>
              <w:rPr>
                <w:rFonts w:ascii="宋体" w:hAnsi="宋体" w:cs="宋体" w:eastAsia="宋体" w:hint="default"/>
                <w:sz w:val="18"/>
                <w:szCs w:val="18"/>
              </w:rPr>
              <w:t>同方</w:t>
            </w:r>
            <w:r>
              <w:rPr>
                <w:rFonts w:ascii="宋体" w:hAnsi="宋体" w:cs="宋体" w:eastAsia="宋体" w:hint="default"/>
                <w:spacing w:val="-47"/>
                <w:sz w:val="18"/>
                <w:szCs w:val="18"/>
              </w:rPr>
              <w:t> </w:t>
            </w:r>
            <w:r>
              <w:rPr>
                <w:rFonts w:ascii="宋体" w:hAnsi="宋体" w:cs="宋体" w:eastAsia="宋体" w:hint="default"/>
                <w:sz w:val="18"/>
                <w:szCs w:val="18"/>
              </w:rPr>
              <w:t>MTN001</w:t>
            </w:r>
          </w:p>
        </w:tc>
        <w:tc>
          <w:tcPr>
            <w:tcW w:w="1566"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800,000,000.00</w:t>
            </w:r>
          </w:p>
        </w:tc>
        <w:tc>
          <w:tcPr>
            <w:tcW w:w="927"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2014-3-21</w:t>
            </w:r>
          </w:p>
        </w:tc>
        <w:tc>
          <w:tcPr>
            <w:tcW w:w="292" w:type="dxa"/>
            <w:tcBorders>
              <w:top w:val="single" w:sz="4" w:space="0" w:color="000000"/>
              <w:left w:val="nil" w:sz="6" w:space="0" w:color="auto"/>
              <w:bottom w:val="nil" w:sz="6" w:space="0" w:color="auto"/>
              <w:right w:val="nil" w:sz="6" w:space="0" w:color="auto"/>
            </w:tcBorders>
          </w:tcPr>
          <w:p>
            <w:pPr>
              <w:pStyle w:val="TableParagraph"/>
              <w:spacing w:line="204" w:lineRule="exact"/>
              <w:ind w:right="2"/>
              <w:jc w:val="center"/>
              <w:rPr>
                <w:rFonts w:ascii="宋体" w:hAnsi="宋体" w:cs="宋体" w:eastAsia="宋体" w:hint="default"/>
                <w:sz w:val="18"/>
                <w:szCs w:val="18"/>
              </w:rPr>
            </w:pPr>
            <w:r>
              <w:rPr>
                <w:rFonts w:ascii="宋体"/>
                <w:sz w:val="18"/>
              </w:rPr>
              <w:t>5</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年</w:t>
            </w:r>
          </w:p>
        </w:tc>
        <w:tc>
          <w:tcPr>
            <w:tcW w:w="1566"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800,000,000.00</w:t>
            </w: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800,000,000.00</w:t>
            </w:r>
          </w:p>
        </w:tc>
        <w:tc>
          <w:tcPr>
            <w:tcW w:w="1566"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54"/>
              <w:jc w:val="right"/>
              <w:rPr>
                <w:rFonts w:ascii="宋体" w:hAnsi="宋体" w:cs="宋体" w:eastAsia="宋体" w:hint="default"/>
                <w:sz w:val="18"/>
                <w:szCs w:val="18"/>
              </w:rPr>
            </w:pPr>
            <w:r>
              <w:rPr>
                <w:rFonts w:ascii="宋体"/>
                <w:sz w:val="18"/>
              </w:rPr>
              <w:t>0.00</w:t>
            </w:r>
          </w:p>
        </w:tc>
      </w:tr>
      <w:tr>
        <w:trPr>
          <w:trHeight w:val="467" w:hRule="exact"/>
        </w:trPr>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7"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z w:val="18"/>
                <w:szCs w:val="18"/>
              </w:rPr>
              <w:t>同方</w:t>
            </w:r>
            <w:r>
              <w:rPr>
                <w:rFonts w:ascii="宋体" w:hAnsi="宋体" w:cs="宋体" w:eastAsia="宋体" w:hint="default"/>
                <w:spacing w:val="-47"/>
                <w:sz w:val="18"/>
                <w:szCs w:val="18"/>
              </w:rPr>
              <w:t> </w:t>
            </w:r>
            <w:r>
              <w:rPr>
                <w:rFonts w:ascii="宋体" w:hAnsi="宋体" w:cs="宋体" w:eastAsia="宋体" w:hint="default"/>
                <w:sz w:val="18"/>
                <w:szCs w:val="18"/>
              </w:rPr>
              <w:t>MTN001</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6"/>
              <w:jc w:val="right"/>
              <w:rPr>
                <w:rFonts w:ascii="宋体" w:hAnsi="宋体" w:cs="宋体" w:eastAsia="宋体" w:hint="default"/>
                <w:sz w:val="18"/>
                <w:szCs w:val="18"/>
              </w:rPr>
            </w:pPr>
            <w:r>
              <w:rPr>
                <w:rFonts w:ascii="宋体"/>
                <w:spacing w:val="-1"/>
                <w:sz w:val="18"/>
              </w:rPr>
              <w:t>1,000,000,000.00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2016-1-14</w:t>
            </w:r>
          </w:p>
        </w:tc>
        <w:tc>
          <w:tcPr>
            <w:tcW w:w="292" w:type="dxa"/>
            <w:tcBorders>
              <w:top w:val="nil" w:sz="6" w:space="0" w:color="auto"/>
              <w:left w:val="nil" w:sz="6" w:space="0" w:color="auto"/>
              <w:bottom w:val="nil" w:sz="6" w:space="0" w:color="auto"/>
              <w:right w:val="nil" w:sz="6" w:space="0" w:color="auto"/>
            </w:tcBorders>
          </w:tcPr>
          <w:p>
            <w:pPr>
              <w:pStyle w:val="TableParagraph"/>
              <w:spacing w:line="206" w:lineRule="exact"/>
              <w:ind w:right="2"/>
              <w:jc w:val="center"/>
              <w:rPr>
                <w:rFonts w:ascii="宋体" w:hAnsi="宋体" w:cs="宋体" w:eastAsia="宋体" w:hint="default"/>
                <w:sz w:val="18"/>
                <w:szCs w:val="18"/>
              </w:rPr>
            </w:pPr>
            <w:r>
              <w:rPr>
                <w:rFonts w:ascii="宋体"/>
                <w:sz w:val="18"/>
              </w:rPr>
              <w:t>5</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年</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1,000,000,000.00</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1,000,000,000.00</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4"/>
              <w:jc w:val="right"/>
              <w:rPr>
                <w:rFonts w:ascii="宋体" w:hAnsi="宋体" w:cs="宋体" w:eastAsia="宋体" w:hint="default"/>
                <w:sz w:val="18"/>
                <w:szCs w:val="18"/>
              </w:rPr>
            </w:pPr>
            <w:r>
              <w:rPr>
                <w:rFonts w:ascii="宋体"/>
                <w:sz w:val="18"/>
              </w:rPr>
              <w:t>0.00</w:t>
            </w:r>
          </w:p>
        </w:tc>
      </w:tr>
      <w:tr>
        <w:trPr>
          <w:trHeight w:val="467" w:hRule="exact"/>
        </w:trPr>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7"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z w:val="18"/>
                <w:szCs w:val="18"/>
              </w:rPr>
              <w:t>同方</w:t>
            </w:r>
            <w:r>
              <w:rPr>
                <w:rFonts w:ascii="宋体" w:hAnsi="宋体" w:cs="宋体" w:eastAsia="宋体" w:hint="default"/>
                <w:spacing w:val="-47"/>
                <w:sz w:val="18"/>
                <w:szCs w:val="18"/>
              </w:rPr>
              <w:t> </w:t>
            </w:r>
            <w:r>
              <w:rPr>
                <w:rFonts w:ascii="宋体" w:hAnsi="宋体" w:cs="宋体" w:eastAsia="宋体" w:hint="default"/>
                <w:sz w:val="18"/>
                <w:szCs w:val="18"/>
              </w:rPr>
              <w:t>MTN002</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6"/>
              <w:jc w:val="right"/>
              <w:rPr>
                <w:rFonts w:ascii="宋体" w:hAnsi="宋体" w:cs="宋体" w:eastAsia="宋体" w:hint="default"/>
                <w:sz w:val="18"/>
                <w:szCs w:val="18"/>
              </w:rPr>
            </w:pPr>
            <w:r>
              <w:rPr>
                <w:rFonts w:ascii="宋体"/>
                <w:spacing w:val="-1"/>
                <w:sz w:val="18"/>
              </w:rPr>
              <w:t>1,000,000,000.00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 w:right="0"/>
              <w:jc w:val="center"/>
              <w:rPr>
                <w:rFonts w:ascii="宋体" w:hAnsi="宋体" w:cs="宋体" w:eastAsia="宋体" w:hint="default"/>
                <w:sz w:val="18"/>
                <w:szCs w:val="18"/>
              </w:rPr>
            </w:pPr>
            <w:r>
              <w:rPr>
                <w:rFonts w:ascii="宋体"/>
                <w:sz w:val="18"/>
              </w:rPr>
              <w:t>2016-7-15</w:t>
            </w:r>
          </w:p>
        </w:tc>
        <w:tc>
          <w:tcPr>
            <w:tcW w:w="292" w:type="dxa"/>
            <w:tcBorders>
              <w:top w:val="nil" w:sz="6" w:space="0" w:color="auto"/>
              <w:left w:val="nil" w:sz="6" w:space="0" w:color="auto"/>
              <w:bottom w:val="nil" w:sz="6" w:space="0" w:color="auto"/>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5</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年</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5"/>
              <w:jc w:val="right"/>
              <w:rPr>
                <w:rFonts w:ascii="宋体" w:hAnsi="宋体" w:cs="宋体" w:eastAsia="宋体" w:hint="default"/>
                <w:sz w:val="18"/>
                <w:szCs w:val="18"/>
              </w:rPr>
            </w:pPr>
            <w:r>
              <w:rPr>
                <w:rFonts w:ascii="宋体"/>
                <w:spacing w:val="-1"/>
                <w:sz w:val="18"/>
              </w:rPr>
              <w:t>1,000,000,000.00</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5"/>
              <w:jc w:val="right"/>
              <w:rPr>
                <w:rFonts w:ascii="宋体" w:hAnsi="宋体" w:cs="宋体" w:eastAsia="宋体" w:hint="default"/>
                <w:sz w:val="18"/>
                <w:szCs w:val="18"/>
              </w:rPr>
            </w:pPr>
            <w:r>
              <w:rPr>
                <w:rFonts w:ascii="宋体"/>
                <w:spacing w:val="-1"/>
                <w:sz w:val="18"/>
              </w:rPr>
              <w:t>1,000,000,000.00</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4"/>
              <w:jc w:val="right"/>
              <w:rPr>
                <w:rFonts w:ascii="宋体" w:hAnsi="宋体" w:cs="宋体" w:eastAsia="宋体" w:hint="default"/>
                <w:sz w:val="18"/>
                <w:szCs w:val="18"/>
              </w:rPr>
            </w:pPr>
            <w:r>
              <w:rPr>
                <w:rFonts w:ascii="宋体"/>
                <w:sz w:val="18"/>
              </w:rPr>
              <w:t>0.00</w:t>
            </w:r>
          </w:p>
        </w:tc>
      </w:tr>
      <w:tr>
        <w:trPr>
          <w:trHeight w:val="467" w:hRule="exact"/>
        </w:trPr>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7" w:right="0"/>
              <w:jc w:val="left"/>
              <w:rPr>
                <w:rFonts w:ascii="宋体" w:hAnsi="宋体" w:cs="宋体" w:eastAsia="宋体" w:hint="default"/>
                <w:sz w:val="18"/>
                <w:szCs w:val="18"/>
              </w:rPr>
            </w:pPr>
            <w:r>
              <w:rPr>
                <w:rFonts w:ascii="宋体" w:hAnsi="宋体" w:cs="宋体" w:eastAsia="宋体" w:hint="default"/>
                <w:sz w:val="18"/>
                <w:szCs w:val="18"/>
              </w:rPr>
              <w:t>17</w:t>
            </w:r>
            <w:r>
              <w:rPr>
                <w:rFonts w:ascii="宋体" w:hAnsi="宋体" w:cs="宋体" w:eastAsia="宋体" w:hint="default"/>
                <w:spacing w:val="-44"/>
                <w:sz w:val="18"/>
                <w:szCs w:val="18"/>
              </w:rPr>
              <w:t> </w:t>
            </w:r>
            <w:r>
              <w:rPr>
                <w:rFonts w:ascii="宋体" w:hAnsi="宋体" w:cs="宋体" w:eastAsia="宋体" w:hint="default"/>
                <w:sz w:val="18"/>
                <w:szCs w:val="18"/>
              </w:rPr>
              <w:t>同方</w:t>
            </w:r>
            <w:r>
              <w:rPr>
                <w:rFonts w:ascii="宋体" w:hAnsi="宋体" w:cs="宋体" w:eastAsia="宋体" w:hint="default"/>
                <w:spacing w:val="-47"/>
                <w:sz w:val="18"/>
                <w:szCs w:val="18"/>
              </w:rPr>
              <w:t> </w:t>
            </w:r>
            <w:r>
              <w:rPr>
                <w:rFonts w:ascii="宋体" w:hAnsi="宋体" w:cs="宋体" w:eastAsia="宋体" w:hint="default"/>
                <w:sz w:val="18"/>
                <w:szCs w:val="18"/>
              </w:rPr>
              <w:t>MTN001</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700,000,000.00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2017-6-23</w:t>
            </w:r>
          </w:p>
        </w:tc>
        <w:tc>
          <w:tcPr>
            <w:tcW w:w="292" w:type="dxa"/>
            <w:tcBorders>
              <w:top w:val="nil" w:sz="6" w:space="0" w:color="auto"/>
              <w:left w:val="nil" w:sz="6" w:space="0" w:color="auto"/>
              <w:bottom w:val="nil" w:sz="6" w:space="0" w:color="auto"/>
              <w:right w:val="nil" w:sz="6" w:space="0" w:color="auto"/>
            </w:tcBorders>
          </w:tcPr>
          <w:p>
            <w:pPr>
              <w:pStyle w:val="TableParagraph"/>
              <w:spacing w:line="206" w:lineRule="exact"/>
              <w:ind w:right="2"/>
              <w:jc w:val="center"/>
              <w:rPr>
                <w:rFonts w:ascii="宋体" w:hAnsi="宋体" w:cs="宋体" w:eastAsia="宋体" w:hint="default"/>
                <w:sz w:val="18"/>
                <w:szCs w:val="18"/>
              </w:rPr>
            </w:pPr>
            <w:r>
              <w:rPr>
                <w:rFonts w:ascii="宋体"/>
                <w:sz w:val="18"/>
              </w:rPr>
              <w:t>5</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年</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700,000,000.00</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5"/>
              <w:jc w:val="right"/>
              <w:rPr>
                <w:rFonts w:ascii="宋体" w:hAnsi="宋体" w:cs="宋体" w:eastAsia="宋体" w:hint="default"/>
                <w:sz w:val="18"/>
                <w:szCs w:val="18"/>
              </w:rPr>
            </w:pPr>
            <w:r>
              <w:rPr>
                <w:rFonts w:ascii="宋体"/>
                <w:spacing w:val="-1"/>
                <w:sz w:val="18"/>
              </w:rPr>
              <w:t>700,000,000.00</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4"/>
              <w:jc w:val="right"/>
              <w:rPr>
                <w:rFonts w:ascii="宋体" w:hAnsi="宋体" w:cs="宋体" w:eastAsia="宋体" w:hint="default"/>
                <w:sz w:val="18"/>
                <w:szCs w:val="18"/>
              </w:rPr>
            </w:pPr>
            <w:r>
              <w:rPr>
                <w:rFonts w:ascii="宋体"/>
                <w:sz w:val="18"/>
              </w:rPr>
              <w:t>0.00</w:t>
            </w:r>
          </w:p>
        </w:tc>
      </w:tr>
      <w:tr>
        <w:trPr>
          <w:trHeight w:val="468" w:hRule="exact"/>
        </w:trPr>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7"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同方</w:t>
            </w:r>
            <w:r>
              <w:rPr>
                <w:rFonts w:ascii="宋体" w:hAnsi="宋体" w:cs="宋体" w:eastAsia="宋体" w:hint="default"/>
                <w:spacing w:val="-47"/>
                <w:sz w:val="18"/>
                <w:szCs w:val="18"/>
              </w:rPr>
              <w:t> </w:t>
            </w:r>
            <w:r>
              <w:rPr>
                <w:rFonts w:ascii="宋体" w:hAnsi="宋体" w:cs="宋体" w:eastAsia="宋体" w:hint="default"/>
                <w:sz w:val="18"/>
                <w:szCs w:val="18"/>
              </w:rPr>
              <w:t>MTN001</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6"/>
              <w:jc w:val="right"/>
              <w:rPr>
                <w:rFonts w:ascii="宋体" w:hAnsi="宋体" w:cs="宋体" w:eastAsia="宋体" w:hint="default"/>
                <w:sz w:val="18"/>
                <w:szCs w:val="18"/>
              </w:rPr>
            </w:pPr>
            <w:r>
              <w:rPr>
                <w:rFonts w:ascii="宋体"/>
                <w:spacing w:val="-1"/>
                <w:sz w:val="18"/>
              </w:rPr>
              <w:t>1,000,000,000.00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 w:right="0"/>
              <w:jc w:val="center"/>
              <w:rPr>
                <w:rFonts w:ascii="宋体" w:hAnsi="宋体" w:cs="宋体" w:eastAsia="宋体" w:hint="default"/>
                <w:sz w:val="18"/>
                <w:szCs w:val="18"/>
              </w:rPr>
            </w:pPr>
            <w:r>
              <w:rPr>
                <w:rFonts w:ascii="宋体"/>
                <w:sz w:val="18"/>
              </w:rPr>
              <w:t>2018-3-15</w:t>
            </w:r>
          </w:p>
        </w:tc>
        <w:tc>
          <w:tcPr>
            <w:tcW w:w="292" w:type="dxa"/>
            <w:tcBorders>
              <w:top w:val="nil" w:sz="6" w:space="0" w:color="auto"/>
              <w:left w:val="nil" w:sz="6" w:space="0" w:color="auto"/>
              <w:bottom w:val="nil" w:sz="6" w:space="0" w:color="auto"/>
              <w:right w:val="nil" w:sz="6" w:space="0" w:color="auto"/>
            </w:tcBorders>
          </w:tcPr>
          <w:p>
            <w:pPr>
              <w:pStyle w:val="TableParagraph"/>
              <w:spacing w:line="206" w:lineRule="exact"/>
              <w:ind w:right="2"/>
              <w:jc w:val="center"/>
              <w:rPr>
                <w:rFonts w:ascii="宋体" w:hAnsi="宋体" w:cs="宋体" w:eastAsia="宋体" w:hint="default"/>
                <w:sz w:val="18"/>
                <w:szCs w:val="18"/>
              </w:rPr>
            </w:pPr>
            <w:r>
              <w:rPr>
                <w:rFonts w:ascii="宋体"/>
                <w:sz w:val="18"/>
              </w:rPr>
              <w:t>5</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5"/>
              <w:jc w:val="right"/>
              <w:rPr>
                <w:rFonts w:ascii="宋体" w:hAnsi="宋体" w:cs="宋体" w:eastAsia="宋体" w:hint="default"/>
                <w:sz w:val="18"/>
                <w:szCs w:val="18"/>
              </w:rPr>
            </w:pPr>
            <w:r>
              <w:rPr>
                <w:rFonts w:ascii="宋体"/>
                <w:spacing w:val="-1"/>
                <w:sz w:val="18"/>
              </w:rPr>
              <w:t>1,000,000,000.00</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4"/>
              <w:jc w:val="right"/>
              <w:rPr>
                <w:rFonts w:ascii="宋体" w:hAnsi="宋体" w:cs="宋体" w:eastAsia="宋体" w:hint="default"/>
                <w:sz w:val="18"/>
                <w:szCs w:val="18"/>
              </w:rPr>
            </w:pPr>
            <w:r>
              <w:rPr>
                <w:rFonts w:ascii="宋体"/>
                <w:sz w:val="18"/>
              </w:rPr>
              <w:t>0.00</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5"/>
              <w:jc w:val="right"/>
              <w:rPr>
                <w:rFonts w:ascii="宋体" w:hAnsi="宋体" w:cs="宋体" w:eastAsia="宋体" w:hint="default"/>
                <w:sz w:val="18"/>
                <w:szCs w:val="18"/>
              </w:rPr>
            </w:pPr>
            <w:r>
              <w:rPr>
                <w:rFonts w:ascii="宋体"/>
                <w:spacing w:val="-1"/>
                <w:sz w:val="18"/>
              </w:rPr>
              <w:t>1,000,000,000.00</w:t>
            </w:r>
          </w:p>
        </w:tc>
      </w:tr>
      <w:tr>
        <w:trPr>
          <w:trHeight w:val="466" w:hRule="exact"/>
        </w:trPr>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7"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同方</w:t>
            </w:r>
            <w:r>
              <w:rPr>
                <w:rFonts w:ascii="宋体" w:hAnsi="宋体" w:cs="宋体" w:eastAsia="宋体" w:hint="default"/>
                <w:spacing w:val="-47"/>
                <w:sz w:val="18"/>
                <w:szCs w:val="18"/>
              </w:rPr>
              <w:t> </w:t>
            </w:r>
            <w:r>
              <w:rPr>
                <w:rFonts w:ascii="宋体" w:hAnsi="宋体" w:cs="宋体" w:eastAsia="宋体" w:hint="default"/>
                <w:sz w:val="18"/>
                <w:szCs w:val="18"/>
              </w:rPr>
              <w:t>MTN002</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6"/>
              <w:jc w:val="right"/>
              <w:rPr>
                <w:rFonts w:ascii="宋体" w:hAnsi="宋体" w:cs="宋体" w:eastAsia="宋体" w:hint="default"/>
                <w:sz w:val="18"/>
                <w:szCs w:val="18"/>
              </w:rPr>
            </w:pPr>
            <w:r>
              <w:rPr>
                <w:rFonts w:ascii="宋体"/>
                <w:spacing w:val="-1"/>
                <w:sz w:val="18"/>
              </w:rPr>
              <w:t>1,200,000,000.00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 w:right="0"/>
              <w:jc w:val="center"/>
              <w:rPr>
                <w:rFonts w:ascii="宋体" w:hAnsi="宋体" w:cs="宋体" w:eastAsia="宋体" w:hint="default"/>
                <w:sz w:val="18"/>
                <w:szCs w:val="18"/>
              </w:rPr>
            </w:pPr>
            <w:r>
              <w:rPr>
                <w:rFonts w:ascii="宋体"/>
                <w:sz w:val="18"/>
              </w:rPr>
              <w:t>2018-4-10</w:t>
            </w:r>
          </w:p>
        </w:tc>
        <w:tc>
          <w:tcPr>
            <w:tcW w:w="292" w:type="dxa"/>
            <w:tcBorders>
              <w:top w:val="nil" w:sz="6" w:space="0" w:color="auto"/>
              <w:left w:val="nil" w:sz="6" w:space="0" w:color="auto"/>
              <w:bottom w:val="nil" w:sz="6" w:space="0" w:color="auto"/>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5</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年</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5"/>
              <w:jc w:val="right"/>
              <w:rPr>
                <w:rFonts w:ascii="宋体" w:hAnsi="宋体" w:cs="宋体" w:eastAsia="宋体" w:hint="default"/>
                <w:sz w:val="18"/>
                <w:szCs w:val="18"/>
              </w:rPr>
            </w:pPr>
            <w:r>
              <w:rPr>
                <w:rFonts w:ascii="宋体"/>
                <w:spacing w:val="-1"/>
                <w:sz w:val="18"/>
              </w:rPr>
              <w:t>1,200,000,000.00</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4"/>
              <w:jc w:val="right"/>
              <w:rPr>
                <w:rFonts w:ascii="宋体" w:hAnsi="宋体" w:cs="宋体" w:eastAsia="宋体" w:hint="default"/>
                <w:sz w:val="18"/>
                <w:szCs w:val="18"/>
              </w:rPr>
            </w:pPr>
            <w:r>
              <w:rPr>
                <w:rFonts w:ascii="宋体"/>
                <w:sz w:val="18"/>
              </w:rPr>
              <w:t>0.00</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5"/>
              <w:jc w:val="right"/>
              <w:rPr>
                <w:rFonts w:ascii="宋体" w:hAnsi="宋体" w:cs="宋体" w:eastAsia="宋体" w:hint="default"/>
                <w:sz w:val="18"/>
                <w:szCs w:val="18"/>
              </w:rPr>
            </w:pPr>
            <w:r>
              <w:rPr>
                <w:rFonts w:ascii="宋体"/>
                <w:spacing w:val="-1"/>
                <w:sz w:val="18"/>
              </w:rPr>
              <w:t>1,200,000,000.00</w:t>
            </w:r>
          </w:p>
        </w:tc>
      </w:tr>
      <w:tr>
        <w:trPr>
          <w:trHeight w:val="468" w:hRule="exact"/>
        </w:trPr>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7"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同方</w:t>
            </w:r>
            <w:r>
              <w:rPr>
                <w:rFonts w:ascii="宋体" w:hAnsi="宋体" w:cs="宋体" w:eastAsia="宋体" w:hint="default"/>
                <w:spacing w:val="-47"/>
                <w:sz w:val="18"/>
                <w:szCs w:val="18"/>
              </w:rPr>
              <w:t> </w:t>
            </w:r>
            <w:r>
              <w:rPr>
                <w:rFonts w:ascii="宋体" w:hAnsi="宋体" w:cs="宋体" w:eastAsia="宋体" w:hint="default"/>
                <w:sz w:val="18"/>
                <w:szCs w:val="18"/>
              </w:rPr>
              <w:t>MTN003</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6"/>
              <w:jc w:val="right"/>
              <w:rPr>
                <w:rFonts w:ascii="宋体" w:hAnsi="宋体" w:cs="宋体" w:eastAsia="宋体" w:hint="default"/>
                <w:sz w:val="18"/>
                <w:szCs w:val="18"/>
              </w:rPr>
            </w:pPr>
            <w:r>
              <w:rPr>
                <w:rFonts w:ascii="宋体"/>
                <w:spacing w:val="-1"/>
                <w:sz w:val="18"/>
              </w:rPr>
              <w:t>1,500,000,000.00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 w:right="0"/>
              <w:jc w:val="center"/>
              <w:rPr>
                <w:rFonts w:ascii="宋体" w:hAnsi="宋体" w:cs="宋体" w:eastAsia="宋体" w:hint="default"/>
                <w:sz w:val="18"/>
                <w:szCs w:val="18"/>
              </w:rPr>
            </w:pPr>
            <w:r>
              <w:rPr>
                <w:rFonts w:ascii="宋体"/>
                <w:sz w:val="18"/>
              </w:rPr>
              <w:t>2018-4-17</w:t>
            </w:r>
          </w:p>
        </w:tc>
        <w:tc>
          <w:tcPr>
            <w:tcW w:w="292" w:type="dxa"/>
            <w:tcBorders>
              <w:top w:val="nil" w:sz="6" w:space="0" w:color="auto"/>
              <w:left w:val="nil" w:sz="6" w:space="0" w:color="auto"/>
              <w:bottom w:val="nil" w:sz="6" w:space="0" w:color="auto"/>
              <w:right w:val="nil" w:sz="6" w:space="0" w:color="auto"/>
            </w:tcBorders>
          </w:tcPr>
          <w:p>
            <w:pPr>
              <w:pStyle w:val="TableParagraph"/>
              <w:spacing w:line="206" w:lineRule="exact"/>
              <w:ind w:right="2"/>
              <w:jc w:val="center"/>
              <w:rPr>
                <w:rFonts w:ascii="宋体" w:hAnsi="宋体" w:cs="宋体" w:eastAsia="宋体" w:hint="default"/>
                <w:sz w:val="18"/>
                <w:szCs w:val="18"/>
              </w:rPr>
            </w:pPr>
            <w:r>
              <w:rPr>
                <w:rFonts w:ascii="宋体"/>
                <w:sz w:val="18"/>
              </w:rPr>
              <w:t>5</w:t>
            </w: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5"/>
              <w:jc w:val="right"/>
              <w:rPr>
                <w:rFonts w:ascii="宋体" w:hAnsi="宋体" w:cs="宋体" w:eastAsia="宋体" w:hint="default"/>
                <w:sz w:val="18"/>
                <w:szCs w:val="18"/>
              </w:rPr>
            </w:pPr>
            <w:r>
              <w:rPr>
                <w:rFonts w:ascii="宋体"/>
                <w:spacing w:val="-1"/>
                <w:sz w:val="18"/>
              </w:rPr>
              <w:t>1,500,000,000.00</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4"/>
              <w:jc w:val="right"/>
              <w:rPr>
                <w:rFonts w:ascii="宋体" w:hAnsi="宋体" w:cs="宋体" w:eastAsia="宋体" w:hint="default"/>
                <w:sz w:val="18"/>
                <w:szCs w:val="18"/>
              </w:rPr>
            </w:pPr>
            <w:r>
              <w:rPr>
                <w:rFonts w:ascii="宋体"/>
                <w:sz w:val="18"/>
              </w:rPr>
              <w:t>0.00</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55"/>
              <w:jc w:val="right"/>
              <w:rPr>
                <w:rFonts w:ascii="宋体" w:hAnsi="宋体" w:cs="宋体" w:eastAsia="宋体" w:hint="default"/>
                <w:sz w:val="18"/>
                <w:szCs w:val="18"/>
              </w:rPr>
            </w:pPr>
            <w:r>
              <w:rPr>
                <w:rFonts w:ascii="宋体"/>
                <w:spacing w:val="-1"/>
                <w:sz w:val="18"/>
              </w:rPr>
              <w:t>1,500,000,000.00</w:t>
            </w:r>
          </w:p>
        </w:tc>
      </w:tr>
      <w:tr>
        <w:trPr>
          <w:trHeight w:val="471" w:hRule="exact"/>
        </w:trPr>
        <w:tc>
          <w:tcPr>
            <w:tcW w:w="1285"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57" w:right="0"/>
              <w:jc w:val="left"/>
              <w:rPr>
                <w:rFonts w:ascii="宋体" w:hAnsi="宋体" w:cs="宋体" w:eastAsia="宋体" w:hint="default"/>
                <w:sz w:val="18"/>
                <w:szCs w:val="18"/>
              </w:rPr>
            </w:pPr>
            <w:r>
              <w:rPr>
                <w:rFonts w:ascii="宋体"/>
                <w:sz w:val="18"/>
              </w:rPr>
              <w:t>TONGFANGB2103</w:t>
            </w:r>
          </w:p>
        </w:tc>
        <w:tc>
          <w:tcPr>
            <w:tcW w:w="1566"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56"/>
              <w:jc w:val="right"/>
              <w:rPr>
                <w:rFonts w:ascii="宋体" w:hAnsi="宋体" w:cs="宋体" w:eastAsia="宋体" w:hint="default"/>
                <w:sz w:val="18"/>
                <w:szCs w:val="18"/>
              </w:rPr>
            </w:pPr>
            <w:r>
              <w:rPr>
                <w:rFonts w:ascii="宋体"/>
                <w:spacing w:val="-1"/>
                <w:sz w:val="18"/>
              </w:rPr>
              <w:t>2,058,960,000.00</w:t>
            </w:r>
          </w:p>
        </w:tc>
        <w:tc>
          <w:tcPr>
            <w:tcW w:w="927"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2" w:right="0"/>
              <w:jc w:val="center"/>
              <w:rPr>
                <w:rFonts w:ascii="宋体" w:hAnsi="宋体" w:cs="宋体" w:eastAsia="宋体" w:hint="default"/>
                <w:sz w:val="18"/>
                <w:szCs w:val="18"/>
              </w:rPr>
            </w:pPr>
            <w:r>
              <w:rPr>
                <w:rFonts w:ascii="宋体"/>
                <w:sz w:val="18"/>
              </w:rPr>
              <w:t>2018-3-29</w:t>
            </w:r>
          </w:p>
        </w:tc>
        <w:tc>
          <w:tcPr>
            <w:tcW w:w="292" w:type="dxa"/>
            <w:tcBorders>
              <w:top w:val="nil" w:sz="6" w:space="0" w:color="auto"/>
              <w:left w:val="nil" w:sz="6" w:space="0" w:color="auto"/>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sz w:val="18"/>
              </w:rPr>
              <w:t>3</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年</w:t>
            </w:r>
          </w:p>
        </w:tc>
        <w:tc>
          <w:tcPr>
            <w:tcW w:w="1566"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55"/>
              <w:jc w:val="right"/>
              <w:rPr>
                <w:rFonts w:ascii="宋体" w:hAnsi="宋体" w:cs="宋体" w:eastAsia="宋体" w:hint="default"/>
                <w:sz w:val="18"/>
                <w:szCs w:val="18"/>
              </w:rPr>
            </w:pPr>
            <w:r>
              <w:rPr>
                <w:rFonts w:ascii="宋体"/>
                <w:spacing w:val="-1"/>
                <w:sz w:val="18"/>
              </w:rPr>
              <w:t>2,024,101,807.20</w:t>
            </w: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54"/>
              <w:jc w:val="right"/>
              <w:rPr>
                <w:rFonts w:ascii="宋体" w:hAnsi="宋体" w:cs="宋体" w:eastAsia="宋体" w:hint="default"/>
                <w:sz w:val="18"/>
                <w:szCs w:val="18"/>
              </w:rPr>
            </w:pPr>
            <w:r>
              <w:rPr>
                <w:rFonts w:ascii="宋体"/>
                <w:sz w:val="18"/>
              </w:rPr>
              <w:t>0.00</w:t>
            </w:r>
          </w:p>
        </w:tc>
        <w:tc>
          <w:tcPr>
            <w:tcW w:w="1566"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55"/>
              <w:jc w:val="right"/>
              <w:rPr>
                <w:rFonts w:ascii="宋体" w:hAnsi="宋体" w:cs="宋体" w:eastAsia="宋体" w:hint="default"/>
                <w:sz w:val="18"/>
                <w:szCs w:val="18"/>
              </w:rPr>
            </w:pPr>
            <w:r>
              <w:rPr>
                <w:rFonts w:ascii="宋体"/>
                <w:spacing w:val="-1"/>
                <w:sz w:val="18"/>
              </w:rPr>
              <w:t>2,024,101,807.20</w:t>
            </w:r>
          </w:p>
        </w:tc>
      </w:tr>
      <w:tr>
        <w:trPr>
          <w:trHeight w:val="307" w:hRule="exact"/>
        </w:trPr>
        <w:tc>
          <w:tcPr>
            <w:tcW w:w="1285"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5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6"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56"/>
              <w:jc w:val="right"/>
              <w:rPr>
                <w:rFonts w:ascii="宋体" w:hAnsi="宋体" w:cs="宋体" w:eastAsia="宋体" w:hint="default"/>
                <w:sz w:val="18"/>
                <w:szCs w:val="18"/>
              </w:rPr>
            </w:pPr>
            <w:r>
              <w:rPr>
                <w:rFonts w:ascii="宋体"/>
                <w:b/>
                <w:w w:val="95"/>
                <w:sz w:val="18"/>
              </w:rPr>
              <w:t>9,258,960,000.00</w:t>
            </w:r>
            <w:r>
              <w:rPr>
                <w:rFonts w:ascii="宋体"/>
                <w:sz w:val="18"/>
              </w:rPr>
            </w:r>
          </w:p>
        </w:tc>
        <w:tc>
          <w:tcPr>
            <w:tcW w:w="927"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292"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55" w:right="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566"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56"/>
              <w:jc w:val="right"/>
              <w:rPr>
                <w:rFonts w:ascii="宋体" w:hAnsi="宋体" w:cs="宋体" w:eastAsia="宋体" w:hint="default"/>
                <w:sz w:val="18"/>
                <w:szCs w:val="18"/>
              </w:rPr>
            </w:pPr>
            <w:r>
              <w:rPr>
                <w:rFonts w:ascii="宋体"/>
                <w:b/>
                <w:w w:val="95"/>
                <w:sz w:val="18"/>
              </w:rPr>
              <w:t>9,224,101,807.20</w:t>
            </w:r>
            <w:r>
              <w:rPr>
                <w:rFonts w:ascii="宋体"/>
                <w:sz w:val="18"/>
              </w:rPr>
            </w:r>
          </w:p>
        </w:tc>
        <w:tc>
          <w:tcPr>
            <w:tcW w:w="1567"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b/>
                <w:w w:val="95"/>
                <w:sz w:val="18"/>
              </w:rPr>
              <w:t>3,500,000,000.00</w:t>
            </w:r>
            <w:r>
              <w:rPr>
                <w:rFonts w:ascii="宋体"/>
                <w:sz w:val="18"/>
              </w:rPr>
            </w:r>
          </w:p>
        </w:tc>
        <w:tc>
          <w:tcPr>
            <w:tcW w:w="1566"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56"/>
              <w:jc w:val="right"/>
              <w:rPr>
                <w:rFonts w:ascii="宋体" w:hAnsi="宋体" w:cs="宋体" w:eastAsia="宋体" w:hint="default"/>
                <w:sz w:val="18"/>
                <w:szCs w:val="18"/>
              </w:rPr>
            </w:pPr>
            <w:r>
              <w:rPr>
                <w:rFonts w:ascii="宋体"/>
                <w:b/>
                <w:w w:val="95"/>
                <w:sz w:val="18"/>
              </w:rPr>
              <w:t>5,724,101,807.20</w:t>
            </w:r>
            <w:r>
              <w:rPr>
                <w:rFonts w:ascii="宋体"/>
                <w:sz w:val="18"/>
              </w:rPr>
            </w:r>
          </w:p>
        </w:tc>
      </w:tr>
    </w:tbl>
    <w:p>
      <w:pPr>
        <w:spacing w:before="81"/>
        <w:ind w:left="706" w:right="0" w:firstLine="0"/>
        <w:jc w:val="left"/>
        <w:rPr>
          <w:rFonts w:ascii="宋体" w:hAnsi="宋体" w:cs="宋体" w:eastAsia="宋体" w:hint="default"/>
          <w:sz w:val="22"/>
          <w:szCs w:val="22"/>
        </w:rPr>
      </w:pPr>
      <w:r>
        <w:rPr>
          <w:rFonts w:ascii="宋体" w:hAnsi="宋体" w:cs="宋体" w:eastAsia="宋体" w:hint="default"/>
          <w:sz w:val="22"/>
          <w:szCs w:val="22"/>
        </w:rPr>
        <w:t>（续）</w:t>
      </w:r>
    </w:p>
    <w:p>
      <w:pPr>
        <w:spacing w:line="240" w:lineRule="auto" w:before="9"/>
        <w:rPr>
          <w:rFonts w:ascii="宋体" w:hAnsi="宋体" w:cs="宋体" w:eastAsia="宋体" w:hint="default"/>
          <w:sz w:val="12"/>
          <w:szCs w:val="12"/>
        </w:rPr>
      </w:pPr>
    </w:p>
    <w:tbl>
      <w:tblPr>
        <w:tblW w:w="0" w:type="auto"/>
        <w:jc w:val="left"/>
        <w:tblInd w:w="178" w:type="dxa"/>
        <w:tblLayout w:type="fixed"/>
        <w:tblCellMar>
          <w:top w:w="0" w:type="dxa"/>
          <w:left w:w="0" w:type="dxa"/>
          <w:bottom w:w="0" w:type="dxa"/>
          <w:right w:w="0" w:type="dxa"/>
        </w:tblCellMar>
        <w:tblLook w:val="01E0"/>
      </w:tblPr>
      <w:tblGrid>
        <w:gridCol w:w="1340"/>
        <w:gridCol w:w="1555"/>
        <w:gridCol w:w="1146"/>
        <w:gridCol w:w="828"/>
        <w:gridCol w:w="1352"/>
        <w:gridCol w:w="1306"/>
        <w:gridCol w:w="1185"/>
      </w:tblGrid>
      <w:tr>
        <w:trPr>
          <w:trHeight w:val="437" w:hRule="exact"/>
        </w:trPr>
        <w:tc>
          <w:tcPr>
            <w:tcW w:w="1340"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28" w:right="0"/>
              <w:jc w:val="left"/>
              <w:rPr>
                <w:rFonts w:ascii="宋体" w:hAnsi="宋体" w:cs="宋体" w:eastAsia="宋体" w:hint="default"/>
                <w:sz w:val="16"/>
                <w:szCs w:val="16"/>
              </w:rPr>
            </w:pPr>
            <w:r>
              <w:rPr>
                <w:rFonts w:ascii="宋体" w:hAnsi="宋体" w:cs="宋体" w:eastAsia="宋体" w:hint="default"/>
                <w:b/>
                <w:bCs/>
                <w:sz w:val="16"/>
                <w:szCs w:val="16"/>
              </w:rPr>
              <w:t>债券名称</w:t>
            </w:r>
            <w:r>
              <w:rPr>
                <w:rFonts w:ascii="宋体" w:hAnsi="宋体" w:cs="宋体" w:eastAsia="宋体" w:hint="default"/>
                <w:sz w:val="16"/>
                <w:szCs w:val="16"/>
              </w:rPr>
            </w:r>
          </w:p>
        </w:tc>
        <w:tc>
          <w:tcPr>
            <w:tcW w:w="1555"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right="157"/>
              <w:jc w:val="right"/>
              <w:rPr>
                <w:rFonts w:ascii="宋体" w:hAnsi="宋体" w:cs="宋体" w:eastAsia="宋体" w:hint="default"/>
                <w:sz w:val="16"/>
                <w:szCs w:val="16"/>
              </w:rPr>
            </w:pPr>
            <w:r>
              <w:rPr>
                <w:rFonts w:ascii="宋体" w:hAnsi="宋体" w:cs="宋体" w:eastAsia="宋体" w:hint="default"/>
                <w:b/>
                <w:bCs/>
                <w:sz w:val="16"/>
                <w:szCs w:val="16"/>
              </w:rPr>
              <w:t>按面值计提利息</w:t>
            </w:r>
            <w:r>
              <w:rPr>
                <w:rFonts w:ascii="宋体" w:hAnsi="宋体" w:cs="宋体" w:eastAsia="宋体" w:hint="default"/>
                <w:sz w:val="16"/>
                <w:szCs w:val="16"/>
              </w:rPr>
            </w:r>
          </w:p>
        </w:tc>
        <w:tc>
          <w:tcPr>
            <w:tcW w:w="1146"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112" w:right="0"/>
              <w:jc w:val="left"/>
              <w:rPr>
                <w:rFonts w:ascii="宋体" w:hAnsi="宋体" w:cs="宋体" w:eastAsia="宋体" w:hint="default"/>
                <w:sz w:val="16"/>
                <w:szCs w:val="16"/>
              </w:rPr>
            </w:pPr>
            <w:r>
              <w:rPr>
                <w:rFonts w:ascii="宋体" w:hAnsi="宋体" w:cs="宋体" w:eastAsia="宋体" w:hint="default"/>
                <w:b/>
                <w:bCs/>
                <w:sz w:val="16"/>
                <w:szCs w:val="16"/>
              </w:rPr>
              <w:t>溢折价摊销</w:t>
            </w:r>
            <w:r>
              <w:rPr>
                <w:rFonts w:ascii="宋体" w:hAnsi="宋体" w:cs="宋体" w:eastAsia="宋体" w:hint="default"/>
                <w:sz w:val="16"/>
                <w:szCs w:val="16"/>
              </w:rPr>
            </w:r>
          </w:p>
        </w:tc>
        <w:tc>
          <w:tcPr>
            <w:tcW w:w="828"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right="127"/>
              <w:jc w:val="right"/>
              <w:rPr>
                <w:rFonts w:ascii="宋体" w:hAnsi="宋体" w:cs="宋体" w:eastAsia="宋体" w:hint="default"/>
                <w:sz w:val="16"/>
                <w:szCs w:val="16"/>
              </w:rPr>
            </w:pPr>
            <w:r>
              <w:rPr>
                <w:rFonts w:ascii="宋体" w:hAnsi="宋体" w:cs="宋体" w:eastAsia="宋体" w:hint="default"/>
                <w:b/>
                <w:bCs/>
                <w:sz w:val="16"/>
                <w:szCs w:val="16"/>
              </w:rPr>
              <w:t>本年偿还</w:t>
            </w:r>
            <w:r>
              <w:rPr>
                <w:rFonts w:ascii="宋体" w:hAnsi="宋体" w:cs="宋体" w:eastAsia="宋体" w:hint="default"/>
                <w:sz w:val="16"/>
                <w:szCs w:val="16"/>
              </w:rPr>
            </w:r>
          </w:p>
        </w:tc>
        <w:tc>
          <w:tcPr>
            <w:tcW w:w="1352" w:type="dxa"/>
            <w:tcBorders>
              <w:top w:val="single" w:sz="12" w:space="0" w:color="000000"/>
              <w:left w:val="nil" w:sz="6" w:space="0" w:color="auto"/>
              <w:bottom w:val="single" w:sz="4" w:space="0" w:color="000000"/>
              <w:right w:val="nil" w:sz="6" w:space="0" w:color="auto"/>
            </w:tcBorders>
          </w:tcPr>
          <w:p>
            <w:pPr>
              <w:pStyle w:val="TableParagraph"/>
              <w:spacing w:line="184" w:lineRule="exact"/>
              <w:ind w:left="151" w:right="0" w:hanging="82"/>
              <w:jc w:val="left"/>
              <w:rPr>
                <w:rFonts w:ascii="宋体" w:hAnsi="宋体" w:cs="宋体" w:eastAsia="宋体" w:hint="default"/>
                <w:sz w:val="16"/>
                <w:szCs w:val="16"/>
              </w:rPr>
            </w:pPr>
            <w:r>
              <w:rPr>
                <w:rFonts w:ascii="宋体" w:hAnsi="宋体" w:cs="宋体" w:eastAsia="宋体" w:hint="default"/>
                <w:b/>
                <w:bCs/>
                <w:sz w:val="16"/>
                <w:szCs w:val="16"/>
              </w:rPr>
              <w:t>转入一年内到期</w:t>
            </w:r>
            <w:r>
              <w:rPr>
                <w:rFonts w:ascii="宋体" w:hAnsi="宋体" w:cs="宋体" w:eastAsia="宋体" w:hint="default"/>
                <w:sz w:val="16"/>
                <w:szCs w:val="16"/>
              </w:rPr>
            </w:r>
          </w:p>
          <w:p>
            <w:pPr>
              <w:pStyle w:val="TableParagraph"/>
              <w:spacing w:line="208" w:lineRule="exact"/>
              <w:ind w:left="151" w:right="0"/>
              <w:jc w:val="left"/>
              <w:rPr>
                <w:rFonts w:ascii="宋体" w:hAnsi="宋体" w:cs="宋体" w:eastAsia="宋体" w:hint="default"/>
                <w:sz w:val="16"/>
                <w:szCs w:val="16"/>
              </w:rPr>
            </w:pPr>
            <w:r>
              <w:rPr>
                <w:rFonts w:ascii="宋体" w:hAnsi="宋体" w:cs="宋体" w:eastAsia="宋体" w:hint="default"/>
                <w:b/>
                <w:bCs/>
                <w:sz w:val="16"/>
                <w:szCs w:val="16"/>
              </w:rPr>
              <w:t>的非流动负债</w:t>
            </w:r>
            <w:r>
              <w:rPr>
                <w:rFonts w:ascii="宋体" w:hAnsi="宋体" w:cs="宋体" w:eastAsia="宋体" w:hint="default"/>
                <w:sz w:val="16"/>
                <w:szCs w:val="16"/>
              </w:rPr>
            </w:r>
          </w:p>
        </w:tc>
        <w:tc>
          <w:tcPr>
            <w:tcW w:w="1306"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69" w:right="0"/>
              <w:jc w:val="left"/>
              <w:rPr>
                <w:rFonts w:ascii="宋体" w:hAnsi="宋体" w:cs="宋体" w:eastAsia="宋体" w:hint="default"/>
                <w:sz w:val="16"/>
                <w:szCs w:val="16"/>
              </w:rPr>
            </w:pPr>
            <w:r>
              <w:rPr>
                <w:rFonts w:ascii="宋体" w:hAnsi="宋体" w:cs="宋体" w:eastAsia="宋体" w:hint="default"/>
                <w:b/>
                <w:bCs/>
                <w:sz w:val="16"/>
                <w:szCs w:val="16"/>
              </w:rPr>
              <w:t>转入应付利息</w:t>
            </w:r>
            <w:r>
              <w:rPr>
                <w:rFonts w:ascii="宋体" w:hAnsi="宋体" w:cs="宋体" w:eastAsia="宋体" w:hint="default"/>
                <w:sz w:val="16"/>
                <w:szCs w:val="16"/>
              </w:rPr>
            </w:r>
          </w:p>
        </w:tc>
        <w:tc>
          <w:tcPr>
            <w:tcW w:w="1185"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189" w:right="0"/>
              <w:jc w:val="left"/>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tc>
      </w:tr>
      <w:tr>
        <w:trPr>
          <w:trHeight w:val="227" w:hRule="exact"/>
        </w:trPr>
        <w:tc>
          <w:tcPr>
            <w:tcW w:w="134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28" w:right="0"/>
              <w:jc w:val="left"/>
              <w:rPr>
                <w:rFonts w:ascii="宋体" w:hAnsi="宋体" w:cs="宋体" w:eastAsia="宋体" w:hint="default"/>
                <w:sz w:val="16"/>
                <w:szCs w:val="16"/>
              </w:rPr>
            </w:pPr>
            <w:r>
              <w:rPr>
                <w:rFonts w:ascii="宋体" w:hAnsi="宋体" w:cs="宋体" w:eastAsia="宋体" w:hint="default"/>
                <w:sz w:val="16"/>
                <w:szCs w:val="16"/>
              </w:rPr>
              <w:t>14</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MTN001</w:t>
            </w: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10"/>
              <w:jc w:val="right"/>
              <w:rPr>
                <w:rFonts w:ascii="宋体" w:hAnsi="宋体" w:cs="宋体" w:eastAsia="宋体" w:hint="default"/>
                <w:sz w:val="16"/>
                <w:szCs w:val="16"/>
              </w:rPr>
            </w:pPr>
            <w:r>
              <w:rPr>
                <w:rFonts w:ascii="宋体"/>
                <w:spacing w:val="-2"/>
                <w:sz w:val="16"/>
              </w:rPr>
              <w:t>52,800,000.00</w:t>
            </w:r>
          </w:p>
        </w:tc>
        <w:tc>
          <w:tcPr>
            <w:tcW w:w="114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53"/>
              <w:jc w:val="right"/>
              <w:rPr>
                <w:rFonts w:ascii="宋体" w:hAnsi="宋体" w:cs="宋体" w:eastAsia="宋体" w:hint="default"/>
                <w:sz w:val="16"/>
                <w:szCs w:val="16"/>
              </w:rPr>
            </w:pPr>
            <w:r>
              <w:rPr>
                <w:rFonts w:ascii="宋体"/>
                <w:spacing w:val="-1"/>
                <w:sz w:val="16"/>
              </w:rPr>
              <w:t>0.00</w:t>
            </w:r>
          </w:p>
        </w:tc>
        <w:tc>
          <w:tcPr>
            <w:tcW w:w="82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68"/>
              <w:jc w:val="right"/>
              <w:rPr>
                <w:rFonts w:ascii="宋体" w:hAnsi="宋体" w:cs="宋体" w:eastAsia="宋体" w:hint="default"/>
                <w:sz w:val="16"/>
                <w:szCs w:val="16"/>
              </w:rPr>
            </w:pPr>
            <w:r>
              <w:rPr>
                <w:rFonts w:ascii="宋体"/>
                <w:spacing w:val="-1"/>
                <w:sz w:val="16"/>
              </w:rPr>
              <w:t>0.00</w:t>
            </w:r>
          </w:p>
        </w:tc>
        <w:tc>
          <w:tcPr>
            <w:tcW w:w="135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61" w:right="0"/>
              <w:jc w:val="left"/>
              <w:rPr>
                <w:rFonts w:ascii="宋体" w:hAnsi="宋体" w:cs="宋体" w:eastAsia="宋体" w:hint="default"/>
                <w:sz w:val="16"/>
                <w:szCs w:val="16"/>
              </w:rPr>
            </w:pPr>
            <w:r>
              <w:rPr>
                <w:rFonts w:ascii="宋体"/>
                <w:sz w:val="16"/>
              </w:rPr>
              <w:t>800,000,000.00</w:t>
            </w:r>
          </w:p>
        </w:tc>
        <w:tc>
          <w:tcPr>
            <w:tcW w:w="130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76" w:right="0"/>
              <w:jc w:val="left"/>
              <w:rPr>
                <w:rFonts w:ascii="宋体" w:hAnsi="宋体" w:cs="宋体" w:eastAsia="宋体" w:hint="default"/>
                <w:sz w:val="16"/>
                <w:szCs w:val="16"/>
              </w:rPr>
            </w:pPr>
            <w:r>
              <w:rPr>
                <w:rFonts w:ascii="宋体"/>
                <w:sz w:val="16"/>
              </w:rPr>
              <w:t>52,800,000.00</w:t>
            </w:r>
          </w:p>
        </w:tc>
        <w:tc>
          <w:tcPr>
            <w:tcW w:w="118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28"/>
              <w:jc w:val="right"/>
              <w:rPr>
                <w:rFonts w:ascii="宋体" w:hAnsi="宋体" w:cs="宋体" w:eastAsia="宋体" w:hint="default"/>
                <w:sz w:val="16"/>
                <w:szCs w:val="16"/>
              </w:rPr>
            </w:pPr>
            <w:r>
              <w:rPr>
                <w:rFonts w:ascii="宋体"/>
                <w:spacing w:val="-1"/>
                <w:sz w:val="16"/>
              </w:rPr>
              <w:t>0.00</w:t>
            </w:r>
          </w:p>
        </w:tc>
      </w:tr>
    </w:tbl>
    <w:p>
      <w:pPr>
        <w:spacing w:after="0" w:line="240" w:lineRule="auto"/>
        <w:jc w:val="right"/>
        <w:rPr>
          <w:rFonts w:ascii="宋体" w:hAnsi="宋体" w:cs="宋体" w:eastAsia="宋体" w:hint="default"/>
          <w:sz w:val="16"/>
          <w:szCs w:val="16"/>
        </w:rPr>
        <w:sectPr>
          <w:pgSz w:w="11910" w:h="16840"/>
          <w:pgMar w:header="0" w:footer="1054" w:top="1320" w:bottom="1240" w:left="1420" w:right="1460"/>
        </w:sectPr>
      </w:pPr>
    </w:p>
    <w:p>
      <w:pPr>
        <w:spacing w:line="240" w:lineRule="auto" w:before="6"/>
        <w:rPr>
          <w:rFonts w:ascii="宋体" w:hAnsi="宋体" w:cs="宋体" w:eastAsia="宋体" w:hint="default"/>
          <w:sz w:val="6"/>
          <w:szCs w:val="6"/>
        </w:rPr>
      </w:pPr>
    </w:p>
    <w:tbl>
      <w:tblPr>
        <w:tblW w:w="0" w:type="auto"/>
        <w:jc w:val="left"/>
        <w:tblInd w:w="658" w:type="dxa"/>
        <w:tblLayout w:type="fixed"/>
        <w:tblCellMar>
          <w:top w:w="0" w:type="dxa"/>
          <w:left w:w="0" w:type="dxa"/>
          <w:bottom w:w="0" w:type="dxa"/>
          <w:right w:w="0" w:type="dxa"/>
        </w:tblCellMar>
        <w:tblLook w:val="01E0"/>
      </w:tblPr>
      <w:tblGrid>
        <w:gridCol w:w="1340"/>
        <w:gridCol w:w="1555"/>
        <w:gridCol w:w="1146"/>
        <w:gridCol w:w="828"/>
        <w:gridCol w:w="1312"/>
        <w:gridCol w:w="1185"/>
        <w:gridCol w:w="1347"/>
      </w:tblGrid>
      <w:tr>
        <w:trPr>
          <w:trHeight w:val="435" w:hRule="exact"/>
        </w:trPr>
        <w:tc>
          <w:tcPr>
            <w:tcW w:w="1340"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28" w:right="0"/>
              <w:jc w:val="left"/>
              <w:rPr>
                <w:rFonts w:ascii="宋体" w:hAnsi="宋体" w:cs="宋体" w:eastAsia="宋体" w:hint="default"/>
                <w:sz w:val="16"/>
                <w:szCs w:val="16"/>
              </w:rPr>
            </w:pPr>
            <w:r>
              <w:rPr>
                <w:rFonts w:ascii="宋体" w:hAnsi="宋体" w:cs="宋体" w:eastAsia="宋体" w:hint="default"/>
                <w:b/>
                <w:bCs/>
                <w:sz w:val="16"/>
                <w:szCs w:val="16"/>
              </w:rPr>
              <w:t>债券名称</w:t>
            </w:r>
            <w:r>
              <w:rPr>
                <w:rFonts w:ascii="宋体" w:hAnsi="宋体" w:cs="宋体" w:eastAsia="宋体" w:hint="default"/>
                <w:sz w:val="16"/>
                <w:szCs w:val="16"/>
              </w:rPr>
            </w:r>
          </w:p>
        </w:tc>
        <w:tc>
          <w:tcPr>
            <w:tcW w:w="1555"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right="157"/>
              <w:jc w:val="right"/>
              <w:rPr>
                <w:rFonts w:ascii="宋体" w:hAnsi="宋体" w:cs="宋体" w:eastAsia="宋体" w:hint="default"/>
                <w:sz w:val="16"/>
                <w:szCs w:val="16"/>
              </w:rPr>
            </w:pPr>
            <w:r>
              <w:rPr>
                <w:rFonts w:ascii="宋体" w:hAnsi="宋体" w:cs="宋体" w:eastAsia="宋体" w:hint="default"/>
                <w:b/>
                <w:bCs/>
                <w:sz w:val="16"/>
                <w:szCs w:val="16"/>
              </w:rPr>
              <w:t>按面值计提利息</w:t>
            </w:r>
            <w:r>
              <w:rPr>
                <w:rFonts w:ascii="宋体" w:hAnsi="宋体" w:cs="宋体" w:eastAsia="宋体" w:hint="default"/>
                <w:sz w:val="16"/>
                <w:szCs w:val="16"/>
              </w:rPr>
            </w:r>
          </w:p>
        </w:tc>
        <w:tc>
          <w:tcPr>
            <w:tcW w:w="1146"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112" w:right="0"/>
              <w:jc w:val="left"/>
              <w:rPr>
                <w:rFonts w:ascii="宋体" w:hAnsi="宋体" w:cs="宋体" w:eastAsia="宋体" w:hint="default"/>
                <w:sz w:val="16"/>
                <w:szCs w:val="16"/>
              </w:rPr>
            </w:pPr>
            <w:r>
              <w:rPr>
                <w:rFonts w:ascii="宋体" w:hAnsi="宋体" w:cs="宋体" w:eastAsia="宋体" w:hint="default"/>
                <w:b/>
                <w:bCs/>
                <w:sz w:val="16"/>
                <w:szCs w:val="16"/>
              </w:rPr>
              <w:t>溢折价摊销</w:t>
            </w:r>
            <w:r>
              <w:rPr>
                <w:rFonts w:ascii="宋体" w:hAnsi="宋体" w:cs="宋体" w:eastAsia="宋体" w:hint="default"/>
                <w:sz w:val="16"/>
                <w:szCs w:val="16"/>
              </w:rPr>
            </w:r>
          </w:p>
        </w:tc>
        <w:tc>
          <w:tcPr>
            <w:tcW w:w="828"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right="127"/>
              <w:jc w:val="right"/>
              <w:rPr>
                <w:rFonts w:ascii="宋体" w:hAnsi="宋体" w:cs="宋体" w:eastAsia="宋体" w:hint="default"/>
                <w:sz w:val="16"/>
                <w:szCs w:val="16"/>
              </w:rPr>
            </w:pPr>
            <w:r>
              <w:rPr>
                <w:rFonts w:ascii="宋体" w:hAnsi="宋体" w:cs="宋体" w:eastAsia="宋体" w:hint="default"/>
                <w:b/>
                <w:bCs/>
                <w:sz w:val="16"/>
                <w:szCs w:val="16"/>
              </w:rPr>
              <w:t>本年偿还</w:t>
            </w:r>
            <w:r>
              <w:rPr>
                <w:rFonts w:ascii="宋体" w:hAnsi="宋体" w:cs="宋体" w:eastAsia="宋体" w:hint="default"/>
                <w:sz w:val="16"/>
                <w:szCs w:val="16"/>
              </w:rPr>
            </w:r>
          </w:p>
        </w:tc>
        <w:tc>
          <w:tcPr>
            <w:tcW w:w="1312" w:type="dxa"/>
            <w:tcBorders>
              <w:top w:val="single" w:sz="12" w:space="0" w:color="000000"/>
              <w:left w:val="nil" w:sz="6" w:space="0" w:color="auto"/>
              <w:bottom w:val="single" w:sz="4" w:space="0" w:color="000000"/>
              <w:right w:val="nil" w:sz="6" w:space="0" w:color="auto"/>
            </w:tcBorders>
          </w:tcPr>
          <w:p>
            <w:pPr>
              <w:pStyle w:val="TableParagraph"/>
              <w:spacing w:line="183" w:lineRule="exact"/>
              <w:ind w:left="151" w:right="0" w:hanging="82"/>
              <w:jc w:val="left"/>
              <w:rPr>
                <w:rFonts w:ascii="宋体" w:hAnsi="宋体" w:cs="宋体" w:eastAsia="宋体" w:hint="default"/>
                <w:sz w:val="16"/>
                <w:szCs w:val="16"/>
              </w:rPr>
            </w:pPr>
            <w:r>
              <w:rPr>
                <w:rFonts w:ascii="宋体" w:hAnsi="宋体" w:cs="宋体" w:eastAsia="宋体" w:hint="default"/>
                <w:b/>
                <w:bCs/>
                <w:sz w:val="16"/>
                <w:szCs w:val="16"/>
              </w:rPr>
              <w:t>转入一年内到期</w:t>
            </w:r>
            <w:r>
              <w:rPr>
                <w:rFonts w:ascii="宋体" w:hAnsi="宋体" w:cs="宋体" w:eastAsia="宋体" w:hint="default"/>
                <w:sz w:val="16"/>
                <w:szCs w:val="16"/>
              </w:rPr>
            </w:r>
          </w:p>
          <w:p>
            <w:pPr>
              <w:pStyle w:val="TableParagraph"/>
              <w:spacing w:line="209" w:lineRule="exact"/>
              <w:ind w:left="151" w:right="0"/>
              <w:jc w:val="left"/>
              <w:rPr>
                <w:rFonts w:ascii="宋体" w:hAnsi="宋体" w:cs="宋体" w:eastAsia="宋体" w:hint="default"/>
                <w:sz w:val="16"/>
                <w:szCs w:val="16"/>
              </w:rPr>
            </w:pPr>
            <w:r>
              <w:rPr>
                <w:rFonts w:ascii="宋体" w:hAnsi="宋体" w:cs="宋体" w:eastAsia="宋体" w:hint="default"/>
                <w:b/>
                <w:bCs/>
                <w:sz w:val="16"/>
                <w:szCs w:val="16"/>
              </w:rPr>
              <w:t>的非流动负债</w:t>
            </w:r>
            <w:r>
              <w:rPr>
                <w:rFonts w:ascii="宋体" w:hAnsi="宋体" w:cs="宋体" w:eastAsia="宋体" w:hint="default"/>
                <w:sz w:val="16"/>
                <w:szCs w:val="16"/>
              </w:rPr>
            </w:r>
          </w:p>
        </w:tc>
        <w:tc>
          <w:tcPr>
            <w:tcW w:w="1185"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109" w:right="0"/>
              <w:jc w:val="left"/>
              <w:rPr>
                <w:rFonts w:ascii="宋体" w:hAnsi="宋体" w:cs="宋体" w:eastAsia="宋体" w:hint="default"/>
                <w:sz w:val="16"/>
                <w:szCs w:val="16"/>
              </w:rPr>
            </w:pPr>
            <w:r>
              <w:rPr>
                <w:rFonts w:ascii="宋体" w:hAnsi="宋体" w:cs="宋体" w:eastAsia="宋体" w:hint="default"/>
                <w:b/>
                <w:bCs/>
                <w:sz w:val="16"/>
                <w:szCs w:val="16"/>
              </w:rPr>
              <w:t>转入应付利息</w:t>
            </w:r>
            <w:r>
              <w:rPr>
                <w:rFonts w:ascii="宋体" w:hAnsi="宋体" w:cs="宋体" w:eastAsia="宋体" w:hint="default"/>
                <w:sz w:val="16"/>
                <w:szCs w:val="16"/>
              </w:rPr>
            </w:r>
          </w:p>
        </w:tc>
        <w:tc>
          <w:tcPr>
            <w:tcW w:w="1347"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351" w:right="0"/>
              <w:jc w:val="left"/>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tc>
      </w:tr>
      <w:tr>
        <w:trPr>
          <w:trHeight w:val="290" w:hRule="exact"/>
        </w:trPr>
        <w:tc>
          <w:tcPr>
            <w:tcW w:w="134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16"/>
                <w:szCs w:val="16"/>
              </w:rPr>
            </w:pPr>
            <w:r>
              <w:rPr>
                <w:rFonts w:ascii="宋体" w:hAnsi="宋体" w:cs="宋体" w:eastAsia="宋体" w:hint="default"/>
                <w:sz w:val="16"/>
                <w:szCs w:val="16"/>
              </w:rPr>
              <w:t>16</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MTN001</w:t>
            </w: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10"/>
              <w:jc w:val="right"/>
              <w:rPr>
                <w:rFonts w:ascii="宋体" w:hAnsi="宋体" w:cs="宋体" w:eastAsia="宋体" w:hint="default"/>
                <w:sz w:val="16"/>
                <w:szCs w:val="16"/>
              </w:rPr>
            </w:pPr>
            <w:r>
              <w:rPr>
                <w:rFonts w:ascii="宋体"/>
                <w:spacing w:val="-2"/>
                <w:sz w:val="16"/>
              </w:rPr>
              <w:t>32,400,000.00</w:t>
            </w:r>
          </w:p>
        </w:tc>
        <w:tc>
          <w:tcPr>
            <w:tcW w:w="1146"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53"/>
              <w:jc w:val="right"/>
              <w:rPr>
                <w:rFonts w:ascii="宋体" w:hAnsi="宋体" w:cs="宋体" w:eastAsia="宋体" w:hint="default"/>
                <w:sz w:val="16"/>
                <w:szCs w:val="16"/>
              </w:rPr>
            </w:pPr>
            <w:r>
              <w:rPr>
                <w:rFonts w:ascii="宋体"/>
                <w:spacing w:val="-1"/>
                <w:sz w:val="16"/>
              </w:rPr>
              <w:t>0.00</w:t>
            </w:r>
          </w:p>
        </w:tc>
        <w:tc>
          <w:tcPr>
            <w:tcW w:w="828"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68"/>
              <w:jc w:val="right"/>
              <w:rPr>
                <w:rFonts w:ascii="宋体" w:hAnsi="宋体" w:cs="宋体" w:eastAsia="宋体" w:hint="default"/>
                <w:sz w:val="16"/>
                <w:szCs w:val="16"/>
              </w:rPr>
            </w:pPr>
            <w:r>
              <w:rPr>
                <w:rFonts w:ascii="宋体"/>
                <w:spacing w:val="-1"/>
                <w:sz w:val="16"/>
              </w:rPr>
              <w:t>0.00</w:t>
            </w:r>
          </w:p>
        </w:tc>
        <w:tc>
          <w:tcPr>
            <w:tcW w:w="1312"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26"/>
              <w:jc w:val="right"/>
              <w:rPr>
                <w:rFonts w:ascii="宋体" w:hAnsi="宋体" w:cs="宋体" w:eastAsia="宋体" w:hint="default"/>
                <w:sz w:val="16"/>
                <w:szCs w:val="16"/>
              </w:rPr>
            </w:pPr>
            <w:r>
              <w:rPr>
                <w:rFonts w:ascii="宋体"/>
                <w:spacing w:val="-1"/>
                <w:sz w:val="16"/>
              </w:rPr>
              <w:t>0.00</w:t>
            </w:r>
          </w:p>
        </w:tc>
        <w:tc>
          <w:tcPr>
            <w:tcW w:w="1185"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6"/>
                <w:szCs w:val="16"/>
              </w:rPr>
            </w:pPr>
            <w:r>
              <w:rPr>
                <w:rFonts w:ascii="宋体"/>
                <w:spacing w:val="-2"/>
                <w:sz w:val="16"/>
              </w:rPr>
              <w:t>32,400,000.00</w:t>
            </w:r>
          </w:p>
        </w:tc>
        <w:tc>
          <w:tcPr>
            <w:tcW w:w="1347"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26"/>
              <w:jc w:val="right"/>
              <w:rPr>
                <w:rFonts w:ascii="宋体" w:hAnsi="宋体" w:cs="宋体" w:eastAsia="宋体" w:hint="default"/>
                <w:sz w:val="16"/>
                <w:szCs w:val="16"/>
              </w:rPr>
            </w:pPr>
            <w:r>
              <w:rPr>
                <w:rFonts w:ascii="宋体"/>
                <w:spacing w:val="-2"/>
                <w:sz w:val="16"/>
              </w:rPr>
              <w:t>1,000,000,000.00</w:t>
            </w:r>
          </w:p>
        </w:tc>
      </w:tr>
      <w:tr>
        <w:trPr>
          <w:trHeight w:val="284"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 w:right="0"/>
              <w:jc w:val="left"/>
              <w:rPr>
                <w:rFonts w:ascii="宋体" w:hAnsi="宋体" w:cs="宋体" w:eastAsia="宋体" w:hint="default"/>
                <w:sz w:val="16"/>
                <w:szCs w:val="16"/>
              </w:rPr>
            </w:pPr>
            <w:r>
              <w:rPr>
                <w:rFonts w:ascii="宋体" w:hAnsi="宋体" w:cs="宋体" w:eastAsia="宋体" w:hint="default"/>
                <w:sz w:val="16"/>
                <w:szCs w:val="16"/>
              </w:rPr>
              <w:t>16</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MTN002</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宋体" w:hAnsi="宋体" w:cs="宋体" w:eastAsia="宋体" w:hint="default"/>
                <w:sz w:val="16"/>
                <w:szCs w:val="16"/>
              </w:rPr>
            </w:pPr>
            <w:r>
              <w:rPr>
                <w:rFonts w:ascii="宋体"/>
                <w:spacing w:val="-2"/>
                <w:sz w:val="16"/>
              </w:rPr>
              <w:t>34,600,000.00</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3"/>
              <w:jc w:val="right"/>
              <w:rPr>
                <w:rFonts w:ascii="宋体" w:hAnsi="宋体" w:cs="宋体" w:eastAsia="宋体" w:hint="default"/>
                <w:sz w:val="16"/>
                <w:szCs w:val="16"/>
              </w:rPr>
            </w:pPr>
            <w:r>
              <w:rPr>
                <w:rFonts w:ascii="宋体"/>
                <w:spacing w:val="-1"/>
                <w:sz w:val="16"/>
              </w:rPr>
              <w:t>0.00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8"/>
              <w:jc w:val="right"/>
              <w:rPr>
                <w:rFonts w:ascii="宋体" w:hAnsi="宋体" w:cs="宋体" w:eastAsia="宋体" w:hint="default"/>
                <w:sz w:val="16"/>
                <w:szCs w:val="16"/>
              </w:rPr>
            </w:pPr>
            <w:r>
              <w:rPr>
                <w:rFonts w:ascii="宋体"/>
                <w:spacing w:val="-1"/>
                <w:sz w:val="16"/>
              </w:rPr>
              <w:t>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16"/>
                <w:szCs w:val="16"/>
              </w:rPr>
            </w:pPr>
            <w:r>
              <w:rPr>
                <w:rFonts w:ascii="宋体"/>
                <w:spacing w:val="-1"/>
                <w:sz w:val="16"/>
              </w:rPr>
              <w:t>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16"/>
                <w:szCs w:val="16"/>
              </w:rPr>
            </w:pPr>
            <w:r>
              <w:rPr>
                <w:rFonts w:ascii="宋体"/>
                <w:spacing w:val="-2"/>
                <w:sz w:val="16"/>
              </w:rPr>
              <w:t>34,600,000.00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16"/>
                <w:szCs w:val="16"/>
              </w:rPr>
            </w:pPr>
            <w:r>
              <w:rPr>
                <w:rFonts w:ascii="宋体"/>
                <w:spacing w:val="-2"/>
                <w:sz w:val="16"/>
              </w:rPr>
              <w:t>1,000,000,000.00</w:t>
            </w:r>
          </w:p>
        </w:tc>
      </w:tr>
      <w:tr>
        <w:trPr>
          <w:trHeight w:val="286"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6"/>
                <w:szCs w:val="16"/>
              </w:rPr>
            </w:pPr>
            <w:r>
              <w:rPr>
                <w:rFonts w:ascii="宋体" w:hAnsi="宋体" w:cs="宋体" w:eastAsia="宋体" w:hint="default"/>
                <w:sz w:val="16"/>
                <w:szCs w:val="16"/>
              </w:rPr>
              <w:t>17</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MTN001</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0"/>
              <w:jc w:val="right"/>
              <w:rPr>
                <w:rFonts w:ascii="宋体" w:hAnsi="宋体" w:cs="宋体" w:eastAsia="宋体" w:hint="default"/>
                <w:sz w:val="16"/>
                <w:szCs w:val="16"/>
              </w:rPr>
            </w:pPr>
            <w:r>
              <w:rPr>
                <w:rFonts w:ascii="宋体"/>
                <w:spacing w:val="-2"/>
                <w:sz w:val="16"/>
              </w:rPr>
              <w:t>35,070,000.00</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3"/>
              <w:jc w:val="right"/>
              <w:rPr>
                <w:rFonts w:ascii="宋体" w:hAnsi="宋体" w:cs="宋体" w:eastAsia="宋体" w:hint="default"/>
                <w:sz w:val="16"/>
                <w:szCs w:val="16"/>
              </w:rPr>
            </w:pPr>
            <w:r>
              <w:rPr>
                <w:rFonts w:ascii="宋体"/>
                <w:spacing w:val="-1"/>
                <w:sz w:val="16"/>
              </w:rPr>
              <w:t>0.00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8"/>
              <w:jc w:val="right"/>
              <w:rPr>
                <w:rFonts w:ascii="宋体" w:hAnsi="宋体" w:cs="宋体" w:eastAsia="宋体" w:hint="default"/>
                <w:sz w:val="16"/>
                <w:szCs w:val="16"/>
              </w:rPr>
            </w:pPr>
            <w:r>
              <w:rPr>
                <w:rFonts w:ascii="宋体"/>
                <w:spacing w:val="-1"/>
                <w:sz w:val="16"/>
              </w:rPr>
              <w:t>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6"/>
                <w:szCs w:val="16"/>
              </w:rPr>
            </w:pPr>
            <w:r>
              <w:rPr>
                <w:rFonts w:ascii="宋体"/>
                <w:spacing w:val="-1"/>
                <w:sz w:val="16"/>
              </w:rPr>
              <w:t>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宋体" w:hAnsi="宋体" w:cs="宋体" w:eastAsia="宋体" w:hint="default"/>
                <w:sz w:val="16"/>
                <w:szCs w:val="16"/>
              </w:rPr>
            </w:pPr>
            <w:r>
              <w:rPr>
                <w:rFonts w:ascii="宋体"/>
                <w:spacing w:val="-2"/>
                <w:sz w:val="16"/>
              </w:rPr>
              <w:t>35,070,000.00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6"/>
                <w:szCs w:val="16"/>
              </w:rPr>
            </w:pPr>
            <w:r>
              <w:rPr>
                <w:rFonts w:ascii="宋体"/>
                <w:spacing w:val="-2"/>
                <w:sz w:val="16"/>
              </w:rPr>
              <w:t>700,000,000.00</w:t>
            </w:r>
          </w:p>
        </w:tc>
      </w:tr>
      <w:tr>
        <w:trPr>
          <w:trHeight w:val="286"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6"/>
                <w:szCs w:val="16"/>
              </w:rPr>
            </w:pPr>
            <w:r>
              <w:rPr>
                <w:rFonts w:ascii="宋体" w:hAnsi="宋体" w:cs="宋体" w:eastAsia="宋体" w:hint="default"/>
                <w:sz w:val="16"/>
                <w:szCs w:val="16"/>
              </w:rPr>
              <w:t>18</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MTN001</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0"/>
              <w:jc w:val="right"/>
              <w:rPr>
                <w:rFonts w:ascii="宋体" w:hAnsi="宋体" w:cs="宋体" w:eastAsia="宋体" w:hint="default"/>
                <w:sz w:val="16"/>
                <w:szCs w:val="16"/>
              </w:rPr>
            </w:pPr>
            <w:r>
              <w:rPr>
                <w:rFonts w:ascii="宋体"/>
                <w:spacing w:val="-2"/>
                <w:sz w:val="16"/>
              </w:rPr>
              <w:t>46,639,726.03</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3"/>
              <w:jc w:val="right"/>
              <w:rPr>
                <w:rFonts w:ascii="宋体" w:hAnsi="宋体" w:cs="宋体" w:eastAsia="宋体" w:hint="default"/>
                <w:sz w:val="16"/>
                <w:szCs w:val="16"/>
              </w:rPr>
            </w:pPr>
            <w:r>
              <w:rPr>
                <w:rFonts w:ascii="宋体"/>
                <w:spacing w:val="-1"/>
                <w:sz w:val="16"/>
              </w:rPr>
              <w:t>0.00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8"/>
              <w:jc w:val="right"/>
              <w:rPr>
                <w:rFonts w:ascii="宋体" w:hAnsi="宋体" w:cs="宋体" w:eastAsia="宋体" w:hint="default"/>
                <w:sz w:val="16"/>
                <w:szCs w:val="16"/>
              </w:rPr>
            </w:pPr>
            <w:r>
              <w:rPr>
                <w:rFonts w:ascii="宋体"/>
                <w:spacing w:val="-1"/>
                <w:sz w:val="16"/>
              </w:rPr>
              <w:t>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6"/>
                <w:szCs w:val="16"/>
              </w:rPr>
            </w:pPr>
            <w:r>
              <w:rPr>
                <w:rFonts w:ascii="宋体"/>
                <w:spacing w:val="-1"/>
                <w:sz w:val="16"/>
              </w:rPr>
              <w:t>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宋体" w:hAnsi="宋体" w:cs="宋体" w:eastAsia="宋体" w:hint="default"/>
                <w:sz w:val="16"/>
                <w:szCs w:val="16"/>
              </w:rPr>
            </w:pPr>
            <w:r>
              <w:rPr>
                <w:rFonts w:ascii="宋体"/>
                <w:spacing w:val="-2"/>
                <w:sz w:val="16"/>
              </w:rPr>
              <w:t>46,639,726.03</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6"/>
                <w:szCs w:val="16"/>
              </w:rPr>
            </w:pPr>
            <w:r>
              <w:rPr>
                <w:rFonts w:ascii="宋体"/>
                <w:spacing w:val="-2"/>
                <w:sz w:val="16"/>
              </w:rPr>
              <w:t>1,000,000,000.00</w:t>
            </w:r>
          </w:p>
        </w:tc>
      </w:tr>
      <w:tr>
        <w:trPr>
          <w:trHeight w:val="284"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6"/>
                <w:szCs w:val="16"/>
              </w:rPr>
            </w:pPr>
            <w:r>
              <w:rPr>
                <w:rFonts w:ascii="宋体" w:hAnsi="宋体" w:cs="宋体" w:eastAsia="宋体" w:hint="default"/>
                <w:sz w:val="16"/>
                <w:szCs w:val="16"/>
              </w:rPr>
              <w:t>18</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MTN002</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0"/>
              <w:jc w:val="right"/>
              <w:rPr>
                <w:rFonts w:ascii="宋体" w:hAnsi="宋体" w:cs="宋体" w:eastAsia="宋体" w:hint="default"/>
                <w:sz w:val="16"/>
                <w:szCs w:val="16"/>
              </w:rPr>
            </w:pPr>
            <w:r>
              <w:rPr>
                <w:rFonts w:ascii="宋体"/>
                <w:spacing w:val="-2"/>
                <w:sz w:val="16"/>
              </w:rPr>
              <w:t>46,698,082.19</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3"/>
              <w:jc w:val="right"/>
              <w:rPr>
                <w:rFonts w:ascii="宋体" w:hAnsi="宋体" w:cs="宋体" w:eastAsia="宋体" w:hint="default"/>
                <w:sz w:val="16"/>
                <w:szCs w:val="16"/>
              </w:rPr>
            </w:pPr>
            <w:r>
              <w:rPr>
                <w:rFonts w:ascii="宋体"/>
                <w:spacing w:val="-1"/>
                <w:sz w:val="16"/>
              </w:rPr>
              <w:t>0.00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8"/>
              <w:jc w:val="right"/>
              <w:rPr>
                <w:rFonts w:ascii="宋体" w:hAnsi="宋体" w:cs="宋体" w:eastAsia="宋体" w:hint="default"/>
                <w:sz w:val="16"/>
                <w:szCs w:val="16"/>
              </w:rPr>
            </w:pPr>
            <w:r>
              <w:rPr>
                <w:rFonts w:ascii="宋体"/>
                <w:spacing w:val="-1"/>
                <w:sz w:val="16"/>
              </w:rPr>
              <w:t>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6"/>
                <w:szCs w:val="16"/>
              </w:rPr>
            </w:pPr>
            <w:r>
              <w:rPr>
                <w:rFonts w:ascii="宋体"/>
                <w:spacing w:val="-1"/>
                <w:sz w:val="16"/>
              </w:rPr>
              <w:t>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宋体" w:hAnsi="宋体" w:cs="宋体" w:eastAsia="宋体" w:hint="default"/>
                <w:sz w:val="16"/>
                <w:szCs w:val="16"/>
              </w:rPr>
            </w:pPr>
            <w:r>
              <w:rPr>
                <w:rFonts w:ascii="宋体"/>
                <w:spacing w:val="-2"/>
                <w:sz w:val="16"/>
              </w:rPr>
              <w:t>46,698,082.19</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6"/>
              <w:jc w:val="right"/>
              <w:rPr>
                <w:rFonts w:ascii="宋体" w:hAnsi="宋体" w:cs="宋体" w:eastAsia="宋体" w:hint="default"/>
                <w:sz w:val="16"/>
                <w:szCs w:val="16"/>
              </w:rPr>
            </w:pPr>
            <w:r>
              <w:rPr>
                <w:rFonts w:ascii="宋体"/>
                <w:spacing w:val="-2"/>
                <w:sz w:val="16"/>
              </w:rPr>
              <w:t>1,200,000,000.00</w:t>
            </w:r>
          </w:p>
        </w:tc>
      </w:tr>
      <w:tr>
        <w:trPr>
          <w:trHeight w:val="284"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8" w:right="0"/>
              <w:jc w:val="left"/>
              <w:rPr>
                <w:rFonts w:ascii="宋体" w:hAnsi="宋体" w:cs="宋体" w:eastAsia="宋体" w:hint="default"/>
                <w:sz w:val="16"/>
                <w:szCs w:val="16"/>
              </w:rPr>
            </w:pPr>
            <w:r>
              <w:rPr>
                <w:rFonts w:ascii="宋体" w:hAnsi="宋体" w:cs="宋体" w:eastAsia="宋体" w:hint="default"/>
                <w:sz w:val="16"/>
                <w:szCs w:val="16"/>
              </w:rPr>
              <w:t>18</w:t>
            </w:r>
            <w:r>
              <w:rPr>
                <w:rFonts w:ascii="宋体" w:hAnsi="宋体" w:cs="宋体" w:eastAsia="宋体" w:hint="default"/>
                <w:spacing w:val="-43"/>
                <w:sz w:val="16"/>
                <w:szCs w:val="16"/>
              </w:rPr>
              <w:t> </w:t>
            </w:r>
            <w:r>
              <w:rPr>
                <w:rFonts w:ascii="宋体" w:hAnsi="宋体" w:cs="宋体" w:eastAsia="宋体" w:hint="default"/>
                <w:sz w:val="16"/>
                <w:szCs w:val="16"/>
              </w:rPr>
              <w:t>同方</w:t>
            </w:r>
            <w:r>
              <w:rPr>
                <w:rFonts w:ascii="宋体" w:hAnsi="宋体" w:cs="宋体" w:eastAsia="宋体" w:hint="default"/>
                <w:spacing w:val="-44"/>
                <w:sz w:val="16"/>
                <w:szCs w:val="16"/>
              </w:rPr>
              <w:t> </w:t>
            </w:r>
            <w:r>
              <w:rPr>
                <w:rFonts w:ascii="宋体" w:hAnsi="宋体" w:cs="宋体" w:eastAsia="宋体" w:hint="default"/>
                <w:sz w:val="16"/>
                <w:szCs w:val="16"/>
              </w:rPr>
              <w:t>MTN003</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0"/>
              <w:jc w:val="right"/>
              <w:rPr>
                <w:rFonts w:ascii="宋体" w:hAnsi="宋体" w:cs="宋体" w:eastAsia="宋体" w:hint="default"/>
                <w:sz w:val="16"/>
                <w:szCs w:val="16"/>
              </w:rPr>
            </w:pPr>
            <w:r>
              <w:rPr>
                <w:rFonts w:ascii="宋体"/>
                <w:spacing w:val="-2"/>
                <w:sz w:val="16"/>
              </w:rPr>
              <w:t>55,558,356.16</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3"/>
              <w:jc w:val="right"/>
              <w:rPr>
                <w:rFonts w:ascii="宋体" w:hAnsi="宋体" w:cs="宋体" w:eastAsia="宋体" w:hint="default"/>
                <w:sz w:val="16"/>
                <w:szCs w:val="16"/>
              </w:rPr>
            </w:pPr>
            <w:r>
              <w:rPr>
                <w:rFonts w:ascii="宋体"/>
                <w:spacing w:val="-1"/>
                <w:sz w:val="16"/>
              </w:rPr>
              <w:t>0.00</w:t>
            </w:r>
          </w:p>
        </w:tc>
        <w:tc>
          <w:tcPr>
            <w:tcW w:w="8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8"/>
              <w:jc w:val="right"/>
              <w:rPr>
                <w:rFonts w:ascii="宋体" w:hAnsi="宋体" w:cs="宋体" w:eastAsia="宋体" w:hint="default"/>
                <w:sz w:val="16"/>
                <w:szCs w:val="16"/>
              </w:rPr>
            </w:pPr>
            <w:r>
              <w:rPr>
                <w:rFonts w:ascii="宋体"/>
                <w:spacing w:val="-1"/>
                <w:sz w:val="16"/>
              </w:rPr>
              <w:t>0.00</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16"/>
                <w:szCs w:val="16"/>
              </w:rPr>
            </w:pPr>
            <w:r>
              <w:rPr>
                <w:rFonts w:ascii="宋体"/>
                <w:spacing w:val="-1"/>
                <w:sz w:val="16"/>
              </w:rPr>
              <w:t>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16"/>
                <w:szCs w:val="16"/>
              </w:rPr>
            </w:pPr>
            <w:r>
              <w:rPr>
                <w:rFonts w:ascii="宋体"/>
                <w:spacing w:val="-2"/>
                <w:sz w:val="16"/>
              </w:rPr>
              <w:t>55,558,356.16</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
              <w:jc w:val="right"/>
              <w:rPr>
                <w:rFonts w:ascii="宋体" w:hAnsi="宋体" w:cs="宋体" w:eastAsia="宋体" w:hint="default"/>
                <w:sz w:val="16"/>
                <w:szCs w:val="16"/>
              </w:rPr>
            </w:pPr>
            <w:r>
              <w:rPr>
                <w:rFonts w:ascii="宋体"/>
                <w:spacing w:val="-2"/>
                <w:sz w:val="16"/>
              </w:rPr>
              <w:t>1,500,000,000.00</w:t>
            </w:r>
          </w:p>
        </w:tc>
      </w:tr>
      <w:tr>
        <w:trPr>
          <w:trHeight w:val="292" w:hRule="exact"/>
        </w:trPr>
        <w:tc>
          <w:tcPr>
            <w:tcW w:w="1340"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left="28" w:right="0"/>
              <w:jc w:val="left"/>
              <w:rPr>
                <w:rFonts w:ascii="宋体" w:hAnsi="宋体" w:cs="宋体" w:eastAsia="宋体" w:hint="default"/>
                <w:sz w:val="16"/>
                <w:szCs w:val="16"/>
              </w:rPr>
            </w:pPr>
            <w:r>
              <w:rPr>
                <w:rFonts w:ascii="宋体"/>
                <w:sz w:val="16"/>
              </w:rPr>
              <w:t>TONGFANGB2103</w:t>
            </w: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110"/>
              <w:jc w:val="right"/>
              <w:rPr>
                <w:rFonts w:ascii="宋体" w:hAnsi="宋体" w:cs="宋体" w:eastAsia="宋体" w:hint="default"/>
                <w:sz w:val="16"/>
                <w:szCs w:val="16"/>
              </w:rPr>
            </w:pPr>
            <w:r>
              <w:rPr>
                <w:rFonts w:ascii="宋体"/>
                <w:spacing w:val="-2"/>
                <w:sz w:val="16"/>
              </w:rPr>
              <w:t>89,367,920.66</w:t>
            </w:r>
          </w:p>
        </w:tc>
        <w:tc>
          <w:tcPr>
            <w:tcW w:w="1146"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54"/>
              <w:jc w:val="right"/>
              <w:rPr>
                <w:rFonts w:ascii="宋体" w:hAnsi="宋体" w:cs="宋体" w:eastAsia="宋体" w:hint="default"/>
                <w:sz w:val="16"/>
                <w:szCs w:val="16"/>
              </w:rPr>
            </w:pPr>
            <w:r>
              <w:rPr>
                <w:rFonts w:ascii="宋体"/>
                <w:spacing w:val="-2"/>
                <w:sz w:val="16"/>
              </w:rPr>
              <w:t>7,988,764.80</w:t>
            </w:r>
          </w:p>
        </w:tc>
        <w:tc>
          <w:tcPr>
            <w:tcW w:w="828"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68"/>
              <w:jc w:val="right"/>
              <w:rPr>
                <w:rFonts w:ascii="宋体" w:hAnsi="宋体" w:cs="宋体" w:eastAsia="宋体" w:hint="default"/>
                <w:sz w:val="16"/>
                <w:szCs w:val="16"/>
              </w:rPr>
            </w:pPr>
            <w:r>
              <w:rPr>
                <w:rFonts w:ascii="宋体"/>
                <w:spacing w:val="-1"/>
                <w:sz w:val="16"/>
              </w:rPr>
              <w:t>0.00</w:t>
            </w:r>
          </w:p>
        </w:tc>
        <w:tc>
          <w:tcPr>
            <w:tcW w:w="1312"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26"/>
              <w:jc w:val="right"/>
              <w:rPr>
                <w:rFonts w:ascii="宋体" w:hAnsi="宋体" w:cs="宋体" w:eastAsia="宋体" w:hint="default"/>
                <w:sz w:val="16"/>
                <w:szCs w:val="16"/>
              </w:rPr>
            </w:pPr>
            <w:r>
              <w:rPr>
                <w:rFonts w:ascii="宋体"/>
                <w:spacing w:val="-1"/>
                <w:sz w:val="16"/>
              </w:rPr>
              <w:t>0.00</w:t>
            </w:r>
          </w:p>
        </w:tc>
        <w:tc>
          <w:tcPr>
            <w:tcW w:w="1185"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25"/>
              <w:jc w:val="right"/>
              <w:rPr>
                <w:rFonts w:ascii="宋体" w:hAnsi="宋体" w:cs="宋体" w:eastAsia="宋体" w:hint="default"/>
                <w:sz w:val="16"/>
                <w:szCs w:val="16"/>
              </w:rPr>
            </w:pPr>
            <w:r>
              <w:rPr>
                <w:rFonts w:ascii="宋体"/>
                <w:spacing w:val="-2"/>
                <w:sz w:val="16"/>
              </w:rPr>
              <w:t>89,367,920.66</w:t>
            </w:r>
          </w:p>
        </w:tc>
        <w:tc>
          <w:tcPr>
            <w:tcW w:w="1347"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26"/>
              <w:jc w:val="right"/>
              <w:rPr>
                <w:rFonts w:ascii="宋体" w:hAnsi="宋体" w:cs="宋体" w:eastAsia="宋体" w:hint="default"/>
                <w:sz w:val="16"/>
                <w:szCs w:val="16"/>
              </w:rPr>
            </w:pPr>
            <w:r>
              <w:rPr>
                <w:rFonts w:ascii="宋体"/>
                <w:spacing w:val="-2"/>
                <w:sz w:val="16"/>
              </w:rPr>
              <w:t>2,032,090,572.00</w:t>
            </w:r>
          </w:p>
        </w:tc>
      </w:tr>
      <w:tr>
        <w:trPr>
          <w:trHeight w:val="305" w:hRule="exact"/>
        </w:trPr>
        <w:tc>
          <w:tcPr>
            <w:tcW w:w="1340"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28"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555"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111"/>
              <w:jc w:val="right"/>
              <w:rPr>
                <w:rFonts w:ascii="宋体" w:hAnsi="宋体" w:cs="宋体" w:eastAsia="宋体" w:hint="default"/>
                <w:sz w:val="16"/>
                <w:szCs w:val="16"/>
              </w:rPr>
            </w:pPr>
            <w:r>
              <w:rPr>
                <w:rFonts w:ascii="宋体"/>
                <w:b/>
                <w:spacing w:val="-1"/>
                <w:sz w:val="16"/>
              </w:rPr>
              <w:t>393,134,085.04</w:t>
            </w:r>
            <w:r>
              <w:rPr>
                <w:rFonts w:ascii="宋体"/>
                <w:spacing w:val="-1"/>
                <w:sz w:val="16"/>
              </w:rPr>
            </w:r>
          </w:p>
        </w:tc>
        <w:tc>
          <w:tcPr>
            <w:tcW w:w="1146"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b/>
                <w:spacing w:val="-1"/>
                <w:sz w:val="16"/>
              </w:rPr>
              <w:t>7,988,764.80</w:t>
            </w:r>
            <w:r>
              <w:rPr>
                <w:rFonts w:ascii="宋体"/>
                <w:spacing w:val="-1"/>
                <w:sz w:val="16"/>
              </w:rPr>
            </w:r>
          </w:p>
        </w:tc>
        <w:tc>
          <w:tcPr>
            <w:tcW w:w="828"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68"/>
              <w:jc w:val="right"/>
              <w:rPr>
                <w:rFonts w:ascii="宋体" w:hAnsi="宋体" w:cs="宋体" w:eastAsia="宋体" w:hint="default"/>
                <w:sz w:val="16"/>
                <w:szCs w:val="16"/>
              </w:rPr>
            </w:pPr>
            <w:r>
              <w:rPr>
                <w:rFonts w:ascii="宋体"/>
                <w:b/>
                <w:spacing w:val="-1"/>
                <w:sz w:val="16"/>
              </w:rPr>
              <w:t>0.00</w:t>
            </w:r>
            <w:r>
              <w:rPr>
                <w:rFonts w:ascii="宋体"/>
                <w:spacing w:val="-1"/>
                <w:sz w:val="16"/>
              </w:rPr>
            </w:r>
          </w:p>
        </w:tc>
        <w:tc>
          <w:tcPr>
            <w:tcW w:w="1312"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27"/>
              <w:jc w:val="right"/>
              <w:rPr>
                <w:rFonts w:ascii="宋体" w:hAnsi="宋体" w:cs="宋体" w:eastAsia="宋体" w:hint="default"/>
                <w:sz w:val="16"/>
                <w:szCs w:val="16"/>
              </w:rPr>
            </w:pPr>
            <w:r>
              <w:rPr>
                <w:rFonts w:ascii="宋体"/>
                <w:b/>
                <w:spacing w:val="-1"/>
                <w:sz w:val="16"/>
              </w:rPr>
              <w:t>800,000,000.00</w:t>
            </w:r>
            <w:r>
              <w:rPr>
                <w:rFonts w:ascii="宋体"/>
                <w:spacing w:val="-1"/>
                <w:sz w:val="16"/>
              </w:rPr>
            </w:r>
          </w:p>
        </w:tc>
        <w:tc>
          <w:tcPr>
            <w:tcW w:w="1185"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26"/>
              <w:jc w:val="right"/>
              <w:rPr>
                <w:rFonts w:ascii="宋体" w:hAnsi="宋体" w:cs="宋体" w:eastAsia="宋体" w:hint="default"/>
                <w:sz w:val="16"/>
                <w:szCs w:val="16"/>
              </w:rPr>
            </w:pPr>
            <w:r>
              <w:rPr>
                <w:rFonts w:ascii="宋体"/>
                <w:b/>
                <w:spacing w:val="-1"/>
                <w:sz w:val="16"/>
              </w:rPr>
              <w:t>393,134,085.04</w:t>
            </w:r>
            <w:r>
              <w:rPr>
                <w:rFonts w:ascii="宋体"/>
                <w:spacing w:val="-1"/>
                <w:sz w:val="16"/>
              </w:rPr>
            </w:r>
          </w:p>
        </w:tc>
        <w:tc>
          <w:tcPr>
            <w:tcW w:w="1347"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27"/>
              <w:jc w:val="right"/>
              <w:rPr>
                <w:rFonts w:ascii="宋体" w:hAnsi="宋体" w:cs="宋体" w:eastAsia="宋体" w:hint="default"/>
                <w:sz w:val="16"/>
                <w:szCs w:val="16"/>
              </w:rPr>
            </w:pPr>
            <w:r>
              <w:rPr>
                <w:rFonts w:ascii="宋体"/>
                <w:b/>
                <w:spacing w:val="-1"/>
                <w:sz w:val="16"/>
              </w:rPr>
              <w:t>8,432,090,572.00</w:t>
            </w:r>
            <w:r>
              <w:rPr>
                <w:rFonts w:ascii="宋体"/>
                <w:spacing w:val="-1"/>
                <w:sz w:val="16"/>
              </w:rPr>
            </w:r>
          </w:p>
        </w:tc>
      </w:tr>
    </w:tbl>
    <w:p>
      <w:pPr>
        <w:spacing w:before="81"/>
        <w:ind w:left="116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32.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长期应付款</w:t>
      </w:r>
    </w:p>
    <w:p>
      <w:pPr>
        <w:spacing w:line="240" w:lineRule="auto" w:before="8"/>
        <w:rPr>
          <w:rFonts w:ascii="宋体" w:hAnsi="宋体" w:cs="宋体" w:eastAsia="宋体" w:hint="default"/>
          <w:sz w:val="11"/>
          <w:szCs w:val="11"/>
        </w:rPr>
      </w:pPr>
    </w:p>
    <w:tbl>
      <w:tblPr>
        <w:tblW w:w="0" w:type="auto"/>
        <w:jc w:val="left"/>
        <w:tblInd w:w="654" w:type="dxa"/>
        <w:tblLayout w:type="fixed"/>
        <w:tblCellMar>
          <w:top w:w="0" w:type="dxa"/>
          <w:left w:w="0" w:type="dxa"/>
          <w:bottom w:w="0" w:type="dxa"/>
          <w:right w:w="0" w:type="dxa"/>
        </w:tblCellMar>
        <w:tblLook w:val="01E0"/>
      </w:tblPr>
      <w:tblGrid>
        <w:gridCol w:w="2727"/>
        <w:gridCol w:w="3758"/>
        <w:gridCol w:w="2240"/>
      </w:tblGrid>
      <w:tr>
        <w:trPr>
          <w:trHeight w:val="305" w:hRule="exact"/>
        </w:trPr>
        <w:tc>
          <w:tcPr>
            <w:tcW w:w="272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75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01"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24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4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0" w:hRule="exact"/>
        </w:trPr>
        <w:tc>
          <w:tcPr>
            <w:tcW w:w="2727"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758" w:type="dxa"/>
            <w:tcBorders>
              <w:top w:val="single" w:sz="4" w:space="0" w:color="000000"/>
              <w:left w:val="nil" w:sz="6" w:space="0" w:color="auto"/>
              <w:bottom w:val="nil" w:sz="6" w:space="0" w:color="auto"/>
              <w:right w:val="nil" w:sz="6" w:space="0" w:color="auto"/>
            </w:tcBorders>
          </w:tcPr>
          <w:p>
            <w:pPr>
              <w:pStyle w:val="TableParagraph"/>
              <w:spacing w:line="232" w:lineRule="exact"/>
              <w:ind w:right="539"/>
              <w:jc w:val="right"/>
              <w:rPr>
                <w:rFonts w:ascii="宋体" w:hAnsi="宋体" w:cs="宋体" w:eastAsia="宋体" w:hint="default"/>
                <w:sz w:val="18"/>
                <w:szCs w:val="18"/>
              </w:rPr>
            </w:pPr>
            <w:r>
              <w:rPr>
                <w:rFonts w:ascii="宋体"/>
                <w:spacing w:val="-1"/>
                <w:sz w:val="18"/>
              </w:rPr>
              <w:t>345,577.02</w:t>
            </w:r>
          </w:p>
        </w:tc>
        <w:tc>
          <w:tcPr>
            <w:tcW w:w="2240"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232,094.08</w:t>
            </w:r>
          </w:p>
        </w:tc>
      </w:tr>
      <w:tr>
        <w:trPr>
          <w:trHeight w:val="292" w:hRule="exact"/>
        </w:trPr>
        <w:tc>
          <w:tcPr>
            <w:tcW w:w="2727"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758" w:type="dxa"/>
            <w:tcBorders>
              <w:top w:val="nil" w:sz="6" w:space="0" w:color="auto"/>
              <w:left w:val="nil" w:sz="6" w:space="0" w:color="auto"/>
              <w:bottom w:val="single" w:sz="4" w:space="0" w:color="000000"/>
              <w:right w:val="nil" w:sz="6" w:space="0" w:color="auto"/>
            </w:tcBorders>
          </w:tcPr>
          <w:p>
            <w:pPr>
              <w:pStyle w:val="TableParagraph"/>
              <w:spacing w:line="233" w:lineRule="exact"/>
              <w:ind w:right="539"/>
              <w:jc w:val="right"/>
              <w:rPr>
                <w:rFonts w:ascii="宋体" w:hAnsi="宋体" w:cs="宋体" w:eastAsia="宋体" w:hint="default"/>
                <w:sz w:val="18"/>
                <w:szCs w:val="18"/>
              </w:rPr>
            </w:pPr>
            <w:r>
              <w:rPr>
                <w:rFonts w:ascii="宋体"/>
                <w:spacing w:val="-1"/>
                <w:sz w:val="18"/>
              </w:rPr>
              <w:t>1,345,283.02</w:t>
            </w:r>
          </w:p>
        </w:tc>
        <w:tc>
          <w:tcPr>
            <w:tcW w:w="2240" w:type="dxa"/>
            <w:tcBorders>
              <w:top w:val="nil" w:sz="6" w:space="0" w:color="auto"/>
              <w:left w:val="nil" w:sz="6" w:space="0" w:color="auto"/>
              <w:bottom w:val="single" w:sz="4"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1,345,283.02</w:t>
            </w:r>
          </w:p>
        </w:tc>
      </w:tr>
      <w:tr>
        <w:trPr>
          <w:trHeight w:val="305" w:hRule="exact"/>
        </w:trPr>
        <w:tc>
          <w:tcPr>
            <w:tcW w:w="2727"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58"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539"/>
              <w:jc w:val="right"/>
              <w:rPr>
                <w:rFonts w:ascii="宋体" w:hAnsi="宋体" w:cs="宋体" w:eastAsia="宋体" w:hint="default"/>
                <w:sz w:val="18"/>
                <w:szCs w:val="18"/>
              </w:rPr>
            </w:pPr>
            <w:r>
              <w:rPr>
                <w:rFonts w:ascii="宋体"/>
                <w:b/>
                <w:w w:val="95"/>
                <w:sz w:val="18"/>
              </w:rPr>
              <w:t>1,690,860.04</w:t>
            </w:r>
            <w:r>
              <w:rPr>
                <w:rFonts w:ascii="宋体"/>
                <w:sz w:val="18"/>
              </w:rPr>
            </w:r>
          </w:p>
        </w:tc>
        <w:tc>
          <w:tcPr>
            <w:tcW w:w="2240"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b/>
                <w:w w:val="95"/>
                <w:sz w:val="18"/>
              </w:rPr>
              <w:t>1,577,377.10</w:t>
            </w:r>
            <w:r>
              <w:rPr>
                <w:rFonts w:ascii="宋体"/>
                <w:sz w:val="18"/>
              </w:rPr>
            </w:r>
          </w:p>
        </w:tc>
      </w:tr>
    </w:tbl>
    <w:p>
      <w:pPr>
        <w:spacing w:before="81"/>
        <w:ind w:left="1167" w:right="0" w:firstLine="0"/>
        <w:jc w:val="left"/>
        <w:rPr>
          <w:rFonts w:ascii="宋体" w:hAnsi="宋体" w:cs="宋体" w:eastAsia="宋体" w:hint="default"/>
          <w:sz w:val="22"/>
          <w:szCs w:val="22"/>
        </w:rPr>
      </w:pPr>
      <w:r>
        <w:rPr>
          <w:rFonts w:ascii="宋体" w:hAnsi="宋体" w:cs="宋体" w:eastAsia="宋体" w:hint="default"/>
          <w:b/>
          <w:bCs/>
          <w:sz w:val="22"/>
          <w:szCs w:val="22"/>
        </w:rPr>
        <w:t>32.1.</w:t>
      </w:r>
      <w:r>
        <w:rPr>
          <w:rFonts w:ascii="宋体" w:hAnsi="宋体" w:cs="宋体" w:eastAsia="宋体" w:hint="default"/>
          <w:b/>
          <w:bCs/>
          <w:spacing w:val="-63"/>
          <w:sz w:val="22"/>
          <w:szCs w:val="22"/>
        </w:rPr>
        <w:t> </w:t>
      </w:r>
      <w:r>
        <w:rPr>
          <w:rFonts w:ascii="宋体" w:hAnsi="宋体" w:cs="宋体" w:eastAsia="宋体" w:hint="default"/>
          <w:sz w:val="22"/>
          <w:szCs w:val="22"/>
        </w:rPr>
        <w:t>长期应付款</w:t>
      </w:r>
    </w:p>
    <w:p>
      <w:pPr>
        <w:spacing w:line="240" w:lineRule="auto" w:before="11"/>
        <w:rPr>
          <w:rFonts w:ascii="宋体" w:hAnsi="宋体" w:cs="宋体" w:eastAsia="宋体" w:hint="default"/>
          <w:sz w:val="12"/>
          <w:szCs w:val="12"/>
        </w:rPr>
      </w:pPr>
    </w:p>
    <w:tbl>
      <w:tblPr>
        <w:tblW w:w="0" w:type="auto"/>
        <w:jc w:val="left"/>
        <w:tblInd w:w="654" w:type="dxa"/>
        <w:tblLayout w:type="fixed"/>
        <w:tblCellMar>
          <w:top w:w="0" w:type="dxa"/>
          <w:left w:w="0" w:type="dxa"/>
          <w:bottom w:w="0" w:type="dxa"/>
          <w:right w:w="0" w:type="dxa"/>
        </w:tblCellMar>
        <w:tblLook w:val="01E0"/>
      </w:tblPr>
      <w:tblGrid>
        <w:gridCol w:w="2638"/>
        <w:gridCol w:w="3847"/>
        <w:gridCol w:w="2240"/>
      </w:tblGrid>
      <w:tr>
        <w:trPr>
          <w:trHeight w:val="305" w:hRule="exact"/>
        </w:trPr>
        <w:tc>
          <w:tcPr>
            <w:tcW w:w="263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84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90"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24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4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5" w:hRule="exact"/>
        </w:trPr>
        <w:tc>
          <w:tcPr>
            <w:tcW w:w="2638"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零星余额</w:t>
            </w:r>
          </w:p>
        </w:tc>
        <w:tc>
          <w:tcPr>
            <w:tcW w:w="3847"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539"/>
              <w:jc w:val="right"/>
              <w:rPr>
                <w:rFonts w:ascii="宋体" w:hAnsi="宋体" w:cs="宋体" w:eastAsia="宋体" w:hint="default"/>
                <w:sz w:val="18"/>
                <w:szCs w:val="18"/>
              </w:rPr>
            </w:pPr>
            <w:r>
              <w:rPr>
                <w:rFonts w:ascii="宋体"/>
                <w:spacing w:val="-1"/>
                <w:sz w:val="18"/>
              </w:rPr>
              <w:t>345,577.02</w:t>
            </w:r>
          </w:p>
        </w:tc>
        <w:tc>
          <w:tcPr>
            <w:tcW w:w="2240"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232,094.08</w:t>
            </w:r>
          </w:p>
        </w:tc>
      </w:tr>
      <w:tr>
        <w:trPr>
          <w:trHeight w:val="305" w:hRule="exact"/>
        </w:trPr>
        <w:tc>
          <w:tcPr>
            <w:tcW w:w="2638"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47"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539"/>
              <w:jc w:val="right"/>
              <w:rPr>
                <w:rFonts w:ascii="宋体" w:hAnsi="宋体" w:cs="宋体" w:eastAsia="宋体" w:hint="default"/>
                <w:sz w:val="18"/>
                <w:szCs w:val="18"/>
              </w:rPr>
            </w:pPr>
            <w:r>
              <w:rPr>
                <w:rFonts w:ascii="宋体"/>
                <w:b/>
                <w:w w:val="95"/>
                <w:sz w:val="18"/>
              </w:rPr>
              <w:t>345,577.02</w:t>
            </w:r>
            <w:r>
              <w:rPr>
                <w:rFonts w:ascii="宋体"/>
                <w:sz w:val="18"/>
              </w:rPr>
            </w:r>
          </w:p>
        </w:tc>
        <w:tc>
          <w:tcPr>
            <w:tcW w:w="2240"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b/>
                <w:w w:val="95"/>
                <w:sz w:val="18"/>
              </w:rPr>
              <w:t>232,094.08</w:t>
            </w:r>
            <w:r>
              <w:rPr>
                <w:rFonts w:ascii="宋体"/>
                <w:sz w:val="18"/>
              </w:rPr>
            </w:r>
          </w:p>
        </w:tc>
      </w:tr>
    </w:tbl>
    <w:p>
      <w:pPr>
        <w:spacing w:before="81"/>
        <w:ind w:left="1167" w:right="0" w:firstLine="0"/>
        <w:jc w:val="left"/>
        <w:rPr>
          <w:rFonts w:ascii="宋体" w:hAnsi="宋体" w:cs="宋体" w:eastAsia="宋体" w:hint="default"/>
          <w:sz w:val="22"/>
          <w:szCs w:val="22"/>
        </w:rPr>
      </w:pPr>
      <w:r>
        <w:rPr>
          <w:rFonts w:ascii="宋体" w:hAnsi="宋体" w:cs="宋体" w:eastAsia="宋体" w:hint="default"/>
          <w:b/>
          <w:bCs/>
          <w:sz w:val="22"/>
          <w:szCs w:val="22"/>
        </w:rPr>
        <w:t>32.2.</w:t>
      </w:r>
      <w:r>
        <w:rPr>
          <w:rFonts w:ascii="宋体" w:hAnsi="宋体" w:cs="宋体" w:eastAsia="宋体" w:hint="default"/>
          <w:b/>
          <w:bCs/>
          <w:spacing w:val="-63"/>
          <w:sz w:val="22"/>
          <w:szCs w:val="22"/>
        </w:rPr>
        <w:t> </w:t>
      </w:r>
      <w:r>
        <w:rPr>
          <w:rFonts w:ascii="宋体" w:hAnsi="宋体" w:cs="宋体" w:eastAsia="宋体" w:hint="default"/>
          <w:sz w:val="22"/>
          <w:szCs w:val="22"/>
        </w:rPr>
        <w:t>专项应付款</w:t>
      </w:r>
    </w:p>
    <w:p>
      <w:pPr>
        <w:spacing w:line="240" w:lineRule="auto" w:before="11"/>
        <w:rPr>
          <w:rFonts w:ascii="宋体" w:hAnsi="宋体" w:cs="宋体" w:eastAsia="宋体" w:hint="default"/>
          <w:sz w:val="12"/>
          <w:szCs w:val="12"/>
        </w:rPr>
      </w:pPr>
    </w:p>
    <w:tbl>
      <w:tblPr>
        <w:tblW w:w="0" w:type="auto"/>
        <w:jc w:val="left"/>
        <w:tblInd w:w="620" w:type="dxa"/>
        <w:tblLayout w:type="fixed"/>
        <w:tblCellMar>
          <w:top w:w="0" w:type="dxa"/>
          <w:left w:w="0" w:type="dxa"/>
          <w:bottom w:w="0" w:type="dxa"/>
          <w:right w:w="0" w:type="dxa"/>
        </w:tblCellMar>
        <w:tblLook w:val="01E0"/>
      </w:tblPr>
      <w:tblGrid>
        <w:gridCol w:w="2509"/>
        <w:gridCol w:w="1356"/>
        <w:gridCol w:w="1162"/>
        <w:gridCol w:w="1073"/>
        <w:gridCol w:w="1152"/>
        <w:gridCol w:w="1499"/>
      </w:tblGrid>
      <w:tr>
        <w:trPr>
          <w:trHeight w:val="305" w:hRule="exact"/>
        </w:trPr>
        <w:tc>
          <w:tcPr>
            <w:tcW w:w="2509"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5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1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16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23"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07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23"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15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0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499"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483" w:hRule="exact"/>
        </w:trPr>
        <w:tc>
          <w:tcPr>
            <w:tcW w:w="2509"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河北省信息产业专项资金项目</w:t>
            </w:r>
          </w:p>
        </w:tc>
        <w:tc>
          <w:tcPr>
            <w:tcW w:w="1356"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21"/>
              <w:jc w:val="right"/>
              <w:rPr>
                <w:rFonts w:ascii="宋体" w:hAnsi="宋体" w:cs="宋体" w:eastAsia="宋体" w:hint="default"/>
                <w:sz w:val="18"/>
                <w:szCs w:val="18"/>
              </w:rPr>
            </w:pPr>
            <w:r>
              <w:rPr>
                <w:rFonts w:ascii="宋体"/>
                <w:spacing w:val="-1"/>
                <w:sz w:val="18"/>
              </w:rPr>
              <w:t>1,000,000.00</w:t>
            </w:r>
          </w:p>
        </w:tc>
        <w:tc>
          <w:tcPr>
            <w:tcW w:w="1162"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121"/>
              <w:jc w:val="right"/>
              <w:rPr>
                <w:rFonts w:ascii="宋体" w:hAnsi="宋体" w:cs="宋体" w:eastAsia="宋体" w:hint="default"/>
                <w:sz w:val="18"/>
                <w:szCs w:val="18"/>
              </w:rPr>
            </w:pPr>
            <w:r>
              <w:rPr>
                <w:rFonts w:ascii="宋体"/>
                <w:sz w:val="18"/>
              </w:rPr>
              <w:t>0.00</w:t>
            </w:r>
          </w:p>
        </w:tc>
        <w:tc>
          <w:tcPr>
            <w:tcW w:w="1073"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32"/>
              <w:jc w:val="right"/>
              <w:rPr>
                <w:rFonts w:ascii="宋体" w:hAnsi="宋体" w:cs="宋体" w:eastAsia="宋体" w:hint="default"/>
                <w:sz w:val="18"/>
                <w:szCs w:val="18"/>
              </w:rPr>
            </w:pPr>
            <w:r>
              <w:rPr>
                <w:rFonts w:ascii="宋体"/>
                <w:sz w:val="18"/>
              </w:rPr>
              <w:t>0.00</w:t>
            </w:r>
          </w:p>
        </w:tc>
        <w:tc>
          <w:tcPr>
            <w:tcW w:w="1152"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right="25"/>
              <w:jc w:val="right"/>
              <w:rPr>
                <w:rFonts w:ascii="宋体" w:hAnsi="宋体" w:cs="宋体" w:eastAsia="宋体" w:hint="default"/>
                <w:sz w:val="18"/>
                <w:szCs w:val="18"/>
              </w:rPr>
            </w:pPr>
            <w:r>
              <w:rPr>
                <w:rFonts w:ascii="宋体"/>
                <w:spacing w:val="-1"/>
                <w:sz w:val="18"/>
              </w:rPr>
              <w:t>1,000,000.00</w:t>
            </w:r>
          </w:p>
        </w:tc>
        <w:tc>
          <w:tcPr>
            <w:tcW w:w="1499" w:type="dxa"/>
            <w:tcBorders>
              <w:top w:val="single" w:sz="4" w:space="0" w:color="000000"/>
              <w:left w:val="nil" w:sz="6" w:space="0" w:color="auto"/>
              <w:bottom w:val="nil" w:sz="6" w:space="0" w:color="auto"/>
              <w:right w:val="nil" w:sz="6" w:space="0" w:color="auto"/>
            </w:tcBorders>
          </w:tcPr>
          <w:p>
            <w:pPr>
              <w:pStyle w:val="TableParagraph"/>
              <w:spacing w:line="204" w:lineRule="exact"/>
              <w:ind w:left="27" w:right="0"/>
              <w:jc w:val="left"/>
              <w:rPr>
                <w:rFonts w:ascii="宋体" w:hAnsi="宋体" w:cs="宋体" w:eastAsia="宋体" w:hint="default"/>
                <w:sz w:val="18"/>
                <w:szCs w:val="18"/>
              </w:rPr>
            </w:pPr>
            <w:r>
              <w:rPr>
                <w:rFonts w:ascii="宋体" w:hAnsi="宋体" w:cs="宋体" w:eastAsia="宋体" w:hint="default"/>
                <w:sz w:val="18"/>
                <w:szCs w:val="18"/>
              </w:rPr>
              <w:t>河北省信息产业专</w:t>
            </w:r>
          </w:p>
          <w:p>
            <w:pPr>
              <w:pStyle w:val="TableParagraph"/>
              <w:spacing w:line="234" w:lineRule="exact"/>
              <w:ind w:left="27" w:right="0"/>
              <w:jc w:val="left"/>
              <w:rPr>
                <w:rFonts w:ascii="宋体" w:hAnsi="宋体" w:cs="宋体" w:eastAsia="宋体" w:hint="default"/>
                <w:sz w:val="18"/>
                <w:szCs w:val="18"/>
              </w:rPr>
            </w:pPr>
            <w:r>
              <w:rPr>
                <w:rFonts w:ascii="宋体" w:hAnsi="宋体" w:cs="宋体" w:eastAsia="宋体" w:hint="default"/>
                <w:sz w:val="18"/>
                <w:szCs w:val="18"/>
              </w:rPr>
              <w:t>项资金项目</w:t>
            </w:r>
          </w:p>
        </w:tc>
      </w:tr>
      <w:tr>
        <w:trPr>
          <w:trHeight w:val="259"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20" w:lineRule="exact"/>
              <w:ind w:left="26" w:right="0"/>
              <w:jc w:val="left"/>
              <w:rPr>
                <w:rFonts w:ascii="宋体" w:hAnsi="宋体" w:cs="宋体" w:eastAsia="宋体" w:hint="default"/>
                <w:sz w:val="18"/>
                <w:szCs w:val="18"/>
              </w:rPr>
            </w:pPr>
            <w:r>
              <w:rPr>
                <w:rFonts w:ascii="宋体" w:hAnsi="宋体" w:cs="宋体" w:eastAsia="宋体" w:hint="default"/>
                <w:sz w:val="18"/>
                <w:szCs w:val="18"/>
              </w:rPr>
              <w:t>蓄冰池工程</w:t>
            </w:r>
          </w:p>
        </w:tc>
        <w:tc>
          <w:tcPr>
            <w:tcW w:w="1356" w:type="dxa"/>
            <w:tcBorders>
              <w:top w:val="nil" w:sz="6" w:space="0" w:color="auto"/>
              <w:left w:val="nil" w:sz="6" w:space="0" w:color="auto"/>
              <w:bottom w:val="nil" w:sz="6" w:space="0" w:color="auto"/>
              <w:right w:val="nil" w:sz="6" w:space="0" w:color="auto"/>
            </w:tcBorders>
          </w:tcPr>
          <w:p>
            <w:pPr>
              <w:pStyle w:val="TableParagraph"/>
              <w:spacing w:line="220" w:lineRule="exact"/>
              <w:ind w:right="121"/>
              <w:jc w:val="right"/>
              <w:rPr>
                <w:rFonts w:ascii="宋体" w:hAnsi="宋体" w:cs="宋体" w:eastAsia="宋体" w:hint="default"/>
                <w:sz w:val="18"/>
                <w:szCs w:val="18"/>
              </w:rPr>
            </w:pPr>
            <w:r>
              <w:rPr>
                <w:rFonts w:ascii="宋体"/>
                <w:spacing w:val="-1"/>
                <w:sz w:val="18"/>
              </w:rPr>
              <w:t>100,000.00</w:t>
            </w:r>
          </w:p>
        </w:tc>
        <w:tc>
          <w:tcPr>
            <w:tcW w:w="1162" w:type="dxa"/>
            <w:tcBorders>
              <w:top w:val="nil" w:sz="6" w:space="0" w:color="auto"/>
              <w:left w:val="nil" w:sz="6" w:space="0" w:color="auto"/>
              <w:bottom w:val="nil" w:sz="6" w:space="0" w:color="auto"/>
              <w:right w:val="nil" w:sz="6" w:space="0" w:color="auto"/>
            </w:tcBorders>
          </w:tcPr>
          <w:p>
            <w:pPr>
              <w:pStyle w:val="TableParagraph"/>
              <w:spacing w:line="220" w:lineRule="exact"/>
              <w:ind w:right="121"/>
              <w:jc w:val="right"/>
              <w:rPr>
                <w:rFonts w:ascii="宋体" w:hAnsi="宋体" w:cs="宋体" w:eastAsia="宋体" w:hint="default"/>
                <w:sz w:val="18"/>
                <w:szCs w:val="18"/>
              </w:rPr>
            </w:pPr>
            <w:r>
              <w:rPr>
                <w:rFonts w:ascii="宋体"/>
                <w:sz w:val="18"/>
              </w:rPr>
              <w:t>0.00</w:t>
            </w:r>
          </w:p>
        </w:tc>
        <w:tc>
          <w:tcPr>
            <w:tcW w:w="1073" w:type="dxa"/>
            <w:tcBorders>
              <w:top w:val="nil" w:sz="6" w:space="0" w:color="auto"/>
              <w:left w:val="nil" w:sz="6" w:space="0" w:color="auto"/>
              <w:bottom w:val="nil" w:sz="6" w:space="0" w:color="auto"/>
              <w:right w:val="nil" w:sz="6" w:space="0" w:color="auto"/>
            </w:tcBorders>
          </w:tcPr>
          <w:p>
            <w:pPr>
              <w:pStyle w:val="TableParagraph"/>
              <w:spacing w:line="220" w:lineRule="exact"/>
              <w:ind w:right="32"/>
              <w:jc w:val="right"/>
              <w:rPr>
                <w:rFonts w:ascii="宋体" w:hAnsi="宋体" w:cs="宋体" w:eastAsia="宋体" w:hint="default"/>
                <w:sz w:val="18"/>
                <w:szCs w:val="18"/>
              </w:rPr>
            </w:pPr>
            <w:r>
              <w:rPr>
                <w:rFonts w:ascii="宋体"/>
                <w:sz w:val="18"/>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pacing w:val="-1"/>
                <w:sz w:val="18"/>
              </w:rPr>
              <w:t>100,000.00</w:t>
            </w:r>
          </w:p>
        </w:tc>
        <w:tc>
          <w:tcPr>
            <w:tcW w:w="1499" w:type="dxa"/>
            <w:tcBorders>
              <w:top w:val="nil" w:sz="6" w:space="0" w:color="auto"/>
              <w:left w:val="nil" w:sz="6" w:space="0" w:color="auto"/>
              <w:bottom w:val="nil" w:sz="6" w:space="0" w:color="auto"/>
              <w:right w:val="nil" w:sz="6" w:space="0" w:color="auto"/>
            </w:tcBorders>
          </w:tcPr>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87" w:hRule="exact"/>
        </w:trPr>
        <w:tc>
          <w:tcPr>
            <w:tcW w:w="2509"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26" w:right="0"/>
              <w:jc w:val="left"/>
              <w:rPr>
                <w:rFonts w:ascii="宋体" w:hAnsi="宋体" w:cs="宋体" w:eastAsia="宋体" w:hint="default"/>
                <w:sz w:val="18"/>
                <w:szCs w:val="18"/>
              </w:rPr>
            </w:pPr>
            <w:r>
              <w:rPr>
                <w:rFonts w:ascii="宋体" w:hAnsi="宋体" w:cs="宋体" w:eastAsia="宋体" w:hint="default"/>
                <w:sz w:val="18"/>
                <w:szCs w:val="18"/>
              </w:rPr>
              <w:t>高新技术成果转化项目</w:t>
            </w:r>
          </w:p>
        </w:tc>
        <w:tc>
          <w:tcPr>
            <w:tcW w:w="1356"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21"/>
              <w:jc w:val="right"/>
              <w:rPr>
                <w:rFonts w:ascii="宋体" w:hAnsi="宋体" w:cs="宋体" w:eastAsia="宋体" w:hint="default"/>
                <w:sz w:val="18"/>
                <w:szCs w:val="18"/>
              </w:rPr>
            </w:pPr>
            <w:r>
              <w:rPr>
                <w:rFonts w:ascii="宋体"/>
                <w:spacing w:val="-1"/>
                <w:sz w:val="18"/>
              </w:rPr>
              <w:t>245,283.02</w:t>
            </w:r>
          </w:p>
        </w:tc>
        <w:tc>
          <w:tcPr>
            <w:tcW w:w="1162"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21"/>
              <w:jc w:val="right"/>
              <w:rPr>
                <w:rFonts w:ascii="宋体" w:hAnsi="宋体" w:cs="宋体" w:eastAsia="宋体" w:hint="default"/>
                <w:sz w:val="18"/>
                <w:szCs w:val="18"/>
              </w:rPr>
            </w:pPr>
            <w:r>
              <w:rPr>
                <w:rFonts w:ascii="宋体"/>
                <w:sz w:val="18"/>
              </w:rPr>
              <w:t>0.00</w:t>
            </w:r>
          </w:p>
        </w:tc>
        <w:tc>
          <w:tcPr>
            <w:tcW w:w="1073"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32"/>
              <w:jc w:val="right"/>
              <w:rPr>
                <w:rFonts w:ascii="宋体" w:hAnsi="宋体" w:cs="宋体" w:eastAsia="宋体" w:hint="default"/>
                <w:sz w:val="18"/>
                <w:szCs w:val="18"/>
              </w:rPr>
            </w:pPr>
            <w:r>
              <w:rPr>
                <w:rFonts w:ascii="宋体"/>
                <w:sz w:val="18"/>
              </w:rPr>
              <w:t>0.00</w:t>
            </w:r>
          </w:p>
        </w:tc>
        <w:tc>
          <w:tcPr>
            <w:tcW w:w="1152"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25"/>
              <w:jc w:val="right"/>
              <w:rPr>
                <w:rFonts w:ascii="宋体" w:hAnsi="宋体" w:cs="宋体" w:eastAsia="宋体" w:hint="default"/>
                <w:sz w:val="18"/>
                <w:szCs w:val="18"/>
              </w:rPr>
            </w:pPr>
            <w:r>
              <w:rPr>
                <w:rFonts w:ascii="宋体"/>
                <w:spacing w:val="-1"/>
                <w:sz w:val="18"/>
              </w:rPr>
              <w:t>245,283.02</w:t>
            </w:r>
          </w:p>
        </w:tc>
        <w:tc>
          <w:tcPr>
            <w:tcW w:w="1499" w:type="dxa"/>
            <w:tcBorders>
              <w:top w:val="nil" w:sz="6" w:space="0" w:color="auto"/>
              <w:left w:val="nil" w:sz="6" w:space="0" w:color="auto"/>
              <w:bottom w:val="single" w:sz="4" w:space="0" w:color="000000"/>
              <w:right w:val="nil" w:sz="6" w:space="0" w:color="auto"/>
            </w:tcBorders>
          </w:tcPr>
          <w:p>
            <w:pPr>
              <w:pStyle w:val="TableParagraph"/>
              <w:spacing w:line="236" w:lineRule="exact" w:before="5"/>
              <w:ind w:left="27" w:right="29"/>
              <w:jc w:val="left"/>
              <w:rPr>
                <w:rFonts w:ascii="宋体" w:hAnsi="宋体" w:cs="宋体" w:eastAsia="宋体" w:hint="default"/>
                <w:sz w:val="18"/>
                <w:szCs w:val="18"/>
              </w:rPr>
            </w:pPr>
            <w:r>
              <w:rPr>
                <w:rFonts w:ascii="宋体" w:hAnsi="宋体" w:cs="宋体" w:eastAsia="宋体" w:hint="default"/>
                <w:sz w:val="18"/>
                <w:szCs w:val="18"/>
              </w:rPr>
              <w:t>北京市高新技术成 果转化项目</w:t>
            </w:r>
          </w:p>
        </w:tc>
      </w:tr>
      <w:tr>
        <w:trPr>
          <w:trHeight w:val="305" w:hRule="exact"/>
        </w:trPr>
        <w:tc>
          <w:tcPr>
            <w:tcW w:w="2509"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2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56"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21"/>
              <w:jc w:val="right"/>
              <w:rPr>
                <w:rFonts w:ascii="宋体" w:hAnsi="宋体" w:cs="宋体" w:eastAsia="宋体" w:hint="default"/>
                <w:sz w:val="18"/>
                <w:szCs w:val="18"/>
              </w:rPr>
            </w:pPr>
            <w:r>
              <w:rPr>
                <w:rFonts w:ascii="宋体"/>
                <w:b/>
                <w:w w:val="95"/>
                <w:sz w:val="18"/>
              </w:rPr>
              <w:t>1,345,283.02</w:t>
            </w:r>
            <w:r>
              <w:rPr>
                <w:rFonts w:ascii="宋体"/>
                <w:sz w:val="18"/>
              </w:rPr>
            </w:r>
          </w:p>
        </w:tc>
        <w:tc>
          <w:tcPr>
            <w:tcW w:w="1162"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21"/>
              <w:jc w:val="right"/>
              <w:rPr>
                <w:rFonts w:ascii="宋体" w:hAnsi="宋体" w:cs="宋体" w:eastAsia="宋体" w:hint="default"/>
                <w:sz w:val="18"/>
                <w:szCs w:val="18"/>
              </w:rPr>
            </w:pPr>
            <w:r>
              <w:rPr>
                <w:rFonts w:ascii="宋体"/>
                <w:b/>
                <w:w w:val="95"/>
                <w:sz w:val="18"/>
              </w:rPr>
              <w:t>0.00</w:t>
            </w:r>
            <w:r>
              <w:rPr>
                <w:rFonts w:ascii="宋体"/>
                <w:sz w:val="18"/>
              </w:rPr>
            </w:r>
          </w:p>
        </w:tc>
        <w:tc>
          <w:tcPr>
            <w:tcW w:w="1073"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32"/>
              <w:jc w:val="right"/>
              <w:rPr>
                <w:rFonts w:ascii="宋体" w:hAnsi="宋体" w:cs="宋体" w:eastAsia="宋体" w:hint="default"/>
                <w:sz w:val="18"/>
                <w:szCs w:val="18"/>
              </w:rPr>
            </w:pPr>
            <w:r>
              <w:rPr>
                <w:rFonts w:ascii="宋体"/>
                <w:b/>
                <w:w w:val="95"/>
                <w:sz w:val="18"/>
              </w:rPr>
              <w:t>0.00</w:t>
            </w:r>
            <w:r>
              <w:rPr>
                <w:rFonts w:ascii="宋体"/>
                <w:sz w:val="18"/>
              </w:rPr>
            </w:r>
          </w:p>
        </w:tc>
        <w:tc>
          <w:tcPr>
            <w:tcW w:w="1152"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b/>
                <w:w w:val="95"/>
                <w:sz w:val="18"/>
              </w:rPr>
              <w:t>1,345,283.02</w:t>
            </w:r>
            <w:r>
              <w:rPr>
                <w:rFonts w:ascii="宋体"/>
                <w:sz w:val="18"/>
              </w:rPr>
            </w:r>
          </w:p>
        </w:tc>
        <w:tc>
          <w:tcPr>
            <w:tcW w:w="1499"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before="81"/>
        <w:ind w:left="116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33.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预计负债</w:t>
      </w:r>
    </w:p>
    <w:p>
      <w:pPr>
        <w:spacing w:line="240" w:lineRule="auto" w:before="8"/>
        <w:rPr>
          <w:rFonts w:ascii="宋体" w:hAnsi="宋体" w:cs="宋体" w:eastAsia="宋体" w:hint="default"/>
          <w:sz w:val="11"/>
          <w:szCs w:val="11"/>
        </w:rPr>
      </w:pPr>
    </w:p>
    <w:tbl>
      <w:tblPr>
        <w:tblW w:w="0" w:type="auto"/>
        <w:jc w:val="left"/>
        <w:tblInd w:w="654" w:type="dxa"/>
        <w:tblLayout w:type="fixed"/>
        <w:tblCellMar>
          <w:top w:w="0" w:type="dxa"/>
          <w:left w:w="0" w:type="dxa"/>
          <w:bottom w:w="0" w:type="dxa"/>
          <w:right w:w="0" w:type="dxa"/>
        </w:tblCellMar>
        <w:tblLook w:val="01E0"/>
      </w:tblPr>
      <w:tblGrid>
        <w:gridCol w:w="2037"/>
        <w:gridCol w:w="2518"/>
        <w:gridCol w:w="1922"/>
        <w:gridCol w:w="2249"/>
      </w:tblGrid>
      <w:tr>
        <w:trPr>
          <w:trHeight w:val="305" w:hRule="exact"/>
        </w:trPr>
        <w:tc>
          <w:tcPr>
            <w:tcW w:w="203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1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2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92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4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249"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257"/>
              <w:jc w:val="center"/>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303" w:hRule="exact"/>
        </w:trPr>
        <w:tc>
          <w:tcPr>
            <w:tcW w:w="2037"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产品保修费</w:t>
            </w:r>
          </w:p>
        </w:tc>
        <w:tc>
          <w:tcPr>
            <w:tcW w:w="2518" w:type="dxa"/>
            <w:tcBorders>
              <w:top w:val="single" w:sz="4" w:space="0" w:color="000000"/>
              <w:left w:val="nil" w:sz="6" w:space="0" w:color="auto"/>
              <w:bottom w:val="nil" w:sz="6" w:space="0" w:color="auto"/>
              <w:right w:val="nil" w:sz="6" w:space="0" w:color="auto"/>
            </w:tcBorders>
          </w:tcPr>
          <w:p>
            <w:pPr>
              <w:pStyle w:val="TableParagraph"/>
              <w:spacing w:line="232" w:lineRule="exact"/>
              <w:ind w:right="347"/>
              <w:jc w:val="right"/>
              <w:rPr>
                <w:rFonts w:ascii="宋体" w:hAnsi="宋体" w:cs="宋体" w:eastAsia="宋体" w:hint="default"/>
                <w:sz w:val="18"/>
                <w:szCs w:val="18"/>
              </w:rPr>
            </w:pPr>
            <w:r>
              <w:rPr>
                <w:rFonts w:ascii="宋体"/>
                <w:spacing w:val="-1"/>
                <w:sz w:val="18"/>
              </w:rPr>
              <w:t>4,113,940.69</w:t>
            </w:r>
          </w:p>
        </w:tc>
        <w:tc>
          <w:tcPr>
            <w:tcW w:w="1922" w:type="dxa"/>
            <w:tcBorders>
              <w:top w:val="single" w:sz="4" w:space="0" w:color="000000"/>
              <w:left w:val="nil" w:sz="6" w:space="0" w:color="auto"/>
              <w:bottom w:val="nil" w:sz="6" w:space="0" w:color="auto"/>
              <w:right w:val="nil" w:sz="6" w:space="0" w:color="auto"/>
            </w:tcBorders>
          </w:tcPr>
          <w:p>
            <w:pPr>
              <w:pStyle w:val="TableParagraph"/>
              <w:spacing w:line="232" w:lineRule="exact"/>
              <w:ind w:right="363"/>
              <w:jc w:val="right"/>
              <w:rPr>
                <w:rFonts w:ascii="宋体" w:hAnsi="宋体" w:cs="宋体" w:eastAsia="宋体" w:hint="default"/>
                <w:sz w:val="18"/>
                <w:szCs w:val="18"/>
              </w:rPr>
            </w:pPr>
            <w:r>
              <w:rPr>
                <w:rFonts w:ascii="宋体"/>
                <w:spacing w:val="-1"/>
                <w:sz w:val="18"/>
              </w:rPr>
              <w:t>6,408,880.00</w:t>
            </w:r>
          </w:p>
        </w:tc>
        <w:tc>
          <w:tcPr>
            <w:tcW w:w="224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56"/>
              <w:jc w:val="center"/>
              <w:rPr>
                <w:rFonts w:ascii="宋体" w:hAnsi="宋体" w:cs="宋体" w:eastAsia="宋体" w:hint="default"/>
                <w:sz w:val="18"/>
                <w:szCs w:val="18"/>
              </w:rPr>
            </w:pPr>
            <w:r>
              <w:rPr>
                <w:rFonts w:ascii="宋体" w:hAnsi="宋体" w:cs="宋体" w:eastAsia="宋体" w:hint="default"/>
                <w:sz w:val="18"/>
                <w:szCs w:val="18"/>
              </w:rPr>
              <w:t>计提船舶维修费</w:t>
            </w:r>
          </w:p>
        </w:tc>
      </w:tr>
      <w:tr>
        <w:trPr>
          <w:trHeight w:val="278" w:hRule="exact"/>
        </w:trPr>
        <w:tc>
          <w:tcPr>
            <w:tcW w:w="2037" w:type="dxa"/>
            <w:tcBorders>
              <w:top w:val="nil" w:sz="6" w:space="0" w:color="auto"/>
              <w:left w:val="nil" w:sz="6" w:space="0" w:color="auto"/>
              <w:bottom w:val="single" w:sz="4" w:space="0" w:color="000000"/>
              <w:right w:val="nil" w:sz="6" w:space="0" w:color="auto"/>
            </w:tcBorders>
          </w:tcPr>
          <w:p>
            <w:pPr>
              <w:pStyle w:val="TableParagraph"/>
              <w:spacing w:line="220"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18" w:type="dxa"/>
            <w:tcBorders>
              <w:top w:val="nil" w:sz="6" w:space="0" w:color="auto"/>
              <w:left w:val="nil" w:sz="6" w:space="0" w:color="auto"/>
              <w:bottom w:val="single" w:sz="4" w:space="0" w:color="000000"/>
              <w:right w:val="nil" w:sz="6" w:space="0" w:color="auto"/>
            </w:tcBorders>
          </w:tcPr>
          <w:p>
            <w:pPr>
              <w:pStyle w:val="TableParagraph"/>
              <w:spacing w:line="220" w:lineRule="exact"/>
              <w:ind w:right="347"/>
              <w:jc w:val="right"/>
              <w:rPr>
                <w:rFonts w:ascii="宋体" w:hAnsi="宋体" w:cs="宋体" w:eastAsia="宋体" w:hint="default"/>
                <w:sz w:val="18"/>
                <w:szCs w:val="18"/>
              </w:rPr>
            </w:pPr>
            <w:r>
              <w:rPr>
                <w:rFonts w:ascii="宋体"/>
                <w:spacing w:val="-1"/>
                <w:sz w:val="18"/>
              </w:rPr>
              <w:t>500,100.69</w:t>
            </w:r>
          </w:p>
        </w:tc>
        <w:tc>
          <w:tcPr>
            <w:tcW w:w="1922" w:type="dxa"/>
            <w:tcBorders>
              <w:top w:val="nil" w:sz="6" w:space="0" w:color="auto"/>
              <w:left w:val="nil" w:sz="6" w:space="0" w:color="auto"/>
              <w:bottom w:val="single" w:sz="4" w:space="0" w:color="000000"/>
              <w:right w:val="nil" w:sz="6" w:space="0" w:color="auto"/>
            </w:tcBorders>
          </w:tcPr>
          <w:p>
            <w:pPr>
              <w:pStyle w:val="TableParagraph"/>
              <w:spacing w:line="220" w:lineRule="exact"/>
              <w:ind w:right="362"/>
              <w:jc w:val="right"/>
              <w:rPr>
                <w:rFonts w:ascii="宋体" w:hAnsi="宋体" w:cs="宋体" w:eastAsia="宋体" w:hint="default"/>
                <w:sz w:val="18"/>
                <w:szCs w:val="18"/>
              </w:rPr>
            </w:pPr>
            <w:r>
              <w:rPr>
                <w:rFonts w:ascii="宋体"/>
                <w:spacing w:val="-1"/>
                <w:sz w:val="18"/>
              </w:rPr>
              <w:t>485,714.82</w:t>
            </w:r>
          </w:p>
        </w:tc>
        <w:tc>
          <w:tcPr>
            <w:tcW w:w="2249" w:type="dxa"/>
            <w:tcBorders>
              <w:top w:val="nil" w:sz="6" w:space="0" w:color="auto"/>
              <w:left w:val="nil" w:sz="6" w:space="0" w:color="auto"/>
              <w:bottom w:val="single" w:sz="4" w:space="0" w:color="000000"/>
              <w:right w:val="nil" w:sz="6" w:space="0" w:color="auto"/>
            </w:tcBorders>
          </w:tcPr>
          <w:p>
            <w:pPr>
              <w:pStyle w:val="TableParagraph"/>
              <w:spacing w:line="220" w:lineRule="exact"/>
              <w:ind w:right="256"/>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05" w:hRule="exact"/>
        </w:trPr>
        <w:tc>
          <w:tcPr>
            <w:tcW w:w="2037"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18"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347"/>
              <w:jc w:val="right"/>
              <w:rPr>
                <w:rFonts w:ascii="宋体" w:hAnsi="宋体" w:cs="宋体" w:eastAsia="宋体" w:hint="default"/>
                <w:sz w:val="18"/>
                <w:szCs w:val="18"/>
              </w:rPr>
            </w:pPr>
            <w:r>
              <w:rPr>
                <w:rFonts w:ascii="宋体"/>
                <w:b/>
                <w:w w:val="95"/>
                <w:sz w:val="18"/>
              </w:rPr>
              <w:t>4,614,041.38</w:t>
            </w:r>
            <w:r>
              <w:rPr>
                <w:rFonts w:ascii="宋体"/>
                <w:sz w:val="18"/>
              </w:rPr>
            </w:r>
          </w:p>
        </w:tc>
        <w:tc>
          <w:tcPr>
            <w:tcW w:w="1922"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363"/>
              <w:jc w:val="right"/>
              <w:rPr>
                <w:rFonts w:ascii="宋体" w:hAnsi="宋体" w:cs="宋体" w:eastAsia="宋体" w:hint="default"/>
                <w:sz w:val="18"/>
                <w:szCs w:val="18"/>
              </w:rPr>
            </w:pPr>
            <w:r>
              <w:rPr>
                <w:rFonts w:ascii="宋体"/>
                <w:b/>
                <w:w w:val="95"/>
                <w:sz w:val="18"/>
              </w:rPr>
              <w:t>6,894,594.82</w:t>
            </w:r>
            <w:r>
              <w:rPr>
                <w:rFonts w:ascii="宋体"/>
                <w:sz w:val="18"/>
              </w:rPr>
            </w:r>
          </w:p>
        </w:tc>
        <w:tc>
          <w:tcPr>
            <w:tcW w:w="2249"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56"/>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before="81"/>
        <w:ind w:left="116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34.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递延收益</w:t>
      </w:r>
    </w:p>
    <w:p>
      <w:pPr>
        <w:spacing w:before="113"/>
        <w:ind w:left="1215"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11"/>
          <w:sz w:val="22"/>
          <w:szCs w:val="22"/>
        </w:rPr>
        <w:t> </w:t>
      </w:r>
      <w:r>
        <w:rPr>
          <w:rFonts w:ascii="宋体" w:hAnsi="宋体" w:cs="宋体" w:eastAsia="宋体" w:hint="default"/>
          <w:sz w:val="22"/>
          <w:szCs w:val="22"/>
        </w:rPr>
        <w:t>递延收益分类</w:t>
      </w:r>
    </w:p>
    <w:p>
      <w:pPr>
        <w:spacing w:line="240" w:lineRule="auto" w:before="11"/>
        <w:rPr>
          <w:rFonts w:ascii="宋体" w:hAnsi="宋体" w:cs="宋体" w:eastAsia="宋体" w:hint="default"/>
          <w:sz w:val="12"/>
          <w:szCs w:val="12"/>
        </w:rPr>
      </w:pPr>
    </w:p>
    <w:tbl>
      <w:tblPr>
        <w:tblW w:w="0" w:type="auto"/>
        <w:jc w:val="left"/>
        <w:tblInd w:w="654" w:type="dxa"/>
        <w:tblLayout w:type="fixed"/>
        <w:tblCellMar>
          <w:top w:w="0" w:type="dxa"/>
          <w:left w:w="0" w:type="dxa"/>
          <w:bottom w:w="0" w:type="dxa"/>
          <w:right w:w="0" w:type="dxa"/>
        </w:tblCellMar>
        <w:tblLook w:val="01E0"/>
      </w:tblPr>
      <w:tblGrid>
        <w:gridCol w:w="1758"/>
        <w:gridCol w:w="2387"/>
        <w:gridCol w:w="1507"/>
        <w:gridCol w:w="1552"/>
        <w:gridCol w:w="1522"/>
      </w:tblGrid>
      <w:tr>
        <w:trPr>
          <w:trHeight w:val="305" w:hRule="exact"/>
        </w:trPr>
        <w:tc>
          <w:tcPr>
            <w:tcW w:w="175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8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17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0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36"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5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79"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2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8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288" w:hRule="exact"/>
        </w:trPr>
        <w:tc>
          <w:tcPr>
            <w:tcW w:w="1758"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87" w:type="dxa"/>
            <w:tcBorders>
              <w:top w:val="single" w:sz="4" w:space="0" w:color="000000"/>
              <w:left w:val="nil" w:sz="6" w:space="0" w:color="auto"/>
              <w:bottom w:val="nil" w:sz="6" w:space="0" w:color="auto"/>
              <w:right w:val="nil" w:sz="6" w:space="0" w:color="auto"/>
            </w:tcBorders>
          </w:tcPr>
          <w:p>
            <w:pPr>
              <w:pStyle w:val="TableParagraph"/>
              <w:spacing w:line="232" w:lineRule="exact"/>
              <w:ind w:right="185"/>
              <w:jc w:val="right"/>
              <w:rPr>
                <w:rFonts w:ascii="宋体" w:hAnsi="宋体" w:cs="宋体" w:eastAsia="宋体" w:hint="default"/>
                <w:sz w:val="18"/>
                <w:szCs w:val="18"/>
              </w:rPr>
            </w:pPr>
            <w:r>
              <w:rPr>
                <w:rFonts w:ascii="宋体"/>
                <w:spacing w:val="-1"/>
                <w:sz w:val="18"/>
              </w:rPr>
              <w:t>345,641,446.24</w:t>
            </w:r>
          </w:p>
        </w:tc>
        <w:tc>
          <w:tcPr>
            <w:tcW w:w="1507" w:type="dxa"/>
            <w:tcBorders>
              <w:top w:val="single" w:sz="4" w:space="0" w:color="000000"/>
              <w:left w:val="nil" w:sz="6" w:space="0" w:color="auto"/>
              <w:bottom w:val="nil" w:sz="6" w:space="0" w:color="auto"/>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pacing w:val="-1"/>
                <w:sz w:val="18"/>
              </w:rPr>
              <w:t>36,610,216.72</w:t>
            </w:r>
          </w:p>
        </w:tc>
        <w:tc>
          <w:tcPr>
            <w:tcW w:w="1552" w:type="dxa"/>
            <w:tcBorders>
              <w:top w:val="single" w:sz="4" w:space="0" w:color="000000"/>
              <w:left w:val="nil" w:sz="6" w:space="0" w:color="auto"/>
              <w:bottom w:val="nil" w:sz="6" w:space="0" w:color="auto"/>
              <w:right w:val="nil" w:sz="6" w:space="0" w:color="auto"/>
            </w:tcBorders>
          </w:tcPr>
          <w:p>
            <w:pPr>
              <w:pStyle w:val="TableParagraph"/>
              <w:spacing w:line="232" w:lineRule="exact"/>
              <w:ind w:right="140"/>
              <w:jc w:val="right"/>
              <w:rPr>
                <w:rFonts w:ascii="宋体" w:hAnsi="宋体" w:cs="宋体" w:eastAsia="宋体" w:hint="default"/>
                <w:sz w:val="18"/>
                <w:szCs w:val="18"/>
              </w:rPr>
            </w:pPr>
            <w:r>
              <w:rPr>
                <w:rFonts w:ascii="宋体"/>
                <w:spacing w:val="-1"/>
                <w:sz w:val="18"/>
              </w:rPr>
              <w:t>101,099,481.18</w:t>
            </w:r>
          </w:p>
        </w:tc>
        <w:tc>
          <w:tcPr>
            <w:tcW w:w="1522" w:type="dxa"/>
            <w:tcBorders>
              <w:top w:val="single" w:sz="4" w:space="0" w:color="000000"/>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281,152,181.78</w:t>
            </w:r>
          </w:p>
        </w:tc>
      </w:tr>
      <w:tr>
        <w:trPr>
          <w:trHeight w:val="290" w:hRule="exact"/>
        </w:trPr>
        <w:tc>
          <w:tcPr>
            <w:tcW w:w="1758"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土地补助</w:t>
            </w:r>
          </w:p>
        </w:tc>
        <w:tc>
          <w:tcPr>
            <w:tcW w:w="2387" w:type="dxa"/>
            <w:tcBorders>
              <w:top w:val="nil" w:sz="6" w:space="0" w:color="auto"/>
              <w:left w:val="nil" w:sz="6" w:space="0" w:color="auto"/>
              <w:bottom w:val="single" w:sz="4" w:space="0" w:color="000000"/>
              <w:right w:val="nil" w:sz="6" w:space="0" w:color="auto"/>
            </w:tcBorders>
          </w:tcPr>
          <w:p>
            <w:pPr>
              <w:pStyle w:val="TableParagraph"/>
              <w:spacing w:line="232" w:lineRule="exact"/>
              <w:ind w:right="185"/>
              <w:jc w:val="right"/>
              <w:rPr>
                <w:rFonts w:ascii="宋体" w:hAnsi="宋体" w:cs="宋体" w:eastAsia="宋体" w:hint="default"/>
                <w:sz w:val="18"/>
                <w:szCs w:val="18"/>
              </w:rPr>
            </w:pPr>
            <w:r>
              <w:rPr>
                <w:rFonts w:ascii="宋体"/>
                <w:spacing w:val="-1"/>
                <w:sz w:val="18"/>
              </w:rPr>
              <w:t>2,104,804.33</w:t>
            </w:r>
          </w:p>
        </w:tc>
        <w:tc>
          <w:tcPr>
            <w:tcW w:w="1507" w:type="dxa"/>
            <w:tcBorders>
              <w:top w:val="nil" w:sz="6" w:space="0" w:color="auto"/>
              <w:left w:val="nil" w:sz="6" w:space="0" w:color="auto"/>
              <w:bottom w:val="single" w:sz="4" w:space="0" w:color="000000"/>
              <w:right w:val="nil" w:sz="6" w:space="0" w:color="auto"/>
            </w:tcBorders>
          </w:tcPr>
          <w:p>
            <w:pPr>
              <w:pStyle w:val="TableParagraph"/>
              <w:spacing w:line="232" w:lineRule="exact"/>
              <w:ind w:right="137"/>
              <w:jc w:val="right"/>
              <w:rPr>
                <w:rFonts w:ascii="宋体" w:hAnsi="宋体" w:cs="宋体" w:eastAsia="宋体" w:hint="default"/>
                <w:sz w:val="18"/>
                <w:szCs w:val="18"/>
              </w:rPr>
            </w:pPr>
            <w:r>
              <w:rPr>
                <w:rFonts w:ascii="宋体"/>
                <w:sz w:val="18"/>
              </w:rPr>
              <w:t>0.00</w:t>
            </w:r>
          </w:p>
        </w:tc>
        <w:tc>
          <w:tcPr>
            <w:tcW w:w="1552" w:type="dxa"/>
            <w:tcBorders>
              <w:top w:val="nil" w:sz="6" w:space="0" w:color="auto"/>
              <w:left w:val="nil" w:sz="6" w:space="0" w:color="auto"/>
              <w:bottom w:val="single" w:sz="4" w:space="0" w:color="000000"/>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spacing w:val="-1"/>
                <w:sz w:val="18"/>
              </w:rPr>
              <w:t>91,355.82</w:t>
            </w:r>
          </w:p>
        </w:tc>
        <w:tc>
          <w:tcPr>
            <w:tcW w:w="1522" w:type="dxa"/>
            <w:tcBorders>
              <w:top w:val="nil" w:sz="6" w:space="0" w:color="auto"/>
              <w:left w:val="nil" w:sz="6" w:space="0" w:color="auto"/>
              <w:bottom w:val="single" w:sz="4"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2,013,448.51</w:t>
            </w:r>
          </w:p>
        </w:tc>
      </w:tr>
      <w:tr>
        <w:trPr>
          <w:trHeight w:val="307" w:hRule="exact"/>
        </w:trPr>
        <w:tc>
          <w:tcPr>
            <w:tcW w:w="1758"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87"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85"/>
              <w:jc w:val="right"/>
              <w:rPr>
                <w:rFonts w:ascii="宋体" w:hAnsi="宋体" w:cs="宋体" w:eastAsia="宋体" w:hint="default"/>
                <w:sz w:val="18"/>
                <w:szCs w:val="18"/>
              </w:rPr>
            </w:pPr>
            <w:r>
              <w:rPr>
                <w:rFonts w:ascii="宋体"/>
                <w:b/>
                <w:w w:val="95"/>
                <w:sz w:val="18"/>
              </w:rPr>
              <w:t>347,746,250.57</w:t>
            </w:r>
            <w:r>
              <w:rPr>
                <w:rFonts w:ascii="宋体"/>
                <w:sz w:val="18"/>
              </w:rPr>
            </w:r>
          </w:p>
        </w:tc>
        <w:tc>
          <w:tcPr>
            <w:tcW w:w="1507"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b/>
                <w:w w:val="95"/>
                <w:sz w:val="18"/>
              </w:rPr>
              <w:t>36,610,216.72</w:t>
            </w:r>
            <w:r>
              <w:rPr>
                <w:rFonts w:ascii="宋体"/>
                <w:sz w:val="18"/>
              </w:rPr>
            </w:r>
          </w:p>
        </w:tc>
        <w:tc>
          <w:tcPr>
            <w:tcW w:w="1552"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40"/>
              <w:jc w:val="right"/>
              <w:rPr>
                <w:rFonts w:ascii="宋体" w:hAnsi="宋体" w:cs="宋体" w:eastAsia="宋体" w:hint="default"/>
                <w:sz w:val="18"/>
                <w:szCs w:val="18"/>
              </w:rPr>
            </w:pPr>
            <w:r>
              <w:rPr>
                <w:rFonts w:ascii="宋体"/>
                <w:b/>
                <w:w w:val="95"/>
                <w:sz w:val="18"/>
              </w:rPr>
              <w:t>101,190,837.00</w:t>
            </w:r>
            <w:r>
              <w:rPr>
                <w:rFonts w:ascii="宋体"/>
                <w:sz w:val="18"/>
              </w:rPr>
            </w:r>
          </w:p>
        </w:tc>
        <w:tc>
          <w:tcPr>
            <w:tcW w:w="1522"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283,165,630.29</w:t>
            </w:r>
            <w:r>
              <w:rPr>
                <w:rFonts w:ascii="宋体"/>
                <w:sz w:val="18"/>
              </w:rPr>
            </w:r>
          </w:p>
        </w:tc>
      </w:tr>
    </w:tbl>
    <w:p>
      <w:pPr>
        <w:spacing w:before="81"/>
        <w:ind w:left="1215"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1"/>
          <w:sz w:val="22"/>
          <w:szCs w:val="22"/>
        </w:rPr>
        <w:t> </w:t>
      </w:r>
      <w:r>
        <w:rPr>
          <w:rFonts w:ascii="宋体" w:hAnsi="宋体" w:cs="宋体" w:eastAsia="宋体" w:hint="default"/>
          <w:sz w:val="22"/>
          <w:szCs w:val="22"/>
        </w:rPr>
        <w:t>政府补助项目</w:t>
      </w:r>
    </w:p>
    <w:p>
      <w:pPr>
        <w:spacing w:line="240" w:lineRule="auto" w:before="11"/>
        <w:rPr>
          <w:rFonts w:ascii="宋体" w:hAnsi="宋体" w:cs="宋体" w:eastAsia="宋体" w:hint="default"/>
          <w:sz w:val="12"/>
          <w:szCs w:val="12"/>
        </w:rPr>
      </w:pPr>
    </w:p>
    <w:tbl>
      <w:tblPr>
        <w:tblW w:w="0" w:type="auto"/>
        <w:jc w:val="left"/>
        <w:tblInd w:w="118" w:type="dxa"/>
        <w:tblLayout w:type="fixed"/>
        <w:tblCellMar>
          <w:top w:w="0" w:type="dxa"/>
          <w:left w:w="0" w:type="dxa"/>
          <w:bottom w:w="0" w:type="dxa"/>
          <w:right w:w="0" w:type="dxa"/>
        </w:tblCellMar>
        <w:tblLook w:val="01E0"/>
      </w:tblPr>
      <w:tblGrid>
        <w:gridCol w:w="2161"/>
        <w:gridCol w:w="1567"/>
        <w:gridCol w:w="1204"/>
        <w:gridCol w:w="1340"/>
        <w:gridCol w:w="1204"/>
        <w:gridCol w:w="1239"/>
        <w:gridCol w:w="1079"/>
      </w:tblGrid>
      <w:tr>
        <w:trPr>
          <w:trHeight w:val="434" w:hRule="exact"/>
        </w:trPr>
        <w:tc>
          <w:tcPr>
            <w:tcW w:w="2161" w:type="dxa"/>
            <w:tcBorders>
              <w:top w:val="single" w:sz="12" w:space="0" w:color="000000"/>
              <w:left w:val="nil" w:sz="6" w:space="0" w:color="auto"/>
              <w:bottom w:val="single" w:sz="4" w:space="0" w:color="000000"/>
              <w:right w:val="nil" w:sz="6" w:space="0" w:color="auto"/>
            </w:tcBorders>
          </w:tcPr>
          <w:p>
            <w:pPr>
              <w:pStyle w:val="TableParagraph"/>
              <w:spacing w:line="240" w:lineRule="auto" w:before="77"/>
              <w:ind w:left="57" w:right="0"/>
              <w:jc w:val="left"/>
              <w:rPr>
                <w:rFonts w:ascii="宋体" w:hAnsi="宋体" w:cs="宋体" w:eastAsia="宋体" w:hint="default"/>
                <w:sz w:val="16"/>
                <w:szCs w:val="16"/>
              </w:rPr>
            </w:pPr>
            <w:r>
              <w:rPr>
                <w:rFonts w:ascii="宋体" w:hAnsi="宋体" w:cs="宋体" w:eastAsia="宋体" w:hint="default"/>
                <w:b/>
                <w:bCs/>
                <w:sz w:val="16"/>
                <w:szCs w:val="16"/>
              </w:rPr>
              <w:t>政府补助项目</w:t>
            </w:r>
            <w:r>
              <w:rPr>
                <w:rFonts w:ascii="宋体" w:hAnsi="宋体" w:cs="宋体" w:eastAsia="宋体" w:hint="default"/>
                <w:sz w:val="16"/>
                <w:szCs w:val="16"/>
              </w:rPr>
            </w:r>
          </w:p>
        </w:tc>
        <w:tc>
          <w:tcPr>
            <w:tcW w:w="1567" w:type="dxa"/>
            <w:tcBorders>
              <w:top w:val="single" w:sz="12" w:space="0" w:color="000000"/>
              <w:left w:val="nil" w:sz="6" w:space="0" w:color="auto"/>
              <w:bottom w:val="single" w:sz="4" w:space="0" w:color="000000"/>
              <w:right w:val="nil" w:sz="6" w:space="0" w:color="auto"/>
            </w:tcBorders>
          </w:tcPr>
          <w:p>
            <w:pPr>
              <w:pStyle w:val="TableParagraph"/>
              <w:spacing w:line="240" w:lineRule="auto" w:before="77"/>
              <w:ind w:left="482"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1204" w:type="dxa"/>
            <w:tcBorders>
              <w:top w:val="single" w:sz="12" w:space="0" w:color="000000"/>
              <w:left w:val="nil" w:sz="6" w:space="0" w:color="auto"/>
              <w:bottom w:val="single" w:sz="4" w:space="0" w:color="000000"/>
              <w:right w:val="nil" w:sz="6" w:space="0" w:color="auto"/>
            </w:tcBorders>
          </w:tcPr>
          <w:p>
            <w:pPr>
              <w:pStyle w:val="TableParagraph"/>
              <w:spacing w:line="182" w:lineRule="exact"/>
              <w:ind w:left="184" w:right="0"/>
              <w:jc w:val="left"/>
              <w:rPr>
                <w:rFonts w:ascii="宋体" w:hAnsi="宋体" w:cs="宋体" w:eastAsia="宋体" w:hint="default"/>
                <w:sz w:val="16"/>
                <w:szCs w:val="16"/>
              </w:rPr>
            </w:pPr>
            <w:r>
              <w:rPr>
                <w:rFonts w:ascii="宋体" w:hAnsi="宋体" w:cs="宋体" w:eastAsia="宋体" w:hint="default"/>
                <w:b/>
                <w:bCs/>
                <w:sz w:val="16"/>
                <w:szCs w:val="16"/>
              </w:rPr>
              <w:t>本年新增</w:t>
            </w:r>
            <w:r>
              <w:rPr>
                <w:rFonts w:ascii="宋体" w:hAnsi="宋体" w:cs="宋体" w:eastAsia="宋体" w:hint="default"/>
                <w:sz w:val="16"/>
                <w:szCs w:val="16"/>
              </w:rPr>
            </w:r>
          </w:p>
          <w:p>
            <w:pPr>
              <w:pStyle w:val="TableParagraph"/>
              <w:spacing w:line="208" w:lineRule="exact"/>
              <w:ind w:left="184" w:right="0"/>
              <w:jc w:val="left"/>
              <w:rPr>
                <w:rFonts w:ascii="宋体" w:hAnsi="宋体" w:cs="宋体" w:eastAsia="宋体" w:hint="default"/>
                <w:sz w:val="16"/>
                <w:szCs w:val="16"/>
              </w:rPr>
            </w:pPr>
            <w:r>
              <w:rPr>
                <w:rFonts w:ascii="宋体" w:hAnsi="宋体" w:cs="宋体" w:eastAsia="宋体" w:hint="default"/>
                <w:b/>
                <w:bCs/>
                <w:sz w:val="16"/>
                <w:szCs w:val="16"/>
              </w:rPr>
              <w:t>补助金额</w:t>
            </w:r>
            <w:r>
              <w:rPr>
                <w:rFonts w:ascii="宋体" w:hAnsi="宋体" w:cs="宋体" w:eastAsia="宋体" w:hint="default"/>
                <w:sz w:val="16"/>
                <w:szCs w:val="16"/>
              </w:rPr>
            </w:r>
          </w:p>
        </w:tc>
        <w:tc>
          <w:tcPr>
            <w:tcW w:w="1340" w:type="dxa"/>
            <w:tcBorders>
              <w:top w:val="single" w:sz="12" w:space="0" w:color="000000"/>
              <w:left w:val="nil" w:sz="6" w:space="0" w:color="auto"/>
              <w:bottom w:val="single" w:sz="4" w:space="0" w:color="000000"/>
              <w:right w:val="nil" w:sz="6" w:space="0" w:color="auto"/>
            </w:tcBorders>
          </w:tcPr>
          <w:p>
            <w:pPr>
              <w:pStyle w:val="TableParagraph"/>
              <w:spacing w:line="182" w:lineRule="exact"/>
              <w:ind w:left="173" w:right="0"/>
              <w:jc w:val="left"/>
              <w:rPr>
                <w:rFonts w:ascii="宋体" w:hAnsi="宋体" w:cs="宋体" w:eastAsia="宋体" w:hint="default"/>
                <w:sz w:val="16"/>
                <w:szCs w:val="16"/>
              </w:rPr>
            </w:pPr>
            <w:r>
              <w:rPr>
                <w:rFonts w:ascii="宋体" w:hAnsi="宋体" w:cs="宋体" w:eastAsia="宋体" w:hint="default"/>
                <w:b/>
                <w:bCs/>
                <w:sz w:val="16"/>
                <w:szCs w:val="16"/>
              </w:rPr>
              <w:t>本年计入当</w:t>
            </w:r>
            <w:r>
              <w:rPr>
                <w:rFonts w:ascii="宋体" w:hAnsi="宋体" w:cs="宋体" w:eastAsia="宋体" w:hint="default"/>
                <w:sz w:val="16"/>
                <w:szCs w:val="16"/>
              </w:rPr>
            </w:r>
          </w:p>
          <w:p>
            <w:pPr>
              <w:pStyle w:val="TableParagraph"/>
              <w:spacing w:line="208" w:lineRule="exact"/>
              <w:ind w:left="173" w:right="0"/>
              <w:jc w:val="left"/>
              <w:rPr>
                <w:rFonts w:ascii="宋体" w:hAnsi="宋体" w:cs="宋体" w:eastAsia="宋体" w:hint="default"/>
                <w:sz w:val="16"/>
                <w:szCs w:val="16"/>
              </w:rPr>
            </w:pPr>
            <w:r>
              <w:rPr>
                <w:rFonts w:ascii="宋体" w:hAnsi="宋体" w:cs="宋体" w:eastAsia="宋体" w:hint="default"/>
                <w:b/>
                <w:bCs/>
                <w:sz w:val="16"/>
                <w:szCs w:val="16"/>
              </w:rPr>
              <w:t>期损益金额</w:t>
            </w:r>
            <w:r>
              <w:rPr>
                <w:rFonts w:ascii="宋体" w:hAnsi="宋体" w:cs="宋体" w:eastAsia="宋体" w:hint="default"/>
                <w:sz w:val="16"/>
                <w:szCs w:val="16"/>
              </w:rPr>
            </w:r>
          </w:p>
        </w:tc>
        <w:tc>
          <w:tcPr>
            <w:tcW w:w="1204" w:type="dxa"/>
            <w:tcBorders>
              <w:top w:val="single" w:sz="12" w:space="0" w:color="000000"/>
              <w:left w:val="nil" w:sz="6" w:space="0" w:color="auto"/>
              <w:bottom w:val="single" w:sz="4" w:space="0" w:color="000000"/>
              <w:right w:val="nil" w:sz="6" w:space="0" w:color="auto"/>
            </w:tcBorders>
          </w:tcPr>
          <w:p>
            <w:pPr>
              <w:pStyle w:val="TableParagraph"/>
              <w:spacing w:line="240" w:lineRule="auto" w:before="77"/>
              <w:ind w:left="184" w:right="0"/>
              <w:jc w:val="left"/>
              <w:rPr>
                <w:rFonts w:ascii="宋体" w:hAnsi="宋体" w:cs="宋体" w:eastAsia="宋体" w:hint="default"/>
                <w:sz w:val="16"/>
                <w:szCs w:val="16"/>
              </w:rPr>
            </w:pPr>
            <w:r>
              <w:rPr>
                <w:rFonts w:ascii="宋体" w:hAnsi="宋体" w:cs="宋体" w:eastAsia="宋体" w:hint="default"/>
                <w:b/>
                <w:bCs/>
                <w:sz w:val="16"/>
                <w:szCs w:val="16"/>
              </w:rPr>
              <w:t>其他减少</w:t>
            </w:r>
            <w:r>
              <w:rPr>
                <w:rFonts w:ascii="宋体" w:hAnsi="宋体" w:cs="宋体" w:eastAsia="宋体" w:hint="default"/>
                <w:sz w:val="16"/>
                <w:szCs w:val="16"/>
              </w:rPr>
            </w:r>
          </w:p>
        </w:tc>
        <w:tc>
          <w:tcPr>
            <w:tcW w:w="1239" w:type="dxa"/>
            <w:tcBorders>
              <w:top w:val="single" w:sz="12" w:space="0" w:color="000000"/>
              <w:left w:val="nil" w:sz="6" w:space="0" w:color="auto"/>
              <w:bottom w:val="single" w:sz="4" w:space="0" w:color="000000"/>
              <w:right w:val="nil" w:sz="6" w:space="0" w:color="auto"/>
            </w:tcBorders>
          </w:tcPr>
          <w:p>
            <w:pPr>
              <w:pStyle w:val="TableParagraph"/>
              <w:spacing w:line="240" w:lineRule="auto" w:before="77"/>
              <w:ind w:left="255" w:right="0"/>
              <w:jc w:val="left"/>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tc>
        <w:tc>
          <w:tcPr>
            <w:tcW w:w="1079" w:type="dxa"/>
            <w:tcBorders>
              <w:top w:val="single" w:sz="12" w:space="0" w:color="000000"/>
              <w:left w:val="nil" w:sz="6" w:space="0" w:color="auto"/>
              <w:bottom w:val="single" w:sz="4" w:space="0" w:color="000000"/>
              <w:right w:val="nil" w:sz="6" w:space="0" w:color="auto"/>
            </w:tcBorders>
          </w:tcPr>
          <w:p>
            <w:pPr>
              <w:pStyle w:val="TableParagraph"/>
              <w:spacing w:line="182" w:lineRule="exact"/>
              <w:ind w:left="123" w:right="0" w:hanging="41"/>
              <w:jc w:val="left"/>
              <w:rPr>
                <w:rFonts w:ascii="宋体" w:hAnsi="宋体" w:cs="宋体" w:eastAsia="宋体" w:hint="default"/>
                <w:sz w:val="16"/>
                <w:szCs w:val="16"/>
              </w:rPr>
            </w:pPr>
            <w:r>
              <w:rPr>
                <w:rFonts w:ascii="宋体" w:hAnsi="宋体" w:cs="宋体" w:eastAsia="宋体" w:hint="default"/>
                <w:b/>
                <w:bCs/>
                <w:sz w:val="16"/>
                <w:szCs w:val="16"/>
              </w:rPr>
              <w:t>与资产相关</w:t>
            </w:r>
            <w:r>
              <w:rPr>
                <w:rFonts w:ascii="宋体" w:hAnsi="宋体" w:cs="宋体" w:eastAsia="宋体" w:hint="default"/>
                <w:b/>
                <w:bCs/>
                <w:sz w:val="16"/>
                <w:szCs w:val="16"/>
              </w:rPr>
              <w:t>/</w:t>
            </w:r>
            <w:r>
              <w:rPr>
                <w:rFonts w:ascii="宋体" w:hAnsi="宋体" w:cs="宋体" w:eastAsia="宋体" w:hint="default"/>
                <w:sz w:val="16"/>
                <w:szCs w:val="16"/>
              </w:rPr>
            </w:r>
          </w:p>
          <w:p>
            <w:pPr>
              <w:pStyle w:val="TableParagraph"/>
              <w:spacing w:line="208" w:lineRule="exact"/>
              <w:ind w:left="123" w:right="0"/>
              <w:jc w:val="left"/>
              <w:rPr>
                <w:rFonts w:ascii="宋体" w:hAnsi="宋体" w:cs="宋体" w:eastAsia="宋体" w:hint="default"/>
                <w:sz w:val="16"/>
                <w:szCs w:val="16"/>
              </w:rPr>
            </w:pPr>
            <w:r>
              <w:rPr>
                <w:rFonts w:ascii="宋体" w:hAnsi="宋体" w:cs="宋体" w:eastAsia="宋体" w:hint="default"/>
                <w:b/>
                <w:bCs/>
                <w:sz w:val="16"/>
                <w:szCs w:val="16"/>
              </w:rPr>
              <w:t>与收益相关</w:t>
            </w:r>
            <w:r>
              <w:rPr>
                <w:rFonts w:ascii="宋体" w:hAnsi="宋体" w:cs="宋体" w:eastAsia="宋体" w:hint="default"/>
                <w:sz w:val="16"/>
                <w:szCs w:val="16"/>
              </w:rPr>
            </w:r>
          </w:p>
        </w:tc>
      </w:tr>
      <w:tr>
        <w:trPr>
          <w:trHeight w:val="294" w:hRule="exact"/>
        </w:trPr>
        <w:tc>
          <w:tcPr>
            <w:tcW w:w="2161"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57" w:right="0"/>
              <w:jc w:val="left"/>
              <w:rPr>
                <w:rFonts w:ascii="宋体" w:hAnsi="宋体" w:cs="宋体" w:eastAsia="宋体" w:hint="default"/>
                <w:sz w:val="16"/>
                <w:szCs w:val="16"/>
              </w:rPr>
            </w:pPr>
            <w:r>
              <w:rPr>
                <w:rFonts w:ascii="宋体" w:hAnsi="宋体" w:cs="宋体" w:eastAsia="宋体" w:hint="default"/>
                <w:sz w:val="16"/>
                <w:szCs w:val="16"/>
              </w:rPr>
              <w:t>南通科技园项目扶持资金</w:t>
            </w: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82"/>
              <w:jc w:val="right"/>
              <w:rPr>
                <w:rFonts w:ascii="宋体" w:hAnsi="宋体" w:cs="宋体" w:eastAsia="宋体" w:hint="default"/>
                <w:sz w:val="16"/>
                <w:szCs w:val="16"/>
              </w:rPr>
            </w:pPr>
            <w:r>
              <w:rPr>
                <w:rFonts w:ascii="宋体"/>
                <w:spacing w:val="-2"/>
                <w:sz w:val="16"/>
              </w:rPr>
              <w:t>88,776,000.00</w:t>
            </w:r>
          </w:p>
        </w:tc>
        <w:tc>
          <w:tcPr>
            <w:tcW w:w="1204"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14"/>
              <w:jc w:val="right"/>
              <w:rPr>
                <w:rFonts w:ascii="宋体" w:hAnsi="宋体" w:cs="宋体" w:eastAsia="宋体" w:hint="default"/>
                <w:sz w:val="16"/>
                <w:szCs w:val="16"/>
              </w:rPr>
            </w:pPr>
            <w:r>
              <w:rPr>
                <w:rFonts w:ascii="宋体"/>
                <w:spacing w:val="-1"/>
                <w:sz w:val="16"/>
              </w:rPr>
              <w:t>0.00</w:t>
            </w:r>
          </w:p>
        </w:tc>
        <w:tc>
          <w:tcPr>
            <w:tcW w:w="134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82"/>
              <w:jc w:val="right"/>
              <w:rPr>
                <w:rFonts w:ascii="宋体" w:hAnsi="宋体" w:cs="宋体" w:eastAsia="宋体" w:hint="default"/>
                <w:sz w:val="16"/>
                <w:szCs w:val="16"/>
              </w:rPr>
            </w:pPr>
            <w:r>
              <w:rPr>
                <w:rFonts w:ascii="宋体"/>
                <w:spacing w:val="-2"/>
                <w:sz w:val="16"/>
              </w:rPr>
              <w:t>3,556,000.00</w:t>
            </w:r>
          </w:p>
        </w:tc>
        <w:tc>
          <w:tcPr>
            <w:tcW w:w="1204"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14"/>
              <w:jc w:val="right"/>
              <w:rPr>
                <w:rFonts w:ascii="宋体" w:hAnsi="宋体" w:cs="宋体" w:eastAsia="宋体" w:hint="default"/>
                <w:sz w:val="16"/>
                <w:szCs w:val="16"/>
              </w:rPr>
            </w:pPr>
            <w:r>
              <w:rPr>
                <w:rFonts w:ascii="宋体"/>
                <w:spacing w:val="-1"/>
                <w:sz w:val="16"/>
              </w:rPr>
              <w:t>0.00</w:t>
            </w:r>
          </w:p>
        </w:tc>
        <w:tc>
          <w:tcPr>
            <w:tcW w:w="123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16" w:right="0"/>
              <w:jc w:val="left"/>
              <w:rPr>
                <w:rFonts w:ascii="宋体" w:hAnsi="宋体" w:cs="宋体" w:eastAsia="宋体" w:hint="default"/>
                <w:sz w:val="16"/>
                <w:szCs w:val="16"/>
              </w:rPr>
            </w:pPr>
            <w:r>
              <w:rPr>
                <w:rFonts w:ascii="宋体"/>
                <w:sz w:val="16"/>
              </w:rPr>
              <w:t>85,220,000.00</w:t>
            </w:r>
          </w:p>
        </w:tc>
        <w:tc>
          <w:tcPr>
            <w:tcW w:w="107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24"/>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306" w:hRule="exact"/>
        </w:trPr>
        <w:tc>
          <w:tcPr>
            <w:tcW w:w="2161"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left="57" w:right="0"/>
              <w:jc w:val="left"/>
              <w:rPr>
                <w:rFonts w:ascii="宋体" w:hAnsi="宋体" w:cs="宋体" w:eastAsia="宋体" w:hint="default"/>
                <w:sz w:val="16"/>
                <w:szCs w:val="16"/>
              </w:rPr>
            </w:pPr>
            <w:r>
              <w:rPr>
                <w:rFonts w:ascii="宋体" w:hAnsi="宋体" w:cs="宋体" w:eastAsia="宋体" w:hint="default"/>
                <w:sz w:val="16"/>
                <w:szCs w:val="16"/>
              </w:rPr>
              <w:t>科技研发专项扶持资金</w:t>
            </w:r>
          </w:p>
        </w:tc>
        <w:tc>
          <w:tcPr>
            <w:tcW w:w="1567"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182"/>
              <w:jc w:val="right"/>
              <w:rPr>
                <w:rFonts w:ascii="宋体" w:hAnsi="宋体" w:cs="宋体" w:eastAsia="宋体" w:hint="default"/>
                <w:sz w:val="16"/>
                <w:szCs w:val="16"/>
              </w:rPr>
            </w:pPr>
            <w:r>
              <w:rPr>
                <w:rFonts w:ascii="宋体"/>
                <w:spacing w:val="-2"/>
                <w:sz w:val="16"/>
              </w:rPr>
              <w:t>51,840,000.00</w:t>
            </w:r>
          </w:p>
        </w:tc>
        <w:tc>
          <w:tcPr>
            <w:tcW w:w="1204"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114"/>
              <w:jc w:val="right"/>
              <w:rPr>
                <w:rFonts w:ascii="宋体" w:hAnsi="宋体" w:cs="宋体" w:eastAsia="宋体" w:hint="default"/>
                <w:sz w:val="16"/>
                <w:szCs w:val="16"/>
              </w:rPr>
            </w:pPr>
            <w:r>
              <w:rPr>
                <w:rFonts w:ascii="宋体"/>
                <w:spacing w:val="-1"/>
                <w:sz w:val="16"/>
              </w:rPr>
              <w:t>0.00</w:t>
            </w:r>
          </w:p>
        </w:tc>
        <w:tc>
          <w:tcPr>
            <w:tcW w:w="1340"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182"/>
              <w:jc w:val="right"/>
              <w:rPr>
                <w:rFonts w:ascii="宋体" w:hAnsi="宋体" w:cs="宋体" w:eastAsia="宋体" w:hint="default"/>
                <w:sz w:val="16"/>
                <w:szCs w:val="16"/>
              </w:rPr>
            </w:pPr>
            <w:r>
              <w:rPr>
                <w:rFonts w:ascii="宋体"/>
                <w:spacing w:val="-2"/>
                <w:sz w:val="16"/>
              </w:rPr>
              <w:t>17,280,000.00</w:t>
            </w:r>
          </w:p>
        </w:tc>
        <w:tc>
          <w:tcPr>
            <w:tcW w:w="1204"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114"/>
              <w:jc w:val="right"/>
              <w:rPr>
                <w:rFonts w:ascii="宋体" w:hAnsi="宋体" w:cs="宋体" w:eastAsia="宋体" w:hint="default"/>
                <w:sz w:val="16"/>
                <w:szCs w:val="16"/>
              </w:rPr>
            </w:pPr>
            <w:r>
              <w:rPr>
                <w:rFonts w:ascii="宋体"/>
                <w:spacing w:val="-1"/>
                <w:sz w:val="16"/>
              </w:rPr>
              <w:t>0.00</w:t>
            </w:r>
          </w:p>
        </w:tc>
        <w:tc>
          <w:tcPr>
            <w:tcW w:w="1239"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left="116" w:right="0"/>
              <w:jc w:val="left"/>
              <w:rPr>
                <w:rFonts w:ascii="宋体" w:hAnsi="宋体" w:cs="宋体" w:eastAsia="宋体" w:hint="default"/>
                <w:sz w:val="16"/>
                <w:szCs w:val="16"/>
              </w:rPr>
            </w:pPr>
            <w:r>
              <w:rPr>
                <w:rFonts w:ascii="宋体"/>
                <w:sz w:val="16"/>
              </w:rPr>
              <w:t>34,560,000.00</w:t>
            </w:r>
          </w:p>
        </w:tc>
        <w:tc>
          <w:tcPr>
            <w:tcW w:w="1079"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24"/>
              <w:jc w:val="center"/>
              <w:rPr>
                <w:rFonts w:ascii="宋体" w:hAnsi="宋体" w:cs="宋体" w:eastAsia="宋体" w:hint="default"/>
                <w:sz w:val="16"/>
                <w:szCs w:val="16"/>
              </w:rPr>
            </w:pPr>
            <w:r>
              <w:rPr>
                <w:rFonts w:ascii="宋体" w:hAnsi="宋体" w:cs="宋体" w:eastAsia="宋体" w:hint="default"/>
                <w:sz w:val="16"/>
                <w:szCs w:val="16"/>
              </w:rPr>
              <w:t>与资产相关</w:t>
            </w:r>
          </w:p>
        </w:tc>
      </w:tr>
    </w:tbl>
    <w:p>
      <w:pPr>
        <w:spacing w:after="0" w:line="240" w:lineRule="auto"/>
        <w:jc w:val="center"/>
        <w:rPr>
          <w:rFonts w:ascii="宋体" w:hAnsi="宋体" w:cs="宋体" w:eastAsia="宋体" w:hint="default"/>
          <w:sz w:val="16"/>
          <w:szCs w:val="16"/>
        </w:rPr>
        <w:sectPr>
          <w:pgSz w:w="11910" w:h="16840"/>
          <w:pgMar w:header="0" w:footer="1054" w:top="1320" w:bottom="1240" w:left="940" w:right="940"/>
        </w:sectPr>
      </w:pPr>
    </w:p>
    <w:p>
      <w:pPr>
        <w:spacing w:line="240" w:lineRule="auto" w:before="6"/>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2356"/>
        <w:gridCol w:w="1300"/>
        <w:gridCol w:w="1233"/>
        <w:gridCol w:w="1385"/>
        <w:gridCol w:w="1159"/>
        <w:gridCol w:w="1283"/>
        <w:gridCol w:w="1079"/>
      </w:tblGrid>
      <w:tr>
        <w:trPr>
          <w:trHeight w:val="435" w:hRule="exact"/>
        </w:trPr>
        <w:tc>
          <w:tcPr>
            <w:tcW w:w="2356"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57" w:right="0"/>
              <w:jc w:val="left"/>
              <w:rPr>
                <w:rFonts w:ascii="宋体" w:hAnsi="宋体" w:cs="宋体" w:eastAsia="宋体" w:hint="default"/>
                <w:sz w:val="16"/>
                <w:szCs w:val="16"/>
              </w:rPr>
            </w:pPr>
            <w:r>
              <w:rPr>
                <w:rFonts w:ascii="宋体" w:hAnsi="宋体" w:cs="宋体" w:eastAsia="宋体" w:hint="default"/>
                <w:b/>
                <w:bCs/>
                <w:sz w:val="16"/>
                <w:szCs w:val="16"/>
              </w:rPr>
              <w:t>政府补助项目</w:t>
            </w:r>
            <w:r>
              <w:rPr>
                <w:rFonts w:ascii="宋体" w:hAnsi="宋体" w:cs="宋体" w:eastAsia="宋体" w:hint="default"/>
                <w:sz w:val="16"/>
                <w:szCs w:val="16"/>
              </w:rPr>
            </w:r>
          </w:p>
        </w:tc>
        <w:tc>
          <w:tcPr>
            <w:tcW w:w="1300"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287"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1233" w:type="dxa"/>
            <w:tcBorders>
              <w:top w:val="single" w:sz="12" w:space="0" w:color="000000"/>
              <w:left w:val="nil" w:sz="6" w:space="0" w:color="auto"/>
              <w:bottom w:val="single" w:sz="4" w:space="0" w:color="000000"/>
              <w:right w:val="nil" w:sz="6" w:space="0" w:color="auto"/>
            </w:tcBorders>
          </w:tcPr>
          <w:p>
            <w:pPr>
              <w:pStyle w:val="TableParagraph"/>
              <w:spacing w:line="183" w:lineRule="exact"/>
              <w:ind w:left="257" w:right="0"/>
              <w:jc w:val="left"/>
              <w:rPr>
                <w:rFonts w:ascii="宋体" w:hAnsi="宋体" w:cs="宋体" w:eastAsia="宋体" w:hint="default"/>
                <w:sz w:val="16"/>
                <w:szCs w:val="16"/>
              </w:rPr>
            </w:pPr>
            <w:r>
              <w:rPr>
                <w:rFonts w:ascii="宋体" w:hAnsi="宋体" w:cs="宋体" w:eastAsia="宋体" w:hint="default"/>
                <w:b/>
                <w:bCs/>
                <w:sz w:val="16"/>
                <w:szCs w:val="16"/>
              </w:rPr>
              <w:t>本年新增</w:t>
            </w:r>
            <w:r>
              <w:rPr>
                <w:rFonts w:ascii="宋体" w:hAnsi="宋体" w:cs="宋体" w:eastAsia="宋体" w:hint="default"/>
                <w:sz w:val="16"/>
                <w:szCs w:val="16"/>
              </w:rPr>
            </w:r>
          </w:p>
          <w:p>
            <w:pPr>
              <w:pStyle w:val="TableParagraph"/>
              <w:spacing w:line="209" w:lineRule="exact"/>
              <w:ind w:left="257" w:right="0"/>
              <w:jc w:val="left"/>
              <w:rPr>
                <w:rFonts w:ascii="宋体" w:hAnsi="宋体" w:cs="宋体" w:eastAsia="宋体" w:hint="default"/>
                <w:sz w:val="16"/>
                <w:szCs w:val="16"/>
              </w:rPr>
            </w:pPr>
            <w:r>
              <w:rPr>
                <w:rFonts w:ascii="宋体" w:hAnsi="宋体" w:cs="宋体" w:eastAsia="宋体" w:hint="default"/>
                <w:b/>
                <w:bCs/>
                <w:sz w:val="16"/>
                <w:szCs w:val="16"/>
              </w:rPr>
              <w:t>补助金额</w:t>
            </w:r>
            <w:r>
              <w:rPr>
                <w:rFonts w:ascii="宋体" w:hAnsi="宋体" w:cs="宋体" w:eastAsia="宋体" w:hint="default"/>
                <w:sz w:val="16"/>
                <w:szCs w:val="16"/>
              </w:rPr>
            </w:r>
          </w:p>
        </w:tc>
        <w:tc>
          <w:tcPr>
            <w:tcW w:w="1385" w:type="dxa"/>
            <w:tcBorders>
              <w:top w:val="single" w:sz="12" w:space="0" w:color="000000"/>
              <w:left w:val="nil" w:sz="6" w:space="0" w:color="auto"/>
              <w:bottom w:val="single" w:sz="4" w:space="0" w:color="000000"/>
              <w:right w:val="nil" w:sz="6" w:space="0" w:color="auto"/>
            </w:tcBorders>
          </w:tcPr>
          <w:p>
            <w:pPr>
              <w:pStyle w:val="TableParagraph"/>
              <w:spacing w:line="183" w:lineRule="exact"/>
              <w:ind w:left="218" w:right="0"/>
              <w:jc w:val="left"/>
              <w:rPr>
                <w:rFonts w:ascii="宋体" w:hAnsi="宋体" w:cs="宋体" w:eastAsia="宋体" w:hint="default"/>
                <w:sz w:val="16"/>
                <w:szCs w:val="16"/>
              </w:rPr>
            </w:pPr>
            <w:r>
              <w:rPr>
                <w:rFonts w:ascii="宋体" w:hAnsi="宋体" w:cs="宋体" w:eastAsia="宋体" w:hint="default"/>
                <w:b/>
                <w:bCs/>
                <w:sz w:val="16"/>
                <w:szCs w:val="16"/>
              </w:rPr>
              <w:t>本年计入当</w:t>
            </w:r>
            <w:r>
              <w:rPr>
                <w:rFonts w:ascii="宋体" w:hAnsi="宋体" w:cs="宋体" w:eastAsia="宋体" w:hint="default"/>
                <w:sz w:val="16"/>
                <w:szCs w:val="16"/>
              </w:rPr>
            </w:r>
          </w:p>
          <w:p>
            <w:pPr>
              <w:pStyle w:val="TableParagraph"/>
              <w:spacing w:line="209" w:lineRule="exact"/>
              <w:ind w:left="218" w:right="0"/>
              <w:jc w:val="left"/>
              <w:rPr>
                <w:rFonts w:ascii="宋体" w:hAnsi="宋体" w:cs="宋体" w:eastAsia="宋体" w:hint="default"/>
                <w:sz w:val="16"/>
                <w:szCs w:val="16"/>
              </w:rPr>
            </w:pPr>
            <w:r>
              <w:rPr>
                <w:rFonts w:ascii="宋体" w:hAnsi="宋体" w:cs="宋体" w:eastAsia="宋体" w:hint="default"/>
                <w:b/>
                <w:bCs/>
                <w:sz w:val="16"/>
                <w:szCs w:val="16"/>
              </w:rPr>
              <w:t>期损益金额</w:t>
            </w:r>
            <w:r>
              <w:rPr>
                <w:rFonts w:ascii="宋体" w:hAnsi="宋体" w:cs="宋体" w:eastAsia="宋体" w:hint="default"/>
                <w:sz w:val="16"/>
                <w:szCs w:val="16"/>
              </w:rPr>
            </w:r>
          </w:p>
        </w:tc>
        <w:tc>
          <w:tcPr>
            <w:tcW w:w="1159"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184" w:right="0"/>
              <w:jc w:val="left"/>
              <w:rPr>
                <w:rFonts w:ascii="宋体" w:hAnsi="宋体" w:cs="宋体" w:eastAsia="宋体" w:hint="default"/>
                <w:sz w:val="16"/>
                <w:szCs w:val="16"/>
              </w:rPr>
            </w:pPr>
            <w:r>
              <w:rPr>
                <w:rFonts w:ascii="宋体" w:hAnsi="宋体" w:cs="宋体" w:eastAsia="宋体" w:hint="default"/>
                <w:b/>
                <w:bCs/>
                <w:sz w:val="16"/>
                <w:szCs w:val="16"/>
              </w:rPr>
              <w:t>其他减少</w:t>
            </w:r>
            <w:r>
              <w:rPr>
                <w:rFonts w:ascii="宋体" w:hAnsi="宋体" w:cs="宋体" w:eastAsia="宋体" w:hint="default"/>
                <w:sz w:val="16"/>
                <w:szCs w:val="16"/>
              </w:rPr>
            </w:r>
          </w:p>
        </w:tc>
        <w:tc>
          <w:tcPr>
            <w:tcW w:w="1283"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299" w:right="0"/>
              <w:jc w:val="left"/>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tc>
        <w:tc>
          <w:tcPr>
            <w:tcW w:w="1079" w:type="dxa"/>
            <w:tcBorders>
              <w:top w:val="single" w:sz="12" w:space="0" w:color="000000"/>
              <w:left w:val="nil" w:sz="6" w:space="0" w:color="auto"/>
              <w:bottom w:val="single" w:sz="4" w:space="0" w:color="000000"/>
              <w:right w:val="nil" w:sz="6" w:space="0" w:color="auto"/>
            </w:tcBorders>
          </w:tcPr>
          <w:p>
            <w:pPr>
              <w:pStyle w:val="TableParagraph"/>
              <w:spacing w:line="183" w:lineRule="exact"/>
              <w:ind w:left="123" w:right="0" w:hanging="41"/>
              <w:jc w:val="left"/>
              <w:rPr>
                <w:rFonts w:ascii="宋体" w:hAnsi="宋体" w:cs="宋体" w:eastAsia="宋体" w:hint="default"/>
                <w:sz w:val="16"/>
                <w:szCs w:val="16"/>
              </w:rPr>
            </w:pPr>
            <w:r>
              <w:rPr>
                <w:rFonts w:ascii="宋体" w:hAnsi="宋体" w:cs="宋体" w:eastAsia="宋体" w:hint="default"/>
                <w:b/>
                <w:bCs/>
                <w:sz w:val="16"/>
                <w:szCs w:val="16"/>
              </w:rPr>
              <w:t>与资产相关</w:t>
            </w:r>
            <w:r>
              <w:rPr>
                <w:rFonts w:ascii="宋体" w:hAnsi="宋体" w:cs="宋体" w:eastAsia="宋体" w:hint="default"/>
                <w:b/>
                <w:bCs/>
                <w:sz w:val="16"/>
                <w:szCs w:val="16"/>
              </w:rPr>
              <w:t>/</w:t>
            </w:r>
            <w:r>
              <w:rPr>
                <w:rFonts w:ascii="宋体" w:hAnsi="宋体" w:cs="宋体" w:eastAsia="宋体" w:hint="default"/>
                <w:sz w:val="16"/>
                <w:szCs w:val="16"/>
              </w:rPr>
            </w:r>
          </w:p>
          <w:p>
            <w:pPr>
              <w:pStyle w:val="TableParagraph"/>
              <w:spacing w:line="209" w:lineRule="exact"/>
              <w:ind w:left="123" w:right="0"/>
              <w:jc w:val="left"/>
              <w:rPr>
                <w:rFonts w:ascii="宋体" w:hAnsi="宋体" w:cs="宋体" w:eastAsia="宋体" w:hint="default"/>
                <w:sz w:val="16"/>
                <w:szCs w:val="16"/>
              </w:rPr>
            </w:pPr>
            <w:r>
              <w:rPr>
                <w:rFonts w:ascii="宋体" w:hAnsi="宋体" w:cs="宋体" w:eastAsia="宋体" w:hint="default"/>
                <w:b/>
                <w:bCs/>
                <w:sz w:val="16"/>
                <w:szCs w:val="16"/>
              </w:rPr>
              <w:t>与收益相关</w:t>
            </w:r>
            <w:r>
              <w:rPr>
                <w:rFonts w:ascii="宋体" w:hAnsi="宋体" w:cs="宋体" w:eastAsia="宋体" w:hint="default"/>
                <w:sz w:val="16"/>
                <w:szCs w:val="16"/>
              </w:rPr>
            </w:r>
          </w:p>
        </w:tc>
      </w:tr>
      <w:tr>
        <w:trPr>
          <w:trHeight w:val="420" w:hRule="exact"/>
        </w:trPr>
        <w:tc>
          <w:tcPr>
            <w:tcW w:w="2356" w:type="dxa"/>
            <w:tcBorders>
              <w:top w:val="single" w:sz="4" w:space="0" w:color="000000"/>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pacing w:val="8"/>
                <w:sz w:val="16"/>
                <w:szCs w:val="16"/>
              </w:rPr>
              <w:t>车载类集装箱安检产品产业科</w:t>
            </w:r>
          </w:p>
          <w:p>
            <w:pPr>
              <w:pStyle w:val="TableParagraph"/>
              <w:spacing w:line="209" w:lineRule="exact"/>
              <w:ind w:left="57" w:right="0"/>
              <w:jc w:val="left"/>
              <w:rPr>
                <w:rFonts w:ascii="宋体" w:hAnsi="宋体" w:cs="宋体" w:eastAsia="宋体" w:hint="default"/>
                <w:sz w:val="16"/>
                <w:szCs w:val="16"/>
              </w:rPr>
            </w:pPr>
            <w:r>
              <w:rPr>
                <w:rFonts w:ascii="宋体" w:hAnsi="宋体" w:cs="宋体" w:eastAsia="宋体" w:hint="default"/>
                <w:sz w:val="16"/>
                <w:szCs w:val="16"/>
              </w:rPr>
              <w:t>技补贴</w:t>
            </w:r>
          </w:p>
        </w:tc>
        <w:tc>
          <w:tcPr>
            <w:tcW w:w="1300"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09"/>
              <w:jc w:val="right"/>
              <w:rPr>
                <w:rFonts w:ascii="宋体" w:hAnsi="宋体" w:cs="宋体" w:eastAsia="宋体" w:hint="default"/>
                <w:sz w:val="16"/>
                <w:szCs w:val="16"/>
              </w:rPr>
            </w:pPr>
            <w:r>
              <w:rPr>
                <w:rFonts w:ascii="宋体"/>
                <w:spacing w:val="-2"/>
                <w:sz w:val="16"/>
              </w:rPr>
              <w:t>32,500,000.00</w:t>
            </w:r>
          </w:p>
        </w:tc>
        <w:tc>
          <w:tcPr>
            <w:tcW w:w="1233"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69"/>
              <w:jc w:val="right"/>
              <w:rPr>
                <w:rFonts w:ascii="宋体" w:hAnsi="宋体" w:cs="宋体" w:eastAsia="宋体" w:hint="default"/>
                <w:sz w:val="16"/>
                <w:szCs w:val="16"/>
              </w:rPr>
            </w:pPr>
            <w:r>
              <w:rPr>
                <w:rFonts w:ascii="宋体"/>
                <w:spacing w:val="-1"/>
                <w:sz w:val="16"/>
              </w:rPr>
              <w:t>0.00</w:t>
            </w: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82"/>
              <w:jc w:val="right"/>
              <w:rPr>
                <w:rFonts w:ascii="宋体" w:hAnsi="宋体" w:cs="宋体" w:eastAsia="宋体" w:hint="default"/>
                <w:sz w:val="16"/>
                <w:szCs w:val="16"/>
              </w:rPr>
            </w:pPr>
            <w:r>
              <w:rPr>
                <w:rFonts w:ascii="宋体"/>
                <w:spacing w:val="-2"/>
                <w:sz w:val="16"/>
              </w:rPr>
              <w:t>10,000,000.00</w:t>
            </w:r>
          </w:p>
        </w:tc>
        <w:tc>
          <w:tcPr>
            <w:tcW w:w="1159"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69"/>
              <w:jc w:val="right"/>
              <w:rPr>
                <w:rFonts w:ascii="宋体" w:hAnsi="宋体" w:cs="宋体" w:eastAsia="宋体" w:hint="default"/>
                <w:sz w:val="16"/>
                <w:szCs w:val="16"/>
              </w:rPr>
            </w:pPr>
            <w:r>
              <w:rPr>
                <w:rFonts w:ascii="宋体"/>
                <w:spacing w:val="-1"/>
                <w:sz w:val="16"/>
              </w:rPr>
              <w:t>0.00</w:t>
            </w:r>
          </w:p>
        </w:tc>
        <w:tc>
          <w:tcPr>
            <w:tcW w:w="1283"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80"/>
              <w:jc w:val="right"/>
              <w:rPr>
                <w:rFonts w:ascii="宋体" w:hAnsi="宋体" w:cs="宋体" w:eastAsia="宋体" w:hint="default"/>
                <w:sz w:val="16"/>
                <w:szCs w:val="16"/>
              </w:rPr>
            </w:pPr>
            <w:r>
              <w:rPr>
                <w:rFonts w:ascii="宋体"/>
                <w:spacing w:val="-2"/>
                <w:sz w:val="16"/>
              </w:rPr>
              <w:t>22,500,000.00</w:t>
            </w:r>
          </w:p>
        </w:tc>
        <w:tc>
          <w:tcPr>
            <w:tcW w:w="1079"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24"/>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36"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pacing w:val="-3"/>
                <w:sz w:val="16"/>
                <w:szCs w:val="16"/>
              </w:rPr>
              <w:t>快捡类集装箱、车辆检查系统产</w:t>
            </w:r>
          </w:p>
          <w:p>
            <w:pPr>
              <w:pStyle w:val="TableParagraph"/>
              <w:spacing w:line="209" w:lineRule="exact"/>
              <w:ind w:left="57" w:right="0"/>
              <w:jc w:val="left"/>
              <w:rPr>
                <w:rFonts w:ascii="宋体" w:hAnsi="宋体" w:cs="宋体" w:eastAsia="宋体" w:hint="default"/>
                <w:sz w:val="16"/>
                <w:szCs w:val="16"/>
              </w:rPr>
            </w:pPr>
            <w:r>
              <w:rPr>
                <w:rFonts w:ascii="宋体" w:hAnsi="宋体" w:cs="宋体" w:eastAsia="宋体" w:hint="default"/>
                <w:sz w:val="16"/>
                <w:szCs w:val="16"/>
              </w:rPr>
              <w:t>品产业化科技补贴</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9"/>
              <w:jc w:val="right"/>
              <w:rPr>
                <w:rFonts w:ascii="宋体" w:hAnsi="宋体" w:cs="宋体" w:eastAsia="宋体" w:hint="default"/>
                <w:sz w:val="16"/>
                <w:szCs w:val="16"/>
              </w:rPr>
            </w:pPr>
            <w:r>
              <w:rPr>
                <w:rFonts w:ascii="宋体"/>
                <w:spacing w:val="-2"/>
                <w:sz w:val="16"/>
              </w:rPr>
              <w:t>29,500,000.00</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69"/>
              <w:jc w:val="right"/>
              <w:rPr>
                <w:rFonts w:ascii="宋体" w:hAnsi="宋体" w:cs="宋体" w:eastAsia="宋体" w:hint="default"/>
                <w:sz w:val="16"/>
                <w:szCs w:val="16"/>
              </w:rPr>
            </w:pPr>
            <w:r>
              <w:rPr>
                <w:rFonts w:ascii="宋体"/>
                <w:spacing w:val="-1"/>
                <w:sz w:val="16"/>
              </w:rPr>
              <w:t>0.00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82"/>
              <w:jc w:val="right"/>
              <w:rPr>
                <w:rFonts w:ascii="宋体" w:hAnsi="宋体" w:cs="宋体" w:eastAsia="宋体" w:hint="default"/>
                <w:sz w:val="16"/>
                <w:szCs w:val="16"/>
              </w:rPr>
            </w:pPr>
            <w:r>
              <w:rPr>
                <w:rFonts w:ascii="宋体"/>
                <w:spacing w:val="-2"/>
                <w:sz w:val="16"/>
              </w:rPr>
              <w:t>6,000,000.00</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69"/>
              <w:jc w:val="right"/>
              <w:rPr>
                <w:rFonts w:ascii="宋体" w:hAnsi="宋体" w:cs="宋体" w:eastAsia="宋体" w:hint="default"/>
                <w:sz w:val="16"/>
                <w:szCs w:val="16"/>
              </w:rPr>
            </w:pPr>
            <w:r>
              <w:rPr>
                <w:rFonts w:ascii="宋体"/>
                <w:spacing w:val="-1"/>
                <w:sz w:val="16"/>
              </w:rPr>
              <w:t>0.00</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0"/>
              <w:jc w:val="right"/>
              <w:rPr>
                <w:rFonts w:ascii="宋体" w:hAnsi="宋体" w:cs="宋体" w:eastAsia="宋体" w:hint="default"/>
                <w:sz w:val="16"/>
                <w:szCs w:val="16"/>
              </w:rPr>
            </w:pPr>
            <w:r>
              <w:rPr>
                <w:rFonts w:ascii="宋体"/>
                <w:spacing w:val="-2"/>
                <w:sz w:val="16"/>
              </w:rPr>
              <w:t>23,500,000.00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4"/>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48"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04" w:lineRule="exact"/>
              <w:ind w:left="57" w:right="0"/>
              <w:jc w:val="left"/>
              <w:rPr>
                <w:rFonts w:ascii="宋体" w:hAnsi="宋体" w:cs="宋体" w:eastAsia="宋体" w:hint="default"/>
                <w:sz w:val="16"/>
                <w:szCs w:val="16"/>
              </w:rPr>
            </w:pPr>
            <w:r>
              <w:rPr>
                <w:rFonts w:ascii="宋体" w:hAnsi="宋体" w:cs="宋体" w:eastAsia="宋体" w:hint="default"/>
                <w:sz w:val="16"/>
                <w:szCs w:val="16"/>
              </w:rPr>
              <w:t>CT</w:t>
            </w:r>
            <w:r>
              <w:rPr>
                <w:rFonts w:ascii="宋体" w:hAnsi="宋体" w:cs="宋体" w:eastAsia="宋体" w:hint="default"/>
                <w:spacing w:val="-40"/>
                <w:sz w:val="16"/>
                <w:szCs w:val="16"/>
              </w:rPr>
              <w:t> </w:t>
            </w:r>
            <w:r>
              <w:rPr>
                <w:rFonts w:ascii="宋体" w:hAnsi="宋体" w:cs="宋体" w:eastAsia="宋体" w:hint="default"/>
                <w:sz w:val="16"/>
                <w:szCs w:val="16"/>
              </w:rPr>
              <w:t>产品产业化补贴</w:t>
            </w:r>
          </w:p>
        </w:tc>
        <w:tc>
          <w:tcPr>
            <w:tcW w:w="1300" w:type="dxa"/>
            <w:tcBorders>
              <w:top w:val="nil" w:sz="6" w:space="0" w:color="auto"/>
              <w:left w:val="nil" w:sz="6" w:space="0" w:color="auto"/>
              <w:bottom w:val="nil" w:sz="6" w:space="0" w:color="auto"/>
              <w:right w:val="nil" w:sz="6" w:space="0" w:color="auto"/>
            </w:tcBorders>
          </w:tcPr>
          <w:p>
            <w:pPr>
              <w:pStyle w:val="TableParagraph"/>
              <w:spacing w:line="204" w:lineRule="exact"/>
              <w:ind w:right="109"/>
              <w:jc w:val="right"/>
              <w:rPr>
                <w:rFonts w:ascii="宋体" w:hAnsi="宋体" w:cs="宋体" w:eastAsia="宋体" w:hint="default"/>
                <w:sz w:val="16"/>
                <w:szCs w:val="16"/>
              </w:rPr>
            </w:pPr>
            <w:r>
              <w:rPr>
                <w:rFonts w:ascii="宋体"/>
                <w:spacing w:val="-2"/>
                <w:sz w:val="16"/>
              </w:rPr>
              <w:t>28,000,000.00</w:t>
            </w:r>
          </w:p>
        </w:tc>
        <w:tc>
          <w:tcPr>
            <w:tcW w:w="1233" w:type="dxa"/>
            <w:tcBorders>
              <w:top w:val="nil" w:sz="6" w:space="0" w:color="auto"/>
              <w:left w:val="nil" w:sz="6" w:space="0" w:color="auto"/>
              <w:bottom w:val="nil" w:sz="6" w:space="0" w:color="auto"/>
              <w:right w:val="nil" w:sz="6" w:space="0" w:color="auto"/>
            </w:tcBorders>
          </w:tcPr>
          <w:p>
            <w:pPr>
              <w:pStyle w:val="TableParagraph"/>
              <w:spacing w:line="204" w:lineRule="exact"/>
              <w:ind w:right="69"/>
              <w:jc w:val="right"/>
              <w:rPr>
                <w:rFonts w:ascii="宋体" w:hAnsi="宋体" w:cs="宋体" w:eastAsia="宋体" w:hint="default"/>
                <w:sz w:val="16"/>
                <w:szCs w:val="16"/>
              </w:rPr>
            </w:pPr>
            <w:r>
              <w:rPr>
                <w:rFonts w:ascii="宋体"/>
                <w:spacing w:val="-1"/>
                <w:sz w:val="16"/>
              </w:rPr>
              <w:t>0.00</w:t>
            </w:r>
          </w:p>
        </w:tc>
        <w:tc>
          <w:tcPr>
            <w:tcW w:w="1385" w:type="dxa"/>
            <w:tcBorders>
              <w:top w:val="nil" w:sz="6" w:space="0" w:color="auto"/>
              <w:left w:val="nil" w:sz="6" w:space="0" w:color="auto"/>
              <w:bottom w:val="nil" w:sz="6" w:space="0" w:color="auto"/>
              <w:right w:val="nil" w:sz="6" w:space="0" w:color="auto"/>
            </w:tcBorders>
          </w:tcPr>
          <w:p>
            <w:pPr>
              <w:pStyle w:val="TableParagraph"/>
              <w:spacing w:line="204" w:lineRule="exact"/>
              <w:ind w:right="182"/>
              <w:jc w:val="right"/>
              <w:rPr>
                <w:rFonts w:ascii="宋体" w:hAnsi="宋体" w:cs="宋体" w:eastAsia="宋体" w:hint="default"/>
                <w:sz w:val="16"/>
                <w:szCs w:val="16"/>
              </w:rPr>
            </w:pPr>
            <w:r>
              <w:rPr>
                <w:rFonts w:ascii="宋体"/>
                <w:spacing w:val="-2"/>
                <w:sz w:val="16"/>
              </w:rPr>
              <w:t>8,000,000.00</w:t>
            </w:r>
          </w:p>
        </w:tc>
        <w:tc>
          <w:tcPr>
            <w:tcW w:w="1159" w:type="dxa"/>
            <w:tcBorders>
              <w:top w:val="nil" w:sz="6" w:space="0" w:color="auto"/>
              <w:left w:val="nil" w:sz="6" w:space="0" w:color="auto"/>
              <w:bottom w:val="nil" w:sz="6" w:space="0" w:color="auto"/>
              <w:right w:val="nil" w:sz="6" w:space="0" w:color="auto"/>
            </w:tcBorders>
          </w:tcPr>
          <w:p>
            <w:pPr>
              <w:pStyle w:val="TableParagraph"/>
              <w:spacing w:line="204" w:lineRule="exact"/>
              <w:ind w:right="69"/>
              <w:jc w:val="right"/>
              <w:rPr>
                <w:rFonts w:ascii="宋体" w:hAnsi="宋体" w:cs="宋体" w:eastAsia="宋体" w:hint="default"/>
                <w:sz w:val="16"/>
                <w:szCs w:val="16"/>
              </w:rPr>
            </w:pPr>
            <w:r>
              <w:rPr>
                <w:rFonts w:ascii="宋体"/>
                <w:spacing w:val="-1"/>
                <w:sz w:val="16"/>
              </w:rPr>
              <w:t>0.00</w:t>
            </w:r>
          </w:p>
        </w:tc>
        <w:tc>
          <w:tcPr>
            <w:tcW w:w="1283" w:type="dxa"/>
            <w:tcBorders>
              <w:top w:val="nil" w:sz="6" w:space="0" w:color="auto"/>
              <w:left w:val="nil" w:sz="6" w:space="0" w:color="auto"/>
              <w:bottom w:val="nil" w:sz="6" w:space="0" w:color="auto"/>
              <w:right w:val="nil" w:sz="6" w:space="0" w:color="auto"/>
            </w:tcBorders>
          </w:tcPr>
          <w:p>
            <w:pPr>
              <w:pStyle w:val="TableParagraph"/>
              <w:spacing w:line="204" w:lineRule="exact"/>
              <w:ind w:right="80"/>
              <w:jc w:val="right"/>
              <w:rPr>
                <w:rFonts w:ascii="宋体" w:hAnsi="宋体" w:cs="宋体" w:eastAsia="宋体" w:hint="default"/>
                <w:sz w:val="16"/>
                <w:szCs w:val="16"/>
              </w:rPr>
            </w:pPr>
            <w:r>
              <w:rPr>
                <w:rFonts w:ascii="宋体"/>
                <w:spacing w:val="-2"/>
                <w:sz w:val="16"/>
              </w:rPr>
              <w:t>20,000,000.00</w:t>
            </w:r>
          </w:p>
        </w:tc>
        <w:tc>
          <w:tcPr>
            <w:tcW w:w="1079" w:type="dxa"/>
            <w:tcBorders>
              <w:top w:val="nil" w:sz="6" w:space="0" w:color="auto"/>
              <w:left w:val="nil" w:sz="6" w:space="0" w:color="auto"/>
              <w:bottom w:val="nil" w:sz="6" w:space="0" w:color="auto"/>
              <w:right w:val="nil" w:sz="6" w:space="0" w:color="auto"/>
            </w:tcBorders>
          </w:tcPr>
          <w:p>
            <w:pPr>
              <w:pStyle w:val="TableParagraph"/>
              <w:spacing w:line="204" w:lineRule="exact"/>
              <w:ind w:right="24"/>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37"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08" w:lineRule="exact" w:before="16"/>
              <w:ind w:left="57" w:right="56"/>
              <w:jc w:val="left"/>
              <w:rPr>
                <w:rFonts w:ascii="宋体" w:hAnsi="宋体" w:cs="宋体" w:eastAsia="宋体" w:hint="default"/>
                <w:sz w:val="16"/>
                <w:szCs w:val="16"/>
              </w:rPr>
            </w:pPr>
            <w:r>
              <w:rPr>
                <w:rFonts w:ascii="宋体" w:hAnsi="宋体" w:cs="宋体" w:eastAsia="宋体" w:hint="default"/>
                <w:sz w:val="16"/>
                <w:szCs w:val="16"/>
              </w:rPr>
              <w:t>高</w:t>
            </w:r>
            <w:r>
              <w:rPr>
                <w:rFonts w:ascii="宋体" w:hAnsi="宋体" w:cs="宋体" w:eastAsia="宋体" w:hint="default"/>
                <w:spacing w:val="-58"/>
                <w:sz w:val="16"/>
                <w:szCs w:val="16"/>
              </w:rPr>
              <w:t> </w:t>
            </w:r>
            <w:r>
              <w:rPr>
                <w:rFonts w:ascii="宋体" w:hAnsi="宋体" w:cs="宋体" w:eastAsia="宋体" w:hint="default"/>
                <w:sz w:val="16"/>
                <w:szCs w:val="16"/>
              </w:rPr>
              <w:t>亮</w:t>
            </w:r>
            <w:r>
              <w:rPr>
                <w:rFonts w:ascii="宋体" w:hAnsi="宋体" w:cs="宋体" w:eastAsia="宋体" w:hint="default"/>
                <w:spacing w:val="-58"/>
                <w:sz w:val="16"/>
                <w:szCs w:val="16"/>
              </w:rPr>
              <w:t> </w:t>
            </w:r>
            <w:r>
              <w:rPr>
                <w:rFonts w:ascii="宋体" w:hAnsi="宋体" w:cs="宋体" w:eastAsia="宋体" w:hint="default"/>
                <w:spacing w:val="8"/>
                <w:sz w:val="16"/>
                <w:szCs w:val="16"/>
              </w:rPr>
              <w:t>度发</w:t>
            </w:r>
            <w:r>
              <w:rPr>
                <w:rFonts w:ascii="宋体" w:hAnsi="宋体" w:cs="宋体" w:eastAsia="宋体" w:hint="default"/>
                <w:spacing w:val="-58"/>
                <w:sz w:val="16"/>
                <w:szCs w:val="16"/>
              </w:rPr>
              <w:t> </w:t>
            </w:r>
            <w:r>
              <w:rPr>
                <w:rFonts w:ascii="宋体" w:hAnsi="宋体" w:cs="宋体" w:eastAsia="宋体" w:hint="default"/>
                <w:sz w:val="16"/>
                <w:szCs w:val="16"/>
              </w:rPr>
              <w:t>光</w:t>
            </w:r>
            <w:r>
              <w:rPr>
                <w:rFonts w:ascii="宋体" w:hAnsi="宋体" w:cs="宋体" w:eastAsia="宋体" w:hint="default"/>
                <w:spacing w:val="-58"/>
                <w:sz w:val="16"/>
                <w:szCs w:val="16"/>
              </w:rPr>
              <w:t> </w:t>
            </w:r>
            <w:r>
              <w:rPr>
                <w:rFonts w:ascii="宋体" w:hAnsi="宋体" w:cs="宋体" w:eastAsia="宋体" w:hint="default"/>
                <w:spacing w:val="8"/>
                <w:sz w:val="16"/>
                <w:szCs w:val="16"/>
              </w:rPr>
              <w:t>二极</w:t>
            </w:r>
            <w:r>
              <w:rPr>
                <w:rFonts w:ascii="宋体" w:hAnsi="宋体" w:cs="宋体" w:eastAsia="宋体" w:hint="default"/>
                <w:spacing w:val="-58"/>
                <w:sz w:val="16"/>
                <w:szCs w:val="16"/>
              </w:rPr>
              <w:t> </w:t>
            </w:r>
            <w:r>
              <w:rPr>
                <w:rFonts w:ascii="宋体" w:hAnsi="宋体" w:cs="宋体" w:eastAsia="宋体" w:hint="default"/>
                <w:sz w:val="16"/>
                <w:szCs w:val="16"/>
              </w:rPr>
              <w:t>管</w:t>
            </w:r>
            <w:r>
              <w:rPr>
                <w:rFonts w:ascii="宋体" w:hAnsi="宋体" w:cs="宋体" w:eastAsia="宋体" w:hint="default"/>
                <w:spacing w:val="-58"/>
                <w:sz w:val="16"/>
                <w:szCs w:val="16"/>
              </w:rPr>
              <w:t> </w:t>
            </w:r>
            <w:r>
              <w:rPr>
                <w:rFonts w:ascii="宋体" w:hAnsi="宋体" w:cs="宋体" w:eastAsia="宋体" w:hint="default"/>
                <w:sz w:val="16"/>
                <w:szCs w:val="16"/>
              </w:rPr>
              <w:t>(LED)</w:t>
            </w:r>
            <w:r>
              <w:rPr>
                <w:rFonts w:ascii="宋体" w:hAnsi="宋体" w:cs="宋体" w:eastAsia="宋体" w:hint="default"/>
                <w:spacing w:val="-57"/>
                <w:sz w:val="16"/>
                <w:szCs w:val="16"/>
              </w:rPr>
              <w:t> </w:t>
            </w:r>
            <w:r>
              <w:rPr>
                <w:rFonts w:ascii="宋体" w:hAnsi="宋体" w:cs="宋体" w:eastAsia="宋体" w:hint="default"/>
                <w:spacing w:val="10"/>
                <w:sz w:val="16"/>
                <w:szCs w:val="16"/>
              </w:rPr>
              <w:t>外延</w:t>
            </w:r>
            <w:r>
              <w:rPr>
                <w:rFonts w:ascii="宋体" w:hAnsi="宋体" w:cs="宋体" w:eastAsia="宋体" w:hint="default"/>
                <w:spacing w:val="-59"/>
                <w:sz w:val="16"/>
                <w:szCs w:val="16"/>
              </w:rPr>
              <w:t> </w:t>
            </w:r>
            <w:r>
              <w:rPr>
                <w:rFonts w:ascii="宋体" w:hAnsi="宋体" w:cs="宋体" w:eastAsia="宋体" w:hint="default"/>
                <w:sz w:val="16"/>
                <w:szCs w:val="16"/>
              </w:rPr>
              <w:t>片、芯片产业化工程</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09"/>
              <w:jc w:val="right"/>
              <w:rPr>
                <w:rFonts w:ascii="宋体" w:hAnsi="宋体" w:cs="宋体" w:eastAsia="宋体" w:hint="default"/>
                <w:sz w:val="16"/>
                <w:szCs w:val="16"/>
              </w:rPr>
            </w:pPr>
            <w:r>
              <w:rPr>
                <w:rFonts w:ascii="宋体"/>
                <w:spacing w:val="-2"/>
                <w:sz w:val="16"/>
              </w:rPr>
              <w:t>14,551,333.20</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9"/>
              <w:jc w:val="right"/>
              <w:rPr>
                <w:rFonts w:ascii="宋体" w:hAnsi="宋体" w:cs="宋体" w:eastAsia="宋体" w:hint="default"/>
                <w:sz w:val="16"/>
                <w:szCs w:val="16"/>
              </w:rPr>
            </w:pPr>
            <w:r>
              <w:rPr>
                <w:rFonts w:ascii="宋体"/>
                <w:spacing w:val="-1"/>
                <w:sz w:val="16"/>
              </w:rPr>
              <w:t>0.00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82"/>
              <w:jc w:val="right"/>
              <w:rPr>
                <w:rFonts w:ascii="宋体" w:hAnsi="宋体" w:cs="宋体" w:eastAsia="宋体" w:hint="default"/>
                <w:sz w:val="16"/>
                <w:szCs w:val="16"/>
              </w:rPr>
            </w:pPr>
            <w:r>
              <w:rPr>
                <w:rFonts w:ascii="宋体"/>
                <w:spacing w:val="-2"/>
                <w:sz w:val="16"/>
              </w:rPr>
              <w:t>3,795,999.96</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69"/>
              <w:jc w:val="right"/>
              <w:rPr>
                <w:rFonts w:ascii="宋体" w:hAnsi="宋体" w:cs="宋体" w:eastAsia="宋体" w:hint="default"/>
                <w:sz w:val="16"/>
                <w:szCs w:val="16"/>
              </w:rPr>
            </w:pPr>
            <w:r>
              <w:rPr>
                <w:rFonts w:ascii="宋体"/>
                <w:spacing w:val="-1"/>
                <w:sz w:val="16"/>
              </w:rPr>
              <w:t>0.00</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80"/>
              <w:jc w:val="right"/>
              <w:rPr>
                <w:rFonts w:ascii="宋体" w:hAnsi="宋体" w:cs="宋体" w:eastAsia="宋体" w:hint="default"/>
                <w:sz w:val="16"/>
                <w:szCs w:val="16"/>
              </w:rPr>
            </w:pPr>
            <w:r>
              <w:rPr>
                <w:rFonts w:ascii="宋体"/>
                <w:spacing w:val="-2"/>
                <w:sz w:val="16"/>
              </w:rPr>
              <w:t>10,755,333.24</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4"/>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14"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182" w:lineRule="exact"/>
              <w:ind w:left="57" w:right="0"/>
              <w:jc w:val="left"/>
              <w:rPr>
                <w:rFonts w:ascii="宋体" w:hAnsi="宋体" w:cs="宋体" w:eastAsia="宋体" w:hint="default"/>
                <w:sz w:val="16"/>
                <w:szCs w:val="16"/>
              </w:rPr>
            </w:pPr>
            <w:r>
              <w:rPr>
                <w:rFonts w:ascii="宋体" w:hAnsi="宋体" w:cs="宋体" w:eastAsia="宋体" w:hint="default"/>
                <w:spacing w:val="8"/>
                <w:sz w:val="16"/>
                <w:szCs w:val="16"/>
              </w:rPr>
              <w:t>毫米波成像探测仪研制及产业</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化示范</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9"/>
              <w:jc w:val="right"/>
              <w:rPr>
                <w:rFonts w:ascii="宋体" w:hAnsi="宋体" w:cs="宋体" w:eastAsia="宋体" w:hint="default"/>
                <w:sz w:val="16"/>
                <w:szCs w:val="16"/>
              </w:rPr>
            </w:pPr>
            <w:r>
              <w:rPr>
                <w:rFonts w:ascii="宋体"/>
                <w:spacing w:val="-2"/>
                <w:sz w:val="16"/>
              </w:rPr>
              <w:t>9,070,000.00</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69"/>
              <w:jc w:val="right"/>
              <w:rPr>
                <w:rFonts w:ascii="宋体" w:hAnsi="宋体" w:cs="宋体" w:eastAsia="宋体" w:hint="default"/>
                <w:sz w:val="16"/>
                <w:szCs w:val="16"/>
              </w:rPr>
            </w:pPr>
            <w:r>
              <w:rPr>
                <w:rFonts w:ascii="宋体"/>
                <w:spacing w:val="-1"/>
                <w:sz w:val="16"/>
              </w:rPr>
              <w:t>0.00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82"/>
              <w:jc w:val="right"/>
              <w:rPr>
                <w:rFonts w:ascii="宋体" w:hAnsi="宋体" w:cs="宋体" w:eastAsia="宋体" w:hint="default"/>
                <w:sz w:val="16"/>
                <w:szCs w:val="16"/>
              </w:rPr>
            </w:pPr>
            <w:r>
              <w:rPr>
                <w:rFonts w:ascii="宋体"/>
                <w:spacing w:val="-2"/>
                <w:sz w:val="16"/>
              </w:rPr>
              <w:t>9,070,000.00</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69"/>
              <w:jc w:val="right"/>
              <w:rPr>
                <w:rFonts w:ascii="宋体" w:hAnsi="宋体" w:cs="宋体" w:eastAsia="宋体" w:hint="default"/>
                <w:sz w:val="16"/>
                <w:szCs w:val="16"/>
              </w:rPr>
            </w:pPr>
            <w:r>
              <w:rPr>
                <w:rFonts w:ascii="宋体"/>
                <w:spacing w:val="-1"/>
                <w:sz w:val="16"/>
              </w:rPr>
              <w:t>0.00</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80"/>
              <w:jc w:val="right"/>
              <w:rPr>
                <w:rFonts w:ascii="宋体" w:hAnsi="宋体" w:cs="宋体" w:eastAsia="宋体" w:hint="default"/>
                <w:sz w:val="16"/>
                <w:szCs w:val="16"/>
              </w:rPr>
            </w:pPr>
            <w:r>
              <w:rPr>
                <w:rFonts w:ascii="宋体"/>
                <w:spacing w:val="-1"/>
                <w:sz w:val="16"/>
              </w:rPr>
              <w:t>0.00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4"/>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15"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pacing w:val="8"/>
                <w:sz w:val="16"/>
                <w:szCs w:val="16"/>
              </w:rPr>
              <w:t>中文精品学术期刊外文版数字</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出版工程</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9"/>
              <w:jc w:val="right"/>
              <w:rPr>
                <w:rFonts w:ascii="宋体" w:hAnsi="宋体" w:cs="宋体" w:eastAsia="宋体" w:hint="default"/>
                <w:sz w:val="16"/>
                <w:szCs w:val="16"/>
              </w:rPr>
            </w:pPr>
            <w:r>
              <w:rPr>
                <w:rFonts w:ascii="宋体"/>
                <w:spacing w:val="-2"/>
                <w:sz w:val="16"/>
              </w:rPr>
              <w:t>9,000,000.00</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9"/>
              <w:jc w:val="right"/>
              <w:rPr>
                <w:rFonts w:ascii="宋体" w:hAnsi="宋体" w:cs="宋体" w:eastAsia="宋体" w:hint="default"/>
                <w:sz w:val="16"/>
                <w:szCs w:val="16"/>
              </w:rPr>
            </w:pPr>
            <w:r>
              <w:rPr>
                <w:rFonts w:ascii="宋体"/>
                <w:spacing w:val="-1"/>
                <w:sz w:val="16"/>
              </w:rPr>
              <w:t>0.00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82"/>
              <w:jc w:val="right"/>
              <w:rPr>
                <w:rFonts w:ascii="宋体" w:hAnsi="宋体" w:cs="宋体" w:eastAsia="宋体" w:hint="default"/>
                <w:sz w:val="16"/>
                <w:szCs w:val="16"/>
              </w:rPr>
            </w:pPr>
            <w:r>
              <w:rPr>
                <w:rFonts w:ascii="宋体"/>
                <w:spacing w:val="-2"/>
                <w:sz w:val="16"/>
              </w:rPr>
              <w:t>9,000,000.00</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9"/>
              <w:jc w:val="right"/>
              <w:rPr>
                <w:rFonts w:ascii="宋体" w:hAnsi="宋体" w:cs="宋体" w:eastAsia="宋体" w:hint="default"/>
                <w:sz w:val="16"/>
                <w:szCs w:val="16"/>
              </w:rPr>
            </w:pPr>
            <w:r>
              <w:rPr>
                <w:rFonts w:ascii="宋体"/>
                <w:spacing w:val="-1"/>
                <w:sz w:val="16"/>
              </w:rPr>
              <w:t>0.00</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0"/>
              <w:jc w:val="right"/>
              <w:rPr>
                <w:rFonts w:ascii="宋体" w:hAnsi="宋体" w:cs="宋体" w:eastAsia="宋体" w:hint="default"/>
                <w:sz w:val="16"/>
                <w:szCs w:val="16"/>
              </w:rPr>
            </w:pPr>
            <w:r>
              <w:rPr>
                <w:rFonts w:ascii="宋体"/>
                <w:spacing w:val="-1"/>
                <w:sz w:val="16"/>
              </w:rPr>
              <w:t>0.00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4"/>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15"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pacing w:val="8"/>
                <w:sz w:val="16"/>
                <w:szCs w:val="16"/>
              </w:rPr>
              <w:t>友谊县集中供热扩建工程建设</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项目三北高寒补贴款</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9"/>
              <w:jc w:val="right"/>
              <w:rPr>
                <w:rFonts w:ascii="宋体" w:hAnsi="宋体" w:cs="宋体" w:eastAsia="宋体" w:hint="default"/>
                <w:sz w:val="16"/>
                <w:szCs w:val="16"/>
              </w:rPr>
            </w:pPr>
            <w:r>
              <w:rPr>
                <w:rFonts w:ascii="宋体"/>
                <w:spacing w:val="-2"/>
                <w:sz w:val="16"/>
              </w:rPr>
              <w:t>8,000,000.00</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9"/>
              <w:jc w:val="right"/>
              <w:rPr>
                <w:rFonts w:ascii="宋体" w:hAnsi="宋体" w:cs="宋体" w:eastAsia="宋体" w:hint="default"/>
                <w:sz w:val="16"/>
                <w:szCs w:val="16"/>
              </w:rPr>
            </w:pPr>
            <w:r>
              <w:rPr>
                <w:rFonts w:ascii="宋体"/>
                <w:spacing w:val="-1"/>
                <w:sz w:val="16"/>
              </w:rPr>
              <w:t>0.00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82"/>
              <w:jc w:val="right"/>
              <w:rPr>
                <w:rFonts w:ascii="宋体" w:hAnsi="宋体" w:cs="宋体" w:eastAsia="宋体" w:hint="default"/>
                <w:sz w:val="16"/>
                <w:szCs w:val="16"/>
              </w:rPr>
            </w:pPr>
            <w:r>
              <w:rPr>
                <w:rFonts w:ascii="宋体"/>
                <w:spacing w:val="-1"/>
                <w:sz w:val="16"/>
              </w:rPr>
              <w:t>0.00</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9"/>
              <w:jc w:val="right"/>
              <w:rPr>
                <w:rFonts w:ascii="宋体" w:hAnsi="宋体" w:cs="宋体" w:eastAsia="宋体" w:hint="default"/>
                <w:sz w:val="16"/>
                <w:szCs w:val="16"/>
              </w:rPr>
            </w:pPr>
            <w:r>
              <w:rPr>
                <w:rFonts w:ascii="宋体"/>
                <w:spacing w:val="-1"/>
                <w:sz w:val="16"/>
              </w:rPr>
              <w:t>0.00</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0"/>
              <w:jc w:val="right"/>
              <w:rPr>
                <w:rFonts w:ascii="宋体" w:hAnsi="宋体" w:cs="宋体" w:eastAsia="宋体" w:hint="default"/>
                <w:sz w:val="16"/>
                <w:szCs w:val="16"/>
              </w:rPr>
            </w:pPr>
            <w:r>
              <w:rPr>
                <w:rFonts w:ascii="宋体"/>
                <w:spacing w:val="-2"/>
                <w:sz w:val="16"/>
              </w:rPr>
              <w:t>8,000,000.00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4"/>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36"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pacing w:val="8"/>
                <w:sz w:val="16"/>
                <w:szCs w:val="16"/>
              </w:rPr>
              <w:t>基于深度学习的海关智能查验</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成套系统研发</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9"/>
              <w:jc w:val="right"/>
              <w:rPr>
                <w:rFonts w:ascii="宋体" w:hAnsi="宋体" w:cs="宋体" w:eastAsia="宋体" w:hint="default"/>
                <w:sz w:val="16"/>
                <w:szCs w:val="16"/>
              </w:rPr>
            </w:pPr>
            <w:r>
              <w:rPr>
                <w:rFonts w:ascii="宋体"/>
                <w:spacing w:val="-1"/>
                <w:sz w:val="16"/>
              </w:rPr>
              <w:t>0.00</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9"/>
              <w:jc w:val="right"/>
              <w:rPr>
                <w:rFonts w:ascii="宋体" w:hAnsi="宋体" w:cs="宋体" w:eastAsia="宋体" w:hint="default"/>
                <w:sz w:val="16"/>
                <w:szCs w:val="16"/>
              </w:rPr>
            </w:pPr>
            <w:r>
              <w:rPr>
                <w:rFonts w:ascii="宋体"/>
                <w:spacing w:val="-2"/>
                <w:sz w:val="16"/>
              </w:rPr>
              <w:t>7,000,000.00</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82"/>
              <w:jc w:val="right"/>
              <w:rPr>
                <w:rFonts w:ascii="宋体" w:hAnsi="宋体" w:cs="宋体" w:eastAsia="宋体" w:hint="default"/>
                <w:sz w:val="16"/>
                <w:szCs w:val="16"/>
              </w:rPr>
            </w:pPr>
            <w:r>
              <w:rPr>
                <w:rFonts w:ascii="宋体"/>
                <w:spacing w:val="-1"/>
                <w:sz w:val="16"/>
              </w:rPr>
              <w:t>0.00</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9"/>
              <w:jc w:val="right"/>
              <w:rPr>
                <w:rFonts w:ascii="宋体" w:hAnsi="宋体" w:cs="宋体" w:eastAsia="宋体" w:hint="default"/>
                <w:sz w:val="16"/>
                <w:szCs w:val="16"/>
              </w:rPr>
            </w:pPr>
            <w:r>
              <w:rPr>
                <w:rFonts w:ascii="宋体"/>
                <w:spacing w:val="-1"/>
                <w:sz w:val="16"/>
              </w:rPr>
              <w:t>0.00</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0"/>
              <w:jc w:val="right"/>
              <w:rPr>
                <w:rFonts w:ascii="宋体" w:hAnsi="宋体" w:cs="宋体" w:eastAsia="宋体" w:hint="default"/>
                <w:sz w:val="16"/>
                <w:szCs w:val="16"/>
              </w:rPr>
            </w:pPr>
            <w:r>
              <w:rPr>
                <w:rFonts w:ascii="宋体"/>
                <w:spacing w:val="-2"/>
                <w:sz w:val="16"/>
              </w:rPr>
              <w:t>7,000,000.00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4"/>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70"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05" w:lineRule="exact"/>
              <w:ind w:left="57" w:right="0"/>
              <w:jc w:val="left"/>
              <w:rPr>
                <w:rFonts w:ascii="宋体" w:hAnsi="宋体" w:cs="宋体" w:eastAsia="宋体" w:hint="default"/>
                <w:sz w:val="16"/>
                <w:szCs w:val="16"/>
              </w:rPr>
            </w:pPr>
            <w:r>
              <w:rPr>
                <w:rFonts w:ascii="宋体" w:hAnsi="宋体" w:cs="宋体" w:eastAsia="宋体" w:hint="default"/>
                <w:sz w:val="16"/>
                <w:szCs w:val="16"/>
              </w:rPr>
              <w:t>毫米波成果转化项目</w:t>
            </w:r>
          </w:p>
        </w:tc>
        <w:tc>
          <w:tcPr>
            <w:tcW w:w="1300" w:type="dxa"/>
            <w:tcBorders>
              <w:top w:val="nil" w:sz="6" w:space="0" w:color="auto"/>
              <w:left w:val="nil" w:sz="6" w:space="0" w:color="auto"/>
              <w:bottom w:val="nil" w:sz="6" w:space="0" w:color="auto"/>
              <w:right w:val="nil" w:sz="6" w:space="0" w:color="auto"/>
            </w:tcBorders>
          </w:tcPr>
          <w:p>
            <w:pPr>
              <w:pStyle w:val="TableParagraph"/>
              <w:spacing w:line="205" w:lineRule="exact"/>
              <w:ind w:right="109"/>
              <w:jc w:val="right"/>
              <w:rPr>
                <w:rFonts w:ascii="宋体" w:hAnsi="宋体" w:cs="宋体" w:eastAsia="宋体" w:hint="default"/>
                <w:sz w:val="16"/>
                <w:szCs w:val="16"/>
              </w:rPr>
            </w:pPr>
            <w:r>
              <w:rPr>
                <w:rFonts w:ascii="宋体"/>
                <w:spacing w:val="-1"/>
                <w:sz w:val="16"/>
              </w:rPr>
              <w:t>0.00</w:t>
            </w:r>
          </w:p>
        </w:tc>
        <w:tc>
          <w:tcPr>
            <w:tcW w:w="1233" w:type="dxa"/>
            <w:tcBorders>
              <w:top w:val="nil" w:sz="6" w:space="0" w:color="auto"/>
              <w:left w:val="nil" w:sz="6" w:space="0" w:color="auto"/>
              <w:bottom w:val="nil" w:sz="6" w:space="0" w:color="auto"/>
              <w:right w:val="nil" w:sz="6" w:space="0" w:color="auto"/>
            </w:tcBorders>
          </w:tcPr>
          <w:p>
            <w:pPr>
              <w:pStyle w:val="TableParagraph"/>
              <w:spacing w:line="205" w:lineRule="exact"/>
              <w:ind w:right="69"/>
              <w:jc w:val="right"/>
              <w:rPr>
                <w:rFonts w:ascii="宋体" w:hAnsi="宋体" w:cs="宋体" w:eastAsia="宋体" w:hint="default"/>
                <w:sz w:val="16"/>
                <w:szCs w:val="16"/>
              </w:rPr>
            </w:pPr>
            <w:r>
              <w:rPr>
                <w:rFonts w:ascii="宋体"/>
                <w:spacing w:val="-2"/>
                <w:sz w:val="16"/>
              </w:rPr>
              <w:t>5,000,000.00</w:t>
            </w:r>
          </w:p>
        </w:tc>
        <w:tc>
          <w:tcPr>
            <w:tcW w:w="1385" w:type="dxa"/>
            <w:tcBorders>
              <w:top w:val="nil" w:sz="6" w:space="0" w:color="auto"/>
              <w:left w:val="nil" w:sz="6" w:space="0" w:color="auto"/>
              <w:bottom w:val="nil" w:sz="6" w:space="0" w:color="auto"/>
              <w:right w:val="nil" w:sz="6" w:space="0" w:color="auto"/>
            </w:tcBorders>
          </w:tcPr>
          <w:p>
            <w:pPr>
              <w:pStyle w:val="TableParagraph"/>
              <w:spacing w:line="205" w:lineRule="exact"/>
              <w:ind w:right="182"/>
              <w:jc w:val="right"/>
              <w:rPr>
                <w:rFonts w:ascii="宋体" w:hAnsi="宋体" w:cs="宋体" w:eastAsia="宋体" w:hint="default"/>
                <w:sz w:val="16"/>
                <w:szCs w:val="16"/>
              </w:rPr>
            </w:pPr>
            <w:r>
              <w:rPr>
                <w:rFonts w:ascii="宋体"/>
                <w:spacing w:val="-1"/>
                <w:sz w:val="16"/>
              </w:rPr>
              <w:t>0.00</w:t>
            </w:r>
          </w:p>
        </w:tc>
        <w:tc>
          <w:tcPr>
            <w:tcW w:w="1159" w:type="dxa"/>
            <w:tcBorders>
              <w:top w:val="nil" w:sz="6" w:space="0" w:color="auto"/>
              <w:left w:val="nil" w:sz="6" w:space="0" w:color="auto"/>
              <w:bottom w:val="nil" w:sz="6" w:space="0" w:color="auto"/>
              <w:right w:val="nil" w:sz="6" w:space="0" w:color="auto"/>
            </w:tcBorders>
          </w:tcPr>
          <w:p>
            <w:pPr>
              <w:pStyle w:val="TableParagraph"/>
              <w:spacing w:line="205" w:lineRule="exact"/>
              <w:ind w:right="69"/>
              <w:jc w:val="right"/>
              <w:rPr>
                <w:rFonts w:ascii="宋体" w:hAnsi="宋体" w:cs="宋体" w:eastAsia="宋体" w:hint="default"/>
                <w:sz w:val="16"/>
                <w:szCs w:val="16"/>
              </w:rPr>
            </w:pPr>
            <w:r>
              <w:rPr>
                <w:rFonts w:ascii="宋体"/>
                <w:spacing w:val="-1"/>
                <w:sz w:val="16"/>
              </w:rPr>
              <w:t>0.00</w:t>
            </w:r>
          </w:p>
        </w:tc>
        <w:tc>
          <w:tcPr>
            <w:tcW w:w="1283" w:type="dxa"/>
            <w:tcBorders>
              <w:top w:val="nil" w:sz="6" w:space="0" w:color="auto"/>
              <w:left w:val="nil" w:sz="6" w:space="0" w:color="auto"/>
              <w:bottom w:val="nil" w:sz="6" w:space="0" w:color="auto"/>
              <w:right w:val="nil" w:sz="6" w:space="0" w:color="auto"/>
            </w:tcBorders>
          </w:tcPr>
          <w:p>
            <w:pPr>
              <w:pStyle w:val="TableParagraph"/>
              <w:spacing w:line="205" w:lineRule="exact"/>
              <w:ind w:right="80"/>
              <w:jc w:val="right"/>
              <w:rPr>
                <w:rFonts w:ascii="宋体" w:hAnsi="宋体" w:cs="宋体" w:eastAsia="宋体" w:hint="default"/>
                <w:sz w:val="16"/>
                <w:szCs w:val="16"/>
              </w:rPr>
            </w:pPr>
            <w:r>
              <w:rPr>
                <w:rFonts w:ascii="宋体"/>
                <w:spacing w:val="-2"/>
                <w:sz w:val="16"/>
              </w:rPr>
              <w:t>5,000,000.00</w:t>
            </w:r>
          </w:p>
        </w:tc>
        <w:tc>
          <w:tcPr>
            <w:tcW w:w="1079" w:type="dxa"/>
            <w:tcBorders>
              <w:top w:val="nil" w:sz="6" w:space="0" w:color="auto"/>
              <w:left w:val="nil" w:sz="6" w:space="0" w:color="auto"/>
              <w:bottom w:val="nil" w:sz="6" w:space="0" w:color="auto"/>
              <w:right w:val="nil" w:sz="6" w:space="0" w:color="auto"/>
            </w:tcBorders>
          </w:tcPr>
          <w:p>
            <w:pPr>
              <w:pStyle w:val="TableParagraph"/>
              <w:spacing w:line="205" w:lineRule="exact"/>
              <w:ind w:right="24"/>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94" w:hRule="exact"/>
        </w:trPr>
        <w:tc>
          <w:tcPr>
            <w:tcW w:w="2356"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57"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300"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9"/>
              <w:jc w:val="right"/>
              <w:rPr>
                <w:rFonts w:ascii="宋体" w:hAnsi="宋体" w:cs="宋体" w:eastAsia="宋体" w:hint="default"/>
                <w:sz w:val="16"/>
                <w:szCs w:val="16"/>
              </w:rPr>
            </w:pPr>
            <w:r>
              <w:rPr>
                <w:rFonts w:ascii="宋体"/>
                <w:spacing w:val="-2"/>
                <w:sz w:val="16"/>
              </w:rPr>
              <w:t>76,508,917.37</w:t>
            </w:r>
          </w:p>
        </w:tc>
        <w:tc>
          <w:tcPr>
            <w:tcW w:w="1233"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69"/>
              <w:jc w:val="right"/>
              <w:rPr>
                <w:rFonts w:ascii="宋体" w:hAnsi="宋体" w:cs="宋体" w:eastAsia="宋体" w:hint="default"/>
                <w:sz w:val="16"/>
                <w:szCs w:val="16"/>
              </w:rPr>
            </w:pPr>
            <w:r>
              <w:rPr>
                <w:rFonts w:ascii="宋体"/>
                <w:spacing w:val="-2"/>
                <w:sz w:val="16"/>
              </w:rPr>
              <w:t>24,610,216.72</w:t>
            </w: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82"/>
              <w:jc w:val="right"/>
              <w:rPr>
                <w:rFonts w:ascii="宋体" w:hAnsi="宋体" w:cs="宋体" w:eastAsia="宋体" w:hint="default"/>
                <w:sz w:val="16"/>
                <w:szCs w:val="16"/>
              </w:rPr>
            </w:pPr>
            <w:r>
              <w:rPr>
                <w:rFonts w:ascii="宋体"/>
                <w:spacing w:val="-2"/>
                <w:sz w:val="16"/>
              </w:rPr>
              <w:t>34,368,837.04</w:t>
            </w:r>
          </w:p>
        </w:tc>
        <w:tc>
          <w:tcPr>
            <w:tcW w:w="1159"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69"/>
              <w:jc w:val="right"/>
              <w:rPr>
                <w:rFonts w:ascii="宋体" w:hAnsi="宋体" w:cs="宋体" w:eastAsia="宋体" w:hint="default"/>
                <w:sz w:val="16"/>
                <w:szCs w:val="16"/>
              </w:rPr>
            </w:pPr>
            <w:r>
              <w:rPr>
                <w:rFonts w:ascii="宋体"/>
                <w:spacing w:val="-2"/>
                <w:sz w:val="16"/>
              </w:rPr>
              <w:t>120,000.00</w:t>
            </w:r>
          </w:p>
        </w:tc>
        <w:tc>
          <w:tcPr>
            <w:tcW w:w="1283"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80"/>
              <w:jc w:val="right"/>
              <w:rPr>
                <w:rFonts w:ascii="宋体" w:hAnsi="宋体" w:cs="宋体" w:eastAsia="宋体" w:hint="default"/>
                <w:sz w:val="16"/>
                <w:szCs w:val="16"/>
              </w:rPr>
            </w:pPr>
            <w:r>
              <w:rPr>
                <w:rFonts w:ascii="宋体"/>
                <w:spacing w:val="-2"/>
                <w:sz w:val="16"/>
              </w:rPr>
              <w:t>66,630,297.05</w:t>
            </w:r>
          </w:p>
        </w:tc>
        <w:tc>
          <w:tcPr>
            <w:tcW w:w="1079"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25"/>
              <w:jc w:val="center"/>
              <w:rPr>
                <w:rFonts w:ascii="宋体" w:hAnsi="宋体" w:cs="宋体" w:eastAsia="宋体" w:hint="default"/>
                <w:sz w:val="16"/>
                <w:szCs w:val="16"/>
              </w:rPr>
            </w:pPr>
            <w:r>
              <w:rPr>
                <w:rFonts w:ascii="宋体"/>
                <w:w w:val="100"/>
                <w:sz w:val="16"/>
              </w:rPr>
              <w:t>_</w:t>
            </w:r>
          </w:p>
        </w:tc>
      </w:tr>
      <w:tr>
        <w:trPr>
          <w:trHeight w:val="312" w:hRule="exact"/>
        </w:trPr>
        <w:tc>
          <w:tcPr>
            <w:tcW w:w="2356" w:type="dxa"/>
            <w:tcBorders>
              <w:top w:val="single" w:sz="4" w:space="0" w:color="000000"/>
              <w:left w:val="nil" w:sz="6" w:space="0" w:color="auto"/>
              <w:bottom w:val="single" w:sz="12" w:space="0" w:color="000000"/>
              <w:right w:val="nil" w:sz="6" w:space="0" w:color="auto"/>
            </w:tcBorders>
          </w:tcPr>
          <w:p>
            <w:pPr>
              <w:pStyle w:val="TableParagraph"/>
              <w:spacing w:line="240" w:lineRule="auto" w:before="17"/>
              <w:ind w:left="57"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300" w:type="dxa"/>
            <w:tcBorders>
              <w:top w:val="single" w:sz="4" w:space="0" w:color="000000"/>
              <w:left w:val="nil" w:sz="6" w:space="0" w:color="auto"/>
              <w:bottom w:val="single" w:sz="12" w:space="0" w:color="000000"/>
              <w:right w:val="nil" w:sz="6" w:space="0" w:color="auto"/>
            </w:tcBorders>
          </w:tcPr>
          <w:p>
            <w:pPr>
              <w:pStyle w:val="TableParagraph"/>
              <w:spacing w:line="240" w:lineRule="auto" w:before="17"/>
              <w:ind w:right="111"/>
              <w:jc w:val="right"/>
              <w:rPr>
                <w:rFonts w:ascii="宋体" w:hAnsi="宋体" w:cs="宋体" w:eastAsia="宋体" w:hint="default"/>
                <w:sz w:val="16"/>
                <w:szCs w:val="16"/>
              </w:rPr>
            </w:pPr>
            <w:r>
              <w:rPr>
                <w:rFonts w:ascii="宋体"/>
                <w:b/>
                <w:spacing w:val="-1"/>
                <w:sz w:val="16"/>
              </w:rPr>
              <w:t>347,746,250.57</w:t>
            </w:r>
            <w:r>
              <w:rPr>
                <w:rFonts w:ascii="宋体"/>
                <w:spacing w:val="-1"/>
                <w:sz w:val="16"/>
              </w:rPr>
            </w:r>
          </w:p>
        </w:tc>
        <w:tc>
          <w:tcPr>
            <w:tcW w:w="1233" w:type="dxa"/>
            <w:tcBorders>
              <w:top w:val="single" w:sz="4" w:space="0" w:color="000000"/>
              <w:left w:val="nil" w:sz="6" w:space="0" w:color="auto"/>
              <w:bottom w:val="single" w:sz="12" w:space="0" w:color="000000"/>
              <w:right w:val="nil" w:sz="6" w:space="0" w:color="auto"/>
            </w:tcBorders>
          </w:tcPr>
          <w:p>
            <w:pPr>
              <w:pStyle w:val="TableParagraph"/>
              <w:spacing w:line="240" w:lineRule="auto" w:before="17"/>
              <w:ind w:right="71"/>
              <w:jc w:val="right"/>
              <w:rPr>
                <w:rFonts w:ascii="宋体" w:hAnsi="宋体" w:cs="宋体" w:eastAsia="宋体" w:hint="default"/>
                <w:sz w:val="16"/>
                <w:szCs w:val="16"/>
              </w:rPr>
            </w:pPr>
            <w:r>
              <w:rPr>
                <w:rFonts w:ascii="宋体"/>
                <w:b/>
                <w:spacing w:val="-1"/>
                <w:sz w:val="16"/>
              </w:rPr>
              <w:t>36,610,216.72</w:t>
            </w:r>
            <w:r>
              <w:rPr>
                <w:rFonts w:ascii="宋体"/>
                <w:spacing w:val="-1"/>
                <w:sz w:val="16"/>
              </w:rPr>
            </w:r>
          </w:p>
        </w:tc>
        <w:tc>
          <w:tcPr>
            <w:tcW w:w="1385" w:type="dxa"/>
            <w:tcBorders>
              <w:top w:val="single" w:sz="4" w:space="0" w:color="000000"/>
              <w:left w:val="nil" w:sz="6" w:space="0" w:color="auto"/>
              <w:bottom w:val="single" w:sz="12" w:space="0" w:color="000000"/>
              <w:right w:val="nil" w:sz="6" w:space="0" w:color="auto"/>
            </w:tcBorders>
          </w:tcPr>
          <w:p>
            <w:pPr>
              <w:pStyle w:val="TableParagraph"/>
              <w:spacing w:line="240" w:lineRule="auto" w:before="17"/>
              <w:ind w:right="183"/>
              <w:jc w:val="right"/>
              <w:rPr>
                <w:rFonts w:ascii="宋体" w:hAnsi="宋体" w:cs="宋体" w:eastAsia="宋体" w:hint="default"/>
                <w:sz w:val="16"/>
                <w:szCs w:val="16"/>
              </w:rPr>
            </w:pPr>
            <w:r>
              <w:rPr>
                <w:rFonts w:ascii="宋体"/>
                <w:b/>
                <w:spacing w:val="-1"/>
                <w:sz w:val="16"/>
              </w:rPr>
              <w:t>101,070,837.00</w:t>
            </w:r>
            <w:r>
              <w:rPr>
                <w:rFonts w:ascii="宋体"/>
                <w:spacing w:val="-1"/>
                <w:sz w:val="16"/>
              </w:rPr>
            </w:r>
          </w:p>
        </w:tc>
        <w:tc>
          <w:tcPr>
            <w:tcW w:w="1159" w:type="dxa"/>
            <w:tcBorders>
              <w:top w:val="single" w:sz="4" w:space="0" w:color="000000"/>
              <w:left w:val="nil" w:sz="6" w:space="0" w:color="auto"/>
              <w:bottom w:val="single" w:sz="12" w:space="0" w:color="000000"/>
              <w:right w:val="nil" w:sz="6" w:space="0" w:color="auto"/>
            </w:tcBorders>
          </w:tcPr>
          <w:p>
            <w:pPr>
              <w:pStyle w:val="TableParagraph"/>
              <w:spacing w:line="240" w:lineRule="auto" w:before="17"/>
              <w:ind w:right="70"/>
              <w:jc w:val="right"/>
              <w:rPr>
                <w:rFonts w:ascii="宋体" w:hAnsi="宋体" w:cs="宋体" w:eastAsia="宋体" w:hint="default"/>
                <w:sz w:val="16"/>
                <w:szCs w:val="16"/>
              </w:rPr>
            </w:pPr>
            <w:r>
              <w:rPr>
                <w:rFonts w:ascii="宋体"/>
                <w:b/>
                <w:spacing w:val="-1"/>
                <w:sz w:val="16"/>
              </w:rPr>
              <w:t>120,000.00</w:t>
            </w:r>
            <w:r>
              <w:rPr>
                <w:rFonts w:ascii="宋体"/>
                <w:spacing w:val="-1"/>
                <w:sz w:val="16"/>
              </w:rPr>
            </w:r>
          </w:p>
        </w:tc>
        <w:tc>
          <w:tcPr>
            <w:tcW w:w="1283" w:type="dxa"/>
            <w:tcBorders>
              <w:top w:val="single" w:sz="4" w:space="0" w:color="000000"/>
              <w:left w:val="nil" w:sz="6" w:space="0" w:color="auto"/>
              <w:bottom w:val="single" w:sz="12" w:space="0" w:color="000000"/>
              <w:right w:val="nil" w:sz="6" w:space="0" w:color="auto"/>
            </w:tcBorders>
          </w:tcPr>
          <w:p>
            <w:pPr>
              <w:pStyle w:val="TableParagraph"/>
              <w:spacing w:line="240" w:lineRule="auto" w:before="17"/>
              <w:ind w:right="81"/>
              <w:jc w:val="right"/>
              <w:rPr>
                <w:rFonts w:ascii="宋体" w:hAnsi="宋体" w:cs="宋体" w:eastAsia="宋体" w:hint="default"/>
                <w:sz w:val="16"/>
                <w:szCs w:val="16"/>
              </w:rPr>
            </w:pPr>
            <w:r>
              <w:rPr>
                <w:rFonts w:ascii="宋体"/>
                <w:b/>
                <w:spacing w:val="-1"/>
                <w:sz w:val="16"/>
              </w:rPr>
              <w:t>283,165,630.29</w:t>
            </w:r>
            <w:r>
              <w:rPr>
                <w:rFonts w:ascii="宋体"/>
                <w:spacing w:val="-1"/>
                <w:sz w:val="16"/>
              </w:rPr>
            </w:r>
          </w:p>
        </w:tc>
        <w:tc>
          <w:tcPr>
            <w:tcW w:w="1079" w:type="dxa"/>
            <w:tcBorders>
              <w:top w:val="single" w:sz="4" w:space="0" w:color="000000"/>
              <w:left w:val="nil" w:sz="6" w:space="0" w:color="auto"/>
              <w:bottom w:val="single" w:sz="12" w:space="0" w:color="000000"/>
              <w:right w:val="nil" w:sz="6" w:space="0" w:color="auto"/>
            </w:tcBorders>
          </w:tcPr>
          <w:p>
            <w:pPr>
              <w:pStyle w:val="TableParagraph"/>
              <w:spacing w:line="240" w:lineRule="auto" w:before="58"/>
              <w:ind w:right="26"/>
              <w:jc w:val="center"/>
              <w:rPr>
                <w:rFonts w:ascii="宋体" w:hAnsi="宋体" w:cs="宋体" w:eastAsia="宋体" w:hint="default"/>
                <w:sz w:val="16"/>
                <w:szCs w:val="16"/>
              </w:rPr>
            </w:pPr>
            <w:r>
              <w:rPr>
                <w:rFonts w:ascii="宋体" w:hAnsi="宋体" w:cs="宋体" w:eastAsia="宋体" w:hint="default"/>
                <w:w w:val="100"/>
                <w:sz w:val="16"/>
                <w:szCs w:val="16"/>
              </w:rPr>
              <w:t>—</w:t>
            </w:r>
          </w:p>
        </w:tc>
      </w:tr>
    </w:tbl>
    <w:p>
      <w:pPr>
        <w:spacing w:before="21"/>
        <w:ind w:left="116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35.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股本</w:t>
      </w:r>
    </w:p>
    <w:p>
      <w:pPr>
        <w:spacing w:line="240" w:lineRule="auto" w:before="5"/>
        <w:rPr>
          <w:rFonts w:ascii="宋体" w:hAnsi="宋体" w:cs="宋体" w:eastAsia="宋体" w:hint="default"/>
          <w:sz w:val="11"/>
          <w:szCs w:val="11"/>
        </w:rPr>
      </w:pPr>
    </w:p>
    <w:tbl>
      <w:tblPr>
        <w:tblW w:w="0" w:type="auto"/>
        <w:jc w:val="left"/>
        <w:tblInd w:w="654" w:type="dxa"/>
        <w:tblLayout w:type="fixed"/>
        <w:tblCellMar>
          <w:top w:w="0" w:type="dxa"/>
          <w:left w:w="0" w:type="dxa"/>
          <w:bottom w:w="0" w:type="dxa"/>
          <w:right w:w="0" w:type="dxa"/>
        </w:tblCellMar>
        <w:tblLook w:val="01E0"/>
      </w:tblPr>
      <w:tblGrid>
        <w:gridCol w:w="1732"/>
        <w:gridCol w:w="2522"/>
        <w:gridCol w:w="2504"/>
        <w:gridCol w:w="1968"/>
      </w:tblGrid>
      <w:tr>
        <w:trPr>
          <w:trHeight w:val="307" w:hRule="exact"/>
        </w:trPr>
        <w:tc>
          <w:tcPr>
            <w:tcW w:w="173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2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96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50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68" w:right="0"/>
              <w:jc w:val="left"/>
              <w:rPr>
                <w:rFonts w:ascii="宋体" w:hAnsi="宋体" w:cs="宋体" w:eastAsia="宋体" w:hint="default"/>
                <w:sz w:val="18"/>
                <w:szCs w:val="18"/>
              </w:rPr>
            </w:pPr>
            <w:r>
              <w:rPr>
                <w:rFonts w:ascii="宋体" w:hAnsi="宋体" w:cs="宋体" w:eastAsia="宋体" w:hint="default"/>
                <w:b/>
                <w:bCs/>
                <w:sz w:val="18"/>
                <w:szCs w:val="18"/>
              </w:rPr>
              <w:t>本年变动增减（</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6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470"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05" w:hRule="exact"/>
        </w:trPr>
        <w:tc>
          <w:tcPr>
            <w:tcW w:w="1732"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股份总额</w:t>
            </w:r>
            <w:r>
              <w:rPr>
                <w:rFonts w:ascii="宋体" w:hAnsi="宋体" w:cs="宋体" w:eastAsia="宋体" w:hint="default"/>
                <w:sz w:val="18"/>
                <w:szCs w:val="18"/>
              </w:rPr>
            </w:r>
          </w:p>
        </w:tc>
        <w:tc>
          <w:tcPr>
            <w:tcW w:w="2522"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901" w:right="0"/>
              <w:jc w:val="left"/>
              <w:rPr>
                <w:rFonts w:ascii="宋体" w:hAnsi="宋体" w:cs="宋体" w:eastAsia="宋体" w:hint="default"/>
                <w:sz w:val="18"/>
                <w:szCs w:val="18"/>
              </w:rPr>
            </w:pPr>
            <w:r>
              <w:rPr>
                <w:rFonts w:ascii="宋体"/>
                <w:b/>
                <w:sz w:val="18"/>
              </w:rPr>
              <w:t>2,963,898,951.00</w:t>
            </w:r>
            <w:r>
              <w:rPr>
                <w:rFonts w:ascii="宋体"/>
                <w:sz w:val="18"/>
              </w:rPr>
            </w:r>
          </w:p>
        </w:tc>
        <w:tc>
          <w:tcPr>
            <w:tcW w:w="2504"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403"/>
              <w:jc w:val="right"/>
              <w:rPr>
                <w:rFonts w:ascii="宋体" w:hAnsi="宋体" w:cs="宋体" w:eastAsia="宋体" w:hint="default"/>
                <w:sz w:val="18"/>
                <w:szCs w:val="18"/>
              </w:rPr>
            </w:pPr>
            <w:r>
              <w:rPr>
                <w:rFonts w:ascii="宋体"/>
                <w:b/>
                <w:sz w:val="18"/>
              </w:rPr>
              <w:t>0.00</w:t>
            </w:r>
            <w:r>
              <w:rPr>
                <w:rFonts w:ascii="宋体"/>
                <w:sz w:val="18"/>
              </w:rPr>
            </w:r>
          </w:p>
        </w:tc>
        <w:tc>
          <w:tcPr>
            <w:tcW w:w="1968"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405" w:right="0"/>
              <w:jc w:val="left"/>
              <w:rPr>
                <w:rFonts w:ascii="宋体" w:hAnsi="宋体" w:cs="宋体" w:eastAsia="宋体" w:hint="default"/>
                <w:sz w:val="18"/>
                <w:szCs w:val="18"/>
              </w:rPr>
            </w:pPr>
            <w:r>
              <w:rPr>
                <w:rFonts w:ascii="宋体"/>
                <w:b/>
                <w:sz w:val="18"/>
              </w:rPr>
              <w:t>2,963,898,951.00</w:t>
            </w:r>
            <w:r>
              <w:rPr>
                <w:rFonts w:ascii="宋体"/>
                <w:sz w:val="18"/>
              </w:rPr>
            </w:r>
          </w:p>
        </w:tc>
      </w:tr>
    </w:tbl>
    <w:p>
      <w:pPr>
        <w:spacing w:before="81"/>
        <w:ind w:left="116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36.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资本公积</w:t>
      </w:r>
    </w:p>
    <w:p>
      <w:pPr>
        <w:spacing w:line="240" w:lineRule="auto" w:before="8"/>
        <w:rPr>
          <w:rFonts w:ascii="宋体" w:hAnsi="宋体" w:cs="宋体" w:eastAsia="宋体" w:hint="default"/>
          <w:sz w:val="11"/>
          <w:szCs w:val="11"/>
        </w:rPr>
      </w:pPr>
    </w:p>
    <w:tbl>
      <w:tblPr>
        <w:tblW w:w="0" w:type="auto"/>
        <w:jc w:val="left"/>
        <w:tblInd w:w="654" w:type="dxa"/>
        <w:tblLayout w:type="fixed"/>
        <w:tblCellMar>
          <w:top w:w="0" w:type="dxa"/>
          <w:left w:w="0" w:type="dxa"/>
          <w:bottom w:w="0" w:type="dxa"/>
          <w:right w:w="0" w:type="dxa"/>
        </w:tblCellMar>
        <w:tblLook w:val="01E0"/>
      </w:tblPr>
      <w:tblGrid>
        <w:gridCol w:w="1627"/>
        <w:gridCol w:w="2106"/>
        <w:gridCol w:w="1745"/>
        <w:gridCol w:w="1564"/>
        <w:gridCol w:w="1683"/>
      </w:tblGrid>
      <w:tr>
        <w:trPr>
          <w:trHeight w:val="305" w:hRule="exact"/>
        </w:trPr>
        <w:tc>
          <w:tcPr>
            <w:tcW w:w="162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0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78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74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80"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6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34"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8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7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289" w:hRule="exact"/>
        </w:trPr>
        <w:tc>
          <w:tcPr>
            <w:tcW w:w="1627"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2106" w:type="dxa"/>
            <w:tcBorders>
              <w:top w:val="single" w:sz="4" w:space="0" w:color="000000"/>
              <w:left w:val="nil" w:sz="6" w:space="0" w:color="auto"/>
              <w:bottom w:val="nil" w:sz="6" w:space="0" w:color="auto"/>
              <w:right w:val="nil" w:sz="6" w:space="0" w:color="auto"/>
            </w:tcBorders>
          </w:tcPr>
          <w:p>
            <w:pPr>
              <w:pStyle w:val="TableParagraph"/>
              <w:spacing w:line="232" w:lineRule="exact"/>
              <w:ind w:right="212"/>
              <w:jc w:val="right"/>
              <w:rPr>
                <w:rFonts w:ascii="宋体" w:hAnsi="宋体" w:cs="宋体" w:eastAsia="宋体" w:hint="default"/>
                <w:sz w:val="18"/>
                <w:szCs w:val="18"/>
              </w:rPr>
            </w:pPr>
            <w:r>
              <w:rPr>
                <w:rFonts w:ascii="宋体"/>
                <w:spacing w:val="-1"/>
                <w:sz w:val="18"/>
              </w:rPr>
              <w:t>9,060,693,704.15</w:t>
            </w:r>
          </w:p>
        </w:tc>
        <w:tc>
          <w:tcPr>
            <w:tcW w:w="1745" w:type="dxa"/>
            <w:tcBorders>
              <w:top w:val="single" w:sz="4" w:space="0" w:color="000000"/>
              <w:left w:val="nil" w:sz="6" w:space="0" w:color="auto"/>
              <w:bottom w:val="nil" w:sz="6" w:space="0" w:color="auto"/>
              <w:right w:val="nil" w:sz="6" w:space="0" w:color="auto"/>
            </w:tcBorders>
          </w:tcPr>
          <w:p>
            <w:pPr>
              <w:pStyle w:val="TableParagraph"/>
              <w:spacing w:line="232" w:lineRule="exact"/>
              <w:ind w:right="258"/>
              <w:jc w:val="right"/>
              <w:rPr>
                <w:rFonts w:ascii="宋体" w:hAnsi="宋体" w:cs="宋体" w:eastAsia="宋体" w:hint="default"/>
                <w:sz w:val="18"/>
                <w:szCs w:val="18"/>
              </w:rPr>
            </w:pPr>
            <w:r>
              <w:rPr>
                <w:rFonts w:ascii="宋体"/>
                <w:spacing w:val="-1"/>
                <w:sz w:val="18"/>
              </w:rPr>
              <w:t>15,329,991.46</w:t>
            </w:r>
          </w:p>
        </w:tc>
        <w:tc>
          <w:tcPr>
            <w:tcW w:w="1564" w:type="dxa"/>
            <w:tcBorders>
              <w:top w:val="single" w:sz="4" w:space="0" w:color="000000"/>
              <w:left w:val="nil" w:sz="6" w:space="0" w:color="auto"/>
              <w:bottom w:val="nil" w:sz="6" w:space="0" w:color="auto"/>
              <w:right w:val="nil" w:sz="6" w:space="0" w:color="auto"/>
            </w:tcBorders>
          </w:tcPr>
          <w:p>
            <w:pPr>
              <w:pStyle w:val="TableParagraph"/>
              <w:spacing w:line="232" w:lineRule="exact"/>
              <w:ind w:right="123"/>
              <w:jc w:val="right"/>
              <w:rPr>
                <w:rFonts w:ascii="宋体" w:hAnsi="宋体" w:cs="宋体" w:eastAsia="宋体" w:hint="default"/>
                <w:sz w:val="18"/>
                <w:szCs w:val="18"/>
              </w:rPr>
            </w:pPr>
            <w:r>
              <w:rPr>
                <w:rFonts w:ascii="宋体"/>
                <w:spacing w:val="-1"/>
                <w:sz w:val="18"/>
              </w:rPr>
              <w:t>2,401,264.89</w:t>
            </w:r>
          </w:p>
        </w:tc>
        <w:tc>
          <w:tcPr>
            <w:tcW w:w="1683" w:type="dxa"/>
            <w:tcBorders>
              <w:top w:val="single" w:sz="4" w:space="0" w:color="000000"/>
              <w:left w:val="nil" w:sz="6" w:space="0" w:color="auto"/>
              <w:bottom w:val="nil" w:sz="6" w:space="0" w:color="auto"/>
              <w:right w:val="nil" w:sz="6" w:space="0" w:color="auto"/>
            </w:tcBorders>
          </w:tcPr>
          <w:p>
            <w:pPr>
              <w:pStyle w:val="TableParagraph"/>
              <w:spacing w:line="232" w:lineRule="exact"/>
              <w:ind w:right="103"/>
              <w:jc w:val="right"/>
              <w:rPr>
                <w:rFonts w:ascii="宋体" w:hAnsi="宋体" w:cs="宋体" w:eastAsia="宋体" w:hint="default"/>
                <w:sz w:val="18"/>
                <w:szCs w:val="18"/>
              </w:rPr>
            </w:pPr>
            <w:r>
              <w:rPr>
                <w:rFonts w:ascii="宋体"/>
                <w:spacing w:val="-1"/>
                <w:sz w:val="18"/>
              </w:rPr>
              <w:t>9,073,622,430.72</w:t>
            </w:r>
          </w:p>
        </w:tc>
      </w:tr>
      <w:tr>
        <w:trPr>
          <w:trHeight w:val="291" w:hRule="exact"/>
        </w:trPr>
        <w:tc>
          <w:tcPr>
            <w:tcW w:w="1627"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2106" w:type="dxa"/>
            <w:tcBorders>
              <w:top w:val="nil" w:sz="6" w:space="0" w:color="auto"/>
              <w:left w:val="nil" w:sz="6" w:space="0" w:color="auto"/>
              <w:bottom w:val="single" w:sz="4" w:space="0" w:color="000000"/>
              <w:right w:val="nil" w:sz="6" w:space="0" w:color="auto"/>
            </w:tcBorders>
          </w:tcPr>
          <w:p>
            <w:pPr>
              <w:pStyle w:val="TableParagraph"/>
              <w:spacing w:line="233" w:lineRule="exact"/>
              <w:ind w:right="212"/>
              <w:jc w:val="right"/>
              <w:rPr>
                <w:rFonts w:ascii="宋体" w:hAnsi="宋体" w:cs="宋体" w:eastAsia="宋体" w:hint="default"/>
                <w:sz w:val="18"/>
                <w:szCs w:val="18"/>
              </w:rPr>
            </w:pPr>
            <w:r>
              <w:rPr>
                <w:rFonts w:ascii="宋体"/>
                <w:spacing w:val="-1"/>
                <w:sz w:val="18"/>
              </w:rPr>
              <w:t>129,076,384.75</w:t>
            </w:r>
          </w:p>
        </w:tc>
        <w:tc>
          <w:tcPr>
            <w:tcW w:w="1745" w:type="dxa"/>
            <w:tcBorders>
              <w:top w:val="nil" w:sz="6" w:space="0" w:color="auto"/>
              <w:left w:val="nil" w:sz="6" w:space="0" w:color="auto"/>
              <w:bottom w:val="single" w:sz="4" w:space="0" w:color="000000"/>
              <w:right w:val="nil" w:sz="6" w:space="0" w:color="auto"/>
            </w:tcBorders>
          </w:tcPr>
          <w:p>
            <w:pPr>
              <w:pStyle w:val="TableParagraph"/>
              <w:spacing w:line="233" w:lineRule="exact"/>
              <w:ind w:right="258"/>
              <w:jc w:val="right"/>
              <w:rPr>
                <w:rFonts w:ascii="宋体" w:hAnsi="宋体" w:cs="宋体" w:eastAsia="宋体" w:hint="default"/>
                <w:sz w:val="18"/>
                <w:szCs w:val="18"/>
              </w:rPr>
            </w:pPr>
            <w:r>
              <w:rPr>
                <w:rFonts w:ascii="宋体"/>
                <w:spacing w:val="-1"/>
                <w:sz w:val="18"/>
              </w:rPr>
              <w:t>105,141,151.95</w:t>
            </w:r>
          </w:p>
        </w:tc>
        <w:tc>
          <w:tcPr>
            <w:tcW w:w="1564" w:type="dxa"/>
            <w:tcBorders>
              <w:top w:val="nil" w:sz="6" w:space="0" w:color="auto"/>
              <w:left w:val="nil" w:sz="6" w:space="0" w:color="auto"/>
              <w:bottom w:val="single" w:sz="4" w:space="0" w:color="000000"/>
              <w:right w:val="nil" w:sz="6" w:space="0" w:color="auto"/>
            </w:tcBorders>
          </w:tcPr>
          <w:p>
            <w:pPr>
              <w:pStyle w:val="TableParagraph"/>
              <w:spacing w:line="233" w:lineRule="exact"/>
              <w:ind w:right="123"/>
              <w:jc w:val="right"/>
              <w:rPr>
                <w:rFonts w:ascii="宋体" w:hAnsi="宋体" w:cs="宋体" w:eastAsia="宋体" w:hint="default"/>
                <w:sz w:val="18"/>
                <w:szCs w:val="18"/>
              </w:rPr>
            </w:pPr>
            <w:r>
              <w:rPr>
                <w:rFonts w:ascii="宋体"/>
                <w:spacing w:val="-1"/>
                <w:sz w:val="18"/>
              </w:rPr>
              <w:t>32,150,861.86</w:t>
            </w:r>
          </w:p>
        </w:tc>
        <w:tc>
          <w:tcPr>
            <w:tcW w:w="1683" w:type="dxa"/>
            <w:tcBorders>
              <w:top w:val="nil" w:sz="6" w:space="0" w:color="auto"/>
              <w:left w:val="nil" w:sz="6" w:space="0" w:color="auto"/>
              <w:bottom w:val="single" w:sz="4" w:space="0" w:color="000000"/>
              <w:right w:val="nil" w:sz="6" w:space="0" w:color="auto"/>
            </w:tcBorders>
          </w:tcPr>
          <w:p>
            <w:pPr>
              <w:pStyle w:val="TableParagraph"/>
              <w:spacing w:line="233" w:lineRule="exact"/>
              <w:ind w:right="103"/>
              <w:jc w:val="right"/>
              <w:rPr>
                <w:rFonts w:ascii="宋体" w:hAnsi="宋体" w:cs="宋体" w:eastAsia="宋体" w:hint="default"/>
                <w:sz w:val="18"/>
                <w:szCs w:val="18"/>
              </w:rPr>
            </w:pPr>
            <w:r>
              <w:rPr>
                <w:rFonts w:ascii="宋体"/>
                <w:spacing w:val="-1"/>
                <w:sz w:val="18"/>
              </w:rPr>
              <w:t>202,066,674.84</w:t>
            </w:r>
          </w:p>
        </w:tc>
      </w:tr>
      <w:tr>
        <w:trPr>
          <w:trHeight w:val="305" w:hRule="exact"/>
        </w:trPr>
        <w:tc>
          <w:tcPr>
            <w:tcW w:w="1627"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06"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13"/>
              <w:jc w:val="right"/>
              <w:rPr>
                <w:rFonts w:ascii="宋体" w:hAnsi="宋体" w:cs="宋体" w:eastAsia="宋体" w:hint="default"/>
                <w:sz w:val="18"/>
                <w:szCs w:val="18"/>
              </w:rPr>
            </w:pPr>
            <w:r>
              <w:rPr>
                <w:rFonts w:ascii="宋体"/>
                <w:b/>
                <w:w w:val="95"/>
                <w:sz w:val="18"/>
              </w:rPr>
              <w:t>9,189,770,088.90</w:t>
            </w:r>
            <w:r>
              <w:rPr>
                <w:rFonts w:ascii="宋体"/>
                <w:sz w:val="18"/>
              </w:rPr>
            </w:r>
          </w:p>
        </w:tc>
        <w:tc>
          <w:tcPr>
            <w:tcW w:w="174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58"/>
              <w:jc w:val="right"/>
              <w:rPr>
                <w:rFonts w:ascii="宋体" w:hAnsi="宋体" w:cs="宋体" w:eastAsia="宋体" w:hint="default"/>
                <w:sz w:val="18"/>
                <w:szCs w:val="18"/>
              </w:rPr>
            </w:pPr>
            <w:r>
              <w:rPr>
                <w:rFonts w:ascii="宋体"/>
                <w:b/>
                <w:w w:val="95"/>
                <w:sz w:val="18"/>
              </w:rPr>
              <w:t>120,471,143.41</w:t>
            </w:r>
            <w:r>
              <w:rPr>
                <w:rFonts w:ascii="宋体"/>
                <w:sz w:val="18"/>
              </w:rPr>
            </w:r>
          </w:p>
        </w:tc>
        <w:tc>
          <w:tcPr>
            <w:tcW w:w="1564"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23"/>
              <w:jc w:val="right"/>
              <w:rPr>
                <w:rFonts w:ascii="宋体" w:hAnsi="宋体" w:cs="宋体" w:eastAsia="宋体" w:hint="default"/>
                <w:sz w:val="18"/>
                <w:szCs w:val="18"/>
              </w:rPr>
            </w:pPr>
            <w:r>
              <w:rPr>
                <w:rFonts w:ascii="宋体"/>
                <w:b/>
                <w:w w:val="95"/>
                <w:sz w:val="18"/>
              </w:rPr>
              <w:t>34,552,126.75</w:t>
            </w:r>
            <w:r>
              <w:rPr>
                <w:rFonts w:ascii="宋体"/>
                <w:sz w:val="18"/>
              </w:rPr>
            </w:r>
          </w:p>
        </w:tc>
        <w:tc>
          <w:tcPr>
            <w:tcW w:w="1683"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b/>
                <w:w w:val="95"/>
                <w:sz w:val="18"/>
              </w:rPr>
              <w:t>9,275,689,105.56</w:t>
            </w:r>
            <w:r>
              <w:rPr>
                <w:rFonts w:ascii="宋体"/>
                <w:sz w:val="18"/>
              </w:rPr>
            </w:r>
          </w:p>
        </w:tc>
      </w:tr>
    </w:tbl>
    <w:p>
      <w:pPr>
        <w:spacing w:line="297" w:lineRule="auto" w:before="82"/>
        <w:ind w:left="762" w:right="757" w:firstLine="439"/>
        <w:jc w:val="both"/>
        <w:rPr>
          <w:rFonts w:ascii="宋体" w:hAnsi="宋体" w:cs="宋体" w:eastAsia="宋体" w:hint="default"/>
          <w:sz w:val="22"/>
          <w:szCs w:val="22"/>
        </w:rPr>
      </w:pPr>
      <w:r>
        <w:rPr>
          <w:rFonts w:ascii="宋体" w:hAnsi="宋体" w:cs="宋体" w:eastAsia="宋体" w:hint="default"/>
          <w:spacing w:val="-3"/>
          <w:sz w:val="22"/>
          <w:szCs w:val="22"/>
        </w:rPr>
        <w:t>股本溢价变动原因：在未丧失对合并报表范围内子公司实际控制权的前提下，本公司</w:t>
      </w:r>
      <w:r>
        <w:rPr>
          <w:rFonts w:ascii="宋体" w:hAnsi="宋体" w:cs="宋体" w:eastAsia="宋体" w:hint="default"/>
          <w:w w:val="100"/>
          <w:sz w:val="22"/>
          <w:szCs w:val="22"/>
        </w:rPr>
        <w:t> </w:t>
      </w:r>
      <w:r>
        <w:rPr>
          <w:rFonts w:ascii="宋体" w:hAnsi="宋体" w:cs="宋体" w:eastAsia="宋体" w:hint="default"/>
          <w:spacing w:val="-3"/>
          <w:sz w:val="22"/>
          <w:szCs w:val="22"/>
        </w:rPr>
        <w:t>因对子公司持股比例发生变化，导致在子公司归属于母公司所有者权益中所占份额增减变</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动，按权益性交易进行会计处理，相应增加股本溢价</w:t>
      </w:r>
      <w:r>
        <w:rPr>
          <w:rFonts w:ascii="宋体" w:hAnsi="宋体" w:cs="宋体" w:eastAsia="宋体" w:hint="default"/>
          <w:spacing w:val="-59"/>
          <w:sz w:val="22"/>
          <w:szCs w:val="22"/>
        </w:rPr>
        <w:t> </w:t>
      </w:r>
      <w:r>
        <w:rPr>
          <w:rFonts w:ascii="宋体" w:hAnsi="宋体" w:cs="宋体" w:eastAsia="宋体" w:hint="default"/>
          <w:sz w:val="22"/>
          <w:szCs w:val="22"/>
        </w:rPr>
        <w:t>15,329,991.46</w:t>
      </w:r>
      <w:r>
        <w:rPr>
          <w:rFonts w:ascii="宋体" w:hAnsi="宋体" w:cs="宋体" w:eastAsia="宋体" w:hint="default"/>
          <w:spacing w:val="-60"/>
          <w:sz w:val="22"/>
          <w:szCs w:val="22"/>
        </w:rPr>
        <w:t> </w:t>
      </w:r>
      <w:r>
        <w:rPr>
          <w:rFonts w:ascii="宋体" w:hAnsi="宋体" w:cs="宋体" w:eastAsia="宋体" w:hint="default"/>
          <w:sz w:val="22"/>
          <w:szCs w:val="22"/>
        </w:rPr>
        <w:t>元，减少股本溢价</w:t>
      </w:r>
    </w:p>
    <w:p>
      <w:pPr>
        <w:spacing w:before="17"/>
        <w:ind w:left="762" w:right="0" w:firstLine="0"/>
        <w:jc w:val="left"/>
        <w:rPr>
          <w:rFonts w:ascii="宋体" w:hAnsi="宋体" w:cs="宋体" w:eastAsia="宋体" w:hint="default"/>
          <w:sz w:val="22"/>
          <w:szCs w:val="22"/>
        </w:rPr>
      </w:pPr>
      <w:r>
        <w:rPr>
          <w:rFonts w:ascii="宋体" w:hAnsi="宋体" w:cs="宋体" w:eastAsia="宋体" w:hint="default"/>
          <w:sz w:val="22"/>
          <w:szCs w:val="22"/>
        </w:rPr>
        <w:t>2,401,264.89</w:t>
      </w:r>
      <w:r>
        <w:rPr>
          <w:rFonts w:ascii="宋体" w:hAnsi="宋体" w:cs="宋体" w:eastAsia="宋体" w:hint="default"/>
          <w:spacing w:val="-52"/>
          <w:sz w:val="22"/>
          <w:szCs w:val="22"/>
        </w:rPr>
        <w:t> </w:t>
      </w:r>
      <w:r>
        <w:rPr>
          <w:rFonts w:ascii="宋体" w:hAnsi="宋体" w:cs="宋体" w:eastAsia="宋体" w:hint="default"/>
          <w:spacing w:val="-3"/>
          <w:sz w:val="22"/>
          <w:szCs w:val="22"/>
        </w:rPr>
        <w:t>元。</w:t>
      </w:r>
      <w:r>
        <w:rPr>
          <w:rFonts w:ascii="宋体" w:hAnsi="宋体" w:cs="宋体" w:eastAsia="宋体" w:hint="default"/>
          <w:sz w:val="22"/>
          <w:szCs w:val="22"/>
        </w:rPr>
      </w:r>
    </w:p>
    <w:p>
      <w:pPr>
        <w:spacing w:line="297" w:lineRule="auto" w:before="127"/>
        <w:ind w:left="762" w:right="0" w:firstLine="439"/>
        <w:jc w:val="left"/>
        <w:rPr>
          <w:rFonts w:ascii="宋体" w:hAnsi="宋体" w:cs="宋体" w:eastAsia="宋体" w:hint="default"/>
          <w:sz w:val="22"/>
          <w:szCs w:val="22"/>
        </w:rPr>
      </w:pPr>
      <w:r>
        <w:rPr>
          <w:rFonts w:ascii="宋体" w:hAnsi="宋体" w:cs="宋体" w:eastAsia="宋体" w:hint="default"/>
          <w:spacing w:val="-3"/>
          <w:sz w:val="22"/>
          <w:szCs w:val="22"/>
        </w:rPr>
        <w:t>其他资本公积本期变动原因：在对联营企业未丧失重大影响的前提下，本公司因对联</w:t>
      </w:r>
      <w:r>
        <w:rPr>
          <w:rFonts w:ascii="宋体" w:hAnsi="宋体" w:cs="宋体" w:eastAsia="宋体" w:hint="default"/>
          <w:w w:val="100"/>
          <w:sz w:val="22"/>
          <w:szCs w:val="22"/>
        </w:rPr>
        <w:t> </w:t>
      </w:r>
      <w:r>
        <w:rPr>
          <w:rFonts w:ascii="宋体" w:hAnsi="宋体" w:cs="宋体" w:eastAsia="宋体" w:hint="default"/>
          <w:spacing w:val="-3"/>
          <w:sz w:val="22"/>
          <w:szCs w:val="22"/>
        </w:rPr>
        <w:t>营企业持股比例发生变化，导致在联营企业归属于母公司所有者权益中所占份额增减变动，</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z w:val="22"/>
          <w:szCs w:val="22"/>
        </w:rPr>
        <w:t>相应增加其他资本公积</w:t>
      </w:r>
      <w:r>
        <w:rPr>
          <w:rFonts w:ascii="宋体" w:hAnsi="宋体" w:cs="宋体" w:eastAsia="宋体" w:hint="default"/>
          <w:spacing w:val="-56"/>
          <w:sz w:val="22"/>
          <w:szCs w:val="22"/>
        </w:rPr>
        <w:t> </w:t>
      </w:r>
      <w:r>
        <w:rPr>
          <w:rFonts w:ascii="宋体" w:hAnsi="宋体" w:cs="宋体" w:eastAsia="宋体" w:hint="default"/>
          <w:sz w:val="22"/>
          <w:szCs w:val="22"/>
        </w:rPr>
        <w:t>27,166,696.13</w:t>
      </w:r>
      <w:r>
        <w:rPr>
          <w:rFonts w:ascii="宋体" w:hAnsi="宋体" w:cs="宋体" w:eastAsia="宋体" w:hint="default"/>
          <w:spacing w:val="-54"/>
          <w:sz w:val="22"/>
          <w:szCs w:val="22"/>
        </w:rPr>
        <w:t> </w:t>
      </w:r>
      <w:r>
        <w:rPr>
          <w:rFonts w:ascii="宋体" w:hAnsi="宋体" w:cs="宋体" w:eastAsia="宋体" w:hint="default"/>
          <w:spacing w:val="-3"/>
          <w:sz w:val="22"/>
          <w:szCs w:val="22"/>
        </w:rPr>
        <w:t>元。</w:t>
      </w:r>
      <w:r>
        <w:rPr>
          <w:rFonts w:ascii="宋体" w:hAnsi="宋体" w:cs="宋体" w:eastAsia="宋体" w:hint="default"/>
          <w:sz w:val="22"/>
          <w:szCs w:val="22"/>
        </w:rPr>
      </w:r>
    </w:p>
    <w:p>
      <w:pPr>
        <w:spacing w:line="297" w:lineRule="auto" w:before="74"/>
        <w:ind w:left="762" w:right="0" w:firstLine="439"/>
        <w:jc w:val="left"/>
        <w:rPr>
          <w:rFonts w:ascii="宋体" w:hAnsi="宋体" w:cs="宋体" w:eastAsia="宋体" w:hint="default"/>
          <w:sz w:val="22"/>
          <w:szCs w:val="22"/>
        </w:rPr>
      </w:pPr>
      <w:r>
        <w:rPr>
          <w:rFonts w:ascii="宋体" w:hAnsi="宋体" w:cs="宋体" w:eastAsia="宋体" w:hint="default"/>
          <w:spacing w:val="-3"/>
          <w:sz w:val="22"/>
          <w:szCs w:val="22"/>
        </w:rPr>
        <w:t>本公司所属联营企业发生除净损益、其他综合收益以外的直接计入所有者权益的交易</w:t>
      </w:r>
      <w:r>
        <w:rPr>
          <w:rFonts w:ascii="宋体" w:hAnsi="宋体" w:cs="宋体" w:eastAsia="宋体" w:hint="default"/>
          <w:w w:val="100"/>
          <w:sz w:val="22"/>
          <w:szCs w:val="22"/>
        </w:rPr>
        <w:t> </w:t>
      </w:r>
      <w:r>
        <w:rPr>
          <w:rFonts w:ascii="宋体" w:hAnsi="宋体" w:cs="宋体" w:eastAsia="宋体" w:hint="default"/>
          <w:sz w:val="22"/>
          <w:szCs w:val="22"/>
        </w:rPr>
        <w:t>事项，导致其归属于母公司所有者权益发生变化，本公司按持股比例确认应享有的金额，</w:t>
      </w:r>
      <w:r>
        <w:rPr>
          <w:rFonts w:ascii="宋体" w:hAnsi="宋体" w:cs="宋体" w:eastAsia="宋体" w:hint="default"/>
          <w:spacing w:val="-81"/>
          <w:sz w:val="22"/>
          <w:szCs w:val="22"/>
        </w:rPr>
        <w:t> </w:t>
      </w:r>
      <w:r>
        <w:rPr>
          <w:rFonts w:ascii="宋体" w:hAnsi="宋体" w:cs="宋体" w:eastAsia="宋体" w:hint="default"/>
          <w:spacing w:val="-81"/>
          <w:sz w:val="22"/>
          <w:szCs w:val="22"/>
        </w:rPr>
      </w:r>
      <w:r>
        <w:rPr>
          <w:rFonts w:ascii="宋体" w:hAnsi="宋体" w:cs="宋体" w:eastAsia="宋体" w:hint="default"/>
          <w:sz w:val="22"/>
          <w:szCs w:val="22"/>
        </w:rPr>
        <w:t>相应增加其他资本公积</w:t>
      </w:r>
      <w:r>
        <w:rPr>
          <w:rFonts w:ascii="宋体" w:hAnsi="宋体" w:cs="宋体" w:eastAsia="宋体" w:hint="default"/>
          <w:spacing w:val="-58"/>
          <w:sz w:val="22"/>
          <w:szCs w:val="22"/>
        </w:rPr>
        <w:t> </w:t>
      </w:r>
      <w:r>
        <w:rPr>
          <w:rFonts w:ascii="宋体" w:hAnsi="宋体" w:cs="宋体" w:eastAsia="宋体" w:hint="default"/>
          <w:sz w:val="22"/>
          <w:szCs w:val="22"/>
        </w:rPr>
        <w:t>77,891,666.51</w:t>
      </w:r>
      <w:r>
        <w:rPr>
          <w:rFonts w:ascii="宋体" w:hAnsi="宋体" w:cs="宋体" w:eastAsia="宋体" w:hint="default"/>
          <w:spacing w:val="-56"/>
          <w:sz w:val="22"/>
          <w:szCs w:val="22"/>
        </w:rPr>
        <w:t> </w:t>
      </w:r>
      <w:r>
        <w:rPr>
          <w:rFonts w:ascii="宋体" w:hAnsi="宋体" w:cs="宋体" w:eastAsia="宋体" w:hint="default"/>
          <w:sz w:val="22"/>
          <w:szCs w:val="22"/>
        </w:rPr>
        <w:t>元，减少其他资本公积</w:t>
      </w:r>
      <w:r>
        <w:rPr>
          <w:rFonts w:ascii="宋体" w:hAnsi="宋体" w:cs="宋体" w:eastAsia="宋体" w:hint="default"/>
          <w:spacing w:val="-56"/>
          <w:sz w:val="22"/>
          <w:szCs w:val="22"/>
        </w:rPr>
        <w:t> </w:t>
      </w:r>
      <w:r>
        <w:rPr>
          <w:rFonts w:ascii="宋体" w:hAnsi="宋体" w:cs="宋体" w:eastAsia="宋体" w:hint="default"/>
          <w:sz w:val="22"/>
          <w:szCs w:val="22"/>
        </w:rPr>
        <w:t>32,150,861.86</w:t>
      </w:r>
      <w:r>
        <w:rPr>
          <w:rFonts w:ascii="宋体" w:hAnsi="宋体" w:cs="宋体" w:eastAsia="宋体" w:hint="default"/>
          <w:spacing w:val="-56"/>
          <w:sz w:val="22"/>
          <w:szCs w:val="22"/>
        </w:rPr>
        <w:t> </w:t>
      </w:r>
      <w:r>
        <w:rPr>
          <w:rFonts w:ascii="宋体" w:hAnsi="宋体" w:cs="宋体" w:eastAsia="宋体" w:hint="default"/>
          <w:sz w:val="22"/>
          <w:szCs w:val="22"/>
        </w:rPr>
        <w:t>元。</w:t>
      </w:r>
    </w:p>
    <w:p>
      <w:pPr>
        <w:spacing w:line="297" w:lineRule="auto" w:before="77"/>
        <w:ind w:left="762" w:right="757" w:firstLine="439"/>
        <w:jc w:val="both"/>
        <w:rPr>
          <w:rFonts w:ascii="宋体" w:hAnsi="宋体" w:cs="宋体" w:eastAsia="宋体" w:hint="default"/>
          <w:sz w:val="22"/>
          <w:szCs w:val="22"/>
        </w:rPr>
      </w:pPr>
      <w:r>
        <w:rPr>
          <w:rFonts w:ascii="宋体" w:hAnsi="宋体" w:cs="宋体" w:eastAsia="宋体" w:hint="default"/>
          <w:spacing w:val="-3"/>
          <w:sz w:val="22"/>
          <w:szCs w:val="22"/>
        </w:rPr>
        <w:t>本公司之子公司同方友友控股有限公司本年因权益结算股份支付计划，导致其归属于</w:t>
      </w:r>
      <w:r>
        <w:rPr>
          <w:rFonts w:ascii="宋体" w:hAnsi="宋体" w:cs="宋体" w:eastAsia="宋体" w:hint="default"/>
          <w:w w:val="100"/>
          <w:sz w:val="22"/>
          <w:szCs w:val="22"/>
        </w:rPr>
        <w:t> </w:t>
      </w:r>
      <w:r>
        <w:rPr>
          <w:rFonts w:ascii="宋体" w:hAnsi="宋体" w:cs="宋体" w:eastAsia="宋体" w:hint="default"/>
          <w:spacing w:val="-3"/>
          <w:sz w:val="22"/>
          <w:szCs w:val="22"/>
        </w:rPr>
        <w:t>母公司所有者权益发生变化，本公司按持股比例确认应享有的金额，相应增加其他资本公</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积</w:t>
      </w:r>
      <w:r>
        <w:rPr>
          <w:rFonts w:ascii="宋体" w:hAnsi="宋体" w:cs="宋体" w:eastAsia="宋体" w:hint="default"/>
          <w:spacing w:val="-54"/>
          <w:sz w:val="22"/>
          <w:szCs w:val="22"/>
        </w:rPr>
        <w:t> </w:t>
      </w:r>
      <w:r>
        <w:rPr>
          <w:rFonts w:ascii="宋体" w:hAnsi="宋体" w:cs="宋体" w:eastAsia="宋体" w:hint="default"/>
          <w:sz w:val="22"/>
          <w:szCs w:val="22"/>
        </w:rPr>
        <w:t>82,789.31</w:t>
      </w:r>
      <w:r>
        <w:rPr>
          <w:rFonts w:ascii="宋体" w:hAnsi="宋体" w:cs="宋体" w:eastAsia="宋体" w:hint="default"/>
          <w:spacing w:val="-54"/>
          <w:sz w:val="22"/>
          <w:szCs w:val="22"/>
        </w:rPr>
        <w:t> </w:t>
      </w:r>
      <w:r>
        <w:rPr>
          <w:rFonts w:ascii="宋体" w:hAnsi="宋体" w:cs="宋体" w:eastAsia="宋体" w:hint="default"/>
          <w:spacing w:val="-3"/>
          <w:sz w:val="22"/>
          <w:szCs w:val="22"/>
        </w:rPr>
        <w:t>元。</w:t>
      </w:r>
      <w:r>
        <w:rPr>
          <w:rFonts w:ascii="宋体" w:hAnsi="宋体" w:cs="宋体" w:eastAsia="宋体" w:hint="default"/>
          <w:sz w:val="22"/>
          <w:szCs w:val="22"/>
        </w:rPr>
      </w:r>
    </w:p>
    <w:p>
      <w:pPr>
        <w:spacing w:after="0" w:line="297" w:lineRule="auto"/>
        <w:jc w:val="both"/>
        <w:rPr>
          <w:rFonts w:ascii="宋体" w:hAnsi="宋体" w:cs="宋体" w:eastAsia="宋体" w:hint="default"/>
          <w:sz w:val="22"/>
          <w:szCs w:val="22"/>
        </w:rPr>
        <w:sectPr>
          <w:pgSz w:w="11910" w:h="16840"/>
          <w:pgMar w:header="0" w:footer="1054" w:top="1320" w:bottom="1240" w:left="940" w:right="940"/>
        </w:sectPr>
      </w:pPr>
    </w:p>
    <w:p>
      <w:pPr>
        <w:spacing w:before="6"/>
        <w:ind w:left="14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37.</w:t>
      </w:r>
      <w:r>
        <w:rPr>
          <w:rFonts w:ascii="Times New Roman" w:hAnsi="Times New Roman" w:cs="Times New Roman" w:eastAsia="Times New Roman" w:hint="default"/>
          <w:b/>
          <w:bCs/>
          <w:spacing w:val="16"/>
          <w:sz w:val="22"/>
          <w:szCs w:val="22"/>
        </w:rPr>
        <w:t> </w:t>
      </w:r>
      <w:r>
        <w:rPr>
          <w:rFonts w:ascii="宋体" w:hAnsi="宋体" w:cs="宋体" w:eastAsia="宋体" w:hint="default"/>
          <w:sz w:val="22"/>
          <w:szCs w:val="22"/>
        </w:rPr>
        <w:t>其他综合收益</w:t>
      </w:r>
    </w:p>
    <w:p>
      <w:pPr>
        <w:spacing w:line="240" w:lineRule="auto" w:before="6"/>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1603"/>
        <w:gridCol w:w="1186"/>
        <w:gridCol w:w="1447"/>
        <w:gridCol w:w="1165"/>
        <w:gridCol w:w="1219"/>
        <w:gridCol w:w="1402"/>
        <w:gridCol w:w="1114"/>
        <w:gridCol w:w="1210"/>
      </w:tblGrid>
      <w:tr>
        <w:trPr>
          <w:trHeight w:val="302" w:hRule="exact"/>
        </w:trPr>
        <w:tc>
          <w:tcPr>
            <w:tcW w:w="1603" w:type="dxa"/>
            <w:tcBorders>
              <w:top w:val="single" w:sz="12" w:space="0" w:color="000000"/>
              <w:left w:val="nil" w:sz="6" w:space="0" w:color="auto"/>
              <w:bottom w:val="nil" w:sz="6" w:space="0" w:color="auto"/>
              <w:right w:val="nil" w:sz="6" w:space="0" w:color="auto"/>
            </w:tcBorders>
          </w:tcPr>
          <w:p>
            <w:pPr/>
          </w:p>
        </w:tc>
        <w:tc>
          <w:tcPr>
            <w:tcW w:w="1186" w:type="dxa"/>
            <w:tcBorders>
              <w:top w:val="single" w:sz="12" w:space="0" w:color="000000"/>
              <w:left w:val="nil" w:sz="6" w:space="0" w:color="auto"/>
              <w:bottom w:val="nil" w:sz="6" w:space="0" w:color="auto"/>
              <w:right w:val="nil" w:sz="6" w:space="0" w:color="auto"/>
            </w:tcBorders>
          </w:tcPr>
          <w:p>
            <w:pPr/>
          </w:p>
        </w:tc>
        <w:tc>
          <w:tcPr>
            <w:tcW w:w="1447" w:type="dxa"/>
            <w:tcBorders>
              <w:top w:val="single" w:sz="12" w:space="0" w:color="000000"/>
              <w:left w:val="nil" w:sz="6" w:space="0" w:color="auto"/>
              <w:bottom w:val="single" w:sz="4" w:space="0" w:color="000000"/>
              <w:right w:val="nil" w:sz="6" w:space="0" w:color="auto"/>
            </w:tcBorders>
          </w:tcPr>
          <w:p>
            <w:pPr/>
          </w:p>
        </w:tc>
        <w:tc>
          <w:tcPr>
            <w:tcW w:w="1165" w:type="dxa"/>
            <w:tcBorders>
              <w:top w:val="single" w:sz="12" w:space="0" w:color="000000"/>
              <w:left w:val="nil" w:sz="6" w:space="0" w:color="auto"/>
              <w:bottom w:val="single" w:sz="4" w:space="0" w:color="000000"/>
              <w:right w:val="nil" w:sz="6" w:space="0" w:color="auto"/>
            </w:tcBorders>
          </w:tcPr>
          <w:p>
            <w:pPr/>
          </w:p>
        </w:tc>
        <w:tc>
          <w:tcPr>
            <w:tcW w:w="1219"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160" w:right="0"/>
              <w:jc w:val="left"/>
              <w:rPr>
                <w:rFonts w:ascii="宋体" w:hAnsi="宋体" w:cs="宋体" w:eastAsia="宋体" w:hint="default"/>
                <w:sz w:val="16"/>
                <w:szCs w:val="16"/>
              </w:rPr>
            </w:pPr>
            <w:r>
              <w:rPr>
                <w:rFonts w:ascii="宋体" w:hAnsi="宋体" w:cs="宋体" w:eastAsia="宋体" w:hint="default"/>
                <w:b/>
                <w:bCs/>
                <w:sz w:val="16"/>
                <w:szCs w:val="16"/>
              </w:rPr>
              <w:t>本年发生额</w:t>
            </w:r>
            <w:r>
              <w:rPr>
                <w:rFonts w:ascii="宋体" w:hAnsi="宋体" w:cs="宋体" w:eastAsia="宋体" w:hint="default"/>
                <w:sz w:val="16"/>
                <w:szCs w:val="16"/>
              </w:rPr>
            </w:r>
          </w:p>
        </w:tc>
        <w:tc>
          <w:tcPr>
            <w:tcW w:w="1402" w:type="dxa"/>
            <w:tcBorders>
              <w:top w:val="single" w:sz="12" w:space="0" w:color="000000"/>
              <w:left w:val="nil" w:sz="6" w:space="0" w:color="auto"/>
              <w:bottom w:val="single" w:sz="4" w:space="0" w:color="000000"/>
              <w:right w:val="nil" w:sz="6" w:space="0" w:color="auto"/>
            </w:tcBorders>
          </w:tcPr>
          <w:p>
            <w:pPr/>
          </w:p>
        </w:tc>
        <w:tc>
          <w:tcPr>
            <w:tcW w:w="1114" w:type="dxa"/>
            <w:tcBorders>
              <w:top w:val="single" w:sz="12" w:space="0" w:color="000000"/>
              <w:left w:val="nil" w:sz="6" w:space="0" w:color="auto"/>
              <w:bottom w:val="single" w:sz="4" w:space="0" w:color="000000"/>
              <w:right w:val="nil" w:sz="6" w:space="0" w:color="auto"/>
            </w:tcBorders>
          </w:tcPr>
          <w:p>
            <w:pPr/>
          </w:p>
        </w:tc>
        <w:tc>
          <w:tcPr>
            <w:tcW w:w="1210" w:type="dxa"/>
            <w:tcBorders>
              <w:top w:val="single" w:sz="12" w:space="0" w:color="000000"/>
              <w:left w:val="nil" w:sz="6" w:space="0" w:color="auto"/>
              <w:bottom w:val="nil" w:sz="6" w:space="0" w:color="auto"/>
              <w:right w:val="nil" w:sz="6" w:space="0" w:color="auto"/>
            </w:tcBorders>
          </w:tcPr>
          <w:p>
            <w:pPr/>
          </w:p>
        </w:tc>
      </w:tr>
      <w:tr>
        <w:trPr>
          <w:trHeight w:val="258"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72"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66"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1447" w:type="dxa"/>
            <w:vMerge w:val="restart"/>
            <w:tcBorders>
              <w:top w:val="single" w:sz="4" w:space="0" w:color="000000"/>
              <w:left w:val="nil" w:sz="6" w:space="0" w:color="auto"/>
              <w:right w:val="nil" w:sz="6" w:space="0" w:color="auto"/>
            </w:tcBorders>
          </w:tcPr>
          <w:p>
            <w:pPr>
              <w:pStyle w:val="TableParagraph"/>
              <w:spacing w:line="206" w:lineRule="exact" w:before="121"/>
              <w:ind w:left="631" w:right="89" w:hanging="562"/>
              <w:jc w:val="left"/>
              <w:rPr>
                <w:rFonts w:ascii="宋体" w:hAnsi="宋体" w:cs="宋体" w:eastAsia="宋体" w:hint="default"/>
                <w:sz w:val="16"/>
                <w:szCs w:val="16"/>
              </w:rPr>
            </w:pPr>
            <w:r>
              <w:rPr>
                <w:rFonts w:ascii="宋体" w:hAnsi="宋体" w:cs="宋体" w:eastAsia="宋体" w:hint="default"/>
                <w:b/>
                <w:bCs/>
                <w:sz w:val="16"/>
                <w:szCs w:val="16"/>
              </w:rPr>
              <w:t>本年所得税前发生</w:t>
            </w:r>
            <w:r>
              <w:rPr>
                <w:rFonts w:ascii="宋体" w:hAnsi="宋体" w:cs="宋体" w:eastAsia="宋体" w:hint="default"/>
                <w:b/>
                <w:bCs/>
                <w:w w:val="100"/>
                <w:sz w:val="16"/>
                <w:szCs w:val="16"/>
              </w:rPr>
              <w:t> </w:t>
            </w:r>
            <w:r>
              <w:rPr>
                <w:rFonts w:ascii="宋体" w:hAnsi="宋体" w:cs="宋体" w:eastAsia="宋体" w:hint="default"/>
                <w:b/>
                <w:bCs/>
                <w:sz w:val="16"/>
                <w:szCs w:val="16"/>
              </w:rPr>
              <w:t>额</w:t>
            </w:r>
            <w:r>
              <w:rPr>
                <w:rFonts w:ascii="宋体" w:hAnsi="宋体" w:cs="宋体" w:eastAsia="宋体" w:hint="default"/>
                <w:sz w:val="16"/>
                <w:szCs w:val="16"/>
              </w:rPr>
            </w:r>
          </w:p>
        </w:tc>
        <w:tc>
          <w:tcPr>
            <w:tcW w:w="1165" w:type="dxa"/>
            <w:vMerge w:val="restart"/>
            <w:tcBorders>
              <w:top w:val="single" w:sz="4" w:space="0" w:color="000000"/>
              <w:left w:val="nil" w:sz="6" w:space="0" w:color="auto"/>
              <w:right w:val="nil" w:sz="6" w:space="0" w:color="auto"/>
            </w:tcBorders>
          </w:tcPr>
          <w:p>
            <w:pPr>
              <w:pStyle w:val="TableParagraph"/>
              <w:spacing w:line="206" w:lineRule="exact" w:before="17"/>
              <w:ind w:left="73" w:right="82" w:hanging="39"/>
              <w:jc w:val="both"/>
              <w:rPr>
                <w:rFonts w:ascii="宋体" w:hAnsi="宋体" w:cs="宋体" w:eastAsia="宋体" w:hint="default"/>
                <w:sz w:val="16"/>
                <w:szCs w:val="16"/>
              </w:rPr>
            </w:pPr>
            <w:r>
              <w:rPr>
                <w:rFonts w:ascii="宋体" w:hAnsi="宋体" w:cs="宋体" w:eastAsia="宋体" w:hint="default"/>
                <w:b/>
                <w:bCs/>
                <w:spacing w:val="-12"/>
                <w:w w:val="100"/>
                <w:sz w:val="16"/>
                <w:szCs w:val="16"/>
              </w:rPr>
              <w:t>减：前期计入其</w:t>
            </w:r>
            <w:r>
              <w:rPr>
                <w:rFonts w:ascii="宋体" w:hAnsi="宋体" w:cs="宋体" w:eastAsia="宋体" w:hint="default"/>
                <w:b/>
                <w:bCs/>
                <w:spacing w:val="-77"/>
                <w:w w:val="100"/>
                <w:sz w:val="16"/>
                <w:szCs w:val="16"/>
              </w:rPr>
              <w:t> </w:t>
            </w:r>
            <w:r>
              <w:rPr>
                <w:rFonts w:ascii="宋体" w:hAnsi="宋体" w:cs="宋体" w:eastAsia="宋体" w:hint="default"/>
                <w:b/>
                <w:bCs/>
                <w:spacing w:val="-77"/>
                <w:w w:val="100"/>
                <w:sz w:val="16"/>
                <w:szCs w:val="16"/>
              </w:rPr>
            </w:r>
            <w:r>
              <w:rPr>
                <w:rFonts w:ascii="宋体" w:hAnsi="宋体" w:cs="宋体" w:eastAsia="宋体" w:hint="default"/>
                <w:b/>
                <w:bCs/>
                <w:sz w:val="16"/>
                <w:szCs w:val="16"/>
              </w:rPr>
              <w:t>他综合收益当</w:t>
            </w:r>
            <w:r>
              <w:rPr>
                <w:rFonts w:ascii="宋体" w:hAnsi="宋体" w:cs="宋体" w:eastAsia="宋体" w:hint="default"/>
                <w:b/>
                <w:bCs/>
                <w:w w:val="100"/>
                <w:sz w:val="16"/>
                <w:szCs w:val="16"/>
              </w:rPr>
              <w:t> </w:t>
            </w:r>
            <w:r>
              <w:rPr>
                <w:rFonts w:ascii="宋体" w:hAnsi="宋体" w:cs="宋体" w:eastAsia="宋体" w:hint="default"/>
                <w:b/>
                <w:bCs/>
                <w:sz w:val="16"/>
                <w:szCs w:val="16"/>
              </w:rPr>
              <w:t>期转入损益</w:t>
            </w:r>
            <w:r>
              <w:rPr>
                <w:rFonts w:ascii="宋体" w:hAnsi="宋体" w:cs="宋体" w:eastAsia="宋体" w:hint="default"/>
                <w:sz w:val="16"/>
                <w:szCs w:val="16"/>
              </w:rPr>
            </w:r>
          </w:p>
        </w:tc>
        <w:tc>
          <w:tcPr>
            <w:tcW w:w="1219" w:type="dxa"/>
            <w:tcBorders>
              <w:top w:val="single" w:sz="4" w:space="0" w:color="000000"/>
              <w:left w:val="nil" w:sz="6" w:space="0" w:color="auto"/>
              <w:bottom w:val="nil" w:sz="6" w:space="0" w:color="auto"/>
              <w:right w:val="nil" w:sz="6" w:space="0" w:color="auto"/>
            </w:tcBorders>
          </w:tcPr>
          <w:p>
            <w:pPr/>
          </w:p>
        </w:tc>
        <w:tc>
          <w:tcPr>
            <w:tcW w:w="1402" w:type="dxa"/>
            <w:vMerge w:val="restart"/>
            <w:tcBorders>
              <w:top w:val="single" w:sz="4" w:space="0" w:color="000000"/>
              <w:left w:val="nil" w:sz="6" w:space="0" w:color="auto"/>
              <w:right w:val="nil" w:sz="6" w:space="0" w:color="auto"/>
            </w:tcBorders>
          </w:tcPr>
          <w:p>
            <w:pPr>
              <w:pStyle w:val="TableParagraph"/>
              <w:spacing w:line="206" w:lineRule="exact" w:before="121"/>
              <w:ind w:left="607" w:right="149" w:hanging="483"/>
              <w:jc w:val="left"/>
              <w:rPr>
                <w:rFonts w:ascii="宋体" w:hAnsi="宋体" w:cs="宋体" w:eastAsia="宋体" w:hint="default"/>
                <w:sz w:val="16"/>
                <w:szCs w:val="16"/>
              </w:rPr>
            </w:pPr>
            <w:r>
              <w:rPr>
                <w:rFonts w:ascii="宋体" w:hAnsi="宋体" w:cs="宋体" w:eastAsia="宋体" w:hint="default"/>
                <w:b/>
                <w:bCs/>
                <w:sz w:val="16"/>
                <w:szCs w:val="16"/>
              </w:rPr>
              <w:t>税后归属于母公</w:t>
            </w:r>
            <w:r>
              <w:rPr>
                <w:rFonts w:ascii="宋体" w:hAnsi="宋体" w:cs="宋体" w:eastAsia="宋体" w:hint="default"/>
                <w:b/>
                <w:bCs/>
                <w:w w:val="100"/>
                <w:sz w:val="16"/>
                <w:szCs w:val="16"/>
              </w:rPr>
              <w:t> </w:t>
            </w:r>
            <w:r>
              <w:rPr>
                <w:rFonts w:ascii="宋体" w:hAnsi="宋体" w:cs="宋体" w:eastAsia="宋体" w:hint="default"/>
                <w:b/>
                <w:bCs/>
                <w:sz w:val="16"/>
                <w:szCs w:val="16"/>
              </w:rPr>
              <w:t>司</w:t>
            </w:r>
            <w:r>
              <w:rPr>
                <w:rFonts w:ascii="宋体" w:hAnsi="宋体" w:cs="宋体" w:eastAsia="宋体" w:hint="default"/>
                <w:sz w:val="16"/>
                <w:szCs w:val="16"/>
              </w:rPr>
            </w:r>
          </w:p>
        </w:tc>
        <w:tc>
          <w:tcPr>
            <w:tcW w:w="1114" w:type="dxa"/>
            <w:vMerge w:val="restart"/>
            <w:tcBorders>
              <w:top w:val="single" w:sz="4" w:space="0" w:color="000000"/>
              <w:left w:val="nil" w:sz="6" w:space="0" w:color="auto"/>
              <w:right w:val="nil" w:sz="6" w:space="0" w:color="auto"/>
            </w:tcBorders>
          </w:tcPr>
          <w:p>
            <w:pPr>
              <w:pStyle w:val="TableParagraph"/>
              <w:spacing w:line="206" w:lineRule="exact" w:before="121"/>
              <w:ind w:left="295" w:right="91" w:hanging="240"/>
              <w:jc w:val="left"/>
              <w:rPr>
                <w:rFonts w:ascii="宋体" w:hAnsi="宋体" w:cs="宋体" w:eastAsia="宋体" w:hint="default"/>
                <w:sz w:val="16"/>
                <w:szCs w:val="16"/>
              </w:rPr>
            </w:pPr>
            <w:r>
              <w:rPr>
                <w:rFonts w:ascii="宋体" w:hAnsi="宋体" w:cs="宋体" w:eastAsia="宋体" w:hint="default"/>
                <w:b/>
                <w:bCs/>
                <w:sz w:val="16"/>
                <w:szCs w:val="16"/>
              </w:rPr>
              <w:t>税后归属于少</w:t>
            </w:r>
            <w:r>
              <w:rPr>
                <w:rFonts w:ascii="宋体" w:hAnsi="宋体" w:cs="宋体" w:eastAsia="宋体" w:hint="default"/>
                <w:b/>
                <w:bCs/>
                <w:w w:val="100"/>
                <w:sz w:val="16"/>
                <w:szCs w:val="16"/>
              </w:rPr>
              <w:t> </w:t>
            </w:r>
            <w:r>
              <w:rPr>
                <w:rFonts w:ascii="宋体" w:hAnsi="宋体" w:cs="宋体" w:eastAsia="宋体" w:hint="default"/>
                <w:b/>
                <w:bCs/>
                <w:sz w:val="16"/>
                <w:szCs w:val="16"/>
              </w:rPr>
              <w:t>数股东</w:t>
            </w:r>
            <w:r>
              <w:rPr>
                <w:rFonts w:ascii="宋体" w:hAnsi="宋体" w:cs="宋体" w:eastAsia="宋体" w:hint="default"/>
                <w:sz w:val="16"/>
                <w:szCs w:val="16"/>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3" w:right="0"/>
              <w:jc w:val="left"/>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tc>
      </w:tr>
      <w:tr>
        <w:trPr>
          <w:trHeight w:val="395" w:hRule="exact"/>
        </w:trPr>
        <w:tc>
          <w:tcPr>
            <w:tcW w:w="2789" w:type="dxa"/>
            <w:gridSpan w:val="2"/>
            <w:tcBorders>
              <w:top w:val="nil" w:sz="6" w:space="0" w:color="auto"/>
              <w:left w:val="nil" w:sz="6" w:space="0" w:color="auto"/>
              <w:bottom w:val="single" w:sz="4" w:space="0" w:color="000000"/>
              <w:right w:val="nil" w:sz="6" w:space="0" w:color="auto"/>
            </w:tcBorders>
          </w:tcPr>
          <w:p>
            <w:pPr/>
          </w:p>
        </w:tc>
        <w:tc>
          <w:tcPr>
            <w:tcW w:w="1447" w:type="dxa"/>
            <w:vMerge/>
            <w:tcBorders>
              <w:left w:val="nil" w:sz="6" w:space="0" w:color="auto"/>
              <w:bottom w:val="single" w:sz="4" w:space="0" w:color="000000"/>
              <w:right w:val="nil" w:sz="6" w:space="0" w:color="auto"/>
            </w:tcBorders>
          </w:tcPr>
          <w:p>
            <w:pPr/>
          </w:p>
        </w:tc>
        <w:tc>
          <w:tcPr>
            <w:tcW w:w="1165" w:type="dxa"/>
            <w:vMerge/>
            <w:tcBorders>
              <w:left w:val="nil" w:sz="6" w:space="0" w:color="auto"/>
              <w:bottom w:val="single" w:sz="4" w:space="0" w:color="000000"/>
              <w:right w:val="nil" w:sz="6" w:space="0" w:color="auto"/>
            </w:tcBorders>
          </w:tcPr>
          <w:p>
            <w:pPr/>
          </w:p>
        </w:tc>
        <w:tc>
          <w:tcPr>
            <w:tcW w:w="1219" w:type="dxa"/>
            <w:tcBorders>
              <w:top w:val="nil" w:sz="6" w:space="0" w:color="auto"/>
              <w:left w:val="nil" w:sz="6" w:space="0" w:color="auto"/>
              <w:bottom w:val="single" w:sz="4" w:space="0" w:color="000000"/>
              <w:right w:val="nil" w:sz="6" w:space="0" w:color="auto"/>
            </w:tcBorders>
          </w:tcPr>
          <w:p>
            <w:pPr>
              <w:pStyle w:val="TableParagraph"/>
              <w:spacing w:line="158" w:lineRule="exact"/>
              <w:ind w:right="50"/>
              <w:jc w:val="right"/>
              <w:rPr>
                <w:rFonts w:ascii="宋体" w:hAnsi="宋体" w:cs="宋体" w:eastAsia="宋体" w:hint="default"/>
                <w:sz w:val="16"/>
                <w:szCs w:val="16"/>
              </w:rPr>
            </w:pPr>
            <w:r>
              <w:rPr>
                <w:rFonts w:ascii="宋体" w:hAnsi="宋体" w:cs="宋体" w:eastAsia="宋体" w:hint="default"/>
                <w:b/>
                <w:bCs/>
                <w:sz w:val="16"/>
                <w:szCs w:val="16"/>
              </w:rPr>
              <w:t>减：所得税费用</w:t>
            </w:r>
            <w:r>
              <w:rPr>
                <w:rFonts w:ascii="宋体" w:hAnsi="宋体" w:cs="宋体" w:eastAsia="宋体" w:hint="default"/>
                <w:sz w:val="16"/>
                <w:szCs w:val="16"/>
              </w:rPr>
            </w:r>
          </w:p>
        </w:tc>
        <w:tc>
          <w:tcPr>
            <w:tcW w:w="1402" w:type="dxa"/>
            <w:vMerge/>
            <w:tcBorders>
              <w:left w:val="nil" w:sz="6" w:space="0" w:color="auto"/>
              <w:bottom w:val="single" w:sz="4" w:space="0" w:color="000000"/>
              <w:right w:val="nil" w:sz="6" w:space="0" w:color="auto"/>
            </w:tcBorders>
          </w:tcPr>
          <w:p>
            <w:pPr/>
          </w:p>
        </w:tc>
        <w:tc>
          <w:tcPr>
            <w:tcW w:w="1114" w:type="dxa"/>
            <w:vMerge/>
            <w:tcBorders>
              <w:left w:val="nil" w:sz="6" w:space="0" w:color="auto"/>
              <w:bottom w:val="single" w:sz="4" w:space="0" w:color="000000"/>
              <w:right w:val="nil" w:sz="6" w:space="0" w:color="auto"/>
            </w:tcBorders>
          </w:tcPr>
          <w:p>
            <w:pPr/>
          </w:p>
        </w:tc>
        <w:tc>
          <w:tcPr>
            <w:tcW w:w="1210" w:type="dxa"/>
            <w:tcBorders>
              <w:top w:val="nil" w:sz="6" w:space="0" w:color="auto"/>
              <w:left w:val="nil" w:sz="6" w:space="0" w:color="auto"/>
              <w:bottom w:val="single" w:sz="4" w:space="0" w:color="000000"/>
              <w:right w:val="nil" w:sz="6" w:space="0" w:color="auto"/>
            </w:tcBorders>
          </w:tcPr>
          <w:p>
            <w:pPr/>
          </w:p>
        </w:tc>
      </w:tr>
      <w:tr>
        <w:trPr>
          <w:trHeight w:val="290" w:hRule="exact"/>
        </w:trPr>
        <w:tc>
          <w:tcPr>
            <w:tcW w:w="2789"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72" w:right="-5"/>
              <w:jc w:val="left"/>
              <w:rPr>
                <w:rFonts w:ascii="宋体" w:hAnsi="宋体" w:cs="宋体" w:eastAsia="宋体" w:hint="default"/>
                <w:sz w:val="16"/>
                <w:szCs w:val="16"/>
              </w:rPr>
            </w:pPr>
            <w:r>
              <w:rPr>
                <w:rFonts w:ascii="宋体" w:hAnsi="宋体" w:cs="宋体" w:eastAsia="宋体" w:hint="default"/>
                <w:spacing w:val="-1"/>
                <w:sz w:val="16"/>
                <w:szCs w:val="16"/>
              </w:rPr>
              <w:t>一、不能重分类进损益的其他综合收益</w:t>
            </w:r>
          </w:p>
        </w:tc>
        <w:tc>
          <w:tcPr>
            <w:tcW w:w="1447" w:type="dxa"/>
            <w:tcBorders>
              <w:top w:val="single" w:sz="4" w:space="0" w:color="000000"/>
              <w:left w:val="nil" w:sz="6" w:space="0" w:color="auto"/>
              <w:bottom w:val="single" w:sz="4" w:space="0" w:color="000000"/>
              <w:right w:val="nil" w:sz="6" w:space="0" w:color="auto"/>
            </w:tcBorders>
          </w:tcPr>
          <w:p>
            <w:pPr/>
          </w:p>
        </w:tc>
        <w:tc>
          <w:tcPr>
            <w:tcW w:w="1165" w:type="dxa"/>
            <w:tcBorders>
              <w:top w:val="single" w:sz="4" w:space="0" w:color="000000"/>
              <w:left w:val="nil" w:sz="6" w:space="0" w:color="auto"/>
              <w:bottom w:val="single" w:sz="4" w:space="0" w:color="000000"/>
              <w:right w:val="nil" w:sz="6" w:space="0" w:color="auto"/>
            </w:tcBorders>
          </w:tcPr>
          <w:p>
            <w:pPr/>
          </w:p>
        </w:tc>
        <w:tc>
          <w:tcPr>
            <w:tcW w:w="1219" w:type="dxa"/>
            <w:tcBorders>
              <w:top w:val="single" w:sz="4" w:space="0" w:color="000000"/>
              <w:left w:val="nil" w:sz="6" w:space="0" w:color="auto"/>
              <w:bottom w:val="single" w:sz="4" w:space="0" w:color="000000"/>
              <w:right w:val="nil" w:sz="6" w:space="0" w:color="auto"/>
            </w:tcBorders>
          </w:tcPr>
          <w:p>
            <w:pPr/>
          </w:p>
        </w:tc>
        <w:tc>
          <w:tcPr>
            <w:tcW w:w="1402" w:type="dxa"/>
            <w:tcBorders>
              <w:top w:val="single" w:sz="4" w:space="0" w:color="000000"/>
              <w:left w:val="nil" w:sz="6" w:space="0" w:color="auto"/>
              <w:bottom w:val="single" w:sz="4" w:space="0" w:color="000000"/>
              <w:right w:val="nil" w:sz="6" w:space="0" w:color="auto"/>
            </w:tcBorders>
          </w:tcPr>
          <w:p>
            <w:pPr/>
          </w:p>
        </w:tc>
        <w:tc>
          <w:tcPr>
            <w:tcW w:w="1114" w:type="dxa"/>
            <w:tcBorders>
              <w:top w:val="single" w:sz="4" w:space="0" w:color="000000"/>
              <w:left w:val="nil" w:sz="6" w:space="0" w:color="auto"/>
              <w:bottom w:val="single" w:sz="4" w:space="0" w:color="000000"/>
              <w:right w:val="nil" w:sz="6" w:space="0" w:color="auto"/>
            </w:tcBorders>
          </w:tcPr>
          <w:p>
            <w:pPr/>
          </w:p>
        </w:tc>
        <w:tc>
          <w:tcPr>
            <w:tcW w:w="1210" w:type="dxa"/>
            <w:tcBorders>
              <w:top w:val="single" w:sz="4" w:space="0" w:color="000000"/>
              <w:left w:val="nil" w:sz="6" w:space="0" w:color="auto"/>
              <w:bottom w:val="single" w:sz="4" w:space="0" w:color="000000"/>
              <w:right w:val="nil" w:sz="6" w:space="0" w:color="auto"/>
            </w:tcBorders>
          </w:tcPr>
          <w:p>
            <w:pPr/>
          </w:p>
        </w:tc>
      </w:tr>
      <w:tr>
        <w:trPr>
          <w:trHeight w:val="425" w:hRule="exact"/>
        </w:trPr>
        <w:tc>
          <w:tcPr>
            <w:tcW w:w="1603" w:type="dxa"/>
            <w:tcBorders>
              <w:top w:val="single" w:sz="4" w:space="0" w:color="000000"/>
              <w:left w:val="nil" w:sz="6" w:space="0" w:color="auto"/>
              <w:bottom w:val="single" w:sz="4" w:space="0" w:color="000000"/>
              <w:right w:val="nil" w:sz="6" w:space="0" w:color="auto"/>
            </w:tcBorders>
          </w:tcPr>
          <w:p>
            <w:pPr>
              <w:pStyle w:val="TableParagraph"/>
              <w:spacing w:line="183" w:lineRule="exact"/>
              <w:ind w:left="72" w:right="0"/>
              <w:jc w:val="left"/>
              <w:rPr>
                <w:rFonts w:ascii="宋体" w:hAnsi="宋体" w:cs="宋体" w:eastAsia="宋体" w:hint="default"/>
                <w:sz w:val="16"/>
                <w:szCs w:val="16"/>
              </w:rPr>
            </w:pPr>
            <w:r>
              <w:rPr>
                <w:rFonts w:ascii="宋体" w:hAnsi="宋体" w:cs="宋体" w:eastAsia="宋体" w:hint="default"/>
                <w:sz w:val="16"/>
                <w:szCs w:val="16"/>
              </w:rPr>
              <w:t>不能转损益的其他综</w:t>
            </w:r>
          </w:p>
          <w:p>
            <w:pPr>
              <w:pStyle w:val="TableParagraph"/>
              <w:spacing w:line="209" w:lineRule="exact"/>
              <w:ind w:left="72" w:right="0"/>
              <w:jc w:val="left"/>
              <w:rPr>
                <w:rFonts w:ascii="宋体" w:hAnsi="宋体" w:cs="宋体" w:eastAsia="宋体" w:hint="default"/>
                <w:sz w:val="16"/>
                <w:szCs w:val="16"/>
              </w:rPr>
            </w:pPr>
            <w:r>
              <w:rPr>
                <w:rFonts w:ascii="宋体" w:hAnsi="宋体" w:cs="宋体" w:eastAsia="宋体" w:hint="default"/>
                <w:sz w:val="16"/>
                <w:szCs w:val="16"/>
              </w:rPr>
              <w:t>合收益</w:t>
            </w:r>
          </w:p>
        </w:tc>
        <w:tc>
          <w:tcPr>
            <w:tcW w:w="118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1"/>
              <w:jc w:val="right"/>
              <w:rPr>
                <w:rFonts w:ascii="宋体" w:hAnsi="宋体" w:cs="宋体" w:eastAsia="宋体" w:hint="default"/>
                <w:sz w:val="16"/>
                <w:szCs w:val="16"/>
              </w:rPr>
            </w:pPr>
            <w:r>
              <w:rPr>
                <w:rFonts w:ascii="宋体"/>
                <w:spacing w:val="-6"/>
                <w:sz w:val="16"/>
              </w:rPr>
              <w:t>0.00</w:t>
            </w:r>
            <w:r>
              <w:rPr>
                <w:rFonts w:ascii="宋体"/>
                <w:sz w:val="16"/>
              </w:rPr>
            </w:r>
          </w:p>
        </w:tc>
        <w:tc>
          <w:tcPr>
            <w:tcW w:w="144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2"/>
              <w:jc w:val="right"/>
              <w:rPr>
                <w:rFonts w:ascii="宋体" w:hAnsi="宋体" w:cs="宋体" w:eastAsia="宋体" w:hint="default"/>
                <w:sz w:val="16"/>
                <w:szCs w:val="16"/>
              </w:rPr>
            </w:pPr>
            <w:r>
              <w:rPr>
                <w:rFonts w:ascii="宋体"/>
                <w:spacing w:val="-7"/>
                <w:sz w:val="16"/>
              </w:rPr>
              <w:t>163,206,584.00</w:t>
            </w:r>
            <w:r>
              <w:rPr>
                <w:rFonts w:ascii="宋体"/>
                <w:sz w:val="16"/>
              </w:rPr>
            </w:r>
          </w:p>
        </w:tc>
        <w:tc>
          <w:tcPr>
            <w:tcW w:w="1165"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40"/>
              <w:jc w:val="right"/>
              <w:rPr>
                <w:rFonts w:ascii="宋体" w:hAnsi="宋体" w:cs="宋体" w:eastAsia="宋体" w:hint="default"/>
                <w:sz w:val="16"/>
                <w:szCs w:val="16"/>
              </w:rPr>
            </w:pPr>
            <w:r>
              <w:rPr>
                <w:rFonts w:ascii="宋体"/>
                <w:spacing w:val="-6"/>
                <w:sz w:val="16"/>
              </w:rPr>
              <w:t>0.00</w:t>
            </w:r>
            <w:r>
              <w:rPr>
                <w:rFonts w:ascii="宋体"/>
                <w:sz w:val="16"/>
              </w:rPr>
            </w:r>
          </w:p>
        </w:tc>
        <w:tc>
          <w:tcPr>
            <w:tcW w:w="1219"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36"/>
              <w:jc w:val="right"/>
              <w:rPr>
                <w:rFonts w:ascii="宋体" w:hAnsi="宋体" w:cs="宋体" w:eastAsia="宋体" w:hint="default"/>
                <w:sz w:val="16"/>
                <w:szCs w:val="16"/>
              </w:rPr>
            </w:pPr>
            <w:r>
              <w:rPr>
                <w:rFonts w:ascii="宋体"/>
                <w:spacing w:val="-7"/>
                <w:sz w:val="16"/>
              </w:rPr>
              <w:t>48,961,975.00</w:t>
            </w:r>
            <w:r>
              <w:rPr>
                <w:rFonts w:ascii="宋体"/>
                <w:sz w:val="16"/>
              </w:rPr>
            </w:r>
          </w:p>
        </w:tc>
        <w:tc>
          <w:tcPr>
            <w:tcW w:w="1402"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53"/>
              <w:jc w:val="right"/>
              <w:rPr>
                <w:rFonts w:ascii="宋体" w:hAnsi="宋体" w:cs="宋体" w:eastAsia="宋体" w:hint="default"/>
                <w:sz w:val="16"/>
                <w:szCs w:val="16"/>
              </w:rPr>
            </w:pPr>
            <w:r>
              <w:rPr>
                <w:rFonts w:ascii="宋体"/>
                <w:spacing w:val="-7"/>
                <w:sz w:val="16"/>
              </w:rPr>
              <w:t>73,984,808.79</w:t>
            </w:r>
            <w:r>
              <w:rPr>
                <w:rFonts w:ascii="宋体"/>
                <w:sz w:val="16"/>
              </w:rPr>
            </w:r>
          </w:p>
        </w:tc>
        <w:tc>
          <w:tcPr>
            <w:tcW w:w="1114"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125" w:right="0"/>
              <w:jc w:val="center"/>
              <w:rPr>
                <w:rFonts w:ascii="宋体" w:hAnsi="宋体" w:cs="宋体" w:eastAsia="宋体" w:hint="default"/>
                <w:sz w:val="16"/>
                <w:szCs w:val="16"/>
              </w:rPr>
            </w:pPr>
            <w:r>
              <w:rPr>
                <w:rFonts w:ascii="宋体"/>
                <w:spacing w:val="-7"/>
                <w:sz w:val="16"/>
              </w:rPr>
              <w:t>40,259,800.21</w:t>
            </w:r>
            <w:r>
              <w:rPr>
                <w:rFonts w:ascii="宋体"/>
                <w:sz w:val="16"/>
              </w:rPr>
            </w:r>
          </w:p>
        </w:tc>
        <w:tc>
          <w:tcPr>
            <w:tcW w:w="121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12"/>
              <w:jc w:val="right"/>
              <w:rPr>
                <w:rFonts w:ascii="宋体" w:hAnsi="宋体" w:cs="宋体" w:eastAsia="宋体" w:hint="default"/>
                <w:sz w:val="16"/>
                <w:szCs w:val="16"/>
              </w:rPr>
            </w:pPr>
            <w:r>
              <w:rPr>
                <w:rFonts w:ascii="宋体"/>
                <w:spacing w:val="-7"/>
                <w:sz w:val="16"/>
              </w:rPr>
              <w:t>73,984,808.79</w:t>
            </w:r>
            <w:r>
              <w:rPr>
                <w:rFonts w:ascii="宋体"/>
                <w:sz w:val="16"/>
              </w:rPr>
            </w:r>
          </w:p>
        </w:tc>
      </w:tr>
      <w:tr>
        <w:trPr>
          <w:trHeight w:val="267" w:hRule="exact"/>
        </w:trPr>
        <w:tc>
          <w:tcPr>
            <w:tcW w:w="10346" w:type="dxa"/>
            <w:gridSpan w:val="8"/>
            <w:tcBorders>
              <w:top w:val="single" w:sz="4" w:space="0" w:color="000000"/>
              <w:left w:val="nil" w:sz="6" w:space="0" w:color="auto"/>
              <w:bottom w:val="nil" w:sz="6" w:space="0" w:color="auto"/>
              <w:right w:val="nil" w:sz="6" w:space="0" w:color="auto"/>
            </w:tcBorders>
          </w:tcPr>
          <w:p>
            <w:pPr>
              <w:pStyle w:val="TableParagraph"/>
              <w:spacing w:line="240" w:lineRule="auto" w:before="12"/>
              <w:ind w:left="24" w:right="0"/>
              <w:jc w:val="left"/>
              <w:rPr>
                <w:rFonts w:ascii="宋体" w:hAnsi="宋体" w:cs="宋体" w:eastAsia="宋体" w:hint="default"/>
                <w:sz w:val="16"/>
                <w:szCs w:val="16"/>
              </w:rPr>
            </w:pPr>
            <w:r>
              <w:rPr>
                <w:rFonts w:ascii="宋体" w:hAnsi="宋体" w:cs="宋体" w:eastAsia="宋体" w:hint="default"/>
                <w:spacing w:val="-13"/>
                <w:sz w:val="16"/>
                <w:szCs w:val="16"/>
              </w:rPr>
              <w:t>二、将重分类进损益的其他综合收益</w:t>
            </w:r>
          </w:p>
        </w:tc>
      </w:tr>
      <w:tr>
        <w:trPr>
          <w:trHeight w:val="848"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37" w:lineRule="auto"/>
              <w:ind w:left="72" w:right="60"/>
              <w:jc w:val="both"/>
              <w:rPr>
                <w:rFonts w:ascii="宋体" w:hAnsi="宋体" w:cs="宋体" w:eastAsia="宋体" w:hint="default"/>
                <w:sz w:val="16"/>
                <w:szCs w:val="16"/>
              </w:rPr>
            </w:pPr>
            <w:r>
              <w:rPr>
                <w:rFonts w:ascii="宋体" w:hAnsi="宋体" w:cs="宋体" w:eastAsia="宋体" w:hint="default"/>
                <w:sz w:val="16"/>
                <w:szCs w:val="16"/>
              </w:rPr>
              <w:t>其中：权益法下在被</w:t>
            </w:r>
            <w:r>
              <w:rPr>
                <w:rFonts w:ascii="宋体" w:hAnsi="宋体" w:cs="宋体" w:eastAsia="宋体" w:hint="default"/>
                <w:spacing w:val="-55"/>
                <w:sz w:val="16"/>
                <w:szCs w:val="16"/>
              </w:rPr>
              <w:t> </w:t>
            </w:r>
            <w:r>
              <w:rPr>
                <w:rFonts w:ascii="宋体" w:hAnsi="宋体" w:cs="宋体" w:eastAsia="宋体" w:hint="default"/>
                <w:sz w:val="16"/>
                <w:szCs w:val="16"/>
              </w:rPr>
              <w:t>投资单位以后将重分</w:t>
            </w:r>
            <w:r>
              <w:rPr>
                <w:rFonts w:ascii="宋体" w:hAnsi="宋体" w:cs="宋体" w:eastAsia="宋体" w:hint="default"/>
                <w:spacing w:val="-55"/>
                <w:sz w:val="16"/>
                <w:szCs w:val="16"/>
              </w:rPr>
              <w:t> </w:t>
            </w:r>
            <w:r>
              <w:rPr>
                <w:rFonts w:ascii="宋体" w:hAnsi="宋体" w:cs="宋体" w:eastAsia="宋体" w:hint="default"/>
                <w:sz w:val="16"/>
                <w:szCs w:val="16"/>
              </w:rPr>
              <w:t>类进损益的其他综合</w:t>
            </w:r>
            <w:r>
              <w:rPr>
                <w:rFonts w:ascii="宋体" w:hAnsi="宋体" w:cs="宋体" w:eastAsia="宋体" w:hint="default"/>
                <w:spacing w:val="-55"/>
                <w:sz w:val="16"/>
                <w:szCs w:val="16"/>
              </w:rPr>
              <w:t> </w:t>
            </w:r>
            <w:r>
              <w:rPr>
                <w:rFonts w:ascii="宋体" w:hAnsi="宋体" w:cs="宋体" w:eastAsia="宋体" w:hint="default"/>
                <w:sz w:val="16"/>
                <w:szCs w:val="16"/>
              </w:rPr>
              <w:t>收益中享有的份额</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
              <w:jc w:val="right"/>
              <w:rPr>
                <w:rFonts w:ascii="宋体" w:hAnsi="宋体" w:cs="宋体" w:eastAsia="宋体" w:hint="default"/>
                <w:sz w:val="16"/>
                <w:szCs w:val="16"/>
              </w:rPr>
            </w:pPr>
            <w:r>
              <w:rPr>
                <w:rFonts w:ascii="宋体"/>
                <w:spacing w:val="-7"/>
                <w:sz w:val="16"/>
              </w:rPr>
              <w:t>-308,036,487.62</w:t>
            </w:r>
            <w:r>
              <w:rPr>
                <w:rFonts w:ascii="宋体"/>
                <w:sz w:val="16"/>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76"/>
              <w:jc w:val="right"/>
              <w:rPr>
                <w:rFonts w:ascii="宋体" w:hAnsi="宋体" w:cs="宋体" w:eastAsia="宋体" w:hint="default"/>
                <w:sz w:val="16"/>
                <w:szCs w:val="16"/>
              </w:rPr>
            </w:pPr>
            <w:r>
              <w:rPr>
                <w:rFonts w:ascii="宋体"/>
                <w:spacing w:val="-7"/>
                <w:sz w:val="16"/>
              </w:rPr>
              <w:t>-340,516,086.86</w:t>
            </w:r>
            <w:r>
              <w:rPr>
                <w:rFonts w:ascii="宋体"/>
                <w:sz w:val="16"/>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82"/>
              <w:jc w:val="right"/>
              <w:rPr>
                <w:rFonts w:ascii="宋体" w:hAnsi="宋体" w:cs="宋体" w:eastAsia="宋体" w:hint="default"/>
                <w:sz w:val="16"/>
                <w:szCs w:val="16"/>
              </w:rPr>
            </w:pPr>
            <w:r>
              <w:rPr>
                <w:rFonts w:ascii="宋体"/>
                <w:spacing w:val="-6"/>
                <w:sz w:val="16"/>
              </w:rPr>
              <w:t>0.00</w:t>
            </w:r>
            <w:r>
              <w:rPr>
                <w:rFonts w:ascii="宋体"/>
                <w:sz w:val="16"/>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36"/>
              <w:jc w:val="right"/>
              <w:rPr>
                <w:rFonts w:ascii="宋体" w:hAnsi="宋体" w:cs="宋体" w:eastAsia="宋体" w:hint="default"/>
                <w:sz w:val="16"/>
                <w:szCs w:val="16"/>
              </w:rPr>
            </w:pPr>
            <w:r>
              <w:rPr>
                <w:rFonts w:ascii="宋体"/>
                <w:spacing w:val="-6"/>
                <w:sz w:val="16"/>
              </w:rPr>
              <w:t>0.00</w:t>
            </w:r>
            <w:r>
              <w:rPr>
                <w:rFonts w:ascii="宋体"/>
                <w:sz w:val="16"/>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94"/>
              <w:jc w:val="right"/>
              <w:rPr>
                <w:rFonts w:ascii="宋体" w:hAnsi="宋体" w:cs="宋体" w:eastAsia="宋体" w:hint="default"/>
                <w:sz w:val="16"/>
                <w:szCs w:val="16"/>
              </w:rPr>
            </w:pPr>
            <w:r>
              <w:rPr>
                <w:rFonts w:ascii="宋体"/>
                <w:spacing w:val="-7"/>
                <w:sz w:val="16"/>
              </w:rPr>
              <w:t>-339,119,547.64</w:t>
            </w:r>
            <w:r>
              <w:rPr>
                <w:rFonts w:ascii="宋体"/>
                <w:sz w:val="16"/>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3" w:right="0"/>
              <w:jc w:val="center"/>
              <w:rPr>
                <w:rFonts w:ascii="宋体" w:hAnsi="宋体" w:cs="宋体" w:eastAsia="宋体" w:hint="default"/>
                <w:sz w:val="16"/>
                <w:szCs w:val="16"/>
              </w:rPr>
            </w:pPr>
            <w:r>
              <w:rPr>
                <w:rFonts w:ascii="宋体"/>
                <w:spacing w:val="-7"/>
                <w:sz w:val="16"/>
              </w:rPr>
              <w:t>-1,396,539.22</w:t>
            </w:r>
            <w:r>
              <w:rPr>
                <w:rFonts w:ascii="宋体"/>
                <w:sz w:val="16"/>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2"/>
              <w:jc w:val="right"/>
              <w:rPr>
                <w:rFonts w:ascii="宋体" w:hAnsi="宋体" w:cs="宋体" w:eastAsia="宋体" w:hint="default"/>
                <w:sz w:val="16"/>
                <w:szCs w:val="16"/>
              </w:rPr>
            </w:pPr>
            <w:r>
              <w:rPr>
                <w:rFonts w:ascii="宋体"/>
                <w:spacing w:val="-7"/>
                <w:sz w:val="16"/>
              </w:rPr>
              <w:t>-647,156,035.26</w:t>
            </w:r>
            <w:r>
              <w:rPr>
                <w:rFonts w:ascii="宋体"/>
                <w:sz w:val="16"/>
              </w:rPr>
            </w:r>
          </w:p>
        </w:tc>
      </w:tr>
      <w:tr>
        <w:trPr>
          <w:trHeight w:val="434"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183" w:lineRule="exact"/>
              <w:ind w:left="72" w:right="0"/>
              <w:jc w:val="left"/>
              <w:rPr>
                <w:rFonts w:ascii="宋体" w:hAnsi="宋体" w:cs="宋体" w:eastAsia="宋体" w:hint="default"/>
                <w:sz w:val="16"/>
                <w:szCs w:val="16"/>
              </w:rPr>
            </w:pPr>
            <w:r>
              <w:rPr>
                <w:rFonts w:ascii="宋体" w:hAnsi="宋体" w:cs="宋体" w:eastAsia="宋体" w:hint="default"/>
                <w:sz w:val="16"/>
                <w:szCs w:val="16"/>
              </w:rPr>
              <w:t>可供出售金融资产公</w:t>
            </w:r>
          </w:p>
          <w:p>
            <w:pPr>
              <w:pStyle w:val="TableParagraph"/>
              <w:spacing w:line="209" w:lineRule="exact"/>
              <w:ind w:left="72" w:right="0"/>
              <w:jc w:val="left"/>
              <w:rPr>
                <w:rFonts w:ascii="宋体" w:hAnsi="宋体" w:cs="宋体" w:eastAsia="宋体" w:hint="default"/>
                <w:sz w:val="16"/>
                <w:szCs w:val="16"/>
              </w:rPr>
            </w:pPr>
            <w:r>
              <w:rPr>
                <w:rFonts w:ascii="宋体" w:hAnsi="宋体" w:cs="宋体" w:eastAsia="宋体" w:hint="default"/>
                <w:sz w:val="16"/>
                <w:szCs w:val="16"/>
              </w:rPr>
              <w:t>允价值变动损益</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
              <w:jc w:val="right"/>
              <w:rPr>
                <w:rFonts w:ascii="宋体" w:hAnsi="宋体" w:cs="宋体" w:eastAsia="宋体" w:hint="default"/>
                <w:sz w:val="16"/>
                <w:szCs w:val="16"/>
              </w:rPr>
            </w:pPr>
            <w:r>
              <w:rPr>
                <w:rFonts w:ascii="宋体"/>
                <w:spacing w:val="-7"/>
                <w:sz w:val="16"/>
              </w:rPr>
              <w:t>926,418,097.36</w:t>
            </w:r>
            <w:r>
              <w:rPr>
                <w:rFonts w:ascii="宋体"/>
                <w:sz w:val="16"/>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6"/>
              <w:jc w:val="right"/>
              <w:rPr>
                <w:rFonts w:ascii="宋体" w:hAnsi="宋体" w:cs="宋体" w:eastAsia="宋体" w:hint="default"/>
                <w:sz w:val="16"/>
                <w:szCs w:val="16"/>
              </w:rPr>
            </w:pPr>
            <w:r>
              <w:rPr>
                <w:rFonts w:ascii="宋体"/>
                <w:spacing w:val="-7"/>
                <w:sz w:val="16"/>
              </w:rPr>
              <w:t>-1,275,269,145.25</w:t>
            </w:r>
            <w:r>
              <w:rPr>
                <w:rFonts w:ascii="宋体"/>
                <w:sz w:val="16"/>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2"/>
              <w:jc w:val="right"/>
              <w:rPr>
                <w:rFonts w:ascii="宋体" w:hAnsi="宋体" w:cs="宋体" w:eastAsia="宋体" w:hint="default"/>
                <w:sz w:val="16"/>
                <w:szCs w:val="16"/>
              </w:rPr>
            </w:pPr>
            <w:r>
              <w:rPr>
                <w:rFonts w:ascii="宋体"/>
                <w:spacing w:val="-7"/>
                <w:sz w:val="16"/>
              </w:rPr>
              <w:t>-21,722,301.85</w:t>
            </w:r>
            <w:r>
              <w:rPr>
                <w:rFonts w:ascii="宋体"/>
                <w:sz w:val="16"/>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6"/>
              <w:jc w:val="right"/>
              <w:rPr>
                <w:rFonts w:ascii="宋体" w:hAnsi="宋体" w:cs="宋体" w:eastAsia="宋体" w:hint="default"/>
                <w:sz w:val="16"/>
                <w:szCs w:val="16"/>
              </w:rPr>
            </w:pPr>
            <w:r>
              <w:rPr>
                <w:rFonts w:ascii="宋体"/>
                <w:spacing w:val="-7"/>
                <w:sz w:val="16"/>
              </w:rPr>
              <w:t>-347,589,552.40</w:t>
            </w:r>
            <w:r>
              <w:rPr>
                <w:rFonts w:ascii="宋体"/>
                <w:sz w:val="16"/>
              </w:rPr>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4"/>
              <w:jc w:val="right"/>
              <w:rPr>
                <w:rFonts w:ascii="宋体" w:hAnsi="宋体" w:cs="宋体" w:eastAsia="宋体" w:hint="default"/>
                <w:sz w:val="16"/>
                <w:szCs w:val="16"/>
              </w:rPr>
            </w:pPr>
            <w:r>
              <w:rPr>
                <w:rFonts w:ascii="宋体"/>
                <w:spacing w:val="-7"/>
                <w:sz w:val="16"/>
              </w:rPr>
              <w:t>-910,848,604.80</w:t>
            </w:r>
            <w:r>
              <w:rPr>
                <w:rFonts w:ascii="宋体"/>
                <w:sz w:val="16"/>
              </w:rPr>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17" w:right="0"/>
              <w:jc w:val="center"/>
              <w:rPr>
                <w:rFonts w:ascii="宋体" w:hAnsi="宋体" w:cs="宋体" w:eastAsia="宋体" w:hint="default"/>
                <w:sz w:val="16"/>
                <w:szCs w:val="16"/>
              </w:rPr>
            </w:pPr>
            <w:r>
              <w:rPr>
                <w:rFonts w:ascii="宋体"/>
                <w:spacing w:val="-7"/>
                <w:sz w:val="16"/>
              </w:rPr>
              <w:t>4,891,313.80</w:t>
            </w:r>
            <w:r>
              <w:rPr>
                <w:rFonts w:ascii="宋体"/>
                <w:sz w:val="16"/>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2"/>
              <w:jc w:val="right"/>
              <w:rPr>
                <w:rFonts w:ascii="宋体" w:hAnsi="宋体" w:cs="宋体" w:eastAsia="宋体" w:hint="default"/>
                <w:sz w:val="16"/>
                <w:szCs w:val="16"/>
              </w:rPr>
            </w:pPr>
            <w:r>
              <w:rPr>
                <w:rFonts w:ascii="宋体"/>
                <w:spacing w:val="-7"/>
                <w:sz w:val="16"/>
              </w:rPr>
              <w:t>15,569,492.56</w:t>
            </w:r>
            <w:r>
              <w:rPr>
                <w:rFonts w:ascii="宋体"/>
                <w:sz w:val="16"/>
              </w:rPr>
            </w:r>
          </w:p>
        </w:tc>
      </w:tr>
      <w:tr>
        <w:trPr>
          <w:trHeight w:val="267" w:hRule="exact"/>
        </w:trPr>
        <w:tc>
          <w:tcPr>
            <w:tcW w:w="1603" w:type="dxa"/>
            <w:tcBorders>
              <w:top w:val="nil" w:sz="6" w:space="0" w:color="auto"/>
              <w:left w:val="nil" w:sz="6" w:space="0" w:color="auto"/>
              <w:bottom w:val="single" w:sz="4" w:space="0" w:color="000000"/>
              <w:right w:val="nil" w:sz="6" w:space="0" w:color="auto"/>
            </w:tcBorders>
          </w:tcPr>
          <w:p>
            <w:pPr>
              <w:pStyle w:val="TableParagraph"/>
              <w:spacing w:line="203" w:lineRule="exact"/>
              <w:ind w:left="72" w:right="0"/>
              <w:jc w:val="left"/>
              <w:rPr>
                <w:rFonts w:ascii="宋体" w:hAnsi="宋体" w:cs="宋体" w:eastAsia="宋体" w:hint="default"/>
                <w:sz w:val="16"/>
                <w:szCs w:val="16"/>
              </w:rPr>
            </w:pPr>
            <w:r>
              <w:rPr>
                <w:rFonts w:ascii="宋体" w:hAnsi="宋体" w:cs="宋体" w:eastAsia="宋体" w:hint="default"/>
                <w:spacing w:val="-17"/>
                <w:sz w:val="16"/>
                <w:szCs w:val="16"/>
              </w:rPr>
              <w:t>外币财务报表折算差额</w:t>
            </w:r>
            <w:r>
              <w:rPr>
                <w:rFonts w:ascii="宋体" w:hAnsi="宋体" w:cs="宋体" w:eastAsia="宋体" w:hint="default"/>
                <w:sz w:val="16"/>
                <w:szCs w:val="16"/>
              </w:rPr>
            </w:r>
          </w:p>
        </w:tc>
        <w:tc>
          <w:tcPr>
            <w:tcW w:w="1186" w:type="dxa"/>
            <w:tcBorders>
              <w:top w:val="nil" w:sz="6" w:space="0" w:color="auto"/>
              <w:left w:val="nil" w:sz="6" w:space="0" w:color="auto"/>
              <w:bottom w:val="single" w:sz="4" w:space="0" w:color="000000"/>
              <w:right w:val="nil" w:sz="6" w:space="0" w:color="auto"/>
            </w:tcBorders>
          </w:tcPr>
          <w:p>
            <w:pPr>
              <w:pStyle w:val="TableParagraph"/>
              <w:spacing w:line="203" w:lineRule="exact"/>
              <w:ind w:right="10"/>
              <w:jc w:val="right"/>
              <w:rPr>
                <w:rFonts w:ascii="宋体" w:hAnsi="宋体" w:cs="宋体" w:eastAsia="宋体" w:hint="default"/>
                <w:sz w:val="16"/>
                <w:szCs w:val="16"/>
              </w:rPr>
            </w:pPr>
            <w:r>
              <w:rPr>
                <w:rFonts w:ascii="宋体"/>
                <w:spacing w:val="-7"/>
                <w:sz w:val="16"/>
              </w:rPr>
              <w:t>-76,133,822.75</w:t>
            </w:r>
            <w:r>
              <w:rPr>
                <w:rFonts w:ascii="宋体"/>
                <w:sz w:val="16"/>
              </w:rPr>
            </w:r>
          </w:p>
        </w:tc>
        <w:tc>
          <w:tcPr>
            <w:tcW w:w="1447" w:type="dxa"/>
            <w:tcBorders>
              <w:top w:val="nil" w:sz="6" w:space="0" w:color="auto"/>
              <w:left w:val="nil" w:sz="6" w:space="0" w:color="auto"/>
              <w:bottom w:val="single" w:sz="4" w:space="0" w:color="000000"/>
              <w:right w:val="nil" w:sz="6" w:space="0" w:color="auto"/>
            </w:tcBorders>
          </w:tcPr>
          <w:p>
            <w:pPr>
              <w:pStyle w:val="TableParagraph"/>
              <w:spacing w:line="203" w:lineRule="exact"/>
              <w:ind w:right="76"/>
              <w:jc w:val="right"/>
              <w:rPr>
                <w:rFonts w:ascii="宋体" w:hAnsi="宋体" w:cs="宋体" w:eastAsia="宋体" w:hint="default"/>
                <w:sz w:val="16"/>
                <w:szCs w:val="16"/>
              </w:rPr>
            </w:pPr>
            <w:r>
              <w:rPr>
                <w:rFonts w:ascii="宋体"/>
                <w:spacing w:val="-7"/>
                <w:sz w:val="16"/>
              </w:rPr>
              <w:t>-258,849,983.48</w:t>
            </w:r>
            <w:r>
              <w:rPr>
                <w:rFonts w:ascii="宋体"/>
                <w:sz w:val="16"/>
              </w:rPr>
            </w:r>
          </w:p>
        </w:tc>
        <w:tc>
          <w:tcPr>
            <w:tcW w:w="1165" w:type="dxa"/>
            <w:tcBorders>
              <w:top w:val="nil" w:sz="6" w:space="0" w:color="auto"/>
              <w:left w:val="nil" w:sz="6" w:space="0" w:color="auto"/>
              <w:bottom w:val="single" w:sz="4" w:space="0" w:color="000000"/>
              <w:right w:val="nil" w:sz="6" w:space="0" w:color="auto"/>
            </w:tcBorders>
          </w:tcPr>
          <w:p>
            <w:pPr>
              <w:pStyle w:val="TableParagraph"/>
              <w:spacing w:line="203" w:lineRule="exact"/>
              <w:ind w:right="82"/>
              <w:jc w:val="right"/>
              <w:rPr>
                <w:rFonts w:ascii="宋体" w:hAnsi="宋体" w:cs="宋体" w:eastAsia="宋体" w:hint="default"/>
                <w:sz w:val="16"/>
                <w:szCs w:val="16"/>
              </w:rPr>
            </w:pPr>
            <w:r>
              <w:rPr>
                <w:rFonts w:ascii="宋体"/>
                <w:spacing w:val="-6"/>
                <w:sz w:val="16"/>
              </w:rPr>
              <w:t>0.00</w:t>
            </w:r>
            <w:r>
              <w:rPr>
                <w:rFonts w:ascii="宋体"/>
                <w:sz w:val="16"/>
              </w:rPr>
            </w:r>
          </w:p>
        </w:tc>
        <w:tc>
          <w:tcPr>
            <w:tcW w:w="1219" w:type="dxa"/>
            <w:tcBorders>
              <w:top w:val="nil" w:sz="6" w:space="0" w:color="auto"/>
              <w:left w:val="nil" w:sz="6" w:space="0" w:color="auto"/>
              <w:bottom w:val="single" w:sz="4" w:space="0" w:color="000000"/>
              <w:right w:val="nil" w:sz="6" w:space="0" w:color="auto"/>
            </w:tcBorders>
          </w:tcPr>
          <w:p>
            <w:pPr>
              <w:pStyle w:val="TableParagraph"/>
              <w:spacing w:line="203" w:lineRule="exact"/>
              <w:ind w:right="36"/>
              <w:jc w:val="right"/>
              <w:rPr>
                <w:rFonts w:ascii="宋体" w:hAnsi="宋体" w:cs="宋体" w:eastAsia="宋体" w:hint="default"/>
                <w:sz w:val="16"/>
                <w:szCs w:val="16"/>
              </w:rPr>
            </w:pPr>
            <w:r>
              <w:rPr>
                <w:rFonts w:ascii="宋体"/>
                <w:spacing w:val="-6"/>
                <w:sz w:val="16"/>
              </w:rPr>
              <w:t>0.00</w:t>
            </w:r>
            <w:r>
              <w:rPr>
                <w:rFonts w:ascii="宋体"/>
                <w:sz w:val="16"/>
              </w:rPr>
            </w:r>
          </w:p>
        </w:tc>
        <w:tc>
          <w:tcPr>
            <w:tcW w:w="1402" w:type="dxa"/>
            <w:tcBorders>
              <w:top w:val="nil" w:sz="6" w:space="0" w:color="auto"/>
              <w:left w:val="nil" w:sz="6" w:space="0" w:color="auto"/>
              <w:bottom w:val="single" w:sz="4" w:space="0" w:color="000000"/>
              <w:right w:val="nil" w:sz="6" w:space="0" w:color="auto"/>
            </w:tcBorders>
          </w:tcPr>
          <w:p>
            <w:pPr>
              <w:pStyle w:val="TableParagraph"/>
              <w:spacing w:line="203" w:lineRule="exact"/>
              <w:ind w:right="94"/>
              <w:jc w:val="right"/>
              <w:rPr>
                <w:rFonts w:ascii="宋体" w:hAnsi="宋体" w:cs="宋体" w:eastAsia="宋体" w:hint="default"/>
                <w:sz w:val="16"/>
                <w:szCs w:val="16"/>
              </w:rPr>
            </w:pPr>
            <w:r>
              <w:rPr>
                <w:rFonts w:ascii="宋体"/>
                <w:spacing w:val="-7"/>
                <w:sz w:val="16"/>
              </w:rPr>
              <w:t>-264,859,475.05</w:t>
            </w:r>
            <w:r>
              <w:rPr>
                <w:rFonts w:ascii="宋体"/>
                <w:sz w:val="16"/>
              </w:rPr>
            </w:r>
          </w:p>
        </w:tc>
        <w:tc>
          <w:tcPr>
            <w:tcW w:w="1114" w:type="dxa"/>
            <w:tcBorders>
              <w:top w:val="nil" w:sz="6" w:space="0" w:color="auto"/>
              <w:left w:val="nil" w:sz="6" w:space="0" w:color="auto"/>
              <w:bottom w:val="single" w:sz="4" w:space="0" w:color="000000"/>
              <w:right w:val="nil" w:sz="6" w:space="0" w:color="auto"/>
            </w:tcBorders>
          </w:tcPr>
          <w:p>
            <w:pPr>
              <w:pStyle w:val="TableParagraph"/>
              <w:spacing w:line="203" w:lineRule="exact"/>
              <w:ind w:left="117" w:right="0"/>
              <w:jc w:val="center"/>
              <w:rPr>
                <w:rFonts w:ascii="宋体" w:hAnsi="宋体" w:cs="宋体" w:eastAsia="宋体" w:hint="default"/>
                <w:sz w:val="16"/>
                <w:szCs w:val="16"/>
              </w:rPr>
            </w:pPr>
            <w:r>
              <w:rPr>
                <w:rFonts w:ascii="宋体"/>
                <w:spacing w:val="-7"/>
                <w:sz w:val="16"/>
              </w:rPr>
              <w:t>6,009,491.57</w:t>
            </w:r>
            <w:r>
              <w:rPr>
                <w:rFonts w:ascii="宋体"/>
                <w:sz w:val="16"/>
              </w:rPr>
            </w:r>
          </w:p>
        </w:tc>
        <w:tc>
          <w:tcPr>
            <w:tcW w:w="1210" w:type="dxa"/>
            <w:tcBorders>
              <w:top w:val="nil" w:sz="6" w:space="0" w:color="auto"/>
              <w:left w:val="nil" w:sz="6" w:space="0" w:color="auto"/>
              <w:bottom w:val="single" w:sz="4" w:space="0" w:color="000000"/>
              <w:right w:val="nil" w:sz="6" w:space="0" w:color="auto"/>
            </w:tcBorders>
          </w:tcPr>
          <w:p>
            <w:pPr>
              <w:pStyle w:val="TableParagraph"/>
              <w:spacing w:line="203" w:lineRule="exact"/>
              <w:ind w:right="12"/>
              <w:jc w:val="right"/>
              <w:rPr>
                <w:rFonts w:ascii="宋体" w:hAnsi="宋体" w:cs="宋体" w:eastAsia="宋体" w:hint="default"/>
                <w:sz w:val="16"/>
                <w:szCs w:val="16"/>
              </w:rPr>
            </w:pPr>
            <w:r>
              <w:rPr>
                <w:rFonts w:ascii="宋体"/>
                <w:spacing w:val="-7"/>
                <w:sz w:val="16"/>
              </w:rPr>
              <w:t>-340,993,297.80</w:t>
            </w:r>
            <w:r>
              <w:rPr>
                <w:rFonts w:ascii="宋体"/>
                <w:sz w:val="16"/>
              </w:rPr>
            </w:r>
          </w:p>
        </w:tc>
      </w:tr>
      <w:tr>
        <w:trPr>
          <w:trHeight w:val="303" w:hRule="exact"/>
        </w:trPr>
        <w:tc>
          <w:tcPr>
            <w:tcW w:w="1603"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left="352" w:right="0"/>
              <w:jc w:val="left"/>
              <w:rPr>
                <w:rFonts w:ascii="宋体" w:hAnsi="宋体" w:cs="宋体" w:eastAsia="宋体" w:hint="default"/>
                <w:sz w:val="16"/>
                <w:szCs w:val="16"/>
              </w:rPr>
            </w:pPr>
            <w:r>
              <w:rPr>
                <w:rFonts w:ascii="宋体" w:hAnsi="宋体" w:cs="宋体" w:eastAsia="宋体" w:hint="default"/>
                <w:b/>
                <w:bCs/>
                <w:spacing w:val="-12"/>
                <w:sz w:val="16"/>
                <w:szCs w:val="16"/>
              </w:rPr>
              <w:t>其他综合收益合计</w:t>
            </w:r>
            <w:r>
              <w:rPr>
                <w:rFonts w:ascii="宋体" w:hAnsi="宋体" w:cs="宋体" w:eastAsia="宋体" w:hint="default"/>
                <w:sz w:val="16"/>
                <w:szCs w:val="16"/>
              </w:rPr>
            </w:r>
          </w:p>
        </w:tc>
        <w:tc>
          <w:tcPr>
            <w:tcW w:w="1186"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48"/>
              <w:jc w:val="right"/>
              <w:rPr>
                <w:rFonts w:ascii="宋体" w:hAnsi="宋体" w:cs="宋体" w:eastAsia="宋体" w:hint="default"/>
                <w:sz w:val="16"/>
                <w:szCs w:val="16"/>
              </w:rPr>
            </w:pPr>
            <w:r>
              <w:rPr>
                <w:rFonts w:ascii="宋体"/>
                <w:b/>
                <w:spacing w:val="-6"/>
                <w:sz w:val="16"/>
              </w:rPr>
              <w:t>542,247,786.99</w:t>
            </w:r>
            <w:r>
              <w:rPr>
                <w:rFonts w:ascii="宋体"/>
                <w:spacing w:val="-6"/>
                <w:sz w:val="16"/>
              </w:rPr>
            </w:r>
          </w:p>
        </w:tc>
        <w:tc>
          <w:tcPr>
            <w:tcW w:w="1447"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71"/>
              <w:jc w:val="right"/>
              <w:rPr>
                <w:rFonts w:ascii="宋体" w:hAnsi="宋体" w:cs="宋体" w:eastAsia="宋体" w:hint="default"/>
                <w:sz w:val="16"/>
                <w:szCs w:val="16"/>
              </w:rPr>
            </w:pPr>
            <w:r>
              <w:rPr>
                <w:rFonts w:ascii="宋体"/>
                <w:b/>
                <w:spacing w:val="-6"/>
                <w:sz w:val="16"/>
              </w:rPr>
              <w:t>-1,711,428,631.59</w:t>
            </w:r>
            <w:r>
              <w:rPr>
                <w:rFonts w:ascii="宋体"/>
                <w:spacing w:val="-6"/>
                <w:sz w:val="16"/>
              </w:rPr>
            </w:r>
          </w:p>
        </w:tc>
        <w:tc>
          <w:tcPr>
            <w:tcW w:w="1165"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79"/>
              <w:jc w:val="right"/>
              <w:rPr>
                <w:rFonts w:ascii="宋体" w:hAnsi="宋体" w:cs="宋体" w:eastAsia="宋体" w:hint="default"/>
                <w:sz w:val="16"/>
                <w:szCs w:val="16"/>
              </w:rPr>
            </w:pPr>
            <w:r>
              <w:rPr>
                <w:rFonts w:ascii="宋体"/>
                <w:b/>
                <w:spacing w:val="-6"/>
                <w:sz w:val="16"/>
              </w:rPr>
              <w:t>-21,722,301.85</w:t>
            </w:r>
            <w:r>
              <w:rPr>
                <w:rFonts w:ascii="宋体"/>
                <w:spacing w:val="-6"/>
                <w:sz w:val="16"/>
              </w:rPr>
            </w:r>
          </w:p>
        </w:tc>
        <w:tc>
          <w:tcPr>
            <w:tcW w:w="1219"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31"/>
              <w:jc w:val="right"/>
              <w:rPr>
                <w:rFonts w:ascii="宋体" w:hAnsi="宋体" w:cs="宋体" w:eastAsia="宋体" w:hint="default"/>
                <w:sz w:val="16"/>
                <w:szCs w:val="16"/>
              </w:rPr>
            </w:pPr>
            <w:r>
              <w:rPr>
                <w:rFonts w:ascii="宋体"/>
                <w:b/>
                <w:spacing w:val="-6"/>
                <w:sz w:val="16"/>
              </w:rPr>
              <w:t>-298,627,577.40</w:t>
            </w:r>
            <w:r>
              <w:rPr>
                <w:rFonts w:ascii="宋体"/>
                <w:spacing w:val="-6"/>
                <w:sz w:val="16"/>
              </w:rPr>
            </w:r>
          </w:p>
        </w:tc>
        <w:tc>
          <w:tcPr>
            <w:tcW w:w="1402"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89"/>
              <w:jc w:val="right"/>
              <w:rPr>
                <w:rFonts w:ascii="宋体" w:hAnsi="宋体" w:cs="宋体" w:eastAsia="宋体" w:hint="default"/>
                <w:sz w:val="16"/>
                <w:szCs w:val="16"/>
              </w:rPr>
            </w:pPr>
            <w:r>
              <w:rPr>
                <w:rFonts w:ascii="宋体"/>
                <w:b/>
                <w:spacing w:val="-6"/>
                <w:sz w:val="16"/>
              </w:rPr>
              <w:t>-1,440,842,818.70</w:t>
            </w:r>
            <w:r>
              <w:rPr>
                <w:rFonts w:ascii="宋体"/>
                <w:spacing w:val="-6"/>
                <w:sz w:val="16"/>
              </w:rPr>
            </w:r>
          </w:p>
        </w:tc>
        <w:tc>
          <w:tcPr>
            <w:tcW w:w="1114"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left="40" w:right="0"/>
              <w:jc w:val="center"/>
              <w:rPr>
                <w:rFonts w:ascii="宋体" w:hAnsi="宋体" w:cs="宋体" w:eastAsia="宋体" w:hint="default"/>
                <w:sz w:val="16"/>
                <w:szCs w:val="16"/>
              </w:rPr>
            </w:pPr>
            <w:r>
              <w:rPr>
                <w:rFonts w:ascii="宋体"/>
                <w:b/>
                <w:spacing w:val="-6"/>
                <w:sz w:val="16"/>
              </w:rPr>
              <w:t>49,764,066.36</w:t>
            </w:r>
            <w:r>
              <w:rPr>
                <w:rFonts w:ascii="宋体"/>
                <w:spacing w:val="-6"/>
                <w:sz w:val="16"/>
              </w:rPr>
            </w:r>
          </w:p>
        </w:tc>
        <w:tc>
          <w:tcPr>
            <w:tcW w:w="1210" w:type="dxa"/>
            <w:tcBorders>
              <w:top w:val="single" w:sz="4" w:space="0" w:color="000000"/>
              <w:left w:val="nil" w:sz="6" w:space="0" w:color="auto"/>
              <w:bottom w:val="single" w:sz="12" w:space="0" w:color="000000"/>
              <w:right w:val="nil" w:sz="6" w:space="0" w:color="auto"/>
            </w:tcBorders>
          </w:tcPr>
          <w:p>
            <w:pPr>
              <w:pStyle w:val="TableParagraph"/>
              <w:spacing w:line="240" w:lineRule="auto" w:before="13"/>
              <w:ind w:right="8"/>
              <w:jc w:val="right"/>
              <w:rPr>
                <w:rFonts w:ascii="宋体" w:hAnsi="宋体" w:cs="宋体" w:eastAsia="宋体" w:hint="default"/>
                <w:sz w:val="16"/>
                <w:szCs w:val="16"/>
              </w:rPr>
            </w:pPr>
            <w:r>
              <w:rPr>
                <w:rFonts w:ascii="宋体"/>
                <w:b/>
                <w:spacing w:val="-6"/>
                <w:sz w:val="16"/>
              </w:rPr>
              <w:t>-898,595,031.71</w:t>
            </w:r>
            <w:r>
              <w:rPr>
                <w:rFonts w:ascii="宋体"/>
                <w:spacing w:val="-6"/>
                <w:sz w:val="16"/>
              </w:rPr>
            </w:r>
          </w:p>
        </w:tc>
      </w:tr>
    </w:tbl>
    <w:p>
      <w:pPr>
        <w:spacing w:before="81"/>
        <w:ind w:left="14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38.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盈余公积</w:t>
      </w:r>
    </w:p>
    <w:p>
      <w:pPr>
        <w:spacing w:line="240" w:lineRule="auto" w:before="8"/>
        <w:rPr>
          <w:rFonts w:ascii="宋体" w:hAnsi="宋体" w:cs="宋体" w:eastAsia="宋体" w:hint="default"/>
          <w:sz w:val="11"/>
          <w:szCs w:val="11"/>
        </w:rPr>
      </w:pPr>
    </w:p>
    <w:tbl>
      <w:tblPr>
        <w:tblW w:w="0" w:type="auto"/>
        <w:jc w:val="left"/>
        <w:tblInd w:w="845" w:type="dxa"/>
        <w:tblLayout w:type="fixed"/>
        <w:tblCellMar>
          <w:top w:w="0" w:type="dxa"/>
          <w:left w:w="0" w:type="dxa"/>
          <w:bottom w:w="0" w:type="dxa"/>
          <w:right w:w="0" w:type="dxa"/>
        </w:tblCellMar>
        <w:tblLook w:val="01E0"/>
      </w:tblPr>
      <w:tblGrid>
        <w:gridCol w:w="1703"/>
        <w:gridCol w:w="2261"/>
        <w:gridCol w:w="1678"/>
        <w:gridCol w:w="1497"/>
        <w:gridCol w:w="1673"/>
      </w:tblGrid>
      <w:tr>
        <w:trPr>
          <w:trHeight w:val="305" w:hRule="exact"/>
        </w:trPr>
        <w:tc>
          <w:tcPr>
            <w:tcW w:w="170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6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87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7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93"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9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91"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7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7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289" w:hRule="exact"/>
        </w:trPr>
        <w:tc>
          <w:tcPr>
            <w:tcW w:w="1703"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2261" w:type="dxa"/>
            <w:tcBorders>
              <w:top w:val="single" w:sz="4" w:space="0" w:color="000000"/>
              <w:left w:val="nil" w:sz="6" w:space="0" w:color="auto"/>
              <w:bottom w:val="nil" w:sz="6" w:space="0" w:color="auto"/>
              <w:right w:val="nil" w:sz="6" w:space="0" w:color="auto"/>
            </w:tcBorders>
          </w:tcPr>
          <w:p>
            <w:pPr>
              <w:pStyle w:val="TableParagraph"/>
              <w:spacing w:line="232" w:lineRule="exact"/>
              <w:ind w:right="292"/>
              <w:jc w:val="right"/>
              <w:rPr>
                <w:rFonts w:ascii="宋体" w:hAnsi="宋体" w:cs="宋体" w:eastAsia="宋体" w:hint="default"/>
                <w:sz w:val="18"/>
                <w:szCs w:val="18"/>
              </w:rPr>
            </w:pPr>
            <w:r>
              <w:rPr>
                <w:rFonts w:ascii="宋体"/>
                <w:spacing w:val="-1"/>
                <w:sz w:val="18"/>
              </w:rPr>
              <w:t>1,257,230,536.48</w:t>
            </w:r>
          </w:p>
        </w:tc>
        <w:tc>
          <w:tcPr>
            <w:tcW w:w="1678" w:type="dxa"/>
            <w:tcBorders>
              <w:top w:val="single" w:sz="4" w:space="0" w:color="000000"/>
              <w:left w:val="nil" w:sz="6" w:space="0" w:color="auto"/>
              <w:bottom w:val="nil" w:sz="6" w:space="0" w:color="auto"/>
              <w:right w:val="nil" w:sz="6" w:space="0" w:color="auto"/>
            </w:tcBorders>
          </w:tcPr>
          <w:p>
            <w:pPr>
              <w:pStyle w:val="TableParagraph"/>
              <w:spacing w:line="232" w:lineRule="exact"/>
              <w:ind w:right="289"/>
              <w:jc w:val="right"/>
              <w:rPr>
                <w:rFonts w:ascii="宋体" w:hAnsi="宋体" w:cs="宋体" w:eastAsia="宋体" w:hint="default"/>
                <w:sz w:val="18"/>
                <w:szCs w:val="18"/>
              </w:rPr>
            </w:pPr>
            <w:r>
              <w:rPr>
                <w:rFonts w:ascii="宋体"/>
                <w:sz w:val="18"/>
              </w:rPr>
              <w:t>0.00</w:t>
            </w:r>
          </w:p>
        </w:tc>
        <w:tc>
          <w:tcPr>
            <w:tcW w:w="1497" w:type="dxa"/>
            <w:tcBorders>
              <w:top w:val="single" w:sz="4" w:space="0" w:color="000000"/>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z w:val="18"/>
              </w:rPr>
              <w:t>0.00</w:t>
            </w:r>
          </w:p>
        </w:tc>
        <w:tc>
          <w:tcPr>
            <w:tcW w:w="1673" w:type="dxa"/>
            <w:tcBorders>
              <w:top w:val="single" w:sz="4" w:space="0" w:color="000000"/>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pacing w:val="-1"/>
                <w:sz w:val="18"/>
              </w:rPr>
              <w:t>1,257,230,536.48</w:t>
            </w:r>
          </w:p>
        </w:tc>
      </w:tr>
      <w:tr>
        <w:trPr>
          <w:trHeight w:val="291" w:hRule="exact"/>
        </w:trPr>
        <w:tc>
          <w:tcPr>
            <w:tcW w:w="1703"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2261" w:type="dxa"/>
            <w:tcBorders>
              <w:top w:val="nil" w:sz="6" w:space="0" w:color="auto"/>
              <w:left w:val="nil" w:sz="6" w:space="0" w:color="auto"/>
              <w:bottom w:val="single" w:sz="4" w:space="0" w:color="000000"/>
              <w:right w:val="nil" w:sz="6" w:space="0" w:color="auto"/>
            </w:tcBorders>
          </w:tcPr>
          <w:p>
            <w:pPr>
              <w:pStyle w:val="TableParagraph"/>
              <w:spacing w:line="233" w:lineRule="exact"/>
              <w:ind w:right="291"/>
              <w:jc w:val="right"/>
              <w:rPr>
                <w:rFonts w:ascii="宋体" w:hAnsi="宋体" w:cs="宋体" w:eastAsia="宋体" w:hint="default"/>
                <w:sz w:val="18"/>
                <w:szCs w:val="18"/>
              </w:rPr>
            </w:pPr>
            <w:r>
              <w:rPr>
                <w:rFonts w:ascii="宋体"/>
                <w:spacing w:val="-1"/>
                <w:sz w:val="18"/>
              </w:rPr>
              <w:t>67,644,490.85</w:t>
            </w:r>
          </w:p>
        </w:tc>
        <w:tc>
          <w:tcPr>
            <w:tcW w:w="1678" w:type="dxa"/>
            <w:tcBorders>
              <w:top w:val="nil" w:sz="6" w:space="0" w:color="auto"/>
              <w:left w:val="nil" w:sz="6" w:space="0" w:color="auto"/>
              <w:bottom w:val="single" w:sz="4" w:space="0" w:color="000000"/>
              <w:right w:val="nil" w:sz="6" w:space="0" w:color="auto"/>
            </w:tcBorders>
          </w:tcPr>
          <w:p>
            <w:pPr>
              <w:pStyle w:val="TableParagraph"/>
              <w:spacing w:line="233" w:lineRule="exact"/>
              <w:ind w:right="289"/>
              <w:jc w:val="right"/>
              <w:rPr>
                <w:rFonts w:ascii="宋体" w:hAnsi="宋体" w:cs="宋体" w:eastAsia="宋体" w:hint="default"/>
                <w:sz w:val="18"/>
                <w:szCs w:val="18"/>
              </w:rPr>
            </w:pPr>
            <w:r>
              <w:rPr>
                <w:rFonts w:ascii="宋体"/>
                <w:sz w:val="18"/>
              </w:rPr>
              <w:t>0.00</w:t>
            </w:r>
          </w:p>
        </w:tc>
        <w:tc>
          <w:tcPr>
            <w:tcW w:w="1497" w:type="dxa"/>
            <w:tcBorders>
              <w:top w:val="nil" w:sz="6" w:space="0" w:color="auto"/>
              <w:left w:val="nil" w:sz="6" w:space="0" w:color="auto"/>
              <w:bottom w:val="single" w:sz="4" w:space="0" w:color="000000"/>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z w:val="18"/>
              </w:rPr>
              <w:t>0.00</w:t>
            </w:r>
          </w:p>
        </w:tc>
        <w:tc>
          <w:tcPr>
            <w:tcW w:w="1673" w:type="dxa"/>
            <w:tcBorders>
              <w:top w:val="nil" w:sz="6" w:space="0" w:color="auto"/>
              <w:left w:val="nil" w:sz="6" w:space="0" w:color="auto"/>
              <w:bottom w:val="single" w:sz="4"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67,644,490.85</w:t>
            </w:r>
          </w:p>
        </w:tc>
      </w:tr>
      <w:tr>
        <w:trPr>
          <w:trHeight w:val="305" w:hRule="exact"/>
        </w:trPr>
        <w:tc>
          <w:tcPr>
            <w:tcW w:w="1703" w:type="dxa"/>
            <w:tcBorders>
              <w:top w:val="single" w:sz="4" w:space="0" w:color="000000"/>
              <w:left w:val="nil" w:sz="6" w:space="0" w:color="auto"/>
              <w:bottom w:val="single" w:sz="12"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61" w:type="dxa"/>
            <w:tcBorders>
              <w:top w:val="single" w:sz="4" w:space="0" w:color="000000"/>
              <w:left w:val="nil" w:sz="6" w:space="0" w:color="auto"/>
              <w:bottom w:val="single" w:sz="12" w:space="0" w:color="000000"/>
              <w:right w:val="nil" w:sz="6" w:space="0" w:color="auto"/>
            </w:tcBorders>
          </w:tcPr>
          <w:p>
            <w:pPr>
              <w:pStyle w:val="TableParagraph"/>
              <w:spacing w:line="229" w:lineRule="exact"/>
              <w:ind w:right="292"/>
              <w:jc w:val="right"/>
              <w:rPr>
                <w:rFonts w:ascii="宋体" w:hAnsi="宋体" w:cs="宋体" w:eastAsia="宋体" w:hint="default"/>
                <w:sz w:val="18"/>
                <w:szCs w:val="18"/>
              </w:rPr>
            </w:pPr>
            <w:r>
              <w:rPr>
                <w:rFonts w:ascii="宋体"/>
                <w:b/>
                <w:w w:val="95"/>
                <w:sz w:val="18"/>
              </w:rPr>
              <w:t>1,324,875,027.33</w:t>
            </w:r>
            <w:r>
              <w:rPr>
                <w:rFonts w:ascii="宋体"/>
                <w:sz w:val="18"/>
              </w:rPr>
            </w:r>
          </w:p>
        </w:tc>
        <w:tc>
          <w:tcPr>
            <w:tcW w:w="1678" w:type="dxa"/>
            <w:tcBorders>
              <w:top w:val="single" w:sz="4" w:space="0" w:color="000000"/>
              <w:left w:val="nil" w:sz="6" w:space="0" w:color="auto"/>
              <w:bottom w:val="single" w:sz="12" w:space="0" w:color="000000"/>
              <w:right w:val="nil" w:sz="6" w:space="0" w:color="auto"/>
            </w:tcBorders>
          </w:tcPr>
          <w:p>
            <w:pPr>
              <w:pStyle w:val="TableParagraph"/>
              <w:spacing w:line="229" w:lineRule="exact"/>
              <w:ind w:right="289"/>
              <w:jc w:val="right"/>
              <w:rPr>
                <w:rFonts w:ascii="宋体" w:hAnsi="宋体" w:cs="宋体" w:eastAsia="宋体" w:hint="default"/>
                <w:sz w:val="18"/>
                <w:szCs w:val="18"/>
              </w:rPr>
            </w:pPr>
            <w:r>
              <w:rPr>
                <w:rFonts w:ascii="宋体"/>
                <w:b/>
                <w:w w:val="95"/>
                <w:sz w:val="18"/>
              </w:rPr>
              <w:t>0.00</w:t>
            </w:r>
            <w:r>
              <w:rPr>
                <w:rFonts w:ascii="宋体"/>
                <w:sz w:val="18"/>
              </w:rPr>
            </w:r>
          </w:p>
        </w:tc>
        <w:tc>
          <w:tcPr>
            <w:tcW w:w="1497" w:type="dxa"/>
            <w:tcBorders>
              <w:top w:val="single" w:sz="4" w:space="0" w:color="000000"/>
              <w:left w:val="nil" w:sz="6" w:space="0" w:color="auto"/>
              <w:bottom w:val="single" w:sz="12" w:space="0" w:color="000000"/>
              <w:right w:val="nil" w:sz="6" w:space="0" w:color="auto"/>
            </w:tcBorders>
          </w:tcPr>
          <w:p>
            <w:pPr>
              <w:pStyle w:val="TableParagraph"/>
              <w:spacing w:line="229" w:lineRule="exact"/>
              <w:ind w:right="110"/>
              <w:jc w:val="right"/>
              <w:rPr>
                <w:rFonts w:ascii="宋体" w:hAnsi="宋体" w:cs="宋体" w:eastAsia="宋体" w:hint="default"/>
                <w:sz w:val="18"/>
                <w:szCs w:val="18"/>
              </w:rPr>
            </w:pPr>
            <w:r>
              <w:rPr>
                <w:rFonts w:ascii="宋体"/>
                <w:b/>
                <w:w w:val="95"/>
                <w:sz w:val="18"/>
              </w:rPr>
              <w:t>0.00</w:t>
            </w:r>
            <w:r>
              <w:rPr>
                <w:rFonts w:ascii="宋体"/>
                <w:sz w:val="18"/>
              </w:rPr>
            </w:r>
          </w:p>
        </w:tc>
        <w:tc>
          <w:tcPr>
            <w:tcW w:w="1673" w:type="dxa"/>
            <w:tcBorders>
              <w:top w:val="single" w:sz="4" w:space="0" w:color="000000"/>
              <w:left w:val="nil" w:sz="6" w:space="0" w:color="auto"/>
              <w:bottom w:val="single" w:sz="12" w:space="0" w:color="000000"/>
              <w:right w:val="nil" w:sz="6" w:space="0" w:color="auto"/>
            </w:tcBorders>
          </w:tcPr>
          <w:p>
            <w:pPr>
              <w:pStyle w:val="TableParagraph"/>
              <w:spacing w:line="229" w:lineRule="exact"/>
              <w:ind w:right="106"/>
              <w:jc w:val="right"/>
              <w:rPr>
                <w:rFonts w:ascii="宋体" w:hAnsi="宋体" w:cs="宋体" w:eastAsia="宋体" w:hint="default"/>
                <w:sz w:val="18"/>
                <w:szCs w:val="18"/>
              </w:rPr>
            </w:pPr>
            <w:r>
              <w:rPr>
                <w:rFonts w:ascii="宋体"/>
                <w:b/>
                <w:w w:val="95"/>
                <w:sz w:val="18"/>
              </w:rPr>
              <w:t>1,324,875,027.33</w:t>
            </w:r>
            <w:r>
              <w:rPr>
                <w:rFonts w:ascii="宋体"/>
                <w:sz w:val="18"/>
              </w:rPr>
            </w:r>
          </w:p>
        </w:tc>
      </w:tr>
    </w:tbl>
    <w:p>
      <w:pPr>
        <w:spacing w:before="81"/>
        <w:ind w:left="14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39.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未分配利润</w:t>
      </w:r>
    </w:p>
    <w:p>
      <w:pPr>
        <w:spacing w:line="240" w:lineRule="auto" w:before="8"/>
        <w:rPr>
          <w:rFonts w:ascii="宋体" w:hAnsi="宋体" w:cs="宋体" w:eastAsia="宋体" w:hint="default"/>
          <w:sz w:val="11"/>
          <w:szCs w:val="11"/>
        </w:rPr>
      </w:pPr>
    </w:p>
    <w:tbl>
      <w:tblPr>
        <w:tblW w:w="0" w:type="auto"/>
        <w:jc w:val="left"/>
        <w:tblInd w:w="859" w:type="dxa"/>
        <w:tblLayout w:type="fixed"/>
        <w:tblCellMar>
          <w:top w:w="0" w:type="dxa"/>
          <w:left w:w="0" w:type="dxa"/>
          <w:bottom w:w="0" w:type="dxa"/>
          <w:right w:w="0" w:type="dxa"/>
        </w:tblCellMar>
        <w:tblLook w:val="01E0"/>
      </w:tblPr>
      <w:tblGrid>
        <w:gridCol w:w="4006"/>
        <w:gridCol w:w="2801"/>
        <w:gridCol w:w="1990"/>
      </w:tblGrid>
      <w:tr>
        <w:trPr>
          <w:trHeight w:val="305" w:hRule="exact"/>
        </w:trPr>
        <w:tc>
          <w:tcPr>
            <w:tcW w:w="400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0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52" w:right="0"/>
              <w:jc w:val="center"/>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sz w:val="18"/>
                <w:szCs w:val="18"/>
              </w:rPr>
            </w:r>
          </w:p>
        </w:tc>
        <w:tc>
          <w:tcPr>
            <w:tcW w:w="199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51" w:right="0"/>
              <w:jc w:val="left"/>
              <w:rPr>
                <w:rFonts w:ascii="宋体" w:hAnsi="宋体" w:cs="宋体" w:eastAsia="宋体" w:hint="default"/>
                <w:sz w:val="18"/>
                <w:szCs w:val="18"/>
              </w:rPr>
            </w:pPr>
            <w:r>
              <w:rPr>
                <w:rFonts w:ascii="宋体" w:hAnsi="宋体" w:cs="宋体" w:eastAsia="宋体" w:hint="default"/>
                <w:b/>
                <w:bCs/>
                <w:sz w:val="18"/>
                <w:szCs w:val="18"/>
              </w:rPr>
              <w:t>上年</w:t>
            </w:r>
            <w:r>
              <w:rPr>
                <w:rFonts w:ascii="宋体" w:hAnsi="宋体" w:cs="宋体" w:eastAsia="宋体" w:hint="default"/>
                <w:sz w:val="18"/>
                <w:szCs w:val="18"/>
              </w:rPr>
            </w:r>
          </w:p>
        </w:tc>
      </w:tr>
      <w:tr>
        <w:trPr>
          <w:trHeight w:val="289" w:hRule="exact"/>
        </w:trPr>
        <w:tc>
          <w:tcPr>
            <w:tcW w:w="4006"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上年年末余额</w:t>
            </w:r>
            <w:r>
              <w:rPr>
                <w:rFonts w:ascii="宋体" w:hAnsi="宋体" w:cs="宋体" w:eastAsia="宋体" w:hint="default"/>
                <w:sz w:val="18"/>
                <w:szCs w:val="18"/>
              </w:rPr>
            </w:r>
          </w:p>
        </w:tc>
        <w:tc>
          <w:tcPr>
            <w:tcW w:w="2801" w:type="dxa"/>
            <w:tcBorders>
              <w:top w:val="single" w:sz="4" w:space="0" w:color="000000"/>
              <w:left w:val="nil" w:sz="6" w:space="0" w:color="auto"/>
              <w:bottom w:val="nil" w:sz="6" w:space="0" w:color="auto"/>
              <w:right w:val="nil" w:sz="6" w:space="0" w:color="auto"/>
            </w:tcBorders>
          </w:tcPr>
          <w:p>
            <w:pPr>
              <w:pStyle w:val="TableParagraph"/>
              <w:spacing w:line="232" w:lineRule="exact"/>
              <w:ind w:right="430"/>
              <w:jc w:val="right"/>
              <w:rPr>
                <w:rFonts w:ascii="宋体" w:hAnsi="宋体" w:cs="宋体" w:eastAsia="宋体" w:hint="default"/>
                <w:sz w:val="18"/>
                <w:szCs w:val="18"/>
              </w:rPr>
            </w:pPr>
            <w:r>
              <w:rPr>
                <w:rFonts w:ascii="宋体"/>
                <w:b/>
                <w:w w:val="95"/>
                <w:sz w:val="18"/>
              </w:rPr>
              <w:t>7,249,758,750.78</w:t>
            </w:r>
            <w:r>
              <w:rPr>
                <w:rFonts w:ascii="宋体"/>
                <w:sz w:val="18"/>
              </w:rPr>
            </w:r>
          </w:p>
        </w:tc>
        <w:tc>
          <w:tcPr>
            <w:tcW w:w="1990" w:type="dxa"/>
            <w:tcBorders>
              <w:top w:val="single" w:sz="4" w:space="0" w:color="000000"/>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7,897,458,148.30</w:t>
            </w:r>
            <w:r>
              <w:rPr>
                <w:rFonts w:ascii="宋体"/>
                <w:sz w:val="18"/>
              </w:rPr>
            </w:r>
          </w:p>
        </w:tc>
      </w:tr>
      <w:tr>
        <w:trPr>
          <w:trHeight w:val="284"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加：年初未分配利润调整数</w:t>
            </w:r>
          </w:p>
        </w:tc>
        <w:tc>
          <w:tcPr>
            <w:tcW w:w="2801" w:type="dxa"/>
            <w:tcBorders>
              <w:top w:val="nil" w:sz="6" w:space="0" w:color="auto"/>
              <w:left w:val="nil" w:sz="6" w:space="0" w:color="auto"/>
              <w:bottom w:val="nil" w:sz="6" w:space="0" w:color="auto"/>
              <w:right w:val="nil" w:sz="6" w:space="0" w:color="auto"/>
            </w:tcBorders>
          </w:tcPr>
          <w:p>
            <w:pPr>
              <w:pStyle w:val="TableParagraph"/>
              <w:spacing w:line="233" w:lineRule="exact"/>
              <w:ind w:right="428"/>
              <w:jc w:val="right"/>
              <w:rPr>
                <w:rFonts w:ascii="宋体" w:hAnsi="宋体" w:cs="宋体" w:eastAsia="宋体" w:hint="default"/>
                <w:sz w:val="18"/>
                <w:szCs w:val="18"/>
              </w:rPr>
            </w:pPr>
            <w:r>
              <w:rPr>
                <w:rFonts w:ascii="宋体"/>
                <w:sz w:val="18"/>
              </w:rPr>
              <w:t>0.00</w:t>
            </w:r>
          </w:p>
        </w:tc>
        <w:tc>
          <w:tcPr>
            <w:tcW w:w="1990" w:type="dxa"/>
            <w:tcBorders>
              <w:top w:val="nil" w:sz="6" w:space="0" w:color="auto"/>
              <w:left w:val="nil" w:sz="6" w:space="0" w:color="auto"/>
              <w:bottom w:val="nil" w:sz="6" w:space="0" w:color="auto"/>
              <w:right w:val="nil" w:sz="6" w:space="0" w:color="auto"/>
            </w:tcBorders>
          </w:tcPr>
          <w:p>
            <w:pPr>
              <w:pStyle w:val="TableParagraph"/>
              <w:spacing w:line="233" w:lineRule="exact"/>
              <w:ind w:right="104"/>
              <w:jc w:val="right"/>
              <w:rPr>
                <w:rFonts w:ascii="宋体" w:hAnsi="宋体" w:cs="宋体" w:eastAsia="宋体" w:hint="default"/>
                <w:sz w:val="18"/>
                <w:szCs w:val="18"/>
              </w:rPr>
            </w:pPr>
            <w:r>
              <w:rPr>
                <w:rFonts w:ascii="宋体"/>
                <w:sz w:val="18"/>
              </w:rPr>
              <w:t>0.00</w:t>
            </w:r>
          </w:p>
        </w:tc>
      </w:tr>
      <w:tr>
        <w:trPr>
          <w:trHeight w:val="285"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本年年初余额</w:t>
            </w:r>
            <w:r>
              <w:rPr>
                <w:rFonts w:ascii="宋体" w:hAnsi="宋体" w:cs="宋体" w:eastAsia="宋体" w:hint="default"/>
                <w:sz w:val="18"/>
                <w:szCs w:val="18"/>
              </w:rPr>
            </w:r>
          </w:p>
        </w:tc>
        <w:tc>
          <w:tcPr>
            <w:tcW w:w="2801" w:type="dxa"/>
            <w:tcBorders>
              <w:top w:val="nil" w:sz="6" w:space="0" w:color="auto"/>
              <w:left w:val="nil" w:sz="6" w:space="0" w:color="auto"/>
              <w:bottom w:val="nil" w:sz="6" w:space="0" w:color="auto"/>
              <w:right w:val="nil" w:sz="6" w:space="0" w:color="auto"/>
            </w:tcBorders>
          </w:tcPr>
          <w:p>
            <w:pPr>
              <w:pStyle w:val="TableParagraph"/>
              <w:spacing w:line="232" w:lineRule="exact"/>
              <w:ind w:right="430"/>
              <w:jc w:val="right"/>
              <w:rPr>
                <w:rFonts w:ascii="宋体" w:hAnsi="宋体" w:cs="宋体" w:eastAsia="宋体" w:hint="default"/>
                <w:sz w:val="18"/>
                <w:szCs w:val="18"/>
              </w:rPr>
            </w:pPr>
            <w:r>
              <w:rPr>
                <w:rFonts w:ascii="宋体"/>
                <w:b/>
                <w:w w:val="95"/>
                <w:sz w:val="18"/>
              </w:rPr>
              <w:t>7,249,758,750.78</w:t>
            </w:r>
            <w:r>
              <w:rPr>
                <w:rFonts w:ascii="宋体"/>
                <w:sz w:val="18"/>
              </w:rPr>
            </w:r>
          </w:p>
        </w:tc>
        <w:tc>
          <w:tcPr>
            <w:tcW w:w="1990"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7,897,458,148.30</w:t>
            </w:r>
            <w:r>
              <w:rPr>
                <w:rFonts w:ascii="宋体"/>
                <w:sz w:val="18"/>
              </w:rPr>
            </w:r>
          </w:p>
        </w:tc>
      </w:tr>
      <w:tr>
        <w:trPr>
          <w:trHeight w:val="286"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加：本年归属于母公司所有者的净利润</w:t>
            </w:r>
          </w:p>
        </w:tc>
        <w:tc>
          <w:tcPr>
            <w:tcW w:w="2801" w:type="dxa"/>
            <w:tcBorders>
              <w:top w:val="nil" w:sz="6" w:space="0" w:color="auto"/>
              <w:left w:val="nil" w:sz="6" w:space="0" w:color="auto"/>
              <w:bottom w:val="nil" w:sz="6" w:space="0" w:color="auto"/>
              <w:right w:val="nil" w:sz="6" w:space="0" w:color="auto"/>
            </w:tcBorders>
          </w:tcPr>
          <w:p>
            <w:pPr>
              <w:pStyle w:val="TableParagraph"/>
              <w:spacing w:line="233" w:lineRule="exact"/>
              <w:ind w:right="429"/>
              <w:jc w:val="right"/>
              <w:rPr>
                <w:rFonts w:ascii="宋体" w:hAnsi="宋体" w:cs="宋体" w:eastAsia="宋体" w:hint="default"/>
                <w:sz w:val="18"/>
                <w:szCs w:val="18"/>
              </w:rPr>
            </w:pPr>
            <w:r>
              <w:rPr>
                <w:rFonts w:ascii="宋体"/>
                <w:spacing w:val="-1"/>
                <w:sz w:val="18"/>
              </w:rPr>
              <w:t>-3,879,776,932.07</w:t>
            </w:r>
          </w:p>
        </w:tc>
        <w:tc>
          <w:tcPr>
            <w:tcW w:w="1990"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103,639,266.92</w:t>
            </w:r>
          </w:p>
        </w:tc>
      </w:tr>
      <w:tr>
        <w:trPr>
          <w:trHeight w:val="286"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801" w:type="dxa"/>
            <w:tcBorders>
              <w:top w:val="nil" w:sz="6" w:space="0" w:color="auto"/>
              <w:left w:val="nil" w:sz="6" w:space="0" w:color="auto"/>
              <w:bottom w:val="nil" w:sz="6" w:space="0" w:color="auto"/>
              <w:right w:val="nil" w:sz="6" w:space="0" w:color="auto"/>
            </w:tcBorders>
          </w:tcPr>
          <w:p>
            <w:pPr>
              <w:pStyle w:val="TableParagraph"/>
              <w:spacing w:line="233" w:lineRule="exact"/>
              <w:ind w:right="428"/>
              <w:jc w:val="right"/>
              <w:rPr>
                <w:rFonts w:ascii="宋体" w:hAnsi="宋体" w:cs="宋体" w:eastAsia="宋体" w:hint="default"/>
                <w:sz w:val="18"/>
                <w:szCs w:val="18"/>
              </w:rPr>
            </w:pPr>
            <w:r>
              <w:rPr>
                <w:rFonts w:ascii="宋体"/>
                <w:sz w:val="18"/>
              </w:rPr>
              <w:t>0.00</w:t>
            </w:r>
          </w:p>
        </w:tc>
        <w:tc>
          <w:tcPr>
            <w:tcW w:w="1990"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10,363,926.69</w:t>
            </w:r>
          </w:p>
        </w:tc>
      </w:tr>
      <w:tr>
        <w:trPr>
          <w:trHeight w:val="284"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33" w:lineRule="exact"/>
              <w:ind w:left="468"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801" w:type="dxa"/>
            <w:tcBorders>
              <w:top w:val="nil" w:sz="6" w:space="0" w:color="auto"/>
              <w:left w:val="nil" w:sz="6" w:space="0" w:color="auto"/>
              <w:bottom w:val="nil" w:sz="6" w:space="0" w:color="auto"/>
              <w:right w:val="nil" w:sz="6" w:space="0" w:color="auto"/>
            </w:tcBorders>
          </w:tcPr>
          <w:p>
            <w:pPr>
              <w:pStyle w:val="TableParagraph"/>
              <w:spacing w:line="233" w:lineRule="exact"/>
              <w:ind w:right="429"/>
              <w:jc w:val="right"/>
              <w:rPr>
                <w:rFonts w:ascii="宋体" w:hAnsi="宋体" w:cs="宋体" w:eastAsia="宋体" w:hint="default"/>
                <w:sz w:val="18"/>
                <w:szCs w:val="18"/>
              </w:rPr>
            </w:pPr>
            <w:r>
              <w:rPr>
                <w:rFonts w:ascii="宋体"/>
                <w:spacing w:val="-1"/>
                <w:sz w:val="18"/>
              </w:rPr>
              <w:t>44,458,495.64</w:t>
            </w:r>
          </w:p>
        </w:tc>
        <w:tc>
          <w:tcPr>
            <w:tcW w:w="1990"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740,974,737.75</w:t>
            </w:r>
          </w:p>
        </w:tc>
      </w:tr>
      <w:tr>
        <w:trPr>
          <w:trHeight w:val="302" w:hRule="exact"/>
        </w:trPr>
        <w:tc>
          <w:tcPr>
            <w:tcW w:w="4006" w:type="dxa"/>
            <w:tcBorders>
              <w:top w:val="nil" w:sz="6" w:space="0" w:color="auto"/>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本年年末余额</w:t>
            </w:r>
            <w:r>
              <w:rPr>
                <w:rFonts w:ascii="宋体" w:hAnsi="宋体" w:cs="宋体" w:eastAsia="宋体" w:hint="default"/>
                <w:sz w:val="18"/>
                <w:szCs w:val="18"/>
              </w:rPr>
            </w:r>
          </w:p>
        </w:tc>
        <w:tc>
          <w:tcPr>
            <w:tcW w:w="2801" w:type="dxa"/>
            <w:tcBorders>
              <w:top w:val="nil" w:sz="6" w:space="0" w:color="auto"/>
              <w:left w:val="nil" w:sz="6" w:space="0" w:color="auto"/>
              <w:bottom w:val="single" w:sz="12" w:space="0" w:color="000000"/>
              <w:right w:val="nil" w:sz="6" w:space="0" w:color="auto"/>
            </w:tcBorders>
          </w:tcPr>
          <w:p>
            <w:pPr>
              <w:pStyle w:val="TableParagraph"/>
              <w:spacing w:line="232" w:lineRule="exact"/>
              <w:ind w:right="430"/>
              <w:jc w:val="right"/>
              <w:rPr>
                <w:rFonts w:ascii="宋体" w:hAnsi="宋体" w:cs="宋体" w:eastAsia="宋体" w:hint="default"/>
                <w:sz w:val="18"/>
                <w:szCs w:val="18"/>
              </w:rPr>
            </w:pPr>
            <w:r>
              <w:rPr>
                <w:rFonts w:ascii="宋体"/>
                <w:b/>
                <w:w w:val="95"/>
                <w:sz w:val="18"/>
              </w:rPr>
              <w:t>3,325,523,323.07</w:t>
            </w:r>
            <w:r>
              <w:rPr>
                <w:rFonts w:ascii="宋体"/>
                <w:sz w:val="18"/>
              </w:rPr>
            </w:r>
          </w:p>
        </w:tc>
        <w:tc>
          <w:tcPr>
            <w:tcW w:w="1990" w:type="dxa"/>
            <w:tcBorders>
              <w:top w:val="nil" w:sz="6" w:space="0" w:color="auto"/>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7,249,758,750.78</w:t>
            </w:r>
            <w:r>
              <w:rPr>
                <w:rFonts w:ascii="宋体"/>
                <w:sz w:val="18"/>
              </w:rPr>
            </w:r>
          </w:p>
        </w:tc>
      </w:tr>
    </w:tbl>
    <w:p>
      <w:pPr>
        <w:spacing w:before="81"/>
        <w:ind w:left="14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40.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营业收入、营业成本</w:t>
      </w:r>
    </w:p>
    <w:p>
      <w:pPr>
        <w:spacing w:line="240" w:lineRule="auto" w:before="5"/>
        <w:rPr>
          <w:rFonts w:ascii="宋体" w:hAnsi="宋体" w:cs="宋体" w:eastAsia="宋体" w:hint="default"/>
          <w:sz w:val="11"/>
          <w:szCs w:val="11"/>
        </w:rPr>
      </w:pPr>
    </w:p>
    <w:p>
      <w:pPr>
        <w:spacing w:line="28" w:lineRule="exact"/>
        <w:ind w:left="830" w:right="0" w:firstLine="0"/>
        <w:rPr>
          <w:rFonts w:ascii="宋体" w:hAnsi="宋体" w:cs="宋体" w:eastAsia="宋体" w:hint="default"/>
          <w:sz w:val="2"/>
          <w:szCs w:val="2"/>
        </w:rPr>
      </w:pPr>
      <w:r>
        <w:rPr>
          <w:rFonts w:ascii="宋体" w:hAnsi="宋体" w:cs="宋体" w:eastAsia="宋体" w:hint="default"/>
          <w:position w:val="0"/>
          <w:sz w:val="2"/>
          <w:szCs w:val="2"/>
        </w:rPr>
        <w:pict>
          <v:group style="width:442.05pt;height:1.45pt;mso-position-horizontal-relative:char;mso-position-vertical-relative:line" coordorigin="0,0" coordsize="8841,29">
            <v:group style="position:absolute;left:14;top:14;width:1779;height:2" coordorigin="14,14" coordsize="1779,2">
              <v:shape style="position:absolute;left:14;top:14;width:1779;height:2" coordorigin="14,14" coordsize="1779,0" path="m14,14l1793,14e" filled="false" stroked="true" strokeweight="1.44pt" strokecolor="#000000">
                <v:path arrowok="t"/>
              </v:shape>
            </v:group>
            <v:group style="position:absolute;left:1793;top:14;width:29;height:2" coordorigin="1793,14" coordsize="29,2">
              <v:shape style="position:absolute;left:1793;top:14;width:29;height:2" coordorigin="1793,14" coordsize="29,0" path="m1793,14l1822,14e" filled="false" stroked="true" strokeweight="1.44pt" strokecolor="#000000">
                <v:path arrowok="t"/>
              </v:shape>
            </v:group>
            <v:group style="position:absolute;left:1822;top:14;width:3489;height:2" coordorigin="1822,14" coordsize="3489,2">
              <v:shape style="position:absolute;left:1822;top:14;width:3489;height:2" coordorigin="1822,14" coordsize="3489,0" path="m1822,14l5310,14e" filled="false" stroked="true" strokeweight="1.44pt" strokecolor="#000000">
                <v:path arrowok="t"/>
              </v:shape>
            </v:group>
            <v:group style="position:absolute;left:5310;top:14;width:29;height:2" coordorigin="5310,14" coordsize="29,2">
              <v:shape style="position:absolute;left:5310;top:14;width:29;height:2" coordorigin="5310,14" coordsize="29,0" path="m5310,14l5339,14e" filled="false" stroked="true" strokeweight="1.44pt" strokecolor="#000000">
                <v:path arrowok="t"/>
              </v:shape>
            </v:group>
            <v:group style="position:absolute;left:5339;top:14;width:3488;height:2" coordorigin="5339,14" coordsize="3488,2">
              <v:shape style="position:absolute;left:5339;top:14;width:3488;height:2" coordorigin="5339,14" coordsize="3488,0" path="m5339,14l8826,14e" filled="false" stroked="true" strokeweight="1.44pt" strokecolor="#000000">
                <v:path arrowok="t"/>
              </v:shape>
            </v:group>
          </v:group>
        </w:pict>
      </w:r>
      <w:r>
        <w:rPr>
          <w:rFonts w:ascii="宋体" w:hAnsi="宋体" w:cs="宋体" w:eastAsia="宋体" w:hint="default"/>
          <w:position w:val="0"/>
          <w:sz w:val="2"/>
          <w:szCs w:val="2"/>
        </w:rPr>
      </w:r>
    </w:p>
    <w:p>
      <w:pPr>
        <w:tabs>
          <w:tab w:pos="5225" w:val="left" w:leader="none"/>
        </w:tabs>
        <w:spacing w:line="195" w:lineRule="exact" w:before="0"/>
        <w:ind w:left="1709" w:right="0" w:firstLine="0"/>
        <w:jc w:val="center"/>
        <w:rPr>
          <w:rFonts w:ascii="宋体" w:hAnsi="宋体" w:cs="宋体" w:eastAsia="宋体" w:hint="default"/>
          <w:sz w:val="18"/>
          <w:szCs w:val="18"/>
        </w:rPr>
      </w:pPr>
      <w:r>
        <w:rPr>
          <w:rFonts w:ascii="宋体" w:hAnsi="宋体" w:cs="宋体" w:eastAsia="宋体" w:hint="default"/>
          <w:b/>
          <w:bCs/>
          <w:w w:val="95"/>
          <w:sz w:val="18"/>
          <w:szCs w:val="18"/>
        </w:rPr>
        <w:t>本年发生额</w:t>
        <w:tab/>
      </w:r>
      <w:r>
        <w:rPr>
          <w:rFonts w:ascii="宋体" w:hAnsi="宋体" w:cs="宋体" w:eastAsia="宋体" w:hint="default"/>
          <w:b/>
          <w:bCs/>
          <w:sz w:val="18"/>
          <w:szCs w:val="18"/>
        </w:rPr>
        <w:t>上年发生额</w:t>
      </w:r>
      <w:r>
        <w:rPr>
          <w:rFonts w:ascii="宋体" w:hAnsi="宋体" w:cs="宋体" w:eastAsia="宋体" w:hint="default"/>
          <w:sz w:val="18"/>
          <w:szCs w:val="18"/>
        </w:rPr>
      </w:r>
    </w:p>
    <w:p>
      <w:pPr>
        <w:spacing w:line="157" w:lineRule="exact" w:before="0"/>
        <w:ind w:left="953" w:right="0" w:firstLine="0"/>
        <w:jc w:val="left"/>
        <w:rPr>
          <w:rFonts w:ascii="宋体" w:hAnsi="宋体" w:cs="宋体" w:eastAsia="宋体" w:hint="default"/>
          <w:sz w:val="18"/>
          <w:szCs w:val="18"/>
        </w:rPr>
      </w:pPr>
      <w:r>
        <w:rPr/>
        <w:pict>
          <v:group style="position:absolute;margin-left:163.939987pt;margin-top:4.683011pt;width:352.2pt;height:.5pt;mso-position-horizontal-relative:page;mso-position-vertical-relative:paragraph;z-index:4408" coordorigin="3279,94" coordsize="7044,10">
            <v:group style="position:absolute;left:3284;top:98;width:1760;height:2" coordorigin="3284,98" coordsize="1760,2">
              <v:shape style="position:absolute;left:3284;top:98;width:1760;height:2" coordorigin="3284,98" coordsize="1760,0" path="m3284,98l5043,98e" filled="false" stroked="true" strokeweight=".48004pt" strokecolor="#000000">
                <v:path arrowok="t"/>
              </v:shape>
            </v:group>
            <v:group style="position:absolute;left:5043;top:98;width:10;height:2" coordorigin="5043,98" coordsize="10,2">
              <v:shape style="position:absolute;left:5043;top:98;width:10;height:2" coordorigin="5043,98" coordsize="10,0" path="m5043,98l5053,98e" filled="false" stroked="true" strokeweight=".48004pt" strokecolor="#000000">
                <v:path arrowok="t"/>
              </v:shape>
            </v:group>
            <v:group style="position:absolute;left:5053;top:98;width:1748;height:2" coordorigin="5053,98" coordsize="1748,2">
              <v:shape style="position:absolute;left:5053;top:98;width:1748;height:2" coordorigin="5053,98" coordsize="1748,0" path="m5053,98l6801,98e" filled="false" stroked="true" strokeweight=".48004pt" strokecolor="#000000">
                <v:path arrowok="t"/>
              </v:shape>
            </v:group>
            <v:group style="position:absolute;left:6801;top:98;width:10;height:2" coordorigin="6801,98" coordsize="10,2">
              <v:shape style="position:absolute;left:6801;top:98;width:10;height:2" coordorigin="6801,98" coordsize="10,0" path="m6801,98l6810,98e" filled="false" stroked="true" strokeweight=".48004pt" strokecolor="#000000">
                <v:path arrowok="t"/>
              </v:shape>
            </v:group>
            <v:group style="position:absolute;left:6810;top:98;width:1751;height:2" coordorigin="6810,98" coordsize="1751,2">
              <v:shape style="position:absolute;left:6810;top:98;width:1751;height:2" coordorigin="6810,98" coordsize="1751,0" path="m6810,98l8560,98e" filled="false" stroked="true" strokeweight=".48004pt" strokecolor="#000000">
                <v:path arrowok="t"/>
              </v:shape>
            </v:group>
            <v:group style="position:absolute;left:8560;top:98;width:10;height:2" coordorigin="8560,98" coordsize="10,2">
              <v:shape style="position:absolute;left:8560;top:98;width:10;height:2" coordorigin="8560,98" coordsize="10,0" path="m8560,98l8570,98e" filled="false" stroked="true" strokeweight=".48004pt" strokecolor="#000000">
                <v:path arrowok="t"/>
              </v:shape>
            </v:group>
            <v:group style="position:absolute;left:8570;top:98;width:1748;height:2" coordorigin="8570,98" coordsize="1748,2">
              <v:shape style="position:absolute;left:8570;top:98;width:1748;height:2" coordorigin="8570,98" coordsize="1748,0" path="m8570,98l10317,98e" filled="false" stroked="true" strokeweight=".48004pt" strokecolor="#000000">
                <v:path arrowok="t"/>
              </v:shape>
            </v:group>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tabs>
          <w:tab w:pos="3471" w:val="left" w:leader="none"/>
          <w:tab w:pos="5231" w:val="left" w:leader="none"/>
          <w:tab w:pos="6988" w:val="left" w:leader="none"/>
        </w:tabs>
        <w:spacing w:line="197" w:lineRule="exact" w:before="0"/>
        <w:ind w:left="1714" w:right="0" w:firstLine="0"/>
        <w:jc w:val="center"/>
        <w:rPr>
          <w:rFonts w:ascii="宋体" w:hAnsi="宋体" w:cs="宋体" w:eastAsia="宋体" w:hint="default"/>
          <w:sz w:val="18"/>
          <w:szCs w:val="18"/>
        </w:rPr>
      </w:pPr>
      <w:r>
        <w:rPr>
          <w:rFonts w:ascii="宋体" w:hAnsi="宋体" w:cs="宋体" w:eastAsia="宋体" w:hint="default"/>
          <w:b/>
          <w:bCs/>
          <w:sz w:val="18"/>
          <w:szCs w:val="18"/>
        </w:rPr>
        <w:t>收入</w:t>
        <w:tab/>
        <w:t>成本</w:t>
        <w:tab/>
        <w:t>收入</w:t>
        <w:tab/>
        <w:t>成本</w:t>
      </w:r>
      <w:r>
        <w:rPr>
          <w:rFonts w:ascii="宋体" w:hAnsi="宋体" w:cs="宋体" w:eastAsia="宋体" w:hint="default"/>
          <w:sz w:val="18"/>
          <w:szCs w:val="18"/>
        </w:rPr>
      </w:r>
    </w:p>
    <w:p>
      <w:pPr>
        <w:spacing w:line="240" w:lineRule="auto" w:before="6"/>
        <w:rPr>
          <w:rFonts w:ascii="宋体" w:hAnsi="宋体" w:cs="宋体" w:eastAsia="宋体" w:hint="default"/>
          <w:b/>
          <w:bCs/>
          <w:sz w:val="4"/>
          <w:szCs w:val="4"/>
        </w:rPr>
      </w:pPr>
    </w:p>
    <w:tbl>
      <w:tblPr>
        <w:tblW w:w="0" w:type="auto"/>
        <w:jc w:val="left"/>
        <w:tblInd w:w="845" w:type="dxa"/>
        <w:tblLayout w:type="fixed"/>
        <w:tblCellMar>
          <w:top w:w="0" w:type="dxa"/>
          <w:left w:w="0" w:type="dxa"/>
          <w:bottom w:w="0" w:type="dxa"/>
          <w:right w:w="0" w:type="dxa"/>
        </w:tblCellMar>
        <w:tblLook w:val="01E0"/>
      </w:tblPr>
      <w:tblGrid>
        <w:gridCol w:w="1357"/>
        <w:gridCol w:w="2180"/>
        <w:gridCol w:w="1758"/>
        <w:gridCol w:w="1759"/>
        <w:gridCol w:w="1758"/>
      </w:tblGrid>
      <w:tr>
        <w:trPr>
          <w:trHeight w:val="289" w:hRule="exact"/>
        </w:trPr>
        <w:tc>
          <w:tcPr>
            <w:tcW w:w="1357"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2180"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24,542,192,164.74</w:t>
            </w:r>
          </w:p>
        </w:tc>
        <w:tc>
          <w:tcPr>
            <w:tcW w:w="1758" w:type="dxa"/>
            <w:tcBorders>
              <w:top w:val="single" w:sz="4" w:space="0" w:color="000000"/>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pacing w:val="-1"/>
                <w:sz w:val="18"/>
              </w:rPr>
              <w:t>19,450,814,814.16</w:t>
            </w:r>
          </w:p>
        </w:tc>
        <w:tc>
          <w:tcPr>
            <w:tcW w:w="1759"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25,911,613,786.54</w:t>
            </w:r>
          </w:p>
        </w:tc>
        <w:tc>
          <w:tcPr>
            <w:tcW w:w="1758" w:type="dxa"/>
            <w:tcBorders>
              <w:top w:val="single" w:sz="4" w:space="0" w:color="000000"/>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pacing w:val="-1"/>
                <w:sz w:val="18"/>
              </w:rPr>
              <w:t>20,426,352,719.10</w:t>
            </w:r>
          </w:p>
        </w:tc>
      </w:tr>
      <w:tr>
        <w:trPr>
          <w:trHeight w:val="291" w:hRule="exact"/>
        </w:trPr>
        <w:tc>
          <w:tcPr>
            <w:tcW w:w="1357"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2180" w:type="dxa"/>
            <w:tcBorders>
              <w:top w:val="nil" w:sz="6" w:space="0" w:color="auto"/>
              <w:left w:val="nil" w:sz="6" w:space="0" w:color="auto"/>
              <w:bottom w:val="single" w:sz="4" w:space="0" w:color="000000"/>
              <w:right w:val="nil" w:sz="6" w:space="0" w:color="auto"/>
            </w:tcBorders>
          </w:tcPr>
          <w:p>
            <w:pPr>
              <w:pStyle w:val="TableParagraph"/>
              <w:spacing w:line="233" w:lineRule="exact"/>
              <w:ind w:right="104"/>
              <w:jc w:val="right"/>
              <w:rPr>
                <w:rFonts w:ascii="宋体" w:hAnsi="宋体" w:cs="宋体" w:eastAsia="宋体" w:hint="default"/>
                <w:sz w:val="18"/>
                <w:szCs w:val="18"/>
              </w:rPr>
            </w:pPr>
            <w:r>
              <w:rPr>
                <w:rFonts w:ascii="宋体"/>
                <w:spacing w:val="-1"/>
                <w:sz w:val="18"/>
              </w:rPr>
              <w:t>290,783,872.85</w:t>
            </w:r>
          </w:p>
        </w:tc>
        <w:tc>
          <w:tcPr>
            <w:tcW w:w="1758" w:type="dxa"/>
            <w:tcBorders>
              <w:top w:val="nil" w:sz="6" w:space="0" w:color="auto"/>
              <w:left w:val="nil" w:sz="6" w:space="0" w:color="auto"/>
              <w:bottom w:val="single" w:sz="4" w:space="0" w:color="000000"/>
              <w:right w:val="nil" w:sz="6" w:space="0" w:color="auto"/>
            </w:tcBorders>
          </w:tcPr>
          <w:p>
            <w:pPr>
              <w:pStyle w:val="TableParagraph"/>
              <w:spacing w:line="233" w:lineRule="exact"/>
              <w:ind w:right="106"/>
              <w:jc w:val="right"/>
              <w:rPr>
                <w:rFonts w:ascii="宋体" w:hAnsi="宋体" w:cs="宋体" w:eastAsia="宋体" w:hint="default"/>
                <w:sz w:val="18"/>
                <w:szCs w:val="18"/>
              </w:rPr>
            </w:pPr>
            <w:r>
              <w:rPr>
                <w:rFonts w:ascii="宋体"/>
                <w:spacing w:val="-1"/>
                <w:sz w:val="18"/>
              </w:rPr>
              <w:t>275,968,064.45</w:t>
            </w:r>
          </w:p>
        </w:tc>
        <w:tc>
          <w:tcPr>
            <w:tcW w:w="1759" w:type="dxa"/>
            <w:tcBorders>
              <w:top w:val="nil" w:sz="6" w:space="0" w:color="auto"/>
              <w:left w:val="nil" w:sz="6" w:space="0" w:color="auto"/>
              <w:bottom w:val="single" w:sz="4"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77,773,552.26</w:t>
            </w:r>
          </w:p>
        </w:tc>
        <w:tc>
          <w:tcPr>
            <w:tcW w:w="1758" w:type="dxa"/>
            <w:tcBorders>
              <w:top w:val="nil" w:sz="6" w:space="0" w:color="auto"/>
              <w:left w:val="nil" w:sz="6" w:space="0" w:color="auto"/>
              <w:bottom w:val="single" w:sz="4"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23,181,058.12</w:t>
            </w:r>
          </w:p>
        </w:tc>
      </w:tr>
      <w:tr>
        <w:trPr>
          <w:trHeight w:val="305" w:hRule="exact"/>
        </w:trPr>
        <w:tc>
          <w:tcPr>
            <w:tcW w:w="1357" w:type="dxa"/>
            <w:tcBorders>
              <w:top w:val="single" w:sz="4" w:space="0" w:color="000000"/>
              <w:left w:val="nil" w:sz="6" w:space="0" w:color="auto"/>
              <w:bottom w:val="single" w:sz="12"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80" w:type="dxa"/>
            <w:tcBorders>
              <w:top w:val="single" w:sz="4" w:space="0" w:color="000000"/>
              <w:left w:val="nil" w:sz="6" w:space="0" w:color="auto"/>
              <w:bottom w:val="single" w:sz="12" w:space="0" w:color="000000"/>
              <w:right w:val="nil" w:sz="6" w:space="0" w:color="auto"/>
            </w:tcBorders>
          </w:tcPr>
          <w:p>
            <w:pPr>
              <w:pStyle w:val="TableParagraph"/>
              <w:spacing w:line="229" w:lineRule="exact"/>
              <w:ind w:right="107"/>
              <w:jc w:val="right"/>
              <w:rPr>
                <w:rFonts w:ascii="宋体" w:hAnsi="宋体" w:cs="宋体" w:eastAsia="宋体" w:hint="default"/>
                <w:sz w:val="18"/>
                <w:szCs w:val="18"/>
              </w:rPr>
            </w:pPr>
            <w:r>
              <w:rPr>
                <w:rFonts w:ascii="宋体"/>
                <w:b/>
                <w:w w:val="95"/>
                <w:sz w:val="18"/>
              </w:rPr>
              <w:t>24,832,976,037.59</w:t>
            </w:r>
            <w:r>
              <w:rPr>
                <w:rFonts w:ascii="宋体"/>
                <w:sz w:val="18"/>
              </w:rPr>
            </w:r>
          </w:p>
        </w:tc>
        <w:tc>
          <w:tcPr>
            <w:tcW w:w="1758" w:type="dxa"/>
            <w:tcBorders>
              <w:top w:val="single" w:sz="4" w:space="0" w:color="000000"/>
              <w:left w:val="nil" w:sz="6" w:space="0" w:color="auto"/>
              <w:bottom w:val="single" w:sz="12" w:space="0" w:color="000000"/>
              <w:right w:val="nil" w:sz="6" w:space="0" w:color="auto"/>
            </w:tcBorders>
          </w:tcPr>
          <w:p>
            <w:pPr>
              <w:pStyle w:val="TableParagraph"/>
              <w:spacing w:line="229" w:lineRule="exact"/>
              <w:ind w:right="106"/>
              <w:jc w:val="right"/>
              <w:rPr>
                <w:rFonts w:ascii="宋体" w:hAnsi="宋体" w:cs="宋体" w:eastAsia="宋体" w:hint="default"/>
                <w:sz w:val="18"/>
                <w:szCs w:val="18"/>
              </w:rPr>
            </w:pPr>
            <w:r>
              <w:rPr>
                <w:rFonts w:ascii="宋体"/>
                <w:b/>
                <w:w w:val="95"/>
                <w:sz w:val="18"/>
              </w:rPr>
              <w:t>19,726,782,878.61</w:t>
            </w:r>
            <w:r>
              <w:rPr>
                <w:rFonts w:ascii="宋体"/>
                <w:sz w:val="18"/>
              </w:rPr>
            </w:r>
          </w:p>
        </w:tc>
        <w:tc>
          <w:tcPr>
            <w:tcW w:w="1759" w:type="dxa"/>
            <w:tcBorders>
              <w:top w:val="single" w:sz="4" w:space="0" w:color="000000"/>
              <w:left w:val="nil" w:sz="6" w:space="0" w:color="auto"/>
              <w:bottom w:val="single" w:sz="12" w:space="0" w:color="000000"/>
              <w:right w:val="nil" w:sz="6" w:space="0" w:color="auto"/>
            </w:tcBorders>
          </w:tcPr>
          <w:p>
            <w:pPr>
              <w:pStyle w:val="TableParagraph"/>
              <w:spacing w:line="229" w:lineRule="exact"/>
              <w:ind w:right="105"/>
              <w:jc w:val="right"/>
              <w:rPr>
                <w:rFonts w:ascii="宋体" w:hAnsi="宋体" w:cs="宋体" w:eastAsia="宋体" w:hint="default"/>
                <w:sz w:val="18"/>
                <w:szCs w:val="18"/>
              </w:rPr>
            </w:pPr>
            <w:r>
              <w:rPr>
                <w:rFonts w:ascii="宋体"/>
                <w:b/>
                <w:w w:val="95"/>
                <w:sz w:val="18"/>
              </w:rPr>
              <w:t>25,989,387,338.80</w:t>
            </w:r>
            <w:r>
              <w:rPr>
                <w:rFonts w:ascii="宋体"/>
                <w:sz w:val="18"/>
              </w:rPr>
            </w:r>
          </w:p>
        </w:tc>
        <w:tc>
          <w:tcPr>
            <w:tcW w:w="1758" w:type="dxa"/>
            <w:tcBorders>
              <w:top w:val="single" w:sz="4" w:space="0" w:color="000000"/>
              <w:left w:val="nil" w:sz="6" w:space="0" w:color="auto"/>
              <w:bottom w:val="single" w:sz="12" w:space="0" w:color="000000"/>
              <w:right w:val="nil" w:sz="6" w:space="0" w:color="auto"/>
            </w:tcBorders>
          </w:tcPr>
          <w:p>
            <w:pPr>
              <w:pStyle w:val="TableParagraph"/>
              <w:spacing w:line="229" w:lineRule="exact"/>
              <w:ind w:right="106"/>
              <w:jc w:val="right"/>
              <w:rPr>
                <w:rFonts w:ascii="宋体" w:hAnsi="宋体" w:cs="宋体" w:eastAsia="宋体" w:hint="default"/>
                <w:sz w:val="18"/>
                <w:szCs w:val="18"/>
              </w:rPr>
            </w:pPr>
            <w:r>
              <w:rPr>
                <w:rFonts w:ascii="宋体"/>
                <w:b/>
                <w:w w:val="95"/>
                <w:sz w:val="18"/>
              </w:rPr>
              <w:t>20,449,533,777.22</w:t>
            </w:r>
            <w:r>
              <w:rPr>
                <w:rFonts w:ascii="宋体"/>
                <w:sz w:val="18"/>
              </w:rPr>
            </w:r>
          </w:p>
        </w:tc>
      </w:tr>
    </w:tbl>
    <w:p>
      <w:pPr>
        <w:spacing w:before="67"/>
        <w:ind w:left="14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41.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税金及附加</w:t>
      </w:r>
    </w:p>
    <w:p>
      <w:pPr>
        <w:spacing w:line="240" w:lineRule="auto" w:before="8"/>
        <w:rPr>
          <w:rFonts w:ascii="宋体" w:hAnsi="宋体" w:cs="宋体" w:eastAsia="宋体" w:hint="default"/>
          <w:sz w:val="11"/>
          <w:szCs w:val="11"/>
        </w:rPr>
      </w:pPr>
    </w:p>
    <w:tbl>
      <w:tblPr>
        <w:tblW w:w="0" w:type="auto"/>
        <w:jc w:val="left"/>
        <w:tblInd w:w="859" w:type="dxa"/>
        <w:tblLayout w:type="fixed"/>
        <w:tblCellMar>
          <w:top w:w="0" w:type="dxa"/>
          <w:left w:w="0" w:type="dxa"/>
          <w:bottom w:w="0" w:type="dxa"/>
          <w:right w:w="0" w:type="dxa"/>
        </w:tblCellMar>
        <w:tblLook w:val="01E0"/>
      </w:tblPr>
      <w:tblGrid>
        <w:gridCol w:w="3086"/>
        <w:gridCol w:w="3661"/>
        <w:gridCol w:w="2051"/>
      </w:tblGrid>
      <w:tr>
        <w:trPr>
          <w:trHeight w:val="305" w:hRule="exact"/>
        </w:trPr>
        <w:tc>
          <w:tcPr>
            <w:tcW w:w="308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6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717"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05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18"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88" w:hRule="exact"/>
        </w:trPr>
        <w:tc>
          <w:tcPr>
            <w:tcW w:w="3086"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661" w:type="dxa"/>
            <w:tcBorders>
              <w:top w:val="single" w:sz="4" w:space="0" w:color="000000"/>
              <w:left w:val="nil" w:sz="6" w:space="0" w:color="auto"/>
              <w:bottom w:val="nil" w:sz="6" w:space="0" w:color="auto"/>
              <w:right w:val="nil" w:sz="6" w:space="0" w:color="auto"/>
            </w:tcBorders>
          </w:tcPr>
          <w:p>
            <w:pPr>
              <w:pStyle w:val="TableParagraph"/>
              <w:spacing w:line="232" w:lineRule="exact"/>
              <w:ind w:right="417"/>
              <w:jc w:val="right"/>
              <w:rPr>
                <w:rFonts w:ascii="宋体" w:hAnsi="宋体" w:cs="宋体" w:eastAsia="宋体" w:hint="default"/>
                <w:sz w:val="18"/>
                <w:szCs w:val="18"/>
              </w:rPr>
            </w:pPr>
            <w:r>
              <w:rPr>
                <w:rFonts w:ascii="宋体"/>
                <w:spacing w:val="-1"/>
                <w:sz w:val="18"/>
              </w:rPr>
              <w:t>50,485,076.28</w:t>
            </w:r>
          </w:p>
        </w:tc>
        <w:tc>
          <w:tcPr>
            <w:tcW w:w="2051"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48,969,514.46</w:t>
            </w:r>
          </w:p>
        </w:tc>
      </w:tr>
      <w:tr>
        <w:trPr>
          <w:trHeight w:val="284"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661" w:type="dxa"/>
            <w:tcBorders>
              <w:top w:val="nil" w:sz="6" w:space="0" w:color="auto"/>
              <w:left w:val="nil" w:sz="6" w:space="0" w:color="auto"/>
              <w:bottom w:val="nil" w:sz="6" w:space="0" w:color="auto"/>
              <w:right w:val="nil" w:sz="6" w:space="0" w:color="auto"/>
            </w:tcBorders>
          </w:tcPr>
          <w:p>
            <w:pPr>
              <w:pStyle w:val="TableParagraph"/>
              <w:spacing w:line="232" w:lineRule="exact"/>
              <w:ind w:right="417"/>
              <w:jc w:val="right"/>
              <w:rPr>
                <w:rFonts w:ascii="宋体" w:hAnsi="宋体" w:cs="宋体" w:eastAsia="宋体" w:hint="default"/>
                <w:sz w:val="18"/>
                <w:szCs w:val="18"/>
              </w:rPr>
            </w:pPr>
            <w:r>
              <w:rPr>
                <w:rFonts w:ascii="宋体"/>
                <w:spacing w:val="-1"/>
                <w:sz w:val="18"/>
              </w:rPr>
              <w:t>43,471,167.37</w:t>
            </w:r>
          </w:p>
        </w:tc>
        <w:tc>
          <w:tcPr>
            <w:tcW w:w="2051"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51,032,367.30</w:t>
            </w:r>
          </w:p>
        </w:tc>
      </w:tr>
      <w:tr>
        <w:trPr>
          <w:trHeight w:val="286"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661" w:type="dxa"/>
            <w:tcBorders>
              <w:top w:val="nil" w:sz="6" w:space="0" w:color="auto"/>
              <w:left w:val="nil" w:sz="6" w:space="0" w:color="auto"/>
              <w:bottom w:val="nil" w:sz="6" w:space="0" w:color="auto"/>
              <w:right w:val="nil" w:sz="6" w:space="0" w:color="auto"/>
            </w:tcBorders>
          </w:tcPr>
          <w:p>
            <w:pPr>
              <w:pStyle w:val="TableParagraph"/>
              <w:spacing w:line="233" w:lineRule="exact"/>
              <w:ind w:right="417"/>
              <w:jc w:val="right"/>
              <w:rPr>
                <w:rFonts w:ascii="宋体" w:hAnsi="宋体" w:cs="宋体" w:eastAsia="宋体" w:hint="default"/>
                <w:sz w:val="18"/>
                <w:szCs w:val="18"/>
              </w:rPr>
            </w:pPr>
            <w:r>
              <w:rPr>
                <w:rFonts w:ascii="宋体"/>
                <w:spacing w:val="-1"/>
                <w:sz w:val="18"/>
              </w:rPr>
              <w:t>33,936,512.34</w:t>
            </w:r>
          </w:p>
        </w:tc>
        <w:tc>
          <w:tcPr>
            <w:tcW w:w="2051"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39,126,565.05</w:t>
            </w:r>
          </w:p>
        </w:tc>
      </w:tr>
      <w:tr>
        <w:trPr>
          <w:trHeight w:val="286"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661" w:type="dxa"/>
            <w:tcBorders>
              <w:top w:val="nil" w:sz="6" w:space="0" w:color="auto"/>
              <w:left w:val="nil" w:sz="6" w:space="0" w:color="auto"/>
              <w:bottom w:val="nil" w:sz="6" w:space="0" w:color="auto"/>
              <w:right w:val="nil" w:sz="6" w:space="0" w:color="auto"/>
            </w:tcBorders>
          </w:tcPr>
          <w:p>
            <w:pPr>
              <w:pStyle w:val="TableParagraph"/>
              <w:spacing w:line="233" w:lineRule="exact"/>
              <w:ind w:right="417"/>
              <w:jc w:val="right"/>
              <w:rPr>
                <w:rFonts w:ascii="宋体" w:hAnsi="宋体" w:cs="宋体" w:eastAsia="宋体" w:hint="default"/>
                <w:sz w:val="18"/>
                <w:szCs w:val="18"/>
              </w:rPr>
            </w:pPr>
            <w:r>
              <w:rPr>
                <w:rFonts w:ascii="宋体"/>
                <w:spacing w:val="-1"/>
                <w:sz w:val="18"/>
              </w:rPr>
              <w:t>15,999,692.31</w:t>
            </w:r>
          </w:p>
        </w:tc>
        <w:tc>
          <w:tcPr>
            <w:tcW w:w="2051"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17,515,097.79</w:t>
            </w:r>
          </w:p>
        </w:tc>
      </w:tr>
      <w:tr>
        <w:trPr>
          <w:trHeight w:val="284"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661" w:type="dxa"/>
            <w:tcBorders>
              <w:top w:val="nil" w:sz="6" w:space="0" w:color="auto"/>
              <w:left w:val="nil" w:sz="6" w:space="0" w:color="auto"/>
              <w:bottom w:val="nil" w:sz="6" w:space="0" w:color="auto"/>
              <w:right w:val="nil" w:sz="6" w:space="0" w:color="auto"/>
            </w:tcBorders>
          </w:tcPr>
          <w:p>
            <w:pPr>
              <w:pStyle w:val="TableParagraph"/>
              <w:spacing w:line="233" w:lineRule="exact"/>
              <w:ind w:right="417"/>
              <w:jc w:val="right"/>
              <w:rPr>
                <w:rFonts w:ascii="宋体" w:hAnsi="宋体" w:cs="宋体" w:eastAsia="宋体" w:hint="default"/>
                <w:sz w:val="18"/>
                <w:szCs w:val="18"/>
              </w:rPr>
            </w:pPr>
            <w:r>
              <w:rPr>
                <w:rFonts w:ascii="宋体"/>
                <w:spacing w:val="-1"/>
                <w:sz w:val="18"/>
              </w:rPr>
              <w:t>12,485,748.77</w:t>
            </w:r>
          </w:p>
        </w:tc>
        <w:tc>
          <w:tcPr>
            <w:tcW w:w="2051"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14,057,377.82</w:t>
            </w:r>
          </w:p>
        </w:tc>
      </w:tr>
      <w:tr>
        <w:trPr>
          <w:trHeight w:val="284"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661" w:type="dxa"/>
            <w:tcBorders>
              <w:top w:val="nil" w:sz="6" w:space="0" w:color="auto"/>
              <w:left w:val="nil" w:sz="6" w:space="0" w:color="auto"/>
              <w:bottom w:val="nil" w:sz="6" w:space="0" w:color="auto"/>
              <w:right w:val="nil" w:sz="6" w:space="0" w:color="auto"/>
            </w:tcBorders>
          </w:tcPr>
          <w:p>
            <w:pPr>
              <w:pStyle w:val="TableParagraph"/>
              <w:spacing w:line="232" w:lineRule="exact"/>
              <w:ind w:right="417"/>
              <w:jc w:val="right"/>
              <w:rPr>
                <w:rFonts w:ascii="宋体" w:hAnsi="宋体" w:cs="宋体" w:eastAsia="宋体" w:hint="default"/>
                <w:sz w:val="18"/>
                <w:szCs w:val="18"/>
              </w:rPr>
            </w:pPr>
            <w:r>
              <w:rPr>
                <w:rFonts w:ascii="宋体"/>
                <w:spacing w:val="-1"/>
                <w:sz w:val="18"/>
              </w:rPr>
              <w:t>1,363,778.77</w:t>
            </w:r>
          </w:p>
        </w:tc>
        <w:tc>
          <w:tcPr>
            <w:tcW w:w="2051"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9,359,082.04</w:t>
            </w:r>
          </w:p>
        </w:tc>
      </w:tr>
      <w:tr>
        <w:trPr>
          <w:trHeight w:val="303" w:hRule="exact"/>
        </w:trPr>
        <w:tc>
          <w:tcPr>
            <w:tcW w:w="3086" w:type="dxa"/>
            <w:tcBorders>
              <w:top w:val="nil" w:sz="6" w:space="0" w:color="auto"/>
              <w:left w:val="nil" w:sz="6" w:space="0" w:color="auto"/>
              <w:bottom w:val="single" w:sz="1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661" w:type="dxa"/>
            <w:tcBorders>
              <w:top w:val="nil" w:sz="6" w:space="0" w:color="auto"/>
              <w:left w:val="nil" w:sz="6" w:space="0" w:color="auto"/>
              <w:bottom w:val="single" w:sz="12" w:space="0" w:color="000000"/>
              <w:right w:val="nil" w:sz="6" w:space="0" w:color="auto"/>
            </w:tcBorders>
          </w:tcPr>
          <w:p>
            <w:pPr>
              <w:pStyle w:val="TableParagraph"/>
              <w:spacing w:line="233" w:lineRule="exact"/>
              <w:ind w:right="416"/>
              <w:jc w:val="right"/>
              <w:rPr>
                <w:rFonts w:ascii="宋体" w:hAnsi="宋体" w:cs="宋体" w:eastAsia="宋体" w:hint="default"/>
                <w:sz w:val="18"/>
                <w:szCs w:val="18"/>
              </w:rPr>
            </w:pPr>
            <w:r>
              <w:rPr>
                <w:rFonts w:ascii="宋体"/>
                <w:spacing w:val="-1"/>
                <w:sz w:val="18"/>
              </w:rPr>
              <w:t>275,614.11</w:t>
            </w:r>
          </w:p>
        </w:tc>
        <w:tc>
          <w:tcPr>
            <w:tcW w:w="2051" w:type="dxa"/>
            <w:tcBorders>
              <w:top w:val="nil" w:sz="6" w:space="0" w:color="auto"/>
              <w:left w:val="nil" w:sz="6" w:space="0" w:color="auto"/>
              <w:bottom w:val="single" w:sz="12"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280,409.21</w:t>
            </w:r>
          </w:p>
        </w:tc>
      </w:tr>
    </w:tbl>
    <w:p>
      <w:pPr>
        <w:spacing w:after="0" w:line="233" w:lineRule="exact"/>
        <w:jc w:val="right"/>
        <w:rPr>
          <w:rFonts w:ascii="宋体" w:hAnsi="宋体" w:cs="宋体" w:eastAsia="宋体" w:hint="default"/>
          <w:sz w:val="18"/>
          <w:szCs w:val="18"/>
        </w:rPr>
        <w:sectPr>
          <w:pgSz w:w="11910" w:h="16840"/>
          <w:pgMar w:header="0" w:footer="1054" w:top="1360" w:bottom="1240" w:left="660" w:right="680"/>
        </w:sectPr>
      </w:pPr>
    </w:p>
    <w:p>
      <w:pPr>
        <w:spacing w:line="240" w:lineRule="auto" w:before="6"/>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2726"/>
        <w:gridCol w:w="4021"/>
        <w:gridCol w:w="2051"/>
      </w:tblGrid>
      <w:tr>
        <w:trPr>
          <w:trHeight w:val="305" w:hRule="exact"/>
        </w:trPr>
        <w:tc>
          <w:tcPr>
            <w:tcW w:w="272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02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077"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05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18"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0" w:hRule="exact"/>
        </w:trPr>
        <w:tc>
          <w:tcPr>
            <w:tcW w:w="2726"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4021" w:type="dxa"/>
            <w:tcBorders>
              <w:top w:val="single" w:sz="4" w:space="0" w:color="000000"/>
              <w:left w:val="nil" w:sz="6" w:space="0" w:color="auto"/>
              <w:bottom w:val="nil" w:sz="6" w:space="0" w:color="auto"/>
              <w:right w:val="nil" w:sz="6" w:space="0" w:color="auto"/>
            </w:tcBorders>
          </w:tcPr>
          <w:p>
            <w:pPr>
              <w:pStyle w:val="TableParagraph"/>
              <w:spacing w:line="232" w:lineRule="exact"/>
              <w:ind w:right="416"/>
              <w:jc w:val="right"/>
              <w:rPr>
                <w:rFonts w:ascii="宋体" w:hAnsi="宋体" w:cs="宋体" w:eastAsia="宋体" w:hint="default"/>
                <w:sz w:val="18"/>
                <w:szCs w:val="18"/>
              </w:rPr>
            </w:pPr>
            <w:r>
              <w:rPr>
                <w:rFonts w:ascii="宋体"/>
                <w:spacing w:val="-1"/>
                <w:sz w:val="18"/>
              </w:rPr>
              <w:t>165,986.32</w:t>
            </w:r>
          </w:p>
        </w:tc>
        <w:tc>
          <w:tcPr>
            <w:tcW w:w="2051" w:type="dxa"/>
            <w:tcBorders>
              <w:top w:val="single" w:sz="4" w:space="0" w:color="000000"/>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z w:val="18"/>
              </w:rPr>
              <w:t>0.00</w:t>
            </w:r>
          </w:p>
        </w:tc>
      </w:tr>
      <w:tr>
        <w:trPr>
          <w:trHeight w:val="284" w:hRule="exact"/>
        </w:trPr>
        <w:tc>
          <w:tcPr>
            <w:tcW w:w="2726"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4021" w:type="dxa"/>
            <w:tcBorders>
              <w:top w:val="nil" w:sz="6" w:space="0" w:color="auto"/>
              <w:left w:val="nil" w:sz="6" w:space="0" w:color="auto"/>
              <w:bottom w:val="nil" w:sz="6" w:space="0" w:color="auto"/>
              <w:right w:val="nil" w:sz="6" w:space="0" w:color="auto"/>
            </w:tcBorders>
          </w:tcPr>
          <w:p>
            <w:pPr>
              <w:pStyle w:val="TableParagraph"/>
              <w:spacing w:line="233" w:lineRule="exact"/>
              <w:ind w:right="416"/>
              <w:jc w:val="right"/>
              <w:rPr>
                <w:rFonts w:ascii="宋体" w:hAnsi="宋体" w:cs="宋体" w:eastAsia="宋体" w:hint="default"/>
                <w:sz w:val="18"/>
                <w:szCs w:val="18"/>
              </w:rPr>
            </w:pPr>
            <w:r>
              <w:rPr>
                <w:rFonts w:ascii="宋体"/>
                <w:spacing w:val="-1"/>
                <w:sz w:val="18"/>
              </w:rPr>
              <w:t>118,561.63</w:t>
            </w:r>
          </w:p>
        </w:tc>
        <w:tc>
          <w:tcPr>
            <w:tcW w:w="2051"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3,807,164.78</w:t>
            </w:r>
          </w:p>
        </w:tc>
      </w:tr>
      <w:tr>
        <w:trPr>
          <w:trHeight w:val="290" w:hRule="exact"/>
        </w:trPr>
        <w:tc>
          <w:tcPr>
            <w:tcW w:w="2726"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021" w:type="dxa"/>
            <w:tcBorders>
              <w:top w:val="nil" w:sz="6" w:space="0" w:color="auto"/>
              <w:left w:val="nil" w:sz="6" w:space="0" w:color="auto"/>
              <w:bottom w:val="single" w:sz="4" w:space="0" w:color="000000"/>
              <w:right w:val="nil" w:sz="6" w:space="0" w:color="auto"/>
            </w:tcBorders>
          </w:tcPr>
          <w:p>
            <w:pPr>
              <w:pStyle w:val="TableParagraph"/>
              <w:spacing w:line="232" w:lineRule="exact"/>
              <w:ind w:right="417"/>
              <w:jc w:val="right"/>
              <w:rPr>
                <w:rFonts w:ascii="宋体" w:hAnsi="宋体" w:cs="宋体" w:eastAsia="宋体" w:hint="default"/>
                <w:sz w:val="18"/>
                <w:szCs w:val="18"/>
              </w:rPr>
            </w:pPr>
            <w:r>
              <w:rPr>
                <w:rFonts w:ascii="宋体"/>
                <w:spacing w:val="-1"/>
                <w:sz w:val="18"/>
              </w:rPr>
              <w:t>2,417,909.68</w:t>
            </w:r>
          </w:p>
        </w:tc>
        <w:tc>
          <w:tcPr>
            <w:tcW w:w="2051" w:type="dxa"/>
            <w:tcBorders>
              <w:top w:val="nil" w:sz="6" w:space="0" w:color="auto"/>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2,209,242.31</w:t>
            </w:r>
          </w:p>
        </w:tc>
      </w:tr>
      <w:tr>
        <w:trPr>
          <w:trHeight w:val="307" w:hRule="exact"/>
        </w:trPr>
        <w:tc>
          <w:tcPr>
            <w:tcW w:w="2726"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021"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417"/>
              <w:jc w:val="right"/>
              <w:rPr>
                <w:rFonts w:ascii="宋体" w:hAnsi="宋体" w:cs="宋体" w:eastAsia="宋体" w:hint="default"/>
                <w:sz w:val="18"/>
                <w:szCs w:val="18"/>
              </w:rPr>
            </w:pPr>
            <w:r>
              <w:rPr>
                <w:rFonts w:ascii="宋体"/>
                <w:b/>
                <w:w w:val="95"/>
                <w:sz w:val="18"/>
              </w:rPr>
              <w:t>160,720,047.58</w:t>
            </w:r>
            <w:r>
              <w:rPr>
                <w:rFonts w:ascii="宋体"/>
                <w:sz w:val="18"/>
              </w:rPr>
            </w:r>
          </w:p>
        </w:tc>
        <w:tc>
          <w:tcPr>
            <w:tcW w:w="2051"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186,356,820.76</w:t>
            </w:r>
            <w:r>
              <w:rPr>
                <w:rFonts w:ascii="宋体"/>
                <w:sz w:val="18"/>
              </w:rPr>
            </w:r>
          </w:p>
        </w:tc>
      </w:tr>
    </w:tbl>
    <w:p>
      <w:pPr>
        <w:spacing w:before="81"/>
        <w:ind w:left="70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42.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销售费用</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4158"/>
        <w:gridCol w:w="2574"/>
        <w:gridCol w:w="2051"/>
      </w:tblGrid>
      <w:tr>
        <w:trPr>
          <w:trHeight w:val="305" w:hRule="exact"/>
        </w:trPr>
        <w:tc>
          <w:tcPr>
            <w:tcW w:w="415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7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30"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05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19"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88" w:hRule="exact"/>
        </w:trPr>
        <w:tc>
          <w:tcPr>
            <w:tcW w:w="4158"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2574" w:type="dxa"/>
            <w:tcBorders>
              <w:top w:val="single" w:sz="4" w:space="0" w:color="000000"/>
              <w:left w:val="nil" w:sz="6" w:space="0" w:color="auto"/>
              <w:bottom w:val="nil" w:sz="6" w:space="0" w:color="auto"/>
              <w:right w:val="nil" w:sz="6" w:space="0" w:color="auto"/>
            </w:tcBorders>
          </w:tcPr>
          <w:p>
            <w:pPr>
              <w:pStyle w:val="TableParagraph"/>
              <w:spacing w:line="232" w:lineRule="exact"/>
              <w:ind w:right="417"/>
              <w:jc w:val="right"/>
              <w:rPr>
                <w:rFonts w:ascii="宋体" w:hAnsi="宋体" w:cs="宋体" w:eastAsia="宋体" w:hint="default"/>
                <w:sz w:val="18"/>
                <w:szCs w:val="18"/>
              </w:rPr>
            </w:pPr>
            <w:r>
              <w:rPr>
                <w:rFonts w:ascii="宋体"/>
                <w:spacing w:val="-1"/>
                <w:sz w:val="18"/>
              </w:rPr>
              <w:t>830,377,327.21</w:t>
            </w:r>
          </w:p>
        </w:tc>
        <w:tc>
          <w:tcPr>
            <w:tcW w:w="2051"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796,390,583.59</w:t>
            </w:r>
          </w:p>
        </w:tc>
      </w:tr>
      <w:tr>
        <w:trPr>
          <w:trHeight w:val="284" w:hRule="exact"/>
        </w:trPr>
        <w:tc>
          <w:tcPr>
            <w:tcW w:w="415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业务宣传费、广告费、经营费用、佣金</w:t>
            </w:r>
          </w:p>
        </w:tc>
        <w:tc>
          <w:tcPr>
            <w:tcW w:w="2574" w:type="dxa"/>
            <w:tcBorders>
              <w:top w:val="nil" w:sz="6" w:space="0" w:color="auto"/>
              <w:left w:val="nil" w:sz="6" w:space="0" w:color="auto"/>
              <w:bottom w:val="nil" w:sz="6" w:space="0" w:color="auto"/>
              <w:right w:val="nil" w:sz="6" w:space="0" w:color="auto"/>
            </w:tcBorders>
          </w:tcPr>
          <w:p>
            <w:pPr>
              <w:pStyle w:val="TableParagraph"/>
              <w:spacing w:line="232" w:lineRule="exact"/>
              <w:ind w:right="417"/>
              <w:jc w:val="right"/>
              <w:rPr>
                <w:rFonts w:ascii="宋体" w:hAnsi="宋体" w:cs="宋体" w:eastAsia="宋体" w:hint="default"/>
                <w:sz w:val="18"/>
                <w:szCs w:val="18"/>
              </w:rPr>
            </w:pPr>
            <w:r>
              <w:rPr>
                <w:rFonts w:ascii="宋体"/>
                <w:spacing w:val="-1"/>
                <w:sz w:val="18"/>
              </w:rPr>
              <w:t>458,385,783.24</w:t>
            </w:r>
          </w:p>
        </w:tc>
        <w:tc>
          <w:tcPr>
            <w:tcW w:w="2051"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477,869,398.97</w:t>
            </w:r>
          </w:p>
        </w:tc>
      </w:tr>
      <w:tr>
        <w:trPr>
          <w:trHeight w:val="286" w:hRule="exact"/>
        </w:trPr>
        <w:tc>
          <w:tcPr>
            <w:tcW w:w="415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差旅、会议、招待费</w:t>
            </w:r>
          </w:p>
        </w:tc>
        <w:tc>
          <w:tcPr>
            <w:tcW w:w="2574" w:type="dxa"/>
            <w:tcBorders>
              <w:top w:val="nil" w:sz="6" w:space="0" w:color="auto"/>
              <w:left w:val="nil" w:sz="6" w:space="0" w:color="auto"/>
              <w:bottom w:val="nil" w:sz="6" w:space="0" w:color="auto"/>
              <w:right w:val="nil" w:sz="6" w:space="0" w:color="auto"/>
            </w:tcBorders>
          </w:tcPr>
          <w:p>
            <w:pPr>
              <w:pStyle w:val="TableParagraph"/>
              <w:spacing w:line="233" w:lineRule="exact"/>
              <w:ind w:right="417"/>
              <w:jc w:val="right"/>
              <w:rPr>
                <w:rFonts w:ascii="宋体" w:hAnsi="宋体" w:cs="宋体" w:eastAsia="宋体" w:hint="default"/>
                <w:sz w:val="18"/>
                <w:szCs w:val="18"/>
              </w:rPr>
            </w:pPr>
            <w:r>
              <w:rPr>
                <w:rFonts w:ascii="宋体"/>
                <w:spacing w:val="-1"/>
                <w:sz w:val="18"/>
              </w:rPr>
              <w:t>271,445,301.10</w:t>
            </w:r>
          </w:p>
        </w:tc>
        <w:tc>
          <w:tcPr>
            <w:tcW w:w="2051"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250,205,385.70</w:t>
            </w:r>
          </w:p>
        </w:tc>
      </w:tr>
      <w:tr>
        <w:trPr>
          <w:trHeight w:val="286" w:hRule="exact"/>
        </w:trPr>
        <w:tc>
          <w:tcPr>
            <w:tcW w:w="415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代理、服务费、咨询及中介机构费</w:t>
            </w:r>
          </w:p>
        </w:tc>
        <w:tc>
          <w:tcPr>
            <w:tcW w:w="2574" w:type="dxa"/>
            <w:tcBorders>
              <w:top w:val="nil" w:sz="6" w:space="0" w:color="auto"/>
              <w:left w:val="nil" w:sz="6" w:space="0" w:color="auto"/>
              <w:bottom w:val="nil" w:sz="6" w:space="0" w:color="auto"/>
              <w:right w:val="nil" w:sz="6" w:space="0" w:color="auto"/>
            </w:tcBorders>
          </w:tcPr>
          <w:p>
            <w:pPr>
              <w:pStyle w:val="TableParagraph"/>
              <w:spacing w:line="233" w:lineRule="exact"/>
              <w:ind w:right="417"/>
              <w:jc w:val="right"/>
              <w:rPr>
                <w:rFonts w:ascii="宋体" w:hAnsi="宋体" w:cs="宋体" w:eastAsia="宋体" w:hint="default"/>
                <w:sz w:val="18"/>
                <w:szCs w:val="18"/>
              </w:rPr>
            </w:pPr>
            <w:r>
              <w:rPr>
                <w:rFonts w:ascii="宋体"/>
                <w:spacing w:val="-1"/>
                <w:sz w:val="18"/>
              </w:rPr>
              <w:t>224,993,731.50</w:t>
            </w:r>
          </w:p>
        </w:tc>
        <w:tc>
          <w:tcPr>
            <w:tcW w:w="2051"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167,187,010.20</w:t>
            </w:r>
          </w:p>
        </w:tc>
      </w:tr>
      <w:tr>
        <w:trPr>
          <w:trHeight w:val="284" w:hRule="exact"/>
        </w:trPr>
        <w:tc>
          <w:tcPr>
            <w:tcW w:w="415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运杂费（运输费、车辆费用等）</w:t>
            </w:r>
          </w:p>
        </w:tc>
        <w:tc>
          <w:tcPr>
            <w:tcW w:w="2574" w:type="dxa"/>
            <w:tcBorders>
              <w:top w:val="nil" w:sz="6" w:space="0" w:color="auto"/>
              <w:left w:val="nil" w:sz="6" w:space="0" w:color="auto"/>
              <w:bottom w:val="nil" w:sz="6" w:space="0" w:color="auto"/>
              <w:right w:val="nil" w:sz="6" w:space="0" w:color="auto"/>
            </w:tcBorders>
          </w:tcPr>
          <w:p>
            <w:pPr>
              <w:pStyle w:val="TableParagraph"/>
              <w:spacing w:line="233" w:lineRule="exact"/>
              <w:ind w:right="417"/>
              <w:jc w:val="right"/>
              <w:rPr>
                <w:rFonts w:ascii="宋体" w:hAnsi="宋体" w:cs="宋体" w:eastAsia="宋体" w:hint="default"/>
                <w:sz w:val="18"/>
                <w:szCs w:val="18"/>
              </w:rPr>
            </w:pPr>
            <w:r>
              <w:rPr>
                <w:rFonts w:ascii="宋体"/>
                <w:spacing w:val="-1"/>
                <w:sz w:val="18"/>
              </w:rPr>
              <w:t>96,394,973.66</w:t>
            </w:r>
          </w:p>
        </w:tc>
        <w:tc>
          <w:tcPr>
            <w:tcW w:w="2051"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110,127,291.65</w:t>
            </w:r>
          </w:p>
        </w:tc>
      </w:tr>
      <w:tr>
        <w:trPr>
          <w:trHeight w:val="285" w:hRule="exact"/>
        </w:trPr>
        <w:tc>
          <w:tcPr>
            <w:tcW w:w="415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2574" w:type="dxa"/>
            <w:tcBorders>
              <w:top w:val="nil" w:sz="6" w:space="0" w:color="auto"/>
              <w:left w:val="nil" w:sz="6" w:space="0" w:color="auto"/>
              <w:bottom w:val="nil" w:sz="6" w:space="0" w:color="auto"/>
              <w:right w:val="nil" w:sz="6" w:space="0" w:color="auto"/>
            </w:tcBorders>
          </w:tcPr>
          <w:p>
            <w:pPr>
              <w:pStyle w:val="TableParagraph"/>
              <w:spacing w:line="232" w:lineRule="exact"/>
              <w:ind w:right="417"/>
              <w:jc w:val="right"/>
              <w:rPr>
                <w:rFonts w:ascii="宋体" w:hAnsi="宋体" w:cs="宋体" w:eastAsia="宋体" w:hint="default"/>
                <w:sz w:val="18"/>
                <w:szCs w:val="18"/>
              </w:rPr>
            </w:pPr>
            <w:r>
              <w:rPr>
                <w:rFonts w:ascii="宋体"/>
                <w:spacing w:val="-1"/>
                <w:sz w:val="18"/>
              </w:rPr>
              <w:t>93,770,547.13</w:t>
            </w:r>
          </w:p>
        </w:tc>
        <w:tc>
          <w:tcPr>
            <w:tcW w:w="2051"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66,786,127.01</w:t>
            </w:r>
          </w:p>
        </w:tc>
      </w:tr>
      <w:tr>
        <w:trPr>
          <w:trHeight w:val="286" w:hRule="exact"/>
        </w:trPr>
        <w:tc>
          <w:tcPr>
            <w:tcW w:w="415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办公费、资料费、年费</w:t>
            </w:r>
          </w:p>
        </w:tc>
        <w:tc>
          <w:tcPr>
            <w:tcW w:w="2574" w:type="dxa"/>
            <w:tcBorders>
              <w:top w:val="nil" w:sz="6" w:space="0" w:color="auto"/>
              <w:left w:val="nil" w:sz="6" w:space="0" w:color="auto"/>
              <w:bottom w:val="nil" w:sz="6" w:space="0" w:color="auto"/>
              <w:right w:val="nil" w:sz="6" w:space="0" w:color="auto"/>
            </w:tcBorders>
          </w:tcPr>
          <w:p>
            <w:pPr>
              <w:pStyle w:val="TableParagraph"/>
              <w:spacing w:line="233" w:lineRule="exact"/>
              <w:ind w:right="417"/>
              <w:jc w:val="right"/>
              <w:rPr>
                <w:rFonts w:ascii="宋体" w:hAnsi="宋体" w:cs="宋体" w:eastAsia="宋体" w:hint="default"/>
                <w:sz w:val="18"/>
                <w:szCs w:val="18"/>
              </w:rPr>
            </w:pPr>
            <w:r>
              <w:rPr>
                <w:rFonts w:ascii="宋体"/>
                <w:spacing w:val="-1"/>
                <w:sz w:val="18"/>
              </w:rPr>
              <w:t>47,326,378.12</w:t>
            </w:r>
          </w:p>
        </w:tc>
        <w:tc>
          <w:tcPr>
            <w:tcW w:w="2051"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69,144,836.73</w:t>
            </w:r>
          </w:p>
        </w:tc>
      </w:tr>
      <w:tr>
        <w:trPr>
          <w:trHeight w:val="286" w:hRule="exact"/>
        </w:trPr>
        <w:tc>
          <w:tcPr>
            <w:tcW w:w="415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2574" w:type="dxa"/>
            <w:tcBorders>
              <w:top w:val="nil" w:sz="6" w:space="0" w:color="auto"/>
              <w:left w:val="nil" w:sz="6" w:space="0" w:color="auto"/>
              <w:bottom w:val="nil" w:sz="6" w:space="0" w:color="auto"/>
              <w:right w:val="nil" w:sz="6" w:space="0" w:color="auto"/>
            </w:tcBorders>
          </w:tcPr>
          <w:p>
            <w:pPr>
              <w:pStyle w:val="TableParagraph"/>
              <w:spacing w:line="233" w:lineRule="exact"/>
              <w:ind w:right="417"/>
              <w:jc w:val="right"/>
              <w:rPr>
                <w:rFonts w:ascii="宋体" w:hAnsi="宋体" w:cs="宋体" w:eastAsia="宋体" w:hint="default"/>
                <w:sz w:val="18"/>
                <w:szCs w:val="18"/>
              </w:rPr>
            </w:pPr>
            <w:r>
              <w:rPr>
                <w:rFonts w:ascii="宋体"/>
                <w:spacing w:val="-1"/>
                <w:sz w:val="18"/>
              </w:rPr>
              <w:t>46,305,196.37</w:t>
            </w:r>
          </w:p>
        </w:tc>
        <w:tc>
          <w:tcPr>
            <w:tcW w:w="2051"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24,862,442.81</w:t>
            </w:r>
          </w:p>
        </w:tc>
      </w:tr>
      <w:tr>
        <w:trPr>
          <w:trHeight w:val="284" w:hRule="exact"/>
        </w:trPr>
        <w:tc>
          <w:tcPr>
            <w:tcW w:w="415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仓储、场地、展台费、验货、模具、整改费</w:t>
            </w:r>
          </w:p>
        </w:tc>
        <w:tc>
          <w:tcPr>
            <w:tcW w:w="2574" w:type="dxa"/>
            <w:tcBorders>
              <w:top w:val="nil" w:sz="6" w:space="0" w:color="auto"/>
              <w:left w:val="nil" w:sz="6" w:space="0" w:color="auto"/>
              <w:bottom w:val="nil" w:sz="6" w:space="0" w:color="auto"/>
              <w:right w:val="nil" w:sz="6" w:space="0" w:color="auto"/>
            </w:tcBorders>
          </w:tcPr>
          <w:p>
            <w:pPr>
              <w:pStyle w:val="TableParagraph"/>
              <w:spacing w:line="233" w:lineRule="exact"/>
              <w:ind w:right="417"/>
              <w:jc w:val="right"/>
              <w:rPr>
                <w:rFonts w:ascii="宋体" w:hAnsi="宋体" w:cs="宋体" w:eastAsia="宋体" w:hint="default"/>
                <w:sz w:val="18"/>
                <w:szCs w:val="18"/>
              </w:rPr>
            </w:pPr>
            <w:r>
              <w:rPr>
                <w:rFonts w:ascii="宋体"/>
                <w:spacing w:val="-1"/>
                <w:sz w:val="18"/>
              </w:rPr>
              <w:t>12,614,487.21</w:t>
            </w:r>
          </w:p>
        </w:tc>
        <w:tc>
          <w:tcPr>
            <w:tcW w:w="2051"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17,071,925.51</w:t>
            </w:r>
          </w:p>
        </w:tc>
      </w:tr>
      <w:tr>
        <w:trPr>
          <w:trHeight w:val="284" w:hRule="exact"/>
        </w:trPr>
        <w:tc>
          <w:tcPr>
            <w:tcW w:w="415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2574" w:type="dxa"/>
            <w:tcBorders>
              <w:top w:val="nil" w:sz="6" w:space="0" w:color="auto"/>
              <w:left w:val="nil" w:sz="6" w:space="0" w:color="auto"/>
              <w:bottom w:val="nil" w:sz="6" w:space="0" w:color="auto"/>
              <w:right w:val="nil" w:sz="6" w:space="0" w:color="auto"/>
            </w:tcBorders>
          </w:tcPr>
          <w:p>
            <w:pPr>
              <w:pStyle w:val="TableParagraph"/>
              <w:spacing w:line="232" w:lineRule="exact"/>
              <w:ind w:right="417"/>
              <w:jc w:val="right"/>
              <w:rPr>
                <w:rFonts w:ascii="宋体" w:hAnsi="宋体" w:cs="宋体" w:eastAsia="宋体" w:hint="default"/>
                <w:sz w:val="18"/>
                <w:szCs w:val="18"/>
              </w:rPr>
            </w:pPr>
            <w:r>
              <w:rPr>
                <w:rFonts w:ascii="宋体"/>
                <w:spacing w:val="-1"/>
                <w:sz w:val="18"/>
              </w:rPr>
              <w:t>9,630,280.18</w:t>
            </w:r>
          </w:p>
        </w:tc>
        <w:tc>
          <w:tcPr>
            <w:tcW w:w="2051"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9,625,991.77</w:t>
            </w:r>
          </w:p>
        </w:tc>
      </w:tr>
      <w:tr>
        <w:trPr>
          <w:trHeight w:val="286" w:hRule="exact"/>
        </w:trPr>
        <w:tc>
          <w:tcPr>
            <w:tcW w:w="415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试验测试、加工安装制作费</w:t>
            </w:r>
          </w:p>
        </w:tc>
        <w:tc>
          <w:tcPr>
            <w:tcW w:w="2574" w:type="dxa"/>
            <w:tcBorders>
              <w:top w:val="nil" w:sz="6" w:space="0" w:color="auto"/>
              <w:left w:val="nil" w:sz="6" w:space="0" w:color="auto"/>
              <w:bottom w:val="nil" w:sz="6" w:space="0" w:color="auto"/>
              <w:right w:val="nil" w:sz="6" w:space="0" w:color="auto"/>
            </w:tcBorders>
          </w:tcPr>
          <w:p>
            <w:pPr>
              <w:pStyle w:val="TableParagraph"/>
              <w:spacing w:line="233" w:lineRule="exact"/>
              <w:ind w:right="417"/>
              <w:jc w:val="right"/>
              <w:rPr>
                <w:rFonts w:ascii="宋体" w:hAnsi="宋体" w:cs="宋体" w:eastAsia="宋体" w:hint="default"/>
                <w:sz w:val="18"/>
                <w:szCs w:val="18"/>
              </w:rPr>
            </w:pPr>
            <w:r>
              <w:rPr>
                <w:rFonts w:ascii="宋体"/>
                <w:spacing w:val="-1"/>
                <w:sz w:val="18"/>
              </w:rPr>
              <w:t>9,496,898.48</w:t>
            </w:r>
          </w:p>
        </w:tc>
        <w:tc>
          <w:tcPr>
            <w:tcW w:w="2051"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11,004,298.32</w:t>
            </w:r>
          </w:p>
        </w:tc>
      </w:tr>
      <w:tr>
        <w:trPr>
          <w:trHeight w:val="286" w:hRule="exact"/>
        </w:trPr>
        <w:tc>
          <w:tcPr>
            <w:tcW w:w="415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产品维修费</w:t>
            </w:r>
          </w:p>
        </w:tc>
        <w:tc>
          <w:tcPr>
            <w:tcW w:w="2574" w:type="dxa"/>
            <w:tcBorders>
              <w:top w:val="nil" w:sz="6" w:space="0" w:color="auto"/>
              <w:left w:val="nil" w:sz="6" w:space="0" w:color="auto"/>
              <w:bottom w:val="nil" w:sz="6" w:space="0" w:color="auto"/>
              <w:right w:val="nil" w:sz="6" w:space="0" w:color="auto"/>
            </w:tcBorders>
          </w:tcPr>
          <w:p>
            <w:pPr>
              <w:pStyle w:val="TableParagraph"/>
              <w:spacing w:line="233" w:lineRule="exact"/>
              <w:ind w:right="417"/>
              <w:jc w:val="right"/>
              <w:rPr>
                <w:rFonts w:ascii="宋体" w:hAnsi="宋体" w:cs="宋体" w:eastAsia="宋体" w:hint="default"/>
                <w:sz w:val="18"/>
                <w:szCs w:val="18"/>
              </w:rPr>
            </w:pPr>
            <w:r>
              <w:rPr>
                <w:rFonts w:ascii="宋体"/>
                <w:spacing w:val="-1"/>
                <w:sz w:val="18"/>
              </w:rPr>
              <w:t>8,793,654.42</w:t>
            </w:r>
          </w:p>
        </w:tc>
        <w:tc>
          <w:tcPr>
            <w:tcW w:w="2051"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21,162,381.93</w:t>
            </w:r>
          </w:p>
        </w:tc>
      </w:tr>
      <w:tr>
        <w:trPr>
          <w:trHeight w:val="284" w:hRule="exact"/>
        </w:trPr>
        <w:tc>
          <w:tcPr>
            <w:tcW w:w="415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2574" w:type="dxa"/>
            <w:tcBorders>
              <w:top w:val="nil" w:sz="6" w:space="0" w:color="auto"/>
              <w:left w:val="nil" w:sz="6" w:space="0" w:color="auto"/>
              <w:bottom w:val="nil" w:sz="6" w:space="0" w:color="auto"/>
              <w:right w:val="nil" w:sz="6" w:space="0" w:color="auto"/>
            </w:tcBorders>
          </w:tcPr>
          <w:p>
            <w:pPr>
              <w:pStyle w:val="TableParagraph"/>
              <w:spacing w:line="233" w:lineRule="exact"/>
              <w:ind w:right="417"/>
              <w:jc w:val="right"/>
              <w:rPr>
                <w:rFonts w:ascii="宋体" w:hAnsi="宋体" w:cs="宋体" w:eastAsia="宋体" w:hint="default"/>
                <w:sz w:val="18"/>
                <w:szCs w:val="18"/>
              </w:rPr>
            </w:pPr>
            <w:r>
              <w:rPr>
                <w:rFonts w:ascii="宋体"/>
                <w:spacing w:val="-1"/>
                <w:sz w:val="18"/>
              </w:rPr>
              <w:t>8,502,220.31</w:t>
            </w:r>
          </w:p>
        </w:tc>
        <w:tc>
          <w:tcPr>
            <w:tcW w:w="2051"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4,639,333.26</w:t>
            </w:r>
          </w:p>
        </w:tc>
      </w:tr>
      <w:tr>
        <w:trPr>
          <w:trHeight w:val="284" w:hRule="exact"/>
        </w:trPr>
        <w:tc>
          <w:tcPr>
            <w:tcW w:w="415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外事活动费、出口费用</w:t>
            </w:r>
          </w:p>
        </w:tc>
        <w:tc>
          <w:tcPr>
            <w:tcW w:w="2574" w:type="dxa"/>
            <w:tcBorders>
              <w:top w:val="nil" w:sz="6" w:space="0" w:color="auto"/>
              <w:left w:val="nil" w:sz="6" w:space="0" w:color="auto"/>
              <w:bottom w:val="nil" w:sz="6" w:space="0" w:color="auto"/>
              <w:right w:val="nil" w:sz="6" w:space="0" w:color="auto"/>
            </w:tcBorders>
          </w:tcPr>
          <w:p>
            <w:pPr>
              <w:pStyle w:val="TableParagraph"/>
              <w:spacing w:line="232" w:lineRule="exact"/>
              <w:ind w:right="417"/>
              <w:jc w:val="right"/>
              <w:rPr>
                <w:rFonts w:ascii="宋体" w:hAnsi="宋体" w:cs="宋体" w:eastAsia="宋体" w:hint="default"/>
                <w:sz w:val="18"/>
                <w:szCs w:val="18"/>
              </w:rPr>
            </w:pPr>
            <w:r>
              <w:rPr>
                <w:rFonts w:ascii="宋体"/>
                <w:spacing w:val="-1"/>
                <w:sz w:val="18"/>
              </w:rPr>
              <w:t>3,686,753.14</w:t>
            </w:r>
          </w:p>
        </w:tc>
        <w:tc>
          <w:tcPr>
            <w:tcW w:w="2051"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11,879,527.37</w:t>
            </w:r>
          </w:p>
        </w:tc>
      </w:tr>
      <w:tr>
        <w:trPr>
          <w:trHeight w:val="286" w:hRule="exact"/>
        </w:trPr>
        <w:tc>
          <w:tcPr>
            <w:tcW w:w="415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水电费、暖气费、蒸汽费</w:t>
            </w:r>
          </w:p>
        </w:tc>
        <w:tc>
          <w:tcPr>
            <w:tcW w:w="2574" w:type="dxa"/>
            <w:tcBorders>
              <w:top w:val="nil" w:sz="6" w:space="0" w:color="auto"/>
              <w:left w:val="nil" w:sz="6" w:space="0" w:color="auto"/>
              <w:bottom w:val="nil" w:sz="6" w:space="0" w:color="auto"/>
              <w:right w:val="nil" w:sz="6" w:space="0" w:color="auto"/>
            </w:tcBorders>
          </w:tcPr>
          <w:p>
            <w:pPr>
              <w:pStyle w:val="TableParagraph"/>
              <w:spacing w:line="233" w:lineRule="exact"/>
              <w:ind w:right="417"/>
              <w:jc w:val="right"/>
              <w:rPr>
                <w:rFonts w:ascii="宋体" w:hAnsi="宋体" w:cs="宋体" w:eastAsia="宋体" w:hint="default"/>
                <w:sz w:val="18"/>
                <w:szCs w:val="18"/>
              </w:rPr>
            </w:pPr>
            <w:r>
              <w:rPr>
                <w:rFonts w:ascii="宋体"/>
                <w:spacing w:val="-1"/>
                <w:sz w:val="18"/>
              </w:rPr>
              <w:t>1,786,801.71</w:t>
            </w:r>
          </w:p>
        </w:tc>
        <w:tc>
          <w:tcPr>
            <w:tcW w:w="2051"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1,741,236.74</w:t>
            </w:r>
          </w:p>
        </w:tc>
      </w:tr>
      <w:tr>
        <w:trPr>
          <w:trHeight w:val="291" w:hRule="exact"/>
        </w:trPr>
        <w:tc>
          <w:tcPr>
            <w:tcW w:w="4158"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74" w:type="dxa"/>
            <w:tcBorders>
              <w:top w:val="nil" w:sz="6" w:space="0" w:color="auto"/>
              <w:left w:val="nil" w:sz="6" w:space="0" w:color="auto"/>
              <w:bottom w:val="single" w:sz="4" w:space="0" w:color="000000"/>
              <w:right w:val="nil" w:sz="6" w:space="0" w:color="auto"/>
            </w:tcBorders>
          </w:tcPr>
          <w:p>
            <w:pPr>
              <w:pStyle w:val="TableParagraph"/>
              <w:spacing w:line="233" w:lineRule="exact"/>
              <w:ind w:right="417"/>
              <w:jc w:val="right"/>
              <w:rPr>
                <w:rFonts w:ascii="宋体" w:hAnsi="宋体" w:cs="宋体" w:eastAsia="宋体" w:hint="default"/>
                <w:sz w:val="18"/>
                <w:szCs w:val="18"/>
              </w:rPr>
            </w:pPr>
            <w:r>
              <w:rPr>
                <w:rFonts w:ascii="宋体"/>
                <w:spacing w:val="-1"/>
                <w:sz w:val="18"/>
              </w:rPr>
              <w:t>12,968,692.65</w:t>
            </w:r>
          </w:p>
        </w:tc>
        <w:tc>
          <w:tcPr>
            <w:tcW w:w="2051" w:type="dxa"/>
            <w:tcBorders>
              <w:top w:val="nil" w:sz="6" w:space="0" w:color="auto"/>
              <w:left w:val="nil" w:sz="6" w:space="0" w:color="auto"/>
              <w:bottom w:val="single" w:sz="4"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15,071,425.04</w:t>
            </w:r>
          </w:p>
        </w:tc>
      </w:tr>
      <w:tr>
        <w:trPr>
          <w:trHeight w:val="305" w:hRule="exact"/>
        </w:trPr>
        <w:tc>
          <w:tcPr>
            <w:tcW w:w="4158"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74"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417"/>
              <w:jc w:val="right"/>
              <w:rPr>
                <w:rFonts w:ascii="宋体" w:hAnsi="宋体" w:cs="宋体" w:eastAsia="宋体" w:hint="default"/>
                <w:sz w:val="18"/>
                <w:szCs w:val="18"/>
              </w:rPr>
            </w:pPr>
            <w:r>
              <w:rPr>
                <w:rFonts w:ascii="宋体"/>
                <w:b/>
                <w:w w:val="95"/>
                <w:sz w:val="18"/>
              </w:rPr>
              <w:t>2,136,479,026.43</w:t>
            </w:r>
            <w:r>
              <w:rPr>
                <w:rFonts w:ascii="宋体"/>
                <w:sz w:val="18"/>
              </w:rPr>
            </w:r>
          </w:p>
        </w:tc>
        <w:tc>
          <w:tcPr>
            <w:tcW w:w="2051"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2,054,769,196.60</w:t>
            </w:r>
            <w:r>
              <w:rPr>
                <w:rFonts w:ascii="宋体"/>
                <w:sz w:val="18"/>
              </w:rPr>
            </w:r>
          </w:p>
        </w:tc>
      </w:tr>
    </w:tbl>
    <w:p>
      <w:pPr>
        <w:spacing w:before="81"/>
        <w:ind w:left="70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43.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管理费用</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971"/>
        <w:gridCol w:w="2740"/>
        <w:gridCol w:w="2071"/>
      </w:tblGrid>
      <w:tr>
        <w:trPr>
          <w:trHeight w:val="305" w:hRule="exact"/>
        </w:trPr>
        <w:tc>
          <w:tcPr>
            <w:tcW w:w="397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4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803"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07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2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89" w:hRule="exact"/>
        </w:trPr>
        <w:tc>
          <w:tcPr>
            <w:tcW w:w="3971"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2740" w:type="dxa"/>
            <w:tcBorders>
              <w:top w:val="single" w:sz="4" w:space="0" w:color="000000"/>
              <w:left w:val="nil" w:sz="6" w:space="0" w:color="auto"/>
              <w:bottom w:val="nil" w:sz="6" w:space="0" w:color="auto"/>
              <w:right w:val="nil" w:sz="6" w:space="0" w:color="auto"/>
            </w:tcBorders>
          </w:tcPr>
          <w:p>
            <w:pPr>
              <w:pStyle w:val="TableParagraph"/>
              <w:spacing w:line="232" w:lineRule="exact"/>
              <w:ind w:right="423"/>
              <w:jc w:val="right"/>
              <w:rPr>
                <w:rFonts w:ascii="宋体" w:hAnsi="宋体" w:cs="宋体" w:eastAsia="宋体" w:hint="default"/>
                <w:sz w:val="18"/>
                <w:szCs w:val="18"/>
              </w:rPr>
            </w:pPr>
            <w:r>
              <w:rPr>
                <w:rFonts w:ascii="宋体"/>
                <w:spacing w:val="-1"/>
                <w:sz w:val="18"/>
              </w:rPr>
              <w:t>835,771,544.17</w:t>
            </w:r>
          </w:p>
        </w:tc>
        <w:tc>
          <w:tcPr>
            <w:tcW w:w="2071"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749,651,660.49</w:t>
            </w:r>
          </w:p>
        </w:tc>
      </w:tr>
      <w:tr>
        <w:trPr>
          <w:trHeight w:val="286" w:hRule="exact"/>
        </w:trPr>
        <w:tc>
          <w:tcPr>
            <w:tcW w:w="3971"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2740" w:type="dxa"/>
            <w:tcBorders>
              <w:top w:val="nil" w:sz="6" w:space="0" w:color="auto"/>
              <w:left w:val="nil" w:sz="6" w:space="0" w:color="auto"/>
              <w:bottom w:val="nil" w:sz="6" w:space="0" w:color="auto"/>
              <w:right w:val="nil" w:sz="6" w:space="0" w:color="auto"/>
            </w:tcBorders>
          </w:tcPr>
          <w:p>
            <w:pPr>
              <w:pStyle w:val="TableParagraph"/>
              <w:spacing w:line="233" w:lineRule="exact"/>
              <w:ind w:right="423"/>
              <w:jc w:val="right"/>
              <w:rPr>
                <w:rFonts w:ascii="宋体" w:hAnsi="宋体" w:cs="宋体" w:eastAsia="宋体" w:hint="default"/>
                <w:sz w:val="18"/>
                <w:szCs w:val="18"/>
              </w:rPr>
            </w:pPr>
            <w:r>
              <w:rPr>
                <w:rFonts w:ascii="宋体"/>
                <w:spacing w:val="-1"/>
                <w:sz w:val="18"/>
              </w:rPr>
              <w:t>315,920,180.48</w:t>
            </w:r>
          </w:p>
        </w:tc>
        <w:tc>
          <w:tcPr>
            <w:tcW w:w="2071"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328,138,148.70</w:t>
            </w:r>
          </w:p>
        </w:tc>
      </w:tr>
      <w:tr>
        <w:trPr>
          <w:trHeight w:val="284" w:hRule="exact"/>
        </w:trPr>
        <w:tc>
          <w:tcPr>
            <w:tcW w:w="3971"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商标注册、专利申请费、开办费、年费</w:t>
            </w:r>
          </w:p>
        </w:tc>
        <w:tc>
          <w:tcPr>
            <w:tcW w:w="2740" w:type="dxa"/>
            <w:tcBorders>
              <w:top w:val="nil" w:sz="6" w:space="0" w:color="auto"/>
              <w:left w:val="nil" w:sz="6" w:space="0" w:color="auto"/>
              <w:bottom w:val="nil" w:sz="6" w:space="0" w:color="auto"/>
              <w:right w:val="nil" w:sz="6" w:space="0" w:color="auto"/>
            </w:tcBorders>
          </w:tcPr>
          <w:p>
            <w:pPr>
              <w:pStyle w:val="TableParagraph"/>
              <w:spacing w:line="233" w:lineRule="exact"/>
              <w:ind w:right="423"/>
              <w:jc w:val="right"/>
              <w:rPr>
                <w:rFonts w:ascii="宋体" w:hAnsi="宋体" w:cs="宋体" w:eastAsia="宋体" w:hint="default"/>
                <w:sz w:val="18"/>
                <w:szCs w:val="18"/>
              </w:rPr>
            </w:pPr>
            <w:r>
              <w:rPr>
                <w:rFonts w:ascii="宋体"/>
                <w:spacing w:val="-1"/>
                <w:sz w:val="18"/>
              </w:rPr>
              <w:t>129,476,837.80</w:t>
            </w:r>
          </w:p>
        </w:tc>
        <w:tc>
          <w:tcPr>
            <w:tcW w:w="2071"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100,360,218.42</w:t>
            </w:r>
          </w:p>
        </w:tc>
      </w:tr>
      <w:tr>
        <w:trPr>
          <w:trHeight w:val="284" w:hRule="exact"/>
        </w:trPr>
        <w:tc>
          <w:tcPr>
            <w:tcW w:w="39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咨询费、服务费、中介费</w:t>
            </w:r>
          </w:p>
        </w:tc>
        <w:tc>
          <w:tcPr>
            <w:tcW w:w="2740" w:type="dxa"/>
            <w:tcBorders>
              <w:top w:val="nil" w:sz="6" w:space="0" w:color="auto"/>
              <w:left w:val="nil" w:sz="6" w:space="0" w:color="auto"/>
              <w:bottom w:val="nil" w:sz="6" w:space="0" w:color="auto"/>
              <w:right w:val="nil" w:sz="6" w:space="0" w:color="auto"/>
            </w:tcBorders>
          </w:tcPr>
          <w:p>
            <w:pPr>
              <w:pStyle w:val="TableParagraph"/>
              <w:spacing w:line="232" w:lineRule="exact"/>
              <w:ind w:right="423"/>
              <w:jc w:val="right"/>
              <w:rPr>
                <w:rFonts w:ascii="宋体" w:hAnsi="宋体" w:cs="宋体" w:eastAsia="宋体" w:hint="default"/>
                <w:sz w:val="18"/>
                <w:szCs w:val="18"/>
              </w:rPr>
            </w:pPr>
            <w:r>
              <w:rPr>
                <w:rFonts w:ascii="宋体"/>
                <w:spacing w:val="-1"/>
                <w:sz w:val="18"/>
              </w:rPr>
              <w:t>112,532,261.44</w:t>
            </w:r>
          </w:p>
        </w:tc>
        <w:tc>
          <w:tcPr>
            <w:tcW w:w="2071"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172,411,869.13</w:t>
            </w:r>
          </w:p>
        </w:tc>
      </w:tr>
      <w:tr>
        <w:trPr>
          <w:trHeight w:val="286" w:hRule="exact"/>
        </w:trPr>
        <w:tc>
          <w:tcPr>
            <w:tcW w:w="3971"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办公、资料费</w:t>
            </w:r>
          </w:p>
        </w:tc>
        <w:tc>
          <w:tcPr>
            <w:tcW w:w="2740" w:type="dxa"/>
            <w:tcBorders>
              <w:top w:val="nil" w:sz="6" w:space="0" w:color="auto"/>
              <w:left w:val="nil" w:sz="6" w:space="0" w:color="auto"/>
              <w:bottom w:val="nil" w:sz="6" w:space="0" w:color="auto"/>
              <w:right w:val="nil" w:sz="6" w:space="0" w:color="auto"/>
            </w:tcBorders>
          </w:tcPr>
          <w:p>
            <w:pPr>
              <w:pStyle w:val="TableParagraph"/>
              <w:spacing w:line="233" w:lineRule="exact"/>
              <w:ind w:right="423"/>
              <w:jc w:val="right"/>
              <w:rPr>
                <w:rFonts w:ascii="宋体" w:hAnsi="宋体" w:cs="宋体" w:eastAsia="宋体" w:hint="default"/>
                <w:sz w:val="18"/>
                <w:szCs w:val="18"/>
              </w:rPr>
            </w:pPr>
            <w:r>
              <w:rPr>
                <w:rFonts w:ascii="宋体"/>
                <w:spacing w:val="-1"/>
                <w:sz w:val="18"/>
              </w:rPr>
              <w:t>95,577,630.39</w:t>
            </w:r>
          </w:p>
        </w:tc>
        <w:tc>
          <w:tcPr>
            <w:tcW w:w="2071"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40,427,873.28</w:t>
            </w:r>
          </w:p>
        </w:tc>
      </w:tr>
      <w:tr>
        <w:trPr>
          <w:trHeight w:val="286" w:hRule="exact"/>
        </w:trPr>
        <w:tc>
          <w:tcPr>
            <w:tcW w:w="3971"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差旅、会议、招待费</w:t>
            </w:r>
          </w:p>
        </w:tc>
        <w:tc>
          <w:tcPr>
            <w:tcW w:w="2740" w:type="dxa"/>
            <w:tcBorders>
              <w:top w:val="nil" w:sz="6" w:space="0" w:color="auto"/>
              <w:left w:val="nil" w:sz="6" w:space="0" w:color="auto"/>
              <w:bottom w:val="nil" w:sz="6" w:space="0" w:color="auto"/>
              <w:right w:val="nil" w:sz="6" w:space="0" w:color="auto"/>
            </w:tcBorders>
          </w:tcPr>
          <w:p>
            <w:pPr>
              <w:pStyle w:val="TableParagraph"/>
              <w:spacing w:line="233" w:lineRule="exact"/>
              <w:ind w:right="423"/>
              <w:jc w:val="right"/>
              <w:rPr>
                <w:rFonts w:ascii="宋体" w:hAnsi="宋体" w:cs="宋体" w:eastAsia="宋体" w:hint="default"/>
                <w:sz w:val="18"/>
                <w:szCs w:val="18"/>
              </w:rPr>
            </w:pPr>
            <w:r>
              <w:rPr>
                <w:rFonts w:ascii="宋体"/>
                <w:spacing w:val="-1"/>
                <w:sz w:val="18"/>
              </w:rPr>
              <w:t>60,572,612.78</w:t>
            </w:r>
          </w:p>
        </w:tc>
        <w:tc>
          <w:tcPr>
            <w:tcW w:w="2071"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65,683,099.88</w:t>
            </w:r>
          </w:p>
        </w:tc>
      </w:tr>
      <w:tr>
        <w:trPr>
          <w:trHeight w:val="284" w:hRule="exact"/>
        </w:trPr>
        <w:tc>
          <w:tcPr>
            <w:tcW w:w="3971"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运杂、交通费</w:t>
            </w:r>
          </w:p>
        </w:tc>
        <w:tc>
          <w:tcPr>
            <w:tcW w:w="2740" w:type="dxa"/>
            <w:tcBorders>
              <w:top w:val="nil" w:sz="6" w:space="0" w:color="auto"/>
              <w:left w:val="nil" w:sz="6" w:space="0" w:color="auto"/>
              <w:bottom w:val="nil" w:sz="6" w:space="0" w:color="auto"/>
              <w:right w:val="nil" w:sz="6" w:space="0" w:color="auto"/>
            </w:tcBorders>
          </w:tcPr>
          <w:p>
            <w:pPr>
              <w:pStyle w:val="TableParagraph"/>
              <w:spacing w:line="233" w:lineRule="exact"/>
              <w:ind w:right="423"/>
              <w:jc w:val="right"/>
              <w:rPr>
                <w:rFonts w:ascii="宋体" w:hAnsi="宋体" w:cs="宋体" w:eastAsia="宋体" w:hint="default"/>
                <w:sz w:val="18"/>
                <w:szCs w:val="18"/>
              </w:rPr>
            </w:pPr>
            <w:r>
              <w:rPr>
                <w:rFonts w:ascii="宋体"/>
                <w:spacing w:val="-1"/>
                <w:sz w:val="18"/>
              </w:rPr>
              <w:t>32,131,189.60</w:t>
            </w:r>
          </w:p>
        </w:tc>
        <w:tc>
          <w:tcPr>
            <w:tcW w:w="2071"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21,190,927.43</w:t>
            </w:r>
          </w:p>
        </w:tc>
      </w:tr>
      <w:tr>
        <w:trPr>
          <w:trHeight w:val="284" w:hRule="exact"/>
        </w:trPr>
        <w:tc>
          <w:tcPr>
            <w:tcW w:w="39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2740" w:type="dxa"/>
            <w:tcBorders>
              <w:top w:val="nil" w:sz="6" w:space="0" w:color="auto"/>
              <w:left w:val="nil" w:sz="6" w:space="0" w:color="auto"/>
              <w:bottom w:val="nil" w:sz="6" w:space="0" w:color="auto"/>
              <w:right w:val="nil" w:sz="6" w:space="0" w:color="auto"/>
            </w:tcBorders>
          </w:tcPr>
          <w:p>
            <w:pPr>
              <w:pStyle w:val="TableParagraph"/>
              <w:spacing w:line="232" w:lineRule="exact"/>
              <w:ind w:right="423"/>
              <w:jc w:val="right"/>
              <w:rPr>
                <w:rFonts w:ascii="宋体" w:hAnsi="宋体" w:cs="宋体" w:eastAsia="宋体" w:hint="default"/>
                <w:sz w:val="18"/>
                <w:szCs w:val="18"/>
              </w:rPr>
            </w:pPr>
            <w:r>
              <w:rPr>
                <w:rFonts w:ascii="宋体"/>
                <w:spacing w:val="-1"/>
                <w:sz w:val="18"/>
              </w:rPr>
              <w:t>29,393,238.54</w:t>
            </w:r>
          </w:p>
        </w:tc>
        <w:tc>
          <w:tcPr>
            <w:tcW w:w="2071"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20,114,234.78</w:t>
            </w:r>
          </w:p>
        </w:tc>
      </w:tr>
      <w:tr>
        <w:trPr>
          <w:trHeight w:val="286" w:hRule="exact"/>
        </w:trPr>
        <w:tc>
          <w:tcPr>
            <w:tcW w:w="3971"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2740" w:type="dxa"/>
            <w:tcBorders>
              <w:top w:val="nil" w:sz="6" w:space="0" w:color="auto"/>
              <w:left w:val="nil" w:sz="6" w:space="0" w:color="auto"/>
              <w:bottom w:val="nil" w:sz="6" w:space="0" w:color="auto"/>
              <w:right w:val="nil" w:sz="6" w:space="0" w:color="auto"/>
            </w:tcBorders>
          </w:tcPr>
          <w:p>
            <w:pPr>
              <w:pStyle w:val="TableParagraph"/>
              <w:spacing w:line="233" w:lineRule="exact"/>
              <w:ind w:right="423"/>
              <w:jc w:val="right"/>
              <w:rPr>
                <w:rFonts w:ascii="宋体" w:hAnsi="宋体" w:cs="宋体" w:eastAsia="宋体" w:hint="default"/>
                <w:sz w:val="18"/>
                <w:szCs w:val="18"/>
              </w:rPr>
            </w:pPr>
            <w:r>
              <w:rPr>
                <w:rFonts w:ascii="宋体"/>
                <w:spacing w:val="-1"/>
                <w:sz w:val="18"/>
              </w:rPr>
              <w:t>11,211,440.95</w:t>
            </w:r>
          </w:p>
        </w:tc>
        <w:tc>
          <w:tcPr>
            <w:tcW w:w="2071"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11,412,393.06</w:t>
            </w:r>
          </w:p>
        </w:tc>
      </w:tr>
      <w:tr>
        <w:trPr>
          <w:trHeight w:val="286" w:hRule="exact"/>
        </w:trPr>
        <w:tc>
          <w:tcPr>
            <w:tcW w:w="3971"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2740" w:type="dxa"/>
            <w:tcBorders>
              <w:top w:val="nil" w:sz="6" w:space="0" w:color="auto"/>
              <w:left w:val="nil" w:sz="6" w:space="0" w:color="auto"/>
              <w:bottom w:val="nil" w:sz="6" w:space="0" w:color="auto"/>
              <w:right w:val="nil" w:sz="6" w:space="0" w:color="auto"/>
            </w:tcBorders>
          </w:tcPr>
          <w:p>
            <w:pPr>
              <w:pStyle w:val="TableParagraph"/>
              <w:spacing w:line="233" w:lineRule="exact"/>
              <w:ind w:right="423"/>
              <w:jc w:val="right"/>
              <w:rPr>
                <w:rFonts w:ascii="宋体" w:hAnsi="宋体" w:cs="宋体" w:eastAsia="宋体" w:hint="default"/>
                <w:sz w:val="18"/>
                <w:szCs w:val="18"/>
              </w:rPr>
            </w:pPr>
            <w:r>
              <w:rPr>
                <w:rFonts w:ascii="宋体"/>
                <w:spacing w:val="-1"/>
                <w:sz w:val="18"/>
              </w:rPr>
              <w:t>4,638,841.71</w:t>
            </w:r>
          </w:p>
        </w:tc>
        <w:tc>
          <w:tcPr>
            <w:tcW w:w="2071"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37,989,033.64</w:t>
            </w:r>
          </w:p>
        </w:tc>
      </w:tr>
      <w:tr>
        <w:trPr>
          <w:trHeight w:val="285" w:hRule="exact"/>
        </w:trPr>
        <w:tc>
          <w:tcPr>
            <w:tcW w:w="3971"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水电、蒸汽、暖气费</w:t>
            </w:r>
          </w:p>
        </w:tc>
        <w:tc>
          <w:tcPr>
            <w:tcW w:w="2740" w:type="dxa"/>
            <w:tcBorders>
              <w:top w:val="nil" w:sz="6" w:space="0" w:color="auto"/>
              <w:left w:val="nil" w:sz="6" w:space="0" w:color="auto"/>
              <w:bottom w:val="nil" w:sz="6" w:space="0" w:color="auto"/>
              <w:right w:val="nil" w:sz="6" w:space="0" w:color="auto"/>
            </w:tcBorders>
          </w:tcPr>
          <w:p>
            <w:pPr>
              <w:pStyle w:val="TableParagraph"/>
              <w:spacing w:line="233" w:lineRule="exact"/>
              <w:ind w:right="423"/>
              <w:jc w:val="right"/>
              <w:rPr>
                <w:rFonts w:ascii="宋体" w:hAnsi="宋体" w:cs="宋体" w:eastAsia="宋体" w:hint="default"/>
                <w:sz w:val="18"/>
                <w:szCs w:val="18"/>
              </w:rPr>
            </w:pPr>
            <w:r>
              <w:rPr>
                <w:rFonts w:ascii="宋体"/>
                <w:spacing w:val="-1"/>
                <w:sz w:val="18"/>
              </w:rPr>
              <w:t>4,127,515.77</w:t>
            </w:r>
          </w:p>
        </w:tc>
        <w:tc>
          <w:tcPr>
            <w:tcW w:w="2071"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7,702,382.73</w:t>
            </w:r>
          </w:p>
        </w:tc>
      </w:tr>
      <w:tr>
        <w:trPr>
          <w:trHeight w:val="285" w:hRule="exact"/>
        </w:trPr>
        <w:tc>
          <w:tcPr>
            <w:tcW w:w="39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机构管理费、行政费</w:t>
            </w:r>
          </w:p>
        </w:tc>
        <w:tc>
          <w:tcPr>
            <w:tcW w:w="2740" w:type="dxa"/>
            <w:tcBorders>
              <w:top w:val="nil" w:sz="6" w:space="0" w:color="auto"/>
              <w:left w:val="nil" w:sz="6" w:space="0" w:color="auto"/>
              <w:bottom w:val="nil" w:sz="6" w:space="0" w:color="auto"/>
              <w:right w:val="nil" w:sz="6" w:space="0" w:color="auto"/>
            </w:tcBorders>
          </w:tcPr>
          <w:p>
            <w:pPr>
              <w:pStyle w:val="TableParagraph"/>
              <w:spacing w:line="232" w:lineRule="exact"/>
              <w:ind w:right="423"/>
              <w:jc w:val="right"/>
              <w:rPr>
                <w:rFonts w:ascii="宋体" w:hAnsi="宋体" w:cs="宋体" w:eastAsia="宋体" w:hint="default"/>
                <w:sz w:val="18"/>
                <w:szCs w:val="18"/>
              </w:rPr>
            </w:pPr>
            <w:r>
              <w:rPr>
                <w:rFonts w:ascii="宋体"/>
                <w:spacing w:val="-1"/>
                <w:sz w:val="18"/>
              </w:rPr>
              <w:t>3,729,932.43</w:t>
            </w:r>
          </w:p>
        </w:tc>
        <w:tc>
          <w:tcPr>
            <w:tcW w:w="2071"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4,015,227.70</w:t>
            </w:r>
          </w:p>
        </w:tc>
      </w:tr>
      <w:tr>
        <w:trPr>
          <w:trHeight w:val="286" w:hRule="exact"/>
        </w:trPr>
        <w:tc>
          <w:tcPr>
            <w:tcW w:w="3971"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租赁、仓储费</w:t>
            </w:r>
          </w:p>
        </w:tc>
        <w:tc>
          <w:tcPr>
            <w:tcW w:w="2740" w:type="dxa"/>
            <w:tcBorders>
              <w:top w:val="nil" w:sz="6" w:space="0" w:color="auto"/>
              <w:left w:val="nil" w:sz="6" w:space="0" w:color="auto"/>
              <w:bottom w:val="nil" w:sz="6" w:space="0" w:color="auto"/>
              <w:right w:val="nil" w:sz="6" w:space="0" w:color="auto"/>
            </w:tcBorders>
          </w:tcPr>
          <w:p>
            <w:pPr>
              <w:pStyle w:val="TableParagraph"/>
              <w:spacing w:line="233" w:lineRule="exact"/>
              <w:ind w:right="423"/>
              <w:jc w:val="right"/>
              <w:rPr>
                <w:rFonts w:ascii="宋体" w:hAnsi="宋体" w:cs="宋体" w:eastAsia="宋体" w:hint="default"/>
                <w:sz w:val="18"/>
                <w:szCs w:val="18"/>
              </w:rPr>
            </w:pPr>
            <w:r>
              <w:rPr>
                <w:rFonts w:ascii="宋体"/>
                <w:spacing w:val="-1"/>
                <w:sz w:val="18"/>
              </w:rPr>
              <w:t>2,335,516.92</w:t>
            </w:r>
          </w:p>
        </w:tc>
        <w:tc>
          <w:tcPr>
            <w:tcW w:w="2071"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1,597,357.61</w:t>
            </w:r>
          </w:p>
        </w:tc>
      </w:tr>
      <w:tr>
        <w:trPr>
          <w:trHeight w:val="286" w:hRule="exact"/>
        </w:trPr>
        <w:tc>
          <w:tcPr>
            <w:tcW w:w="3971"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董事会经费</w:t>
            </w:r>
          </w:p>
        </w:tc>
        <w:tc>
          <w:tcPr>
            <w:tcW w:w="2740" w:type="dxa"/>
            <w:tcBorders>
              <w:top w:val="nil" w:sz="6" w:space="0" w:color="auto"/>
              <w:left w:val="nil" w:sz="6" w:space="0" w:color="auto"/>
              <w:bottom w:val="nil" w:sz="6" w:space="0" w:color="auto"/>
              <w:right w:val="nil" w:sz="6" w:space="0" w:color="auto"/>
            </w:tcBorders>
          </w:tcPr>
          <w:p>
            <w:pPr>
              <w:pStyle w:val="TableParagraph"/>
              <w:spacing w:line="233" w:lineRule="exact"/>
              <w:ind w:right="423"/>
              <w:jc w:val="right"/>
              <w:rPr>
                <w:rFonts w:ascii="宋体" w:hAnsi="宋体" w:cs="宋体" w:eastAsia="宋体" w:hint="default"/>
                <w:sz w:val="18"/>
                <w:szCs w:val="18"/>
              </w:rPr>
            </w:pPr>
            <w:r>
              <w:rPr>
                <w:rFonts w:ascii="宋体"/>
                <w:spacing w:val="-1"/>
                <w:sz w:val="18"/>
              </w:rPr>
              <w:t>2,408,810.80</w:t>
            </w:r>
          </w:p>
        </w:tc>
        <w:tc>
          <w:tcPr>
            <w:tcW w:w="2071"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3,619,228.09</w:t>
            </w:r>
          </w:p>
        </w:tc>
      </w:tr>
      <w:tr>
        <w:trPr>
          <w:trHeight w:val="284" w:hRule="exact"/>
        </w:trPr>
        <w:tc>
          <w:tcPr>
            <w:tcW w:w="3971"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试验测试、加工安装制作费</w:t>
            </w:r>
          </w:p>
        </w:tc>
        <w:tc>
          <w:tcPr>
            <w:tcW w:w="2740" w:type="dxa"/>
            <w:tcBorders>
              <w:top w:val="nil" w:sz="6" w:space="0" w:color="auto"/>
              <w:left w:val="nil" w:sz="6" w:space="0" w:color="auto"/>
              <w:bottom w:val="nil" w:sz="6" w:space="0" w:color="auto"/>
              <w:right w:val="nil" w:sz="6" w:space="0" w:color="auto"/>
            </w:tcBorders>
          </w:tcPr>
          <w:p>
            <w:pPr>
              <w:pStyle w:val="TableParagraph"/>
              <w:spacing w:line="233" w:lineRule="exact"/>
              <w:ind w:right="423"/>
              <w:jc w:val="right"/>
              <w:rPr>
                <w:rFonts w:ascii="宋体" w:hAnsi="宋体" w:cs="宋体" w:eastAsia="宋体" w:hint="default"/>
                <w:sz w:val="18"/>
                <w:szCs w:val="18"/>
              </w:rPr>
            </w:pPr>
            <w:r>
              <w:rPr>
                <w:rFonts w:ascii="宋体"/>
                <w:spacing w:val="-1"/>
                <w:sz w:val="18"/>
              </w:rPr>
              <w:t>2,349,690.57</w:t>
            </w:r>
          </w:p>
        </w:tc>
        <w:tc>
          <w:tcPr>
            <w:tcW w:w="2071"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6,915,163.29</w:t>
            </w:r>
          </w:p>
        </w:tc>
      </w:tr>
      <w:tr>
        <w:trPr>
          <w:trHeight w:val="284" w:hRule="exact"/>
        </w:trPr>
        <w:tc>
          <w:tcPr>
            <w:tcW w:w="3971"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2740" w:type="dxa"/>
            <w:tcBorders>
              <w:top w:val="nil" w:sz="6" w:space="0" w:color="auto"/>
              <w:left w:val="nil" w:sz="6" w:space="0" w:color="auto"/>
              <w:bottom w:val="nil" w:sz="6" w:space="0" w:color="auto"/>
              <w:right w:val="nil" w:sz="6" w:space="0" w:color="auto"/>
            </w:tcBorders>
          </w:tcPr>
          <w:p>
            <w:pPr>
              <w:pStyle w:val="TableParagraph"/>
              <w:spacing w:line="232" w:lineRule="exact"/>
              <w:ind w:right="423"/>
              <w:jc w:val="right"/>
              <w:rPr>
                <w:rFonts w:ascii="宋体" w:hAnsi="宋体" w:cs="宋体" w:eastAsia="宋体" w:hint="default"/>
                <w:sz w:val="18"/>
                <w:szCs w:val="18"/>
              </w:rPr>
            </w:pPr>
            <w:r>
              <w:rPr>
                <w:rFonts w:ascii="宋体"/>
                <w:spacing w:val="-1"/>
                <w:sz w:val="18"/>
              </w:rPr>
              <w:t>2,133,094.68</w:t>
            </w:r>
          </w:p>
        </w:tc>
        <w:tc>
          <w:tcPr>
            <w:tcW w:w="2071"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6,767,899.35</w:t>
            </w:r>
          </w:p>
        </w:tc>
      </w:tr>
      <w:tr>
        <w:trPr>
          <w:trHeight w:val="291" w:hRule="exact"/>
        </w:trPr>
        <w:tc>
          <w:tcPr>
            <w:tcW w:w="3971"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40" w:type="dxa"/>
            <w:tcBorders>
              <w:top w:val="nil" w:sz="6" w:space="0" w:color="auto"/>
              <w:left w:val="nil" w:sz="6" w:space="0" w:color="auto"/>
              <w:bottom w:val="single" w:sz="4" w:space="0" w:color="000000"/>
              <w:right w:val="nil" w:sz="6" w:space="0" w:color="auto"/>
            </w:tcBorders>
          </w:tcPr>
          <w:p>
            <w:pPr>
              <w:pStyle w:val="TableParagraph"/>
              <w:spacing w:line="233" w:lineRule="exact"/>
              <w:ind w:right="423"/>
              <w:jc w:val="right"/>
              <w:rPr>
                <w:rFonts w:ascii="宋体" w:hAnsi="宋体" w:cs="宋体" w:eastAsia="宋体" w:hint="default"/>
                <w:sz w:val="18"/>
                <w:szCs w:val="18"/>
              </w:rPr>
            </w:pPr>
            <w:r>
              <w:rPr>
                <w:rFonts w:ascii="宋体"/>
                <w:spacing w:val="-1"/>
                <w:sz w:val="18"/>
              </w:rPr>
              <w:t>15,427,322.93</w:t>
            </w:r>
          </w:p>
        </w:tc>
        <w:tc>
          <w:tcPr>
            <w:tcW w:w="2071" w:type="dxa"/>
            <w:tcBorders>
              <w:top w:val="nil" w:sz="6" w:space="0" w:color="auto"/>
              <w:left w:val="nil" w:sz="6" w:space="0" w:color="auto"/>
              <w:bottom w:val="single" w:sz="4"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18,417,811.49</w:t>
            </w:r>
          </w:p>
        </w:tc>
      </w:tr>
      <w:tr>
        <w:trPr>
          <w:trHeight w:val="307" w:hRule="exact"/>
        </w:trPr>
        <w:tc>
          <w:tcPr>
            <w:tcW w:w="3971"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40"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423"/>
              <w:jc w:val="right"/>
              <w:rPr>
                <w:rFonts w:ascii="宋体" w:hAnsi="宋体" w:cs="宋体" w:eastAsia="宋体" w:hint="default"/>
                <w:sz w:val="18"/>
                <w:szCs w:val="18"/>
              </w:rPr>
            </w:pPr>
            <w:r>
              <w:rPr>
                <w:rFonts w:ascii="宋体"/>
                <w:b/>
                <w:w w:val="95"/>
                <w:sz w:val="18"/>
              </w:rPr>
              <w:t>1,659,737,661.96</w:t>
            </w:r>
            <w:r>
              <w:rPr>
                <w:rFonts w:ascii="宋体"/>
                <w:sz w:val="18"/>
              </w:rPr>
            </w:r>
          </w:p>
        </w:tc>
        <w:tc>
          <w:tcPr>
            <w:tcW w:w="2071"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1,596,414,529.07</w:t>
            </w:r>
            <w:r>
              <w:rPr>
                <w:rFonts w:ascii="宋体"/>
                <w:sz w:val="18"/>
              </w:rPr>
            </w:r>
          </w:p>
        </w:tc>
      </w:tr>
    </w:tbl>
    <w:p>
      <w:pPr>
        <w:spacing w:before="81"/>
        <w:ind w:left="70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44.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研发费用</w:t>
      </w:r>
    </w:p>
    <w:p>
      <w:pPr>
        <w:spacing w:after="0"/>
        <w:jc w:val="left"/>
        <w:rPr>
          <w:rFonts w:ascii="宋体" w:hAnsi="宋体" w:cs="宋体" w:eastAsia="宋体" w:hint="default"/>
          <w:sz w:val="22"/>
          <w:szCs w:val="22"/>
        </w:rPr>
        <w:sectPr>
          <w:footerReference w:type="default" r:id="rId42"/>
          <w:pgSz w:w="11910" w:h="16840"/>
          <w:pgMar w:footer="1054" w:header="0" w:top="1320" w:bottom="1240" w:left="1400" w:right="1480"/>
        </w:sectPr>
      </w:pPr>
    </w:p>
    <w:p>
      <w:pPr>
        <w:spacing w:line="240" w:lineRule="auto" w:before="6"/>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3960"/>
        <w:gridCol w:w="2739"/>
        <w:gridCol w:w="2057"/>
      </w:tblGrid>
      <w:tr>
        <w:trPr>
          <w:trHeight w:val="307" w:hRule="exact"/>
        </w:trPr>
        <w:tc>
          <w:tcPr>
            <w:tcW w:w="3960" w:type="dxa"/>
            <w:tcBorders>
              <w:top w:val="single" w:sz="12" w:space="0" w:color="000000"/>
              <w:left w:val="nil" w:sz="6" w:space="0" w:color="auto"/>
              <w:bottom w:val="single" w:sz="8"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39" w:type="dxa"/>
            <w:tcBorders>
              <w:top w:val="single" w:sz="12" w:space="0" w:color="000000"/>
              <w:left w:val="nil" w:sz="6" w:space="0" w:color="auto"/>
              <w:bottom w:val="single" w:sz="8" w:space="0" w:color="000000"/>
              <w:right w:val="nil" w:sz="6" w:space="0" w:color="auto"/>
            </w:tcBorders>
          </w:tcPr>
          <w:p>
            <w:pPr>
              <w:pStyle w:val="TableParagraph"/>
              <w:spacing w:line="229" w:lineRule="exact"/>
              <w:ind w:left="792"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057" w:type="dxa"/>
            <w:tcBorders>
              <w:top w:val="single" w:sz="12" w:space="0" w:color="000000"/>
              <w:left w:val="nil" w:sz="6" w:space="0" w:color="auto"/>
              <w:bottom w:val="single" w:sz="8" w:space="0" w:color="000000"/>
              <w:right w:val="nil" w:sz="6" w:space="0" w:color="auto"/>
            </w:tcBorders>
          </w:tcPr>
          <w:p>
            <w:pPr>
              <w:pStyle w:val="TableParagraph"/>
              <w:spacing w:line="229" w:lineRule="exact"/>
              <w:ind w:left="420"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1" w:hRule="exact"/>
        </w:trPr>
        <w:tc>
          <w:tcPr>
            <w:tcW w:w="3960" w:type="dxa"/>
            <w:tcBorders>
              <w:top w:val="single" w:sz="8" w:space="0" w:color="000000"/>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2739" w:type="dxa"/>
            <w:tcBorders>
              <w:top w:val="single" w:sz="8" w:space="0" w:color="000000"/>
              <w:left w:val="nil" w:sz="6" w:space="0" w:color="auto"/>
              <w:bottom w:val="nil" w:sz="6" w:space="0" w:color="auto"/>
              <w:right w:val="nil" w:sz="6" w:space="0" w:color="auto"/>
            </w:tcBorders>
          </w:tcPr>
          <w:p>
            <w:pPr>
              <w:pStyle w:val="TableParagraph"/>
              <w:spacing w:line="230" w:lineRule="exact"/>
              <w:ind w:right="418"/>
              <w:jc w:val="right"/>
              <w:rPr>
                <w:rFonts w:ascii="宋体" w:hAnsi="宋体" w:cs="宋体" w:eastAsia="宋体" w:hint="default"/>
                <w:sz w:val="18"/>
                <w:szCs w:val="18"/>
              </w:rPr>
            </w:pPr>
            <w:r>
              <w:rPr>
                <w:rFonts w:ascii="宋体"/>
                <w:spacing w:val="-1"/>
                <w:sz w:val="18"/>
              </w:rPr>
              <w:t>492,729,622.95</w:t>
            </w:r>
          </w:p>
        </w:tc>
        <w:tc>
          <w:tcPr>
            <w:tcW w:w="2057" w:type="dxa"/>
            <w:tcBorders>
              <w:top w:val="single" w:sz="8" w:space="0" w:color="000000"/>
              <w:left w:val="nil" w:sz="6" w:space="0" w:color="auto"/>
              <w:bottom w:val="nil" w:sz="6" w:space="0" w:color="auto"/>
              <w:right w:val="nil" w:sz="6" w:space="0" w:color="auto"/>
            </w:tcBorders>
          </w:tcPr>
          <w:p>
            <w:pPr>
              <w:pStyle w:val="TableParagraph"/>
              <w:spacing w:line="230" w:lineRule="exact"/>
              <w:ind w:right="105"/>
              <w:jc w:val="right"/>
              <w:rPr>
                <w:rFonts w:ascii="宋体" w:hAnsi="宋体" w:cs="宋体" w:eastAsia="宋体" w:hint="default"/>
                <w:sz w:val="18"/>
                <w:szCs w:val="18"/>
              </w:rPr>
            </w:pPr>
            <w:r>
              <w:rPr>
                <w:rFonts w:ascii="宋体"/>
                <w:spacing w:val="-1"/>
                <w:sz w:val="18"/>
              </w:rPr>
              <w:t>398,577,754.78</w:t>
            </w:r>
          </w:p>
        </w:tc>
      </w:tr>
      <w:tr>
        <w:trPr>
          <w:trHeight w:val="282" w:hRule="exact"/>
        </w:trPr>
        <w:tc>
          <w:tcPr>
            <w:tcW w:w="396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2739" w:type="dxa"/>
            <w:tcBorders>
              <w:top w:val="nil" w:sz="6" w:space="0" w:color="auto"/>
              <w:left w:val="nil" w:sz="6" w:space="0" w:color="auto"/>
              <w:bottom w:val="nil" w:sz="6" w:space="0" w:color="auto"/>
              <w:right w:val="nil" w:sz="6" w:space="0" w:color="auto"/>
            </w:tcBorders>
          </w:tcPr>
          <w:p>
            <w:pPr>
              <w:pStyle w:val="TableParagraph"/>
              <w:spacing w:line="232" w:lineRule="exact"/>
              <w:ind w:right="418"/>
              <w:jc w:val="right"/>
              <w:rPr>
                <w:rFonts w:ascii="宋体" w:hAnsi="宋体" w:cs="宋体" w:eastAsia="宋体" w:hint="default"/>
                <w:sz w:val="18"/>
                <w:szCs w:val="18"/>
              </w:rPr>
            </w:pPr>
            <w:r>
              <w:rPr>
                <w:rFonts w:ascii="宋体"/>
                <w:spacing w:val="-1"/>
                <w:sz w:val="18"/>
              </w:rPr>
              <w:t>88,282,968.80</w:t>
            </w:r>
          </w:p>
        </w:tc>
        <w:tc>
          <w:tcPr>
            <w:tcW w:w="2057"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93,717,309.09</w:t>
            </w:r>
          </w:p>
        </w:tc>
      </w:tr>
      <w:tr>
        <w:trPr>
          <w:trHeight w:val="282" w:hRule="exact"/>
        </w:trPr>
        <w:tc>
          <w:tcPr>
            <w:tcW w:w="3960"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咨询费、服务费、中介费</w:t>
            </w:r>
          </w:p>
        </w:tc>
        <w:tc>
          <w:tcPr>
            <w:tcW w:w="2739" w:type="dxa"/>
            <w:tcBorders>
              <w:top w:val="nil" w:sz="6" w:space="0" w:color="auto"/>
              <w:left w:val="nil" w:sz="6" w:space="0" w:color="auto"/>
              <w:bottom w:val="nil" w:sz="6" w:space="0" w:color="auto"/>
              <w:right w:val="nil" w:sz="6" w:space="0" w:color="auto"/>
            </w:tcBorders>
          </w:tcPr>
          <w:p>
            <w:pPr>
              <w:pStyle w:val="TableParagraph"/>
              <w:spacing w:line="230" w:lineRule="exact"/>
              <w:ind w:right="418"/>
              <w:jc w:val="right"/>
              <w:rPr>
                <w:rFonts w:ascii="宋体" w:hAnsi="宋体" w:cs="宋体" w:eastAsia="宋体" w:hint="default"/>
                <w:sz w:val="18"/>
                <w:szCs w:val="18"/>
              </w:rPr>
            </w:pPr>
            <w:r>
              <w:rPr>
                <w:rFonts w:ascii="宋体"/>
                <w:spacing w:val="-1"/>
                <w:sz w:val="18"/>
              </w:rPr>
              <w:t>78,915,772.94</w:t>
            </w:r>
          </w:p>
        </w:tc>
        <w:tc>
          <w:tcPr>
            <w:tcW w:w="2057" w:type="dxa"/>
            <w:tcBorders>
              <w:top w:val="nil" w:sz="6" w:space="0" w:color="auto"/>
              <w:left w:val="nil" w:sz="6" w:space="0" w:color="auto"/>
              <w:bottom w:val="nil" w:sz="6" w:space="0" w:color="auto"/>
              <w:right w:val="nil" w:sz="6" w:space="0" w:color="auto"/>
            </w:tcBorders>
          </w:tcPr>
          <w:p>
            <w:pPr>
              <w:pStyle w:val="TableParagraph"/>
              <w:spacing w:line="230" w:lineRule="exact"/>
              <w:ind w:right="105"/>
              <w:jc w:val="right"/>
              <w:rPr>
                <w:rFonts w:ascii="宋体" w:hAnsi="宋体" w:cs="宋体" w:eastAsia="宋体" w:hint="default"/>
                <w:sz w:val="18"/>
                <w:szCs w:val="18"/>
              </w:rPr>
            </w:pPr>
            <w:r>
              <w:rPr>
                <w:rFonts w:ascii="宋体"/>
                <w:spacing w:val="-1"/>
                <w:sz w:val="18"/>
              </w:rPr>
              <w:t>43,001,547.19</w:t>
            </w:r>
          </w:p>
        </w:tc>
      </w:tr>
      <w:tr>
        <w:trPr>
          <w:trHeight w:val="282" w:hRule="exact"/>
        </w:trPr>
        <w:tc>
          <w:tcPr>
            <w:tcW w:w="396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2739" w:type="dxa"/>
            <w:tcBorders>
              <w:top w:val="nil" w:sz="6" w:space="0" w:color="auto"/>
              <w:left w:val="nil" w:sz="6" w:space="0" w:color="auto"/>
              <w:bottom w:val="nil" w:sz="6" w:space="0" w:color="auto"/>
              <w:right w:val="nil" w:sz="6" w:space="0" w:color="auto"/>
            </w:tcBorders>
          </w:tcPr>
          <w:p>
            <w:pPr>
              <w:pStyle w:val="TableParagraph"/>
              <w:spacing w:line="232" w:lineRule="exact"/>
              <w:ind w:right="418"/>
              <w:jc w:val="right"/>
              <w:rPr>
                <w:rFonts w:ascii="宋体" w:hAnsi="宋体" w:cs="宋体" w:eastAsia="宋体" w:hint="default"/>
                <w:sz w:val="18"/>
                <w:szCs w:val="18"/>
              </w:rPr>
            </w:pPr>
            <w:r>
              <w:rPr>
                <w:rFonts w:ascii="宋体"/>
                <w:spacing w:val="-1"/>
                <w:sz w:val="18"/>
              </w:rPr>
              <w:t>75,708,269.07</w:t>
            </w:r>
          </w:p>
        </w:tc>
        <w:tc>
          <w:tcPr>
            <w:tcW w:w="2057"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29,861,854.93</w:t>
            </w:r>
          </w:p>
        </w:tc>
      </w:tr>
      <w:tr>
        <w:trPr>
          <w:trHeight w:val="282" w:hRule="exact"/>
        </w:trPr>
        <w:tc>
          <w:tcPr>
            <w:tcW w:w="3960"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设计费</w:t>
            </w:r>
          </w:p>
        </w:tc>
        <w:tc>
          <w:tcPr>
            <w:tcW w:w="2739" w:type="dxa"/>
            <w:tcBorders>
              <w:top w:val="nil" w:sz="6" w:space="0" w:color="auto"/>
              <w:left w:val="nil" w:sz="6" w:space="0" w:color="auto"/>
              <w:bottom w:val="nil" w:sz="6" w:space="0" w:color="auto"/>
              <w:right w:val="nil" w:sz="6" w:space="0" w:color="auto"/>
            </w:tcBorders>
          </w:tcPr>
          <w:p>
            <w:pPr>
              <w:pStyle w:val="TableParagraph"/>
              <w:spacing w:line="230" w:lineRule="exact"/>
              <w:ind w:right="418"/>
              <w:jc w:val="right"/>
              <w:rPr>
                <w:rFonts w:ascii="宋体" w:hAnsi="宋体" w:cs="宋体" w:eastAsia="宋体" w:hint="default"/>
                <w:sz w:val="18"/>
                <w:szCs w:val="18"/>
              </w:rPr>
            </w:pPr>
            <w:r>
              <w:rPr>
                <w:rFonts w:ascii="宋体"/>
                <w:spacing w:val="-1"/>
                <w:sz w:val="18"/>
              </w:rPr>
              <w:t>22,068,976.51</w:t>
            </w:r>
          </w:p>
        </w:tc>
        <w:tc>
          <w:tcPr>
            <w:tcW w:w="2057" w:type="dxa"/>
            <w:tcBorders>
              <w:top w:val="nil" w:sz="6" w:space="0" w:color="auto"/>
              <w:left w:val="nil" w:sz="6" w:space="0" w:color="auto"/>
              <w:bottom w:val="nil" w:sz="6" w:space="0" w:color="auto"/>
              <w:right w:val="nil" w:sz="6" w:space="0" w:color="auto"/>
            </w:tcBorders>
          </w:tcPr>
          <w:p>
            <w:pPr>
              <w:pStyle w:val="TableParagraph"/>
              <w:spacing w:line="230" w:lineRule="exact"/>
              <w:ind w:right="105"/>
              <w:jc w:val="right"/>
              <w:rPr>
                <w:rFonts w:ascii="宋体" w:hAnsi="宋体" w:cs="宋体" w:eastAsia="宋体" w:hint="default"/>
                <w:sz w:val="18"/>
                <w:szCs w:val="18"/>
              </w:rPr>
            </w:pPr>
            <w:r>
              <w:rPr>
                <w:rFonts w:ascii="宋体"/>
                <w:spacing w:val="-1"/>
                <w:sz w:val="18"/>
              </w:rPr>
              <w:t>23,394,234.63</w:t>
            </w:r>
          </w:p>
        </w:tc>
      </w:tr>
      <w:tr>
        <w:trPr>
          <w:trHeight w:val="282" w:hRule="exact"/>
        </w:trPr>
        <w:tc>
          <w:tcPr>
            <w:tcW w:w="396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2739" w:type="dxa"/>
            <w:tcBorders>
              <w:top w:val="nil" w:sz="6" w:space="0" w:color="auto"/>
              <w:left w:val="nil" w:sz="6" w:space="0" w:color="auto"/>
              <w:bottom w:val="nil" w:sz="6" w:space="0" w:color="auto"/>
              <w:right w:val="nil" w:sz="6" w:space="0" w:color="auto"/>
            </w:tcBorders>
          </w:tcPr>
          <w:p>
            <w:pPr>
              <w:pStyle w:val="TableParagraph"/>
              <w:spacing w:line="232" w:lineRule="exact"/>
              <w:ind w:right="418"/>
              <w:jc w:val="right"/>
              <w:rPr>
                <w:rFonts w:ascii="宋体" w:hAnsi="宋体" w:cs="宋体" w:eastAsia="宋体" w:hint="default"/>
                <w:sz w:val="18"/>
                <w:szCs w:val="18"/>
              </w:rPr>
            </w:pPr>
            <w:r>
              <w:rPr>
                <w:rFonts w:ascii="宋体"/>
                <w:spacing w:val="-1"/>
                <w:sz w:val="18"/>
              </w:rPr>
              <w:t>20,980,183.33</w:t>
            </w:r>
          </w:p>
        </w:tc>
        <w:tc>
          <w:tcPr>
            <w:tcW w:w="2057"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26,143,960.70</w:t>
            </w:r>
          </w:p>
        </w:tc>
      </w:tr>
      <w:tr>
        <w:trPr>
          <w:trHeight w:val="282" w:hRule="exact"/>
        </w:trPr>
        <w:tc>
          <w:tcPr>
            <w:tcW w:w="3960"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2739" w:type="dxa"/>
            <w:tcBorders>
              <w:top w:val="nil" w:sz="6" w:space="0" w:color="auto"/>
              <w:left w:val="nil" w:sz="6" w:space="0" w:color="auto"/>
              <w:bottom w:val="nil" w:sz="6" w:space="0" w:color="auto"/>
              <w:right w:val="nil" w:sz="6" w:space="0" w:color="auto"/>
            </w:tcBorders>
          </w:tcPr>
          <w:p>
            <w:pPr>
              <w:pStyle w:val="TableParagraph"/>
              <w:spacing w:line="230" w:lineRule="exact"/>
              <w:ind w:right="418"/>
              <w:jc w:val="right"/>
              <w:rPr>
                <w:rFonts w:ascii="宋体" w:hAnsi="宋体" w:cs="宋体" w:eastAsia="宋体" w:hint="default"/>
                <w:sz w:val="18"/>
                <w:szCs w:val="18"/>
              </w:rPr>
            </w:pPr>
            <w:r>
              <w:rPr>
                <w:rFonts w:ascii="宋体"/>
                <w:spacing w:val="-1"/>
                <w:sz w:val="18"/>
              </w:rPr>
              <w:t>17,041,408.17</w:t>
            </w:r>
          </w:p>
        </w:tc>
        <w:tc>
          <w:tcPr>
            <w:tcW w:w="2057" w:type="dxa"/>
            <w:tcBorders>
              <w:top w:val="nil" w:sz="6" w:space="0" w:color="auto"/>
              <w:left w:val="nil" w:sz="6" w:space="0" w:color="auto"/>
              <w:bottom w:val="nil" w:sz="6" w:space="0" w:color="auto"/>
              <w:right w:val="nil" w:sz="6" w:space="0" w:color="auto"/>
            </w:tcBorders>
          </w:tcPr>
          <w:p>
            <w:pPr>
              <w:pStyle w:val="TableParagraph"/>
              <w:spacing w:line="230" w:lineRule="exact"/>
              <w:ind w:right="105"/>
              <w:jc w:val="right"/>
              <w:rPr>
                <w:rFonts w:ascii="宋体" w:hAnsi="宋体" w:cs="宋体" w:eastAsia="宋体" w:hint="default"/>
                <w:sz w:val="18"/>
                <w:szCs w:val="18"/>
              </w:rPr>
            </w:pPr>
            <w:r>
              <w:rPr>
                <w:rFonts w:ascii="宋体"/>
                <w:spacing w:val="-1"/>
                <w:sz w:val="18"/>
              </w:rPr>
              <w:t>4,721,885.16</w:t>
            </w:r>
          </w:p>
        </w:tc>
      </w:tr>
      <w:tr>
        <w:trPr>
          <w:trHeight w:val="282" w:hRule="exact"/>
        </w:trPr>
        <w:tc>
          <w:tcPr>
            <w:tcW w:w="396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差旅、会议、招待费</w:t>
            </w:r>
          </w:p>
        </w:tc>
        <w:tc>
          <w:tcPr>
            <w:tcW w:w="2739" w:type="dxa"/>
            <w:tcBorders>
              <w:top w:val="nil" w:sz="6" w:space="0" w:color="auto"/>
              <w:left w:val="nil" w:sz="6" w:space="0" w:color="auto"/>
              <w:bottom w:val="nil" w:sz="6" w:space="0" w:color="auto"/>
              <w:right w:val="nil" w:sz="6" w:space="0" w:color="auto"/>
            </w:tcBorders>
          </w:tcPr>
          <w:p>
            <w:pPr>
              <w:pStyle w:val="TableParagraph"/>
              <w:spacing w:line="232" w:lineRule="exact"/>
              <w:ind w:right="418"/>
              <w:jc w:val="right"/>
              <w:rPr>
                <w:rFonts w:ascii="宋体" w:hAnsi="宋体" w:cs="宋体" w:eastAsia="宋体" w:hint="default"/>
                <w:sz w:val="18"/>
                <w:szCs w:val="18"/>
              </w:rPr>
            </w:pPr>
            <w:r>
              <w:rPr>
                <w:rFonts w:ascii="宋体"/>
                <w:spacing w:val="-1"/>
                <w:sz w:val="18"/>
              </w:rPr>
              <w:t>16,931,210.36</w:t>
            </w:r>
          </w:p>
        </w:tc>
        <w:tc>
          <w:tcPr>
            <w:tcW w:w="2057"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20,670,640.19</w:t>
            </w:r>
          </w:p>
        </w:tc>
      </w:tr>
      <w:tr>
        <w:trPr>
          <w:trHeight w:val="282" w:hRule="exact"/>
        </w:trPr>
        <w:tc>
          <w:tcPr>
            <w:tcW w:w="3960"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试验测试、加工安装制作费</w:t>
            </w:r>
          </w:p>
        </w:tc>
        <w:tc>
          <w:tcPr>
            <w:tcW w:w="2739" w:type="dxa"/>
            <w:tcBorders>
              <w:top w:val="nil" w:sz="6" w:space="0" w:color="auto"/>
              <w:left w:val="nil" w:sz="6" w:space="0" w:color="auto"/>
              <w:bottom w:val="nil" w:sz="6" w:space="0" w:color="auto"/>
              <w:right w:val="nil" w:sz="6" w:space="0" w:color="auto"/>
            </w:tcBorders>
          </w:tcPr>
          <w:p>
            <w:pPr>
              <w:pStyle w:val="TableParagraph"/>
              <w:spacing w:line="230" w:lineRule="exact"/>
              <w:ind w:right="418"/>
              <w:jc w:val="right"/>
              <w:rPr>
                <w:rFonts w:ascii="宋体" w:hAnsi="宋体" w:cs="宋体" w:eastAsia="宋体" w:hint="default"/>
                <w:sz w:val="18"/>
                <w:szCs w:val="18"/>
              </w:rPr>
            </w:pPr>
            <w:r>
              <w:rPr>
                <w:rFonts w:ascii="宋体"/>
                <w:spacing w:val="-1"/>
                <w:sz w:val="18"/>
              </w:rPr>
              <w:t>14,779,643.40</w:t>
            </w:r>
          </w:p>
        </w:tc>
        <w:tc>
          <w:tcPr>
            <w:tcW w:w="2057" w:type="dxa"/>
            <w:tcBorders>
              <w:top w:val="nil" w:sz="6" w:space="0" w:color="auto"/>
              <w:left w:val="nil" w:sz="6" w:space="0" w:color="auto"/>
              <w:bottom w:val="nil" w:sz="6" w:space="0" w:color="auto"/>
              <w:right w:val="nil" w:sz="6" w:space="0" w:color="auto"/>
            </w:tcBorders>
          </w:tcPr>
          <w:p>
            <w:pPr>
              <w:pStyle w:val="TableParagraph"/>
              <w:spacing w:line="230" w:lineRule="exact"/>
              <w:ind w:right="105"/>
              <w:jc w:val="right"/>
              <w:rPr>
                <w:rFonts w:ascii="宋体" w:hAnsi="宋体" w:cs="宋体" w:eastAsia="宋体" w:hint="default"/>
                <w:sz w:val="18"/>
                <w:szCs w:val="18"/>
              </w:rPr>
            </w:pPr>
            <w:r>
              <w:rPr>
                <w:rFonts w:ascii="宋体"/>
                <w:spacing w:val="-1"/>
                <w:sz w:val="18"/>
              </w:rPr>
              <w:t>18,234,275.25</w:t>
            </w:r>
          </w:p>
        </w:tc>
      </w:tr>
      <w:tr>
        <w:trPr>
          <w:trHeight w:val="282" w:hRule="exact"/>
        </w:trPr>
        <w:tc>
          <w:tcPr>
            <w:tcW w:w="396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商标注册、专利申请费、开办费、年费</w:t>
            </w:r>
          </w:p>
        </w:tc>
        <w:tc>
          <w:tcPr>
            <w:tcW w:w="2739" w:type="dxa"/>
            <w:tcBorders>
              <w:top w:val="nil" w:sz="6" w:space="0" w:color="auto"/>
              <w:left w:val="nil" w:sz="6" w:space="0" w:color="auto"/>
              <w:bottom w:val="nil" w:sz="6" w:space="0" w:color="auto"/>
              <w:right w:val="nil" w:sz="6" w:space="0" w:color="auto"/>
            </w:tcBorders>
          </w:tcPr>
          <w:p>
            <w:pPr>
              <w:pStyle w:val="TableParagraph"/>
              <w:spacing w:line="232" w:lineRule="exact"/>
              <w:ind w:right="418"/>
              <w:jc w:val="right"/>
              <w:rPr>
                <w:rFonts w:ascii="宋体" w:hAnsi="宋体" w:cs="宋体" w:eastAsia="宋体" w:hint="default"/>
                <w:sz w:val="18"/>
                <w:szCs w:val="18"/>
              </w:rPr>
            </w:pPr>
            <w:r>
              <w:rPr>
                <w:rFonts w:ascii="宋体"/>
                <w:spacing w:val="-1"/>
                <w:sz w:val="18"/>
              </w:rPr>
              <w:t>4,649,363.87</w:t>
            </w:r>
          </w:p>
        </w:tc>
        <w:tc>
          <w:tcPr>
            <w:tcW w:w="2057"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1,019,841.53</w:t>
            </w:r>
          </w:p>
        </w:tc>
      </w:tr>
      <w:tr>
        <w:trPr>
          <w:trHeight w:val="282" w:hRule="exact"/>
        </w:trPr>
        <w:tc>
          <w:tcPr>
            <w:tcW w:w="3960"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办公、资料费</w:t>
            </w:r>
          </w:p>
        </w:tc>
        <w:tc>
          <w:tcPr>
            <w:tcW w:w="2739" w:type="dxa"/>
            <w:tcBorders>
              <w:top w:val="nil" w:sz="6" w:space="0" w:color="auto"/>
              <w:left w:val="nil" w:sz="6" w:space="0" w:color="auto"/>
              <w:bottom w:val="nil" w:sz="6" w:space="0" w:color="auto"/>
              <w:right w:val="nil" w:sz="6" w:space="0" w:color="auto"/>
            </w:tcBorders>
          </w:tcPr>
          <w:p>
            <w:pPr>
              <w:pStyle w:val="TableParagraph"/>
              <w:spacing w:line="230" w:lineRule="exact"/>
              <w:ind w:right="418"/>
              <w:jc w:val="right"/>
              <w:rPr>
                <w:rFonts w:ascii="宋体" w:hAnsi="宋体" w:cs="宋体" w:eastAsia="宋体" w:hint="default"/>
                <w:sz w:val="18"/>
                <w:szCs w:val="18"/>
              </w:rPr>
            </w:pPr>
            <w:r>
              <w:rPr>
                <w:rFonts w:ascii="宋体"/>
                <w:spacing w:val="-1"/>
                <w:sz w:val="18"/>
              </w:rPr>
              <w:t>3,764,672.77</w:t>
            </w:r>
          </w:p>
        </w:tc>
        <w:tc>
          <w:tcPr>
            <w:tcW w:w="2057" w:type="dxa"/>
            <w:tcBorders>
              <w:top w:val="nil" w:sz="6" w:space="0" w:color="auto"/>
              <w:left w:val="nil" w:sz="6" w:space="0" w:color="auto"/>
              <w:bottom w:val="nil" w:sz="6" w:space="0" w:color="auto"/>
              <w:right w:val="nil" w:sz="6" w:space="0" w:color="auto"/>
            </w:tcBorders>
          </w:tcPr>
          <w:p>
            <w:pPr>
              <w:pStyle w:val="TableParagraph"/>
              <w:spacing w:line="230" w:lineRule="exact"/>
              <w:ind w:right="105"/>
              <w:jc w:val="right"/>
              <w:rPr>
                <w:rFonts w:ascii="宋体" w:hAnsi="宋体" w:cs="宋体" w:eastAsia="宋体" w:hint="default"/>
                <w:sz w:val="18"/>
                <w:szCs w:val="18"/>
              </w:rPr>
            </w:pPr>
            <w:r>
              <w:rPr>
                <w:rFonts w:ascii="宋体"/>
                <w:spacing w:val="-1"/>
                <w:sz w:val="18"/>
              </w:rPr>
              <w:t>9,608,789.63</w:t>
            </w:r>
          </w:p>
        </w:tc>
      </w:tr>
      <w:tr>
        <w:trPr>
          <w:trHeight w:val="282" w:hRule="exact"/>
        </w:trPr>
        <w:tc>
          <w:tcPr>
            <w:tcW w:w="396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运杂、交通费</w:t>
            </w:r>
          </w:p>
        </w:tc>
        <w:tc>
          <w:tcPr>
            <w:tcW w:w="2739" w:type="dxa"/>
            <w:tcBorders>
              <w:top w:val="nil" w:sz="6" w:space="0" w:color="auto"/>
              <w:left w:val="nil" w:sz="6" w:space="0" w:color="auto"/>
              <w:bottom w:val="nil" w:sz="6" w:space="0" w:color="auto"/>
              <w:right w:val="nil" w:sz="6" w:space="0" w:color="auto"/>
            </w:tcBorders>
          </w:tcPr>
          <w:p>
            <w:pPr>
              <w:pStyle w:val="TableParagraph"/>
              <w:spacing w:line="232" w:lineRule="exact"/>
              <w:ind w:right="418"/>
              <w:jc w:val="right"/>
              <w:rPr>
                <w:rFonts w:ascii="宋体" w:hAnsi="宋体" w:cs="宋体" w:eastAsia="宋体" w:hint="default"/>
                <w:sz w:val="18"/>
                <w:szCs w:val="18"/>
              </w:rPr>
            </w:pPr>
            <w:r>
              <w:rPr>
                <w:rFonts w:ascii="宋体"/>
                <w:spacing w:val="-1"/>
                <w:sz w:val="18"/>
              </w:rPr>
              <w:t>1,529,479.02</w:t>
            </w:r>
          </w:p>
        </w:tc>
        <w:tc>
          <w:tcPr>
            <w:tcW w:w="2057"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1,533,850.31</w:t>
            </w:r>
          </w:p>
        </w:tc>
      </w:tr>
      <w:tr>
        <w:trPr>
          <w:trHeight w:val="282" w:hRule="exact"/>
        </w:trPr>
        <w:tc>
          <w:tcPr>
            <w:tcW w:w="3960"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2739" w:type="dxa"/>
            <w:tcBorders>
              <w:top w:val="nil" w:sz="6" w:space="0" w:color="auto"/>
              <w:left w:val="nil" w:sz="6" w:space="0" w:color="auto"/>
              <w:bottom w:val="nil" w:sz="6" w:space="0" w:color="auto"/>
              <w:right w:val="nil" w:sz="6" w:space="0" w:color="auto"/>
            </w:tcBorders>
          </w:tcPr>
          <w:p>
            <w:pPr>
              <w:pStyle w:val="TableParagraph"/>
              <w:spacing w:line="230" w:lineRule="exact"/>
              <w:ind w:right="418"/>
              <w:jc w:val="right"/>
              <w:rPr>
                <w:rFonts w:ascii="宋体" w:hAnsi="宋体" w:cs="宋体" w:eastAsia="宋体" w:hint="default"/>
                <w:sz w:val="18"/>
                <w:szCs w:val="18"/>
              </w:rPr>
            </w:pPr>
            <w:r>
              <w:rPr>
                <w:rFonts w:ascii="宋体"/>
                <w:spacing w:val="-1"/>
                <w:sz w:val="18"/>
              </w:rPr>
              <w:t>1,416,716.55</w:t>
            </w:r>
          </w:p>
        </w:tc>
        <w:tc>
          <w:tcPr>
            <w:tcW w:w="2057" w:type="dxa"/>
            <w:tcBorders>
              <w:top w:val="nil" w:sz="6" w:space="0" w:color="auto"/>
              <w:left w:val="nil" w:sz="6" w:space="0" w:color="auto"/>
              <w:bottom w:val="nil" w:sz="6" w:space="0" w:color="auto"/>
              <w:right w:val="nil" w:sz="6" w:space="0" w:color="auto"/>
            </w:tcBorders>
          </w:tcPr>
          <w:p>
            <w:pPr>
              <w:pStyle w:val="TableParagraph"/>
              <w:spacing w:line="230" w:lineRule="exact"/>
              <w:ind w:right="105"/>
              <w:jc w:val="right"/>
              <w:rPr>
                <w:rFonts w:ascii="宋体" w:hAnsi="宋体" w:cs="宋体" w:eastAsia="宋体" w:hint="default"/>
                <w:sz w:val="18"/>
                <w:szCs w:val="18"/>
              </w:rPr>
            </w:pPr>
            <w:r>
              <w:rPr>
                <w:rFonts w:ascii="宋体"/>
                <w:spacing w:val="-1"/>
                <w:sz w:val="18"/>
              </w:rPr>
              <w:t>2,589,559.61</w:t>
            </w:r>
          </w:p>
        </w:tc>
      </w:tr>
      <w:tr>
        <w:trPr>
          <w:trHeight w:val="282" w:hRule="exact"/>
        </w:trPr>
        <w:tc>
          <w:tcPr>
            <w:tcW w:w="396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水电、蒸汽、暖气费</w:t>
            </w:r>
          </w:p>
        </w:tc>
        <w:tc>
          <w:tcPr>
            <w:tcW w:w="2739" w:type="dxa"/>
            <w:tcBorders>
              <w:top w:val="nil" w:sz="6" w:space="0" w:color="auto"/>
              <w:left w:val="nil" w:sz="6" w:space="0" w:color="auto"/>
              <w:bottom w:val="nil" w:sz="6" w:space="0" w:color="auto"/>
              <w:right w:val="nil" w:sz="6" w:space="0" w:color="auto"/>
            </w:tcBorders>
          </w:tcPr>
          <w:p>
            <w:pPr>
              <w:pStyle w:val="TableParagraph"/>
              <w:spacing w:line="232" w:lineRule="exact"/>
              <w:ind w:right="418"/>
              <w:jc w:val="right"/>
              <w:rPr>
                <w:rFonts w:ascii="宋体" w:hAnsi="宋体" w:cs="宋体" w:eastAsia="宋体" w:hint="default"/>
                <w:sz w:val="18"/>
                <w:szCs w:val="18"/>
              </w:rPr>
            </w:pPr>
            <w:r>
              <w:rPr>
                <w:rFonts w:ascii="宋体"/>
                <w:spacing w:val="-1"/>
                <w:sz w:val="18"/>
              </w:rPr>
              <w:t>1,061,301.33</w:t>
            </w:r>
          </w:p>
        </w:tc>
        <w:tc>
          <w:tcPr>
            <w:tcW w:w="2057"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1,983,148.16</w:t>
            </w:r>
          </w:p>
        </w:tc>
      </w:tr>
      <w:tr>
        <w:trPr>
          <w:trHeight w:val="282" w:hRule="exact"/>
        </w:trPr>
        <w:tc>
          <w:tcPr>
            <w:tcW w:w="3960"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租赁、仓储费</w:t>
            </w:r>
          </w:p>
        </w:tc>
        <w:tc>
          <w:tcPr>
            <w:tcW w:w="2739" w:type="dxa"/>
            <w:tcBorders>
              <w:top w:val="nil" w:sz="6" w:space="0" w:color="auto"/>
              <w:left w:val="nil" w:sz="6" w:space="0" w:color="auto"/>
              <w:bottom w:val="nil" w:sz="6" w:space="0" w:color="auto"/>
              <w:right w:val="nil" w:sz="6" w:space="0" w:color="auto"/>
            </w:tcBorders>
          </w:tcPr>
          <w:p>
            <w:pPr>
              <w:pStyle w:val="TableParagraph"/>
              <w:spacing w:line="230" w:lineRule="exact"/>
              <w:ind w:right="418"/>
              <w:jc w:val="right"/>
              <w:rPr>
                <w:rFonts w:ascii="宋体" w:hAnsi="宋体" w:cs="宋体" w:eastAsia="宋体" w:hint="default"/>
                <w:sz w:val="18"/>
                <w:szCs w:val="18"/>
              </w:rPr>
            </w:pPr>
            <w:r>
              <w:rPr>
                <w:rFonts w:ascii="宋体"/>
                <w:spacing w:val="-1"/>
                <w:sz w:val="18"/>
              </w:rPr>
              <w:t>825,426.42</w:t>
            </w:r>
          </w:p>
        </w:tc>
        <w:tc>
          <w:tcPr>
            <w:tcW w:w="2057" w:type="dxa"/>
            <w:tcBorders>
              <w:top w:val="nil" w:sz="6" w:space="0" w:color="auto"/>
              <w:left w:val="nil" w:sz="6" w:space="0" w:color="auto"/>
              <w:bottom w:val="nil" w:sz="6" w:space="0" w:color="auto"/>
              <w:right w:val="nil" w:sz="6" w:space="0" w:color="auto"/>
            </w:tcBorders>
          </w:tcPr>
          <w:p>
            <w:pPr>
              <w:pStyle w:val="TableParagraph"/>
              <w:spacing w:line="230" w:lineRule="exact"/>
              <w:ind w:right="105"/>
              <w:jc w:val="right"/>
              <w:rPr>
                <w:rFonts w:ascii="宋体" w:hAnsi="宋体" w:cs="宋体" w:eastAsia="宋体" w:hint="default"/>
                <w:sz w:val="18"/>
                <w:szCs w:val="18"/>
              </w:rPr>
            </w:pPr>
            <w:r>
              <w:rPr>
                <w:rFonts w:ascii="宋体"/>
                <w:spacing w:val="-1"/>
                <w:sz w:val="18"/>
              </w:rPr>
              <w:t>1,455,864.82</w:t>
            </w:r>
          </w:p>
        </w:tc>
      </w:tr>
      <w:tr>
        <w:trPr>
          <w:trHeight w:val="282" w:hRule="exact"/>
        </w:trPr>
        <w:tc>
          <w:tcPr>
            <w:tcW w:w="396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机构管理费、行政费</w:t>
            </w:r>
          </w:p>
        </w:tc>
        <w:tc>
          <w:tcPr>
            <w:tcW w:w="2739" w:type="dxa"/>
            <w:tcBorders>
              <w:top w:val="nil" w:sz="6" w:space="0" w:color="auto"/>
              <w:left w:val="nil" w:sz="6" w:space="0" w:color="auto"/>
              <w:bottom w:val="nil" w:sz="6" w:space="0" w:color="auto"/>
              <w:right w:val="nil" w:sz="6" w:space="0" w:color="auto"/>
            </w:tcBorders>
          </w:tcPr>
          <w:p>
            <w:pPr>
              <w:pStyle w:val="TableParagraph"/>
              <w:spacing w:line="232" w:lineRule="exact"/>
              <w:ind w:right="418"/>
              <w:jc w:val="right"/>
              <w:rPr>
                <w:rFonts w:ascii="宋体" w:hAnsi="宋体" w:cs="宋体" w:eastAsia="宋体" w:hint="default"/>
                <w:sz w:val="18"/>
                <w:szCs w:val="18"/>
              </w:rPr>
            </w:pPr>
            <w:r>
              <w:rPr>
                <w:rFonts w:ascii="宋体"/>
                <w:spacing w:val="-1"/>
                <w:sz w:val="18"/>
              </w:rPr>
              <w:t>150,000.00</w:t>
            </w:r>
          </w:p>
        </w:tc>
        <w:tc>
          <w:tcPr>
            <w:tcW w:w="2057" w:type="dxa"/>
            <w:tcBorders>
              <w:top w:val="nil" w:sz="6" w:space="0" w:color="auto"/>
              <w:left w:val="nil" w:sz="6" w:space="0" w:color="auto"/>
              <w:bottom w:val="nil" w:sz="6" w:space="0" w:color="auto"/>
              <w:right w:val="nil" w:sz="6" w:space="0" w:color="auto"/>
            </w:tcBorders>
          </w:tcPr>
          <w:p>
            <w:pPr>
              <w:pStyle w:val="TableParagraph"/>
              <w:spacing w:line="232" w:lineRule="exact"/>
              <w:ind w:right="104"/>
              <w:jc w:val="right"/>
              <w:rPr>
                <w:rFonts w:ascii="宋体" w:hAnsi="宋体" w:cs="宋体" w:eastAsia="宋体" w:hint="default"/>
                <w:sz w:val="18"/>
                <w:szCs w:val="18"/>
              </w:rPr>
            </w:pPr>
            <w:r>
              <w:rPr>
                <w:rFonts w:ascii="宋体"/>
                <w:sz w:val="18"/>
              </w:rPr>
              <w:t>0.00</w:t>
            </w:r>
          </w:p>
        </w:tc>
      </w:tr>
      <w:tr>
        <w:trPr>
          <w:trHeight w:val="282" w:hRule="exact"/>
        </w:trPr>
        <w:tc>
          <w:tcPr>
            <w:tcW w:w="3960"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2739" w:type="dxa"/>
            <w:tcBorders>
              <w:top w:val="nil" w:sz="6" w:space="0" w:color="auto"/>
              <w:left w:val="nil" w:sz="6" w:space="0" w:color="auto"/>
              <w:bottom w:val="nil" w:sz="6" w:space="0" w:color="auto"/>
              <w:right w:val="nil" w:sz="6" w:space="0" w:color="auto"/>
            </w:tcBorders>
          </w:tcPr>
          <w:p>
            <w:pPr>
              <w:pStyle w:val="TableParagraph"/>
              <w:spacing w:line="230" w:lineRule="exact"/>
              <w:ind w:right="418"/>
              <w:jc w:val="right"/>
              <w:rPr>
                <w:rFonts w:ascii="宋体" w:hAnsi="宋体" w:cs="宋体" w:eastAsia="宋体" w:hint="default"/>
                <w:sz w:val="18"/>
                <w:szCs w:val="18"/>
              </w:rPr>
            </w:pPr>
            <w:r>
              <w:rPr>
                <w:rFonts w:ascii="宋体"/>
                <w:spacing w:val="-1"/>
                <w:sz w:val="18"/>
              </w:rPr>
              <w:t>9,218.19</w:t>
            </w:r>
          </w:p>
        </w:tc>
        <w:tc>
          <w:tcPr>
            <w:tcW w:w="2057" w:type="dxa"/>
            <w:tcBorders>
              <w:top w:val="nil" w:sz="6" w:space="0" w:color="auto"/>
              <w:left w:val="nil" w:sz="6" w:space="0" w:color="auto"/>
              <w:bottom w:val="nil" w:sz="6" w:space="0" w:color="auto"/>
              <w:right w:val="nil" w:sz="6" w:space="0" w:color="auto"/>
            </w:tcBorders>
          </w:tcPr>
          <w:p>
            <w:pPr>
              <w:pStyle w:val="TableParagraph"/>
              <w:spacing w:line="230" w:lineRule="exact"/>
              <w:ind w:right="105"/>
              <w:jc w:val="right"/>
              <w:rPr>
                <w:rFonts w:ascii="宋体" w:hAnsi="宋体" w:cs="宋体" w:eastAsia="宋体" w:hint="default"/>
                <w:sz w:val="18"/>
                <w:szCs w:val="18"/>
              </w:rPr>
            </w:pPr>
            <w:r>
              <w:rPr>
                <w:rFonts w:ascii="宋体"/>
                <w:spacing w:val="-1"/>
                <w:sz w:val="18"/>
              </w:rPr>
              <w:t>208,870.24</w:t>
            </w:r>
          </w:p>
        </w:tc>
      </w:tr>
      <w:tr>
        <w:trPr>
          <w:trHeight w:val="293" w:hRule="exact"/>
        </w:trPr>
        <w:tc>
          <w:tcPr>
            <w:tcW w:w="3960" w:type="dxa"/>
            <w:tcBorders>
              <w:top w:val="nil" w:sz="6" w:space="0" w:color="auto"/>
              <w:left w:val="nil" w:sz="6" w:space="0" w:color="auto"/>
              <w:bottom w:val="single" w:sz="8"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39" w:type="dxa"/>
            <w:tcBorders>
              <w:top w:val="nil" w:sz="6" w:space="0" w:color="auto"/>
              <w:left w:val="nil" w:sz="6" w:space="0" w:color="auto"/>
              <w:bottom w:val="single" w:sz="8" w:space="0" w:color="000000"/>
              <w:right w:val="nil" w:sz="6" w:space="0" w:color="auto"/>
            </w:tcBorders>
          </w:tcPr>
          <w:p>
            <w:pPr>
              <w:pStyle w:val="TableParagraph"/>
              <w:spacing w:line="232" w:lineRule="exact"/>
              <w:ind w:right="418"/>
              <w:jc w:val="right"/>
              <w:rPr>
                <w:rFonts w:ascii="宋体" w:hAnsi="宋体" w:cs="宋体" w:eastAsia="宋体" w:hint="default"/>
                <w:sz w:val="18"/>
                <w:szCs w:val="18"/>
              </w:rPr>
            </w:pPr>
            <w:r>
              <w:rPr>
                <w:rFonts w:ascii="宋体"/>
                <w:spacing w:val="-1"/>
                <w:sz w:val="18"/>
              </w:rPr>
              <w:t>22,806,675.80</w:t>
            </w:r>
          </w:p>
        </w:tc>
        <w:tc>
          <w:tcPr>
            <w:tcW w:w="2057" w:type="dxa"/>
            <w:tcBorders>
              <w:top w:val="nil" w:sz="6" w:space="0" w:color="auto"/>
              <w:left w:val="nil" w:sz="6" w:space="0" w:color="auto"/>
              <w:bottom w:val="single" w:sz="8"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16,042,395.08</w:t>
            </w:r>
          </w:p>
        </w:tc>
      </w:tr>
      <w:tr>
        <w:trPr>
          <w:trHeight w:val="310" w:hRule="exact"/>
        </w:trPr>
        <w:tc>
          <w:tcPr>
            <w:tcW w:w="3960" w:type="dxa"/>
            <w:tcBorders>
              <w:top w:val="single" w:sz="8"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39" w:type="dxa"/>
            <w:tcBorders>
              <w:top w:val="single" w:sz="8" w:space="0" w:color="000000"/>
              <w:left w:val="nil" w:sz="6" w:space="0" w:color="auto"/>
              <w:bottom w:val="single" w:sz="12" w:space="0" w:color="000000"/>
              <w:right w:val="nil" w:sz="6" w:space="0" w:color="auto"/>
            </w:tcBorders>
          </w:tcPr>
          <w:p>
            <w:pPr>
              <w:pStyle w:val="TableParagraph"/>
              <w:spacing w:line="232" w:lineRule="exact"/>
              <w:ind w:right="418"/>
              <w:jc w:val="right"/>
              <w:rPr>
                <w:rFonts w:ascii="宋体" w:hAnsi="宋体" w:cs="宋体" w:eastAsia="宋体" w:hint="default"/>
                <w:sz w:val="18"/>
                <w:szCs w:val="18"/>
              </w:rPr>
            </w:pPr>
            <w:r>
              <w:rPr>
                <w:rFonts w:ascii="宋体"/>
                <w:b/>
                <w:w w:val="95"/>
                <w:sz w:val="18"/>
              </w:rPr>
              <w:t>863,650,909.48</w:t>
            </w:r>
            <w:r>
              <w:rPr>
                <w:rFonts w:ascii="宋体"/>
                <w:sz w:val="18"/>
              </w:rPr>
            </w:r>
          </w:p>
        </w:tc>
        <w:tc>
          <w:tcPr>
            <w:tcW w:w="2057" w:type="dxa"/>
            <w:tcBorders>
              <w:top w:val="single" w:sz="8"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692,765,781.30</w:t>
            </w:r>
            <w:r>
              <w:rPr>
                <w:rFonts w:ascii="宋体"/>
                <w:sz w:val="18"/>
              </w:rPr>
            </w:r>
          </w:p>
        </w:tc>
      </w:tr>
    </w:tbl>
    <w:p>
      <w:pPr>
        <w:spacing w:before="81"/>
        <w:ind w:left="6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45.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财务费用</w:t>
      </w:r>
    </w:p>
    <w:p>
      <w:pPr>
        <w:spacing w:line="240" w:lineRule="auto" w:before="5"/>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969"/>
        <w:gridCol w:w="3727"/>
        <w:gridCol w:w="2094"/>
      </w:tblGrid>
      <w:tr>
        <w:trPr>
          <w:trHeight w:val="305" w:hRule="exact"/>
        </w:trPr>
        <w:tc>
          <w:tcPr>
            <w:tcW w:w="2969"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2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781"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09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33"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89" w:hRule="exact"/>
        </w:trPr>
        <w:tc>
          <w:tcPr>
            <w:tcW w:w="2969"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727" w:type="dxa"/>
            <w:tcBorders>
              <w:top w:val="single" w:sz="4" w:space="0" w:color="000000"/>
              <w:left w:val="nil" w:sz="6" w:space="0" w:color="auto"/>
              <w:bottom w:val="nil" w:sz="6" w:space="0" w:color="auto"/>
              <w:right w:val="nil" w:sz="6" w:space="0" w:color="auto"/>
            </w:tcBorders>
          </w:tcPr>
          <w:p>
            <w:pPr>
              <w:pStyle w:val="TableParagraph"/>
              <w:spacing w:line="232" w:lineRule="exact"/>
              <w:ind w:right="431"/>
              <w:jc w:val="right"/>
              <w:rPr>
                <w:rFonts w:ascii="宋体" w:hAnsi="宋体" w:cs="宋体" w:eastAsia="宋体" w:hint="default"/>
                <w:sz w:val="18"/>
                <w:szCs w:val="18"/>
              </w:rPr>
            </w:pPr>
            <w:r>
              <w:rPr>
                <w:rFonts w:ascii="宋体"/>
                <w:spacing w:val="-1"/>
                <w:sz w:val="18"/>
              </w:rPr>
              <w:t>1,288,963,403.95</w:t>
            </w:r>
          </w:p>
        </w:tc>
        <w:tc>
          <w:tcPr>
            <w:tcW w:w="2094"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846,641,293.30</w:t>
            </w:r>
          </w:p>
        </w:tc>
      </w:tr>
      <w:tr>
        <w:trPr>
          <w:trHeight w:val="286" w:hRule="exact"/>
        </w:trPr>
        <w:tc>
          <w:tcPr>
            <w:tcW w:w="296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727" w:type="dxa"/>
            <w:tcBorders>
              <w:top w:val="nil" w:sz="6" w:space="0" w:color="auto"/>
              <w:left w:val="nil" w:sz="6" w:space="0" w:color="auto"/>
              <w:bottom w:val="nil" w:sz="6" w:space="0" w:color="auto"/>
              <w:right w:val="nil" w:sz="6" w:space="0" w:color="auto"/>
            </w:tcBorders>
          </w:tcPr>
          <w:p>
            <w:pPr>
              <w:pStyle w:val="TableParagraph"/>
              <w:spacing w:line="233" w:lineRule="exact"/>
              <w:ind w:right="431"/>
              <w:jc w:val="right"/>
              <w:rPr>
                <w:rFonts w:ascii="宋体" w:hAnsi="宋体" w:cs="宋体" w:eastAsia="宋体" w:hint="default"/>
                <w:sz w:val="18"/>
                <w:szCs w:val="18"/>
              </w:rPr>
            </w:pPr>
            <w:r>
              <w:rPr>
                <w:rFonts w:ascii="宋体"/>
                <w:spacing w:val="-1"/>
                <w:sz w:val="18"/>
              </w:rPr>
              <w:t>145,767,176.86</w:t>
            </w:r>
          </w:p>
        </w:tc>
        <w:tc>
          <w:tcPr>
            <w:tcW w:w="209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121,449,677.73</w:t>
            </w:r>
          </w:p>
        </w:tc>
      </w:tr>
      <w:tr>
        <w:trPr>
          <w:trHeight w:val="286" w:hRule="exact"/>
        </w:trPr>
        <w:tc>
          <w:tcPr>
            <w:tcW w:w="296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727" w:type="dxa"/>
            <w:tcBorders>
              <w:top w:val="nil" w:sz="6" w:space="0" w:color="auto"/>
              <w:left w:val="nil" w:sz="6" w:space="0" w:color="auto"/>
              <w:bottom w:val="nil" w:sz="6" w:space="0" w:color="auto"/>
              <w:right w:val="nil" w:sz="6" w:space="0" w:color="auto"/>
            </w:tcBorders>
          </w:tcPr>
          <w:p>
            <w:pPr>
              <w:pStyle w:val="TableParagraph"/>
              <w:spacing w:line="233" w:lineRule="exact"/>
              <w:ind w:right="431"/>
              <w:jc w:val="right"/>
              <w:rPr>
                <w:rFonts w:ascii="宋体" w:hAnsi="宋体" w:cs="宋体" w:eastAsia="宋体" w:hint="default"/>
                <w:sz w:val="18"/>
                <w:szCs w:val="18"/>
              </w:rPr>
            </w:pPr>
            <w:r>
              <w:rPr>
                <w:rFonts w:ascii="宋体"/>
                <w:spacing w:val="-1"/>
                <w:sz w:val="18"/>
              </w:rPr>
              <w:t>-37,014,172.09</w:t>
            </w:r>
          </w:p>
        </w:tc>
        <w:tc>
          <w:tcPr>
            <w:tcW w:w="209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-16,694,090.54</w:t>
            </w:r>
          </w:p>
        </w:tc>
      </w:tr>
      <w:tr>
        <w:trPr>
          <w:trHeight w:val="292" w:hRule="exact"/>
        </w:trPr>
        <w:tc>
          <w:tcPr>
            <w:tcW w:w="2969"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727" w:type="dxa"/>
            <w:tcBorders>
              <w:top w:val="nil" w:sz="6" w:space="0" w:color="auto"/>
              <w:left w:val="nil" w:sz="6" w:space="0" w:color="auto"/>
              <w:bottom w:val="single" w:sz="4" w:space="0" w:color="000000"/>
              <w:right w:val="nil" w:sz="6" w:space="0" w:color="auto"/>
            </w:tcBorders>
          </w:tcPr>
          <w:p>
            <w:pPr>
              <w:pStyle w:val="TableParagraph"/>
              <w:spacing w:line="233" w:lineRule="exact"/>
              <w:ind w:right="431"/>
              <w:jc w:val="right"/>
              <w:rPr>
                <w:rFonts w:ascii="宋体" w:hAnsi="宋体" w:cs="宋体" w:eastAsia="宋体" w:hint="default"/>
                <w:sz w:val="18"/>
                <w:szCs w:val="18"/>
              </w:rPr>
            </w:pPr>
            <w:r>
              <w:rPr>
                <w:rFonts w:ascii="宋体"/>
                <w:spacing w:val="-1"/>
                <w:sz w:val="18"/>
              </w:rPr>
              <w:t>66,143,030.62</w:t>
            </w:r>
          </w:p>
        </w:tc>
        <w:tc>
          <w:tcPr>
            <w:tcW w:w="2094" w:type="dxa"/>
            <w:tcBorders>
              <w:top w:val="nil" w:sz="6" w:space="0" w:color="auto"/>
              <w:left w:val="nil" w:sz="6" w:space="0" w:color="auto"/>
              <w:bottom w:val="single" w:sz="4"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74,673,846.60</w:t>
            </w:r>
          </w:p>
        </w:tc>
      </w:tr>
      <w:tr>
        <w:trPr>
          <w:trHeight w:val="305" w:hRule="exact"/>
        </w:trPr>
        <w:tc>
          <w:tcPr>
            <w:tcW w:w="2969" w:type="dxa"/>
            <w:tcBorders>
              <w:top w:val="single" w:sz="4" w:space="0" w:color="000000"/>
              <w:left w:val="nil" w:sz="6" w:space="0" w:color="auto"/>
              <w:bottom w:val="single" w:sz="12"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27" w:type="dxa"/>
            <w:tcBorders>
              <w:top w:val="single" w:sz="4" w:space="0" w:color="000000"/>
              <w:left w:val="nil" w:sz="6" w:space="0" w:color="auto"/>
              <w:bottom w:val="single" w:sz="12" w:space="0" w:color="000000"/>
              <w:right w:val="nil" w:sz="6" w:space="0" w:color="auto"/>
            </w:tcBorders>
          </w:tcPr>
          <w:p>
            <w:pPr>
              <w:pStyle w:val="TableParagraph"/>
              <w:spacing w:line="229" w:lineRule="exact"/>
              <w:ind w:right="432"/>
              <w:jc w:val="right"/>
              <w:rPr>
                <w:rFonts w:ascii="宋体" w:hAnsi="宋体" w:cs="宋体" w:eastAsia="宋体" w:hint="default"/>
                <w:sz w:val="18"/>
                <w:szCs w:val="18"/>
              </w:rPr>
            </w:pPr>
            <w:r>
              <w:rPr>
                <w:rFonts w:ascii="宋体"/>
                <w:b/>
                <w:w w:val="95"/>
                <w:sz w:val="18"/>
              </w:rPr>
              <w:t>1,172,325,085.62</w:t>
            </w:r>
            <w:r>
              <w:rPr>
                <w:rFonts w:ascii="宋体"/>
                <w:sz w:val="18"/>
              </w:rPr>
            </w:r>
          </w:p>
        </w:tc>
        <w:tc>
          <w:tcPr>
            <w:tcW w:w="2094" w:type="dxa"/>
            <w:tcBorders>
              <w:top w:val="single" w:sz="4" w:space="0" w:color="000000"/>
              <w:left w:val="nil" w:sz="6" w:space="0" w:color="auto"/>
              <w:bottom w:val="single" w:sz="12" w:space="0" w:color="000000"/>
              <w:right w:val="nil" w:sz="6" w:space="0" w:color="auto"/>
            </w:tcBorders>
          </w:tcPr>
          <w:p>
            <w:pPr>
              <w:pStyle w:val="TableParagraph"/>
              <w:spacing w:line="229" w:lineRule="exact"/>
              <w:ind w:right="106"/>
              <w:jc w:val="right"/>
              <w:rPr>
                <w:rFonts w:ascii="宋体" w:hAnsi="宋体" w:cs="宋体" w:eastAsia="宋体" w:hint="default"/>
                <w:sz w:val="18"/>
                <w:szCs w:val="18"/>
              </w:rPr>
            </w:pPr>
            <w:r>
              <w:rPr>
                <w:rFonts w:ascii="宋体"/>
                <w:b/>
                <w:w w:val="95"/>
                <w:sz w:val="18"/>
              </w:rPr>
              <w:t>783,171,371.63</w:t>
            </w:r>
            <w:r>
              <w:rPr>
                <w:rFonts w:ascii="宋体"/>
                <w:sz w:val="18"/>
              </w:rPr>
            </w:r>
          </w:p>
        </w:tc>
      </w:tr>
    </w:tbl>
    <w:p>
      <w:pPr>
        <w:spacing w:before="81"/>
        <w:ind w:left="6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46.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资产减值损失</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489"/>
        <w:gridCol w:w="3155"/>
        <w:gridCol w:w="2082"/>
      </w:tblGrid>
      <w:tr>
        <w:trPr>
          <w:trHeight w:val="305" w:hRule="exact"/>
        </w:trPr>
        <w:tc>
          <w:tcPr>
            <w:tcW w:w="3489"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5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220"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08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28"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88" w:hRule="exact"/>
        </w:trPr>
        <w:tc>
          <w:tcPr>
            <w:tcW w:w="3489"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155" w:type="dxa"/>
            <w:tcBorders>
              <w:top w:val="single" w:sz="4" w:space="0" w:color="000000"/>
              <w:left w:val="nil" w:sz="6" w:space="0" w:color="auto"/>
              <w:bottom w:val="nil" w:sz="6" w:space="0" w:color="auto"/>
              <w:right w:val="nil" w:sz="6" w:space="0" w:color="auto"/>
            </w:tcBorders>
          </w:tcPr>
          <w:p>
            <w:pPr>
              <w:pStyle w:val="TableParagraph"/>
              <w:spacing w:line="232" w:lineRule="exact"/>
              <w:ind w:right="427"/>
              <w:jc w:val="right"/>
              <w:rPr>
                <w:rFonts w:ascii="宋体" w:hAnsi="宋体" w:cs="宋体" w:eastAsia="宋体" w:hint="default"/>
                <w:sz w:val="18"/>
                <w:szCs w:val="18"/>
              </w:rPr>
            </w:pPr>
            <w:r>
              <w:rPr>
                <w:rFonts w:ascii="宋体"/>
                <w:spacing w:val="-1"/>
                <w:sz w:val="18"/>
              </w:rPr>
              <w:t>530,601,302.18</w:t>
            </w:r>
          </w:p>
        </w:tc>
        <w:tc>
          <w:tcPr>
            <w:tcW w:w="2082" w:type="dxa"/>
            <w:tcBorders>
              <w:top w:val="single" w:sz="4" w:space="0" w:color="000000"/>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272,938,891.45</w:t>
            </w:r>
          </w:p>
        </w:tc>
      </w:tr>
      <w:tr>
        <w:trPr>
          <w:trHeight w:val="284" w:hRule="exact"/>
        </w:trPr>
        <w:tc>
          <w:tcPr>
            <w:tcW w:w="348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3155" w:type="dxa"/>
            <w:tcBorders>
              <w:top w:val="nil" w:sz="6" w:space="0" w:color="auto"/>
              <w:left w:val="nil" w:sz="6" w:space="0" w:color="auto"/>
              <w:bottom w:val="nil" w:sz="6" w:space="0" w:color="auto"/>
              <w:right w:val="nil" w:sz="6" w:space="0" w:color="auto"/>
            </w:tcBorders>
          </w:tcPr>
          <w:p>
            <w:pPr>
              <w:pStyle w:val="TableParagraph"/>
              <w:spacing w:line="232" w:lineRule="exact"/>
              <w:ind w:right="427"/>
              <w:jc w:val="right"/>
              <w:rPr>
                <w:rFonts w:ascii="宋体" w:hAnsi="宋体" w:cs="宋体" w:eastAsia="宋体" w:hint="default"/>
                <w:sz w:val="18"/>
                <w:szCs w:val="18"/>
              </w:rPr>
            </w:pPr>
            <w:r>
              <w:rPr>
                <w:rFonts w:ascii="宋体"/>
                <w:spacing w:val="-1"/>
                <w:sz w:val="18"/>
              </w:rPr>
              <w:t>577,694,984.40</w:t>
            </w:r>
          </w:p>
        </w:tc>
        <w:tc>
          <w:tcPr>
            <w:tcW w:w="2082"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124,841,662.27</w:t>
            </w:r>
          </w:p>
        </w:tc>
      </w:tr>
      <w:tr>
        <w:trPr>
          <w:trHeight w:val="286" w:hRule="exact"/>
        </w:trPr>
        <w:tc>
          <w:tcPr>
            <w:tcW w:w="348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长期股权投资减值损失</w:t>
            </w:r>
          </w:p>
        </w:tc>
        <w:tc>
          <w:tcPr>
            <w:tcW w:w="3155" w:type="dxa"/>
            <w:tcBorders>
              <w:top w:val="nil" w:sz="6" w:space="0" w:color="auto"/>
              <w:left w:val="nil" w:sz="6" w:space="0" w:color="auto"/>
              <w:bottom w:val="nil" w:sz="6" w:space="0" w:color="auto"/>
              <w:right w:val="nil" w:sz="6" w:space="0" w:color="auto"/>
            </w:tcBorders>
          </w:tcPr>
          <w:p>
            <w:pPr>
              <w:pStyle w:val="TableParagraph"/>
              <w:spacing w:line="233" w:lineRule="exact"/>
              <w:ind w:right="427"/>
              <w:jc w:val="right"/>
              <w:rPr>
                <w:rFonts w:ascii="宋体" w:hAnsi="宋体" w:cs="宋体" w:eastAsia="宋体" w:hint="default"/>
                <w:sz w:val="18"/>
                <w:szCs w:val="18"/>
              </w:rPr>
            </w:pPr>
            <w:r>
              <w:rPr>
                <w:rFonts w:ascii="宋体"/>
                <w:spacing w:val="-1"/>
                <w:sz w:val="18"/>
              </w:rPr>
              <w:t>1,045,419,865.78</w:t>
            </w:r>
          </w:p>
        </w:tc>
        <w:tc>
          <w:tcPr>
            <w:tcW w:w="2082"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348,563,910.40</w:t>
            </w:r>
          </w:p>
        </w:tc>
      </w:tr>
      <w:tr>
        <w:trPr>
          <w:trHeight w:val="286" w:hRule="exact"/>
        </w:trPr>
        <w:tc>
          <w:tcPr>
            <w:tcW w:w="348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可供出售金融资产减值损失</w:t>
            </w:r>
          </w:p>
        </w:tc>
        <w:tc>
          <w:tcPr>
            <w:tcW w:w="3155" w:type="dxa"/>
            <w:tcBorders>
              <w:top w:val="nil" w:sz="6" w:space="0" w:color="auto"/>
              <w:left w:val="nil" w:sz="6" w:space="0" w:color="auto"/>
              <w:bottom w:val="nil" w:sz="6" w:space="0" w:color="auto"/>
              <w:right w:val="nil" w:sz="6" w:space="0" w:color="auto"/>
            </w:tcBorders>
          </w:tcPr>
          <w:p>
            <w:pPr>
              <w:pStyle w:val="TableParagraph"/>
              <w:spacing w:line="233" w:lineRule="exact"/>
              <w:ind w:right="427"/>
              <w:jc w:val="right"/>
              <w:rPr>
                <w:rFonts w:ascii="宋体" w:hAnsi="宋体" w:cs="宋体" w:eastAsia="宋体" w:hint="default"/>
                <w:sz w:val="18"/>
                <w:szCs w:val="18"/>
              </w:rPr>
            </w:pPr>
            <w:r>
              <w:rPr>
                <w:rFonts w:ascii="宋体"/>
                <w:spacing w:val="-1"/>
                <w:sz w:val="18"/>
              </w:rPr>
              <w:t>312,710,141.09</w:t>
            </w:r>
          </w:p>
        </w:tc>
        <w:tc>
          <w:tcPr>
            <w:tcW w:w="2082"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1,071,549.63</w:t>
            </w:r>
          </w:p>
        </w:tc>
      </w:tr>
      <w:tr>
        <w:trPr>
          <w:trHeight w:val="284" w:hRule="exact"/>
        </w:trPr>
        <w:tc>
          <w:tcPr>
            <w:tcW w:w="348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商誉减值损失</w:t>
            </w:r>
          </w:p>
        </w:tc>
        <w:tc>
          <w:tcPr>
            <w:tcW w:w="3155" w:type="dxa"/>
            <w:tcBorders>
              <w:top w:val="nil" w:sz="6" w:space="0" w:color="auto"/>
              <w:left w:val="nil" w:sz="6" w:space="0" w:color="auto"/>
              <w:bottom w:val="nil" w:sz="6" w:space="0" w:color="auto"/>
              <w:right w:val="nil" w:sz="6" w:space="0" w:color="auto"/>
            </w:tcBorders>
          </w:tcPr>
          <w:p>
            <w:pPr>
              <w:pStyle w:val="TableParagraph"/>
              <w:spacing w:line="233" w:lineRule="exact"/>
              <w:ind w:right="427"/>
              <w:jc w:val="right"/>
              <w:rPr>
                <w:rFonts w:ascii="宋体" w:hAnsi="宋体" w:cs="宋体" w:eastAsia="宋体" w:hint="default"/>
                <w:sz w:val="18"/>
                <w:szCs w:val="18"/>
              </w:rPr>
            </w:pPr>
            <w:r>
              <w:rPr>
                <w:rFonts w:ascii="宋体"/>
                <w:spacing w:val="-1"/>
                <w:sz w:val="18"/>
              </w:rPr>
              <w:t>1,067,219,247.84</w:t>
            </w:r>
          </w:p>
        </w:tc>
        <w:tc>
          <w:tcPr>
            <w:tcW w:w="2082"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0.00</w:t>
            </w:r>
          </w:p>
        </w:tc>
      </w:tr>
      <w:tr>
        <w:trPr>
          <w:trHeight w:val="284" w:hRule="exact"/>
        </w:trPr>
        <w:tc>
          <w:tcPr>
            <w:tcW w:w="348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无形资产减值损失</w:t>
            </w:r>
          </w:p>
        </w:tc>
        <w:tc>
          <w:tcPr>
            <w:tcW w:w="3155" w:type="dxa"/>
            <w:tcBorders>
              <w:top w:val="nil" w:sz="6" w:space="0" w:color="auto"/>
              <w:left w:val="nil" w:sz="6" w:space="0" w:color="auto"/>
              <w:bottom w:val="nil" w:sz="6" w:space="0" w:color="auto"/>
              <w:right w:val="nil" w:sz="6" w:space="0" w:color="auto"/>
            </w:tcBorders>
          </w:tcPr>
          <w:p>
            <w:pPr>
              <w:pStyle w:val="TableParagraph"/>
              <w:spacing w:line="232" w:lineRule="exact"/>
              <w:ind w:right="427"/>
              <w:jc w:val="right"/>
              <w:rPr>
                <w:rFonts w:ascii="宋体" w:hAnsi="宋体" w:cs="宋体" w:eastAsia="宋体" w:hint="default"/>
                <w:sz w:val="18"/>
                <w:szCs w:val="18"/>
              </w:rPr>
            </w:pPr>
            <w:r>
              <w:rPr>
                <w:rFonts w:ascii="宋体"/>
                <w:spacing w:val="-1"/>
                <w:sz w:val="18"/>
              </w:rPr>
              <w:t>61,000,000.00</w:t>
            </w:r>
          </w:p>
        </w:tc>
        <w:tc>
          <w:tcPr>
            <w:tcW w:w="2082"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6" w:hRule="exact"/>
        </w:trPr>
        <w:tc>
          <w:tcPr>
            <w:tcW w:w="348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在建工程减值损失</w:t>
            </w:r>
          </w:p>
        </w:tc>
        <w:tc>
          <w:tcPr>
            <w:tcW w:w="3155" w:type="dxa"/>
            <w:tcBorders>
              <w:top w:val="nil" w:sz="6" w:space="0" w:color="auto"/>
              <w:left w:val="nil" w:sz="6" w:space="0" w:color="auto"/>
              <w:bottom w:val="nil" w:sz="6" w:space="0" w:color="auto"/>
              <w:right w:val="nil" w:sz="6" w:space="0" w:color="auto"/>
            </w:tcBorders>
          </w:tcPr>
          <w:p>
            <w:pPr>
              <w:pStyle w:val="TableParagraph"/>
              <w:spacing w:line="233" w:lineRule="exact"/>
              <w:ind w:right="426"/>
              <w:jc w:val="right"/>
              <w:rPr>
                <w:rFonts w:ascii="宋体" w:hAnsi="宋体" w:cs="宋体" w:eastAsia="宋体" w:hint="default"/>
                <w:sz w:val="18"/>
                <w:szCs w:val="18"/>
              </w:rPr>
            </w:pPr>
            <w:r>
              <w:rPr>
                <w:rFonts w:ascii="宋体"/>
                <w:spacing w:val="-1"/>
                <w:sz w:val="18"/>
              </w:rPr>
              <w:t>721,431.17</w:t>
            </w:r>
          </w:p>
        </w:tc>
        <w:tc>
          <w:tcPr>
            <w:tcW w:w="2082"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0.00</w:t>
            </w:r>
          </w:p>
        </w:tc>
      </w:tr>
      <w:tr>
        <w:trPr>
          <w:trHeight w:val="291" w:hRule="exact"/>
        </w:trPr>
        <w:tc>
          <w:tcPr>
            <w:tcW w:w="3489"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3155" w:type="dxa"/>
            <w:tcBorders>
              <w:top w:val="nil" w:sz="6" w:space="0" w:color="auto"/>
              <w:left w:val="nil" w:sz="6" w:space="0" w:color="auto"/>
              <w:bottom w:val="single" w:sz="4" w:space="0" w:color="000000"/>
              <w:right w:val="nil" w:sz="6" w:space="0" w:color="auto"/>
            </w:tcBorders>
          </w:tcPr>
          <w:p>
            <w:pPr>
              <w:pStyle w:val="TableParagraph"/>
              <w:spacing w:line="233" w:lineRule="exact"/>
              <w:ind w:right="426"/>
              <w:jc w:val="right"/>
              <w:rPr>
                <w:rFonts w:ascii="宋体" w:hAnsi="宋体" w:cs="宋体" w:eastAsia="宋体" w:hint="default"/>
                <w:sz w:val="18"/>
                <w:szCs w:val="18"/>
              </w:rPr>
            </w:pPr>
            <w:r>
              <w:rPr>
                <w:rFonts w:ascii="宋体"/>
                <w:sz w:val="18"/>
              </w:rPr>
              <w:t>0.00</w:t>
            </w:r>
          </w:p>
        </w:tc>
        <w:tc>
          <w:tcPr>
            <w:tcW w:w="2082" w:type="dxa"/>
            <w:tcBorders>
              <w:top w:val="nil" w:sz="6" w:space="0" w:color="auto"/>
              <w:left w:val="nil" w:sz="6" w:space="0" w:color="auto"/>
              <w:bottom w:val="single" w:sz="4" w:space="0" w:color="000000"/>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3,966,007.76</w:t>
            </w:r>
          </w:p>
        </w:tc>
      </w:tr>
      <w:tr>
        <w:trPr>
          <w:trHeight w:val="305" w:hRule="exact"/>
        </w:trPr>
        <w:tc>
          <w:tcPr>
            <w:tcW w:w="3489"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5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427"/>
              <w:jc w:val="right"/>
              <w:rPr>
                <w:rFonts w:ascii="宋体" w:hAnsi="宋体" w:cs="宋体" w:eastAsia="宋体" w:hint="default"/>
                <w:sz w:val="18"/>
                <w:szCs w:val="18"/>
              </w:rPr>
            </w:pPr>
            <w:r>
              <w:rPr>
                <w:rFonts w:ascii="宋体"/>
                <w:b/>
                <w:w w:val="95"/>
                <w:sz w:val="18"/>
              </w:rPr>
              <w:t>3,595,366,972.46</w:t>
            </w:r>
            <w:r>
              <w:rPr>
                <w:rFonts w:ascii="宋体"/>
                <w:sz w:val="18"/>
              </w:rPr>
            </w:r>
          </w:p>
        </w:tc>
        <w:tc>
          <w:tcPr>
            <w:tcW w:w="2082"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751,382,021.51</w:t>
            </w:r>
            <w:r>
              <w:rPr>
                <w:rFonts w:ascii="宋体"/>
                <w:sz w:val="18"/>
              </w:rPr>
            </w:r>
          </w:p>
        </w:tc>
      </w:tr>
    </w:tbl>
    <w:p>
      <w:pPr>
        <w:spacing w:before="81"/>
        <w:ind w:left="6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47.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其他收益</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242"/>
        <w:gridCol w:w="1753"/>
        <w:gridCol w:w="1528"/>
        <w:gridCol w:w="3202"/>
      </w:tblGrid>
      <w:tr>
        <w:trPr>
          <w:trHeight w:val="305" w:hRule="exact"/>
        </w:trPr>
        <w:tc>
          <w:tcPr>
            <w:tcW w:w="224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5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4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52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8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3202"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r>
      <w:tr>
        <w:trPr>
          <w:trHeight w:val="276" w:hRule="exact"/>
        </w:trPr>
        <w:tc>
          <w:tcPr>
            <w:tcW w:w="2242"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753" w:type="dxa"/>
            <w:tcBorders>
              <w:top w:val="single" w:sz="4" w:space="0" w:color="000000"/>
              <w:left w:val="nil" w:sz="6" w:space="0" w:color="auto"/>
              <w:bottom w:val="nil" w:sz="6" w:space="0" w:color="auto"/>
              <w:right w:val="nil" w:sz="6" w:space="0" w:color="auto"/>
            </w:tcBorders>
          </w:tcPr>
          <w:p>
            <w:pPr>
              <w:pStyle w:val="TableParagraph"/>
              <w:spacing w:line="232" w:lineRule="exact"/>
              <w:ind w:right="157"/>
              <w:jc w:val="right"/>
              <w:rPr>
                <w:rFonts w:ascii="宋体" w:hAnsi="宋体" w:cs="宋体" w:eastAsia="宋体" w:hint="default"/>
                <w:sz w:val="18"/>
                <w:szCs w:val="18"/>
              </w:rPr>
            </w:pPr>
            <w:r>
              <w:rPr>
                <w:rFonts w:ascii="宋体"/>
                <w:spacing w:val="-1"/>
                <w:sz w:val="18"/>
              </w:rPr>
              <w:t>142,568,361.98</w:t>
            </w:r>
          </w:p>
        </w:tc>
        <w:tc>
          <w:tcPr>
            <w:tcW w:w="1528" w:type="dxa"/>
            <w:tcBorders>
              <w:top w:val="single" w:sz="4" w:space="0" w:color="000000"/>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pacing w:val="-1"/>
                <w:sz w:val="18"/>
              </w:rPr>
              <w:t>166,013,333.71</w:t>
            </w:r>
          </w:p>
        </w:tc>
        <w:tc>
          <w:tcPr>
            <w:tcW w:w="3202"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财税【</w:t>
            </w:r>
            <w:r>
              <w:rPr>
                <w:rFonts w:ascii="宋体" w:hAnsi="宋体" w:cs="宋体" w:eastAsia="宋体" w:hint="default"/>
                <w:sz w:val="18"/>
                <w:szCs w:val="18"/>
              </w:rPr>
              <w:t>2011</w:t>
            </w:r>
            <w:r>
              <w:rPr>
                <w:rFonts w:ascii="宋体" w:hAnsi="宋体" w:cs="宋体" w:eastAsia="宋体" w:hint="default"/>
                <w:sz w:val="18"/>
                <w:szCs w:val="18"/>
              </w:rPr>
              <w:t>】</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714" w:hRule="exact"/>
        </w:trPr>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产品产业化补贴</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57"/>
              <w:jc w:val="right"/>
              <w:rPr>
                <w:rFonts w:ascii="宋体" w:hAnsi="宋体" w:cs="宋体" w:eastAsia="宋体" w:hint="default"/>
                <w:sz w:val="18"/>
                <w:szCs w:val="18"/>
              </w:rPr>
            </w:pPr>
            <w:r>
              <w:rPr>
                <w:rFonts w:ascii="宋体"/>
                <w:spacing w:val="-1"/>
                <w:sz w:val="18"/>
              </w:rPr>
              <w:t>24,000,000.00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18,500,000.00</w:t>
            </w:r>
          </w:p>
        </w:tc>
        <w:tc>
          <w:tcPr>
            <w:tcW w:w="3202" w:type="dxa"/>
            <w:tcBorders>
              <w:top w:val="nil" w:sz="6" w:space="0" w:color="auto"/>
              <w:left w:val="nil" w:sz="6" w:space="0" w:color="auto"/>
              <w:bottom w:val="nil" w:sz="6" w:space="0" w:color="auto"/>
              <w:right w:val="nil" w:sz="6" w:space="0" w:color="auto"/>
            </w:tcBorders>
          </w:tcPr>
          <w:p>
            <w:pPr>
              <w:pStyle w:val="TableParagraph"/>
              <w:spacing w:line="232" w:lineRule="exact" w:before="8"/>
              <w:ind w:left="108" w:right="99"/>
              <w:jc w:val="left"/>
              <w:rPr>
                <w:rFonts w:ascii="宋体" w:hAnsi="宋体" w:cs="宋体" w:eastAsia="宋体" w:hint="default"/>
                <w:sz w:val="18"/>
                <w:szCs w:val="18"/>
              </w:rPr>
            </w:pPr>
            <w:r>
              <w:rPr>
                <w:rFonts w:ascii="宋体" w:hAnsi="宋体" w:cs="宋体" w:eastAsia="宋体" w:hint="default"/>
                <w:spacing w:val="6"/>
                <w:sz w:val="18"/>
                <w:szCs w:val="18"/>
              </w:rPr>
              <w:t>江苏省金坛经济开发区财政局关于对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同方威视科技江苏有限公司产业扶持</w:t>
            </w:r>
            <w:r>
              <w:rPr>
                <w:rFonts w:ascii="宋体" w:hAnsi="宋体" w:cs="宋体" w:eastAsia="宋体" w:hint="default"/>
                <w:sz w:val="18"/>
                <w:szCs w:val="18"/>
              </w:rPr>
            </w:r>
          </w:p>
          <w:p>
            <w:pPr>
              <w:pStyle w:val="TableParagraph"/>
              <w:spacing w:line="214" w:lineRule="exact"/>
              <w:ind w:left="108" w:right="0"/>
              <w:jc w:val="left"/>
              <w:rPr>
                <w:rFonts w:ascii="宋体" w:hAnsi="宋体" w:cs="宋体" w:eastAsia="宋体" w:hint="default"/>
                <w:sz w:val="18"/>
                <w:szCs w:val="18"/>
              </w:rPr>
            </w:pPr>
            <w:r>
              <w:rPr>
                <w:rFonts w:ascii="宋体" w:hAnsi="宋体" w:cs="宋体" w:eastAsia="宋体" w:hint="default"/>
                <w:sz w:val="18"/>
                <w:szCs w:val="18"/>
              </w:rPr>
              <w:t>资金申请的批复</w:t>
            </w:r>
          </w:p>
        </w:tc>
      </w:tr>
      <w:tr>
        <w:trPr>
          <w:trHeight w:val="483" w:hRule="exact"/>
        </w:trPr>
        <w:tc>
          <w:tcPr>
            <w:tcW w:w="2242" w:type="dxa"/>
            <w:tcBorders>
              <w:top w:val="nil" w:sz="6" w:space="0" w:color="auto"/>
              <w:left w:val="nil" w:sz="6" w:space="0" w:color="auto"/>
              <w:bottom w:val="single" w:sz="12" w:space="0" w:color="000000"/>
              <w:right w:val="nil" w:sz="6" w:space="0" w:color="auto"/>
            </w:tcBorders>
          </w:tcPr>
          <w:p>
            <w:pPr>
              <w:pStyle w:val="TableParagraph"/>
              <w:spacing w:line="240" w:lineRule="auto" w:before="88"/>
              <w:ind w:left="108" w:right="0"/>
              <w:jc w:val="left"/>
              <w:rPr>
                <w:rFonts w:ascii="宋体" w:hAnsi="宋体" w:cs="宋体" w:eastAsia="宋体" w:hint="default"/>
                <w:sz w:val="18"/>
                <w:szCs w:val="18"/>
              </w:rPr>
            </w:pPr>
            <w:r>
              <w:rPr>
                <w:rFonts w:ascii="宋体" w:hAnsi="宋体" w:cs="宋体" w:eastAsia="宋体" w:hint="default"/>
                <w:sz w:val="18"/>
                <w:szCs w:val="18"/>
              </w:rPr>
              <w:t>科技研发专项扶持资金</w:t>
            </w:r>
          </w:p>
        </w:tc>
        <w:tc>
          <w:tcPr>
            <w:tcW w:w="1753" w:type="dxa"/>
            <w:tcBorders>
              <w:top w:val="nil" w:sz="6" w:space="0" w:color="auto"/>
              <w:left w:val="nil" w:sz="6" w:space="0" w:color="auto"/>
              <w:bottom w:val="single" w:sz="12" w:space="0" w:color="000000"/>
              <w:right w:val="nil" w:sz="6" w:space="0" w:color="auto"/>
            </w:tcBorders>
          </w:tcPr>
          <w:p>
            <w:pPr>
              <w:pStyle w:val="TableParagraph"/>
              <w:spacing w:line="240" w:lineRule="auto" w:before="88"/>
              <w:ind w:right="157"/>
              <w:jc w:val="right"/>
              <w:rPr>
                <w:rFonts w:ascii="宋体" w:hAnsi="宋体" w:cs="宋体" w:eastAsia="宋体" w:hint="default"/>
                <w:sz w:val="18"/>
                <w:szCs w:val="18"/>
              </w:rPr>
            </w:pPr>
            <w:r>
              <w:rPr>
                <w:rFonts w:ascii="宋体"/>
                <w:spacing w:val="-1"/>
                <w:sz w:val="18"/>
              </w:rPr>
              <w:t>17,280,000.00</w:t>
            </w:r>
          </w:p>
        </w:tc>
        <w:tc>
          <w:tcPr>
            <w:tcW w:w="1528" w:type="dxa"/>
            <w:tcBorders>
              <w:top w:val="nil" w:sz="6" w:space="0" w:color="auto"/>
              <w:left w:val="nil" w:sz="6" w:space="0" w:color="auto"/>
              <w:bottom w:val="single" w:sz="12"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pacing w:val="-1"/>
                <w:sz w:val="18"/>
              </w:rPr>
              <w:t>17,280,000.00</w:t>
            </w:r>
          </w:p>
        </w:tc>
        <w:tc>
          <w:tcPr>
            <w:tcW w:w="3202" w:type="dxa"/>
            <w:tcBorders>
              <w:top w:val="nil" w:sz="6" w:space="0" w:color="auto"/>
              <w:left w:val="nil" w:sz="6" w:space="0" w:color="auto"/>
              <w:bottom w:val="single" w:sz="12" w:space="0" w:color="000000"/>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6"/>
                <w:sz w:val="18"/>
                <w:szCs w:val="18"/>
              </w:rPr>
              <w:t>江苏省金坛经济开发区财政局关于对</w:t>
            </w:r>
            <w:r>
              <w:rPr>
                <w:rFonts w:ascii="宋体" w:hAnsi="宋体" w:cs="宋体" w:eastAsia="宋体" w:hint="default"/>
                <w:sz w:val="18"/>
                <w:szCs w:val="18"/>
              </w:rPr>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pacing w:val="6"/>
                <w:sz w:val="18"/>
                <w:szCs w:val="18"/>
              </w:rPr>
              <w:t>同方威视科技江苏有限公司专项资金</w:t>
            </w:r>
            <w:r>
              <w:rPr>
                <w:rFonts w:ascii="宋体" w:hAnsi="宋体" w:cs="宋体" w:eastAsia="宋体" w:hint="default"/>
                <w:sz w:val="18"/>
                <w:szCs w:val="18"/>
              </w:rPr>
            </w:r>
          </w:p>
        </w:tc>
      </w:tr>
    </w:tbl>
    <w:p>
      <w:pPr>
        <w:spacing w:after="0" w:line="234" w:lineRule="exact"/>
        <w:jc w:val="left"/>
        <w:rPr>
          <w:rFonts w:ascii="宋体" w:hAnsi="宋体" w:cs="宋体" w:eastAsia="宋体" w:hint="default"/>
          <w:sz w:val="18"/>
          <w:szCs w:val="18"/>
        </w:rPr>
        <w:sectPr>
          <w:footerReference w:type="default" r:id="rId43"/>
          <w:pgSz w:w="11910" w:h="16840"/>
          <w:pgMar w:footer="1034" w:header="0" w:top="1320" w:bottom="1220" w:left="1460" w:right="1440"/>
          <w:pgNumType w:start="141"/>
        </w:sectPr>
      </w:pPr>
    </w:p>
    <w:p>
      <w:pPr>
        <w:spacing w:line="240" w:lineRule="auto" w:before="4"/>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407"/>
        <w:gridCol w:w="1597"/>
        <w:gridCol w:w="1534"/>
        <w:gridCol w:w="3202"/>
      </w:tblGrid>
      <w:tr>
        <w:trPr>
          <w:trHeight w:val="305" w:hRule="exact"/>
        </w:trPr>
        <w:tc>
          <w:tcPr>
            <w:tcW w:w="240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9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53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89"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c>
          <w:tcPr>
            <w:tcW w:w="3202"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3"/>
              <w:jc w:val="center"/>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r>
      <w:tr>
        <w:trPr>
          <w:trHeight w:val="263" w:hRule="exact"/>
        </w:trPr>
        <w:tc>
          <w:tcPr>
            <w:tcW w:w="2407" w:type="dxa"/>
            <w:tcBorders>
              <w:top w:val="single" w:sz="4" w:space="0" w:color="000000"/>
              <w:left w:val="nil" w:sz="6" w:space="0" w:color="auto"/>
              <w:bottom w:val="nil" w:sz="6" w:space="0" w:color="auto"/>
              <w:right w:val="nil" w:sz="6" w:space="0" w:color="auto"/>
            </w:tcBorders>
          </w:tcPr>
          <w:p>
            <w:pPr/>
          </w:p>
        </w:tc>
        <w:tc>
          <w:tcPr>
            <w:tcW w:w="1597" w:type="dxa"/>
            <w:tcBorders>
              <w:top w:val="single" w:sz="4" w:space="0" w:color="000000"/>
              <w:left w:val="nil" w:sz="6" w:space="0" w:color="auto"/>
              <w:bottom w:val="nil" w:sz="6" w:space="0" w:color="auto"/>
              <w:right w:val="nil" w:sz="6" w:space="0" w:color="auto"/>
            </w:tcBorders>
          </w:tcPr>
          <w:p>
            <w:pPr/>
          </w:p>
        </w:tc>
        <w:tc>
          <w:tcPr>
            <w:tcW w:w="1534" w:type="dxa"/>
            <w:tcBorders>
              <w:top w:val="single" w:sz="4" w:space="0" w:color="000000"/>
              <w:left w:val="nil" w:sz="6" w:space="0" w:color="auto"/>
              <w:bottom w:val="nil" w:sz="6" w:space="0" w:color="auto"/>
              <w:right w:val="nil" w:sz="6" w:space="0" w:color="auto"/>
            </w:tcBorders>
          </w:tcPr>
          <w:p>
            <w:pPr/>
          </w:p>
        </w:tc>
        <w:tc>
          <w:tcPr>
            <w:tcW w:w="3202" w:type="dxa"/>
            <w:tcBorders>
              <w:top w:val="single" w:sz="4" w:space="0" w:color="000000"/>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申请的批复</w:t>
            </w:r>
          </w:p>
        </w:tc>
      </w:tr>
      <w:tr>
        <w:trPr>
          <w:trHeight w:val="727"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32" w:lineRule="exact" w:before="139"/>
              <w:ind w:left="122" w:right="303"/>
              <w:jc w:val="left"/>
              <w:rPr>
                <w:rFonts w:ascii="宋体" w:hAnsi="宋体" w:cs="宋体" w:eastAsia="宋体" w:hint="default"/>
                <w:sz w:val="18"/>
                <w:szCs w:val="18"/>
              </w:rPr>
            </w:pPr>
            <w:r>
              <w:rPr>
                <w:rFonts w:ascii="宋体" w:hAnsi="宋体" w:cs="宋体" w:eastAsia="宋体" w:hint="default"/>
                <w:sz w:val="18"/>
                <w:szCs w:val="18"/>
              </w:rPr>
              <w:t>毫米波成像探测仪研制及 产业化示范</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151"/>
              <w:jc w:val="right"/>
              <w:rPr>
                <w:rFonts w:ascii="宋体" w:hAnsi="宋体" w:cs="宋体" w:eastAsia="宋体" w:hint="default"/>
                <w:sz w:val="18"/>
                <w:szCs w:val="18"/>
              </w:rPr>
            </w:pPr>
            <w:r>
              <w:rPr>
                <w:rFonts w:ascii="宋体"/>
                <w:spacing w:val="-1"/>
                <w:sz w:val="18"/>
              </w:rPr>
              <w:t>9,070,000.00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宋体" w:hAnsi="宋体" w:cs="宋体" w:eastAsia="宋体" w:hint="default"/>
                <w:sz w:val="18"/>
                <w:szCs w:val="18"/>
              </w:rPr>
            </w:pPr>
            <w:r>
              <w:rPr>
                <w:rFonts w:ascii="宋体"/>
                <w:sz w:val="18"/>
              </w:rPr>
              <w:t>0.00</w:t>
            </w:r>
          </w:p>
        </w:tc>
        <w:tc>
          <w:tcPr>
            <w:tcW w:w="3202" w:type="dxa"/>
            <w:tcBorders>
              <w:top w:val="nil" w:sz="6" w:space="0" w:color="auto"/>
              <w:left w:val="nil" w:sz="6" w:space="0" w:color="auto"/>
              <w:bottom w:val="nil" w:sz="6" w:space="0" w:color="auto"/>
              <w:right w:val="nil" w:sz="6" w:space="0" w:color="auto"/>
            </w:tcBorders>
          </w:tcPr>
          <w:p>
            <w:pPr>
              <w:pStyle w:val="TableParagraph"/>
              <w:spacing w:line="237" w:lineRule="auto"/>
              <w:ind w:left="107" w:right="99"/>
              <w:jc w:val="both"/>
              <w:rPr>
                <w:rFonts w:ascii="宋体" w:hAnsi="宋体" w:cs="宋体" w:eastAsia="宋体" w:hint="default"/>
                <w:sz w:val="18"/>
                <w:szCs w:val="18"/>
              </w:rPr>
            </w:pPr>
            <w:r>
              <w:rPr>
                <w:rFonts w:ascii="宋体" w:hAnsi="宋体" w:cs="宋体" w:eastAsia="宋体" w:hint="default"/>
                <w:sz w:val="18"/>
                <w:szCs w:val="18"/>
              </w:rPr>
              <w:t>国科资函</w:t>
            </w:r>
            <w:r>
              <w:rPr>
                <w:rFonts w:ascii="宋体" w:hAnsi="宋体" w:cs="宋体" w:eastAsia="宋体" w:hint="default"/>
                <w:sz w:val="18"/>
                <w:szCs w:val="18"/>
              </w:rPr>
              <w:t>[2018]52</w:t>
            </w:r>
            <w:r>
              <w:rPr>
                <w:rFonts w:ascii="宋体" w:hAnsi="宋体" w:cs="宋体" w:eastAsia="宋体" w:hint="default"/>
                <w:spacing w:val="7"/>
                <w:sz w:val="18"/>
                <w:szCs w:val="18"/>
              </w:rPr>
              <w:t> </w:t>
            </w:r>
            <w:r>
              <w:rPr>
                <w:rFonts w:ascii="宋体" w:hAnsi="宋体" w:cs="宋体" w:eastAsia="宋体" w:hint="default"/>
                <w:sz w:val="18"/>
                <w:szCs w:val="18"/>
              </w:rPr>
              <w:t>号《关于通报国家 </w:t>
            </w:r>
            <w:r>
              <w:rPr>
                <w:rFonts w:ascii="宋体" w:hAnsi="宋体" w:cs="宋体" w:eastAsia="宋体" w:hint="default"/>
                <w:spacing w:val="6"/>
                <w:sz w:val="18"/>
                <w:szCs w:val="18"/>
              </w:rPr>
              <w:t>重大科学仪器设备开发专项部分项目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验收结论的函》</w:t>
            </w:r>
          </w:p>
        </w:tc>
      </w:tr>
      <w:tr>
        <w:trPr>
          <w:trHeight w:val="466"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中文精品学术期刊外文版</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数字出版工程</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1"/>
              <w:jc w:val="right"/>
              <w:rPr>
                <w:rFonts w:ascii="宋体" w:hAnsi="宋体" w:cs="宋体" w:eastAsia="宋体" w:hint="default"/>
                <w:sz w:val="18"/>
                <w:szCs w:val="18"/>
              </w:rPr>
            </w:pPr>
            <w:r>
              <w:rPr>
                <w:rFonts w:ascii="宋体"/>
                <w:spacing w:val="-1"/>
                <w:sz w:val="18"/>
              </w:rPr>
              <w:t>9,000,000.00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0.00</w:t>
            </w:r>
          </w:p>
        </w:tc>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7" w:right="0"/>
              <w:jc w:val="left"/>
              <w:rPr>
                <w:rFonts w:ascii="宋体" w:hAnsi="宋体" w:cs="宋体" w:eastAsia="宋体" w:hint="default"/>
                <w:sz w:val="18"/>
                <w:szCs w:val="18"/>
              </w:rPr>
            </w:pPr>
            <w:r>
              <w:rPr>
                <w:rFonts w:ascii="宋体" w:hAnsi="宋体" w:cs="宋体" w:eastAsia="宋体" w:hint="default"/>
                <w:sz w:val="18"/>
                <w:szCs w:val="18"/>
              </w:rPr>
              <w:t>中华人民共和国科学技术部</w:t>
            </w:r>
          </w:p>
        </w:tc>
      </w:tr>
      <w:tr>
        <w:trPr>
          <w:trHeight w:val="468"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污泥运输费补贴</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1"/>
              <w:jc w:val="right"/>
              <w:rPr>
                <w:rFonts w:ascii="宋体" w:hAnsi="宋体" w:cs="宋体" w:eastAsia="宋体" w:hint="default"/>
                <w:sz w:val="18"/>
                <w:szCs w:val="18"/>
              </w:rPr>
            </w:pPr>
            <w:r>
              <w:rPr>
                <w:rFonts w:ascii="宋体"/>
                <w:spacing w:val="-1"/>
                <w:sz w:val="18"/>
              </w:rPr>
              <w:t>7,507,683.03</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pacing w:val="-1"/>
                <w:sz w:val="18"/>
              </w:rPr>
              <w:t>4,224,009.91</w:t>
            </w:r>
          </w:p>
        </w:tc>
        <w:tc>
          <w:tcPr>
            <w:tcW w:w="3202"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pacing w:val="6"/>
                <w:sz w:val="18"/>
                <w:szCs w:val="18"/>
              </w:rPr>
              <w:t>《特许经营协议污泥运输处置费用补</w:t>
            </w:r>
            <w:r>
              <w:rPr>
                <w:rFonts w:ascii="宋体" w:hAnsi="宋体" w:cs="宋体" w:eastAsia="宋体" w:hint="default"/>
                <w:sz w:val="18"/>
                <w:szCs w:val="18"/>
              </w:rPr>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偿补充协议》</w:t>
            </w:r>
          </w:p>
        </w:tc>
      </w:tr>
      <w:tr>
        <w:trPr>
          <w:trHeight w:val="700"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22" w:right="303"/>
              <w:jc w:val="left"/>
              <w:rPr>
                <w:rFonts w:ascii="宋体" w:hAnsi="宋体" w:cs="宋体" w:eastAsia="宋体" w:hint="default"/>
                <w:sz w:val="18"/>
                <w:szCs w:val="18"/>
              </w:rPr>
            </w:pPr>
            <w:r>
              <w:rPr>
                <w:rFonts w:ascii="宋体" w:hAnsi="宋体" w:cs="宋体" w:eastAsia="宋体" w:hint="default"/>
                <w:sz w:val="18"/>
                <w:szCs w:val="18"/>
              </w:rPr>
              <w:t>先进特异物资检测技术产 业化项目补助</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51"/>
              <w:jc w:val="right"/>
              <w:rPr>
                <w:rFonts w:ascii="宋体" w:hAnsi="宋体" w:cs="宋体" w:eastAsia="宋体" w:hint="default"/>
                <w:sz w:val="18"/>
                <w:szCs w:val="18"/>
              </w:rPr>
            </w:pPr>
            <w:r>
              <w:rPr>
                <w:rFonts w:ascii="宋体"/>
                <w:spacing w:val="-1"/>
                <w:sz w:val="18"/>
              </w:rPr>
              <w:t>6,000,000.00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z w:val="18"/>
              </w:rPr>
              <w:t>0.00</w:t>
            </w:r>
          </w:p>
        </w:tc>
        <w:tc>
          <w:tcPr>
            <w:tcW w:w="3202" w:type="dxa"/>
            <w:tcBorders>
              <w:top w:val="nil" w:sz="6" w:space="0" w:color="auto"/>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京工促发</w:t>
            </w:r>
            <w:r>
              <w:rPr>
                <w:rFonts w:ascii="宋体" w:hAnsi="宋体" w:cs="宋体" w:eastAsia="宋体" w:hint="default"/>
                <w:sz w:val="18"/>
                <w:szCs w:val="18"/>
              </w:rPr>
              <w:t>[2008]125</w:t>
            </w:r>
            <w:r>
              <w:rPr>
                <w:rFonts w:ascii="宋体" w:hAnsi="宋体" w:cs="宋体" w:eastAsia="宋体" w:hint="default"/>
                <w:spacing w:val="-41"/>
                <w:sz w:val="18"/>
                <w:szCs w:val="18"/>
              </w:rPr>
              <w:t> </w:t>
            </w:r>
            <w:r>
              <w:rPr>
                <w:rFonts w:ascii="宋体" w:hAnsi="宋体" w:cs="宋体" w:eastAsia="宋体" w:hint="default"/>
                <w:spacing w:val="-5"/>
                <w:sz w:val="18"/>
                <w:szCs w:val="18"/>
              </w:rPr>
              <w:t>号《北京市工业促</w:t>
            </w:r>
          </w:p>
          <w:p>
            <w:pPr>
              <w:pStyle w:val="TableParagraph"/>
              <w:spacing w:line="232" w:lineRule="exact" w:before="23"/>
              <w:ind w:left="107" w:right="108"/>
              <w:jc w:val="left"/>
              <w:rPr>
                <w:rFonts w:ascii="宋体" w:hAnsi="宋体" w:cs="宋体" w:eastAsia="宋体" w:hint="default"/>
                <w:sz w:val="18"/>
                <w:szCs w:val="18"/>
              </w:rPr>
            </w:pPr>
            <w:r>
              <w:rPr>
                <w:rFonts w:ascii="宋体" w:hAnsi="宋体" w:cs="宋体" w:eastAsia="宋体" w:hint="default"/>
                <w:sz w:val="18"/>
                <w:szCs w:val="18"/>
              </w:rPr>
              <w:t>进局关于下达</w:t>
            </w:r>
            <w:r>
              <w:rPr>
                <w:rFonts w:ascii="宋体" w:hAnsi="宋体" w:cs="宋体" w:eastAsia="宋体" w:hint="default"/>
                <w:spacing w:val="-41"/>
                <w:sz w:val="18"/>
                <w:szCs w:val="18"/>
              </w:rPr>
              <w:t> </w:t>
            </w:r>
            <w:r>
              <w:rPr>
                <w:rFonts w:ascii="宋体" w:hAnsi="宋体" w:cs="宋体" w:eastAsia="宋体" w:hint="default"/>
                <w:sz w:val="18"/>
                <w:szCs w:val="18"/>
              </w:rPr>
              <w:t>2008</w:t>
            </w:r>
            <w:r>
              <w:rPr>
                <w:rFonts w:ascii="宋体" w:hAnsi="宋体" w:cs="宋体" w:eastAsia="宋体" w:hint="default"/>
                <w:spacing w:val="-39"/>
                <w:sz w:val="18"/>
                <w:szCs w:val="18"/>
              </w:rPr>
              <w:t> </w:t>
            </w:r>
            <w:r>
              <w:rPr>
                <w:rFonts w:ascii="宋体" w:hAnsi="宋体" w:cs="宋体" w:eastAsia="宋体" w:hint="default"/>
                <w:sz w:val="18"/>
                <w:szCs w:val="18"/>
              </w:rPr>
              <w:t>年度第二批工业发 展自己计划的通知》</w:t>
            </w:r>
          </w:p>
        </w:tc>
      </w:tr>
      <w:tr>
        <w:trPr>
          <w:trHeight w:val="467"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重大出口项目奖励</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1"/>
              <w:jc w:val="right"/>
              <w:rPr>
                <w:rFonts w:ascii="宋体" w:hAnsi="宋体" w:cs="宋体" w:eastAsia="宋体" w:hint="default"/>
                <w:sz w:val="18"/>
                <w:szCs w:val="18"/>
              </w:rPr>
            </w:pPr>
            <w:r>
              <w:rPr>
                <w:rFonts w:ascii="宋体"/>
                <w:spacing w:val="-1"/>
                <w:sz w:val="18"/>
              </w:rPr>
              <w:t>5,399,000.00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z w:val="18"/>
              </w:rPr>
              <w:t>0.00</w:t>
            </w:r>
          </w:p>
        </w:tc>
        <w:tc>
          <w:tcPr>
            <w:tcW w:w="3202"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pacing w:val="-5"/>
                <w:sz w:val="18"/>
                <w:szCs w:val="18"/>
              </w:rPr>
              <w:t>沈财指流【</w:t>
            </w:r>
            <w:r>
              <w:rPr>
                <w:rFonts w:ascii="宋体" w:hAnsi="宋体" w:cs="宋体" w:eastAsia="宋体" w:hint="default"/>
                <w:spacing w:val="-5"/>
                <w:sz w:val="18"/>
                <w:szCs w:val="18"/>
              </w:rPr>
              <w:t>2018</w:t>
            </w:r>
            <w:r>
              <w:rPr>
                <w:rFonts w:ascii="宋体" w:hAnsi="宋体" w:cs="宋体" w:eastAsia="宋体" w:hint="default"/>
                <w:spacing w:val="-5"/>
                <w:sz w:val="18"/>
                <w:szCs w:val="18"/>
              </w:rPr>
              <w:t>】重大出口项目奖励资</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金</w:t>
            </w:r>
          </w:p>
        </w:tc>
      </w:tr>
      <w:tr>
        <w:trPr>
          <w:trHeight w:val="467"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第二批小微企业创业示范</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基地奖补专项资金</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1"/>
              <w:jc w:val="right"/>
              <w:rPr>
                <w:rFonts w:ascii="宋体" w:hAnsi="宋体" w:cs="宋体" w:eastAsia="宋体" w:hint="default"/>
                <w:sz w:val="18"/>
                <w:szCs w:val="18"/>
              </w:rPr>
            </w:pPr>
            <w:r>
              <w:rPr>
                <w:rFonts w:ascii="宋体"/>
                <w:spacing w:val="-1"/>
                <w:sz w:val="18"/>
              </w:rPr>
              <w:t>4,400,000.00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0.00</w:t>
            </w:r>
          </w:p>
        </w:tc>
        <w:tc>
          <w:tcPr>
            <w:tcW w:w="3202" w:type="dxa"/>
            <w:tcBorders>
              <w:top w:val="nil" w:sz="6" w:space="0" w:color="auto"/>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pacing w:val="6"/>
                <w:sz w:val="18"/>
                <w:szCs w:val="18"/>
              </w:rPr>
              <w:t>第二批小微企业创业示范基地奖补专</w:t>
            </w:r>
            <w:r>
              <w:rPr>
                <w:rFonts w:ascii="宋体" w:hAnsi="宋体" w:cs="宋体" w:eastAsia="宋体" w:hint="default"/>
                <w:sz w:val="18"/>
                <w:szCs w:val="18"/>
              </w:rPr>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项资金</w:t>
            </w:r>
          </w:p>
        </w:tc>
      </w:tr>
      <w:tr>
        <w:trPr>
          <w:trHeight w:val="467"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2014-2015</w:t>
            </w:r>
            <w:r>
              <w:rPr>
                <w:rFonts w:ascii="宋体" w:hAnsi="宋体" w:cs="宋体" w:eastAsia="宋体" w:hint="default"/>
                <w:spacing w:val="-52"/>
                <w:sz w:val="18"/>
                <w:szCs w:val="18"/>
              </w:rPr>
              <w:t> </w:t>
            </w:r>
            <w:r>
              <w:rPr>
                <w:rFonts w:ascii="宋体" w:hAnsi="宋体" w:cs="宋体" w:eastAsia="宋体" w:hint="default"/>
                <w:sz w:val="18"/>
                <w:szCs w:val="18"/>
              </w:rPr>
              <w:t>年度文化服务出</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口奖励资金</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1"/>
              <w:jc w:val="right"/>
              <w:rPr>
                <w:rFonts w:ascii="宋体" w:hAnsi="宋体" w:cs="宋体" w:eastAsia="宋体" w:hint="default"/>
                <w:sz w:val="18"/>
                <w:szCs w:val="18"/>
              </w:rPr>
            </w:pPr>
            <w:r>
              <w:rPr>
                <w:rFonts w:ascii="宋体"/>
                <w:spacing w:val="-1"/>
                <w:sz w:val="18"/>
              </w:rPr>
              <w:t>4,200,000.00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z w:val="18"/>
              </w:rPr>
              <w:t>0.00</w:t>
            </w:r>
          </w:p>
        </w:tc>
        <w:tc>
          <w:tcPr>
            <w:tcW w:w="3202"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国家文化出口重点企业和重点项目</w:t>
            </w:r>
            <w:r>
              <w:rPr>
                <w:rFonts w:ascii="宋体" w:hAnsi="宋体" w:cs="宋体" w:eastAsia="宋体" w:hint="default"/>
                <w:spacing w:val="-77"/>
                <w:sz w:val="18"/>
                <w:szCs w:val="18"/>
              </w:rPr>
              <w:t>、</w:t>
            </w:r>
            <w:r>
              <w:rPr>
                <w:rFonts w:ascii="宋体" w:hAnsi="宋体" w:cs="宋体" w:eastAsia="宋体" w:hint="default"/>
                <w:sz w:val="18"/>
                <w:szCs w:val="18"/>
              </w:rPr>
              <w:t>国</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家文化服务出口奖励资金</w:t>
            </w:r>
          </w:p>
        </w:tc>
      </w:tr>
      <w:tr>
        <w:trPr>
          <w:trHeight w:val="468"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高亮度发光二极管</w:t>
            </w:r>
            <w:r>
              <w:rPr>
                <w:rFonts w:ascii="宋体" w:hAnsi="宋体" w:cs="宋体" w:eastAsia="宋体" w:hint="default"/>
                <w:sz w:val="18"/>
                <w:szCs w:val="18"/>
              </w:rPr>
              <w:t>(LED)</w:t>
            </w:r>
            <w:r>
              <w:rPr>
                <w:rFonts w:ascii="宋体" w:hAnsi="宋体" w:cs="宋体" w:eastAsia="宋体" w:hint="default"/>
                <w:sz w:val="18"/>
                <w:szCs w:val="18"/>
              </w:rPr>
              <w:t>外</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延片、芯片产业化工程</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1"/>
              <w:jc w:val="right"/>
              <w:rPr>
                <w:rFonts w:ascii="宋体" w:hAnsi="宋体" w:cs="宋体" w:eastAsia="宋体" w:hint="default"/>
                <w:sz w:val="18"/>
                <w:szCs w:val="18"/>
              </w:rPr>
            </w:pPr>
            <w:r>
              <w:rPr>
                <w:rFonts w:ascii="宋体"/>
                <w:spacing w:val="-1"/>
                <w:sz w:val="18"/>
              </w:rPr>
              <w:t>3,795,999.96</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pacing w:val="-1"/>
                <w:sz w:val="18"/>
              </w:rPr>
              <w:t>3,795,999.96</w:t>
            </w:r>
          </w:p>
        </w:tc>
        <w:tc>
          <w:tcPr>
            <w:tcW w:w="3202"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pacing w:val="-5"/>
                <w:sz w:val="18"/>
                <w:szCs w:val="18"/>
              </w:rPr>
              <w:t>工促局、北京市科委、经济与信息化产</w:t>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业部</w:t>
            </w:r>
          </w:p>
        </w:tc>
      </w:tr>
      <w:tr>
        <w:trPr>
          <w:trHeight w:val="700"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南通科技园项目扶持资金</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51"/>
              <w:jc w:val="right"/>
              <w:rPr>
                <w:rFonts w:ascii="宋体" w:hAnsi="宋体" w:cs="宋体" w:eastAsia="宋体" w:hint="default"/>
                <w:sz w:val="18"/>
                <w:szCs w:val="18"/>
              </w:rPr>
            </w:pPr>
            <w:r>
              <w:rPr>
                <w:rFonts w:ascii="宋体"/>
                <w:spacing w:val="-1"/>
                <w:sz w:val="18"/>
              </w:rPr>
              <w:t>3,556,000.00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3,556,000.00</w:t>
            </w:r>
          </w:p>
        </w:tc>
        <w:tc>
          <w:tcPr>
            <w:tcW w:w="3202" w:type="dxa"/>
            <w:tcBorders>
              <w:top w:val="nil" w:sz="6" w:space="0" w:color="auto"/>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pacing w:val="6"/>
                <w:sz w:val="18"/>
                <w:szCs w:val="18"/>
              </w:rPr>
              <w:t>《南通市经济开发区财政局关于给予</w:t>
            </w:r>
            <w:r>
              <w:rPr>
                <w:rFonts w:ascii="宋体" w:hAnsi="宋体" w:cs="宋体" w:eastAsia="宋体" w:hint="default"/>
                <w:sz w:val="18"/>
                <w:szCs w:val="18"/>
              </w:rPr>
            </w:r>
          </w:p>
          <w:p>
            <w:pPr>
              <w:pStyle w:val="TableParagraph"/>
              <w:spacing w:line="232" w:lineRule="exact" w:before="23"/>
              <w:ind w:left="107" w:right="99"/>
              <w:jc w:val="left"/>
              <w:rPr>
                <w:rFonts w:ascii="宋体" w:hAnsi="宋体" w:cs="宋体" w:eastAsia="宋体" w:hint="default"/>
                <w:sz w:val="18"/>
                <w:szCs w:val="18"/>
              </w:rPr>
            </w:pPr>
            <w:r>
              <w:rPr>
                <w:rFonts w:ascii="宋体" w:hAnsi="宋体" w:cs="宋体" w:eastAsia="宋体" w:hint="default"/>
                <w:spacing w:val="6"/>
                <w:sz w:val="18"/>
                <w:szCs w:val="18"/>
              </w:rPr>
              <w:t>南通同方科技园有限公司项目扶持资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金的批复》</w:t>
            </w:r>
          </w:p>
        </w:tc>
      </w:tr>
      <w:tr>
        <w:trPr>
          <w:trHeight w:val="467"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年度中关村技术创新</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能力建设专项资金</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1"/>
              <w:jc w:val="right"/>
              <w:rPr>
                <w:rFonts w:ascii="宋体" w:hAnsi="宋体" w:cs="宋体" w:eastAsia="宋体" w:hint="default"/>
                <w:sz w:val="18"/>
                <w:szCs w:val="18"/>
              </w:rPr>
            </w:pPr>
            <w:r>
              <w:rPr>
                <w:rFonts w:ascii="宋体"/>
                <w:spacing w:val="-1"/>
                <w:sz w:val="18"/>
              </w:rPr>
              <w:t>3,250,000.00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5"/>
              <w:jc w:val="right"/>
              <w:rPr>
                <w:rFonts w:ascii="宋体" w:hAnsi="宋体" w:cs="宋体" w:eastAsia="宋体" w:hint="default"/>
                <w:sz w:val="18"/>
                <w:szCs w:val="18"/>
              </w:rPr>
            </w:pPr>
            <w:r>
              <w:rPr>
                <w:rFonts w:ascii="宋体"/>
                <w:sz w:val="18"/>
              </w:rPr>
              <w:t>0.00</w:t>
            </w:r>
          </w:p>
        </w:tc>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7" w:right="0"/>
              <w:jc w:val="left"/>
              <w:rPr>
                <w:rFonts w:ascii="宋体" w:hAnsi="宋体" w:cs="宋体" w:eastAsia="宋体" w:hint="default"/>
                <w:sz w:val="18"/>
                <w:szCs w:val="18"/>
              </w:rPr>
            </w:pPr>
            <w:r>
              <w:rPr>
                <w:rFonts w:ascii="宋体" w:hAnsi="宋体" w:cs="宋体" w:eastAsia="宋体" w:hint="default"/>
                <w:sz w:val="18"/>
                <w:szCs w:val="18"/>
              </w:rPr>
              <w:t>首知服协</w:t>
            </w:r>
            <w:r>
              <w:rPr>
                <w:rFonts w:ascii="宋体" w:hAnsi="宋体" w:cs="宋体" w:eastAsia="宋体" w:hint="default"/>
                <w:sz w:val="18"/>
                <w:szCs w:val="18"/>
              </w:rPr>
              <w:t>[2018]15</w:t>
            </w:r>
            <w:r>
              <w:rPr>
                <w:rFonts w:ascii="宋体" w:hAnsi="宋体" w:cs="宋体" w:eastAsia="宋体" w:hint="default"/>
                <w:spacing w:val="-44"/>
                <w:sz w:val="18"/>
                <w:szCs w:val="18"/>
              </w:rPr>
              <w:t> </w:t>
            </w:r>
            <w:r>
              <w:rPr>
                <w:rFonts w:ascii="宋体" w:hAnsi="宋体" w:cs="宋体" w:eastAsia="宋体" w:hint="default"/>
                <w:sz w:val="18"/>
                <w:szCs w:val="18"/>
              </w:rPr>
              <w:t>号</w:t>
            </w:r>
          </w:p>
        </w:tc>
      </w:tr>
      <w:tr>
        <w:trPr>
          <w:trHeight w:val="479"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国外授权专利资助专项资</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1"/>
              <w:jc w:val="right"/>
              <w:rPr>
                <w:rFonts w:ascii="宋体" w:hAnsi="宋体" w:cs="宋体" w:eastAsia="宋体" w:hint="default"/>
                <w:sz w:val="18"/>
                <w:szCs w:val="18"/>
              </w:rPr>
            </w:pPr>
            <w:r>
              <w:rPr>
                <w:rFonts w:ascii="宋体"/>
                <w:spacing w:val="-1"/>
                <w:sz w:val="18"/>
              </w:rPr>
              <w:t>3,000,000.00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0.00</w:t>
            </w:r>
          </w:p>
        </w:tc>
        <w:tc>
          <w:tcPr>
            <w:tcW w:w="3202" w:type="dxa"/>
            <w:tcBorders>
              <w:top w:val="nil" w:sz="6" w:space="0" w:color="auto"/>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pacing w:val="-6"/>
                <w:sz w:val="18"/>
                <w:szCs w:val="18"/>
              </w:rPr>
              <w:t>京海发〔</w:t>
            </w:r>
            <w:r>
              <w:rPr>
                <w:rFonts w:ascii="宋体" w:hAnsi="宋体" w:cs="宋体" w:eastAsia="宋体" w:hint="default"/>
                <w:spacing w:val="-6"/>
                <w:sz w:val="18"/>
                <w:szCs w:val="18"/>
              </w:rPr>
              <w:t>2018</w:t>
            </w:r>
            <w:r>
              <w:rPr>
                <w:rFonts w:ascii="宋体" w:hAnsi="宋体" w:cs="宋体" w:eastAsia="宋体" w:hint="default"/>
                <w:spacing w:val="-6"/>
                <w:sz w:val="18"/>
                <w:szCs w:val="18"/>
              </w:rPr>
              <w:t>〕</w:t>
            </w:r>
            <w:r>
              <w:rPr>
                <w:rFonts w:ascii="宋体" w:hAnsi="宋体" w:cs="宋体" w:eastAsia="宋体" w:hint="default"/>
                <w:spacing w:val="-6"/>
                <w:sz w:val="18"/>
                <w:szCs w:val="18"/>
              </w:rPr>
              <w:t>1</w:t>
            </w:r>
            <w:r>
              <w:rPr>
                <w:rFonts w:ascii="宋体" w:hAnsi="宋体" w:cs="宋体" w:eastAsia="宋体" w:hint="default"/>
                <w:spacing w:val="-42"/>
                <w:sz w:val="18"/>
                <w:szCs w:val="18"/>
              </w:rPr>
              <w:t> </w:t>
            </w:r>
            <w:r>
              <w:rPr>
                <w:rFonts w:ascii="宋体" w:hAnsi="宋体" w:cs="宋体" w:eastAsia="宋体" w:hint="default"/>
                <w:spacing w:val="-5"/>
                <w:sz w:val="18"/>
                <w:szCs w:val="18"/>
              </w:rPr>
              <w:t>号《</w:t>
            </w:r>
            <w:r>
              <w:rPr>
                <w:rFonts w:ascii="宋体" w:hAnsi="宋体" w:cs="宋体" w:eastAsia="宋体" w:hint="default"/>
                <w:spacing w:val="-5"/>
                <w:sz w:val="18"/>
                <w:szCs w:val="18"/>
              </w:rPr>
              <w:t>2018</w:t>
            </w:r>
            <w:r>
              <w:rPr>
                <w:rFonts w:ascii="宋体" w:hAnsi="宋体" w:cs="宋体" w:eastAsia="宋体" w:hint="default"/>
                <w:spacing w:val="-41"/>
                <w:sz w:val="18"/>
                <w:szCs w:val="18"/>
              </w:rPr>
              <w:t> </w:t>
            </w:r>
            <w:r>
              <w:rPr>
                <w:rFonts w:ascii="宋体" w:hAnsi="宋体" w:cs="宋体" w:eastAsia="宋体" w:hint="default"/>
                <w:sz w:val="18"/>
                <w:szCs w:val="18"/>
              </w:rPr>
              <w:t>年海淀区专</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利奖配套奖励专项申报指南》</w:t>
            </w:r>
          </w:p>
        </w:tc>
      </w:tr>
      <w:tr>
        <w:trPr>
          <w:trHeight w:val="259"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20"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双自主</w:t>
            </w:r>
            <w:r>
              <w:rPr>
                <w:rFonts w:ascii="宋体" w:hAnsi="宋体" w:cs="宋体" w:eastAsia="宋体" w:hint="default"/>
                <w:sz w:val="18"/>
                <w:szCs w:val="18"/>
              </w:rPr>
              <w:t>"</w:t>
            </w:r>
            <w:r>
              <w:rPr>
                <w:rFonts w:ascii="宋体" w:hAnsi="宋体" w:cs="宋体" w:eastAsia="宋体" w:hint="default"/>
                <w:sz w:val="18"/>
                <w:szCs w:val="18"/>
              </w:rPr>
              <w:t>企业出口奖励款</w:t>
            </w:r>
          </w:p>
        </w:tc>
        <w:tc>
          <w:tcPr>
            <w:tcW w:w="1597" w:type="dxa"/>
            <w:tcBorders>
              <w:top w:val="nil" w:sz="6" w:space="0" w:color="auto"/>
              <w:left w:val="nil" w:sz="6" w:space="0" w:color="auto"/>
              <w:bottom w:val="nil" w:sz="6" w:space="0" w:color="auto"/>
              <w:right w:val="nil" w:sz="6" w:space="0" w:color="auto"/>
            </w:tcBorders>
          </w:tcPr>
          <w:p>
            <w:pPr>
              <w:pStyle w:val="TableParagraph"/>
              <w:spacing w:line="220" w:lineRule="exact"/>
              <w:ind w:right="151"/>
              <w:jc w:val="right"/>
              <w:rPr>
                <w:rFonts w:ascii="宋体" w:hAnsi="宋体" w:cs="宋体" w:eastAsia="宋体" w:hint="default"/>
                <w:sz w:val="18"/>
                <w:szCs w:val="18"/>
              </w:rPr>
            </w:pPr>
            <w:r>
              <w:rPr>
                <w:rFonts w:ascii="宋体"/>
                <w:spacing w:val="-1"/>
                <w:sz w:val="18"/>
              </w:rPr>
              <w:t>2,963,073.00</w:t>
            </w:r>
          </w:p>
        </w:tc>
        <w:tc>
          <w:tcPr>
            <w:tcW w:w="1534" w:type="dxa"/>
            <w:tcBorders>
              <w:top w:val="nil" w:sz="6" w:space="0" w:color="auto"/>
              <w:left w:val="nil" w:sz="6" w:space="0" w:color="auto"/>
              <w:bottom w:val="nil" w:sz="6" w:space="0" w:color="auto"/>
              <w:right w:val="nil" w:sz="6" w:space="0" w:color="auto"/>
            </w:tcBorders>
          </w:tcPr>
          <w:p>
            <w:pPr>
              <w:pStyle w:val="TableParagraph"/>
              <w:spacing w:line="220" w:lineRule="exact"/>
              <w:ind w:right="105"/>
              <w:jc w:val="right"/>
              <w:rPr>
                <w:rFonts w:ascii="宋体" w:hAnsi="宋体" w:cs="宋体" w:eastAsia="宋体" w:hint="default"/>
                <w:sz w:val="18"/>
                <w:szCs w:val="18"/>
              </w:rPr>
            </w:pPr>
            <w:r>
              <w:rPr>
                <w:rFonts w:ascii="宋体"/>
                <w:sz w:val="18"/>
              </w:rPr>
              <w:t>0.00</w:t>
            </w:r>
          </w:p>
        </w:tc>
        <w:tc>
          <w:tcPr>
            <w:tcW w:w="3202" w:type="dxa"/>
            <w:tcBorders>
              <w:top w:val="nil" w:sz="6" w:space="0" w:color="auto"/>
              <w:left w:val="nil" w:sz="6" w:space="0" w:color="auto"/>
              <w:bottom w:val="nil" w:sz="6" w:space="0" w:color="auto"/>
              <w:right w:val="nil" w:sz="6" w:space="0" w:color="auto"/>
            </w:tcBorders>
          </w:tcPr>
          <w:p>
            <w:pPr>
              <w:pStyle w:val="TableParagraph"/>
              <w:spacing w:line="220" w:lineRule="exact"/>
              <w:ind w:left="107" w:right="0"/>
              <w:jc w:val="left"/>
              <w:rPr>
                <w:rFonts w:ascii="宋体" w:hAnsi="宋体" w:cs="宋体" w:eastAsia="宋体" w:hint="default"/>
                <w:sz w:val="18"/>
                <w:szCs w:val="18"/>
              </w:rPr>
            </w:pPr>
            <w:r>
              <w:rPr>
                <w:rFonts w:ascii="宋体" w:hAnsi="宋体" w:cs="宋体" w:eastAsia="宋体" w:hint="default"/>
                <w:sz w:val="18"/>
                <w:szCs w:val="18"/>
              </w:rPr>
              <w:t>北京市商务委员会</w:t>
            </w:r>
          </w:p>
        </w:tc>
      </w:tr>
      <w:tr>
        <w:trPr>
          <w:trHeight w:val="481"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36" w:lineRule="exact" w:before="5"/>
              <w:ind w:left="122" w:right="255"/>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年度文化服务出口奖 励资金</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51"/>
              <w:jc w:val="right"/>
              <w:rPr>
                <w:rFonts w:ascii="宋体" w:hAnsi="宋体" w:cs="宋体" w:eastAsia="宋体" w:hint="default"/>
                <w:sz w:val="18"/>
                <w:szCs w:val="18"/>
              </w:rPr>
            </w:pPr>
            <w:r>
              <w:rPr>
                <w:rFonts w:ascii="宋体"/>
                <w:spacing w:val="-1"/>
                <w:sz w:val="18"/>
              </w:rPr>
              <w:t>2,720,000.00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05"/>
              <w:jc w:val="right"/>
              <w:rPr>
                <w:rFonts w:ascii="宋体" w:hAnsi="宋体" w:cs="宋体" w:eastAsia="宋体" w:hint="default"/>
                <w:sz w:val="18"/>
                <w:szCs w:val="18"/>
              </w:rPr>
            </w:pPr>
            <w:r>
              <w:rPr>
                <w:rFonts w:ascii="宋体"/>
                <w:sz w:val="18"/>
              </w:rPr>
              <w:t>0.00</w:t>
            </w:r>
          </w:p>
        </w:tc>
        <w:tc>
          <w:tcPr>
            <w:tcW w:w="3202" w:type="dxa"/>
            <w:tcBorders>
              <w:top w:val="nil" w:sz="6" w:space="0" w:color="auto"/>
              <w:left w:val="nil" w:sz="6" w:space="0" w:color="auto"/>
              <w:bottom w:val="nil" w:sz="6" w:space="0" w:color="auto"/>
              <w:right w:val="nil" w:sz="6" w:space="0" w:color="auto"/>
            </w:tcBorders>
          </w:tcPr>
          <w:p>
            <w:pPr>
              <w:pStyle w:val="TableParagraph"/>
              <w:spacing w:line="236" w:lineRule="exact" w:before="5"/>
              <w:ind w:left="107" w:right="108"/>
              <w:jc w:val="left"/>
              <w:rPr>
                <w:rFonts w:ascii="宋体" w:hAnsi="宋体" w:cs="宋体" w:eastAsia="宋体" w:hint="default"/>
                <w:sz w:val="18"/>
                <w:szCs w:val="18"/>
              </w:rPr>
            </w:pPr>
            <w:r>
              <w:rPr>
                <w:rFonts w:ascii="宋体" w:hAnsi="宋体" w:cs="宋体" w:eastAsia="宋体" w:hint="default"/>
                <w:spacing w:val="-5"/>
                <w:sz w:val="18"/>
                <w:szCs w:val="18"/>
              </w:rPr>
              <w:t>国家文化出口重点企业和重点项目、国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家文化服务出口奖励资金</w:t>
            </w:r>
          </w:p>
        </w:tc>
      </w:tr>
      <w:tr>
        <w:trPr>
          <w:trHeight w:val="466"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2012-2016</w:t>
            </w:r>
            <w:r>
              <w:rPr>
                <w:rFonts w:ascii="宋体" w:hAnsi="宋体" w:cs="宋体" w:eastAsia="宋体" w:hint="default"/>
                <w:spacing w:val="-52"/>
                <w:sz w:val="18"/>
                <w:szCs w:val="18"/>
              </w:rPr>
              <w:t> </w:t>
            </w:r>
            <w:r>
              <w:rPr>
                <w:rFonts w:ascii="宋体" w:hAnsi="宋体" w:cs="宋体" w:eastAsia="宋体" w:hint="default"/>
                <w:sz w:val="18"/>
                <w:szCs w:val="18"/>
              </w:rPr>
              <w:t>年税源返还款和</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税源建设奖励款</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1"/>
              <w:jc w:val="right"/>
              <w:rPr>
                <w:rFonts w:ascii="宋体" w:hAnsi="宋体" w:cs="宋体" w:eastAsia="宋体" w:hint="default"/>
                <w:sz w:val="18"/>
                <w:szCs w:val="18"/>
              </w:rPr>
            </w:pPr>
            <w:r>
              <w:rPr>
                <w:rFonts w:ascii="宋体"/>
                <w:spacing w:val="-1"/>
                <w:sz w:val="18"/>
              </w:rPr>
              <w:t>2,620,094.00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0.00</w:t>
            </w:r>
          </w:p>
        </w:tc>
        <w:tc>
          <w:tcPr>
            <w:tcW w:w="3202" w:type="dxa"/>
            <w:tcBorders>
              <w:top w:val="nil" w:sz="6" w:space="0" w:color="auto"/>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pacing w:val="6"/>
                <w:sz w:val="18"/>
                <w:szCs w:val="18"/>
              </w:rPr>
              <w:t>海淀区东升乡税源返还款和税源建设</w:t>
            </w:r>
            <w:r>
              <w:rPr>
                <w:rFonts w:ascii="宋体" w:hAnsi="宋体" w:cs="宋体" w:eastAsia="宋体" w:hint="default"/>
                <w:sz w:val="18"/>
                <w:szCs w:val="18"/>
              </w:rPr>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奖励款</w:t>
            </w:r>
          </w:p>
        </w:tc>
      </w:tr>
      <w:tr>
        <w:trPr>
          <w:trHeight w:val="701"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中国出口信用保险公司辽</w:t>
            </w:r>
          </w:p>
          <w:p>
            <w:pPr>
              <w:pStyle w:val="TableParagraph"/>
              <w:spacing w:line="232" w:lineRule="exact" w:before="24"/>
              <w:ind w:left="122" w:right="255"/>
              <w:jc w:val="left"/>
              <w:rPr>
                <w:rFonts w:ascii="宋体" w:hAnsi="宋体" w:cs="宋体" w:eastAsia="宋体" w:hint="default"/>
                <w:sz w:val="18"/>
                <w:szCs w:val="18"/>
              </w:rPr>
            </w:pPr>
            <w:r>
              <w:rPr>
                <w:rFonts w:ascii="宋体" w:hAnsi="宋体" w:cs="宋体" w:eastAsia="宋体" w:hint="default"/>
                <w:sz w:val="18"/>
                <w:szCs w:val="18"/>
              </w:rPr>
              <w:t>宁分公司款：</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年扶持 发展资金</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51"/>
              <w:jc w:val="right"/>
              <w:rPr>
                <w:rFonts w:ascii="宋体" w:hAnsi="宋体" w:cs="宋体" w:eastAsia="宋体" w:hint="default"/>
                <w:sz w:val="18"/>
                <w:szCs w:val="18"/>
              </w:rPr>
            </w:pPr>
            <w:r>
              <w:rPr>
                <w:rFonts w:ascii="宋体"/>
                <w:spacing w:val="-1"/>
                <w:sz w:val="18"/>
              </w:rPr>
              <w:t>2,582,200.00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3,000,000.00</w:t>
            </w:r>
          </w:p>
        </w:tc>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中国出口信用保费返还</w:t>
            </w:r>
          </w:p>
        </w:tc>
      </w:tr>
      <w:tr>
        <w:trPr>
          <w:trHeight w:val="468"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北京新机场线科研课题奖</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励资金</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1"/>
              <w:jc w:val="right"/>
              <w:rPr>
                <w:rFonts w:ascii="宋体" w:hAnsi="宋体" w:cs="宋体" w:eastAsia="宋体" w:hint="default"/>
                <w:sz w:val="18"/>
                <w:szCs w:val="18"/>
              </w:rPr>
            </w:pPr>
            <w:r>
              <w:rPr>
                <w:rFonts w:ascii="宋体"/>
                <w:spacing w:val="-1"/>
                <w:sz w:val="18"/>
              </w:rPr>
              <w:t>1,445,400.00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0.00</w:t>
            </w:r>
          </w:p>
        </w:tc>
        <w:tc>
          <w:tcPr>
            <w:tcW w:w="3202"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关于公开征集</w:t>
            </w:r>
            <w:r>
              <w:rPr>
                <w:rFonts w:ascii="宋体" w:hAnsi="宋体" w:cs="宋体" w:eastAsia="宋体" w:hint="default"/>
                <w:spacing w:val="-41"/>
                <w:sz w:val="18"/>
                <w:szCs w:val="18"/>
              </w:rPr>
              <w:t> </w:t>
            </w:r>
            <w:r>
              <w:rPr>
                <w:rFonts w:ascii="宋体" w:hAnsi="宋体" w:cs="宋体" w:eastAsia="宋体" w:hint="default"/>
                <w:sz w:val="18"/>
                <w:szCs w:val="18"/>
              </w:rPr>
              <w:t>2017</w:t>
            </w:r>
            <w:r>
              <w:rPr>
                <w:rFonts w:ascii="宋体" w:hAnsi="宋体" w:cs="宋体" w:eastAsia="宋体" w:hint="default"/>
                <w:spacing w:val="-40"/>
                <w:sz w:val="18"/>
                <w:szCs w:val="18"/>
              </w:rPr>
              <w:t> </w:t>
            </w:r>
            <w:r>
              <w:rPr>
                <w:rFonts w:ascii="宋体" w:hAnsi="宋体" w:cs="宋体" w:eastAsia="宋体" w:hint="default"/>
                <w:sz w:val="18"/>
                <w:szCs w:val="18"/>
              </w:rPr>
              <w:t>年度怀柔区科技计</w:t>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划项目的公告</w:t>
            </w:r>
          </w:p>
        </w:tc>
      </w:tr>
      <w:tr>
        <w:trPr>
          <w:trHeight w:val="934"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05" w:lineRule="exact"/>
              <w:ind w:left="122" w:right="0"/>
              <w:jc w:val="both"/>
              <w:rPr>
                <w:rFonts w:ascii="宋体" w:hAnsi="宋体" w:cs="宋体" w:eastAsia="宋体" w:hint="default"/>
                <w:sz w:val="18"/>
                <w:szCs w:val="18"/>
              </w:rPr>
            </w:pPr>
            <w:r>
              <w:rPr>
                <w:rFonts w:ascii="宋体" w:hAnsi="宋体" w:cs="宋体" w:eastAsia="宋体" w:hint="default"/>
                <w:sz w:val="18"/>
                <w:szCs w:val="18"/>
              </w:rPr>
              <w:t>城市地下水和地表水中</w:t>
            </w:r>
          </w:p>
          <w:p>
            <w:pPr>
              <w:pStyle w:val="TableParagraph"/>
              <w:spacing w:line="237" w:lineRule="auto"/>
              <w:ind w:left="122" w:right="171"/>
              <w:jc w:val="both"/>
              <w:rPr>
                <w:rFonts w:ascii="宋体" w:hAnsi="宋体" w:cs="宋体" w:eastAsia="宋体" w:hint="default"/>
                <w:sz w:val="18"/>
                <w:szCs w:val="18"/>
              </w:rPr>
            </w:pPr>
            <w:r>
              <w:rPr>
                <w:rFonts w:ascii="宋体" w:hAnsi="宋体" w:cs="宋体" w:eastAsia="宋体" w:hint="default"/>
                <w:sz w:val="18"/>
                <w:szCs w:val="18"/>
              </w:rPr>
              <w:t>PPCPS</w:t>
            </w:r>
            <w:r>
              <w:rPr>
                <w:rFonts w:ascii="宋体" w:hAnsi="宋体" w:cs="宋体" w:eastAsia="宋体" w:hint="default"/>
                <w:spacing w:val="-51"/>
                <w:sz w:val="18"/>
                <w:szCs w:val="18"/>
              </w:rPr>
              <w:t> </w:t>
            </w:r>
            <w:r>
              <w:rPr>
                <w:rFonts w:ascii="宋体" w:hAnsi="宋体" w:cs="宋体" w:eastAsia="宋体" w:hint="default"/>
                <w:sz w:val="18"/>
                <w:szCs w:val="18"/>
              </w:rPr>
              <w:t>微污染物新型检测技 </w:t>
            </w:r>
            <w:r>
              <w:rPr>
                <w:rFonts w:ascii="宋体" w:hAnsi="宋体" w:cs="宋体" w:eastAsia="宋体" w:hint="default"/>
                <w:spacing w:val="-5"/>
                <w:sz w:val="18"/>
                <w:szCs w:val="18"/>
              </w:rPr>
              <w:t>术、降解工艺及专项设备的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研发项目</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51"/>
              <w:jc w:val="right"/>
              <w:rPr>
                <w:rFonts w:ascii="宋体" w:hAnsi="宋体" w:cs="宋体" w:eastAsia="宋体" w:hint="default"/>
                <w:sz w:val="18"/>
                <w:szCs w:val="18"/>
              </w:rPr>
            </w:pPr>
            <w:r>
              <w:rPr>
                <w:rFonts w:ascii="宋体"/>
                <w:spacing w:val="-1"/>
                <w:sz w:val="18"/>
              </w:rPr>
              <w:t>1,400,000.00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105"/>
              <w:jc w:val="right"/>
              <w:rPr>
                <w:rFonts w:ascii="宋体" w:hAnsi="宋体" w:cs="宋体" w:eastAsia="宋体" w:hint="default"/>
                <w:sz w:val="18"/>
                <w:szCs w:val="18"/>
              </w:rPr>
            </w:pPr>
            <w:r>
              <w:rPr>
                <w:rFonts w:ascii="宋体"/>
                <w:sz w:val="18"/>
              </w:rPr>
              <w:t>0.00</w:t>
            </w:r>
          </w:p>
        </w:tc>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107" w:right="108"/>
              <w:jc w:val="left"/>
              <w:rPr>
                <w:rFonts w:ascii="宋体" w:hAnsi="宋体" w:cs="宋体" w:eastAsia="宋体" w:hint="default"/>
                <w:sz w:val="18"/>
                <w:szCs w:val="18"/>
              </w:rPr>
            </w:pPr>
            <w:r>
              <w:rPr>
                <w:rFonts w:ascii="宋体" w:hAnsi="宋体" w:cs="宋体" w:eastAsia="宋体" w:hint="default"/>
                <w:sz w:val="18"/>
                <w:szCs w:val="18"/>
              </w:rPr>
              <w:t>京科发</w:t>
            </w:r>
            <w:r>
              <w:rPr>
                <w:rFonts w:ascii="宋体" w:hAnsi="宋体" w:cs="宋体" w:eastAsia="宋体" w:hint="default"/>
                <w:sz w:val="18"/>
                <w:szCs w:val="18"/>
              </w:rPr>
              <w:t>[2016]771</w:t>
            </w:r>
            <w:r>
              <w:rPr>
                <w:rFonts w:ascii="宋体" w:hAnsi="宋体" w:cs="宋体" w:eastAsia="宋体" w:hint="default"/>
                <w:spacing w:val="-45"/>
                <w:sz w:val="18"/>
                <w:szCs w:val="18"/>
              </w:rPr>
              <w:t> </w:t>
            </w:r>
            <w:r>
              <w:rPr>
                <w:rFonts w:ascii="宋体" w:hAnsi="宋体" w:cs="宋体" w:eastAsia="宋体" w:hint="default"/>
                <w:spacing w:val="-4"/>
                <w:sz w:val="18"/>
                <w:szCs w:val="18"/>
              </w:rPr>
              <w:t>号《北京市科技计划</w:t>
            </w:r>
            <w:r>
              <w:rPr>
                <w:rFonts w:ascii="宋体" w:hAnsi="宋体" w:cs="宋体" w:eastAsia="宋体" w:hint="default"/>
                <w:sz w:val="18"/>
                <w:szCs w:val="18"/>
              </w:rPr>
              <w:t> 课题完成确认书》</w:t>
            </w:r>
          </w:p>
        </w:tc>
      </w:tr>
      <w:tr>
        <w:trPr>
          <w:trHeight w:val="466"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动植食产品快速通关查验</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设备电子鼻研制项目收入</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1"/>
              <w:jc w:val="right"/>
              <w:rPr>
                <w:rFonts w:ascii="宋体" w:hAnsi="宋体" w:cs="宋体" w:eastAsia="宋体" w:hint="default"/>
                <w:sz w:val="18"/>
                <w:szCs w:val="18"/>
              </w:rPr>
            </w:pPr>
            <w:r>
              <w:rPr>
                <w:rFonts w:ascii="宋体"/>
                <w:spacing w:val="-1"/>
                <w:sz w:val="18"/>
              </w:rPr>
              <w:t>1,257,346.66</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5"/>
              <w:jc w:val="right"/>
              <w:rPr>
                <w:rFonts w:ascii="宋体" w:hAnsi="宋体" w:cs="宋体" w:eastAsia="宋体" w:hint="default"/>
                <w:sz w:val="18"/>
                <w:szCs w:val="18"/>
              </w:rPr>
            </w:pPr>
            <w:r>
              <w:rPr>
                <w:rFonts w:ascii="宋体"/>
                <w:sz w:val="18"/>
              </w:rPr>
              <w:t>0.00</w:t>
            </w:r>
          </w:p>
        </w:tc>
        <w:tc>
          <w:tcPr>
            <w:tcW w:w="3202" w:type="dxa"/>
            <w:tcBorders>
              <w:top w:val="nil" w:sz="6" w:space="0" w:color="auto"/>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京科发</w:t>
            </w:r>
            <w:r>
              <w:rPr>
                <w:rFonts w:ascii="宋体" w:hAnsi="宋体" w:cs="宋体" w:eastAsia="宋体" w:hint="default"/>
                <w:sz w:val="18"/>
                <w:szCs w:val="18"/>
              </w:rPr>
              <w:t>[2016]771</w:t>
            </w:r>
            <w:r>
              <w:rPr>
                <w:rFonts w:ascii="宋体" w:hAnsi="宋体" w:cs="宋体" w:eastAsia="宋体" w:hint="default"/>
                <w:spacing w:val="-45"/>
                <w:sz w:val="18"/>
                <w:szCs w:val="18"/>
              </w:rPr>
              <w:t> </w:t>
            </w:r>
            <w:r>
              <w:rPr>
                <w:rFonts w:ascii="宋体" w:hAnsi="宋体" w:cs="宋体" w:eastAsia="宋体" w:hint="default"/>
                <w:spacing w:val="-4"/>
                <w:sz w:val="18"/>
                <w:szCs w:val="18"/>
              </w:rPr>
              <w:t>号《北京市科技计划</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课题完成确认书》</w:t>
            </w:r>
          </w:p>
        </w:tc>
      </w:tr>
      <w:tr>
        <w:trPr>
          <w:trHeight w:val="468"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外经贸发展专项资金补助</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1"/>
              <w:jc w:val="right"/>
              <w:rPr>
                <w:rFonts w:ascii="宋体" w:hAnsi="宋体" w:cs="宋体" w:eastAsia="宋体" w:hint="default"/>
                <w:sz w:val="18"/>
                <w:szCs w:val="18"/>
              </w:rPr>
            </w:pPr>
            <w:r>
              <w:rPr>
                <w:rFonts w:ascii="宋体"/>
                <w:spacing w:val="-1"/>
                <w:sz w:val="18"/>
              </w:rPr>
              <w:t>1,109,000.00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0.00</w:t>
            </w:r>
          </w:p>
        </w:tc>
        <w:tc>
          <w:tcPr>
            <w:tcW w:w="3202"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沈外经贸发【</w:t>
            </w:r>
            <w:r>
              <w:rPr>
                <w:rFonts w:ascii="宋体" w:hAnsi="宋体" w:cs="宋体" w:eastAsia="宋体" w:hint="default"/>
                <w:sz w:val="18"/>
                <w:szCs w:val="18"/>
              </w:rPr>
              <w:t>2018</w:t>
            </w:r>
            <w:r>
              <w:rPr>
                <w:rFonts w:ascii="宋体" w:hAnsi="宋体" w:cs="宋体" w:eastAsia="宋体" w:hint="default"/>
                <w:sz w:val="18"/>
                <w:szCs w:val="18"/>
              </w:rPr>
              <w:t>】</w:t>
            </w:r>
            <w:r>
              <w:rPr>
                <w:rFonts w:ascii="宋体" w:hAnsi="宋体" w:cs="宋体" w:eastAsia="宋体" w:hint="default"/>
                <w:sz w:val="18"/>
                <w:szCs w:val="18"/>
              </w:rPr>
              <w:t>23</w:t>
            </w:r>
            <w:r>
              <w:rPr>
                <w:rFonts w:ascii="宋体" w:hAnsi="宋体" w:cs="宋体" w:eastAsia="宋体" w:hint="default"/>
                <w:spacing w:val="9"/>
                <w:sz w:val="18"/>
                <w:szCs w:val="18"/>
              </w:rPr>
              <w:t> </w:t>
            </w:r>
            <w:r>
              <w:rPr>
                <w:rFonts w:ascii="宋体" w:hAnsi="宋体" w:cs="宋体" w:eastAsia="宋体" w:hint="default"/>
                <w:sz w:val="18"/>
                <w:szCs w:val="18"/>
              </w:rPr>
              <w:t>号关于组织本</w:t>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市本级项目资金申报工作的通知</w:t>
            </w:r>
          </w:p>
        </w:tc>
      </w:tr>
      <w:tr>
        <w:trPr>
          <w:trHeight w:val="466"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中关村现代服务业扶</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持资金</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1"/>
              <w:jc w:val="right"/>
              <w:rPr>
                <w:rFonts w:ascii="宋体" w:hAnsi="宋体" w:cs="宋体" w:eastAsia="宋体" w:hint="default"/>
                <w:sz w:val="18"/>
                <w:szCs w:val="18"/>
              </w:rPr>
            </w:pPr>
            <w:r>
              <w:rPr>
                <w:rFonts w:ascii="宋体"/>
                <w:spacing w:val="-1"/>
                <w:sz w:val="18"/>
              </w:rPr>
              <w:t>1,070,000.00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0.00</w:t>
            </w:r>
          </w:p>
        </w:tc>
        <w:tc>
          <w:tcPr>
            <w:tcW w:w="3202" w:type="dxa"/>
            <w:tcBorders>
              <w:top w:val="nil" w:sz="6" w:space="0" w:color="auto"/>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pacing w:val="-3"/>
                <w:sz w:val="18"/>
                <w:szCs w:val="18"/>
              </w:rPr>
              <w:t>京财经一〔</w:t>
            </w:r>
            <w:r>
              <w:rPr>
                <w:rFonts w:ascii="宋体" w:hAnsi="宋体" w:cs="宋体" w:eastAsia="宋体" w:hint="default"/>
                <w:spacing w:val="-3"/>
                <w:sz w:val="18"/>
                <w:szCs w:val="18"/>
              </w:rPr>
              <w:t>2018</w:t>
            </w:r>
            <w:r>
              <w:rPr>
                <w:rFonts w:ascii="宋体" w:hAnsi="宋体" w:cs="宋体" w:eastAsia="宋体" w:hint="default"/>
                <w:spacing w:val="-3"/>
                <w:sz w:val="18"/>
                <w:szCs w:val="18"/>
              </w:rPr>
              <w:t>〕</w:t>
            </w:r>
            <w:r>
              <w:rPr>
                <w:rFonts w:ascii="宋体" w:hAnsi="宋体" w:cs="宋体" w:eastAsia="宋体" w:hint="default"/>
                <w:spacing w:val="-3"/>
                <w:sz w:val="18"/>
                <w:szCs w:val="18"/>
              </w:rPr>
              <w:t>1121</w:t>
            </w:r>
            <w:r>
              <w:rPr>
                <w:rFonts w:ascii="宋体" w:hAnsi="宋体" w:cs="宋体" w:eastAsia="宋体" w:hint="default"/>
                <w:spacing w:val="-41"/>
                <w:sz w:val="18"/>
                <w:szCs w:val="18"/>
              </w:rPr>
              <w:t> </w:t>
            </w:r>
            <w:r>
              <w:rPr>
                <w:rFonts w:ascii="宋体" w:hAnsi="宋体" w:cs="宋体" w:eastAsia="宋体" w:hint="default"/>
                <w:sz w:val="18"/>
                <w:szCs w:val="18"/>
              </w:rPr>
              <w:t>号关于</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1"/>
                <w:sz w:val="18"/>
                <w:szCs w:val="18"/>
              </w:rPr>
              <w:t> </w:t>
            </w:r>
            <w:r>
              <w:rPr>
                <w:rFonts w:ascii="宋体" w:hAnsi="宋体" w:cs="宋体" w:eastAsia="宋体" w:hint="default"/>
                <w:sz w:val="18"/>
                <w:szCs w:val="18"/>
              </w:rPr>
              <w:t>中</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关村现代服务业扶持资金的批复</w:t>
            </w:r>
          </w:p>
        </w:tc>
      </w:tr>
      <w:tr>
        <w:trPr>
          <w:trHeight w:val="468"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激光拉曼光谱检测系统成</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果转化项目补贴</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1"/>
              <w:jc w:val="right"/>
              <w:rPr>
                <w:rFonts w:ascii="宋体" w:hAnsi="宋体" w:cs="宋体" w:eastAsia="宋体" w:hint="default"/>
                <w:sz w:val="18"/>
                <w:szCs w:val="18"/>
              </w:rPr>
            </w:pPr>
            <w:r>
              <w:rPr>
                <w:rFonts w:ascii="宋体"/>
                <w:spacing w:val="-1"/>
                <w:sz w:val="18"/>
              </w:rPr>
              <w:t>1,000,000.00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0.00</w:t>
            </w:r>
          </w:p>
        </w:tc>
        <w:tc>
          <w:tcPr>
            <w:tcW w:w="3202"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《关于申报</w:t>
            </w:r>
            <w:r>
              <w:rPr>
                <w:rFonts w:ascii="宋体" w:hAnsi="宋体" w:cs="宋体" w:eastAsia="宋体" w:hint="default"/>
                <w:spacing w:val="-41"/>
                <w:sz w:val="18"/>
                <w:szCs w:val="18"/>
              </w:rPr>
              <w:t> </w:t>
            </w:r>
            <w:r>
              <w:rPr>
                <w:rFonts w:ascii="宋体" w:hAnsi="宋体" w:cs="宋体" w:eastAsia="宋体" w:hint="default"/>
                <w:sz w:val="18"/>
                <w:szCs w:val="18"/>
              </w:rPr>
              <w:t>2018</w:t>
            </w:r>
            <w:r>
              <w:rPr>
                <w:rFonts w:ascii="宋体" w:hAnsi="宋体" w:cs="宋体" w:eastAsia="宋体" w:hint="default"/>
                <w:spacing w:val="-40"/>
                <w:sz w:val="18"/>
                <w:szCs w:val="18"/>
              </w:rPr>
              <w:t> </w:t>
            </w:r>
            <w:r>
              <w:rPr>
                <w:rFonts w:ascii="宋体" w:hAnsi="宋体" w:cs="宋体" w:eastAsia="宋体" w:hint="default"/>
                <w:sz w:val="18"/>
                <w:szCs w:val="18"/>
              </w:rPr>
              <w:t>年度北京市高新技术</w:t>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成果转化项目工作的通知》</w:t>
            </w:r>
          </w:p>
        </w:tc>
      </w:tr>
      <w:tr>
        <w:trPr>
          <w:trHeight w:val="700"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32" w:lineRule="exact" w:before="113"/>
              <w:ind w:left="122" w:right="303"/>
              <w:jc w:val="left"/>
              <w:rPr>
                <w:rFonts w:ascii="宋体" w:hAnsi="宋体" w:cs="宋体" w:eastAsia="宋体" w:hint="default"/>
                <w:sz w:val="18"/>
                <w:szCs w:val="18"/>
              </w:rPr>
            </w:pPr>
            <w:r>
              <w:rPr>
                <w:rFonts w:ascii="宋体" w:hAnsi="宋体" w:cs="宋体" w:eastAsia="宋体" w:hint="default"/>
                <w:sz w:val="18"/>
                <w:szCs w:val="18"/>
              </w:rPr>
              <w:t>基建投资军民融合产业发 展专项资金</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51"/>
              <w:jc w:val="right"/>
              <w:rPr>
                <w:rFonts w:ascii="宋体" w:hAnsi="宋体" w:cs="宋体" w:eastAsia="宋体" w:hint="default"/>
                <w:sz w:val="18"/>
                <w:szCs w:val="18"/>
              </w:rPr>
            </w:pPr>
            <w:r>
              <w:rPr>
                <w:rFonts w:ascii="宋体"/>
                <w:spacing w:val="-1"/>
                <w:sz w:val="18"/>
              </w:rPr>
              <w:t>1,000,000.00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5"/>
              <w:jc w:val="right"/>
              <w:rPr>
                <w:rFonts w:ascii="宋体" w:hAnsi="宋体" w:cs="宋体" w:eastAsia="宋体" w:hint="default"/>
                <w:sz w:val="18"/>
                <w:szCs w:val="18"/>
              </w:rPr>
            </w:pPr>
            <w:r>
              <w:rPr>
                <w:rFonts w:ascii="宋体"/>
                <w:sz w:val="18"/>
              </w:rPr>
              <w:t>0.00</w:t>
            </w:r>
          </w:p>
        </w:tc>
        <w:tc>
          <w:tcPr>
            <w:tcW w:w="3202" w:type="dxa"/>
            <w:tcBorders>
              <w:top w:val="nil" w:sz="6" w:space="0" w:color="auto"/>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pacing w:val="-7"/>
                <w:sz w:val="18"/>
                <w:szCs w:val="18"/>
              </w:rPr>
              <w:t>湖发改字（</w:t>
            </w:r>
            <w:r>
              <w:rPr>
                <w:rFonts w:ascii="宋体" w:hAnsi="宋体" w:cs="宋体" w:eastAsia="宋体" w:hint="default"/>
                <w:spacing w:val="-7"/>
                <w:sz w:val="18"/>
                <w:szCs w:val="18"/>
              </w:rPr>
              <w:t>2018</w:t>
            </w:r>
            <w:r>
              <w:rPr>
                <w:rFonts w:ascii="宋体" w:hAnsi="宋体" w:cs="宋体" w:eastAsia="宋体" w:hint="default"/>
                <w:spacing w:val="-7"/>
                <w:sz w:val="18"/>
                <w:szCs w:val="18"/>
              </w:rPr>
              <w:t>）</w:t>
            </w:r>
            <w:r>
              <w:rPr>
                <w:rFonts w:ascii="宋体" w:hAnsi="宋体" w:cs="宋体" w:eastAsia="宋体" w:hint="default"/>
                <w:spacing w:val="-7"/>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号</w:t>
            </w:r>
            <w:r>
              <w:rPr>
                <w:rFonts w:ascii="宋体" w:hAnsi="宋体" w:cs="宋体" w:eastAsia="宋体" w:hint="default"/>
                <w:spacing w:val="2"/>
                <w:sz w:val="18"/>
                <w:szCs w:val="18"/>
              </w:rPr>
              <w:t> </w:t>
            </w:r>
            <w:r>
              <w:rPr>
                <w:rFonts w:ascii="宋体" w:hAnsi="宋体" w:cs="宋体" w:eastAsia="宋体" w:hint="default"/>
                <w:sz w:val="18"/>
                <w:szCs w:val="18"/>
              </w:rPr>
              <w:t>关于下达</w:t>
            </w:r>
            <w:r>
              <w:rPr>
                <w:rFonts w:ascii="宋体" w:hAnsi="宋体" w:cs="宋体" w:eastAsia="宋体" w:hint="default"/>
                <w:spacing w:val="-45"/>
                <w:sz w:val="18"/>
                <w:szCs w:val="18"/>
              </w:rPr>
              <w:t> </w:t>
            </w:r>
            <w:r>
              <w:rPr>
                <w:rFonts w:ascii="宋体" w:hAnsi="宋体" w:cs="宋体" w:eastAsia="宋体" w:hint="default"/>
                <w:sz w:val="18"/>
                <w:szCs w:val="18"/>
              </w:rPr>
              <w:t>2018</w:t>
            </w:r>
          </w:p>
          <w:p>
            <w:pPr>
              <w:pStyle w:val="TableParagraph"/>
              <w:spacing w:line="232" w:lineRule="exact" w:before="23"/>
              <w:ind w:left="107" w:right="99"/>
              <w:jc w:val="left"/>
              <w:rPr>
                <w:rFonts w:ascii="宋体" w:hAnsi="宋体" w:cs="宋体" w:eastAsia="宋体" w:hint="default"/>
                <w:sz w:val="18"/>
                <w:szCs w:val="18"/>
              </w:rPr>
            </w:pPr>
            <w:r>
              <w:rPr>
                <w:rFonts w:ascii="宋体" w:hAnsi="宋体" w:cs="宋体" w:eastAsia="宋体" w:hint="default"/>
                <w:spacing w:val="6"/>
                <w:sz w:val="18"/>
                <w:szCs w:val="18"/>
              </w:rPr>
              <w:t>年省内预算内基建军民融合产业发展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专项投资计划的通知</w:t>
            </w:r>
          </w:p>
        </w:tc>
      </w:tr>
      <w:tr>
        <w:trPr>
          <w:trHeight w:val="467"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世界科学文献定性评价统</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计数据库补贴</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1"/>
              <w:jc w:val="right"/>
              <w:rPr>
                <w:rFonts w:ascii="宋体" w:hAnsi="宋体" w:cs="宋体" w:eastAsia="宋体" w:hint="default"/>
                <w:sz w:val="18"/>
                <w:szCs w:val="18"/>
              </w:rPr>
            </w:pPr>
            <w:r>
              <w:rPr>
                <w:rFonts w:ascii="宋体"/>
                <w:sz w:val="18"/>
              </w:rPr>
              <w:t>0.00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宋体" w:hAnsi="宋体" w:cs="宋体" w:eastAsia="宋体" w:hint="default"/>
                <w:sz w:val="18"/>
                <w:szCs w:val="18"/>
              </w:rPr>
            </w:pPr>
            <w:r>
              <w:rPr>
                <w:rFonts w:ascii="宋体"/>
                <w:spacing w:val="-1"/>
                <w:sz w:val="18"/>
              </w:rPr>
              <w:t>10,000,000.00</w:t>
            </w:r>
          </w:p>
        </w:tc>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7" w:right="0"/>
              <w:jc w:val="left"/>
              <w:rPr>
                <w:rFonts w:ascii="宋体" w:hAnsi="宋体" w:cs="宋体" w:eastAsia="宋体" w:hint="default"/>
                <w:sz w:val="18"/>
                <w:szCs w:val="18"/>
              </w:rPr>
            </w:pPr>
            <w:r>
              <w:rPr>
                <w:rFonts w:ascii="宋体" w:hAnsi="宋体" w:cs="宋体" w:eastAsia="宋体" w:hint="default"/>
                <w:sz w:val="18"/>
                <w:szCs w:val="18"/>
              </w:rPr>
              <w:t>教财司预函</w:t>
            </w:r>
            <w:r>
              <w:rPr>
                <w:rFonts w:ascii="宋体" w:hAnsi="宋体" w:cs="宋体" w:eastAsia="宋体" w:hint="default"/>
                <w:sz w:val="18"/>
                <w:szCs w:val="18"/>
              </w:rPr>
              <w:t>[2013]228</w:t>
            </w:r>
            <w:r>
              <w:rPr>
                <w:rFonts w:ascii="宋体" w:hAnsi="宋体" w:cs="宋体" w:eastAsia="宋体" w:hint="default"/>
                <w:spacing w:val="-46"/>
                <w:sz w:val="18"/>
                <w:szCs w:val="18"/>
              </w:rPr>
              <w:t> </w:t>
            </w:r>
            <w:r>
              <w:rPr>
                <w:rFonts w:ascii="宋体" w:hAnsi="宋体" w:cs="宋体" w:eastAsia="宋体" w:hint="default"/>
                <w:sz w:val="18"/>
                <w:szCs w:val="18"/>
              </w:rPr>
              <w:t>号</w:t>
            </w:r>
          </w:p>
        </w:tc>
      </w:tr>
      <w:tr>
        <w:trPr>
          <w:trHeight w:val="481" w:hRule="exact"/>
        </w:trPr>
        <w:tc>
          <w:tcPr>
            <w:tcW w:w="2407"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公共建筑节能改造示范项</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目专项补助款</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1"/>
              <w:jc w:val="right"/>
              <w:rPr>
                <w:rFonts w:ascii="宋体" w:hAnsi="宋体" w:cs="宋体" w:eastAsia="宋体" w:hint="default"/>
                <w:sz w:val="18"/>
                <w:szCs w:val="18"/>
              </w:rPr>
            </w:pPr>
            <w:r>
              <w:rPr>
                <w:rFonts w:ascii="宋体"/>
                <w:sz w:val="18"/>
              </w:rPr>
              <w:t>0.00</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pacing w:val="-1"/>
                <w:sz w:val="18"/>
              </w:rPr>
              <w:t>6,171,800.00</w:t>
            </w:r>
          </w:p>
        </w:tc>
        <w:tc>
          <w:tcPr>
            <w:tcW w:w="3202"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pacing w:val="6"/>
                <w:sz w:val="18"/>
                <w:szCs w:val="18"/>
              </w:rPr>
              <w:t>《重庆市公共建筑节能改造重点城市</w:t>
            </w:r>
            <w:r>
              <w:rPr>
                <w:rFonts w:ascii="宋体" w:hAnsi="宋体" w:cs="宋体" w:eastAsia="宋体" w:hint="default"/>
                <w:sz w:val="18"/>
                <w:szCs w:val="18"/>
              </w:rPr>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示范项目管理暂行办法》</w:t>
            </w:r>
          </w:p>
        </w:tc>
      </w:tr>
      <w:tr>
        <w:trPr>
          <w:trHeight w:val="278" w:hRule="exact"/>
        </w:trPr>
        <w:tc>
          <w:tcPr>
            <w:tcW w:w="2407" w:type="dxa"/>
            <w:tcBorders>
              <w:top w:val="nil" w:sz="6" w:space="0" w:color="auto"/>
              <w:left w:val="nil" w:sz="6" w:space="0" w:color="auto"/>
              <w:bottom w:val="single" w:sz="4" w:space="0" w:color="000000"/>
              <w:right w:val="nil" w:sz="6" w:space="0" w:color="auto"/>
            </w:tcBorders>
          </w:tcPr>
          <w:p>
            <w:pPr>
              <w:pStyle w:val="TableParagraph"/>
              <w:spacing w:line="220"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nil" w:sz="6" w:space="0" w:color="auto"/>
              <w:left w:val="nil" w:sz="6" w:space="0" w:color="auto"/>
              <w:bottom w:val="single" w:sz="4" w:space="0" w:color="000000"/>
              <w:right w:val="nil" w:sz="6" w:space="0" w:color="auto"/>
            </w:tcBorders>
          </w:tcPr>
          <w:p>
            <w:pPr>
              <w:pStyle w:val="TableParagraph"/>
              <w:spacing w:line="220" w:lineRule="exact"/>
              <w:ind w:right="153"/>
              <w:jc w:val="right"/>
              <w:rPr>
                <w:rFonts w:ascii="宋体" w:hAnsi="宋体" w:cs="宋体" w:eastAsia="宋体" w:hint="default"/>
                <w:sz w:val="18"/>
                <w:szCs w:val="18"/>
              </w:rPr>
            </w:pPr>
            <w:r>
              <w:rPr>
                <w:rFonts w:ascii="宋体"/>
                <w:spacing w:val="-1"/>
                <w:sz w:val="18"/>
              </w:rPr>
              <w:t>52,193,672.63</w:t>
            </w:r>
          </w:p>
        </w:tc>
        <w:tc>
          <w:tcPr>
            <w:tcW w:w="1534" w:type="dxa"/>
            <w:tcBorders>
              <w:top w:val="nil" w:sz="6" w:space="0" w:color="auto"/>
              <w:left w:val="nil" w:sz="6" w:space="0" w:color="auto"/>
              <w:bottom w:val="single" w:sz="4" w:space="0" w:color="000000"/>
              <w:right w:val="nil" w:sz="6" w:space="0" w:color="auto"/>
            </w:tcBorders>
          </w:tcPr>
          <w:p>
            <w:pPr>
              <w:pStyle w:val="TableParagraph"/>
              <w:spacing w:line="220" w:lineRule="exact"/>
              <w:ind w:right="106"/>
              <w:jc w:val="right"/>
              <w:rPr>
                <w:rFonts w:ascii="宋体" w:hAnsi="宋体" w:cs="宋体" w:eastAsia="宋体" w:hint="default"/>
                <w:sz w:val="18"/>
                <w:szCs w:val="18"/>
              </w:rPr>
            </w:pPr>
            <w:r>
              <w:rPr>
                <w:rFonts w:ascii="宋体"/>
                <w:spacing w:val="-1"/>
                <w:sz w:val="18"/>
              </w:rPr>
              <w:t>41,518,811.04</w:t>
            </w:r>
          </w:p>
        </w:tc>
        <w:tc>
          <w:tcPr>
            <w:tcW w:w="3202" w:type="dxa"/>
            <w:tcBorders>
              <w:top w:val="nil" w:sz="6" w:space="0" w:color="auto"/>
              <w:left w:val="nil" w:sz="6" w:space="0" w:color="auto"/>
              <w:bottom w:val="single" w:sz="4" w:space="0" w:color="000000"/>
              <w:right w:val="nil" w:sz="6" w:space="0" w:color="auto"/>
            </w:tcBorders>
          </w:tcPr>
          <w:p>
            <w:pPr>
              <w:pStyle w:val="TableParagraph"/>
              <w:spacing w:line="220" w:lineRule="exact"/>
              <w:ind w:left="107" w:right="0"/>
              <w:jc w:val="left"/>
              <w:rPr>
                <w:rFonts w:ascii="宋体" w:hAnsi="宋体" w:cs="宋体" w:eastAsia="宋体" w:hint="default"/>
                <w:sz w:val="18"/>
                <w:szCs w:val="18"/>
              </w:rPr>
            </w:pPr>
            <w:r>
              <w:rPr>
                <w:rFonts w:ascii="宋体"/>
                <w:sz w:val="18"/>
              </w:rPr>
              <w:t>--</w:t>
            </w:r>
          </w:p>
        </w:tc>
      </w:tr>
      <w:tr>
        <w:trPr>
          <w:trHeight w:val="305" w:hRule="exact"/>
        </w:trPr>
        <w:tc>
          <w:tcPr>
            <w:tcW w:w="2407" w:type="dxa"/>
            <w:tcBorders>
              <w:top w:val="single" w:sz="4" w:space="0" w:color="000000"/>
              <w:left w:val="nil" w:sz="6" w:space="0" w:color="auto"/>
              <w:bottom w:val="single" w:sz="12" w:space="0" w:color="000000"/>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97" w:type="dxa"/>
            <w:tcBorders>
              <w:top w:val="single" w:sz="4" w:space="0" w:color="000000"/>
              <w:left w:val="nil" w:sz="6" w:space="0" w:color="auto"/>
              <w:bottom w:val="single" w:sz="12" w:space="0" w:color="000000"/>
              <w:right w:val="nil" w:sz="6" w:space="0" w:color="auto"/>
            </w:tcBorders>
          </w:tcPr>
          <w:p>
            <w:pPr>
              <w:pStyle w:val="TableParagraph"/>
              <w:spacing w:line="229" w:lineRule="exact"/>
              <w:ind w:right="152"/>
              <w:jc w:val="right"/>
              <w:rPr>
                <w:rFonts w:ascii="宋体" w:hAnsi="宋体" w:cs="宋体" w:eastAsia="宋体" w:hint="default"/>
                <w:sz w:val="18"/>
                <w:szCs w:val="18"/>
              </w:rPr>
            </w:pPr>
            <w:r>
              <w:rPr>
                <w:rFonts w:ascii="宋体"/>
                <w:b/>
                <w:w w:val="95"/>
                <w:sz w:val="18"/>
              </w:rPr>
              <w:t>314,387,831.26</w:t>
            </w:r>
            <w:r>
              <w:rPr>
                <w:rFonts w:ascii="宋体"/>
                <w:sz w:val="18"/>
              </w:rPr>
            </w:r>
          </w:p>
        </w:tc>
        <w:tc>
          <w:tcPr>
            <w:tcW w:w="1534" w:type="dxa"/>
            <w:tcBorders>
              <w:top w:val="single" w:sz="4" w:space="0" w:color="000000"/>
              <w:left w:val="nil" w:sz="6" w:space="0" w:color="auto"/>
              <w:bottom w:val="single" w:sz="12" w:space="0" w:color="000000"/>
              <w:right w:val="nil" w:sz="6" w:space="0" w:color="auto"/>
            </w:tcBorders>
          </w:tcPr>
          <w:p>
            <w:pPr>
              <w:pStyle w:val="TableParagraph"/>
              <w:spacing w:line="229" w:lineRule="exact"/>
              <w:ind w:right="109"/>
              <w:jc w:val="right"/>
              <w:rPr>
                <w:rFonts w:ascii="宋体" w:hAnsi="宋体" w:cs="宋体" w:eastAsia="宋体" w:hint="default"/>
                <w:sz w:val="18"/>
                <w:szCs w:val="18"/>
              </w:rPr>
            </w:pPr>
            <w:r>
              <w:rPr>
                <w:rFonts w:ascii="宋体"/>
                <w:b/>
                <w:w w:val="95"/>
                <w:sz w:val="18"/>
              </w:rPr>
              <w:t>274,059,954.62</w:t>
            </w:r>
            <w:r>
              <w:rPr>
                <w:rFonts w:ascii="宋体"/>
                <w:sz w:val="18"/>
              </w:rPr>
            </w:r>
          </w:p>
        </w:tc>
        <w:tc>
          <w:tcPr>
            <w:tcW w:w="3202" w:type="dxa"/>
            <w:tcBorders>
              <w:top w:val="single" w:sz="4" w:space="0" w:color="000000"/>
              <w:left w:val="nil" w:sz="6" w:space="0" w:color="auto"/>
              <w:bottom w:val="single" w:sz="12" w:space="0" w:color="000000"/>
              <w:right w:val="nil" w:sz="6" w:space="0" w:color="auto"/>
            </w:tcBorders>
          </w:tcPr>
          <w:p>
            <w:pPr/>
          </w:p>
        </w:tc>
      </w:tr>
    </w:tbl>
    <w:p>
      <w:pPr>
        <w:spacing w:after="0"/>
        <w:sectPr>
          <w:pgSz w:w="11910" w:h="16840"/>
          <w:pgMar w:header="0" w:footer="1034" w:top="1320" w:bottom="1220" w:left="1460" w:right="1480"/>
        </w:sectPr>
      </w:pPr>
    </w:p>
    <w:p>
      <w:pPr>
        <w:spacing w:before="6"/>
        <w:ind w:left="6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48.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投资收益</w:t>
      </w:r>
    </w:p>
    <w:p>
      <w:pPr>
        <w:spacing w:line="240" w:lineRule="auto" w:before="6"/>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5832"/>
        <w:gridCol w:w="1383"/>
        <w:gridCol w:w="1566"/>
      </w:tblGrid>
      <w:tr>
        <w:trPr>
          <w:trHeight w:val="307" w:hRule="exact"/>
        </w:trPr>
        <w:tc>
          <w:tcPr>
            <w:tcW w:w="583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5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83" w:type="dxa"/>
            <w:tcBorders>
              <w:top w:val="single" w:sz="12" w:space="0" w:color="000000"/>
              <w:left w:val="nil" w:sz="6" w:space="0" w:color="auto"/>
              <w:bottom w:val="single" w:sz="4" w:space="0" w:color="000000"/>
              <w:right w:val="nil" w:sz="6" w:space="0" w:color="auto"/>
            </w:tcBorders>
          </w:tcPr>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566"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30"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88" w:hRule="exact"/>
        </w:trPr>
        <w:tc>
          <w:tcPr>
            <w:tcW w:w="5832" w:type="dxa"/>
            <w:tcBorders>
              <w:top w:val="single" w:sz="4" w:space="0" w:color="000000"/>
              <w:left w:val="nil" w:sz="6" w:space="0" w:color="auto"/>
              <w:bottom w:val="nil" w:sz="6" w:space="0" w:color="auto"/>
              <w:right w:val="nil" w:sz="6" w:space="0" w:color="auto"/>
            </w:tcBorders>
          </w:tcPr>
          <w:p>
            <w:pPr>
              <w:pStyle w:val="TableParagraph"/>
              <w:spacing w:line="232" w:lineRule="exact"/>
              <w:ind w:left="5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383" w:type="dxa"/>
            <w:tcBorders>
              <w:top w:val="single" w:sz="4" w:space="0" w:color="000000"/>
              <w:left w:val="nil" w:sz="6" w:space="0" w:color="auto"/>
              <w:bottom w:val="nil" w:sz="6" w:space="0" w:color="auto"/>
              <w:right w:val="nil" w:sz="6" w:space="0" w:color="auto"/>
            </w:tcBorders>
          </w:tcPr>
          <w:p>
            <w:pPr>
              <w:pStyle w:val="TableParagraph"/>
              <w:spacing w:line="232" w:lineRule="exact"/>
              <w:ind w:left="9" w:right="0"/>
              <w:jc w:val="center"/>
              <w:rPr>
                <w:rFonts w:ascii="宋体" w:hAnsi="宋体" w:cs="宋体" w:eastAsia="宋体" w:hint="default"/>
                <w:sz w:val="18"/>
                <w:szCs w:val="18"/>
              </w:rPr>
            </w:pPr>
            <w:r>
              <w:rPr>
                <w:rFonts w:ascii="宋体"/>
                <w:sz w:val="18"/>
              </w:rPr>
              <w:t>419,574,087.26</w:t>
            </w:r>
          </w:p>
        </w:tc>
        <w:tc>
          <w:tcPr>
            <w:tcW w:w="1566" w:type="dxa"/>
            <w:tcBorders>
              <w:top w:val="single" w:sz="4" w:space="0" w:color="000000"/>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838,500,724.94</w:t>
            </w:r>
          </w:p>
        </w:tc>
      </w:tr>
      <w:tr>
        <w:trPr>
          <w:trHeight w:val="284" w:hRule="exact"/>
        </w:trPr>
        <w:tc>
          <w:tcPr>
            <w:tcW w:w="5832" w:type="dxa"/>
            <w:tcBorders>
              <w:top w:val="nil" w:sz="6" w:space="0" w:color="auto"/>
              <w:left w:val="nil" w:sz="6" w:space="0" w:color="auto"/>
              <w:bottom w:val="nil" w:sz="6" w:space="0" w:color="auto"/>
              <w:right w:val="nil" w:sz="6" w:space="0" w:color="auto"/>
            </w:tcBorders>
          </w:tcPr>
          <w:p>
            <w:pPr>
              <w:pStyle w:val="TableParagraph"/>
              <w:spacing w:line="232" w:lineRule="exact"/>
              <w:ind w:left="5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383" w:type="dxa"/>
            <w:tcBorders>
              <w:top w:val="nil" w:sz="6" w:space="0" w:color="auto"/>
              <w:left w:val="nil" w:sz="6" w:space="0" w:color="auto"/>
              <w:bottom w:val="nil" w:sz="6" w:space="0" w:color="auto"/>
              <w:right w:val="nil" w:sz="6" w:space="0" w:color="auto"/>
            </w:tcBorders>
          </w:tcPr>
          <w:p>
            <w:pPr>
              <w:pStyle w:val="TableParagraph"/>
              <w:spacing w:line="232" w:lineRule="exact"/>
              <w:ind w:left="98" w:right="0"/>
              <w:jc w:val="center"/>
              <w:rPr>
                <w:rFonts w:ascii="宋体" w:hAnsi="宋体" w:cs="宋体" w:eastAsia="宋体" w:hint="default"/>
                <w:sz w:val="18"/>
                <w:szCs w:val="18"/>
              </w:rPr>
            </w:pPr>
            <w:r>
              <w:rPr>
                <w:rFonts w:ascii="宋体"/>
                <w:sz w:val="18"/>
              </w:rPr>
              <w:t>-2,211,596.37</w:t>
            </w:r>
          </w:p>
        </w:tc>
        <w:tc>
          <w:tcPr>
            <w:tcW w:w="1566"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27,389,666.33</w:t>
            </w:r>
          </w:p>
        </w:tc>
      </w:tr>
      <w:tr>
        <w:trPr>
          <w:trHeight w:val="272" w:hRule="exact"/>
        </w:trPr>
        <w:tc>
          <w:tcPr>
            <w:tcW w:w="5832" w:type="dxa"/>
            <w:tcBorders>
              <w:top w:val="nil" w:sz="6" w:space="0" w:color="auto"/>
              <w:left w:val="nil" w:sz="6" w:space="0" w:color="auto"/>
              <w:bottom w:val="nil" w:sz="6" w:space="0" w:color="auto"/>
              <w:right w:val="nil" w:sz="6" w:space="0" w:color="auto"/>
            </w:tcBorders>
          </w:tcPr>
          <w:p>
            <w:pPr>
              <w:pStyle w:val="TableParagraph"/>
              <w:spacing w:line="233" w:lineRule="exact"/>
              <w:ind w:left="55"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处置以公允价值计量且其变动计入当期损益的金融资产取得的投资收益</w:t>
            </w:r>
          </w:p>
        </w:tc>
        <w:tc>
          <w:tcPr>
            <w:tcW w:w="1383" w:type="dxa"/>
            <w:tcBorders>
              <w:top w:val="nil" w:sz="6" w:space="0" w:color="auto"/>
              <w:left w:val="nil" w:sz="6" w:space="0" w:color="auto"/>
              <w:bottom w:val="nil" w:sz="6" w:space="0" w:color="auto"/>
              <w:right w:val="nil" w:sz="6" w:space="0" w:color="auto"/>
            </w:tcBorders>
          </w:tcPr>
          <w:p>
            <w:pPr>
              <w:pStyle w:val="TableParagraph"/>
              <w:spacing w:line="233" w:lineRule="exact"/>
              <w:ind w:left="98" w:right="0"/>
              <w:jc w:val="center"/>
              <w:rPr>
                <w:rFonts w:ascii="宋体" w:hAnsi="宋体" w:cs="宋体" w:eastAsia="宋体" w:hint="default"/>
                <w:sz w:val="18"/>
                <w:szCs w:val="18"/>
              </w:rPr>
            </w:pPr>
            <w:r>
              <w:rPr>
                <w:rFonts w:ascii="宋体"/>
                <w:sz w:val="18"/>
              </w:rPr>
              <w:t>10,916,226.37</w:t>
            </w:r>
          </w:p>
        </w:tc>
        <w:tc>
          <w:tcPr>
            <w:tcW w:w="1566"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133,493,065.94</w:t>
            </w:r>
          </w:p>
        </w:tc>
      </w:tr>
      <w:tr>
        <w:trPr>
          <w:trHeight w:val="492" w:hRule="exact"/>
        </w:trPr>
        <w:tc>
          <w:tcPr>
            <w:tcW w:w="5832" w:type="dxa"/>
            <w:tcBorders>
              <w:top w:val="nil" w:sz="6" w:space="0" w:color="auto"/>
              <w:left w:val="nil" w:sz="6" w:space="0" w:color="auto"/>
              <w:bottom w:val="nil" w:sz="6" w:space="0" w:color="auto"/>
              <w:right w:val="nil" w:sz="6" w:space="0" w:color="auto"/>
            </w:tcBorders>
          </w:tcPr>
          <w:p>
            <w:pPr>
              <w:pStyle w:val="TableParagraph"/>
              <w:spacing w:line="232" w:lineRule="exact" w:before="8"/>
              <w:ind w:left="55" w:right="54"/>
              <w:jc w:val="left"/>
              <w:rPr>
                <w:rFonts w:ascii="宋体" w:hAnsi="宋体" w:cs="宋体" w:eastAsia="宋体" w:hint="default"/>
                <w:sz w:val="18"/>
                <w:szCs w:val="18"/>
              </w:rPr>
            </w:pPr>
            <w:r>
              <w:rPr>
                <w:rFonts w:ascii="宋体" w:hAnsi="宋体" w:cs="宋体" w:eastAsia="宋体" w:hint="default"/>
                <w:spacing w:val="-2"/>
                <w:sz w:val="18"/>
                <w:szCs w:val="18"/>
              </w:rPr>
              <w:t>持有以公允价值计量且其变动计入当期损益的金融资产期间取得的投资收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益</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98" w:right="0"/>
              <w:jc w:val="center"/>
              <w:rPr>
                <w:rFonts w:ascii="宋体" w:hAnsi="宋体" w:cs="宋体" w:eastAsia="宋体" w:hint="default"/>
                <w:sz w:val="18"/>
                <w:szCs w:val="18"/>
              </w:rPr>
            </w:pPr>
            <w:r>
              <w:rPr>
                <w:rFonts w:ascii="宋体"/>
                <w:sz w:val="18"/>
              </w:rPr>
              <w:t>32,631,128.46</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5"/>
              <w:jc w:val="right"/>
              <w:rPr>
                <w:rFonts w:ascii="宋体" w:hAnsi="宋体" w:cs="宋体" w:eastAsia="宋体" w:hint="default"/>
                <w:sz w:val="18"/>
                <w:szCs w:val="18"/>
              </w:rPr>
            </w:pPr>
            <w:r>
              <w:rPr>
                <w:rFonts w:ascii="宋体"/>
                <w:spacing w:val="-1"/>
                <w:sz w:val="18"/>
              </w:rPr>
              <w:t>15,421,789.78</w:t>
            </w:r>
          </w:p>
        </w:tc>
      </w:tr>
      <w:tr>
        <w:trPr>
          <w:trHeight w:val="272" w:hRule="exact"/>
        </w:trPr>
        <w:tc>
          <w:tcPr>
            <w:tcW w:w="5832" w:type="dxa"/>
            <w:tcBorders>
              <w:top w:val="nil" w:sz="6" w:space="0" w:color="auto"/>
              <w:left w:val="nil" w:sz="6" w:space="0" w:color="auto"/>
              <w:bottom w:val="nil" w:sz="6" w:space="0" w:color="auto"/>
              <w:right w:val="nil" w:sz="6" w:space="0" w:color="auto"/>
            </w:tcBorders>
          </w:tcPr>
          <w:p>
            <w:pPr>
              <w:pStyle w:val="TableParagraph"/>
              <w:spacing w:line="220" w:lineRule="exact"/>
              <w:ind w:left="55"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1383" w:type="dxa"/>
            <w:tcBorders>
              <w:top w:val="nil" w:sz="6" w:space="0" w:color="auto"/>
              <w:left w:val="nil" w:sz="6" w:space="0" w:color="auto"/>
              <w:bottom w:val="nil" w:sz="6" w:space="0" w:color="auto"/>
              <w:right w:val="nil" w:sz="6" w:space="0" w:color="auto"/>
            </w:tcBorders>
          </w:tcPr>
          <w:p>
            <w:pPr>
              <w:pStyle w:val="TableParagraph"/>
              <w:spacing w:line="220" w:lineRule="exact"/>
              <w:ind w:left="98" w:right="0"/>
              <w:jc w:val="center"/>
              <w:rPr>
                <w:rFonts w:ascii="宋体" w:hAnsi="宋体" w:cs="宋体" w:eastAsia="宋体" w:hint="default"/>
                <w:sz w:val="18"/>
                <w:szCs w:val="18"/>
              </w:rPr>
            </w:pPr>
            <w:r>
              <w:rPr>
                <w:rFonts w:ascii="宋体"/>
                <w:sz w:val="18"/>
              </w:rPr>
              <w:t>47,074,467.54</w:t>
            </w:r>
          </w:p>
        </w:tc>
        <w:tc>
          <w:tcPr>
            <w:tcW w:w="1566" w:type="dxa"/>
            <w:tcBorders>
              <w:top w:val="nil" w:sz="6" w:space="0" w:color="auto"/>
              <w:left w:val="nil" w:sz="6" w:space="0" w:color="auto"/>
              <w:bottom w:val="nil" w:sz="6" w:space="0" w:color="auto"/>
              <w:right w:val="nil" w:sz="6" w:space="0" w:color="auto"/>
            </w:tcBorders>
          </w:tcPr>
          <w:p>
            <w:pPr>
              <w:pStyle w:val="TableParagraph"/>
              <w:spacing w:line="220" w:lineRule="exact"/>
              <w:ind w:right="55"/>
              <w:jc w:val="right"/>
              <w:rPr>
                <w:rFonts w:ascii="宋体" w:hAnsi="宋体" w:cs="宋体" w:eastAsia="宋体" w:hint="default"/>
                <w:sz w:val="18"/>
                <w:szCs w:val="18"/>
              </w:rPr>
            </w:pPr>
            <w:r>
              <w:rPr>
                <w:rFonts w:ascii="宋体"/>
                <w:spacing w:val="-1"/>
                <w:sz w:val="18"/>
              </w:rPr>
              <w:t>19,275,617.65</w:t>
            </w:r>
          </w:p>
        </w:tc>
      </w:tr>
      <w:tr>
        <w:trPr>
          <w:trHeight w:val="291" w:hRule="exact"/>
        </w:trPr>
        <w:tc>
          <w:tcPr>
            <w:tcW w:w="5832" w:type="dxa"/>
            <w:tcBorders>
              <w:top w:val="nil" w:sz="6" w:space="0" w:color="auto"/>
              <w:left w:val="nil" w:sz="6" w:space="0" w:color="auto"/>
              <w:bottom w:val="single" w:sz="4" w:space="0" w:color="000000"/>
              <w:right w:val="nil" w:sz="6" w:space="0" w:color="auto"/>
            </w:tcBorders>
          </w:tcPr>
          <w:p>
            <w:pPr>
              <w:pStyle w:val="TableParagraph"/>
              <w:spacing w:line="233" w:lineRule="exact"/>
              <w:ind w:left="55"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1383" w:type="dxa"/>
            <w:tcBorders>
              <w:top w:val="nil" w:sz="6" w:space="0" w:color="auto"/>
              <w:left w:val="nil" w:sz="6" w:space="0" w:color="auto"/>
              <w:bottom w:val="single" w:sz="4" w:space="0" w:color="000000"/>
              <w:right w:val="nil" w:sz="6" w:space="0" w:color="auto"/>
            </w:tcBorders>
          </w:tcPr>
          <w:p>
            <w:pPr>
              <w:pStyle w:val="TableParagraph"/>
              <w:spacing w:line="233" w:lineRule="exact"/>
              <w:ind w:left="9" w:right="0"/>
              <w:jc w:val="center"/>
              <w:rPr>
                <w:rFonts w:ascii="宋体" w:hAnsi="宋体" w:cs="宋体" w:eastAsia="宋体" w:hint="default"/>
                <w:sz w:val="18"/>
                <w:szCs w:val="18"/>
              </w:rPr>
            </w:pPr>
            <w:r>
              <w:rPr>
                <w:rFonts w:ascii="宋体"/>
                <w:sz w:val="18"/>
              </w:rPr>
              <w:t>133,457,044.28</w:t>
            </w:r>
          </w:p>
        </w:tc>
        <w:tc>
          <w:tcPr>
            <w:tcW w:w="1566" w:type="dxa"/>
            <w:tcBorders>
              <w:top w:val="nil" w:sz="6" w:space="0" w:color="auto"/>
              <w:left w:val="nil" w:sz="6" w:space="0" w:color="auto"/>
              <w:bottom w:val="single" w:sz="4" w:space="0" w:color="000000"/>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125,816,065.21</w:t>
            </w:r>
          </w:p>
        </w:tc>
      </w:tr>
      <w:tr>
        <w:trPr>
          <w:trHeight w:val="307" w:hRule="exact"/>
        </w:trPr>
        <w:tc>
          <w:tcPr>
            <w:tcW w:w="5832"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5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3"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b/>
                <w:sz w:val="18"/>
              </w:rPr>
              <w:t>641,441,357.54</w:t>
            </w:r>
            <w:r>
              <w:rPr>
                <w:rFonts w:ascii="宋体"/>
                <w:sz w:val="18"/>
              </w:rPr>
            </w:r>
          </w:p>
        </w:tc>
        <w:tc>
          <w:tcPr>
            <w:tcW w:w="1566"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56"/>
              <w:jc w:val="right"/>
              <w:rPr>
                <w:rFonts w:ascii="宋体" w:hAnsi="宋体" w:cs="宋体" w:eastAsia="宋体" w:hint="default"/>
                <w:sz w:val="18"/>
                <w:szCs w:val="18"/>
              </w:rPr>
            </w:pPr>
            <w:r>
              <w:rPr>
                <w:rFonts w:ascii="宋体"/>
                <w:b/>
                <w:w w:val="95"/>
                <w:sz w:val="18"/>
              </w:rPr>
              <w:t>1,159,896,929.85</w:t>
            </w:r>
            <w:r>
              <w:rPr>
                <w:rFonts w:ascii="宋体"/>
                <w:sz w:val="18"/>
              </w:rPr>
            </w:r>
          </w:p>
        </w:tc>
      </w:tr>
    </w:tbl>
    <w:p>
      <w:pPr>
        <w:spacing w:before="81"/>
        <w:ind w:left="6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49. </w:t>
      </w:r>
      <w:r>
        <w:rPr>
          <w:rFonts w:ascii="Times New Roman" w:hAnsi="Times New Roman" w:cs="Times New Roman" w:eastAsia="Times New Roman" w:hint="default"/>
          <w:b/>
          <w:bCs/>
          <w:spacing w:val="13"/>
          <w:sz w:val="22"/>
          <w:szCs w:val="22"/>
        </w:rPr>
        <w:t> </w:t>
      </w:r>
      <w:r>
        <w:rPr>
          <w:rFonts w:ascii="宋体" w:hAnsi="宋体" w:cs="宋体" w:eastAsia="宋体" w:hint="default"/>
          <w:sz w:val="22"/>
          <w:szCs w:val="22"/>
        </w:rPr>
        <w:t>公允价值变动收益</w:t>
      </w:r>
      <w:r>
        <w:rPr>
          <w:rFonts w:ascii="宋体" w:hAnsi="宋体" w:cs="宋体" w:eastAsia="宋体" w:hint="default"/>
          <w:sz w:val="22"/>
          <w:szCs w:val="22"/>
        </w:rPr>
        <w:t>/</w:t>
      </w:r>
      <w:r>
        <w:rPr>
          <w:rFonts w:ascii="宋体" w:hAnsi="宋体" w:cs="宋体" w:eastAsia="宋体" w:hint="default"/>
          <w:sz w:val="22"/>
          <w:szCs w:val="22"/>
        </w:rPr>
        <w:t>损失</w:t>
      </w:r>
    </w:p>
    <w:p>
      <w:pPr>
        <w:spacing w:line="240" w:lineRule="auto" w:before="5"/>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5082"/>
        <w:gridCol w:w="1948"/>
        <w:gridCol w:w="1760"/>
      </w:tblGrid>
      <w:tr>
        <w:trPr>
          <w:trHeight w:val="305" w:hRule="exact"/>
        </w:trPr>
        <w:tc>
          <w:tcPr>
            <w:tcW w:w="508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4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4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76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37"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90" w:hRule="exact"/>
        </w:trPr>
        <w:tc>
          <w:tcPr>
            <w:tcW w:w="5082"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以公允价值计量的且其变动计入当期损益的金融资产</w:t>
            </w:r>
          </w:p>
        </w:tc>
        <w:tc>
          <w:tcPr>
            <w:tcW w:w="1948" w:type="dxa"/>
            <w:tcBorders>
              <w:top w:val="single" w:sz="4" w:space="0" w:color="000000"/>
              <w:left w:val="nil" w:sz="6" w:space="0" w:color="auto"/>
              <w:bottom w:val="nil" w:sz="6" w:space="0" w:color="auto"/>
              <w:right w:val="nil" w:sz="6" w:space="0" w:color="auto"/>
            </w:tcBorders>
          </w:tcPr>
          <w:p>
            <w:pPr>
              <w:pStyle w:val="TableParagraph"/>
              <w:spacing w:line="232" w:lineRule="exact"/>
              <w:ind w:right="290"/>
              <w:jc w:val="right"/>
              <w:rPr>
                <w:rFonts w:ascii="宋体" w:hAnsi="宋体" w:cs="宋体" w:eastAsia="宋体" w:hint="default"/>
                <w:sz w:val="18"/>
                <w:szCs w:val="18"/>
              </w:rPr>
            </w:pPr>
            <w:r>
              <w:rPr>
                <w:rFonts w:ascii="宋体"/>
                <w:spacing w:val="-1"/>
                <w:sz w:val="18"/>
              </w:rPr>
              <w:t>-120,369,052.18</w:t>
            </w:r>
          </w:p>
        </w:tc>
        <w:tc>
          <w:tcPr>
            <w:tcW w:w="1760" w:type="dxa"/>
            <w:tcBorders>
              <w:top w:val="single" w:sz="4" w:space="0" w:color="000000"/>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-257,547,691.43</w:t>
            </w:r>
          </w:p>
        </w:tc>
      </w:tr>
      <w:tr>
        <w:trPr>
          <w:trHeight w:val="286" w:hRule="exact"/>
        </w:trPr>
        <w:tc>
          <w:tcPr>
            <w:tcW w:w="5082"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中车同方（天津）股权投资基金合伙企业（有限合伙）</w:t>
            </w:r>
          </w:p>
        </w:tc>
        <w:tc>
          <w:tcPr>
            <w:tcW w:w="1948" w:type="dxa"/>
            <w:tcBorders>
              <w:top w:val="nil" w:sz="6" w:space="0" w:color="auto"/>
              <w:left w:val="nil" w:sz="6" w:space="0" w:color="auto"/>
              <w:bottom w:val="nil" w:sz="6" w:space="0" w:color="auto"/>
              <w:right w:val="nil" w:sz="6" w:space="0" w:color="auto"/>
            </w:tcBorders>
          </w:tcPr>
          <w:p>
            <w:pPr>
              <w:pStyle w:val="TableParagraph"/>
              <w:spacing w:line="233" w:lineRule="exact"/>
              <w:ind w:right="291"/>
              <w:jc w:val="right"/>
              <w:rPr>
                <w:rFonts w:ascii="宋体" w:hAnsi="宋体" w:cs="宋体" w:eastAsia="宋体" w:hint="default"/>
                <w:sz w:val="18"/>
                <w:szCs w:val="18"/>
              </w:rPr>
            </w:pPr>
            <w:r>
              <w:rPr>
                <w:rFonts w:ascii="宋体"/>
                <w:spacing w:val="-1"/>
                <w:sz w:val="18"/>
              </w:rPr>
              <w:t>-367,576.65</w:t>
            </w:r>
          </w:p>
        </w:tc>
        <w:tc>
          <w:tcPr>
            <w:tcW w:w="1760"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7,894,300.10</w:t>
            </w:r>
          </w:p>
        </w:tc>
      </w:tr>
      <w:tr>
        <w:trPr>
          <w:trHeight w:val="286" w:hRule="exact"/>
        </w:trPr>
        <w:tc>
          <w:tcPr>
            <w:tcW w:w="5082"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中国石化混合所有制改革项目股权投资</w:t>
            </w:r>
          </w:p>
        </w:tc>
        <w:tc>
          <w:tcPr>
            <w:tcW w:w="1948" w:type="dxa"/>
            <w:tcBorders>
              <w:top w:val="nil" w:sz="6" w:space="0" w:color="auto"/>
              <w:left w:val="nil" w:sz="6" w:space="0" w:color="auto"/>
              <w:bottom w:val="nil" w:sz="6" w:space="0" w:color="auto"/>
              <w:right w:val="nil" w:sz="6" w:space="0" w:color="auto"/>
            </w:tcBorders>
          </w:tcPr>
          <w:p>
            <w:pPr>
              <w:pStyle w:val="TableParagraph"/>
              <w:spacing w:line="233" w:lineRule="exact"/>
              <w:ind w:right="289"/>
              <w:jc w:val="right"/>
              <w:rPr>
                <w:rFonts w:ascii="宋体" w:hAnsi="宋体" w:cs="宋体" w:eastAsia="宋体" w:hint="default"/>
                <w:sz w:val="18"/>
                <w:szCs w:val="18"/>
              </w:rPr>
            </w:pPr>
            <w:r>
              <w:rPr>
                <w:rFonts w:ascii="宋体"/>
                <w:sz w:val="18"/>
              </w:rPr>
              <w:t>0.00</w:t>
            </w:r>
          </w:p>
        </w:tc>
        <w:tc>
          <w:tcPr>
            <w:tcW w:w="1760"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3,014,794.12</w:t>
            </w:r>
          </w:p>
        </w:tc>
      </w:tr>
      <w:tr>
        <w:trPr>
          <w:trHeight w:val="284" w:hRule="exact"/>
        </w:trPr>
        <w:tc>
          <w:tcPr>
            <w:tcW w:w="5082"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华控基石（天津）创业投资合伙企业（有限合伙）</w:t>
            </w:r>
          </w:p>
        </w:tc>
        <w:tc>
          <w:tcPr>
            <w:tcW w:w="1948" w:type="dxa"/>
            <w:tcBorders>
              <w:top w:val="nil" w:sz="6" w:space="0" w:color="auto"/>
              <w:left w:val="nil" w:sz="6" w:space="0" w:color="auto"/>
              <w:bottom w:val="nil" w:sz="6" w:space="0" w:color="auto"/>
              <w:right w:val="nil" w:sz="6" w:space="0" w:color="auto"/>
            </w:tcBorders>
          </w:tcPr>
          <w:p>
            <w:pPr>
              <w:pStyle w:val="TableParagraph"/>
              <w:spacing w:line="233" w:lineRule="exact"/>
              <w:ind w:right="291"/>
              <w:jc w:val="right"/>
              <w:rPr>
                <w:rFonts w:ascii="宋体" w:hAnsi="宋体" w:cs="宋体" w:eastAsia="宋体" w:hint="default"/>
                <w:sz w:val="18"/>
                <w:szCs w:val="18"/>
              </w:rPr>
            </w:pPr>
            <w:r>
              <w:rPr>
                <w:rFonts w:ascii="宋体"/>
                <w:spacing w:val="-1"/>
                <w:sz w:val="18"/>
              </w:rPr>
              <w:t>-436,465.95</w:t>
            </w:r>
          </w:p>
        </w:tc>
        <w:tc>
          <w:tcPr>
            <w:tcW w:w="1760"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-390,245.72</w:t>
            </w:r>
          </w:p>
        </w:tc>
      </w:tr>
      <w:tr>
        <w:trPr>
          <w:trHeight w:val="284" w:hRule="exact"/>
        </w:trPr>
        <w:tc>
          <w:tcPr>
            <w:tcW w:w="508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青岛嘉鸿壹号创业投资基金</w:t>
            </w:r>
          </w:p>
        </w:tc>
        <w:tc>
          <w:tcPr>
            <w:tcW w:w="1948" w:type="dxa"/>
            <w:tcBorders>
              <w:top w:val="nil" w:sz="6" w:space="0" w:color="auto"/>
              <w:left w:val="nil" w:sz="6" w:space="0" w:color="auto"/>
              <w:bottom w:val="nil" w:sz="6" w:space="0" w:color="auto"/>
              <w:right w:val="nil" w:sz="6" w:space="0" w:color="auto"/>
            </w:tcBorders>
          </w:tcPr>
          <w:p>
            <w:pPr>
              <w:pStyle w:val="TableParagraph"/>
              <w:spacing w:line="232" w:lineRule="exact"/>
              <w:ind w:right="290"/>
              <w:jc w:val="right"/>
              <w:rPr>
                <w:rFonts w:ascii="宋体" w:hAnsi="宋体" w:cs="宋体" w:eastAsia="宋体" w:hint="default"/>
                <w:sz w:val="18"/>
                <w:szCs w:val="18"/>
              </w:rPr>
            </w:pPr>
            <w:r>
              <w:rPr>
                <w:rFonts w:ascii="宋体"/>
                <w:spacing w:val="-1"/>
                <w:sz w:val="18"/>
              </w:rPr>
              <w:t>-1,973,322.77</w:t>
            </w:r>
          </w:p>
        </w:tc>
        <w:tc>
          <w:tcPr>
            <w:tcW w:w="1760"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-1,964,526.55</w:t>
            </w:r>
          </w:p>
        </w:tc>
      </w:tr>
      <w:tr>
        <w:trPr>
          <w:trHeight w:val="286" w:hRule="exact"/>
        </w:trPr>
        <w:tc>
          <w:tcPr>
            <w:tcW w:w="5082"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深圳南山两湾双创人才股权投资基金合伙企业（有限合伙）</w:t>
            </w:r>
          </w:p>
        </w:tc>
        <w:tc>
          <w:tcPr>
            <w:tcW w:w="1948" w:type="dxa"/>
            <w:tcBorders>
              <w:top w:val="nil" w:sz="6" w:space="0" w:color="auto"/>
              <w:left w:val="nil" w:sz="6" w:space="0" w:color="auto"/>
              <w:bottom w:val="nil" w:sz="6" w:space="0" w:color="auto"/>
              <w:right w:val="nil" w:sz="6" w:space="0" w:color="auto"/>
            </w:tcBorders>
          </w:tcPr>
          <w:p>
            <w:pPr>
              <w:pStyle w:val="TableParagraph"/>
              <w:spacing w:line="233" w:lineRule="exact"/>
              <w:ind w:right="289"/>
              <w:jc w:val="right"/>
              <w:rPr>
                <w:rFonts w:ascii="宋体" w:hAnsi="宋体" w:cs="宋体" w:eastAsia="宋体" w:hint="default"/>
                <w:sz w:val="18"/>
                <w:szCs w:val="18"/>
              </w:rPr>
            </w:pPr>
            <w:r>
              <w:rPr>
                <w:rFonts w:ascii="宋体"/>
                <w:sz w:val="18"/>
              </w:rPr>
              <w:t>0.00</w:t>
            </w:r>
          </w:p>
        </w:tc>
        <w:tc>
          <w:tcPr>
            <w:tcW w:w="1760"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-1,781,889.21</w:t>
            </w:r>
          </w:p>
        </w:tc>
      </w:tr>
      <w:tr>
        <w:trPr>
          <w:trHeight w:val="286" w:hRule="exact"/>
        </w:trPr>
        <w:tc>
          <w:tcPr>
            <w:tcW w:w="5082"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苏州清弘环创投资合伙企业（有限合伙）</w:t>
            </w:r>
          </w:p>
        </w:tc>
        <w:tc>
          <w:tcPr>
            <w:tcW w:w="1948" w:type="dxa"/>
            <w:tcBorders>
              <w:top w:val="nil" w:sz="6" w:space="0" w:color="auto"/>
              <w:left w:val="nil" w:sz="6" w:space="0" w:color="auto"/>
              <w:bottom w:val="nil" w:sz="6" w:space="0" w:color="auto"/>
              <w:right w:val="nil" w:sz="6" w:space="0" w:color="auto"/>
            </w:tcBorders>
          </w:tcPr>
          <w:p>
            <w:pPr>
              <w:pStyle w:val="TableParagraph"/>
              <w:spacing w:line="233" w:lineRule="exact"/>
              <w:ind w:right="289"/>
              <w:jc w:val="right"/>
              <w:rPr>
                <w:rFonts w:ascii="宋体" w:hAnsi="宋体" w:cs="宋体" w:eastAsia="宋体" w:hint="default"/>
                <w:sz w:val="18"/>
                <w:szCs w:val="18"/>
              </w:rPr>
            </w:pPr>
            <w:r>
              <w:rPr>
                <w:rFonts w:ascii="宋体"/>
                <w:spacing w:val="-1"/>
                <w:sz w:val="18"/>
              </w:rPr>
              <w:t>-76,510.22</w:t>
            </w:r>
          </w:p>
        </w:tc>
        <w:tc>
          <w:tcPr>
            <w:tcW w:w="1760"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0.00</w:t>
            </w:r>
          </w:p>
        </w:tc>
      </w:tr>
      <w:tr>
        <w:trPr>
          <w:trHeight w:val="284" w:hRule="exact"/>
        </w:trPr>
        <w:tc>
          <w:tcPr>
            <w:tcW w:w="5082"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北京同方以衡创业投资中心</w:t>
            </w:r>
          </w:p>
        </w:tc>
        <w:tc>
          <w:tcPr>
            <w:tcW w:w="1948" w:type="dxa"/>
            <w:tcBorders>
              <w:top w:val="nil" w:sz="6" w:space="0" w:color="auto"/>
              <w:left w:val="nil" w:sz="6" w:space="0" w:color="auto"/>
              <w:bottom w:val="nil" w:sz="6" w:space="0" w:color="auto"/>
              <w:right w:val="nil" w:sz="6" w:space="0" w:color="auto"/>
            </w:tcBorders>
          </w:tcPr>
          <w:p>
            <w:pPr>
              <w:pStyle w:val="TableParagraph"/>
              <w:spacing w:line="233" w:lineRule="exact"/>
              <w:ind w:right="291"/>
              <w:jc w:val="right"/>
              <w:rPr>
                <w:rFonts w:ascii="宋体" w:hAnsi="宋体" w:cs="宋体" w:eastAsia="宋体" w:hint="default"/>
                <w:sz w:val="18"/>
                <w:szCs w:val="18"/>
              </w:rPr>
            </w:pPr>
            <w:r>
              <w:rPr>
                <w:rFonts w:ascii="宋体"/>
                <w:spacing w:val="-1"/>
                <w:sz w:val="18"/>
              </w:rPr>
              <w:t>-972,887.27</w:t>
            </w:r>
          </w:p>
        </w:tc>
        <w:tc>
          <w:tcPr>
            <w:tcW w:w="1760"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-3,941,256.69</w:t>
            </w:r>
          </w:p>
        </w:tc>
      </w:tr>
      <w:tr>
        <w:trPr>
          <w:trHeight w:val="290" w:hRule="exact"/>
        </w:trPr>
        <w:tc>
          <w:tcPr>
            <w:tcW w:w="5082"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采用公允价值计量的投资性房地产</w:t>
            </w:r>
          </w:p>
        </w:tc>
        <w:tc>
          <w:tcPr>
            <w:tcW w:w="1948" w:type="dxa"/>
            <w:tcBorders>
              <w:top w:val="nil" w:sz="6" w:space="0" w:color="auto"/>
              <w:left w:val="nil" w:sz="6" w:space="0" w:color="auto"/>
              <w:bottom w:val="single" w:sz="4" w:space="0" w:color="000000"/>
              <w:right w:val="nil" w:sz="6" w:space="0" w:color="auto"/>
            </w:tcBorders>
          </w:tcPr>
          <w:p>
            <w:pPr>
              <w:pStyle w:val="TableParagraph"/>
              <w:spacing w:line="232" w:lineRule="exact"/>
              <w:ind w:right="290"/>
              <w:jc w:val="right"/>
              <w:rPr>
                <w:rFonts w:ascii="宋体" w:hAnsi="宋体" w:cs="宋体" w:eastAsia="宋体" w:hint="default"/>
                <w:sz w:val="18"/>
                <w:szCs w:val="18"/>
              </w:rPr>
            </w:pPr>
            <w:r>
              <w:rPr>
                <w:rFonts w:ascii="宋体"/>
                <w:spacing w:val="-1"/>
                <w:sz w:val="18"/>
              </w:rPr>
              <w:t>-7,771,994.23</w:t>
            </w:r>
          </w:p>
        </w:tc>
        <w:tc>
          <w:tcPr>
            <w:tcW w:w="1760"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pacing w:val="-1"/>
                <w:sz w:val="18"/>
              </w:rPr>
              <w:t>-500,000.00</w:t>
            </w:r>
          </w:p>
        </w:tc>
      </w:tr>
      <w:tr>
        <w:trPr>
          <w:trHeight w:val="307" w:hRule="exact"/>
        </w:trPr>
        <w:tc>
          <w:tcPr>
            <w:tcW w:w="5082"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48"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90"/>
              <w:jc w:val="right"/>
              <w:rPr>
                <w:rFonts w:ascii="宋体" w:hAnsi="宋体" w:cs="宋体" w:eastAsia="宋体" w:hint="default"/>
                <w:sz w:val="18"/>
                <w:szCs w:val="18"/>
              </w:rPr>
            </w:pPr>
            <w:r>
              <w:rPr>
                <w:rFonts w:ascii="宋体"/>
                <w:b/>
                <w:w w:val="95"/>
                <w:sz w:val="18"/>
              </w:rPr>
              <w:t>-131,967,809.27</w:t>
            </w:r>
            <w:r>
              <w:rPr>
                <w:rFonts w:ascii="宋体"/>
                <w:sz w:val="18"/>
              </w:rPr>
            </w:r>
          </w:p>
        </w:tc>
        <w:tc>
          <w:tcPr>
            <w:tcW w:w="1760"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-255,216,515.38</w:t>
            </w:r>
            <w:r>
              <w:rPr>
                <w:rFonts w:ascii="宋体"/>
                <w:sz w:val="18"/>
              </w:rPr>
            </w:r>
          </w:p>
        </w:tc>
      </w:tr>
    </w:tbl>
    <w:p>
      <w:pPr>
        <w:spacing w:before="21"/>
        <w:ind w:left="6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50.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资产处置收益</w:t>
      </w:r>
    </w:p>
    <w:p>
      <w:pPr>
        <w:spacing w:line="240" w:lineRule="auto" w:before="5"/>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3462"/>
        <w:gridCol w:w="3614"/>
        <w:gridCol w:w="1704"/>
      </w:tblGrid>
      <w:tr>
        <w:trPr>
          <w:trHeight w:val="307" w:hRule="exact"/>
        </w:trPr>
        <w:tc>
          <w:tcPr>
            <w:tcW w:w="346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5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1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967"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70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8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3" w:hRule="exact"/>
        </w:trPr>
        <w:tc>
          <w:tcPr>
            <w:tcW w:w="3462"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55"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c>
          <w:tcPr>
            <w:tcW w:w="3614" w:type="dxa"/>
            <w:tcBorders>
              <w:top w:val="single" w:sz="4" w:space="0" w:color="000000"/>
              <w:left w:val="nil" w:sz="6" w:space="0" w:color="auto"/>
              <w:bottom w:val="single" w:sz="4" w:space="0" w:color="000000"/>
              <w:right w:val="nil" w:sz="6" w:space="0" w:color="auto"/>
            </w:tcBorders>
          </w:tcPr>
          <w:p>
            <w:pPr>
              <w:pStyle w:val="TableParagraph"/>
              <w:spacing w:line="230" w:lineRule="exact"/>
              <w:ind w:right="283"/>
              <w:jc w:val="right"/>
              <w:rPr>
                <w:rFonts w:ascii="宋体" w:hAnsi="宋体" w:cs="宋体" w:eastAsia="宋体" w:hint="default"/>
                <w:sz w:val="18"/>
                <w:szCs w:val="18"/>
              </w:rPr>
            </w:pPr>
            <w:r>
              <w:rPr>
                <w:rFonts w:ascii="宋体"/>
                <w:spacing w:val="-1"/>
                <w:sz w:val="18"/>
              </w:rPr>
              <w:t>198,200,922.74</w:t>
            </w:r>
          </w:p>
        </w:tc>
        <w:tc>
          <w:tcPr>
            <w:tcW w:w="1704" w:type="dxa"/>
            <w:tcBorders>
              <w:top w:val="single" w:sz="4" w:space="0" w:color="000000"/>
              <w:left w:val="nil" w:sz="6" w:space="0" w:color="auto"/>
              <w:bottom w:val="single" w:sz="4" w:space="0" w:color="000000"/>
              <w:right w:val="nil" w:sz="6" w:space="0" w:color="auto"/>
            </w:tcBorders>
          </w:tcPr>
          <w:p>
            <w:pPr>
              <w:pStyle w:val="TableParagraph"/>
              <w:spacing w:line="230" w:lineRule="exact"/>
              <w:ind w:right="55"/>
              <w:jc w:val="right"/>
              <w:rPr>
                <w:rFonts w:ascii="宋体" w:hAnsi="宋体" w:cs="宋体" w:eastAsia="宋体" w:hint="default"/>
                <w:sz w:val="18"/>
                <w:szCs w:val="18"/>
              </w:rPr>
            </w:pPr>
            <w:r>
              <w:rPr>
                <w:rFonts w:ascii="宋体"/>
                <w:spacing w:val="-1"/>
                <w:sz w:val="18"/>
              </w:rPr>
              <w:t>11,822,704.21</w:t>
            </w:r>
          </w:p>
        </w:tc>
      </w:tr>
      <w:tr>
        <w:trPr>
          <w:trHeight w:val="307" w:hRule="exact"/>
        </w:trPr>
        <w:tc>
          <w:tcPr>
            <w:tcW w:w="3462"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5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614"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84"/>
              <w:jc w:val="right"/>
              <w:rPr>
                <w:rFonts w:ascii="宋体" w:hAnsi="宋体" w:cs="宋体" w:eastAsia="宋体" w:hint="default"/>
                <w:sz w:val="18"/>
                <w:szCs w:val="18"/>
              </w:rPr>
            </w:pPr>
            <w:r>
              <w:rPr>
                <w:rFonts w:ascii="宋体"/>
                <w:b/>
                <w:w w:val="95"/>
                <w:sz w:val="18"/>
              </w:rPr>
              <w:t>198,200,922.74</w:t>
            </w:r>
            <w:r>
              <w:rPr>
                <w:rFonts w:ascii="宋体"/>
                <w:sz w:val="18"/>
              </w:rPr>
            </w:r>
          </w:p>
        </w:tc>
        <w:tc>
          <w:tcPr>
            <w:tcW w:w="1704"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b/>
                <w:w w:val="95"/>
                <w:sz w:val="18"/>
              </w:rPr>
              <w:t>11,822,704.21</w:t>
            </w:r>
            <w:r>
              <w:rPr>
                <w:rFonts w:ascii="宋体"/>
                <w:sz w:val="18"/>
              </w:rPr>
            </w:r>
          </w:p>
        </w:tc>
      </w:tr>
    </w:tbl>
    <w:p>
      <w:pPr>
        <w:spacing w:before="81"/>
        <w:ind w:left="6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51.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营业外收入</w:t>
      </w:r>
    </w:p>
    <w:p>
      <w:pPr>
        <w:spacing w:before="113"/>
        <w:ind w:left="695"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12"/>
          <w:sz w:val="22"/>
          <w:szCs w:val="22"/>
        </w:rPr>
        <w:t> </w:t>
      </w:r>
      <w:r>
        <w:rPr>
          <w:rFonts w:ascii="宋体" w:hAnsi="宋体" w:cs="宋体" w:eastAsia="宋体" w:hint="default"/>
          <w:sz w:val="22"/>
          <w:szCs w:val="22"/>
        </w:rPr>
        <w:t>营业外收入明细</w:t>
      </w:r>
    </w:p>
    <w:p>
      <w:pPr>
        <w:spacing w:line="240" w:lineRule="auto" w:before="9"/>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914"/>
        <w:gridCol w:w="2570"/>
        <w:gridCol w:w="1555"/>
        <w:gridCol w:w="2686"/>
      </w:tblGrid>
      <w:tr>
        <w:trPr>
          <w:trHeight w:val="305" w:hRule="exact"/>
        </w:trPr>
        <w:tc>
          <w:tcPr>
            <w:tcW w:w="191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7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6"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55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4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268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46" w:right="0"/>
              <w:jc w:val="left"/>
              <w:rPr>
                <w:rFonts w:ascii="宋体" w:hAnsi="宋体" w:cs="宋体" w:eastAsia="宋体" w:hint="default"/>
                <w:sz w:val="18"/>
                <w:szCs w:val="18"/>
              </w:rPr>
            </w:pPr>
            <w:r>
              <w:rPr>
                <w:rFonts w:ascii="宋体" w:hAnsi="宋体" w:cs="宋体" w:eastAsia="宋体" w:hint="default"/>
                <w:b/>
                <w:bCs/>
                <w:sz w:val="18"/>
                <w:szCs w:val="18"/>
              </w:rPr>
              <w:t>计入本年非经常性损益的金额</w:t>
            </w:r>
            <w:r>
              <w:rPr>
                <w:rFonts w:ascii="宋体" w:hAnsi="宋体" w:cs="宋体" w:eastAsia="宋体" w:hint="default"/>
                <w:sz w:val="18"/>
                <w:szCs w:val="18"/>
              </w:rPr>
            </w:r>
          </w:p>
        </w:tc>
      </w:tr>
      <w:tr>
        <w:trPr>
          <w:trHeight w:val="289" w:hRule="exact"/>
        </w:trPr>
        <w:tc>
          <w:tcPr>
            <w:tcW w:w="1914"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570" w:type="dxa"/>
            <w:tcBorders>
              <w:top w:val="single" w:sz="4" w:space="0" w:color="000000"/>
              <w:left w:val="nil" w:sz="6" w:space="0" w:color="auto"/>
              <w:bottom w:val="nil" w:sz="6" w:space="0" w:color="auto"/>
              <w:right w:val="nil" w:sz="6" w:space="0" w:color="auto"/>
            </w:tcBorders>
          </w:tcPr>
          <w:p>
            <w:pPr>
              <w:pStyle w:val="TableParagraph"/>
              <w:spacing w:line="232" w:lineRule="exact"/>
              <w:ind w:right="228"/>
              <w:jc w:val="right"/>
              <w:rPr>
                <w:rFonts w:ascii="宋体" w:hAnsi="宋体" w:cs="宋体" w:eastAsia="宋体" w:hint="default"/>
                <w:sz w:val="18"/>
                <w:szCs w:val="18"/>
              </w:rPr>
            </w:pPr>
            <w:r>
              <w:rPr>
                <w:rFonts w:ascii="宋体"/>
                <w:spacing w:val="-1"/>
                <w:sz w:val="18"/>
              </w:rPr>
              <w:t>23,756,115.87</w:t>
            </w:r>
          </w:p>
        </w:tc>
        <w:tc>
          <w:tcPr>
            <w:tcW w:w="1555" w:type="dxa"/>
            <w:tcBorders>
              <w:top w:val="single" w:sz="4" w:space="0" w:color="000000"/>
              <w:left w:val="nil" w:sz="6" w:space="0" w:color="auto"/>
              <w:bottom w:val="nil" w:sz="6" w:space="0" w:color="auto"/>
              <w:right w:val="nil" w:sz="6" w:space="0" w:color="auto"/>
            </w:tcBorders>
          </w:tcPr>
          <w:p>
            <w:pPr>
              <w:pStyle w:val="TableParagraph"/>
              <w:spacing w:line="232" w:lineRule="exact"/>
              <w:ind w:left="237" w:right="0"/>
              <w:jc w:val="left"/>
              <w:rPr>
                <w:rFonts w:ascii="宋体" w:hAnsi="宋体" w:cs="宋体" w:eastAsia="宋体" w:hint="default"/>
                <w:sz w:val="18"/>
                <w:szCs w:val="18"/>
              </w:rPr>
            </w:pPr>
            <w:r>
              <w:rPr>
                <w:rFonts w:ascii="宋体"/>
                <w:sz w:val="18"/>
              </w:rPr>
              <w:t>43,295,009.31</w:t>
            </w:r>
          </w:p>
        </w:tc>
        <w:tc>
          <w:tcPr>
            <w:tcW w:w="2686" w:type="dxa"/>
            <w:tcBorders>
              <w:top w:val="single" w:sz="4" w:space="0" w:color="000000"/>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23,756,115.87</w:t>
            </w:r>
          </w:p>
        </w:tc>
      </w:tr>
      <w:tr>
        <w:trPr>
          <w:trHeight w:val="291" w:hRule="exact"/>
        </w:trPr>
        <w:tc>
          <w:tcPr>
            <w:tcW w:w="1914"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70" w:type="dxa"/>
            <w:tcBorders>
              <w:top w:val="nil" w:sz="6" w:space="0" w:color="auto"/>
              <w:left w:val="nil" w:sz="6" w:space="0" w:color="auto"/>
              <w:bottom w:val="single" w:sz="4" w:space="0" w:color="000000"/>
              <w:right w:val="nil" w:sz="6" w:space="0" w:color="auto"/>
            </w:tcBorders>
          </w:tcPr>
          <w:p>
            <w:pPr>
              <w:pStyle w:val="TableParagraph"/>
              <w:spacing w:line="233" w:lineRule="exact"/>
              <w:ind w:right="228"/>
              <w:jc w:val="right"/>
              <w:rPr>
                <w:rFonts w:ascii="宋体" w:hAnsi="宋体" w:cs="宋体" w:eastAsia="宋体" w:hint="default"/>
                <w:sz w:val="18"/>
                <w:szCs w:val="18"/>
              </w:rPr>
            </w:pPr>
            <w:r>
              <w:rPr>
                <w:rFonts w:ascii="宋体"/>
                <w:spacing w:val="-1"/>
                <w:sz w:val="18"/>
              </w:rPr>
              <w:t>18,526,727.73</w:t>
            </w:r>
          </w:p>
        </w:tc>
        <w:tc>
          <w:tcPr>
            <w:tcW w:w="1555" w:type="dxa"/>
            <w:tcBorders>
              <w:top w:val="nil" w:sz="6" w:space="0" w:color="auto"/>
              <w:left w:val="nil" w:sz="6" w:space="0" w:color="auto"/>
              <w:bottom w:val="single" w:sz="4" w:space="0" w:color="000000"/>
              <w:right w:val="nil" w:sz="6" w:space="0" w:color="auto"/>
            </w:tcBorders>
          </w:tcPr>
          <w:p>
            <w:pPr>
              <w:pStyle w:val="TableParagraph"/>
              <w:spacing w:line="233" w:lineRule="exact"/>
              <w:ind w:left="237" w:right="0"/>
              <w:jc w:val="left"/>
              <w:rPr>
                <w:rFonts w:ascii="宋体" w:hAnsi="宋体" w:cs="宋体" w:eastAsia="宋体" w:hint="default"/>
                <w:sz w:val="18"/>
                <w:szCs w:val="18"/>
              </w:rPr>
            </w:pPr>
            <w:r>
              <w:rPr>
                <w:rFonts w:ascii="宋体"/>
                <w:sz w:val="18"/>
              </w:rPr>
              <w:t>13,995,738.26</w:t>
            </w:r>
          </w:p>
        </w:tc>
        <w:tc>
          <w:tcPr>
            <w:tcW w:w="2686" w:type="dxa"/>
            <w:tcBorders>
              <w:top w:val="nil" w:sz="6" w:space="0" w:color="auto"/>
              <w:left w:val="nil" w:sz="6" w:space="0" w:color="auto"/>
              <w:bottom w:val="single" w:sz="4" w:space="0" w:color="000000"/>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18,526,727.73</w:t>
            </w:r>
          </w:p>
        </w:tc>
      </w:tr>
      <w:tr>
        <w:trPr>
          <w:trHeight w:val="305" w:hRule="exact"/>
        </w:trPr>
        <w:tc>
          <w:tcPr>
            <w:tcW w:w="1914"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70"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28"/>
              <w:jc w:val="right"/>
              <w:rPr>
                <w:rFonts w:ascii="宋体" w:hAnsi="宋体" w:cs="宋体" w:eastAsia="宋体" w:hint="default"/>
                <w:sz w:val="18"/>
                <w:szCs w:val="18"/>
              </w:rPr>
            </w:pPr>
            <w:r>
              <w:rPr>
                <w:rFonts w:ascii="宋体"/>
                <w:b/>
                <w:w w:val="95"/>
                <w:sz w:val="18"/>
              </w:rPr>
              <w:t>42,282,843.60</w:t>
            </w:r>
            <w:r>
              <w:rPr>
                <w:rFonts w:ascii="宋体"/>
                <w:sz w:val="18"/>
              </w:rPr>
            </w:r>
          </w:p>
        </w:tc>
        <w:tc>
          <w:tcPr>
            <w:tcW w:w="1555"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230" w:right="0"/>
              <w:jc w:val="left"/>
              <w:rPr>
                <w:rFonts w:ascii="宋体" w:hAnsi="宋体" w:cs="宋体" w:eastAsia="宋体" w:hint="default"/>
                <w:sz w:val="18"/>
                <w:szCs w:val="18"/>
              </w:rPr>
            </w:pPr>
            <w:r>
              <w:rPr>
                <w:rFonts w:ascii="宋体"/>
                <w:b/>
                <w:sz w:val="18"/>
              </w:rPr>
              <w:t>57,290,747.57</w:t>
            </w:r>
            <w:r>
              <w:rPr>
                <w:rFonts w:ascii="宋体"/>
                <w:sz w:val="18"/>
              </w:rPr>
            </w:r>
          </w:p>
        </w:tc>
        <w:tc>
          <w:tcPr>
            <w:tcW w:w="2686"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42,282,843.60</w:t>
            </w:r>
            <w:r>
              <w:rPr>
                <w:rFonts w:ascii="宋体"/>
                <w:sz w:val="18"/>
              </w:rPr>
            </w:r>
          </w:p>
        </w:tc>
      </w:tr>
    </w:tbl>
    <w:p>
      <w:pPr>
        <w:spacing w:before="81"/>
        <w:ind w:left="695"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1"/>
          <w:sz w:val="22"/>
          <w:szCs w:val="22"/>
        </w:rPr>
        <w:t> </w:t>
      </w:r>
      <w:r>
        <w:rPr>
          <w:rFonts w:ascii="宋体" w:hAnsi="宋体" w:cs="宋体" w:eastAsia="宋体" w:hint="default"/>
          <w:sz w:val="22"/>
          <w:szCs w:val="22"/>
        </w:rPr>
        <w:t>政府补助明细</w:t>
      </w:r>
    </w:p>
    <w:p>
      <w:pPr>
        <w:spacing w:line="240" w:lineRule="auto" w:before="11"/>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582"/>
        <w:gridCol w:w="1198"/>
        <w:gridCol w:w="1123"/>
        <w:gridCol w:w="2899"/>
        <w:gridCol w:w="965"/>
      </w:tblGrid>
      <w:tr>
        <w:trPr>
          <w:trHeight w:val="644" w:hRule="exact"/>
        </w:trPr>
        <w:tc>
          <w:tcPr>
            <w:tcW w:w="2582" w:type="dxa"/>
            <w:tcBorders>
              <w:top w:val="single" w:sz="12"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5"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198" w:type="dxa"/>
            <w:tcBorders>
              <w:top w:val="single" w:sz="12"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33" w:right="0"/>
              <w:jc w:val="left"/>
              <w:rPr>
                <w:rFonts w:ascii="宋体" w:hAnsi="宋体" w:cs="宋体" w:eastAsia="宋体" w:hint="default"/>
                <w:sz w:val="16"/>
                <w:szCs w:val="16"/>
              </w:rPr>
            </w:pPr>
            <w:r>
              <w:rPr>
                <w:rFonts w:ascii="宋体" w:hAnsi="宋体" w:cs="宋体" w:eastAsia="宋体" w:hint="default"/>
                <w:b/>
                <w:bCs/>
                <w:sz w:val="16"/>
                <w:szCs w:val="16"/>
              </w:rPr>
              <w:t>本年发生额</w:t>
            </w:r>
            <w:r>
              <w:rPr>
                <w:rFonts w:ascii="宋体" w:hAnsi="宋体" w:cs="宋体" w:eastAsia="宋体" w:hint="default"/>
                <w:sz w:val="16"/>
                <w:szCs w:val="16"/>
              </w:rPr>
            </w:r>
          </w:p>
        </w:tc>
        <w:tc>
          <w:tcPr>
            <w:tcW w:w="1123" w:type="dxa"/>
            <w:tcBorders>
              <w:top w:val="single" w:sz="12"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3" w:right="0"/>
              <w:jc w:val="left"/>
              <w:rPr>
                <w:rFonts w:ascii="宋体" w:hAnsi="宋体" w:cs="宋体" w:eastAsia="宋体" w:hint="default"/>
                <w:sz w:val="16"/>
                <w:szCs w:val="16"/>
              </w:rPr>
            </w:pPr>
            <w:r>
              <w:rPr>
                <w:rFonts w:ascii="宋体" w:hAnsi="宋体" w:cs="宋体" w:eastAsia="宋体" w:hint="default"/>
                <w:b/>
                <w:bCs/>
                <w:sz w:val="16"/>
                <w:szCs w:val="16"/>
              </w:rPr>
              <w:t>上年发生额</w:t>
            </w:r>
            <w:r>
              <w:rPr>
                <w:rFonts w:ascii="宋体" w:hAnsi="宋体" w:cs="宋体" w:eastAsia="宋体" w:hint="default"/>
                <w:sz w:val="16"/>
                <w:szCs w:val="16"/>
              </w:rPr>
            </w:r>
          </w:p>
        </w:tc>
        <w:tc>
          <w:tcPr>
            <w:tcW w:w="2899" w:type="dxa"/>
            <w:tcBorders>
              <w:top w:val="single" w:sz="12"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b/>
                <w:bCs/>
                <w:sz w:val="16"/>
                <w:szCs w:val="16"/>
              </w:rPr>
              <w:t>来源和依据</w:t>
            </w:r>
            <w:r>
              <w:rPr>
                <w:rFonts w:ascii="宋体" w:hAnsi="宋体" w:cs="宋体" w:eastAsia="宋体" w:hint="default"/>
                <w:sz w:val="16"/>
                <w:szCs w:val="16"/>
              </w:rPr>
            </w:r>
          </w:p>
        </w:tc>
        <w:tc>
          <w:tcPr>
            <w:tcW w:w="965" w:type="dxa"/>
            <w:tcBorders>
              <w:top w:val="single" w:sz="12" w:space="0" w:color="000000"/>
              <w:left w:val="nil" w:sz="6" w:space="0" w:color="auto"/>
              <w:bottom w:val="single" w:sz="4" w:space="0" w:color="000000"/>
              <w:right w:val="nil" w:sz="6" w:space="0" w:color="auto"/>
            </w:tcBorders>
          </w:tcPr>
          <w:p>
            <w:pPr>
              <w:pStyle w:val="TableParagraph"/>
              <w:spacing w:line="184" w:lineRule="exact"/>
              <w:ind w:left="79" w:right="0"/>
              <w:jc w:val="left"/>
              <w:rPr>
                <w:rFonts w:ascii="宋体" w:hAnsi="宋体" w:cs="宋体" w:eastAsia="宋体" w:hint="default"/>
                <w:sz w:val="16"/>
                <w:szCs w:val="16"/>
              </w:rPr>
            </w:pPr>
            <w:r>
              <w:rPr>
                <w:rFonts w:ascii="宋体" w:hAnsi="宋体" w:cs="宋体" w:eastAsia="宋体" w:hint="default"/>
                <w:b/>
                <w:bCs/>
                <w:sz w:val="16"/>
                <w:szCs w:val="16"/>
              </w:rPr>
              <w:t>与资产相关</w:t>
            </w:r>
            <w:r>
              <w:rPr>
                <w:rFonts w:ascii="宋体" w:hAnsi="宋体" w:cs="宋体" w:eastAsia="宋体" w:hint="default"/>
                <w:sz w:val="16"/>
                <w:szCs w:val="16"/>
              </w:rPr>
            </w:r>
          </w:p>
          <w:p>
            <w:pPr>
              <w:pStyle w:val="TableParagraph"/>
              <w:spacing w:line="208" w:lineRule="exact" w:before="19"/>
              <w:ind w:left="401" w:right="119" w:hanging="281"/>
              <w:jc w:val="left"/>
              <w:rPr>
                <w:rFonts w:ascii="宋体" w:hAnsi="宋体" w:cs="宋体" w:eastAsia="宋体" w:hint="default"/>
                <w:sz w:val="16"/>
                <w:szCs w:val="16"/>
              </w:rPr>
            </w:pPr>
            <w:r>
              <w:rPr>
                <w:rFonts w:ascii="宋体" w:hAnsi="宋体" w:cs="宋体" w:eastAsia="宋体" w:hint="default"/>
                <w:b/>
                <w:bCs/>
                <w:sz w:val="16"/>
                <w:szCs w:val="16"/>
              </w:rPr>
              <w:t>/</w:t>
            </w:r>
            <w:r>
              <w:rPr>
                <w:rFonts w:ascii="宋体" w:hAnsi="宋体" w:cs="宋体" w:eastAsia="宋体" w:hint="default"/>
                <w:b/>
                <w:bCs/>
                <w:sz w:val="16"/>
                <w:szCs w:val="16"/>
              </w:rPr>
              <w:t>与收益相</w:t>
            </w:r>
            <w:r>
              <w:rPr>
                <w:rFonts w:ascii="宋体" w:hAnsi="宋体" w:cs="宋体" w:eastAsia="宋体" w:hint="default"/>
                <w:b/>
                <w:bCs/>
                <w:w w:val="100"/>
                <w:sz w:val="16"/>
                <w:szCs w:val="16"/>
              </w:rPr>
              <w:t> </w:t>
            </w:r>
            <w:r>
              <w:rPr>
                <w:rFonts w:ascii="宋体" w:hAnsi="宋体" w:cs="宋体" w:eastAsia="宋体" w:hint="default"/>
                <w:b/>
                <w:bCs/>
                <w:sz w:val="16"/>
                <w:szCs w:val="16"/>
              </w:rPr>
              <w:t>关</w:t>
            </w:r>
            <w:r>
              <w:rPr>
                <w:rFonts w:ascii="宋体" w:hAnsi="宋体" w:cs="宋体" w:eastAsia="宋体" w:hint="default"/>
                <w:sz w:val="16"/>
                <w:szCs w:val="16"/>
              </w:rPr>
            </w:r>
          </w:p>
        </w:tc>
      </w:tr>
      <w:tr>
        <w:trPr>
          <w:trHeight w:val="471" w:hRule="exact"/>
        </w:trPr>
        <w:tc>
          <w:tcPr>
            <w:tcW w:w="2582" w:type="dxa"/>
            <w:tcBorders>
              <w:top w:val="single" w:sz="4" w:space="0" w:color="000000"/>
              <w:left w:val="nil" w:sz="6" w:space="0" w:color="auto"/>
              <w:bottom w:val="nil" w:sz="6" w:space="0" w:color="auto"/>
              <w:right w:val="nil" w:sz="6" w:space="0" w:color="auto"/>
            </w:tcBorders>
          </w:tcPr>
          <w:p>
            <w:pPr>
              <w:pStyle w:val="TableParagraph"/>
              <w:spacing w:line="183" w:lineRule="exact"/>
              <w:ind w:left="55" w:right="0"/>
              <w:jc w:val="left"/>
              <w:rPr>
                <w:rFonts w:ascii="宋体" w:hAnsi="宋体" w:cs="宋体" w:eastAsia="宋体" w:hint="default"/>
                <w:sz w:val="16"/>
                <w:szCs w:val="16"/>
              </w:rPr>
            </w:pPr>
            <w:r>
              <w:rPr>
                <w:rFonts w:ascii="宋体" w:hAnsi="宋体" w:cs="宋体" w:eastAsia="宋体" w:hint="default"/>
                <w:sz w:val="16"/>
                <w:szCs w:val="16"/>
              </w:rPr>
              <w:t>智能家庭健康管理系统的 </w:t>
            </w:r>
            <w:r>
              <w:rPr>
                <w:rFonts w:ascii="宋体" w:hAnsi="宋体" w:cs="宋体" w:eastAsia="宋体" w:hint="default"/>
                <w:sz w:val="16"/>
                <w:szCs w:val="16"/>
              </w:rPr>
              <w:t>DX</w:t>
            </w:r>
            <w:r>
              <w:rPr>
                <w:rFonts w:ascii="宋体" w:hAnsi="宋体" w:cs="宋体" w:eastAsia="宋体" w:hint="default"/>
                <w:spacing w:val="11"/>
                <w:sz w:val="16"/>
                <w:szCs w:val="16"/>
              </w:rPr>
              <w:t> </w:t>
            </w:r>
            <w:r>
              <w:rPr>
                <w:rFonts w:ascii="宋体" w:hAnsi="宋体" w:cs="宋体" w:eastAsia="宋体" w:hint="default"/>
                <w:sz w:val="16"/>
                <w:szCs w:val="16"/>
              </w:rPr>
              <w:t>系例</w:t>
            </w:r>
          </w:p>
          <w:p>
            <w:pPr>
              <w:pStyle w:val="TableParagraph"/>
              <w:spacing w:line="209" w:lineRule="exact"/>
              <w:ind w:left="55" w:right="0"/>
              <w:jc w:val="left"/>
              <w:rPr>
                <w:rFonts w:ascii="宋体" w:hAnsi="宋体" w:cs="宋体" w:eastAsia="宋体" w:hint="default"/>
                <w:sz w:val="16"/>
                <w:szCs w:val="16"/>
              </w:rPr>
            </w:pPr>
            <w:r>
              <w:rPr>
                <w:rFonts w:ascii="宋体" w:hAnsi="宋体" w:cs="宋体" w:eastAsia="宋体" w:hint="default"/>
                <w:sz w:val="16"/>
                <w:szCs w:val="16"/>
              </w:rPr>
              <w:t>数字液晶电视</w:t>
            </w:r>
          </w:p>
        </w:tc>
        <w:tc>
          <w:tcPr>
            <w:tcW w:w="1198"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13" w:right="0"/>
              <w:jc w:val="left"/>
              <w:rPr>
                <w:rFonts w:ascii="宋体" w:hAnsi="宋体" w:cs="宋体" w:eastAsia="宋体" w:hint="default"/>
                <w:sz w:val="16"/>
                <w:szCs w:val="16"/>
              </w:rPr>
            </w:pPr>
            <w:r>
              <w:rPr>
                <w:rFonts w:ascii="宋体"/>
                <w:sz w:val="16"/>
              </w:rPr>
              <w:t>2,000,000.00</w:t>
            </w:r>
          </w:p>
        </w:tc>
        <w:tc>
          <w:tcPr>
            <w:tcW w:w="112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55"/>
              <w:jc w:val="right"/>
              <w:rPr>
                <w:rFonts w:ascii="宋体" w:hAnsi="宋体" w:cs="宋体" w:eastAsia="宋体" w:hint="default"/>
                <w:sz w:val="16"/>
                <w:szCs w:val="16"/>
              </w:rPr>
            </w:pPr>
            <w:r>
              <w:rPr>
                <w:rFonts w:ascii="宋体"/>
                <w:spacing w:val="-1"/>
                <w:sz w:val="16"/>
              </w:rPr>
              <w:t>0.00</w:t>
            </w:r>
          </w:p>
        </w:tc>
        <w:tc>
          <w:tcPr>
            <w:tcW w:w="289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57" w:right="0"/>
              <w:jc w:val="left"/>
              <w:rPr>
                <w:rFonts w:ascii="宋体" w:hAnsi="宋体" w:cs="宋体" w:eastAsia="宋体" w:hint="default"/>
                <w:sz w:val="16"/>
                <w:szCs w:val="16"/>
              </w:rPr>
            </w:pPr>
            <w:r>
              <w:rPr>
                <w:rFonts w:ascii="宋体" w:hAnsi="宋体" w:cs="宋体" w:eastAsia="宋体" w:hint="default"/>
                <w:sz w:val="16"/>
                <w:szCs w:val="16"/>
              </w:rPr>
              <w:t>沈经信发【</w:t>
            </w:r>
            <w:r>
              <w:rPr>
                <w:rFonts w:ascii="宋体" w:hAnsi="宋体" w:cs="宋体" w:eastAsia="宋体" w:hint="default"/>
                <w:sz w:val="16"/>
                <w:szCs w:val="16"/>
              </w:rPr>
              <w:t>2016</w:t>
            </w:r>
            <w:r>
              <w:rPr>
                <w:rFonts w:ascii="宋体" w:hAnsi="宋体" w:cs="宋体" w:eastAsia="宋体" w:hint="default"/>
                <w:sz w:val="16"/>
                <w:szCs w:val="16"/>
              </w:rPr>
              <w:t>】</w:t>
            </w:r>
            <w:r>
              <w:rPr>
                <w:rFonts w:ascii="宋体" w:hAnsi="宋体" w:cs="宋体" w:eastAsia="宋体" w:hint="default"/>
                <w:sz w:val="16"/>
                <w:szCs w:val="16"/>
              </w:rPr>
              <w:t>10</w:t>
            </w:r>
            <w:r>
              <w:rPr>
                <w:rFonts w:ascii="宋体" w:hAnsi="宋体" w:cs="宋体" w:eastAsia="宋体" w:hint="default"/>
                <w:spacing w:val="-44"/>
                <w:sz w:val="16"/>
                <w:szCs w:val="16"/>
              </w:rPr>
              <w:t> </w:t>
            </w:r>
            <w:r>
              <w:rPr>
                <w:rFonts w:ascii="宋体" w:hAnsi="宋体" w:cs="宋体" w:eastAsia="宋体" w:hint="default"/>
                <w:sz w:val="16"/>
                <w:szCs w:val="16"/>
              </w:rPr>
              <w:t>号</w:t>
            </w:r>
          </w:p>
        </w:tc>
        <w:tc>
          <w:tcPr>
            <w:tcW w:w="96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362" w:hRule="exact"/>
        </w:trPr>
        <w:tc>
          <w:tcPr>
            <w:tcW w:w="258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5" w:right="0"/>
              <w:jc w:val="left"/>
              <w:rPr>
                <w:rFonts w:ascii="宋体" w:hAnsi="宋体" w:cs="宋体" w:eastAsia="宋体" w:hint="default"/>
                <w:sz w:val="16"/>
                <w:szCs w:val="16"/>
              </w:rPr>
            </w:pPr>
            <w:r>
              <w:rPr>
                <w:rFonts w:ascii="宋体" w:hAnsi="宋体" w:cs="宋体" w:eastAsia="宋体" w:hint="default"/>
                <w:sz w:val="16"/>
                <w:szCs w:val="16"/>
              </w:rPr>
              <w:t>节能专项资金</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13" w:right="0"/>
              <w:jc w:val="left"/>
              <w:rPr>
                <w:rFonts w:ascii="宋体" w:hAnsi="宋体" w:cs="宋体" w:eastAsia="宋体" w:hint="default"/>
                <w:sz w:val="16"/>
                <w:szCs w:val="16"/>
              </w:rPr>
            </w:pPr>
            <w:r>
              <w:rPr>
                <w:rFonts w:ascii="宋体"/>
                <w:sz w:val="16"/>
              </w:rPr>
              <w:t>1,807,000.00</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宋体" w:hAnsi="宋体" w:cs="宋体" w:eastAsia="宋体" w:hint="default"/>
                <w:sz w:val="16"/>
                <w:szCs w:val="16"/>
              </w:rPr>
            </w:pPr>
            <w:r>
              <w:rPr>
                <w:rFonts w:ascii="宋体"/>
                <w:spacing w:val="-1"/>
                <w:sz w:val="16"/>
              </w:rPr>
              <w:t>0.00</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 w:right="0"/>
              <w:jc w:val="left"/>
              <w:rPr>
                <w:rFonts w:ascii="宋体" w:hAnsi="宋体" w:cs="宋体" w:eastAsia="宋体" w:hint="default"/>
                <w:sz w:val="16"/>
                <w:szCs w:val="16"/>
              </w:rPr>
            </w:pPr>
            <w:r>
              <w:rPr>
                <w:rFonts w:ascii="宋体" w:hAnsi="宋体" w:cs="宋体" w:eastAsia="宋体" w:hint="default"/>
                <w:sz w:val="16"/>
                <w:szCs w:val="16"/>
              </w:rPr>
              <w:t>津工信节能〔</w:t>
            </w:r>
            <w:r>
              <w:rPr>
                <w:rFonts w:ascii="宋体" w:hAnsi="宋体" w:cs="宋体" w:eastAsia="宋体" w:hint="default"/>
                <w:sz w:val="16"/>
                <w:szCs w:val="16"/>
              </w:rPr>
              <w:t>2018</w:t>
            </w:r>
            <w:r>
              <w:rPr>
                <w:rFonts w:ascii="宋体" w:hAnsi="宋体" w:cs="宋体" w:eastAsia="宋体" w:hint="default"/>
                <w:sz w:val="16"/>
                <w:szCs w:val="16"/>
              </w:rPr>
              <w:t>〕</w:t>
            </w:r>
            <w:r>
              <w:rPr>
                <w:rFonts w:ascii="宋体" w:hAnsi="宋体" w:cs="宋体" w:eastAsia="宋体" w:hint="default"/>
                <w:sz w:val="16"/>
                <w:szCs w:val="16"/>
              </w:rPr>
              <w:t>19</w:t>
            </w:r>
            <w:r>
              <w:rPr>
                <w:rFonts w:ascii="宋体" w:hAnsi="宋体" w:cs="宋体" w:eastAsia="宋体" w:hint="default"/>
                <w:spacing w:val="-44"/>
                <w:sz w:val="16"/>
                <w:szCs w:val="16"/>
              </w:rPr>
              <w:t> </w:t>
            </w:r>
            <w:r>
              <w:rPr>
                <w:rFonts w:ascii="宋体" w:hAnsi="宋体" w:cs="宋体" w:eastAsia="宋体" w:hint="default"/>
                <w:sz w:val="16"/>
                <w:szCs w:val="16"/>
              </w:rPr>
              <w:t>号</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15" w:hRule="exact"/>
        </w:trPr>
        <w:tc>
          <w:tcPr>
            <w:tcW w:w="2582" w:type="dxa"/>
            <w:tcBorders>
              <w:top w:val="nil" w:sz="6" w:space="0" w:color="auto"/>
              <w:left w:val="nil" w:sz="6" w:space="0" w:color="auto"/>
              <w:bottom w:val="nil" w:sz="6" w:space="0" w:color="auto"/>
              <w:right w:val="nil" w:sz="6" w:space="0" w:color="auto"/>
            </w:tcBorders>
          </w:tcPr>
          <w:p>
            <w:pPr>
              <w:pStyle w:val="TableParagraph"/>
              <w:spacing w:line="183" w:lineRule="exact"/>
              <w:ind w:left="55" w:right="0"/>
              <w:jc w:val="left"/>
              <w:rPr>
                <w:rFonts w:ascii="宋体" w:hAnsi="宋体" w:cs="宋体" w:eastAsia="宋体" w:hint="default"/>
                <w:sz w:val="16"/>
                <w:szCs w:val="16"/>
              </w:rPr>
            </w:pPr>
            <w:r>
              <w:rPr>
                <w:rFonts w:ascii="宋体" w:hAnsi="宋体" w:cs="宋体" w:eastAsia="宋体" w:hint="default"/>
                <w:sz w:val="16"/>
                <w:szCs w:val="16"/>
              </w:rPr>
              <w:t>高新区经济运行与安全生产监管局</w:t>
            </w:r>
          </w:p>
          <w:p>
            <w:pPr>
              <w:pStyle w:val="TableParagraph"/>
              <w:spacing w:line="208" w:lineRule="exact"/>
              <w:ind w:left="55" w:right="0"/>
              <w:jc w:val="left"/>
              <w:rPr>
                <w:rFonts w:ascii="宋体" w:hAnsi="宋体" w:cs="宋体" w:eastAsia="宋体" w:hint="default"/>
                <w:sz w:val="16"/>
                <w:szCs w:val="16"/>
              </w:rPr>
            </w:pPr>
            <w:r>
              <w:rPr>
                <w:rFonts w:ascii="宋体" w:hAnsi="宋体" w:cs="宋体" w:eastAsia="宋体" w:hint="default"/>
                <w:sz w:val="16"/>
                <w:szCs w:val="16"/>
              </w:rPr>
              <w:t>政府税收补贴</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3" w:right="0"/>
              <w:jc w:val="left"/>
              <w:rPr>
                <w:rFonts w:ascii="宋体" w:hAnsi="宋体" w:cs="宋体" w:eastAsia="宋体" w:hint="default"/>
                <w:sz w:val="16"/>
                <w:szCs w:val="16"/>
              </w:rPr>
            </w:pPr>
            <w:r>
              <w:rPr>
                <w:rFonts w:ascii="宋体"/>
                <w:sz w:val="16"/>
              </w:rPr>
              <w:t>1,500,000.00</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5"/>
              <w:jc w:val="right"/>
              <w:rPr>
                <w:rFonts w:ascii="宋体" w:hAnsi="宋体" w:cs="宋体" w:eastAsia="宋体" w:hint="default"/>
                <w:sz w:val="16"/>
                <w:szCs w:val="16"/>
              </w:rPr>
            </w:pPr>
            <w:r>
              <w:rPr>
                <w:rFonts w:ascii="宋体"/>
                <w:spacing w:val="-1"/>
                <w:sz w:val="16"/>
              </w:rPr>
              <w:t>0.00</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7" w:right="0"/>
              <w:jc w:val="left"/>
              <w:rPr>
                <w:rFonts w:ascii="宋体" w:hAnsi="宋体" w:cs="宋体" w:eastAsia="宋体" w:hint="default"/>
                <w:sz w:val="16"/>
                <w:szCs w:val="16"/>
              </w:rPr>
            </w:pPr>
            <w:r>
              <w:rPr>
                <w:rFonts w:ascii="宋体" w:hAnsi="宋体" w:cs="宋体" w:eastAsia="宋体" w:hint="default"/>
                <w:sz w:val="16"/>
                <w:szCs w:val="16"/>
              </w:rPr>
              <w:t>高新区经济运行与安全生产监管局政府</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15" w:hRule="exact"/>
        </w:trPr>
        <w:tc>
          <w:tcPr>
            <w:tcW w:w="258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5" w:right="0"/>
              <w:jc w:val="left"/>
              <w:rPr>
                <w:rFonts w:ascii="宋体" w:hAnsi="宋体" w:cs="宋体" w:eastAsia="宋体" w:hint="default"/>
                <w:sz w:val="16"/>
                <w:szCs w:val="16"/>
              </w:rPr>
            </w:pPr>
            <w:r>
              <w:rPr>
                <w:rFonts w:ascii="宋体" w:hAnsi="宋体" w:cs="宋体" w:eastAsia="宋体" w:hint="default"/>
                <w:sz w:val="16"/>
                <w:szCs w:val="16"/>
              </w:rPr>
              <w:t>创新创业服务载体专项资金</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3" w:right="0"/>
              <w:jc w:val="left"/>
              <w:rPr>
                <w:rFonts w:ascii="宋体" w:hAnsi="宋体" w:cs="宋体" w:eastAsia="宋体" w:hint="default"/>
                <w:sz w:val="16"/>
                <w:szCs w:val="16"/>
              </w:rPr>
            </w:pPr>
            <w:r>
              <w:rPr>
                <w:rFonts w:ascii="宋体"/>
                <w:sz w:val="16"/>
              </w:rPr>
              <w:t>1,400,000.00</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5"/>
              <w:jc w:val="right"/>
              <w:rPr>
                <w:rFonts w:ascii="宋体" w:hAnsi="宋体" w:cs="宋体" w:eastAsia="宋体" w:hint="default"/>
                <w:sz w:val="16"/>
                <w:szCs w:val="16"/>
              </w:rPr>
            </w:pPr>
            <w:r>
              <w:rPr>
                <w:rFonts w:ascii="宋体"/>
                <w:spacing w:val="-1"/>
                <w:sz w:val="16"/>
              </w:rPr>
              <w:t>0.00</w:t>
            </w:r>
          </w:p>
        </w:tc>
        <w:tc>
          <w:tcPr>
            <w:tcW w:w="2899"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4"/>
                <w:sz w:val="16"/>
                <w:szCs w:val="16"/>
              </w:rPr>
              <w:t> </w:t>
            </w:r>
            <w:r>
              <w:rPr>
                <w:rFonts w:ascii="宋体" w:hAnsi="宋体" w:cs="宋体" w:eastAsia="宋体" w:hint="default"/>
                <w:sz w:val="16"/>
                <w:szCs w:val="16"/>
              </w:rPr>
              <w:t>年海淀区创新创业服务载体专项资</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金协议书</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15" w:hRule="exact"/>
        </w:trPr>
        <w:tc>
          <w:tcPr>
            <w:tcW w:w="258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5" w:right="0"/>
              <w:jc w:val="left"/>
              <w:rPr>
                <w:rFonts w:ascii="宋体" w:hAnsi="宋体" w:cs="宋体" w:eastAsia="宋体" w:hint="default"/>
                <w:sz w:val="16"/>
                <w:szCs w:val="16"/>
              </w:rPr>
            </w:pPr>
            <w:r>
              <w:rPr>
                <w:rFonts w:ascii="宋体" w:hAnsi="宋体" w:cs="宋体" w:eastAsia="宋体" w:hint="default"/>
                <w:sz w:val="16"/>
                <w:szCs w:val="16"/>
              </w:rPr>
              <w:t>研发费用补贴专项款</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3" w:right="0"/>
              <w:jc w:val="left"/>
              <w:rPr>
                <w:rFonts w:ascii="宋体" w:hAnsi="宋体" w:cs="宋体" w:eastAsia="宋体" w:hint="default"/>
                <w:sz w:val="16"/>
                <w:szCs w:val="16"/>
              </w:rPr>
            </w:pPr>
            <w:r>
              <w:rPr>
                <w:rFonts w:ascii="宋体"/>
                <w:sz w:val="16"/>
              </w:rPr>
              <w:t>1,000,000.00</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5"/>
              <w:jc w:val="right"/>
              <w:rPr>
                <w:rFonts w:ascii="宋体" w:hAnsi="宋体" w:cs="宋体" w:eastAsia="宋体" w:hint="default"/>
                <w:sz w:val="16"/>
                <w:szCs w:val="16"/>
              </w:rPr>
            </w:pPr>
            <w:r>
              <w:rPr>
                <w:rFonts w:ascii="宋体"/>
                <w:spacing w:val="-1"/>
                <w:sz w:val="16"/>
              </w:rPr>
              <w:t>0.00</w:t>
            </w:r>
          </w:p>
        </w:tc>
        <w:tc>
          <w:tcPr>
            <w:tcW w:w="2899"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z w:val="16"/>
                <w:szCs w:val="16"/>
              </w:rPr>
              <w:t>2018</w:t>
            </w:r>
            <w:r>
              <w:rPr>
                <w:rFonts w:ascii="宋体" w:hAnsi="宋体" w:cs="宋体" w:eastAsia="宋体" w:hint="default"/>
                <w:spacing w:val="-44"/>
                <w:sz w:val="16"/>
                <w:szCs w:val="16"/>
              </w:rPr>
              <w:t> </w:t>
            </w:r>
            <w:r>
              <w:rPr>
                <w:rFonts w:ascii="宋体" w:hAnsi="宋体" w:cs="宋体" w:eastAsia="宋体" w:hint="default"/>
                <w:sz w:val="16"/>
                <w:szCs w:val="16"/>
              </w:rPr>
              <w:t>年海淀区企业研发费用补贴专项申</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w w:val="100"/>
                <w:sz w:val="16"/>
                <w:szCs w:val="16"/>
              </w:rPr>
              <w:t>报</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391" w:hRule="exact"/>
        </w:trPr>
        <w:tc>
          <w:tcPr>
            <w:tcW w:w="258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5" w:right="0"/>
              <w:jc w:val="left"/>
              <w:rPr>
                <w:rFonts w:ascii="宋体" w:hAnsi="宋体" w:cs="宋体" w:eastAsia="宋体" w:hint="default"/>
                <w:sz w:val="16"/>
                <w:szCs w:val="16"/>
              </w:rPr>
            </w:pPr>
            <w:r>
              <w:rPr>
                <w:rFonts w:ascii="宋体" w:hAnsi="宋体" w:cs="宋体" w:eastAsia="宋体" w:hint="default"/>
                <w:sz w:val="16"/>
                <w:szCs w:val="16"/>
              </w:rPr>
              <w:t>直接债务工具融资中介费用补贴</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3" w:right="0"/>
              <w:jc w:val="left"/>
              <w:rPr>
                <w:rFonts w:ascii="宋体" w:hAnsi="宋体" w:cs="宋体" w:eastAsia="宋体" w:hint="default"/>
                <w:sz w:val="16"/>
                <w:szCs w:val="16"/>
              </w:rPr>
            </w:pPr>
            <w:r>
              <w:rPr>
                <w:rFonts w:ascii="宋体"/>
                <w:sz w:val="16"/>
              </w:rPr>
              <w:t>1,000,000.00</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5"/>
              <w:jc w:val="right"/>
              <w:rPr>
                <w:rFonts w:ascii="宋体" w:hAnsi="宋体" w:cs="宋体" w:eastAsia="宋体" w:hint="default"/>
                <w:sz w:val="16"/>
                <w:szCs w:val="16"/>
              </w:rPr>
            </w:pPr>
            <w:r>
              <w:rPr>
                <w:rFonts w:ascii="宋体"/>
                <w:spacing w:val="-1"/>
                <w:sz w:val="16"/>
              </w:rPr>
              <w:t>0.00</w:t>
            </w:r>
          </w:p>
        </w:tc>
        <w:tc>
          <w:tcPr>
            <w:tcW w:w="2899"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z w:val="16"/>
                <w:szCs w:val="16"/>
              </w:rPr>
              <w:t>《海淀区促进科技金融创新发展专项资</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金申报指南》第十二条</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bl>
    <w:p>
      <w:pPr>
        <w:spacing w:after="0" w:line="240" w:lineRule="auto"/>
        <w:jc w:val="center"/>
        <w:rPr>
          <w:rFonts w:ascii="宋体" w:hAnsi="宋体" w:cs="宋体" w:eastAsia="宋体" w:hint="default"/>
          <w:sz w:val="16"/>
          <w:szCs w:val="16"/>
        </w:rPr>
        <w:sectPr>
          <w:pgSz w:w="11910" w:h="16840"/>
          <w:pgMar w:header="0" w:footer="1034" w:top="1360" w:bottom="1220" w:left="1460" w:right="1440"/>
        </w:sectPr>
      </w:pPr>
    </w:p>
    <w:p>
      <w:pPr>
        <w:spacing w:line="240" w:lineRule="auto" w:before="6"/>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537"/>
        <w:gridCol w:w="1189"/>
        <w:gridCol w:w="1176"/>
        <w:gridCol w:w="2899"/>
        <w:gridCol w:w="965"/>
      </w:tblGrid>
      <w:tr>
        <w:trPr>
          <w:trHeight w:val="644" w:hRule="exact"/>
        </w:trPr>
        <w:tc>
          <w:tcPr>
            <w:tcW w:w="2537" w:type="dxa"/>
            <w:tcBorders>
              <w:top w:val="single" w:sz="12"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5"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189" w:type="dxa"/>
            <w:tcBorders>
              <w:top w:val="single" w:sz="12"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16"/>
                <w:szCs w:val="16"/>
              </w:rPr>
            </w:pPr>
            <w:r>
              <w:rPr>
                <w:rFonts w:ascii="宋体" w:hAnsi="宋体" w:cs="宋体" w:eastAsia="宋体" w:hint="default"/>
                <w:b/>
                <w:bCs/>
                <w:sz w:val="16"/>
                <w:szCs w:val="16"/>
              </w:rPr>
              <w:t>本年发生额</w:t>
            </w:r>
            <w:r>
              <w:rPr>
                <w:rFonts w:ascii="宋体" w:hAnsi="宋体" w:cs="宋体" w:eastAsia="宋体" w:hint="default"/>
                <w:sz w:val="16"/>
                <w:szCs w:val="16"/>
              </w:rPr>
            </w:r>
          </w:p>
        </w:tc>
        <w:tc>
          <w:tcPr>
            <w:tcW w:w="1176" w:type="dxa"/>
            <w:tcBorders>
              <w:top w:val="single" w:sz="12"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16"/>
                <w:szCs w:val="16"/>
              </w:rPr>
            </w:pPr>
            <w:r>
              <w:rPr>
                <w:rFonts w:ascii="宋体" w:hAnsi="宋体" w:cs="宋体" w:eastAsia="宋体" w:hint="default"/>
                <w:b/>
                <w:bCs/>
                <w:sz w:val="16"/>
                <w:szCs w:val="16"/>
              </w:rPr>
              <w:t>上年发生额</w:t>
            </w:r>
            <w:r>
              <w:rPr>
                <w:rFonts w:ascii="宋体" w:hAnsi="宋体" w:cs="宋体" w:eastAsia="宋体" w:hint="default"/>
                <w:sz w:val="16"/>
                <w:szCs w:val="16"/>
              </w:rPr>
            </w:r>
          </w:p>
        </w:tc>
        <w:tc>
          <w:tcPr>
            <w:tcW w:w="2899" w:type="dxa"/>
            <w:tcBorders>
              <w:top w:val="single" w:sz="12"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6"/>
                <w:szCs w:val="16"/>
              </w:rPr>
            </w:pPr>
            <w:r>
              <w:rPr>
                <w:rFonts w:ascii="宋体" w:hAnsi="宋体" w:cs="宋体" w:eastAsia="宋体" w:hint="default"/>
                <w:b/>
                <w:bCs/>
                <w:sz w:val="16"/>
                <w:szCs w:val="16"/>
              </w:rPr>
              <w:t>来源和依据</w:t>
            </w:r>
            <w:r>
              <w:rPr>
                <w:rFonts w:ascii="宋体" w:hAnsi="宋体" w:cs="宋体" w:eastAsia="宋体" w:hint="default"/>
                <w:sz w:val="16"/>
                <w:szCs w:val="16"/>
              </w:rPr>
            </w:r>
          </w:p>
        </w:tc>
        <w:tc>
          <w:tcPr>
            <w:tcW w:w="965" w:type="dxa"/>
            <w:tcBorders>
              <w:top w:val="single" w:sz="12" w:space="0" w:color="000000"/>
              <w:left w:val="nil" w:sz="6" w:space="0" w:color="auto"/>
              <w:bottom w:val="single" w:sz="4" w:space="0" w:color="000000"/>
              <w:right w:val="nil" w:sz="6" w:space="0" w:color="auto"/>
            </w:tcBorders>
          </w:tcPr>
          <w:p>
            <w:pPr>
              <w:pStyle w:val="TableParagraph"/>
              <w:spacing w:line="183" w:lineRule="exact"/>
              <w:ind w:left="79" w:right="0"/>
              <w:jc w:val="left"/>
              <w:rPr>
                <w:rFonts w:ascii="宋体" w:hAnsi="宋体" w:cs="宋体" w:eastAsia="宋体" w:hint="default"/>
                <w:sz w:val="16"/>
                <w:szCs w:val="16"/>
              </w:rPr>
            </w:pPr>
            <w:r>
              <w:rPr>
                <w:rFonts w:ascii="宋体" w:hAnsi="宋体" w:cs="宋体" w:eastAsia="宋体" w:hint="default"/>
                <w:b/>
                <w:bCs/>
                <w:sz w:val="16"/>
                <w:szCs w:val="16"/>
              </w:rPr>
              <w:t>与资产相关</w:t>
            </w:r>
            <w:r>
              <w:rPr>
                <w:rFonts w:ascii="宋体" w:hAnsi="宋体" w:cs="宋体" w:eastAsia="宋体" w:hint="default"/>
                <w:sz w:val="16"/>
                <w:szCs w:val="16"/>
              </w:rPr>
            </w:r>
          </w:p>
          <w:p>
            <w:pPr>
              <w:pStyle w:val="TableParagraph"/>
              <w:spacing w:line="206" w:lineRule="exact" w:before="21"/>
              <w:ind w:left="401" w:right="119" w:hanging="281"/>
              <w:jc w:val="left"/>
              <w:rPr>
                <w:rFonts w:ascii="宋体" w:hAnsi="宋体" w:cs="宋体" w:eastAsia="宋体" w:hint="default"/>
                <w:sz w:val="16"/>
                <w:szCs w:val="16"/>
              </w:rPr>
            </w:pPr>
            <w:r>
              <w:rPr>
                <w:rFonts w:ascii="宋体" w:hAnsi="宋体" w:cs="宋体" w:eastAsia="宋体" w:hint="default"/>
                <w:b/>
                <w:bCs/>
                <w:sz w:val="16"/>
                <w:szCs w:val="16"/>
              </w:rPr>
              <w:t>/</w:t>
            </w:r>
            <w:r>
              <w:rPr>
                <w:rFonts w:ascii="宋体" w:hAnsi="宋体" w:cs="宋体" w:eastAsia="宋体" w:hint="default"/>
                <w:b/>
                <w:bCs/>
                <w:sz w:val="16"/>
                <w:szCs w:val="16"/>
              </w:rPr>
              <w:t>与收益相</w:t>
            </w:r>
            <w:r>
              <w:rPr>
                <w:rFonts w:ascii="宋体" w:hAnsi="宋体" w:cs="宋体" w:eastAsia="宋体" w:hint="default"/>
                <w:b/>
                <w:bCs/>
                <w:w w:val="100"/>
                <w:sz w:val="16"/>
                <w:szCs w:val="16"/>
              </w:rPr>
              <w:t> </w:t>
            </w:r>
            <w:r>
              <w:rPr>
                <w:rFonts w:ascii="宋体" w:hAnsi="宋体" w:cs="宋体" w:eastAsia="宋体" w:hint="default"/>
                <w:b/>
                <w:bCs/>
                <w:sz w:val="16"/>
                <w:szCs w:val="16"/>
              </w:rPr>
              <w:t>关</w:t>
            </w:r>
            <w:r>
              <w:rPr>
                <w:rFonts w:ascii="宋体" w:hAnsi="宋体" w:cs="宋体" w:eastAsia="宋体" w:hint="default"/>
                <w:sz w:val="16"/>
                <w:szCs w:val="16"/>
              </w:rPr>
            </w:r>
          </w:p>
        </w:tc>
      </w:tr>
      <w:tr>
        <w:trPr>
          <w:trHeight w:val="419" w:hRule="exact"/>
        </w:trPr>
        <w:tc>
          <w:tcPr>
            <w:tcW w:w="253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55" w:right="0"/>
              <w:jc w:val="left"/>
              <w:rPr>
                <w:rFonts w:ascii="宋体" w:hAnsi="宋体" w:cs="宋体" w:eastAsia="宋体" w:hint="default"/>
                <w:sz w:val="16"/>
                <w:szCs w:val="16"/>
              </w:rPr>
            </w:pPr>
            <w:r>
              <w:rPr>
                <w:rFonts w:ascii="宋体" w:hAnsi="宋体" w:cs="宋体" w:eastAsia="宋体" w:hint="default"/>
                <w:sz w:val="16"/>
                <w:szCs w:val="16"/>
              </w:rPr>
              <w:t>重点培育企业专项奖励</w:t>
            </w:r>
          </w:p>
        </w:tc>
        <w:tc>
          <w:tcPr>
            <w:tcW w:w="118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67"/>
              <w:jc w:val="right"/>
              <w:rPr>
                <w:rFonts w:ascii="宋体" w:hAnsi="宋体" w:cs="宋体" w:eastAsia="宋体" w:hint="default"/>
                <w:sz w:val="16"/>
                <w:szCs w:val="16"/>
              </w:rPr>
            </w:pPr>
            <w:r>
              <w:rPr>
                <w:rFonts w:ascii="宋体"/>
                <w:spacing w:val="-2"/>
                <w:sz w:val="16"/>
              </w:rPr>
              <w:t>1,000,000.00</w:t>
            </w:r>
          </w:p>
        </w:tc>
        <w:tc>
          <w:tcPr>
            <w:tcW w:w="117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55"/>
              <w:jc w:val="right"/>
              <w:rPr>
                <w:rFonts w:ascii="宋体" w:hAnsi="宋体" w:cs="宋体" w:eastAsia="宋体" w:hint="default"/>
                <w:sz w:val="16"/>
                <w:szCs w:val="16"/>
              </w:rPr>
            </w:pPr>
            <w:r>
              <w:rPr>
                <w:rFonts w:ascii="宋体"/>
                <w:spacing w:val="-1"/>
                <w:sz w:val="16"/>
              </w:rPr>
              <w:t>0.00</w:t>
            </w:r>
          </w:p>
        </w:tc>
        <w:tc>
          <w:tcPr>
            <w:tcW w:w="2899" w:type="dxa"/>
            <w:tcBorders>
              <w:top w:val="single" w:sz="4" w:space="0" w:color="000000"/>
              <w:left w:val="nil" w:sz="6" w:space="0" w:color="auto"/>
              <w:bottom w:val="nil" w:sz="6" w:space="0" w:color="auto"/>
              <w:right w:val="nil" w:sz="6" w:space="0" w:color="auto"/>
            </w:tcBorders>
          </w:tcPr>
          <w:p>
            <w:pPr>
              <w:pStyle w:val="TableParagraph"/>
              <w:spacing w:line="182" w:lineRule="exact"/>
              <w:ind w:left="57" w:right="0"/>
              <w:jc w:val="left"/>
              <w:rPr>
                <w:rFonts w:ascii="宋体" w:hAnsi="宋体" w:cs="宋体" w:eastAsia="宋体" w:hint="default"/>
                <w:sz w:val="16"/>
                <w:szCs w:val="16"/>
              </w:rPr>
            </w:pPr>
            <w:r>
              <w:rPr>
                <w:rFonts w:ascii="宋体" w:hAnsi="宋体" w:cs="宋体" w:eastAsia="宋体" w:hint="default"/>
                <w:sz w:val="16"/>
                <w:szCs w:val="16"/>
              </w:rPr>
              <w:t>海行发规</w:t>
            </w:r>
            <w:r>
              <w:rPr>
                <w:rFonts w:ascii="宋体" w:hAnsi="宋体" w:cs="宋体" w:eastAsia="宋体" w:hint="default"/>
                <w:sz w:val="16"/>
                <w:szCs w:val="16"/>
              </w:rPr>
              <w:t>[2014]10</w:t>
            </w:r>
            <w:r>
              <w:rPr>
                <w:rFonts w:ascii="宋体" w:hAnsi="宋体" w:cs="宋体" w:eastAsia="宋体" w:hint="default"/>
                <w:spacing w:val="-47"/>
                <w:sz w:val="16"/>
                <w:szCs w:val="16"/>
              </w:rPr>
              <w:t> </w:t>
            </w:r>
            <w:r>
              <w:rPr>
                <w:rFonts w:ascii="宋体" w:hAnsi="宋体" w:cs="宋体" w:eastAsia="宋体" w:hint="default"/>
                <w:sz w:val="16"/>
                <w:szCs w:val="16"/>
              </w:rPr>
              <w:t>号《海淀区促进重点</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产业发展支持办法》</w:t>
            </w:r>
          </w:p>
        </w:tc>
        <w:tc>
          <w:tcPr>
            <w:tcW w:w="965"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15" w:hRule="exact"/>
        </w:trPr>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5" w:right="0"/>
              <w:jc w:val="left"/>
              <w:rPr>
                <w:rFonts w:ascii="宋体" w:hAnsi="宋体" w:cs="宋体" w:eastAsia="宋体" w:hint="default"/>
                <w:sz w:val="16"/>
                <w:szCs w:val="16"/>
              </w:rPr>
            </w:pPr>
            <w:r>
              <w:rPr>
                <w:rFonts w:ascii="宋体" w:hAnsi="宋体" w:cs="宋体" w:eastAsia="宋体" w:hint="default"/>
                <w:sz w:val="16"/>
                <w:szCs w:val="16"/>
              </w:rPr>
              <w:t>落户奖励</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7"/>
              <w:jc w:val="right"/>
              <w:rPr>
                <w:rFonts w:ascii="宋体" w:hAnsi="宋体" w:cs="宋体" w:eastAsia="宋体" w:hint="default"/>
                <w:sz w:val="16"/>
                <w:szCs w:val="16"/>
              </w:rPr>
            </w:pPr>
            <w:r>
              <w:rPr>
                <w:rFonts w:ascii="宋体"/>
                <w:spacing w:val="-1"/>
                <w:sz w:val="16"/>
              </w:rPr>
              <w:t>0.00</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5"/>
              <w:jc w:val="right"/>
              <w:rPr>
                <w:rFonts w:ascii="宋体" w:hAnsi="宋体" w:cs="宋体" w:eastAsia="宋体" w:hint="default"/>
                <w:sz w:val="16"/>
                <w:szCs w:val="16"/>
              </w:rPr>
            </w:pPr>
            <w:r>
              <w:rPr>
                <w:rFonts w:ascii="宋体"/>
                <w:spacing w:val="-2"/>
                <w:sz w:val="16"/>
              </w:rPr>
              <w:t>10,000,000.00</w:t>
            </w:r>
          </w:p>
        </w:tc>
        <w:tc>
          <w:tcPr>
            <w:tcW w:w="2899"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z w:val="16"/>
                <w:szCs w:val="16"/>
              </w:rPr>
              <w:t>深圳市福田区产业发展专项资金支持金</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融业和企业上市实施细则</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15" w:hRule="exact"/>
        </w:trPr>
        <w:tc>
          <w:tcPr>
            <w:tcW w:w="2537" w:type="dxa"/>
            <w:tcBorders>
              <w:top w:val="nil" w:sz="6" w:space="0" w:color="auto"/>
              <w:left w:val="nil" w:sz="6" w:space="0" w:color="auto"/>
              <w:bottom w:val="nil" w:sz="6" w:space="0" w:color="auto"/>
              <w:right w:val="nil" w:sz="6" w:space="0" w:color="auto"/>
            </w:tcBorders>
          </w:tcPr>
          <w:p>
            <w:pPr>
              <w:pStyle w:val="TableParagraph"/>
              <w:spacing w:line="183" w:lineRule="exact"/>
              <w:ind w:left="55" w:right="0"/>
              <w:jc w:val="left"/>
              <w:rPr>
                <w:rFonts w:ascii="宋体" w:hAnsi="宋体" w:cs="宋体" w:eastAsia="宋体" w:hint="default"/>
                <w:sz w:val="16"/>
                <w:szCs w:val="16"/>
              </w:rPr>
            </w:pPr>
            <w:r>
              <w:rPr>
                <w:rFonts w:ascii="宋体" w:hAnsi="宋体" w:cs="宋体" w:eastAsia="宋体" w:hint="default"/>
                <w:sz w:val="16"/>
                <w:szCs w:val="16"/>
              </w:rPr>
              <w:t>2016</w:t>
            </w:r>
            <w:r>
              <w:rPr>
                <w:rFonts w:ascii="宋体" w:hAnsi="宋体" w:cs="宋体" w:eastAsia="宋体" w:hint="default"/>
                <w:spacing w:val="36"/>
                <w:sz w:val="16"/>
                <w:szCs w:val="16"/>
              </w:rPr>
              <w:t> </w:t>
            </w:r>
            <w:r>
              <w:rPr>
                <w:rFonts w:ascii="宋体" w:hAnsi="宋体" w:cs="宋体" w:eastAsia="宋体" w:hint="default"/>
                <w:spacing w:val="4"/>
                <w:sz w:val="16"/>
                <w:szCs w:val="16"/>
              </w:rPr>
              <w:t>年度中关村技术创新能力建</w:t>
            </w:r>
          </w:p>
          <w:p>
            <w:pPr>
              <w:pStyle w:val="TableParagraph"/>
              <w:spacing w:line="208" w:lineRule="exact"/>
              <w:ind w:left="55" w:right="0"/>
              <w:jc w:val="left"/>
              <w:rPr>
                <w:rFonts w:ascii="宋体" w:hAnsi="宋体" w:cs="宋体" w:eastAsia="宋体" w:hint="default"/>
                <w:sz w:val="16"/>
                <w:szCs w:val="16"/>
              </w:rPr>
            </w:pPr>
            <w:r>
              <w:rPr>
                <w:rFonts w:ascii="宋体" w:hAnsi="宋体" w:cs="宋体" w:eastAsia="宋体" w:hint="default"/>
                <w:sz w:val="16"/>
                <w:szCs w:val="16"/>
              </w:rPr>
              <w:t>设专项资金</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7"/>
              <w:jc w:val="right"/>
              <w:rPr>
                <w:rFonts w:ascii="宋体" w:hAnsi="宋体" w:cs="宋体" w:eastAsia="宋体" w:hint="default"/>
                <w:sz w:val="16"/>
                <w:szCs w:val="16"/>
              </w:rPr>
            </w:pPr>
            <w:r>
              <w:rPr>
                <w:rFonts w:ascii="宋体"/>
                <w:spacing w:val="-1"/>
                <w:sz w:val="16"/>
              </w:rPr>
              <w:t>0.00</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5"/>
              <w:jc w:val="right"/>
              <w:rPr>
                <w:rFonts w:ascii="宋体" w:hAnsi="宋体" w:cs="宋体" w:eastAsia="宋体" w:hint="default"/>
                <w:sz w:val="16"/>
                <w:szCs w:val="16"/>
              </w:rPr>
            </w:pPr>
            <w:r>
              <w:rPr>
                <w:rFonts w:ascii="宋体"/>
                <w:spacing w:val="-2"/>
                <w:sz w:val="16"/>
              </w:rPr>
              <w:t>3,150,000.00</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7" w:right="0"/>
              <w:jc w:val="left"/>
              <w:rPr>
                <w:rFonts w:ascii="宋体" w:hAnsi="宋体" w:cs="宋体" w:eastAsia="宋体" w:hint="default"/>
                <w:sz w:val="16"/>
                <w:szCs w:val="16"/>
              </w:rPr>
            </w:pPr>
            <w:r>
              <w:rPr>
                <w:rFonts w:ascii="宋体" w:hAnsi="宋体" w:cs="宋体" w:eastAsia="宋体" w:hint="default"/>
                <w:sz w:val="16"/>
                <w:szCs w:val="16"/>
              </w:rPr>
              <w:t>首都知识产权服务业协会</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15" w:hRule="exact"/>
        </w:trPr>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5" w:right="0"/>
              <w:jc w:val="left"/>
              <w:rPr>
                <w:rFonts w:ascii="宋体" w:hAnsi="宋体" w:cs="宋体" w:eastAsia="宋体" w:hint="default"/>
                <w:sz w:val="16"/>
                <w:szCs w:val="16"/>
              </w:rPr>
            </w:pPr>
            <w:r>
              <w:rPr>
                <w:rFonts w:ascii="宋体" w:hAnsi="宋体" w:cs="宋体" w:eastAsia="宋体" w:hint="default"/>
                <w:sz w:val="16"/>
                <w:szCs w:val="16"/>
              </w:rPr>
              <w:t>工业投入重大项目奖奖金</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7"/>
              <w:jc w:val="right"/>
              <w:rPr>
                <w:rFonts w:ascii="宋体" w:hAnsi="宋体" w:cs="宋体" w:eastAsia="宋体" w:hint="default"/>
                <w:sz w:val="16"/>
                <w:szCs w:val="16"/>
              </w:rPr>
            </w:pPr>
            <w:r>
              <w:rPr>
                <w:rFonts w:ascii="宋体"/>
                <w:spacing w:val="-1"/>
                <w:sz w:val="16"/>
              </w:rPr>
              <w:t>0.00</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5"/>
              <w:jc w:val="right"/>
              <w:rPr>
                <w:rFonts w:ascii="宋体" w:hAnsi="宋体" w:cs="宋体" w:eastAsia="宋体" w:hint="default"/>
                <w:sz w:val="16"/>
                <w:szCs w:val="16"/>
              </w:rPr>
            </w:pPr>
            <w:r>
              <w:rPr>
                <w:rFonts w:ascii="宋体"/>
                <w:spacing w:val="-2"/>
                <w:sz w:val="16"/>
              </w:rPr>
              <w:t>1,000,000.00</w:t>
            </w:r>
          </w:p>
        </w:tc>
        <w:tc>
          <w:tcPr>
            <w:tcW w:w="2899"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z w:val="16"/>
                <w:szCs w:val="16"/>
              </w:rPr>
              <w:t>常州市金坛区财政局常州市金坛区工业</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投入重大项目奖</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34" w:hRule="exact"/>
        </w:trPr>
        <w:tc>
          <w:tcPr>
            <w:tcW w:w="2537" w:type="dxa"/>
            <w:tcBorders>
              <w:top w:val="nil" w:sz="6" w:space="0" w:color="auto"/>
              <w:left w:val="nil" w:sz="6" w:space="0" w:color="auto"/>
              <w:bottom w:val="nil" w:sz="6" w:space="0" w:color="auto"/>
              <w:right w:val="nil" w:sz="6" w:space="0" w:color="auto"/>
            </w:tcBorders>
          </w:tcPr>
          <w:p>
            <w:pPr>
              <w:pStyle w:val="TableParagraph"/>
              <w:spacing w:line="183" w:lineRule="exact"/>
              <w:ind w:left="55" w:right="0"/>
              <w:jc w:val="left"/>
              <w:rPr>
                <w:rFonts w:ascii="宋体" w:hAnsi="宋体" w:cs="宋体" w:eastAsia="宋体" w:hint="default"/>
                <w:sz w:val="16"/>
                <w:szCs w:val="16"/>
              </w:rPr>
            </w:pPr>
            <w:r>
              <w:rPr>
                <w:rFonts w:ascii="宋体" w:hAnsi="宋体" w:cs="宋体" w:eastAsia="宋体" w:hint="default"/>
                <w:sz w:val="16"/>
                <w:szCs w:val="16"/>
              </w:rPr>
              <w:t>镍基板项目第三批发展专项资金补</w:t>
            </w:r>
          </w:p>
          <w:p>
            <w:pPr>
              <w:pStyle w:val="TableParagraph"/>
              <w:spacing w:line="208" w:lineRule="exact"/>
              <w:ind w:left="55" w:right="0"/>
              <w:jc w:val="left"/>
              <w:rPr>
                <w:rFonts w:ascii="宋体" w:hAnsi="宋体" w:cs="宋体" w:eastAsia="宋体" w:hint="default"/>
                <w:sz w:val="16"/>
                <w:szCs w:val="16"/>
              </w:rPr>
            </w:pPr>
            <w:r>
              <w:rPr>
                <w:rFonts w:ascii="宋体" w:hAnsi="宋体" w:cs="宋体" w:eastAsia="宋体" w:hint="default"/>
                <w:w w:val="100"/>
                <w:sz w:val="16"/>
                <w:szCs w:val="16"/>
              </w:rPr>
              <w:t>贴</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7"/>
              <w:jc w:val="right"/>
              <w:rPr>
                <w:rFonts w:ascii="宋体" w:hAnsi="宋体" w:cs="宋体" w:eastAsia="宋体" w:hint="default"/>
                <w:sz w:val="16"/>
                <w:szCs w:val="16"/>
              </w:rPr>
            </w:pPr>
            <w:r>
              <w:rPr>
                <w:rFonts w:ascii="宋体"/>
                <w:spacing w:val="-1"/>
                <w:sz w:val="16"/>
              </w:rPr>
              <w:t>0.00</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55"/>
              <w:jc w:val="right"/>
              <w:rPr>
                <w:rFonts w:ascii="宋体" w:hAnsi="宋体" w:cs="宋体" w:eastAsia="宋体" w:hint="default"/>
                <w:sz w:val="16"/>
                <w:szCs w:val="16"/>
              </w:rPr>
            </w:pPr>
            <w:r>
              <w:rPr>
                <w:rFonts w:ascii="宋体"/>
                <w:spacing w:val="-2"/>
                <w:sz w:val="16"/>
              </w:rPr>
              <w:t>5,400,000.00</w:t>
            </w:r>
          </w:p>
        </w:tc>
        <w:tc>
          <w:tcPr>
            <w:tcW w:w="2899"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z w:val="16"/>
                <w:szCs w:val="16"/>
              </w:rPr>
              <w:t>广东省战略性新兴产业专项资金</w:t>
            </w:r>
            <w:r>
              <w:rPr>
                <w:rFonts w:ascii="宋体" w:hAnsi="宋体" w:cs="宋体" w:eastAsia="宋体" w:hint="default"/>
                <w:spacing w:val="-42"/>
                <w:sz w:val="16"/>
                <w:szCs w:val="16"/>
              </w:rPr>
              <w:t> </w:t>
            </w:r>
            <w:r>
              <w:rPr>
                <w:rFonts w:ascii="宋体" w:hAnsi="宋体" w:cs="宋体" w:eastAsia="宋体" w:hint="default"/>
                <w:sz w:val="16"/>
                <w:szCs w:val="16"/>
              </w:rPr>
              <w:t>LED</w:t>
            </w:r>
            <w:r>
              <w:rPr>
                <w:rFonts w:ascii="宋体" w:hAnsi="宋体" w:cs="宋体" w:eastAsia="宋体" w:hint="default"/>
                <w:spacing w:val="-39"/>
                <w:sz w:val="16"/>
                <w:szCs w:val="16"/>
              </w:rPr>
              <w:t> </w:t>
            </w:r>
            <w:r>
              <w:rPr>
                <w:rFonts w:ascii="宋体" w:hAnsi="宋体" w:cs="宋体" w:eastAsia="宋体" w:hint="default"/>
                <w:sz w:val="16"/>
                <w:szCs w:val="16"/>
              </w:rPr>
              <w:t>产</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业项目</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65" w:hRule="exact"/>
        </w:trPr>
        <w:tc>
          <w:tcPr>
            <w:tcW w:w="2537" w:type="dxa"/>
            <w:tcBorders>
              <w:top w:val="nil" w:sz="6" w:space="0" w:color="auto"/>
              <w:left w:val="nil" w:sz="6" w:space="0" w:color="auto"/>
              <w:bottom w:val="nil" w:sz="6" w:space="0" w:color="auto"/>
              <w:right w:val="nil" w:sz="6" w:space="0" w:color="auto"/>
            </w:tcBorders>
          </w:tcPr>
          <w:p>
            <w:pPr>
              <w:pStyle w:val="TableParagraph"/>
              <w:spacing w:line="204" w:lineRule="exact"/>
              <w:ind w:left="55" w:right="0"/>
              <w:jc w:val="left"/>
              <w:rPr>
                <w:rFonts w:ascii="宋体" w:hAnsi="宋体" w:cs="宋体" w:eastAsia="宋体" w:hint="default"/>
                <w:sz w:val="16"/>
                <w:szCs w:val="16"/>
              </w:rPr>
            </w:pPr>
            <w:r>
              <w:rPr>
                <w:rFonts w:ascii="宋体" w:hAnsi="宋体" w:cs="宋体" w:eastAsia="宋体" w:hint="default"/>
                <w:sz w:val="16"/>
                <w:szCs w:val="16"/>
              </w:rPr>
              <w:t>北京市商务委出口奖励资金</w:t>
            </w:r>
          </w:p>
        </w:tc>
        <w:tc>
          <w:tcPr>
            <w:tcW w:w="1189" w:type="dxa"/>
            <w:tcBorders>
              <w:top w:val="nil" w:sz="6" w:space="0" w:color="auto"/>
              <w:left w:val="nil" w:sz="6" w:space="0" w:color="auto"/>
              <w:bottom w:val="nil" w:sz="6" w:space="0" w:color="auto"/>
              <w:right w:val="nil" w:sz="6" w:space="0" w:color="auto"/>
            </w:tcBorders>
          </w:tcPr>
          <w:p>
            <w:pPr>
              <w:pStyle w:val="TableParagraph"/>
              <w:spacing w:line="204" w:lineRule="exact"/>
              <w:ind w:right="67"/>
              <w:jc w:val="right"/>
              <w:rPr>
                <w:rFonts w:ascii="宋体" w:hAnsi="宋体" w:cs="宋体" w:eastAsia="宋体" w:hint="default"/>
                <w:sz w:val="16"/>
                <w:szCs w:val="16"/>
              </w:rPr>
            </w:pPr>
            <w:r>
              <w:rPr>
                <w:rFonts w:ascii="宋体"/>
                <w:spacing w:val="-1"/>
                <w:sz w:val="16"/>
              </w:rPr>
              <w:t>0.00</w:t>
            </w:r>
          </w:p>
        </w:tc>
        <w:tc>
          <w:tcPr>
            <w:tcW w:w="1176" w:type="dxa"/>
            <w:tcBorders>
              <w:top w:val="nil" w:sz="6" w:space="0" w:color="auto"/>
              <w:left w:val="nil" w:sz="6" w:space="0" w:color="auto"/>
              <w:bottom w:val="nil" w:sz="6" w:space="0" w:color="auto"/>
              <w:right w:val="nil" w:sz="6" w:space="0" w:color="auto"/>
            </w:tcBorders>
          </w:tcPr>
          <w:p>
            <w:pPr>
              <w:pStyle w:val="TableParagraph"/>
              <w:spacing w:line="204" w:lineRule="exact"/>
              <w:ind w:right="55"/>
              <w:jc w:val="right"/>
              <w:rPr>
                <w:rFonts w:ascii="宋体" w:hAnsi="宋体" w:cs="宋体" w:eastAsia="宋体" w:hint="default"/>
                <w:sz w:val="16"/>
                <w:szCs w:val="16"/>
              </w:rPr>
            </w:pPr>
            <w:r>
              <w:rPr>
                <w:rFonts w:ascii="宋体"/>
                <w:spacing w:val="-2"/>
                <w:sz w:val="16"/>
              </w:rPr>
              <w:t>2,356,595.00</w:t>
            </w:r>
          </w:p>
        </w:tc>
        <w:tc>
          <w:tcPr>
            <w:tcW w:w="2899" w:type="dxa"/>
            <w:tcBorders>
              <w:top w:val="nil" w:sz="6" w:space="0" w:color="auto"/>
              <w:left w:val="nil" w:sz="6" w:space="0" w:color="auto"/>
              <w:bottom w:val="nil" w:sz="6" w:space="0" w:color="auto"/>
              <w:right w:val="nil" w:sz="6" w:space="0" w:color="auto"/>
            </w:tcBorders>
          </w:tcPr>
          <w:p>
            <w:pPr>
              <w:pStyle w:val="TableParagraph"/>
              <w:spacing w:line="204" w:lineRule="exact"/>
              <w:ind w:left="57" w:right="0"/>
              <w:jc w:val="left"/>
              <w:rPr>
                <w:rFonts w:ascii="宋体" w:hAnsi="宋体" w:cs="宋体" w:eastAsia="宋体" w:hint="default"/>
                <w:sz w:val="16"/>
                <w:szCs w:val="16"/>
              </w:rPr>
            </w:pPr>
            <w:r>
              <w:rPr>
                <w:rFonts w:ascii="宋体" w:hAnsi="宋体" w:cs="宋体" w:eastAsia="宋体" w:hint="default"/>
                <w:sz w:val="16"/>
                <w:szCs w:val="16"/>
              </w:rPr>
              <w:t>北京市商务委员会</w:t>
            </w:r>
          </w:p>
        </w:tc>
        <w:tc>
          <w:tcPr>
            <w:tcW w:w="965" w:type="dxa"/>
            <w:tcBorders>
              <w:top w:val="nil" w:sz="6" w:space="0" w:color="auto"/>
              <w:left w:val="nil" w:sz="6" w:space="0" w:color="auto"/>
              <w:bottom w:val="nil" w:sz="6" w:space="0" w:color="auto"/>
              <w:right w:val="nil" w:sz="6" w:space="0" w:color="auto"/>
            </w:tcBorders>
          </w:tcPr>
          <w:p>
            <w:pPr>
              <w:pStyle w:val="TableParagraph"/>
              <w:spacing w:line="204" w:lineRule="exact"/>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84" w:hRule="exact"/>
        </w:trPr>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5" w:right="0"/>
              <w:jc w:val="left"/>
              <w:rPr>
                <w:rFonts w:ascii="宋体" w:hAnsi="宋体" w:cs="宋体" w:eastAsia="宋体" w:hint="default"/>
                <w:sz w:val="16"/>
                <w:szCs w:val="16"/>
              </w:rPr>
            </w:pPr>
            <w:r>
              <w:rPr>
                <w:rFonts w:ascii="宋体" w:hAnsi="宋体" w:cs="宋体" w:eastAsia="宋体" w:hint="default"/>
                <w:sz w:val="16"/>
                <w:szCs w:val="16"/>
              </w:rPr>
              <w:t>“双自主”企业出口资金奖励</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7"/>
              <w:jc w:val="right"/>
              <w:rPr>
                <w:rFonts w:ascii="宋体" w:hAnsi="宋体" w:cs="宋体" w:eastAsia="宋体" w:hint="default"/>
                <w:sz w:val="16"/>
                <w:szCs w:val="16"/>
              </w:rPr>
            </w:pPr>
            <w:r>
              <w:rPr>
                <w:rFonts w:ascii="宋体"/>
                <w:spacing w:val="-1"/>
                <w:sz w:val="16"/>
              </w:rPr>
              <w:t>0.00</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55"/>
              <w:jc w:val="right"/>
              <w:rPr>
                <w:rFonts w:ascii="宋体" w:hAnsi="宋体" w:cs="宋体" w:eastAsia="宋体" w:hint="default"/>
                <w:sz w:val="16"/>
                <w:szCs w:val="16"/>
              </w:rPr>
            </w:pPr>
            <w:r>
              <w:rPr>
                <w:rFonts w:ascii="宋体"/>
                <w:spacing w:val="-2"/>
                <w:sz w:val="16"/>
              </w:rPr>
              <w:t>3,622,486.00</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57" w:right="0"/>
              <w:jc w:val="left"/>
              <w:rPr>
                <w:rFonts w:ascii="宋体" w:hAnsi="宋体" w:cs="宋体" w:eastAsia="宋体" w:hint="default"/>
                <w:sz w:val="16"/>
                <w:szCs w:val="16"/>
              </w:rPr>
            </w:pPr>
            <w:r>
              <w:rPr>
                <w:rFonts w:ascii="宋体" w:hAnsi="宋体" w:cs="宋体" w:eastAsia="宋体" w:hint="default"/>
                <w:sz w:val="16"/>
                <w:szCs w:val="16"/>
              </w:rPr>
              <w:t>北京市商务委员会</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86" w:hRule="exact"/>
        </w:trPr>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5" w:right="0"/>
              <w:jc w:val="left"/>
              <w:rPr>
                <w:rFonts w:ascii="宋体" w:hAnsi="宋体" w:cs="宋体" w:eastAsia="宋体" w:hint="default"/>
                <w:sz w:val="16"/>
                <w:szCs w:val="16"/>
              </w:rPr>
            </w:pPr>
            <w:r>
              <w:rPr>
                <w:rFonts w:ascii="宋体" w:hAnsi="宋体" w:cs="宋体" w:eastAsia="宋体" w:hint="default"/>
                <w:sz w:val="16"/>
                <w:szCs w:val="16"/>
              </w:rPr>
              <w:t>专利资助金</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7"/>
              <w:jc w:val="right"/>
              <w:rPr>
                <w:rFonts w:ascii="宋体" w:hAnsi="宋体" w:cs="宋体" w:eastAsia="宋体" w:hint="default"/>
                <w:sz w:val="16"/>
                <w:szCs w:val="16"/>
              </w:rPr>
            </w:pPr>
            <w:r>
              <w:rPr>
                <w:rFonts w:ascii="宋体"/>
                <w:spacing w:val="-1"/>
                <w:sz w:val="16"/>
              </w:rPr>
              <w:t>0.00</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5"/>
              <w:jc w:val="right"/>
              <w:rPr>
                <w:rFonts w:ascii="宋体" w:hAnsi="宋体" w:cs="宋体" w:eastAsia="宋体" w:hint="default"/>
                <w:sz w:val="16"/>
                <w:szCs w:val="16"/>
              </w:rPr>
            </w:pPr>
            <w:r>
              <w:rPr>
                <w:rFonts w:ascii="宋体"/>
                <w:spacing w:val="-2"/>
                <w:sz w:val="16"/>
              </w:rPr>
              <w:t>717,720.00</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7" w:right="0"/>
              <w:jc w:val="left"/>
              <w:rPr>
                <w:rFonts w:ascii="宋体" w:hAnsi="宋体" w:cs="宋体" w:eastAsia="宋体" w:hint="default"/>
                <w:sz w:val="16"/>
                <w:szCs w:val="16"/>
              </w:rPr>
            </w:pPr>
            <w:r>
              <w:rPr>
                <w:rFonts w:ascii="宋体" w:hAnsi="宋体" w:cs="宋体" w:eastAsia="宋体" w:hint="default"/>
                <w:sz w:val="16"/>
                <w:szCs w:val="16"/>
              </w:rPr>
              <w:t>国家知识产权局</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89" w:hRule="exact"/>
        </w:trPr>
        <w:tc>
          <w:tcPr>
            <w:tcW w:w="2537"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left="55" w:right="0"/>
              <w:jc w:val="left"/>
              <w:rPr>
                <w:rFonts w:ascii="宋体" w:hAnsi="宋体" w:cs="宋体" w:eastAsia="宋体" w:hint="default"/>
                <w:sz w:val="16"/>
                <w:szCs w:val="16"/>
              </w:rPr>
            </w:pPr>
            <w:r>
              <w:rPr>
                <w:rFonts w:ascii="宋体" w:hAnsi="宋体" w:cs="宋体" w:eastAsia="宋体" w:hint="default"/>
                <w:sz w:val="16"/>
                <w:szCs w:val="16"/>
              </w:rPr>
              <w:t>其他补助</w:t>
            </w:r>
          </w:p>
        </w:tc>
        <w:tc>
          <w:tcPr>
            <w:tcW w:w="1189"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67"/>
              <w:jc w:val="right"/>
              <w:rPr>
                <w:rFonts w:ascii="宋体" w:hAnsi="宋体" w:cs="宋体" w:eastAsia="宋体" w:hint="default"/>
                <w:sz w:val="16"/>
                <w:szCs w:val="16"/>
              </w:rPr>
            </w:pPr>
            <w:r>
              <w:rPr>
                <w:rFonts w:ascii="宋体"/>
                <w:spacing w:val="-2"/>
                <w:sz w:val="16"/>
              </w:rPr>
              <w:t>14,049,115.87</w:t>
            </w:r>
          </w:p>
        </w:tc>
        <w:tc>
          <w:tcPr>
            <w:tcW w:w="1176"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55"/>
              <w:jc w:val="right"/>
              <w:rPr>
                <w:rFonts w:ascii="宋体" w:hAnsi="宋体" w:cs="宋体" w:eastAsia="宋体" w:hint="default"/>
                <w:sz w:val="16"/>
                <w:szCs w:val="16"/>
              </w:rPr>
            </w:pPr>
            <w:r>
              <w:rPr>
                <w:rFonts w:ascii="宋体"/>
                <w:spacing w:val="-2"/>
                <w:sz w:val="16"/>
              </w:rPr>
              <w:t>17,048,208.31</w:t>
            </w:r>
          </w:p>
        </w:tc>
        <w:tc>
          <w:tcPr>
            <w:tcW w:w="289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
              <w:jc w:val="center"/>
              <w:rPr>
                <w:rFonts w:ascii="宋体" w:hAnsi="宋体" w:cs="宋体" w:eastAsia="宋体" w:hint="default"/>
                <w:sz w:val="16"/>
                <w:szCs w:val="16"/>
              </w:rPr>
            </w:pPr>
            <w:r>
              <w:rPr>
                <w:rFonts w:ascii="宋体" w:hAnsi="宋体" w:cs="宋体" w:eastAsia="宋体" w:hint="default"/>
                <w:w w:val="100"/>
                <w:sz w:val="16"/>
                <w:szCs w:val="16"/>
              </w:rPr>
              <w:t>—</w:t>
            </w:r>
          </w:p>
        </w:tc>
        <w:tc>
          <w:tcPr>
            <w:tcW w:w="96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0"/>
              <w:jc w:val="center"/>
              <w:rPr>
                <w:rFonts w:ascii="宋体" w:hAnsi="宋体" w:cs="宋体" w:eastAsia="宋体" w:hint="default"/>
                <w:sz w:val="16"/>
                <w:szCs w:val="16"/>
              </w:rPr>
            </w:pPr>
            <w:r>
              <w:rPr>
                <w:rFonts w:ascii="宋体" w:hAnsi="宋体" w:cs="宋体" w:eastAsia="宋体" w:hint="default"/>
                <w:w w:val="100"/>
                <w:sz w:val="16"/>
                <w:szCs w:val="16"/>
              </w:rPr>
              <w:t>—</w:t>
            </w:r>
          </w:p>
        </w:tc>
      </w:tr>
      <w:tr>
        <w:trPr>
          <w:trHeight w:val="308" w:hRule="exact"/>
        </w:trPr>
        <w:tc>
          <w:tcPr>
            <w:tcW w:w="2537" w:type="dxa"/>
            <w:tcBorders>
              <w:top w:val="single" w:sz="4" w:space="0" w:color="000000"/>
              <w:left w:val="nil" w:sz="6" w:space="0" w:color="auto"/>
              <w:bottom w:val="single" w:sz="12" w:space="0" w:color="000000"/>
              <w:right w:val="nil" w:sz="6" w:space="0" w:color="auto"/>
            </w:tcBorders>
          </w:tcPr>
          <w:p>
            <w:pPr>
              <w:pStyle w:val="TableParagraph"/>
              <w:spacing w:line="240" w:lineRule="auto" w:before="15"/>
              <w:ind w:left="55"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189" w:type="dxa"/>
            <w:tcBorders>
              <w:top w:val="single" w:sz="4" w:space="0" w:color="000000"/>
              <w:left w:val="nil" w:sz="6" w:space="0" w:color="auto"/>
              <w:bottom w:val="single" w:sz="12" w:space="0" w:color="000000"/>
              <w:right w:val="nil" w:sz="6" w:space="0" w:color="auto"/>
            </w:tcBorders>
          </w:tcPr>
          <w:p>
            <w:pPr>
              <w:pStyle w:val="TableParagraph"/>
              <w:spacing w:line="240" w:lineRule="auto" w:before="15"/>
              <w:ind w:right="68"/>
              <w:jc w:val="right"/>
              <w:rPr>
                <w:rFonts w:ascii="宋体" w:hAnsi="宋体" w:cs="宋体" w:eastAsia="宋体" w:hint="default"/>
                <w:sz w:val="16"/>
                <w:szCs w:val="16"/>
              </w:rPr>
            </w:pPr>
            <w:r>
              <w:rPr>
                <w:rFonts w:ascii="宋体"/>
                <w:b/>
                <w:spacing w:val="-1"/>
                <w:sz w:val="16"/>
              </w:rPr>
              <w:t>23,756,115.87</w:t>
            </w:r>
            <w:r>
              <w:rPr>
                <w:rFonts w:ascii="宋体"/>
                <w:spacing w:val="-1"/>
                <w:sz w:val="16"/>
              </w:rPr>
            </w:r>
          </w:p>
        </w:tc>
        <w:tc>
          <w:tcPr>
            <w:tcW w:w="1176" w:type="dxa"/>
            <w:tcBorders>
              <w:top w:val="single" w:sz="4" w:space="0" w:color="000000"/>
              <w:left w:val="nil" w:sz="6" w:space="0" w:color="auto"/>
              <w:bottom w:val="single" w:sz="12" w:space="0" w:color="000000"/>
              <w:right w:val="nil" w:sz="6" w:space="0" w:color="auto"/>
            </w:tcBorders>
          </w:tcPr>
          <w:p>
            <w:pPr>
              <w:pStyle w:val="TableParagraph"/>
              <w:spacing w:line="240" w:lineRule="auto" w:before="15"/>
              <w:ind w:right="56"/>
              <w:jc w:val="right"/>
              <w:rPr>
                <w:rFonts w:ascii="宋体" w:hAnsi="宋体" w:cs="宋体" w:eastAsia="宋体" w:hint="default"/>
                <w:sz w:val="16"/>
                <w:szCs w:val="16"/>
              </w:rPr>
            </w:pPr>
            <w:r>
              <w:rPr>
                <w:rFonts w:ascii="宋体"/>
                <w:b/>
                <w:spacing w:val="-1"/>
                <w:sz w:val="16"/>
              </w:rPr>
              <w:t>43,295,009.31</w:t>
            </w:r>
            <w:r>
              <w:rPr>
                <w:rFonts w:ascii="宋体"/>
                <w:spacing w:val="-1"/>
                <w:sz w:val="16"/>
              </w:rPr>
            </w:r>
          </w:p>
        </w:tc>
        <w:tc>
          <w:tcPr>
            <w:tcW w:w="2899" w:type="dxa"/>
            <w:tcBorders>
              <w:top w:val="single" w:sz="4" w:space="0" w:color="000000"/>
              <w:left w:val="nil" w:sz="6" w:space="0" w:color="auto"/>
              <w:bottom w:val="single" w:sz="12" w:space="0" w:color="000000"/>
              <w:right w:val="nil" w:sz="6" w:space="0" w:color="auto"/>
            </w:tcBorders>
          </w:tcPr>
          <w:p>
            <w:pPr>
              <w:pStyle w:val="TableParagraph"/>
              <w:spacing w:line="240" w:lineRule="auto" w:before="15"/>
              <w:ind w:right="1"/>
              <w:jc w:val="center"/>
              <w:rPr>
                <w:rFonts w:ascii="宋体" w:hAnsi="宋体" w:cs="宋体" w:eastAsia="宋体" w:hint="default"/>
                <w:sz w:val="16"/>
                <w:szCs w:val="16"/>
              </w:rPr>
            </w:pPr>
            <w:r>
              <w:rPr>
                <w:rFonts w:ascii="宋体" w:hAnsi="宋体" w:cs="宋体" w:eastAsia="宋体" w:hint="default"/>
                <w:w w:val="100"/>
                <w:sz w:val="16"/>
                <w:szCs w:val="16"/>
              </w:rPr>
              <w:t>—</w:t>
            </w:r>
          </w:p>
        </w:tc>
        <w:tc>
          <w:tcPr>
            <w:tcW w:w="965" w:type="dxa"/>
            <w:tcBorders>
              <w:top w:val="single" w:sz="4" w:space="0" w:color="000000"/>
              <w:left w:val="nil" w:sz="6" w:space="0" w:color="auto"/>
              <w:bottom w:val="single" w:sz="12" w:space="0" w:color="000000"/>
              <w:right w:val="nil" w:sz="6" w:space="0" w:color="auto"/>
            </w:tcBorders>
          </w:tcPr>
          <w:p>
            <w:pPr>
              <w:pStyle w:val="TableParagraph"/>
              <w:spacing w:line="240" w:lineRule="auto" w:before="15"/>
              <w:ind w:right="0"/>
              <w:jc w:val="center"/>
              <w:rPr>
                <w:rFonts w:ascii="宋体" w:hAnsi="宋体" w:cs="宋体" w:eastAsia="宋体" w:hint="default"/>
                <w:sz w:val="16"/>
                <w:szCs w:val="16"/>
              </w:rPr>
            </w:pPr>
            <w:r>
              <w:rPr>
                <w:rFonts w:ascii="宋体" w:hAnsi="宋体" w:cs="宋体" w:eastAsia="宋体" w:hint="default"/>
                <w:w w:val="100"/>
                <w:sz w:val="16"/>
                <w:szCs w:val="16"/>
              </w:rPr>
              <w:t>—</w:t>
            </w:r>
          </w:p>
        </w:tc>
      </w:tr>
    </w:tbl>
    <w:p>
      <w:pPr>
        <w:spacing w:before="81"/>
        <w:ind w:left="645" w:right="4889"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52.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营业外支出</w:t>
      </w:r>
    </w:p>
    <w:p>
      <w:pPr>
        <w:spacing w:line="240" w:lineRule="auto" w:before="5"/>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322"/>
        <w:gridCol w:w="2176"/>
        <w:gridCol w:w="1547"/>
        <w:gridCol w:w="2680"/>
      </w:tblGrid>
      <w:tr>
        <w:trPr>
          <w:trHeight w:val="307" w:hRule="exact"/>
        </w:trPr>
        <w:tc>
          <w:tcPr>
            <w:tcW w:w="232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76"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795"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547"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4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2680"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44" w:right="0"/>
              <w:jc w:val="left"/>
              <w:rPr>
                <w:rFonts w:ascii="宋体" w:hAnsi="宋体" w:cs="宋体" w:eastAsia="宋体" w:hint="default"/>
                <w:sz w:val="18"/>
                <w:szCs w:val="18"/>
              </w:rPr>
            </w:pPr>
            <w:r>
              <w:rPr>
                <w:rFonts w:ascii="宋体" w:hAnsi="宋体" w:cs="宋体" w:eastAsia="宋体" w:hint="default"/>
                <w:b/>
                <w:bCs/>
                <w:sz w:val="18"/>
                <w:szCs w:val="18"/>
              </w:rPr>
              <w:t>计入本年非经常性损益的金额</w:t>
            </w:r>
            <w:r>
              <w:rPr>
                <w:rFonts w:ascii="宋体" w:hAnsi="宋体" w:cs="宋体" w:eastAsia="宋体" w:hint="default"/>
                <w:sz w:val="18"/>
                <w:szCs w:val="18"/>
              </w:rPr>
            </w:r>
          </w:p>
        </w:tc>
      </w:tr>
      <w:tr>
        <w:trPr>
          <w:trHeight w:val="288" w:hRule="exact"/>
        </w:trPr>
        <w:tc>
          <w:tcPr>
            <w:tcW w:w="2322"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176" w:type="dxa"/>
            <w:tcBorders>
              <w:top w:val="single" w:sz="4" w:space="0" w:color="000000"/>
              <w:left w:val="nil" w:sz="6" w:space="0" w:color="auto"/>
              <w:bottom w:val="nil" w:sz="6" w:space="0" w:color="auto"/>
              <w:right w:val="nil" w:sz="6" w:space="0" w:color="auto"/>
            </w:tcBorders>
          </w:tcPr>
          <w:p>
            <w:pPr>
              <w:pStyle w:val="TableParagraph"/>
              <w:spacing w:line="232" w:lineRule="exact"/>
              <w:ind w:right="221"/>
              <w:jc w:val="right"/>
              <w:rPr>
                <w:rFonts w:ascii="宋体" w:hAnsi="宋体" w:cs="宋体" w:eastAsia="宋体" w:hint="default"/>
                <w:sz w:val="18"/>
                <w:szCs w:val="18"/>
              </w:rPr>
            </w:pPr>
            <w:r>
              <w:rPr>
                <w:rFonts w:ascii="宋体"/>
                <w:spacing w:val="-1"/>
                <w:sz w:val="18"/>
              </w:rPr>
              <w:t>687,708.68</w:t>
            </w:r>
          </w:p>
        </w:tc>
        <w:tc>
          <w:tcPr>
            <w:tcW w:w="1547" w:type="dxa"/>
            <w:tcBorders>
              <w:top w:val="single" w:sz="4" w:space="0" w:color="000000"/>
              <w:left w:val="nil" w:sz="6" w:space="0" w:color="auto"/>
              <w:bottom w:val="nil" w:sz="6" w:space="0" w:color="auto"/>
              <w:right w:val="nil" w:sz="6" w:space="0" w:color="auto"/>
            </w:tcBorders>
          </w:tcPr>
          <w:p>
            <w:pPr>
              <w:pStyle w:val="TableParagraph"/>
              <w:spacing w:line="232" w:lineRule="exact"/>
              <w:ind w:right="143"/>
              <w:jc w:val="right"/>
              <w:rPr>
                <w:rFonts w:ascii="宋体" w:hAnsi="宋体" w:cs="宋体" w:eastAsia="宋体" w:hint="default"/>
                <w:sz w:val="18"/>
                <w:szCs w:val="18"/>
              </w:rPr>
            </w:pPr>
            <w:r>
              <w:rPr>
                <w:rFonts w:ascii="宋体"/>
                <w:spacing w:val="-1"/>
                <w:sz w:val="18"/>
              </w:rPr>
              <w:t>2,617,394.20</w:t>
            </w:r>
          </w:p>
        </w:tc>
        <w:tc>
          <w:tcPr>
            <w:tcW w:w="2680"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687,708.68</w:t>
            </w:r>
          </w:p>
        </w:tc>
      </w:tr>
      <w:tr>
        <w:trPr>
          <w:trHeight w:val="284"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176" w:type="dxa"/>
            <w:tcBorders>
              <w:top w:val="nil" w:sz="6" w:space="0" w:color="auto"/>
              <w:left w:val="nil" w:sz="6" w:space="0" w:color="auto"/>
              <w:bottom w:val="nil" w:sz="6" w:space="0" w:color="auto"/>
              <w:right w:val="nil" w:sz="6" w:space="0" w:color="auto"/>
            </w:tcBorders>
          </w:tcPr>
          <w:p>
            <w:pPr>
              <w:pStyle w:val="TableParagraph"/>
              <w:spacing w:line="232" w:lineRule="exact"/>
              <w:ind w:right="221"/>
              <w:jc w:val="right"/>
              <w:rPr>
                <w:rFonts w:ascii="宋体" w:hAnsi="宋体" w:cs="宋体" w:eastAsia="宋体" w:hint="default"/>
                <w:sz w:val="18"/>
                <w:szCs w:val="18"/>
              </w:rPr>
            </w:pPr>
            <w:r>
              <w:rPr>
                <w:rFonts w:ascii="宋体"/>
                <w:spacing w:val="-1"/>
                <w:sz w:val="18"/>
              </w:rPr>
              <w:t>6,113,299.82</w:t>
            </w:r>
          </w:p>
        </w:tc>
        <w:tc>
          <w:tcPr>
            <w:tcW w:w="1547" w:type="dxa"/>
            <w:tcBorders>
              <w:top w:val="nil" w:sz="6" w:space="0" w:color="auto"/>
              <w:left w:val="nil" w:sz="6" w:space="0" w:color="auto"/>
              <w:bottom w:val="nil" w:sz="6" w:space="0" w:color="auto"/>
              <w:right w:val="nil" w:sz="6" w:space="0" w:color="auto"/>
            </w:tcBorders>
          </w:tcPr>
          <w:p>
            <w:pPr>
              <w:pStyle w:val="TableParagraph"/>
              <w:spacing w:line="232" w:lineRule="exact"/>
              <w:ind w:right="143"/>
              <w:jc w:val="right"/>
              <w:rPr>
                <w:rFonts w:ascii="宋体" w:hAnsi="宋体" w:cs="宋体" w:eastAsia="宋体" w:hint="default"/>
                <w:sz w:val="18"/>
                <w:szCs w:val="18"/>
              </w:rPr>
            </w:pPr>
            <w:r>
              <w:rPr>
                <w:rFonts w:ascii="宋体"/>
                <w:spacing w:val="-1"/>
                <w:sz w:val="18"/>
              </w:rPr>
              <w:t>7,423,409.25</w:t>
            </w:r>
          </w:p>
        </w:tc>
        <w:tc>
          <w:tcPr>
            <w:tcW w:w="2680"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6,113,299.82</w:t>
            </w:r>
          </w:p>
        </w:tc>
      </w:tr>
      <w:tr>
        <w:trPr>
          <w:trHeight w:val="286"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176" w:type="dxa"/>
            <w:tcBorders>
              <w:top w:val="nil" w:sz="6" w:space="0" w:color="auto"/>
              <w:left w:val="nil" w:sz="6" w:space="0" w:color="auto"/>
              <w:bottom w:val="nil" w:sz="6" w:space="0" w:color="auto"/>
              <w:right w:val="nil" w:sz="6" w:space="0" w:color="auto"/>
            </w:tcBorders>
          </w:tcPr>
          <w:p>
            <w:pPr>
              <w:pStyle w:val="TableParagraph"/>
              <w:spacing w:line="233" w:lineRule="exact"/>
              <w:ind w:right="221"/>
              <w:jc w:val="right"/>
              <w:rPr>
                <w:rFonts w:ascii="宋体" w:hAnsi="宋体" w:cs="宋体" w:eastAsia="宋体" w:hint="default"/>
                <w:sz w:val="18"/>
                <w:szCs w:val="18"/>
              </w:rPr>
            </w:pPr>
            <w:r>
              <w:rPr>
                <w:rFonts w:ascii="宋体"/>
                <w:spacing w:val="-1"/>
                <w:sz w:val="18"/>
              </w:rPr>
              <w:t>1,558,906.91</w:t>
            </w:r>
          </w:p>
        </w:tc>
        <w:tc>
          <w:tcPr>
            <w:tcW w:w="1547" w:type="dxa"/>
            <w:tcBorders>
              <w:top w:val="nil" w:sz="6" w:space="0" w:color="auto"/>
              <w:left w:val="nil" w:sz="6" w:space="0" w:color="auto"/>
              <w:bottom w:val="nil" w:sz="6" w:space="0" w:color="auto"/>
              <w:right w:val="nil" w:sz="6" w:space="0" w:color="auto"/>
            </w:tcBorders>
          </w:tcPr>
          <w:p>
            <w:pPr>
              <w:pStyle w:val="TableParagraph"/>
              <w:spacing w:line="233" w:lineRule="exact"/>
              <w:ind w:right="142"/>
              <w:jc w:val="right"/>
              <w:rPr>
                <w:rFonts w:ascii="宋体" w:hAnsi="宋体" w:cs="宋体" w:eastAsia="宋体" w:hint="default"/>
                <w:sz w:val="18"/>
                <w:szCs w:val="18"/>
              </w:rPr>
            </w:pPr>
            <w:r>
              <w:rPr>
                <w:rFonts w:ascii="宋体"/>
                <w:sz w:val="18"/>
              </w:rPr>
              <w:t>0.00</w:t>
            </w:r>
          </w:p>
        </w:tc>
        <w:tc>
          <w:tcPr>
            <w:tcW w:w="2680"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1,558,906.91</w:t>
            </w:r>
          </w:p>
        </w:tc>
      </w:tr>
      <w:tr>
        <w:trPr>
          <w:trHeight w:val="291" w:hRule="exact"/>
        </w:trPr>
        <w:tc>
          <w:tcPr>
            <w:tcW w:w="2322"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6" w:type="dxa"/>
            <w:tcBorders>
              <w:top w:val="nil" w:sz="6" w:space="0" w:color="auto"/>
              <w:left w:val="nil" w:sz="6" w:space="0" w:color="auto"/>
              <w:bottom w:val="single" w:sz="4" w:space="0" w:color="000000"/>
              <w:right w:val="nil" w:sz="6" w:space="0" w:color="auto"/>
            </w:tcBorders>
          </w:tcPr>
          <w:p>
            <w:pPr>
              <w:pStyle w:val="TableParagraph"/>
              <w:spacing w:line="233" w:lineRule="exact"/>
              <w:ind w:right="221"/>
              <w:jc w:val="right"/>
              <w:rPr>
                <w:rFonts w:ascii="宋体" w:hAnsi="宋体" w:cs="宋体" w:eastAsia="宋体" w:hint="default"/>
                <w:sz w:val="18"/>
                <w:szCs w:val="18"/>
              </w:rPr>
            </w:pPr>
            <w:r>
              <w:rPr>
                <w:rFonts w:ascii="宋体"/>
                <w:spacing w:val="-1"/>
                <w:sz w:val="18"/>
              </w:rPr>
              <w:t>16,260,468.57</w:t>
            </w:r>
          </w:p>
        </w:tc>
        <w:tc>
          <w:tcPr>
            <w:tcW w:w="1547" w:type="dxa"/>
            <w:tcBorders>
              <w:top w:val="nil" w:sz="6" w:space="0" w:color="auto"/>
              <w:left w:val="nil" w:sz="6" w:space="0" w:color="auto"/>
              <w:bottom w:val="single" w:sz="4" w:space="0" w:color="000000"/>
              <w:right w:val="nil" w:sz="6" w:space="0" w:color="auto"/>
            </w:tcBorders>
          </w:tcPr>
          <w:p>
            <w:pPr>
              <w:pStyle w:val="TableParagraph"/>
              <w:spacing w:line="233" w:lineRule="exact"/>
              <w:ind w:right="143"/>
              <w:jc w:val="right"/>
              <w:rPr>
                <w:rFonts w:ascii="宋体" w:hAnsi="宋体" w:cs="宋体" w:eastAsia="宋体" w:hint="default"/>
                <w:sz w:val="18"/>
                <w:szCs w:val="18"/>
              </w:rPr>
            </w:pPr>
            <w:r>
              <w:rPr>
                <w:rFonts w:ascii="宋体"/>
                <w:spacing w:val="-1"/>
                <w:sz w:val="18"/>
              </w:rPr>
              <w:t>27,037,892.26</w:t>
            </w:r>
          </w:p>
        </w:tc>
        <w:tc>
          <w:tcPr>
            <w:tcW w:w="2680" w:type="dxa"/>
            <w:tcBorders>
              <w:top w:val="nil" w:sz="6" w:space="0" w:color="auto"/>
              <w:left w:val="nil" w:sz="6" w:space="0" w:color="auto"/>
              <w:bottom w:val="single" w:sz="4"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16,260,468.57</w:t>
            </w:r>
          </w:p>
        </w:tc>
      </w:tr>
      <w:tr>
        <w:trPr>
          <w:trHeight w:val="305" w:hRule="exact"/>
        </w:trPr>
        <w:tc>
          <w:tcPr>
            <w:tcW w:w="2322"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76"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21"/>
              <w:jc w:val="right"/>
              <w:rPr>
                <w:rFonts w:ascii="宋体" w:hAnsi="宋体" w:cs="宋体" w:eastAsia="宋体" w:hint="default"/>
                <w:sz w:val="18"/>
                <w:szCs w:val="18"/>
              </w:rPr>
            </w:pPr>
            <w:r>
              <w:rPr>
                <w:rFonts w:ascii="宋体"/>
                <w:b/>
                <w:w w:val="95"/>
                <w:sz w:val="18"/>
              </w:rPr>
              <w:t>24,620,383.98</w:t>
            </w:r>
            <w:r>
              <w:rPr>
                <w:rFonts w:ascii="宋体"/>
                <w:sz w:val="18"/>
              </w:rPr>
            </w:r>
          </w:p>
        </w:tc>
        <w:tc>
          <w:tcPr>
            <w:tcW w:w="1547"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43"/>
              <w:jc w:val="right"/>
              <w:rPr>
                <w:rFonts w:ascii="宋体" w:hAnsi="宋体" w:cs="宋体" w:eastAsia="宋体" w:hint="default"/>
                <w:sz w:val="18"/>
                <w:szCs w:val="18"/>
              </w:rPr>
            </w:pPr>
            <w:r>
              <w:rPr>
                <w:rFonts w:ascii="宋体"/>
                <w:b/>
                <w:w w:val="95"/>
                <w:sz w:val="18"/>
              </w:rPr>
              <w:t>37,078,695.71</w:t>
            </w:r>
            <w:r>
              <w:rPr>
                <w:rFonts w:ascii="宋体"/>
                <w:sz w:val="18"/>
              </w:rPr>
            </w:r>
          </w:p>
        </w:tc>
        <w:tc>
          <w:tcPr>
            <w:tcW w:w="2680"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b/>
                <w:w w:val="95"/>
                <w:sz w:val="18"/>
              </w:rPr>
              <w:t>24,620,383.98</w:t>
            </w:r>
            <w:r>
              <w:rPr>
                <w:rFonts w:ascii="宋体"/>
                <w:sz w:val="18"/>
              </w:rPr>
            </w:r>
          </w:p>
        </w:tc>
      </w:tr>
    </w:tbl>
    <w:p>
      <w:pPr>
        <w:spacing w:before="81"/>
        <w:ind w:left="645" w:right="4889"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53.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所得税费用</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581"/>
        <w:gridCol w:w="3625"/>
        <w:gridCol w:w="2519"/>
      </w:tblGrid>
      <w:tr>
        <w:trPr>
          <w:trHeight w:val="305" w:hRule="exact"/>
        </w:trPr>
        <w:tc>
          <w:tcPr>
            <w:tcW w:w="258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25"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293"/>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519"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7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0" w:hRule="exact"/>
        </w:trPr>
        <w:tc>
          <w:tcPr>
            <w:tcW w:w="2581"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625" w:type="dxa"/>
            <w:tcBorders>
              <w:top w:val="single" w:sz="4" w:space="0" w:color="000000"/>
              <w:left w:val="nil" w:sz="6" w:space="0" w:color="auto"/>
              <w:bottom w:val="nil" w:sz="6" w:space="0" w:color="auto"/>
              <w:right w:val="nil" w:sz="6" w:space="0" w:color="auto"/>
            </w:tcBorders>
          </w:tcPr>
          <w:p>
            <w:pPr>
              <w:pStyle w:val="TableParagraph"/>
              <w:spacing w:line="232" w:lineRule="exact"/>
              <w:ind w:right="573"/>
              <w:jc w:val="right"/>
              <w:rPr>
                <w:rFonts w:ascii="宋体" w:hAnsi="宋体" w:cs="宋体" w:eastAsia="宋体" w:hint="default"/>
                <w:sz w:val="18"/>
                <w:szCs w:val="18"/>
              </w:rPr>
            </w:pPr>
            <w:r>
              <w:rPr>
                <w:rFonts w:ascii="宋体"/>
                <w:spacing w:val="-1"/>
                <w:sz w:val="18"/>
              </w:rPr>
              <w:t>375,796,409.50</w:t>
            </w:r>
          </w:p>
        </w:tc>
        <w:tc>
          <w:tcPr>
            <w:tcW w:w="2519"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497,092,245.29</w:t>
            </w:r>
          </w:p>
        </w:tc>
      </w:tr>
      <w:tr>
        <w:trPr>
          <w:trHeight w:val="292" w:hRule="exact"/>
        </w:trPr>
        <w:tc>
          <w:tcPr>
            <w:tcW w:w="2581"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625" w:type="dxa"/>
            <w:tcBorders>
              <w:top w:val="nil" w:sz="6" w:space="0" w:color="auto"/>
              <w:left w:val="nil" w:sz="6" w:space="0" w:color="auto"/>
              <w:bottom w:val="single" w:sz="4" w:space="0" w:color="000000"/>
              <w:right w:val="nil" w:sz="6" w:space="0" w:color="auto"/>
            </w:tcBorders>
          </w:tcPr>
          <w:p>
            <w:pPr>
              <w:pStyle w:val="TableParagraph"/>
              <w:spacing w:line="233" w:lineRule="exact"/>
              <w:ind w:right="573"/>
              <w:jc w:val="right"/>
              <w:rPr>
                <w:rFonts w:ascii="宋体" w:hAnsi="宋体" w:cs="宋体" w:eastAsia="宋体" w:hint="default"/>
                <w:sz w:val="18"/>
                <w:szCs w:val="18"/>
              </w:rPr>
            </w:pPr>
            <w:r>
              <w:rPr>
                <w:rFonts w:ascii="宋体"/>
                <w:spacing w:val="-1"/>
                <w:sz w:val="18"/>
              </w:rPr>
              <w:t>-322,215,280.96</w:t>
            </w:r>
          </w:p>
        </w:tc>
        <w:tc>
          <w:tcPr>
            <w:tcW w:w="2519" w:type="dxa"/>
            <w:tcBorders>
              <w:top w:val="nil" w:sz="6" w:space="0" w:color="auto"/>
              <w:left w:val="nil" w:sz="6" w:space="0" w:color="auto"/>
              <w:bottom w:val="single" w:sz="4"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-340,916,055.74</w:t>
            </w:r>
          </w:p>
        </w:tc>
      </w:tr>
      <w:tr>
        <w:trPr>
          <w:trHeight w:val="305" w:hRule="exact"/>
        </w:trPr>
        <w:tc>
          <w:tcPr>
            <w:tcW w:w="2581"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62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573"/>
              <w:jc w:val="right"/>
              <w:rPr>
                <w:rFonts w:ascii="宋体" w:hAnsi="宋体" w:cs="宋体" w:eastAsia="宋体" w:hint="default"/>
                <w:sz w:val="18"/>
                <w:szCs w:val="18"/>
              </w:rPr>
            </w:pPr>
            <w:r>
              <w:rPr>
                <w:rFonts w:ascii="宋体"/>
                <w:b/>
                <w:w w:val="95"/>
                <w:sz w:val="18"/>
              </w:rPr>
              <w:t>53,581,128.54</w:t>
            </w:r>
            <w:r>
              <w:rPr>
                <w:rFonts w:ascii="宋体"/>
                <w:sz w:val="18"/>
              </w:rPr>
            </w:r>
          </w:p>
        </w:tc>
        <w:tc>
          <w:tcPr>
            <w:tcW w:w="2519"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156,176,189.55</w:t>
            </w:r>
            <w:r>
              <w:rPr>
                <w:rFonts w:ascii="宋体"/>
                <w:sz w:val="18"/>
              </w:rPr>
            </w:r>
          </w:p>
        </w:tc>
      </w:tr>
    </w:tbl>
    <w:p>
      <w:pPr>
        <w:spacing w:before="81"/>
        <w:ind w:left="645" w:right="4889"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54.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其他综合收益</w:t>
      </w:r>
    </w:p>
    <w:p>
      <w:pPr>
        <w:spacing w:before="41"/>
        <w:ind w:left="625" w:right="206" w:firstLine="0"/>
        <w:jc w:val="left"/>
        <w:rPr>
          <w:rFonts w:ascii="宋体" w:hAnsi="宋体" w:cs="宋体" w:eastAsia="宋体" w:hint="default"/>
          <w:sz w:val="22"/>
          <w:szCs w:val="22"/>
        </w:rPr>
      </w:pPr>
      <w:r>
        <w:rPr>
          <w:rFonts w:ascii="宋体" w:hAnsi="宋体" w:cs="宋体" w:eastAsia="宋体" w:hint="default"/>
          <w:sz w:val="22"/>
          <w:szCs w:val="22"/>
        </w:rPr>
        <w:t>详见本附注“六、</w:t>
      </w:r>
      <w:r>
        <w:rPr>
          <w:rFonts w:ascii="宋体" w:hAnsi="宋体" w:cs="宋体" w:eastAsia="宋体" w:hint="default"/>
          <w:sz w:val="22"/>
          <w:szCs w:val="22"/>
        </w:rPr>
        <w:t>37</w:t>
      </w:r>
      <w:r>
        <w:rPr>
          <w:rFonts w:ascii="宋体" w:hAnsi="宋体" w:cs="宋体" w:eastAsia="宋体" w:hint="default"/>
          <w:spacing w:val="-57"/>
          <w:sz w:val="22"/>
          <w:szCs w:val="22"/>
        </w:rPr>
        <w:t> </w:t>
      </w:r>
      <w:r>
        <w:rPr>
          <w:rFonts w:ascii="宋体" w:hAnsi="宋体" w:cs="宋体" w:eastAsia="宋体" w:hint="default"/>
          <w:sz w:val="22"/>
          <w:szCs w:val="22"/>
        </w:rPr>
        <w:t>其他综合收益”相关内容。</w:t>
      </w:r>
    </w:p>
    <w:p>
      <w:pPr>
        <w:spacing w:before="57"/>
        <w:ind w:left="645" w:right="4889"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55. </w:t>
      </w:r>
      <w:r>
        <w:rPr>
          <w:rFonts w:ascii="Times New Roman" w:hAnsi="Times New Roman" w:cs="Times New Roman" w:eastAsia="Times New Roman" w:hint="default"/>
          <w:b/>
          <w:bCs/>
          <w:spacing w:val="13"/>
          <w:sz w:val="22"/>
          <w:szCs w:val="22"/>
        </w:rPr>
        <w:t> </w:t>
      </w:r>
      <w:r>
        <w:rPr>
          <w:rFonts w:ascii="宋体" w:hAnsi="宋体" w:cs="宋体" w:eastAsia="宋体" w:hint="default"/>
          <w:sz w:val="22"/>
          <w:szCs w:val="22"/>
        </w:rPr>
        <w:t>现金流量表项目</w:t>
      </w:r>
    </w:p>
    <w:p>
      <w:pPr>
        <w:spacing w:before="41"/>
        <w:ind w:left="695" w:right="206"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收到</w:t>
      </w:r>
      <w:r>
        <w:rPr>
          <w:rFonts w:ascii="宋体" w:hAnsi="宋体" w:cs="宋体" w:eastAsia="宋体" w:hint="default"/>
          <w:sz w:val="22"/>
          <w:szCs w:val="22"/>
        </w:rPr>
        <w:t>/</w:t>
      </w:r>
      <w:r>
        <w:rPr>
          <w:rFonts w:ascii="宋体" w:hAnsi="宋体" w:cs="宋体" w:eastAsia="宋体" w:hint="default"/>
          <w:sz w:val="22"/>
          <w:szCs w:val="22"/>
        </w:rPr>
        <w:t>支付的其他与经营</w:t>
      </w:r>
      <w:r>
        <w:rPr>
          <w:rFonts w:ascii="宋体" w:hAnsi="宋体" w:cs="宋体" w:eastAsia="宋体" w:hint="default"/>
          <w:sz w:val="22"/>
          <w:szCs w:val="22"/>
        </w:rPr>
        <w:t>/</w:t>
      </w:r>
      <w:r>
        <w:rPr>
          <w:rFonts w:ascii="宋体" w:hAnsi="宋体" w:cs="宋体" w:eastAsia="宋体" w:hint="default"/>
          <w:sz w:val="22"/>
          <w:szCs w:val="22"/>
        </w:rPr>
        <w:t>投资</w:t>
      </w:r>
      <w:r>
        <w:rPr>
          <w:rFonts w:ascii="宋体" w:hAnsi="宋体" w:cs="宋体" w:eastAsia="宋体" w:hint="default"/>
          <w:sz w:val="22"/>
          <w:szCs w:val="22"/>
        </w:rPr>
        <w:t>/</w:t>
      </w:r>
      <w:r>
        <w:rPr>
          <w:rFonts w:ascii="宋体" w:hAnsi="宋体" w:cs="宋体" w:eastAsia="宋体" w:hint="default"/>
          <w:sz w:val="22"/>
          <w:szCs w:val="22"/>
        </w:rPr>
        <w:t>筹资活动有关的现金</w:t>
      </w:r>
    </w:p>
    <w:p>
      <w:pPr>
        <w:spacing w:before="57"/>
        <w:ind w:left="767" w:right="20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5"/>
          <w:sz w:val="22"/>
          <w:szCs w:val="22"/>
        </w:rPr>
        <w:t> </w:t>
      </w:r>
      <w:r>
        <w:rPr>
          <w:rFonts w:ascii="宋体" w:hAnsi="宋体" w:cs="宋体" w:eastAsia="宋体" w:hint="default"/>
          <w:sz w:val="22"/>
          <w:szCs w:val="22"/>
        </w:rPr>
        <w:t>收到的其他与经营活动有关的现金</w:t>
      </w:r>
    </w:p>
    <w:p>
      <w:pPr>
        <w:spacing w:line="240" w:lineRule="auto" w:before="1"/>
        <w:rPr>
          <w:rFonts w:ascii="宋体" w:hAnsi="宋体" w:cs="宋体" w:eastAsia="宋体" w:hint="default"/>
          <w:sz w:val="6"/>
          <w:szCs w:val="6"/>
        </w:rPr>
      </w:pPr>
    </w:p>
    <w:tbl>
      <w:tblPr>
        <w:tblW w:w="0" w:type="auto"/>
        <w:jc w:val="left"/>
        <w:tblInd w:w="134" w:type="dxa"/>
        <w:tblLayout w:type="fixed"/>
        <w:tblCellMar>
          <w:top w:w="0" w:type="dxa"/>
          <w:left w:w="0" w:type="dxa"/>
          <w:bottom w:w="0" w:type="dxa"/>
          <w:right w:w="0" w:type="dxa"/>
        </w:tblCellMar>
        <w:tblLook w:val="01E0"/>
      </w:tblPr>
      <w:tblGrid>
        <w:gridCol w:w="2315"/>
        <w:gridCol w:w="3900"/>
        <w:gridCol w:w="2510"/>
      </w:tblGrid>
      <w:tr>
        <w:trPr>
          <w:trHeight w:val="274" w:hRule="exact"/>
        </w:trPr>
        <w:tc>
          <w:tcPr>
            <w:tcW w:w="2315" w:type="dxa"/>
            <w:tcBorders>
              <w:top w:val="single" w:sz="12" w:space="0" w:color="000000"/>
              <w:left w:val="nil" w:sz="6" w:space="0" w:color="auto"/>
              <w:bottom w:val="single" w:sz="4" w:space="0" w:color="000000"/>
              <w:right w:val="nil" w:sz="6" w:space="0" w:color="auto"/>
            </w:tcBorders>
          </w:tcPr>
          <w:p>
            <w:pPr>
              <w:pStyle w:val="TableParagraph"/>
              <w:spacing w:line="215"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00" w:type="dxa"/>
            <w:tcBorders>
              <w:top w:val="single" w:sz="12" w:space="0" w:color="000000"/>
              <w:left w:val="nil" w:sz="6" w:space="0" w:color="auto"/>
              <w:bottom w:val="single" w:sz="4" w:space="0" w:color="000000"/>
              <w:right w:val="nil" w:sz="6" w:space="0" w:color="auto"/>
            </w:tcBorders>
          </w:tcPr>
          <w:p>
            <w:pPr>
              <w:pStyle w:val="TableParagraph"/>
              <w:spacing w:line="215" w:lineRule="exact"/>
              <w:ind w:right="21"/>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510" w:type="dxa"/>
            <w:tcBorders>
              <w:top w:val="single" w:sz="12" w:space="0" w:color="000000"/>
              <w:left w:val="nil" w:sz="6" w:space="0" w:color="auto"/>
              <w:bottom w:val="single" w:sz="4" w:space="0" w:color="000000"/>
              <w:right w:val="nil" w:sz="6" w:space="0" w:color="auto"/>
            </w:tcBorders>
          </w:tcPr>
          <w:p>
            <w:pPr>
              <w:pStyle w:val="TableParagraph"/>
              <w:spacing w:line="215" w:lineRule="exact"/>
              <w:ind w:left="571"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81" w:hRule="exact"/>
        </w:trPr>
        <w:tc>
          <w:tcPr>
            <w:tcW w:w="2315"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900" w:type="dxa"/>
            <w:tcBorders>
              <w:top w:val="single" w:sz="4" w:space="0" w:color="000000"/>
              <w:left w:val="nil" w:sz="6" w:space="0" w:color="auto"/>
              <w:bottom w:val="nil" w:sz="6" w:space="0" w:color="auto"/>
              <w:right w:val="nil" w:sz="6" w:space="0" w:color="auto"/>
            </w:tcBorders>
          </w:tcPr>
          <w:p>
            <w:pPr>
              <w:pStyle w:val="TableParagraph"/>
              <w:spacing w:line="227" w:lineRule="exact"/>
              <w:ind w:right="569"/>
              <w:jc w:val="right"/>
              <w:rPr>
                <w:rFonts w:ascii="宋体" w:hAnsi="宋体" w:cs="宋体" w:eastAsia="宋体" w:hint="default"/>
                <w:sz w:val="18"/>
                <w:szCs w:val="18"/>
              </w:rPr>
            </w:pPr>
            <w:r>
              <w:rPr>
                <w:rFonts w:ascii="宋体"/>
                <w:spacing w:val="-1"/>
                <w:sz w:val="18"/>
              </w:rPr>
              <w:t>385,947,007.41</w:t>
            </w:r>
          </w:p>
        </w:tc>
        <w:tc>
          <w:tcPr>
            <w:tcW w:w="2510" w:type="dxa"/>
            <w:tcBorders>
              <w:top w:val="single" w:sz="4" w:space="0" w:color="000000"/>
              <w:left w:val="nil" w:sz="6" w:space="0" w:color="auto"/>
              <w:bottom w:val="nil" w:sz="6" w:space="0" w:color="auto"/>
              <w:right w:val="nil" w:sz="6" w:space="0" w:color="auto"/>
            </w:tcBorders>
          </w:tcPr>
          <w:p>
            <w:pPr>
              <w:pStyle w:val="TableParagraph"/>
              <w:spacing w:line="227" w:lineRule="exact"/>
              <w:ind w:right="105"/>
              <w:jc w:val="right"/>
              <w:rPr>
                <w:rFonts w:ascii="宋体" w:hAnsi="宋体" w:cs="宋体" w:eastAsia="宋体" w:hint="default"/>
                <w:sz w:val="18"/>
                <w:szCs w:val="18"/>
              </w:rPr>
            </w:pPr>
            <w:r>
              <w:rPr>
                <w:rFonts w:ascii="宋体"/>
                <w:spacing w:val="-1"/>
                <w:sz w:val="18"/>
              </w:rPr>
              <w:t>391,371,820.60</w:t>
            </w:r>
          </w:p>
        </w:tc>
      </w:tr>
      <w:tr>
        <w:trPr>
          <w:trHeight w:val="281"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00" w:type="dxa"/>
            <w:tcBorders>
              <w:top w:val="nil" w:sz="6" w:space="0" w:color="auto"/>
              <w:left w:val="nil" w:sz="6" w:space="0" w:color="auto"/>
              <w:bottom w:val="nil" w:sz="6" w:space="0" w:color="auto"/>
              <w:right w:val="nil" w:sz="6" w:space="0" w:color="auto"/>
            </w:tcBorders>
          </w:tcPr>
          <w:p>
            <w:pPr>
              <w:pStyle w:val="TableParagraph"/>
              <w:spacing w:line="229" w:lineRule="exact"/>
              <w:ind w:right="569"/>
              <w:jc w:val="right"/>
              <w:rPr>
                <w:rFonts w:ascii="宋体" w:hAnsi="宋体" w:cs="宋体" w:eastAsia="宋体" w:hint="default"/>
                <w:sz w:val="18"/>
                <w:szCs w:val="18"/>
              </w:rPr>
            </w:pPr>
            <w:r>
              <w:rPr>
                <w:rFonts w:ascii="宋体"/>
                <w:spacing w:val="-1"/>
                <w:sz w:val="18"/>
              </w:rPr>
              <w:t>123,690,964.18</w:t>
            </w:r>
          </w:p>
        </w:tc>
        <w:tc>
          <w:tcPr>
            <w:tcW w:w="2510" w:type="dxa"/>
            <w:tcBorders>
              <w:top w:val="nil" w:sz="6" w:space="0" w:color="auto"/>
              <w:left w:val="nil" w:sz="6" w:space="0" w:color="auto"/>
              <w:bottom w:val="nil" w:sz="6" w:space="0" w:color="auto"/>
              <w:right w:val="nil" w:sz="6" w:space="0" w:color="auto"/>
            </w:tcBorders>
          </w:tcPr>
          <w:p>
            <w:pPr>
              <w:pStyle w:val="TableParagraph"/>
              <w:spacing w:line="229" w:lineRule="exact"/>
              <w:ind w:right="105"/>
              <w:jc w:val="right"/>
              <w:rPr>
                <w:rFonts w:ascii="宋体" w:hAnsi="宋体" w:cs="宋体" w:eastAsia="宋体" w:hint="default"/>
                <w:sz w:val="18"/>
                <w:szCs w:val="18"/>
              </w:rPr>
            </w:pPr>
            <w:r>
              <w:rPr>
                <w:rFonts w:ascii="宋体"/>
                <w:spacing w:val="-1"/>
                <w:sz w:val="18"/>
              </w:rPr>
              <w:t>105,698,738.30</w:t>
            </w:r>
          </w:p>
        </w:tc>
      </w:tr>
      <w:tr>
        <w:trPr>
          <w:trHeight w:val="285"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00" w:type="dxa"/>
            <w:tcBorders>
              <w:top w:val="nil" w:sz="6" w:space="0" w:color="auto"/>
              <w:left w:val="nil" w:sz="6" w:space="0" w:color="auto"/>
              <w:bottom w:val="nil" w:sz="6" w:space="0" w:color="auto"/>
              <w:right w:val="nil" w:sz="6" w:space="0" w:color="auto"/>
            </w:tcBorders>
          </w:tcPr>
          <w:p>
            <w:pPr>
              <w:pStyle w:val="TableParagraph"/>
              <w:spacing w:line="232" w:lineRule="exact"/>
              <w:ind w:right="569"/>
              <w:jc w:val="right"/>
              <w:rPr>
                <w:rFonts w:ascii="宋体" w:hAnsi="宋体" w:cs="宋体" w:eastAsia="宋体" w:hint="default"/>
                <w:sz w:val="18"/>
                <w:szCs w:val="18"/>
              </w:rPr>
            </w:pPr>
            <w:r>
              <w:rPr>
                <w:rFonts w:ascii="宋体"/>
                <w:spacing w:val="-1"/>
                <w:sz w:val="18"/>
              </w:rPr>
              <w:t>114,021,052.84</w:t>
            </w:r>
          </w:p>
        </w:tc>
        <w:tc>
          <w:tcPr>
            <w:tcW w:w="2510"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139,897,466.64</w:t>
            </w:r>
          </w:p>
        </w:tc>
      </w:tr>
      <w:tr>
        <w:trPr>
          <w:trHeight w:val="285"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00" w:type="dxa"/>
            <w:tcBorders>
              <w:top w:val="nil" w:sz="6" w:space="0" w:color="auto"/>
              <w:left w:val="nil" w:sz="6" w:space="0" w:color="auto"/>
              <w:bottom w:val="nil" w:sz="6" w:space="0" w:color="auto"/>
              <w:right w:val="nil" w:sz="6" w:space="0" w:color="auto"/>
            </w:tcBorders>
          </w:tcPr>
          <w:p>
            <w:pPr>
              <w:pStyle w:val="TableParagraph"/>
              <w:spacing w:line="233" w:lineRule="exact"/>
              <w:ind w:right="569"/>
              <w:jc w:val="right"/>
              <w:rPr>
                <w:rFonts w:ascii="宋体" w:hAnsi="宋体" w:cs="宋体" w:eastAsia="宋体" w:hint="default"/>
                <w:sz w:val="18"/>
                <w:szCs w:val="18"/>
              </w:rPr>
            </w:pPr>
            <w:r>
              <w:rPr>
                <w:rFonts w:ascii="宋体"/>
                <w:spacing w:val="-1"/>
                <w:sz w:val="18"/>
              </w:rPr>
              <w:t>100,870,241.28</w:t>
            </w:r>
          </w:p>
        </w:tc>
        <w:tc>
          <w:tcPr>
            <w:tcW w:w="2510"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87,923,222.15</w:t>
            </w:r>
          </w:p>
        </w:tc>
      </w:tr>
      <w:tr>
        <w:trPr>
          <w:trHeight w:val="283"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3900" w:type="dxa"/>
            <w:tcBorders>
              <w:top w:val="nil" w:sz="6" w:space="0" w:color="auto"/>
              <w:left w:val="nil" w:sz="6" w:space="0" w:color="auto"/>
              <w:bottom w:val="nil" w:sz="6" w:space="0" w:color="auto"/>
              <w:right w:val="nil" w:sz="6" w:space="0" w:color="auto"/>
            </w:tcBorders>
          </w:tcPr>
          <w:p>
            <w:pPr>
              <w:pStyle w:val="TableParagraph"/>
              <w:spacing w:line="232" w:lineRule="exact"/>
              <w:ind w:right="569"/>
              <w:jc w:val="right"/>
              <w:rPr>
                <w:rFonts w:ascii="宋体" w:hAnsi="宋体" w:cs="宋体" w:eastAsia="宋体" w:hint="default"/>
                <w:sz w:val="18"/>
                <w:szCs w:val="18"/>
              </w:rPr>
            </w:pPr>
            <w:r>
              <w:rPr>
                <w:rFonts w:ascii="宋体"/>
                <w:spacing w:val="-1"/>
                <w:sz w:val="18"/>
              </w:rPr>
              <w:t>84,129,618.63</w:t>
            </w:r>
          </w:p>
        </w:tc>
        <w:tc>
          <w:tcPr>
            <w:tcW w:w="2510"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67,103,116.49</w:t>
            </w:r>
          </w:p>
        </w:tc>
      </w:tr>
      <w:tr>
        <w:trPr>
          <w:trHeight w:val="284" w:hRule="exact"/>
        </w:trPr>
        <w:tc>
          <w:tcPr>
            <w:tcW w:w="231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900" w:type="dxa"/>
            <w:tcBorders>
              <w:top w:val="nil" w:sz="6" w:space="0" w:color="auto"/>
              <w:left w:val="nil" w:sz="6" w:space="0" w:color="auto"/>
              <w:bottom w:val="nil" w:sz="6" w:space="0" w:color="auto"/>
              <w:right w:val="nil" w:sz="6" w:space="0" w:color="auto"/>
            </w:tcBorders>
          </w:tcPr>
          <w:p>
            <w:pPr>
              <w:pStyle w:val="TableParagraph"/>
              <w:spacing w:line="232" w:lineRule="exact"/>
              <w:ind w:right="569"/>
              <w:jc w:val="right"/>
              <w:rPr>
                <w:rFonts w:ascii="宋体" w:hAnsi="宋体" w:cs="宋体" w:eastAsia="宋体" w:hint="default"/>
                <w:sz w:val="18"/>
                <w:szCs w:val="18"/>
              </w:rPr>
            </w:pPr>
            <w:r>
              <w:rPr>
                <w:rFonts w:ascii="宋体"/>
                <w:spacing w:val="-1"/>
                <w:sz w:val="18"/>
              </w:rPr>
              <w:t>21,813,661.52</w:t>
            </w:r>
          </w:p>
        </w:tc>
        <w:tc>
          <w:tcPr>
            <w:tcW w:w="2510"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24,485,419.35</w:t>
            </w:r>
          </w:p>
        </w:tc>
      </w:tr>
      <w:tr>
        <w:trPr>
          <w:trHeight w:val="289" w:hRule="exact"/>
        </w:trPr>
        <w:tc>
          <w:tcPr>
            <w:tcW w:w="2315"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00" w:type="dxa"/>
            <w:tcBorders>
              <w:top w:val="nil" w:sz="6" w:space="0" w:color="auto"/>
              <w:left w:val="nil" w:sz="6" w:space="0" w:color="auto"/>
              <w:bottom w:val="single" w:sz="4" w:space="0" w:color="000000"/>
              <w:right w:val="nil" w:sz="6" w:space="0" w:color="auto"/>
            </w:tcBorders>
          </w:tcPr>
          <w:p>
            <w:pPr>
              <w:pStyle w:val="TableParagraph"/>
              <w:spacing w:line="233" w:lineRule="exact"/>
              <w:ind w:right="569"/>
              <w:jc w:val="right"/>
              <w:rPr>
                <w:rFonts w:ascii="宋体" w:hAnsi="宋体" w:cs="宋体" w:eastAsia="宋体" w:hint="default"/>
                <w:sz w:val="18"/>
                <w:szCs w:val="18"/>
              </w:rPr>
            </w:pPr>
            <w:r>
              <w:rPr>
                <w:rFonts w:ascii="宋体"/>
                <w:spacing w:val="-1"/>
                <w:sz w:val="18"/>
              </w:rPr>
              <w:t>22,198,676.53</w:t>
            </w:r>
          </w:p>
        </w:tc>
        <w:tc>
          <w:tcPr>
            <w:tcW w:w="2510" w:type="dxa"/>
            <w:tcBorders>
              <w:top w:val="nil" w:sz="6" w:space="0" w:color="auto"/>
              <w:left w:val="nil" w:sz="6" w:space="0" w:color="auto"/>
              <w:bottom w:val="single" w:sz="4"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53,554,549.49</w:t>
            </w:r>
          </w:p>
        </w:tc>
      </w:tr>
      <w:tr>
        <w:trPr>
          <w:trHeight w:val="295" w:hRule="exact"/>
        </w:trPr>
        <w:tc>
          <w:tcPr>
            <w:tcW w:w="2315"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90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570"/>
              <w:jc w:val="right"/>
              <w:rPr>
                <w:rFonts w:ascii="宋体" w:hAnsi="宋体" w:cs="宋体" w:eastAsia="宋体" w:hint="default"/>
                <w:sz w:val="18"/>
                <w:szCs w:val="18"/>
              </w:rPr>
            </w:pPr>
            <w:r>
              <w:rPr>
                <w:rFonts w:ascii="宋体"/>
                <w:b/>
                <w:w w:val="95"/>
                <w:sz w:val="18"/>
              </w:rPr>
              <w:t>852,671,222.39</w:t>
            </w:r>
            <w:r>
              <w:rPr>
                <w:rFonts w:ascii="宋体"/>
                <w:sz w:val="18"/>
              </w:rPr>
            </w:r>
          </w:p>
        </w:tc>
        <w:tc>
          <w:tcPr>
            <w:tcW w:w="2510"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6"/>
              <w:jc w:val="right"/>
              <w:rPr>
                <w:rFonts w:ascii="宋体" w:hAnsi="宋体" w:cs="宋体" w:eastAsia="宋体" w:hint="default"/>
                <w:sz w:val="18"/>
                <w:szCs w:val="18"/>
              </w:rPr>
            </w:pPr>
            <w:r>
              <w:rPr>
                <w:rFonts w:ascii="宋体"/>
                <w:b/>
                <w:w w:val="95"/>
                <w:sz w:val="18"/>
              </w:rPr>
              <w:t>870,034,333.02</w:t>
            </w:r>
            <w:r>
              <w:rPr>
                <w:rFonts w:ascii="宋体"/>
                <w:sz w:val="18"/>
              </w:rPr>
            </w:r>
          </w:p>
        </w:tc>
      </w:tr>
    </w:tbl>
    <w:p>
      <w:pPr>
        <w:spacing w:before="21"/>
        <w:ind w:left="767" w:right="20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5"/>
          <w:sz w:val="22"/>
          <w:szCs w:val="22"/>
        </w:rPr>
        <w:t> </w:t>
      </w:r>
      <w:r>
        <w:rPr>
          <w:rFonts w:ascii="宋体" w:hAnsi="宋体" w:cs="宋体" w:eastAsia="宋体" w:hint="default"/>
          <w:sz w:val="22"/>
          <w:szCs w:val="22"/>
        </w:rPr>
        <w:t>支付的其他与经营活动有关的现金</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761"/>
        <w:gridCol w:w="3445"/>
        <w:gridCol w:w="2519"/>
      </w:tblGrid>
      <w:tr>
        <w:trPr>
          <w:trHeight w:val="305" w:hRule="exact"/>
        </w:trPr>
        <w:tc>
          <w:tcPr>
            <w:tcW w:w="276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4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33"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519"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7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34" w:hRule="exact"/>
        </w:trPr>
        <w:tc>
          <w:tcPr>
            <w:tcW w:w="2761" w:type="dxa"/>
            <w:tcBorders>
              <w:top w:val="single" w:sz="4" w:space="0" w:color="000000"/>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期间费用、制造费用</w:t>
            </w:r>
          </w:p>
        </w:tc>
        <w:tc>
          <w:tcPr>
            <w:tcW w:w="3445" w:type="dxa"/>
            <w:tcBorders>
              <w:top w:val="single" w:sz="4" w:space="0" w:color="000000"/>
              <w:left w:val="nil" w:sz="6" w:space="0" w:color="auto"/>
              <w:bottom w:val="nil" w:sz="6" w:space="0" w:color="auto"/>
              <w:right w:val="nil" w:sz="6" w:space="0" w:color="auto"/>
            </w:tcBorders>
          </w:tcPr>
          <w:p>
            <w:pPr>
              <w:pStyle w:val="TableParagraph"/>
              <w:spacing w:line="229" w:lineRule="exact"/>
              <w:ind w:left="1429" w:right="0"/>
              <w:jc w:val="left"/>
              <w:rPr>
                <w:rFonts w:ascii="宋体" w:hAnsi="宋体" w:cs="宋体" w:eastAsia="宋体" w:hint="default"/>
                <w:sz w:val="18"/>
                <w:szCs w:val="18"/>
              </w:rPr>
            </w:pPr>
            <w:r>
              <w:rPr>
                <w:rFonts w:ascii="宋体"/>
                <w:sz w:val="18"/>
              </w:rPr>
              <w:t>1,953,082,681.33</w:t>
            </w:r>
          </w:p>
        </w:tc>
        <w:tc>
          <w:tcPr>
            <w:tcW w:w="2519" w:type="dxa"/>
            <w:tcBorders>
              <w:top w:val="single" w:sz="4" w:space="0" w:color="000000"/>
              <w:left w:val="nil" w:sz="6" w:space="0" w:color="auto"/>
              <w:bottom w:val="nil" w:sz="6" w:space="0" w:color="auto"/>
              <w:right w:val="nil" w:sz="6" w:space="0" w:color="auto"/>
            </w:tcBorders>
          </w:tcPr>
          <w:p>
            <w:pPr>
              <w:pStyle w:val="TableParagraph"/>
              <w:spacing w:line="229" w:lineRule="exact"/>
              <w:ind w:left="971" w:right="0"/>
              <w:jc w:val="left"/>
              <w:rPr>
                <w:rFonts w:ascii="宋体" w:hAnsi="宋体" w:cs="宋体" w:eastAsia="宋体" w:hint="default"/>
                <w:sz w:val="18"/>
                <w:szCs w:val="18"/>
              </w:rPr>
            </w:pPr>
            <w:r>
              <w:rPr>
                <w:rFonts w:ascii="宋体"/>
                <w:sz w:val="18"/>
              </w:rPr>
              <w:t>1,699,422,890.55</w:t>
            </w:r>
          </w:p>
        </w:tc>
      </w:tr>
    </w:tbl>
    <w:p>
      <w:pPr>
        <w:spacing w:after="0" w:line="229" w:lineRule="exact"/>
        <w:jc w:val="left"/>
        <w:rPr>
          <w:rFonts w:ascii="宋体" w:hAnsi="宋体" w:cs="宋体" w:eastAsia="宋体" w:hint="default"/>
          <w:sz w:val="18"/>
          <w:szCs w:val="18"/>
        </w:rPr>
        <w:sectPr>
          <w:pgSz w:w="11910" w:h="16840"/>
          <w:pgMar w:header="0" w:footer="1034" w:top="1320" w:bottom="1220" w:left="1460" w:right="1480"/>
        </w:sectPr>
      </w:pPr>
    </w:p>
    <w:p>
      <w:pPr>
        <w:spacing w:line="240" w:lineRule="auto" w:before="9"/>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413"/>
        <w:gridCol w:w="3985"/>
        <w:gridCol w:w="2327"/>
      </w:tblGrid>
      <w:tr>
        <w:trPr>
          <w:trHeight w:val="233" w:hRule="exact"/>
        </w:trPr>
        <w:tc>
          <w:tcPr>
            <w:tcW w:w="2413" w:type="dxa"/>
            <w:tcBorders>
              <w:top w:val="nil" w:sz="6" w:space="0" w:color="auto"/>
              <w:left w:val="nil" w:sz="6" w:space="0" w:color="auto"/>
              <w:bottom w:val="nil" w:sz="6" w:space="0" w:color="auto"/>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985" w:type="dxa"/>
            <w:tcBorders>
              <w:top w:val="nil" w:sz="6" w:space="0" w:color="auto"/>
              <w:left w:val="nil" w:sz="6" w:space="0" w:color="auto"/>
              <w:bottom w:val="nil" w:sz="6" w:space="0" w:color="auto"/>
              <w:right w:val="nil" w:sz="6" w:space="0" w:color="auto"/>
            </w:tcBorders>
          </w:tcPr>
          <w:p>
            <w:pPr>
              <w:pStyle w:val="TableParagraph"/>
              <w:spacing w:line="180" w:lineRule="exact"/>
              <w:ind w:right="765"/>
              <w:jc w:val="right"/>
              <w:rPr>
                <w:rFonts w:ascii="宋体" w:hAnsi="宋体" w:cs="宋体" w:eastAsia="宋体" w:hint="default"/>
                <w:sz w:val="18"/>
                <w:szCs w:val="18"/>
              </w:rPr>
            </w:pPr>
            <w:r>
              <w:rPr>
                <w:rFonts w:ascii="宋体"/>
                <w:spacing w:val="-1"/>
                <w:sz w:val="18"/>
              </w:rPr>
              <w:t>697,348,422.93</w:t>
            </w:r>
          </w:p>
        </w:tc>
        <w:tc>
          <w:tcPr>
            <w:tcW w:w="2327" w:type="dxa"/>
            <w:tcBorders>
              <w:top w:val="nil" w:sz="6" w:space="0" w:color="auto"/>
              <w:left w:val="nil" w:sz="6" w:space="0" w:color="auto"/>
              <w:bottom w:val="nil" w:sz="6" w:space="0" w:color="auto"/>
              <w:right w:val="nil" w:sz="6" w:space="0" w:color="auto"/>
            </w:tcBorders>
          </w:tcPr>
          <w:p>
            <w:pPr>
              <w:pStyle w:val="TableParagraph"/>
              <w:spacing w:line="180" w:lineRule="exact"/>
              <w:ind w:right="105"/>
              <w:jc w:val="right"/>
              <w:rPr>
                <w:rFonts w:ascii="宋体" w:hAnsi="宋体" w:cs="宋体" w:eastAsia="宋体" w:hint="default"/>
                <w:sz w:val="18"/>
                <w:szCs w:val="18"/>
              </w:rPr>
            </w:pPr>
            <w:r>
              <w:rPr>
                <w:rFonts w:ascii="宋体"/>
                <w:spacing w:val="-1"/>
                <w:sz w:val="18"/>
              </w:rPr>
              <w:t>786,206,369.49</w:t>
            </w:r>
          </w:p>
        </w:tc>
      </w:tr>
      <w:tr>
        <w:trPr>
          <w:trHeight w:val="285" w:hRule="exact"/>
        </w:trPr>
        <w:tc>
          <w:tcPr>
            <w:tcW w:w="2413"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85" w:type="dxa"/>
            <w:tcBorders>
              <w:top w:val="nil" w:sz="6" w:space="0" w:color="auto"/>
              <w:left w:val="nil" w:sz="6" w:space="0" w:color="auto"/>
              <w:bottom w:val="nil" w:sz="6" w:space="0" w:color="auto"/>
              <w:right w:val="nil" w:sz="6" w:space="0" w:color="auto"/>
            </w:tcBorders>
          </w:tcPr>
          <w:p>
            <w:pPr>
              <w:pStyle w:val="TableParagraph"/>
              <w:spacing w:line="233" w:lineRule="exact"/>
              <w:ind w:right="765"/>
              <w:jc w:val="right"/>
              <w:rPr>
                <w:rFonts w:ascii="宋体" w:hAnsi="宋体" w:cs="宋体" w:eastAsia="宋体" w:hint="default"/>
                <w:sz w:val="18"/>
                <w:szCs w:val="18"/>
              </w:rPr>
            </w:pPr>
            <w:r>
              <w:rPr>
                <w:rFonts w:ascii="宋体"/>
                <w:spacing w:val="-1"/>
                <w:sz w:val="18"/>
              </w:rPr>
              <w:t>286,198,007.07</w:t>
            </w:r>
          </w:p>
        </w:tc>
        <w:tc>
          <w:tcPr>
            <w:tcW w:w="2327"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206,063,203.66</w:t>
            </w:r>
          </w:p>
        </w:tc>
      </w:tr>
      <w:tr>
        <w:trPr>
          <w:trHeight w:val="283" w:hRule="exact"/>
        </w:trPr>
        <w:tc>
          <w:tcPr>
            <w:tcW w:w="241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985" w:type="dxa"/>
            <w:tcBorders>
              <w:top w:val="nil" w:sz="6" w:space="0" w:color="auto"/>
              <w:left w:val="nil" w:sz="6" w:space="0" w:color="auto"/>
              <w:bottom w:val="nil" w:sz="6" w:space="0" w:color="auto"/>
              <w:right w:val="nil" w:sz="6" w:space="0" w:color="auto"/>
            </w:tcBorders>
          </w:tcPr>
          <w:p>
            <w:pPr>
              <w:pStyle w:val="TableParagraph"/>
              <w:spacing w:line="232" w:lineRule="exact"/>
              <w:ind w:right="765"/>
              <w:jc w:val="right"/>
              <w:rPr>
                <w:rFonts w:ascii="宋体" w:hAnsi="宋体" w:cs="宋体" w:eastAsia="宋体" w:hint="default"/>
                <w:sz w:val="18"/>
                <w:szCs w:val="18"/>
              </w:rPr>
            </w:pPr>
            <w:r>
              <w:rPr>
                <w:rFonts w:ascii="宋体"/>
                <w:spacing w:val="-1"/>
                <w:sz w:val="18"/>
              </w:rPr>
              <w:t>115,518,494.97</w:t>
            </w:r>
          </w:p>
        </w:tc>
        <w:tc>
          <w:tcPr>
            <w:tcW w:w="2327"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123,479,044.71</w:t>
            </w:r>
          </w:p>
        </w:tc>
      </w:tr>
      <w:tr>
        <w:trPr>
          <w:trHeight w:val="284" w:hRule="exact"/>
        </w:trPr>
        <w:tc>
          <w:tcPr>
            <w:tcW w:w="241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代付款</w:t>
            </w:r>
          </w:p>
        </w:tc>
        <w:tc>
          <w:tcPr>
            <w:tcW w:w="3985" w:type="dxa"/>
            <w:tcBorders>
              <w:top w:val="nil" w:sz="6" w:space="0" w:color="auto"/>
              <w:left w:val="nil" w:sz="6" w:space="0" w:color="auto"/>
              <w:bottom w:val="nil" w:sz="6" w:space="0" w:color="auto"/>
              <w:right w:val="nil" w:sz="6" w:space="0" w:color="auto"/>
            </w:tcBorders>
          </w:tcPr>
          <w:p>
            <w:pPr>
              <w:pStyle w:val="TableParagraph"/>
              <w:spacing w:line="232" w:lineRule="exact"/>
              <w:ind w:right="765"/>
              <w:jc w:val="right"/>
              <w:rPr>
                <w:rFonts w:ascii="宋体" w:hAnsi="宋体" w:cs="宋体" w:eastAsia="宋体" w:hint="default"/>
                <w:sz w:val="18"/>
                <w:szCs w:val="18"/>
              </w:rPr>
            </w:pPr>
            <w:r>
              <w:rPr>
                <w:rFonts w:ascii="宋体"/>
                <w:spacing w:val="-1"/>
                <w:sz w:val="18"/>
              </w:rPr>
              <w:t>51,228,503.38</w:t>
            </w:r>
          </w:p>
        </w:tc>
        <w:tc>
          <w:tcPr>
            <w:tcW w:w="2327"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46,450,990.38</w:t>
            </w:r>
          </w:p>
        </w:tc>
      </w:tr>
      <w:tr>
        <w:trPr>
          <w:trHeight w:val="289" w:hRule="exact"/>
        </w:trPr>
        <w:tc>
          <w:tcPr>
            <w:tcW w:w="2413"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nil" w:sz="6" w:space="0" w:color="auto"/>
              <w:left w:val="nil" w:sz="6" w:space="0" w:color="auto"/>
              <w:bottom w:val="single" w:sz="4" w:space="0" w:color="000000"/>
              <w:right w:val="nil" w:sz="6" w:space="0" w:color="auto"/>
            </w:tcBorders>
          </w:tcPr>
          <w:p>
            <w:pPr>
              <w:pStyle w:val="TableParagraph"/>
              <w:spacing w:line="233" w:lineRule="exact"/>
              <w:ind w:right="765"/>
              <w:jc w:val="right"/>
              <w:rPr>
                <w:rFonts w:ascii="宋体" w:hAnsi="宋体" w:cs="宋体" w:eastAsia="宋体" w:hint="default"/>
                <w:sz w:val="18"/>
                <w:szCs w:val="18"/>
              </w:rPr>
            </w:pPr>
            <w:r>
              <w:rPr>
                <w:rFonts w:ascii="宋体"/>
                <w:spacing w:val="-1"/>
                <w:sz w:val="18"/>
              </w:rPr>
              <w:t>37,424,266.82</w:t>
            </w:r>
          </w:p>
        </w:tc>
        <w:tc>
          <w:tcPr>
            <w:tcW w:w="2327" w:type="dxa"/>
            <w:tcBorders>
              <w:top w:val="nil" w:sz="6" w:space="0" w:color="auto"/>
              <w:left w:val="nil" w:sz="6" w:space="0" w:color="auto"/>
              <w:bottom w:val="single" w:sz="4"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43,290,296.06</w:t>
            </w:r>
          </w:p>
        </w:tc>
      </w:tr>
      <w:tr>
        <w:trPr>
          <w:trHeight w:val="305" w:hRule="exact"/>
        </w:trPr>
        <w:tc>
          <w:tcPr>
            <w:tcW w:w="241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98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766"/>
              <w:jc w:val="right"/>
              <w:rPr>
                <w:rFonts w:ascii="宋体" w:hAnsi="宋体" w:cs="宋体" w:eastAsia="宋体" w:hint="default"/>
                <w:sz w:val="18"/>
                <w:szCs w:val="18"/>
              </w:rPr>
            </w:pPr>
            <w:r>
              <w:rPr>
                <w:rFonts w:ascii="宋体"/>
                <w:b/>
                <w:w w:val="95"/>
                <w:sz w:val="18"/>
              </w:rPr>
              <w:t>3,140,800,376.50</w:t>
            </w:r>
            <w:r>
              <w:rPr>
                <w:rFonts w:ascii="宋体"/>
                <w:sz w:val="18"/>
              </w:rPr>
            </w:r>
          </w:p>
        </w:tc>
        <w:tc>
          <w:tcPr>
            <w:tcW w:w="2327"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2,904,912,794.85</w:t>
            </w:r>
            <w:r>
              <w:rPr>
                <w:rFonts w:ascii="宋体"/>
                <w:sz w:val="18"/>
              </w:rPr>
            </w:r>
          </w:p>
        </w:tc>
      </w:tr>
    </w:tbl>
    <w:p>
      <w:pPr>
        <w:spacing w:before="81"/>
        <w:ind w:left="747"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5"/>
          <w:sz w:val="22"/>
          <w:szCs w:val="22"/>
        </w:rPr>
        <w:t> </w:t>
      </w:r>
      <w:r>
        <w:rPr>
          <w:rFonts w:ascii="宋体" w:hAnsi="宋体" w:cs="宋体" w:eastAsia="宋体" w:hint="default"/>
          <w:sz w:val="22"/>
          <w:szCs w:val="22"/>
        </w:rPr>
        <w:t>收到的其他与投资活动有关的现金</w:t>
      </w:r>
    </w:p>
    <w:p>
      <w:pPr>
        <w:spacing w:line="240" w:lineRule="auto" w:before="8"/>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4247"/>
        <w:gridCol w:w="2732"/>
        <w:gridCol w:w="1746"/>
      </w:tblGrid>
      <w:tr>
        <w:trPr>
          <w:trHeight w:val="274" w:hRule="exact"/>
        </w:trPr>
        <w:tc>
          <w:tcPr>
            <w:tcW w:w="4247" w:type="dxa"/>
            <w:tcBorders>
              <w:top w:val="single" w:sz="12" w:space="0" w:color="000000"/>
              <w:left w:val="nil" w:sz="6" w:space="0" w:color="auto"/>
              <w:bottom w:val="single" w:sz="4" w:space="0" w:color="000000"/>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32" w:type="dxa"/>
            <w:tcBorders>
              <w:top w:val="single" w:sz="12" w:space="0" w:color="000000"/>
              <w:left w:val="nil" w:sz="6" w:space="0" w:color="auto"/>
              <w:bottom w:val="single" w:sz="4" w:space="0" w:color="000000"/>
              <w:right w:val="nil" w:sz="6" w:space="0" w:color="auto"/>
            </w:tcBorders>
          </w:tcPr>
          <w:p>
            <w:pPr>
              <w:pStyle w:val="TableParagraph"/>
              <w:spacing w:line="217" w:lineRule="exact"/>
              <w:ind w:left="107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746" w:type="dxa"/>
            <w:tcBorders>
              <w:top w:val="single" w:sz="12" w:space="0" w:color="000000"/>
              <w:left w:val="nil" w:sz="6" w:space="0" w:color="auto"/>
              <w:bottom w:val="single" w:sz="4" w:space="0" w:color="000000"/>
              <w:right w:val="nil" w:sz="6" w:space="0" w:color="auto"/>
            </w:tcBorders>
          </w:tcPr>
          <w:p>
            <w:pPr>
              <w:pStyle w:val="TableParagraph"/>
              <w:spacing w:line="217" w:lineRule="exact"/>
              <w:ind w:left="31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81" w:hRule="exact"/>
        </w:trPr>
        <w:tc>
          <w:tcPr>
            <w:tcW w:w="4247"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深圳莱士凯吉投资咨询有限公司</w:t>
            </w:r>
          </w:p>
        </w:tc>
        <w:tc>
          <w:tcPr>
            <w:tcW w:w="2732" w:type="dxa"/>
            <w:tcBorders>
              <w:top w:val="single" w:sz="4" w:space="0" w:color="000000"/>
              <w:left w:val="nil" w:sz="6" w:space="0" w:color="auto"/>
              <w:bottom w:val="nil" w:sz="6" w:space="0" w:color="auto"/>
              <w:right w:val="nil" w:sz="6" w:space="0" w:color="auto"/>
            </w:tcBorders>
          </w:tcPr>
          <w:p>
            <w:pPr>
              <w:pStyle w:val="TableParagraph"/>
              <w:spacing w:line="227" w:lineRule="exact"/>
              <w:ind w:right="314"/>
              <w:jc w:val="right"/>
              <w:rPr>
                <w:rFonts w:ascii="宋体" w:hAnsi="宋体" w:cs="宋体" w:eastAsia="宋体" w:hint="default"/>
                <w:sz w:val="18"/>
                <w:szCs w:val="18"/>
              </w:rPr>
            </w:pPr>
            <w:r>
              <w:rPr>
                <w:rFonts w:ascii="宋体"/>
                <w:spacing w:val="-1"/>
                <w:sz w:val="18"/>
              </w:rPr>
              <w:t>178,300,000.00</w:t>
            </w:r>
          </w:p>
        </w:tc>
        <w:tc>
          <w:tcPr>
            <w:tcW w:w="1746" w:type="dxa"/>
            <w:tcBorders>
              <w:top w:val="single" w:sz="4" w:space="0" w:color="000000"/>
              <w:left w:val="nil" w:sz="6" w:space="0" w:color="auto"/>
              <w:bottom w:val="nil" w:sz="6" w:space="0" w:color="auto"/>
              <w:right w:val="nil" w:sz="6" w:space="0" w:color="auto"/>
            </w:tcBorders>
          </w:tcPr>
          <w:p>
            <w:pPr>
              <w:pStyle w:val="TableParagraph"/>
              <w:spacing w:line="227" w:lineRule="exact"/>
              <w:ind w:right="107"/>
              <w:jc w:val="right"/>
              <w:rPr>
                <w:rFonts w:ascii="宋体" w:hAnsi="宋体" w:cs="宋体" w:eastAsia="宋体" w:hint="default"/>
                <w:sz w:val="18"/>
                <w:szCs w:val="18"/>
              </w:rPr>
            </w:pPr>
            <w:r>
              <w:rPr>
                <w:rFonts w:ascii="宋体"/>
                <w:sz w:val="18"/>
              </w:rPr>
              <w:t>0.00</w:t>
            </w:r>
          </w:p>
        </w:tc>
      </w:tr>
      <w:tr>
        <w:trPr>
          <w:trHeight w:val="282" w:hRule="exact"/>
        </w:trPr>
        <w:tc>
          <w:tcPr>
            <w:tcW w:w="4247"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北京海视安数据科技有限公司</w:t>
            </w:r>
          </w:p>
        </w:tc>
        <w:tc>
          <w:tcPr>
            <w:tcW w:w="2732" w:type="dxa"/>
            <w:tcBorders>
              <w:top w:val="nil" w:sz="6" w:space="0" w:color="auto"/>
              <w:left w:val="nil" w:sz="6" w:space="0" w:color="auto"/>
              <w:bottom w:val="nil" w:sz="6" w:space="0" w:color="auto"/>
              <w:right w:val="nil" w:sz="6" w:space="0" w:color="auto"/>
            </w:tcBorders>
          </w:tcPr>
          <w:p>
            <w:pPr>
              <w:pStyle w:val="TableParagraph"/>
              <w:spacing w:line="229" w:lineRule="exact"/>
              <w:ind w:right="314"/>
              <w:jc w:val="right"/>
              <w:rPr>
                <w:rFonts w:ascii="宋体" w:hAnsi="宋体" w:cs="宋体" w:eastAsia="宋体" w:hint="default"/>
                <w:sz w:val="18"/>
                <w:szCs w:val="18"/>
              </w:rPr>
            </w:pPr>
            <w:r>
              <w:rPr>
                <w:rFonts w:ascii="宋体"/>
                <w:spacing w:val="-1"/>
                <w:sz w:val="18"/>
              </w:rPr>
              <w:t>5,299,240.36</w:t>
            </w:r>
          </w:p>
        </w:tc>
        <w:tc>
          <w:tcPr>
            <w:tcW w:w="1746" w:type="dxa"/>
            <w:tcBorders>
              <w:top w:val="nil" w:sz="6" w:space="0" w:color="auto"/>
              <w:left w:val="nil" w:sz="6" w:space="0" w:color="auto"/>
              <w:bottom w:val="nil" w:sz="6" w:space="0" w:color="auto"/>
              <w:right w:val="nil" w:sz="6" w:space="0" w:color="auto"/>
            </w:tcBorders>
          </w:tcPr>
          <w:p>
            <w:pPr>
              <w:pStyle w:val="TableParagraph"/>
              <w:spacing w:line="229" w:lineRule="exact"/>
              <w:ind w:right="107"/>
              <w:jc w:val="right"/>
              <w:rPr>
                <w:rFonts w:ascii="宋体" w:hAnsi="宋体" w:cs="宋体" w:eastAsia="宋体" w:hint="default"/>
                <w:sz w:val="18"/>
                <w:szCs w:val="18"/>
              </w:rPr>
            </w:pPr>
            <w:r>
              <w:rPr>
                <w:rFonts w:ascii="宋体"/>
                <w:sz w:val="18"/>
              </w:rPr>
              <w:t>0.00</w:t>
            </w:r>
          </w:p>
        </w:tc>
      </w:tr>
      <w:tr>
        <w:trPr>
          <w:trHeight w:val="284" w:hRule="exact"/>
        </w:trPr>
        <w:tc>
          <w:tcPr>
            <w:tcW w:w="4247"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财鼎投资咨询（深圳）有限公司</w:t>
            </w:r>
          </w:p>
        </w:tc>
        <w:tc>
          <w:tcPr>
            <w:tcW w:w="2732" w:type="dxa"/>
            <w:tcBorders>
              <w:top w:val="nil" w:sz="6" w:space="0" w:color="auto"/>
              <w:left w:val="nil" w:sz="6" w:space="0" w:color="auto"/>
              <w:bottom w:val="nil" w:sz="6" w:space="0" w:color="auto"/>
              <w:right w:val="nil" w:sz="6" w:space="0" w:color="auto"/>
            </w:tcBorders>
          </w:tcPr>
          <w:p>
            <w:pPr>
              <w:pStyle w:val="TableParagraph"/>
              <w:spacing w:line="233" w:lineRule="exact"/>
              <w:ind w:right="313"/>
              <w:jc w:val="right"/>
              <w:rPr>
                <w:rFonts w:ascii="宋体" w:hAnsi="宋体" w:cs="宋体" w:eastAsia="宋体" w:hint="default"/>
                <w:sz w:val="18"/>
                <w:szCs w:val="18"/>
              </w:rPr>
            </w:pPr>
            <w:r>
              <w:rPr>
                <w:rFonts w:ascii="宋体"/>
                <w:sz w:val="18"/>
              </w:rPr>
              <w:t>0.00</w:t>
            </w:r>
          </w:p>
        </w:tc>
        <w:tc>
          <w:tcPr>
            <w:tcW w:w="1746"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200,000,000.00</w:t>
            </w:r>
          </w:p>
        </w:tc>
      </w:tr>
      <w:tr>
        <w:trPr>
          <w:trHeight w:val="283" w:hRule="exact"/>
        </w:trPr>
        <w:tc>
          <w:tcPr>
            <w:tcW w:w="424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深圳市华融泰资产管理有限公司</w:t>
            </w:r>
          </w:p>
        </w:tc>
        <w:tc>
          <w:tcPr>
            <w:tcW w:w="2732" w:type="dxa"/>
            <w:tcBorders>
              <w:top w:val="nil" w:sz="6" w:space="0" w:color="auto"/>
              <w:left w:val="nil" w:sz="6" w:space="0" w:color="auto"/>
              <w:bottom w:val="nil" w:sz="6" w:space="0" w:color="auto"/>
              <w:right w:val="nil" w:sz="6" w:space="0" w:color="auto"/>
            </w:tcBorders>
          </w:tcPr>
          <w:p>
            <w:pPr>
              <w:pStyle w:val="TableParagraph"/>
              <w:spacing w:line="232" w:lineRule="exact"/>
              <w:ind w:right="313"/>
              <w:jc w:val="right"/>
              <w:rPr>
                <w:rFonts w:ascii="宋体" w:hAnsi="宋体" w:cs="宋体" w:eastAsia="宋体" w:hint="default"/>
                <w:sz w:val="18"/>
                <w:szCs w:val="18"/>
              </w:rPr>
            </w:pPr>
            <w:r>
              <w:rPr>
                <w:rFonts w:ascii="宋体"/>
                <w:sz w:val="18"/>
              </w:rPr>
              <w:t>0.00</w:t>
            </w:r>
          </w:p>
        </w:tc>
        <w:tc>
          <w:tcPr>
            <w:tcW w:w="1746"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140,000,000.00</w:t>
            </w:r>
          </w:p>
        </w:tc>
      </w:tr>
      <w:tr>
        <w:trPr>
          <w:trHeight w:val="285" w:hRule="exact"/>
        </w:trPr>
        <w:tc>
          <w:tcPr>
            <w:tcW w:w="424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本年新纳入合并范围的子公司现金余额</w:t>
            </w:r>
          </w:p>
        </w:tc>
        <w:tc>
          <w:tcPr>
            <w:tcW w:w="2732" w:type="dxa"/>
            <w:tcBorders>
              <w:top w:val="nil" w:sz="6" w:space="0" w:color="auto"/>
              <w:left w:val="nil" w:sz="6" w:space="0" w:color="auto"/>
              <w:bottom w:val="nil" w:sz="6" w:space="0" w:color="auto"/>
              <w:right w:val="nil" w:sz="6" w:space="0" w:color="auto"/>
            </w:tcBorders>
          </w:tcPr>
          <w:p>
            <w:pPr>
              <w:pStyle w:val="TableParagraph"/>
              <w:spacing w:line="232" w:lineRule="exact"/>
              <w:ind w:right="313"/>
              <w:jc w:val="right"/>
              <w:rPr>
                <w:rFonts w:ascii="宋体" w:hAnsi="宋体" w:cs="宋体" w:eastAsia="宋体" w:hint="default"/>
                <w:sz w:val="18"/>
                <w:szCs w:val="18"/>
              </w:rPr>
            </w:pPr>
            <w:r>
              <w:rPr>
                <w:rFonts w:ascii="宋体"/>
                <w:sz w:val="18"/>
              </w:rPr>
              <w:t>0.00</w:t>
            </w:r>
          </w:p>
        </w:tc>
        <w:tc>
          <w:tcPr>
            <w:tcW w:w="1746"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78,694,040.39</w:t>
            </w:r>
          </w:p>
        </w:tc>
      </w:tr>
      <w:tr>
        <w:trPr>
          <w:trHeight w:val="285" w:hRule="exact"/>
        </w:trPr>
        <w:tc>
          <w:tcPr>
            <w:tcW w:w="4247"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北京朗视仪器有限公司</w:t>
            </w:r>
          </w:p>
        </w:tc>
        <w:tc>
          <w:tcPr>
            <w:tcW w:w="2732" w:type="dxa"/>
            <w:tcBorders>
              <w:top w:val="nil" w:sz="6" w:space="0" w:color="auto"/>
              <w:left w:val="nil" w:sz="6" w:space="0" w:color="auto"/>
              <w:bottom w:val="nil" w:sz="6" w:space="0" w:color="auto"/>
              <w:right w:val="nil" w:sz="6" w:space="0" w:color="auto"/>
            </w:tcBorders>
          </w:tcPr>
          <w:p>
            <w:pPr>
              <w:pStyle w:val="TableParagraph"/>
              <w:spacing w:line="233" w:lineRule="exact"/>
              <w:ind w:right="313"/>
              <w:jc w:val="right"/>
              <w:rPr>
                <w:rFonts w:ascii="宋体" w:hAnsi="宋体" w:cs="宋体" w:eastAsia="宋体" w:hint="default"/>
                <w:sz w:val="18"/>
                <w:szCs w:val="18"/>
              </w:rPr>
            </w:pPr>
            <w:r>
              <w:rPr>
                <w:rFonts w:ascii="宋体"/>
                <w:sz w:val="18"/>
              </w:rPr>
              <w:t>0.00</w:t>
            </w:r>
          </w:p>
        </w:tc>
        <w:tc>
          <w:tcPr>
            <w:tcW w:w="1746"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20,000,000.00</w:t>
            </w:r>
          </w:p>
        </w:tc>
      </w:tr>
      <w:tr>
        <w:trPr>
          <w:trHeight w:val="283" w:hRule="exact"/>
        </w:trPr>
        <w:tc>
          <w:tcPr>
            <w:tcW w:w="424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2732" w:type="dxa"/>
            <w:tcBorders>
              <w:top w:val="nil" w:sz="6" w:space="0" w:color="auto"/>
              <w:left w:val="nil" w:sz="6" w:space="0" w:color="auto"/>
              <w:bottom w:val="nil" w:sz="6" w:space="0" w:color="auto"/>
              <w:right w:val="nil" w:sz="6" w:space="0" w:color="auto"/>
            </w:tcBorders>
          </w:tcPr>
          <w:p>
            <w:pPr>
              <w:pStyle w:val="TableParagraph"/>
              <w:spacing w:line="232" w:lineRule="exact"/>
              <w:ind w:right="313"/>
              <w:jc w:val="right"/>
              <w:rPr>
                <w:rFonts w:ascii="宋体" w:hAnsi="宋体" w:cs="宋体" w:eastAsia="宋体" w:hint="default"/>
                <w:sz w:val="18"/>
                <w:szCs w:val="18"/>
              </w:rPr>
            </w:pPr>
            <w:r>
              <w:rPr>
                <w:rFonts w:ascii="宋体"/>
                <w:sz w:val="18"/>
              </w:rPr>
              <w:t>0.00</w:t>
            </w:r>
          </w:p>
        </w:tc>
        <w:tc>
          <w:tcPr>
            <w:tcW w:w="1746"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6,346,191.78</w:t>
            </w:r>
          </w:p>
        </w:tc>
      </w:tr>
      <w:tr>
        <w:trPr>
          <w:trHeight w:val="284" w:hRule="exact"/>
        </w:trPr>
        <w:tc>
          <w:tcPr>
            <w:tcW w:w="424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新鸿电子有限公司</w:t>
            </w:r>
          </w:p>
        </w:tc>
        <w:tc>
          <w:tcPr>
            <w:tcW w:w="2732" w:type="dxa"/>
            <w:tcBorders>
              <w:top w:val="nil" w:sz="6" w:space="0" w:color="auto"/>
              <w:left w:val="nil" w:sz="6" w:space="0" w:color="auto"/>
              <w:bottom w:val="nil" w:sz="6" w:space="0" w:color="auto"/>
              <w:right w:val="nil" w:sz="6" w:space="0" w:color="auto"/>
            </w:tcBorders>
          </w:tcPr>
          <w:p>
            <w:pPr>
              <w:pStyle w:val="TableParagraph"/>
              <w:spacing w:line="232" w:lineRule="exact"/>
              <w:ind w:right="313"/>
              <w:jc w:val="right"/>
              <w:rPr>
                <w:rFonts w:ascii="宋体" w:hAnsi="宋体" w:cs="宋体" w:eastAsia="宋体" w:hint="default"/>
                <w:sz w:val="18"/>
                <w:szCs w:val="18"/>
              </w:rPr>
            </w:pPr>
            <w:r>
              <w:rPr>
                <w:rFonts w:ascii="宋体"/>
                <w:sz w:val="18"/>
              </w:rPr>
              <w:t>0.00</w:t>
            </w:r>
          </w:p>
        </w:tc>
        <w:tc>
          <w:tcPr>
            <w:tcW w:w="1746"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5,000,000.00</w:t>
            </w:r>
          </w:p>
        </w:tc>
      </w:tr>
      <w:tr>
        <w:trPr>
          <w:trHeight w:val="289" w:hRule="exact"/>
        </w:trPr>
        <w:tc>
          <w:tcPr>
            <w:tcW w:w="4247"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北京艾威康电子技术有限公司</w:t>
            </w:r>
          </w:p>
        </w:tc>
        <w:tc>
          <w:tcPr>
            <w:tcW w:w="2732" w:type="dxa"/>
            <w:tcBorders>
              <w:top w:val="nil" w:sz="6" w:space="0" w:color="auto"/>
              <w:left w:val="nil" w:sz="6" w:space="0" w:color="auto"/>
              <w:bottom w:val="single" w:sz="4" w:space="0" w:color="000000"/>
              <w:right w:val="nil" w:sz="6" w:space="0" w:color="auto"/>
            </w:tcBorders>
          </w:tcPr>
          <w:p>
            <w:pPr>
              <w:pStyle w:val="TableParagraph"/>
              <w:spacing w:line="233" w:lineRule="exact"/>
              <w:ind w:right="313"/>
              <w:jc w:val="right"/>
              <w:rPr>
                <w:rFonts w:ascii="宋体" w:hAnsi="宋体" w:cs="宋体" w:eastAsia="宋体" w:hint="default"/>
                <w:sz w:val="18"/>
                <w:szCs w:val="18"/>
              </w:rPr>
            </w:pPr>
            <w:r>
              <w:rPr>
                <w:rFonts w:ascii="宋体"/>
                <w:sz w:val="18"/>
              </w:rPr>
              <w:t>0.00</w:t>
            </w:r>
          </w:p>
        </w:tc>
        <w:tc>
          <w:tcPr>
            <w:tcW w:w="1746" w:type="dxa"/>
            <w:tcBorders>
              <w:top w:val="nil" w:sz="6" w:space="0" w:color="auto"/>
              <w:left w:val="nil" w:sz="6" w:space="0" w:color="auto"/>
              <w:bottom w:val="single" w:sz="4" w:space="0" w:color="000000"/>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1,010,000.00</w:t>
            </w:r>
          </w:p>
        </w:tc>
      </w:tr>
      <w:tr>
        <w:trPr>
          <w:trHeight w:val="295" w:hRule="exact"/>
        </w:trPr>
        <w:tc>
          <w:tcPr>
            <w:tcW w:w="4247"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32"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314"/>
              <w:jc w:val="right"/>
              <w:rPr>
                <w:rFonts w:ascii="宋体" w:hAnsi="宋体" w:cs="宋体" w:eastAsia="宋体" w:hint="default"/>
                <w:sz w:val="18"/>
                <w:szCs w:val="18"/>
              </w:rPr>
            </w:pPr>
            <w:r>
              <w:rPr>
                <w:rFonts w:ascii="宋体"/>
                <w:b/>
                <w:w w:val="95"/>
                <w:sz w:val="18"/>
              </w:rPr>
              <w:t>183,599,240.36</w:t>
            </w:r>
            <w:r>
              <w:rPr>
                <w:rFonts w:ascii="宋体"/>
                <w:sz w:val="18"/>
              </w:rPr>
            </w:r>
          </w:p>
        </w:tc>
        <w:tc>
          <w:tcPr>
            <w:tcW w:w="1746" w:type="dxa"/>
            <w:tcBorders>
              <w:top w:val="single" w:sz="4"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451,050,232.17</w:t>
            </w:r>
            <w:r>
              <w:rPr>
                <w:rFonts w:ascii="宋体"/>
                <w:sz w:val="18"/>
              </w:rPr>
            </w:r>
          </w:p>
        </w:tc>
      </w:tr>
    </w:tbl>
    <w:p>
      <w:pPr>
        <w:spacing w:before="21"/>
        <w:ind w:left="747"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25"/>
          <w:sz w:val="22"/>
          <w:szCs w:val="22"/>
        </w:rPr>
        <w:t> </w:t>
      </w:r>
      <w:r>
        <w:rPr>
          <w:rFonts w:ascii="宋体" w:hAnsi="宋体" w:cs="宋体" w:eastAsia="宋体" w:hint="default"/>
          <w:sz w:val="22"/>
          <w:szCs w:val="22"/>
        </w:rPr>
        <w:t>支付的其他与投资活动有关的现金</w:t>
      </w:r>
    </w:p>
    <w:p>
      <w:pPr>
        <w:spacing w:line="240" w:lineRule="auto" w:before="8"/>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4337"/>
        <w:gridCol w:w="2642"/>
        <w:gridCol w:w="1746"/>
      </w:tblGrid>
      <w:tr>
        <w:trPr>
          <w:trHeight w:val="271" w:hRule="exact"/>
        </w:trPr>
        <w:tc>
          <w:tcPr>
            <w:tcW w:w="4337" w:type="dxa"/>
            <w:tcBorders>
              <w:top w:val="single" w:sz="12" w:space="0" w:color="000000"/>
              <w:left w:val="nil" w:sz="6" w:space="0" w:color="auto"/>
              <w:bottom w:val="single" w:sz="2" w:space="0" w:color="000000"/>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42" w:type="dxa"/>
            <w:tcBorders>
              <w:top w:val="single" w:sz="12" w:space="0" w:color="000000"/>
              <w:left w:val="nil" w:sz="6" w:space="0" w:color="auto"/>
              <w:bottom w:val="single" w:sz="2" w:space="0" w:color="000000"/>
              <w:right w:val="nil" w:sz="6" w:space="0" w:color="auto"/>
            </w:tcBorders>
          </w:tcPr>
          <w:p>
            <w:pPr>
              <w:pStyle w:val="TableParagraph"/>
              <w:spacing w:line="217" w:lineRule="exact"/>
              <w:ind w:left="98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746" w:type="dxa"/>
            <w:tcBorders>
              <w:top w:val="single" w:sz="12" w:space="0" w:color="000000"/>
              <w:left w:val="nil" w:sz="6" w:space="0" w:color="auto"/>
              <w:bottom w:val="single" w:sz="2" w:space="0" w:color="000000"/>
              <w:right w:val="nil" w:sz="6" w:space="0" w:color="auto"/>
            </w:tcBorders>
          </w:tcPr>
          <w:p>
            <w:pPr>
              <w:pStyle w:val="TableParagraph"/>
              <w:spacing w:line="217" w:lineRule="exact"/>
              <w:ind w:left="31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82" w:hRule="exact"/>
        </w:trPr>
        <w:tc>
          <w:tcPr>
            <w:tcW w:w="4337" w:type="dxa"/>
            <w:tcBorders>
              <w:top w:val="single" w:sz="2" w:space="0" w:color="000000"/>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王漓峰</w:t>
            </w:r>
          </w:p>
        </w:tc>
        <w:tc>
          <w:tcPr>
            <w:tcW w:w="2642" w:type="dxa"/>
            <w:tcBorders>
              <w:top w:val="single" w:sz="2" w:space="0" w:color="000000"/>
              <w:left w:val="nil" w:sz="6" w:space="0" w:color="auto"/>
              <w:bottom w:val="nil" w:sz="6" w:space="0" w:color="auto"/>
              <w:right w:val="nil" w:sz="6" w:space="0" w:color="auto"/>
            </w:tcBorders>
          </w:tcPr>
          <w:p>
            <w:pPr>
              <w:pStyle w:val="TableParagraph"/>
              <w:spacing w:line="229" w:lineRule="exact"/>
              <w:ind w:right="314"/>
              <w:jc w:val="right"/>
              <w:rPr>
                <w:rFonts w:ascii="宋体" w:hAnsi="宋体" w:cs="宋体" w:eastAsia="宋体" w:hint="default"/>
                <w:sz w:val="18"/>
                <w:szCs w:val="18"/>
              </w:rPr>
            </w:pPr>
            <w:r>
              <w:rPr>
                <w:rFonts w:ascii="宋体"/>
                <w:spacing w:val="-1"/>
                <w:sz w:val="18"/>
              </w:rPr>
              <w:t>235,787,269.66</w:t>
            </w:r>
          </w:p>
        </w:tc>
        <w:tc>
          <w:tcPr>
            <w:tcW w:w="1746" w:type="dxa"/>
            <w:tcBorders>
              <w:top w:val="single" w:sz="2" w:space="0" w:color="000000"/>
              <w:left w:val="nil" w:sz="6" w:space="0" w:color="auto"/>
              <w:bottom w:val="nil" w:sz="6" w:space="0" w:color="auto"/>
              <w:right w:val="nil" w:sz="6" w:space="0" w:color="auto"/>
            </w:tcBorders>
          </w:tcPr>
          <w:p>
            <w:pPr>
              <w:pStyle w:val="TableParagraph"/>
              <w:spacing w:line="229" w:lineRule="exact"/>
              <w:ind w:right="107"/>
              <w:jc w:val="right"/>
              <w:rPr>
                <w:rFonts w:ascii="宋体" w:hAnsi="宋体" w:cs="宋体" w:eastAsia="宋体" w:hint="default"/>
                <w:sz w:val="18"/>
                <w:szCs w:val="18"/>
              </w:rPr>
            </w:pPr>
            <w:r>
              <w:rPr>
                <w:rFonts w:ascii="宋体"/>
                <w:sz w:val="18"/>
              </w:rPr>
              <w:t>0.00</w:t>
            </w:r>
          </w:p>
        </w:tc>
      </w:tr>
      <w:tr>
        <w:trPr>
          <w:trHeight w:val="282" w:hRule="exact"/>
        </w:trPr>
        <w:tc>
          <w:tcPr>
            <w:tcW w:w="4337"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深圳莱士凯吉投资咨询有限公司</w:t>
            </w:r>
          </w:p>
        </w:tc>
        <w:tc>
          <w:tcPr>
            <w:tcW w:w="2642" w:type="dxa"/>
            <w:tcBorders>
              <w:top w:val="nil" w:sz="6" w:space="0" w:color="auto"/>
              <w:left w:val="nil" w:sz="6" w:space="0" w:color="auto"/>
              <w:bottom w:val="nil" w:sz="6" w:space="0" w:color="auto"/>
              <w:right w:val="nil" w:sz="6" w:space="0" w:color="auto"/>
            </w:tcBorders>
          </w:tcPr>
          <w:p>
            <w:pPr>
              <w:pStyle w:val="TableParagraph"/>
              <w:spacing w:line="230" w:lineRule="exact"/>
              <w:ind w:right="314"/>
              <w:jc w:val="right"/>
              <w:rPr>
                <w:rFonts w:ascii="宋体" w:hAnsi="宋体" w:cs="宋体" w:eastAsia="宋体" w:hint="default"/>
                <w:sz w:val="18"/>
                <w:szCs w:val="18"/>
              </w:rPr>
            </w:pPr>
            <w:r>
              <w:rPr>
                <w:rFonts w:ascii="宋体"/>
                <w:spacing w:val="-1"/>
                <w:sz w:val="18"/>
              </w:rPr>
              <w:t>178,300,000.00</w:t>
            </w:r>
          </w:p>
        </w:tc>
        <w:tc>
          <w:tcPr>
            <w:tcW w:w="1746" w:type="dxa"/>
            <w:tcBorders>
              <w:top w:val="nil" w:sz="6" w:space="0" w:color="auto"/>
              <w:left w:val="nil" w:sz="6" w:space="0" w:color="auto"/>
              <w:bottom w:val="nil" w:sz="6" w:space="0" w:color="auto"/>
              <w:right w:val="nil" w:sz="6" w:space="0" w:color="auto"/>
            </w:tcBorders>
          </w:tcPr>
          <w:p>
            <w:pPr>
              <w:pStyle w:val="TableParagraph"/>
              <w:spacing w:line="230" w:lineRule="exact"/>
              <w:ind w:right="107"/>
              <w:jc w:val="right"/>
              <w:rPr>
                <w:rFonts w:ascii="宋体" w:hAnsi="宋体" w:cs="宋体" w:eastAsia="宋体" w:hint="default"/>
                <w:sz w:val="18"/>
                <w:szCs w:val="18"/>
              </w:rPr>
            </w:pPr>
            <w:r>
              <w:rPr>
                <w:rFonts w:ascii="宋体"/>
                <w:sz w:val="18"/>
              </w:rPr>
              <w:t>0.00</w:t>
            </w:r>
          </w:p>
        </w:tc>
      </w:tr>
      <w:tr>
        <w:trPr>
          <w:trHeight w:val="284" w:hRule="exact"/>
        </w:trPr>
        <w:tc>
          <w:tcPr>
            <w:tcW w:w="433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sz w:val="18"/>
              </w:rPr>
              <w:t>Good Leader Enterprises</w:t>
            </w:r>
            <w:r>
              <w:rPr>
                <w:rFonts w:ascii="宋体"/>
                <w:spacing w:val="-12"/>
                <w:sz w:val="18"/>
              </w:rPr>
              <w:t> </w:t>
            </w:r>
            <w:r>
              <w:rPr>
                <w:rFonts w:ascii="宋体"/>
                <w:sz w:val="18"/>
              </w:rPr>
              <w:t>Inc.</w:t>
            </w:r>
          </w:p>
        </w:tc>
        <w:tc>
          <w:tcPr>
            <w:tcW w:w="2642" w:type="dxa"/>
            <w:tcBorders>
              <w:top w:val="nil" w:sz="6" w:space="0" w:color="auto"/>
              <w:left w:val="nil" w:sz="6" w:space="0" w:color="auto"/>
              <w:bottom w:val="nil" w:sz="6" w:space="0" w:color="auto"/>
              <w:right w:val="nil" w:sz="6" w:space="0" w:color="auto"/>
            </w:tcBorders>
          </w:tcPr>
          <w:p>
            <w:pPr>
              <w:pStyle w:val="TableParagraph"/>
              <w:spacing w:line="232" w:lineRule="exact"/>
              <w:ind w:right="314"/>
              <w:jc w:val="right"/>
              <w:rPr>
                <w:rFonts w:ascii="宋体" w:hAnsi="宋体" w:cs="宋体" w:eastAsia="宋体" w:hint="default"/>
                <w:sz w:val="18"/>
                <w:szCs w:val="18"/>
              </w:rPr>
            </w:pPr>
            <w:r>
              <w:rPr>
                <w:rFonts w:ascii="宋体"/>
                <w:spacing w:val="-1"/>
                <w:sz w:val="18"/>
              </w:rPr>
              <w:t>46,263,360.00</w:t>
            </w:r>
          </w:p>
        </w:tc>
        <w:tc>
          <w:tcPr>
            <w:tcW w:w="174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4" w:hRule="exact"/>
        </w:trPr>
        <w:tc>
          <w:tcPr>
            <w:tcW w:w="4337"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同方鼎欣信息技术有限公司</w:t>
            </w:r>
          </w:p>
        </w:tc>
        <w:tc>
          <w:tcPr>
            <w:tcW w:w="2642" w:type="dxa"/>
            <w:tcBorders>
              <w:top w:val="nil" w:sz="6" w:space="0" w:color="auto"/>
              <w:left w:val="nil" w:sz="6" w:space="0" w:color="auto"/>
              <w:bottom w:val="nil" w:sz="6" w:space="0" w:color="auto"/>
              <w:right w:val="nil" w:sz="6" w:space="0" w:color="auto"/>
            </w:tcBorders>
          </w:tcPr>
          <w:p>
            <w:pPr>
              <w:pStyle w:val="TableParagraph"/>
              <w:spacing w:line="233" w:lineRule="exact"/>
              <w:ind w:right="314"/>
              <w:jc w:val="right"/>
              <w:rPr>
                <w:rFonts w:ascii="宋体" w:hAnsi="宋体" w:cs="宋体" w:eastAsia="宋体" w:hint="default"/>
                <w:sz w:val="18"/>
                <w:szCs w:val="18"/>
              </w:rPr>
            </w:pPr>
            <w:r>
              <w:rPr>
                <w:rFonts w:ascii="宋体"/>
                <w:spacing w:val="-1"/>
                <w:sz w:val="18"/>
              </w:rPr>
              <w:t>30,000,000.00</w:t>
            </w:r>
          </w:p>
        </w:tc>
        <w:tc>
          <w:tcPr>
            <w:tcW w:w="1746"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0.00</w:t>
            </w:r>
          </w:p>
        </w:tc>
      </w:tr>
      <w:tr>
        <w:trPr>
          <w:trHeight w:val="283" w:hRule="exact"/>
        </w:trPr>
        <w:tc>
          <w:tcPr>
            <w:tcW w:w="433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深圳市华融泰资产管理有限公司</w:t>
            </w:r>
          </w:p>
        </w:tc>
        <w:tc>
          <w:tcPr>
            <w:tcW w:w="2642" w:type="dxa"/>
            <w:tcBorders>
              <w:top w:val="nil" w:sz="6" w:space="0" w:color="auto"/>
              <w:left w:val="nil" w:sz="6" w:space="0" w:color="auto"/>
              <w:bottom w:val="nil" w:sz="6" w:space="0" w:color="auto"/>
              <w:right w:val="nil" w:sz="6" w:space="0" w:color="auto"/>
            </w:tcBorders>
          </w:tcPr>
          <w:p>
            <w:pPr>
              <w:pStyle w:val="TableParagraph"/>
              <w:spacing w:line="232" w:lineRule="exact"/>
              <w:ind w:right="314"/>
              <w:jc w:val="right"/>
              <w:rPr>
                <w:rFonts w:ascii="宋体" w:hAnsi="宋体" w:cs="宋体" w:eastAsia="宋体" w:hint="default"/>
                <w:sz w:val="18"/>
                <w:szCs w:val="18"/>
              </w:rPr>
            </w:pPr>
            <w:r>
              <w:rPr>
                <w:rFonts w:ascii="宋体"/>
                <w:spacing w:val="-1"/>
                <w:sz w:val="18"/>
              </w:rPr>
              <w:t>20,454,614.42</w:t>
            </w:r>
          </w:p>
        </w:tc>
        <w:tc>
          <w:tcPr>
            <w:tcW w:w="1746"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140,000,000.00</w:t>
            </w:r>
          </w:p>
        </w:tc>
      </w:tr>
      <w:tr>
        <w:trPr>
          <w:trHeight w:val="285" w:hRule="exact"/>
        </w:trPr>
        <w:tc>
          <w:tcPr>
            <w:tcW w:w="433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同方财富管理有限公司</w:t>
            </w:r>
          </w:p>
        </w:tc>
        <w:tc>
          <w:tcPr>
            <w:tcW w:w="2642" w:type="dxa"/>
            <w:tcBorders>
              <w:top w:val="nil" w:sz="6" w:space="0" w:color="auto"/>
              <w:left w:val="nil" w:sz="6" w:space="0" w:color="auto"/>
              <w:bottom w:val="nil" w:sz="6" w:space="0" w:color="auto"/>
              <w:right w:val="nil" w:sz="6" w:space="0" w:color="auto"/>
            </w:tcBorders>
          </w:tcPr>
          <w:p>
            <w:pPr>
              <w:pStyle w:val="TableParagraph"/>
              <w:spacing w:line="232" w:lineRule="exact"/>
              <w:ind w:right="314"/>
              <w:jc w:val="right"/>
              <w:rPr>
                <w:rFonts w:ascii="宋体" w:hAnsi="宋体" w:cs="宋体" w:eastAsia="宋体" w:hint="default"/>
                <w:sz w:val="18"/>
                <w:szCs w:val="18"/>
              </w:rPr>
            </w:pPr>
            <w:r>
              <w:rPr>
                <w:rFonts w:ascii="宋体"/>
                <w:spacing w:val="-1"/>
                <w:sz w:val="18"/>
              </w:rPr>
              <w:t>10,339,160.00</w:t>
            </w:r>
          </w:p>
        </w:tc>
        <w:tc>
          <w:tcPr>
            <w:tcW w:w="174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4" w:hRule="exact"/>
        </w:trPr>
        <w:tc>
          <w:tcPr>
            <w:tcW w:w="4337"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财鼎投资咨询（深圳）有限公司</w:t>
            </w:r>
          </w:p>
        </w:tc>
        <w:tc>
          <w:tcPr>
            <w:tcW w:w="2642" w:type="dxa"/>
            <w:tcBorders>
              <w:top w:val="nil" w:sz="6" w:space="0" w:color="auto"/>
              <w:left w:val="nil" w:sz="6" w:space="0" w:color="auto"/>
              <w:bottom w:val="nil" w:sz="6" w:space="0" w:color="auto"/>
              <w:right w:val="nil" w:sz="6" w:space="0" w:color="auto"/>
            </w:tcBorders>
          </w:tcPr>
          <w:p>
            <w:pPr>
              <w:pStyle w:val="TableParagraph"/>
              <w:spacing w:line="233" w:lineRule="exact"/>
              <w:ind w:right="313"/>
              <w:jc w:val="right"/>
              <w:rPr>
                <w:rFonts w:ascii="宋体" w:hAnsi="宋体" w:cs="宋体" w:eastAsia="宋体" w:hint="default"/>
                <w:sz w:val="18"/>
                <w:szCs w:val="18"/>
              </w:rPr>
            </w:pPr>
            <w:r>
              <w:rPr>
                <w:rFonts w:ascii="宋体"/>
                <w:sz w:val="18"/>
              </w:rPr>
              <w:t>0.00</w:t>
            </w:r>
          </w:p>
        </w:tc>
        <w:tc>
          <w:tcPr>
            <w:tcW w:w="1746"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200,000,000.00</w:t>
            </w:r>
          </w:p>
        </w:tc>
      </w:tr>
      <w:tr>
        <w:trPr>
          <w:trHeight w:val="283" w:hRule="exact"/>
        </w:trPr>
        <w:tc>
          <w:tcPr>
            <w:tcW w:w="433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本期不再纳入合并范围的子公司现金余额</w:t>
            </w:r>
          </w:p>
        </w:tc>
        <w:tc>
          <w:tcPr>
            <w:tcW w:w="2642" w:type="dxa"/>
            <w:tcBorders>
              <w:top w:val="nil" w:sz="6" w:space="0" w:color="auto"/>
              <w:left w:val="nil" w:sz="6" w:space="0" w:color="auto"/>
              <w:bottom w:val="nil" w:sz="6" w:space="0" w:color="auto"/>
              <w:right w:val="nil" w:sz="6" w:space="0" w:color="auto"/>
            </w:tcBorders>
          </w:tcPr>
          <w:p>
            <w:pPr>
              <w:pStyle w:val="TableParagraph"/>
              <w:spacing w:line="232" w:lineRule="exact"/>
              <w:ind w:right="313"/>
              <w:jc w:val="right"/>
              <w:rPr>
                <w:rFonts w:ascii="宋体" w:hAnsi="宋体" w:cs="宋体" w:eastAsia="宋体" w:hint="default"/>
                <w:sz w:val="18"/>
                <w:szCs w:val="18"/>
              </w:rPr>
            </w:pPr>
            <w:r>
              <w:rPr>
                <w:rFonts w:ascii="宋体"/>
                <w:sz w:val="18"/>
              </w:rPr>
              <w:t>0.00</w:t>
            </w:r>
          </w:p>
        </w:tc>
        <w:tc>
          <w:tcPr>
            <w:tcW w:w="1746"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52,446,019.81</w:t>
            </w:r>
          </w:p>
        </w:tc>
      </w:tr>
      <w:tr>
        <w:trPr>
          <w:trHeight w:val="284" w:hRule="exact"/>
        </w:trPr>
        <w:tc>
          <w:tcPr>
            <w:tcW w:w="433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UNITEDSTACK</w:t>
            </w:r>
            <w:r>
              <w:rPr>
                <w:rFonts w:ascii="宋体" w:hAnsi="宋体" w:cs="宋体" w:eastAsia="宋体" w:hint="default"/>
                <w:sz w:val="18"/>
                <w:szCs w:val="18"/>
              </w:rPr>
              <w:t>（北京）科技有限公司</w:t>
            </w:r>
          </w:p>
        </w:tc>
        <w:tc>
          <w:tcPr>
            <w:tcW w:w="2642" w:type="dxa"/>
            <w:tcBorders>
              <w:top w:val="nil" w:sz="6" w:space="0" w:color="auto"/>
              <w:left w:val="nil" w:sz="6" w:space="0" w:color="auto"/>
              <w:bottom w:val="nil" w:sz="6" w:space="0" w:color="auto"/>
              <w:right w:val="nil" w:sz="6" w:space="0" w:color="auto"/>
            </w:tcBorders>
          </w:tcPr>
          <w:p>
            <w:pPr>
              <w:pStyle w:val="TableParagraph"/>
              <w:spacing w:line="232" w:lineRule="exact"/>
              <w:ind w:right="313"/>
              <w:jc w:val="right"/>
              <w:rPr>
                <w:rFonts w:ascii="宋体" w:hAnsi="宋体" w:cs="宋体" w:eastAsia="宋体" w:hint="default"/>
                <w:sz w:val="18"/>
                <w:szCs w:val="18"/>
              </w:rPr>
            </w:pPr>
            <w:r>
              <w:rPr>
                <w:rFonts w:ascii="宋体"/>
                <w:sz w:val="18"/>
              </w:rPr>
              <w:t>0.00</w:t>
            </w:r>
          </w:p>
        </w:tc>
        <w:tc>
          <w:tcPr>
            <w:tcW w:w="1746"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13,000,000.00</w:t>
            </w:r>
          </w:p>
        </w:tc>
      </w:tr>
      <w:tr>
        <w:trPr>
          <w:trHeight w:val="284" w:hRule="exact"/>
        </w:trPr>
        <w:tc>
          <w:tcPr>
            <w:tcW w:w="4337"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新鸿电子有限公司</w:t>
            </w:r>
          </w:p>
        </w:tc>
        <w:tc>
          <w:tcPr>
            <w:tcW w:w="2642" w:type="dxa"/>
            <w:tcBorders>
              <w:top w:val="nil" w:sz="6" w:space="0" w:color="auto"/>
              <w:left w:val="nil" w:sz="6" w:space="0" w:color="auto"/>
              <w:bottom w:val="nil" w:sz="6" w:space="0" w:color="auto"/>
              <w:right w:val="nil" w:sz="6" w:space="0" w:color="auto"/>
            </w:tcBorders>
          </w:tcPr>
          <w:p>
            <w:pPr>
              <w:pStyle w:val="TableParagraph"/>
              <w:spacing w:line="233" w:lineRule="exact"/>
              <w:ind w:right="313"/>
              <w:jc w:val="right"/>
              <w:rPr>
                <w:rFonts w:ascii="宋体" w:hAnsi="宋体" w:cs="宋体" w:eastAsia="宋体" w:hint="default"/>
                <w:sz w:val="18"/>
                <w:szCs w:val="18"/>
              </w:rPr>
            </w:pPr>
            <w:r>
              <w:rPr>
                <w:rFonts w:ascii="宋体"/>
                <w:sz w:val="18"/>
              </w:rPr>
              <w:t>0.00</w:t>
            </w:r>
          </w:p>
        </w:tc>
        <w:tc>
          <w:tcPr>
            <w:tcW w:w="1746"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5,000,000.00</w:t>
            </w:r>
          </w:p>
        </w:tc>
      </w:tr>
      <w:tr>
        <w:trPr>
          <w:trHeight w:val="288" w:hRule="exact"/>
        </w:trPr>
        <w:tc>
          <w:tcPr>
            <w:tcW w:w="4337" w:type="dxa"/>
            <w:tcBorders>
              <w:top w:val="nil" w:sz="6" w:space="0" w:color="auto"/>
              <w:left w:val="nil" w:sz="6" w:space="0" w:color="auto"/>
              <w:bottom w:val="single" w:sz="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北京艾威康电子技术有限公司</w:t>
            </w:r>
          </w:p>
        </w:tc>
        <w:tc>
          <w:tcPr>
            <w:tcW w:w="2642" w:type="dxa"/>
            <w:tcBorders>
              <w:top w:val="nil" w:sz="6" w:space="0" w:color="auto"/>
              <w:left w:val="nil" w:sz="6" w:space="0" w:color="auto"/>
              <w:bottom w:val="single" w:sz="2" w:space="0" w:color="000000"/>
              <w:right w:val="nil" w:sz="6" w:space="0" w:color="auto"/>
            </w:tcBorders>
          </w:tcPr>
          <w:p>
            <w:pPr>
              <w:pStyle w:val="TableParagraph"/>
              <w:spacing w:line="232" w:lineRule="exact"/>
              <w:ind w:right="313"/>
              <w:jc w:val="right"/>
              <w:rPr>
                <w:rFonts w:ascii="宋体" w:hAnsi="宋体" w:cs="宋体" w:eastAsia="宋体" w:hint="default"/>
                <w:sz w:val="18"/>
                <w:szCs w:val="18"/>
              </w:rPr>
            </w:pPr>
            <w:r>
              <w:rPr>
                <w:rFonts w:ascii="宋体"/>
                <w:sz w:val="18"/>
              </w:rPr>
              <w:t>0.00</w:t>
            </w:r>
          </w:p>
        </w:tc>
        <w:tc>
          <w:tcPr>
            <w:tcW w:w="1746" w:type="dxa"/>
            <w:tcBorders>
              <w:top w:val="nil" w:sz="6" w:space="0" w:color="auto"/>
              <w:left w:val="nil" w:sz="6" w:space="0" w:color="auto"/>
              <w:bottom w:val="single" w:sz="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1,000,000.00</w:t>
            </w:r>
          </w:p>
        </w:tc>
      </w:tr>
      <w:tr>
        <w:trPr>
          <w:trHeight w:val="298" w:hRule="exact"/>
        </w:trPr>
        <w:tc>
          <w:tcPr>
            <w:tcW w:w="4337" w:type="dxa"/>
            <w:tcBorders>
              <w:top w:val="single" w:sz="2"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42" w:type="dxa"/>
            <w:tcBorders>
              <w:top w:val="single" w:sz="2" w:space="0" w:color="000000"/>
              <w:left w:val="nil" w:sz="6" w:space="0" w:color="auto"/>
              <w:bottom w:val="single" w:sz="12" w:space="0" w:color="000000"/>
              <w:right w:val="nil" w:sz="6" w:space="0" w:color="auto"/>
            </w:tcBorders>
          </w:tcPr>
          <w:p>
            <w:pPr>
              <w:pStyle w:val="TableParagraph"/>
              <w:spacing w:line="227" w:lineRule="exact"/>
              <w:ind w:right="314"/>
              <w:jc w:val="right"/>
              <w:rPr>
                <w:rFonts w:ascii="宋体" w:hAnsi="宋体" w:cs="宋体" w:eastAsia="宋体" w:hint="default"/>
                <w:sz w:val="18"/>
                <w:szCs w:val="18"/>
              </w:rPr>
            </w:pPr>
            <w:r>
              <w:rPr>
                <w:rFonts w:ascii="宋体"/>
                <w:b/>
                <w:w w:val="95"/>
                <w:sz w:val="18"/>
              </w:rPr>
              <w:t>521,144,404.08</w:t>
            </w:r>
            <w:r>
              <w:rPr>
                <w:rFonts w:ascii="宋体"/>
                <w:sz w:val="18"/>
              </w:rPr>
            </w:r>
          </w:p>
        </w:tc>
        <w:tc>
          <w:tcPr>
            <w:tcW w:w="1746" w:type="dxa"/>
            <w:tcBorders>
              <w:top w:val="single" w:sz="2" w:space="0" w:color="000000"/>
              <w:left w:val="nil" w:sz="6" w:space="0" w:color="auto"/>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b/>
                <w:w w:val="95"/>
                <w:sz w:val="18"/>
              </w:rPr>
              <w:t>411,446,019.81</w:t>
            </w:r>
            <w:r>
              <w:rPr>
                <w:rFonts w:ascii="宋体"/>
                <w:sz w:val="18"/>
              </w:rPr>
            </w:r>
          </w:p>
        </w:tc>
      </w:tr>
    </w:tbl>
    <w:p>
      <w:pPr>
        <w:spacing w:after="0" w:line="227" w:lineRule="exact"/>
        <w:jc w:val="right"/>
        <w:rPr>
          <w:rFonts w:ascii="宋体" w:hAnsi="宋体" w:cs="宋体" w:eastAsia="宋体" w:hint="default"/>
          <w:sz w:val="18"/>
          <w:szCs w:val="18"/>
        </w:rPr>
        <w:sectPr>
          <w:pgSz w:w="11910" w:h="16840"/>
          <w:pgMar w:header="0" w:footer="1034" w:top="1380" w:bottom="1220" w:left="1480" w:right="1480"/>
        </w:sectPr>
      </w:pPr>
    </w:p>
    <w:p>
      <w:pPr>
        <w:spacing w:before="6"/>
        <w:ind w:left="787"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25"/>
          <w:sz w:val="22"/>
          <w:szCs w:val="22"/>
        </w:rPr>
        <w:t> </w:t>
      </w:r>
      <w:r>
        <w:rPr>
          <w:rFonts w:ascii="宋体" w:hAnsi="宋体" w:cs="宋体" w:eastAsia="宋体" w:hint="default"/>
          <w:sz w:val="22"/>
          <w:szCs w:val="22"/>
        </w:rPr>
        <w:t>收到的其他与筹资活动有关的现金</w:t>
      </w:r>
    </w:p>
    <w:p>
      <w:pPr>
        <w:spacing w:line="240" w:lineRule="auto" w:before="6"/>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890"/>
        <w:gridCol w:w="3094"/>
        <w:gridCol w:w="1740"/>
      </w:tblGrid>
      <w:tr>
        <w:trPr>
          <w:trHeight w:val="305" w:hRule="exact"/>
        </w:trPr>
        <w:tc>
          <w:tcPr>
            <w:tcW w:w="389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9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44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74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1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88" w:hRule="exact"/>
        </w:trPr>
        <w:tc>
          <w:tcPr>
            <w:tcW w:w="3890"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收回受限的现金</w:t>
            </w:r>
          </w:p>
        </w:tc>
        <w:tc>
          <w:tcPr>
            <w:tcW w:w="3094" w:type="dxa"/>
            <w:tcBorders>
              <w:top w:val="single" w:sz="4" w:space="0" w:color="000000"/>
              <w:left w:val="nil" w:sz="6" w:space="0" w:color="auto"/>
              <w:bottom w:val="nil" w:sz="6" w:space="0" w:color="auto"/>
              <w:right w:val="nil" w:sz="6" w:space="0" w:color="auto"/>
            </w:tcBorders>
          </w:tcPr>
          <w:p>
            <w:pPr>
              <w:pStyle w:val="TableParagraph"/>
              <w:spacing w:line="232" w:lineRule="exact"/>
              <w:ind w:right="313"/>
              <w:jc w:val="right"/>
              <w:rPr>
                <w:rFonts w:ascii="宋体" w:hAnsi="宋体" w:cs="宋体" w:eastAsia="宋体" w:hint="default"/>
                <w:sz w:val="18"/>
                <w:szCs w:val="18"/>
              </w:rPr>
            </w:pPr>
            <w:r>
              <w:rPr>
                <w:rFonts w:ascii="宋体"/>
                <w:spacing w:val="-1"/>
                <w:sz w:val="18"/>
              </w:rPr>
              <w:t>443,027,855.15</w:t>
            </w:r>
          </w:p>
        </w:tc>
        <w:tc>
          <w:tcPr>
            <w:tcW w:w="1740" w:type="dxa"/>
            <w:tcBorders>
              <w:top w:val="single" w:sz="4" w:space="0" w:color="000000"/>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pacing w:val="-1"/>
                <w:sz w:val="18"/>
              </w:rPr>
              <w:t>241,173,054.26</w:t>
            </w:r>
          </w:p>
        </w:tc>
      </w:tr>
      <w:tr>
        <w:trPr>
          <w:trHeight w:val="284" w:hRule="exact"/>
        </w:trPr>
        <w:tc>
          <w:tcPr>
            <w:tcW w:w="389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094" w:type="dxa"/>
            <w:tcBorders>
              <w:top w:val="nil" w:sz="6" w:space="0" w:color="auto"/>
              <w:left w:val="nil" w:sz="6" w:space="0" w:color="auto"/>
              <w:bottom w:val="nil" w:sz="6" w:space="0" w:color="auto"/>
              <w:right w:val="nil" w:sz="6" w:space="0" w:color="auto"/>
            </w:tcBorders>
          </w:tcPr>
          <w:p>
            <w:pPr>
              <w:pStyle w:val="TableParagraph"/>
              <w:spacing w:line="232" w:lineRule="exact"/>
              <w:ind w:right="312"/>
              <w:jc w:val="right"/>
              <w:rPr>
                <w:rFonts w:ascii="宋体" w:hAnsi="宋体" w:cs="宋体" w:eastAsia="宋体" w:hint="default"/>
                <w:sz w:val="18"/>
                <w:szCs w:val="18"/>
              </w:rPr>
            </w:pPr>
            <w:r>
              <w:rPr>
                <w:rFonts w:ascii="宋体"/>
                <w:spacing w:val="-1"/>
                <w:sz w:val="18"/>
              </w:rPr>
              <w:t>3,000,000.00</w:t>
            </w:r>
          </w:p>
        </w:tc>
        <w:tc>
          <w:tcPr>
            <w:tcW w:w="1740"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39,200,000.00</w:t>
            </w:r>
          </w:p>
        </w:tc>
      </w:tr>
      <w:tr>
        <w:trPr>
          <w:trHeight w:val="284" w:hRule="exact"/>
        </w:trPr>
        <w:tc>
          <w:tcPr>
            <w:tcW w:w="3890"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处置少数股东权益收到的现金</w:t>
            </w:r>
          </w:p>
        </w:tc>
        <w:tc>
          <w:tcPr>
            <w:tcW w:w="3094" w:type="dxa"/>
            <w:tcBorders>
              <w:top w:val="nil" w:sz="6" w:space="0" w:color="auto"/>
              <w:left w:val="nil" w:sz="6" w:space="0" w:color="auto"/>
              <w:bottom w:val="nil" w:sz="6" w:space="0" w:color="auto"/>
              <w:right w:val="nil" w:sz="6" w:space="0" w:color="auto"/>
            </w:tcBorders>
          </w:tcPr>
          <w:p>
            <w:pPr>
              <w:pStyle w:val="TableParagraph"/>
              <w:spacing w:line="233" w:lineRule="exact"/>
              <w:ind w:right="312"/>
              <w:jc w:val="right"/>
              <w:rPr>
                <w:rFonts w:ascii="宋体" w:hAnsi="宋体" w:cs="宋体" w:eastAsia="宋体" w:hint="default"/>
                <w:sz w:val="18"/>
                <w:szCs w:val="18"/>
              </w:rPr>
            </w:pPr>
            <w:r>
              <w:rPr>
                <w:rFonts w:ascii="宋体"/>
                <w:sz w:val="18"/>
              </w:rPr>
              <w:t>0.00</w:t>
            </w:r>
          </w:p>
        </w:tc>
        <w:tc>
          <w:tcPr>
            <w:tcW w:w="1740"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8,011,892.54</w:t>
            </w:r>
          </w:p>
        </w:tc>
      </w:tr>
      <w:tr>
        <w:trPr>
          <w:trHeight w:val="290" w:hRule="exact"/>
        </w:trPr>
        <w:tc>
          <w:tcPr>
            <w:tcW w:w="3890"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94" w:type="dxa"/>
            <w:tcBorders>
              <w:top w:val="nil" w:sz="6" w:space="0" w:color="auto"/>
              <w:left w:val="nil" w:sz="6" w:space="0" w:color="auto"/>
              <w:bottom w:val="single" w:sz="4" w:space="0" w:color="000000"/>
              <w:right w:val="nil" w:sz="6" w:space="0" w:color="auto"/>
            </w:tcBorders>
          </w:tcPr>
          <w:p>
            <w:pPr>
              <w:pStyle w:val="TableParagraph"/>
              <w:spacing w:line="232" w:lineRule="exact"/>
              <w:ind w:right="312"/>
              <w:jc w:val="right"/>
              <w:rPr>
                <w:rFonts w:ascii="宋体" w:hAnsi="宋体" w:cs="宋体" w:eastAsia="宋体" w:hint="default"/>
                <w:sz w:val="18"/>
                <w:szCs w:val="18"/>
              </w:rPr>
            </w:pPr>
            <w:r>
              <w:rPr>
                <w:rFonts w:ascii="宋体"/>
                <w:spacing w:val="-1"/>
                <w:sz w:val="18"/>
              </w:rPr>
              <w:t>203,018.60</w:t>
            </w:r>
          </w:p>
        </w:tc>
        <w:tc>
          <w:tcPr>
            <w:tcW w:w="1740" w:type="dxa"/>
            <w:tcBorders>
              <w:top w:val="nil" w:sz="6" w:space="0" w:color="auto"/>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8,374,787.66</w:t>
            </w:r>
          </w:p>
        </w:tc>
      </w:tr>
      <w:tr>
        <w:trPr>
          <w:trHeight w:val="305" w:hRule="exact"/>
        </w:trPr>
        <w:tc>
          <w:tcPr>
            <w:tcW w:w="3890" w:type="dxa"/>
            <w:tcBorders>
              <w:top w:val="single" w:sz="4" w:space="0" w:color="000000"/>
              <w:left w:val="nil" w:sz="6" w:space="0" w:color="auto"/>
              <w:bottom w:val="single" w:sz="12"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94" w:type="dxa"/>
            <w:tcBorders>
              <w:top w:val="single" w:sz="4" w:space="0" w:color="000000"/>
              <w:left w:val="nil" w:sz="6" w:space="0" w:color="auto"/>
              <w:bottom w:val="single" w:sz="12" w:space="0" w:color="000000"/>
              <w:right w:val="nil" w:sz="6" w:space="0" w:color="auto"/>
            </w:tcBorders>
          </w:tcPr>
          <w:p>
            <w:pPr>
              <w:pStyle w:val="TableParagraph"/>
              <w:spacing w:line="229" w:lineRule="exact"/>
              <w:ind w:right="313"/>
              <w:jc w:val="right"/>
              <w:rPr>
                <w:rFonts w:ascii="宋体" w:hAnsi="宋体" w:cs="宋体" w:eastAsia="宋体" w:hint="default"/>
                <w:sz w:val="18"/>
                <w:szCs w:val="18"/>
              </w:rPr>
            </w:pPr>
            <w:r>
              <w:rPr>
                <w:rFonts w:ascii="宋体"/>
                <w:b/>
                <w:w w:val="95"/>
                <w:sz w:val="18"/>
              </w:rPr>
              <w:t>446,230,873.75</w:t>
            </w:r>
            <w:r>
              <w:rPr>
                <w:rFonts w:ascii="宋体"/>
                <w:sz w:val="18"/>
              </w:rPr>
            </w:r>
          </w:p>
        </w:tc>
        <w:tc>
          <w:tcPr>
            <w:tcW w:w="1740" w:type="dxa"/>
            <w:tcBorders>
              <w:top w:val="single" w:sz="4" w:space="0" w:color="000000"/>
              <w:left w:val="nil" w:sz="6" w:space="0" w:color="auto"/>
              <w:bottom w:val="single" w:sz="12" w:space="0" w:color="000000"/>
              <w:right w:val="nil" w:sz="6" w:space="0" w:color="auto"/>
            </w:tcBorders>
          </w:tcPr>
          <w:p>
            <w:pPr>
              <w:pStyle w:val="TableParagraph"/>
              <w:spacing w:line="229" w:lineRule="exact"/>
              <w:ind w:right="106"/>
              <w:jc w:val="right"/>
              <w:rPr>
                <w:rFonts w:ascii="宋体" w:hAnsi="宋体" w:cs="宋体" w:eastAsia="宋体" w:hint="default"/>
                <w:sz w:val="18"/>
                <w:szCs w:val="18"/>
              </w:rPr>
            </w:pPr>
            <w:r>
              <w:rPr>
                <w:rFonts w:ascii="宋体"/>
                <w:b/>
                <w:w w:val="95"/>
                <w:sz w:val="18"/>
              </w:rPr>
              <w:t>296,759,734.46</w:t>
            </w:r>
            <w:r>
              <w:rPr>
                <w:rFonts w:ascii="宋体"/>
                <w:sz w:val="18"/>
              </w:rPr>
            </w:r>
          </w:p>
        </w:tc>
      </w:tr>
    </w:tbl>
    <w:p>
      <w:pPr>
        <w:spacing w:before="21"/>
        <w:ind w:left="787"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6)  </w:t>
      </w:r>
      <w:r>
        <w:rPr>
          <w:rFonts w:ascii="Times New Roman" w:hAnsi="Times New Roman" w:cs="Times New Roman" w:eastAsia="Times New Roman" w:hint="default"/>
          <w:b/>
          <w:bCs/>
          <w:spacing w:val="25"/>
          <w:sz w:val="22"/>
          <w:szCs w:val="22"/>
        </w:rPr>
        <w:t> </w:t>
      </w:r>
      <w:r>
        <w:rPr>
          <w:rFonts w:ascii="宋体" w:hAnsi="宋体" w:cs="宋体" w:eastAsia="宋体" w:hint="default"/>
          <w:sz w:val="22"/>
          <w:szCs w:val="22"/>
        </w:rPr>
        <w:t>支付的其他与筹资活动有关的现金</w:t>
      </w:r>
    </w:p>
    <w:p>
      <w:pPr>
        <w:spacing w:line="240" w:lineRule="auto" w:before="5"/>
        <w:rPr>
          <w:rFonts w:ascii="宋体" w:hAnsi="宋体" w:cs="宋体" w:eastAsia="宋体" w:hint="default"/>
          <w:sz w:val="11"/>
          <w:szCs w:val="11"/>
        </w:rPr>
      </w:pPr>
    </w:p>
    <w:tbl>
      <w:tblPr>
        <w:tblW w:w="0" w:type="auto"/>
        <w:jc w:val="left"/>
        <w:tblInd w:w="154" w:type="dxa"/>
        <w:tblLayout w:type="fixed"/>
        <w:tblCellMar>
          <w:top w:w="0" w:type="dxa"/>
          <w:left w:w="0" w:type="dxa"/>
          <w:bottom w:w="0" w:type="dxa"/>
          <w:right w:w="0" w:type="dxa"/>
        </w:tblCellMar>
        <w:tblLook w:val="01E0"/>
      </w:tblPr>
      <w:tblGrid>
        <w:gridCol w:w="4067"/>
        <w:gridCol w:w="2912"/>
        <w:gridCol w:w="1746"/>
      </w:tblGrid>
      <w:tr>
        <w:trPr>
          <w:trHeight w:val="310" w:hRule="exact"/>
        </w:trPr>
        <w:tc>
          <w:tcPr>
            <w:tcW w:w="4067" w:type="dxa"/>
            <w:tcBorders>
              <w:top w:val="single" w:sz="12" w:space="0" w:color="000000"/>
              <w:left w:val="nil" w:sz="6" w:space="0" w:color="auto"/>
              <w:bottom w:val="single" w:sz="8"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12" w:type="dxa"/>
            <w:tcBorders>
              <w:top w:val="single" w:sz="12" w:space="0" w:color="000000"/>
              <w:left w:val="nil" w:sz="6" w:space="0" w:color="auto"/>
              <w:bottom w:val="single" w:sz="8" w:space="0" w:color="000000"/>
              <w:right w:val="nil" w:sz="6" w:space="0" w:color="auto"/>
            </w:tcBorders>
          </w:tcPr>
          <w:p>
            <w:pPr>
              <w:pStyle w:val="TableParagraph"/>
              <w:spacing w:line="232" w:lineRule="exact"/>
              <w:ind w:left="125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746" w:type="dxa"/>
            <w:tcBorders>
              <w:top w:val="single" w:sz="12" w:space="0" w:color="000000"/>
              <w:left w:val="nil" w:sz="6" w:space="0" w:color="auto"/>
              <w:bottom w:val="single" w:sz="8" w:space="0" w:color="000000"/>
              <w:right w:val="nil" w:sz="6" w:space="0" w:color="auto"/>
            </w:tcBorders>
          </w:tcPr>
          <w:p>
            <w:pPr>
              <w:pStyle w:val="TableParagraph"/>
              <w:spacing w:line="232" w:lineRule="exact"/>
              <w:ind w:left="31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3" w:hRule="exact"/>
        </w:trPr>
        <w:tc>
          <w:tcPr>
            <w:tcW w:w="4067" w:type="dxa"/>
            <w:tcBorders>
              <w:top w:val="single" w:sz="8"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使用受限制的现金</w:t>
            </w:r>
          </w:p>
        </w:tc>
        <w:tc>
          <w:tcPr>
            <w:tcW w:w="2912" w:type="dxa"/>
            <w:tcBorders>
              <w:top w:val="single" w:sz="8" w:space="0" w:color="000000"/>
              <w:left w:val="nil" w:sz="6" w:space="0" w:color="auto"/>
              <w:bottom w:val="nil" w:sz="6" w:space="0" w:color="auto"/>
              <w:right w:val="nil" w:sz="6" w:space="0" w:color="auto"/>
            </w:tcBorders>
          </w:tcPr>
          <w:p>
            <w:pPr>
              <w:pStyle w:val="TableParagraph"/>
              <w:spacing w:line="232" w:lineRule="exact"/>
              <w:ind w:right="314"/>
              <w:jc w:val="right"/>
              <w:rPr>
                <w:rFonts w:ascii="宋体" w:hAnsi="宋体" w:cs="宋体" w:eastAsia="宋体" w:hint="default"/>
                <w:sz w:val="18"/>
                <w:szCs w:val="18"/>
              </w:rPr>
            </w:pPr>
            <w:r>
              <w:rPr>
                <w:rFonts w:ascii="宋体"/>
                <w:spacing w:val="-1"/>
                <w:sz w:val="18"/>
              </w:rPr>
              <w:t>511,385,239.35</w:t>
            </w:r>
          </w:p>
        </w:tc>
        <w:tc>
          <w:tcPr>
            <w:tcW w:w="1746" w:type="dxa"/>
            <w:tcBorders>
              <w:top w:val="single" w:sz="8" w:space="0" w:color="000000"/>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315,473,547.70</w:t>
            </w:r>
          </w:p>
        </w:tc>
      </w:tr>
      <w:tr>
        <w:trPr>
          <w:trHeight w:val="284" w:hRule="exact"/>
        </w:trPr>
        <w:tc>
          <w:tcPr>
            <w:tcW w:w="406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发行债券的募集费用和中介机构费</w:t>
            </w:r>
          </w:p>
        </w:tc>
        <w:tc>
          <w:tcPr>
            <w:tcW w:w="2912" w:type="dxa"/>
            <w:tcBorders>
              <w:top w:val="nil" w:sz="6" w:space="0" w:color="auto"/>
              <w:left w:val="nil" w:sz="6" w:space="0" w:color="auto"/>
              <w:bottom w:val="nil" w:sz="6" w:space="0" w:color="auto"/>
              <w:right w:val="nil" w:sz="6" w:space="0" w:color="auto"/>
            </w:tcBorders>
          </w:tcPr>
          <w:p>
            <w:pPr>
              <w:pStyle w:val="TableParagraph"/>
              <w:spacing w:line="232" w:lineRule="exact"/>
              <w:ind w:right="314"/>
              <w:jc w:val="right"/>
              <w:rPr>
                <w:rFonts w:ascii="宋体" w:hAnsi="宋体" w:cs="宋体" w:eastAsia="宋体" w:hint="default"/>
                <w:sz w:val="18"/>
                <w:szCs w:val="18"/>
              </w:rPr>
            </w:pPr>
            <w:r>
              <w:rPr>
                <w:rFonts w:ascii="宋体"/>
                <w:spacing w:val="-1"/>
                <w:sz w:val="18"/>
              </w:rPr>
              <w:t>62,850,930.87</w:t>
            </w:r>
          </w:p>
        </w:tc>
        <w:tc>
          <w:tcPr>
            <w:tcW w:w="1746"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3,787,034.34</w:t>
            </w:r>
          </w:p>
        </w:tc>
      </w:tr>
      <w:tr>
        <w:trPr>
          <w:trHeight w:val="285" w:hRule="exact"/>
        </w:trPr>
        <w:tc>
          <w:tcPr>
            <w:tcW w:w="4067"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易程（苏州）新技术股份有限公司</w:t>
            </w:r>
          </w:p>
        </w:tc>
        <w:tc>
          <w:tcPr>
            <w:tcW w:w="2912" w:type="dxa"/>
            <w:tcBorders>
              <w:top w:val="nil" w:sz="6" w:space="0" w:color="auto"/>
              <w:left w:val="nil" w:sz="6" w:space="0" w:color="auto"/>
              <w:bottom w:val="nil" w:sz="6" w:space="0" w:color="auto"/>
              <w:right w:val="nil" w:sz="6" w:space="0" w:color="auto"/>
            </w:tcBorders>
          </w:tcPr>
          <w:p>
            <w:pPr>
              <w:pStyle w:val="TableParagraph"/>
              <w:spacing w:line="233" w:lineRule="exact"/>
              <w:ind w:right="314"/>
              <w:jc w:val="right"/>
              <w:rPr>
                <w:rFonts w:ascii="宋体" w:hAnsi="宋体" w:cs="宋体" w:eastAsia="宋体" w:hint="default"/>
                <w:sz w:val="18"/>
                <w:szCs w:val="18"/>
              </w:rPr>
            </w:pPr>
            <w:r>
              <w:rPr>
                <w:rFonts w:ascii="宋体"/>
                <w:spacing w:val="-1"/>
                <w:sz w:val="18"/>
              </w:rPr>
              <w:t>30,000,000.00</w:t>
            </w:r>
          </w:p>
        </w:tc>
        <w:tc>
          <w:tcPr>
            <w:tcW w:w="1746"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0.00</w:t>
            </w:r>
          </w:p>
        </w:tc>
      </w:tr>
      <w:tr>
        <w:trPr>
          <w:trHeight w:val="283" w:hRule="exact"/>
        </w:trPr>
        <w:tc>
          <w:tcPr>
            <w:tcW w:w="406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保函手续费</w:t>
            </w:r>
          </w:p>
        </w:tc>
        <w:tc>
          <w:tcPr>
            <w:tcW w:w="2912" w:type="dxa"/>
            <w:tcBorders>
              <w:top w:val="nil" w:sz="6" w:space="0" w:color="auto"/>
              <w:left w:val="nil" w:sz="6" w:space="0" w:color="auto"/>
              <w:bottom w:val="nil" w:sz="6" w:space="0" w:color="auto"/>
              <w:right w:val="nil" w:sz="6" w:space="0" w:color="auto"/>
            </w:tcBorders>
          </w:tcPr>
          <w:p>
            <w:pPr>
              <w:pStyle w:val="TableParagraph"/>
              <w:spacing w:line="232" w:lineRule="exact"/>
              <w:ind w:right="314"/>
              <w:jc w:val="right"/>
              <w:rPr>
                <w:rFonts w:ascii="宋体" w:hAnsi="宋体" w:cs="宋体" w:eastAsia="宋体" w:hint="default"/>
                <w:sz w:val="18"/>
                <w:szCs w:val="18"/>
              </w:rPr>
            </w:pPr>
            <w:r>
              <w:rPr>
                <w:rFonts w:ascii="宋体"/>
                <w:spacing w:val="-1"/>
                <w:sz w:val="18"/>
              </w:rPr>
              <w:t>15,766,145.06</w:t>
            </w:r>
          </w:p>
        </w:tc>
        <w:tc>
          <w:tcPr>
            <w:tcW w:w="1746"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17,440,825.94</w:t>
            </w:r>
          </w:p>
        </w:tc>
      </w:tr>
      <w:tr>
        <w:trPr>
          <w:trHeight w:val="284" w:hRule="exact"/>
        </w:trPr>
        <w:tc>
          <w:tcPr>
            <w:tcW w:w="406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购买少数股东权益支付的现金</w:t>
            </w:r>
          </w:p>
        </w:tc>
        <w:tc>
          <w:tcPr>
            <w:tcW w:w="2912" w:type="dxa"/>
            <w:tcBorders>
              <w:top w:val="nil" w:sz="6" w:space="0" w:color="auto"/>
              <w:left w:val="nil" w:sz="6" w:space="0" w:color="auto"/>
              <w:bottom w:val="nil" w:sz="6" w:space="0" w:color="auto"/>
              <w:right w:val="nil" w:sz="6" w:space="0" w:color="auto"/>
            </w:tcBorders>
          </w:tcPr>
          <w:p>
            <w:pPr>
              <w:pStyle w:val="TableParagraph"/>
              <w:spacing w:line="232" w:lineRule="exact"/>
              <w:ind w:right="314"/>
              <w:jc w:val="right"/>
              <w:rPr>
                <w:rFonts w:ascii="宋体" w:hAnsi="宋体" w:cs="宋体" w:eastAsia="宋体" w:hint="default"/>
                <w:sz w:val="18"/>
                <w:szCs w:val="18"/>
              </w:rPr>
            </w:pPr>
            <w:r>
              <w:rPr>
                <w:rFonts w:ascii="宋体"/>
                <w:spacing w:val="-1"/>
                <w:sz w:val="18"/>
              </w:rPr>
              <w:t>8,963,825.88</w:t>
            </w:r>
          </w:p>
        </w:tc>
        <w:tc>
          <w:tcPr>
            <w:tcW w:w="1746"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13,146,201.23</w:t>
            </w:r>
          </w:p>
        </w:tc>
      </w:tr>
      <w:tr>
        <w:trPr>
          <w:trHeight w:val="284" w:hRule="exact"/>
        </w:trPr>
        <w:tc>
          <w:tcPr>
            <w:tcW w:w="4067"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控股子公司回购股票所支付的现金</w:t>
            </w:r>
          </w:p>
        </w:tc>
        <w:tc>
          <w:tcPr>
            <w:tcW w:w="2912" w:type="dxa"/>
            <w:tcBorders>
              <w:top w:val="nil" w:sz="6" w:space="0" w:color="auto"/>
              <w:left w:val="nil" w:sz="6" w:space="0" w:color="auto"/>
              <w:bottom w:val="nil" w:sz="6" w:space="0" w:color="auto"/>
              <w:right w:val="nil" w:sz="6" w:space="0" w:color="auto"/>
            </w:tcBorders>
          </w:tcPr>
          <w:p>
            <w:pPr>
              <w:pStyle w:val="TableParagraph"/>
              <w:spacing w:line="233" w:lineRule="exact"/>
              <w:ind w:right="314"/>
              <w:jc w:val="right"/>
              <w:rPr>
                <w:rFonts w:ascii="宋体" w:hAnsi="宋体" w:cs="宋体" w:eastAsia="宋体" w:hint="default"/>
                <w:sz w:val="18"/>
                <w:szCs w:val="18"/>
              </w:rPr>
            </w:pPr>
            <w:r>
              <w:rPr>
                <w:rFonts w:ascii="宋体"/>
                <w:spacing w:val="-1"/>
                <w:sz w:val="18"/>
              </w:rPr>
              <w:t>4,431,012.75</w:t>
            </w:r>
          </w:p>
        </w:tc>
        <w:tc>
          <w:tcPr>
            <w:tcW w:w="1746"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93,925,739.70</w:t>
            </w:r>
          </w:p>
        </w:tc>
      </w:tr>
      <w:tr>
        <w:trPr>
          <w:trHeight w:val="283" w:hRule="exact"/>
        </w:trPr>
        <w:tc>
          <w:tcPr>
            <w:tcW w:w="4067"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2912" w:type="dxa"/>
            <w:tcBorders>
              <w:top w:val="nil" w:sz="6" w:space="0" w:color="auto"/>
              <w:left w:val="nil" w:sz="6" w:space="0" w:color="auto"/>
              <w:bottom w:val="nil" w:sz="6" w:space="0" w:color="auto"/>
              <w:right w:val="nil" w:sz="6" w:space="0" w:color="auto"/>
            </w:tcBorders>
          </w:tcPr>
          <w:p>
            <w:pPr>
              <w:pStyle w:val="TableParagraph"/>
              <w:spacing w:line="232" w:lineRule="exact"/>
              <w:ind w:right="313"/>
              <w:jc w:val="right"/>
              <w:rPr>
                <w:rFonts w:ascii="宋体" w:hAnsi="宋体" w:cs="宋体" w:eastAsia="宋体" w:hint="default"/>
                <w:sz w:val="18"/>
                <w:szCs w:val="18"/>
              </w:rPr>
            </w:pPr>
            <w:r>
              <w:rPr>
                <w:rFonts w:ascii="宋体"/>
                <w:sz w:val="18"/>
              </w:rPr>
              <w:t>0.00</w:t>
            </w:r>
          </w:p>
        </w:tc>
        <w:tc>
          <w:tcPr>
            <w:tcW w:w="1746"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39,200,000.00</w:t>
            </w:r>
          </w:p>
        </w:tc>
      </w:tr>
      <w:tr>
        <w:trPr>
          <w:trHeight w:val="295" w:hRule="exact"/>
        </w:trPr>
        <w:tc>
          <w:tcPr>
            <w:tcW w:w="4067" w:type="dxa"/>
            <w:tcBorders>
              <w:top w:val="nil" w:sz="6" w:space="0" w:color="auto"/>
              <w:left w:val="nil" w:sz="6" w:space="0" w:color="auto"/>
              <w:bottom w:val="single" w:sz="8"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12" w:type="dxa"/>
            <w:tcBorders>
              <w:top w:val="nil" w:sz="6" w:space="0" w:color="auto"/>
              <w:left w:val="nil" w:sz="6" w:space="0" w:color="auto"/>
              <w:bottom w:val="single" w:sz="8" w:space="0" w:color="000000"/>
              <w:right w:val="nil" w:sz="6" w:space="0" w:color="auto"/>
            </w:tcBorders>
          </w:tcPr>
          <w:p>
            <w:pPr>
              <w:pStyle w:val="TableParagraph"/>
              <w:spacing w:line="232" w:lineRule="exact"/>
              <w:ind w:right="313"/>
              <w:jc w:val="right"/>
              <w:rPr>
                <w:rFonts w:ascii="宋体" w:hAnsi="宋体" w:cs="宋体" w:eastAsia="宋体" w:hint="default"/>
                <w:sz w:val="18"/>
                <w:szCs w:val="18"/>
              </w:rPr>
            </w:pPr>
            <w:r>
              <w:rPr>
                <w:rFonts w:ascii="宋体"/>
                <w:spacing w:val="-1"/>
                <w:sz w:val="18"/>
              </w:rPr>
              <w:t>7,613.13</w:t>
            </w:r>
          </w:p>
        </w:tc>
        <w:tc>
          <w:tcPr>
            <w:tcW w:w="1746" w:type="dxa"/>
            <w:tcBorders>
              <w:top w:val="nil" w:sz="6" w:space="0" w:color="auto"/>
              <w:left w:val="nil" w:sz="6" w:space="0" w:color="auto"/>
              <w:bottom w:val="single" w:sz="8"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310" w:hRule="exact"/>
        </w:trPr>
        <w:tc>
          <w:tcPr>
            <w:tcW w:w="4067" w:type="dxa"/>
            <w:tcBorders>
              <w:top w:val="single" w:sz="8"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12" w:type="dxa"/>
            <w:tcBorders>
              <w:top w:val="single" w:sz="8" w:space="0" w:color="000000"/>
              <w:left w:val="nil" w:sz="6" w:space="0" w:color="auto"/>
              <w:bottom w:val="single" w:sz="12" w:space="0" w:color="000000"/>
              <w:right w:val="nil" w:sz="6" w:space="0" w:color="auto"/>
            </w:tcBorders>
          </w:tcPr>
          <w:p>
            <w:pPr>
              <w:pStyle w:val="TableParagraph"/>
              <w:spacing w:line="232" w:lineRule="exact"/>
              <w:ind w:right="314"/>
              <w:jc w:val="right"/>
              <w:rPr>
                <w:rFonts w:ascii="宋体" w:hAnsi="宋体" w:cs="宋体" w:eastAsia="宋体" w:hint="default"/>
                <w:sz w:val="18"/>
                <w:szCs w:val="18"/>
              </w:rPr>
            </w:pPr>
            <w:r>
              <w:rPr>
                <w:rFonts w:ascii="宋体"/>
                <w:b/>
                <w:w w:val="95"/>
                <w:sz w:val="18"/>
              </w:rPr>
              <w:t>633,404,767.04</w:t>
            </w:r>
            <w:r>
              <w:rPr>
                <w:rFonts w:ascii="宋体"/>
                <w:sz w:val="18"/>
              </w:rPr>
            </w:r>
          </w:p>
        </w:tc>
        <w:tc>
          <w:tcPr>
            <w:tcW w:w="1746" w:type="dxa"/>
            <w:tcBorders>
              <w:top w:val="single" w:sz="8" w:space="0" w:color="000000"/>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482,973,348.91</w:t>
            </w:r>
            <w:r>
              <w:rPr>
                <w:rFonts w:ascii="宋体"/>
                <w:sz w:val="18"/>
              </w:rPr>
            </w:r>
          </w:p>
        </w:tc>
      </w:tr>
    </w:tbl>
    <w:p>
      <w:pPr>
        <w:spacing w:before="81"/>
        <w:ind w:left="715"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9"/>
          <w:sz w:val="22"/>
          <w:szCs w:val="22"/>
        </w:rPr>
        <w:t> </w:t>
      </w:r>
      <w:r>
        <w:rPr>
          <w:rFonts w:ascii="宋体" w:hAnsi="宋体" w:cs="宋体" w:eastAsia="宋体" w:hint="default"/>
          <w:sz w:val="22"/>
          <w:szCs w:val="22"/>
        </w:rPr>
        <w:t>合并现金流量表补充资料</w:t>
      </w:r>
    </w:p>
    <w:p>
      <w:pPr>
        <w:spacing w:line="240" w:lineRule="auto" w:before="11"/>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5507"/>
        <w:gridCol w:w="1603"/>
        <w:gridCol w:w="1643"/>
      </w:tblGrid>
      <w:tr>
        <w:trPr>
          <w:trHeight w:val="305" w:hRule="exact"/>
        </w:trPr>
        <w:tc>
          <w:tcPr>
            <w:tcW w:w="550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9"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0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1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4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5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9" w:hRule="exact"/>
        </w:trPr>
        <w:tc>
          <w:tcPr>
            <w:tcW w:w="5507" w:type="dxa"/>
            <w:tcBorders>
              <w:top w:val="single" w:sz="4" w:space="0" w:color="000000"/>
              <w:left w:val="nil" w:sz="6" w:space="0" w:color="auto"/>
              <w:bottom w:val="nil" w:sz="6" w:space="0" w:color="auto"/>
              <w:right w:val="nil" w:sz="6" w:space="0" w:color="auto"/>
            </w:tcBorders>
          </w:tcPr>
          <w:p>
            <w:pPr>
              <w:pStyle w:val="TableParagraph"/>
              <w:spacing w:line="232" w:lineRule="exact"/>
              <w:ind w:left="69"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603" w:type="dxa"/>
            <w:tcBorders>
              <w:top w:val="single" w:sz="4" w:space="0" w:color="000000"/>
              <w:left w:val="nil" w:sz="6" w:space="0" w:color="auto"/>
              <w:bottom w:val="nil" w:sz="6" w:space="0" w:color="auto"/>
              <w:right w:val="nil" w:sz="6" w:space="0" w:color="auto"/>
            </w:tcBorders>
          </w:tcPr>
          <w:p>
            <w:pPr/>
          </w:p>
        </w:tc>
        <w:tc>
          <w:tcPr>
            <w:tcW w:w="1643" w:type="dxa"/>
            <w:tcBorders>
              <w:top w:val="single" w:sz="4" w:space="0" w:color="000000"/>
              <w:left w:val="nil" w:sz="6" w:space="0" w:color="auto"/>
              <w:bottom w:val="nil" w:sz="6" w:space="0" w:color="auto"/>
              <w:right w:val="nil" w:sz="6" w:space="0" w:color="auto"/>
            </w:tcBorders>
          </w:tcPr>
          <w:p>
            <w:pPr/>
          </w:p>
        </w:tc>
      </w:tr>
      <w:tr>
        <w:trPr>
          <w:trHeight w:val="286" w:hRule="exact"/>
        </w:trPr>
        <w:tc>
          <w:tcPr>
            <w:tcW w:w="5507" w:type="dxa"/>
            <w:tcBorders>
              <w:top w:val="nil" w:sz="6" w:space="0" w:color="auto"/>
              <w:left w:val="nil" w:sz="6" w:space="0" w:color="auto"/>
              <w:bottom w:val="nil" w:sz="6" w:space="0" w:color="auto"/>
              <w:right w:val="nil" w:sz="6" w:space="0" w:color="auto"/>
            </w:tcBorders>
          </w:tcPr>
          <w:p>
            <w:pPr>
              <w:pStyle w:val="TableParagraph"/>
              <w:spacing w:line="233" w:lineRule="exact"/>
              <w:ind w:left="6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03"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-3,495,942,911.20</w:t>
            </w:r>
          </w:p>
        </w:tc>
        <w:tc>
          <w:tcPr>
            <w:tcW w:w="1643"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529,592,776.32</w:t>
            </w:r>
          </w:p>
        </w:tc>
      </w:tr>
      <w:tr>
        <w:trPr>
          <w:trHeight w:val="284" w:hRule="exact"/>
        </w:trPr>
        <w:tc>
          <w:tcPr>
            <w:tcW w:w="5507" w:type="dxa"/>
            <w:tcBorders>
              <w:top w:val="nil" w:sz="6" w:space="0" w:color="auto"/>
              <w:left w:val="nil" w:sz="6" w:space="0" w:color="auto"/>
              <w:bottom w:val="nil" w:sz="6" w:space="0" w:color="auto"/>
              <w:right w:val="nil" w:sz="6" w:space="0" w:color="auto"/>
            </w:tcBorders>
          </w:tcPr>
          <w:p>
            <w:pPr>
              <w:pStyle w:val="TableParagraph"/>
              <w:spacing w:line="233" w:lineRule="exact"/>
              <w:ind w:left="69"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03" w:type="dxa"/>
            <w:tcBorders>
              <w:top w:val="nil" w:sz="6" w:space="0" w:color="auto"/>
              <w:left w:val="nil" w:sz="6" w:space="0" w:color="auto"/>
              <w:bottom w:val="nil" w:sz="6" w:space="0" w:color="auto"/>
              <w:right w:val="nil" w:sz="6" w:space="0" w:color="auto"/>
            </w:tcBorders>
          </w:tcPr>
          <w:p>
            <w:pPr>
              <w:pStyle w:val="TableParagraph"/>
              <w:spacing w:line="233" w:lineRule="exact"/>
              <w:ind w:right="57"/>
              <w:jc w:val="right"/>
              <w:rPr>
                <w:rFonts w:ascii="宋体" w:hAnsi="宋体" w:cs="宋体" w:eastAsia="宋体" w:hint="default"/>
                <w:sz w:val="18"/>
                <w:szCs w:val="18"/>
              </w:rPr>
            </w:pPr>
            <w:r>
              <w:rPr>
                <w:rFonts w:ascii="宋体"/>
                <w:spacing w:val="-1"/>
                <w:sz w:val="18"/>
              </w:rPr>
              <w:t>3,595,366,972.46</w:t>
            </w:r>
          </w:p>
        </w:tc>
        <w:tc>
          <w:tcPr>
            <w:tcW w:w="1643"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751,382,021.51</w:t>
            </w:r>
          </w:p>
        </w:tc>
      </w:tr>
      <w:tr>
        <w:trPr>
          <w:trHeight w:val="285" w:hRule="exact"/>
        </w:trPr>
        <w:tc>
          <w:tcPr>
            <w:tcW w:w="5507" w:type="dxa"/>
            <w:tcBorders>
              <w:top w:val="nil" w:sz="6" w:space="0" w:color="auto"/>
              <w:left w:val="nil" w:sz="6" w:space="0" w:color="auto"/>
              <w:bottom w:val="nil" w:sz="6" w:space="0" w:color="auto"/>
              <w:right w:val="nil" w:sz="6" w:space="0" w:color="auto"/>
            </w:tcBorders>
          </w:tcPr>
          <w:p>
            <w:pPr>
              <w:pStyle w:val="TableParagraph"/>
              <w:spacing w:line="232" w:lineRule="exact"/>
              <w:ind w:left="429"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03" w:type="dxa"/>
            <w:tcBorders>
              <w:top w:val="nil" w:sz="6" w:space="0" w:color="auto"/>
              <w:left w:val="nil" w:sz="6" w:space="0" w:color="auto"/>
              <w:bottom w:val="nil" w:sz="6" w:space="0" w:color="auto"/>
              <w:right w:val="nil" w:sz="6" w:space="0" w:color="auto"/>
            </w:tcBorders>
          </w:tcPr>
          <w:p>
            <w:pPr>
              <w:pStyle w:val="TableParagraph"/>
              <w:spacing w:line="232" w:lineRule="exact"/>
              <w:ind w:right="57"/>
              <w:jc w:val="right"/>
              <w:rPr>
                <w:rFonts w:ascii="宋体" w:hAnsi="宋体" w:cs="宋体" w:eastAsia="宋体" w:hint="default"/>
                <w:sz w:val="18"/>
                <w:szCs w:val="18"/>
              </w:rPr>
            </w:pPr>
            <w:r>
              <w:rPr>
                <w:rFonts w:ascii="宋体"/>
                <w:spacing w:val="-1"/>
                <w:sz w:val="18"/>
              </w:rPr>
              <w:t>333,561,437.11</w:t>
            </w:r>
          </w:p>
        </w:tc>
        <w:tc>
          <w:tcPr>
            <w:tcW w:w="1643"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298,950,589.10</w:t>
            </w:r>
          </w:p>
        </w:tc>
      </w:tr>
      <w:tr>
        <w:trPr>
          <w:trHeight w:val="286" w:hRule="exact"/>
        </w:trPr>
        <w:tc>
          <w:tcPr>
            <w:tcW w:w="5507" w:type="dxa"/>
            <w:tcBorders>
              <w:top w:val="nil" w:sz="6" w:space="0" w:color="auto"/>
              <w:left w:val="nil" w:sz="6" w:space="0" w:color="auto"/>
              <w:bottom w:val="nil" w:sz="6" w:space="0" w:color="auto"/>
              <w:right w:val="nil" w:sz="6" w:space="0" w:color="auto"/>
            </w:tcBorders>
          </w:tcPr>
          <w:p>
            <w:pPr>
              <w:pStyle w:val="TableParagraph"/>
              <w:spacing w:line="233" w:lineRule="exact"/>
              <w:ind w:left="429"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03" w:type="dxa"/>
            <w:tcBorders>
              <w:top w:val="nil" w:sz="6" w:space="0" w:color="auto"/>
              <w:left w:val="nil" w:sz="6" w:space="0" w:color="auto"/>
              <w:bottom w:val="nil" w:sz="6" w:space="0" w:color="auto"/>
              <w:right w:val="nil" w:sz="6" w:space="0" w:color="auto"/>
            </w:tcBorders>
          </w:tcPr>
          <w:p>
            <w:pPr>
              <w:pStyle w:val="TableParagraph"/>
              <w:spacing w:line="233" w:lineRule="exact"/>
              <w:ind w:right="57"/>
              <w:jc w:val="right"/>
              <w:rPr>
                <w:rFonts w:ascii="宋体" w:hAnsi="宋体" w:cs="宋体" w:eastAsia="宋体" w:hint="default"/>
                <w:sz w:val="18"/>
                <w:szCs w:val="18"/>
              </w:rPr>
            </w:pPr>
            <w:r>
              <w:rPr>
                <w:rFonts w:ascii="宋体"/>
                <w:spacing w:val="-1"/>
                <w:sz w:val="18"/>
              </w:rPr>
              <w:t>299,170,010.23</w:t>
            </w:r>
          </w:p>
        </w:tc>
        <w:tc>
          <w:tcPr>
            <w:tcW w:w="1643"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253,825,922.30</w:t>
            </w:r>
          </w:p>
        </w:tc>
      </w:tr>
      <w:tr>
        <w:trPr>
          <w:trHeight w:val="286" w:hRule="exact"/>
        </w:trPr>
        <w:tc>
          <w:tcPr>
            <w:tcW w:w="5507" w:type="dxa"/>
            <w:tcBorders>
              <w:top w:val="nil" w:sz="6" w:space="0" w:color="auto"/>
              <w:left w:val="nil" w:sz="6" w:space="0" w:color="auto"/>
              <w:bottom w:val="nil" w:sz="6" w:space="0" w:color="auto"/>
              <w:right w:val="nil" w:sz="6" w:space="0" w:color="auto"/>
            </w:tcBorders>
          </w:tcPr>
          <w:p>
            <w:pPr>
              <w:pStyle w:val="TableParagraph"/>
              <w:spacing w:line="233" w:lineRule="exact"/>
              <w:ind w:left="429"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03"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28,756,975.03</w:t>
            </w:r>
          </w:p>
        </w:tc>
        <w:tc>
          <w:tcPr>
            <w:tcW w:w="1643" w:type="dxa"/>
            <w:tcBorders>
              <w:top w:val="nil" w:sz="6" w:space="0" w:color="auto"/>
              <w:left w:val="nil" w:sz="6" w:space="0" w:color="auto"/>
              <w:bottom w:val="nil" w:sz="6" w:space="0" w:color="auto"/>
              <w:right w:val="nil" w:sz="6" w:space="0" w:color="auto"/>
            </w:tcBorders>
          </w:tcPr>
          <w:p>
            <w:pPr>
              <w:pStyle w:val="TableParagraph"/>
              <w:spacing w:line="233" w:lineRule="exact"/>
              <w:ind w:right="53"/>
              <w:jc w:val="right"/>
              <w:rPr>
                <w:rFonts w:ascii="宋体" w:hAnsi="宋体" w:cs="宋体" w:eastAsia="宋体" w:hint="default"/>
                <w:sz w:val="18"/>
                <w:szCs w:val="18"/>
              </w:rPr>
            </w:pPr>
            <w:r>
              <w:rPr>
                <w:rFonts w:ascii="宋体"/>
                <w:spacing w:val="-1"/>
                <w:sz w:val="18"/>
              </w:rPr>
              <w:t>23,066,223.93</w:t>
            </w:r>
          </w:p>
        </w:tc>
      </w:tr>
      <w:tr>
        <w:trPr>
          <w:trHeight w:val="284" w:hRule="exact"/>
        </w:trPr>
        <w:tc>
          <w:tcPr>
            <w:tcW w:w="5507" w:type="dxa"/>
            <w:tcBorders>
              <w:top w:val="nil" w:sz="6" w:space="0" w:color="auto"/>
              <w:left w:val="nil" w:sz="6" w:space="0" w:color="auto"/>
              <w:bottom w:val="nil" w:sz="6" w:space="0" w:color="auto"/>
              <w:right w:val="nil" w:sz="6" w:space="0" w:color="auto"/>
            </w:tcBorders>
          </w:tcPr>
          <w:p>
            <w:pPr>
              <w:pStyle w:val="TableParagraph"/>
              <w:spacing w:line="233" w:lineRule="exact"/>
              <w:ind w:left="405" w:right="0"/>
              <w:jc w:val="left"/>
              <w:rPr>
                <w:rFonts w:ascii="宋体" w:hAnsi="宋体" w:cs="宋体" w:eastAsia="宋体" w:hint="default"/>
                <w:sz w:val="18"/>
                <w:szCs w:val="18"/>
              </w:rPr>
            </w:pPr>
            <w:r>
              <w:rPr>
                <w:rFonts w:ascii="宋体" w:hAnsi="宋体" w:cs="宋体" w:eastAsia="宋体" w:hint="default"/>
                <w:spacing w:val="-14"/>
                <w:sz w:val="18"/>
                <w:szCs w:val="18"/>
              </w:rPr>
              <w:t>处置固定资产、无形资产和其他长期资产的损失（收益以“</w:t>
            </w:r>
            <w:r>
              <w:rPr>
                <w:rFonts w:ascii="宋体" w:hAnsi="宋体" w:cs="宋体" w:eastAsia="宋体" w:hint="default"/>
                <w:spacing w:val="-14"/>
                <w:sz w:val="18"/>
                <w:szCs w:val="18"/>
              </w:rPr>
              <w:t>-</w:t>
            </w:r>
            <w:r>
              <w:rPr>
                <w:rFonts w:ascii="宋体" w:hAnsi="宋体" w:cs="宋体" w:eastAsia="宋体" w:hint="default"/>
                <w:spacing w:val="-14"/>
                <w:sz w:val="18"/>
                <w:szCs w:val="18"/>
              </w:rPr>
              <w:t>”填列）</w:t>
            </w:r>
            <w:r>
              <w:rPr>
                <w:rFonts w:ascii="宋体" w:hAnsi="宋体" w:cs="宋体" w:eastAsia="宋体" w:hint="default"/>
                <w:sz w:val="18"/>
                <w:szCs w:val="18"/>
              </w:rPr>
            </w:r>
          </w:p>
        </w:tc>
        <w:tc>
          <w:tcPr>
            <w:tcW w:w="1603"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-198,200,922.74</w:t>
            </w:r>
          </w:p>
        </w:tc>
        <w:tc>
          <w:tcPr>
            <w:tcW w:w="1643"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-11,822,704.21</w:t>
            </w:r>
          </w:p>
        </w:tc>
      </w:tr>
      <w:tr>
        <w:trPr>
          <w:trHeight w:val="284" w:hRule="exact"/>
        </w:trPr>
        <w:tc>
          <w:tcPr>
            <w:tcW w:w="5507" w:type="dxa"/>
            <w:tcBorders>
              <w:top w:val="nil" w:sz="6" w:space="0" w:color="auto"/>
              <w:left w:val="nil" w:sz="6" w:space="0" w:color="auto"/>
              <w:bottom w:val="nil" w:sz="6" w:space="0" w:color="auto"/>
              <w:right w:val="nil" w:sz="6" w:space="0" w:color="auto"/>
            </w:tcBorders>
          </w:tcPr>
          <w:p>
            <w:pPr>
              <w:pStyle w:val="TableParagraph"/>
              <w:spacing w:line="232" w:lineRule="exact"/>
              <w:ind w:left="429"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1603" w:type="dxa"/>
            <w:tcBorders>
              <w:top w:val="nil" w:sz="6" w:space="0" w:color="auto"/>
              <w:left w:val="nil" w:sz="6" w:space="0" w:color="auto"/>
              <w:bottom w:val="nil" w:sz="6" w:space="0" w:color="auto"/>
              <w:right w:val="nil" w:sz="6" w:space="0" w:color="auto"/>
            </w:tcBorders>
          </w:tcPr>
          <w:p>
            <w:pPr>
              <w:pStyle w:val="TableParagraph"/>
              <w:spacing w:line="232" w:lineRule="exact"/>
              <w:ind w:right="57"/>
              <w:jc w:val="right"/>
              <w:rPr>
                <w:rFonts w:ascii="宋体" w:hAnsi="宋体" w:cs="宋体" w:eastAsia="宋体" w:hint="default"/>
                <w:sz w:val="18"/>
                <w:szCs w:val="18"/>
              </w:rPr>
            </w:pPr>
            <w:r>
              <w:rPr>
                <w:rFonts w:ascii="宋体"/>
                <w:spacing w:val="-1"/>
                <w:sz w:val="18"/>
              </w:rPr>
              <w:t>687,708.68</w:t>
            </w:r>
          </w:p>
        </w:tc>
        <w:tc>
          <w:tcPr>
            <w:tcW w:w="1643"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2,617,394.20</w:t>
            </w:r>
          </w:p>
        </w:tc>
      </w:tr>
      <w:tr>
        <w:trPr>
          <w:trHeight w:val="286" w:hRule="exact"/>
        </w:trPr>
        <w:tc>
          <w:tcPr>
            <w:tcW w:w="5507" w:type="dxa"/>
            <w:tcBorders>
              <w:top w:val="nil" w:sz="6" w:space="0" w:color="auto"/>
              <w:left w:val="nil" w:sz="6" w:space="0" w:color="auto"/>
              <w:bottom w:val="nil" w:sz="6" w:space="0" w:color="auto"/>
              <w:right w:val="nil" w:sz="6" w:space="0" w:color="auto"/>
            </w:tcBorders>
          </w:tcPr>
          <w:p>
            <w:pPr>
              <w:pStyle w:val="TableParagraph"/>
              <w:spacing w:line="233" w:lineRule="exact"/>
              <w:ind w:left="429" w:right="0"/>
              <w:jc w:val="left"/>
              <w:rPr>
                <w:rFonts w:ascii="宋体" w:hAnsi="宋体" w:cs="宋体" w:eastAsia="宋体" w:hint="default"/>
                <w:sz w:val="18"/>
                <w:szCs w:val="18"/>
              </w:rPr>
            </w:pPr>
            <w:r>
              <w:rPr>
                <w:rFonts w:ascii="宋体" w:hAnsi="宋体" w:cs="宋体" w:eastAsia="宋体" w:hint="default"/>
                <w:sz w:val="18"/>
                <w:szCs w:val="18"/>
              </w:rPr>
              <w:t>公允价值变动损益（收益以“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1603" w:type="dxa"/>
            <w:tcBorders>
              <w:top w:val="nil" w:sz="6" w:space="0" w:color="auto"/>
              <w:left w:val="nil" w:sz="6" w:space="0" w:color="auto"/>
              <w:bottom w:val="nil" w:sz="6" w:space="0" w:color="auto"/>
              <w:right w:val="nil" w:sz="6" w:space="0" w:color="auto"/>
            </w:tcBorders>
          </w:tcPr>
          <w:p>
            <w:pPr>
              <w:pStyle w:val="TableParagraph"/>
              <w:spacing w:line="233" w:lineRule="exact"/>
              <w:ind w:right="57"/>
              <w:jc w:val="right"/>
              <w:rPr>
                <w:rFonts w:ascii="宋体" w:hAnsi="宋体" w:cs="宋体" w:eastAsia="宋体" w:hint="default"/>
                <w:sz w:val="18"/>
                <w:szCs w:val="18"/>
              </w:rPr>
            </w:pPr>
            <w:r>
              <w:rPr>
                <w:rFonts w:ascii="宋体"/>
                <w:spacing w:val="-1"/>
                <w:sz w:val="18"/>
              </w:rPr>
              <w:t>131,967,809.27</w:t>
            </w:r>
          </w:p>
        </w:tc>
        <w:tc>
          <w:tcPr>
            <w:tcW w:w="1643"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255,216,515.38</w:t>
            </w:r>
          </w:p>
        </w:tc>
      </w:tr>
      <w:tr>
        <w:trPr>
          <w:trHeight w:val="286" w:hRule="exact"/>
        </w:trPr>
        <w:tc>
          <w:tcPr>
            <w:tcW w:w="5507" w:type="dxa"/>
            <w:tcBorders>
              <w:top w:val="nil" w:sz="6" w:space="0" w:color="auto"/>
              <w:left w:val="nil" w:sz="6" w:space="0" w:color="auto"/>
              <w:bottom w:val="nil" w:sz="6" w:space="0" w:color="auto"/>
              <w:right w:val="nil" w:sz="6" w:space="0" w:color="auto"/>
            </w:tcBorders>
          </w:tcPr>
          <w:p>
            <w:pPr>
              <w:pStyle w:val="TableParagraph"/>
              <w:spacing w:line="233" w:lineRule="exact"/>
              <w:ind w:left="429"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1603" w:type="dxa"/>
            <w:tcBorders>
              <w:top w:val="nil" w:sz="6" w:space="0" w:color="auto"/>
              <w:left w:val="nil" w:sz="6" w:space="0" w:color="auto"/>
              <w:bottom w:val="nil" w:sz="6" w:space="0" w:color="auto"/>
              <w:right w:val="nil" w:sz="6" w:space="0" w:color="auto"/>
            </w:tcBorders>
          </w:tcPr>
          <w:p>
            <w:pPr>
              <w:pStyle w:val="TableParagraph"/>
              <w:spacing w:line="233" w:lineRule="exact"/>
              <w:ind w:right="57"/>
              <w:jc w:val="right"/>
              <w:rPr>
                <w:rFonts w:ascii="宋体" w:hAnsi="宋体" w:cs="宋体" w:eastAsia="宋体" w:hint="default"/>
                <w:sz w:val="18"/>
                <w:szCs w:val="18"/>
              </w:rPr>
            </w:pPr>
            <w:r>
              <w:rPr>
                <w:rFonts w:ascii="宋体"/>
                <w:spacing w:val="-1"/>
                <w:sz w:val="18"/>
              </w:rPr>
              <w:t>1,127,973,316.96</w:t>
            </w:r>
          </w:p>
        </w:tc>
        <w:tc>
          <w:tcPr>
            <w:tcW w:w="1643"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763,195,082.92</w:t>
            </w:r>
          </w:p>
        </w:tc>
      </w:tr>
      <w:tr>
        <w:trPr>
          <w:trHeight w:val="284" w:hRule="exact"/>
        </w:trPr>
        <w:tc>
          <w:tcPr>
            <w:tcW w:w="5507" w:type="dxa"/>
            <w:tcBorders>
              <w:top w:val="nil" w:sz="6" w:space="0" w:color="auto"/>
              <w:left w:val="nil" w:sz="6" w:space="0" w:color="auto"/>
              <w:bottom w:val="nil" w:sz="6" w:space="0" w:color="auto"/>
              <w:right w:val="nil" w:sz="6" w:space="0" w:color="auto"/>
            </w:tcBorders>
          </w:tcPr>
          <w:p>
            <w:pPr>
              <w:pStyle w:val="TableParagraph"/>
              <w:spacing w:line="233" w:lineRule="exact"/>
              <w:ind w:left="429"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1603"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-641,441,357.54</w:t>
            </w:r>
          </w:p>
        </w:tc>
        <w:tc>
          <w:tcPr>
            <w:tcW w:w="1643" w:type="dxa"/>
            <w:tcBorders>
              <w:top w:val="nil" w:sz="6" w:space="0" w:color="auto"/>
              <w:left w:val="nil" w:sz="6" w:space="0" w:color="auto"/>
              <w:bottom w:val="nil" w:sz="6" w:space="0" w:color="auto"/>
              <w:right w:val="nil" w:sz="6" w:space="0" w:color="auto"/>
            </w:tcBorders>
          </w:tcPr>
          <w:p>
            <w:pPr>
              <w:pStyle w:val="TableParagraph"/>
              <w:spacing w:line="233" w:lineRule="exact"/>
              <w:ind w:right="53"/>
              <w:jc w:val="right"/>
              <w:rPr>
                <w:rFonts w:ascii="宋体" w:hAnsi="宋体" w:cs="宋体" w:eastAsia="宋体" w:hint="default"/>
                <w:sz w:val="18"/>
                <w:szCs w:val="18"/>
              </w:rPr>
            </w:pPr>
            <w:r>
              <w:rPr>
                <w:rFonts w:ascii="宋体"/>
                <w:spacing w:val="-1"/>
                <w:sz w:val="18"/>
              </w:rPr>
              <w:t>-1,159,896,929.85</w:t>
            </w:r>
          </w:p>
        </w:tc>
      </w:tr>
      <w:tr>
        <w:trPr>
          <w:trHeight w:val="284" w:hRule="exact"/>
        </w:trPr>
        <w:tc>
          <w:tcPr>
            <w:tcW w:w="5507" w:type="dxa"/>
            <w:tcBorders>
              <w:top w:val="nil" w:sz="6" w:space="0" w:color="auto"/>
              <w:left w:val="nil" w:sz="6" w:space="0" w:color="auto"/>
              <w:bottom w:val="nil" w:sz="6" w:space="0" w:color="auto"/>
              <w:right w:val="nil" w:sz="6" w:space="0" w:color="auto"/>
            </w:tcBorders>
          </w:tcPr>
          <w:p>
            <w:pPr>
              <w:pStyle w:val="TableParagraph"/>
              <w:spacing w:line="232" w:lineRule="exact"/>
              <w:ind w:left="429" w:right="0"/>
              <w:jc w:val="left"/>
              <w:rPr>
                <w:rFonts w:ascii="宋体" w:hAnsi="宋体" w:cs="宋体" w:eastAsia="宋体" w:hint="default"/>
                <w:sz w:val="18"/>
                <w:szCs w:val="18"/>
              </w:rPr>
            </w:pPr>
            <w:r>
              <w:rPr>
                <w:rFonts w:ascii="宋体" w:hAnsi="宋体" w:cs="宋体" w:eastAsia="宋体" w:hint="default"/>
                <w:sz w:val="18"/>
                <w:szCs w:val="18"/>
              </w:rPr>
              <w:t>递延所得税资产的减少（增加以“</w:t>
            </w:r>
            <w:r>
              <w:rPr>
                <w:rFonts w:ascii="宋体" w:hAnsi="宋体" w:cs="宋体" w:eastAsia="宋体" w:hint="default"/>
                <w:sz w:val="18"/>
                <w:szCs w:val="18"/>
              </w:rPr>
              <w:t>-</w:t>
            </w:r>
            <w:r>
              <w:rPr>
                <w:rFonts w:ascii="宋体" w:hAnsi="宋体" w:cs="宋体" w:eastAsia="宋体" w:hint="default"/>
                <w:sz w:val="18"/>
                <w:szCs w:val="18"/>
              </w:rPr>
              <w:t>”填列）</w:t>
            </w:r>
          </w:p>
        </w:tc>
        <w:tc>
          <w:tcPr>
            <w:tcW w:w="1603"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-400,462,089.23</w:t>
            </w:r>
          </w:p>
        </w:tc>
        <w:tc>
          <w:tcPr>
            <w:tcW w:w="1643" w:type="dxa"/>
            <w:tcBorders>
              <w:top w:val="nil" w:sz="6" w:space="0" w:color="auto"/>
              <w:left w:val="nil" w:sz="6" w:space="0" w:color="auto"/>
              <w:bottom w:val="nil" w:sz="6" w:space="0" w:color="auto"/>
              <w:right w:val="nil" w:sz="6" w:space="0" w:color="auto"/>
            </w:tcBorders>
          </w:tcPr>
          <w:p>
            <w:pPr>
              <w:pStyle w:val="TableParagraph"/>
              <w:spacing w:line="232" w:lineRule="exact"/>
              <w:ind w:right="53"/>
              <w:jc w:val="right"/>
              <w:rPr>
                <w:rFonts w:ascii="宋体" w:hAnsi="宋体" w:cs="宋体" w:eastAsia="宋体" w:hint="default"/>
                <w:sz w:val="18"/>
                <w:szCs w:val="18"/>
              </w:rPr>
            </w:pPr>
            <w:r>
              <w:rPr>
                <w:rFonts w:ascii="宋体"/>
                <w:spacing w:val="-1"/>
                <w:sz w:val="18"/>
              </w:rPr>
              <w:t>-255,382,727.98</w:t>
            </w:r>
          </w:p>
        </w:tc>
      </w:tr>
      <w:tr>
        <w:trPr>
          <w:trHeight w:val="286" w:hRule="exact"/>
        </w:trPr>
        <w:tc>
          <w:tcPr>
            <w:tcW w:w="5507" w:type="dxa"/>
            <w:tcBorders>
              <w:top w:val="nil" w:sz="6" w:space="0" w:color="auto"/>
              <w:left w:val="nil" w:sz="6" w:space="0" w:color="auto"/>
              <w:bottom w:val="nil" w:sz="6" w:space="0" w:color="auto"/>
              <w:right w:val="nil" w:sz="6" w:space="0" w:color="auto"/>
            </w:tcBorders>
          </w:tcPr>
          <w:p>
            <w:pPr>
              <w:pStyle w:val="TableParagraph"/>
              <w:spacing w:line="233" w:lineRule="exact"/>
              <w:ind w:left="429" w:right="0"/>
              <w:jc w:val="left"/>
              <w:rPr>
                <w:rFonts w:ascii="宋体" w:hAnsi="宋体" w:cs="宋体" w:eastAsia="宋体" w:hint="default"/>
                <w:sz w:val="18"/>
                <w:szCs w:val="18"/>
              </w:rPr>
            </w:pPr>
            <w:r>
              <w:rPr>
                <w:rFonts w:ascii="宋体" w:hAnsi="宋体" w:cs="宋体" w:eastAsia="宋体" w:hint="default"/>
                <w:sz w:val="18"/>
                <w:szCs w:val="18"/>
              </w:rPr>
              <w:t>递延所得税负债的增加（减少以“</w:t>
            </w:r>
            <w:r>
              <w:rPr>
                <w:rFonts w:ascii="宋体" w:hAnsi="宋体" w:cs="宋体" w:eastAsia="宋体" w:hint="default"/>
                <w:sz w:val="18"/>
                <w:szCs w:val="18"/>
              </w:rPr>
              <w:t>-</w:t>
            </w:r>
            <w:r>
              <w:rPr>
                <w:rFonts w:ascii="宋体" w:hAnsi="宋体" w:cs="宋体" w:eastAsia="宋体" w:hint="default"/>
                <w:sz w:val="18"/>
                <w:szCs w:val="18"/>
              </w:rPr>
              <w:t>”填列）</w:t>
            </w:r>
          </w:p>
        </w:tc>
        <w:tc>
          <w:tcPr>
            <w:tcW w:w="1603"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78,246,808.27</w:t>
            </w:r>
          </w:p>
        </w:tc>
        <w:tc>
          <w:tcPr>
            <w:tcW w:w="1643"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-85,533,327.76</w:t>
            </w:r>
          </w:p>
        </w:tc>
      </w:tr>
      <w:tr>
        <w:trPr>
          <w:trHeight w:val="286" w:hRule="exact"/>
        </w:trPr>
        <w:tc>
          <w:tcPr>
            <w:tcW w:w="5507" w:type="dxa"/>
            <w:tcBorders>
              <w:top w:val="nil" w:sz="6" w:space="0" w:color="auto"/>
              <w:left w:val="nil" w:sz="6" w:space="0" w:color="auto"/>
              <w:bottom w:val="nil" w:sz="6" w:space="0" w:color="auto"/>
              <w:right w:val="nil" w:sz="6" w:space="0" w:color="auto"/>
            </w:tcBorders>
          </w:tcPr>
          <w:p>
            <w:pPr>
              <w:pStyle w:val="TableParagraph"/>
              <w:spacing w:line="233" w:lineRule="exact"/>
              <w:ind w:left="429"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宋体" w:hAnsi="宋体" w:cs="宋体" w:eastAsia="宋体" w:hint="default"/>
                <w:sz w:val="18"/>
                <w:szCs w:val="18"/>
              </w:rPr>
              <w:t>-</w:t>
            </w:r>
            <w:r>
              <w:rPr>
                <w:rFonts w:ascii="宋体" w:hAnsi="宋体" w:cs="宋体" w:eastAsia="宋体" w:hint="default"/>
                <w:sz w:val="18"/>
                <w:szCs w:val="18"/>
              </w:rPr>
              <w:t>”填列）</w:t>
            </w:r>
          </w:p>
        </w:tc>
        <w:tc>
          <w:tcPr>
            <w:tcW w:w="1603"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-474,684,962.89</w:t>
            </w:r>
          </w:p>
        </w:tc>
        <w:tc>
          <w:tcPr>
            <w:tcW w:w="1643" w:type="dxa"/>
            <w:tcBorders>
              <w:top w:val="nil" w:sz="6" w:space="0" w:color="auto"/>
              <w:left w:val="nil" w:sz="6" w:space="0" w:color="auto"/>
              <w:bottom w:val="nil" w:sz="6" w:space="0" w:color="auto"/>
              <w:right w:val="nil" w:sz="6" w:space="0" w:color="auto"/>
            </w:tcBorders>
          </w:tcPr>
          <w:p>
            <w:pPr>
              <w:pStyle w:val="TableParagraph"/>
              <w:spacing w:line="233" w:lineRule="exact"/>
              <w:ind w:right="53"/>
              <w:jc w:val="right"/>
              <w:rPr>
                <w:rFonts w:ascii="宋体" w:hAnsi="宋体" w:cs="宋体" w:eastAsia="宋体" w:hint="default"/>
                <w:sz w:val="18"/>
                <w:szCs w:val="18"/>
              </w:rPr>
            </w:pPr>
            <w:r>
              <w:rPr>
                <w:rFonts w:ascii="宋体"/>
                <w:spacing w:val="-1"/>
                <w:sz w:val="18"/>
              </w:rPr>
              <w:t>-260,175,270.96</w:t>
            </w:r>
          </w:p>
        </w:tc>
      </w:tr>
      <w:tr>
        <w:trPr>
          <w:trHeight w:val="284" w:hRule="exact"/>
        </w:trPr>
        <w:tc>
          <w:tcPr>
            <w:tcW w:w="5507" w:type="dxa"/>
            <w:tcBorders>
              <w:top w:val="nil" w:sz="6" w:space="0" w:color="auto"/>
              <w:left w:val="nil" w:sz="6" w:space="0" w:color="auto"/>
              <w:bottom w:val="nil" w:sz="6" w:space="0" w:color="auto"/>
              <w:right w:val="nil" w:sz="6" w:space="0" w:color="auto"/>
            </w:tcBorders>
          </w:tcPr>
          <w:p>
            <w:pPr>
              <w:pStyle w:val="TableParagraph"/>
              <w:spacing w:line="233" w:lineRule="exact"/>
              <w:ind w:left="429"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宋体" w:hAnsi="宋体" w:cs="宋体" w:eastAsia="宋体" w:hint="default"/>
                <w:sz w:val="18"/>
                <w:szCs w:val="18"/>
              </w:rPr>
              <w:t>-</w:t>
            </w:r>
            <w:r>
              <w:rPr>
                <w:rFonts w:ascii="宋体" w:hAnsi="宋体" w:cs="宋体" w:eastAsia="宋体" w:hint="default"/>
                <w:sz w:val="18"/>
                <w:szCs w:val="18"/>
              </w:rPr>
              <w:t>”填列）</w:t>
            </w:r>
          </w:p>
        </w:tc>
        <w:tc>
          <w:tcPr>
            <w:tcW w:w="1603"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-2,124,701,357.72</w:t>
            </w:r>
          </w:p>
        </w:tc>
        <w:tc>
          <w:tcPr>
            <w:tcW w:w="1643" w:type="dxa"/>
            <w:tcBorders>
              <w:top w:val="nil" w:sz="6" w:space="0" w:color="auto"/>
              <w:left w:val="nil" w:sz="6" w:space="0" w:color="auto"/>
              <w:bottom w:val="nil" w:sz="6" w:space="0" w:color="auto"/>
              <w:right w:val="nil" w:sz="6" w:space="0" w:color="auto"/>
            </w:tcBorders>
          </w:tcPr>
          <w:p>
            <w:pPr>
              <w:pStyle w:val="TableParagraph"/>
              <w:spacing w:line="233" w:lineRule="exact"/>
              <w:ind w:right="53"/>
              <w:jc w:val="right"/>
              <w:rPr>
                <w:rFonts w:ascii="宋体" w:hAnsi="宋体" w:cs="宋体" w:eastAsia="宋体" w:hint="default"/>
                <w:sz w:val="18"/>
                <w:szCs w:val="18"/>
              </w:rPr>
            </w:pPr>
            <w:r>
              <w:rPr>
                <w:rFonts w:ascii="宋体"/>
                <w:spacing w:val="-1"/>
                <w:sz w:val="18"/>
              </w:rPr>
              <w:t>-981,605,010.28</w:t>
            </w:r>
          </w:p>
        </w:tc>
      </w:tr>
      <w:tr>
        <w:trPr>
          <w:trHeight w:val="284" w:hRule="exact"/>
        </w:trPr>
        <w:tc>
          <w:tcPr>
            <w:tcW w:w="5507" w:type="dxa"/>
            <w:tcBorders>
              <w:top w:val="nil" w:sz="6" w:space="0" w:color="auto"/>
              <w:left w:val="nil" w:sz="6" w:space="0" w:color="auto"/>
              <w:bottom w:val="nil" w:sz="6" w:space="0" w:color="auto"/>
              <w:right w:val="nil" w:sz="6" w:space="0" w:color="auto"/>
            </w:tcBorders>
          </w:tcPr>
          <w:p>
            <w:pPr>
              <w:pStyle w:val="TableParagraph"/>
              <w:spacing w:line="232" w:lineRule="exact"/>
              <w:ind w:left="429"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宋体" w:hAnsi="宋体" w:cs="宋体" w:eastAsia="宋体" w:hint="default"/>
                <w:sz w:val="18"/>
                <w:szCs w:val="18"/>
              </w:rPr>
              <w:t>-</w:t>
            </w:r>
            <w:r>
              <w:rPr>
                <w:rFonts w:ascii="宋体" w:hAnsi="宋体" w:cs="宋体" w:eastAsia="宋体" w:hint="default"/>
                <w:sz w:val="18"/>
                <w:szCs w:val="18"/>
              </w:rPr>
              <w:t>”填列）</w:t>
            </w:r>
          </w:p>
        </w:tc>
        <w:tc>
          <w:tcPr>
            <w:tcW w:w="1603" w:type="dxa"/>
            <w:tcBorders>
              <w:top w:val="nil" w:sz="6" w:space="0" w:color="auto"/>
              <w:left w:val="nil" w:sz="6" w:space="0" w:color="auto"/>
              <w:bottom w:val="nil" w:sz="6" w:space="0" w:color="auto"/>
              <w:right w:val="nil" w:sz="6" w:space="0" w:color="auto"/>
            </w:tcBorders>
          </w:tcPr>
          <w:p>
            <w:pPr>
              <w:pStyle w:val="TableParagraph"/>
              <w:spacing w:line="232" w:lineRule="exact"/>
              <w:ind w:right="57"/>
              <w:jc w:val="right"/>
              <w:rPr>
                <w:rFonts w:ascii="宋体" w:hAnsi="宋体" w:cs="宋体" w:eastAsia="宋体" w:hint="default"/>
                <w:sz w:val="18"/>
                <w:szCs w:val="18"/>
              </w:rPr>
            </w:pPr>
            <w:r>
              <w:rPr>
                <w:rFonts w:ascii="宋体"/>
                <w:spacing w:val="-1"/>
                <w:sz w:val="18"/>
              </w:rPr>
              <w:t>1,188,990,978.94</w:t>
            </w:r>
          </w:p>
        </w:tc>
        <w:tc>
          <w:tcPr>
            <w:tcW w:w="1643"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328,414,957.40</w:t>
            </w:r>
          </w:p>
        </w:tc>
      </w:tr>
      <w:tr>
        <w:trPr>
          <w:trHeight w:val="280" w:hRule="exact"/>
        </w:trPr>
        <w:tc>
          <w:tcPr>
            <w:tcW w:w="5507" w:type="dxa"/>
            <w:tcBorders>
              <w:top w:val="nil" w:sz="6" w:space="0" w:color="auto"/>
              <w:left w:val="nil" w:sz="6" w:space="0" w:color="auto"/>
              <w:bottom w:val="nil" w:sz="6" w:space="0" w:color="auto"/>
              <w:right w:val="nil" w:sz="6" w:space="0" w:color="auto"/>
            </w:tcBorders>
          </w:tcPr>
          <w:p>
            <w:pPr>
              <w:pStyle w:val="TableParagraph"/>
              <w:spacing w:line="233" w:lineRule="exact"/>
              <w:ind w:left="42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3"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25,258,105.91</w:t>
            </w:r>
          </w:p>
        </w:tc>
        <w:tc>
          <w:tcPr>
            <w:tcW w:w="1643"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1,600,424.50</w:t>
            </w:r>
          </w:p>
        </w:tc>
      </w:tr>
      <w:tr>
        <w:trPr>
          <w:trHeight w:val="274" w:hRule="exact"/>
        </w:trPr>
        <w:tc>
          <w:tcPr>
            <w:tcW w:w="5507" w:type="dxa"/>
            <w:tcBorders>
              <w:top w:val="nil" w:sz="6" w:space="0" w:color="auto"/>
              <w:left w:val="nil" w:sz="6" w:space="0" w:color="auto"/>
              <w:bottom w:val="nil" w:sz="6" w:space="0" w:color="auto"/>
              <w:right w:val="nil" w:sz="6" w:space="0" w:color="auto"/>
            </w:tcBorders>
          </w:tcPr>
          <w:p>
            <w:pPr>
              <w:pStyle w:val="TableParagraph"/>
              <w:spacing w:line="227" w:lineRule="exact"/>
              <w:ind w:left="16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03" w:type="dxa"/>
            <w:tcBorders>
              <w:top w:val="nil" w:sz="6" w:space="0" w:color="auto"/>
              <w:left w:val="nil" w:sz="6" w:space="0" w:color="auto"/>
              <w:bottom w:val="nil" w:sz="6" w:space="0" w:color="auto"/>
              <w:right w:val="nil" w:sz="6" w:space="0" w:color="auto"/>
            </w:tcBorders>
          </w:tcPr>
          <w:p>
            <w:pPr>
              <w:pStyle w:val="TableParagraph"/>
              <w:spacing w:line="227" w:lineRule="exact"/>
              <w:ind w:right="55"/>
              <w:jc w:val="right"/>
              <w:rPr>
                <w:rFonts w:ascii="宋体" w:hAnsi="宋体" w:cs="宋体" w:eastAsia="宋体" w:hint="default"/>
                <w:sz w:val="18"/>
                <w:szCs w:val="18"/>
              </w:rPr>
            </w:pPr>
            <w:r>
              <w:rPr>
                <w:rFonts w:ascii="宋体"/>
                <w:spacing w:val="-1"/>
                <w:sz w:val="18"/>
              </w:rPr>
              <w:t>-525,453,478.46</w:t>
            </w:r>
          </w:p>
        </w:tc>
        <w:tc>
          <w:tcPr>
            <w:tcW w:w="1643" w:type="dxa"/>
            <w:tcBorders>
              <w:top w:val="nil" w:sz="6" w:space="0" w:color="auto"/>
              <w:left w:val="nil" w:sz="6" w:space="0" w:color="auto"/>
              <w:bottom w:val="nil" w:sz="6" w:space="0" w:color="auto"/>
              <w:right w:val="nil" w:sz="6" w:space="0" w:color="auto"/>
            </w:tcBorders>
          </w:tcPr>
          <w:p>
            <w:pPr>
              <w:pStyle w:val="TableParagraph"/>
              <w:spacing w:line="227" w:lineRule="exact"/>
              <w:ind w:right="55"/>
              <w:jc w:val="right"/>
              <w:rPr>
                <w:rFonts w:ascii="宋体" w:hAnsi="宋体" w:cs="宋体" w:eastAsia="宋体" w:hint="default"/>
                <w:sz w:val="18"/>
                <w:szCs w:val="18"/>
              </w:rPr>
            </w:pPr>
            <w:r>
              <w:rPr>
                <w:rFonts w:ascii="宋体"/>
                <w:spacing w:val="-1"/>
                <w:sz w:val="18"/>
              </w:rPr>
              <w:t>453,445,936.52</w:t>
            </w:r>
          </w:p>
        </w:tc>
      </w:tr>
      <w:tr>
        <w:trPr>
          <w:trHeight w:val="277" w:hRule="exact"/>
        </w:trPr>
        <w:tc>
          <w:tcPr>
            <w:tcW w:w="5507" w:type="dxa"/>
            <w:tcBorders>
              <w:top w:val="nil" w:sz="6" w:space="0" w:color="auto"/>
              <w:left w:val="nil" w:sz="6" w:space="0" w:color="auto"/>
              <w:bottom w:val="nil" w:sz="6" w:space="0" w:color="auto"/>
              <w:right w:val="nil" w:sz="6" w:space="0" w:color="auto"/>
            </w:tcBorders>
          </w:tcPr>
          <w:p>
            <w:pPr>
              <w:pStyle w:val="TableParagraph"/>
              <w:spacing w:line="227" w:lineRule="exact"/>
              <w:ind w:left="69"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603"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r>
      <w:tr>
        <w:trPr>
          <w:trHeight w:val="284" w:hRule="exact"/>
        </w:trPr>
        <w:tc>
          <w:tcPr>
            <w:tcW w:w="5507" w:type="dxa"/>
            <w:tcBorders>
              <w:top w:val="nil" w:sz="6" w:space="0" w:color="auto"/>
              <w:left w:val="nil" w:sz="6" w:space="0" w:color="auto"/>
              <w:bottom w:val="nil" w:sz="6" w:space="0" w:color="auto"/>
              <w:right w:val="nil" w:sz="6" w:space="0" w:color="auto"/>
            </w:tcBorders>
          </w:tcPr>
          <w:p>
            <w:pPr>
              <w:pStyle w:val="TableParagraph"/>
              <w:spacing w:line="233" w:lineRule="exact"/>
              <w:ind w:left="611"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03" w:type="dxa"/>
            <w:tcBorders>
              <w:top w:val="nil" w:sz="6" w:space="0" w:color="auto"/>
              <w:left w:val="nil" w:sz="6" w:space="0" w:color="auto"/>
              <w:bottom w:val="nil" w:sz="6" w:space="0" w:color="auto"/>
              <w:right w:val="nil" w:sz="6" w:space="0" w:color="auto"/>
            </w:tcBorders>
          </w:tcPr>
          <w:p>
            <w:pPr>
              <w:pStyle w:val="TableParagraph"/>
              <w:spacing w:line="230" w:lineRule="exact"/>
              <w:ind w:right="54"/>
              <w:jc w:val="right"/>
              <w:rPr>
                <w:rFonts w:ascii="宋体" w:hAnsi="宋体" w:cs="宋体" w:eastAsia="宋体" w:hint="default"/>
                <w:sz w:val="18"/>
                <w:szCs w:val="18"/>
              </w:rPr>
            </w:pPr>
            <w:r>
              <w:rPr>
                <w:rFonts w:ascii="宋体"/>
                <w:sz w:val="18"/>
              </w:rPr>
              <w:t>0.00</w:t>
            </w:r>
          </w:p>
        </w:tc>
        <w:tc>
          <w:tcPr>
            <w:tcW w:w="1643" w:type="dxa"/>
            <w:tcBorders>
              <w:top w:val="nil" w:sz="6" w:space="0" w:color="auto"/>
              <w:left w:val="nil" w:sz="6" w:space="0" w:color="auto"/>
              <w:bottom w:val="nil" w:sz="6" w:space="0" w:color="auto"/>
              <w:right w:val="nil" w:sz="6" w:space="0" w:color="auto"/>
            </w:tcBorders>
          </w:tcPr>
          <w:p>
            <w:pPr>
              <w:pStyle w:val="TableParagraph"/>
              <w:spacing w:line="230" w:lineRule="exact"/>
              <w:ind w:right="52"/>
              <w:jc w:val="right"/>
              <w:rPr>
                <w:rFonts w:ascii="宋体" w:hAnsi="宋体" w:cs="宋体" w:eastAsia="宋体" w:hint="default"/>
                <w:sz w:val="18"/>
                <w:szCs w:val="18"/>
              </w:rPr>
            </w:pPr>
            <w:r>
              <w:rPr>
                <w:rFonts w:ascii="宋体"/>
                <w:sz w:val="18"/>
              </w:rPr>
              <w:t>0.00</w:t>
            </w:r>
          </w:p>
        </w:tc>
      </w:tr>
      <w:tr>
        <w:trPr>
          <w:trHeight w:val="286" w:hRule="exact"/>
        </w:trPr>
        <w:tc>
          <w:tcPr>
            <w:tcW w:w="5507" w:type="dxa"/>
            <w:tcBorders>
              <w:top w:val="nil" w:sz="6" w:space="0" w:color="auto"/>
              <w:left w:val="nil" w:sz="6" w:space="0" w:color="auto"/>
              <w:bottom w:val="nil" w:sz="6" w:space="0" w:color="auto"/>
              <w:right w:val="nil" w:sz="6" w:space="0" w:color="auto"/>
            </w:tcBorders>
          </w:tcPr>
          <w:p>
            <w:pPr>
              <w:pStyle w:val="TableParagraph"/>
              <w:spacing w:line="234" w:lineRule="exact"/>
              <w:ind w:left="611"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03" w:type="dxa"/>
            <w:tcBorders>
              <w:top w:val="nil" w:sz="6" w:space="0" w:color="auto"/>
              <w:left w:val="nil" w:sz="6" w:space="0" w:color="auto"/>
              <w:bottom w:val="nil" w:sz="6" w:space="0" w:color="auto"/>
              <w:right w:val="nil" w:sz="6" w:space="0" w:color="auto"/>
            </w:tcBorders>
          </w:tcPr>
          <w:p>
            <w:pPr>
              <w:pStyle w:val="TableParagraph"/>
              <w:spacing w:line="232" w:lineRule="exact"/>
              <w:ind w:right="54"/>
              <w:jc w:val="right"/>
              <w:rPr>
                <w:rFonts w:ascii="宋体" w:hAnsi="宋体" w:cs="宋体" w:eastAsia="宋体" w:hint="default"/>
                <w:sz w:val="18"/>
                <w:szCs w:val="18"/>
              </w:rPr>
            </w:pPr>
            <w:r>
              <w:rPr>
                <w:rFonts w:ascii="宋体"/>
                <w:sz w:val="18"/>
              </w:rPr>
              <w:t>0.00</w:t>
            </w:r>
          </w:p>
        </w:tc>
        <w:tc>
          <w:tcPr>
            <w:tcW w:w="1643" w:type="dxa"/>
            <w:tcBorders>
              <w:top w:val="nil" w:sz="6" w:space="0" w:color="auto"/>
              <w:left w:val="nil" w:sz="6" w:space="0" w:color="auto"/>
              <w:bottom w:val="nil" w:sz="6" w:space="0" w:color="auto"/>
              <w:right w:val="nil" w:sz="6" w:space="0" w:color="auto"/>
            </w:tcBorders>
          </w:tcPr>
          <w:p>
            <w:pPr>
              <w:pStyle w:val="TableParagraph"/>
              <w:spacing w:line="232" w:lineRule="exact"/>
              <w:ind w:right="52"/>
              <w:jc w:val="right"/>
              <w:rPr>
                <w:rFonts w:ascii="宋体" w:hAnsi="宋体" w:cs="宋体" w:eastAsia="宋体" w:hint="default"/>
                <w:sz w:val="18"/>
                <w:szCs w:val="18"/>
              </w:rPr>
            </w:pPr>
            <w:r>
              <w:rPr>
                <w:rFonts w:ascii="宋体"/>
                <w:sz w:val="18"/>
              </w:rPr>
              <w:t>0.00</w:t>
            </w:r>
          </w:p>
        </w:tc>
      </w:tr>
      <w:tr>
        <w:trPr>
          <w:trHeight w:val="302" w:hRule="exact"/>
        </w:trPr>
        <w:tc>
          <w:tcPr>
            <w:tcW w:w="5507" w:type="dxa"/>
            <w:tcBorders>
              <w:top w:val="nil" w:sz="6" w:space="0" w:color="auto"/>
              <w:left w:val="nil" w:sz="6" w:space="0" w:color="auto"/>
              <w:bottom w:val="single" w:sz="12" w:space="0" w:color="000000"/>
              <w:right w:val="nil" w:sz="6" w:space="0" w:color="auto"/>
            </w:tcBorders>
          </w:tcPr>
          <w:p>
            <w:pPr>
              <w:pStyle w:val="TableParagraph"/>
              <w:spacing w:line="234" w:lineRule="exact"/>
              <w:ind w:left="611"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03" w:type="dxa"/>
            <w:tcBorders>
              <w:top w:val="nil" w:sz="6" w:space="0" w:color="auto"/>
              <w:left w:val="nil" w:sz="6" w:space="0" w:color="auto"/>
              <w:bottom w:val="single" w:sz="12" w:space="0" w:color="000000"/>
              <w:right w:val="nil" w:sz="6" w:space="0" w:color="auto"/>
            </w:tcBorders>
          </w:tcPr>
          <w:p>
            <w:pPr>
              <w:pStyle w:val="TableParagraph"/>
              <w:spacing w:line="232" w:lineRule="exact"/>
              <w:ind w:right="54"/>
              <w:jc w:val="right"/>
              <w:rPr>
                <w:rFonts w:ascii="宋体" w:hAnsi="宋体" w:cs="宋体" w:eastAsia="宋体" w:hint="default"/>
                <w:sz w:val="18"/>
                <w:szCs w:val="18"/>
              </w:rPr>
            </w:pPr>
            <w:r>
              <w:rPr>
                <w:rFonts w:ascii="宋体"/>
                <w:sz w:val="18"/>
              </w:rPr>
              <w:t>0.00</w:t>
            </w:r>
          </w:p>
        </w:tc>
        <w:tc>
          <w:tcPr>
            <w:tcW w:w="1643" w:type="dxa"/>
            <w:tcBorders>
              <w:top w:val="nil" w:sz="6" w:space="0" w:color="auto"/>
              <w:left w:val="nil" w:sz="6" w:space="0" w:color="auto"/>
              <w:bottom w:val="single" w:sz="12" w:space="0" w:color="000000"/>
              <w:right w:val="nil" w:sz="6" w:space="0" w:color="auto"/>
            </w:tcBorders>
          </w:tcPr>
          <w:p>
            <w:pPr>
              <w:pStyle w:val="TableParagraph"/>
              <w:spacing w:line="232" w:lineRule="exact"/>
              <w:ind w:right="52"/>
              <w:jc w:val="right"/>
              <w:rPr>
                <w:rFonts w:ascii="宋体" w:hAnsi="宋体" w:cs="宋体" w:eastAsia="宋体" w:hint="default"/>
                <w:sz w:val="18"/>
                <w:szCs w:val="18"/>
              </w:rPr>
            </w:pPr>
            <w:r>
              <w:rPr>
                <w:rFonts w:ascii="宋体"/>
                <w:sz w:val="18"/>
              </w:rPr>
              <w:t>0.00</w:t>
            </w:r>
          </w:p>
        </w:tc>
      </w:tr>
    </w:tbl>
    <w:p>
      <w:pPr>
        <w:spacing w:after="0" w:line="232" w:lineRule="exact"/>
        <w:jc w:val="right"/>
        <w:rPr>
          <w:rFonts w:ascii="宋体" w:hAnsi="宋体" w:cs="宋体" w:eastAsia="宋体" w:hint="default"/>
          <w:sz w:val="18"/>
          <w:szCs w:val="18"/>
        </w:rPr>
        <w:sectPr>
          <w:pgSz w:w="11910" w:h="16840"/>
          <w:pgMar w:header="0" w:footer="1034" w:top="1420" w:bottom="1220" w:left="1440" w:right="1480"/>
        </w:sectPr>
      </w:pPr>
    </w:p>
    <w:p>
      <w:pPr>
        <w:spacing w:line="240" w:lineRule="auto" w:before="6"/>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4191"/>
        <w:gridCol w:w="2918"/>
        <w:gridCol w:w="1643"/>
      </w:tblGrid>
      <w:tr>
        <w:trPr>
          <w:trHeight w:val="305" w:hRule="exact"/>
        </w:trPr>
        <w:tc>
          <w:tcPr>
            <w:tcW w:w="419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9"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1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733"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64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5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89" w:hRule="exact"/>
        </w:trPr>
        <w:tc>
          <w:tcPr>
            <w:tcW w:w="4191" w:type="dxa"/>
            <w:tcBorders>
              <w:top w:val="single" w:sz="4" w:space="0" w:color="000000"/>
              <w:left w:val="nil" w:sz="6" w:space="0" w:color="auto"/>
              <w:bottom w:val="nil" w:sz="6" w:space="0" w:color="auto"/>
              <w:right w:val="nil" w:sz="6" w:space="0" w:color="auto"/>
            </w:tcBorders>
          </w:tcPr>
          <w:p>
            <w:pPr>
              <w:pStyle w:val="TableParagraph"/>
              <w:spacing w:line="232" w:lineRule="exact"/>
              <w:ind w:left="69" w:right="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918" w:type="dxa"/>
            <w:tcBorders>
              <w:top w:val="single" w:sz="4" w:space="0" w:color="000000"/>
              <w:left w:val="nil" w:sz="6" w:space="0" w:color="auto"/>
              <w:bottom w:val="nil" w:sz="6" w:space="0" w:color="auto"/>
              <w:right w:val="nil" w:sz="6" w:space="0" w:color="auto"/>
            </w:tcBorders>
          </w:tcPr>
          <w:p>
            <w:pPr/>
          </w:p>
        </w:tc>
        <w:tc>
          <w:tcPr>
            <w:tcW w:w="1643" w:type="dxa"/>
            <w:tcBorders>
              <w:top w:val="single" w:sz="4" w:space="0" w:color="000000"/>
              <w:left w:val="nil" w:sz="6" w:space="0" w:color="auto"/>
              <w:bottom w:val="nil" w:sz="6" w:space="0" w:color="auto"/>
              <w:right w:val="nil" w:sz="6" w:space="0" w:color="auto"/>
            </w:tcBorders>
          </w:tcPr>
          <w:p>
            <w:pPr/>
          </w:p>
        </w:tc>
      </w:tr>
      <w:tr>
        <w:trPr>
          <w:trHeight w:val="284" w:hRule="exact"/>
        </w:trPr>
        <w:tc>
          <w:tcPr>
            <w:tcW w:w="4191" w:type="dxa"/>
            <w:tcBorders>
              <w:top w:val="nil" w:sz="6" w:space="0" w:color="auto"/>
              <w:left w:val="nil" w:sz="6" w:space="0" w:color="auto"/>
              <w:bottom w:val="nil" w:sz="6" w:space="0" w:color="auto"/>
              <w:right w:val="nil" w:sz="6" w:space="0" w:color="auto"/>
            </w:tcBorders>
          </w:tcPr>
          <w:p>
            <w:pPr>
              <w:pStyle w:val="TableParagraph"/>
              <w:spacing w:line="234" w:lineRule="exact"/>
              <w:ind w:left="611"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918"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9,170,951,212.85</w:t>
            </w:r>
          </w:p>
        </w:tc>
        <w:tc>
          <w:tcPr>
            <w:tcW w:w="1643" w:type="dxa"/>
            <w:tcBorders>
              <w:top w:val="nil" w:sz="6" w:space="0" w:color="auto"/>
              <w:left w:val="nil" w:sz="6" w:space="0" w:color="auto"/>
              <w:bottom w:val="nil" w:sz="6" w:space="0" w:color="auto"/>
              <w:right w:val="nil" w:sz="6" w:space="0" w:color="auto"/>
            </w:tcBorders>
          </w:tcPr>
          <w:p>
            <w:pPr>
              <w:pStyle w:val="TableParagraph"/>
              <w:spacing w:line="232" w:lineRule="exact"/>
              <w:ind w:right="53"/>
              <w:jc w:val="right"/>
              <w:rPr>
                <w:rFonts w:ascii="宋体" w:hAnsi="宋体" w:cs="宋体" w:eastAsia="宋体" w:hint="default"/>
                <w:sz w:val="18"/>
                <w:szCs w:val="18"/>
              </w:rPr>
            </w:pPr>
            <w:r>
              <w:rPr>
                <w:rFonts w:ascii="宋体"/>
                <w:spacing w:val="-1"/>
                <w:sz w:val="18"/>
              </w:rPr>
              <w:t>9,518,083,680.48</w:t>
            </w:r>
          </w:p>
        </w:tc>
      </w:tr>
      <w:tr>
        <w:trPr>
          <w:trHeight w:val="284" w:hRule="exact"/>
        </w:trPr>
        <w:tc>
          <w:tcPr>
            <w:tcW w:w="4191" w:type="dxa"/>
            <w:tcBorders>
              <w:top w:val="nil" w:sz="6" w:space="0" w:color="auto"/>
              <w:left w:val="nil" w:sz="6" w:space="0" w:color="auto"/>
              <w:bottom w:val="nil" w:sz="6" w:space="0" w:color="auto"/>
              <w:right w:val="nil" w:sz="6" w:space="0" w:color="auto"/>
            </w:tcBorders>
          </w:tcPr>
          <w:p>
            <w:pPr>
              <w:pStyle w:val="TableParagraph"/>
              <w:spacing w:line="233" w:lineRule="exact"/>
              <w:ind w:left="611"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918" w:type="dxa"/>
            <w:tcBorders>
              <w:top w:val="nil" w:sz="6" w:space="0" w:color="auto"/>
              <w:left w:val="nil" w:sz="6" w:space="0" w:color="auto"/>
              <w:bottom w:val="nil" w:sz="6" w:space="0" w:color="auto"/>
              <w:right w:val="nil" w:sz="6" w:space="0" w:color="auto"/>
            </w:tcBorders>
          </w:tcPr>
          <w:p>
            <w:pPr>
              <w:pStyle w:val="TableParagraph"/>
              <w:spacing w:line="230" w:lineRule="exact"/>
              <w:ind w:right="55"/>
              <w:jc w:val="right"/>
              <w:rPr>
                <w:rFonts w:ascii="宋体" w:hAnsi="宋体" w:cs="宋体" w:eastAsia="宋体" w:hint="default"/>
                <w:sz w:val="18"/>
                <w:szCs w:val="18"/>
              </w:rPr>
            </w:pPr>
            <w:r>
              <w:rPr>
                <w:rFonts w:ascii="宋体"/>
                <w:spacing w:val="-1"/>
                <w:sz w:val="18"/>
              </w:rPr>
              <w:t>9,518,083,680.48</w:t>
            </w:r>
          </w:p>
        </w:tc>
        <w:tc>
          <w:tcPr>
            <w:tcW w:w="1643" w:type="dxa"/>
            <w:tcBorders>
              <w:top w:val="nil" w:sz="6" w:space="0" w:color="auto"/>
              <w:left w:val="nil" w:sz="6" w:space="0" w:color="auto"/>
              <w:bottom w:val="nil" w:sz="6" w:space="0" w:color="auto"/>
              <w:right w:val="nil" w:sz="6" w:space="0" w:color="auto"/>
            </w:tcBorders>
          </w:tcPr>
          <w:p>
            <w:pPr>
              <w:pStyle w:val="TableParagraph"/>
              <w:spacing w:line="230" w:lineRule="exact"/>
              <w:ind w:right="53"/>
              <w:jc w:val="right"/>
              <w:rPr>
                <w:rFonts w:ascii="宋体" w:hAnsi="宋体" w:cs="宋体" w:eastAsia="宋体" w:hint="default"/>
                <w:sz w:val="18"/>
                <w:szCs w:val="18"/>
              </w:rPr>
            </w:pPr>
            <w:r>
              <w:rPr>
                <w:rFonts w:ascii="宋体"/>
                <w:spacing w:val="-1"/>
                <w:sz w:val="18"/>
              </w:rPr>
              <w:t>10,784,430,041.70</w:t>
            </w:r>
          </w:p>
        </w:tc>
      </w:tr>
      <w:tr>
        <w:trPr>
          <w:trHeight w:val="286" w:hRule="exact"/>
        </w:trPr>
        <w:tc>
          <w:tcPr>
            <w:tcW w:w="4191" w:type="dxa"/>
            <w:tcBorders>
              <w:top w:val="nil" w:sz="6" w:space="0" w:color="auto"/>
              <w:left w:val="nil" w:sz="6" w:space="0" w:color="auto"/>
              <w:bottom w:val="nil" w:sz="6" w:space="0" w:color="auto"/>
              <w:right w:val="nil" w:sz="6" w:space="0" w:color="auto"/>
            </w:tcBorders>
          </w:tcPr>
          <w:p>
            <w:pPr>
              <w:pStyle w:val="TableParagraph"/>
              <w:spacing w:line="234" w:lineRule="exact"/>
              <w:ind w:right="1419"/>
              <w:jc w:val="right"/>
              <w:rPr>
                <w:rFonts w:ascii="宋体" w:hAnsi="宋体" w:cs="宋体" w:eastAsia="宋体" w:hint="default"/>
                <w:sz w:val="18"/>
                <w:szCs w:val="18"/>
              </w:rPr>
            </w:pPr>
            <w:r>
              <w:rPr>
                <w:rFonts w:ascii="宋体" w:hAnsi="宋体" w:cs="宋体" w:eastAsia="宋体" w:hint="default"/>
                <w:spacing w:val="-1"/>
                <w:sz w:val="18"/>
                <w:szCs w:val="18"/>
              </w:rPr>
              <w:t>加：现金等价物的年末余额</w:t>
            </w:r>
          </w:p>
        </w:tc>
        <w:tc>
          <w:tcPr>
            <w:tcW w:w="2918" w:type="dxa"/>
            <w:tcBorders>
              <w:top w:val="nil" w:sz="6" w:space="0" w:color="auto"/>
              <w:left w:val="nil" w:sz="6" w:space="0" w:color="auto"/>
              <w:bottom w:val="nil" w:sz="6" w:space="0" w:color="auto"/>
              <w:right w:val="nil" w:sz="6" w:space="0" w:color="auto"/>
            </w:tcBorders>
          </w:tcPr>
          <w:p>
            <w:pPr>
              <w:pStyle w:val="TableParagraph"/>
              <w:spacing w:line="232" w:lineRule="exact"/>
              <w:ind w:right="54"/>
              <w:jc w:val="right"/>
              <w:rPr>
                <w:rFonts w:ascii="宋体" w:hAnsi="宋体" w:cs="宋体" w:eastAsia="宋体" w:hint="default"/>
                <w:sz w:val="18"/>
                <w:szCs w:val="18"/>
              </w:rPr>
            </w:pPr>
            <w:r>
              <w:rPr>
                <w:rFonts w:ascii="宋体"/>
                <w:sz w:val="18"/>
              </w:rPr>
              <w:t>0.00</w:t>
            </w:r>
          </w:p>
        </w:tc>
        <w:tc>
          <w:tcPr>
            <w:tcW w:w="1643" w:type="dxa"/>
            <w:tcBorders>
              <w:top w:val="nil" w:sz="6" w:space="0" w:color="auto"/>
              <w:left w:val="nil" w:sz="6" w:space="0" w:color="auto"/>
              <w:bottom w:val="nil" w:sz="6" w:space="0" w:color="auto"/>
              <w:right w:val="nil" w:sz="6" w:space="0" w:color="auto"/>
            </w:tcBorders>
          </w:tcPr>
          <w:p>
            <w:pPr>
              <w:pStyle w:val="TableParagraph"/>
              <w:spacing w:line="232" w:lineRule="exact"/>
              <w:ind w:right="52"/>
              <w:jc w:val="right"/>
              <w:rPr>
                <w:rFonts w:ascii="宋体" w:hAnsi="宋体" w:cs="宋体" w:eastAsia="宋体" w:hint="default"/>
                <w:sz w:val="18"/>
                <w:szCs w:val="18"/>
              </w:rPr>
            </w:pPr>
            <w:r>
              <w:rPr>
                <w:rFonts w:ascii="宋体"/>
                <w:sz w:val="18"/>
              </w:rPr>
              <w:t>0.00</w:t>
            </w:r>
          </w:p>
        </w:tc>
      </w:tr>
      <w:tr>
        <w:trPr>
          <w:trHeight w:val="286" w:hRule="exact"/>
        </w:trPr>
        <w:tc>
          <w:tcPr>
            <w:tcW w:w="4191" w:type="dxa"/>
            <w:tcBorders>
              <w:top w:val="nil" w:sz="6" w:space="0" w:color="auto"/>
              <w:left w:val="nil" w:sz="6" w:space="0" w:color="auto"/>
              <w:bottom w:val="nil" w:sz="6" w:space="0" w:color="auto"/>
              <w:right w:val="nil" w:sz="6" w:space="0" w:color="auto"/>
            </w:tcBorders>
          </w:tcPr>
          <w:p>
            <w:pPr>
              <w:pStyle w:val="TableParagraph"/>
              <w:spacing w:line="234" w:lineRule="exact"/>
              <w:ind w:right="1419"/>
              <w:jc w:val="right"/>
              <w:rPr>
                <w:rFonts w:ascii="宋体" w:hAnsi="宋体" w:cs="宋体" w:eastAsia="宋体" w:hint="default"/>
                <w:sz w:val="18"/>
                <w:szCs w:val="18"/>
              </w:rPr>
            </w:pPr>
            <w:r>
              <w:rPr>
                <w:rFonts w:ascii="宋体" w:hAnsi="宋体" w:cs="宋体" w:eastAsia="宋体" w:hint="default"/>
                <w:spacing w:val="-1"/>
                <w:sz w:val="18"/>
                <w:szCs w:val="18"/>
              </w:rPr>
              <w:t>减：现金等价物的年初余额</w:t>
            </w:r>
          </w:p>
        </w:tc>
        <w:tc>
          <w:tcPr>
            <w:tcW w:w="2918" w:type="dxa"/>
            <w:tcBorders>
              <w:top w:val="nil" w:sz="6" w:space="0" w:color="auto"/>
              <w:left w:val="nil" w:sz="6" w:space="0" w:color="auto"/>
              <w:bottom w:val="nil" w:sz="6" w:space="0" w:color="auto"/>
              <w:right w:val="nil" w:sz="6" w:space="0" w:color="auto"/>
            </w:tcBorders>
          </w:tcPr>
          <w:p>
            <w:pPr>
              <w:pStyle w:val="TableParagraph"/>
              <w:spacing w:line="232" w:lineRule="exact"/>
              <w:ind w:right="54"/>
              <w:jc w:val="right"/>
              <w:rPr>
                <w:rFonts w:ascii="宋体" w:hAnsi="宋体" w:cs="宋体" w:eastAsia="宋体" w:hint="default"/>
                <w:sz w:val="18"/>
                <w:szCs w:val="18"/>
              </w:rPr>
            </w:pPr>
            <w:r>
              <w:rPr>
                <w:rFonts w:ascii="宋体"/>
                <w:sz w:val="18"/>
              </w:rPr>
              <w:t>0.00</w:t>
            </w:r>
          </w:p>
        </w:tc>
        <w:tc>
          <w:tcPr>
            <w:tcW w:w="1643" w:type="dxa"/>
            <w:tcBorders>
              <w:top w:val="nil" w:sz="6" w:space="0" w:color="auto"/>
              <w:left w:val="nil" w:sz="6" w:space="0" w:color="auto"/>
              <w:bottom w:val="nil" w:sz="6" w:space="0" w:color="auto"/>
              <w:right w:val="nil" w:sz="6" w:space="0" w:color="auto"/>
            </w:tcBorders>
          </w:tcPr>
          <w:p>
            <w:pPr>
              <w:pStyle w:val="TableParagraph"/>
              <w:spacing w:line="232" w:lineRule="exact"/>
              <w:ind w:right="52"/>
              <w:jc w:val="right"/>
              <w:rPr>
                <w:rFonts w:ascii="宋体" w:hAnsi="宋体" w:cs="宋体" w:eastAsia="宋体" w:hint="default"/>
                <w:sz w:val="18"/>
                <w:szCs w:val="18"/>
              </w:rPr>
            </w:pPr>
            <w:r>
              <w:rPr>
                <w:rFonts w:ascii="宋体"/>
                <w:sz w:val="18"/>
              </w:rPr>
              <w:t>0.00</w:t>
            </w:r>
          </w:p>
        </w:tc>
      </w:tr>
      <w:tr>
        <w:trPr>
          <w:trHeight w:val="302" w:hRule="exact"/>
        </w:trPr>
        <w:tc>
          <w:tcPr>
            <w:tcW w:w="4191" w:type="dxa"/>
            <w:tcBorders>
              <w:top w:val="nil" w:sz="6" w:space="0" w:color="auto"/>
              <w:left w:val="nil" w:sz="6" w:space="0" w:color="auto"/>
              <w:bottom w:val="single" w:sz="12" w:space="0" w:color="000000"/>
              <w:right w:val="nil" w:sz="6" w:space="0" w:color="auto"/>
            </w:tcBorders>
          </w:tcPr>
          <w:p>
            <w:pPr>
              <w:pStyle w:val="TableParagraph"/>
              <w:spacing w:line="234" w:lineRule="exact"/>
              <w:ind w:left="69"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918" w:type="dxa"/>
            <w:tcBorders>
              <w:top w:val="nil" w:sz="6" w:space="0" w:color="auto"/>
              <w:left w:val="nil" w:sz="6" w:space="0" w:color="auto"/>
              <w:bottom w:val="single" w:sz="12" w:space="0" w:color="000000"/>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-347,132,467.63</w:t>
            </w:r>
          </w:p>
        </w:tc>
        <w:tc>
          <w:tcPr>
            <w:tcW w:w="1643" w:type="dxa"/>
            <w:tcBorders>
              <w:top w:val="nil" w:sz="6" w:space="0" w:color="auto"/>
              <w:left w:val="nil" w:sz="6" w:space="0" w:color="auto"/>
              <w:bottom w:val="single" w:sz="12" w:space="0" w:color="000000"/>
              <w:right w:val="nil" w:sz="6" w:space="0" w:color="auto"/>
            </w:tcBorders>
          </w:tcPr>
          <w:p>
            <w:pPr>
              <w:pStyle w:val="TableParagraph"/>
              <w:spacing w:line="232" w:lineRule="exact"/>
              <w:ind w:right="53"/>
              <w:jc w:val="right"/>
              <w:rPr>
                <w:rFonts w:ascii="宋体" w:hAnsi="宋体" w:cs="宋体" w:eastAsia="宋体" w:hint="default"/>
                <w:sz w:val="18"/>
                <w:szCs w:val="18"/>
              </w:rPr>
            </w:pPr>
            <w:r>
              <w:rPr>
                <w:rFonts w:ascii="宋体"/>
                <w:spacing w:val="-1"/>
                <w:sz w:val="18"/>
              </w:rPr>
              <w:t>-1,266,346,361.22</w:t>
            </w:r>
          </w:p>
        </w:tc>
      </w:tr>
    </w:tbl>
    <w:p>
      <w:pPr>
        <w:spacing w:before="81"/>
        <w:ind w:left="715"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10"/>
          <w:sz w:val="22"/>
          <w:szCs w:val="22"/>
        </w:rPr>
        <w:t> </w:t>
      </w:r>
      <w:r>
        <w:rPr>
          <w:rFonts w:ascii="宋体" w:hAnsi="宋体" w:cs="宋体" w:eastAsia="宋体" w:hint="default"/>
          <w:sz w:val="22"/>
          <w:szCs w:val="22"/>
        </w:rPr>
        <w:t>现金和现金等价物</w:t>
      </w:r>
    </w:p>
    <w:p>
      <w:pPr>
        <w:spacing w:line="240" w:lineRule="auto" w:before="11"/>
        <w:rPr>
          <w:rFonts w:ascii="宋体" w:hAnsi="宋体" w:cs="宋体" w:eastAsia="宋体" w:hint="default"/>
          <w:sz w:val="12"/>
          <w:szCs w:val="12"/>
        </w:rPr>
      </w:pPr>
    </w:p>
    <w:tbl>
      <w:tblPr>
        <w:tblW w:w="0" w:type="auto"/>
        <w:jc w:val="left"/>
        <w:tblInd w:w="154" w:type="dxa"/>
        <w:tblLayout w:type="fixed"/>
        <w:tblCellMar>
          <w:top w:w="0" w:type="dxa"/>
          <w:left w:w="0" w:type="dxa"/>
          <w:bottom w:w="0" w:type="dxa"/>
          <w:right w:w="0" w:type="dxa"/>
        </w:tblCellMar>
        <w:tblLook w:val="01E0"/>
      </w:tblPr>
      <w:tblGrid>
        <w:gridCol w:w="5243"/>
        <w:gridCol w:w="1824"/>
        <w:gridCol w:w="1658"/>
      </w:tblGrid>
      <w:tr>
        <w:trPr>
          <w:trHeight w:val="305" w:hRule="exact"/>
        </w:trPr>
        <w:tc>
          <w:tcPr>
            <w:tcW w:w="524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2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3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65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8" w:hRule="exact"/>
        </w:trPr>
        <w:tc>
          <w:tcPr>
            <w:tcW w:w="5243"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24" w:type="dxa"/>
            <w:tcBorders>
              <w:top w:val="single" w:sz="4" w:space="0" w:color="000000"/>
              <w:left w:val="nil" w:sz="6" w:space="0" w:color="auto"/>
              <w:bottom w:val="nil" w:sz="6" w:space="0" w:color="auto"/>
              <w:right w:val="nil" w:sz="6" w:space="0" w:color="auto"/>
            </w:tcBorders>
          </w:tcPr>
          <w:p>
            <w:pPr>
              <w:pStyle w:val="TableParagraph"/>
              <w:spacing w:line="229" w:lineRule="exact"/>
              <w:ind w:right="106"/>
              <w:jc w:val="right"/>
              <w:rPr>
                <w:rFonts w:ascii="宋体" w:hAnsi="宋体" w:cs="宋体" w:eastAsia="宋体" w:hint="default"/>
                <w:sz w:val="18"/>
                <w:szCs w:val="18"/>
              </w:rPr>
            </w:pPr>
            <w:r>
              <w:rPr>
                <w:rFonts w:ascii="宋体"/>
                <w:spacing w:val="-1"/>
                <w:sz w:val="18"/>
              </w:rPr>
              <w:t>9,170,951,212.85</w:t>
            </w:r>
          </w:p>
        </w:tc>
        <w:tc>
          <w:tcPr>
            <w:tcW w:w="1658" w:type="dxa"/>
            <w:tcBorders>
              <w:top w:val="single" w:sz="4" w:space="0" w:color="000000"/>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9,518,083,680.48</w:t>
            </w:r>
          </w:p>
        </w:tc>
      </w:tr>
      <w:tr>
        <w:trPr>
          <w:trHeight w:val="284" w:hRule="exact"/>
        </w:trPr>
        <w:tc>
          <w:tcPr>
            <w:tcW w:w="5243" w:type="dxa"/>
            <w:tcBorders>
              <w:top w:val="nil" w:sz="6" w:space="0" w:color="auto"/>
              <w:left w:val="nil" w:sz="6" w:space="0" w:color="auto"/>
              <w:bottom w:val="nil" w:sz="6" w:space="0" w:color="auto"/>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824"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pacing w:val="-1"/>
                <w:sz w:val="18"/>
              </w:rPr>
              <w:t>14,112,394.81</w:t>
            </w:r>
          </w:p>
        </w:tc>
        <w:tc>
          <w:tcPr>
            <w:tcW w:w="1658" w:type="dxa"/>
            <w:tcBorders>
              <w:top w:val="nil" w:sz="6" w:space="0" w:color="auto"/>
              <w:left w:val="nil" w:sz="6" w:space="0" w:color="auto"/>
              <w:bottom w:val="nil" w:sz="6" w:space="0" w:color="auto"/>
              <w:right w:val="nil" w:sz="6" w:space="0" w:color="auto"/>
            </w:tcBorders>
          </w:tcPr>
          <w:p>
            <w:pPr>
              <w:pStyle w:val="TableParagraph"/>
              <w:spacing w:line="234" w:lineRule="exact"/>
              <w:ind w:right="108"/>
              <w:jc w:val="right"/>
              <w:rPr>
                <w:rFonts w:ascii="宋体" w:hAnsi="宋体" w:cs="宋体" w:eastAsia="宋体" w:hint="default"/>
                <w:sz w:val="18"/>
                <w:szCs w:val="18"/>
              </w:rPr>
            </w:pPr>
            <w:r>
              <w:rPr>
                <w:rFonts w:ascii="宋体"/>
                <w:spacing w:val="-1"/>
                <w:sz w:val="18"/>
              </w:rPr>
              <w:t>9,157,681.58</w:t>
            </w:r>
          </w:p>
        </w:tc>
      </w:tr>
      <w:tr>
        <w:trPr>
          <w:trHeight w:val="286" w:hRule="exact"/>
        </w:trPr>
        <w:tc>
          <w:tcPr>
            <w:tcW w:w="5243" w:type="dxa"/>
            <w:tcBorders>
              <w:top w:val="nil" w:sz="6" w:space="0" w:color="auto"/>
              <w:left w:val="nil" w:sz="6" w:space="0" w:color="auto"/>
              <w:bottom w:val="nil" w:sz="6" w:space="0" w:color="auto"/>
              <w:right w:val="nil" w:sz="6" w:space="0" w:color="auto"/>
            </w:tcBorders>
          </w:tcPr>
          <w:p>
            <w:pPr>
              <w:pStyle w:val="TableParagraph"/>
              <w:spacing w:line="235" w:lineRule="exact"/>
              <w:ind w:left="647"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824"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pacing w:val="-1"/>
                <w:sz w:val="18"/>
              </w:rPr>
              <w:t>9,110,361,060.58</w:t>
            </w:r>
          </w:p>
        </w:tc>
        <w:tc>
          <w:tcPr>
            <w:tcW w:w="1658" w:type="dxa"/>
            <w:tcBorders>
              <w:top w:val="nil" w:sz="6" w:space="0" w:color="auto"/>
              <w:left w:val="nil" w:sz="6" w:space="0" w:color="auto"/>
              <w:bottom w:val="nil" w:sz="6" w:space="0" w:color="auto"/>
              <w:right w:val="nil" w:sz="6" w:space="0" w:color="auto"/>
            </w:tcBorders>
          </w:tcPr>
          <w:p>
            <w:pPr>
              <w:pStyle w:val="TableParagraph"/>
              <w:spacing w:line="235" w:lineRule="exact"/>
              <w:ind w:right="108"/>
              <w:jc w:val="right"/>
              <w:rPr>
                <w:rFonts w:ascii="宋体" w:hAnsi="宋体" w:cs="宋体" w:eastAsia="宋体" w:hint="default"/>
                <w:sz w:val="18"/>
                <w:szCs w:val="18"/>
              </w:rPr>
            </w:pPr>
            <w:r>
              <w:rPr>
                <w:rFonts w:ascii="宋体"/>
                <w:spacing w:val="-1"/>
                <w:sz w:val="18"/>
              </w:rPr>
              <w:t>9,411,938,340.51</w:t>
            </w:r>
          </w:p>
        </w:tc>
      </w:tr>
      <w:tr>
        <w:trPr>
          <w:trHeight w:val="286" w:hRule="exact"/>
        </w:trPr>
        <w:tc>
          <w:tcPr>
            <w:tcW w:w="5243" w:type="dxa"/>
            <w:tcBorders>
              <w:top w:val="nil" w:sz="6" w:space="0" w:color="auto"/>
              <w:left w:val="nil" w:sz="6" w:space="0" w:color="auto"/>
              <w:bottom w:val="nil" w:sz="6" w:space="0" w:color="auto"/>
              <w:right w:val="nil" w:sz="6" w:space="0" w:color="auto"/>
            </w:tcBorders>
          </w:tcPr>
          <w:p>
            <w:pPr>
              <w:pStyle w:val="TableParagraph"/>
              <w:spacing w:line="233" w:lineRule="exact"/>
              <w:ind w:left="647"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824"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pacing w:val="-1"/>
                <w:sz w:val="18"/>
              </w:rPr>
              <w:t>46,477,757.46</w:t>
            </w:r>
          </w:p>
        </w:tc>
        <w:tc>
          <w:tcPr>
            <w:tcW w:w="1658"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96,987,658.39</w:t>
            </w:r>
          </w:p>
        </w:tc>
      </w:tr>
      <w:tr>
        <w:trPr>
          <w:trHeight w:val="286" w:hRule="exact"/>
        </w:trPr>
        <w:tc>
          <w:tcPr>
            <w:tcW w:w="5243"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现金等价物</w:t>
            </w:r>
          </w:p>
        </w:tc>
        <w:tc>
          <w:tcPr>
            <w:tcW w:w="182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0.00</w:t>
            </w:r>
          </w:p>
        </w:tc>
      </w:tr>
      <w:tr>
        <w:trPr>
          <w:trHeight w:val="283" w:hRule="exact"/>
        </w:trPr>
        <w:tc>
          <w:tcPr>
            <w:tcW w:w="5243"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82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z w:val="18"/>
              </w:rPr>
              <w:t>0.00</w:t>
            </w:r>
          </w:p>
        </w:tc>
        <w:tc>
          <w:tcPr>
            <w:tcW w:w="1658"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0.00</w:t>
            </w:r>
          </w:p>
        </w:tc>
      </w:tr>
      <w:tr>
        <w:trPr>
          <w:trHeight w:val="286" w:hRule="exact"/>
        </w:trPr>
        <w:tc>
          <w:tcPr>
            <w:tcW w:w="5243" w:type="dxa"/>
            <w:tcBorders>
              <w:top w:val="nil" w:sz="6" w:space="0" w:color="auto"/>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年末现金和现金等价物余额</w:t>
            </w:r>
          </w:p>
        </w:tc>
        <w:tc>
          <w:tcPr>
            <w:tcW w:w="1824"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18"/>
                <w:szCs w:val="18"/>
              </w:rPr>
            </w:pPr>
            <w:r>
              <w:rPr>
                <w:rFonts w:ascii="宋体"/>
                <w:spacing w:val="-1"/>
                <w:sz w:val="18"/>
              </w:rPr>
              <w:t>9,170,951,212.85</w:t>
            </w:r>
          </w:p>
        </w:tc>
        <w:tc>
          <w:tcPr>
            <w:tcW w:w="1658" w:type="dxa"/>
            <w:tcBorders>
              <w:top w:val="nil" w:sz="6" w:space="0" w:color="auto"/>
              <w:left w:val="nil" w:sz="6" w:space="0" w:color="auto"/>
              <w:bottom w:val="nil" w:sz="6" w:space="0" w:color="auto"/>
              <w:right w:val="nil" w:sz="6" w:space="0" w:color="auto"/>
            </w:tcBorders>
          </w:tcPr>
          <w:p>
            <w:pPr>
              <w:pStyle w:val="TableParagraph"/>
              <w:spacing w:line="235" w:lineRule="exact"/>
              <w:ind w:right="108"/>
              <w:jc w:val="right"/>
              <w:rPr>
                <w:rFonts w:ascii="宋体" w:hAnsi="宋体" w:cs="宋体" w:eastAsia="宋体" w:hint="default"/>
                <w:sz w:val="18"/>
                <w:szCs w:val="18"/>
              </w:rPr>
            </w:pPr>
            <w:r>
              <w:rPr>
                <w:rFonts w:ascii="宋体"/>
                <w:spacing w:val="-1"/>
                <w:sz w:val="18"/>
              </w:rPr>
              <w:t>9,518,083,680.48</w:t>
            </w:r>
          </w:p>
        </w:tc>
      </w:tr>
      <w:tr>
        <w:trPr>
          <w:trHeight w:val="303" w:hRule="exact"/>
        </w:trPr>
        <w:tc>
          <w:tcPr>
            <w:tcW w:w="5243" w:type="dxa"/>
            <w:tcBorders>
              <w:top w:val="nil" w:sz="6" w:space="0" w:color="auto"/>
              <w:left w:val="nil" w:sz="6" w:space="0" w:color="auto"/>
              <w:bottom w:val="single" w:sz="1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824" w:type="dxa"/>
            <w:tcBorders>
              <w:top w:val="nil" w:sz="6" w:space="0" w:color="auto"/>
              <w:left w:val="nil" w:sz="6" w:space="0" w:color="auto"/>
              <w:bottom w:val="single" w:sz="12" w:space="0" w:color="000000"/>
              <w:right w:val="nil" w:sz="6" w:space="0" w:color="auto"/>
            </w:tcBorders>
          </w:tcPr>
          <w:p>
            <w:pPr>
              <w:pStyle w:val="TableParagraph"/>
              <w:spacing w:line="230" w:lineRule="exact"/>
              <w:ind w:right="105"/>
              <w:jc w:val="right"/>
              <w:rPr>
                <w:rFonts w:ascii="宋体" w:hAnsi="宋体" w:cs="宋体" w:eastAsia="宋体" w:hint="default"/>
                <w:sz w:val="18"/>
                <w:szCs w:val="18"/>
              </w:rPr>
            </w:pPr>
            <w:r>
              <w:rPr>
                <w:rFonts w:ascii="宋体"/>
                <w:sz w:val="18"/>
              </w:rPr>
              <w:t>0.00</w:t>
            </w:r>
          </w:p>
        </w:tc>
        <w:tc>
          <w:tcPr>
            <w:tcW w:w="1658" w:type="dxa"/>
            <w:tcBorders>
              <w:top w:val="nil" w:sz="6" w:space="0" w:color="auto"/>
              <w:left w:val="nil" w:sz="6" w:space="0" w:color="auto"/>
              <w:bottom w:val="single" w:sz="12" w:space="0" w:color="000000"/>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0.00</w:t>
            </w:r>
          </w:p>
        </w:tc>
      </w:tr>
    </w:tbl>
    <w:p>
      <w:pPr>
        <w:spacing w:before="81"/>
        <w:ind w:left="66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56. </w:t>
      </w:r>
      <w:r>
        <w:rPr>
          <w:rFonts w:ascii="Times New Roman" w:hAnsi="Times New Roman" w:cs="Times New Roman" w:eastAsia="Times New Roman" w:hint="default"/>
          <w:b/>
          <w:bCs/>
          <w:spacing w:val="13"/>
          <w:sz w:val="22"/>
          <w:szCs w:val="22"/>
        </w:rPr>
        <w:t> </w:t>
      </w:r>
      <w:r>
        <w:rPr>
          <w:rFonts w:ascii="宋体" w:hAnsi="宋体" w:cs="宋体" w:eastAsia="宋体" w:hint="default"/>
          <w:sz w:val="22"/>
          <w:szCs w:val="22"/>
        </w:rPr>
        <w:t>外币货币性项目</w:t>
      </w:r>
    </w:p>
    <w:p>
      <w:pPr>
        <w:spacing w:before="110"/>
        <w:ind w:left="715"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12"/>
          <w:sz w:val="22"/>
          <w:szCs w:val="22"/>
        </w:rPr>
        <w:t> </w:t>
      </w:r>
      <w:r>
        <w:rPr>
          <w:rFonts w:ascii="宋体" w:hAnsi="宋体" w:cs="宋体" w:eastAsia="宋体" w:hint="default"/>
          <w:sz w:val="22"/>
          <w:szCs w:val="22"/>
        </w:rPr>
        <w:t>外币货币性项目</w:t>
      </w:r>
    </w:p>
    <w:p>
      <w:pPr>
        <w:spacing w:line="240" w:lineRule="auto" w:before="11"/>
        <w:rPr>
          <w:rFonts w:ascii="宋体" w:hAnsi="宋体" w:cs="宋体" w:eastAsia="宋体"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2369"/>
        <w:gridCol w:w="2726"/>
        <w:gridCol w:w="1612"/>
        <w:gridCol w:w="2033"/>
      </w:tblGrid>
      <w:tr>
        <w:trPr>
          <w:trHeight w:val="281" w:hRule="exact"/>
        </w:trPr>
        <w:tc>
          <w:tcPr>
            <w:tcW w:w="2369"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26"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986" w:right="0"/>
              <w:jc w:val="left"/>
              <w:rPr>
                <w:rFonts w:ascii="宋体" w:hAnsi="宋体" w:cs="宋体" w:eastAsia="宋体" w:hint="default"/>
                <w:sz w:val="18"/>
                <w:szCs w:val="18"/>
              </w:rPr>
            </w:pPr>
            <w:r>
              <w:rPr>
                <w:rFonts w:ascii="宋体" w:hAnsi="宋体" w:cs="宋体" w:eastAsia="宋体" w:hint="default"/>
                <w:b/>
                <w:bCs/>
                <w:sz w:val="18"/>
                <w:szCs w:val="18"/>
              </w:rPr>
              <w:t>年末外币余额</w:t>
            </w:r>
            <w:r>
              <w:rPr>
                <w:rFonts w:ascii="宋体" w:hAnsi="宋体" w:cs="宋体" w:eastAsia="宋体" w:hint="default"/>
                <w:sz w:val="18"/>
                <w:szCs w:val="18"/>
              </w:rPr>
            </w:r>
          </w:p>
        </w:tc>
        <w:tc>
          <w:tcPr>
            <w:tcW w:w="161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10"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203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年末折算人民币余额</w:t>
            </w:r>
            <w:r>
              <w:rPr>
                <w:rFonts w:ascii="宋体" w:hAnsi="宋体" w:cs="宋体" w:eastAsia="宋体" w:hint="default"/>
                <w:sz w:val="18"/>
                <w:szCs w:val="18"/>
              </w:rPr>
            </w:r>
          </w:p>
        </w:tc>
      </w:tr>
      <w:tr>
        <w:trPr>
          <w:trHeight w:val="271" w:hRule="exact"/>
        </w:trPr>
        <w:tc>
          <w:tcPr>
            <w:tcW w:w="2369" w:type="dxa"/>
            <w:tcBorders>
              <w:top w:val="single" w:sz="4" w:space="0" w:color="000000"/>
              <w:left w:val="nil" w:sz="6" w:space="0" w:color="auto"/>
              <w:bottom w:val="nil" w:sz="6" w:space="0" w:color="auto"/>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货币资金</w:t>
            </w:r>
            <w:r>
              <w:rPr>
                <w:rFonts w:ascii="宋体" w:hAnsi="宋体" w:cs="宋体" w:eastAsia="宋体" w:hint="default"/>
                <w:sz w:val="18"/>
                <w:szCs w:val="18"/>
              </w:rPr>
            </w:r>
          </w:p>
        </w:tc>
        <w:tc>
          <w:tcPr>
            <w:tcW w:w="2726" w:type="dxa"/>
            <w:tcBorders>
              <w:top w:val="single" w:sz="4" w:space="0" w:color="000000"/>
              <w:left w:val="nil" w:sz="6" w:space="0" w:color="auto"/>
              <w:bottom w:val="nil" w:sz="6" w:space="0" w:color="auto"/>
              <w:right w:val="nil" w:sz="6" w:space="0" w:color="auto"/>
            </w:tcBorders>
          </w:tcPr>
          <w:p>
            <w:pPr/>
          </w:p>
        </w:tc>
        <w:tc>
          <w:tcPr>
            <w:tcW w:w="1612" w:type="dxa"/>
            <w:tcBorders>
              <w:top w:val="single" w:sz="4" w:space="0" w:color="000000"/>
              <w:left w:val="nil" w:sz="6" w:space="0" w:color="auto"/>
              <w:bottom w:val="nil" w:sz="6" w:space="0" w:color="auto"/>
              <w:right w:val="nil" w:sz="6" w:space="0" w:color="auto"/>
            </w:tcBorders>
          </w:tcPr>
          <w:p>
            <w:pPr/>
          </w:p>
        </w:tc>
        <w:tc>
          <w:tcPr>
            <w:tcW w:w="2033" w:type="dxa"/>
            <w:tcBorders>
              <w:top w:val="single" w:sz="4" w:space="0" w:color="000000"/>
              <w:left w:val="nil" w:sz="6" w:space="0" w:color="auto"/>
              <w:bottom w:val="nil" w:sz="6" w:space="0" w:color="auto"/>
              <w:right w:val="nil" w:sz="6" w:space="0" w:color="auto"/>
            </w:tcBorders>
          </w:tcPr>
          <w:p>
            <w:pPr/>
          </w:p>
        </w:tc>
      </w:tr>
      <w:tr>
        <w:trPr>
          <w:trHeight w:val="259"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726" w:type="dxa"/>
            <w:tcBorders>
              <w:top w:val="nil" w:sz="6" w:space="0" w:color="auto"/>
              <w:left w:val="nil" w:sz="6" w:space="0" w:color="auto"/>
              <w:bottom w:val="nil" w:sz="6" w:space="0" w:color="auto"/>
              <w:right w:val="nil" w:sz="6" w:space="0" w:color="auto"/>
            </w:tcBorders>
          </w:tcPr>
          <w:p>
            <w:pPr>
              <w:pStyle w:val="TableParagraph"/>
              <w:spacing w:line="212" w:lineRule="exact"/>
              <w:ind w:right="309"/>
              <w:jc w:val="right"/>
              <w:rPr>
                <w:rFonts w:ascii="宋体" w:hAnsi="宋体" w:cs="宋体" w:eastAsia="宋体" w:hint="default"/>
                <w:sz w:val="18"/>
                <w:szCs w:val="18"/>
              </w:rPr>
            </w:pPr>
            <w:r>
              <w:rPr>
                <w:rFonts w:ascii="宋体"/>
                <w:spacing w:val="-1"/>
                <w:sz w:val="18"/>
              </w:rPr>
              <w:t>269,122,070.25</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6.8632</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1,847,038,592.54</w:t>
            </w:r>
          </w:p>
        </w:tc>
      </w:tr>
      <w:tr>
        <w:trPr>
          <w:trHeight w:val="262"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9" w:lineRule="exact"/>
              <w:ind w:left="6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726" w:type="dxa"/>
            <w:tcBorders>
              <w:top w:val="nil" w:sz="6" w:space="0" w:color="auto"/>
              <w:left w:val="nil" w:sz="6" w:space="0" w:color="auto"/>
              <w:bottom w:val="nil" w:sz="6" w:space="0" w:color="auto"/>
              <w:right w:val="nil" w:sz="6" w:space="0" w:color="auto"/>
            </w:tcBorders>
          </w:tcPr>
          <w:p>
            <w:pPr>
              <w:pStyle w:val="TableParagraph"/>
              <w:spacing w:line="212" w:lineRule="exact"/>
              <w:ind w:right="309"/>
              <w:jc w:val="right"/>
              <w:rPr>
                <w:rFonts w:ascii="宋体" w:hAnsi="宋体" w:cs="宋体" w:eastAsia="宋体" w:hint="default"/>
                <w:sz w:val="18"/>
                <w:szCs w:val="18"/>
              </w:rPr>
            </w:pPr>
            <w:r>
              <w:rPr>
                <w:rFonts w:ascii="宋体"/>
                <w:spacing w:val="-1"/>
                <w:sz w:val="18"/>
              </w:rPr>
              <w:t>372,617,139.89</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0.8762</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326,487,137.97</w:t>
            </w:r>
          </w:p>
        </w:tc>
      </w:tr>
      <w:tr>
        <w:trPr>
          <w:trHeight w:val="259"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7" w:lineRule="exact"/>
              <w:ind w:left="6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726" w:type="dxa"/>
            <w:tcBorders>
              <w:top w:val="nil" w:sz="6" w:space="0" w:color="auto"/>
              <w:left w:val="nil" w:sz="6" w:space="0" w:color="auto"/>
              <w:bottom w:val="nil" w:sz="6" w:space="0" w:color="auto"/>
              <w:right w:val="nil" w:sz="6" w:space="0" w:color="auto"/>
            </w:tcBorders>
          </w:tcPr>
          <w:p>
            <w:pPr>
              <w:pStyle w:val="TableParagraph"/>
              <w:spacing w:line="212" w:lineRule="exact"/>
              <w:ind w:right="309"/>
              <w:jc w:val="right"/>
              <w:rPr>
                <w:rFonts w:ascii="宋体" w:hAnsi="宋体" w:cs="宋体" w:eastAsia="宋体" w:hint="default"/>
                <w:sz w:val="18"/>
                <w:szCs w:val="18"/>
              </w:rPr>
            </w:pPr>
            <w:r>
              <w:rPr>
                <w:rFonts w:ascii="宋体"/>
                <w:spacing w:val="-1"/>
                <w:sz w:val="18"/>
              </w:rPr>
              <w:t>24,748,079.01</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7.8473</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194,205,600.42</w:t>
            </w:r>
          </w:p>
        </w:tc>
      </w:tr>
      <w:tr>
        <w:trPr>
          <w:trHeight w:val="259"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7" w:lineRule="exact"/>
              <w:ind w:right="984"/>
              <w:jc w:val="right"/>
              <w:rPr>
                <w:rFonts w:ascii="宋体" w:hAnsi="宋体" w:cs="宋体" w:eastAsia="宋体" w:hint="default"/>
                <w:sz w:val="18"/>
                <w:szCs w:val="18"/>
              </w:rPr>
            </w:pPr>
            <w:r>
              <w:rPr>
                <w:rFonts w:ascii="宋体" w:hAnsi="宋体" w:cs="宋体" w:eastAsia="宋体" w:hint="default"/>
                <w:sz w:val="18"/>
                <w:szCs w:val="18"/>
              </w:rPr>
              <w:t>加拿大元</w:t>
            </w:r>
          </w:p>
        </w:tc>
        <w:tc>
          <w:tcPr>
            <w:tcW w:w="2726" w:type="dxa"/>
            <w:tcBorders>
              <w:top w:val="nil" w:sz="6" w:space="0" w:color="auto"/>
              <w:left w:val="nil" w:sz="6" w:space="0" w:color="auto"/>
              <w:bottom w:val="nil" w:sz="6" w:space="0" w:color="auto"/>
              <w:right w:val="nil" w:sz="6" w:space="0" w:color="auto"/>
            </w:tcBorders>
          </w:tcPr>
          <w:p>
            <w:pPr>
              <w:pStyle w:val="TableParagraph"/>
              <w:spacing w:line="213" w:lineRule="exact"/>
              <w:ind w:right="309"/>
              <w:jc w:val="right"/>
              <w:rPr>
                <w:rFonts w:ascii="宋体" w:hAnsi="宋体" w:cs="宋体" w:eastAsia="宋体" w:hint="default"/>
                <w:sz w:val="18"/>
                <w:szCs w:val="18"/>
              </w:rPr>
            </w:pPr>
            <w:r>
              <w:rPr>
                <w:rFonts w:ascii="宋体"/>
                <w:spacing w:val="-1"/>
                <w:sz w:val="18"/>
              </w:rPr>
              <w:t>3,021,143.89</w:t>
            </w:r>
          </w:p>
        </w:tc>
        <w:tc>
          <w:tcPr>
            <w:tcW w:w="1612" w:type="dxa"/>
            <w:tcBorders>
              <w:top w:val="nil" w:sz="6" w:space="0" w:color="auto"/>
              <w:left w:val="nil" w:sz="6" w:space="0" w:color="auto"/>
              <w:bottom w:val="nil" w:sz="6" w:space="0" w:color="auto"/>
              <w:right w:val="nil" w:sz="6" w:space="0" w:color="auto"/>
            </w:tcBorders>
          </w:tcPr>
          <w:p>
            <w:pPr>
              <w:pStyle w:val="TableParagraph"/>
              <w:spacing w:line="213" w:lineRule="exact"/>
              <w:ind w:right="168"/>
              <w:jc w:val="right"/>
              <w:rPr>
                <w:rFonts w:ascii="宋体" w:hAnsi="宋体" w:cs="宋体" w:eastAsia="宋体" w:hint="default"/>
                <w:sz w:val="18"/>
                <w:szCs w:val="18"/>
              </w:rPr>
            </w:pPr>
            <w:r>
              <w:rPr>
                <w:rFonts w:ascii="宋体"/>
                <w:spacing w:val="-1"/>
                <w:sz w:val="18"/>
              </w:rPr>
              <w:t>5.0381</w:t>
            </w:r>
          </w:p>
        </w:tc>
        <w:tc>
          <w:tcPr>
            <w:tcW w:w="2033" w:type="dxa"/>
            <w:tcBorders>
              <w:top w:val="nil" w:sz="6" w:space="0" w:color="auto"/>
              <w:left w:val="nil" w:sz="6" w:space="0" w:color="auto"/>
              <w:bottom w:val="nil" w:sz="6" w:space="0" w:color="auto"/>
              <w:right w:val="nil" w:sz="6" w:space="0" w:color="auto"/>
            </w:tcBorders>
          </w:tcPr>
          <w:p>
            <w:pPr>
              <w:pStyle w:val="TableParagraph"/>
              <w:spacing w:line="213" w:lineRule="exact"/>
              <w:ind w:right="108"/>
              <w:jc w:val="right"/>
              <w:rPr>
                <w:rFonts w:ascii="宋体" w:hAnsi="宋体" w:cs="宋体" w:eastAsia="宋体" w:hint="default"/>
                <w:sz w:val="18"/>
                <w:szCs w:val="18"/>
              </w:rPr>
            </w:pPr>
            <w:r>
              <w:rPr>
                <w:rFonts w:ascii="宋体"/>
                <w:spacing w:val="-1"/>
                <w:sz w:val="18"/>
              </w:rPr>
              <w:t>15,220,825.02</w:t>
            </w:r>
          </w:p>
        </w:tc>
      </w:tr>
      <w:tr>
        <w:trPr>
          <w:trHeight w:val="262"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9" w:lineRule="exact"/>
              <w:ind w:left="6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726" w:type="dxa"/>
            <w:tcBorders>
              <w:top w:val="nil" w:sz="6" w:space="0" w:color="auto"/>
              <w:left w:val="nil" w:sz="6" w:space="0" w:color="auto"/>
              <w:bottom w:val="nil" w:sz="6" w:space="0" w:color="auto"/>
              <w:right w:val="nil" w:sz="6" w:space="0" w:color="auto"/>
            </w:tcBorders>
          </w:tcPr>
          <w:p>
            <w:pPr>
              <w:pStyle w:val="TableParagraph"/>
              <w:spacing w:line="212" w:lineRule="exact"/>
              <w:ind w:right="309"/>
              <w:jc w:val="right"/>
              <w:rPr>
                <w:rFonts w:ascii="宋体" w:hAnsi="宋体" w:cs="宋体" w:eastAsia="宋体" w:hint="default"/>
                <w:sz w:val="18"/>
                <w:szCs w:val="18"/>
              </w:rPr>
            </w:pPr>
            <w:r>
              <w:rPr>
                <w:rFonts w:ascii="宋体"/>
                <w:spacing w:val="-1"/>
                <w:sz w:val="18"/>
              </w:rPr>
              <w:t>109,575,685.82</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8.6762</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950,700,565.30</w:t>
            </w:r>
          </w:p>
        </w:tc>
      </w:tr>
      <w:tr>
        <w:trPr>
          <w:trHeight w:val="26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7" w:lineRule="exact"/>
              <w:ind w:left="66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726" w:type="dxa"/>
            <w:tcBorders>
              <w:top w:val="nil" w:sz="6" w:space="0" w:color="auto"/>
              <w:left w:val="nil" w:sz="6" w:space="0" w:color="auto"/>
              <w:bottom w:val="nil" w:sz="6" w:space="0" w:color="auto"/>
              <w:right w:val="nil" w:sz="6" w:space="0" w:color="auto"/>
            </w:tcBorders>
          </w:tcPr>
          <w:p>
            <w:pPr>
              <w:pStyle w:val="TableParagraph"/>
              <w:spacing w:line="212" w:lineRule="exact"/>
              <w:ind w:right="308"/>
              <w:jc w:val="right"/>
              <w:rPr>
                <w:rFonts w:ascii="宋体" w:hAnsi="宋体" w:cs="宋体" w:eastAsia="宋体" w:hint="default"/>
                <w:sz w:val="18"/>
                <w:szCs w:val="18"/>
              </w:rPr>
            </w:pPr>
            <w:r>
              <w:rPr>
                <w:rFonts w:ascii="宋体"/>
                <w:spacing w:val="-1"/>
                <w:sz w:val="18"/>
              </w:rPr>
              <w:t>62,956.07</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0.0619</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7"/>
              <w:jc w:val="right"/>
              <w:rPr>
                <w:rFonts w:ascii="宋体" w:hAnsi="宋体" w:cs="宋体" w:eastAsia="宋体" w:hint="default"/>
                <w:sz w:val="18"/>
                <w:szCs w:val="18"/>
              </w:rPr>
            </w:pPr>
            <w:r>
              <w:rPr>
                <w:rFonts w:ascii="宋体"/>
                <w:spacing w:val="-1"/>
                <w:sz w:val="18"/>
              </w:rPr>
              <w:t>3,896.98</w:t>
            </w:r>
          </w:p>
        </w:tc>
      </w:tr>
      <w:tr>
        <w:trPr>
          <w:trHeight w:val="260"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0" w:lineRule="exact"/>
              <w:ind w:right="984"/>
              <w:jc w:val="right"/>
              <w:rPr>
                <w:rFonts w:ascii="宋体" w:hAnsi="宋体" w:cs="宋体" w:eastAsia="宋体" w:hint="default"/>
                <w:sz w:val="18"/>
                <w:szCs w:val="18"/>
              </w:rPr>
            </w:pPr>
            <w:r>
              <w:rPr>
                <w:rFonts w:ascii="宋体" w:hAnsi="宋体" w:cs="宋体" w:eastAsia="宋体" w:hint="default"/>
                <w:sz w:val="18"/>
                <w:szCs w:val="18"/>
              </w:rPr>
              <w:t>其他币种</w:t>
            </w:r>
          </w:p>
        </w:tc>
        <w:tc>
          <w:tcPr>
            <w:tcW w:w="2726" w:type="dxa"/>
            <w:tcBorders>
              <w:top w:val="nil" w:sz="6" w:space="0" w:color="auto"/>
              <w:left w:val="nil" w:sz="6" w:space="0" w:color="auto"/>
              <w:bottom w:val="nil" w:sz="6" w:space="0" w:color="auto"/>
              <w:right w:val="nil" w:sz="6" w:space="0" w:color="auto"/>
            </w:tcBorders>
          </w:tcPr>
          <w:p>
            <w:pPr>
              <w:pStyle w:val="TableParagraph"/>
              <w:spacing w:line="220" w:lineRule="exact"/>
              <w:ind w:left="329"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2" w:type="dxa"/>
            <w:tcBorders>
              <w:top w:val="nil" w:sz="6" w:space="0" w:color="auto"/>
              <w:left w:val="nil" w:sz="6" w:space="0" w:color="auto"/>
              <w:bottom w:val="nil" w:sz="6" w:space="0" w:color="auto"/>
              <w:right w:val="nil" w:sz="6" w:space="0" w:color="auto"/>
            </w:tcBorders>
          </w:tcPr>
          <w:p>
            <w:pPr>
              <w:pStyle w:val="TableParagraph"/>
              <w:spacing w:line="220" w:lineRule="exact"/>
              <w:ind w:right="266"/>
              <w:jc w:val="center"/>
              <w:rPr>
                <w:rFonts w:ascii="宋体" w:hAnsi="宋体" w:cs="宋体" w:eastAsia="宋体" w:hint="default"/>
                <w:sz w:val="18"/>
                <w:szCs w:val="18"/>
              </w:rPr>
            </w:pPr>
            <w:r>
              <w:rPr>
                <w:rFonts w:ascii="宋体" w:hAnsi="宋体" w:cs="宋体" w:eastAsia="宋体" w:hint="default"/>
                <w:sz w:val="18"/>
                <w:szCs w:val="18"/>
              </w:rPr>
              <w:t>—</w:t>
            </w:r>
          </w:p>
        </w:tc>
        <w:tc>
          <w:tcPr>
            <w:tcW w:w="2033" w:type="dxa"/>
            <w:tcBorders>
              <w:top w:val="nil" w:sz="6" w:space="0" w:color="auto"/>
              <w:left w:val="nil" w:sz="6" w:space="0" w:color="auto"/>
              <w:bottom w:val="nil" w:sz="6" w:space="0" w:color="auto"/>
              <w:right w:val="nil" w:sz="6" w:space="0" w:color="auto"/>
            </w:tcBorders>
          </w:tcPr>
          <w:p>
            <w:pPr>
              <w:pStyle w:val="TableParagraph"/>
              <w:spacing w:line="220" w:lineRule="exact"/>
              <w:ind w:right="108"/>
              <w:jc w:val="right"/>
              <w:rPr>
                <w:rFonts w:ascii="宋体" w:hAnsi="宋体" w:cs="宋体" w:eastAsia="宋体" w:hint="default"/>
                <w:sz w:val="18"/>
                <w:szCs w:val="18"/>
              </w:rPr>
            </w:pPr>
            <w:r>
              <w:rPr>
                <w:rFonts w:ascii="宋体"/>
                <w:spacing w:val="-1"/>
                <w:sz w:val="18"/>
              </w:rPr>
              <w:t>71,290,235.06</w:t>
            </w:r>
          </w:p>
        </w:tc>
      </w:tr>
      <w:tr>
        <w:trPr>
          <w:trHeight w:val="253"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726"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259"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726" w:type="dxa"/>
            <w:tcBorders>
              <w:top w:val="nil" w:sz="6" w:space="0" w:color="auto"/>
              <w:left w:val="nil" w:sz="6" w:space="0" w:color="auto"/>
              <w:bottom w:val="nil" w:sz="6" w:space="0" w:color="auto"/>
              <w:right w:val="nil" w:sz="6" w:space="0" w:color="auto"/>
            </w:tcBorders>
          </w:tcPr>
          <w:p>
            <w:pPr>
              <w:pStyle w:val="TableParagraph"/>
              <w:spacing w:line="212" w:lineRule="exact"/>
              <w:ind w:right="309"/>
              <w:jc w:val="right"/>
              <w:rPr>
                <w:rFonts w:ascii="宋体" w:hAnsi="宋体" w:cs="宋体" w:eastAsia="宋体" w:hint="default"/>
                <w:sz w:val="18"/>
                <w:szCs w:val="18"/>
              </w:rPr>
            </w:pPr>
            <w:r>
              <w:rPr>
                <w:rFonts w:ascii="宋体"/>
                <w:spacing w:val="-1"/>
                <w:sz w:val="18"/>
              </w:rPr>
              <w:t>421,386,232.19</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6.8632</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2,892,057,988.77</w:t>
            </w:r>
          </w:p>
        </w:tc>
      </w:tr>
      <w:tr>
        <w:trPr>
          <w:trHeight w:val="259"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7" w:lineRule="exact"/>
              <w:ind w:left="6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726" w:type="dxa"/>
            <w:tcBorders>
              <w:top w:val="nil" w:sz="6" w:space="0" w:color="auto"/>
              <w:left w:val="nil" w:sz="6" w:space="0" w:color="auto"/>
              <w:bottom w:val="nil" w:sz="6" w:space="0" w:color="auto"/>
              <w:right w:val="nil" w:sz="6" w:space="0" w:color="auto"/>
            </w:tcBorders>
          </w:tcPr>
          <w:p>
            <w:pPr>
              <w:pStyle w:val="TableParagraph"/>
              <w:spacing w:line="212" w:lineRule="exact"/>
              <w:ind w:right="309"/>
              <w:jc w:val="right"/>
              <w:rPr>
                <w:rFonts w:ascii="宋体" w:hAnsi="宋体" w:cs="宋体" w:eastAsia="宋体" w:hint="default"/>
                <w:sz w:val="18"/>
                <w:szCs w:val="18"/>
              </w:rPr>
            </w:pPr>
            <w:r>
              <w:rPr>
                <w:rFonts w:ascii="宋体"/>
                <w:spacing w:val="-1"/>
                <w:sz w:val="18"/>
              </w:rPr>
              <w:t>209,632,600.91</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0.8762</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183,680,084.92</w:t>
            </w:r>
          </w:p>
        </w:tc>
      </w:tr>
      <w:tr>
        <w:trPr>
          <w:trHeight w:val="262"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9" w:lineRule="exact"/>
              <w:ind w:left="6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726" w:type="dxa"/>
            <w:tcBorders>
              <w:top w:val="nil" w:sz="6" w:space="0" w:color="auto"/>
              <w:left w:val="nil" w:sz="6" w:space="0" w:color="auto"/>
              <w:bottom w:val="nil" w:sz="6" w:space="0" w:color="auto"/>
              <w:right w:val="nil" w:sz="6" w:space="0" w:color="auto"/>
            </w:tcBorders>
          </w:tcPr>
          <w:p>
            <w:pPr>
              <w:pStyle w:val="TableParagraph"/>
              <w:spacing w:line="212" w:lineRule="exact"/>
              <w:ind w:right="309"/>
              <w:jc w:val="right"/>
              <w:rPr>
                <w:rFonts w:ascii="宋体" w:hAnsi="宋体" w:cs="宋体" w:eastAsia="宋体" w:hint="default"/>
                <w:sz w:val="18"/>
                <w:szCs w:val="18"/>
              </w:rPr>
            </w:pPr>
            <w:r>
              <w:rPr>
                <w:rFonts w:ascii="宋体"/>
                <w:spacing w:val="-1"/>
                <w:sz w:val="18"/>
              </w:rPr>
              <w:t>23,188,198.62</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7.8473</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181,964,751.03</w:t>
            </w:r>
          </w:p>
        </w:tc>
      </w:tr>
      <w:tr>
        <w:trPr>
          <w:trHeight w:val="259"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7" w:lineRule="exact"/>
              <w:ind w:right="984"/>
              <w:jc w:val="right"/>
              <w:rPr>
                <w:rFonts w:ascii="宋体" w:hAnsi="宋体" w:cs="宋体" w:eastAsia="宋体" w:hint="default"/>
                <w:sz w:val="18"/>
                <w:szCs w:val="18"/>
              </w:rPr>
            </w:pPr>
            <w:r>
              <w:rPr>
                <w:rFonts w:ascii="宋体" w:hAnsi="宋体" w:cs="宋体" w:eastAsia="宋体" w:hint="default"/>
                <w:sz w:val="18"/>
                <w:szCs w:val="18"/>
              </w:rPr>
              <w:t>加拿大元</w:t>
            </w:r>
          </w:p>
        </w:tc>
        <w:tc>
          <w:tcPr>
            <w:tcW w:w="2726" w:type="dxa"/>
            <w:tcBorders>
              <w:top w:val="nil" w:sz="6" w:space="0" w:color="auto"/>
              <w:left w:val="nil" w:sz="6" w:space="0" w:color="auto"/>
              <w:bottom w:val="nil" w:sz="6" w:space="0" w:color="auto"/>
              <w:right w:val="nil" w:sz="6" w:space="0" w:color="auto"/>
            </w:tcBorders>
          </w:tcPr>
          <w:p>
            <w:pPr>
              <w:pStyle w:val="TableParagraph"/>
              <w:spacing w:line="212" w:lineRule="exact"/>
              <w:ind w:right="309"/>
              <w:jc w:val="right"/>
              <w:rPr>
                <w:rFonts w:ascii="宋体" w:hAnsi="宋体" w:cs="宋体" w:eastAsia="宋体" w:hint="default"/>
                <w:sz w:val="18"/>
                <w:szCs w:val="18"/>
              </w:rPr>
            </w:pPr>
            <w:r>
              <w:rPr>
                <w:rFonts w:ascii="宋体"/>
                <w:spacing w:val="-1"/>
                <w:sz w:val="18"/>
              </w:rPr>
              <w:t>5,189,537.20</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5.0381</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26,145,407.37</w:t>
            </w:r>
          </w:p>
        </w:tc>
      </w:tr>
      <w:tr>
        <w:trPr>
          <w:trHeight w:val="271"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7" w:lineRule="exact"/>
              <w:ind w:left="6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726" w:type="dxa"/>
            <w:tcBorders>
              <w:top w:val="nil" w:sz="6" w:space="0" w:color="auto"/>
              <w:left w:val="nil" w:sz="6" w:space="0" w:color="auto"/>
              <w:bottom w:val="nil" w:sz="6" w:space="0" w:color="auto"/>
              <w:right w:val="nil" w:sz="6" w:space="0" w:color="auto"/>
            </w:tcBorders>
          </w:tcPr>
          <w:p>
            <w:pPr>
              <w:pStyle w:val="TableParagraph"/>
              <w:spacing w:line="212" w:lineRule="exact"/>
              <w:ind w:right="309"/>
              <w:jc w:val="right"/>
              <w:rPr>
                <w:rFonts w:ascii="宋体" w:hAnsi="宋体" w:cs="宋体" w:eastAsia="宋体" w:hint="default"/>
                <w:sz w:val="18"/>
                <w:szCs w:val="18"/>
              </w:rPr>
            </w:pPr>
            <w:r>
              <w:rPr>
                <w:rFonts w:ascii="宋体"/>
                <w:spacing w:val="-1"/>
                <w:sz w:val="18"/>
              </w:rPr>
              <w:t>2,217,397.94</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8.6762</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19,238,588.01</w:t>
            </w:r>
          </w:p>
        </w:tc>
      </w:tr>
      <w:tr>
        <w:trPr>
          <w:trHeight w:val="269"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4" w:lineRule="exact"/>
              <w:ind w:right="984"/>
              <w:jc w:val="right"/>
              <w:rPr>
                <w:rFonts w:ascii="宋体" w:hAnsi="宋体" w:cs="宋体" w:eastAsia="宋体" w:hint="default"/>
                <w:sz w:val="18"/>
                <w:szCs w:val="18"/>
              </w:rPr>
            </w:pPr>
            <w:r>
              <w:rPr>
                <w:rFonts w:ascii="宋体" w:hAnsi="宋体" w:cs="宋体" w:eastAsia="宋体" w:hint="default"/>
                <w:sz w:val="18"/>
                <w:szCs w:val="18"/>
              </w:rPr>
              <w:t>其他币种</w:t>
            </w:r>
          </w:p>
        </w:tc>
        <w:tc>
          <w:tcPr>
            <w:tcW w:w="2726" w:type="dxa"/>
            <w:tcBorders>
              <w:top w:val="nil" w:sz="6" w:space="0" w:color="auto"/>
              <w:left w:val="nil" w:sz="6" w:space="0" w:color="auto"/>
              <w:bottom w:val="nil" w:sz="6" w:space="0" w:color="auto"/>
              <w:right w:val="nil" w:sz="6" w:space="0" w:color="auto"/>
            </w:tcBorders>
          </w:tcPr>
          <w:p>
            <w:pPr>
              <w:pStyle w:val="TableParagraph"/>
              <w:spacing w:line="224" w:lineRule="exact"/>
              <w:ind w:left="329"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2" w:type="dxa"/>
            <w:tcBorders>
              <w:top w:val="nil" w:sz="6" w:space="0" w:color="auto"/>
              <w:left w:val="nil" w:sz="6" w:space="0" w:color="auto"/>
              <w:bottom w:val="nil" w:sz="6" w:space="0" w:color="auto"/>
              <w:right w:val="nil" w:sz="6" w:space="0" w:color="auto"/>
            </w:tcBorders>
          </w:tcPr>
          <w:p>
            <w:pPr>
              <w:pStyle w:val="TableParagraph"/>
              <w:spacing w:line="224" w:lineRule="exact"/>
              <w:ind w:right="266"/>
              <w:jc w:val="center"/>
              <w:rPr>
                <w:rFonts w:ascii="宋体" w:hAnsi="宋体" w:cs="宋体" w:eastAsia="宋体" w:hint="default"/>
                <w:sz w:val="18"/>
                <w:szCs w:val="18"/>
              </w:rPr>
            </w:pPr>
            <w:r>
              <w:rPr>
                <w:rFonts w:ascii="宋体" w:hAnsi="宋体" w:cs="宋体" w:eastAsia="宋体" w:hint="default"/>
                <w:sz w:val="18"/>
                <w:szCs w:val="18"/>
              </w:rPr>
              <w:t>—</w:t>
            </w:r>
          </w:p>
        </w:tc>
        <w:tc>
          <w:tcPr>
            <w:tcW w:w="2033" w:type="dxa"/>
            <w:tcBorders>
              <w:top w:val="nil" w:sz="6" w:space="0" w:color="auto"/>
              <w:left w:val="nil" w:sz="6" w:space="0" w:color="auto"/>
              <w:bottom w:val="nil" w:sz="6" w:space="0" w:color="auto"/>
              <w:right w:val="nil" w:sz="6" w:space="0" w:color="auto"/>
            </w:tcBorders>
          </w:tcPr>
          <w:p>
            <w:pPr>
              <w:pStyle w:val="TableParagraph"/>
              <w:spacing w:line="224" w:lineRule="exact"/>
              <w:ind w:right="108"/>
              <w:jc w:val="right"/>
              <w:rPr>
                <w:rFonts w:ascii="宋体" w:hAnsi="宋体" w:cs="宋体" w:eastAsia="宋体" w:hint="default"/>
                <w:sz w:val="18"/>
                <w:szCs w:val="18"/>
              </w:rPr>
            </w:pPr>
            <w:r>
              <w:rPr>
                <w:rFonts w:ascii="宋体"/>
                <w:spacing w:val="-1"/>
                <w:sz w:val="18"/>
              </w:rPr>
              <w:t>147,330,652.76</w:t>
            </w:r>
          </w:p>
        </w:tc>
      </w:tr>
      <w:tr>
        <w:trPr>
          <w:trHeight w:val="257"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726"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259"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726" w:type="dxa"/>
            <w:tcBorders>
              <w:top w:val="nil" w:sz="6" w:space="0" w:color="auto"/>
              <w:left w:val="nil" w:sz="6" w:space="0" w:color="auto"/>
              <w:bottom w:val="nil" w:sz="6" w:space="0" w:color="auto"/>
              <w:right w:val="nil" w:sz="6" w:space="0" w:color="auto"/>
            </w:tcBorders>
          </w:tcPr>
          <w:p>
            <w:pPr>
              <w:pStyle w:val="TableParagraph"/>
              <w:spacing w:line="212" w:lineRule="exact"/>
              <w:ind w:right="309"/>
              <w:jc w:val="right"/>
              <w:rPr>
                <w:rFonts w:ascii="宋体" w:hAnsi="宋体" w:cs="宋体" w:eastAsia="宋体" w:hint="default"/>
                <w:sz w:val="18"/>
                <w:szCs w:val="18"/>
              </w:rPr>
            </w:pPr>
            <w:r>
              <w:rPr>
                <w:rFonts w:ascii="宋体"/>
                <w:spacing w:val="-1"/>
                <w:sz w:val="18"/>
              </w:rPr>
              <w:t>23,867,362.35</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6.8632</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163,806,481.28</w:t>
            </w:r>
          </w:p>
        </w:tc>
      </w:tr>
      <w:tr>
        <w:trPr>
          <w:trHeight w:val="262"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9" w:lineRule="exact"/>
              <w:ind w:left="6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726" w:type="dxa"/>
            <w:tcBorders>
              <w:top w:val="nil" w:sz="6" w:space="0" w:color="auto"/>
              <w:left w:val="nil" w:sz="6" w:space="0" w:color="auto"/>
              <w:bottom w:val="nil" w:sz="6" w:space="0" w:color="auto"/>
              <w:right w:val="nil" w:sz="6" w:space="0" w:color="auto"/>
            </w:tcBorders>
          </w:tcPr>
          <w:p>
            <w:pPr>
              <w:pStyle w:val="TableParagraph"/>
              <w:spacing w:line="212" w:lineRule="exact"/>
              <w:ind w:right="309"/>
              <w:jc w:val="right"/>
              <w:rPr>
                <w:rFonts w:ascii="宋体" w:hAnsi="宋体" w:cs="宋体" w:eastAsia="宋体" w:hint="default"/>
                <w:sz w:val="18"/>
                <w:szCs w:val="18"/>
              </w:rPr>
            </w:pPr>
            <w:r>
              <w:rPr>
                <w:rFonts w:ascii="宋体"/>
                <w:spacing w:val="-1"/>
                <w:sz w:val="18"/>
              </w:rPr>
              <w:t>332,439,572.33</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0.8762</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291,283,553.28</w:t>
            </w:r>
          </w:p>
        </w:tc>
      </w:tr>
      <w:tr>
        <w:trPr>
          <w:trHeight w:val="259"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7" w:lineRule="exact"/>
              <w:ind w:left="6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726" w:type="dxa"/>
            <w:tcBorders>
              <w:top w:val="nil" w:sz="6" w:space="0" w:color="auto"/>
              <w:left w:val="nil" w:sz="6" w:space="0" w:color="auto"/>
              <w:bottom w:val="nil" w:sz="6" w:space="0" w:color="auto"/>
              <w:right w:val="nil" w:sz="6" w:space="0" w:color="auto"/>
            </w:tcBorders>
          </w:tcPr>
          <w:p>
            <w:pPr>
              <w:pStyle w:val="TableParagraph"/>
              <w:spacing w:line="213" w:lineRule="exact"/>
              <w:ind w:right="309"/>
              <w:jc w:val="right"/>
              <w:rPr>
                <w:rFonts w:ascii="宋体" w:hAnsi="宋体" w:cs="宋体" w:eastAsia="宋体" w:hint="default"/>
                <w:sz w:val="18"/>
                <w:szCs w:val="18"/>
              </w:rPr>
            </w:pPr>
            <w:r>
              <w:rPr>
                <w:rFonts w:ascii="宋体"/>
                <w:spacing w:val="-1"/>
                <w:sz w:val="18"/>
              </w:rPr>
              <w:t>1,064,360.16</w:t>
            </w:r>
          </w:p>
        </w:tc>
        <w:tc>
          <w:tcPr>
            <w:tcW w:w="1612" w:type="dxa"/>
            <w:tcBorders>
              <w:top w:val="nil" w:sz="6" w:space="0" w:color="auto"/>
              <w:left w:val="nil" w:sz="6" w:space="0" w:color="auto"/>
              <w:bottom w:val="nil" w:sz="6" w:space="0" w:color="auto"/>
              <w:right w:val="nil" w:sz="6" w:space="0" w:color="auto"/>
            </w:tcBorders>
          </w:tcPr>
          <w:p>
            <w:pPr>
              <w:pStyle w:val="TableParagraph"/>
              <w:spacing w:line="213" w:lineRule="exact"/>
              <w:ind w:right="168"/>
              <w:jc w:val="right"/>
              <w:rPr>
                <w:rFonts w:ascii="宋体" w:hAnsi="宋体" w:cs="宋体" w:eastAsia="宋体" w:hint="default"/>
                <w:sz w:val="18"/>
                <w:szCs w:val="18"/>
              </w:rPr>
            </w:pPr>
            <w:r>
              <w:rPr>
                <w:rFonts w:ascii="宋体"/>
                <w:spacing w:val="-1"/>
                <w:sz w:val="18"/>
              </w:rPr>
              <w:t>7.8473</w:t>
            </w:r>
          </w:p>
        </w:tc>
        <w:tc>
          <w:tcPr>
            <w:tcW w:w="2033" w:type="dxa"/>
            <w:tcBorders>
              <w:top w:val="nil" w:sz="6" w:space="0" w:color="auto"/>
              <w:left w:val="nil" w:sz="6" w:space="0" w:color="auto"/>
              <w:bottom w:val="nil" w:sz="6" w:space="0" w:color="auto"/>
              <w:right w:val="nil" w:sz="6" w:space="0" w:color="auto"/>
            </w:tcBorders>
          </w:tcPr>
          <w:p>
            <w:pPr>
              <w:pStyle w:val="TableParagraph"/>
              <w:spacing w:line="213" w:lineRule="exact"/>
              <w:ind w:right="108"/>
              <w:jc w:val="right"/>
              <w:rPr>
                <w:rFonts w:ascii="宋体" w:hAnsi="宋体" w:cs="宋体" w:eastAsia="宋体" w:hint="default"/>
                <w:sz w:val="18"/>
                <w:szCs w:val="18"/>
              </w:rPr>
            </w:pPr>
            <w:r>
              <w:rPr>
                <w:rFonts w:ascii="宋体"/>
                <w:spacing w:val="-1"/>
                <w:sz w:val="18"/>
              </w:rPr>
              <w:t>8,352,353.48</w:t>
            </w:r>
          </w:p>
        </w:tc>
      </w:tr>
      <w:tr>
        <w:trPr>
          <w:trHeight w:val="259"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7" w:lineRule="exact"/>
              <w:ind w:right="984"/>
              <w:jc w:val="right"/>
              <w:rPr>
                <w:rFonts w:ascii="宋体" w:hAnsi="宋体" w:cs="宋体" w:eastAsia="宋体" w:hint="default"/>
                <w:sz w:val="18"/>
                <w:szCs w:val="18"/>
              </w:rPr>
            </w:pPr>
            <w:r>
              <w:rPr>
                <w:rFonts w:ascii="宋体" w:hAnsi="宋体" w:cs="宋体" w:eastAsia="宋体" w:hint="default"/>
                <w:sz w:val="18"/>
                <w:szCs w:val="18"/>
              </w:rPr>
              <w:t>加拿大元</w:t>
            </w:r>
          </w:p>
        </w:tc>
        <w:tc>
          <w:tcPr>
            <w:tcW w:w="2726" w:type="dxa"/>
            <w:tcBorders>
              <w:top w:val="nil" w:sz="6" w:space="0" w:color="auto"/>
              <w:left w:val="nil" w:sz="6" w:space="0" w:color="auto"/>
              <w:bottom w:val="nil" w:sz="6" w:space="0" w:color="auto"/>
              <w:right w:val="nil" w:sz="6" w:space="0" w:color="auto"/>
            </w:tcBorders>
          </w:tcPr>
          <w:p>
            <w:pPr>
              <w:pStyle w:val="TableParagraph"/>
              <w:spacing w:line="212" w:lineRule="exact"/>
              <w:ind w:right="309"/>
              <w:jc w:val="right"/>
              <w:rPr>
                <w:rFonts w:ascii="宋体" w:hAnsi="宋体" w:cs="宋体" w:eastAsia="宋体" w:hint="default"/>
                <w:sz w:val="18"/>
                <w:szCs w:val="18"/>
              </w:rPr>
            </w:pPr>
            <w:r>
              <w:rPr>
                <w:rFonts w:ascii="宋体"/>
                <w:spacing w:val="-1"/>
                <w:sz w:val="18"/>
              </w:rPr>
              <w:t>5,022,757.86</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5.0381</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25,305,156.37</w:t>
            </w:r>
          </w:p>
        </w:tc>
      </w:tr>
      <w:tr>
        <w:trPr>
          <w:trHeight w:val="262"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9" w:lineRule="exact"/>
              <w:ind w:left="6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726" w:type="dxa"/>
            <w:tcBorders>
              <w:top w:val="nil" w:sz="6" w:space="0" w:color="auto"/>
              <w:left w:val="nil" w:sz="6" w:space="0" w:color="auto"/>
              <w:bottom w:val="nil" w:sz="6" w:space="0" w:color="auto"/>
              <w:right w:val="nil" w:sz="6" w:space="0" w:color="auto"/>
            </w:tcBorders>
          </w:tcPr>
          <w:p>
            <w:pPr>
              <w:pStyle w:val="TableParagraph"/>
              <w:spacing w:line="212" w:lineRule="exact"/>
              <w:ind w:right="309"/>
              <w:jc w:val="right"/>
              <w:rPr>
                <w:rFonts w:ascii="宋体" w:hAnsi="宋体" w:cs="宋体" w:eastAsia="宋体" w:hint="default"/>
                <w:sz w:val="18"/>
                <w:szCs w:val="18"/>
              </w:rPr>
            </w:pPr>
            <w:r>
              <w:rPr>
                <w:rFonts w:ascii="宋体"/>
                <w:spacing w:val="-1"/>
                <w:sz w:val="18"/>
              </w:rPr>
              <w:t>1,637,221.50</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8.6762</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14,204,861.18</w:t>
            </w:r>
          </w:p>
        </w:tc>
      </w:tr>
      <w:tr>
        <w:trPr>
          <w:trHeight w:val="26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7" w:lineRule="exact"/>
              <w:ind w:right="984"/>
              <w:jc w:val="right"/>
              <w:rPr>
                <w:rFonts w:ascii="宋体" w:hAnsi="宋体" w:cs="宋体" w:eastAsia="宋体" w:hint="default"/>
                <w:sz w:val="18"/>
                <w:szCs w:val="18"/>
              </w:rPr>
            </w:pPr>
            <w:r>
              <w:rPr>
                <w:rFonts w:ascii="宋体" w:hAnsi="宋体" w:cs="宋体" w:eastAsia="宋体" w:hint="default"/>
                <w:sz w:val="18"/>
                <w:szCs w:val="18"/>
              </w:rPr>
              <w:t>其他币种</w:t>
            </w:r>
          </w:p>
        </w:tc>
        <w:tc>
          <w:tcPr>
            <w:tcW w:w="2726" w:type="dxa"/>
            <w:tcBorders>
              <w:top w:val="nil" w:sz="6" w:space="0" w:color="auto"/>
              <w:left w:val="nil" w:sz="6" w:space="0" w:color="auto"/>
              <w:bottom w:val="nil" w:sz="6" w:space="0" w:color="auto"/>
              <w:right w:val="nil" w:sz="6" w:space="0" w:color="auto"/>
            </w:tcBorders>
          </w:tcPr>
          <w:p>
            <w:pPr>
              <w:pStyle w:val="TableParagraph"/>
              <w:spacing w:line="227" w:lineRule="exact"/>
              <w:ind w:left="329"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2" w:type="dxa"/>
            <w:tcBorders>
              <w:top w:val="nil" w:sz="6" w:space="0" w:color="auto"/>
              <w:left w:val="nil" w:sz="6" w:space="0" w:color="auto"/>
              <w:bottom w:val="nil" w:sz="6" w:space="0" w:color="auto"/>
              <w:right w:val="nil" w:sz="6" w:space="0" w:color="auto"/>
            </w:tcBorders>
          </w:tcPr>
          <w:p>
            <w:pPr>
              <w:pStyle w:val="TableParagraph"/>
              <w:spacing w:line="227" w:lineRule="exact"/>
              <w:ind w:right="266"/>
              <w:jc w:val="center"/>
              <w:rPr>
                <w:rFonts w:ascii="宋体" w:hAnsi="宋体" w:cs="宋体" w:eastAsia="宋体" w:hint="default"/>
                <w:sz w:val="18"/>
                <w:szCs w:val="18"/>
              </w:rPr>
            </w:pPr>
            <w:r>
              <w:rPr>
                <w:rFonts w:ascii="宋体" w:hAnsi="宋体" w:cs="宋体" w:eastAsia="宋体" w:hint="default"/>
                <w:sz w:val="18"/>
                <w:szCs w:val="18"/>
              </w:rPr>
              <w:t>—</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33,649,908.02</w:t>
            </w:r>
          </w:p>
        </w:tc>
      </w:tr>
      <w:tr>
        <w:trPr>
          <w:trHeight w:val="252"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0"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应付账款</w:t>
            </w:r>
            <w:r>
              <w:rPr>
                <w:rFonts w:ascii="宋体" w:hAnsi="宋体" w:cs="宋体" w:eastAsia="宋体" w:hint="default"/>
                <w:sz w:val="18"/>
                <w:szCs w:val="18"/>
              </w:rPr>
            </w:r>
          </w:p>
        </w:tc>
        <w:tc>
          <w:tcPr>
            <w:tcW w:w="2726"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262"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726" w:type="dxa"/>
            <w:tcBorders>
              <w:top w:val="nil" w:sz="6" w:space="0" w:color="auto"/>
              <w:left w:val="nil" w:sz="6" w:space="0" w:color="auto"/>
              <w:bottom w:val="nil" w:sz="6" w:space="0" w:color="auto"/>
              <w:right w:val="nil" w:sz="6" w:space="0" w:color="auto"/>
            </w:tcBorders>
          </w:tcPr>
          <w:p>
            <w:pPr>
              <w:pStyle w:val="TableParagraph"/>
              <w:spacing w:line="212" w:lineRule="exact"/>
              <w:ind w:right="309"/>
              <w:jc w:val="right"/>
              <w:rPr>
                <w:rFonts w:ascii="宋体" w:hAnsi="宋体" w:cs="宋体" w:eastAsia="宋体" w:hint="default"/>
                <w:sz w:val="18"/>
                <w:szCs w:val="18"/>
              </w:rPr>
            </w:pPr>
            <w:r>
              <w:rPr>
                <w:rFonts w:ascii="宋体"/>
                <w:spacing w:val="-1"/>
                <w:sz w:val="18"/>
              </w:rPr>
              <w:t>150,800,032.47</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6.8632</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1,034,970,782.85</w:t>
            </w:r>
          </w:p>
        </w:tc>
      </w:tr>
      <w:tr>
        <w:trPr>
          <w:trHeight w:val="259"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7" w:lineRule="exact"/>
              <w:ind w:left="6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726" w:type="dxa"/>
            <w:tcBorders>
              <w:top w:val="nil" w:sz="6" w:space="0" w:color="auto"/>
              <w:left w:val="nil" w:sz="6" w:space="0" w:color="auto"/>
              <w:bottom w:val="nil" w:sz="6" w:space="0" w:color="auto"/>
              <w:right w:val="nil" w:sz="6" w:space="0" w:color="auto"/>
            </w:tcBorders>
          </w:tcPr>
          <w:p>
            <w:pPr>
              <w:pStyle w:val="TableParagraph"/>
              <w:spacing w:line="212" w:lineRule="exact"/>
              <w:ind w:right="309"/>
              <w:jc w:val="right"/>
              <w:rPr>
                <w:rFonts w:ascii="宋体" w:hAnsi="宋体" w:cs="宋体" w:eastAsia="宋体" w:hint="default"/>
                <w:sz w:val="18"/>
                <w:szCs w:val="18"/>
              </w:rPr>
            </w:pPr>
            <w:r>
              <w:rPr>
                <w:rFonts w:ascii="宋体"/>
                <w:spacing w:val="-1"/>
                <w:sz w:val="18"/>
              </w:rPr>
              <w:t>6,098,253.84</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0.8762</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5,343,290.01</w:t>
            </w:r>
          </w:p>
        </w:tc>
      </w:tr>
      <w:tr>
        <w:trPr>
          <w:trHeight w:val="259"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7" w:lineRule="exact"/>
              <w:ind w:left="6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726" w:type="dxa"/>
            <w:tcBorders>
              <w:top w:val="nil" w:sz="6" w:space="0" w:color="auto"/>
              <w:left w:val="nil" w:sz="6" w:space="0" w:color="auto"/>
              <w:bottom w:val="nil" w:sz="6" w:space="0" w:color="auto"/>
              <w:right w:val="nil" w:sz="6" w:space="0" w:color="auto"/>
            </w:tcBorders>
          </w:tcPr>
          <w:p>
            <w:pPr>
              <w:pStyle w:val="TableParagraph"/>
              <w:spacing w:line="212" w:lineRule="exact"/>
              <w:ind w:right="309"/>
              <w:jc w:val="right"/>
              <w:rPr>
                <w:rFonts w:ascii="宋体" w:hAnsi="宋体" w:cs="宋体" w:eastAsia="宋体" w:hint="default"/>
                <w:sz w:val="18"/>
                <w:szCs w:val="18"/>
              </w:rPr>
            </w:pPr>
            <w:r>
              <w:rPr>
                <w:rFonts w:ascii="宋体"/>
                <w:spacing w:val="-1"/>
                <w:sz w:val="18"/>
              </w:rPr>
              <w:t>2,007,285.99</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7.8473</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15,751,775.35</w:t>
            </w:r>
          </w:p>
        </w:tc>
      </w:tr>
      <w:tr>
        <w:trPr>
          <w:trHeight w:val="262"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9" w:lineRule="exact"/>
              <w:ind w:left="6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726" w:type="dxa"/>
            <w:tcBorders>
              <w:top w:val="nil" w:sz="6" w:space="0" w:color="auto"/>
              <w:left w:val="nil" w:sz="6" w:space="0" w:color="auto"/>
              <w:bottom w:val="nil" w:sz="6" w:space="0" w:color="auto"/>
              <w:right w:val="nil" w:sz="6" w:space="0" w:color="auto"/>
            </w:tcBorders>
          </w:tcPr>
          <w:p>
            <w:pPr>
              <w:pStyle w:val="TableParagraph"/>
              <w:spacing w:line="212" w:lineRule="exact"/>
              <w:ind w:right="308"/>
              <w:jc w:val="right"/>
              <w:rPr>
                <w:rFonts w:ascii="宋体" w:hAnsi="宋体" w:cs="宋体" w:eastAsia="宋体" w:hint="default"/>
                <w:sz w:val="18"/>
                <w:szCs w:val="18"/>
              </w:rPr>
            </w:pPr>
            <w:r>
              <w:rPr>
                <w:rFonts w:ascii="宋体"/>
                <w:spacing w:val="-1"/>
                <w:sz w:val="18"/>
              </w:rPr>
              <w:t>268,636.71</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8.6762</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2,330,745.82</w:t>
            </w:r>
          </w:p>
        </w:tc>
      </w:tr>
      <w:tr>
        <w:trPr>
          <w:trHeight w:val="269" w:hRule="exact"/>
        </w:trPr>
        <w:tc>
          <w:tcPr>
            <w:tcW w:w="2369" w:type="dxa"/>
            <w:tcBorders>
              <w:top w:val="nil" w:sz="6" w:space="0" w:color="auto"/>
              <w:left w:val="nil" w:sz="6" w:space="0" w:color="auto"/>
              <w:bottom w:val="single" w:sz="12" w:space="0" w:color="000000"/>
              <w:right w:val="nil" w:sz="6" w:space="0" w:color="auto"/>
            </w:tcBorders>
          </w:tcPr>
          <w:p>
            <w:pPr>
              <w:pStyle w:val="TableParagraph"/>
              <w:spacing w:line="227" w:lineRule="exact"/>
              <w:ind w:right="984"/>
              <w:jc w:val="right"/>
              <w:rPr>
                <w:rFonts w:ascii="宋体" w:hAnsi="宋体" w:cs="宋体" w:eastAsia="宋体" w:hint="default"/>
                <w:sz w:val="18"/>
                <w:szCs w:val="18"/>
              </w:rPr>
            </w:pPr>
            <w:r>
              <w:rPr>
                <w:rFonts w:ascii="宋体" w:hAnsi="宋体" w:cs="宋体" w:eastAsia="宋体" w:hint="default"/>
                <w:sz w:val="18"/>
                <w:szCs w:val="18"/>
              </w:rPr>
              <w:t>印度卢比</w:t>
            </w:r>
          </w:p>
        </w:tc>
        <w:tc>
          <w:tcPr>
            <w:tcW w:w="2726" w:type="dxa"/>
            <w:tcBorders>
              <w:top w:val="nil" w:sz="6" w:space="0" w:color="auto"/>
              <w:left w:val="nil" w:sz="6" w:space="0" w:color="auto"/>
              <w:bottom w:val="single" w:sz="12" w:space="0" w:color="000000"/>
              <w:right w:val="nil" w:sz="6" w:space="0" w:color="auto"/>
            </w:tcBorders>
          </w:tcPr>
          <w:p>
            <w:pPr>
              <w:pStyle w:val="TableParagraph"/>
              <w:spacing w:line="212" w:lineRule="exact"/>
              <w:ind w:right="309"/>
              <w:jc w:val="right"/>
              <w:rPr>
                <w:rFonts w:ascii="宋体" w:hAnsi="宋体" w:cs="宋体" w:eastAsia="宋体" w:hint="default"/>
                <w:sz w:val="18"/>
                <w:szCs w:val="18"/>
              </w:rPr>
            </w:pPr>
            <w:r>
              <w:rPr>
                <w:rFonts w:ascii="宋体"/>
                <w:spacing w:val="-1"/>
                <w:sz w:val="18"/>
              </w:rPr>
              <w:t>455,421,500.00</w:t>
            </w:r>
          </w:p>
        </w:tc>
        <w:tc>
          <w:tcPr>
            <w:tcW w:w="1612" w:type="dxa"/>
            <w:tcBorders>
              <w:top w:val="nil" w:sz="6" w:space="0" w:color="auto"/>
              <w:left w:val="nil" w:sz="6" w:space="0" w:color="auto"/>
              <w:bottom w:val="single" w:sz="12" w:space="0" w:color="000000"/>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0.0979</w:t>
            </w:r>
          </w:p>
        </w:tc>
        <w:tc>
          <w:tcPr>
            <w:tcW w:w="2033" w:type="dxa"/>
            <w:tcBorders>
              <w:top w:val="nil" w:sz="6" w:space="0" w:color="auto"/>
              <w:left w:val="nil" w:sz="6" w:space="0" w:color="auto"/>
              <w:bottom w:val="single" w:sz="12" w:space="0" w:color="000000"/>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44,564,588.68</w:t>
            </w:r>
          </w:p>
        </w:tc>
      </w:tr>
    </w:tbl>
    <w:p>
      <w:pPr>
        <w:spacing w:after="0" w:line="212" w:lineRule="exact"/>
        <w:jc w:val="right"/>
        <w:rPr>
          <w:rFonts w:ascii="宋体" w:hAnsi="宋体" w:cs="宋体" w:eastAsia="宋体" w:hint="default"/>
          <w:sz w:val="18"/>
          <w:szCs w:val="18"/>
        </w:rPr>
        <w:sectPr>
          <w:pgSz w:w="11910" w:h="16840"/>
          <w:pgMar w:header="0" w:footer="1034" w:top="1320" w:bottom="1220" w:left="1440" w:right="1480"/>
        </w:sectPr>
      </w:pPr>
    </w:p>
    <w:p>
      <w:pPr>
        <w:spacing w:line="240" w:lineRule="auto" w:before="6"/>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2363"/>
        <w:gridCol w:w="2732"/>
        <w:gridCol w:w="1612"/>
        <w:gridCol w:w="2033"/>
      </w:tblGrid>
      <w:tr>
        <w:trPr>
          <w:trHeight w:val="281" w:hRule="exact"/>
        </w:trPr>
        <w:tc>
          <w:tcPr>
            <w:tcW w:w="236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3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992" w:right="0"/>
              <w:jc w:val="left"/>
              <w:rPr>
                <w:rFonts w:ascii="宋体" w:hAnsi="宋体" w:cs="宋体" w:eastAsia="宋体" w:hint="default"/>
                <w:sz w:val="18"/>
                <w:szCs w:val="18"/>
              </w:rPr>
            </w:pPr>
            <w:r>
              <w:rPr>
                <w:rFonts w:ascii="宋体" w:hAnsi="宋体" w:cs="宋体" w:eastAsia="宋体" w:hint="default"/>
                <w:b/>
                <w:bCs/>
                <w:sz w:val="18"/>
                <w:szCs w:val="18"/>
              </w:rPr>
              <w:t>年末外币余额</w:t>
            </w:r>
            <w:r>
              <w:rPr>
                <w:rFonts w:ascii="宋体" w:hAnsi="宋体" w:cs="宋体" w:eastAsia="宋体" w:hint="default"/>
                <w:sz w:val="18"/>
                <w:szCs w:val="18"/>
              </w:rPr>
            </w:r>
          </w:p>
        </w:tc>
        <w:tc>
          <w:tcPr>
            <w:tcW w:w="161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10"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203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年末折算人民币余额</w:t>
            </w:r>
            <w:r>
              <w:rPr>
                <w:rFonts w:ascii="宋体" w:hAnsi="宋体" w:cs="宋体" w:eastAsia="宋体" w:hint="default"/>
                <w:sz w:val="18"/>
                <w:szCs w:val="18"/>
              </w:rPr>
            </w:r>
          </w:p>
        </w:tc>
      </w:tr>
      <w:tr>
        <w:trPr>
          <w:trHeight w:val="279" w:hRule="exact"/>
        </w:trPr>
        <w:tc>
          <w:tcPr>
            <w:tcW w:w="2363" w:type="dxa"/>
            <w:tcBorders>
              <w:top w:val="single" w:sz="4" w:space="0" w:color="000000"/>
              <w:left w:val="nil" w:sz="6" w:space="0" w:color="auto"/>
              <w:bottom w:val="nil" w:sz="6" w:space="0" w:color="auto"/>
              <w:right w:val="nil" w:sz="6" w:space="0" w:color="auto"/>
            </w:tcBorders>
          </w:tcPr>
          <w:p>
            <w:pPr>
              <w:pStyle w:val="TableParagraph"/>
              <w:spacing w:line="235" w:lineRule="exact"/>
              <w:ind w:left="662" w:right="0"/>
              <w:jc w:val="left"/>
              <w:rPr>
                <w:rFonts w:ascii="宋体" w:hAnsi="宋体" w:cs="宋体" w:eastAsia="宋体" w:hint="default"/>
                <w:sz w:val="18"/>
                <w:szCs w:val="18"/>
              </w:rPr>
            </w:pPr>
            <w:r>
              <w:rPr>
                <w:rFonts w:ascii="宋体" w:hAnsi="宋体" w:cs="宋体" w:eastAsia="宋体" w:hint="default"/>
                <w:sz w:val="18"/>
                <w:szCs w:val="18"/>
              </w:rPr>
              <w:t>泰国铢</w:t>
            </w:r>
          </w:p>
        </w:tc>
        <w:tc>
          <w:tcPr>
            <w:tcW w:w="2732" w:type="dxa"/>
            <w:tcBorders>
              <w:top w:val="single" w:sz="4" w:space="0" w:color="000000"/>
              <w:left w:val="nil" w:sz="6" w:space="0" w:color="auto"/>
              <w:bottom w:val="nil" w:sz="6" w:space="0" w:color="auto"/>
              <w:right w:val="nil" w:sz="6" w:space="0" w:color="auto"/>
            </w:tcBorders>
          </w:tcPr>
          <w:p>
            <w:pPr>
              <w:pStyle w:val="TableParagraph"/>
              <w:spacing w:line="218" w:lineRule="exact"/>
              <w:ind w:right="309"/>
              <w:jc w:val="right"/>
              <w:rPr>
                <w:rFonts w:ascii="宋体" w:hAnsi="宋体" w:cs="宋体" w:eastAsia="宋体" w:hint="default"/>
                <w:sz w:val="18"/>
                <w:szCs w:val="18"/>
              </w:rPr>
            </w:pPr>
            <w:r>
              <w:rPr>
                <w:rFonts w:ascii="宋体"/>
                <w:spacing w:val="-1"/>
                <w:sz w:val="18"/>
              </w:rPr>
              <w:t>63,841,121.50</w:t>
            </w:r>
          </w:p>
        </w:tc>
        <w:tc>
          <w:tcPr>
            <w:tcW w:w="1612" w:type="dxa"/>
            <w:tcBorders>
              <w:top w:val="single" w:sz="4" w:space="0" w:color="000000"/>
              <w:left w:val="nil" w:sz="6" w:space="0" w:color="auto"/>
              <w:bottom w:val="nil" w:sz="6" w:space="0" w:color="auto"/>
              <w:right w:val="nil" w:sz="6" w:space="0" w:color="auto"/>
            </w:tcBorders>
          </w:tcPr>
          <w:p>
            <w:pPr>
              <w:pStyle w:val="TableParagraph"/>
              <w:spacing w:line="218" w:lineRule="exact"/>
              <w:ind w:right="168"/>
              <w:jc w:val="right"/>
              <w:rPr>
                <w:rFonts w:ascii="宋体" w:hAnsi="宋体" w:cs="宋体" w:eastAsia="宋体" w:hint="default"/>
                <w:sz w:val="18"/>
                <w:szCs w:val="18"/>
              </w:rPr>
            </w:pPr>
            <w:r>
              <w:rPr>
                <w:rFonts w:ascii="宋体"/>
                <w:spacing w:val="-1"/>
                <w:sz w:val="18"/>
              </w:rPr>
              <w:t>0.2110</w:t>
            </w:r>
          </w:p>
        </w:tc>
        <w:tc>
          <w:tcPr>
            <w:tcW w:w="2033" w:type="dxa"/>
            <w:tcBorders>
              <w:top w:val="single" w:sz="4" w:space="0" w:color="000000"/>
              <w:left w:val="nil" w:sz="6" w:space="0" w:color="auto"/>
              <w:bottom w:val="nil" w:sz="6" w:space="0" w:color="auto"/>
              <w:right w:val="nil" w:sz="6" w:space="0" w:color="auto"/>
            </w:tcBorders>
          </w:tcPr>
          <w:p>
            <w:pPr>
              <w:pStyle w:val="TableParagraph"/>
              <w:spacing w:line="218" w:lineRule="exact"/>
              <w:ind w:right="108"/>
              <w:jc w:val="right"/>
              <w:rPr>
                <w:rFonts w:ascii="宋体" w:hAnsi="宋体" w:cs="宋体" w:eastAsia="宋体" w:hint="default"/>
                <w:sz w:val="18"/>
                <w:szCs w:val="18"/>
              </w:rPr>
            </w:pPr>
            <w:r>
              <w:rPr>
                <w:rFonts w:ascii="宋体"/>
                <w:spacing w:val="-1"/>
                <w:sz w:val="18"/>
              </w:rPr>
              <w:t>13,470,476.64</w:t>
            </w:r>
          </w:p>
        </w:tc>
      </w:tr>
      <w:tr>
        <w:trPr>
          <w:trHeight w:val="259"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220" w:lineRule="exact"/>
              <w:ind w:left="662" w:right="0"/>
              <w:jc w:val="left"/>
              <w:rPr>
                <w:rFonts w:ascii="宋体" w:hAnsi="宋体" w:cs="宋体" w:eastAsia="宋体" w:hint="default"/>
                <w:sz w:val="18"/>
                <w:szCs w:val="18"/>
              </w:rPr>
            </w:pPr>
            <w:r>
              <w:rPr>
                <w:rFonts w:ascii="宋体" w:hAnsi="宋体" w:cs="宋体" w:eastAsia="宋体" w:hint="default"/>
                <w:sz w:val="18"/>
                <w:szCs w:val="18"/>
              </w:rPr>
              <w:t>其他币种</w:t>
            </w:r>
          </w:p>
        </w:tc>
        <w:tc>
          <w:tcPr>
            <w:tcW w:w="2732" w:type="dxa"/>
            <w:tcBorders>
              <w:top w:val="nil" w:sz="6" w:space="0" w:color="auto"/>
              <w:left w:val="nil" w:sz="6" w:space="0" w:color="auto"/>
              <w:bottom w:val="nil" w:sz="6" w:space="0" w:color="auto"/>
              <w:right w:val="nil" w:sz="6" w:space="0" w:color="auto"/>
            </w:tcBorders>
          </w:tcPr>
          <w:p>
            <w:pPr>
              <w:pStyle w:val="TableParagraph"/>
              <w:spacing w:line="220" w:lineRule="exact"/>
              <w:ind w:left="336"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2" w:type="dxa"/>
            <w:tcBorders>
              <w:top w:val="nil" w:sz="6" w:space="0" w:color="auto"/>
              <w:left w:val="nil" w:sz="6" w:space="0" w:color="auto"/>
              <w:bottom w:val="nil" w:sz="6" w:space="0" w:color="auto"/>
              <w:right w:val="nil" w:sz="6" w:space="0" w:color="auto"/>
            </w:tcBorders>
          </w:tcPr>
          <w:p>
            <w:pPr>
              <w:pStyle w:val="TableParagraph"/>
              <w:spacing w:line="220" w:lineRule="exact"/>
              <w:ind w:right="266"/>
              <w:jc w:val="center"/>
              <w:rPr>
                <w:rFonts w:ascii="宋体" w:hAnsi="宋体" w:cs="宋体" w:eastAsia="宋体" w:hint="default"/>
                <w:sz w:val="18"/>
                <w:szCs w:val="18"/>
              </w:rPr>
            </w:pPr>
            <w:r>
              <w:rPr>
                <w:rFonts w:ascii="宋体" w:hAnsi="宋体" w:cs="宋体" w:eastAsia="宋体" w:hint="default"/>
                <w:sz w:val="18"/>
                <w:szCs w:val="18"/>
              </w:rPr>
              <w:t>—</w:t>
            </w:r>
          </w:p>
        </w:tc>
        <w:tc>
          <w:tcPr>
            <w:tcW w:w="2033" w:type="dxa"/>
            <w:tcBorders>
              <w:top w:val="nil" w:sz="6" w:space="0" w:color="auto"/>
              <w:left w:val="nil" w:sz="6" w:space="0" w:color="auto"/>
              <w:bottom w:val="nil" w:sz="6" w:space="0" w:color="auto"/>
              <w:right w:val="nil" w:sz="6" w:space="0" w:color="auto"/>
            </w:tcBorders>
          </w:tcPr>
          <w:p>
            <w:pPr>
              <w:pStyle w:val="TableParagraph"/>
              <w:spacing w:line="220" w:lineRule="exact"/>
              <w:ind w:right="108"/>
              <w:jc w:val="right"/>
              <w:rPr>
                <w:rFonts w:ascii="宋体" w:hAnsi="宋体" w:cs="宋体" w:eastAsia="宋体" w:hint="default"/>
                <w:sz w:val="18"/>
                <w:szCs w:val="18"/>
              </w:rPr>
            </w:pPr>
            <w:r>
              <w:rPr>
                <w:rFonts w:ascii="宋体"/>
                <w:spacing w:val="-1"/>
                <w:sz w:val="18"/>
              </w:rPr>
              <w:t>20,435,407.13</w:t>
            </w:r>
          </w:p>
        </w:tc>
      </w:tr>
      <w:tr>
        <w:trPr>
          <w:trHeight w:val="252"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220"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其他应付款</w:t>
            </w:r>
            <w:r>
              <w:rPr>
                <w:rFonts w:ascii="宋体" w:hAnsi="宋体" w:cs="宋体" w:eastAsia="宋体" w:hint="default"/>
                <w:sz w:val="18"/>
                <w:szCs w:val="18"/>
              </w:rPr>
            </w:r>
          </w:p>
        </w:tc>
        <w:tc>
          <w:tcPr>
            <w:tcW w:w="2732"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262"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732" w:type="dxa"/>
            <w:tcBorders>
              <w:top w:val="nil" w:sz="6" w:space="0" w:color="auto"/>
              <w:left w:val="nil" w:sz="6" w:space="0" w:color="auto"/>
              <w:bottom w:val="nil" w:sz="6" w:space="0" w:color="auto"/>
              <w:right w:val="nil" w:sz="6" w:space="0" w:color="auto"/>
            </w:tcBorders>
          </w:tcPr>
          <w:p>
            <w:pPr>
              <w:pStyle w:val="TableParagraph"/>
              <w:spacing w:line="212" w:lineRule="exact"/>
              <w:ind w:right="308"/>
              <w:jc w:val="right"/>
              <w:rPr>
                <w:rFonts w:ascii="宋体" w:hAnsi="宋体" w:cs="宋体" w:eastAsia="宋体" w:hint="default"/>
                <w:sz w:val="18"/>
                <w:szCs w:val="18"/>
              </w:rPr>
            </w:pPr>
            <w:r>
              <w:rPr>
                <w:rFonts w:ascii="宋体"/>
                <w:spacing w:val="-1"/>
                <w:sz w:val="18"/>
              </w:rPr>
              <w:t>2,796,596.66</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6.8632</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19,193,602.20</w:t>
            </w:r>
          </w:p>
        </w:tc>
      </w:tr>
      <w:tr>
        <w:trPr>
          <w:trHeight w:val="259"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227" w:lineRule="exact"/>
              <w:ind w:left="6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732" w:type="dxa"/>
            <w:tcBorders>
              <w:top w:val="nil" w:sz="6" w:space="0" w:color="auto"/>
              <w:left w:val="nil" w:sz="6" w:space="0" w:color="auto"/>
              <w:bottom w:val="nil" w:sz="6" w:space="0" w:color="auto"/>
              <w:right w:val="nil" w:sz="6" w:space="0" w:color="auto"/>
            </w:tcBorders>
          </w:tcPr>
          <w:p>
            <w:pPr>
              <w:pStyle w:val="TableParagraph"/>
              <w:spacing w:line="212" w:lineRule="exact"/>
              <w:ind w:right="309"/>
              <w:jc w:val="right"/>
              <w:rPr>
                <w:rFonts w:ascii="宋体" w:hAnsi="宋体" w:cs="宋体" w:eastAsia="宋体" w:hint="default"/>
                <w:sz w:val="18"/>
                <w:szCs w:val="18"/>
              </w:rPr>
            </w:pPr>
            <w:r>
              <w:rPr>
                <w:rFonts w:ascii="宋体"/>
                <w:spacing w:val="-1"/>
                <w:sz w:val="18"/>
              </w:rPr>
              <w:t>39,036,869.13</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0.8762</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34,204,104.73</w:t>
            </w:r>
          </w:p>
        </w:tc>
      </w:tr>
      <w:tr>
        <w:trPr>
          <w:trHeight w:val="259"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227" w:lineRule="exact"/>
              <w:ind w:left="6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732" w:type="dxa"/>
            <w:tcBorders>
              <w:top w:val="nil" w:sz="6" w:space="0" w:color="auto"/>
              <w:left w:val="nil" w:sz="6" w:space="0" w:color="auto"/>
              <w:bottom w:val="nil" w:sz="6" w:space="0" w:color="auto"/>
              <w:right w:val="nil" w:sz="6" w:space="0" w:color="auto"/>
            </w:tcBorders>
          </w:tcPr>
          <w:p>
            <w:pPr>
              <w:pStyle w:val="TableParagraph"/>
              <w:spacing w:line="212" w:lineRule="exact"/>
              <w:ind w:right="308"/>
              <w:jc w:val="right"/>
              <w:rPr>
                <w:rFonts w:ascii="宋体" w:hAnsi="宋体" w:cs="宋体" w:eastAsia="宋体" w:hint="default"/>
                <w:sz w:val="18"/>
                <w:szCs w:val="18"/>
              </w:rPr>
            </w:pPr>
            <w:r>
              <w:rPr>
                <w:rFonts w:ascii="宋体"/>
                <w:spacing w:val="-1"/>
                <w:sz w:val="18"/>
              </w:rPr>
              <w:t>582,233.00</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7.8473</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4,568,957.02</w:t>
            </w:r>
          </w:p>
        </w:tc>
      </w:tr>
      <w:tr>
        <w:trPr>
          <w:trHeight w:val="262"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229" w:lineRule="exact"/>
              <w:ind w:left="66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732" w:type="dxa"/>
            <w:tcBorders>
              <w:top w:val="nil" w:sz="6" w:space="0" w:color="auto"/>
              <w:left w:val="nil" w:sz="6" w:space="0" w:color="auto"/>
              <w:bottom w:val="nil" w:sz="6" w:space="0" w:color="auto"/>
              <w:right w:val="nil" w:sz="6" w:space="0" w:color="auto"/>
            </w:tcBorders>
          </w:tcPr>
          <w:p>
            <w:pPr>
              <w:pStyle w:val="TableParagraph"/>
              <w:spacing w:line="212" w:lineRule="exact"/>
              <w:ind w:right="308"/>
              <w:jc w:val="right"/>
              <w:rPr>
                <w:rFonts w:ascii="宋体" w:hAnsi="宋体" w:cs="宋体" w:eastAsia="宋体" w:hint="default"/>
                <w:sz w:val="18"/>
                <w:szCs w:val="18"/>
              </w:rPr>
            </w:pPr>
            <w:r>
              <w:rPr>
                <w:rFonts w:ascii="宋体"/>
                <w:spacing w:val="-1"/>
                <w:sz w:val="18"/>
              </w:rPr>
              <w:t>318,192.32</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5.0381</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1,603,084.73</w:t>
            </w:r>
          </w:p>
        </w:tc>
      </w:tr>
      <w:tr>
        <w:trPr>
          <w:trHeight w:val="266"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227" w:lineRule="exact"/>
              <w:ind w:left="6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732" w:type="dxa"/>
            <w:tcBorders>
              <w:top w:val="nil" w:sz="6" w:space="0" w:color="auto"/>
              <w:left w:val="nil" w:sz="6" w:space="0" w:color="auto"/>
              <w:bottom w:val="nil" w:sz="6" w:space="0" w:color="auto"/>
              <w:right w:val="nil" w:sz="6" w:space="0" w:color="auto"/>
            </w:tcBorders>
          </w:tcPr>
          <w:p>
            <w:pPr>
              <w:pStyle w:val="TableParagraph"/>
              <w:spacing w:line="212" w:lineRule="exact"/>
              <w:ind w:right="308"/>
              <w:jc w:val="right"/>
              <w:rPr>
                <w:rFonts w:ascii="宋体" w:hAnsi="宋体" w:cs="宋体" w:eastAsia="宋体" w:hint="default"/>
                <w:sz w:val="18"/>
                <w:szCs w:val="18"/>
              </w:rPr>
            </w:pPr>
            <w:r>
              <w:rPr>
                <w:rFonts w:ascii="宋体"/>
                <w:spacing w:val="-1"/>
                <w:sz w:val="18"/>
              </w:rPr>
              <w:t>574,424.43</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8.6762</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4,983,821.24</w:t>
            </w:r>
          </w:p>
        </w:tc>
      </w:tr>
      <w:tr>
        <w:trPr>
          <w:trHeight w:val="260"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220" w:lineRule="exact"/>
              <w:ind w:left="662" w:right="0"/>
              <w:jc w:val="left"/>
              <w:rPr>
                <w:rFonts w:ascii="宋体" w:hAnsi="宋体" w:cs="宋体" w:eastAsia="宋体" w:hint="default"/>
                <w:sz w:val="18"/>
                <w:szCs w:val="18"/>
              </w:rPr>
            </w:pPr>
            <w:r>
              <w:rPr>
                <w:rFonts w:ascii="宋体" w:hAnsi="宋体" w:cs="宋体" w:eastAsia="宋体" w:hint="default"/>
                <w:sz w:val="18"/>
                <w:szCs w:val="18"/>
              </w:rPr>
              <w:t>其他币种</w:t>
            </w:r>
          </w:p>
        </w:tc>
        <w:tc>
          <w:tcPr>
            <w:tcW w:w="2732" w:type="dxa"/>
            <w:tcBorders>
              <w:top w:val="nil" w:sz="6" w:space="0" w:color="auto"/>
              <w:left w:val="nil" w:sz="6" w:space="0" w:color="auto"/>
              <w:bottom w:val="nil" w:sz="6" w:space="0" w:color="auto"/>
              <w:right w:val="nil" w:sz="6" w:space="0" w:color="auto"/>
            </w:tcBorders>
          </w:tcPr>
          <w:p>
            <w:pPr>
              <w:pStyle w:val="TableParagraph"/>
              <w:spacing w:line="220" w:lineRule="exact"/>
              <w:ind w:left="336"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12" w:type="dxa"/>
            <w:tcBorders>
              <w:top w:val="nil" w:sz="6" w:space="0" w:color="auto"/>
              <w:left w:val="nil" w:sz="6" w:space="0" w:color="auto"/>
              <w:bottom w:val="nil" w:sz="6" w:space="0" w:color="auto"/>
              <w:right w:val="nil" w:sz="6" w:space="0" w:color="auto"/>
            </w:tcBorders>
          </w:tcPr>
          <w:p>
            <w:pPr>
              <w:pStyle w:val="TableParagraph"/>
              <w:spacing w:line="220" w:lineRule="exact"/>
              <w:ind w:right="266"/>
              <w:jc w:val="center"/>
              <w:rPr>
                <w:rFonts w:ascii="宋体" w:hAnsi="宋体" w:cs="宋体" w:eastAsia="宋体" w:hint="default"/>
                <w:sz w:val="18"/>
                <w:szCs w:val="18"/>
              </w:rPr>
            </w:pPr>
            <w:r>
              <w:rPr>
                <w:rFonts w:ascii="宋体" w:hAnsi="宋体" w:cs="宋体" w:eastAsia="宋体" w:hint="default"/>
                <w:sz w:val="18"/>
                <w:szCs w:val="18"/>
              </w:rPr>
              <w:t>—</w:t>
            </w:r>
          </w:p>
        </w:tc>
        <w:tc>
          <w:tcPr>
            <w:tcW w:w="2033" w:type="dxa"/>
            <w:tcBorders>
              <w:top w:val="nil" w:sz="6" w:space="0" w:color="auto"/>
              <w:left w:val="nil" w:sz="6" w:space="0" w:color="auto"/>
              <w:bottom w:val="nil" w:sz="6" w:space="0" w:color="auto"/>
              <w:right w:val="nil" w:sz="6" w:space="0" w:color="auto"/>
            </w:tcBorders>
          </w:tcPr>
          <w:p>
            <w:pPr>
              <w:pStyle w:val="TableParagraph"/>
              <w:spacing w:line="220" w:lineRule="exact"/>
              <w:ind w:right="108"/>
              <w:jc w:val="right"/>
              <w:rPr>
                <w:rFonts w:ascii="宋体" w:hAnsi="宋体" w:cs="宋体" w:eastAsia="宋体" w:hint="default"/>
                <w:sz w:val="18"/>
                <w:szCs w:val="18"/>
              </w:rPr>
            </w:pPr>
            <w:r>
              <w:rPr>
                <w:rFonts w:ascii="宋体"/>
                <w:spacing w:val="-1"/>
                <w:sz w:val="18"/>
              </w:rPr>
              <w:t>33,607,697.35</w:t>
            </w:r>
          </w:p>
        </w:tc>
      </w:tr>
      <w:tr>
        <w:trPr>
          <w:trHeight w:val="253"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22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短期借款</w:t>
            </w:r>
            <w:r>
              <w:rPr>
                <w:rFonts w:ascii="宋体" w:hAnsi="宋体" w:cs="宋体" w:eastAsia="宋体" w:hint="default"/>
                <w:sz w:val="18"/>
                <w:szCs w:val="18"/>
              </w:rPr>
            </w:r>
          </w:p>
        </w:tc>
        <w:tc>
          <w:tcPr>
            <w:tcW w:w="2732"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259"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732" w:type="dxa"/>
            <w:tcBorders>
              <w:top w:val="nil" w:sz="6" w:space="0" w:color="auto"/>
              <w:left w:val="nil" w:sz="6" w:space="0" w:color="auto"/>
              <w:bottom w:val="nil" w:sz="6" w:space="0" w:color="auto"/>
              <w:right w:val="nil" w:sz="6" w:space="0" w:color="auto"/>
            </w:tcBorders>
          </w:tcPr>
          <w:p>
            <w:pPr>
              <w:pStyle w:val="TableParagraph"/>
              <w:spacing w:line="212" w:lineRule="exact"/>
              <w:ind w:right="309"/>
              <w:jc w:val="right"/>
              <w:rPr>
                <w:rFonts w:ascii="宋体" w:hAnsi="宋体" w:cs="宋体" w:eastAsia="宋体" w:hint="default"/>
                <w:sz w:val="18"/>
                <w:szCs w:val="18"/>
              </w:rPr>
            </w:pPr>
            <w:r>
              <w:rPr>
                <w:rFonts w:ascii="宋体"/>
                <w:spacing w:val="-1"/>
                <w:sz w:val="18"/>
              </w:rPr>
              <w:t>346,103,748.32</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6.8632</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2,375,379,245.47</w:t>
            </w:r>
          </w:p>
        </w:tc>
      </w:tr>
      <w:tr>
        <w:trPr>
          <w:trHeight w:val="268"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227" w:lineRule="exact"/>
              <w:ind w:left="6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732" w:type="dxa"/>
            <w:tcBorders>
              <w:top w:val="nil" w:sz="6" w:space="0" w:color="auto"/>
              <w:left w:val="nil" w:sz="6" w:space="0" w:color="auto"/>
              <w:bottom w:val="nil" w:sz="6" w:space="0" w:color="auto"/>
              <w:right w:val="nil" w:sz="6" w:space="0" w:color="auto"/>
            </w:tcBorders>
          </w:tcPr>
          <w:p>
            <w:pPr>
              <w:pStyle w:val="TableParagraph"/>
              <w:spacing w:line="212" w:lineRule="exact"/>
              <w:ind w:right="309"/>
              <w:jc w:val="right"/>
              <w:rPr>
                <w:rFonts w:ascii="宋体" w:hAnsi="宋体" w:cs="宋体" w:eastAsia="宋体" w:hint="default"/>
                <w:sz w:val="18"/>
                <w:szCs w:val="18"/>
              </w:rPr>
            </w:pPr>
            <w:r>
              <w:rPr>
                <w:rFonts w:ascii="宋体"/>
                <w:spacing w:val="-1"/>
                <w:sz w:val="18"/>
              </w:rPr>
              <w:t>14,000,000.00</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7.8473</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109,862,200.00</w:t>
            </w:r>
          </w:p>
        </w:tc>
      </w:tr>
      <w:tr>
        <w:trPr>
          <w:trHeight w:val="253"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22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长期借款</w:t>
            </w:r>
            <w:r>
              <w:rPr>
                <w:rFonts w:ascii="宋体" w:hAnsi="宋体" w:cs="宋体" w:eastAsia="宋体" w:hint="default"/>
                <w:sz w:val="18"/>
                <w:szCs w:val="18"/>
              </w:rPr>
            </w:r>
          </w:p>
        </w:tc>
        <w:tc>
          <w:tcPr>
            <w:tcW w:w="2732"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259"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732" w:type="dxa"/>
            <w:tcBorders>
              <w:top w:val="nil" w:sz="6" w:space="0" w:color="auto"/>
              <w:left w:val="nil" w:sz="6" w:space="0" w:color="auto"/>
              <w:bottom w:val="nil" w:sz="6" w:space="0" w:color="auto"/>
              <w:right w:val="nil" w:sz="6" w:space="0" w:color="auto"/>
            </w:tcBorders>
          </w:tcPr>
          <w:p>
            <w:pPr>
              <w:pStyle w:val="TableParagraph"/>
              <w:spacing w:line="212" w:lineRule="exact"/>
              <w:ind w:right="309"/>
              <w:jc w:val="right"/>
              <w:rPr>
                <w:rFonts w:ascii="宋体" w:hAnsi="宋体" w:cs="宋体" w:eastAsia="宋体" w:hint="default"/>
                <w:sz w:val="18"/>
                <w:szCs w:val="18"/>
              </w:rPr>
            </w:pPr>
            <w:r>
              <w:rPr>
                <w:rFonts w:ascii="宋体"/>
                <w:spacing w:val="-1"/>
                <w:sz w:val="18"/>
              </w:rPr>
              <w:t>180,911,792.42</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6.8632</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1,241,633,813.74</w:t>
            </w:r>
          </w:p>
        </w:tc>
      </w:tr>
      <w:tr>
        <w:trPr>
          <w:trHeight w:val="268"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227" w:lineRule="exact"/>
              <w:ind w:left="6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732" w:type="dxa"/>
            <w:tcBorders>
              <w:top w:val="nil" w:sz="6" w:space="0" w:color="auto"/>
              <w:left w:val="nil" w:sz="6" w:space="0" w:color="auto"/>
              <w:bottom w:val="nil" w:sz="6" w:space="0" w:color="auto"/>
              <w:right w:val="nil" w:sz="6" w:space="0" w:color="auto"/>
            </w:tcBorders>
          </w:tcPr>
          <w:p>
            <w:pPr>
              <w:pStyle w:val="TableParagraph"/>
              <w:spacing w:line="213" w:lineRule="exact"/>
              <w:ind w:right="309"/>
              <w:jc w:val="right"/>
              <w:rPr>
                <w:rFonts w:ascii="宋体" w:hAnsi="宋体" w:cs="宋体" w:eastAsia="宋体" w:hint="default"/>
                <w:sz w:val="18"/>
                <w:szCs w:val="18"/>
              </w:rPr>
            </w:pPr>
            <w:r>
              <w:rPr>
                <w:rFonts w:ascii="宋体"/>
                <w:spacing w:val="-1"/>
                <w:sz w:val="18"/>
              </w:rPr>
              <w:t>1,433,498,544.50</w:t>
            </w:r>
          </w:p>
        </w:tc>
        <w:tc>
          <w:tcPr>
            <w:tcW w:w="1612" w:type="dxa"/>
            <w:tcBorders>
              <w:top w:val="nil" w:sz="6" w:space="0" w:color="auto"/>
              <w:left w:val="nil" w:sz="6" w:space="0" w:color="auto"/>
              <w:bottom w:val="nil" w:sz="6" w:space="0" w:color="auto"/>
              <w:right w:val="nil" w:sz="6" w:space="0" w:color="auto"/>
            </w:tcBorders>
          </w:tcPr>
          <w:p>
            <w:pPr>
              <w:pStyle w:val="TableParagraph"/>
              <w:spacing w:line="213" w:lineRule="exact"/>
              <w:ind w:right="168"/>
              <w:jc w:val="right"/>
              <w:rPr>
                <w:rFonts w:ascii="宋体" w:hAnsi="宋体" w:cs="宋体" w:eastAsia="宋体" w:hint="default"/>
                <w:sz w:val="18"/>
                <w:szCs w:val="18"/>
              </w:rPr>
            </w:pPr>
            <w:r>
              <w:rPr>
                <w:rFonts w:ascii="宋体"/>
                <w:spacing w:val="-1"/>
                <w:sz w:val="18"/>
              </w:rPr>
              <w:t>0.8762</w:t>
            </w:r>
          </w:p>
        </w:tc>
        <w:tc>
          <w:tcPr>
            <w:tcW w:w="2033" w:type="dxa"/>
            <w:tcBorders>
              <w:top w:val="nil" w:sz="6" w:space="0" w:color="auto"/>
              <w:left w:val="nil" w:sz="6" w:space="0" w:color="auto"/>
              <w:bottom w:val="nil" w:sz="6" w:space="0" w:color="auto"/>
              <w:right w:val="nil" w:sz="6" w:space="0" w:color="auto"/>
            </w:tcBorders>
          </w:tcPr>
          <w:p>
            <w:pPr>
              <w:pStyle w:val="TableParagraph"/>
              <w:spacing w:line="213" w:lineRule="exact"/>
              <w:ind w:right="108"/>
              <w:jc w:val="right"/>
              <w:rPr>
                <w:rFonts w:ascii="宋体" w:hAnsi="宋体" w:cs="宋体" w:eastAsia="宋体" w:hint="default"/>
                <w:sz w:val="18"/>
                <w:szCs w:val="18"/>
              </w:rPr>
            </w:pPr>
            <w:r>
              <w:rPr>
                <w:rFonts w:ascii="宋体"/>
                <w:spacing w:val="-1"/>
                <w:sz w:val="18"/>
              </w:rPr>
              <w:t>1,256,031,424.69</w:t>
            </w:r>
          </w:p>
        </w:tc>
      </w:tr>
      <w:tr>
        <w:trPr>
          <w:trHeight w:val="253"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221"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应付债券</w:t>
            </w:r>
            <w:r>
              <w:rPr>
                <w:rFonts w:ascii="宋体" w:hAnsi="宋体" w:cs="宋体" w:eastAsia="宋体" w:hint="default"/>
                <w:sz w:val="18"/>
                <w:szCs w:val="18"/>
              </w:rPr>
            </w:r>
          </w:p>
        </w:tc>
        <w:tc>
          <w:tcPr>
            <w:tcW w:w="2732"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266"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732" w:type="dxa"/>
            <w:tcBorders>
              <w:top w:val="nil" w:sz="6" w:space="0" w:color="auto"/>
              <w:left w:val="nil" w:sz="6" w:space="0" w:color="auto"/>
              <w:bottom w:val="nil" w:sz="6" w:space="0" w:color="auto"/>
              <w:right w:val="nil" w:sz="6" w:space="0" w:color="auto"/>
            </w:tcBorders>
          </w:tcPr>
          <w:p>
            <w:pPr>
              <w:pStyle w:val="TableParagraph"/>
              <w:spacing w:line="227" w:lineRule="exact"/>
              <w:ind w:right="309"/>
              <w:jc w:val="right"/>
              <w:rPr>
                <w:rFonts w:ascii="宋体" w:hAnsi="宋体" w:cs="宋体" w:eastAsia="宋体" w:hint="default"/>
                <w:sz w:val="18"/>
                <w:szCs w:val="18"/>
              </w:rPr>
            </w:pPr>
            <w:r>
              <w:rPr>
                <w:rFonts w:ascii="宋体"/>
                <w:spacing w:val="-1"/>
                <w:sz w:val="18"/>
              </w:rPr>
              <w:t>296,085,000.00</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6.8632</w:t>
            </w:r>
          </w:p>
        </w:tc>
        <w:tc>
          <w:tcPr>
            <w:tcW w:w="2033" w:type="dxa"/>
            <w:tcBorders>
              <w:top w:val="nil" w:sz="6" w:space="0" w:color="auto"/>
              <w:left w:val="nil" w:sz="6" w:space="0" w:color="auto"/>
              <w:bottom w:val="nil" w:sz="6" w:space="0" w:color="auto"/>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spacing w:val="-1"/>
                <w:sz w:val="18"/>
              </w:rPr>
              <w:t>2,032,090,572.00</w:t>
            </w:r>
          </w:p>
        </w:tc>
      </w:tr>
      <w:tr>
        <w:trPr>
          <w:trHeight w:val="252"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220"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一年内到期的长期负债</w:t>
            </w:r>
            <w:r>
              <w:rPr>
                <w:rFonts w:ascii="宋体" w:hAnsi="宋体" w:cs="宋体" w:eastAsia="宋体" w:hint="default"/>
                <w:sz w:val="18"/>
                <w:szCs w:val="18"/>
              </w:rPr>
            </w:r>
          </w:p>
        </w:tc>
        <w:tc>
          <w:tcPr>
            <w:tcW w:w="2732"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262" w:hRule="exact"/>
        </w:trPr>
        <w:tc>
          <w:tcPr>
            <w:tcW w:w="2363" w:type="dxa"/>
            <w:tcBorders>
              <w:top w:val="nil" w:sz="6" w:space="0" w:color="auto"/>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732" w:type="dxa"/>
            <w:tcBorders>
              <w:top w:val="nil" w:sz="6" w:space="0" w:color="auto"/>
              <w:left w:val="nil" w:sz="6" w:space="0" w:color="auto"/>
              <w:bottom w:val="nil" w:sz="6" w:space="0" w:color="auto"/>
              <w:right w:val="nil" w:sz="6" w:space="0" w:color="auto"/>
            </w:tcBorders>
          </w:tcPr>
          <w:p>
            <w:pPr>
              <w:pStyle w:val="TableParagraph"/>
              <w:spacing w:line="212" w:lineRule="exact"/>
              <w:ind w:right="309"/>
              <w:jc w:val="right"/>
              <w:rPr>
                <w:rFonts w:ascii="宋体" w:hAnsi="宋体" w:cs="宋体" w:eastAsia="宋体" w:hint="default"/>
                <w:sz w:val="18"/>
                <w:szCs w:val="18"/>
              </w:rPr>
            </w:pPr>
            <w:r>
              <w:rPr>
                <w:rFonts w:ascii="宋体"/>
                <w:spacing w:val="-1"/>
                <w:sz w:val="18"/>
              </w:rPr>
              <w:t>10,162,716.13</w:t>
            </w:r>
          </w:p>
        </w:tc>
        <w:tc>
          <w:tcPr>
            <w:tcW w:w="1612" w:type="dxa"/>
            <w:tcBorders>
              <w:top w:val="nil" w:sz="6" w:space="0" w:color="auto"/>
              <w:left w:val="nil" w:sz="6" w:space="0" w:color="auto"/>
              <w:bottom w:val="nil" w:sz="6" w:space="0" w:color="auto"/>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6.8632</w:t>
            </w:r>
          </w:p>
        </w:tc>
        <w:tc>
          <w:tcPr>
            <w:tcW w:w="2033" w:type="dxa"/>
            <w:tcBorders>
              <w:top w:val="nil" w:sz="6" w:space="0" w:color="auto"/>
              <w:left w:val="nil" w:sz="6" w:space="0" w:color="auto"/>
              <w:bottom w:val="nil" w:sz="6" w:space="0" w:color="auto"/>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69,748,753.34</w:t>
            </w:r>
          </w:p>
        </w:tc>
      </w:tr>
      <w:tr>
        <w:trPr>
          <w:trHeight w:val="269" w:hRule="exact"/>
        </w:trPr>
        <w:tc>
          <w:tcPr>
            <w:tcW w:w="2363" w:type="dxa"/>
            <w:tcBorders>
              <w:top w:val="nil" w:sz="6" w:space="0" w:color="auto"/>
              <w:left w:val="nil" w:sz="6" w:space="0" w:color="auto"/>
              <w:bottom w:val="single" w:sz="12" w:space="0" w:color="000000"/>
              <w:right w:val="nil" w:sz="6" w:space="0" w:color="auto"/>
            </w:tcBorders>
          </w:tcPr>
          <w:p>
            <w:pPr>
              <w:pStyle w:val="TableParagraph"/>
              <w:spacing w:line="227" w:lineRule="exact"/>
              <w:ind w:left="6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732" w:type="dxa"/>
            <w:tcBorders>
              <w:top w:val="nil" w:sz="6" w:space="0" w:color="auto"/>
              <w:left w:val="nil" w:sz="6" w:space="0" w:color="auto"/>
              <w:bottom w:val="single" w:sz="12" w:space="0" w:color="000000"/>
              <w:right w:val="nil" w:sz="6" w:space="0" w:color="auto"/>
            </w:tcBorders>
          </w:tcPr>
          <w:p>
            <w:pPr>
              <w:pStyle w:val="TableParagraph"/>
              <w:spacing w:line="212" w:lineRule="exact"/>
              <w:ind w:right="309"/>
              <w:jc w:val="right"/>
              <w:rPr>
                <w:rFonts w:ascii="宋体" w:hAnsi="宋体" w:cs="宋体" w:eastAsia="宋体" w:hint="default"/>
                <w:sz w:val="18"/>
                <w:szCs w:val="18"/>
              </w:rPr>
            </w:pPr>
            <w:r>
              <w:rPr>
                <w:rFonts w:ascii="宋体"/>
                <w:spacing w:val="-1"/>
                <w:sz w:val="18"/>
              </w:rPr>
              <w:t>625,735,114.04</w:t>
            </w:r>
          </w:p>
        </w:tc>
        <w:tc>
          <w:tcPr>
            <w:tcW w:w="1612" w:type="dxa"/>
            <w:tcBorders>
              <w:top w:val="nil" w:sz="6" w:space="0" w:color="auto"/>
              <w:left w:val="nil" w:sz="6" w:space="0" w:color="auto"/>
              <w:bottom w:val="single" w:sz="12" w:space="0" w:color="000000"/>
              <w:right w:val="nil" w:sz="6" w:space="0" w:color="auto"/>
            </w:tcBorders>
          </w:tcPr>
          <w:p>
            <w:pPr>
              <w:pStyle w:val="TableParagraph"/>
              <w:spacing w:line="212" w:lineRule="exact"/>
              <w:ind w:right="168"/>
              <w:jc w:val="right"/>
              <w:rPr>
                <w:rFonts w:ascii="宋体" w:hAnsi="宋体" w:cs="宋体" w:eastAsia="宋体" w:hint="default"/>
                <w:sz w:val="18"/>
                <w:szCs w:val="18"/>
              </w:rPr>
            </w:pPr>
            <w:r>
              <w:rPr>
                <w:rFonts w:ascii="宋体"/>
                <w:spacing w:val="-1"/>
                <w:sz w:val="18"/>
              </w:rPr>
              <w:t>0.8762</w:t>
            </w:r>
          </w:p>
        </w:tc>
        <w:tc>
          <w:tcPr>
            <w:tcW w:w="2033" w:type="dxa"/>
            <w:tcBorders>
              <w:top w:val="nil" w:sz="6" w:space="0" w:color="auto"/>
              <w:left w:val="nil" w:sz="6" w:space="0" w:color="auto"/>
              <w:bottom w:val="single" w:sz="12" w:space="0" w:color="000000"/>
              <w:right w:val="nil" w:sz="6" w:space="0" w:color="auto"/>
            </w:tcBorders>
          </w:tcPr>
          <w:p>
            <w:pPr>
              <w:pStyle w:val="TableParagraph"/>
              <w:spacing w:line="212" w:lineRule="exact"/>
              <w:ind w:right="108"/>
              <w:jc w:val="right"/>
              <w:rPr>
                <w:rFonts w:ascii="宋体" w:hAnsi="宋体" w:cs="宋体" w:eastAsia="宋体" w:hint="default"/>
                <w:sz w:val="18"/>
                <w:szCs w:val="18"/>
              </w:rPr>
            </w:pPr>
            <w:r>
              <w:rPr>
                <w:rFonts w:ascii="宋体"/>
                <w:spacing w:val="-1"/>
                <w:sz w:val="18"/>
              </w:rPr>
              <w:t>548,269,106.92</w:t>
            </w:r>
          </w:p>
        </w:tc>
      </w:tr>
    </w:tbl>
    <w:p>
      <w:pPr>
        <w:spacing w:before="81"/>
        <w:ind w:left="695" w:right="4889"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1"/>
          <w:sz w:val="22"/>
          <w:szCs w:val="22"/>
        </w:rPr>
        <w:t> </w:t>
      </w:r>
      <w:r>
        <w:rPr>
          <w:rFonts w:ascii="宋体" w:hAnsi="宋体" w:cs="宋体" w:eastAsia="宋体" w:hint="default"/>
          <w:sz w:val="22"/>
          <w:szCs w:val="22"/>
        </w:rPr>
        <w:t>境外经营实体</w:t>
      </w:r>
    </w:p>
    <w:p>
      <w:pPr>
        <w:spacing w:line="295" w:lineRule="auto" w:before="129"/>
        <w:ind w:left="242" w:right="206" w:firstLine="499"/>
        <w:jc w:val="left"/>
        <w:rPr>
          <w:rFonts w:ascii="宋体" w:hAnsi="宋体" w:cs="宋体" w:eastAsia="宋体" w:hint="default"/>
          <w:sz w:val="22"/>
          <w:szCs w:val="22"/>
        </w:rPr>
      </w:pPr>
      <w:r>
        <w:rPr>
          <w:rFonts w:ascii="宋体" w:hAnsi="宋体" w:cs="宋体" w:eastAsia="宋体" w:hint="default"/>
          <w:sz w:val="22"/>
          <w:szCs w:val="22"/>
        </w:rPr>
        <w:t>本公司之子公司</w:t>
      </w:r>
      <w:r>
        <w:rPr>
          <w:rFonts w:ascii="宋体" w:hAnsi="宋体" w:cs="宋体" w:eastAsia="宋体" w:hint="default"/>
          <w:spacing w:val="-33"/>
          <w:sz w:val="22"/>
          <w:szCs w:val="22"/>
        </w:rPr>
        <w:t> </w:t>
      </w:r>
      <w:r>
        <w:rPr>
          <w:rFonts w:ascii="宋体" w:hAnsi="宋体" w:cs="宋体" w:eastAsia="宋体" w:hint="default"/>
          <w:sz w:val="22"/>
          <w:szCs w:val="22"/>
        </w:rPr>
        <w:t>TongFang Global</w:t>
      </w:r>
      <w:r>
        <w:rPr>
          <w:rFonts w:ascii="宋体" w:hAnsi="宋体" w:cs="宋体" w:eastAsia="宋体" w:hint="default"/>
          <w:spacing w:val="-3"/>
          <w:sz w:val="22"/>
          <w:szCs w:val="22"/>
        </w:rPr>
        <w:t> </w:t>
      </w:r>
      <w:r>
        <w:rPr>
          <w:rFonts w:ascii="宋体" w:hAnsi="宋体" w:cs="宋体" w:eastAsia="宋体" w:hint="default"/>
          <w:sz w:val="22"/>
          <w:szCs w:val="22"/>
        </w:rPr>
        <w:t>Limited</w:t>
      </w:r>
      <w:r>
        <w:rPr>
          <w:rFonts w:ascii="宋体" w:hAnsi="宋体" w:cs="宋体" w:eastAsia="宋体" w:hint="default"/>
          <w:spacing w:val="-33"/>
          <w:sz w:val="22"/>
          <w:szCs w:val="22"/>
        </w:rPr>
        <w:t> </w:t>
      </w:r>
      <w:r>
        <w:rPr>
          <w:rFonts w:ascii="宋体" w:hAnsi="宋体" w:cs="宋体" w:eastAsia="宋体" w:hint="default"/>
          <w:sz w:val="22"/>
          <w:szCs w:val="22"/>
        </w:rPr>
        <w:t>及</w:t>
      </w:r>
      <w:r>
        <w:rPr>
          <w:rFonts w:ascii="宋体" w:hAnsi="宋体" w:cs="宋体" w:eastAsia="宋体" w:hint="default"/>
          <w:spacing w:val="-34"/>
          <w:sz w:val="22"/>
          <w:szCs w:val="22"/>
        </w:rPr>
        <w:t> </w:t>
      </w:r>
      <w:r>
        <w:rPr>
          <w:rFonts w:ascii="宋体" w:hAnsi="宋体" w:cs="宋体" w:eastAsia="宋体" w:hint="default"/>
          <w:sz w:val="22"/>
          <w:szCs w:val="22"/>
        </w:rPr>
        <w:t>TongFang HongKong</w:t>
      </w:r>
      <w:r>
        <w:rPr>
          <w:rFonts w:ascii="宋体" w:hAnsi="宋体" w:cs="宋体" w:eastAsia="宋体" w:hint="default"/>
          <w:spacing w:val="-3"/>
          <w:sz w:val="22"/>
          <w:szCs w:val="22"/>
        </w:rPr>
        <w:t> </w:t>
      </w:r>
      <w:r>
        <w:rPr>
          <w:rFonts w:ascii="宋体" w:hAnsi="宋体" w:cs="宋体" w:eastAsia="宋体" w:hint="default"/>
          <w:sz w:val="22"/>
          <w:szCs w:val="22"/>
        </w:rPr>
        <w:t>Limited</w:t>
      </w:r>
      <w:r>
        <w:rPr>
          <w:rFonts w:ascii="宋体" w:hAnsi="宋体" w:cs="宋体" w:eastAsia="宋体" w:hint="default"/>
          <w:spacing w:val="-33"/>
          <w:sz w:val="22"/>
          <w:szCs w:val="22"/>
        </w:rPr>
        <w:t> </w:t>
      </w:r>
      <w:r>
        <w:rPr>
          <w:rFonts w:ascii="宋体" w:hAnsi="宋体" w:cs="宋体" w:eastAsia="宋体" w:hint="default"/>
          <w:sz w:val="22"/>
          <w:szCs w:val="22"/>
        </w:rPr>
        <w:t>为重要</w:t>
      </w:r>
      <w:r>
        <w:rPr>
          <w:rFonts w:ascii="宋体" w:hAnsi="宋体" w:cs="宋体" w:eastAsia="宋体" w:hint="default"/>
          <w:w w:val="100"/>
          <w:sz w:val="22"/>
          <w:szCs w:val="22"/>
        </w:rPr>
        <w:t> </w:t>
      </w:r>
      <w:r>
        <w:rPr>
          <w:rFonts w:ascii="宋体" w:hAnsi="宋体" w:cs="宋体" w:eastAsia="宋体" w:hint="default"/>
          <w:sz w:val="22"/>
          <w:szCs w:val="22"/>
        </w:rPr>
        <w:t>的境外经营实体，主要经营地分别在美国及香港，记账本位币均为美元。</w:t>
      </w:r>
    </w:p>
    <w:p>
      <w:pPr>
        <w:spacing w:before="143"/>
        <w:ind w:left="242" w:right="4889" w:firstLine="0"/>
        <w:jc w:val="left"/>
        <w:rPr>
          <w:rFonts w:ascii="宋体" w:hAnsi="宋体" w:cs="宋体" w:eastAsia="宋体" w:hint="default"/>
          <w:sz w:val="21"/>
          <w:szCs w:val="21"/>
        </w:rPr>
      </w:pPr>
      <w:r>
        <w:rPr>
          <w:rFonts w:ascii="宋体" w:hAnsi="宋体" w:cs="宋体" w:eastAsia="宋体" w:hint="default"/>
          <w:b/>
          <w:bCs/>
          <w:sz w:val="21"/>
          <w:szCs w:val="21"/>
        </w:rPr>
        <w:t>七、在其他主体中的权益</w:t>
      </w:r>
      <w:r>
        <w:rPr>
          <w:rFonts w:ascii="宋体" w:hAnsi="宋体" w:cs="宋体" w:eastAsia="宋体" w:hint="default"/>
          <w:sz w:val="21"/>
          <w:szCs w:val="21"/>
        </w:rPr>
      </w:r>
    </w:p>
    <w:p>
      <w:pPr>
        <w:spacing w:before="52"/>
        <w:ind w:left="695" w:right="4889"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6"/>
          <w:sz w:val="22"/>
          <w:szCs w:val="22"/>
        </w:rPr>
        <w:t> </w:t>
      </w:r>
      <w:r>
        <w:rPr>
          <w:rFonts w:ascii="宋体" w:hAnsi="宋体" w:cs="宋体" w:eastAsia="宋体" w:hint="default"/>
          <w:sz w:val="22"/>
          <w:szCs w:val="22"/>
        </w:rPr>
        <w:t>在子公司中的权益</w:t>
      </w:r>
    </w:p>
    <w:p>
      <w:pPr>
        <w:spacing w:before="113"/>
        <w:ind w:left="695" w:right="4889"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12"/>
          <w:sz w:val="22"/>
          <w:szCs w:val="22"/>
        </w:rPr>
        <w:t> </w:t>
      </w:r>
      <w:r>
        <w:rPr>
          <w:rFonts w:ascii="宋体" w:hAnsi="宋体" w:cs="宋体" w:eastAsia="宋体" w:hint="default"/>
          <w:sz w:val="22"/>
          <w:szCs w:val="22"/>
        </w:rPr>
        <w:t>企业集团的构成</w:t>
      </w:r>
    </w:p>
    <w:p>
      <w:pPr>
        <w:spacing w:line="240" w:lineRule="auto" w:before="9"/>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2176"/>
        <w:gridCol w:w="444"/>
        <w:gridCol w:w="971"/>
        <w:gridCol w:w="678"/>
        <w:gridCol w:w="824"/>
        <w:gridCol w:w="3632"/>
      </w:tblGrid>
      <w:tr>
        <w:trPr>
          <w:trHeight w:val="487" w:hRule="exact"/>
        </w:trPr>
        <w:tc>
          <w:tcPr>
            <w:tcW w:w="2176" w:type="dxa"/>
            <w:tcBorders>
              <w:top w:val="single" w:sz="12" w:space="0" w:color="000000"/>
              <w:left w:val="nil" w:sz="6" w:space="0" w:color="auto"/>
              <w:bottom w:val="single" w:sz="4" w:space="0" w:color="000000"/>
              <w:right w:val="nil" w:sz="6" w:space="0" w:color="auto"/>
            </w:tcBorders>
          </w:tcPr>
          <w:p>
            <w:pPr>
              <w:pStyle w:val="TableParagraph"/>
              <w:spacing w:line="240" w:lineRule="auto" w:before="113"/>
              <w:ind w:left="561" w:right="0"/>
              <w:jc w:val="left"/>
              <w:rPr>
                <w:rFonts w:ascii="宋体" w:hAnsi="宋体" w:cs="宋体" w:eastAsia="宋体" w:hint="default"/>
                <w:sz w:val="15"/>
                <w:szCs w:val="15"/>
              </w:rPr>
            </w:pPr>
            <w:r>
              <w:rPr>
                <w:rFonts w:ascii="宋体" w:hAnsi="宋体" w:cs="宋体" w:eastAsia="宋体" w:hint="default"/>
                <w:b/>
                <w:bCs/>
                <w:sz w:val="15"/>
                <w:szCs w:val="15"/>
              </w:rPr>
              <w:t>控股子公司名称</w:t>
            </w:r>
            <w:r>
              <w:rPr>
                <w:rFonts w:ascii="宋体" w:hAnsi="宋体" w:cs="宋体" w:eastAsia="宋体" w:hint="default"/>
                <w:sz w:val="15"/>
                <w:szCs w:val="15"/>
              </w:rPr>
            </w:r>
          </w:p>
        </w:tc>
        <w:tc>
          <w:tcPr>
            <w:tcW w:w="444" w:type="dxa"/>
            <w:tcBorders>
              <w:top w:val="single" w:sz="12" w:space="0" w:color="000000"/>
              <w:left w:val="nil" w:sz="6" w:space="0" w:color="auto"/>
              <w:bottom w:val="single" w:sz="4" w:space="0" w:color="000000"/>
              <w:right w:val="nil" w:sz="6" w:space="0" w:color="auto"/>
            </w:tcBorders>
          </w:tcPr>
          <w:p>
            <w:pPr>
              <w:pStyle w:val="TableParagraph"/>
              <w:spacing w:line="240" w:lineRule="auto" w:before="17"/>
              <w:ind w:left="116" w:right="174"/>
              <w:jc w:val="left"/>
              <w:rPr>
                <w:rFonts w:ascii="宋体" w:hAnsi="宋体" w:cs="宋体" w:eastAsia="宋体" w:hint="default"/>
                <w:sz w:val="15"/>
                <w:szCs w:val="15"/>
              </w:rPr>
            </w:pPr>
            <w:r>
              <w:rPr>
                <w:rFonts w:ascii="宋体" w:hAnsi="宋体" w:cs="宋体" w:eastAsia="宋体" w:hint="default"/>
                <w:b/>
                <w:bCs/>
                <w:sz w:val="15"/>
                <w:szCs w:val="15"/>
              </w:rPr>
              <w:t>级</w:t>
            </w:r>
            <w:r>
              <w:rPr>
                <w:rFonts w:ascii="宋体" w:hAnsi="宋体" w:cs="宋体" w:eastAsia="宋体" w:hint="default"/>
                <w:b/>
                <w:bCs/>
                <w:w w:val="100"/>
                <w:sz w:val="15"/>
                <w:szCs w:val="15"/>
              </w:rPr>
              <w:t> </w:t>
            </w:r>
            <w:r>
              <w:rPr>
                <w:rFonts w:ascii="宋体" w:hAnsi="宋体" w:cs="宋体" w:eastAsia="宋体" w:hint="default"/>
                <w:b/>
                <w:bCs/>
                <w:sz w:val="15"/>
                <w:szCs w:val="15"/>
              </w:rPr>
              <w:t>次</w:t>
            </w:r>
            <w:r>
              <w:rPr>
                <w:rFonts w:ascii="宋体" w:hAnsi="宋体" w:cs="宋体" w:eastAsia="宋体" w:hint="default"/>
                <w:sz w:val="15"/>
                <w:szCs w:val="15"/>
              </w:rPr>
            </w:r>
          </w:p>
        </w:tc>
        <w:tc>
          <w:tcPr>
            <w:tcW w:w="971" w:type="dxa"/>
            <w:tcBorders>
              <w:top w:val="single" w:sz="12" w:space="0" w:color="000000"/>
              <w:left w:val="nil" w:sz="6" w:space="0" w:color="auto"/>
              <w:bottom w:val="single" w:sz="4" w:space="0" w:color="000000"/>
              <w:right w:val="nil" w:sz="6" w:space="0" w:color="auto"/>
            </w:tcBorders>
          </w:tcPr>
          <w:p>
            <w:pPr>
              <w:pStyle w:val="TableParagraph"/>
              <w:spacing w:line="195" w:lineRule="exact" w:before="17"/>
              <w:ind w:left="125" w:right="0"/>
              <w:jc w:val="left"/>
              <w:rPr>
                <w:rFonts w:ascii="宋体" w:hAnsi="宋体" w:cs="宋体" w:eastAsia="宋体" w:hint="default"/>
                <w:sz w:val="15"/>
                <w:szCs w:val="15"/>
              </w:rPr>
            </w:pPr>
            <w:r>
              <w:rPr>
                <w:rFonts w:ascii="宋体" w:hAnsi="宋体" w:cs="宋体" w:eastAsia="宋体" w:hint="default"/>
                <w:b/>
                <w:bCs/>
                <w:sz w:val="15"/>
                <w:szCs w:val="15"/>
              </w:rPr>
              <w:t>注册资本</w:t>
            </w:r>
            <w:r>
              <w:rPr>
                <w:rFonts w:ascii="宋体" w:hAnsi="宋体" w:cs="宋体" w:eastAsia="宋体" w:hint="default"/>
                <w:sz w:val="15"/>
                <w:szCs w:val="15"/>
              </w:rPr>
            </w:r>
          </w:p>
          <w:p>
            <w:pPr>
              <w:pStyle w:val="TableParagraph"/>
              <w:spacing w:line="195" w:lineRule="exact"/>
              <w:ind w:left="125" w:right="0"/>
              <w:jc w:val="left"/>
              <w:rPr>
                <w:rFonts w:ascii="宋体" w:hAnsi="宋体" w:cs="宋体" w:eastAsia="宋体" w:hint="default"/>
                <w:sz w:val="15"/>
                <w:szCs w:val="15"/>
              </w:rPr>
            </w:pPr>
            <w:r>
              <w:rPr>
                <w:rFonts w:ascii="宋体" w:hAnsi="宋体" w:cs="宋体" w:eastAsia="宋体" w:hint="default"/>
                <w:b/>
                <w:bCs/>
                <w:sz w:val="15"/>
                <w:szCs w:val="15"/>
              </w:rPr>
              <w:t>（万元）</w:t>
            </w:r>
            <w:r>
              <w:rPr>
                <w:rFonts w:ascii="宋体" w:hAnsi="宋体" w:cs="宋体" w:eastAsia="宋体" w:hint="default"/>
                <w:sz w:val="15"/>
                <w:szCs w:val="15"/>
              </w:rPr>
            </w:r>
          </w:p>
        </w:tc>
        <w:tc>
          <w:tcPr>
            <w:tcW w:w="678" w:type="dxa"/>
            <w:tcBorders>
              <w:top w:val="single" w:sz="12" w:space="0" w:color="000000"/>
              <w:left w:val="nil" w:sz="6" w:space="0" w:color="auto"/>
              <w:bottom w:val="single" w:sz="4" w:space="0" w:color="000000"/>
              <w:right w:val="nil" w:sz="6" w:space="0" w:color="auto"/>
            </w:tcBorders>
          </w:tcPr>
          <w:p>
            <w:pPr>
              <w:pStyle w:val="TableParagraph"/>
              <w:spacing w:line="240" w:lineRule="auto" w:before="17"/>
              <w:ind w:left="210" w:right="160" w:hanging="149"/>
              <w:jc w:val="left"/>
              <w:rPr>
                <w:rFonts w:ascii="宋体" w:hAnsi="宋体" w:cs="宋体" w:eastAsia="宋体" w:hint="default"/>
                <w:sz w:val="15"/>
                <w:szCs w:val="15"/>
              </w:rPr>
            </w:pPr>
            <w:r>
              <w:rPr>
                <w:rFonts w:ascii="宋体" w:hAnsi="宋体" w:cs="宋体" w:eastAsia="宋体" w:hint="default"/>
                <w:b/>
                <w:bCs/>
                <w:sz w:val="15"/>
                <w:szCs w:val="15"/>
              </w:rPr>
              <w:t>持股比</w:t>
            </w:r>
            <w:r>
              <w:rPr>
                <w:rFonts w:ascii="宋体" w:hAnsi="宋体" w:cs="宋体" w:eastAsia="宋体" w:hint="default"/>
                <w:b/>
                <w:bCs/>
                <w:w w:val="100"/>
                <w:sz w:val="15"/>
                <w:szCs w:val="15"/>
              </w:rPr>
              <w:t> </w:t>
            </w:r>
            <w:r>
              <w:rPr>
                <w:rFonts w:ascii="宋体" w:hAnsi="宋体" w:cs="宋体" w:eastAsia="宋体" w:hint="default"/>
                <w:b/>
                <w:bCs/>
                <w:sz w:val="15"/>
                <w:szCs w:val="15"/>
              </w:rPr>
              <w:t>例</w:t>
            </w:r>
            <w:r>
              <w:rPr>
                <w:rFonts w:ascii="宋体" w:hAnsi="宋体" w:cs="宋体" w:eastAsia="宋体" w:hint="default"/>
                <w:sz w:val="15"/>
                <w:szCs w:val="15"/>
              </w:rPr>
            </w:r>
          </w:p>
        </w:tc>
        <w:tc>
          <w:tcPr>
            <w:tcW w:w="824" w:type="dxa"/>
            <w:tcBorders>
              <w:top w:val="single" w:sz="12" w:space="0" w:color="000000"/>
              <w:left w:val="nil" w:sz="6" w:space="0" w:color="auto"/>
              <w:bottom w:val="single" w:sz="4" w:space="0" w:color="000000"/>
              <w:right w:val="nil" w:sz="6" w:space="0" w:color="auto"/>
            </w:tcBorders>
          </w:tcPr>
          <w:p>
            <w:pPr>
              <w:pStyle w:val="TableParagraph"/>
              <w:spacing w:line="240" w:lineRule="auto" w:before="113"/>
              <w:ind w:left="87" w:right="0"/>
              <w:jc w:val="left"/>
              <w:rPr>
                <w:rFonts w:ascii="宋体" w:hAnsi="宋体" w:cs="宋体" w:eastAsia="宋体" w:hint="default"/>
                <w:sz w:val="15"/>
                <w:szCs w:val="15"/>
              </w:rPr>
            </w:pPr>
            <w:r>
              <w:rPr>
                <w:rFonts w:ascii="宋体" w:hAnsi="宋体" w:cs="宋体" w:eastAsia="宋体" w:hint="default"/>
                <w:b/>
                <w:bCs/>
                <w:sz w:val="15"/>
                <w:szCs w:val="15"/>
              </w:rPr>
              <w:t>注册地址</w:t>
            </w:r>
            <w:r>
              <w:rPr>
                <w:rFonts w:ascii="宋体" w:hAnsi="宋体" w:cs="宋体" w:eastAsia="宋体" w:hint="default"/>
                <w:sz w:val="15"/>
                <w:szCs w:val="15"/>
              </w:rPr>
            </w:r>
          </w:p>
        </w:tc>
        <w:tc>
          <w:tcPr>
            <w:tcW w:w="3632" w:type="dxa"/>
            <w:tcBorders>
              <w:top w:val="single" w:sz="12" w:space="0" w:color="000000"/>
              <w:left w:val="nil" w:sz="6" w:space="0" w:color="auto"/>
              <w:bottom w:val="single" w:sz="4" w:space="0" w:color="000000"/>
              <w:right w:val="nil" w:sz="6" w:space="0" w:color="auto"/>
            </w:tcBorders>
          </w:tcPr>
          <w:p>
            <w:pPr>
              <w:pStyle w:val="TableParagraph"/>
              <w:spacing w:line="240" w:lineRule="auto" w:before="113"/>
              <w:ind w:left="2" w:right="0"/>
              <w:jc w:val="center"/>
              <w:rPr>
                <w:rFonts w:ascii="宋体" w:hAnsi="宋体" w:cs="宋体" w:eastAsia="宋体" w:hint="default"/>
                <w:sz w:val="15"/>
                <w:szCs w:val="15"/>
              </w:rPr>
            </w:pPr>
            <w:r>
              <w:rPr>
                <w:rFonts w:ascii="宋体" w:hAnsi="宋体" w:cs="宋体" w:eastAsia="宋体" w:hint="default"/>
                <w:b/>
                <w:bCs/>
                <w:sz w:val="15"/>
                <w:szCs w:val="15"/>
              </w:rPr>
              <w:t>主营业务</w:t>
            </w:r>
            <w:r>
              <w:rPr>
                <w:rFonts w:ascii="宋体" w:hAnsi="宋体" w:cs="宋体" w:eastAsia="宋体" w:hint="default"/>
                <w:sz w:val="15"/>
                <w:szCs w:val="15"/>
              </w:rPr>
            </w:r>
          </w:p>
        </w:tc>
      </w:tr>
      <w:tr>
        <w:trPr>
          <w:trHeight w:val="243" w:hRule="exact"/>
        </w:trPr>
        <w:tc>
          <w:tcPr>
            <w:tcW w:w="2176" w:type="dxa"/>
            <w:tcBorders>
              <w:top w:val="single" w:sz="4" w:space="0" w:color="000000"/>
              <w:left w:val="nil" w:sz="6" w:space="0" w:color="auto"/>
              <w:bottom w:val="nil" w:sz="6" w:space="0" w:color="auto"/>
              <w:right w:val="nil" w:sz="6" w:space="0" w:color="auto"/>
            </w:tcBorders>
          </w:tcPr>
          <w:p>
            <w:pPr>
              <w:pStyle w:val="TableParagraph"/>
              <w:spacing w:line="194" w:lineRule="exact"/>
              <w:ind w:left="19" w:right="0"/>
              <w:jc w:val="left"/>
              <w:rPr>
                <w:rFonts w:ascii="宋体" w:hAnsi="宋体" w:cs="宋体" w:eastAsia="宋体" w:hint="default"/>
                <w:sz w:val="15"/>
                <w:szCs w:val="15"/>
              </w:rPr>
            </w:pPr>
            <w:r>
              <w:rPr>
                <w:rFonts w:ascii="宋体" w:hAnsi="宋体" w:cs="宋体" w:eastAsia="宋体" w:hint="default"/>
                <w:sz w:val="15"/>
                <w:szCs w:val="15"/>
              </w:rPr>
              <w:t>同方工业有限公司</w:t>
            </w:r>
          </w:p>
        </w:tc>
        <w:tc>
          <w:tcPr>
            <w:tcW w:w="444" w:type="dxa"/>
            <w:tcBorders>
              <w:top w:val="single" w:sz="4" w:space="0" w:color="000000"/>
              <w:left w:val="nil" w:sz="6" w:space="0" w:color="auto"/>
              <w:bottom w:val="nil" w:sz="6" w:space="0" w:color="auto"/>
              <w:right w:val="nil" w:sz="6" w:space="0" w:color="auto"/>
            </w:tcBorders>
          </w:tcPr>
          <w:p>
            <w:pPr>
              <w:pStyle w:val="TableParagraph"/>
              <w:spacing w:line="194" w:lineRule="exact"/>
              <w:ind w:left="54"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71" w:type="dxa"/>
            <w:tcBorders>
              <w:top w:val="single" w:sz="4" w:space="0" w:color="000000"/>
              <w:left w:val="nil" w:sz="6" w:space="0" w:color="auto"/>
              <w:bottom w:val="nil" w:sz="6" w:space="0" w:color="auto"/>
              <w:right w:val="nil" w:sz="6" w:space="0" w:color="auto"/>
            </w:tcBorders>
          </w:tcPr>
          <w:p>
            <w:pPr>
              <w:pStyle w:val="TableParagraph"/>
              <w:spacing w:line="194" w:lineRule="exact"/>
              <w:ind w:right="60"/>
              <w:jc w:val="right"/>
              <w:rPr>
                <w:rFonts w:ascii="宋体" w:hAnsi="宋体" w:cs="宋体" w:eastAsia="宋体" w:hint="default"/>
                <w:sz w:val="15"/>
                <w:szCs w:val="15"/>
              </w:rPr>
            </w:pPr>
            <w:r>
              <w:rPr>
                <w:rFonts w:ascii="宋体" w:hAnsi="宋体"/>
                <w:spacing w:val="-1"/>
                <w:sz w:val="15"/>
              </w:rPr>
              <w:t>¥60,000.00</w:t>
            </w:r>
          </w:p>
        </w:tc>
        <w:tc>
          <w:tcPr>
            <w:tcW w:w="678" w:type="dxa"/>
            <w:tcBorders>
              <w:top w:val="single" w:sz="4" w:space="0" w:color="000000"/>
              <w:left w:val="nil" w:sz="6" w:space="0" w:color="auto"/>
              <w:bottom w:val="nil" w:sz="6" w:space="0" w:color="auto"/>
              <w:right w:val="nil" w:sz="6" w:space="0" w:color="auto"/>
            </w:tcBorders>
          </w:tcPr>
          <w:p>
            <w:pPr>
              <w:pStyle w:val="TableParagraph"/>
              <w:spacing w:line="194" w:lineRule="exact"/>
              <w:ind w:right="20"/>
              <w:jc w:val="center"/>
              <w:rPr>
                <w:rFonts w:ascii="宋体" w:hAnsi="宋体" w:cs="宋体" w:eastAsia="宋体" w:hint="default"/>
                <w:sz w:val="15"/>
                <w:szCs w:val="15"/>
              </w:rPr>
            </w:pPr>
            <w:r>
              <w:rPr>
                <w:rFonts w:ascii="宋体"/>
                <w:sz w:val="15"/>
              </w:rPr>
              <w:t>100.00%</w:t>
            </w:r>
          </w:p>
        </w:tc>
        <w:tc>
          <w:tcPr>
            <w:tcW w:w="824" w:type="dxa"/>
            <w:tcBorders>
              <w:top w:val="single" w:sz="4" w:space="0" w:color="000000"/>
              <w:left w:val="nil" w:sz="6" w:space="0" w:color="auto"/>
              <w:bottom w:val="nil" w:sz="6" w:space="0" w:color="auto"/>
              <w:right w:val="nil" w:sz="6" w:space="0" w:color="auto"/>
            </w:tcBorders>
          </w:tcPr>
          <w:p>
            <w:pPr>
              <w:pStyle w:val="TableParagraph"/>
              <w:spacing w:line="194" w:lineRule="exact"/>
              <w:ind w:left="108" w:right="0"/>
              <w:jc w:val="left"/>
              <w:rPr>
                <w:rFonts w:ascii="宋体" w:hAnsi="宋体" w:cs="宋体" w:eastAsia="宋体" w:hint="default"/>
                <w:sz w:val="15"/>
                <w:szCs w:val="15"/>
              </w:rPr>
            </w:pPr>
            <w:r>
              <w:rPr>
                <w:rFonts w:ascii="宋体" w:hAnsi="宋体" w:cs="宋体" w:eastAsia="宋体" w:hint="default"/>
                <w:sz w:val="15"/>
                <w:szCs w:val="15"/>
              </w:rPr>
              <w:t>北京海淀</w:t>
            </w:r>
          </w:p>
        </w:tc>
        <w:tc>
          <w:tcPr>
            <w:tcW w:w="3632" w:type="dxa"/>
            <w:tcBorders>
              <w:top w:val="single" w:sz="4" w:space="0" w:color="000000"/>
              <w:left w:val="nil" w:sz="6" w:space="0" w:color="auto"/>
              <w:bottom w:val="nil" w:sz="6" w:space="0" w:color="auto"/>
              <w:right w:val="nil" w:sz="6" w:space="0" w:color="auto"/>
            </w:tcBorders>
          </w:tcPr>
          <w:p>
            <w:pPr>
              <w:pStyle w:val="TableParagraph"/>
              <w:spacing w:line="194" w:lineRule="exact"/>
              <w:ind w:left="113" w:right="0"/>
              <w:jc w:val="left"/>
              <w:rPr>
                <w:rFonts w:ascii="宋体" w:hAnsi="宋体" w:cs="宋体" w:eastAsia="宋体" w:hint="default"/>
                <w:sz w:val="15"/>
                <w:szCs w:val="15"/>
              </w:rPr>
            </w:pPr>
            <w:r>
              <w:rPr>
                <w:rFonts w:ascii="宋体" w:hAnsi="宋体" w:cs="宋体" w:eastAsia="宋体" w:hint="default"/>
                <w:sz w:val="15"/>
                <w:szCs w:val="15"/>
              </w:rPr>
              <w:t>军</w:t>
            </w:r>
            <w:r>
              <w:rPr>
                <w:rFonts w:ascii="宋体" w:hAnsi="宋体" w:cs="宋体" w:eastAsia="宋体" w:hint="default"/>
                <w:sz w:val="15"/>
                <w:szCs w:val="15"/>
              </w:rPr>
              <w:t>/</w:t>
            </w:r>
            <w:r>
              <w:rPr>
                <w:rFonts w:ascii="宋体" w:hAnsi="宋体" w:cs="宋体" w:eastAsia="宋体" w:hint="default"/>
                <w:sz w:val="15"/>
                <w:szCs w:val="15"/>
              </w:rPr>
              <w:t>民用工业项目投资与管理，货物、技术进出口</w:t>
            </w:r>
          </w:p>
        </w:tc>
      </w:tr>
      <w:tr>
        <w:trPr>
          <w:trHeight w:val="240"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hAnsi="宋体" w:cs="宋体" w:eastAsia="宋体" w:hint="default"/>
                <w:sz w:val="15"/>
                <w:szCs w:val="15"/>
              </w:rPr>
              <w:t>同方电子科技有限公司</w:t>
            </w:r>
          </w:p>
        </w:tc>
        <w:tc>
          <w:tcPr>
            <w:tcW w:w="444" w:type="dxa"/>
            <w:tcBorders>
              <w:top w:val="nil" w:sz="6" w:space="0" w:color="auto"/>
              <w:left w:val="nil" w:sz="6" w:space="0" w:color="auto"/>
              <w:bottom w:val="nil" w:sz="6" w:space="0" w:color="auto"/>
              <w:right w:val="nil" w:sz="6" w:space="0" w:color="auto"/>
            </w:tcBorders>
          </w:tcPr>
          <w:p>
            <w:pPr>
              <w:pStyle w:val="TableParagraph"/>
              <w:spacing w:line="195" w:lineRule="exact"/>
              <w:ind w:left="54"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71"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hAnsi="宋体"/>
                <w:spacing w:val="-1"/>
                <w:sz w:val="15"/>
              </w:rPr>
              <w:t>¥16,000.00</w:t>
            </w:r>
          </w:p>
        </w:tc>
        <w:tc>
          <w:tcPr>
            <w:tcW w:w="678" w:type="dxa"/>
            <w:tcBorders>
              <w:top w:val="nil" w:sz="6" w:space="0" w:color="auto"/>
              <w:left w:val="nil" w:sz="6" w:space="0" w:color="auto"/>
              <w:bottom w:val="nil" w:sz="6" w:space="0" w:color="auto"/>
              <w:right w:val="nil" w:sz="6" w:space="0" w:color="auto"/>
            </w:tcBorders>
          </w:tcPr>
          <w:p>
            <w:pPr>
              <w:pStyle w:val="TableParagraph"/>
              <w:spacing w:line="195" w:lineRule="exact"/>
              <w:ind w:right="20"/>
              <w:jc w:val="center"/>
              <w:rPr>
                <w:rFonts w:ascii="宋体" w:hAnsi="宋体" w:cs="宋体" w:eastAsia="宋体" w:hint="default"/>
                <w:sz w:val="15"/>
                <w:szCs w:val="15"/>
              </w:rPr>
            </w:pPr>
            <w:r>
              <w:rPr>
                <w:rFonts w:ascii="宋体"/>
                <w:sz w:val="15"/>
              </w:rPr>
              <w:t>100.00%</w:t>
            </w:r>
          </w:p>
        </w:tc>
        <w:tc>
          <w:tcPr>
            <w:tcW w:w="824" w:type="dxa"/>
            <w:tcBorders>
              <w:top w:val="nil" w:sz="6" w:space="0" w:color="auto"/>
              <w:left w:val="nil" w:sz="6" w:space="0" w:color="auto"/>
              <w:bottom w:val="nil" w:sz="6" w:space="0" w:color="auto"/>
              <w:right w:val="nil" w:sz="6" w:space="0" w:color="auto"/>
            </w:tcBorders>
          </w:tcPr>
          <w:p>
            <w:pPr>
              <w:pStyle w:val="TableParagraph"/>
              <w:spacing w:line="195" w:lineRule="exact"/>
              <w:ind w:left="108" w:right="0"/>
              <w:jc w:val="left"/>
              <w:rPr>
                <w:rFonts w:ascii="宋体" w:hAnsi="宋体" w:cs="宋体" w:eastAsia="宋体" w:hint="default"/>
                <w:sz w:val="15"/>
                <w:szCs w:val="15"/>
              </w:rPr>
            </w:pPr>
            <w:r>
              <w:rPr>
                <w:rFonts w:ascii="宋体" w:hAnsi="宋体" w:cs="宋体" w:eastAsia="宋体" w:hint="default"/>
                <w:sz w:val="15"/>
                <w:szCs w:val="15"/>
              </w:rPr>
              <w:t>江西九江</w:t>
            </w:r>
          </w:p>
        </w:tc>
        <w:tc>
          <w:tcPr>
            <w:tcW w:w="3632" w:type="dxa"/>
            <w:tcBorders>
              <w:top w:val="nil" w:sz="6" w:space="0" w:color="auto"/>
              <w:left w:val="nil" w:sz="6" w:space="0" w:color="auto"/>
              <w:bottom w:val="nil" w:sz="6" w:space="0" w:color="auto"/>
              <w:right w:val="nil" w:sz="6" w:space="0" w:color="auto"/>
            </w:tcBorders>
          </w:tcPr>
          <w:p>
            <w:pPr>
              <w:pStyle w:val="TableParagraph"/>
              <w:spacing w:line="195" w:lineRule="exact"/>
              <w:ind w:left="113" w:right="0"/>
              <w:jc w:val="left"/>
              <w:rPr>
                <w:rFonts w:ascii="宋体" w:hAnsi="宋体" w:cs="宋体" w:eastAsia="宋体" w:hint="default"/>
                <w:sz w:val="15"/>
                <w:szCs w:val="15"/>
              </w:rPr>
            </w:pPr>
            <w:r>
              <w:rPr>
                <w:rFonts w:ascii="宋体" w:hAnsi="宋体" w:cs="宋体" w:eastAsia="宋体" w:hint="default"/>
                <w:sz w:val="15"/>
                <w:szCs w:val="15"/>
              </w:rPr>
              <w:t>军</w:t>
            </w:r>
            <w:r>
              <w:rPr>
                <w:rFonts w:ascii="宋体" w:hAnsi="宋体" w:cs="宋体" w:eastAsia="宋体" w:hint="default"/>
                <w:sz w:val="15"/>
                <w:szCs w:val="15"/>
              </w:rPr>
              <w:t>/</w:t>
            </w:r>
            <w:r>
              <w:rPr>
                <w:rFonts w:ascii="宋体" w:hAnsi="宋体" w:cs="宋体" w:eastAsia="宋体" w:hint="default"/>
                <w:sz w:val="15"/>
                <w:szCs w:val="15"/>
              </w:rPr>
              <w:t>民用通信设备、电子产品</w:t>
            </w:r>
          </w:p>
        </w:tc>
      </w:tr>
      <w:tr>
        <w:trPr>
          <w:trHeight w:val="240"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hAnsi="宋体" w:cs="宋体" w:eastAsia="宋体" w:hint="default"/>
                <w:sz w:val="15"/>
                <w:szCs w:val="15"/>
              </w:rPr>
              <w:t>珠海同方爱德科技有限公司</w:t>
            </w:r>
          </w:p>
        </w:tc>
        <w:tc>
          <w:tcPr>
            <w:tcW w:w="444" w:type="dxa"/>
            <w:tcBorders>
              <w:top w:val="nil" w:sz="6" w:space="0" w:color="auto"/>
              <w:left w:val="nil" w:sz="6" w:space="0" w:color="auto"/>
              <w:bottom w:val="nil" w:sz="6" w:space="0" w:color="auto"/>
              <w:right w:val="nil" w:sz="6" w:space="0" w:color="auto"/>
            </w:tcBorders>
          </w:tcPr>
          <w:p>
            <w:pPr>
              <w:pStyle w:val="TableParagraph"/>
              <w:spacing w:line="195" w:lineRule="exact"/>
              <w:ind w:left="54"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71" w:type="dxa"/>
            <w:tcBorders>
              <w:top w:val="nil" w:sz="6" w:space="0" w:color="auto"/>
              <w:left w:val="nil" w:sz="6" w:space="0" w:color="auto"/>
              <w:bottom w:val="nil" w:sz="6" w:space="0" w:color="auto"/>
              <w:right w:val="nil" w:sz="6" w:space="0" w:color="auto"/>
            </w:tcBorders>
          </w:tcPr>
          <w:p>
            <w:pPr>
              <w:pStyle w:val="TableParagraph"/>
              <w:spacing w:line="195" w:lineRule="exact"/>
              <w:ind w:right="59"/>
              <w:jc w:val="right"/>
              <w:rPr>
                <w:rFonts w:ascii="宋体" w:hAnsi="宋体" w:cs="宋体" w:eastAsia="宋体" w:hint="default"/>
                <w:sz w:val="15"/>
                <w:szCs w:val="15"/>
              </w:rPr>
            </w:pPr>
            <w:r>
              <w:rPr>
                <w:rFonts w:ascii="宋体" w:hAnsi="宋体"/>
                <w:spacing w:val="-1"/>
                <w:sz w:val="15"/>
              </w:rPr>
              <w:t>¥500.00</w:t>
            </w:r>
          </w:p>
        </w:tc>
        <w:tc>
          <w:tcPr>
            <w:tcW w:w="678" w:type="dxa"/>
            <w:tcBorders>
              <w:top w:val="nil" w:sz="6" w:space="0" w:color="auto"/>
              <w:left w:val="nil" w:sz="6" w:space="0" w:color="auto"/>
              <w:bottom w:val="nil" w:sz="6" w:space="0" w:color="auto"/>
              <w:right w:val="nil" w:sz="6" w:space="0" w:color="auto"/>
            </w:tcBorders>
          </w:tcPr>
          <w:p>
            <w:pPr>
              <w:pStyle w:val="TableParagraph"/>
              <w:spacing w:line="195" w:lineRule="exact"/>
              <w:ind w:left="51" w:right="0"/>
              <w:jc w:val="center"/>
              <w:rPr>
                <w:rFonts w:ascii="宋体" w:hAnsi="宋体" w:cs="宋体" w:eastAsia="宋体" w:hint="default"/>
                <w:sz w:val="15"/>
                <w:szCs w:val="15"/>
              </w:rPr>
            </w:pPr>
            <w:r>
              <w:rPr>
                <w:rFonts w:ascii="宋体"/>
                <w:sz w:val="15"/>
              </w:rPr>
              <w:t>94.00%</w:t>
            </w:r>
          </w:p>
        </w:tc>
        <w:tc>
          <w:tcPr>
            <w:tcW w:w="824" w:type="dxa"/>
            <w:tcBorders>
              <w:top w:val="nil" w:sz="6" w:space="0" w:color="auto"/>
              <w:left w:val="nil" w:sz="6" w:space="0" w:color="auto"/>
              <w:bottom w:val="nil" w:sz="6" w:space="0" w:color="auto"/>
              <w:right w:val="nil" w:sz="6" w:space="0" w:color="auto"/>
            </w:tcBorders>
          </w:tcPr>
          <w:p>
            <w:pPr>
              <w:pStyle w:val="TableParagraph"/>
              <w:spacing w:line="195" w:lineRule="exact"/>
              <w:ind w:left="108" w:right="0"/>
              <w:jc w:val="left"/>
              <w:rPr>
                <w:rFonts w:ascii="宋体" w:hAnsi="宋体" w:cs="宋体" w:eastAsia="宋体" w:hint="default"/>
                <w:sz w:val="15"/>
                <w:szCs w:val="15"/>
              </w:rPr>
            </w:pPr>
            <w:r>
              <w:rPr>
                <w:rFonts w:ascii="宋体" w:hAnsi="宋体" w:cs="宋体" w:eastAsia="宋体" w:hint="default"/>
                <w:sz w:val="15"/>
                <w:szCs w:val="15"/>
              </w:rPr>
              <w:t>广东珠海</w:t>
            </w:r>
          </w:p>
        </w:tc>
        <w:tc>
          <w:tcPr>
            <w:tcW w:w="3632" w:type="dxa"/>
            <w:tcBorders>
              <w:top w:val="nil" w:sz="6" w:space="0" w:color="auto"/>
              <w:left w:val="nil" w:sz="6" w:space="0" w:color="auto"/>
              <w:bottom w:val="nil" w:sz="6" w:space="0" w:color="auto"/>
              <w:right w:val="nil" w:sz="6" w:space="0" w:color="auto"/>
            </w:tcBorders>
          </w:tcPr>
          <w:p>
            <w:pPr>
              <w:pStyle w:val="TableParagraph"/>
              <w:spacing w:line="195" w:lineRule="exact"/>
              <w:ind w:left="113" w:right="0"/>
              <w:jc w:val="left"/>
              <w:rPr>
                <w:rFonts w:ascii="宋体" w:hAnsi="宋体" w:cs="宋体" w:eastAsia="宋体" w:hint="default"/>
                <w:sz w:val="15"/>
                <w:szCs w:val="15"/>
              </w:rPr>
            </w:pPr>
            <w:r>
              <w:rPr>
                <w:rFonts w:ascii="宋体" w:hAnsi="宋体" w:cs="宋体" w:eastAsia="宋体" w:hint="default"/>
                <w:sz w:val="15"/>
                <w:szCs w:val="15"/>
              </w:rPr>
              <w:t>电子通信、无线网络开发等</w:t>
            </w:r>
          </w:p>
        </w:tc>
      </w:tr>
      <w:tr>
        <w:trPr>
          <w:trHeight w:val="240"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hAnsi="宋体" w:cs="宋体" w:eastAsia="宋体" w:hint="default"/>
                <w:sz w:val="15"/>
                <w:szCs w:val="15"/>
              </w:rPr>
              <w:t>九江同方信息技术有限公司</w:t>
            </w:r>
          </w:p>
        </w:tc>
        <w:tc>
          <w:tcPr>
            <w:tcW w:w="444" w:type="dxa"/>
            <w:tcBorders>
              <w:top w:val="nil" w:sz="6" w:space="0" w:color="auto"/>
              <w:left w:val="nil" w:sz="6" w:space="0" w:color="auto"/>
              <w:bottom w:val="nil" w:sz="6" w:space="0" w:color="auto"/>
              <w:right w:val="nil" w:sz="6" w:space="0" w:color="auto"/>
            </w:tcBorders>
          </w:tcPr>
          <w:p>
            <w:pPr>
              <w:pStyle w:val="TableParagraph"/>
              <w:spacing w:line="195" w:lineRule="exact"/>
              <w:ind w:left="54"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71" w:type="dxa"/>
            <w:tcBorders>
              <w:top w:val="nil" w:sz="6" w:space="0" w:color="auto"/>
              <w:left w:val="nil" w:sz="6" w:space="0" w:color="auto"/>
              <w:bottom w:val="nil" w:sz="6" w:space="0" w:color="auto"/>
              <w:right w:val="nil" w:sz="6" w:space="0" w:color="auto"/>
            </w:tcBorders>
          </w:tcPr>
          <w:p>
            <w:pPr>
              <w:pStyle w:val="TableParagraph"/>
              <w:spacing w:line="195" w:lineRule="exact"/>
              <w:ind w:right="61"/>
              <w:jc w:val="right"/>
              <w:rPr>
                <w:rFonts w:ascii="宋体" w:hAnsi="宋体" w:cs="宋体" w:eastAsia="宋体" w:hint="default"/>
                <w:sz w:val="15"/>
                <w:szCs w:val="15"/>
              </w:rPr>
            </w:pPr>
            <w:r>
              <w:rPr>
                <w:rFonts w:ascii="宋体" w:hAnsi="宋体"/>
                <w:spacing w:val="-2"/>
                <w:sz w:val="15"/>
              </w:rPr>
              <w:t>¥1,500.00</w:t>
            </w:r>
          </w:p>
        </w:tc>
        <w:tc>
          <w:tcPr>
            <w:tcW w:w="678" w:type="dxa"/>
            <w:tcBorders>
              <w:top w:val="nil" w:sz="6" w:space="0" w:color="auto"/>
              <w:left w:val="nil" w:sz="6" w:space="0" w:color="auto"/>
              <w:bottom w:val="nil" w:sz="6" w:space="0" w:color="auto"/>
              <w:right w:val="nil" w:sz="6" w:space="0" w:color="auto"/>
            </w:tcBorders>
          </w:tcPr>
          <w:p>
            <w:pPr>
              <w:pStyle w:val="TableParagraph"/>
              <w:spacing w:line="195" w:lineRule="exact"/>
              <w:ind w:right="20"/>
              <w:jc w:val="center"/>
              <w:rPr>
                <w:rFonts w:ascii="宋体" w:hAnsi="宋体" w:cs="宋体" w:eastAsia="宋体" w:hint="default"/>
                <w:sz w:val="15"/>
                <w:szCs w:val="15"/>
              </w:rPr>
            </w:pPr>
            <w:r>
              <w:rPr>
                <w:rFonts w:ascii="宋体"/>
                <w:sz w:val="15"/>
              </w:rPr>
              <w:t>100.00%</w:t>
            </w:r>
          </w:p>
        </w:tc>
        <w:tc>
          <w:tcPr>
            <w:tcW w:w="824" w:type="dxa"/>
            <w:tcBorders>
              <w:top w:val="nil" w:sz="6" w:space="0" w:color="auto"/>
              <w:left w:val="nil" w:sz="6" w:space="0" w:color="auto"/>
              <w:bottom w:val="nil" w:sz="6" w:space="0" w:color="auto"/>
              <w:right w:val="nil" w:sz="6" w:space="0" w:color="auto"/>
            </w:tcBorders>
          </w:tcPr>
          <w:p>
            <w:pPr>
              <w:pStyle w:val="TableParagraph"/>
              <w:spacing w:line="195" w:lineRule="exact"/>
              <w:ind w:left="108" w:right="0"/>
              <w:jc w:val="left"/>
              <w:rPr>
                <w:rFonts w:ascii="宋体" w:hAnsi="宋体" w:cs="宋体" w:eastAsia="宋体" w:hint="default"/>
                <w:sz w:val="15"/>
                <w:szCs w:val="15"/>
              </w:rPr>
            </w:pPr>
            <w:r>
              <w:rPr>
                <w:rFonts w:ascii="宋体" w:hAnsi="宋体" w:cs="宋体" w:eastAsia="宋体" w:hint="default"/>
                <w:sz w:val="15"/>
                <w:szCs w:val="15"/>
              </w:rPr>
              <w:t>江西九江</w:t>
            </w:r>
          </w:p>
        </w:tc>
        <w:tc>
          <w:tcPr>
            <w:tcW w:w="3632" w:type="dxa"/>
            <w:tcBorders>
              <w:top w:val="nil" w:sz="6" w:space="0" w:color="auto"/>
              <w:left w:val="nil" w:sz="6" w:space="0" w:color="auto"/>
              <w:bottom w:val="nil" w:sz="6" w:space="0" w:color="auto"/>
              <w:right w:val="nil" w:sz="6" w:space="0" w:color="auto"/>
            </w:tcBorders>
          </w:tcPr>
          <w:p>
            <w:pPr>
              <w:pStyle w:val="TableParagraph"/>
              <w:spacing w:line="195" w:lineRule="exact"/>
              <w:ind w:left="113" w:right="0"/>
              <w:jc w:val="left"/>
              <w:rPr>
                <w:rFonts w:ascii="宋体" w:hAnsi="宋体" w:cs="宋体" w:eastAsia="宋体" w:hint="default"/>
                <w:sz w:val="15"/>
                <w:szCs w:val="15"/>
              </w:rPr>
            </w:pPr>
            <w:r>
              <w:rPr>
                <w:rFonts w:ascii="宋体" w:hAnsi="宋体" w:cs="宋体" w:eastAsia="宋体" w:hint="default"/>
                <w:sz w:val="15"/>
                <w:szCs w:val="15"/>
              </w:rPr>
              <w:t>信息技术服务、销售；房屋租赁</w:t>
            </w:r>
          </w:p>
        </w:tc>
      </w:tr>
      <w:tr>
        <w:trPr>
          <w:trHeight w:val="240"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hAnsi="宋体" w:cs="宋体" w:eastAsia="宋体" w:hint="default"/>
                <w:sz w:val="15"/>
                <w:szCs w:val="15"/>
              </w:rPr>
              <w:t>九江同方物业管理有限公司</w:t>
            </w:r>
          </w:p>
        </w:tc>
        <w:tc>
          <w:tcPr>
            <w:tcW w:w="444" w:type="dxa"/>
            <w:tcBorders>
              <w:top w:val="nil" w:sz="6" w:space="0" w:color="auto"/>
              <w:left w:val="nil" w:sz="6" w:space="0" w:color="auto"/>
              <w:bottom w:val="nil" w:sz="6" w:space="0" w:color="auto"/>
              <w:right w:val="nil" w:sz="6" w:space="0" w:color="auto"/>
            </w:tcBorders>
          </w:tcPr>
          <w:p>
            <w:pPr>
              <w:pStyle w:val="TableParagraph"/>
              <w:spacing w:line="195" w:lineRule="exact"/>
              <w:ind w:left="54"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71" w:type="dxa"/>
            <w:tcBorders>
              <w:top w:val="nil" w:sz="6" w:space="0" w:color="auto"/>
              <w:left w:val="nil" w:sz="6" w:space="0" w:color="auto"/>
              <w:bottom w:val="nil" w:sz="6" w:space="0" w:color="auto"/>
              <w:right w:val="nil" w:sz="6" w:space="0" w:color="auto"/>
            </w:tcBorders>
          </w:tcPr>
          <w:p>
            <w:pPr>
              <w:pStyle w:val="TableParagraph"/>
              <w:spacing w:line="195" w:lineRule="exact"/>
              <w:ind w:right="59"/>
              <w:jc w:val="right"/>
              <w:rPr>
                <w:rFonts w:ascii="宋体" w:hAnsi="宋体" w:cs="宋体" w:eastAsia="宋体" w:hint="default"/>
                <w:sz w:val="15"/>
                <w:szCs w:val="15"/>
              </w:rPr>
            </w:pPr>
            <w:r>
              <w:rPr>
                <w:rFonts w:ascii="宋体" w:hAnsi="宋体"/>
                <w:spacing w:val="-1"/>
                <w:sz w:val="15"/>
              </w:rPr>
              <w:t>¥50.00</w:t>
            </w:r>
          </w:p>
        </w:tc>
        <w:tc>
          <w:tcPr>
            <w:tcW w:w="678" w:type="dxa"/>
            <w:tcBorders>
              <w:top w:val="nil" w:sz="6" w:space="0" w:color="auto"/>
              <w:left w:val="nil" w:sz="6" w:space="0" w:color="auto"/>
              <w:bottom w:val="nil" w:sz="6" w:space="0" w:color="auto"/>
              <w:right w:val="nil" w:sz="6" w:space="0" w:color="auto"/>
            </w:tcBorders>
          </w:tcPr>
          <w:p>
            <w:pPr>
              <w:pStyle w:val="TableParagraph"/>
              <w:spacing w:line="195" w:lineRule="exact"/>
              <w:ind w:right="20"/>
              <w:jc w:val="center"/>
              <w:rPr>
                <w:rFonts w:ascii="宋体" w:hAnsi="宋体" w:cs="宋体" w:eastAsia="宋体" w:hint="default"/>
                <w:sz w:val="15"/>
                <w:szCs w:val="15"/>
              </w:rPr>
            </w:pPr>
            <w:r>
              <w:rPr>
                <w:rFonts w:ascii="宋体"/>
                <w:sz w:val="15"/>
              </w:rPr>
              <w:t>100.00%</w:t>
            </w:r>
          </w:p>
        </w:tc>
        <w:tc>
          <w:tcPr>
            <w:tcW w:w="824" w:type="dxa"/>
            <w:tcBorders>
              <w:top w:val="nil" w:sz="6" w:space="0" w:color="auto"/>
              <w:left w:val="nil" w:sz="6" w:space="0" w:color="auto"/>
              <w:bottom w:val="nil" w:sz="6" w:space="0" w:color="auto"/>
              <w:right w:val="nil" w:sz="6" w:space="0" w:color="auto"/>
            </w:tcBorders>
          </w:tcPr>
          <w:p>
            <w:pPr>
              <w:pStyle w:val="TableParagraph"/>
              <w:spacing w:line="195" w:lineRule="exact"/>
              <w:ind w:left="108" w:right="0"/>
              <w:jc w:val="left"/>
              <w:rPr>
                <w:rFonts w:ascii="宋体" w:hAnsi="宋体" w:cs="宋体" w:eastAsia="宋体" w:hint="default"/>
                <w:sz w:val="15"/>
                <w:szCs w:val="15"/>
              </w:rPr>
            </w:pPr>
            <w:r>
              <w:rPr>
                <w:rFonts w:ascii="宋体" w:hAnsi="宋体" w:cs="宋体" w:eastAsia="宋体" w:hint="default"/>
                <w:sz w:val="15"/>
                <w:szCs w:val="15"/>
              </w:rPr>
              <w:t>江西九江</w:t>
            </w:r>
          </w:p>
        </w:tc>
        <w:tc>
          <w:tcPr>
            <w:tcW w:w="3632" w:type="dxa"/>
            <w:tcBorders>
              <w:top w:val="nil" w:sz="6" w:space="0" w:color="auto"/>
              <w:left w:val="nil" w:sz="6" w:space="0" w:color="auto"/>
              <w:bottom w:val="nil" w:sz="6" w:space="0" w:color="auto"/>
              <w:right w:val="nil" w:sz="6" w:space="0" w:color="auto"/>
            </w:tcBorders>
          </w:tcPr>
          <w:p>
            <w:pPr>
              <w:pStyle w:val="TableParagraph"/>
              <w:spacing w:line="195" w:lineRule="exact"/>
              <w:ind w:left="113" w:right="0"/>
              <w:jc w:val="left"/>
              <w:rPr>
                <w:rFonts w:ascii="宋体" w:hAnsi="宋体" w:cs="宋体" w:eastAsia="宋体" w:hint="default"/>
                <w:sz w:val="15"/>
                <w:szCs w:val="15"/>
              </w:rPr>
            </w:pPr>
            <w:r>
              <w:rPr>
                <w:rFonts w:ascii="宋体" w:hAnsi="宋体" w:cs="宋体" w:eastAsia="宋体" w:hint="default"/>
                <w:sz w:val="15"/>
                <w:szCs w:val="15"/>
              </w:rPr>
              <w:t>物业管理</w:t>
            </w:r>
          </w:p>
        </w:tc>
      </w:tr>
      <w:tr>
        <w:trPr>
          <w:trHeight w:val="229"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hAnsi="宋体" w:cs="宋体" w:eastAsia="宋体" w:hint="default"/>
                <w:sz w:val="15"/>
                <w:szCs w:val="15"/>
              </w:rPr>
              <w:t>同方江新造船有限公司</w:t>
            </w:r>
          </w:p>
        </w:tc>
        <w:tc>
          <w:tcPr>
            <w:tcW w:w="444" w:type="dxa"/>
            <w:tcBorders>
              <w:top w:val="nil" w:sz="6" w:space="0" w:color="auto"/>
              <w:left w:val="nil" w:sz="6" w:space="0" w:color="auto"/>
              <w:bottom w:val="nil" w:sz="6" w:space="0" w:color="auto"/>
              <w:right w:val="nil" w:sz="6" w:space="0" w:color="auto"/>
            </w:tcBorders>
          </w:tcPr>
          <w:p>
            <w:pPr>
              <w:pStyle w:val="TableParagraph"/>
              <w:spacing w:line="195" w:lineRule="exact"/>
              <w:ind w:left="54"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71"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hAnsi="宋体"/>
                <w:spacing w:val="-1"/>
                <w:sz w:val="15"/>
              </w:rPr>
              <w:t>¥53,500.00</w:t>
            </w:r>
          </w:p>
        </w:tc>
        <w:tc>
          <w:tcPr>
            <w:tcW w:w="678" w:type="dxa"/>
            <w:tcBorders>
              <w:top w:val="nil" w:sz="6" w:space="0" w:color="auto"/>
              <w:left w:val="nil" w:sz="6" w:space="0" w:color="auto"/>
              <w:bottom w:val="nil" w:sz="6" w:space="0" w:color="auto"/>
              <w:right w:val="nil" w:sz="6" w:space="0" w:color="auto"/>
            </w:tcBorders>
          </w:tcPr>
          <w:p>
            <w:pPr>
              <w:pStyle w:val="TableParagraph"/>
              <w:spacing w:line="195" w:lineRule="exact"/>
              <w:ind w:right="20"/>
              <w:jc w:val="center"/>
              <w:rPr>
                <w:rFonts w:ascii="宋体" w:hAnsi="宋体" w:cs="宋体" w:eastAsia="宋体" w:hint="default"/>
                <w:sz w:val="15"/>
                <w:szCs w:val="15"/>
              </w:rPr>
            </w:pPr>
            <w:r>
              <w:rPr>
                <w:rFonts w:ascii="宋体"/>
                <w:sz w:val="15"/>
              </w:rPr>
              <w:t>100.00%</w:t>
            </w:r>
          </w:p>
        </w:tc>
        <w:tc>
          <w:tcPr>
            <w:tcW w:w="824" w:type="dxa"/>
            <w:tcBorders>
              <w:top w:val="nil" w:sz="6" w:space="0" w:color="auto"/>
              <w:left w:val="nil" w:sz="6" w:space="0" w:color="auto"/>
              <w:bottom w:val="nil" w:sz="6" w:space="0" w:color="auto"/>
              <w:right w:val="nil" w:sz="6" w:space="0" w:color="auto"/>
            </w:tcBorders>
          </w:tcPr>
          <w:p>
            <w:pPr>
              <w:pStyle w:val="TableParagraph"/>
              <w:spacing w:line="195" w:lineRule="exact"/>
              <w:ind w:left="108" w:right="0"/>
              <w:jc w:val="left"/>
              <w:rPr>
                <w:rFonts w:ascii="宋体" w:hAnsi="宋体" w:cs="宋体" w:eastAsia="宋体" w:hint="default"/>
                <w:sz w:val="15"/>
                <w:szCs w:val="15"/>
              </w:rPr>
            </w:pPr>
            <w:r>
              <w:rPr>
                <w:rFonts w:ascii="宋体" w:hAnsi="宋体" w:cs="宋体" w:eastAsia="宋体" w:hint="default"/>
                <w:sz w:val="15"/>
                <w:szCs w:val="15"/>
              </w:rPr>
              <w:t>江西湖口</w:t>
            </w:r>
          </w:p>
        </w:tc>
        <w:tc>
          <w:tcPr>
            <w:tcW w:w="3632" w:type="dxa"/>
            <w:tcBorders>
              <w:top w:val="nil" w:sz="6" w:space="0" w:color="auto"/>
              <w:left w:val="nil" w:sz="6" w:space="0" w:color="auto"/>
              <w:bottom w:val="nil" w:sz="6" w:space="0" w:color="auto"/>
              <w:right w:val="nil" w:sz="6" w:space="0" w:color="auto"/>
            </w:tcBorders>
          </w:tcPr>
          <w:p>
            <w:pPr>
              <w:pStyle w:val="TableParagraph"/>
              <w:spacing w:line="195" w:lineRule="exact"/>
              <w:ind w:left="113" w:right="0"/>
              <w:jc w:val="left"/>
              <w:rPr>
                <w:rFonts w:ascii="宋体" w:hAnsi="宋体" w:cs="宋体" w:eastAsia="宋体" w:hint="default"/>
                <w:sz w:val="15"/>
                <w:szCs w:val="15"/>
              </w:rPr>
            </w:pPr>
            <w:r>
              <w:rPr>
                <w:rFonts w:ascii="宋体" w:hAnsi="宋体" w:cs="宋体" w:eastAsia="宋体" w:hint="default"/>
                <w:sz w:val="15"/>
                <w:szCs w:val="15"/>
              </w:rPr>
              <w:t>船舶制造、销售、修理；钢结构制造</w:t>
            </w:r>
          </w:p>
        </w:tc>
      </w:tr>
      <w:tr>
        <w:trPr>
          <w:trHeight w:val="401"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9" w:right="0"/>
              <w:jc w:val="left"/>
              <w:rPr>
                <w:rFonts w:ascii="宋体" w:hAnsi="宋体" w:cs="宋体" w:eastAsia="宋体" w:hint="default"/>
                <w:sz w:val="15"/>
                <w:szCs w:val="15"/>
              </w:rPr>
            </w:pPr>
            <w:r>
              <w:rPr>
                <w:rFonts w:ascii="宋体" w:hAnsi="宋体" w:cs="宋体" w:eastAsia="宋体" w:hint="default"/>
                <w:sz w:val="15"/>
                <w:szCs w:val="15"/>
              </w:rPr>
              <w:t>同方赛威讯信息技术有限公司</w:t>
            </w:r>
          </w:p>
        </w:tc>
        <w:tc>
          <w:tcPr>
            <w:tcW w:w="44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4"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1"/>
              <w:jc w:val="right"/>
              <w:rPr>
                <w:rFonts w:ascii="宋体" w:hAnsi="宋体" w:cs="宋体" w:eastAsia="宋体" w:hint="default"/>
                <w:sz w:val="15"/>
                <w:szCs w:val="15"/>
              </w:rPr>
            </w:pPr>
            <w:r>
              <w:rPr>
                <w:rFonts w:ascii="宋体" w:hAnsi="宋体"/>
                <w:spacing w:val="-2"/>
                <w:sz w:val="15"/>
              </w:rPr>
              <w:t>¥5,000.00</w:t>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
              <w:jc w:val="center"/>
              <w:rPr>
                <w:rFonts w:ascii="宋体" w:hAnsi="宋体" w:cs="宋体" w:eastAsia="宋体" w:hint="default"/>
                <w:sz w:val="15"/>
                <w:szCs w:val="15"/>
              </w:rPr>
            </w:pPr>
            <w:r>
              <w:rPr>
                <w:rFonts w:ascii="宋体"/>
                <w:sz w:val="15"/>
              </w:rPr>
              <w:t>100.00%</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8" w:right="0"/>
              <w:jc w:val="left"/>
              <w:rPr>
                <w:rFonts w:ascii="宋体" w:hAnsi="宋体" w:cs="宋体" w:eastAsia="宋体" w:hint="default"/>
                <w:sz w:val="15"/>
                <w:szCs w:val="15"/>
              </w:rPr>
            </w:pPr>
            <w:r>
              <w:rPr>
                <w:rFonts w:ascii="宋体" w:hAnsi="宋体" w:cs="宋体" w:eastAsia="宋体" w:hint="default"/>
                <w:sz w:val="15"/>
                <w:szCs w:val="15"/>
              </w:rPr>
              <w:t>四川成都</w:t>
            </w:r>
          </w:p>
        </w:tc>
        <w:tc>
          <w:tcPr>
            <w:tcW w:w="3632" w:type="dxa"/>
            <w:tcBorders>
              <w:top w:val="nil" w:sz="6" w:space="0" w:color="auto"/>
              <w:left w:val="nil" w:sz="6" w:space="0" w:color="auto"/>
              <w:bottom w:val="nil" w:sz="6" w:space="0" w:color="auto"/>
              <w:right w:val="nil" w:sz="6" w:space="0" w:color="auto"/>
            </w:tcBorders>
          </w:tcPr>
          <w:p>
            <w:pPr>
              <w:pStyle w:val="TableParagraph"/>
              <w:spacing w:line="194" w:lineRule="exact" w:before="8"/>
              <w:ind w:left="113" w:right="104"/>
              <w:jc w:val="left"/>
              <w:rPr>
                <w:rFonts w:ascii="宋体" w:hAnsi="宋体" w:cs="宋体" w:eastAsia="宋体" w:hint="default"/>
                <w:sz w:val="15"/>
                <w:szCs w:val="15"/>
              </w:rPr>
            </w:pPr>
            <w:r>
              <w:rPr>
                <w:rFonts w:ascii="宋体" w:hAnsi="宋体" w:cs="宋体" w:eastAsia="宋体" w:hint="default"/>
                <w:spacing w:val="-4"/>
                <w:sz w:val="15"/>
                <w:szCs w:val="15"/>
              </w:rPr>
              <w:t>信息化系统、无线电监测系统、遥感数据应用系统及</w:t>
            </w:r>
            <w:r>
              <w:rPr>
                <w:rFonts w:ascii="宋体" w:hAnsi="宋体" w:cs="宋体" w:eastAsia="宋体" w:hint="default"/>
                <w:spacing w:val="-27"/>
                <w:sz w:val="15"/>
                <w:szCs w:val="15"/>
              </w:rPr>
              <w:t> </w:t>
            </w:r>
            <w:r>
              <w:rPr>
                <w:rFonts w:ascii="宋体" w:hAnsi="宋体" w:cs="宋体" w:eastAsia="宋体" w:hint="default"/>
                <w:spacing w:val="-27"/>
                <w:sz w:val="15"/>
                <w:szCs w:val="15"/>
              </w:rPr>
            </w:r>
            <w:r>
              <w:rPr>
                <w:rFonts w:ascii="宋体" w:hAnsi="宋体" w:cs="宋体" w:eastAsia="宋体" w:hint="default"/>
                <w:sz w:val="15"/>
                <w:szCs w:val="15"/>
              </w:rPr>
              <w:t>其配套设备的研发、销售</w:t>
            </w:r>
          </w:p>
        </w:tc>
      </w:tr>
      <w:tr>
        <w:trPr>
          <w:trHeight w:val="389"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9" w:right="0"/>
              <w:jc w:val="left"/>
              <w:rPr>
                <w:rFonts w:ascii="宋体" w:hAnsi="宋体" w:cs="宋体" w:eastAsia="宋体" w:hint="default"/>
                <w:sz w:val="15"/>
                <w:szCs w:val="15"/>
              </w:rPr>
            </w:pPr>
            <w:r>
              <w:rPr>
                <w:rFonts w:ascii="宋体" w:hAnsi="宋体" w:cs="宋体" w:eastAsia="宋体" w:hint="default"/>
                <w:sz w:val="15"/>
                <w:szCs w:val="15"/>
              </w:rPr>
              <w:t>同方工业信息技术有限公司</w:t>
            </w:r>
          </w:p>
        </w:tc>
        <w:tc>
          <w:tcPr>
            <w:tcW w:w="44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4"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0"/>
              <w:jc w:val="right"/>
              <w:rPr>
                <w:rFonts w:ascii="宋体" w:hAnsi="宋体" w:cs="宋体" w:eastAsia="宋体" w:hint="default"/>
                <w:sz w:val="15"/>
                <w:szCs w:val="15"/>
              </w:rPr>
            </w:pPr>
            <w:r>
              <w:rPr>
                <w:rFonts w:ascii="宋体" w:hAnsi="宋体"/>
                <w:spacing w:val="-1"/>
                <w:sz w:val="15"/>
              </w:rPr>
              <w:t>¥12,000.00</w:t>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1" w:right="0"/>
              <w:jc w:val="center"/>
              <w:rPr>
                <w:rFonts w:ascii="宋体" w:hAnsi="宋体" w:cs="宋体" w:eastAsia="宋体" w:hint="default"/>
                <w:sz w:val="15"/>
                <w:szCs w:val="15"/>
              </w:rPr>
            </w:pPr>
            <w:r>
              <w:rPr>
                <w:rFonts w:ascii="宋体"/>
                <w:sz w:val="15"/>
              </w:rPr>
              <w:t>80.00%</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5"/>
                <w:szCs w:val="15"/>
              </w:rPr>
            </w:pPr>
            <w:r>
              <w:rPr>
                <w:rFonts w:ascii="宋体" w:hAnsi="宋体" w:cs="宋体" w:eastAsia="宋体" w:hint="default"/>
                <w:sz w:val="15"/>
                <w:szCs w:val="15"/>
              </w:rPr>
              <w:t>北京海淀</w:t>
            </w:r>
          </w:p>
        </w:tc>
        <w:tc>
          <w:tcPr>
            <w:tcW w:w="3632" w:type="dxa"/>
            <w:tcBorders>
              <w:top w:val="nil" w:sz="6" w:space="0" w:color="auto"/>
              <w:left w:val="nil" w:sz="6" w:space="0" w:color="auto"/>
              <w:bottom w:val="nil" w:sz="6" w:space="0" w:color="auto"/>
              <w:right w:val="nil" w:sz="6" w:space="0" w:color="auto"/>
            </w:tcBorders>
          </w:tcPr>
          <w:p>
            <w:pPr>
              <w:pStyle w:val="TableParagraph"/>
              <w:spacing w:line="172" w:lineRule="exact"/>
              <w:ind w:left="113" w:right="0"/>
              <w:jc w:val="left"/>
              <w:rPr>
                <w:rFonts w:ascii="宋体" w:hAnsi="宋体" w:cs="宋体" w:eastAsia="宋体" w:hint="default"/>
                <w:sz w:val="15"/>
                <w:szCs w:val="15"/>
              </w:rPr>
            </w:pPr>
            <w:r>
              <w:rPr>
                <w:rFonts w:ascii="宋体" w:hAnsi="宋体" w:cs="宋体" w:eastAsia="宋体" w:hint="default"/>
                <w:spacing w:val="-4"/>
                <w:sz w:val="15"/>
                <w:szCs w:val="15"/>
              </w:rPr>
              <w:t>软件开发；电子产品、通讯设备、计算机、软件及辅</w:t>
            </w:r>
          </w:p>
          <w:p>
            <w:pPr>
              <w:pStyle w:val="TableParagraph"/>
              <w:spacing w:line="195" w:lineRule="exact"/>
              <w:ind w:left="113" w:right="0"/>
              <w:jc w:val="left"/>
              <w:rPr>
                <w:rFonts w:ascii="宋体" w:hAnsi="宋体" w:cs="宋体" w:eastAsia="宋体" w:hint="default"/>
                <w:sz w:val="15"/>
                <w:szCs w:val="15"/>
              </w:rPr>
            </w:pPr>
            <w:r>
              <w:rPr>
                <w:rFonts w:ascii="宋体" w:hAnsi="宋体" w:cs="宋体" w:eastAsia="宋体" w:hint="default"/>
                <w:sz w:val="15"/>
                <w:szCs w:val="15"/>
              </w:rPr>
              <w:t>助设备销售</w:t>
            </w:r>
          </w:p>
        </w:tc>
      </w:tr>
      <w:tr>
        <w:trPr>
          <w:trHeight w:val="389"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72" w:lineRule="exact"/>
              <w:ind w:left="19" w:right="0"/>
              <w:jc w:val="left"/>
              <w:rPr>
                <w:rFonts w:ascii="宋体" w:hAnsi="宋体" w:cs="宋体" w:eastAsia="宋体" w:hint="default"/>
                <w:sz w:val="15"/>
                <w:szCs w:val="15"/>
              </w:rPr>
            </w:pPr>
            <w:r>
              <w:rPr>
                <w:rFonts w:ascii="宋体" w:hAnsi="宋体" w:cs="宋体" w:eastAsia="宋体" w:hint="default"/>
                <w:sz w:val="15"/>
                <w:szCs w:val="15"/>
              </w:rPr>
              <w:t>无锡同方智博云天工业技术有限</w:t>
            </w:r>
          </w:p>
          <w:p>
            <w:pPr>
              <w:pStyle w:val="TableParagraph"/>
              <w:spacing w:line="195" w:lineRule="exact"/>
              <w:ind w:left="19"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44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4"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right"/>
              <w:rPr>
                <w:rFonts w:ascii="宋体" w:hAnsi="宋体" w:cs="宋体" w:eastAsia="宋体" w:hint="default"/>
                <w:sz w:val="15"/>
                <w:szCs w:val="15"/>
              </w:rPr>
            </w:pPr>
            <w:r>
              <w:rPr>
                <w:rFonts w:ascii="宋体" w:hAnsi="宋体"/>
                <w:spacing w:val="-1"/>
                <w:sz w:val="15"/>
              </w:rPr>
              <w:t>¥500.00</w:t>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1" w:right="0"/>
              <w:jc w:val="center"/>
              <w:rPr>
                <w:rFonts w:ascii="宋体" w:hAnsi="宋体" w:cs="宋体" w:eastAsia="宋体" w:hint="default"/>
                <w:sz w:val="15"/>
                <w:szCs w:val="15"/>
              </w:rPr>
            </w:pPr>
            <w:r>
              <w:rPr>
                <w:rFonts w:ascii="宋体"/>
                <w:sz w:val="15"/>
              </w:rPr>
              <w:t>60.00%</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8" w:right="0"/>
              <w:jc w:val="left"/>
              <w:rPr>
                <w:rFonts w:ascii="宋体" w:hAnsi="宋体" w:cs="宋体" w:eastAsia="宋体" w:hint="default"/>
                <w:sz w:val="15"/>
                <w:szCs w:val="15"/>
              </w:rPr>
            </w:pPr>
            <w:r>
              <w:rPr>
                <w:rFonts w:ascii="宋体" w:hAnsi="宋体" w:cs="宋体" w:eastAsia="宋体" w:hint="default"/>
                <w:sz w:val="15"/>
                <w:szCs w:val="15"/>
              </w:rPr>
              <w:t>江苏无锡</w:t>
            </w:r>
          </w:p>
        </w:tc>
        <w:tc>
          <w:tcPr>
            <w:tcW w:w="3632" w:type="dxa"/>
            <w:tcBorders>
              <w:top w:val="nil" w:sz="6" w:space="0" w:color="auto"/>
              <w:left w:val="nil" w:sz="6" w:space="0" w:color="auto"/>
              <w:bottom w:val="nil" w:sz="6" w:space="0" w:color="auto"/>
              <w:right w:val="nil" w:sz="6" w:space="0" w:color="auto"/>
            </w:tcBorders>
          </w:tcPr>
          <w:p>
            <w:pPr>
              <w:pStyle w:val="TableParagraph"/>
              <w:spacing w:line="172" w:lineRule="exact"/>
              <w:ind w:left="113" w:right="0"/>
              <w:jc w:val="left"/>
              <w:rPr>
                <w:rFonts w:ascii="宋体" w:hAnsi="宋体" w:cs="宋体" w:eastAsia="宋体" w:hint="default"/>
                <w:sz w:val="15"/>
                <w:szCs w:val="15"/>
              </w:rPr>
            </w:pPr>
            <w:r>
              <w:rPr>
                <w:rFonts w:ascii="宋体" w:hAnsi="宋体" w:cs="宋体" w:eastAsia="宋体" w:hint="default"/>
                <w:spacing w:val="-4"/>
                <w:sz w:val="15"/>
                <w:szCs w:val="15"/>
              </w:rPr>
              <w:t>电子产品、通讯设备、计算机、软件及辅助设备的销</w:t>
            </w:r>
          </w:p>
          <w:p>
            <w:pPr>
              <w:pStyle w:val="TableParagraph"/>
              <w:spacing w:line="195" w:lineRule="exact"/>
              <w:ind w:left="113" w:right="0"/>
              <w:jc w:val="left"/>
              <w:rPr>
                <w:rFonts w:ascii="宋体" w:hAnsi="宋体" w:cs="宋体" w:eastAsia="宋体" w:hint="default"/>
                <w:sz w:val="15"/>
                <w:szCs w:val="15"/>
              </w:rPr>
            </w:pPr>
            <w:r>
              <w:rPr>
                <w:rFonts w:ascii="宋体" w:hAnsi="宋体" w:cs="宋体" w:eastAsia="宋体" w:hint="default"/>
                <w:w w:val="100"/>
                <w:sz w:val="15"/>
                <w:szCs w:val="15"/>
              </w:rPr>
              <w:t>售</w:t>
            </w:r>
          </w:p>
        </w:tc>
      </w:tr>
      <w:tr>
        <w:trPr>
          <w:trHeight w:val="401"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72" w:lineRule="exact"/>
              <w:ind w:left="19" w:right="0"/>
              <w:jc w:val="left"/>
              <w:rPr>
                <w:rFonts w:ascii="宋体" w:hAnsi="宋体" w:cs="宋体" w:eastAsia="宋体" w:hint="default"/>
                <w:sz w:val="15"/>
                <w:szCs w:val="15"/>
              </w:rPr>
            </w:pPr>
            <w:r>
              <w:rPr>
                <w:rFonts w:ascii="宋体" w:hAnsi="宋体" w:cs="宋体" w:eastAsia="宋体" w:hint="default"/>
                <w:sz w:val="15"/>
                <w:szCs w:val="15"/>
              </w:rPr>
              <w:t>同方科博天智软件技术无锡有限</w:t>
            </w:r>
          </w:p>
          <w:p>
            <w:pPr>
              <w:pStyle w:val="TableParagraph"/>
              <w:spacing w:line="196" w:lineRule="exact"/>
              <w:ind w:left="19"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44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4"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9"/>
              <w:jc w:val="right"/>
              <w:rPr>
                <w:rFonts w:ascii="宋体" w:hAnsi="宋体" w:cs="宋体" w:eastAsia="宋体" w:hint="default"/>
                <w:sz w:val="15"/>
                <w:szCs w:val="15"/>
              </w:rPr>
            </w:pPr>
            <w:r>
              <w:rPr>
                <w:rFonts w:ascii="宋体" w:hAnsi="宋体"/>
                <w:spacing w:val="-1"/>
                <w:sz w:val="15"/>
              </w:rPr>
              <w:t>¥500.00</w:t>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1" w:right="0"/>
              <w:jc w:val="center"/>
              <w:rPr>
                <w:rFonts w:ascii="宋体" w:hAnsi="宋体" w:cs="宋体" w:eastAsia="宋体" w:hint="default"/>
                <w:sz w:val="15"/>
                <w:szCs w:val="15"/>
              </w:rPr>
            </w:pPr>
            <w:r>
              <w:rPr>
                <w:rFonts w:ascii="宋体"/>
                <w:sz w:val="15"/>
              </w:rPr>
              <w:t>51.00%</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08" w:right="0"/>
              <w:jc w:val="left"/>
              <w:rPr>
                <w:rFonts w:ascii="宋体" w:hAnsi="宋体" w:cs="宋体" w:eastAsia="宋体" w:hint="default"/>
                <w:sz w:val="15"/>
                <w:szCs w:val="15"/>
              </w:rPr>
            </w:pPr>
            <w:r>
              <w:rPr>
                <w:rFonts w:ascii="宋体" w:hAnsi="宋体" w:cs="宋体" w:eastAsia="宋体" w:hint="default"/>
                <w:sz w:val="15"/>
                <w:szCs w:val="15"/>
              </w:rPr>
              <w:t>江苏无锡</w:t>
            </w:r>
          </w:p>
        </w:tc>
        <w:tc>
          <w:tcPr>
            <w:tcW w:w="3632" w:type="dxa"/>
            <w:tcBorders>
              <w:top w:val="nil" w:sz="6" w:space="0" w:color="auto"/>
              <w:left w:val="nil" w:sz="6" w:space="0" w:color="auto"/>
              <w:bottom w:val="nil" w:sz="6" w:space="0" w:color="auto"/>
              <w:right w:val="nil" w:sz="6" w:space="0" w:color="auto"/>
            </w:tcBorders>
          </w:tcPr>
          <w:p>
            <w:pPr>
              <w:pStyle w:val="TableParagraph"/>
              <w:spacing w:line="172" w:lineRule="exact"/>
              <w:ind w:left="113" w:right="0"/>
              <w:jc w:val="left"/>
              <w:rPr>
                <w:rFonts w:ascii="宋体" w:hAnsi="宋体" w:cs="宋体" w:eastAsia="宋体" w:hint="default"/>
                <w:sz w:val="15"/>
                <w:szCs w:val="15"/>
              </w:rPr>
            </w:pPr>
            <w:r>
              <w:rPr>
                <w:rFonts w:ascii="宋体" w:hAnsi="宋体" w:cs="宋体" w:eastAsia="宋体" w:hint="default"/>
                <w:spacing w:val="-4"/>
                <w:sz w:val="15"/>
                <w:szCs w:val="15"/>
              </w:rPr>
              <w:t>物联网领域软件、硬件产品的研发、技术服务等；信</w:t>
            </w:r>
          </w:p>
          <w:p>
            <w:pPr>
              <w:pStyle w:val="TableParagraph"/>
              <w:spacing w:line="196" w:lineRule="exact"/>
              <w:ind w:left="113" w:right="0"/>
              <w:jc w:val="left"/>
              <w:rPr>
                <w:rFonts w:ascii="宋体" w:hAnsi="宋体" w:cs="宋体" w:eastAsia="宋体" w:hint="default"/>
                <w:sz w:val="15"/>
                <w:szCs w:val="15"/>
              </w:rPr>
            </w:pPr>
            <w:r>
              <w:rPr>
                <w:rFonts w:ascii="宋体" w:hAnsi="宋体" w:cs="宋体" w:eastAsia="宋体" w:hint="default"/>
                <w:sz w:val="15"/>
                <w:szCs w:val="15"/>
              </w:rPr>
              <w:t>息系统集成研发、服务</w:t>
            </w:r>
          </w:p>
        </w:tc>
      </w:tr>
      <w:tr>
        <w:trPr>
          <w:trHeight w:val="229"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85" w:lineRule="exact"/>
              <w:ind w:left="19" w:right="0"/>
              <w:jc w:val="left"/>
              <w:rPr>
                <w:rFonts w:ascii="宋体" w:hAnsi="宋体" w:cs="宋体" w:eastAsia="宋体" w:hint="default"/>
                <w:sz w:val="15"/>
                <w:szCs w:val="15"/>
              </w:rPr>
            </w:pPr>
            <w:r>
              <w:rPr>
                <w:rFonts w:ascii="宋体" w:hAnsi="宋体" w:cs="宋体" w:eastAsia="宋体" w:hint="default"/>
                <w:sz w:val="15"/>
                <w:szCs w:val="15"/>
              </w:rPr>
              <w:t>山东同方鲁颖电子有限公司</w:t>
            </w:r>
          </w:p>
        </w:tc>
        <w:tc>
          <w:tcPr>
            <w:tcW w:w="444" w:type="dxa"/>
            <w:tcBorders>
              <w:top w:val="nil" w:sz="6" w:space="0" w:color="auto"/>
              <w:left w:val="nil" w:sz="6" w:space="0" w:color="auto"/>
              <w:bottom w:val="nil" w:sz="6" w:space="0" w:color="auto"/>
              <w:right w:val="nil" w:sz="6" w:space="0" w:color="auto"/>
            </w:tcBorders>
          </w:tcPr>
          <w:p>
            <w:pPr>
              <w:pStyle w:val="TableParagraph"/>
              <w:spacing w:line="185" w:lineRule="exact"/>
              <w:ind w:left="54"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71" w:type="dxa"/>
            <w:tcBorders>
              <w:top w:val="nil" w:sz="6" w:space="0" w:color="auto"/>
              <w:left w:val="nil" w:sz="6" w:space="0" w:color="auto"/>
              <w:bottom w:val="nil" w:sz="6" w:space="0" w:color="auto"/>
              <w:right w:val="nil" w:sz="6" w:space="0" w:color="auto"/>
            </w:tcBorders>
          </w:tcPr>
          <w:p>
            <w:pPr>
              <w:pStyle w:val="TableParagraph"/>
              <w:spacing w:line="185" w:lineRule="exact"/>
              <w:ind w:right="61"/>
              <w:jc w:val="right"/>
              <w:rPr>
                <w:rFonts w:ascii="宋体" w:hAnsi="宋体" w:cs="宋体" w:eastAsia="宋体" w:hint="default"/>
                <w:sz w:val="15"/>
                <w:szCs w:val="15"/>
              </w:rPr>
            </w:pPr>
            <w:r>
              <w:rPr>
                <w:rFonts w:ascii="宋体" w:hAnsi="宋体"/>
                <w:spacing w:val="-2"/>
                <w:sz w:val="15"/>
              </w:rPr>
              <w:t>¥8,000.00</w:t>
            </w:r>
          </w:p>
        </w:tc>
        <w:tc>
          <w:tcPr>
            <w:tcW w:w="678" w:type="dxa"/>
            <w:tcBorders>
              <w:top w:val="nil" w:sz="6" w:space="0" w:color="auto"/>
              <w:left w:val="nil" w:sz="6" w:space="0" w:color="auto"/>
              <w:bottom w:val="nil" w:sz="6" w:space="0" w:color="auto"/>
              <w:right w:val="nil" w:sz="6" w:space="0" w:color="auto"/>
            </w:tcBorders>
          </w:tcPr>
          <w:p>
            <w:pPr>
              <w:pStyle w:val="TableParagraph"/>
              <w:spacing w:line="185" w:lineRule="exact"/>
              <w:ind w:left="51" w:right="0"/>
              <w:jc w:val="center"/>
              <w:rPr>
                <w:rFonts w:ascii="宋体" w:hAnsi="宋体" w:cs="宋体" w:eastAsia="宋体" w:hint="default"/>
                <w:sz w:val="15"/>
                <w:szCs w:val="15"/>
              </w:rPr>
            </w:pPr>
            <w:r>
              <w:rPr>
                <w:rFonts w:ascii="宋体"/>
                <w:sz w:val="15"/>
              </w:rPr>
              <w:t>97.00%</w:t>
            </w:r>
          </w:p>
        </w:tc>
        <w:tc>
          <w:tcPr>
            <w:tcW w:w="824" w:type="dxa"/>
            <w:tcBorders>
              <w:top w:val="nil" w:sz="6" w:space="0" w:color="auto"/>
              <w:left w:val="nil" w:sz="6" w:space="0" w:color="auto"/>
              <w:bottom w:val="nil" w:sz="6" w:space="0" w:color="auto"/>
              <w:right w:val="nil" w:sz="6" w:space="0" w:color="auto"/>
            </w:tcBorders>
          </w:tcPr>
          <w:p>
            <w:pPr>
              <w:pStyle w:val="TableParagraph"/>
              <w:spacing w:line="185" w:lineRule="exact"/>
              <w:ind w:left="108" w:right="0"/>
              <w:jc w:val="left"/>
              <w:rPr>
                <w:rFonts w:ascii="宋体" w:hAnsi="宋体" w:cs="宋体" w:eastAsia="宋体" w:hint="default"/>
                <w:sz w:val="15"/>
                <w:szCs w:val="15"/>
              </w:rPr>
            </w:pPr>
            <w:r>
              <w:rPr>
                <w:rFonts w:ascii="宋体" w:hAnsi="宋体" w:cs="宋体" w:eastAsia="宋体" w:hint="default"/>
                <w:sz w:val="15"/>
                <w:szCs w:val="15"/>
              </w:rPr>
              <w:t>山东沂南</w:t>
            </w:r>
          </w:p>
        </w:tc>
        <w:tc>
          <w:tcPr>
            <w:tcW w:w="3632" w:type="dxa"/>
            <w:tcBorders>
              <w:top w:val="nil" w:sz="6" w:space="0" w:color="auto"/>
              <w:left w:val="nil" w:sz="6" w:space="0" w:color="auto"/>
              <w:bottom w:val="nil" w:sz="6" w:space="0" w:color="auto"/>
              <w:right w:val="nil" w:sz="6" w:space="0" w:color="auto"/>
            </w:tcBorders>
          </w:tcPr>
          <w:p>
            <w:pPr>
              <w:pStyle w:val="TableParagraph"/>
              <w:spacing w:line="185" w:lineRule="exact"/>
              <w:ind w:left="113" w:right="0"/>
              <w:jc w:val="left"/>
              <w:rPr>
                <w:rFonts w:ascii="宋体" w:hAnsi="宋体" w:cs="宋体" w:eastAsia="宋体" w:hint="default"/>
                <w:sz w:val="15"/>
                <w:szCs w:val="15"/>
              </w:rPr>
            </w:pPr>
            <w:r>
              <w:rPr>
                <w:rFonts w:ascii="宋体" w:hAnsi="宋体" w:cs="宋体" w:eastAsia="宋体" w:hint="default"/>
                <w:sz w:val="15"/>
                <w:szCs w:val="15"/>
              </w:rPr>
              <w:t>交</w:t>
            </w:r>
            <w:r>
              <w:rPr>
                <w:rFonts w:ascii="宋体" w:hAnsi="宋体" w:cs="宋体" w:eastAsia="宋体" w:hint="default"/>
                <w:sz w:val="15"/>
                <w:szCs w:val="15"/>
              </w:rPr>
              <w:t>/</w:t>
            </w:r>
            <w:r>
              <w:rPr>
                <w:rFonts w:ascii="宋体" w:hAnsi="宋体" w:cs="宋体" w:eastAsia="宋体" w:hint="default"/>
                <w:sz w:val="15"/>
                <w:szCs w:val="15"/>
              </w:rPr>
              <w:t>直流陶瓷电容器、片式电感器和陶瓷滤波器</w:t>
            </w:r>
          </w:p>
        </w:tc>
      </w:tr>
      <w:tr>
        <w:trPr>
          <w:trHeight w:val="228"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hAnsi="宋体" w:cs="宋体" w:eastAsia="宋体" w:hint="default"/>
                <w:sz w:val="15"/>
                <w:szCs w:val="15"/>
              </w:rPr>
              <w:t>沂南同皓电子元件有限公司</w:t>
            </w:r>
          </w:p>
        </w:tc>
        <w:tc>
          <w:tcPr>
            <w:tcW w:w="444" w:type="dxa"/>
            <w:tcBorders>
              <w:top w:val="nil" w:sz="6" w:space="0" w:color="auto"/>
              <w:left w:val="nil" w:sz="6" w:space="0" w:color="auto"/>
              <w:bottom w:val="nil" w:sz="6" w:space="0" w:color="auto"/>
              <w:right w:val="nil" w:sz="6" w:space="0" w:color="auto"/>
            </w:tcBorders>
          </w:tcPr>
          <w:p>
            <w:pPr>
              <w:pStyle w:val="TableParagraph"/>
              <w:spacing w:line="195" w:lineRule="exact"/>
              <w:ind w:left="54"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71" w:type="dxa"/>
            <w:tcBorders>
              <w:top w:val="nil" w:sz="6" w:space="0" w:color="auto"/>
              <w:left w:val="nil" w:sz="6" w:space="0" w:color="auto"/>
              <w:bottom w:val="nil" w:sz="6" w:space="0" w:color="auto"/>
              <w:right w:val="nil" w:sz="6" w:space="0" w:color="auto"/>
            </w:tcBorders>
          </w:tcPr>
          <w:p>
            <w:pPr>
              <w:pStyle w:val="TableParagraph"/>
              <w:spacing w:line="195" w:lineRule="exact"/>
              <w:ind w:right="61"/>
              <w:jc w:val="right"/>
              <w:rPr>
                <w:rFonts w:ascii="宋体" w:hAnsi="宋体" w:cs="宋体" w:eastAsia="宋体" w:hint="default"/>
                <w:sz w:val="15"/>
                <w:szCs w:val="15"/>
              </w:rPr>
            </w:pPr>
            <w:r>
              <w:rPr>
                <w:rFonts w:ascii="宋体"/>
                <w:spacing w:val="-2"/>
                <w:sz w:val="15"/>
              </w:rPr>
              <w:t>USD680.00</w:t>
            </w:r>
          </w:p>
        </w:tc>
        <w:tc>
          <w:tcPr>
            <w:tcW w:w="678" w:type="dxa"/>
            <w:tcBorders>
              <w:top w:val="nil" w:sz="6" w:space="0" w:color="auto"/>
              <w:left w:val="nil" w:sz="6" w:space="0" w:color="auto"/>
              <w:bottom w:val="nil" w:sz="6" w:space="0" w:color="auto"/>
              <w:right w:val="nil" w:sz="6" w:space="0" w:color="auto"/>
            </w:tcBorders>
          </w:tcPr>
          <w:p>
            <w:pPr>
              <w:pStyle w:val="TableParagraph"/>
              <w:spacing w:line="195" w:lineRule="exact"/>
              <w:ind w:left="51" w:right="0"/>
              <w:jc w:val="center"/>
              <w:rPr>
                <w:rFonts w:ascii="宋体" w:hAnsi="宋体" w:cs="宋体" w:eastAsia="宋体" w:hint="default"/>
                <w:sz w:val="15"/>
                <w:szCs w:val="15"/>
              </w:rPr>
            </w:pPr>
            <w:r>
              <w:rPr>
                <w:rFonts w:ascii="宋体"/>
                <w:sz w:val="15"/>
              </w:rPr>
              <w:t>72.73%</w:t>
            </w:r>
          </w:p>
        </w:tc>
        <w:tc>
          <w:tcPr>
            <w:tcW w:w="824" w:type="dxa"/>
            <w:tcBorders>
              <w:top w:val="nil" w:sz="6" w:space="0" w:color="auto"/>
              <w:left w:val="nil" w:sz="6" w:space="0" w:color="auto"/>
              <w:bottom w:val="nil" w:sz="6" w:space="0" w:color="auto"/>
              <w:right w:val="nil" w:sz="6" w:space="0" w:color="auto"/>
            </w:tcBorders>
          </w:tcPr>
          <w:p>
            <w:pPr>
              <w:pStyle w:val="TableParagraph"/>
              <w:spacing w:line="195" w:lineRule="exact"/>
              <w:ind w:left="108" w:right="0"/>
              <w:jc w:val="left"/>
              <w:rPr>
                <w:rFonts w:ascii="宋体" w:hAnsi="宋体" w:cs="宋体" w:eastAsia="宋体" w:hint="default"/>
                <w:sz w:val="15"/>
                <w:szCs w:val="15"/>
              </w:rPr>
            </w:pPr>
            <w:r>
              <w:rPr>
                <w:rFonts w:ascii="宋体" w:hAnsi="宋体" w:cs="宋体" w:eastAsia="宋体" w:hint="default"/>
                <w:sz w:val="15"/>
                <w:szCs w:val="15"/>
              </w:rPr>
              <w:t>山东沂南</w:t>
            </w:r>
          </w:p>
        </w:tc>
        <w:tc>
          <w:tcPr>
            <w:tcW w:w="3632" w:type="dxa"/>
            <w:tcBorders>
              <w:top w:val="nil" w:sz="6" w:space="0" w:color="auto"/>
              <w:left w:val="nil" w:sz="6" w:space="0" w:color="auto"/>
              <w:bottom w:val="nil" w:sz="6" w:space="0" w:color="auto"/>
              <w:right w:val="nil" w:sz="6" w:space="0" w:color="auto"/>
            </w:tcBorders>
          </w:tcPr>
          <w:p>
            <w:pPr>
              <w:pStyle w:val="TableParagraph"/>
              <w:spacing w:line="195" w:lineRule="exact"/>
              <w:ind w:left="113" w:right="0"/>
              <w:jc w:val="left"/>
              <w:rPr>
                <w:rFonts w:ascii="宋体" w:hAnsi="宋体" w:cs="宋体" w:eastAsia="宋体" w:hint="default"/>
                <w:sz w:val="15"/>
                <w:szCs w:val="15"/>
              </w:rPr>
            </w:pPr>
            <w:r>
              <w:rPr>
                <w:rFonts w:ascii="宋体" w:hAnsi="宋体" w:cs="宋体" w:eastAsia="宋体" w:hint="default"/>
                <w:sz w:val="15"/>
                <w:szCs w:val="15"/>
              </w:rPr>
              <w:t>陶瓷电容器、交流电容器、网络电容器</w:t>
            </w:r>
          </w:p>
        </w:tc>
      </w:tr>
      <w:tr>
        <w:trPr>
          <w:trHeight w:val="400"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94" w:lineRule="exact" w:before="7"/>
              <w:ind w:left="19" w:right="52"/>
              <w:jc w:val="left"/>
              <w:rPr>
                <w:rFonts w:ascii="宋体" w:hAnsi="宋体" w:cs="宋体" w:eastAsia="宋体" w:hint="default"/>
                <w:sz w:val="15"/>
                <w:szCs w:val="15"/>
              </w:rPr>
            </w:pPr>
            <w:r>
              <w:rPr>
                <w:rFonts w:ascii="宋体" w:hAnsi="宋体" w:cs="宋体" w:eastAsia="宋体" w:hint="default"/>
                <w:spacing w:val="-2"/>
                <w:sz w:val="15"/>
                <w:szCs w:val="15"/>
              </w:rPr>
              <w:t>同方知网数字出版技术股份有限</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公司</w:t>
            </w:r>
          </w:p>
        </w:tc>
        <w:tc>
          <w:tcPr>
            <w:tcW w:w="44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4"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1"/>
              <w:jc w:val="right"/>
              <w:rPr>
                <w:rFonts w:ascii="宋体" w:hAnsi="宋体" w:cs="宋体" w:eastAsia="宋体" w:hint="default"/>
                <w:sz w:val="15"/>
                <w:szCs w:val="15"/>
              </w:rPr>
            </w:pPr>
            <w:r>
              <w:rPr>
                <w:rFonts w:ascii="宋体" w:hAnsi="宋体"/>
                <w:spacing w:val="-2"/>
                <w:sz w:val="15"/>
              </w:rPr>
              <w:t>¥8,000.00</w:t>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0"/>
              <w:jc w:val="center"/>
              <w:rPr>
                <w:rFonts w:ascii="宋体" w:hAnsi="宋体" w:cs="宋体" w:eastAsia="宋体" w:hint="default"/>
                <w:sz w:val="15"/>
                <w:szCs w:val="15"/>
              </w:rPr>
            </w:pPr>
            <w:r>
              <w:rPr>
                <w:rFonts w:ascii="宋体"/>
                <w:sz w:val="15"/>
              </w:rPr>
              <w:t>100.00%</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8" w:right="0"/>
              <w:jc w:val="left"/>
              <w:rPr>
                <w:rFonts w:ascii="宋体" w:hAnsi="宋体" w:cs="宋体" w:eastAsia="宋体" w:hint="default"/>
                <w:sz w:val="15"/>
                <w:szCs w:val="15"/>
              </w:rPr>
            </w:pPr>
            <w:r>
              <w:rPr>
                <w:rFonts w:ascii="宋体" w:hAnsi="宋体" w:cs="宋体" w:eastAsia="宋体" w:hint="default"/>
                <w:sz w:val="15"/>
                <w:szCs w:val="15"/>
              </w:rPr>
              <w:t>北京海淀</w:t>
            </w:r>
          </w:p>
        </w:tc>
        <w:tc>
          <w:tcPr>
            <w:tcW w:w="363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3" w:right="0"/>
              <w:jc w:val="left"/>
              <w:rPr>
                <w:rFonts w:ascii="宋体" w:hAnsi="宋体" w:cs="宋体" w:eastAsia="宋体" w:hint="default"/>
                <w:sz w:val="15"/>
                <w:szCs w:val="15"/>
              </w:rPr>
            </w:pPr>
            <w:r>
              <w:rPr>
                <w:rFonts w:ascii="宋体" w:hAnsi="宋体" w:cs="宋体" w:eastAsia="宋体" w:hint="default"/>
                <w:sz w:val="15"/>
                <w:szCs w:val="15"/>
              </w:rPr>
              <w:t>网络信息服务、电子出版物和数据库开发与销售</w:t>
            </w:r>
          </w:p>
        </w:tc>
      </w:tr>
      <w:tr>
        <w:trPr>
          <w:trHeight w:val="586"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9" w:right="52"/>
              <w:jc w:val="left"/>
              <w:rPr>
                <w:rFonts w:ascii="宋体" w:hAnsi="宋体" w:cs="宋体" w:eastAsia="宋体" w:hint="default"/>
                <w:sz w:val="15"/>
                <w:szCs w:val="15"/>
              </w:rPr>
            </w:pPr>
            <w:r>
              <w:rPr>
                <w:rFonts w:ascii="宋体" w:hAnsi="宋体" w:cs="宋体" w:eastAsia="宋体" w:hint="default"/>
                <w:spacing w:val="-2"/>
                <w:sz w:val="15"/>
                <w:szCs w:val="15"/>
              </w:rPr>
              <w:t>山西同方知网数字出版技术有限</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公司</w:t>
            </w:r>
          </w:p>
        </w:tc>
        <w:tc>
          <w:tcPr>
            <w:tcW w:w="4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4"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61"/>
              <w:jc w:val="right"/>
              <w:rPr>
                <w:rFonts w:ascii="宋体" w:hAnsi="宋体" w:cs="宋体" w:eastAsia="宋体" w:hint="default"/>
                <w:sz w:val="15"/>
                <w:szCs w:val="15"/>
              </w:rPr>
            </w:pPr>
            <w:r>
              <w:rPr>
                <w:rFonts w:ascii="宋体" w:hAnsi="宋体"/>
                <w:spacing w:val="-2"/>
                <w:sz w:val="15"/>
              </w:rPr>
              <w:t>¥5,000.00</w:t>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center"/>
              <w:rPr>
                <w:rFonts w:ascii="宋体" w:hAnsi="宋体" w:cs="宋体" w:eastAsia="宋体" w:hint="default"/>
                <w:sz w:val="15"/>
                <w:szCs w:val="15"/>
              </w:rPr>
            </w:pPr>
            <w:r>
              <w:rPr>
                <w:rFonts w:ascii="宋体"/>
                <w:sz w:val="15"/>
              </w:rPr>
              <w:t>100.00%</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山西太原</w:t>
            </w:r>
          </w:p>
        </w:tc>
        <w:tc>
          <w:tcPr>
            <w:tcW w:w="3632" w:type="dxa"/>
            <w:tcBorders>
              <w:top w:val="nil" w:sz="6" w:space="0" w:color="auto"/>
              <w:left w:val="nil" w:sz="6" w:space="0" w:color="auto"/>
              <w:bottom w:val="nil" w:sz="6" w:space="0" w:color="auto"/>
              <w:right w:val="nil" w:sz="6" w:space="0" w:color="auto"/>
            </w:tcBorders>
          </w:tcPr>
          <w:p>
            <w:pPr>
              <w:pStyle w:val="TableParagraph"/>
              <w:spacing w:line="172" w:lineRule="exact"/>
              <w:ind w:left="113" w:right="0"/>
              <w:jc w:val="left"/>
              <w:rPr>
                <w:rFonts w:ascii="宋体" w:hAnsi="宋体" w:cs="宋体" w:eastAsia="宋体" w:hint="default"/>
                <w:sz w:val="15"/>
                <w:szCs w:val="15"/>
              </w:rPr>
            </w:pPr>
            <w:r>
              <w:rPr>
                <w:rFonts w:ascii="宋体" w:hAnsi="宋体" w:cs="宋体" w:eastAsia="宋体" w:hint="default"/>
                <w:spacing w:val="-4"/>
                <w:sz w:val="15"/>
                <w:szCs w:val="15"/>
              </w:rPr>
              <w:t>数据库、计算机软硬件、计算机网络系统的开发；数</w:t>
            </w:r>
          </w:p>
          <w:p>
            <w:pPr>
              <w:pStyle w:val="TableParagraph"/>
              <w:spacing w:line="240" w:lineRule="auto"/>
              <w:ind w:left="113" w:right="106"/>
              <w:jc w:val="left"/>
              <w:rPr>
                <w:rFonts w:ascii="宋体" w:hAnsi="宋体" w:cs="宋体" w:eastAsia="宋体" w:hint="default"/>
                <w:sz w:val="15"/>
                <w:szCs w:val="15"/>
              </w:rPr>
            </w:pPr>
            <w:r>
              <w:rPr>
                <w:rFonts w:ascii="宋体" w:hAnsi="宋体" w:cs="宋体" w:eastAsia="宋体" w:hint="default"/>
                <w:spacing w:val="-4"/>
                <w:sz w:val="15"/>
                <w:szCs w:val="15"/>
              </w:rPr>
              <w:t>据库、计算机软硬件、计算机网络系统的销售；电子</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技术的技术开发、技术转让、技术咨询。</w:t>
            </w:r>
          </w:p>
        </w:tc>
      </w:tr>
      <w:tr>
        <w:trPr>
          <w:trHeight w:val="389"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9" w:right="0"/>
              <w:jc w:val="left"/>
              <w:rPr>
                <w:rFonts w:ascii="宋体" w:hAnsi="宋体" w:cs="宋体" w:eastAsia="宋体" w:hint="default"/>
                <w:sz w:val="15"/>
                <w:szCs w:val="15"/>
              </w:rPr>
            </w:pPr>
            <w:r>
              <w:rPr>
                <w:rFonts w:ascii="宋体" w:hAnsi="宋体" w:cs="宋体" w:eastAsia="宋体" w:hint="default"/>
                <w:sz w:val="15"/>
                <w:szCs w:val="15"/>
              </w:rPr>
              <w:t>山西同方知网印刷有限公司</w:t>
            </w:r>
          </w:p>
        </w:tc>
        <w:tc>
          <w:tcPr>
            <w:tcW w:w="444" w:type="dxa"/>
            <w:tcBorders>
              <w:top w:val="nil" w:sz="6" w:space="0" w:color="auto"/>
              <w:left w:val="nil" w:sz="6" w:space="0" w:color="auto"/>
              <w:bottom w:val="nil" w:sz="6" w:space="0" w:color="auto"/>
              <w:right w:val="nil" w:sz="6" w:space="0" w:color="auto"/>
            </w:tcBorders>
          </w:tcPr>
          <w:p>
            <w:pPr>
              <w:pStyle w:val="TableParagraph"/>
              <w:spacing w:line="240" w:lineRule="auto" w:before="72"/>
              <w:ind w:left="54"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1"/>
              <w:jc w:val="right"/>
              <w:rPr>
                <w:rFonts w:ascii="宋体" w:hAnsi="宋体" w:cs="宋体" w:eastAsia="宋体" w:hint="default"/>
                <w:sz w:val="15"/>
                <w:szCs w:val="15"/>
              </w:rPr>
            </w:pPr>
            <w:r>
              <w:rPr>
                <w:rFonts w:ascii="宋体" w:hAnsi="宋体"/>
                <w:spacing w:val="-2"/>
                <w:sz w:val="15"/>
              </w:rPr>
              <w:t>¥2,000.00</w:t>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0"/>
              <w:jc w:val="center"/>
              <w:rPr>
                <w:rFonts w:ascii="宋体" w:hAnsi="宋体" w:cs="宋体" w:eastAsia="宋体" w:hint="default"/>
                <w:sz w:val="15"/>
                <w:szCs w:val="15"/>
              </w:rPr>
            </w:pPr>
            <w:r>
              <w:rPr>
                <w:rFonts w:ascii="宋体"/>
                <w:sz w:val="15"/>
              </w:rPr>
              <w:t>100.00%</w:t>
            </w:r>
          </w:p>
        </w:tc>
        <w:tc>
          <w:tcPr>
            <w:tcW w:w="824"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08" w:right="0"/>
              <w:jc w:val="left"/>
              <w:rPr>
                <w:rFonts w:ascii="宋体" w:hAnsi="宋体" w:cs="宋体" w:eastAsia="宋体" w:hint="default"/>
                <w:sz w:val="15"/>
                <w:szCs w:val="15"/>
              </w:rPr>
            </w:pPr>
            <w:r>
              <w:rPr>
                <w:rFonts w:ascii="宋体" w:hAnsi="宋体" w:cs="宋体" w:eastAsia="宋体" w:hint="default"/>
                <w:sz w:val="15"/>
                <w:szCs w:val="15"/>
              </w:rPr>
              <w:t>山西太原</w:t>
            </w:r>
          </w:p>
        </w:tc>
        <w:tc>
          <w:tcPr>
            <w:tcW w:w="3632" w:type="dxa"/>
            <w:tcBorders>
              <w:top w:val="nil" w:sz="6" w:space="0" w:color="auto"/>
              <w:left w:val="nil" w:sz="6" w:space="0" w:color="auto"/>
              <w:bottom w:val="nil" w:sz="6" w:space="0" w:color="auto"/>
              <w:right w:val="nil" w:sz="6" w:space="0" w:color="auto"/>
            </w:tcBorders>
          </w:tcPr>
          <w:p>
            <w:pPr>
              <w:pStyle w:val="TableParagraph"/>
              <w:spacing w:line="172" w:lineRule="exact"/>
              <w:ind w:left="113" w:right="0"/>
              <w:jc w:val="left"/>
              <w:rPr>
                <w:rFonts w:ascii="宋体" w:hAnsi="宋体" w:cs="宋体" w:eastAsia="宋体" w:hint="default"/>
                <w:sz w:val="15"/>
                <w:szCs w:val="15"/>
              </w:rPr>
            </w:pPr>
            <w:r>
              <w:rPr>
                <w:rFonts w:ascii="宋体" w:hAnsi="宋体" w:cs="宋体" w:eastAsia="宋体" w:hint="default"/>
                <w:spacing w:val="-4"/>
                <w:sz w:val="15"/>
                <w:szCs w:val="15"/>
              </w:rPr>
              <w:t>出版物，其他印刷品。广告制作；包装装订；进出口</w:t>
            </w:r>
          </w:p>
          <w:p>
            <w:pPr>
              <w:pStyle w:val="TableParagraph"/>
              <w:spacing w:line="195" w:lineRule="exact"/>
              <w:ind w:left="113" w:right="0"/>
              <w:jc w:val="left"/>
              <w:rPr>
                <w:rFonts w:ascii="宋体" w:hAnsi="宋体" w:cs="宋体" w:eastAsia="宋体" w:hint="default"/>
                <w:sz w:val="15"/>
                <w:szCs w:val="15"/>
              </w:rPr>
            </w:pPr>
            <w:r>
              <w:rPr>
                <w:rFonts w:ascii="宋体" w:hAnsi="宋体" w:cs="宋体" w:eastAsia="宋体" w:hint="default"/>
                <w:sz w:val="15"/>
                <w:szCs w:val="15"/>
              </w:rPr>
              <w:t>业务</w:t>
            </w:r>
          </w:p>
        </w:tc>
      </w:tr>
      <w:tr>
        <w:trPr>
          <w:trHeight w:val="403" w:hRule="exact"/>
        </w:trPr>
        <w:tc>
          <w:tcPr>
            <w:tcW w:w="2176" w:type="dxa"/>
            <w:tcBorders>
              <w:top w:val="nil" w:sz="6" w:space="0" w:color="auto"/>
              <w:left w:val="nil" w:sz="6" w:space="0" w:color="auto"/>
              <w:bottom w:val="single" w:sz="12" w:space="0" w:color="000000"/>
              <w:right w:val="nil" w:sz="6" w:space="0" w:color="auto"/>
            </w:tcBorders>
          </w:tcPr>
          <w:p>
            <w:pPr>
              <w:pStyle w:val="TableParagraph"/>
              <w:spacing w:line="240" w:lineRule="auto" w:before="72"/>
              <w:ind w:left="19" w:right="0"/>
              <w:jc w:val="left"/>
              <w:rPr>
                <w:rFonts w:ascii="宋体" w:hAnsi="宋体" w:cs="宋体" w:eastAsia="宋体" w:hint="default"/>
                <w:sz w:val="15"/>
                <w:szCs w:val="15"/>
              </w:rPr>
            </w:pPr>
            <w:r>
              <w:rPr>
                <w:rFonts w:ascii="宋体" w:hAnsi="宋体" w:cs="宋体" w:eastAsia="宋体" w:hint="default"/>
                <w:sz w:val="15"/>
                <w:szCs w:val="15"/>
              </w:rPr>
              <w:t>贵州同方知网科技发展有限公司</w:t>
            </w:r>
          </w:p>
        </w:tc>
        <w:tc>
          <w:tcPr>
            <w:tcW w:w="444" w:type="dxa"/>
            <w:tcBorders>
              <w:top w:val="nil" w:sz="6" w:space="0" w:color="auto"/>
              <w:left w:val="nil" w:sz="6" w:space="0" w:color="auto"/>
              <w:bottom w:val="single" w:sz="12" w:space="0" w:color="000000"/>
              <w:right w:val="nil" w:sz="6" w:space="0" w:color="auto"/>
            </w:tcBorders>
          </w:tcPr>
          <w:p>
            <w:pPr>
              <w:pStyle w:val="TableParagraph"/>
              <w:spacing w:line="240" w:lineRule="auto" w:before="72"/>
              <w:ind w:left="54"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71" w:type="dxa"/>
            <w:tcBorders>
              <w:top w:val="nil" w:sz="6" w:space="0" w:color="auto"/>
              <w:left w:val="nil" w:sz="6" w:space="0" w:color="auto"/>
              <w:bottom w:val="single" w:sz="12" w:space="0" w:color="000000"/>
              <w:right w:val="nil" w:sz="6" w:space="0" w:color="auto"/>
            </w:tcBorders>
          </w:tcPr>
          <w:p>
            <w:pPr>
              <w:pStyle w:val="TableParagraph"/>
              <w:spacing w:line="240" w:lineRule="auto" w:before="72"/>
              <w:ind w:right="61"/>
              <w:jc w:val="right"/>
              <w:rPr>
                <w:rFonts w:ascii="宋体" w:hAnsi="宋体" w:cs="宋体" w:eastAsia="宋体" w:hint="default"/>
                <w:sz w:val="15"/>
                <w:szCs w:val="15"/>
              </w:rPr>
            </w:pPr>
            <w:r>
              <w:rPr>
                <w:rFonts w:ascii="宋体" w:hAnsi="宋体"/>
                <w:spacing w:val="-2"/>
                <w:sz w:val="15"/>
              </w:rPr>
              <w:t>¥1,000.00</w:t>
            </w:r>
          </w:p>
        </w:tc>
        <w:tc>
          <w:tcPr>
            <w:tcW w:w="678" w:type="dxa"/>
            <w:tcBorders>
              <w:top w:val="nil" w:sz="6" w:space="0" w:color="auto"/>
              <w:left w:val="nil" w:sz="6" w:space="0" w:color="auto"/>
              <w:bottom w:val="single" w:sz="12" w:space="0" w:color="000000"/>
              <w:right w:val="nil" w:sz="6" w:space="0" w:color="auto"/>
            </w:tcBorders>
          </w:tcPr>
          <w:p>
            <w:pPr>
              <w:pStyle w:val="TableParagraph"/>
              <w:spacing w:line="240" w:lineRule="auto" w:before="72"/>
              <w:ind w:right="20"/>
              <w:jc w:val="center"/>
              <w:rPr>
                <w:rFonts w:ascii="宋体" w:hAnsi="宋体" w:cs="宋体" w:eastAsia="宋体" w:hint="default"/>
                <w:sz w:val="15"/>
                <w:szCs w:val="15"/>
              </w:rPr>
            </w:pPr>
            <w:r>
              <w:rPr>
                <w:rFonts w:ascii="宋体"/>
                <w:sz w:val="15"/>
              </w:rPr>
              <w:t>100.00%</w:t>
            </w:r>
          </w:p>
        </w:tc>
        <w:tc>
          <w:tcPr>
            <w:tcW w:w="824" w:type="dxa"/>
            <w:tcBorders>
              <w:top w:val="nil" w:sz="6" w:space="0" w:color="auto"/>
              <w:left w:val="nil" w:sz="6" w:space="0" w:color="auto"/>
              <w:bottom w:val="single" w:sz="12" w:space="0" w:color="000000"/>
              <w:right w:val="nil" w:sz="6" w:space="0" w:color="auto"/>
            </w:tcBorders>
          </w:tcPr>
          <w:p>
            <w:pPr>
              <w:pStyle w:val="TableParagraph"/>
              <w:spacing w:line="240" w:lineRule="auto" w:before="72"/>
              <w:ind w:left="108" w:right="0"/>
              <w:jc w:val="left"/>
              <w:rPr>
                <w:rFonts w:ascii="宋体" w:hAnsi="宋体" w:cs="宋体" w:eastAsia="宋体" w:hint="default"/>
                <w:sz w:val="15"/>
                <w:szCs w:val="15"/>
              </w:rPr>
            </w:pPr>
            <w:r>
              <w:rPr>
                <w:rFonts w:ascii="宋体" w:hAnsi="宋体" w:cs="宋体" w:eastAsia="宋体" w:hint="default"/>
                <w:sz w:val="15"/>
                <w:szCs w:val="15"/>
              </w:rPr>
              <w:t>贵州贵阳</w:t>
            </w:r>
          </w:p>
        </w:tc>
        <w:tc>
          <w:tcPr>
            <w:tcW w:w="3632" w:type="dxa"/>
            <w:tcBorders>
              <w:top w:val="nil" w:sz="6" w:space="0" w:color="auto"/>
              <w:left w:val="nil" w:sz="6" w:space="0" w:color="auto"/>
              <w:bottom w:val="single" w:sz="12" w:space="0" w:color="000000"/>
              <w:right w:val="nil" w:sz="6" w:space="0" w:color="auto"/>
            </w:tcBorders>
          </w:tcPr>
          <w:p>
            <w:pPr>
              <w:pStyle w:val="TableParagraph"/>
              <w:spacing w:line="172" w:lineRule="exact"/>
              <w:ind w:left="113" w:right="0"/>
              <w:jc w:val="left"/>
              <w:rPr>
                <w:rFonts w:ascii="宋体" w:hAnsi="宋体" w:cs="宋体" w:eastAsia="宋体" w:hint="default"/>
                <w:sz w:val="15"/>
                <w:szCs w:val="15"/>
              </w:rPr>
            </w:pPr>
            <w:r>
              <w:rPr>
                <w:rFonts w:ascii="宋体" w:hAnsi="宋体" w:cs="宋体" w:eastAsia="宋体" w:hint="default"/>
                <w:spacing w:val="-4"/>
                <w:sz w:val="15"/>
                <w:szCs w:val="15"/>
              </w:rPr>
              <w:t>研发及销售计算机软硬件、配件、外围设备、电子产</w:t>
            </w:r>
          </w:p>
          <w:p>
            <w:pPr>
              <w:pStyle w:val="TableParagraph"/>
              <w:spacing w:line="195" w:lineRule="exact"/>
              <w:ind w:left="113" w:right="0"/>
              <w:jc w:val="left"/>
              <w:rPr>
                <w:rFonts w:ascii="宋体" w:hAnsi="宋体" w:cs="宋体" w:eastAsia="宋体" w:hint="default"/>
                <w:sz w:val="15"/>
                <w:szCs w:val="15"/>
              </w:rPr>
            </w:pPr>
            <w:r>
              <w:rPr>
                <w:rFonts w:ascii="宋体" w:hAnsi="宋体" w:cs="宋体" w:eastAsia="宋体" w:hint="default"/>
                <w:spacing w:val="-7"/>
                <w:sz w:val="15"/>
                <w:szCs w:val="15"/>
              </w:rPr>
              <w:t>品；计算机领域内的技术转让、技术服务、技术咨询；</w:t>
            </w:r>
          </w:p>
        </w:tc>
      </w:tr>
    </w:tbl>
    <w:p>
      <w:pPr>
        <w:spacing w:after="0" w:line="195" w:lineRule="exact"/>
        <w:jc w:val="left"/>
        <w:rPr>
          <w:rFonts w:ascii="宋体" w:hAnsi="宋体" w:cs="宋体" w:eastAsia="宋体" w:hint="default"/>
          <w:sz w:val="15"/>
          <w:szCs w:val="15"/>
        </w:rPr>
        <w:sectPr>
          <w:pgSz w:w="11910" w:h="16840"/>
          <w:pgMar w:header="0" w:footer="1034" w:top="1320" w:bottom="1220" w:left="1460" w:right="1480"/>
        </w:sectPr>
      </w:pPr>
    </w:p>
    <w:p>
      <w:pPr>
        <w:spacing w:line="240" w:lineRule="auto" w:before="4"/>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199"/>
        <w:gridCol w:w="377"/>
        <w:gridCol w:w="1030"/>
        <w:gridCol w:w="652"/>
        <w:gridCol w:w="902"/>
        <w:gridCol w:w="3581"/>
      </w:tblGrid>
      <w:tr>
        <w:trPr>
          <w:trHeight w:val="485" w:hRule="exact"/>
        </w:trPr>
        <w:tc>
          <w:tcPr>
            <w:tcW w:w="2199" w:type="dxa"/>
            <w:tcBorders>
              <w:top w:val="single" w:sz="12" w:space="0" w:color="000000"/>
              <w:left w:val="nil" w:sz="6" w:space="0" w:color="auto"/>
              <w:bottom w:val="single" w:sz="4" w:space="0" w:color="000000"/>
              <w:right w:val="nil" w:sz="6" w:space="0" w:color="auto"/>
            </w:tcBorders>
          </w:tcPr>
          <w:p>
            <w:pPr>
              <w:pStyle w:val="TableParagraph"/>
              <w:spacing w:line="240" w:lineRule="auto" w:before="113"/>
              <w:ind w:left="575" w:right="0"/>
              <w:jc w:val="left"/>
              <w:rPr>
                <w:rFonts w:ascii="宋体" w:hAnsi="宋体" w:cs="宋体" w:eastAsia="宋体" w:hint="default"/>
                <w:sz w:val="15"/>
                <w:szCs w:val="15"/>
              </w:rPr>
            </w:pPr>
            <w:r>
              <w:rPr>
                <w:rFonts w:ascii="宋体" w:hAnsi="宋体" w:cs="宋体" w:eastAsia="宋体" w:hint="default"/>
                <w:b/>
                <w:bCs/>
                <w:sz w:val="15"/>
                <w:szCs w:val="15"/>
              </w:rPr>
              <w:t>控股子公司名称</w:t>
            </w:r>
            <w:r>
              <w:rPr>
                <w:rFonts w:ascii="宋体" w:hAnsi="宋体" w:cs="宋体" w:eastAsia="宋体" w:hint="default"/>
                <w:sz w:val="15"/>
                <w:szCs w:val="15"/>
              </w:rPr>
            </w:r>
          </w:p>
        </w:tc>
        <w:tc>
          <w:tcPr>
            <w:tcW w:w="377"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108" w:right="115"/>
              <w:jc w:val="left"/>
              <w:rPr>
                <w:rFonts w:ascii="宋体" w:hAnsi="宋体" w:cs="宋体" w:eastAsia="宋体" w:hint="default"/>
                <w:sz w:val="15"/>
                <w:szCs w:val="15"/>
              </w:rPr>
            </w:pPr>
            <w:r>
              <w:rPr>
                <w:rFonts w:ascii="宋体" w:hAnsi="宋体" w:cs="宋体" w:eastAsia="宋体" w:hint="default"/>
                <w:b/>
                <w:bCs/>
                <w:sz w:val="15"/>
                <w:szCs w:val="15"/>
              </w:rPr>
              <w:t>级</w:t>
            </w:r>
            <w:r>
              <w:rPr>
                <w:rFonts w:ascii="宋体" w:hAnsi="宋体" w:cs="宋体" w:eastAsia="宋体" w:hint="default"/>
                <w:b/>
                <w:bCs/>
                <w:w w:val="100"/>
                <w:sz w:val="15"/>
                <w:szCs w:val="15"/>
              </w:rPr>
              <w:t> </w:t>
            </w:r>
            <w:r>
              <w:rPr>
                <w:rFonts w:ascii="宋体" w:hAnsi="宋体" w:cs="宋体" w:eastAsia="宋体" w:hint="default"/>
                <w:b/>
                <w:bCs/>
                <w:sz w:val="15"/>
                <w:szCs w:val="15"/>
              </w:rPr>
              <w:t>次</w:t>
            </w:r>
            <w:r>
              <w:rPr>
                <w:rFonts w:ascii="宋体" w:hAnsi="宋体" w:cs="宋体" w:eastAsia="宋体" w:hint="default"/>
                <w:sz w:val="15"/>
                <w:szCs w:val="15"/>
              </w:rPr>
            </w:r>
          </w:p>
        </w:tc>
        <w:tc>
          <w:tcPr>
            <w:tcW w:w="1030" w:type="dxa"/>
            <w:tcBorders>
              <w:top w:val="single" w:sz="12" w:space="0" w:color="000000"/>
              <w:left w:val="nil" w:sz="6" w:space="0" w:color="auto"/>
              <w:bottom w:val="single" w:sz="4" w:space="0" w:color="000000"/>
              <w:right w:val="nil" w:sz="6" w:space="0" w:color="auto"/>
            </w:tcBorders>
          </w:tcPr>
          <w:p>
            <w:pPr>
              <w:pStyle w:val="TableParagraph"/>
              <w:spacing w:line="196" w:lineRule="exact" w:before="14"/>
              <w:ind w:left="184" w:right="0"/>
              <w:jc w:val="left"/>
              <w:rPr>
                <w:rFonts w:ascii="宋体" w:hAnsi="宋体" w:cs="宋体" w:eastAsia="宋体" w:hint="default"/>
                <w:sz w:val="15"/>
                <w:szCs w:val="15"/>
              </w:rPr>
            </w:pPr>
            <w:r>
              <w:rPr>
                <w:rFonts w:ascii="宋体" w:hAnsi="宋体" w:cs="宋体" w:eastAsia="宋体" w:hint="default"/>
                <w:b/>
                <w:bCs/>
                <w:sz w:val="15"/>
                <w:szCs w:val="15"/>
              </w:rPr>
              <w:t>注册资本</w:t>
            </w:r>
            <w:r>
              <w:rPr>
                <w:rFonts w:ascii="宋体" w:hAnsi="宋体" w:cs="宋体" w:eastAsia="宋体" w:hint="default"/>
                <w:sz w:val="15"/>
                <w:szCs w:val="15"/>
              </w:rPr>
            </w:r>
          </w:p>
          <w:p>
            <w:pPr>
              <w:pStyle w:val="TableParagraph"/>
              <w:spacing w:line="196" w:lineRule="exact"/>
              <w:ind w:left="184" w:right="0"/>
              <w:jc w:val="left"/>
              <w:rPr>
                <w:rFonts w:ascii="宋体" w:hAnsi="宋体" w:cs="宋体" w:eastAsia="宋体" w:hint="default"/>
                <w:sz w:val="15"/>
                <w:szCs w:val="15"/>
              </w:rPr>
            </w:pPr>
            <w:r>
              <w:rPr>
                <w:rFonts w:ascii="宋体" w:hAnsi="宋体" w:cs="宋体" w:eastAsia="宋体" w:hint="default"/>
                <w:b/>
                <w:bCs/>
                <w:sz w:val="15"/>
                <w:szCs w:val="15"/>
              </w:rPr>
              <w:t>（万元）</w:t>
            </w:r>
            <w:r>
              <w:rPr>
                <w:rFonts w:ascii="宋体" w:hAnsi="宋体" w:cs="宋体" w:eastAsia="宋体" w:hint="default"/>
                <w:sz w:val="15"/>
                <w:szCs w:val="15"/>
              </w:rPr>
            </w:r>
          </w:p>
        </w:tc>
        <w:tc>
          <w:tcPr>
            <w:tcW w:w="652"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210" w:right="134" w:hanging="149"/>
              <w:jc w:val="left"/>
              <w:rPr>
                <w:rFonts w:ascii="宋体" w:hAnsi="宋体" w:cs="宋体" w:eastAsia="宋体" w:hint="default"/>
                <w:sz w:val="15"/>
                <w:szCs w:val="15"/>
              </w:rPr>
            </w:pPr>
            <w:r>
              <w:rPr>
                <w:rFonts w:ascii="宋体" w:hAnsi="宋体" w:cs="宋体" w:eastAsia="宋体" w:hint="default"/>
                <w:b/>
                <w:bCs/>
                <w:sz w:val="15"/>
                <w:szCs w:val="15"/>
              </w:rPr>
              <w:t>持股比</w:t>
            </w:r>
            <w:r>
              <w:rPr>
                <w:rFonts w:ascii="宋体" w:hAnsi="宋体" w:cs="宋体" w:eastAsia="宋体" w:hint="default"/>
                <w:b/>
                <w:bCs/>
                <w:w w:val="100"/>
                <w:sz w:val="15"/>
                <w:szCs w:val="15"/>
              </w:rPr>
              <w:t> </w:t>
            </w:r>
            <w:r>
              <w:rPr>
                <w:rFonts w:ascii="宋体" w:hAnsi="宋体" w:cs="宋体" w:eastAsia="宋体" w:hint="default"/>
                <w:b/>
                <w:bCs/>
                <w:sz w:val="15"/>
                <w:szCs w:val="15"/>
              </w:rPr>
              <w:t>例</w:t>
            </w:r>
            <w:r>
              <w:rPr>
                <w:rFonts w:ascii="宋体" w:hAnsi="宋体" w:cs="宋体" w:eastAsia="宋体" w:hint="default"/>
                <w:sz w:val="15"/>
                <w:szCs w:val="15"/>
              </w:rPr>
            </w:r>
          </w:p>
        </w:tc>
        <w:tc>
          <w:tcPr>
            <w:tcW w:w="902" w:type="dxa"/>
            <w:tcBorders>
              <w:top w:val="single" w:sz="12" w:space="0" w:color="000000"/>
              <w:left w:val="nil" w:sz="6" w:space="0" w:color="auto"/>
              <w:bottom w:val="single" w:sz="4" w:space="0" w:color="000000"/>
              <w:right w:val="nil" w:sz="6" w:space="0" w:color="auto"/>
            </w:tcBorders>
          </w:tcPr>
          <w:p>
            <w:pPr>
              <w:pStyle w:val="TableParagraph"/>
              <w:spacing w:line="240" w:lineRule="auto" w:before="113"/>
              <w:ind w:right="67"/>
              <w:jc w:val="center"/>
              <w:rPr>
                <w:rFonts w:ascii="宋体" w:hAnsi="宋体" w:cs="宋体" w:eastAsia="宋体" w:hint="default"/>
                <w:sz w:val="15"/>
                <w:szCs w:val="15"/>
              </w:rPr>
            </w:pPr>
            <w:r>
              <w:rPr>
                <w:rFonts w:ascii="宋体" w:hAnsi="宋体" w:cs="宋体" w:eastAsia="宋体" w:hint="default"/>
                <w:b/>
                <w:bCs/>
                <w:sz w:val="15"/>
                <w:szCs w:val="15"/>
              </w:rPr>
              <w:t>注册地址</w:t>
            </w:r>
            <w:r>
              <w:rPr>
                <w:rFonts w:ascii="宋体" w:hAnsi="宋体" w:cs="宋体" w:eastAsia="宋体" w:hint="default"/>
                <w:sz w:val="15"/>
                <w:szCs w:val="15"/>
              </w:rPr>
            </w:r>
          </w:p>
        </w:tc>
        <w:tc>
          <w:tcPr>
            <w:tcW w:w="3581" w:type="dxa"/>
            <w:tcBorders>
              <w:top w:val="single" w:sz="12" w:space="0" w:color="000000"/>
              <w:left w:val="nil" w:sz="6" w:space="0" w:color="auto"/>
              <w:bottom w:val="single" w:sz="4" w:space="0" w:color="000000"/>
              <w:right w:val="nil" w:sz="6" w:space="0" w:color="auto"/>
            </w:tcBorders>
          </w:tcPr>
          <w:p>
            <w:pPr>
              <w:pStyle w:val="TableParagraph"/>
              <w:spacing w:line="240" w:lineRule="auto" w:before="113"/>
              <w:ind w:right="46"/>
              <w:jc w:val="center"/>
              <w:rPr>
                <w:rFonts w:ascii="宋体" w:hAnsi="宋体" w:cs="宋体" w:eastAsia="宋体" w:hint="default"/>
                <w:sz w:val="15"/>
                <w:szCs w:val="15"/>
              </w:rPr>
            </w:pPr>
            <w:r>
              <w:rPr>
                <w:rFonts w:ascii="宋体" w:hAnsi="宋体" w:cs="宋体" w:eastAsia="宋体" w:hint="default"/>
                <w:b/>
                <w:bCs/>
                <w:sz w:val="15"/>
                <w:szCs w:val="15"/>
              </w:rPr>
              <w:t>主营业务</w:t>
            </w:r>
            <w:r>
              <w:rPr>
                <w:rFonts w:ascii="宋体" w:hAnsi="宋体" w:cs="宋体" w:eastAsia="宋体" w:hint="default"/>
                <w:sz w:val="15"/>
                <w:szCs w:val="15"/>
              </w:rPr>
            </w:r>
          </w:p>
        </w:tc>
      </w:tr>
      <w:tr>
        <w:trPr>
          <w:trHeight w:val="405" w:hRule="exact"/>
        </w:trPr>
        <w:tc>
          <w:tcPr>
            <w:tcW w:w="2199" w:type="dxa"/>
            <w:tcBorders>
              <w:top w:val="single" w:sz="4" w:space="0" w:color="000000"/>
              <w:left w:val="nil" w:sz="6" w:space="0" w:color="auto"/>
              <w:bottom w:val="nil" w:sz="6" w:space="0" w:color="auto"/>
              <w:right w:val="nil" w:sz="6" w:space="0" w:color="auto"/>
            </w:tcBorders>
          </w:tcPr>
          <w:p>
            <w:pPr/>
          </w:p>
        </w:tc>
        <w:tc>
          <w:tcPr>
            <w:tcW w:w="377" w:type="dxa"/>
            <w:tcBorders>
              <w:top w:val="single" w:sz="4" w:space="0" w:color="000000"/>
              <w:left w:val="nil" w:sz="6" w:space="0" w:color="auto"/>
              <w:bottom w:val="nil" w:sz="6" w:space="0" w:color="auto"/>
              <w:right w:val="nil" w:sz="6" w:space="0" w:color="auto"/>
            </w:tcBorders>
          </w:tcPr>
          <w:p>
            <w:pPr/>
          </w:p>
        </w:tc>
        <w:tc>
          <w:tcPr>
            <w:tcW w:w="1030" w:type="dxa"/>
            <w:tcBorders>
              <w:top w:val="single" w:sz="4" w:space="0" w:color="000000"/>
              <w:left w:val="nil" w:sz="6" w:space="0" w:color="auto"/>
              <w:bottom w:val="nil" w:sz="6" w:space="0" w:color="auto"/>
              <w:right w:val="nil" w:sz="6" w:space="0" w:color="auto"/>
            </w:tcBorders>
          </w:tcPr>
          <w:p>
            <w:pPr/>
          </w:p>
        </w:tc>
        <w:tc>
          <w:tcPr>
            <w:tcW w:w="652" w:type="dxa"/>
            <w:tcBorders>
              <w:top w:val="single" w:sz="4" w:space="0" w:color="000000"/>
              <w:left w:val="nil" w:sz="6" w:space="0" w:color="auto"/>
              <w:bottom w:val="nil" w:sz="6" w:space="0" w:color="auto"/>
              <w:right w:val="nil" w:sz="6" w:space="0" w:color="auto"/>
            </w:tcBorders>
          </w:tcPr>
          <w:p>
            <w:pPr/>
          </w:p>
        </w:tc>
        <w:tc>
          <w:tcPr>
            <w:tcW w:w="902" w:type="dxa"/>
            <w:tcBorders>
              <w:top w:val="single" w:sz="4" w:space="0" w:color="000000"/>
              <w:left w:val="nil" w:sz="6" w:space="0" w:color="auto"/>
              <w:bottom w:val="nil" w:sz="6" w:space="0" w:color="auto"/>
              <w:right w:val="nil" w:sz="6" w:space="0" w:color="auto"/>
            </w:tcBorders>
          </w:tcPr>
          <w:p>
            <w:pPr/>
          </w:p>
        </w:tc>
        <w:tc>
          <w:tcPr>
            <w:tcW w:w="3581" w:type="dxa"/>
            <w:tcBorders>
              <w:top w:val="single" w:sz="4" w:space="0" w:color="000000"/>
              <w:left w:val="nil" w:sz="6" w:space="0" w:color="auto"/>
              <w:bottom w:val="nil" w:sz="6" w:space="0" w:color="auto"/>
              <w:right w:val="nil" w:sz="6" w:space="0" w:color="auto"/>
            </w:tcBorders>
          </w:tcPr>
          <w:p>
            <w:pPr>
              <w:pStyle w:val="TableParagraph"/>
              <w:spacing w:line="171" w:lineRule="exact"/>
              <w:ind w:left="61" w:right="0"/>
              <w:jc w:val="left"/>
              <w:rPr>
                <w:rFonts w:ascii="宋体" w:hAnsi="宋体" w:cs="宋体" w:eastAsia="宋体" w:hint="default"/>
                <w:sz w:val="15"/>
                <w:szCs w:val="15"/>
              </w:rPr>
            </w:pPr>
            <w:r>
              <w:rPr>
                <w:rFonts w:ascii="宋体" w:hAnsi="宋体" w:cs="宋体" w:eastAsia="宋体" w:hint="default"/>
                <w:sz w:val="15"/>
                <w:szCs w:val="15"/>
              </w:rPr>
              <w:t>进出口贸易（国家限制和禁止的项目除外）；销售：</w:t>
            </w:r>
          </w:p>
          <w:p>
            <w:pPr>
              <w:pStyle w:val="TableParagraph"/>
              <w:spacing w:line="195" w:lineRule="exact"/>
              <w:ind w:left="61" w:right="0"/>
              <w:jc w:val="left"/>
              <w:rPr>
                <w:rFonts w:ascii="宋体" w:hAnsi="宋体" w:cs="宋体" w:eastAsia="宋体" w:hint="default"/>
                <w:sz w:val="15"/>
                <w:szCs w:val="15"/>
              </w:rPr>
            </w:pPr>
            <w:r>
              <w:rPr>
                <w:rFonts w:ascii="宋体" w:hAnsi="宋体" w:cs="宋体" w:eastAsia="宋体" w:hint="default"/>
                <w:sz w:val="15"/>
                <w:szCs w:val="15"/>
              </w:rPr>
              <w:t>出版物（持许可证经营）。）</w:t>
            </w:r>
          </w:p>
        </w:tc>
      </w:tr>
      <w:tr>
        <w:trPr>
          <w:trHeight w:val="217"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85" w:lineRule="exact"/>
              <w:ind w:left="33" w:right="0"/>
              <w:jc w:val="left"/>
              <w:rPr>
                <w:rFonts w:ascii="宋体" w:hAnsi="宋体" w:cs="宋体" w:eastAsia="宋体" w:hint="default"/>
                <w:sz w:val="15"/>
                <w:szCs w:val="15"/>
              </w:rPr>
            </w:pPr>
            <w:r>
              <w:rPr>
                <w:rFonts w:ascii="宋体" w:hAnsi="宋体" w:cs="宋体" w:eastAsia="宋体" w:hint="default"/>
                <w:sz w:val="15"/>
                <w:szCs w:val="15"/>
              </w:rPr>
              <w:t>同方威视技术股份有限公司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185" w:lineRule="exact"/>
              <w:ind w:right="19"/>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185" w:lineRule="exact"/>
              <w:ind w:right="60"/>
              <w:jc w:val="right"/>
              <w:rPr>
                <w:rFonts w:ascii="宋体" w:hAnsi="宋体" w:cs="宋体" w:eastAsia="宋体" w:hint="default"/>
                <w:sz w:val="15"/>
                <w:szCs w:val="15"/>
              </w:rPr>
            </w:pPr>
            <w:r>
              <w:rPr>
                <w:rFonts w:ascii="宋体" w:hAnsi="宋体"/>
                <w:spacing w:val="-1"/>
                <w:sz w:val="15"/>
              </w:rPr>
              <w:t>¥18,500.00</w:t>
            </w:r>
          </w:p>
        </w:tc>
        <w:tc>
          <w:tcPr>
            <w:tcW w:w="652" w:type="dxa"/>
            <w:tcBorders>
              <w:top w:val="nil" w:sz="6" w:space="0" w:color="auto"/>
              <w:left w:val="nil" w:sz="6" w:space="0" w:color="auto"/>
              <w:bottom w:val="nil" w:sz="6" w:space="0" w:color="auto"/>
              <w:right w:val="nil" w:sz="6" w:space="0" w:color="auto"/>
            </w:tcBorders>
          </w:tcPr>
          <w:p>
            <w:pPr>
              <w:pStyle w:val="TableParagraph"/>
              <w:spacing w:line="185" w:lineRule="exact"/>
              <w:ind w:left="78" w:right="0"/>
              <w:jc w:val="center"/>
              <w:rPr>
                <w:rFonts w:ascii="宋体" w:hAnsi="宋体" w:cs="宋体" w:eastAsia="宋体" w:hint="default"/>
                <w:sz w:val="15"/>
                <w:szCs w:val="15"/>
              </w:rPr>
            </w:pPr>
            <w:r>
              <w:rPr>
                <w:rFonts w:ascii="宋体"/>
                <w:sz w:val="15"/>
              </w:rPr>
              <w:t>71.25%</w:t>
            </w:r>
          </w:p>
        </w:tc>
        <w:tc>
          <w:tcPr>
            <w:tcW w:w="902" w:type="dxa"/>
            <w:tcBorders>
              <w:top w:val="nil" w:sz="6" w:space="0" w:color="auto"/>
              <w:left w:val="nil" w:sz="6" w:space="0" w:color="auto"/>
              <w:bottom w:val="nil" w:sz="6" w:space="0" w:color="auto"/>
              <w:right w:val="nil" w:sz="6" w:space="0" w:color="auto"/>
            </w:tcBorders>
          </w:tcPr>
          <w:p>
            <w:pPr>
              <w:pStyle w:val="TableParagraph"/>
              <w:spacing w:line="185" w:lineRule="exact"/>
              <w:ind w:right="26"/>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81" w:type="dxa"/>
            <w:tcBorders>
              <w:top w:val="nil" w:sz="6" w:space="0" w:color="auto"/>
              <w:left w:val="nil" w:sz="6" w:space="0" w:color="auto"/>
              <w:bottom w:val="nil" w:sz="6" w:space="0" w:color="auto"/>
              <w:right w:val="nil" w:sz="6" w:space="0" w:color="auto"/>
            </w:tcBorders>
          </w:tcPr>
          <w:p>
            <w:pPr>
              <w:pStyle w:val="TableParagraph"/>
              <w:spacing w:line="185" w:lineRule="exact"/>
              <w:ind w:left="61" w:right="0"/>
              <w:jc w:val="left"/>
              <w:rPr>
                <w:rFonts w:ascii="宋体" w:hAnsi="宋体" w:cs="宋体" w:eastAsia="宋体" w:hint="default"/>
                <w:sz w:val="15"/>
                <w:szCs w:val="15"/>
              </w:rPr>
            </w:pPr>
            <w:r>
              <w:rPr>
                <w:rFonts w:ascii="宋体" w:hAnsi="宋体" w:cs="宋体" w:eastAsia="宋体" w:hint="default"/>
                <w:sz w:val="15"/>
                <w:szCs w:val="15"/>
              </w:rPr>
              <w:t>核放射集装箱</w:t>
            </w:r>
            <w:r>
              <w:rPr>
                <w:rFonts w:ascii="宋体" w:hAnsi="宋体" w:cs="宋体" w:eastAsia="宋体" w:hint="default"/>
                <w:sz w:val="15"/>
                <w:szCs w:val="15"/>
              </w:rPr>
              <w:t>/</w:t>
            </w:r>
            <w:r>
              <w:rPr>
                <w:rFonts w:ascii="宋体" w:hAnsi="宋体" w:cs="宋体" w:eastAsia="宋体" w:hint="default"/>
                <w:sz w:val="15"/>
                <w:szCs w:val="15"/>
              </w:rPr>
              <w:t>物品检查系统、工业射线装置</w:t>
            </w:r>
          </w:p>
        </w:tc>
      </w:tr>
      <w:tr>
        <w:trPr>
          <w:trHeight w:val="412"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94" w:lineRule="exact" w:before="7"/>
              <w:ind w:left="33" w:right="60"/>
              <w:jc w:val="left"/>
              <w:rPr>
                <w:rFonts w:ascii="宋体" w:hAnsi="宋体" w:cs="宋体" w:eastAsia="宋体" w:hint="default"/>
                <w:sz w:val="15"/>
                <w:szCs w:val="15"/>
              </w:rPr>
            </w:pPr>
            <w:r>
              <w:rPr>
                <w:rFonts w:ascii="宋体" w:hAnsi="宋体" w:cs="宋体" w:eastAsia="宋体" w:hint="default"/>
                <w:spacing w:val="-2"/>
                <w:sz w:val="15"/>
                <w:szCs w:val="15"/>
              </w:rPr>
              <w:t>清华同方威视技术（香港）有限</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9"/>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0"/>
              <w:jc w:val="right"/>
              <w:rPr>
                <w:rFonts w:ascii="宋体" w:hAnsi="宋体" w:cs="宋体" w:eastAsia="宋体" w:hint="default"/>
                <w:sz w:val="15"/>
                <w:szCs w:val="15"/>
              </w:rPr>
            </w:pPr>
            <w:r>
              <w:rPr>
                <w:rFonts w:ascii="宋体"/>
                <w:spacing w:val="-2"/>
                <w:sz w:val="15"/>
              </w:rPr>
              <w:t>HKD17,411.18</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6"/>
              <w:jc w:val="center"/>
              <w:rPr>
                <w:rFonts w:ascii="宋体" w:hAnsi="宋体" w:cs="宋体" w:eastAsia="宋体" w:hint="default"/>
                <w:sz w:val="15"/>
                <w:szCs w:val="15"/>
              </w:rPr>
            </w:pPr>
            <w:r>
              <w:rPr>
                <w:rFonts w:ascii="宋体" w:hAnsi="宋体" w:cs="宋体" w:eastAsia="宋体" w:hint="default"/>
                <w:sz w:val="15"/>
                <w:szCs w:val="15"/>
              </w:rPr>
              <w:t>中国香港</w:t>
            </w:r>
          </w:p>
        </w:tc>
        <w:tc>
          <w:tcPr>
            <w:tcW w:w="358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1" w:right="0"/>
              <w:jc w:val="left"/>
              <w:rPr>
                <w:rFonts w:ascii="宋体" w:hAnsi="宋体" w:cs="宋体" w:eastAsia="宋体" w:hint="default"/>
                <w:sz w:val="15"/>
                <w:szCs w:val="15"/>
              </w:rPr>
            </w:pPr>
            <w:r>
              <w:rPr>
                <w:rFonts w:ascii="宋体" w:hAnsi="宋体" w:cs="宋体" w:eastAsia="宋体" w:hint="default"/>
                <w:sz w:val="15"/>
                <w:szCs w:val="15"/>
              </w:rPr>
              <w:t>集装箱检查系统安装服务与技术支持</w:t>
            </w:r>
          </w:p>
        </w:tc>
      </w:tr>
      <w:tr>
        <w:trPr>
          <w:trHeight w:val="217"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85" w:lineRule="exact"/>
              <w:ind w:left="33" w:right="0"/>
              <w:jc w:val="left"/>
              <w:rPr>
                <w:rFonts w:ascii="宋体" w:hAnsi="宋体" w:cs="宋体" w:eastAsia="宋体" w:hint="default"/>
                <w:sz w:val="15"/>
                <w:szCs w:val="15"/>
              </w:rPr>
            </w:pPr>
            <w:r>
              <w:rPr>
                <w:rFonts w:ascii="宋体"/>
                <w:sz w:val="15"/>
              </w:rPr>
              <w:t>Nuctech Sydney Pty</w:t>
            </w:r>
            <w:r>
              <w:rPr>
                <w:rFonts w:ascii="宋体"/>
                <w:spacing w:val="-8"/>
                <w:sz w:val="15"/>
              </w:rPr>
              <w:t> </w:t>
            </w:r>
            <w:r>
              <w:rPr>
                <w:rFonts w:ascii="宋体"/>
                <w:sz w:val="15"/>
              </w:rPr>
              <w:t>Ltd.</w:t>
            </w:r>
          </w:p>
        </w:tc>
        <w:tc>
          <w:tcPr>
            <w:tcW w:w="377" w:type="dxa"/>
            <w:tcBorders>
              <w:top w:val="nil" w:sz="6" w:space="0" w:color="auto"/>
              <w:left w:val="nil" w:sz="6" w:space="0" w:color="auto"/>
              <w:bottom w:val="nil" w:sz="6" w:space="0" w:color="auto"/>
              <w:right w:val="nil" w:sz="6" w:space="0" w:color="auto"/>
            </w:tcBorders>
          </w:tcPr>
          <w:p>
            <w:pPr>
              <w:pStyle w:val="TableParagraph"/>
              <w:spacing w:line="185" w:lineRule="exact"/>
              <w:ind w:right="19"/>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185" w:lineRule="exact"/>
              <w:ind w:right="59"/>
              <w:jc w:val="right"/>
              <w:rPr>
                <w:rFonts w:ascii="宋体" w:hAnsi="宋体" w:cs="宋体" w:eastAsia="宋体" w:hint="default"/>
                <w:sz w:val="15"/>
                <w:szCs w:val="15"/>
              </w:rPr>
            </w:pPr>
            <w:r>
              <w:rPr>
                <w:rFonts w:ascii="宋体"/>
                <w:spacing w:val="-1"/>
                <w:sz w:val="15"/>
              </w:rPr>
              <w:t>AUD7.50</w:t>
            </w:r>
          </w:p>
        </w:tc>
        <w:tc>
          <w:tcPr>
            <w:tcW w:w="652" w:type="dxa"/>
            <w:tcBorders>
              <w:top w:val="nil" w:sz="6" w:space="0" w:color="auto"/>
              <w:left w:val="nil" w:sz="6" w:space="0" w:color="auto"/>
              <w:bottom w:val="nil" w:sz="6" w:space="0" w:color="auto"/>
              <w:right w:val="nil" w:sz="6" w:space="0" w:color="auto"/>
            </w:tcBorders>
          </w:tcPr>
          <w:p>
            <w:pPr>
              <w:pStyle w:val="TableParagraph"/>
              <w:spacing w:line="185" w:lineRule="exact"/>
              <w:ind w:left="78" w:right="0"/>
              <w:jc w:val="center"/>
              <w:rPr>
                <w:rFonts w:ascii="宋体" w:hAnsi="宋体" w:cs="宋体" w:eastAsia="宋体" w:hint="default"/>
                <w:sz w:val="15"/>
                <w:szCs w:val="15"/>
              </w:rPr>
            </w:pPr>
            <w:r>
              <w:rPr>
                <w:rFonts w:ascii="宋体"/>
                <w:sz w:val="15"/>
              </w:rPr>
              <w:t>90.00%</w:t>
            </w:r>
          </w:p>
        </w:tc>
        <w:tc>
          <w:tcPr>
            <w:tcW w:w="902" w:type="dxa"/>
            <w:tcBorders>
              <w:top w:val="nil" w:sz="6" w:space="0" w:color="auto"/>
              <w:left w:val="nil" w:sz="6" w:space="0" w:color="auto"/>
              <w:bottom w:val="nil" w:sz="6" w:space="0" w:color="auto"/>
              <w:right w:val="nil" w:sz="6" w:space="0" w:color="auto"/>
            </w:tcBorders>
          </w:tcPr>
          <w:p>
            <w:pPr>
              <w:pStyle w:val="TableParagraph"/>
              <w:spacing w:line="185" w:lineRule="exact"/>
              <w:ind w:right="26"/>
              <w:jc w:val="center"/>
              <w:rPr>
                <w:rFonts w:ascii="宋体" w:hAnsi="宋体" w:cs="宋体" w:eastAsia="宋体" w:hint="default"/>
                <w:sz w:val="15"/>
                <w:szCs w:val="15"/>
              </w:rPr>
            </w:pPr>
            <w:r>
              <w:rPr>
                <w:rFonts w:ascii="宋体" w:hAnsi="宋体" w:cs="宋体" w:eastAsia="宋体" w:hint="default"/>
                <w:sz w:val="15"/>
                <w:szCs w:val="15"/>
              </w:rPr>
              <w:t>澳洲悉尼</w:t>
            </w:r>
          </w:p>
        </w:tc>
        <w:tc>
          <w:tcPr>
            <w:tcW w:w="3581" w:type="dxa"/>
            <w:tcBorders>
              <w:top w:val="nil" w:sz="6" w:space="0" w:color="auto"/>
              <w:left w:val="nil" w:sz="6" w:space="0" w:color="auto"/>
              <w:bottom w:val="nil" w:sz="6" w:space="0" w:color="auto"/>
              <w:right w:val="nil" w:sz="6" w:space="0" w:color="auto"/>
            </w:tcBorders>
          </w:tcPr>
          <w:p>
            <w:pPr>
              <w:pStyle w:val="TableParagraph"/>
              <w:spacing w:line="185" w:lineRule="exact"/>
              <w:ind w:left="61" w:right="0"/>
              <w:jc w:val="left"/>
              <w:rPr>
                <w:rFonts w:ascii="宋体" w:hAnsi="宋体" w:cs="宋体" w:eastAsia="宋体" w:hint="default"/>
                <w:sz w:val="15"/>
                <w:szCs w:val="15"/>
              </w:rPr>
            </w:pPr>
            <w:r>
              <w:rPr>
                <w:rFonts w:ascii="宋体" w:hAnsi="宋体" w:cs="宋体" w:eastAsia="宋体" w:hint="default"/>
                <w:sz w:val="15"/>
                <w:szCs w:val="15"/>
              </w:rPr>
              <w:t>X</w:t>
            </w:r>
            <w:r>
              <w:rPr>
                <w:rFonts w:ascii="宋体" w:hAnsi="宋体" w:cs="宋体" w:eastAsia="宋体" w:hint="default"/>
                <w:spacing w:val="-39"/>
                <w:sz w:val="15"/>
                <w:szCs w:val="15"/>
              </w:rPr>
              <w:t> </w:t>
            </w:r>
            <w:r>
              <w:rPr>
                <w:rFonts w:ascii="宋体" w:hAnsi="宋体" w:cs="宋体" w:eastAsia="宋体" w:hint="default"/>
                <w:sz w:val="15"/>
                <w:szCs w:val="15"/>
              </w:rPr>
              <w:t>射线检查设备安装、分销及维护</w:t>
            </w:r>
          </w:p>
        </w:tc>
      </w:tr>
      <w:tr>
        <w:trPr>
          <w:trHeight w:val="402"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96" w:lineRule="exact" w:before="5"/>
              <w:ind w:left="33" w:right="212"/>
              <w:jc w:val="left"/>
              <w:rPr>
                <w:rFonts w:ascii="宋体" w:hAnsi="宋体" w:cs="宋体" w:eastAsia="宋体" w:hint="default"/>
                <w:sz w:val="15"/>
                <w:szCs w:val="15"/>
              </w:rPr>
            </w:pPr>
            <w:r>
              <w:rPr>
                <w:rFonts w:ascii="宋体"/>
                <w:sz w:val="15"/>
              </w:rPr>
              <w:t>Nuctech Warsaw</w:t>
            </w:r>
            <w:r>
              <w:rPr>
                <w:rFonts w:ascii="宋体"/>
                <w:spacing w:val="-10"/>
                <w:sz w:val="15"/>
              </w:rPr>
              <w:t> </w:t>
            </w:r>
            <w:r>
              <w:rPr>
                <w:rFonts w:ascii="宋体"/>
                <w:sz w:val="15"/>
              </w:rPr>
              <w:t>Co.,Limited</w:t>
            </w:r>
            <w:r>
              <w:rPr>
                <w:rFonts w:ascii="宋体"/>
                <w:w w:val="100"/>
                <w:sz w:val="15"/>
              </w:rPr>
              <w:t> </w:t>
            </w:r>
            <w:r>
              <w:rPr>
                <w:rFonts w:ascii="宋体"/>
                <w:sz w:val="15"/>
              </w:rPr>
              <w:t>Sp.zo.o.</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9"/>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0"/>
              <w:jc w:val="right"/>
              <w:rPr>
                <w:rFonts w:ascii="宋体" w:hAnsi="宋体" w:cs="宋体" w:eastAsia="宋体" w:hint="default"/>
                <w:sz w:val="15"/>
                <w:szCs w:val="15"/>
              </w:rPr>
            </w:pPr>
            <w:r>
              <w:rPr>
                <w:rFonts w:ascii="宋体"/>
                <w:spacing w:val="-1"/>
                <w:sz w:val="15"/>
              </w:rPr>
              <w:t>PLN2,530.00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8" w:right="0"/>
              <w:jc w:val="center"/>
              <w:rPr>
                <w:rFonts w:ascii="宋体" w:hAnsi="宋体" w:cs="宋体" w:eastAsia="宋体" w:hint="default"/>
                <w:sz w:val="15"/>
                <w:szCs w:val="15"/>
              </w:rPr>
            </w:pPr>
            <w:r>
              <w:rPr>
                <w:rFonts w:ascii="宋体"/>
                <w:sz w:val="15"/>
              </w:rPr>
              <w:t>99.99%</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6"/>
              <w:jc w:val="center"/>
              <w:rPr>
                <w:rFonts w:ascii="宋体" w:hAnsi="宋体" w:cs="宋体" w:eastAsia="宋体" w:hint="default"/>
                <w:sz w:val="15"/>
                <w:szCs w:val="15"/>
              </w:rPr>
            </w:pPr>
            <w:r>
              <w:rPr>
                <w:rFonts w:ascii="宋体" w:hAnsi="宋体" w:cs="宋体" w:eastAsia="宋体" w:hint="default"/>
                <w:sz w:val="15"/>
                <w:szCs w:val="15"/>
              </w:rPr>
              <w:t>波兰华沙</w:t>
            </w:r>
          </w:p>
        </w:tc>
        <w:tc>
          <w:tcPr>
            <w:tcW w:w="358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1" w:right="0"/>
              <w:jc w:val="left"/>
              <w:rPr>
                <w:rFonts w:ascii="宋体" w:hAnsi="宋体" w:cs="宋体" w:eastAsia="宋体" w:hint="default"/>
                <w:sz w:val="15"/>
                <w:szCs w:val="15"/>
              </w:rPr>
            </w:pPr>
            <w:r>
              <w:rPr>
                <w:rFonts w:ascii="宋体" w:hAnsi="宋体" w:cs="宋体" w:eastAsia="宋体" w:hint="default"/>
                <w:sz w:val="15"/>
                <w:szCs w:val="15"/>
              </w:rPr>
              <w:t>X</w:t>
            </w:r>
            <w:r>
              <w:rPr>
                <w:rFonts w:ascii="宋体" w:hAnsi="宋体" w:cs="宋体" w:eastAsia="宋体" w:hint="default"/>
                <w:spacing w:val="-41"/>
                <w:sz w:val="15"/>
                <w:szCs w:val="15"/>
              </w:rPr>
              <w:t> </w:t>
            </w:r>
            <w:r>
              <w:rPr>
                <w:rFonts w:ascii="宋体" w:hAnsi="宋体" w:cs="宋体" w:eastAsia="宋体" w:hint="default"/>
                <w:sz w:val="15"/>
                <w:szCs w:val="15"/>
              </w:rPr>
              <w:t>射线检查设备生产、安装、销售及维护</w:t>
            </w:r>
          </w:p>
        </w:tc>
      </w:tr>
      <w:tr>
        <w:trPr>
          <w:trHeight w:val="583"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72" w:lineRule="exact"/>
              <w:ind w:left="33" w:right="0"/>
              <w:jc w:val="left"/>
              <w:rPr>
                <w:rFonts w:ascii="宋体" w:hAnsi="宋体" w:cs="宋体" w:eastAsia="宋体" w:hint="default"/>
                <w:sz w:val="15"/>
                <w:szCs w:val="15"/>
              </w:rPr>
            </w:pPr>
            <w:r>
              <w:rPr>
                <w:rFonts w:ascii="宋体" w:hAnsi="宋体"/>
                <w:sz w:val="15"/>
              </w:rPr>
              <w:t>Nuctech Ankara</w:t>
            </w:r>
            <w:r>
              <w:rPr>
                <w:rFonts w:ascii="宋体" w:hAnsi="宋体"/>
                <w:spacing w:val="-10"/>
                <w:sz w:val="15"/>
              </w:rPr>
              <w:t> </w:t>
            </w:r>
            <w:r>
              <w:rPr>
                <w:rFonts w:ascii="宋体" w:hAnsi="宋体"/>
                <w:sz w:val="15"/>
              </w:rPr>
              <w:t>Güvenlik</w:t>
            </w:r>
          </w:p>
          <w:p>
            <w:pPr>
              <w:pStyle w:val="TableParagraph"/>
              <w:spacing w:line="240" w:lineRule="auto"/>
              <w:ind w:left="33" w:right="437"/>
              <w:jc w:val="left"/>
              <w:rPr>
                <w:rFonts w:ascii="宋体" w:hAnsi="宋体" w:cs="宋体" w:eastAsia="宋体" w:hint="default"/>
                <w:sz w:val="15"/>
                <w:szCs w:val="15"/>
              </w:rPr>
            </w:pPr>
            <w:r>
              <w:rPr>
                <w:rFonts w:ascii="宋体"/>
                <w:sz w:val="15"/>
              </w:rPr>
              <w:t>Sistemleri Sanayive</w:t>
            </w:r>
            <w:r>
              <w:rPr>
                <w:rFonts w:ascii="宋体"/>
                <w:spacing w:val="-9"/>
                <w:sz w:val="15"/>
              </w:rPr>
              <w:t> </w:t>
            </w:r>
            <w:r>
              <w:rPr>
                <w:rFonts w:ascii="宋体"/>
                <w:sz w:val="15"/>
              </w:rPr>
              <w:t>Dis</w:t>
            </w:r>
            <w:r>
              <w:rPr>
                <w:rFonts w:ascii="宋体"/>
                <w:w w:val="100"/>
                <w:sz w:val="15"/>
              </w:rPr>
              <w:t> </w:t>
            </w:r>
            <w:r>
              <w:rPr>
                <w:rFonts w:ascii="宋体"/>
                <w:sz w:val="15"/>
              </w:rPr>
              <w:t>Ticare tLimited</w:t>
            </w:r>
            <w:r>
              <w:rPr>
                <w:rFonts w:ascii="宋体"/>
                <w:spacing w:val="-10"/>
                <w:sz w:val="15"/>
              </w:rPr>
              <w:t> </w:t>
            </w:r>
            <w:r>
              <w:rPr>
                <w:rFonts w:ascii="宋体"/>
                <w:sz w:val="15"/>
              </w:rPr>
              <w:t>Sirketi</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9"/>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59"/>
              <w:jc w:val="right"/>
              <w:rPr>
                <w:rFonts w:ascii="宋体" w:hAnsi="宋体" w:cs="宋体" w:eastAsia="宋体" w:hint="default"/>
                <w:sz w:val="15"/>
                <w:szCs w:val="15"/>
              </w:rPr>
            </w:pPr>
            <w:r>
              <w:rPr>
                <w:rFonts w:ascii="宋体"/>
                <w:spacing w:val="-1"/>
                <w:sz w:val="15"/>
              </w:rPr>
              <w:t>TRY65.00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78" w:right="0"/>
              <w:jc w:val="center"/>
              <w:rPr>
                <w:rFonts w:ascii="宋体" w:hAnsi="宋体" w:cs="宋体" w:eastAsia="宋体" w:hint="default"/>
                <w:sz w:val="15"/>
                <w:szCs w:val="15"/>
              </w:rPr>
            </w:pPr>
            <w:r>
              <w:rPr>
                <w:rFonts w:ascii="宋体"/>
                <w:sz w:val="15"/>
              </w:rPr>
              <w:t>80.00%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87" w:right="85" w:hanging="327"/>
              <w:jc w:val="left"/>
              <w:rPr>
                <w:rFonts w:ascii="宋体" w:hAnsi="宋体" w:cs="宋体" w:eastAsia="宋体" w:hint="default"/>
                <w:sz w:val="15"/>
                <w:szCs w:val="15"/>
              </w:rPr>
            </w:pPr>
            <w:r>
              <w:rPr>
                <w:rFonts w:ascii="宋体" w:hAnsi="宋体" w:cs="宋体" w:eastAsia="宋体" w:hint="default"/>
                <w:spacing w:val="-1"/>
                <w:sz w:val="15"/>
                <w:szCs w:val="15"/>
              </w:rPr>
              <w:t>土耳其安卡</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拉</w:t>
            </w:r>
          </w:p>
        </w:tc>
        <w:tc>
          <w:tcPr>
            <w:tcW w:w="35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61" w:right="0"/>
              <w:jc w:val="left"/>
              <w:rPr>
                <w:rFonts w:ascii="宋体" w:hAnsi="宋体" w:cs="宋体" w:eastAsia="宋体" w:hint="default"/>
                <w:sz w:val="15"/>
                <w:szCs w:val="15"/>
              </w:rPr>
            </w:pPr>
            <w:r>
              <w:rPr>
                <w:rFonts w:ascii="宋体" w:hAnsi="宋体" w:cs="宋体" w:eastAsia="宋体" w:hint="default"/>
                <w:sz w:val="15"/>
                <w:szCs w:val="15"/>
              </w:rPr>
              <w:t>X</w:t>
            </w:r>
            <w:r>
              <w:rPr>
                <w:rFonts w:ascii="宋体" w:hAnsi="宋体" w:cs="宋体" w:eastAsia="宋体" w:hint="default"/>
                <w:spacing w:val="-39"/>
                <w:sz w:val="15"/>
                <w:szCs w:val="15"/>
              </w:rPr>
              <w:t> </w:t>
            </w:r>
            <w:r>
              <w:rPr>
                <w:rFonts w:ascii="宋体" w:hAnsi="宋体" w:cs="宋体" w:eastAsia="宋体" w:hint="default"/>
                <w:sz w:val="15"/>
                <w:szCs w:val="15"/>
              </w:rPr>
              <w:t>射线检查设备生产、销售及维护</w:t>
            </w:r>
          </w:p>
        </w:tc>
      </w:tr>
      <w:tr>
        <w:trPr>
          <w:trHeight w:val="400"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72" w:lineRule="exact"/>
              <w:ind w:left="33" w:right="0"/>
              <w:jc w:val="left"/>
              <w:rPr>
                <w:rFonts w:ascii="宋体" w:hAnsi="宋体" w:cs="宋体" w:eastAsia="宋体" w:hint="default"/>
                <w:sz w:val="15"/>
                <w:szCs w:val="15"/>
              </w:rPr>
            </w:pPr>
            <w:r>
              <w:rPr>
                <w:rFonts w:ascii="宋体"/>
                <w:sz w:val="15"/>
              </w:rPr>
              <w:t>NUCTECH SINGAPORE</w:t>
            </w:r>
            <w:r>
              <w:rPr>
                <w:rFonts w:ascii="宋体"/>
                <w:spacing w:val="-14"/>
                <w:sz w:val="15"/>
              </w:rPr>
              <w:t> </w:t>
            </w:r>
            <w:r>
              <w:rPr>
                <w:rFonts w:ascii="宋体"/>
                <w:sz w:val="15"/>
              </w:rPr>
              <w:t>PRIVATE</w:t>
            </w:r>
          </w:p>
          <w:p>
            <w:pPr>
              <w:pStyle w:val="TableParagraph"/>
              <w:spacing w:line="195" w:lineRule="exact"/>
              <w:ind w:left="33" w:right="0"/>
              <w:jc w:val="left"/>
              <w:rPr>
                <w:rFonts w:ascii="宋体" w:hAnsi="宋体" w:cs="宋体" w:eastAsia="宋体" w:hint="default"/>
                <w:sz w:val="15"/>
                <w:szCs w:val="15"/>
              </w:rPr>
            </w:pPr>
            <w:r>
              <w:rPr>
                <w:rFonts w:ascii="宋体"/>
                <w:sz w:val="15"/>
              </w:rPr>
              <w:t>LIMITED</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9"/>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9"/>
              <w:jc w:val="right"/>
              <w:rPr>
                <w:rFonts w:ascii="宋体" w:hAnsi="宋体" w:cs="宋体" w:eastAsia="宋体" w:hint="default"/>
                <w:sz w:val="15"/>
                <w:szCs w:val="15"/>
              </w:rPr>
            </w:pPr>
            <w:r>
              <w:rPr>
                <w:rFonts w:ascii="宋体"/>
                <w:spacing w:val="-2"/>
                <w:sz w:val="15"/>
              </w:rPr>
              <w:t>SGD150.00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6"/>
              <w:jc w:val="center"/>
              <w:rPr>
                <w:rFonts w:ascii="宋体" w:hAnsi="宋体" w:cs="宋体" w:eastAsia="宋体" w:hint="default"/>
                <w:sz w:val="15"/>
                <w:szCs w:val="15"/>
              </w:rPr>
            </w:pPr>
            <w:r>
              <w:rPr>
                <w:rFonts w:ascii="宋体" w:hAnsi="宋体" w:cs="宋体" w:eastAsia="宋体" w:hint="default"/>
                <w:sz w:val="15"/>
                <w:szCs w:val="15"/>
              </w:rPr>
              <w:t>新加坡</w:t>
            </w:r>
          </w:p>
        </w:tc>
        <w:tc>
          <w:tcPr>
            <w:tcW w:w="358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61" w:right="0"/>
              <w:jc w:val="left"/>
              <w:rPr>
                <w:rFonts w:ascii="宋体" w:hAnsi="宋体" w:cs="宋体" w:eastAsia="宋体" w:hint="default"/>
                <w:sz w:val="15"/>
                <w:szCs w:val="15"/>
              </w:rPr>
            </w:pPr>
            <w:r>
              <w:rPr>
                <w:rFonts w:ascii="宋体" w:hAnsi="宋体" w:cs="宋体" w:eastAsia="宋体" w:hint="default"/>
                <w:sz w:val="15"/>
                <w:szCs w:val="15"/>
              </w:rPr>
              <w:t>X</w:t>
            </w:r>
            <w:r>
              <w:rPr>
                <w:rFonts w:ascii="宋体" w:hAnsi="宋体" w:cs="宋体" w:eastAsia="宋体" w:hint="default"/>
                <w:spacing w:val="-39"/>
                <w:sz w:val="15"/>
                <w:szCs w:val="15"/>
              </w:rPr>
              <w:t> </w:t>
            </w:r>
            <w:r>
              <w:rPr>
                <w:rFonts w:ascii="宋体" w:hAnsi="宋体" w:cs="宋体" w:eastAsia="宋体" w:hint="default"/>
                <w:sz w:val="15"/>
                <w:szCs w:val="15"/>
              </w:rPr>
              <w:t>射线检查设备安装、分销及维护</w:t>
            </w:r>
          </w:p>
        </w:tc>
      </w:tr>
      <w:tr>
        <w:trPr>
          <w:trHeight w:val="228"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83" w:lineRule="exact"/>
              <w:ind w:left="33" w:right="0"/>
              <w:jc w:val="left"/>
              <w:rPr>
                <w:rFonts w:ascii="宋体" w:hAnsi="宋体" w:cs="宋体" w:eastAsia="宋体" w:hint="default"/>
                <w:sz w:val="15"/>
                <w:szCs w:val="15"/>
              </w:rPr>
            </w:pPr>
            <w:r>
              <w:rPr>
                <w:rFonts w:ascii="宋体"/>
                <w:sz w:val="15"/>
              </w:rPr>
              <w:t>NUCTECH PANAMA,</w:t>
            </w:r>
            <w:r>
              <w:rPr>
                <w:rFonts w:ascii="宋体"/>
                <w:spacing w:val="-10"/>
                <w:sz w:val="15"/>
              </w:rPr>
              <w:t> </w:t>
            </w:r>
            <w:r>
              <w:rPr>
                <w:rFonts w:ascii="宋体"/>
                <w:sz w:val="15"/>
              </w:rPr>
              <w:t>S.A..</w:t>
            </w:r>
          </w:p>
        </w:tc>
        <w:tc>
          <w:tcPr>
            <w:tcW w:w="377" w:type="dxa"/>
            <w:tcBorders>
              <w:top w:val="nil" w:sz="6" w:space="0" w:color="auto"/>
              <w:left w:val="nil" w:sz="6" w:space="0" w:color="auto"/>
              <w:bottom w:val="nil" w:sz="6" w:space="0" w:color="auto"/>
              <w:right w:val="nil" w:sz="6" w:space="0" w:color="auto"/>
            </w:tcBorders>
          </w:tcPr>
          <w:p>
            <w:pPr>
              <w:pStyle w:val="TableParagraph"/>
              <w:spacing w:line="183" w:lineRule="exact"/>
              <w:ind w:right="19"/>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183" w:lineRule="exact"/>
              <w:ind w:right="59"/>
              <w:jc w:val="right"/>
              <w:rPr>
                <w:rFonts w:ascii="宋体" w:hAnsi="宋体" w:cs="宋体" w:eastAsia="宋体" w:hint="default"/>
                <w:sz w:val="15"/>
                <w:szCs w:val="15"/>
              </w:rPr>
            </w:pPr>
            <w:r>
              <w:rPr>
                <w:rFonts w:ascii="宋体"/>
                <w:spacing w:val="-2"/>
                <w:sz w:val="15"/>
              </w:rPr>
              <w:t>USD151.00</w:t>
            </w:r>
          </w:p>
        </w:tc>
        <w:tc>
          <w:tcPr>
            <w:tcW w:w="652" w:type="dxa"/>
            <w:tcBorders>
              <w:top w:val="nil" w:sz="6" w:space="0" w:color="auto"/>
              <w:left w:val="nil" w:sz="6" w:space="0" w:color="auto"/>
              <w:bottom w:val="nil" w:sz="6" w:space="0" w:color="auto"/>
              <w:right w:val="nil" w:sz="6" w:space="0" w:color="auto"/>
            </w:tcBorders>
          </w:tcPr>
          <w:p>
            <w:pPr>
              <w:pStyle w:val="TableParagraph"/>
              <w:spacing w:line="183" w:lineRule="exact"/>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183" w:lineRule="exact"/>
              <w:ind w:right="26"/>
              <w:jc w:val="center"/>
              <w:rPr>
                <w:rFonts w:ascii="宋体" w:hAnsi="宋体" w:cs="宋体" w:eastAsia="宋体" w:hint="default"/>
                <w:sz w:val="15"/>
                <w:szCs w:val="15"/>
              </w:rPr>
            </w:pPr>
            <w:r>
              <w:rPr>
                <w:rFonts w:ascii="宋体" w:hAnsi="宋体" w:cs="宋体" w:eastAsia="宋体" w:hint="default"/>
                <w:sz w:val="15"/>
                <w:szCs w:val="15"/>
              </w:rPr>
              <w:t>巴拿马</w:t>
            </w:r>
          </w:p>
        </w:tc>
        <w:tc>
          <w:tcPr>
            <w:tcW w:w="3581" w:type="dxa"/>
            <w:tcBorders>
              <w:top w:val="nil" w:sz="6" w:space="0" w:color="auto"/>
              <w:left w:val="nil" w:sz="6" w:space="0" w:color="auto"/>
              <w:bottom w:val="nil" w:sz="6" w:space="0" w:color="auto"/>
              <w:right w:val="nil" w:sz="6" w:space="0" w:color="auto"/>
            </w:tcBorders>
          </w:tcPr>
          <w:p>
            <w:pPr>
              <w:pStyle w:val="TableParagraph"/>
              <w:spacing w:line="183" w:lineRule="exact"/>
              <w:ind w:left="61" w:right="0"/>
              <w:jc w:val="left"/>
              <w:rPr>
                <w:rFonts w:ascii="宋体" w:hAnsi="宋体" w:cs="宋体" w:eastAsia="宋体" w:hint="default"/>
                <w:sz w:val="15"/>
                <w:szCs w:val="15"/>
              </w:rPr>
            </w:pPr>
            <w:r>
              <w:rPr>
                <w:rFonts w:ascii="宋体" w:hAnsi="宋体" w:cs="宋体" w:eastAsia="宋体" w:hint="default"/>
                <w:sz w:val="15"/>
                <w:szCs w:val="15"/>
              </w:rPr>
              <w:t>X</w:t>
            </w:r>
            <w:r>
              <w:rPr>
                <w:rFonts w:ascii="宋体" w:hAnsi="宋体" w:cs="宋体" w:eastAsia="宋体" w:hint="default"/>
                <w:spacing w:val="-41"/>
                <w:sz w:val="15"/>
                <w:szCs w:val="15"/>
              </w:rPr>
              <w:t> </w:t>
            </w:r>
            <w:r>
              <w:rPr>
                <w:rFonts w:ascii="宋体" w:hAnsi="宋体" w:cs="宋体" w:eastAsia="宋体" w:hint="default"/>
                <w:sz w:val="15"/>
                <w:szCs w:val="15"/>
              </w:rPr>
              <w:t>射线检查设备安装、销售、维护及租赁</w:t>
            </w:r>
          </w:p>
        </w:tc>
      </w:tr>
      <w:tr>
        <w:trPr>
          <w:trHeight w:val="240"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95" w:lineRule="exact"/>
              <w:ind w:left="33" w:right="0"/>
              <w:jc w:val="left"/>
              <w:rPr>
                <w:rFonts w:ascii="宋体" w:hAnsi="宋体" w:cs="宋体" w:eastAsia="宋体" w:hint="default"/>
                <w:sz w:val="15"/>
                <w:szCs w:val="15"/>
              </w:rPr>
            </w:pPr>
            <w:r>
              <w:rPr>
                <w:rFonts w:ascii="宋体"/>
                <w:sz w:val="15"/>
              </w:rPr>
              <w:t>NUCTECH DO BRASIL</w:t>
            </w:r>
            <w:r>
              <w:rPr>
                <w:rFonts w:ascii="宋体"/>
                <w:spacing w:val="-8"/>
                <w:sz w:val="15"/>
              </w:rPr>
              <w:t> </w:t>
            </w:r>
            <w:r>
              <w:rPr>
                <w:rFonts w:ascii="宋体"/>
                <w:sz w:val="15"/>
              </w:rPr>
              <w:t>LTDA</w:t>
            </w:r>
          </w:p>
        </w:tc>
        <w:tc>
          <w:tcPr>
            <w:tcW w:w="377" w:type="dxa"/>
            <w:tcBorders>
              <w:top w:val="nil" w:sz="6" w:space="0" w:color="auto"/>
              <w:left w:val="nil" w:sz="6" w:space="0" w:color="auto"/>
              <w:bottom w:val="nil" w:sz="6" w:space="0" w:color="auto"/>
              <w:right w:val="nil" w:sz="6" w:space="0" w:color="auto"/>
            </w:tcBorders>
          </w:tcPr>
          <w:p>
            <w:pPr>
              <w:pStyle w:val="TableParagraph"/>
              <w:spacing w:line="195" w:lineRule="exact"/>
              <w:ind w:right="19"/>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spacing w:val="-1"/>
                <w:sz w:val="15"/>
              </w:rPr>
              <w:t>USD1,040.00</w:t>
            </w:r>
          </w:p>
        </w:tc>
        <w:tc>
          <w:tcPr>
            <w:tcW w:w="652" w:type="dxa"/>
            <w:tcBorders>
              <w:top w:val="nil" w:sz="6" w:space="0" w:color="auto"/>
              <w:left w:val="nil" w:sz="6" w:space="0" w:color="auto"/>
              <w:bottom w:val="nil" w:sz="6" w:space="0" w:color="auto"/>
              <w:right w:val="nil" w:sz="6" w:space="0" w:color="auto"/>
            </w:tcBorders>
          </w:tcPr>
          <w:p>
            <w:pPr>
              <w:pStyle w:val="TableParagraph"/>
              <w:spacing w:line="195" w:lineRule="exact"/>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195" w:lineRule="exact"/>
              <w:ind w:right="24"/>
              <w:jc w:val="center"/>
              <w:rPr>
                <w:rFonts w:ascii="宋体" w:hAnsi="宋体" w:cs="宋体" w:eastAsia="宋体" w:hint="default"/>
                <w:sz w:val="15"/>
                <w:szCs w:val="15"/>
              </w:rPr>
            </w:pPr>
            <w:r>
              <w:rPr>
                <w:rFonts w:ascii="宋体" w:hAnsi="宋体" w:cs="宋体" w:eastAsia="宋体" w:hint="default"/>
                <w:sz w:val="15"/>
                <w:szCs w:val="15"/>
              </w:rPr>
              <w:t>巴西圣保罗</w:t>
            </w:r>
          </w:p>
        </w:tc>
        <w:tc>
          <w:tcPr>
            <w:tcW w:w="3581" w:type="dxa"/>
            <w:tcBorders>
              <w:top w:val="nil" w:sz="6" w:space="0" w:color="auto"/>
              <w:left w:val="nil" w:sz="6" w:space="0" w:color="auto"/>
              <w:bottom w:val="nil" w:sz="6" w:space="0" w:color="auto"/>
              <w:right w:val="nil" w:sz="6" w:space="0" w:color="auto"/>
            </w:tcBorders>
          </w:tcPr>
          <w:p>
            <w:pPr>
              <w:pStyle w:val="TableParagraph"/>
              <w:spacing w:line="195" w:lineRule="exact"/>
              <w:ind w:left="61" w:right="0"/>
              <w:jc w:val="left"/>
              <w:rPr>
                <w:rFonts w:ascii="宋体" w:hAnsi="宋体" w:cs="宋体" w:eastAsia="宋体" w:hint="default"/>
                <w:sz w:val="15"/>
                <w:szCs w:val="15"/>
              </w:rPr>
            </w:pPr>
            <w:r>
              <w:rPr>
                <w:rFonts w:ascii="宋体" w:hAnsi="宋体" w:cs="宋体" w:eastAsia="宋体" w:hint="default"/>
                <w:sz w:val="15"/>
                <w:szCs w:val="15"/>
              </w:rPr>
              <w:t>X</w:t>
            </w:r>
            <w:r>
              <w:rPr>
                <w:rFonts w:ascii="宋体" w:hAnsi="宋体" w:cs="宋体" w:eastAsia="宋体" w:hint="default"/>
                <w:spacing w:val="-41"/>
                <w:sz w:val="15"/>
                <w:szCs w:val="15"/>
              </w:rPr>
              <w:t> </w:t>
            </w:r>
            <w:r>
              <w:rPr>
                <w:rFonts w:ascii="宋体" w:hAnsi="宋体" w:cs="宋体" w:eastAsia="宋体" w:hint="default"/>
                <w:sz w:val="15"/>
                <w:szCs w:val="15"/>
              </w:rPr>
              <w:t>射线检查设备安装、销售、维护及租赁</w:t>
            </w:r>
          </w:p>
        </w:tc>
      </w:tr>
      <w:tr>
        <w:trPr>
          <w:trHeight w:val="229"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95" w:lineRule="exact"/>
              <w:ind w:left="33" w:right="0"/>
              <w:jc w:val="left"/>
              <w:rPr>
                <w:rFonts w:ascii="宋体" w:hAnsi="宋体" w:cs="宋体" w:eastAsia="宋体" w:hint="default"/>
                <w:sz w:val="15"/>
                <w:szCs w:val="15"/>
              </w:rPr>
            </w:pPr>
            <w:r>
              <w:rPr>
                <w:rFonts w:ascii="宋体"/>
                <w:sz w:val="15"/>
              </w:rPr>
              <w:t>Nuctech Middle East</w:t>
            </w:r>
            <w:r>
              <w:rPr>
                <w:rFonts w:ascii="宋体"/>
                <w:spacing w:val="-8"/>
                <w:sz w:val="15"/>
              </w:rPr>
              <w:t> </w:t>
            </w:r>
            <w:r>
              <w:rPr>
                <w:rFonts w:ascii="宋体"/>
                <w:sz w:val="15"/>
              </w:rPr>
              <w:t>FZE</w:t>
            </w:r>
          </w:p>
        </w:tc>
        <w:tc>
          <w:tcPr>
            <w:tcW w:w="377" w:type="dxa"/>
            <w:tcBorders>
              <w:top w:val="nil" w:sz="6" w:space="0" w:color="auto"/>
              <w:left w:val="nil" w:sz="6" w:space="0" w:color="auto"/>
              <w:bottom w:val="nil" w:sz="6" w:space="0" w:color="auto"/>
              <w:right w:val="nil" w:sz="6" w:space="0" w:color="auto"/>
            </w:tcBorders>
          </w:tcPr>
          <w:p>
            <w:pPr>
              <w:pStyle w:val="TableParagraph"/>
              <w:spacing w:line="195" w:lineRule="exact"/>
              <w:ind w:right="19"/>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195" w:lineRule="exact"/>
              <w:ind w:right="59"/>
              <w:jc w:val="right"/>
              <w:rPr>
                <w:rFonts w:ascii="宋体" w:hAnsi="宋体" w:cs="宋体" w:eastAsia="宋体" w:hint="default"/>
                <w:sz w:val="15"/>
                <w:szCs w:val="15"/>
              </w:rPr>
            </w:pPr>
            <w:r>
              <w:rPr>
                <w:rFonts w:ascii="宋体"/>
                <w:spacing w:val="-1"/>
                <w:sz w:val="15"/>
              </w:rPr>
              <w:t>AED7.00</w:t>
            </w:r>
          </w:p>
        </w:tc>
        <w:tc>
          <w:tcPr>
            <w:tcW w:w="652" w:type="dxa"/>
            <w:tcBorders>
              <w:top w:val="nil" w:sz="6" w:space="0" w:color="auto"/>
              <w:left w:val="nil" w:sz="6" w:space="0" w:color="auto"/>
              <w:bottom w:val="nil" w:sz="6" w:space="0" w:color="auto"/>
              <w:right w:val="nil" w:sz="6" w:space="0" w:color="auto"/>
            </w:tcBorders>
          </w:tcPr>
          <w:p>
            <w:pPr>
              <w:pStyle w:val="TableParagraph"/>
              <w:spacing w:line="195" w:lineRule="exact"/>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195" w:lineRule="exact"/>
              <w:ind w:right="24"/>
              <w:jc w:val="center"/>
              <w:rPr>
                <w:rFonts w:ascii="宋体" w:hAnsi="宋体" w:cs="宋体" w:eastAsia="宋体" w:hint="default"/>
                <w:sz w:val="15"/>
                <w:szCs w:val="15"/>
              </w:rPr>
            </w:pPr>
            <w:r>
              <w:rPr>
                <w:rFonts w:ascii="宋体" w:hAnsi="宋体" w:cs="宋体" w:eastAsia="宋体" w:hint="default"/>
                <w:sz w:val="15"/>
                <w:szCs w:val="15"/>
              </w:rPr>
              <w:t>阿联酋迪拜</w:t>
            </w:r>
          </w:p>
        </w:tc>
        <w:tc>
          <w:tcPr>
            <w:tcW w:w="3581" w:type="dxa"/>
            <w:tcBorders>
              <w:top w:val="nil" w:sz="6" w:space="0" w:color="auto"/>
              <w:left w:val="nil" w:sz="6" w:space="0" w:color="auto"/>
              <w:bottom w:val="nil" w:sz="6" w:space="0" w:color="auto"/>
              <w:right w:val="nil" w:sz="6" w:space="0" w:color="auto"/>
            </w:tcBorders>
          </w:tcPr>
          <w:p>
            <w:pPr>
              <w:pStyle w:val="TableParagraph"/>
              <w:spacing w:line="195" w:lineRule="exact"/>
              <w:ind w:left="61" w:right="0"/>
              <w:jc w:val="left"/>
              <w:rPr>
                <w:rFonts w:ascii="宋体" w:hAnsi="宋体" w:cs="宋体" w:eastAsia="宋体" w:hint="default"/>
                <w:sz w:val="15"/>
                <w:szCs w:val="15"/>
              </w:rPr>
            </w:pPr>
            <w:r>
              <w:rPr>
                <w:rFonts w:ascii="宋体" w:hAnsi="宋体" w:cs="宋体" w:eastAsia="宋体" w:hint="default"/>
                <w:sz w:val="15"/>
                <w:szCs w:val="15"/>
              </w:rPr>
              <w:t>X</w:t>
            </w:r>
            <w:r>
              <w:rPr>
                <w:rFonts w:ascii="宋体" w:hAnsi="宋体" w:cs="宋体" w:eastAsia="宋体" w:hint="default"/>
                <w:spacing w:val="-39"/>
                <w:sz w:val="15"/>
                <w:szCs w:val="15"/>
              </w:rPr>
              <w:t> </w:t>
            </w:r>
            <w:r>
              <w:rPr>
                <w:rFonts w:ascii="宋体" w:hAnsi="宋体" w:cs="宋体" w:eastAsia="宋体" w:hint="default"/>
                <w:sz w:val="15"/>
                <w:szCs w:val="15"/>
              </w:rPr>
              <w:t>射线检查设备安装、分销及维护</w:t>
            </w:r>
          </w:p>
        </w:tc>
      </w:tr>
      <w:tr>
        <w:trPr>
          <w:trHeight w:val="412"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3" w:right="0"/>
              <w:jc w:val="left"/>
              <w:rPr>
                <w:rFonts w:ascii="宋体" w:hAnsi="宋体" w:cs="宋体" w:eastAsia="宋体" w:hint="default"/>
                <w:sz w:val="15"/>
                <w:szCs w:val="15"/>
              </w:rPr>
            </w:pPr>
            <w:r>
              <w:rPr>
                <w:rFonts w:ascii="宋体"/>
                <w:sz w:val="15"/>
              </w:rPr>
              <w:t>Nuctech</w:t>
            </w:r>
            <w:r>
              <w:rPr>
                <w:rFonts w:ascii="宋体"/>
                <w:spacing w:val="-35"/>
                <w:sz w:val="15"/>
              </w:rPr>
              <w:t> </w:t>
            </w:r>
            <w:r>
              <w:rPr>
                <w:rFonts w:ascii="宋体"/>
                <w:sz w:val="15"/>
              </w:rPr>
              <w:t>South</w:t>
            </w:r>
            <w:r>
              <w:rPr>
                <w:rFonts w:ascii="宋体"/>
                <w:spacing w:val="-38"/>
                <w:sz w:val="15"/>
              </w:rPr>
              <w:t> </w:t>
            </w:r>
            <w:r>
              <w:rPr>
                <w:rFonts w:ascii="宋体"/>
                <w:sz w:val="15"/>
              </w:rPr>
              <w:t>Africa</w:t>
            </w:r>
            <w:r>
              <w:rPr>
                <w:rFonts w:ascii="宋体"/>
                <w:spacing w:val="-35"/>
                <w:sz w:val="15"/>
              </w:rPr>
              <w:t> </w:t>
            </w:r>
            <w:r>
              <w:rPr>
                <w:rFonts w:ascii="宋体"/>
                <w:sz w:val="15"/>
              </w:rPr>
              <w:t>(Pty)</w:t>
            </w:r>
            <w:r>
              <w:rPr>
                <w:rFonts w:ascii="宋体"/>
                <w:spacing w:val="-38"/>
                <w:sz w:val="15"/>
              </w:rPr>
              <w:t> </w:t>
            </w:r>
            <w:r>
              <w:rPr>
                <w:rFonts w:ascii="宋体"/>
                <w:sz w:val="15"/>
              </w:rPr>
              <w:t>Ltd</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9"/>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9"/>
              <w:jc w:val="right"/>
              <w:rPr>
                <w:rFonts w:ascii="宋体" w:hAnsi="宋体" w:cs="宋体" w:eastAsia="宋体" w:hint="default"/>
                <w:sz w:val="15"/>
                <w:szCs w:val="15"/>
              </w:rPr>
            </w:pPr>
            <w:r>
              <w:rPr>
                <w:rFonts w:ascii="宋体"/>
                <w:spacing w:val="-1"/>
                <w:sz w:val="15"/>
              </w:rPr>
              <w:t>ZAR0.10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184" w:lineRule="exact"/>
              <w:ind w:left="135" w:right="0"/>
              <w:jc w:val="left"/>
              <w:rPr>
                <w:rFonts w:ascii="宋体" w:hAnsi="宋体" w:cs="宋体" w:eastAsia="宋体" w:hint="default"/>
                <w:sz w:val="15"/>
                <w:szCs w:val="15"/>
              </w:rPr>
            </w:pPr>
            <w:r>
              <w:rPr>
                <w:rFonts w:ascii="宋体" w:hAnsi="宋体" w:cs="宋体" w:eastAsia="宋体" w:hint="default"/>
                <w:sz w:val="15"/>
                <w:szCs w:val="15"/>
              </w:rPr>
              <w:t>南非豪登</w:t>
            </w:r>
          </w:p>
          <w:p>
            <w:pPr>
              <w:pStyle w:val="TableParagraph"/>
              <w:spacing w:line="196" w:lineRule="exact"/>
              <w:ind w:left="87"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Gauteng)</w:t>
            </w:r>
          </w:p>
        </w:tc>
        <w:tc>
          <w:tcPr>
            <w:tcW w:w="358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1" w:right="0"/>
              <w:jc w:val="left"/>
              <w:rPr>
                <w:rFonts w:ascii="宋体" w:hAnsi="宋体" w:cs="宋体" w:eastAsia="宋体" w:hint="default"/>
                <w:sz w:val="15"/>
                <w:szCs w:val="15"/>
              </w:rPr>
            </w:pPr>
            <w:r>
              <w:rPr>
                <w:rFonts w:ascii="宋体" w:hAnsi="宋体" w:cs="宋体" w:eastAsia="宋体" w:hint="default"/>
                <w:sz w:val="15"/>
                <w:szCs w:val="15"/>
              </w:rPr>
              <w:t>X</w:t>
            </w:r>
            <w:r>
              <w:rPr>
                <w:rFonts w:ascii="宋体" w:hAnsi="宋体" w:cs="宋体" w:eastAsia="宋体" w:hint="default"/>
                <w:spacing w:val="-39"/>
                <w:sz w:val="15"/>
                <w:szCs w:val="15"/>
              </w:rPr>
              <w:t> </w:t>
            </w:r>
            <w:r>
              <w:rPr>
                <w:rFonts w:ascii="宋体" w:hAnsi="宋体" w:cs="宋体" w:eastAsia="宋体" w:hint="default"/>
                <w:sz w:val="15"/>
                <w:szCs w:val="15"/>
              </w:rPr>
              <w:t>射线检查设备安装、分销及维护</w:t>
            </w:r>
          </w:p>
        </w:tc>
      </w:tr>
      <w:tr>
        <w:trPr>
          <w:trHeight w:val="228"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83" w:lineRule="exact"/>
              <w:ind w:left="33" w:right="0"/>
              <w:jc w:val="left"/>
              <w:rPr>
                <w:rFonts w:ascii="宋体" w:hAnsi="宋体" w:cs="宋体" w:eastAsia="宋体" w:hint="default"/>
                <w:sz w:val="15"/>
                <w:szCs w:val="15"/>
              </w:rPr>
            </w:pPr>
            <w:r>
              <w:rPr>
                <w:rFonts w:ascii="宋体"/>
                <w:sz w:val="15"/>
              </w:rPr>
              <w:t>CRESCIENDO</w:t>
            </w:r>
            <w:r>
              <w:rPr>
                <w:rFonts w:ascii="宋体"/>
                <w:spacing w:val="-5"/>
                <w:sz w:val="15"/>
              </w:rPr>
              <w:t> </w:t>
            </w:r>
            <w:r>
              <w:rPr>
                <w:rFonts w:ascii="宋体"/>
                <w:sz w:val="15"/>
              </w:rPr>
              <w:t>SPA</w:t>
            </w:r>
          </w:p>
        </w:tc>
        <w:tc>
          <w:tcPr>
            <w:tcW w:w="377" w:type="dxa"/>
            <w:tcBorders>
              <w:top w:val="nil" w:sz="6" w:space="0" w:color="auto"/>
              <w:left w:val="nil" w:sz="6" w:space="0" w:color="auto"/>
              <w:bottom w:val="nil" w:sz="6" w:space="0" w:color="auto"/>
              <w:right w:val="nil" w:sz="6" w:space="0" w:color="auto"/>
            </w:tcBorders>
          </w:tcPr>
          <w:p>
            <w:pPr>
              <w:pStyle w:val="TableParagraph"/>
              <w:spacing w:line="183" w:lineRule="exact"/>
              <w:ind w:right="19"/>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183" w:lineRule="exact"/>
              <w:ind w:right="59"/>
              <w:jc w:val="right"/>
              <w:rPr>
                <w:rFonts w:ascii="宋体" w:hAnsi="宋体" w:cs="宋体" w:eastAsia="宋体" w:hint="default"/>
                <w:sz w:val="15"/>
                <w:szCs w:val="15"/>
              </w:rPr>
            </w:pPr>
            <w:r>
              <w:rPr>
                <w:rFonts w:ascii="宋体"/>
                <w:spacing w:val="-2"/>
                <w:sz w:val="15"/>
              </w:rPr>
              <w:t>CLP500.00</w:t>
            </w:r>
          </w:p>
        </w:tc>
        <w:tc>
          <w:tcPr>
            <w:tcW w:w="652" w:type="dxa"/>
            <w:tcBorders>
              <w:top w:val="nil" w:sz="6" w:space="0" w:color="auto"/>
              <w:left w:val="nil" w:sz="6" w:space="0" w:color="auto"/>
              <w:bottom w:val="nil" w:sz="6" w:space="0" w:color="auto"/>
              <w:right w:val="nil" w:sz="6" w:space="0" w:color="auto"/>
            </w:tcBorders>
          </w:tcPr>
          <w:p>
            <w:pPr>
              <w:pStyle w:val="TableParagraph"/>
              <w:spacing w:line="183" w:lineRule="exact"/>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183" w:lineRule="exact"/>
              <w:ind w:right="23"/>
              <w:jc w:val="center"/>
              <w:rPr>
                <w:rFonts w:ascii="宋体" w:hAnsi="宋体" w:cs="宋体" w:eastAsia="宋体" w:hint="default"/>
                <w:sz w:val="15"/>
                <w:szCs w:val="15"/>
              </w:rPr>
            </w:pPr>
            <w:r>
              <w:rPr>
                <w:rFonts w:ascii="宋体" w:hAnsi="宋体" w:cs="宋体" w:eastAsia="宋体" w:hint="default"/>
                <w:sz w:val="15"/>
                <w:szCs w:val="15"/>
              </w:rPr>
              <w:t>智利</w:t>
            </w:r>
          </w:p>
        </w:tc>
        <w:tc>
          <w:tcPr>
            <w:tcW w:w="3581" w:type="dxa"/>
            <w:tcBorders>
              <w:top w:val="nil" w:sz="6" w:space="0" w:color="auto"/>
              <w:left w:val="nil" w:sz="6" w:space="0" w:color="auto"/>
              <w:bottom w:val="nil" w:sz="6" w:space="0" w:color="auto"/>
              <w:right w:val="nil" w:sz="6" w:space="0" w:color="auto"/>
            </w:tcBorders>
          </w:tcPr>
          <w:p>
            <w:pPr>
              <w:pStyle w:val="TableParagraph"/>
              <w:spacing w:line="183" w:lineRule="exact"/>
              <w:ind w:left="61" w:right="0"/>
              <w:jc w:val="left"/>
              <w:rPr>
                <w:rFonts w:ascii="宋体" w:hAnsi="宋体" w:cs="宋体" w:eastAsia="宋体" w:hint="default"/>
                <w:sz w:val="15"/>
                <w:szCs w:val="15"/>
              </w:rPr>
            </w:pPr>
            <w:r>
              <w:rPr>
                <w:rFonts w:ascii="宋体" w:hAnsi="宋体" w:cs="宋体" w:eastAsia="宋体" w:hint="default"/>
                <w:sz w:val="15"/>
                <w:szCs w:val="15"/>
              </w:rPr>
              <w:t>X</w:t>
            </w:r>
            <w:r>
              <w:rPr>
                <w:rFonts w:ascii="宋体" w:hAnsi="宋体" w:cs="宋体" w:eastAsia="宋体" w:hint="default"/>
                <w:spacing w:val="-39"/>
                <w:sz w:val="15"/>
                <w:szCs w:val="15"/>
              </w:rPr>
              <w:t> </w:t>
            </w:r>
            <w:r>
              <w:rPr>
                <w:rFonts w:ascii="宋体" w:hAnsi="宋体" w:cs="宋体" w:eastAsia="宋体" w:hint="default"/>
                <w:sz w:val="15"/>
                <w:szCs w:val="15"/>
              </w:rPr>
              <w:t>射线检查设备安装、分销及维护</w:t>
            </w:r>
          </w:p>
        </w:tc>
      </w:tr>
      <w:tr>
        <w:trPr>
          <w:trHeight w:val="229"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95" w:lineRule="exact"/>
              <w:ind w:left="33" w:right="0"/>
              <w:jc w:val="left"/>
              <w:rPr>
                <w:rFonts w:ascii="宋体" w:hAnsi="宋体" w:cs="宋体" w:eastAsia="宋体" w:hint="default"/>
                <w:sz w:val="15"/>
                <w:szCs w:val="15"/>
              </w:rPr>
            </w:pPr>
            <w:r>
              <w:rPr>
                <w:rFonts w:ascii="宋体"/>
                <w:sz w:val="15"/>
              </w:rPr>
              <w:t>NUCTECH Tianjin</w:t>
            </w:r>
            <w:r>
              <w:rPr>
                <w:rFonts w:ascii="宋体"/>
                <w:spacing w:val="-8"/>
                <w:sz w:val="15"/>
              </w:rPr>
              <w:t> </w:t>
            </w:r>
            <w:r>
              <w:rPr>
                <w:rFonts w:ascii="宋体"/>
                <w:sz w:val="15"/>
              </w:rPr>
              <w:t>Co,Ltd</w:t>
            </w:r>
          </w:p>
        </w:tc>
        <w:tc>
          <w:tcPr>
            <w:tcW w:w="377" w:type="dxa"/>
            <w:tcBorders>
              <w:top w:val="nil" w:sz="6" w:space="0" w:color="auto"/>
              <w:left w:val="nil" w:sz="6" w:space="0" w:color="auto"/>
              <w:bottom w:val="nil" w:sz="6" w:space="0" w:color="auto"/>
              <w:right w:val="nil" w:sz="6" w:space="0" w:color="auto"/>
            </w:tcBorders>
          </w:tcPr>
          <w:p>
            <w:pPr>
              <w:pStyle w:val="TableParagraph"/>
              <w:spacing w:line="195" w:lineRule="exact"/>
              <w:ind w:right="19"/>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195" w:lineRule="exact"/>
              <w:ind w:right="59"/>
              <w:jc w:val="right"/>
              <w:rPr>
                <w:rFonts w:ascii="宋体" w:hAnsi="宋体" w:cs="宋体" w:eastAsia="宋体" w:hint="default"/>
                <w:sz w:val="15"/>
                <w:szCs w:val="15"/>
              </w:rPr>
            </w:pPr>
            <w:r>
              <w:rPr>
                <w:rFonts w:ascii="宋体"/>
                <w:spacing w:val="-1"/>
                <w:sz w:val="15"/>
              </w:rPr>
              <w:t>USD15.00</w:t>
            </w:r>
          </w:p>
        </w:tc>
        <w:tc>
          <w:tcPr>
            <w:tcW w:w="652" w:type="dxa"/>
            <w:tcBorders>
              <w:top w:val="nil" w:sz="6" w:space="0" w:color="auto"/>
              <w:left w:val="nil" w:sz="6" w:space="0" w:color="auto"/>
              <w:bottom w:val="nil" w:sz="6" w:space="0" w:color="auto"/>
              <w:right w:val="nil" w:sz="6" w:space="0" w:color="auto"/>
            </w:tcBorders>
          </w:tcPr>
          <w:p>
            <w:pPr>
              <w:pStyle w:val="TableParagraph"/>
              <w:spacing w:line="195" w:lineRule="exact"/>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195" w:lineRule="exact"/>
              <w:ind w:right="26"/>
              <w:jc w:val="center"/>
              <w:rPr>
                <w:rFonts w:ascii="宋体" w:hAnsi="宋体" w:cs="宋体" w:eastAsia="宋体" w:hint="default"/>
                <w:sz w:val="15"/>
                <w:szCs w:val="15"/>
              </w:rPr>
            </w:pPr>
            <w:r>
              <w:rPr>
                <w:rFonts w:ascii="宋体" w:hAnsi="宋体" w:cs="宋体" w:eastAsia="宋体" w:hint="default"/>
                <w:sz w:val="15"/>
                <w:szCs w:val="15"/>
              </w:rPr>
              <w:t>中国天津</w:t>
            </w:r>
          </w:p>
        </w:tc>
        <w:tc>
          <w:tcPr>
            <w:tcW w:w="3581" w:type="dxa"/>
            <w:tcBorders>
              <w:top w:val="nil" w:sz="6" w:space="0" w:color="auto"/>
              <w:left w:val="nil" w:sz="6" w:space="0" w:color="auto"/>
              <w:bottom w:val="nil" w:sz="6" w:space="0" w:color="auto"/>
              <w:right w:val="nil" w:sz="6" w:space="0" w:color="auto"/>
            </w:tcBorders>
          </w:tcPr>
          <w:p>
            <w:pPr>
              <w:pStyle w:val="TableParagraph"/>
              <w:spacing w:line="195" w:lineRule="exact"/>
              <w:ind w:left="61" w:right="0"/>
              <w:jc w:val="left"/>
              <w:rPr>
                <w:rFonts w:ascii="宋体" w:hAnsi="宋体" w:cs="宋体" w:eastAsia="宋体" w:hint="default"/>
                <w:sz w:val="15"/>
                <w:szCs w:val="15"/>
              </w:rPr>
            </w:pPr>
            <w:r>
              <w:rPr>
                <w:rFonts w:ascii="宋体" w:hAnsi="宋体" w:cs="宋体" w:eastAsia="宋体" w:hint="default"/>
                <w:sz w:val="15"/>
                <w:szCs w:val="15"/>
              </w:rPr>
              <w:t>X</w:t>
            </w:r>
            <w:r>
              <w:rPr>
                <w:rFonts w:ascii="宋体" w:hAnsi="宋体" w:cs="宋体" w:eastAsia="宋体" w:hint="default"/>
                <w:spacing w:val="-39"/>
                <w:sz w:val="15"/>
                <w:szCs w:val="15"/>
              </w:rPr>
              <w:t> </w:t>
            </w:r>
            <w:r>
              <w:rPr>
                <w:rFonts w:ascii="宋体" w:hAnsi="宋体" w:cs="宋体" w:eastAsia="宋体" w:hint="default"/>
                <w:sz w:val="15"/>
                <w:szCs w:val="15"/>
              </w:rPr>
              <w:t>射线检查设备安装、分销及维护</w:t>
            </w:r>
          </w:p>
        </w:tc>
      </w:tr>
      <w:tr>
        <w:trPr>
          <w:trHeight w:val="401"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3" w:right="0"/>
              <w:jc w:val="left"/>
              <w:rPr>
                <w:rFonts w:ascii="宋体" w:hAnsi="宋体" w:cs="宋体" w:eastAsia="宋体" w:hint="default"/>
                <w:sz w:val="15"/>
                <w:szCs w:val="15"/>
              </w:rPr>
            </w:pPr>
            <w:r>
              <w:rPr>
                <w:rFonts w:ascii="宋体"/>
                <w:sz w:val="15"/>
              </w:rPr>
              <w:t>Nuc&amp;Tech S.A.de</w:t>
            </w:r>
            <w:r>
              <w:rPr>
                <w:rFonts w:ascii="宋体"/>
                <w:spacing w:val="-10"/>
                <w:sz w:val="15"/>
              </w:rPr>
              <w:t> </w:t>
            </w:r>
            <w:r>
              <w:rPr>
                <w:rFonts w:ascii="宋体"/>
                <w:sz w:val="15"/>
              </w:rPr>
              <w:t>C.V.</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0"/>
              <w:jc w:val="right"/>
              <w:rPr>
                <w:rFonts w:ascii="宋体" w:hAnsi="宋体" w:cs="宋体" w:eastAsia="宋体" w:hint="default"/>
                <w:sz w:val="15"/>
                <w:szCs w:val="15"/>
              </w:rPr>
            </w:pPr>
            <w:r>
              <w:rPr>
                <w:rFonts w:ascii="宋体"/>
                <w:spacing w:val="-1"/>
                <w:sz w:val="15"/>
              </w:rPr>
              <w:t>MXN1,833.88</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194" w:lineRule="exact" w:before="8"/>
              <w:ind w:left="313" w:right="85" w:hanging="253"/>
              <w:jc w:val="left"/>
              <w:rPr>
                <w:rFonts w:ascii="宋体" w:hAnsi="宋体" w:cs="宋体" w:eastAsia="宋体" w:hint="default"/>
                <w:sz w:val="15"/>
                <w:szCs w:val="15"/>
              </w:rPr>
            </w:pPr>
            <w:r>
              <w:rPr>
                <w:rFonts w:ascii="宋体" w:hAnsi="宋体" w:cs="宋体" w:eastAsia="宋体" w:hint="default"/>
                <w:spacing w:val="-1"/>
                <w:sz w:val="15"/>
                <w:szCs w:val="15"/>
              </w:rPr>
              <w:t>墨西哥墨西</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哥城</w:t>
            </w:r>
          </w:p>
        </w:tc>
        <w:tc>
          <w:tcPr>
            <w:tcW w:w="358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61" w:right="0"/>
              <w:jc w:val="left"/>
              <w:rPr>
                <w:rFonts w:ascii="宋体" w:hAnsi="宋体" w:cs="宋体" w:eastAsia="宋体" w:hint="default"/>
                <w:sz w:val="15"/>
                <w:szCs w:val="15"/>
              </w:rPr>
            </w:pPr>
            <w:r>
              <w:rPr>
                <w:rFonts w:ascii="宋体" w:hAnsi="宋体" w:cs="宋体" w:eastAsia="宋体" w:hint="default"/>
                <w:sz w:val="15"/>
                <w:szCs w:val="15"/>
              </w:rPr>
              <w:t>X</w:t>
            </w:r>
            <w:r>
              <w:rPr>
                <w:rFonts w:ascii="宋体" w:hAnsi="宋体" w:cs="宋体" w:eastAsia="宋体" w:hint="default"/>
                <w:spacing w:val="-39"/>
                <w:sz w:val="15"/>
                <w:szCs w:val="15"/>
              </w:rPr>
              <w:t> </w:t>
            </w:r>
            <w:r>
              <w:rPr>
                <w:rFonts w:ascii="宋体" w:hAnsi="宋体" w:cs="宋体" w:eastAsia="宋体" w:hint="default"/>
                <w:sz w:val="15"/>
                <w:szCs w:val="15"/>
              </w:rPr>
              <w:t>射线检查设备安装、分销及维护</w:t>
            </w:r>
          </w:p>
        </w:tc>
      </w:tr>
      <w:tr>
        <w:trPr>
          <w:trHeight w:val="389"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72" w:lineRule="exact"/>
              <w:ind w:left="33" w:right="0"/>
              <w:jc w:val="left"/>
              <w:rPr>
                <w:rFonts w:ascii="宋体" w:hAnsi="宋体" w:cs="宋体" w:eastAsia="宋体" w:hint="default"/>
                <w:sz w:val="15"/>
                <w:szCs w:val="15"/>
              </w:rPr>
            </w:pPr>
            <w:r>
              <w:rPr>
                <w:rFonts w:ascii="宋体"/>
                <w:sz w:val="15"/>
              </w:rPr>
              <w:t>Nuctech Operation</w:t>
            </w:r>
            <w:r>
              <w:rPr>
                <w:rFonts w:ascii="宋体"/>
                <w:spacing w:val="-14"/>
                <w:sz w:val="15"/>
              </w:rPr>
              <w:t> </w:t>
            </w:r>
            <w:r>
              <w:rPr>
                <w:rFonts w:ascii="宋体"/>
                <w:sz w:val="15"/>
              </w:rPr>
              <w:t>Company</w:t>
            </w:r>
          </w:p>
          <w:p>
            <w:pPr>
              <w:pStyle w:val="TableParagraph"/>
              <w:spacing w:line="195" w:lineRule="exact"/>
              <w:ind w:left="33" w:right="0"/>
              <w:jc w:val="left"/>
              <w:rPr>
                <w:rFonts w:ascii="宋体" w:hAnsi="宋体" w:cs="宋体" w:eastAsia="宋体" w:hint="default"/>
                <w:sz w:val="15"/>
                <w:szCs w:val="15"/>
              </w:rPr>
            </w:pPr>
            <w:r>
              <w:rPr>
                <w:rFonts w:ascii="宋体"/>
                <w:sz w:val="15"/>
              </w:rPr>
              <w:t>Limited</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0"/>
              <w:jc w:val="right"/>
              <w:rPr>
                <w:rFonts w:ascii="宋体" w:hAnsi="宋体" w:cs="宋体" w:eastAsia="宋体" w:hint="default"/>
                <w:sz w:val="15"/>
                <w:szCs w:val="15"/>
              </w:rPr>
            </w:pPr>
            <w:r>
              <w:rPr>
                <w:rFonts w:ascii="宋体"/>
                <w:spacing w:val="-1"/>
                <w:sz w:val="15"/>
              </w:rPr>
              <w:t>HKD3,920.00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
              <w:jc w:val="center"/>
              <w:rPr>
                <w:rFonts w:ascii="宋体" w:hAnsi="宋体" w:cs="宋体" w:eastAsia="宋体" w:hint="default"/>
                <w:sz w:val="15"/>
                <w:szCs w:val="15"/>
              </w:rPr>
            </w:pPr>
            <w:r>
              <w:rPr>
                <w:rFonts w:ascii="宋体" w:hAnsi="宋体" w:cs="宋体" w:eastAsia="宋体" w:hint="default"/>
                <w:sz w:val="15"/>
                <w:szCs w:val="15"/>
              </w:rPr>
              <w:t>中国香港</w:t>
            </w:r>
          </w:p>
        </w:tc>
        <w:tc>
          <w:tcPr>
            <w:tcW w:w="358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1" w:right="0"/>
              <w:jc w:val="left"/>
              <w:rPr>
                <w:rFonts w:ascii="宋体" w:hAnsi="宋体" w:cs="宋体" w:eastAsia="宋体" w:hint="default"/>
                <w:sz w:val="15"/>
                <w:szCs w:val="15"/>
              </w:rPr>
            </w:pPr>
            <w:r>
              <w:rPr>
                <w:rFonts w:ascii="宋体" w:hAnsi="宋体" w:cs="宋体" w:eastAsia="宋体" w:hint="default"/>
                <w:sz w:val="15"/>
                <w:szCs w:val="15"/>
              </w:rPr>
              <w:t>X</w:t>
            </w:r>
            <w:r>
              <w:rPr>
                <w:rFonts w:ascii="宋体" w:hAnsi="宋体" w:cs="宋体" w:eastAsia="宋体" w:hint="default"/>
                <w:spacing w:val="-39"/>
                <w:sz w:val="15"/>
                <w:szCs w:val="15"/>
              </w:rPr>
              <w:t> </w:t>
            </w:r>
            <w:r>
              <w:rPr>
                <w:rFonts w:ascii="宋体" w:hAnsi="宋体" w:cs="宋体" w:eastAsia="宋体" w:hint="default"/>
                <w:sz w:val="15"/>
                <w:szCs w:val="15"/>
              </w:rPr>
              <w:t>射线检查设备安装、分销及维护</w:t>
            </w:r>
          </w:p>
        </w:tc>
      </w:tr>
      <w:tr>
        <w:trPr>
          <w:trHeight w:val="389"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72" w:lineRule="exact"/>
              <w:ind w:left="33" w:right="0"/>
              <w:jc w:val="left"/>
              <w:rPr>
                <w:rFonts w:ascii="宋体" w:hAnsi="宋体" w:cs="宋体" w:eastAsia="宋体" w:hint="default"/>
                <w:sz w:val="15"/>
                <w:szCs w:val="15"/>
              </w:rPr>
            </w:pPr>
            <w:r>
              <w:rPr>
                <w:rFonts w:ascii="宋体"/>
                <w:sz w:val="15"/>
              </w:rPr>
              <w:t>Nuctech Management</w:t>
            </w:r>
            <w:r>
              <w:rPr>
                <w:rFonts w:ascii="宋体"/>
                <w:spacing w:val="-10"/>
                <w:sz w:val="15"/>
              </w:rPr>
              <w:t> </w:t>
            </w:r>
            <w:r>
              <w:rPr>
                <w:rFonts w:ascii="宋体"/>
                <w:sz w:val="15"/>
              </w:rPr>
              <w:t>(HK)</w:t>
            </w:r>
          </w:p>
          <w:p>
            <w:pPr>
              <w:pStyle w:val="TableParagraph"/>
              <w:spacing w:line="195" w:lineRule="exact"/>
              <w:ind w:left="33" w:right="0"/>
              <w:jc w:val="left"/>
              <w:rPr>
                <w:rFonts w:ascii="宋体" w:hAnsi="宋体" w:cs="宋体" w:eastAsia="宋体" w:hint="default"/>
                <w:sz w:val="15"/>
                <w:szCs w:val="15"/>
              </w:rPr>
            </w:pPr>
            <w:r>
              <w:rPr>
                <w:rFonts w:ascii="宋体"/>
                <w:sz w:val="15"/>
              </w:rPr>
              <w:t>Company</w:t>
            </w:r>
            <w:r>
              <w:rPr>
                <w:rFonts w:ascii="宋体"/>
                <w:spacing w:val="-6"/>
                <w:sz w:val="15"/>
              </w:rPr>
              <w:t> </w:t>
            </w:r>
            <w:r>
              <w:rPr>
                <w:rFonts w:ascii="宋体"/>
                <w:sz w:val="15"/>
              </w:rPr>
              <w:t>Limited</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center"/>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0"/>
              <w:jc w:val="right"/>
              <w:rPr>
                <w:rFonts w:ascii="宋体" w:hAnsi="宋体" w:cs="宋体" w:eastAsia="宋体" w:hint="default"/>
                <w:sz w:val="15"/>
                <w:szCs w:val="15"/>
              </w:rPr>
            </w:pPr>
            <w:r>
              <w:rPr>
                <w:rFonts w:ascii="宋体"/>
                <w:spacing w:val="-1"/>
                <w:sz w:val="15"/>
              </w:rPr>
              <w:t>HKD4,710.00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8" w:right="0"/>
              <w:jc w:val="center"/>
              <w:rPr>
                <w:rFonts w:ascii="宋体" w:hAnsi="宋体" w:cs="宋体" w:eastAsia="宋体" w:hint="default"/>
                <w:sz w:val="15"/>
                <w:szCs w:val="15"/>
              </w:rPr>
            </w:pPr>
            <w:r>
              <w:rPr>
                <w:rFonts w:ascii="宋体"/>
                <w:sz w:val="15"/>
              </w:rPr>
              <w:t>70.00%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
              <w:jc w:val="center"/>
              <w:rPr>
                <w:rFonts w:ascii="宋体" w:hAnsi="宋体" w:cs="宋体" w:eastAsia="宋体" w:hint="default"/>
                <w:sz w:val="15"/>
                <w:szCs w:val="15"/>
              </w:rPr>
            </w:pPr>
            <w:r>
              <w:rPr>
                <w:rFonts w:ascii="宋体" w:hAnsi="宋体" w:cs="宋体" w:eastAsia="宋体" w:hint="default"/>
                <w:sz w:val="15"/>
                <w:szCs w:val="15"/>
              </w:rPr>
              <w:t>中国香港</w:t>
            </w:r>
          </w:p>
        </w:tc>
        <w:tc>
          <w:tcPr>
            <w:tcW w:w="358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1" w:right="0"/>
              <w:jc w:val="left"/>
              <w:rPr>
                <w:rFonts w:ascii="宋体" w:hAnsi="宋体" w:cs="宋体" w:eastAsia="宋体" w:hint="default"/>
                <w:sz w:val="15"/>
                <w:szCs w:val="15"/>
              </w:rPr>
            </w:pPr>
            <w:r>
              <w:rPr>
                <w:rFonts w:ascii="宋体" w:hAnsi="宋体" w:cs="宋体" w:eastAsia="宋体" w:hint="default"/>
                <w:sz w:val="15"/>
                <w:szCs w:val="15"/>
              </w:rPr>
              <w:t>投资管理</w:t>
            </w:r>
          </w:p>
        </w:tc>
      </w:tr>
      <w:tr>
        <w:trPr>
          <w:trHeight w:val="401"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72" w:lineRule="exact"/>
              <w:ind w:left="33" w:right="0"/>
              <w:jc w:val="left"/>
              <w:rPr>
                <w:rFonts w:ascii="宋体" w:hAnsi="宋体" w:cs="宋体" w:eastAsia="宋体" w:hint="default"/>
                <w:sz w:val="15"/>
                <w:szCs w:val="15"/>
              </w:rPr>
            </w:pPr>
            <w:r>
              <w:rPr>
                <w:rFonts w:ascii="宋体"/>
                <w:sz w:val="15"/>
              </w:rPr>
              <w:t>NUCETECH SECURITY</w:t>
            </w:r>
            <w:r>
              <w:rPr>
                <w:rFonts w:ascii="宋体"/>
                <w:spacing w:val="-14"/>
                <w:sz w:val="15"/>
              </w:rPr>
              <w:t> </w:t>
            </w:r>
            <w:r>
              <w:rPr>
                <w:rFonts w:ascii="宋体"/>
                <w:sz w:val="15"/>
              </w:rPr>
              <w:t>SOLUTIONS</w:t>
            </w:r>
          </w:p>
          <w:p>
            <w:pPr>
              <w:pStyle w:val="TableParagraph"/>
              <w:spacing w:line="195" w:lineRule="exact"/>
              <w:ind w:left="33" w:right="0"/>
              <w:jc w:val="left"/>
              <w:rPr>
                <w:rFonts w:ascii="宋体" w:hAnsi="宋体" w:cs="宋体" w:eastAsia="宋体" w:hint="default"/>
                <w:sz w:val="15"/>
                <w:szCs w:val="15"/>
              </w:rPr>
            </w:pPr>
            <w:r>
              <w:rPr>
                <w:rFonts w:ascii="宋体"/>
                <w:sz w:val="15"/>
              </w:rPr>
              <w:t>PRIVATE</w:t>
            </w:r>
            <w:r>
              <w:rPr>
                <w:rFonts w:ascii="宋体"/>
                <w:spacing w:val="-6"/>
                <w:sz w:val="15"/>
              </w:rPr>
              <w:t> </w:t>
            </w:r>
            <w:r>
              <w:rPr>
                <w:rFonts w:ascii="宋体"/>
                <w:sz w:val="15"/>
              </w:rPr>
              <w:t>LIMITED</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right"/>
              <w:rPr>
                <w:rFonts w:ascii="宋体" w:hAnsi="宋体" w:cs="宋体" w:eastAsia="宋体" w:hint="default"/>
                <w:sz w:val="15"/>
                <w:szCs w:val="15"/>
              </w:rPr>
            </w:pPr>
            <w:r>
              <w:rPr>
                <w:rFonts w:ascii="宋体"/>
                <w:spacing w:val="-1"/>
                <w:sz w:val="15"/>
              </w:rPr>
              <w:t>INR10.00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center"/>
              <w:rPr>
                <w:rFonts w:ascii="宋体" w:hAnsi="宋体" w:cs="宋体" w:eastAsia="宋体" w:hint="default"/>
                <w:sz w:val="15"/>
                <w:szCs w:val="15"/>
              </w:rPr>
            </w:pPr>
            <w:r>
              <w:rPr>
                <w:rFonts w:ascii="宋体" w:hAnsi="宋体" w:cs="宋体" w:eastAsia="宋体" w:hint="default"/>
                <w:sz w:val="15"/>
                <w:szCs w:val="15"/>
              </w:rPr>
              <w:t>印度</w:t>
            </w:r>
          </w:p>
        </w:tc>
        <w:tc>
          <w:tcPr>
            <w:tcW w:w="3581" w:type="dxa"/>
            <w:tcBorders>
              <w:top w:val="nil" w:sz="6" w:space="0" w:color="auto"/>
              <w:left w:val="nil" w:sz="6" w:space="0" w:color="auto"/>
              <w:bottom w:val="nil" w:sz="6" w:space="0" w:color="auto"/>
              <w:right w:val="nil" w:sz="6" w:space="0" w:color="auto"/>
            </w:tcBorders>
          </w:tcPr>
          <w:p>
            <w:pPr>
              <w:pStyle w:val="TableParagraph"/>
              <w:spacing w:line="172" w:lineRule="exact"/>
              <w:ind w:left="61" w:right="0"/>
              <w:jc w:val="left"/>
              <w:rPr>
                <w:rFonts w:ascii="宋体" w:hAnsi="宋体" w:cs="宋体" w:eastAsia="宋体" w:hint="default"/>
                <w:sz w:val="15"/>
                <w:szCs w:val="15"/>
              </w:rPr>
            </w:pPr>
            <w:r>
              <w:rPr>
                <w:rFonts w:ascii="宋体" w:hAnsi="宋体" w:cs="宋体" w:eastAsia="宋体" w:hint="default"/>
                <w:spacing w:val="-4"/>
                <w:sz w:val="15"/>
                <w:szCs w:val="15"/>
              </w:rPr>
              <w:t>安检设备的安装、销售及维护，安检设备的进出口及</w:t>
            </w:r>
          </w:p>
          <w:p>
            <w:pPr>
              <w:pStyle w:val="TableParagraph"/>
              <w:spacing w:line="195" w:lineRule="exact"/>
              <w:ind w:left="61" w:right="0"/>
              <w:jc w:val="left"/>
              <w:rPr>
                <w:rFonts w:ascii="宋体" w:hAnsi="宋体" w:cs="宋体" w:eastAsia="宋体" w:hint="default"/>
                <w:sz w:val="15"/>
                <w:szCs w:val="15"/>
              </w:rPr>
            </w:pPr>
            <w:r>
              <w:rPr>
                <w:rFonts w:ascii="宋体" w:hAnsi="宋体" w:cs="宋体" w:eastAsia="宋体" w:hint="default"/>
                <w:sz w:val="15"/>
                <w:szCs w:val="15"/>
              </w:rPr>
              <w:t>当地市场开拓、调研及产品推广</w:t>
            </w:r>
          </w:p>
        </w:tc>
      </w:tr>
      <w:tr>
        <w:trPr>
          <w:trHeight w:val="229"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85" w:lineRule="exact"/>
              <w:ind w:left="33" w:right="0"/>
              <w:jc w:val="left"/>
              <w:rPr>
                <w:rFonts w:ascii="宋体" w:hAnsi="宋体" w:cs="宋体" w:eastAsia="宋体" w:hint="default"/>
                <w:sz w:val="15"/>
                <w:szCs w:val="15"/>
              </w:rPr>
            </w:pPr>
            <w:r>
              <w:rPr>
                <w:rFonts w:ascii="宋体"/>
                <w:sz w:val="15"/>
              </w:rPr>
              <w:t>NUCTECH US</w:t>
            </w:r>
            <w:r>
              <w:rPr>
                <w:rFonts w:ascii="宋体"/>
                <w:spacing w:val="-3"/>
                <w:sz w:val="15"/>
              </w:rPr>
              <w:t> </w:t>
            </w:r>
            <w:r>
              <w:rPr>
                <w:rFonts w:ascii="宋体"/>
                <w:sz w:val="15"/>
              </w:rPr>
              <w:t>INC</w:t>
            </w:r>
          </w:p>
        </w:tc>
        <w:tc>
          <w:tcPr>
            <w:tcW w:w="377" w:type="dxa"/>
            <w:tcBorders>
              <w:top w:val="nil" w:sz="6" w:space="0" w:color="auto"/>
              <w:left w:val="nil" w:sz="6" w:space="0" w:color="auto"/>
              <w:bottom w:val="nil" w:sz="6" w:space="0" w:color="auto"/>
              <w:right w:val="nil" w:sz="6" w:space="0" w:color="auto"/>
            </w:tcBorders>
          </w:tcPr>
          <w:p>
            <w:pPr>
              <w:pStyle w:val="TableParagraph"/>
              <w:spacing w:line="185" w:lineRule="exact"/>
              <w:ind w:right="19"/>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185" w:lineRule="exact"/>
              <w:ind w:right="59"/>
              <w:jc w:val="right"/>
              <w:rPr>
                <w:rFonts w:ascii="宋体" w:hAnsi="宋体" w:cs="宋体" w:eastAsia="宋体" w:hint="default"/>
                <w:sz w:val="15"/>
                <w:szCs w:val="15"/>
              </w:rPr>
            </w:pPr>
            <w:r>
              <w:rPr>
                <w:rFonts w:ascii="宋体"/>
                <w:spacing w:val="-1"/>
                <w:sz w:val="15"/>
              </w:rPr>
              <w:t>USD10.00</w:t>
            </w:r>
          </w:p>
        </w:tc>
        <w:tc>
          <w:tcPr>
            <w:tcW w:w="652" w:type="dxa"/>
            <w:tcBorders>
              <w:top w:val="nil" w:sz="6" w:space="0" w:color="auto"/>
              <w:left w:val="nil" w:sz="6" w:space="0" w:color="auto"/>
              <w:bottom w:val="nil" w:sz="6" w:space="0" w:color="auto"/>
              <w:right w:val="nil" w:sz="6" w:space="0" w:color="auto"/>
            </w:tcBorders>
          </w:tcPr>
          <w:p>
            <w:pPr>
              <w:pStyle w:val="TableParagraph"/>
              <w:spacing w:line="185" w:lineRule="exact"/>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185" w:lineRule="exact"/>
              <w:ind w:right="24"/>
              <w:jc w:val="center"/>
              <w:rPr>
                <w:rFonts w:ascii="宋体" w:hAnsi="宋体" w:cs="宋体" w:eastAsia="宋体" w:hint="default"/>
                <w:sz w:val="15"/>
                <w:szCs w:val="15"/>
              </w:rPr>
            </w:pPr>
            <w:r>
              <w:rPr>
                <w:rFonts w:ascii="宋体" w:hAnsi="宋体" w:cs="宋体" w:eastAsia="宋体" w:hint="default"/>
                <w:sz w:val="15"/>
                <w:szCs w:val="15"/>
              </w:rPr>
              <w:t>美国波士顿</w:t>
            </w:r>
          </w:p>
        </w:tc>
        <w:tc>
          <w:tcPr>
            <w:tcW w:w="3581" w:type="dxa"/>
            <w:tcBorders>
              <w:top w:val="nil" w:sz="6" w:space="0" w:color="auto"/>
              <w:left w:val="nil" w:sz="6" w:space="0" w:color="auto"/>
              <w:bottom w:val="nil" w:sz="6" w:space="0" w:color="auto"/>
              <w:right w:val="nil" w:sz="6" w:space="0" w:color="auto"/>
            </w:tcBorders>
          </w:tcPr>
          <w:p>
            <w:pPr>
              <w:pStyle w:val="TableParagraph"/>
              <w:spacing w:line="185" w:lineRule="exact"/>
              <w:ind w:left="61" w:right="0"/>
              <w:jc w:val="left"/>
              <w:rPr>
                <w:rFonts w:ascii="宋体" w:hAnsi="宋体" w:cs="宋体" w:eastAsia="宋体" w:hint="default"/>
                <w:sz w:val="15"/>
                <w:szCs w:val="15"/>
              </w:rPr>
            </w:pPr>
            <w:r>
              <w:rPr>
                <w:rFonts w:ascii="宋体" w:hAnsi="宋体" w:cs="宋体" w:eastAsia="宋体" w:hint="default"/>
                <w:sz w:val="15"/>
                <w:szCs w:val="15"/>
              </w:rPr>
              <w:t>X</w:t>
            </w:r>
            <w:r>
              <w:rPr>
                <w:rFonts w:ascii="宋体" w:hAnsi="宋体" w:cs="宋体" w:eastAsia="宋体" w:hint="default"/>
                <w:spacing w:val="-39"/>
                <w:sz w:val="15"/>
                <w:szCs w:val="15"/>
              </w:rPr>
              <w:t> </w:t>
            </w:r>
            <w:r>
              <w:rPr>
                <w:rFonts w:ascii="宋体" w:hAnsi="宋体" w:cs="宋体" w:eastAsia="宋体" w:hint="default"/>
                <w:sz w:val="15"/>
                <w:szCs w:val="15"/>
              </w:rPr>
              <w:t>射线检查设备安装、分销及维护</w:t>
            </w:r>
          </w:p>
        </w:tc>
      </w:tr>
      <w:tr>
        <w:trPr>
          <w:trHeight w:val="240"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95" w:lineRule="exact"/>
              <w:ind w:left="33" w:right="0"/>
              <w:jc w:val="left"/>
              <w:rPr>
                <w:rFonts w:ascii="宋体" w:hAnsi="宋体" w:cs="宋体" w:eastAsia="宋体" w:hint="default"/>
                <w:sz w:val="15"/>
                <w:szCs w:val="15"/>
              </w:rPr>
            </w:pPr>
            <w:r>
              <w:rPr>
                <w:rFonts w:ascii="宋体"/>
                <w:sz w:val="15"/>
              </w:rPr>
              <w:t>Nuctech Netherlands</w:t>
            </w:r>
            <w:r>
              <w:rPr>
                <w:rFonts w:ascii="宋体"/>
                <w:spacing w:val="-11"/>
                <w:sz w:val="15"/>
              </w:rPr>
              <w:t> </w:t>
            </w:r>
            <w:r>
              <w:rPr>
                <w:rFonts w:ascii="宋体"/>
                <w:sz w:val="15"/>
              </w:rPr>
              <w:t>B.V.</w:t>
            </w:r>
          </w:p>
        </w:tc>
        <w:tc>
          <w:tcPr>
            <w:tcW w:w="377" w:type="dxa"/>
            <w:tcBorders>
              <w:top w:val="nil" w:sz="6" w:space="0" w:color="auto"/>
              <w:left w:val="nil" w:sz="6" w:space="0" w:color="auto"/>
              <w:bottom w:val="nil" w:sz="6" w:space="0" w:color="auto"/>
              <w:right w:val="nil" w:sz="6" w:space="0" w:color="auto"/>
            </w:tcBorders>
          </w:tcPr>
          <w:p>
            <w:pPr>
              <w:pStyle w:val="TableParagraph"/>
              <w:spacing w:line="195" w:lineRule="exact"/>
              <w:ind w:right="19"/>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195" w:lineRule="exact"/>
              <w:ind w:right="59"/>
              <w:jc w:val="right"/>
              <w:rPr>
                <w:rFonts w:ascii="宋体" w:hAnsi="宋体" w:cs="宋体" w:eastAsia="宋体" w:hint="default"/>
                <w:sz w:val="15"/>
                <w:szCs w:val="15"/>
              </w:rPr>
            </w:pPr>
            <w:r>
              <w:rPr>
                <w:rFonts w:ascii="宋体"/>
                <w:spacing w:val="-2"/>
                <w:sz w:val="15"/>
              </w:rPr>
              <w:t>EUR100.00</w:t>
            </w:r>
          </w:p>
        </w:tc>
        <w:tc>
          <w:tcPr>
            <w:tcW w:w="652" w:type="dxa"/>
            <w:tcBorders>
              <w:top w:val="nil" w:sz="6" w:space="0" w:color="auto"/>
              <w:left w:val="nil" w:sz="6" w:space="0" w:color="auto"/>
              <w:bottom w:val="nil" w:sz="6" w:space="0" w:color="auto"/>
              <w:right w:val="nil" w:sz="6" w:space="0" w:color="auto"/>
            </w:tcBorders>
          </w:tcPr>
          <w:p>
            <w:pPr>
              <w:pStyle w:val="TableParagraph"/>
              <w:spacing w:line="195" w:lineRule="exact"/>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195" w:lineRule="exact"/>
              <w:ind w:right="23"/>
              <w:jc w:val="center"/>
              <w:rPr>
                <w:rFonts w:ascii="宋体" w:hAnsi="宋体" w:cs="宋体" w:eastAsia="宋体" w:hint="default"/>
                <w:sz w:val="15"/>
                <w:szCs w:val="15"/>
              </w:rPr>
            </w:pPr>
            <w:r>
              <w:rPr>
                <w:rFonts w:ascii="宋体" w:hAnsi="宋体" w:cs="宋体" w:eastAsia="宋体" w:hint="default"/>
                <w:sz w:val="15"/>
                <w:szCs w:val="15"/>
              </w:rPr>
              <w:t>荷兰</w:t>
            </w:r>
          </w:p>
        </w:tc>
        <w:tc>
          <w:tcPr>
            <w:tcW w:w="3581" w:type="dxa"/>
            <w:tcBorders>
              <w:top w:val="nil" w:sz="6" w:space="0" w:color="auto"/>
              <w:left w:val="nil" w:sz="6" w:space="0" w:color="auto"/>
              <w:bottom w:val="nil" w:sz="6" w:space="0" w:color="auto"/>
              <w:right w:val="nil" w:sz="6" w:space="0" w:color="auto"/>
            </w:tcBorders>
          </w:tcPr>
          <w:p>
            <w:pPr>
              <w:pStyle w:val="TableParagraph"/>
              <w:spacing w:line="195" w:lineRule="exact"/>
              <w:ind w:left="61" w:right="0"/>
              <w:jc w:val="left"/>
              <w:rPr>
                <w:rFonts w:ascii="宋体" w:hAnsi="宋体" w:cs="宋体" w:eastAsia="宋体" w:hint="default"/>
                <w:sz w:val="15"/>
                <w:szCs w:val="15"/>
              </w:rPr>
            </w:pPr>
            <w:r>
              <w:rPr>
                <w:rFonts w:ascii="宋体" w:hAnsi="宋体" w:cs="宋体" w:eastAsia="宋体" w:hint="default"/>
                <w:sz w:val="15"/>
                <w:szCs w:val="15"/>
              </w:rPr>
              <w:t>安检设备的销售和研发</w:t>
            </w:r>
          </w:p>
        </w:tc>
      </w:tr>
      <w:tr>
        <w:trPr>
          <w:trHeight w:val="228"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95" w:lineRule="exact"/>
              <w:ind w:left="33" w:right="0"/>
              <w:jc w:val="left"/>
              <w:rPr>
                <w:rFonts w:ascii="宋体" w:hAnsi="宋体" w:cs="宋体" w:eastAsia="宋体" w:hint="default"/>
                <w:sz w:val="15"/>
                <w:szCs w:val="15"/>
              </w:rPr>
            </w:pPr>
            <w:r>
              <w:rPr>
                <w:rFonts w:ascii="宋体"/>
                <w:sz w:val="15"/>
              </w:rPr>
              <w:t>Concordia Technology</w:t>
            </w:r>
            <w:r>
              <w:rPr>
                <w:rFonts w:ascii="宋体"/>
                <w:spacing w:val="-16"/>
                <w:sz w:val="15"/>
              </w:rPr>
              <w:t> </w:t>
            </w:r>
            <w:r>
              <w:rPr>
                <w:rFonts w:ascii="宋体"/>
                <w:sz w:val="15"/>
              </w:rPr>
              <w:t>Limited</w:t>
            </w:r>
          </w:p>
        </w:tc>
        <w:tc>
          <w:tcPr>
            <w:tcW w:w="377" w:type="dxa"/>
            <w:tcBorders>
              <w:top w:val="nil" w:sz="6" w:space="0" w:color="auto"/>
              <w:left w:val="nil" w:sz="6" w:space="0" w:color="auto"/>
              <w:bottom w:val="nil" w:sz="6" w:space="0" w:color="auto"/>
              <w:right w:val="nil" w:sz="6" w:space="0" w:color="auto"/>
            </w:tcBorders>
          </w:tcPr>
          <w:p>
            <w:pPr>
              <w:pStyle w:val="TableParagraph"/>
              <w:spacing w:line="195" w:lineRule="exact"/>
              <w:ind w:right="19"/>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195" w:lineRule="exact"/>
              <w:ind w:right="59"/>
              <w:jc w:val="right"/>
              <w:rPr>
                <w:rFonts w:ascii="宋体" w:hAnsi="宋体" w:cs="宋体" w:eastAsia="宋体" w:hint="default"/>
                <w:sz w:val="15"/>
                <w:szCs w:val="15"/>
              </w:rPr>
            </w:pPr>
            <w:r>
              <w:rPr>
                <w:rFonts w:ascii="宋体"/>
                <w:spacing w:val="-1"/>
                <w:sz w:val="15"/>
              </w:rPr>
              <w:t>ILS5.00</w:t>
            </w:r>
          </w:p>
        </w:tc>
        <w:tc>
          <w:tcPr>
            <w:tcW w:w="652" w:type="dxa"/>
            <w:tcBorders>
              <w:top w:val="nil" w:sz="6" w:space="0" w:color="auto"/>
              <w:left w:val="nil" w:sz="6" w:space="0" w:color="auto"/>
              <w:bottom w:val="nil" w:sz="6" w:space="0" w:color="auto"/>
              <w:right w:val="nil" w:sz="6" w:space="0" w:color="auto"/>
            </w:tcBorders>
          </w:tcPr>
          <w:p>
            <w:pPr>
              <w:pStyle w:val="TableParagraph"/>
              <w:spacing w:line="195" w:lineRule="exact"/>
              <w:ind w:left="78" w:right="0"/>
              <w:jc w:val="center"/>
              <w:rPr>
                <w:rFonts w:ascii="宋体" w:hAnsi="宋体" w:cs="宋体" w:eastAsia="宋体" w:hint="default"/>
                <w:sz w:val="15"/>
                <w:szCs w:val="15"/>
              </w:rPr>
            </w:pPr>
            <w:r>
              <w:rPr>
                <w:rFonts w:ascii="宋体"/>
                <w:sz w:val="15"/>
              </w:rPr>
              <w:t>95.00%</w:t>
            </w:r>
          </w:p>
        </w:tc>
        <w:tc>
          <w:tcPr>
            <w:tcW w:w="902" w:type="dxa"/>
            <w:tcBorders>
              <w:top w:val="nil" w:sz="6" w:space="0" w:color="auto"/>
              <w:left w:val="nil" w:sz="6" w:space="0" w:color="auto"/>
              <w:bottom w:val="nil" w:sz="6" w:space="0" w:color="auto"/>
              <w:right w:val="nil" w:sz="6" w:space="0" w:color="auto"/>
            </w:tcBorders>
          </w:tcPr>
          <w:p>
            <w:pPr>
              <w:pStyle w:val="TableParagraph"/>
              <w:spacing w:line="195" w:lineRule="exact"/>
              <w:ind w:right="26"/>
              <w:jc w:val="center"/>
              <w:rPr>
                <w:rFonts w:ascii="宋体" w:hAnsi="宋体" w:cs="宋体" w:eastAsia="宋体" w:hint="default"/>
                <w:sz w:val="15"/>
                <w:szCs w:val="15"/>
              </w:rPr>
            </w:pPr>
            <w:r>
              <w:rPr>
                <w:rFonts w:ascii="宋体" w:hAnsi="宋体" w:cs="宋体" w:eastAsia="宋体" w:hint="default"/>
                <w:sz w:val="15"/>
                <w:szCs w:val="15"/>
              </w:rPr>
              <w:t>以色列</w:t>
            </w:r>
          </w:p>
        </w:tc>
        <w:tc>
          <w:tcPr>
            <w:tcW w:w="3581" w:type="dxa"/>
            <w:tcBorders>
              <w:top w:val="nil" w:sz="6" w:space="0" w:color="auto"/>
              <w:left w:val="nil" w:sz="6" w:space="0" w:color="auto"/>
              <w:bottom w:val="nil" w:sz="6" w:space="0" w:color="auto"/>
              <w:right w:val="nil" w:sz="6" w:space="0" w:color="auto"/>
            </w:tcBorders>
          </w:tcPr>
          <w:p>
            <w:pPr>
              <w:pStyle w:val="TableParagraph"/>
              <w:spacing w:line="195" w:lineRule="exact"/>
              <w:ind w:left="61" w:right="0"/>
              <w:jc w:val="left"/>
              <w:rPr>
                <w:rFonts w:ascii="宋体" w:hAnsi="宋体" w:cs="宋体" w:eastAsia="宋体" w:hint="default"/>
                <w:sz w:val="15"/>
                <w:szCs w:val="15"/>
              </w:rPr>
            </w:pPr>
            <w:r>
              <w:rPr>
                <w:rFonts w:ascii="宋体" w:hAnsi="宋体" w:cs="宋体" w:eastAsia="宋体" w:hint="default"/>
                <w:sz w:val="15"/>
                <w:szCs w:val="15"/>
              </w:rPr>
              <w:t>X</w:t>
            </w:r>
            <w:r>
              <w:rPr>
                <w:rFonts w:ascii="宋体" w:hAnsi="宋体" w:cs="宋体" w:eastAsia="宋体" w:hint="default"/>
                <w:spacing w:val="-39"/>
                <w:sz w:val="15"/>
                <w:szCs w:val="15"/>
              </w:rPr>
              <w:t> </w:t>
            </w:r>
            <w:r>
              <w:rPr>
                <w:rFonts w:ascii="宋体" w:hAnsi="宋体" w:cs="宋体" w:eastAsia="宋体" w:hint="default"/>
                <w:sz w:val="15"/>
                <w:szCs w:val="15"/>
              </w:rPr>
              <w:t>射线检查设备安装、分销及维护</w:t>
            </w:r>
          </w:p>
        </w:tc>
      </w:tr>
      <w:tr>
        <w:trPr>
          <w:trHeight w:val="412"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3" w:right="0"/>
              <w:jc w:val="left"/>
              <w:rPr>
                <w:rFonts w:ascii="宋体" w:hAnsi="宋体" w:cs="宋体" w:eastAsia="宋体" w:hint="default"/>
                <w:sz w:val="15"/>
                <w:szCs w:val="15"/>
              </w:rPr>
            </w:pPr>
            <w:r>
              <w:rPr>
                <w:rFonts w:ascii="宋体"/>
                <w:sz w:val="15"/>
              </w:rPr>
              <w:t>NUCTECH</w:t>
            </w:r>
            <w:r>
              <w:rPr>
                <w:rFonts w:ascii="宋体"/>
                <w:spacing w:val="-6"/>
                <w:sz w:val="15"/>
              </w:rPr>
              <w:t> </w:t>
            </w:r>
            <w:r>
              <w:rPr>
                <w:rFonts w:ascii="宋体"/>
                <w:sz w:val="15"/>
              </w:rPr>
              <w:t>MAROC</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9"/>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9"/>
              <w:jc w:val="right"/>
              <w:rPr>
                <w:rFonts w:ascii="宋体" w:hAnsi="宋体" w:cs="宋体" w:eastAsia="宋体" w:hint="default"/>
                <w:sz w:val="15"/>
                <w:szCs w:val="15"/>
              </w:rPr>
            </w:pPr>
            <w:r>
              <w:rPr>
                <w:rFonts w:ascii="宋体"/>
                <w:spacing w:val="-1"/>
                <w:sz w:val="15"/>
              </w:rPr>
              <w:t>MAD10.00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6"/>
              <w:jc w:val="center"/>
              <w:rPr>
                <w:rFonts w:ascii="宋体" w:hAnsi="宋体" w:cs="宋体" w:eastAsia="宋体" w:hint="default"/>
                <w:sz w:val="15"/>
                <w:szCs w:val="15"/>
              </w:rPr>
            </w:pPr>
            <w:r>
              <w:rPr>
                <w:rFonts w:ascii="宋体" w:hAnsi="宋体" w:cs="宋体" w:eastAsia="宋体" w:hint="default"/>
                <w:sz w:val="15"/>
                <w:szCs w:val="15"/>
              </w:rPr>
              <w:t>摩洛哥</w:t>
            </w:r>
          </w:p>
        </w:tc>
        <w:tc>
          <w:tcPr>
            <w:tcW w:w="3581" w:type="dxa"/>
            <w:tcBorders>
              <w:top w:val="nil" w:sz="6" w:space="0" w:color="auto"/>
              <w:left w:val="nil" w:sz="6" w:space="0" w:color="auto"/>
              <w:bottom w:val="nil" w:sz="6" w:space="0" w:color="auto"/>
              <w:right w:val="nil" w:sz="6" w:space="0" w:color="auto"/>
            </w:tcBorders>
          </w:tcPr>
          <w:p>
            <w:pPr>
              <w:pStyle w:val="TableParagraph"/>
              <w:spacing w:line="194" w:lineRule="exact" w:before="7"/>
              <w:ind w:left="61" w:right="104"/>
              <w:jc w:val="left"/>
              <w:rPr>
                <w:rFonts w:ascii="宋体" w:hAnsi="宋体" w:cs="宋体" w:eastAsia="宋体" w:hint="default"/>
                <w:sz w:val="15"/>
                <w:szCs w:val="15"/>
              </w:rPr>
            </w:pPr>
            <w:r>
              <w:rPr>
                <w:rFonts w:ascii="宋体" w:hAnsi="宋体" w:cs="宋体" w:eastAsia="宋体" w:hint="default"/>
                <w:sz w:val="15"/>
                <w:szCs w:val="15"/>
              </w:rPr>
              <w:t>X</w:t>
            </w:r>
            <w:r>
              <w:rPr>
                <w:rFonts w:ascii="宋体" w:hAnsi="宋体" w:cs="宋体" w:eastAsia="宋体" w:hint="default"/>
                <w:spacing w:val="-8"/>
                <w:sz w:val="15"/>
                <w:szCs w:val="15"/>
              </w:rPr>
              <w:t> </w:t>
            </w:r>
            <w:r>
              <w:rPr>
                <w:rFonts w:ascii="宋体" w:hAnsi="宋体" w:cs="宋体" w:eastAsia="宋体" w:hint="default"/>
                <w:spacing w:val="-2"/>
                <w:sz w:val="15"/>
                <w:szCs w:val="15"/>
              </w:rPr>
              <w:t>射线检查设备及软件系统安装、销售；设备维护及</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租赁</w:t>
            </w:r>
          </w:p>
        </w:tc>
      </w:tr>
      <w:tr>
        <w:trPr>
          <w:trHeight w:val="219"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85" w:lineRule="exact"/>
              <w:ind w:left="33" w:right="0"/>
              <w:jc w:val="left"/>
              <w:rPr>
                <w:rFonts w:ascii="宋体" w:hAnsi="宋体" w:cs="宋体" w:eastAsia="宋体" w:hint="default"/>
                <w:sz w:val="15"/>
                <w:szCs w:val="15"/>
              </w:rPr>
            </w:pPr>
            <w:r>
              <w:rPr>
                <w:rFonts w:ascii="宋体" w:hAnsi="宋体" w:cs="宋体" w:eastAsia="宋体" w:hint="default"/>
                <w:sz w:val="15"/>
                <w:szCs w:val="15"/>
              </w:rPr>
              <w:t>北京固鸿科技有限公司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185" w:lineRule="exact"/>
              <w:ind w:right="19"/>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185" w:lineRule="exact"/>
              <w:ind w:right="59"/>
              <w:jc w:val="right"/>
              <w:rPr>
                <w:rFonts w:ascii="宋体" w:hAnsi="宋体" w:cs="宋体" w:eastAsia="宋体" w:hint="default"/>
                <w:sz w:val="15"/>
                <w:szCs w:val="15"/>
              </w:rPr>
            </w:pPr>
            <w:r>
              <w:rPr>
                <w:rFonts w:ascii="宋体" w:hAnsi="宋体"/>
                <w:spacing w:val="-2"/>
                <w:sz w:val="15"/>
              </w:rPr>
              <w:t>¥7,000.00</w:t>
            </w:r>
          </w:p>
        </w:tc>
        <w:tc>
          <w:tcPr>
            <w:tcW w:w="652" w:type="dxa"/>
            <w:tcBorders>
              <w:top w:val="nil" w:sz="6" w:space="0" w:color="auto"/>
              <w:left w:val="nil" w:sz="6" w:space="0" w:color="auto"/>
              <w:bottom w:val="nil" w:sz="6" w:space="0" w:color="auto"/>
              <w:right w:val="nil" w:sz="6" w:space="0" w:color="auto"/>
            </w:tcBorders>
          </w:tcPr>
          <w:p>
            <w:pPr>
              <w:pStyle w:val="TableParagraph"/>
              <w:spacing w:line="185" w:lineRule="exact"/>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185" w:lineRule="exact"/>
              <w:ind w:right="26"/>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81" w:type="dxa"/>
            <w:tcBorders>
              <w:top w:val="nil" w:sz="6" w:space="0" w:color="auto"/>
              <w:left w:val="nil" w:sz="6" w:space="0" w:color="auto"/>
              <w:bottom w:val="nil" w:sz="6" w:space="0" w:color="auto"/>
              <w:right w:val="nil" w:sz="6" w:space="0" w:color="auto"/>
            </w:tcBorders>
          </w:tcPr>
          <w:p>
            <w:pPr>
              <w:pStyle w:val="TableParagraph"/>
              <w:spacing w:line="185" w:lineRule="exact"/>
              <w:ind w:left="61" w:right="0"/>
              <w:jc w:val="left"/>
              <w:rPr>
                <w:rFonts w:ascii="宋体" w:hAnsi="宋体" w:cs="宋体" w:eastAsia="宋体" w:hint="default"/>
                <w:sz w:val="15"/>
                <w:szCs w:val="15"/>
              </w:rPr>
            </w:pPr>
            <w:r>
              <w:rPr>
                <w:rFonts w:ascii="宋体" w:hAnsi="宋体" w:cs="宋体" w:eastAsia="宋体" w:hint="default"/>
                <w:sz w:val="15"/>
                <w:szCs w:val="15"/>
              </w:rPr>
              <w:t>工业射线装置销售及安装服务</w:t>
            </w:r>
          </w:p>
        </w:tc>
      </w:tr>
      <w:tr>
        <w:trPr>
          <w:trHeight w:val="412"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94" w:lineRule="exact" w:before="8"/>
              <w:ind w:left="33" w:right="60"/>
              <w:jc w:val="left"/>
              <w:rPr>
                <w:rFonts w:ascii="宋体" w:hAnsi="宋体" w:cs="宋体" w:eastAsia="宋体" w:hint="default"/>
                <w:sz w:val="15"/>
                <w:szCs w:val="15"/>
              </w:rPr>
            </w:pPr>
            <w:r>
              <w:rPr>
                <w:rFonts w:ascii="宋体" w:hAnsi="宋体" w:cs="宋体" w:eastAsia="宋体" w:hint="default"/>
                <w:spacing w:val="-2"/>
                <w:sz w:val="15"/>
                <w:szCs w:val="15"/>
              </w:rPr>
              <w:t>北京华力兴科技发展有限责任公</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司</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9"/>
              <w:jc w:val="right"/>
              <w:rPr>
                <w:rFonts w:ascii="宋体" w:hAnsi="宋体" w:cs="宋体" w:eastAsia="宋体" w:hint="default"/>
                <w:sz w:val="15"/>
                <w:szCs w:val="15"/>
              </w:rPr>
            </w:pPr>
            <w:r>
              <w:rPr>
                <w:rFonts w:ascii="宋体" w:hAnsi="宋体"/>
                <w:spacing w:val="-2"/>
                <w:sz w:val="15"/>
              </w:rPr>
              <w:t>¥2,100.00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8" w:right="0"/>
              <w:jc w:val="center"/>
              <w:rPr>
                <w:rFonts w:ascii="宋体" w:hAnsi="宋体" w:cs="宋体" w:eastAsia="宋体" w:hint="default"/>
                <w:sz w:val="15"/>
                <w:szCs w:val="15"/>
              </w:rPr>
            </w:pPr>
            <w:r>
              <w:rPr>
                <w:rFonts w:ascii="宋体"/>
                <w:sz w:val="15"/>
              </w:rPr>
              <w:t>65.00%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6"/>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8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61" w:right="0"/>
              <w:jc w:val="left"/>
              <w:rPr>
                <w:rFonts w:ascii="宋体" w:hAnsi="宋体" w:cs="宋体" w:eastAsia="宋体" w:hint="default"/>
                <w:sz w:val="15"/>
                <w:szCs w:val="15"/>
              </w:rPr>
            </w:pPr>
            <w:r>
              <w:rPr>
                <w:rFonts w:ascii="宋体" w:hAnsi="宋体" w:cs="宋体" w:eastAsia="宋体" w:hint="default"/>
                <w:sz w:val="15"/>
                <w:szCs w:val="15"/>
              </w:rPr>
              <w:t>集装箱检查系统安装服务与技术支持</w:t>
            </w:r>
          </w:p>
        </w:tc>
      </w:tr>
      <w:tr>
        <w:trPr>
          <w:trHeight w:val="217"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83" w:lineRule="exact"/>
              <w:ind w:left="33" w:right="0"/>
              <w:jc w:val="left"/>
              <w:rPr>
                <w:rFonts w:ascii="宋体" w:hAnsi="宋体" w:cs="宋体" w:eastAsia="宋体" w:hint="default"/>
                <w:sz w:val="15"/>
                <w:szCs w:val="15"/>
              </w:rPr>
            </w:pPr>
            <w:r>
              <w:rPr>
                <w:rFonts w:ascii="宋体" w:hAnsi="宋体" w:cs="宋体" w:eastAsia="宋体" w:hint="default"/>
                <w:sz w:val="15"/>
                <w:szCs w:val="15"/>
              </w:rPr>
              <w:t>北京汉鸿投资有限公司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183" w:lineRule="exact"/>
              <w:ind w:right="19"/>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183" w:lineRule="exact"/>
              <w:ind w:right="60"/>
              <w:jc w:val="right"/>
              <w:rPr>
                <w:rFonts w:ascii="宋体" w:hAnsi="宋体" w:cs="宋体" w:eastAsia="宋体" w:hint="default"/>
                <w:sz w:val="15"/>
                <w:szCs w:val="15"/>
              </w:rPr>
            </w:pPr>
            <w:r>
              <w:rPr>
                <w:rFonts w:ascii="宋体" w:hAnsi="宋体"/>
                <w:spacing w:val="-1"/>
                <w:sz w:val="15"/>
              </w:rPr>
              <w:t>¥13,250.00</w:t>
            </w:r>
          </w:p>
        </w:tc>
        <w:tc>
          <w:tcPr>
            <w:tcW w:w="652" w:type="dxa"/>
            <w:tcBorders>
              <w:top w:val="nil" w:sz="6" w:space="0" w:color="auto"/>
              <w:left w:val="nil" w:sz="6" w:space="0" w:color="auto"/>
              <w:bottom w:val="nil" w:sz="6" w:space="0" w:color="auto"/>
              <w:right w:val="nil" w:sz="6" w:space="0" w:color="auto"/>
            </w:tcBorders>
          </w:tcPr>
          <w:p>
            <w:pPr>
              <w:pStyle w:val="TableParagraph"/>
              <w:spacing w:line="183" w:lineRule="exact"/>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183" w:lineRule="exact"/>
              <w:ind w:right="26"/>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81" w:type="dxa"/>
            <w:tcBorders>
              <w:top w:val="nil" w:sz="6" w:space="0" w:color="auto"/>
              <w:left w:val="nil" w:sz="6" w:space="0" w:color="auto"/>
              <w:bottom w:val="nil" w:sz="6" w:space="0" w:color="auto"/>
              <w:right w:val="nil" w:sz="6" w:space="0" w:color="auto"/>
            </w:tcBorders>
          </w:tcPr>
          <w:p>
            <w:pPr>
              <w:pStyle w:val="TableParagraph"/>
              <w:spacing w:line="183" w:lineRule="exact"/>
              <w:ind w:left="61" w:right="0"/>
              <w:jc w:val="left"/>
              <w:rPr>
                <w:rFonts w:ascii="宋体" w:hAnsi="宋体" w:cs="宋体" w:eastAsia="宋体" w:hint="default"/>
                <w:sz w:val="15"/>
                <w:szCs w:val="15"/>
              </w:rPr>
            </w:pPr>
            <w:r>
              <w:rPr>
                <w:rFonts w:ascii="宋体" w:hAnsi="宋体" w:cs="宋体" w:eastAsia="宋体" w:hint="default"/>
                <w:sz w:val="15"/>
                <w:szCs w:val="15"/>
              </w:rPr>
              <w:t>实业投资、投资咨询</w:t>
            </w:r>
          </w:p>
        </w:tc>
      </w:tr>
      <w:tr>
        <w:trPr>
          <w:trHeight w:val="412"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3" w:right="0"/>
              <w:jc w:val="left"/>
              <w:rPr>
                <w:rFonts w:ascii="宋体" w:hAnsi="宋体" w:cs="宋体" w:eastAsia="宋体" w:hint="default"/>
                <w:sz w:val="15"/>
                <w:szCs w:val="15"/>
              </w:rPr>
            </w:pPr>
            <w:r>
              <w:rPr>
                <w:rFonts w:ascii="宋体" w:hAnsi="宋体" w:cs="宋体" w:eastAsia="宋体" w:hint="default"/>
                <w:sz w:val="15"/>
                <w:szCs w:val="15"/>
              </w:rPr>
              <w:t>同方威视科技江苏有限公司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0"/>
              <w:jc w:val="right"/>
              <w:rPr>
                <w:rFonts w:ascii="宋体" w:hAnsi="宋体" w:cs="宋体" w:eastAsia="宋体" w:hint="default"/>
                <w:sz w:val="15"/>
                <w:szCs w:val="15"/>
              </w:rPr>
            </w:pPr>
            <w:r>
              <w:rPr>
                <w:rFonts w:ascii="宋体" w:hAnsi="宋体"/>
                <w:spacing w:val="-1"/>
                <w:sz w:val="15"/>
              </w:rPr>
              <w:t>¥36,000.00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6"/>
              <w:jc w:val="center"/>
              <w:rPr>
                <w:rFonts w:ascii="宋体" w:hAnsi="宋体" w:cs="宋体" w:eastAsia="宋体" w:hint="default"/>
                <w:sz w:val="15"/>
                <w:szCs w:val="15"/>
              </w:rPr>
            </w:pPr>
            <w:r>
              <w:rPr>
                <w:rFonts w:ascii="宋体" w:hAnsi="宋体" w:cs="宋体" w:eastAsia="宋体" w:hint="default"/>
                <w:sz w:val="15"/>
                <w:szCs w:val="15"/>
              </w:rPr>
              <w:t>江苏常州</w:t>
            </w:r>
          </w:p>
        </w:tc>
        <w:tc>
          <w:tcPr>
            <w:tcW w:w="3581" w:type="dxa"/>
            <w:tcBorders>
              <w:top w:val="nil" w:sz="6" w:space="0" w:color="auto"/>
              <w:left w:val="nil" w:sz="6" w:space="0" w:color="auto"/>
              <w:bottom w:val="nil" w:sz="6" w:space="0" w:color="auto"/>
              <w:right w:val="nil" w:sz="6" w:space="0" w:color="auto"/>
            </w:tcBorders>
          </w:tcPr>
          <w:p>
            <w:pPr>
              <w:pStyle w:val="TableParagraph"/>
              <w:spacing w:line="194" w:lineRule="exact" w:before="8"/>
              <w:ind w:left="61" w:right="104"/>
              <w:jc w:val="left"/>
              <w:rPr>
                <w:rFonts w:ascii="宋体" w:hAnsi="宋体" w:cs="宋体" w:eastAsia="宋体" w:hint="default"/>
                <w:sz w:val="15"/>
                <w:szCs w:val="15"/>
              </w:rPr>
            </w:pPr>
            <w:r>
              <w:rPr>
                <w:rFonts w:ascii="宋体" w:hAnsi="宋体" w:cs="宋体" w:eastAsia="宋体" w:hint="default"/>
                <w:spacing w:val="-4"/>
                <w:sz w:val="15"/>
                <w:szCs w:val="15"/>
              </w:rPr>
              <w:t>核仪器仪表的研究、开发、生产、销售及设备安装服</w:t>
            </w:r>
            <w:r>
              <w:rPr>
                <w:rFonts w:ascii="宋体" w:hAnsi="宋体" w:cs="宋体" w:eastAsia="宋体" w:hint="default"/>
                <w:spacing w:val="-27"/>
                <w:sz w:val="15"/>
                <w:szCs w:val="15"/>
              </w:rPr>
              <w:t> </w:t>
            </w:r>
            <w:r>
              <w:rPr>
                <w:rFonts w:ascii="宋体" w:hAnsi="宋体" w:cs="宋体" w:eastAsia="宋体" w:hint="default"/>
                <w:spacing w:val="-27"/>
                <w:sz w:val="15"/>
                <w:szCs w:val="15"/>
              </w:rPr>
            </w:r>
            <w:r>
              <w:rPr>
                <w:rFonts w:ascii="宋体" w:hAnsi="宋体" w:cs="宋体" w:eastAsia="宋体" w:hint="default"/>
                <w:sz w:val="15"/>
                <w:szCs w:val="15"/>
              </w:rPr>
              <w:t>务</w:t>
            </w:r>
          </w:p>
        </w:tc>
      </w:tr>
      <w:tr>
        <w:trPr>
          <w:trHeight w:val="217"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83" w:lineRule="exact"/>
              <w:ind w:left="33" w:right="0"/>
              <w:jc w:val="left"/>
              <w:rPr>
                <w:rFonts w:ascii="宋体" w:hAnsi="宋体" w:cs="宋体" w:eastAsia="宋体" w:hint="default"/>
                <w:sz w:val="15"/>
                <w:szCs w:val="15"/>
              </w:rPr>
            </w:pPr>
            <w:r>
              <w:rPr>
                <w:rFonts w:ascii="宋体" w:hAnsi="宋体" w:cs="宋体" w:eastAsia="宋体" w:hint="default"/>
                <w:sz w:val="15"/>
                <w:szCs w:val="15"/>
              </w:rPr>
              <w:t>北京方鸿智能科技有限公司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183" w:lineRule="exact"/>
              <w:ind w:right="19"/>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183" w:lineRule="exact"/>
              <w:ind w:right="59"/>
              <w:jc w:val="right"/>
              <w:rPr>
                <w:rFonts w:ascii="宋体" w:hAnsi="宋体" w:cs="宋体" w:eastAsia="宋体" w:hint="default"/>
                <w:sz w:val="15"/>
                <w:szCs w:val="15"/>
              </w:rPr>
            </w:pPr>
            <w:r>
              <w:rPr>
                <w:rFonts w:ascii="宋体" w:hAnsi="宋体"/>
                <w:spacing w:val="-2"/>
                <w:sz w:val="15"/>
              </w:rPr>
              <w:t>¥1,200.00</w:t>
            </w:r>
          </w:p>
        </w:tc>
        <w:tc>
          <w:tcPr>
            <w:tcW w:w="652" w:type="dxa"/>
            <w:tcBorders>
              <w:top w:val="nil" w:sz="6" w:space="0" w:color="auto"/>
              <w:left w:val="nil" w:sz="6" w:space="0" w:color="auto"/>
              <w:bottom w:val="nil" w:sz="6" w:space="0" w:color="auto"/>
              <w:right w:val="nil" w:sz="6" w:space="0" w:color="auto"/>
            </w:tcBorders>
          </w:tcPr>
          <w:p>
            <w:pPr>
              <w:pStyle w:val="TableParagraph"/>
              <w:spacing w:line="183" w:lineRule="exact"/>
              <w:ind w:left="78" w:right="0"/>
              <w:jc w:val="center"/>
              <w:rPr>
                <w:rFonts w:ascii="宋体" w:hAnsi="宋体" w:cs="宋体" w:eastAsia="宋体" w:hint="default"/>
                <w:sz w:val="15"/>
                <w:szCs w:val="15"/>
              </w:rPr>
            </w:pPr>
            <w:r>
              <w:rPr>
                <w:rFonts w:ascii="宋体"/>
                <w:sz w:val="15"/>
              </w:rPr>
              <w:t>70.00%</w:t>
            </w:r>
          </w:p>
        </w:tc>
        <w:tc>
          <w:tcPr>
            <w:tcW w:w="902" w:type="dxa"/>
            <w:tcBorders>
              <w:top w:val="nil" w:sz="6" w:space="0" w:color="auto"/>
              <w:left w:val="nil" w:sz="6" w:space="0" w:color="auto"/>
              <w:bottom w:val="nil" w:sz="6" w:space="0" w:color="auto"/>
              <w:right w:val="nil" w:sz="6" w:space="0" w:color="auto"/>
            </w:tcBorders>
          </w:tcPr>
          <w:p>
            <w:pPr>
              <w:pStyle w:val="TableParagraph"/>
              <w:spacing w:line="183" w:lineRule="exact"/>
              <w:ind w:right="26"/>
              <w:jc w:val="center"/>
              <w:rPr>
                <w:rFonts w:ascii="宋体" w:hAnsi="宋体" w:cs="宋体" w:eastAsia="宋体" w:hint="default"/>
                <w:sz w:val="15"/>
                <w:szCs w:val="15"/>
              </w:rPr>
            </w:pPr>
            <w:r>
              <w:rPr>
                <w:rFonts w:ascii="宋体" w:hAnsi="宋体" w:cs="宋体" w:eastAsia="宋体" w:hint="default"/>
                <w:sz w:val="15"/>
                <w:szCs w:val="15"/>
              </w:rPr>
              <w:t>北京密云</w:t>
            </w:r>
          </w:p>
        </w:tc>
        <w:tc>
          <w:tcPr>
            <w:tcW w:w="3581" w:type="dxa"/>
            <w:tcBorders>
              <w:top w:val="nil" w:sz="6" w:space="0" w:color="auto"/>
              <w:left w:val="nil" w:sz="6" w:space="0" w:color="auto"/>
              <w:bottom w:val="nil" w:sz="6" w:space="0" w:color="auto"/>
              <w:right w:val="nil" w:sz="6" w:space="0" w:color="auto"/>
            </w:tcBorders>
          </w:tcPr>
          <w:p>
            <w:pPr>
              <w:pStyle w:val="TableParagraph"/>
              <w:spacing w:line="183" w:lineRule="exact"/>
              <w:ind w:left="61" w:right="0"/>
              <w:jc w:val="left"/>
              <w:rPr>
                <w:rFonts w:ascii="宋体" w:hAnsi="宋体" w:cs="宋体" w:eastAsia="宋体" w:hint="default"/>
                <w:sz w:val="15"/>
                <w:szCs w:val="15"/>
              </w:rPr>
            </w:pPr>
            <w:r>
              <w:rPr>
                <w:rFonts w:ascii="宋体" w:hAnsi="宋体" w:cs="宋体" w:eastAsia="宋体" w:hint="default"/>
                <w:sz w:val="15"/>
                <w:szCs w:val="15"/>
              </w:rPr>
              <w:t>技术推广服务；工程和技术研究与实验发展等</w:t>
            </w:r>
          </w:p>
        </w:tc>
      </w:tr>
      <w:tr>
        <w:trPr>
          <w:trHeight w:val="401"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3" w:right="0"/>
              <w:jc w:val="left"/>
              <w:rPr>
                <w:rFonts w:ascii="宋体" w:hAnsi="宋体" w:cs="宋体" w:eastAsia="宋体" w:hint="default"/>
                <w:sz w:val="15"/>
                <w:szCs w:val="15"/>
              </w:rPr>
            </w:pPr>
            <w:r>
              <w:rPr>
                <w:rFonts w:ascii="宋体" w:hAnsi="宋体" w:cs="宋体" w:eastAsia="宋体" w:hint="default"/>
                <w:sz w:val="15"/>
                <w:szCs w:val="15"/>
              </w:rPr>
              <w:t>苏州微木智能系统有限公司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9"/>
              <w:jc w:val="right"/>
              <w:rPr>
                <w:rFonts w:ascii="宋体" w:hAnsi="宋体" w:cs="宋体" w:eastAsia="宋体" w:hint="default"/>
                <w:sz w:val="15"/>
                <w:szCs w:val="15"/>
              </w:rPr>
            </w:pPr>
            <w:r>
              <w:rPr>
                <w:rFonts w:ascii="宋体" w:hAnsi="宋体"/>
                <w:spacing w:val="-2"/>
                <w:sz w:val="15"/>
              </w:rPr>
              <w:t>¥1,000.00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8" w:right="0"/>
              <w:jc w:val="center"/>
              <w:rPr>
                <w:rFonts w:ascii="宋体" w:hAnsi="宋体" w:cs="宋体" w:eastAsia="宋体" w:hint="default"/>
                <w:sz w:val="15"/>
                <w:szCs w:val="15"/>
              </w:rPr>
            </w:pPr>
            <w:r>
              <w:rPr>
                <w:rFonts w:ascii="宋体"/>
                <w:sz w:val="15"/>
              </w:rPr>
              <w:t>80.00%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6"/>
              <w:jc w:val="center"/>
              <w:rPr>
                <w:rFonts w:ascii="宋体" w:hAnsi="宋体" w:cs="宋体" w:eastAsia="宋体" w:hint="default"/>
                <w:sz w:val="15"/>
                <w:szCs w:val="15"/>
              </w:rPr>
            </w:pPr>
            <w:r>
              <w:rPr>
                <w:rFonts w:ascii="宋体" w:hAnsi="宋体" w:cs="宋体" w:eastAsia="宋体" w:hint="default"/>
                <w:sz w:val="15"/>
                <w:szCs w:val="15"/>
              </w:rPr>
              <w:t>江苏苏州</w:t>
            </w:r>
          </w:p>
        </w:tc>
        <w:tc>
          <w:tcPr>
            <w:tcW w:w="3581" w:type="dxa"/>
            <w:tcBorders>
              <w:top w:val="nil" w:sz="6" w:space="0" w:color="auto"/>
              <w:left w:val="nil" w:sz="6" w:space="0" w:color="auto"/>
              <w:bottom w:val="nil" w:sz="6" w:space="0" w:color="auto"/>
              <w:right w:val="nil" w:sz="6" w:space="0" w:color="auto"/>
            </w:tcBorders>
          </w:tcPr>
          <w:p>
            <w:pPr>
              <w:pStyle w:val="TableParagraph"/>
              <w:spacing w:line="194" w:lineRule="exact" w:before="8"/>
              <w:ind w:left="61" w:right="106"/>
              <w:jc w:val="left"/>
              <w:rPr>
                <w:rFonts w:ascii="宋体" w:hAnsi="宋体" w:cs="宋体" w:eastAsia="宋体" w:hint="default"/>
                <w:sz w:val="15"/>
                <w:szCs w:val="15"/>
              </w:rPr>
            </w:pPr>
            <w:r>
              <w:rPr>
                <w:rFonts w:ascii="宋体" w:hAnsi="宋体" w:cs="宋体" w:eastAsia="宋体" w:hint="default"/>
                <w:spacing w:val="-4"/>
                <w:sz w:val="15"/>
                <w:szCs w:val="15"/>
              </w:rPr>
              <w:t>仪器仪表、电子设备等的研发、生产及销售；技术咨</w:t>
            </w:r>
            <w:r>
              <w:rPr>
                <w:rFonts w:ascii="宋体" w:hAnsi="宋体" w:cs="宋体" w:eastAsia="宋体" w:hint="default"/>
                <w:spacing w:val="-30"/>
                <w:sz w:val="15"/>
                <w:szCs w:val="15"/>
              </w:rPr>
              <w:t> </w:t>
            </w:r>
            <w:r>
              <w:rPr>
                <w:rFonts w:ascii="宋体" w:hAnsi="宋体" w:cs="宋体" w:eastAsia="宋体" w:hint="default"/>
                <w:spacing w:val="-30"/>
                <w:sz w:val="15"/>
                <w:szCs w:val="15"/>
              </w:rPr>
            </w:r>
            <w:r>
              <w:rPr>
                <w:rFonts w:ascii="宋体" w:hAnsi="宋体" w:cs="宋体" w:eastAsia="宋体" w:hint="default"/>
                <w:sz w:val="15"/>
                <w:szCs w:val="15"/>
              </w:rPr>
              <w:t>询及技术服务等</w:t>
            </w:r>
          </w:p>
        </w:tc>
      </w:tr>
      <w:tr>
        <w:trPr>
          <w:trHeight w:val="389"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3" w:right="0"/>
              <w:jc w:val="left"/>
              <w:rPr>
                <w:rFonts w:ascii="宋体" w:hAnsi="宋体" w:cs="宋体" w:eastAsia="宋体" w:hint="default"/>
                <w:sz w:val="15"/>
                <w:szCs w:val="15"/>
              </w:rPr>
            </w:pPr>
            <w:r>
              <w:rPr>
                <w:rFonts w:ascii="宋体" w:hAnsi="宋体" w:cs="宋体" w:eastAsia="宋体" w:hint="default"/>
                <w:sz w:val="15"/>
                <w:szCs w:val="15"/>
              </w:rPr>
              <w:t>苏州时迈科学仪器有限公司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9"/>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9"/>
              <w:jc w:val="right"/>
              <w:rPr>
                <w:rFonts w:ascii="宋体" w:hAnsi="宋体" w:cs="宋体" w:eastAsia="宋体" w:hint="default"/>
                <w:sz w:val="15"/>
                <w:szCs w:val="15"/>
              </w:rPr>
            </w:pPr>
            <w:r>
              <w:rPr>
                <w:rFonts w:ascii="宋体" w:hAnsi="宋体"/>
                <w:spacing w:val="-1"/>
                <w:sz w:val="15"/>
              </w:rPr>
              <w:t>¥500.00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6"/>
              <w:jc w:val="center"/>
              <w:rPr>
                <w:rFonts w:ascii="宋体" w:hAnsi="宋体" w:cs="宋体" w:eastAsia="宋体" w:hint="default"/>
                <w:sz w:val="15"/>
                <w:szCs w:val="15"/>
              </w:rPr>
            </w:pPr>
            <w:r>
              <w:rPr>
                <w:rFonts w:ascii="宋体" w:hAnsi="宋体" w:cs="宋体" w:eastAsia="宋体" w:hint="default"/>
                <w:sz w:val="15"/>
                <w:szCs w:val="15"/>
              </w:rPr>
              <w:t>江苏苏州</w:t>
            </w:r>
          </w:p>
        </w:tc>
        <w:tc>
          <w:tcPr>
            <w:tcW w:w="3581" w:type="dxa"/>
            <w:tcBorders>
              <w:top w:val="nil" w:sz="6" w:space="0" w:color="auto"/>
              <w:left w:val="nil" w:sz="6" w:space="0" w:color="auto"/>
              <w:bottom w:val="nil" w:sz="6" w:space="0" w:color="auto"/>
              <w:right w:val="nil" w:sz="6" w:space="0" w:color="auto"/>
            </w:tcBorders>
          </w:tcPr>
          <w:p>
            <w:pPr>
              <w:pStyle w:val="TableParagraph"/>
              <w:spacing w:line="172" w:lineRule="exact"/>
              <w:ind w:left="61" w:right="0"/>
              <w:jc w:val="left"/>
              <w:rPr>
                <w:rFonts w:ascii="宋体" w:hAnsi="宋体" w:cs="宋体" w:eastAsia="宋体" w:hint="default"/>
                <w:sz w:val="15"/>
                <w:szCs w:val="15"/>
              </w:rPr>
            </w:pPr>
            <w:r>
              <w:rPr>
                <w:rFonts w:ascii="宋体" w:hAnsi="宋体" w:cs="宋体" w:eastAsia="宋体" w:hint="default"/>
                <w:spacing w:val="-4"/>
                <w:sz w:val="15"/>
                <w:szCs w:val="15"/>
              </w:rPr>
              <w:t>仪器仪表、电子设备等的研发、生产及销售；技术咨</w:t>
            </w:r>
          </w:p>
          <w:p>
            <w:pPr>
              <w:pStyle w:val="TableParagraph"/>
              <w:spacing w:line="195" w:lineRule="exact"/>
              <w:ind w:left="61" w:right="0"/>
              <w:jc w:val="left"/>
              <w:rPr>
                <w:rFonts w:ascii="宋体" w:hAnsi="宋体" w:cs="宋体" w:eastAsia="宋体" w:hint="default"/>
                <w:sz w:val="15"/>
                <w:szCs w:val="15"/>
              </w:rPr>
            </w:pPr>
            <w:r>
              <w:rPr>
                <w:rFonts w:ascii="宋体" w:hAnsi="宋体" w:cs="宋体" w:eastAsia="宋体" w:hint="default"/>
                <w:sz w:val="15"/>
                <w:szCs w:val="15"/>
              </w:rPr>
              <w:t>询及技术服务等</w:t>
            </w:r>
          </w:p>
        </w:tc>
      </w:tr>
      <w:tr>
        <w:trPr>
          <w:trHeight w:val="401"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3" w:right="0"/>
              <w:jc w:val="left"/>
              <w:rPr>
                <w:rFonts w:ascii="宋体" w:hAnsi="宋体" w:cs="宋体" w:eastAsia="宋体" w:hint="default"/>
                <w:sz w:val="15"/>
                <w:szCs w:val="15"/>
              </w:rPr>
            </w:pPr>
            <w:r>
              <w:rPr>
                <w:rFonts w:ascii="宋体" w:hAnsi="宋体" w:cs="宋体" w:eastAsia="宋体" w:hint="default"/>
                <w:sz w:val="15"/>
                <w:szCs w:val="15"/>
              </w:rPr>
              <w:t>同方威视科技</w:t>
            </w:r>
            <w:r>
              <w:rPr>
                <w:rFonts w:ascii="宋体" w:hAnsi="宋体" w:cs="宋体" w:eastAsia="宋体" w:hint="default"/>
                <w:sz w:val="15"/>
                <w:szCs w:val="15"/>
              </w:rPr>
              <w:t>(</w:t>
            </w:r>
            <w:r>
              <w:rPr>
                <w:rFonts w:ascii="宋体" w:hAnsi="宋体" w:cs="宋体" w:eastAsia="宋体" w:hint="default"/>
                <w:sz w:val="15"/>
                <w:szCs w:val="15"/>
              </w:rPr>
              <w:t>北京</w:t>
            </w:r>
            <w:r>
              <w:rPr>
                <w:rFonts w:ascii="宋体" w:hAnsi="宋体" w:cs="宋体" w:eastAsia="宋体" w:hint="default"/>
                <w:sz w:val="15"/>
                <w:szCs w:val="15"/>
              </w:rPr>
              <w:t>)</w:t>
            </w:r>
            <w:r>
              <w:rPr>
                <w:rFonts w:ascii="宋体" w:hAnsi="宋体" w:cs="宋体" w:eastAsia="宋体" w:hint="default"/>
                <w:sz w:val="15"/>
                <w:szCs w:val="15"/>
              </w:rPr>
              <w:t>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9"/>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9"/>
              <w:jc w:val="right"/>
              <w:rPr>
                <w:rFonts w:ascii="宋体" w:hAnsi="宋体" w:cs="宋体" w:eastAsia="宋体" w:hint="default"/>
                <w:sz w:val="15"/>
                <w:szCs w:val="15"/>
              </w:rPr>
            </w:pPr>
            <w:r>
              <w:rPr>
                <w:rFonts w:ascii="宋体" w:hAnsi="宋体"/>
                <w:spacing w:val="-2"/>
                <w:sz w:val="15"/>
              </w:rPr>
              <w:t>¥5,000.00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6"/>
              <w:jc w:val="center"/>
              <w:rPr>
                <w:rFonts w:ascii="宋体" w:hAnsi="宋体" w:cs="宋体" w:eastAsia="宋体" w:hint="default"/>
                <w:sz w:val="15"/>
                <w:szCs w:val="15"/>
              </w:rPr>
            </w:pPr>
            <w:r>
              <w:rPr>
                <w:rFonts w:ascii="宋体" w:hAnsi="宋体" w:cs="宋体" w:eastAsia="宋体" w:hint="default"/>
                <w:sz w:val="15"/>
                <w:szCs w:val="15"/>
              </w:rPr>
              <w:t>北京密云</w:t>
            </w:r>
          </w:p>
        </w:tc>
        <w:tc>
          <w:tcPr>
            <w:tcW w:w="3581" w:type="dxa"/>
            <w:tcBorders>
              <w:top w:val="nil" w:sz="6" w:space="0" w:color="auto"/>
              <w:left w:val="nil" w:sz="6" w:space="0" w:color="auto"/>
              <w:bottom w:val="nil" w:sz="6" w:space="0" w:color="auto"/>
              <w:right w:val="nil" w:sz="6" w:space="0" w:color="auto"/>
            </w:tcBorders>
          </w:tcPr>
          <w:p>
            <w:pPr>
              <w:pStyle w:val="TableParagraph"/>
              <w:spacing w:line="172" w:lineRule="exact"/>
              <w:ind w:left="61" w:right="0"/>
              <w:jc w:val="left"/>
              <w:rPr>
                <w:rFonts w:ascii="宋体" w:hAnsi="宋体" w:cs="宋体" w:eastAsia="宋体" w:hint="default"/>
                <w:sz w:val="15"/>
                <w:szCs w:val="15"/>
              </w:rPr>
            </w:pPr>
            <w:r>
              <w:rPr>
                <w:rFonts w:ascii="宋体" w:hAnsi="宋体" w:cs="宋体" w:eastAsia="宋体" w:hint="default"/>
                <w:sz w:val="15"/>
                <w:szCs w:val="15"/>
              </w:rPr>
              <w:t>技术开发、咨询、技术服务等；组装三类射线装置、</w:t>
            </w:r>
          </w:p>
          <w:p>
            <w:pPr>
              <w:pStyle w:val="TableParagraph"/>
              <w:spacing w:line="195" w:lineRule="exact"/>
              <w:ind w:left="61" w:right="0"/>
              <w:jc w:val="left"/>
              <w:rPr>
                <w:rFonts w:ascii="宋体" w:hAnsi="宋体" w:cs="宋体" w:eastAsia="宋体" w:hint="default"/>
                <w:sz w:val="15"/>
                <w:szCs w:val="15"/>
              </w:rPr>
            </w:pPr>
            <w:r>
              <w:rPr>
                <w:rFonts w:ascii="宋体" w:hAnsi="宋体" w:cs="宋体" w:eastAsia="宋体" w:hint="default"/>
                <w:sz w:val="15"/>
                <w:szCs w:val="15"/>
              </w:rPr>
              <w:t>核仪器仪表；销售自产产品等；进出口业务等</w:t>
            </w:r>
          </w:p>
        </w:tc>
      </w:tr>
      <w:tr>
        <w:trPr>
          <w:trHeight w:val="229"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85" w:lineRule="exact"/>
              <w:ind w:left="33" w:right="0"/>
              <w:jc w:val="left"/>
              <w:rPr>
                <w:rFonts w:ascii="宋体" w:hAnsi="宋体" w:cs="宋体" w:eastAsia="宋体" w:hint="default"/>
                <w:sz w:val="15"/>
                <w:szCs w:val="15"/>
              </w:rPr>
            </w:pPr>
            <w:r>
              <w:rPr>
                <w:rFonts w:ascii="宋体" w:hAnsi="宋体" w:cs="宋体" w:eastAsia="宋体" w:hint="default"/>
                <w:sz w:val="15"/>
                <w:szCs w:val="15"/>
              </w:rPr>
              <w:t>同方科技园有限公司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185" w:lineRule="exact"/>
              <w:ind w:right="19"/>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185" w:lineRule="exact"/>
              <w:ind w:right="60"/>
              <w:jc w:val="right"/>
              <w:rPr>
                <w:rFonts w:ascii="宋体" w:hAnsi="宋体" w:cs="宋体" w:eastAsia="宋体" w:hint="default"/>
                <w:sz w:val="15"/>
                <w:szCs w:val="15"/>
              </w:rPr>
            </w:pPr>
            <w:r>
              <w:rPr>
                <w:rFonts w:ascii="宋体" w:hAnsi="宋体"/>
                <w:spacing w:val="-1"/>
                <w:sz w:val="15"/>
              </w:rPr>
              <w:t>¥204,694.12</w:t>
            </w:r>
          </w:p>
        </w:tc>
        <w:tc>
          <w:tcPr>
            <w:tcW w:w="652" w:type="dxa"/>
            <w:tcBorders>
              <w:top w:val="nil" w:sz="6" w:space="0" w:color="auto"/>
              <w:left w:val="nil" w:sz="6" w:space="0" w:color="auto"/>
              <w:bottom w:val="nil" w:sz="6" w:space="0" w:color="auto"/>
              <w:right w:val="nil" w:sz="6" w:space="0" w:color="auto"/>
            </w:tcBorders>
          </w:tcPr>
          <w:p>
            <w:pPr>
              <w:pStyle w:val="TableParagraph"/>
              <w:spacing w:line="185" w:lineRule="exact"/>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185" w:lineRule="exact"/>
              <w:ind w:right="26"/>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81" w:type="dxa"/>
            <w:tcBorders>
              <w:top w:val="nil" w:sz="6" w:space="0" w:color="auto"/>
              <w:left w:val="nil" w:sz="6" w:space="0" w:color="auto"/>
              <w:bottom w:val="nil" w:sz="6" w:space="0" w:color="auto"/>
              <w:right w:val="nil" w:sz="6" w:space="0" w:color="auto"/>
            </w:tcBorders>
          </w:tcPr>
          <w:p>
            <w:pPr>
              <w:pStyle w:val="TableParagraph"/>
              <w:spacing w:line="185" w:lineRule="exact"/>
              <w:ind w:left="61" w:right="0"/>
              <w:jc w:val="left"/>
              <w:rPr>
                <w:rFonts w:ascii="宋体" w:hAnsi="宋体" w:cs="宋体" w:eastAsia="宋体" w:hint="default"/>
                <w:sz w:val="15"/>
                <w:szCs w:val="15"/>
              </w:rPr>
            </w:pPr>
            <w:r>
              <w:rPr>
                <w:rFonts w:ascii="宋体" w:hAnsi="宋体" w:cs="宋体" w:eastAsia="宋体" w:hint="default"/>
                <w:sz w:val="15"/>
                <w:szCs w:val="15"/>
              </w:rPr>
              <w:t>科技园开发管理</w:t>
            </w:r>
          </w:p>
        </w:tc>
      </w:tr>
      <w:tr>
        <w:trPr>
          <w:trHeight w:val="240"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95" w:lineRule="exact"/>
              <w:ind w:left="33" w:right="0"/>
              <w:jc w:val="left"/>
              <w:rPr>
                <w:rFonts w:ascii="宋体" w:hAnsi="宋体" w:cs="宋体" w:eastAsia="宋体" w:hint="default"/>
                <w:sz w:val="15"/>
                <w:szCs w:val="15"/>
              </w:rPr>
            </w:pPr>
            <w:r>
              <w:rPr>
                <w:rFonts w:ascii="宋体" w:hAnsi="宋体" w:cs="宋体" w:eastAsia="宋体" w:hint="default"/>
                <w:sz w:val="15"/>
                <w:szCs w:val="15"/>
              </w:rPr>
              <w:t>北京同方星城置业有限公司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195" w:lineRule="exact"/>
              <w:ind w:right="19"/>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195" w:lineRule="exact"/>
              <w:ind w:right="59"/>
              <w:jc w:val="right"/>
              <w:rPr>
                <w:rFonts w:ascii="宋体" w:hAnsi="宋体" w:cs="宋体" w:eastAsia="宋体" w:hint="default"/>
                <w:sz w:val="15"/>
                <w:szCs w:val="15"/>
              </w:rPr>
            </w:pPr>
            <w:r>
              <w:rPr>
                <w:rFonts w:ascii="宋体" w:hAnsi="宋体"/>
                <w:spacing w:val="-2"/>
                <w:sz w:val="15"/>
              </w:rPr>
              <w:t>¥5,800.00</w:t>
            </w:r>
          </w:p>
        </w:tc>
        <w:tc>
          <w:tcPr>
            <w:tcW w:w="652" w:type="dxa"/>
            <w:tcBorders>
              <w:top w:val="nil" w:sz="6" w:space="0" w:color="auto"/>
              <w:left w:val="nil" w:sz="6" w:space="0" w:color="auto"/>
              <w:bottom w:val="nil" w:sz="6" w:space="0" w:color="auto"/>
              <w:right w:val="nil" w:sz="6" w:space="0" w:color="auto"/>
            </w:tcBorders>
          </w:tcPr>
          <w:p>
            <w:pPr>
              <w:pStyle w:val="TableParagraph"/>
              <w:spacing w:line="195" w:lineRule="exact"/>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195" w:lineRule="exact"/>
              <w:ind w:right="26"/>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81" w:type="dxa"/>
            <w:tcBorders>
              <w:top w:val="nil" w:sz="6" w:space="0" w:color="auto"/>
              <w:left w:val="nil" w:sz="6" w:space="0" w:color="auto"/>
              <w:bottom w:val="nil" w:sz="6" w:space="0" w:color="auto"/>
              <w:right w:val="nil" w:sz="6" w:space="0" w:color="auto"/>
            </w:tcBorders>
          </w:tcPr>
          <w:p>
            <w:pPr>
              <w:pStyle w:val="TableParagraph"/>
              <w:spacing w:line="195" w:lineRule="exact"/>
              <w:ind w:left="61" w:right="0"/>
              <w:jc w:val="left"/>
              <w:rPr>
                <w:rFonts w:ascii="宋体" w:hAnsi="宋体" w:cs="宋体" w:eastAsia="宋体" w:hint="default"/>
                <w:sz w:val="15"/>
                <w:szCs w:val="15"/>
              </w:rPr>
            </w:pPr>
            <w:r>
              <w:rPr>
                <w:rFonts w:ascii="宋体" w:hAnsi="宋体" w:cs="宋体" w:eastAsia="宋体" w:hint="default"/>
                <w:sz w:val="15"/>
                <w:szCs w:val="15"/>
              </w:rPr>
              <w:t>房地产开发经营</w:t>
            </w:r>
          </w:p>
        </w:tc>
      </w:tr>
      <w:tr>
        <w:trPr>
          <w:trHeight w:val="228"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95" w:lineRule="exact"/>
              <w:ind w:left="33" w:right="0"/>
              <w:jc w:val="left"/>
              <w:rPr>
                <w:rFonts w:ascii="宋体" w:hAnsi="宋体" w:cs="宋体" w:eastAsia="宋体" w:hint="default"/>
                <w:sz w:val="15"/>
                <w:szCs w:val="15"/>
              </w:rPr>
            </w:pPr>
            <w:r>
              <w:rPr>
                <w:rFonts w:ascii="宋体" w:hAnsi="宋体" w:cs="宋体" w:eastAsia="宋体" w:hint="default"/>
                <w:sz w:val="15"/>
                <w:szCs w:val="15"/>
              </w:rPr>
              <w:t>九江同方实业有限公司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195" w:lineRule="exact"/>
              <w:ind w:right="19"/>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195" w:lineRule="exact"/>
              <w:ind w:right="59"/>
              <w:jc w:val="right"/>
              <w:rPr>
                <w:rFonts w:ascii="宋体" w:hAnsi="宋体" w:cs="宋体" w:eastAsia="宋体" w:hint="default"/>
                <w:sz w:val="15"/>
                <w:szCs w:val="15"/>
              </w:rPr>
            </w:pPr>
            <w:r>
              <w:rPr>
                <w:rFonts w:ascii="宋体" w:hAnsi="宋体"/>
                <w:spacing w:val="-2"/>
                <w:sz w:val="15"/>
              </w:rPr>
              <w:t>¥3,565.31</w:t>
            </w:r>
          </w:p>
        </w:tc>
        <w:tc>
          <w:tcPr>
            <w:tcW w:w="652" w:type="dxa"/>
            <w:tcBorders>
              <w:top w:val="nil" w:sz="6" w:space="0" w:color="auto"/>
              <w:left w:val="nil" w:sz="6" w:space="0" w:color="auto"/>
              <w:bottom w:val="nil" w:sz="6" w:space="0" w:color="auto"/>
              <w:right w:val="nil" w:sz="6" w:space="0" w:color="auto"/>
            </w:tcBorders>
          </w:tcPr>
          <w:p>
            <w:pPr>
              <w:pStyle w:val="TableParagraph"/>
              <w:spacing w:line="195" w:lineRule="exact"/>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195" w:lineRule="exact"/>
              <w:ind w:right="26"/>
              <w:jc w:val="center"/>
              <w:rPr>
                <w:rFonts w:ascii="宋体" w:hAnsi="宋体" w:cs="宋体" w:eastAsia="宋体" w:hint="default"/>
                <w:sz w:val="15"/>
                <w:szCs w:val="15"/>
              </w:rPr>
            </w:pPr>
            <w:r>
              <w:rPr>
                <w:rFonts w:ascii="宋体" w:hAnsi="宋体" w:cs="宋体" w:eastAsia="宋体" w:hint="default"/>
                <w:sz w:val="15"/>
                <w:szCs w:val="15"/>
              </w:rPr>
              <w:t>江西九江</w:t>
            </w:r>
          </w:p>
        </w:tc>
        <w:tc>
          <w:tcPr>
            <w:tcW w:w="3581" w:type="dxa"/>
            <w:tcBorders>
              <w:top w:val="nil" w:sz="6" w:space="0" w:color="auto"/>
              <w:left w:val="nil" w:sz="6" w:space="0" w:color="auto"/>
              <w:bottom w:val="nil" w:sz="6" w:space="0" w:color="auto"/>
              <w:right w:val="nil" w:sz="6" w:space="0" w:color="auto"/>
            </w:tcBorders>
          </w:tcPr>
          <w:p>
            <w:pPr>
              <w:pStyle w:val="TableParagraph"/>
              <w:spacing w:line="195" w:lineRule="exact"/>
              <w:ind w:left="61" w:right="0"/>
              <w:jc w:val="left"/>
              <w:rPr>
                <w:rFonts w:ascii="宋体" w:hAnsi="宋体" w:cs="宋体" w:eastAsia="宋体" w:hint="default"/>
                <w:sz w:val="15"/>
                <w:szCs w:val="15"/>
              </w:rPr>
            </w:pPr>
            <w:r>
              <w:rPr>
                <w:rFonts w:ascii="宋体" w:hAnsi="宋体" w:cs="宋体" w:eastAsia="宋体" w:hint="default"/>
                <w:sz w:val="15"/>
                <w:szCs w:val="15"/>
              </w:rPr>
              <w:t>房地产开发、物业管理、室内外装饰工程</w:t>
            </w:r>
          </w:p>
        </w:tc>
      </w:tr>
      <w:tr>
        <w:trPr>
          <w:trHeight w:val="400"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94" w:lineRule="exact" w:before="7"/>
              <w:ind w:left="33" w:right="60"/>
              <w:jc w:val="left"/>
              <w:rPr>
                <w:rFonts w:ascii="宋体" w:hAnsi="宋体" w:cs="宋体" w:eastAsia="宋体" w:hint="default"/>
                <w:sz w:val="15"/>
                <w:szCs w:val="15"/>
              </w:rPr>
            </w:pPr>
            <w:r>
              <w:rPr>
                <w:rFonts w:ascii="宋体" w:hAnsi="宋体" w:cs="宋体" w:eastAsia="宋体" w:hint="default"/>
                <w:spacing w:val="-2"/>
                <w:sz w:val="15"/>
                <w:szCs w:val="15"/>
              </w:rPr>
              <w:t>南京同方科技园有限公司（原同</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方工业南京有限公司）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9"/>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0"/>
              <w:jc w:val="right"/>
              <w:rPr>
                <w:rFonts w:ascii="宋体" w:hAnsi="宋体" w:cs="宋体" w:eastAsia="宋体" w:hint="default"/>
                <w:sz w:val="15"/>
                <w:szCs w:val="15"/>
              </w:rPr>
            </w:pPr>
            <w:r>
              <w:rPr>
                <w:rFonts w:ascii="宋体" w:hAnsi="宋体"/>
                <w:spacing w:val="-1"/>
                <w:sz w:val="15"/>
              </w:rPr>
              <w:t>¥30,600.00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6"/>
              <w:jc w:val="center"/>
              <w:rPr>
                <w:rFonts w:ascii="宋体" w:hAnsi="宋体" w:cs="宋体" w:eastAsia="宋体" w:hint="default"/>
                <w:sz w:val="15"/>
                <w:szCs w:val="15"/>
              </w:rPr>
            </w:pPr>
            <w:r>
              <w:rPr>
                <w:rFonts w:ascii="宋体" w:hAnsi="宋体" w:cs="宋体" w:eastAsia="宋体" w:hint="default"/>
                <w:sz w:val="15"/>
                <w:szCs w:val="15"/>
              </w:rPr>
              <w:t>江苏南京</w:t>
            </w:r>
          </w:p>
        </w:tc>
        <w:tc>
          <w:tcPr>
            <w:tcW w:w="358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1" w:right="0"/>
              <w:jc w:val="left"/>
              <w:rPr>
                <w:rFonts w:ascii="宋体" w:hAnsi="宋体" w:cs="宋体" w:eastAsia="宋体" w:hint="default"/>
                <w:sz w:val="15"/>
                <w:szCs w:val="15"/>
              </w:rPr>
            </w:pPr>
            <w:r>
              <w:rPr>
                <w:rFonts w:ascii="宋体" w:hAnsi="宋体" w:cs="宋体" w:eastAsia="宋体" w:hint="default"/>
                <w:spacing w:val="-4"/>
                <w:sz w:val="15"/>
                <w:szCs w:val="15"/>
              </w:rPr>
              <w:t>通讯设备、北斗终端、电子产品的研发、产销、服务</w:t>
            </w:r>
          </w:p>
        </w:tc>
      </w:tr>
      <w:tr>
        <w:trPr>
          <w:trHeight w:val="389"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 w:right="0"/>
              <w:jc w:val="left"/>
              <w:rPr>
                <w:rFonts w:ascii="宋体" w:hAnsi="宋体" w:cs="宋体" w:eastAsia="宋体" w:hint="default"/>
                <w:sz w:val="15"/>
                <w:szCs w:val="15"/>
              </w:rPr>
            </w:pPr>
            <w:r>
              <w:rPr>
                <w:rFonts w:ascii="宋体" w:hAnsi="宋体" w:cs="宋体" w:eastAsia="宋体" w:hint="default"/>
                <w:sz w:val="15"/>
                <w:szCs w:val="15"/>
              </w:rPr>
              <w:t>上海翠能光电科技有限公司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9"/>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9"/>
              <w:jc w:val="right"/>
              <w:rPr>
                <w:rFonts w:ascii="宋体" w:hAnsi="宋体" w:cs="宋体" w:eastAsia="宋体" w:hint="default"/>
                <w:sz w:val="15"/>
                <w:szCs w:val="15"/>
              </w:rPr>
            </w:pPr>
            <w:r>
              <w:rPr>
                <w:rFonts w:ascii="宋体" w:hAnsi="宋体"/>
                <w:spacing w:val="-1"/>
                <w:sz w:val="15"/>
              </w:rPr>
              <w:t>¥411.55</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9" w:right="0"/>
              <w:jc w:val="center"/>
              <w:rPr>
                <w:rFonts w:ascii="宋体" w:hAnsi="宋体" w:cs="宋体" w:eastAsia="宋体" w:hint="default"/>
                <w:sz w:val="15"/>
                <w:szCs w:val="15"/>
              </w:rPr>
            </w:pPr>
            <w:r>
              <w:rPr>
                <w:rFonts w:ascii="宋体" w:hAnsi="宋体" w:cs="宋体" w:eastAsia="宋体" w:hint="default"/>
                <w:sz w:val="15"/>
                <w:szCs w:val="15"/>
              </w:rPr>
              <w:t>上海闵行</w:t>
            </w:r>
          </w:p>
        </w:tc>
        <w:tc>
          <w:tcPr>
            <w:tcW w:w="3581" w:type="dxa"/>
            <w:tcBorders>
              <w:top w:val="nil" w:sz="6" w:space="0" w:color="auto"/>
              <w:left w:val="nil" w:sz="6" w:space="0" w:color="auto"/>
              <w:bottom w:val="nil" w:sz="6" w:space="0" w:color="auto"/>
              <w:right w:val="nil" w:sz="6" w:space="0" w:color="auto"/>
            </w:tcBorders>
          </w:tcPr>
          <w:p>
            <w:pPr>
              <w:pStyle w:val="TableParagraph"/>
              <w:spacing w:line="172" w:lineRule="exact"/>
              <w:ind w:left="61" w:right="0"/>
              <w:jc w:val="left"/>
              <w:rPr>
                <w:rFonts w:ascii="宋体" w:hAnsi="宋体" w:cs="宋体" w:eastAsia="宋体" w:hint="default"/>
                <w:sz w:val="15"/>
                <w:szCs w:val="15"/>
              </w:rPr>
            </w:pPr>
            <w:r>
              <w:rPr>
                <w:rFonts w:ascii="宋体" w:hAnsi="宋体" w:cs="宋体" w:eastAsia="宋体" w:hint="default"/>
                <w:spacing w:val="-4"/>
                <w:sz w:val="15"/>
                <w:szCs w:val="15"/>
              </w:rPr>
              <w:t>光电科技领域内的技术开发、技术转让；照明灯具及</w:t>
            </w:r>
          </w:p>
          <w:p>
            <w:pPr>
              <w:pStyle w:val="TableParagraph"/>
              <w:spacing w:line="196" w:lineRule="exact"/>
              <w:ind w:left="61" w:right="0"/>
              <w:jc w:val="left"/>
              <w:rPr>
                <w:rFonts w:ascii="宋体" w:hAnsi="宋体" w:cs="宋体" w:eastAsia="宋体" w:hint="default"/>
                <w:sz w:val="15"/>
                <w:szCs w:val="15"/>
              </w:rPr>
            </w:pPr>
            <w:r>
              <w:rPr>
                <w:rFonts w:ascii="宋体" w:hAnsi="宋体" w:cs="宋体" w:eastAsia="宋体" w:hint="default"/>
                <w:sz w:val="15"/>
                <w:szCs w:val="15"/>
              </w:rPr>
              <w:t>其零部件的批发、进出口等</w:t>
            </w:r>
          </w:p>
        </w:tc>
      </w:tr>
      <w:tr>
        <w:trPr>
          <w:trHeight w:val="389"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 w:right="0"/>
              <w:jc w:val="left"/>
              <w:rPr>
                <w:rFonts w:ascii="宋体" w:hAnsi="宋体" w:cs="宋体" w:eastAsia="宋体" w:hint="default"/>
                <w:sz w:val="15"/>
                <w:szCs w:val="15"/>
              </w:rPr>
            </w:pPr>
            <w:r>
              <w:rPr>
                <w:rFonts w:ascii="宋体" w:hAnsi="宋体" w:cs="宋体" w:eastAsia="宋体" w:hint="default"/>
                <w:sz w:val="15"/>
                <w:szCs w:val="15"/>
              </w:rPr>
              <w:t>天津真明丽光电有限公司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right"/>
              <w:rPr>
                <w:rFonts w:ascii="宋体" w:hAnsi="宋体" w:cs="宋体" w:eastAsia="宋体" w:hint="default"/>
                <w:sz w:val="15"/>
                <w:szCs w:val="15"/>
              </w:rPr>
            </w:pPr>
            <w:r>
              <w:rPr>
                <w:rFonts w:ascii="宋体" w:hAnsi="宋体"/>
                <w:spacing w:val="-2"/>
                <w:sz w:val="15"/>
              </w:rPr>
              <w:t>¥3,000.00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4"/>
              <w:jc w:val="center"/>
              <w:rPr>
                <w:rFonts w:ascii="宋体" w:hAnsi="宋体" w:cs="宋体" w:eastAsia="宋体" w:hint="default"/>
                <w:sz w:val="15"/>
                <w:szCs w:val="15"/>
              </w:rPr>
            </w:pPr>
            <w:r>
              <w:rPr>
                <w:rFonts w:ascii="宋体" w:hAnsi="宋体" w:cs="宋体" w:eastAsia="宋体" w:hint="default"/>
                <w:sz w:val="15"/>
                <w:szCs w:val="15"/>
              </w:rPr>
              <w:t>天津自贸区</w:t>
            </w:r>
          </w:p>
        </w:tc>
        <w:tc>
          <w:tcPr>
            <w:tcW w:w="3581" w:type="dxa"/>
            <w:tcBorders>
              <w:top w:val="nil" w:sz="6" w:space="0" w:color="auto"/>
              <w:left w:val="nil" w:sz="6" w:space="0" w:color="auto"/>
              <w:bottom w:val="nil" w:sz="6" w:space="0" w:color="auto"/>
              <w:right w:val="nil" w:sz="6" w:space="0" w:color="auto"/>
            </w:tcBorders>
          </w:tcPr>
          <w:p>
            <w:pPr>
              <w:pStyle w:val="TableParagraph"/>
              <w:spacing w:line="172" w:lineRule="exact"/>
              <w:ind w:left="61" w:right="0"/>
              <w:jc w:val="left"/>
              <w:rPr>
                <w:rFonts w:ascii="宋体" w:hAnsi="宋体" w:cs="宋体" w:eastAsia="宋体" w:hint="default"/>
                <w:sz w:val="15"/>
                <w:szCs w:val="15"/>
              </w:rPr>
            </w:pPr>
            <w:r>
              <w:rPr>
                <w:rFonts w:ascii="宋体" w:hAnsi="宋体" w:cs="宋体" w:eastAsia="宋体" w:hint="default"/>
                <w:spacing w:val="-2"/>
                <w:sz w:val="15"/>
                <w:szCs w:val="15"/>
              </w:rPr>
              <w:t>电光源（</w:t>
            </w:r>
            <w:r>
              <w:rPr>
                <w:rFonts w:ascii="宋体" w:hAnsi="宋体" w:cs="宋体" w:eastAsia="宋体" w:hint="default"/>
                <w:spacing w:val="-2"/>
                <w:sz w:val="15"/>
                <w:szCs w:val="15"/>
              </w:rPr>
              <w:t>LED</w:t>
            </w:r>
            <w:r>
              <w:rPr>
                <w:rFonts w:ascii="宋体" w:hAnsi="宋体" w:cs="宋体" w:eastAsia="宋体" w:hint="default"/>
                <w:sz w:val="15"/>
                <w:szCs w:val="15"/>
              </w:rPr>
              <w:t> </w:t>
            </w:r>
            <w:r>
              <w:rPr>
                <w:rFonts w:ascii="宋体" w:hAnsi="宋体" w:cs="宋体" w:eastAsia="宋体" w:hint="default"/>
                <w:spacing w:val="-2"/>
                <w:sz w:val="15"/>
                <w:szCs w:val="15"/>
              </w:rPr>
              <w:t>灯饰），照明灯具及照明电器研发、设</w:t>
            </w:r>
          </w:p>
          <w:p>
            <w:pPr>
              <w:pStyle w:val="TableParagraph"/>
              <w:spacing w:line="195" w:lineRule="exact"/>
              <w:ind w:left="61" w:right="0"/>
              <w:jc w:val="left"/>
              <w:rPr>
                <w:rFonts w:ascii="宋体" w:hAnsi="宋体" w:cs="宋体" w:eastAsia="宋体" w:hint="default"/>
                <w:sz w:val="15"/>
                <w:szCs w:val="15"/>
              </w:rPr>
            </w:pPr>
            <w:r>
              <w:rPr>
                <w:rFonts w:ascii="宋体" w:hAnsi="宋体" w:cs="宋体" w:eastAsia="宋体" w:hint="default"/>
                <w:sz w:val="15"/>
                <w:szCs w:val="15"/>
              </w:rPr>
              <w:t>计、生产等</w:t>
            </w:r>
          </w:p>
        </w:tc>
      </w:tr>
      <w:tr>
        <w:trPr>
          <w:trHeight w:val="389"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 w:right="0"/>
              <w:jc w:val="left"/>
              <w:rPr>
                <w:rFonts w:ascii="宋体" w:hAnsi="宋体" w:cs="宋体" w:eastAsia="宋体" w:hint="default"/>
                <w:sz w:val="15"/>
                <w:szCs w:val="15"/>
              </w:rPr>
            </w:pPr>
            <w:r>
              <w:rPr>
                <w:rFonts w:ascii="宋体" w:hAnsi="宋体" w:cs="宋体" w:eastAsia="宋体" w:hint="default"/>
                <w:sz w:val="15"/>
                <w:szCs w:val="15"/>
              </w:rPr>
              <w:t>扬州同方半导体有限公司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0"/>
              <w:jc w:val="right"/>
              <w:rPr>
                <w:rFonts w:ascii="宋体" w:hAnsi="宋体" w:cs="宋体" w:eastAsia="宋体" w:hint="default"/>
                <w:sz w:val="15"/>
                <w:szCs w:val="15"/>
              </w:rPr>
            </w:pPr>
            <w:r>
              <w:rPr>
                <w:rFonts w:ascii="宋体" w:hAnsi="宋体"/>
                <w:spacing w:val="-1"/>
                <w:sz w:val="15"/>
              </w:rPr>
              <w:t>¥34,914.36</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6"/>
              <w:jc w:val="center"/>
              <w:rPr>
                <w:rFonts w:ascii="宋体" w:hAnsi="宋体" w:cs="宋体" w:eastAsia="宋体" w:hint="default"/>
                <w:sz w:val="15"/>
                <w:szCs w:val="15"/>
              </w:rPr>
            </w:pPr>
            <w:r>
              <w:rPr>
                <w:rFonts w:ascii="宋体" w:hAnsi="宋体" w:cs="宋体" w:eastAsia="宋体" w:hint="default"/>
                <w:sz w:val="15"/>
                <w:szCs w:val="15"/>
              </w:rPr>
              <w:t>江苏扬州</w:t>
            </w:r>
          </w:p>
        </w:tc>
        <w:tc>
          <w:tcPr>
            <w:tcW w:w="3581" w:type="dxa"/>
            <w:tcBorders>
              <w:top w:val="nil" w:sz="6" w:space="0" w:color="auto"/>
              <w:left w:val="nil" w:sz="6" w:space="0" w:color="auto"/>
              <w:bottom w:val="nil" w:sz="6" w:space="0" w:color="auto"/>
              <w:right w:val="nil" w:sz="6" w:space="0" w:color="auto"/>
            </w:tcBorders>
          </w:tcPr>
          <w:p>
            <w:pPr>
              <w:pStyle w:val="TableParagraph"/>
              <w:spacing w:line="172" w:lineRule="exact"/>
              <w:ind w:left="61" w:right="0"/>
              <w:jc w:val="left"/>
              <w:rPr>
                <w:rFonts w:ascii="宋体" w:hAnsi="宋体" w:cs="宋体" w:eastAsia="宋体" w:hint="default"/>
                <w:sz w:val="15"/>
                <w:szCs w:val="15"/>
              </w:rPr>
            </w:pPr>
            <w:r>
              <w:rPr>
                <w:rFonts w:ascii="宋体" w:hAnsi="宋体" w:cs="宋体" w:eastAsia="宋体" w:hint="default"/>
                <w:sz w:val="15"/>
                <w:szCs w:val="15"/>
              </w:rPr>
              <w:t>LED</w:t>
            </w:r>
            <w:r>
              <w:rPr>
                <w:rFonts w:ascii="宋体" w:hAnsi="宋体" w:cs="宋体" w:eastAsia="宋体" w:hint="default"/>
                <w:spacing w:val="-40"/>
                <w:sz w:val="15"/>
                <w:szCs w:val="15"/>
              </w:rPr>
              <w:t> </w:t>
            </w:r>
            <w:r>
              <w:rPr>
                <w:rFonts w:ascii="宋体" w:hAnsi="宋体" w:cs="宋体" w:eastAsia="宋体" w:hint="default"/>
                <w:sz w:val="15"/>
                <w:szCs w:val="15"/>
              </w:rPr>
              <w:t>一般照明、发光二极管、</w:t>
            </w:r>
            <w:r>
              <w:rPr>
                <w:rFonts w:ascii="宋体" w:hAnsi="宋体" w:cs="宋体" w:eastAsia="宋体" w:hint="default"/>
                <w:sz w:val="15"/>
                <w:szCs w:val="15"/>
              </w:rPr>
              <w:t>LED</w:t>
            </w:r>
            <w:r>
              <w:rPr>
                <w:rFonts w:ascii="宋体" w:hAnsi="宋体" w:cs="宋体" w:eastAsia="宋体" w:hint="default"/>
                <w:spacing w:val="-38"/>
                <w:sz w:val="15"/>
                <w:szCs w:val="15"/>
              </w:rPr>
              <w:t> </w:t>
            </w:r>
            <w:r>
              <w:rPr>
                <w:rFonts w:ascii="宋体" w:hAnsi="宋体" w:cs="宋体" w:eastAsia="宋体" w:hint="default"/>
                <w:sz w:val="15"/>
                <w:szCs w:val="15"/>
              </w:rPr>
              <w:t>芯片及</w:t>
            </w:r>
            <w:r>
              <w:rPr>
                <w:rFonts w:ascii="宋体" w:hAnsi="宋体" w:cs="宋体" w:eastAsia="宋体" w:hint="default"/>
                <w:spacing w:val="-41"/>
                <w:sz w:val="15"/>
                <w:szCs w:val="15"/>
              </w:rPr>
              <w:t> </w:t>
            </w:r>
            <w:r>
              <w:rPr>
                <w:rFonts w:ascii="宋体" w:hAnsi="宋体" w:cs="宋体" w:eastAsia="宋体" w:hint="default"/>
                <w:sz w:val="15"/>
                <w:szCs w:val="15"/>
              </w:rPr>
              <w:t>LED</w:t>
            </w:r>
            <w:r>
              <w:rPr>
                <w:rFonts w:ascii="宋体" w:hAnsi="宋体" w:cs="宋体" w:eastAsia="宋体" w:hint="default"/>
                <w:spacing w:val="-38"/>
                <w:sz w:val="15"/>
                <w:szCs w:val="15"/>
              </w:rPr>
              <w:t> </w:t>
            </w:r>
            <w:r>
              <w:rPr>
                <w:rFonts w:ascii="宋体" w:hAnsi="宋体" w:cs="宋体" w:eastAsia="宋体" w:hint="default"/>
                <w:sz w:val="15"/>
                <w:szCs w:val="15"/>
              </w:rPr>
              <w:t>外延片</w:t>
            </w:r>
          </w:p>
          <w:p>
            <w:pPr>
              <w:pStyle w:val="TableParagraph"/>
              <w:spacing w:line="195" w:lineRule="exact"/>
              <w:ind w:left="61" w:right="0"/>
              <w:jc w:val="left"/>
              <w:rPr>
                <w:rFonts w:ascii="宋体" w:hAnsi="宋体" w:cs="宋体" w:eastAsia="宋体" w:hint="default"/>
                <w:sz w:val="15"/>
                <w:szCs w:val="15"/>
              </w:rPr>
            </w:pPr>
            <w:r>
              <w:rPr>
                <w:rFonts w:ascii="宋体" w:hAnsi="宋体" w:cs="宋体" w:eastAsia="宋体" w:hint="default"/>
                <w:sz w:val="15"/>
                <w:szCs w:val="15"/>
              </w:rPr>
              <w:t>等的研发、生产、销售</w:t>
            </w:r>
          </w:p>
        </w:tc>
      </w:tr>
      <w:tr>
        <w:trPr>
          <w:trHeight w:val="402"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 w:right="0"/>
              <w:jc w:val="left"/>
              <w:rPr>
                <w:rFonts w:ascii="宋体" w:hAnsi="宋体" w:cs="宋体" w:eastAsia="宋体" w:hint="default"/>
                <w:sz w:val="15"/>
                <w:szCs w:val="15"/>
              </w:rPr>
            </w:pPr>
            <w:r>
              <w:rPr>
                <w:rFonts w:ascii="宋体" w:hAnsi="宋体" w:cs="宋体" w:eastAsia="宋体" w:hint="default"/>
                <w:sz w:val="15"/>
                <w:szCs w:val="15"/>
              </w:rPr>
              <w:t>沈阳同方科技园有限公司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0"/>
              <w:jc w:val="right"/>
              <w:rPr>
                <w:rFonts w:ascii="宋体" w:hAnsi="宋体" w:cs="宋体" w:eastAsia="宋体" w:hint="default"/>
                <w:sz w:val="15"/>
                <w:szCs w:val="15"/>
              </w:rPr>
            </w:pPr>
            <w:r>
              <w:rPr>
                <w:rFonts w:ascii="宋体" w:hAnsi="宋体"/>
                <w:spacing w:val="-1"/>
                <w:sz w:val="15"/>
              </w:rPr>
              <w:t>¥40,100.00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
              <w:jc w:val="center"/>
              <w:rPr>
                <w:rFonts w:ascii="宋体" w:hAnsi="宋体" w:cs="宋体" w:eastAsia="宋体" w:hint="default"/>
                <w:sz w:val="15"/>
                <w:szCs w:val="15"/>
              </w:rPr>
            </w:pPr>
            <w:r>
              <w:rPr>
                <w:rFonts w:ascii="宋体" w:hAnsi="宋体" w:cs="宋体" w:eastAsia="宋体" w:hint="default"/>
                <w:sz w:val="15"/>
                <w:szCs w:val="15"/>
              </w:rPr>
              <w:t>辽宁沈阳</w:t>
            </w:r>
          </w:p>
        </w:tc>
        <w:tc>
          <w:tcPr>
            <w:tcW w:w="3581" w:type="dxa"/>
            <w:tcBorders>
              <w:top w:val="nil" w:sz="6" w:space="0" w:color="auto"/>
              <w:left w:val="nil" w:sz="6" w:space="0" w:color="auto"/>
              <w:bottom w:val="nil" w:sz="6" w:space="0" w:color="auto"/>
              <w:right w:val="nil" w:sz="6" w:space="0" w:color="auto"/>
            </w:tcBorders>
          </w:tcPr>
          <w:p>
            <w:pPr>
              <w:pStyle w:val="TableParagraph"/>
              <w:spacing w:line="173" w:lineRule="exact"/>
              <w:ind w:left="61" w:right="0"/>
              <w:jc w:val="left"/>
              <w:rPr>
                <w:rFonts w:ascii="宋体" w:hAnsi="宋体" w:cs="宋体" w:eastAsia="宋体" w:hint="default"/>
                <w:sz w:val="15"/>
                <w:szCs w:val="15"/>
              </w:rPr>
            </w:pPr>
            <w:r>
              <w:rPr>
                <w:rFonts w:ascii="宋体" w:hAnsi="宋体" w:cs="宋体" w:eastAsia="宋体" w:hint="default"/>
                <w:spacing w:val="-4"/>
                <w:sz w:val="15"/>
                <w:szCs w:val="15"/>
              </w:rPr>
              <w:t>科技园配套设施的建设、开发、管理；项目投资；房</w:t>
            </w:r>
          </w:p>
          <w:p>
            <w:pPr>
              <w:pStyle w:val="TableParagraph"/>
              <w:spacing w:line="240" w:lineRule="auto"/>
              <w:ind w:left="61" w:right="0"/>
              <w:jc w:val="left"/>
              <w:rPr>
                <w:rFonts w:ascii="宋体" w:hAnsi="宋体" w:cs="宋体" w:eastAsia="宋体" w:hint="default"/>
                <w:sz w:val="15"/>
                <w:szCs w:val="15"/>
              </w:rPr>
            </w:pPr>
            <w:r>
              <w:rPr>
                <w:rFonts w:ascii="宋体" w:hAnsi="宋体" w:cs="宋体" w:eastAsia="宋体" w:hint="default"/>
                <w:sz w:val="15"/>
                <w:szCs w:val="15"/>
              </w:rPr>
              <w:t>屋租赁；物业管理</w:t>
            </w:r>
          </w:p>
        </w:tc>
      </w:tr>
      <w:tr>
        <w:trPr>
          <w:trHeight w:val="228"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83" w:lineRule="exact"/>
              <w:ind w:left="33" w:right="0"/>
              <w:jc w:val="left"/>
              <w:rPr>
                <w:rFonts w:ascii="宋体" w:hAnsi="宋体" w:cs="宋体" w:eastAsia="宋体" w:hint="default"/>
                <w:sz w:val="15"/>
                <w:szCs w:val="15"/>
              </w:rPr>
            </w:pPr>
            <w:r>
              <w:rPr>
                <w:rFonts w:ascii="宋体" w:hAnsi="宋体" w:cs="宋体" w:eastAsia="宋体" w:hint="default"/>
                <w:sz w:val="15"/>
                <w:szCs w:val="15"/>
              </w:rPr>
              <w:t>辽宁同方银州科技园有限公司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183" w:lineRule="exact"/>
              <w:ind w:right="19"/>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183" w:lineRule="exact"/>
              <w:ind w:right="59"/>
              <w:jc w:val="right"/>
              <w:rPr>
                <w:rFonts w:ascii="宋体" w:hAnsi="宋体" w:cs="宋体" w:eastAsia="宋体" w:hint="default"/>
                <w:sz w:val="15"/>
                <w:szCs w:val="15"/>
              </w:rPr>
            </w:pPr>
            <w:r>
              <w:rPr>
                <w:rFonts w:ascii="宋体" w:hAnsi="宋体"/>
                <w:spacing w:val="-2"/>
                <w:sz w:val="15"/>
              </w:rPr>
              <w:t>¥3,000.00</w:t>
            </w:r>
          </w:p>
        </w:tc>
        <w:tc>
          <w:tcPr>
            <w:tcW w:w="652" w:type="dxa"/>
            <w:tcBorders>
              <w:top w:val="nil" w:sz="6" w:space="0" w:color="auto"/>
              <w:left w:val="nil" w:sz="6" w:space="0" w:color="auto"/>
              <w:bottom w:val="nil" w:sz="6" w:space="0" w:color="auto"/>
              <w:right w:val="nil" w:sz="6" w:space="0" w:color="auto"/>
            </w:tcBorders>
          </w:tcPr>
          <w:p>
            <w:pPr>
              <w:pStyle w:val="TableParagraph"/>
              <w:spacing w:line="183" w:lineRule="exact"/>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183" w:lineRule="exact"/>
              <w:ind w:right="26"/>
              <w:jc w:val="center"/>
              <w:rPr>
                <w:rFonts w:ascii="宋体" w:hAnsi="宋体" w:cs="宋体" w:eastAsia="宋体" w:hint="default"/>
                <w:sz w:val="15"/>
                <w:szCs w:val="15"/>
              </w:rPr>
            </w:pPr>
            <w:r>
              <w:rPr>
                <w:rFonts w:ascii="宋体" w:hAnsi="宋体" w:cs="宋体" w:eastAsia="宋体" w:hint="default"/>
                <w:sz w:val="15"/>
                <w:szCs w:val="15"/>
              </w:rPr>
              <w:t>辽宁沈阳</w:t>
            </w:r>
          </w:p>
        </w:tc>
        <w:tc>
          <w:tcPr>
            <w:tcW w:w="3581" w:type="dxa"/>
            <w:tcBorders>
              <w:top w:val="nil" w:sz="6" w:space="0" w:color="auto"/>
              <w:left w:val="nil" w:sz="6" w:space="0" w:color="auto"/>
              <w:bottom w:val="nil" w:sz="6" w:space="0" w:color="auto"/>
              <w:right w:val="nil" w:sz="6" w:space="0" w:color="auto"/>
            </w:tcBorders>
          </w:tcPr>
          <w:p>
            <w:pPr>
              <w:pStyle w:val="TableParagraph"/>
              <w:spacing w:line="183" w:lineRule="exact"/>
              <w:ind w:left="61" w:right="0"/>
              <w:jc w:val="left"/>
              <w:rPr>
                <w:rFonts w:ascii="宋体" w:hAnsi="宋体" w:cs="宋体" w:eastAsia="宋体" w:hint="default"/>
                <w:sz w:val="15"/>
                <w:szCs w:val="15"/>
              </w:rPr>
            </w:pPr>
            <w:r>
              <w:rPr>
                <w:rFonts w:ascii="宋体" w:hAnsi="宋体" w:cs="宋体" w:eastAsia="宋体" w:hint="default"/>
                <w:sz w:val="15"/>
                <w:szCs w:val="15"/>
              </w:rPr>
              <w:t>科技园区及配套设施的开发管理</w:t>
            </w:r>
          </w:p>
        </w:tc>
      </w:tr>
      <w:tr>
        <w:trPr>
          <w:trHeight w:val="240"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95" w:lineRule="exact"/>
              <w:ind w:left="33" w:right="0"/>
              <w:jc w:val="left"/>
              <w:rPr>
                <w:rFonts w:ascii="宋体" w:hAnsi="宋体" w:cs="宋体" w:eastAsia="宋体" w:hint="default"/>
                <w:sz w:val="15"/>
                <w:szCs w:val="15"/>
              </w:rPr>
            </w:pPr>
            <w:r>
              <w:rPr>
                <w:rFonts w:ascii="宋体" w:hAnsi="宋体" w:cs="宋体" w:eastAsia="宋体" w:hint="default"/>
                <w:sz w:val="15"/>
                <w:szCs w:val="15"/>
              </w:rPr>
              <w:t>南通同方科技园有限公司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195" w:lineRule="exact"/>
              <w:ind w:right="19"/>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hAnsi="宋体"/>
                <w:spacing w:val="-1"/>
                <w:sz w:val="15"/>
              </w:rPr>
              <w:t>¥82,600.00</w:t>
            </w:r>
          </w:p>
        </w:tc>
        <w:tc>
          <w:tcPr>
            <w:tcW w:w="652" w:type="dxa"/>
            <w:tcBorders>
              <w:top w:val="nil" w:sz="6" w:space="0" w:color="auto"/>
              <w:left w:val="nil" w:sz="6" w:space="0" w:color="auto"/>
              <w:bottom w:val="nil" w:sz="6" w:space="0" w:color="auto"/>
              <w:right w:val="nil" w:sz="6" w:space="0" w:color="auto"/>
            </w:tcBorders>
          </w:tcPr>
          <w:p>
            <w:pPr>
              <w:pStyle w:val="TableParagraph"/>
              <w:spacing w:line="195" w:lineRule="exact"/>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195" w:lineRule="exact"/>
              <w:ind w:right="26"/>
              <w:jc w:val="center"/>
              <w:rPr>
                <w:rFonts w:ascii="宋体" w:hAnsi="宋体" w:cs="宋体" w:eastAsia="宋体" w:hint="default"/>
                <w:sz w:val="15"/>
                <w:szCs w:val="15"/>
              </w:rPr>
            </w:pPr>
            <w:r>
              <w:rPr>
                <w:rFonts w:ascii="宋体" w:hAnsi="宋体" w:cs="宋体" w:eastAsia="宋体" w:hint="default"/>
                <w:sz w:val="15"/>
                <w:szCs w:val="15"/>
              </w:rPr>
              <w:t>江苏南通</w:t>
            </w:r>
          </w:p>
        </w:tc>
        <w:tc>
          <w:tcPr>
            <w:tcW w:w="3581" w:type="dxa"/>
            <w:tcBorders>
              <w:top w:val="nil" w:sz="6" w:space="0" w:color="auto"/>
              <w:left w:val="nil" w:sz="6" w:space="0" w:color="auto"/>
              <w:bottom w:val="nil" w:sz="6" w:space="0" w:color="auto"/>
              <w:right w:val="nil" w:sz="6" w:space="0" w:color="auto"/>
            </w:tcBorders>
          </w:tcPr>
          <w:p>
            <w:pPr>
              <w:pStyle w:val="TableParagraph"/>
              <w:spacing w:line="195" w:lineRule="exact"/>
              <w:ind w:left="61" w:right="0"/>
              <w:jc w:val="left"/>
              <w:rPr>
                <w:rFonts w:ascii="宋体" w:hAnsi="宋体" w:cs="宋体" w:eastAsia="宋体" w:hint="default"/>
                <w:sz w:val="15"/>
                <w:szCs w:val="15"/>
              </w:rPr>
            </w:pPr>
            <w:r>
              <w:rPr>
                <w:rFonts w:ascii="宋体" w:hAnsi="宋体" w:cs="宋体" w:eastAsia="宋体" w:hint="default"/>
                <w:sz w:val="15"/>
                <w:szCs w:val="15"/>
              </w:rPr>
              <w:t>科技园区建设和管理</w:t>
            </w:r>
          </w:p>
        </w:tc>
      </w:tr>
      <w:tr>
        <w:trPr>
          <w:trHeight w:val="229" w:hRule="exact"/>
        </w:trPr>
        <w:tc>
          <w:tcPr>
            <w:tcW w:w="2199" w:type="dxa"/>
            <w:tcBorders>
              <w:top w:val="nil" w:sz="6" w:space="0" w:color="auto"/>
              <w:left w:val="nil" w:sz="6" w:space="0" w:color="auto"/>
              <w:bottom w:val="nil" w:sz="6" w:space="0" w:color="auto"/>
              <w:right w:val="nil" w:sz="6" w:space="0" w:color="auto"/>
            </w:tcBorders>
          </w:tcPr>
          <w:p>
            <w:pPr>
              <w:pStyle w:val="TableParagraph"/>
              <w:spacing w:line="195" w:lineRule="exact"/>
              <w:ind w:left="33" w:right="0"/>
              <w:jc w:val="left"/>
              <w:rPr>
                <w:rFonts w:ascii="宋体" w:hAnsi="宋体" w:cs="宋体" w:eastAsia="宋体" w:hint="default"/>
                <w:sz w:val="15"/>
                <w:szCs w:val="15"/>
              </w:rPr>
            </w:pPr>
            <w:r>
              <w:rPr>
                <w:rFonts w:ascii="宋体" w:hAnsi="宋体" w:cs="宋体" w:eastAsia="宋体" w:hint="default"/>
                <w:sz w:val="15"/>
                <w:szCs w:val="15"/>
              </w:rPr>
              <w:t>南通同景置业有限公司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195" w:lineRule="exact"/>
              <w:ind w:right="19"/>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hAnsi="宋体"/>
                <w:spacing w:val="-1"/>
                <w:sz w:val="15"/>
              </w:rPr>
              <w:t>¥17,000.00</w:t>
            </w:r>
          </w:p>
        </w:tc>
        <w:tc>
          <w:tcPr>
            <w:tcW w:w="652" w:type="dxa"/>
            <w:tcBorders>
              <w:top w:val="nil" w:sz="6" w:space="0" w:color="auto"/>
              <w:left w:val="nil" w:sz="6" w:space="0" w:color="auto"/>
              <w:bottom w:val="nil" w:sz="6" w:space="0" w:color="auto"/>
              <w:right w:val="nil" w:sz="6" w:space="0" w:color="auto"/>
            </w:tcBorders>
          </w:tcPr>
          <w:p>
            <w:pPr>
              <w:pStyle w:val="TableParagraph"/>
              <w:spacing w:line="195" w:lineRule="exact"/>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nil" w:sz="6" w:space="0" w:color="auto"/>
              <w:right w:val="nil" w:sz="6" w:space="0" w:color="auto"/>
            </w:tcBorders>
          </w:tcPr>
          <w:p>
            <w:pPr>
              <w:pStyle w:val="TableParagraph"/>
              <w:spacing w:line="195" w:lineRule="exact"/>
              <w:ind w:right="26"/>
              <w:jc w:val="center"/>
              <w:rPr>
                <w:rFonts w:ascii="宋体" w:hAnsi="宋体" w:cs="宋体" w:eastAsia="宋体" w:hint="default"/>
                <w:sz w:val="15"/>
                <w:szCs w:val="15"/>
              </w:rPr>
            </w:pPr>
            <w:r>
              <w:rPr>
                <w:rFonts w:ascii="宋体" w:hAnsi="宋体" w:cs="宋体" w:eastAsia="宋体" w:hint="default"/>
                <w:sz w:val="15"/>
                <w:szCs w:val="15"/>
              </w:rPr>
              <w:t>江苏南通</w:t>
            </w:r>
          </w:p>
        </w:tc>
        <w:tc>
          <w:tcPr>
            <w:tcW w:w="3581" w:type="dxa"/>
            <w:tcBorders>
              <w:top w:val="nil" w:sz="6" w:space="0" w:color="auto"/>
              <w:left w:val="nil" w:sz="6" w:space="0" w:color="auto"/>
              <w:bottom w:val="nil" w:sz="6" w:space="0" w:color="auto"/>
              <w:right w:val="nil" w:sz="6" w:space="0" w:color="auto"/>
            </w:tcBorders>
          </w:tcPr>
          <w:p>
            <w:pPr>
              <w:pStyle w:val="TableParagraph"/>
              <w:spacing w:line="195" w:lineRule="exact"/>
              <w:ind w:left="61" w:right="0"/>
              <w:jc w:val="left"/>
              <w:rPr>
                <w:rFonts w:ascii="宋体" w:hAnsi="宋体" w:cs="宋体" w:eastAsia="宋体" w:hint="default"/>
                <w:sz w:val="15"/>
                <w:szCs w:val="15"/>
              </w:rPr>
            </w:pPr>
            <w:r>
              <w:rPr>
                <w:rFonts w:ascii="宋体" w:hAnsi="宋体" w:cs="宋体" w:eastAsia="宋体" w:hint="default"/>
                <w:sz w:val="15"/>
                <w:szCs w:val="15"/>
              </w:rPr>
              <w:t>科技园区建设和管理</w:t>
            </w:r>
          </w:p>
        </w:tc>
      </w:tr>
      <w:tr>
        <w:trPr>
          <w:trHeight w:val="415" w:hRule="exact"/>
        </w:trPr>
        <w:tc>
          <w:tcPr>
            <w:tcW w:w="2199"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left="33" w:right="0"/>
              <w:jc w:val="left"/>
              <w:rPr>
                <w:rFonts w:ascii="宋体" w:hAnsi="宋体" w:cs="宋体" w:eastAsia="宋体" w:hint="default"/>
                <w:sz w:val="15"/>
                <w:szCs w:val="15"/>
              </w:rPr>
            </w:pPr>
            <w:r>
              <w:rPr>
                <w:rFonts w:ascii="宋体" w:hAnsi="宋体" w:cs="宋体" w:eastAsia="宋体" w:hint="default"/>
                <w:sz w:val="15"/>
                <w:szCs w:val="15"/>
              </w:rPr>
              <w:t>同方计算机有限公司</w:t>
            </w:r>
          </w:p>
        </w:tc>
        <w:tc>
          <w:tcPr>
            <w:tcW w:w="377"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19"/>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0"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60"/>
              <w:jc w:val="right"/>
              <w:rPr>
                <w:rFonts w:ascii="宋体" w:hAnsi="宋体" w:cs="宋体" w:eastAsia="宋体" w:hint="default"/>
                <w:sz w:val="15"/>
                <w:szCs w:val="15"/>
              </w:rPr>
            </w:pPr>
            <w:r>
              <w:rPr>
                <w:rFonts w:ascii="宋体" w:hAnsi="宋体"/>
                <w:spacing w:val="-1"/>
                <w:sz w:val="15"/>
              </w:rPr>
              <w:t>¥135,000.00</w:t>
            </w:r>
          </w:p>
        </w:tc>
        <w:tc>
          <w:tcPr>
            <w:tcW w:w="652"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left="3" w:right="0"/>
              <w:jc w:val="center"/>
              <w:rPr>
                <w:rFonts w:ascii="宋体" w:hAnsi="宋体" w:cs="宋体" w:eastAsia="宋体" w:hint="default"/>
                <w:sz w:val="15"/>
                <w:szCs w:val="15"/>
              </w:rPr>
            </w:pPr>
            <w:r>
              <w:rPr>
                <w:rFonts w:ascii="宋体"/>
                <w:sz w:val="15"/>
              </w:rPr>
              <w:t>100.00%</w:t>
            </w:r>
          </w:p>
        </w:tc>
        <w:tc>
          <w:tcPr>
            <w:tcW w:w="902" w:type="dxa"/>
            <w:tcBorders>
              <w:top w:val="nil" w:sz="6" w:space="0" w:color="auto"/>
              <w:left w:val="nil" w:sz="6" w:space="0" w:color="auto"/>
              <w:bottom w:val="single" w:sz="12" w:space="0" w:color="000000"/>
              <w:right w:val="nil" w:sz="6" w:space="0" w:color="auto"/>
            </w:tcBorders>
          </w:tcPr>
          <w:p>
            <w:pPr>
              <w:pStyle w:val="TableParagraph"/>
              <w:spacing w:line="240" w:lineRule="auto" w:before="84"/>
              <w:ind w:right="26"/>
              <w:jc w:val="center"/>
              <w:rPr>
                <w:rFonts w:ascii="宋体" w:hAnsi="宋体" w:cs="宋体" w:eastAsia="宋体" w:hint="default"/>
                <w:sz w:val="15"/>
                <w:szCs w:val="15"/>
              </w:rPr>
            </w:pPr>
            <w:r>
              <w:rPr>
                <w:rFonts w:ascii="宋体" w:hAnsi="宋体" w:cs="宋体" w:eastAsia="宋体" w:hint="default"/>
                <w:sz w:val="15"/>
                <w:szCs w:val="15"/>
              </w:rPr>
              <w:t>江苏无锡</w:t>
            </w:r>
          </w:p>
        </w:tc>
        <w:tc>
          <w:tcPr>
            <w:tcW w:w="3581" w:type="dxa"/>
            <w:tcBorders>
              <w:top w:val="nil" w:sz="6" w:space="0" w:color="auto"/>
              <w:left w:val="nil" w:sz="6" w:space="0" w:color="auto"/>
              <w:bottom w:val="single" w:sz="12" w:space="0" w:color="000000"/>
              <w:right w:val="nil" w:sz="6" w:space="0" w:color="auto"/>
            </w:tcBorders>
          </w:tcPr>
          <w:p>
            <w:pPr>
              <w:pStyle w:val="TableParagraph"/>
              <w:spacing w:line="194" w:lineRule="exact" w:before="8"/>
              <w:ind w:left="61" w:right="106"/>
              <w:jc w:val="left"/>
              <w:rPr>
                <w:rFonts w:ascii="宋体" w:hAnsi="宋体" w:cs="宋体" w:eastAsia="宋体" w:hint="default"/>
                <w:sz w:val="15"/>
                <w:szCs w:val="15"/>
              </w:rPr>
            </w:pPr>
            <w:r>
              <w:rPr>
                <w:rFonts w:ascii="宋体" w:hAnsi="宋体" w:cs="宋体" w:eastAsia="宋体" w:hint="default"/>
                <w:spacing w:val="-4"/>
                <w:sz w:val="15"/>
                <w:szCs w:val="15"/>
              </w:rPr>
              <w:t>计算机及相关产品生产、销售和进出口；科技园区及</w:t>
            </w:r>
            <w:r>
              <w:rPr>
                <w:rFonts w:ascii="宋体" w:hAnsi="宋体" w:cs="宋体" w:eastAsia="宋体" w:hint="default"/>
                <w:spacing w:val="-30"/>
                <w:sz w:val="15"/>
                <w:szCs w:val="15"/>
              </w:rPr>
              <w:t> </w:t>
            </w:r>
            <w:r>
              <w:rPr>
                <w:rFonts w:ascii="宋体" w:hAnsi="宋体" w:cs="宋体" w:eastAsia="宋体" w:hint="default"/>
                <w:spacing w:val="-30"/>
                <w:sz w:val="15"/>
                <w:szCs w:val="15"/>
              </w:rPr>
            </w:r>
            <w:r>
              <w:rPr>
                <w:rFonts w:ascii="宋体" w:hAnsi="宋体" w:cs="宋体" w:eastAsia="宋体" w:hint="default"/>
                <w:sz w:val="15"/>
                <w:szCs w:val="15"/>
              </w:rPr>
              <w:t>配套设施开发管理</w:t>
            </w:r>
          </w:p>
        </w:tc>
      </w:tr>
    </w:tbl>
    <w:p>
      <w:pPr>
        <w:spacing w:after="0" w:line="194" w:lineRule="exact"/>
        <w:jc w:val="left"/>
        <w:rPr>
          <w:rFonts w:ascii="宋体" w:hAnsi="宋体" w:cs="宋体" w:eastAsia="宋体" w:hint="default"/>
          <w:sz w:val="15"/>
          <w:szCs w:val="15"/>
        </w:rPr>
        <w:sectPr>
          <w:pgSz w:w="11910" w:h="16840"/>
          <w:pgMar w:header="0" w:footer="1034" w:top="1320" w:bottom="1220" w:left="1460" w:right="1480"/>
        </w:sectPr>
      </w:pPr>
    </w:p>
    <w:p>
      <w:pPr>
        <w:spacing w:line="240" w:lineRule="auto" w:before="4"/>
        <w:rPr>
          <w:rFonts w:ascii="Times New Roman" w:hAnsi="Times New Roman" w:cs="Times New Roman" w:eastAsia="Times New Roman"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2184"/>
        <w:gridCol w:w="358"/>
        <w:gridCol w:w="1050"/>
        <w:gridCol w:w="651"/>
        <w:gridCol w:w="889"/>
        <w:gridCol w:w="3593"/>
      </w:tblGrid>
      <w:tr>
        <w:trPr>
          <w:trHeight w:val="485" w:hRule="exact"/>
        </w:trPr>
        <w:tc>
          <w:tcPr>
            <w:tcW w:w="2184" w:type="dxa"/>
            <w:tcBorders>
              <w:top w:val="single" w:sz="12" w:space="0" w:color="000000"/>
              <w:left w:val="nil" w:sz="6" w:space="0" w:color="auto"/>
              <w:bottom w:val="single" w:sz="4" w:space="0" w:color="000000"/>
              <w:right w:val="nil" w:sz="6" w:space="0" w:color="auto"/>
            </w:tcBorders>
          </w:tcPr>
          <w:p>
            <w:pPr>
              <w:pStyle w:val="TableParagraph"/>
              <w:spacing w:line="240" w:lineRule="auto" w:before="113"/>
              <w:ind w:left="561" w:right="0"/>
              <w:jc w:val="left"/>
              <w:rPr>
                <w:rFonts w:ascii="宋体" w:hAnsi="宋体" w:cs="宋体" w:eastAsia="宋体" w:hint="default"/>
                <w:sz w:val="15"/>
                <w:szCs w:val="15"/>
              </w:rPr>
            </w:pPr>
            <w:r>
              <w:rPr>
                <w:rFonts w:ascii="宋体" w:hAnsi="宋体" w:cs="宋体" w:eastAsia="宋体" w:hint="default"/>
                <w:b/>
                <w:bCs/>
                <w:sz w:val="15"/>
                <w:szCs w:val="15"/>
              </w:rPr>
              <w:t>控股子公司名称</w:t>
            </w:r>
            <w:r>
              <w:rPr>
                <w:rFonts w:ascii="宋体" w:hAnsi="宋体" w:cs="宋体" w:eastAsia="宋体" w:hint="default"/>
                <w:sz w:val="15"/>
                <w:szCs w:val="15"/>
              </w:rPr>
            </w:r>
          </w:p>
        </w:tc>
        <w:tc>
          <w:tcPr>
            <w:tcW w:w="358"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108" w:right="96"/>
              <w:jc w:val="left"/>
              <w:rPr>
                <w:rFonts w:ascii="宋体" w:hAnsi="宋体" w:cs="宋体" w:eastAsia="宋体" w:hint="default"/>
                <w:sz w:val="15"/>
                <w:szCs w:val="15"/>
              </w:rPr>
            </w:pPr>
            <w:r>
              <w:rPr>
                <w:rFonts w:ascii="宋体" w:hAnsi="宋体" w:cs="宋体" w:eastAsia="宋体" w:hint="default"/>
                <w:b/>
                <w:bCs/>
                <w:sz w:val="15"/>
                <w:szCs w:val="15"/>
              </w:rPr>
              <w:t>级</w:t>
            </w:r>
            <w:r>
              <w:rPr>
                <w:rFonts w:ascii="宋体" w:hAnsi="宋体" w:cs="宋体" w:eastAsia="宋体" w:hint="default"/>
                <w:b/>
                <w:bCs/>
                <w:w w:val="100"/>
                <w:sz w:val="15"/>
                <w:szCs w:val="15"/>
              </w:rPr>
              <w:t> </w:t>
            </w:r>
            <w:r>
              <w:rPr>
                <w:rFonts w:ascii="宋体" w:hAnsi="宋体" w:cs="宋体" w:eastAsia="宋体" w:hint="default"/>
                <w:b/>
                <w:bCs/>
                <w:sz w:val="15"/>
                <w:szCs w:val="15"/>
              </w:rPr>
              <w:t>次</w:t>
            </w:r>
            <w:r>
              <w:rPr>
                <w:rFonts w:ascii="宋体" w:hAnsi="宋体" w:cs="宋体" w:eastAsia="宋体" w:hint="default"/>
                <w:sz w:val="15"/>
                <w:szCs w:val="15"/>
              </w:rPr>
            </w:r>
          </w:p>
        </w:tc>
        <w:tc>
          <w:tcPr>
            <w:tcW w:w="1050" w:type="dxa"/>
            <w:tcBorders>
              <w:top w:val="single" w:sz="12" w:space="0" w:color="000000"/>
              <w:left w:val="nil" w:sz="6" w:space="0" w:color="auto"/>
              <w:bottom w:val="single" w:sz="4" w:space="0" w:color="000000"/>
              <w:right w:val="nil" w:sz="6" w:space="0" w:color="auto"/>
            </w:tcBorders>
          </w:tcPr>
          <w:p>
            <w:pPr>
              <w:pStyle w:val="TableParagraph"/>
              <w:spacing w:line="196" w:lineRule="exact" w:before="14"/>
              <w:ind w:left="203" w:right="0"/>
              <w:jc w:val="left"/>
              <w:rPr>
                <w:rFonts w:ascii="宋体" w:hAnsi="宋体" w:cs="宋体" w:eastAsia="宋体" w:hint="default"/>
                <w:sz w:val="15"/>
                <w:szCs w:val="15"/>
              </w:rPr>
            </w:pPr>
            <w:r>
              <w:rPr>
                <w:rFonts w:ascii="宋体" w:hAnsi="宋体" w:cs="宋体" w:eastAsia="宋体" w:hint="default"/>
                <w:b/>
                <w:bCs/>
                <w:sz w:val="15"/>
                <w:szCs w:val="15"/>
              </w:rPr>
              <w:t>注册资本</w:t>
            </w:r>
            <w:r>
              <w:rPr>
                <w:rFonts w:ascii="宋体" w:hAnsi="宋体" w:cs="宋体" w:eastAsia="宋体" w:hint="default"/>
                <w:sz w:val="15"/>
                <w:szCs w:val="15"/>
              </w:rPr>
            </w:r>
          </w:p>
          <w:p>
            <w:pPr>
              <w:pStyle w:val="TableParagraph"/>
              <w:spacing w:line="196" w:lineRule="exact"/>
              <w:ind w:left="203" w:right="0"/>
              <w:jc w:val="left"/>
              <w:rPr>
                <w:rFonts w:ascii="宋体" w:hAnsi="宋体" w:cs="宋体" w:eastAsia="宋体" w:hint="default"/>
                <w:sz w:val="15"/>
                <w:szCs w:val="15"/>
              </w:rPr>
            </w:pPr>
            <w:r>
              <w:rPr>
                <w:rFonts w:ascii="宋体" w:hAnsi="宋体" w:cs="宋体" w:eastAsia="宋体" w:hint="default"/>
                <w:b/>
                <w:bCs/>
                <w:sz w:val="15"/>
                <w:szCs w:val="15"/>
              </w:rPr>
              <w:t>（万元）</w:t>
            </w:r>
            <w:r>
              <w:rPr>
                <w:rFonts w:ascii="宋体" w:hAnsi="宋体" w:cs="宋体" w:eastAsia="宋体" w:hint="default"/>
                <w:sz w:val="15"/>
                <w:szCs w:val="15"/>
              </w:rPr>
            </w:r>
          </w:p>
        </w:tc>
        <w:tc>
          <w:tcPr>
            <w:tcW w:w="651"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209" w:right="134" w:hanging="149"/>
              <w:jc w:val="left"/>
              <w:rPr>
                <w:rFonts w:ascii="宋体" w:hAnsi="宋体" w:cs="宋体" w:eastAsia="宋体" w:hint="default"/>
                <w:sz w:val="15"/>
                <w:szCs w:val="15"/>
              </w:rPr>
            </w:pPr>
            <w:r>
              <w:rPr>
                <w:rFonts w:ascii="宋体" w:hAnsi="宋体" w:cs="宋体" w:eastAsia="宋体" w:hint="default"/>
                <w:b/>
                <w:bCs/>
                <w:sz w:val="15"/>
                <w:szCs w:val="15"/>
              </w:rPr>
              <w:t>持股比</w:t>
            </w:r>
            <w:r>
              <w:rPr>
                <w:rFonts w:ascii="宋体" w:hAnsi="宋体" w:cs="宋体" w:eastAsia="宋体" w:hint="default"/>
                <w:b/>
                <w:bCs/>
                <w:w w:val="100"/>
                <w:sz w:val="15"/>
                <w:szCs w:val="15"/>
              </w:rPr>
              <w:t> </w:t>
            </w:r>
            <w:r>
              <w:rPr>
                <w:rFonts w:ascii="宋体" w:hAnsi="宋体" w:cs="宋体" w:eastAsia="宋体" w:hint="default"/>
                <w:b/>
                <w:bCs/>
                <w:sz w:val="15"/>
                <w:szCs w:val="15"/>
              </w:rPr>
              <w:t>例</w:t>
            </w:r>
            <w:r>
              <w:rPr>
                <w:rFonts w:ascii="宋体" w:hAnsi="宋体" w:cs="宋体" w:eastAsia="宋体" w:hint="default"/>
                <w:sz w:val="15"/>
                <w:szCs w:val="15"/>
              </w:rPr>
            </w:r>
          </w:p>
        </w:tc>
        <w:tc>
          <w:tcPr>
            <w:tcW w:w="889" w:type="dxa"/>
            <w:tcBorders>
              <w:top w:val="single" w:sz="12" w:space="0" w:color="000000"/>
              <w:left w:val="nil" w:sz="6" w:space="0" w:color="auto"/>
              <w:bottom w:val="single" w:sz="4" w:space="0" w:color="000000"/>
              <w:right w:val="nil" w:sz="6" w:space="0" w:color="auto"/>
            </w:tcBorders>
          </w:tcPr>
          <w:p>
            <w:pPr>
              <w:pStyle w:val="TableParagraph"/>
              <w:spacing w:line="240" w:lineRule="auto" w:before="113"/>
              <w:ind w:right="55"/>
              <w:jc w:val="center"/>
              <w:rPr>
                <w:rFonts w:ascii="宋体" w:hAnsi="宋体" w:cs="宋体" w:eastAsia="宋体" w:hint="default"/>
                <w:sz w:val="15"/>
                <w:szCs w:val="15"/>
              </w:rPr>
            </w:pPr>
            <w:r>
              <w:rPr>
                <w:rFonts w:ascii="宋体" w:hAnsi="宋体" w:cs="宋体" w:eastAsia="宋体" w:hint="default"/>
                <w:b/>
                <w:bCs/>
                <w:sz w:val="15"/>
                <w:szCs w:val="15"/>
              </w:rPr>
              <w:t>注册地址</w:t>
            </w:r>
            <w:r>
              <w:rPr>
                <w:rFonts w:ascii="宋体" w:hAnsi="宋体" w:cs="宋体" w:eastAsia="宋体" w:hint="default"/>
                <w:sz w:val="15"/>
                <w:szCs w:val="15"/>
              </w:rPr>
            </w:r>
          </w:p>
        </w:tc>
        <w:tc>
          <w:tcPr>
            <w:tcW w:w="3593" w:type="dxa"/>
            <w:tcBorders>
              <w:top w:val="single" w:sz="12" w:space="0" w:color="000000"/>
              <w:left w:val="nil" w:sz="6" w:space="0" w:color="auto"/>
              <w:bottom w:val="single" w:sz="4" w:space="0" w:color="000000"/>
              <w:right w:val="nil" w:sz="6" w:space="0" w:color="auto"/>
            </w:tcBorders>
          </w:tcPr>
          <w:p>
            <w:pPr>
              <w:pStyle w:val="TableParagraph"/>
              <w:spacing w:line="240" w:lineRule="auto" w:before="113"/>
              <w:ind w:right="34"/>
              <w:jc w:val="center"/>
              <w:rPr>
                <w:rFonts w:ascii="宋体" w:hAnsi="宋体" w:cs="宋体" w:eastAsia="宋体" w:hint="default"/>
                <w:sz w:val="15"/>
                <w:szCs w:val="15"/>
              </w:rPr>
            </w:pPr>
            <w:r>
              <w:rPr>
                <w:rFonts w:ascii="宋体" w:hAnsi="宋体" w:cs="宋体" w:eastAsia="宋体" w:hint="default"/>
                <w:b/>
                <w:bCs/>
                <w:sz w:val="15"/>
                <w:szCs w:val="15"/>
              </w:rPr>
              <w:t>主营业务</w:t>
            </w:r>
            <w:r>
              <w:rPr>
                <w:rFonts w:ascii="宋体" w:hAnsi="宋体" w:cs="宋体" w:eastAsia="宋体" w:hint="default"/>
                <w:sz w:val="15"/>
                <w:szCs w:val="15"/>
              </w:rPr>
            </w:r>
          </w:p>
        </w:tc>
      </w:tr>
      <w:tr>
        <w:trPr>
          <w:trHeight w:val="405" w:hRule="exact"/>
        </w:trPr>
        <w:tc>
          <w:tcPr>
            <w:tcW w:w="2184" w:type="dxa"/>
            <w:tcBorders>
              <w:top w:val="single" w:sz="4" w:space="0" w:color="000000"/>
              <w:left w:val="nil" w:sz="6" w:space="0" w:color="auto"/>
              <w:bottom w:val="nil" w:sz="6" w:space="0" w:color="auto"/>
              <w:right w:val="nil" w:sz="6" w:space="0" w:color="auto"/>
            </w:tcBorders>
          </w:tcPr>
          <w:p>
            <w:pPr>
              <w:pStyle w:val="TableParagraph"/>
              <w:spacing w:line="171" w:lineRule="exact"/>
              <w:ind w:left="19" w:right="0"/>
              <w:jc w:val="left"/>
              <w:rPr>
                <w:rFonts w:ascii="宋体" w:hAnsi="宋体" w:cs="宋体" w:eastAsia="宋体" w:hint="default"/>
                <w:sz w:val="15"/>
                <w:szCs w:val="15"/>
              </w:rPr>
            </w:pPr>
            <w:r>
              <w:rPr>
                <w:rFonts w:ascii="宋体" w:hAnsi="宋体" w:cs="宋体" w:eastAsia="宋体" w:hint="default"/>
                <w:sz w:val="15"/>
                <w:szCs w:val="15"/>
              </w:rPr>
              <w:t>北京同方信息安全技术股份有限</w:t>
            </w:r>
          </w:p>
          <w:p>
            <w:pPr>
              <w:pStyle w:val="TableParagraph"/>
              <w:spacing w:line="195" w:lineRule="exact"/>
              <w:ind w:left="19"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35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60"/>
              <w:jc w:val="right"/>
              <w:rPr>
                <w:rFonts w:ascii="宋体" w:hAnsi="宋体" w:cs="宋体" w:eastAsia="宋体" w:hint="default"/>
                <w:sz w:val="15"/>
                <w:szCs w:val="15"/>
              </w:rPr>
            </w:pPr>
            <w:r>
              <w:rPr>
                <w:rFonts w:ascii="宋体" w:hAnsi="宋体"/>
                <w:spacing w:val="-2"/>
                <w:sz w:val="15"/>
              </w:rPr>
              <w:t>¥3,375.00</w:t>
            </w:r>
          </w:p>
        </w:tc>
        <w:tc>
          <w:tcPr>
            <w:tcW w:w="65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77" w:right="0"/>
              <w:jc w:val="center"/>
              <w:rPr>
                <w:rFonts w:ascii="宋体" w:hAnsi="宋体" w:cs="宋体" w:eastAsia="宋体" w:hint="default"/>
                <w:sz w:val="15"/>
                <w:szCs w:val="15"/>
              </w:rPr>
            </w:pPr>
            <w:r>
              <w:rPr>
                <w:rFonts w:ascii="宋体"/>
                <w:sz w:val="15"/>
              </w:rPr>
              <w:t>51.00%</w:t>
            </w:r>
          </w:p>
        </w:tc>
        <w:tc>
          <w:tcPr>
            <w:tcW w:w="889"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74" w:right="0"/>
              <w:jc w:val="left"/>
              <w:rPr>
                <w:rFonts w:ascii="宋体" w:hAnsi="宋体" w:cs="宋体" w:eastAsia="宋体" w:hint="default"/>
                <w:sz w:val="15"/>
                <w:szCs w:val="15"/>
              </w:rPr>
            </w:pPr>
            <w:r>
              <w:rPr>
                <w:rFonts w:ascii="宋体" w:hAnsi="宋体" w:cs="宋体" w:eastAsia="宋体" w:hint="default"/>
                <w:sz w:val="15"/>
                <w:szCs w:val="15"/>
              </w:rPr>
              <w:t>网络安全产品和技术服务</w:t>
            </w:r>
          </w:p>
        </w:tc>
      </w:tr>
      <w:tr>
        <w:trPr>
          <w:trHeight w:val="217"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85" w:lineRule="exact"/>
              <w:ind w:left="19" w:right="0"/>
              <w:jc w:val="left"/>
              <w:rPr>
                <w:rFonts w:ascii="宋体" w:hAnsi="宋体" w:cs="宋体" w:eastAsia="宋体" w:hint="default"/>
                <w:sz w:val="15"/>
                <w:szCs w:val="15"/>
              </w:rPr>
            </w:pPr>
            <w:r>
              <w:rPr>
                <w:rFonts w:ascii="宋体" w:hAnsi="宋体" w:cs="宋体" w:eastAsia="宋体" w:hint="default"/>
                <w:sz w:val="15"/>
                <w:szCs w:val="15"/>
              </w:rPr>
              <w:t>同方计算机（北京）有限公司</w:t>
            </w:r>
          </w:p>
        </w:tc>
        <w:tc>
          <w:tcPr>
            <w:tcW w:w="358" w:type="dxa"/>
            <w:tcBorders>
              <w:top w:val="nil" w:sz="6" w:space="0" w:color="auto"/>
              <w:left w:val="nil" w:sz="6" w:space="0" w:color="auto"/>
              <w:bottom w:val="nil" w:sz="6" w:space="0" w:color="auto"/>
              <w:right w:val="nil" w:sz="6" w:space="0" w:color="auto"/>
            </w:tcBorders>
          </w:tcPr>
          <w:p>
            <w:pPr>
              <w:pStyle w:val="TableParagraph"/>
              <w:spacing w:line="185" w:lineRule="exact"/>
              <w:ind w:right="0"/>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85" w:lineRule="exact"/>
              <w:ind w:right="60"/>
              <w:jc w:val="right"/>
              <w:rPr>
                <w:rFonts w:ascii="宋体" w:hAnsi="宋体" w:cs="宋体" w:eastAsia="宋体" w:hint="default"/>
                <w:sz w:val="15"/>
                <w:szCs w:val="15"/>
              </w:rPr>
            </w:pPr>
            <w:r>
              <w:rPr>
                <w:rFonts w:ascii="宋体" w:hAnsi="宋体"/>
                <w:spacing w:val="-2"/>
                <w:sz w:val="15"/>
              </w:rPr>
              <w:t>¥1,000.00</w:t>
            </w:r>
          </w:p>
        </w:tc>
        <w:tc>
          <w:tcPr>
            <w:tcW w:w="651" w:type="dxa"/>
            <w:tcBorders>
              <w:top w:val="nil" w:sz="6" w:space="0" w:color="auto"/>
              <w:left w:val="nil" w:sz="6" w:space="0" w:color="auto"/>
              <w:bottom w:val="nil" w:sz="6" w:space="0" w:color="auto"/>
              <w:right w:val="nil" w:sz="6" w:space="0" w:color="auto"/>
            </w:tcBorders>
          </w:tcPr>
          <w:p>
            <w:pPr>
              <w:pStyle w:val="TableParagraph"/>
              <w:spacing w:line="18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5" w:lineRule="exact"/>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nil" w:sz="6" w:space="0" w:color="auto"/>
              <w:left w:val="nil" w:sz="6" w:space="0" w:color="auto"/>
              <w:bottom w:val="nil" w:sz="6" w:space="0" w:color="auto"/>
              <w:right w:val="nil" w:sz="6" w:space="0" w:color="auto"/>
            </w:tcBorders>
          </w:tcPr>
          <w:p>
            <w:pPr>
              <w:pStyle w:val="TableParagraph"/>
              <w:spacing w:line="185" w:lineRule="exact"/>
              <w:ind w:left="74" w:right="0"/>
              <w:jc w:val="left"/>
              <w:rPr>
                <w:rFonts w:ascii="宋体" w:hAnsi="宋体" w:cs="宋体" w:eastAsia="宋体" w:hint="default"/>
                <w:sz w:val="15"/>
                <w:szCs w:val="15"/>
              </w:rPr>
            </w:pPr>
            <w:r>
              <w:rPr>
                <w:rFonts w:ascii="宋体" w:hAnsi="宋体" w:cs="宋体" w:eastAsia="宋体" w:hint="default"/>
                <w:sz w:val="15"/>
                <w:szCs w:val="15"/>
              </w:rPr>
              <w:t>计算机及相关产品的销售；计算机系统及软件服务</w:t>
            </w:r>
          </w:p>
        </w:tc>
      </w:tr>
      <w:tr>
        <w:trPr>
          <w:trHeight w:val="802"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9"/>
              <w:ind w:left="19" w:right="0"/>
              <w:jc w:val="left"/>
              <w:rPr>
                <w:rFonts w:ascii="宋体" w:hAnsi="宋体" w:cs="宋体" w:eastAsia="宋体" w:hint="default"/>
                <w:sz w:val="15"/>
                <w:szCs w:val="15"/>
              </w:rPr>
            </w:pPr>
            <w:r>
              <w:rPr>
                <w:rFonts w:ascii="宋体" w:hAnsi="宋体" w:cs="宋体" w:eastAsia="宋体" w:hint="default"/>
                <w:sz w:val="15"/>
                <w:szCs w:val="15"/>
              </w:rPr>
              <w:t>同方有云（北京）科技有限公司</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9"/>
              <w:ind w:right="0"/>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9"/>
              <w:ind w:right="60"/>
              <w:jc w:val="right"/>
              <w:rPr>
                <w:rFonts w:ascii="宋体" w:hAnsi="宋体" w:cs="宋体" w:eastAsia="宋体" w:hint="default"/>
                <w:sz w:val="15"/>
                <w:szCs w:val="15"/>
              </w:rPr>
            </w:pPr>
            <w:r>
              <w:rPr>
                <w:rFonts w:ascii="宋体" w:hAnsi="宋体"/>
                <w:spacing w:val="-2"/>
                <w:sz w:val="15"/>
              </w:rPr>
              <w:t>¥2,000.00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9"/>
              <w:ind w:left="77" w:right="0"/>
              <w:jc w:val="center"/>
              <w:rPr>
                <w:rFonts w:ascii="宋体" w:hAnsi="宋体" w:cs="宋体" w:eastAsia="宋体" w:hint="default"/>
                <w:sz w:val="15"/>
                <w:szCs w:val="15"/>
              </w:rPr>
            </w:pPr>
            <w:r>
              <w:rPr>
                <w:rFonts w:ascii="宋体"/>
                <w:sz w:val="15"/>
              </w:rPr>
              <w:t>80.00%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9"/>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nil" w:sz="6" w:space="0" w:color="auto"/>
              <w:left w:val="nil" w:sz="6" w:space="0" w:color="auto"/>
              <w:bottom w:val="nil" w:sz="6" w:space="0" w:color="auto"/>
              <w:right w:val="nil" w:sz="6" w:space="0" w:color="auto"/>
            </w:tcBorders>
          </w:tcPr>
          <w:p>
            <w:pPr>
              <w:pStyle w:val="TableParagraph"/>
              <w:spacing w:line="194" w:lineRule="exact" w:before="7"/>
              <w:ind w:left="74" w:right="106"/>
              <w:jc w:val="both"/>
              <w:rPr>
                <w:rFonts w:ascii="宋体" w:hAnsi="宋体" w:cs="宋体" w:eastAsia="宋体" w:hint="default"/>
                <w:sz w:val="15"/>
                <w:szCs w:val="15"/>
              </w:rPr>
            </w:pPr>
            <w:r>
              <w:rPr>
                <w:rFonts w:ascii="宋体" w:hAnsi="宋体" w:cs="宋体" w:eastAsia="宋体" w:hint="default"/>
                <w:spacing w:val="-4"/>
                <w:sz w:val="15"/>
                <w:szCs w:val="15"/>
              </w:rPr>
              <w:t>技术开发、技术推广、技术服务、技术咨询、技术转</w:t>
            </w:r>
            <w:r>
              <w:rPr>
                <w:rFonts w:ascii="宋体" w:hAnsi="宋体" w:cs="宋体" w:eastAsia="宋体" w:hint="default"/>
                <w:spacing w:val="-31"/>
                <w:sz w:val="15"/>
                <w:szCs w:val="15"/>
              </w:rPr>
              <w:t> </w:t>
            </w:r>
            <w:r>
              <w:rPr>
                <w:rFonts w:ascii="宋体" w:hAnsi="宋体" w:cs="宋体" w:eastAsia="宋体" w:hint="default"/>
                <w:spacing w:val="-31"/>
                <w:sz w:val="15"/>
                <w:szCs w:val="15"/>
              </w:rPr>
            </w:r>
            <w:r>
              <w:rPr>
                <w:rFonts w:ascii="宋体" w:hAnsi="宋体" w:cs="宋体" w:eastAsia="宋体" w:hint="default"/>
                <w:spacing w:val="-4"/>
                <w:sz w:val="15"/>
                <w:szCs w:val="15"/>
              </w:rPr>
              <w:t>让；产品设计；计算机系统服务；销售计算机、软件</w:t>
            </w:r>
            <w:r>
              <w:rPr>
                <w:rFonts w:ascii="宋体" w:hAnsi="宋体" w:cs="宋体" w:eastAsia="宋体" w:hint="default"/>
                <w:spacing w:val="-30"/>
                <w:sz w:val="15"/>
                <w:szCs w:val="15"/>
              </w:rPr>
              <w:t> </w:t>
            </w:r>
            <w:r>
              <w:rPr>
                <w:rFonts w:ascii="宋体" w:hAnsi="宋体" w:cs="宋体" w:eastAsia="宋体" w:hint="default"/>
                <w:spacing w:val="-30"/>
                <w:sz w:val="15"/>
                <w:szCs w:val="15"/>
              </w:rPr>
            </w:r>
            <w:r>
              <w:rPr>
                <w:rFonts w:ascii="宋体" w:hAnsi="宋体" w:cs="宋体" w:eastAsia="宋体" w:hint="default"/>
                <w:spacing w:val="-4"/>
                <w:sz w:val="15"/>
                <w:szCs w:val="15"/>
              </w:rPr>
              <w:t>及辅助设备；货物进出口、技术进出口；互联网信息</w:t>
            </w:r>
          </w:p>
          <w:p>
            <w:pPr>
              <w:pStyle w:val="TableParagraph"/>
              <w:spacing w:line="179" w:lineRule="exact"/>
              <w:ind w:left="74" w:right="0"/>
              <w:jc w:val="both"/>
              <w:rPr>
                <w:rFonts w:ascii="宋体" w:hAnsi="宋体" w:cs="宋体" w:eastAsia="宋体" w:hint="default"/>
                <w:sz w:val="15"/>
                <w:szCs w:val="15"/>
              </w:rPr>
            </w:pPr>
            <w:r>
              <w:rPr>
                <w:rFonts w:ascii="宋体" w:hAnsi="宋体" w:cs="宋体" w:eastAsia="宋体" w:hint="default"/>
                <w:sz w:val="15"/>
                <w:szCs w:val="15"/>
              </w:rPr>
              <w:t>服务</w:t>
            </w:r>
          </w:p>
        </w:tc>
      </w:tr>
      <w:tr>
        <w:trPr>
          <w:trHeight w:val="217"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83" w:lineRule="exact"/>
              <w:ind w:left="19" w:right="0"/>
              <w:jc w:val="left"/>
              <w:rPr>
                <w:rFonts w:ascii="宋体" w:hAnsi="宋体" w:cs="宋体" w:eastAsia="宋体" w:hint="default"/>
                <w:sz w:val="15"/>
                <w:szCs w:val="15"/>
              </w:rPr>
            </w:pPr>
            <w:r>
              <w:rPr>
                <w:rFonts w:ascii="宋体" w:hAnsi="宋体" w:cs="宋体" w:eastAsia="宋体" w:hint="default"/>
                <w:sz w:val="15"/>
                <w:szCs w:val="15"/>
              </w:rPr>
              <w:t>广州有志成云科技有限公司</w:t>
            </w:r>
          </w:p>
        </w:tc>
        <w:tc>
          <w:tcPr>
            <w:tcW w:w="358" w:type="dxa"/>
            <w:tcBorders>
              <w:top w:val="nil" w:sz="6" w:space="0" w:color="auto"/>
              <w:left w:val="nil" w:sz="6" w:space="0" w:color="auto"/>
              <w:bottom w:val="nil" w:sz="6" w:space="0" w:color="auto"/>
              <w:right w:val="nil" w:sz="6" w:space="0" w:color="auto"/>
            </w:tcBorders>
          </w:tcPr>
          <w:p>
            <w:pPr>
              <w:pStyle w:val="TableParagraph"/>
              <w:spacing w:line="183" w:lineRule="exact"/>
              <w:ind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83" w:lineRule="exact"/>
              <w:ind w:right="60"/>
              <w:jc w:val="right"/>
              <w:rPr>
                <w:rFonts w:ascii="宋体" w:hAnsi="宋体" w:cs="宋体" w:eastAsia="宋体" w:hint="default"/>
                <w:sz w:val="15"/>
                <w:szCs w:val="15"/>
              </w:rPr>
            </w:pPr>
            <w:r>
              <w:rPr>
                <w:rFonts w:ascii="宋体" w:hAnsi="宋体"/>
                <w:spacing w:val="-1"/>
                <w:sz w:val="15"/>
              </w:rPr>
              <w:t>¥300.00</w:t>
            </w:r>
          </w:p>
        </w:tc>
        <w:tc>
          <w:tcPr>
            <w:tcW w:w="651" w:type="dxa"/>
            <w:tcBorders>
              <w:top w:val="nil" w:sz="6" w:space="0" w:color="auto"/>
              <w:left w:val="nil" w:sz="6" w:space="0" w:color="auto"/>
              <w:bottom w:val="nil" w:sz="6" w:space="0" w:color="auto"/>
              <w:right w:val="nil" w:sz="6" w:space="0" w:color="auto"/>
            </w:tcBorders>
          </w:tcPr>
          <w:p>
            <w:pPr>
              <w:pStyle w:val="TableParagraph"/>
              <w:spacing w:line="183"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3" w:lineRule="exact"/>
              <w:ind w:right="14"/>
              <w:jc w:val="center"/>
              <w:rPr>
                <w:rFonts w:ascii="宋体" w:hAnsi="宋体" w:cs="宋体" w:eastAsia="宋体" w:hint="default"/>
                <w:sz w:val="15"/>
                <w:szCs w:val="15"/>
              </w:rPr>
            </w:pPr>
            <w:r>
              <w:rPr>
                <w:rFonts w:ascii="宋体" w:hAnsi="宋体" w:cs="宋体" w:eastAsia="宋体" w:hint="default"/>
                <w:sz w:val="15"/>
                <w:szCs w:val="15"/>
              </w:rPr>
              <w:t>广东广州</w:t>
            </w:r>
          </w:p>
        </w:tc>
        <w:tc>
          <w:tcPr>
            <w:tcW w:w="3593" w:type="dxa"/>
            <w:tcBorders>
              <w:top w:val="nil" w:sz="6" w:space="0" w:color="auto"/>
              <w:left w:val="nil" w:sz="6" w:space="0" w:color="auto"/>
              <w:bottom w:val="nil" w:sz="6" w:space="0" w:color="auto"/>
              <w:right w:val="nil" w:sz="6" w:space="0" w:color="auto"/>
            </w:tcBorders>
          </w:tcPr>
          <w:p>
            <w:pPr>
              <w:pStyle w:val="TableParagraph"/>
              <w:spacing w:line="183" w:lineRule="exact"/>
              <w:ind w:left="74" w:right="0"/>
              <w:jc w:val="left"/>
              <w:rPr>
                <w:rFonts w:ascii="宋体" w:hAnsi="宋体" w:cs="宋体" w:eastAsia="宋体" w:hint="default"/>
                <w:sz w:val="15"/>
                <w:szCs w:val="15"/>
              </w:rPr>
            </w:pPr>
            <w:r>
              <w:rPr>
                <w:rFonts w:ascii="宋体" w:hAnsi="宋体" w:cs="宋体" w:eastAsia="宋体" w:hint="default"/>
                <w:spacing w:val="-4"/>
                <w:sz w:val="15"/>
                <w:szCs w:val="15"/>
              </w:rPr>
              <w:t>网络技术的研究、开发</w:t>
            </w:r>
            <w:r>
              <w:rPr>
                <w:rFonts w:ascii="宋体" w:hAnsi="宋体" w:cs="宋体" w:eastAsia="宋体" w:hint="default"/>
                <w:spacing w:val="-4"/>
                <w:sz w:val="15"/>
                <w:szCs w:val="15"/>
              </w:rPr>
              <w:t>;</w:t>
            </w:r>
            <w:r>
              <w:rPr>
                <w:rFonts w:ascii="宋体" w:hAnsi="宋体" w:cs="宋体" w:eastAsia="宋体" w:hint="default"/>
                <w:spacing w:val="-4"/>
                <w:sz w:val="15"/>
                <w:szCs w:val="15"/>
              </w:rPr>
              <w:t>计算机技术开发、技术服务</w:t>
            </w:r>
            <w:r>
              <w:rPr>
                <w:rFonts w:ascii="宋体" w:hAnsi="宋体" w:cs="宋体" w:eastAsia="宋体" w:hint="default"/>
                <w:spacing w:val="-4"/>
                <w:sz w:val="15"/>
                <w:szCs w:val="15"/>
              </w:rPr>
              <w:t>;</w:t>
            </w:r>
          </w:p>
        </w:tc>
      </w:tr>
      <w:tr>
        <w:trPr>
          <w:trHeight w:val="412"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9" w:right="0"/>
              <w:jc w:val="left"/>
              <w:rPr>
                <w:rFonts w:ascii="宋体" w:hAnsi="宋体" w:cs="宋体" w:eastAsia="宋体" w:hint="default"/>
                <w:sz w:val="15"/>
                <w:szCs w:val="15"/>
              </w:rPr>
            </w:pPr>
            <w:r>
              <w:rPr>
                <w:rFonts w:ascii="宋体" w:hAnsi="宋体" w:cs="宋体" w:eastAsia="宋体" w:hint="default"/>
                <w:sz w:val="15"/>
                <w:szCs w:val="15"/>
              </w:rPr>
              <w:t>同方金融控股（深圳）有限公司</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0"/>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84" w:lineRule="exact"/>
              <w:ind w:right="60"/>
              <w:jc w:val="right"/>
              <w:rPr>
                <w:rFonts w:ascii="宋体" w:hAnsi="宋体" w:cs="宋体" w:eastAsia="宋体" w:hint="default"/>
                <w:sz w:val="15"/>
                <w:szCs w:val="15"/>
              </w:rPr>
            </w:pPr>
            <w:r>
              <w:rPr>
                <w:rFonts w:ascii="宋体" w:hAnsi="宋体"/>
                <w:spacing w:val="-2"/>
                <w:sz w:val="15"/>
              </w:rPr>
              <w:t>¥447,013.985</w:t>
            </w:r>
          </w:p>
          <w:p>
            <w:pPr>
              <w:pStyle w:val="TableParagraph"/>
              <w:spacing w:line="195" w:lineRule="exact"/>
              <w:ind w:right="60"/>
              <w:jc w:val="right"/>
              <w:rPr>
                <w:rFonts w:ascii="宋体" w:hAnsi="宋体" w:cs="宋体" w:eastAsia="宋体" w:hint="default"/>
                <w:sz w:val="15"/>
                <w:szCs w:val="15"/>
              </w:rPr>
            </w:pPr>
            <w:r>
              <w:rPr>
                <w:rFonts w:ascii="宋体"/>
                <w:w w:val="100"/>
                <w:sz w:val="15"/>
              </w:rPr>
              <w:t>8</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center"/>
              <w:rPr>
                <w:rFonts w:ascii="宋体" w:hAnsi="宋体" w:cs="宋体" w:eastAsia="宋体" w:hint="default"/>
                <w:sz w:val="15"/>
                <w:szCs w:val="15"/>
              </w:rPr>
            </w:pPr>
            <w:r>
              <w:rPr>
                <w:rFonts w:ascii="宋体" w:hAnsi="宋体" w:cs="宋体" w:eastAsia="宋体" w:hint="default"/>
                <w:sz w:val="15"/>
                <w:szCs w:val="15"/>
              </w:rPr>
              <w:t>深圳福田</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4" w:right="0"/>
              <w:jc w:val="left"/>
              <w:rPr>
                <w:rFonts w:ascii="宋体" w:hAnsi="宋体" w:cs="宋体" w:eastAsia="宋体" w:hint="default"/>
                <w:sz w:val="15"/>
                <w:szCs w:val="15"/>
              </w:rPr>
            </w:pPr>
            <w:r>
              <w:rPr>
                <w:rFonts w:ascii="宋体" w:hAnsi="宋体" w:cs="宋体" w:eastAsia="宋体" w:hint="default"/>
                <w:spacing w:val="-4"/>
                <w:sz w:val="15"/>
                <w:szCs w:val="15"/>
              </w:rPr>
              <w:t>高新技术项目投资、资产管理、投资管理、股权投资</w:t>
            </w:r>
          </w:p>
        </w:tc>
      </w:tr>
      <w:tr>
        <w:trPr>
          <w:trHeight w:val="217"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83" w:lineRule="exact"/>
              <w:ind w:left="19" w:right="0"/>
              <w:jc w:val="left"/>
              <w:rPr>
                <w:rFonts w:ascii="宋体" w:hAnsi="宋体" w:cs="宋体" w:eastAsia="宋体" w:hint="default"/>
                <w:sz w:val="15"/>
                <w:szCs w:val="15"/>
              </w:rPr>
            </w:pPr>
            <w:r>
              <w:rPr>
                <w:rFonts w:ascii="宋体" w:hAnsi="宋体" w:cs="宋体" w:eastAsia="宋体" w:hint="default"/>
                <w:sz w:val="15"/>
                <w:szCs w:val="15"/>
              </w:rPr>
              <w:t>北京同方以衡资产管理有限公司</w:t>
            </w:r>
          </w:p>
        </w:tc>
        <w:tc>
          <w:tcPr>
            <w:tcW w:w="358" w:type="dxa"/>
            <w:tcBorders>
              <w:top w:val="nil" w:sz="6" w:space="0" w:color="auto"/>
              <w:left w:val="nil" w:sz="6" w:space="0" w:color="auto"/>
              <w:bottom w:val="nil" w:sz="6" w:space="0" w:color="auto"/>
              <w:right w:val="nil" w:sz="6" w:space="0" w:color="auto"/>
            </w:tcBorders>
          </w:tcPr>
          <w:p>
            <w:pPr>
              <w:pStyle w:val="TableParagraph"/>
              <w:spacing w:line="183" w:lineRule="exact"/>
              <w:ind w:right="0"/>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83" w:lineRule="exact"/>
              <w:ind w:right="60"/>
              <w:jc w:val="right"/>
              <w:rPr>
                <w:rFonts w:ascii="宋体" w:hAnsi="宋体" w:cs="宋体" w:eastAsia="宋体" w:hint="default"/>
                <w:sz w:val="15"/>
                <w:szCs w:val="15"/>
              </w:rPr>
            </w:pPr>
            <w:r>
              <w:rPr>
                <w:rFonts w:ascii="宋体" w:hAnsi="宋体"/>
                <w:spacing w:val="-2"/>
                <w:sz w:val="15"/>
              </w:rPr>
              <w:t>¥1,000.00</w:t>
            </w:r>
          </w:p>
        </w:tc>
        <w:tc>
          <w:tcPr>
            <w:tcW w:w="651" w:type="dxa"/>
            <w:tcBorders>
              <w:top w:val="nil" w:sz="6" w:space="0" w:color="auto"/>
              <w:left w:val="nil" w:sz="6" w:space="0" w:color="auto"/>
              <w:bottom w:val="nil" w:sz="6" w:space="0" w:color="auto"/>
              <w:right w:val="nil" w:sz="6" w:space="0" w:color="auto"/>
            </w:tcBorders>
          </w:tcPr>
          <w:p>
            <w:pPr>
              <w:pStyle w:val="TableParagraph"/>
              <w:spacing w:line="183" w:lineRule="exact"/>
              <w:ind w:left="77" w:right="0"/>
              <w:jc w:val="center"/>
              <w:rPr>
                <w:rFonts w:ascii="宋体" w:hAnsi="宋体" w:cs="宋体" w:eastAsia="宋体" w:hint="default"/>
                <w:sz w:val="15"/>
                <w:szCs w:val="15"/>
              </w:rPr>
            </w:pPr>
            <w:r>
              <w:rPr>
                <w:rFonts w:ascii="宋体"/>
                <w:sz w:val="15"/>
              </w:rPr>
              <w:t>50.00%</w:t>
            </w:r>
          </w:p>
        </w:tc>
        <w:tc>
          <w:tcPr>
            <w:tcW w:w="889" w:type="dxa"/>
            <w:tcBorders>
              <w:top w:val="nil" w:sz="6" w:space="0" w:color="auto"/>
              <w:left w:val="nil" w:sz="6" w:space="0" w:color="auto"/>
              <w:bottom w:val="nil" w:sz="6" w:space="0" w:color="auto"/>
              <w:right w:val="nil" w:sz="6" w:space="0" w:color="auto"/>
            </w:tcBorders>
          </w:tcPr>
          <w:p>
            <w:pPr>
              <w:pStyle w:val="TableParagraph"/>
              <w:spacing w:line="183" w:lineRule="exact"/>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nil" w:sz="6" w:space="0" w:color="auto"/>
              <w:left w:val="nil" w:sz="6" w:space="0" w:color="auto"/>
              <w:bottom w:val="nil" w:sz="6" w:space="0" w:color="auto"/>
              <w:right w:val="nil" w:sz="6" w:space="0" w:color="auto"/>
            </w:tcBorders>
          </w:tcPr>
          <w:p>
            <w:pPr>
              <w:pStyle w:val="TableParagraph"/>
              <w:spacing w:line="183" w:lineRule="exact"/>
              <w:ind w:left="74" w:right="0"/>
              <w:jc w:val="left"/>
              <w:rPr>
                <w:rFonts w:ascii="宋体" w:hAnsi="宋体" w:cs="宋体" w:eastAsia="宋体" w:hint="default"/>
                <w:sz w:val="15"/>
                <w:szCs w:val="15"/>
              </w:rPr>
            </w:pPr>
            <w:r>
              <w:rPr>
                <w:rFonts w:ascii="宋体" w:hAnsi="宋体" w:cs="宋体" w:eastAsia="宋体" w:hint="default"/>
                <w:sz w:val="15"/>
                <w:szCs w:val="15"/>
              </w:rPr>
              <w:t>投资管理，资产管理，投资咨询，项目投资</w:t>
            </w:r>
          </w:p>
        </w:tc>
      </w:tr>
      <w:tr>
        <w:trPr>
          <w:trHeight w:val="595"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4" w:lineRule="exact" w:before="8"/>
              <w:ind w:left="19" w:right="60"/>
              <w:jc w:val="both"/>
              <w:rPr>
                <w:rFonts w:ascii="宋体" w:hAnsi="宋体" w:cs="宋体" w:eastAsia="宋体" w:hint="default"/>
                <w:sz w:val="15"/>
                <w:szCs w:val="15"/>
              </w:rPr>
            </w:pPr>
            <w:r>
              <w:rPr>
                <w:rFonts w:ascii="宋体" w:hAnsi="宋体" w:cs="宋体" w:eastAsia="宋体" w:hint="default"/>
                <w:spacing w:val="-2"/>
                <w:sz w:val="15"/>
                <w:szCs w:val="15"/>
              </w:rPr>
              <w:t>同方金控（北京）创业投资有限</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pacing w:val="-2"/>
                <w:sz w:val="15"/>
                <w:szCs w:val="15"/>
              </w:rPr>
              <w:t>公司（原北京亚仕同方科技有限</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公司）</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60"/>
              <w:jc w:val="right"/>
              <w:rPr>
                <w:rFonts w:ascii="宋体" w:hAnsi="宋体" w:cs="宋体" w:eastAsia="宋体" w:hint="default"/>
                <w:sz w:val="15"/>
                <w:szCs w:val="15"/>
              </w:rPr>
            </w:pPr>
            <w:r>
              <w:rPr>
                <w:rFonts w:ascii="宋体" w:hAnsi="宋体"/>
                <w:spacing w:val="-2"/>
                <w:sz w:val="15"/>
              </w:rPr>
              <w:t>¥2,884.32</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4" w:right="63"/>
              <w:jc w:val="left"/>
              <w:rPr>
                <w:rFonts w:ascii="宋体" w:hAnsi="宋体" w:cs="宋体" w:eastAsia="宋体" w:hint="default"/>
                <w:sz w:val="15"/>
                <w:szCs w:val="15"/>
              </w:rPr>
            </w:pPr>
            <w:r>
              <w:rPr>
                <w:rFonts w:ascii="宋体" w:hAnsi="宋体" w:cs="宋体" w:eastAsia="宋体" w:hint="default"/>
                <w:spacing w:val="-2"/>
                <w:sz w:val="15"/>
                <w:szCs w:val="15"/>
              </w:rPr>
              <w:t>高新技术项目投资；非接触式纸质票卡、电子标签、</w:t>
            </w:r>
            <w:r>
              <w:rPr>
                <w:rFonts w:ascii="宋体" w:hAnsi="宋体" w:cs="宋体" w:eastAsia="宋体" w:hint="default"/>
                <w:spacing w:val="-32"/>
                <w:sz w:val="15"/>
                <w:szCs w:val="15"/>
              </w:rPr>
              <w:t> </w:t>
            </w:r>
            <w:r>
              <w:rPr>
                <w:rFonts w:ascii="宋体" w:hAnsi="宋体" w:cs="宋体" w:eastAsia="宋体" w:hint="default"/>
                <w:spacing w:val="-32"/>
                <w:sz w:val="15"/>
                <w:szCs w:val="15"/>
              </w:rPr>
            </w:r>
            <w:r>
              <w:rPr>
                <w:rFonts w:ascii="宋体" w:hAnsi="宋体" w:cs="宋体" w:eastAsia="宋体" w:hint="default"/>
                <w:sz w:val="15"/>
                <w:szCs w:val="15"/>
              </w:rPr>
              <w:t>电子证照及智能卡研发、销售</w:t>
            </w:r>
          </w:p>
        </w:tc>
      </w:tr>
      <w:tr>
        <w:trPr>
          <w:trHeight w:val="389"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72" w:lineRule="exact"/>
              <w:ind w:left="19" w:right="0"/>
              <w:jc w:val="left"/>
              <w:rPr>
                <w:rFonts w:ascii="宋体" w:hAnsi="宋体" w:cs="宋体" w:eastAsia="宋体" w:hint="default"/>
                <w:sz w:val="15"/>
                <w:szCs w:val="15"/>
              </w:rPr>
            </w:pPr>
            <w:r>
              <w:rPr>
                <w:rFonts w:ascii="宋体" w:hAnsi="宋体" w:cs="宋体" w:eastAsia="宋体" w:hint="default"/>
                <w:sz w:val="15"/>
                <w:szCs w:val="15"/>
              </w:rPr>
              <w:t>深圳市同方汇金股权投资基金管</w:t>
            </w:r>
          </w:p>
          <w:p>
            <w:pPr>
              <w:pStyle w:val="TableParagraph"/>
              <w:spacing w:line="195" w:lineRule="exact"/>
              <w:ind w:left="19" w:right="0"/>
              <w:jc w:val="left"/>
              <w:rPr>
                <w:rFonts w:ascii="宋体" w:hAnsi="宋体" w:cs="宋体" w:eastAsia="宋体" w:hint="default"/>
                <w:sz w:val="15"/>
                <w:szCs w:val="15"/>
              </w:rPr>
            </w:pPr>
            <w:r>
              <w:rPr>
                <w:rFonts w:ascii="宋体" w:hAnsi="宋体" w:cs="宋体" w:eastAsia="宋体" w:hint="default"/>
                <w:sz w:val="15"/>
                <w:szCs w:val="15"/>
              </w:rPr>
              <w:t>理有限公司</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0"/>
              <w:jc w:val="right"/>
              <w:rPr>
                <w:rFonts w:ascii="宋体" w:hAnsi="宋体" w:cs="宋体" w:eastAsia="宋体" w:hint="default"/>
                <w:sz w:val="15"/>
                <w:szCs w:val="15"/>
              </w:rPr>
            </w:pPr>
            <w:r>
              <w:rPr>
                <w:rFonts w:ascii="宋体" w:hAnsi="宋体"/>
                <w:spacing w:val="-1"/>
                <w:sz w:val="15"/>
              </w:rPr>
              <w:t>¥10,000.00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7" w:right="0"/>
              <w:jc w:val="center"/>
              <w:rPr>
                <w:rFonts w:ascii="宋体" w:hAnsi="宋体" w:cs="宋体" w:eastAsia="宋体" w:hint="default"/>
                <w:sz w:val="15"/>
                <w:szCs w:val="15"/>
              </w:rPr>
            </w:pPr>
            <w:r>
              <w:rPr>
                <w:rFonts w:ascii="宋体"/>
                <w:sz w:val="15"/>
              </w:rPr>
              <w:t>55.00%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4"/>
              <w:jc w:val="center"/>
              <w:rPr>
                <w:rFonts w:ascii="宋体" w:hAnsi="宋体" w:cs="宋体" w:eastAsia="宋体" w:hint="default"/>
                <w:sz w:val="15"/>
                <w:szCs w:val="15"/>
              </w:rPr>
            </w:pPr>
            <w:r>
              <w:rPr>
                <w:rFonts w:ascii="宋体" w:hAnsi="宋体" w:cs="宋体" w:eastAsia="宋体" w:hint="default"/>
                <w:sz w:val="15"/>
                <w:szCs w:val="15"/>
              </w:rPr>
              <w:t>广东深圳</w:t>
            </w:r>
          </w:p>
        </w:tc>
        <w:tc>
          <w:tcPr>
            <w:tcW w:w="3593" w:type="dxa"/>
            <w:tcBorders>
              <w:top w:val="nil" w:sz="6" w:space="0" w:color="auto"/>
              <w:left w:val="nil" w:sz="6" w:space="0" w:color="auto"/>
              <w:bottom w:val="nil" w:sz="6" w:space="0" w:color="auto"/>
              <w:right w:val="nil" w:sz="6" w:space="0" w:color="auto"/>
            </w:tcBorders>
          </w:tcPr>
          <w:p>
            <w:pPr>
              <w:pStyle w:val="TableParagraph"/>
              <w:spacing w:line="172" w:lineRule="exact"/>
              <w:ind w:left="74" w:right="0"/>
              <w:jc w:val="left"/>
              <w:rPr>
                <w:rFonts w:ascii="宋体" w:hAnsi="宋体" w:cs="宋体" w:eastAsia="宋体" w:hint="default"/>
                <w:sz w:val="15"/>
                <w:szCs w:val="15"/>
              </w:rPr>
            </w:pPr>
            <w:r>
              <w:rPr>
                <w:rFonts w:ascii="宋体" w:hAnsi="宋体" w:cs="宋体" w:eastAsia="宋体" w:hint="default"/>
                <w:spacing w:val="-7"/>
                <w:sz w:val="15"/>
                <w:szCs w:val="15"/>
              </w:rPr>
              <w:t>受托资产管理；投资管理；投资咨询；投资兴办实业；</w:t>
            </w:r>
          </w:p>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经济信息咨询</w:t>
            </w:r>
          </w:p>
        </w:tc>
      </w:tr>
      <w:tr>
        <w:trPr>
          <w:trHeight w:val="389"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9" w:right="0"/>
              <w:jc w:val="left"/>
              <w:rPr>
                <w:rFonts w:ascii="宋体" w:hAnsi="宋体" w:cs="宋体" w:eastAsia="宋体" w:hint="default"/>
                <w:sz w:val="15"/>
                <w:szCs w:val="15"/>
              </w:rPr>
            </w:pPr>
            <w:r>
              <w:rPr>
                <w:rFonts w:ascii="宋体" w:hAnsi="宋体" w:cs="宋体" w:eastAsia="宋体" w:hint="default"/>
                <w:sz w:val="15"/>
                <w:szCs w:val="15"/>
              </w:rPr>
              <w:t>武汉同方创新基金管理有限公司</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0"/>
              <w:jc w:val="right"/>
              <w:rPr>
                <w:rFonts w:ascii="宋体" w:hAnsi="宋体" w:cs="宋体" w:eastAsia="宋体" w:hint="default"/>
                <w:sz w:val="15"/>
                <w:szCs w:val="15"/>
              </w:rPr>
            </w:pPr>
            <w:r>
              <w:rPr>
                <w:rFonts w:ascii="宋体" w:hAnsi="宋体"/>
                <w:spacing w:val="-2"/>
                <w:sz w:val="15"/>
              </w:rPr>
              <w:t>¥1,000.00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7" w:right="0"/>
              <w:jc w:val="center"/>
              <w:rPr>
                <w:rFonts w:ascii="宋体" w:hAnsi="宋体" w:cs="宋体" w:eastAsia="宋体" w:hint="default"/>
                <w:sz w:val="15"/>
                <w:szCs w:val="15"/>
              </w:rPr>
            </w:pPr>
            <w:r>
              <w:rPr>
                <w:rFonts w:ascii="宋体"/>
                <w:sz w:val="15"/>
              </w:rPr>
              <w:t>55.00%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4"/>
              <w:jc w:val="center"/>
              <w:rPr>
                <w:rFonts w:ascii="宋体" w:hAnsi="宋体" w:cs="宋体" w:eastAsia="宋体" w:hint="default"/>
                <w:sz w:val="15"/>
                <w:szCs w:val="15"/>
              </w:rPr>
            </w:pPr>
            <w:r>
              <w:rPr>
                <w:rFonts w:ascii="宋体" w:hAnsi="宋体" w:cs="宋体" w:eastAsia="宋体" w:hint="default"/>
                <w:sz w:val="15"/>
                <w:szCs w:val="15"/>
              </w:rPr>
              <w:t>湖北武汉</w:t>
            </w:r>
          </w:p>
        </w:tc>
        <w:tc>
          <w:tcPr>
            <w:tcW w:w="3593" w:type="dxa"/>
            <w:tcBorders>
              <w:top w:val="nil" w:sz="6" w:space="0" w:color="auto"/>
              <w:left w:val="nil" w:sz="6" w:space="0" w:color="auto"/>
              <w:bottom w:val="nil" w:sz="6" w:space="0" w:color="auto"/>
              <w:right w:val="nil" w:sz="6" w:space="0" w:color="auto"/>
            </w:tcBorders>
          </w:tcPr>
          <w:p>
            <w:pPr>
              <w:pStyle w:val="TableParagraph"/>
              <w:spacing w:line="172" w:lineRule="exact"/>
              <w:ind w:left="74" w:right="0"/>
              <w:jc w:val="left"/>
              <w:rPr>
                <w:rFonts w:ascii="宋体" w:hAnsi="宋体" w:cs="宋体" w:eastAsia="宋体" w:hint="default"/>
                <w:sz w:val="15"/>
                <w:szCs w:val="15"/>
              </w:rPr>
            </w:pPr>
            <w:r>
              <w:rPr>
                <w:rFonts w:ascii="宋体" w:hAnsi="宋体" w:cs="宋体" w:eastAsia="宋体" w:hint="default"/>
                <w:sz w:val="15"/>
                <w:szCs w:val="15"/>
              </w:rPr>
              <w:t>管理或受托管理股权类投资并从事相关咨询服务业</w:t>
            </w:r>
          </w:p>
          <w:p>
            <w:pPr>
              <w:pStyle w:val="TableParagraph"/>
              <w:spacing w:line="196" w:lineRule="exact"/>
              <w:ind w:left="74" w:right="0"/>
              <w:jc w:val="left"/>
              <w:rPr>
                <w:rFonts w:ascii="宋体" w:hAnsi="宋体" w:cs="宋体" w:eastAsia="宋体" w:hint="default"/>
                <w:sz w:val="15"/>
                <w:szCs w:val="15"/>
              </w:rPr>
            </w:pPr>
            <w:r>
              <w:rPr>
                <w:rFonts w:ascii="宋体" w:hAnsi="宋体" w:cs="宋体" w:eastAsia="宋体" w:hint="default"/>
                <w:w w:val="100"/>
                <w:sz w:val="15"/>
                <w:szCs w:val="15"/>
              </w:rPr>
              <w:t>务</w:t>
            </w:r>
          </w:p>
        </w:tc>
      </w:tr>
      <w:tr>
        <w:trPr>
          <w:trHeight w:val="389"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72" w:lineRule="exact"/>
              <w:ind w:left="19" w:right="0"/>
              <w:jc w:val="left"/>
              <w:rPr>
                <w:rFonts w:ascii="宋体" w:hAnsi="宋体" w:cs="宋体" w:eastAsia="宋体" w:hint="default"/>
                <w:sz w:val="15"/>
                <w:szCs w:val="15"/>
              </w:rPr>
            </w:pPr>
            <w:r>
              <w:rPr>
                <w:rFonts w:ascii="宋体" w:hAnsi="宋体" w:cs="宋体" w:eastAsia="宋体" w:hint="default"/>
                <w:sz w:val="15"/>
                <w:szCs w:val="15"/>
              </w:rPr>
              <w:t>深圳南山两湾双创人才股权投资</w:t>
            </w:r>
          </w:p>
          <w:p>
            <w:pPr>
              <w:pStyle w:val="TableParagraph"/>
              <w:spacing w:line="195" w:lineRule="exact"/>
              <w:ind w:left="19" w:right="0"/>
              <w:jc w:val="left"/>
              <w:rPr>
                <w:rFonts w:ascii="宋体" w:hAnsi="宋体" w:cs="宋体" w:eastAsia="宋体" w:hint="default"/>
                <w:sz w:val="15"/>
                <w:szCs w:val="15"/>
              </w:rPr>
            </w:pPr>
            <w:r>
              <w:rPr>
                <w:rFonts w:ascii="宋体" w:hAnsi="宋体" w:cs="宋体" w:eastAsia="宋体" w:hint="default"/>
                <w:sz w:val="15"/>
                <w:szCs w:val="15"/>
              </w:rPr>
              <w:t>基金合伙企业（有限合伙）</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0"/>
              <w:jc w:val="right"/>
              <w:rPr>
                <w:rFonts w:ascii="宋体" w:hAnsi="宋体" w:cs="宋体" w:eastAsia="宋体" w:hint="default"/>
                <w:sz w:val="15"/>
                <w:szCs w:val="15"/>
              </w:rPr>
            </w:pPr>
            <w:r>
              <w:rPr>
                <w:rFonts w:ascii="宋体" w:hAnsi="宋体"/>
                <w:spacing w:val="-1"/>
                <w:sz w:val="15"/>
              </w:rPr>
              <w:t>¥30,000.00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7" w:right="0"/>
              <w:jc w:val="center"/>
              <w:rPr>
                <w:rFonts w:ascii="宋体" w:hAnsi="宋体" w:cs="宋体" w:eastAsia="宋体" w:hint="default"/>
                <w:sz w:val="15"/>
                <w:szCs w:val="15"/>
              </w:rPr>
            </w:pPr>
            <w:r>
              <w:rPr>
                <w:rFonts w:ascii="宋体"/>
                <w:sz w:val="15"/>
              </w:rPr>
              <w:t>69.00%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center"/>
              <w:rPr>
                <w:rFonts w:ascii="宋体" w:hAnsi="宋体" w:cs="宋体" w:eastAsia="宋体" w:hint="default"/>
                <w:sz w:val="15"/>
                <w:szCs w:val="15"/>
              </w:rPr>
            </w:pPr>
            <w:r>
              <w:rPr>
                <w:rFonts w:ascii="宋体" w:hAnsi="宋体" w:cs="宋体" w:eastAsia="宋体" w:hint="default"/>
                <w:sz w:val="15"/>
                <w:szCs w:val="15"/>
              </w:rPr>
              <w:t>广东深圳</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4" w:right="0"/>
              <w:jc w:val="left"/>
              <w:rPr>
                <w:rFonts w:ascii="宋体" w:hAnsi="宋体" w:cs="宋体" w:eastAsia="宋体" w:hint="default"/>
                <w:sz w:val="15"/>
                <w:szCs w:val="15"/>
              </w:rPr>
            </w:pPr>
            <w:r>
              <w:rPr>
                <w:rFonts w:ascii="宋体" w:hAnsi="宋体" w:cs="宋体" w:eastAsia="宋体" w:hint="default"/>
                <w:sz w:val="15"/>
                <w:szCs w:val="15"/>
              </w:rPr>
              <w:t>股权投资；投资管理；受托资产管理；项目投资</w:t>
            </w:r>
          </w:p>
        </w:tc>
      </w:tr>
      <w:tr>
        <w:trPr>
          <w:trHeight w:val="401"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72" w:lineRule="exact"/>
              <w:ind w:left="19" w:right="0"/>
              <w:jc w:val="left"/>
              <w:rPr>
                <w:rFonts w:ascii="宋体" w:hAnsi="宋体" w:cs="宋体" w:eastAsia="宋体" w:hint="default"/>
                <w:sz w:val="15"/>
                <w:szCs w:val="15"/>
              </w:rPr>
            </w:pPr>
            <w:r>
              <w:rPr>
                <w:rFonts w:ascii="宋体" w:hAnsi="宋体" w:cs="宋体" w:eastAsia="宋体" w:hint="default"/>
                <w:sz w:val="15"/>
                <w:szCs w:val="15"/>
              </w:rPr>
              <w:t>同方金控基金管理（北京）有限</w:t>
            </w:r>
          </w:p>
          <w:p>
            <w:pPr>
              <w:pStyle w:val="TableParagraph"/>
              <w:spacing w:line="195" w:lineRule="exact"/>
              <w:ind w:left="19"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0"/>
              <w:jc w:val="right"/>
              <w:rPr>
                <w:rFonts w:ascii="宋体" w:hAnsi="宋体" w:cs="宋体" w:eastAsia="宋体" w:hint="default"/>
                <w:sz w:val="15"/>
                <w:szCs w:val="15"/>
              </w:rPr>
            </w:pPr>
            <w:r>
              <w:rPr>
                <w:rFonts w:ascii="宋体" w:hAnsi="宋体"/>
                <w:spacing w:val="-1"/>
                <w:sz w:val="15"/>
              </w:rPr>
              <w:t>¥10,000.00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center"/>
              <w:rPr>
                <w:rFonts w:ascii="宋体" w:hAnsi="宋体" w:cs="宋体" w:eastAsia="宋体" w:hint="default"/>
                <w:sz w:val="15"/>
                <w:szCs w:val="15"/>
              </w:rPr>
            </w:pPr>
            <w:r>
              <w:rPr>
                <w:rFonts w:ascii="宋体" w:hAnsi="宋体" w:cs="宋体" w:eastAsia="宋体" w:hint="default"/>
                <w:sz w:val="15"/>
                <w:szCs w:val="15"/>
              </w:rPr>
              <w:t>北京昌平</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4" w:right="0"/>
              <w:jc w:val="left"/>
              <w:rPr>
                <w:rFonts w:ascii="宋体" w:hAnsi="宋体" w:cs="宋体" w:eastAsia="宋体" w:hint="default"/>
                <w:sz w:val="15"/>
                <w:szCs w:val="15"/>
              </w:rPr>
            </w:pPr>
            <w:r>
              <w:rPr>
                <w:rFonts w:ascii="宋体" w:hAnsi="宋体" w:cs="宋体" w:eastAsia="宋体" w:hint="default"/>
                <w:spacing w:val="-4"/>
                <w:sz w:val="15"/>
                <w:szCs w:val="15"/>
              </w:rPr>
              <w:t>非证券业务的投资咨询、管理；资产管理；项目投资</w:t>
            </w:r>
          </w:p>
        </w:tc>
      </w:tr>
      <w:tr>
        <w:trPr>
          <w:trHeight w:val="229"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85" w:lineRule="exact"/>
              <w:ind w:left="19" w:right="0"/>
              <w:jc w:val="left"/>
              <w:rPr>
                <w:rFonts w:ascii="宋体" w:hAnsi="宋体" w:cs="宋体" w:eastAsia="宋体" w:hint="default"/>
                <w:sz w:val="15"/>
                <w:szCs w:val="15"/>
              </w:rPr>
            </w:pPr>
            <w:r>
              <w:rPr>
                <w:rFonts w:ascii="宋体" w:hAnsi="宋体" w:cs="宋体" w:eastAsia="宋体" w:hint="default"/>
                <w:sz w:val="15"/>
                <w:szCs w:val="15"/>
              </w:rPr>
              <w:t>北京同方凌讯科技有限公司</w:t>
            </w:r>
          </w:p>
        </w:tc>
        <w:tc>
          <w:tcPr>
            <w:tcW w:w="358" w:type="dxa"/>
            <w:tcBorders>
              <w:top w:val="nil" w:sz="6" w:space="0" w:color="auto"/>
              <w:left w:val="nil" w:sz="6" w:space="0" w:color="auto"/>
              <w:bottom w:val="nil" w:sz="6" w:space="0" w:color="auto"/>
              <w:right w:val="nil" w:sz="6" w:space="0" w:color="auto"/>
            </w:tcBorders>
          </w:tcPr>
          <w:p>
            <w:pPr>
              <w:pStyle w:val="TableParagraph"/>
              <w:spacing w:line="185" w:lineRule="exact"/>
              <w:ind w:right="0"/>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85" w:lineRule="exact"/>
              <w:ind w:right="60"/>
              <w:jc w:val="right"/>
              <w:rPr>
                <w:rFonts w:ascii="宋体" w:hAnsi="宋体" w:cs="宋体" w:eastAsia="宋体" w:hint="default"/>
                <w:sz w:val="15"/>
                <w:szCs w:val="15"/>
              </w:rPr>
            </w:pPr>
            <w:r>
              <w:rPr>
                <w:rFonts w:ascii="宋体" w:hAnsi="宋体"/>
                <w:spacing w:val="-1"/>
                <w:sz w:val="15"/>
              </w:rPr>
              <w:t>¥25,000.00</w:t>
            </w:r>
          </w:p>
        </w:tc>
        <w:tc>
          <w:tcPr>
            <w:tcW w:w="651" w:type="dxa"/>
            <w:tcBorders>
              <w:top w:val="nil" w:sz="6" w:space="0" w:color="auto"/>
              <w:left w:val="nil" w:sz="6" w:space="0" w:color="auto"/>
              <w:bottom w:val="nil" w:sz="6" w:space="0" w:color="auto"/>
              <w:right w:val="nil" w:sz="6" w:space="0" w:color="auto"/>
            </w:tcBorders>
          </w:tcPr>
          <w:p>
            <w:pPr>
              <w:pStyle w:val="TableParagraph"/>
              <w:spacing w:line="185" w:lineRule="exact"/>
              <w:ind w:left="77" w:right="0"/>
              <w:jc w:val="center"/>
              <w:rPr>
                <w:rFonts w:ascii="宋体" w:hAnsi="宋体" w:cs="宋体" w:eastAsia="宋体" w:hint="default"/>
                <w:sz w:val="15"/>
                <w:szCs w:val="15"/>
              </w:rPr>
            </w:pPr>
            <w:r>
              <w:rPr>
                <w:rFonts w:ascii="宋体"/>
                <w:sz w:val="15"/>
              </w:rPr>
              <w:t>94.48%</w:t>
            </w:r>
          </w:p>
        </w:tc>
        <w:tc>
          <w:tcPr>
            <w:tcW w:w="889" w:type="dxa"/>
            <w:tcBorders>
              <w:top w:val="nil" w:sz="6" w:space="0" w:color="auto"/>
              <w:left w:val="nil" w:sz="6" w:space="0" w:color="auto"/>
              <w:bottom w:val="nil" w:sz="6" w:space="0" w:color="auto"/>
              <w:right w:val="nil" w:sz="6" w:space="0" w:color="auto"/>
            </w:tcBorders>
          </w:tcPr>
          <w:p>
            <w:pPr>
              <w:pStyle w:val="TableParagraph"/>
              <w:spacing w:line="185" w:lineRule="exact"/>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nil" w:sz="6" w:space="0" w:color="auto"/>
              <w:left w:val="nil" w:sz="6" w:space="0" w:color="auto"/>
              <w:bottom w:val="nil" w:sz="6" w:space="0" w:color="auto"/>
              <w:right w:val="nil" w:sz="6" w:space="0" w:color="auto"/>
            </w:tcBorders>
          </w:tcPr>
          <w:p>
            <w:pPr>
              <w:pStyle w:val="TableParagraph"/>
              <w:spacing w:line="185" w:lineRule="exact"/>
              <w:ind w:left="74" w:right="0"/>
              <w:jc w:val="left"/>
              <w:rPr>
                <w:rFonts w:ascii="宋体" w:hAnsi="宋体" w:cs="宋体" w:eastAsia="宋体" w:hint="default"/>
                <w:sz w:val="15"/>
                <w:szCs w:val="15"/>
              </w:rPr>
            </w:pPr>
            <w:r>
              <w:rPr>
                <w:rFonts w:ascii="宋体" w:hAnsi="宋体" w:cs="宋体" w:eastAsia="宋体" w:hint="default"/>
                <w:sz w:val="15"/>
                <w:szCs w:val="15"/>
              </w:rPr>
              <w:t>微电子集成电路、广播电视、信息家电产品</w:t>
            </w:r>
          </w:p>
        </w:tc>
      </w:tr>
      <w:tr>
        <w:trPr>
          <w:trHeight w:val="240"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hAnsi="宋体" w:cs="宋体" w:eastAsia="宋体" w:hint="default"/>
                <w:sz w:val="15"/>
                <w:szCs w:val="15"/>
              </w:rPr>
              <w:t>北京同方物业管理有限公司</w:t>
            </w:r>
          </w:p>
        </w:tc>
        <w:tc>
          <w:tcPr>
            <w:tcW w:w="358"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hAnsi="宋体"/>
                <w:spacing w:val="-1"/>
                <w:sz w:val="15"/>
              </w:rPr>
              <w:t>¥950.00</w:t>
            </w:r>
          </w:p>
        </w:tc>
        <w:tc>
          <w:tcPr>
            <w:tcW w:w="651" w:type="dxa"/>
            <w:tcBorders>
              <w:top w:val="nil" w:sz="6" w:space="0" w:color="auto"/>
              <w:left w:val="nil" w:sz="6" w:space="0" w:color="auto"/>
              <w:bottom w:val="nil" w:sz="6" w:space="0" w:color="auto"/>
              <w:right w:val="nil" w:sz="6" w:space="0" w:color="auto"/>
            </w:tcBorders>
          </w:tcPr>
          <w:p>
            <w:pPr>
              <w:pStyle w:val="TableParagraph"/>
              <w:spacing w:line="19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物业管理</w:t>
            </w:r>
          </w:p>
        </w:tc>
      </w:tr>
      <w:tr>
        <w:trPr>
          <w:trHeight w:val="228"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hAnsi="宋体" w:cs="宋体" w:eastAsia="宋体" w:hint="default"/>
                <w:sz w:val="15"/>
                <w:szCs w:val="15"/>
              </w:rPr>
              <w:t>北京华清御都商务服务有限公司</w:t>
            </w:r>
          </w:p>
        </w:tc>
        <w:tc>
          <w:tcPr>
            <w:tcW w:w="358"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hAnsi="宋体"/>
                <w:spacing w:val="-1"/>
                <w:sz w:val="15"/>
              </w:rPr>
              <w:t>¥500.00</w:t>
            </w:r>
          </w:p>
        </w:tc>
        <w:tc>
          <w:tcPr>
            <w:tcW w:w="651" w:type="dxa"/>
            <w:tcBorders>
              <w:top w:val="nil" w:sz="6" w:space="0" w:color="auto"/>
              <w:left w:val="nil" w:sz="6" w:space="0" w:color="auto"/>
              <w:bottom w:val="nil" w:sz="6" w:space="0" w:color="auto"/>
              <w:right w:val="nil" w:sz="6" w:space="0" w:color="auto"/>
            </w:tcBorders>
          </w:tcPr>
          <w:p>
            <w:pPr>
              <w:pStyle w:val="TableParagraph"/>
              <w:spacing w:line="19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餐饮、娱乐服务</w:t>
            </w:r>
          </w:p>
        </w:tc>
      </w:tr>
      <w:tr>
        <w:trPr>
          <w:trHeight w:val="412"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9" w:right="0"/>
              <w:jc w:val="left"/>
              <w:rPr>
                <w:rFonts w:ascii="宋体" w:hAnsi="宋体" w:cs="宋体" w:eastAsia="宋体" w:hint="default"/>
                <w:sz w:val="15"/>
                <w:szCs w:val="15"/>
              </w:rPr>
            </w:pPr>
            <w:r>
              <w:rPr>
                <w:rFonts w:ascii="宋体" w:hAnsi="宋体" w:cs="宋体" w:eastAsia="宋体" w:hint="default"/>
                <w:sz w:val="15"/>
                <w:szCs w:val="15"/>
              </w:rPr>
              <w:t>北京同方软件股份有限公司</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0"/>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0"/>
              <w:jc w:val="right"/>
              <w:rPr>
                <w:rFonts w:ascii="宋体" w:hAnsi="宋体" w:cs="宋体" w:eastAsia="宋体" w:hint="default"/>
                <w:sz w:val="15"/>
                <w:szCs w:val="15"/>
              </w:rPr>
            </w:pPr>
            <w:r>
              <w:rPr>
                <w:rFonts w:ascii="宋体" w:hAnsi="宋体"/>
                <w:spacing w:val="-2"/>
                <w:sz w:val="15"/>
              </w:rPr>
              <w:t>¥4,100.00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7" w:right="0"/>
              <w:jc w:val="center"/>
              <w:rPr>
                <w:rFonts w:ascii="宋体" w:hAnsi="宋体" w:cs="宋体" w:eastAsia="宋体" w:hint="default"/>
                <w:sz w:val="15"/>
                <w:szCs w:val="15"/>
              </w:rPr>
            </w:pPr>
            <w:r>
              <w:rPr>
                <w:rFonts w:ascii="宋体"/>
                <w:sz w:val="15"/>
              </w:rPr>
              <w:t>90.24%</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nil" w:sz="6" w:space="0" w:color="auto"/>
              <w:left w:val="nil" w:sz="6" w:space="0" w:color="auto"/>
              <w:bottom w:val="nil" w:sz="6" w:space="0" w:color="auto"/>
              <w:right w:val="nil" w:sz="6" w:space="0" w:color="auto"/>
            </w:tcBorders>
          </w:tcPr>
          <w:p>
            <w:pPr>
              <w:pStyle w:val="TableParagraph"/>
              <w:spacing w:line="194" w:lineRule="exact" w:before="7"/>
              <w:ind w:left="74" w:right="63"/>
              <w:jc w:val="left"/>
              <w:rPr>
                <w:rFonts w:ascii="宋体" w:hAnsi="宋体" w:cs="宋体" w:eastAsia="宋体" w:hint="default"/>
                <w:sz w:val="15"/>
                <w:szCs w:val="15"/>
              </w:rPr>
            </w:pPr>
            <w:r>
              <w:rPr>
                <w:rFonts w:ascii="宋体" w:hAnsi="宋体" w:cs="宋体" w:eastAsia="宋体" w:hint="default"/>
                <w:spacing w:val="-2"/>
                <w:sz w:val="15"/>
                <w:szCs w:val="15"/>
              </w:rPr>
              <w:t>物联网系统应用、支撑和过程控制软件及相关硬件、</w:t>
            </w:r>
            <w:r>
              <w:rPr>
                <w:rFonts w:ascii="宋体" w:hAnsi="宋体" w:cs="宋体" w:eastAsia="宋体" w:hint="default"/>
                <w:spacing w:val="-32"/>
                <w:sz w:val="15"/>
                <w:szCs w:val="15"/>
              </w:rPr>
              <w:t> </w:t>
            </w:r>
            <w:r>
              <w:rPr>
                <w:rFonts w:ascii="宋体" w:hAnsi="宋体" w:cs="宋体" w:eastAsia="宋体" w:hint="default"/>
                <w:spacing w:val="-32"/>
                <w:sz w:val="15"/>
                <w:szCs w:val="15"/>
              </w:rPr>
            </w:r>
            <w:r>
              <w:rPr>
                <w:rFonts w:ascii="宋体" w:hAnsi="宋体" w:cs="宋体" w:eastAsia="宋体" w:hint="default"/>
                <w:sz w:val="15"/>
                <w:szCs w:val="15"/>
              </w:rPr>
              <w:t>增值电信业务</w:t>
            </w:r>
          </w:p>
        </w:tc>
      </w:tr>
      <w:tr>
        <w:trPr>
          <w:trHeight w:val="229"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85" w:lineRule="exact"/>
              <w:ind w:left="19" w:right="0"/>
              <w:jc w:val="left"/>
              <w:rPr>
                <w:rFonts w:ascii="宋体" w:hAnsi="宋体" w:cs="宋体" w:eastAsia="宋体" w:hint="default"/>
                <w:sz w:val="15"/>
                <w:szCs w:val="15"/>
              </w:rPr>
            </w:pPr>
            <w:r>
              <w:rPr>
                <w:rFonts w:ascii="宋体" w:hAnsi="宋体" w:cs="宋体" w:eastAsia="宋体" w:hint="default"/>
                <w:sz w:val="15"/>
                <w:szCs w:val="15"/>
              </w:rPr>
              <w:t>无锡同方融达信息科技有限公司</w:t>
            </w:r>
          </w:p>
        </w:tc>
        <w:tc>
          <w:tcPr>
            <w:tcW w:w="358" w:type="dxa"/>
            <w:tcBorders>
              <w:top w:val="nil" w:sz="6" w:space="0" w:color="auto"/>
              <w:left w:val="nil" w:sz="6" w:space="0" w:color="auto"/>
              <w:bottom w:val="nil" w:sz="6" w:space="0" w:color="auto"/>
              <w:right w:val="nil" w:sz="6" w:space="0" w:color="auto"/>
            </w:tcBorders>
          </w:tcPr>
          <w:p>
            <w:pPr>
              <w:pStyle w:val="TableParagraph"/>
              <w:spacing w:line="185" w:lineRule="exact"/>
              <w:ind w:right="0"/>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85" w:lineRule="exact"/>
              <w:ind w:right="60"/>
              <w:jc w:val="right"/>
              <w:rPr>
                <w:rFonts w:ascii="宋体" w:hAnsi="宋体" w:cs="宋体" w:eastAsia="宋体" w:hint="default"/>
                <w:sz w:val="15"/>
                <w:szCs w:val="15"/>
              </w:rPr>
            </w:pPr>
            <w:r>
              <w:rPr>
                <w:rFonts w:ascii="宋体" w:hAnsi="宋体"/>
                <w:spacing w:val="-2"/>
                <w:sz w:val="15"/>
              </w:rPr>
              <w:t>¥1,900.00</w:t>
            </w:r>
          </w:p>
        </w:tc>
        <w:tc>
          <w:tcPr>
            <w:tcW w:w="651" w:type="dxa"/>
            <w:tcBorders>
              <w:top w:val="nil" w:sz="6" w:space="0" w:color="auto"/>
              <w:left w:val="nil" w:sz="6" w:space="0" w:color="auto"/>
              <w:bottom w:val="nil" w:sz="6" w:space="0" w:color="auto"/>
              <w:right w:val="nil" w:sz="6" w:space="0" w:color="auto"/>
            </w:tcBorders>
          </w:tcPr>
          <w:p>
            <w:pPr>
              <w:pStyle w:val="TableParagraph"/>
              <w:spacing w:line="185" w:lineRule="exact"/>
              <w:ind w:left="77" w:right="0"/>
              <w:jc w:val="center"/>
              <w:rPr>
                <w:rFonts w:ascii="宋体" w:hAnsi="宋体" w:cs="宋体" w:eastAsia="宋体" w:hint="default"/>
                <w:sz w:val="15"/>
                <w:szCs w:val="15"/>
              </w:rPr>
            </w:pPr>
            <w:r>
              <w:rPr>
                <w:rFonts w:ascii="宋体"/>
                <w:sz w:val="15"/>
              </w:rPr>
              <w:t>57.89%</w:t>
            </w:r>
          </w:p>
        </w:tc>
        <w:tc>
          <w:tcPr>
            <w:tcW w:w="889" w:type="dxa"/>
            <w:tcBorders>
              <w:top w:val="nil" w:sz="6" w:space="0" w:color="auto"/>
              <w:left w:val="nil" w:sz="6" w:space="0" w:color="auto"/>
              <w:bottom w:val="nil" w:sz="6" w:space="0" w:color="auto"/>
              <w:right w:val="nil" w:sz="6" w:space="0" w:color="auto"/>
            </w:tcBorders>
          </w:tcPr>
          <w:p>
            <w:pPr>
              <w:pStyle w:val="TableParagraph"/>
              <w:spacing w:line="185" w:lineRule="exact"/>
              <w:ind w:right="14"/>
              <w:jc w:val="center"/>
              <w:rPr>
                <w:rFonts w:ascii="宋体" w:hAnsi="宋体" w:cs="宋体" w:eastAsia="宋体" w:hint="default"/>
                <w:sz w:val="15"/>
                <w:szCs w:val="15"/>
              </w:rPr>
            </w:pPr>
            <w:r>
              <w:rPr>
                <w:rFonts w:ascii="宋体" w:hAnsi="宋体" w:cs="宋体" w:eastAsia="宋体" w:hint="default"/>
                <w:sz w:val="15"/>
                <w:szCs w:val="15"/>
              </w:rPr>
              <w:t>江苏无锡</w:t>
            </w:r>
          </w:p>
        </w:tc>
        <w:tc>
          <w:tcPr>
            <w:tcW w:w="3593" w:type="dxa"/>
            <w:tcBorders>
              <w:top w:val="nil" w:sz="6" w:space="0" w:color="auto"/>
              <w:left w:val="nil" w:sz="6" w:space="0" w:color="auto"/>
              <w:bottom w:val="nil" w:sz="6" w:space="0" w:color="auto"/>
              <w:right w:val="nil" w:sz="6" w:space="0" w:color="auto"/>
            </w:tcBorders>
          </w:tcPr>
          <w:p>
            <w:pPr>
              <w:pStyle w:val="TableParagraph"/>
              <w:spacing w:line="185" w:lineRule="exact"/>
              <w:ind w:left="74" w:right="0"/>
              <w:jc w:val="left"/>
              <w:rPr>
                <w:rFonts w:ascii="宋体" w:hAnsi="宋体" w:cs="宋体" w:eastAsia="宋体" w:hint="default"/>
                <w:sz w:val="15"/>
                <w:szCs w:val="15"/>
              </w:rPr>
            </w:pPr>
            <w:r>
              <w:rPr>
                <w:rFonts w:ascii="宋体" w:hAnsi="宋体" w:cs="宋体" w:eastAsia="宋体" w:hint="default"/>
                <w:sz w:val="15"/>
                <w:szCs w:val="15"/>
              </w:rPr>
              <w:t>物联网软件开发与系统集成</w:t>
            </w:r>
          </w:p>
        </w:tc>
      </w:tr>
      <w:tr>
        <w:trPr>
          <w:trHeight w:val="240"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hAnsi="宋体" w:cs="宋体" w:eastAsia="宋体" w:hint="default"/>
                <w:sz w:val="15"/>
                <w:szCs w:val="15"/>
              </w:rPr>
              <w:t>重庆同方融达信息科技有限公司</w:t>
            </w:r>
          </w:p>
        </w:tc>
        <w:tc>
          <w:tcPr>
            <w:tcW w:w="358"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hAnsi="宋体"/>
                <w:spacing w:val="-2"/>
                <w:sz w:val="15"/>
              </w:rPr>
              <w:t>¥2,000.00</w:t>
            </w:r>
          </w:p>
        </w:tc>
        <w:tc>
          <w:tcPr>
            <w:tcW w:w="651" w:type="dxa"/>
            <w:tcBorders>
              <w:top w:val="nil" w:sz="6" w:space="0" w:color="auto"/>
              <w:left w:val="nil" w:sz="6" w:space="0" w:color="auto"/>
              <w:bottom w:val="nil" w:sz="6" w:space="0" w:color="auto"/>
              <w:right w:val="nil" w:sz="6" w:space="0" w:color="auto"/>
            </w:tcBorders>
          </w:tcPr>
          <w:p>
            <w:pPr>
              <w:pStyle w:val="TableParagraph"/>
              <w:spacing w:line="19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重庆北新</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物联网软件开发与系统集成</w:t>
            </w:r>
          </w:p>
        </w:tc>
      </w:tr>
      <w:tr>
        <w:trPr>
          <w:trHeight w:val="240"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hAnsi="宋体" w:cs="宋体" w:eastAsia="宋体" w:hint="default"/>
                <w:sz w:val="15"/>
                <w:szCs w:val="15"/>
              </w:rPr>
              <w:t>泸州同方智慧龙城科技有限公司</w:t>
            </w:r>
          </w:p>
        </w:tc>
        <w:tc>
          <w:tcPr>
            <w:tcW w:w="358"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hAnsi="宋体"/>
                <w:spacing w:val="-2"/>
                <w:sz w:val="15"/>
              </w:rPr>
              <w:t>¥1,000.00</w:t>
            </w:r>
          </w:p>
        </w:tc>
        <w:tc>
          <w:tcPr>
            <w:tcW w:w="651" w:type="dxa"/>
            <w:tcBorders>
              <w:top w:val="nil" w:sz="6" w:space="0" w:color="auto"/>
              <w:left w:val="nil" w:sz="6" w:space="0" w:color="auto"/>
              <w:bottom w:val="nil" w:sz="6" w:space="0" w:color="auto"/>
              <w:right w:val="nil" w:sz="6" w:space="0" w:color="auto"/>
            </w:tcBorders>
          </w:tcPr>
          <w:p>
            <w:pPr>
              <w:pStyle w:val="TableParagraph"/>
              <w:spacing w:line="195" w:lineRule="exact"/>
              <w:ind w:left="77" w:right="0"/>
              <w:jc w:val="center"/>
              <w:rPr>
                <w:rFonts w:ascii="宋体" w:hAnsi="宋体" w:cs="宋体" w:eastAsia="宋体" w:hint="default"/>
                <w:sz w:val="15"/>
                <w:szCs w:val="15"/>
              </w:rPr>
            </w:pPr>
            <w:r>
              <w:rPr>
                <w:rFonts w:ascii="宋体"/>
                <w:sz w:val="15"/>
              </w:rPr>
              <w:t>90.00%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四川泸州</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智慧城市规划、设计、投资、建设、运营</w:t>
            </w:r>
          </w:p>
        </w:tc>
      </w:tr>
      <w:tr>
        <w:trPr>
          <w:trHeight w:val="240"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hAnsi="宋体" w:cs="宋体" w:eastAsia="宋体" w:hint="default"/>
                <w:sz w:val="15"/>
                <w:szCs w:val="15"/>
              </w:rPr>
              <w:t>北京市同方教育培训学校</w:t>
            </w:r>
          </w:p>
        </w:tc>
        <w:tc>
          <w:tcPr>
            <w:tcW w:w="358"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hAnsi="宋体"/>
                <w:spacing w:val="-1"/>
                <w:sz w:val="15"/>
              </w:rPr>
              <w:t>¥100.00</w:t>
            </w:r>
          </w:p>
        </w:tc>
        <w:tc>
          <w:tcPr>
            <w:tcW w:w="651" w:type="dxa"/>
            <w:tcBorders>
              <w:top w:val="nil" w:sz="6" w:space="0" w:color="auto"/>
              <w:left w:val="nil" w:sz="6" w:space="0" w:color="auto"/>
              <w:bottom w:val="nil" w:sz="6" w:space="0" w:color="auto"/>
              <w:right w:val="nil" w:sz="6" w:space="0" w:color="auto"/>
            </w:tcBorders>
          </w:tcPr>
          <w:p>
            <w:pPr>
              <w:pStyle w:val="TableParagraph"/>
              <w:spacing w:line="19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教育培训</w:t>
            </w:r>
          </w:p>
        </w:tc>
      </w:tr>
      <w:tr>
        <w:trPr>
          <w:trHeight w:val="228"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sz w:val="15"/>
              </w:rPr>
              <w:t>THTF U.S.A.</w:t>
            </w:r>
            <w:r>
              <w:rPr>
                <w:rFonts w:ascii="宋体"/>
                <w:spacing w:val="66"/>
                <w:sz w:val="15"/>
              </w:rPr>
              <w:t> </w:t>
            </w:r>
            <w:r>
              <w:rPr>
                <w:rFonts w:ascii="宋体"/>
                <w:sz w:val="15"/>
              </w:rPr>
              <w:t>Inc.</w:t>
            </w:r>
          </w:p>
        </w:tc>
        <w:tc>
          <w:tcPr>
            <w:tcW w:w="358"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spacing w:val="-2"/>
                <w:sz w:val="15"/>
              </w:rPr>
              <w:t>USD249.00</w:t>
            </w:r>
          </w:p>
        </w:tc>
        <w:tc>
          <w:tcPr>
            <w:tcW w:w="651" w:type="dxa"/>
            <w:tcBorders>
              <w:top w:val="nil" w:sz="6" w:space="0" w:color="auto"/>
              <w:left w:val="nil" w:sz="6" w:space="0" w:color="auto"/>
              <w:bottom w:val="nil" w:sz="6" w:space="0" w:color="auto"/>
              <w:right w:val="nil" w:sz="6" w:space="0" w:color="auto"/>
            </w:tcBorders>
          </w:tcPr>
          <w:p>
            <w:pPr>
              <w:pStyle w:val="TableParagraph"/>
              <w:spacing w:line="19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美国加州</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科技项目投资与管理</w:t>
            </w:r>
          </w:p>
        </w:tc>
      </w:tr>
      <w:tr>
        <w:trPr>
          <w:trHeight w:val="412"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4" w:lineRule="exact" w:before="7"/>
              <w:ind w:left="19" w:right="211"/>
              <w:jc w:val="left"/>
              <w:rPr>
                <w:rFonts w:ascii="宋体" w:hAnsi="宋体" w:cs="宋体" w:eastAsia="宋体" w:hint="default"/>
                <w:sz w:val="15"/>
                <w:szCs w:val="15"/>
              </w:rPr>
            </w:pPr>
            <w:r>
              <w:rPr>
                <w:rFonts w:ascii="宋体"/>
                <w:sz w:val="15"/>
              </w:rPr>
              <w:t>Maxgain Global</w:t>
            </w:r>
            <w:r>
              <w:rPr>
                <w:rFonts w:ascii="宋体"/>
                <w:spacing w:val="-10"/>
                <w:sz w:val="15"/>
              </w:rPr>
              <w:t> </w:t>
            </w:r>
            <w:r>
              <w:rPr>
                <w:rFonts w:ascii="宋体"/>
                <w:sz w:val="15"/>
              </w:rPr>
              <w:t>Investments</w:t>
            </w:r>
            <w:r>
              <w:rPr>
                <w:rFonts w:ascii="宋体"/>
                <w:w w:val="100"/>
                <w:sz w:val="15"/>
              </w:rPr>
              <w:t> </w:t>
            </w:r>
            <w:r>
              <w:rPr>
                <w:rFonts w:ascii="宋体"/>
                <w:sz w:val="15"/>
              </w:rPr>
              <w:t>Limited</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0"/>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0"/>
              <w:jc w:val="right"/>
              <w:rPr>
                <w:rFonts w:ascii="宋体" w:hAnsi="宋体" w:cs="宋体" w:eastAsia="宋体" w:hint="default"/>
                <w:sz w:val="15"/>
                <w:szCs w:val="15"/>
              </w:rPr>
            </w:pPr>
            <w:r>
              <w:rPr>
                <w:rFonts w:ascii="宋体"/>
                <w:spacing w:val="-1"/>
                <w:sz w:val="15"/>
              </w:rPr>
              <w:t>USD5.00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4"/>
              <w:jc w:val="center"/>
              <w:rPr>
                <w:rFonts w:ascii="宋体" w:hAnsi="宋体" w:cs="宋体" w:eastAsia="宋体" w:hint="default"/>
                <w:sz w:val="15"/>
                <w:szCs w:val="15"/>
              </w:rPr>
            </w:pPr>
            <w:r>
              <w:rPr>
                <w:rFonts w:ascii="宋体" w:hAnsi="宋体" w:cs="宋体" w:eastAsia="宋体" w:hint="default"/>
                <w:sz w:val="15"/>
                <w:szCs w:val="15"/>
              </w:rPr>
              <w:t>维京群岛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229"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85" w:lineRule="exact"/>
              <w:ind w:left="19" w:right="0"/>
              <w:jc w:val="left"/>
              <w:rPr>
                <w:rFonts w:ascii="宋体" w:hAnsi="宋体" w:cs="宋体" w:eastAsia="宋体" w:hint="default"/>
                <w:sz w:val="15"/>
                <w:szCs w:val="15"/>
              </w:rPr>
            </w:pPr>
            <w:r>
              <w:rPr>
                <w:rFonts w:ascii="宋体"/>
                <w:sz w:val="15"/>
              </w:rPr>
              <w:t>TongFang Global</w:t>
            </w:r>
            <w:r>
              <w:rPr>
                <w:rFonts w:ascii="宋体"/>
                <w:spacing w:val="-10"/>
                <w:sz w:val="15"/>
              </w:rPr>
              <w:t> </w:t>
            </w:r>
            <w:r>
              <w:rPr>
                <w:rFonts w:ascii="宋体"/>
                <w:sz w:val="15"/>
              </w:rPr>
              <w:t>Inc.</w:t>
            </w:r>
          </w:p>
        </w:tc>
        <w:tc>
          <w:tcPr>
            <w:tcW w:w="358" w:type="dxa"/>
            <w:tcBorders>
              <w:top w:val="nil" w:sz="6" w:space="0" w:color="auto"/>
              <w:left w:val="nil" w:sz="6" w:space="0" w:color="auto"/>
              <w:bottom w:val="nil" w:sz="6" w:space="0" w:color="auto"/>
              <w:right w:val="nil" w:sz="6" w:space="0" w:color="auto"/>
            </w:tcBorders>
          </w:tcPr>
          <w:p>
            <w:pPr>
              <w:pStyle w:val="TableParagraph"/>
              <w:spacing w:line="185" w:lineRule="exact"/>
              <w:ind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85" w:lineRule="exact"/>
              <w:ind w:right="60"/>
              <w:jc w:val="right"/>
              <w:rPr>
                <w:rFonts w:ascii="宋体" w:hAnsi="宋体" w:cs="宋体" w:eastAsia="宋体" w:hint="default"/>
                <w:sz w:val="15"/>
                <w:szCs w:val="15"/>
              </w:rPr>
            </w:pPr>
            <w:r>
              <w:rPr>
                <w:rFonts w:ascii="宋体"/>
                <w:spacing w:val="-2"/>
                <w:sz w:val="15"/>
              </w:rPr>
              <w:t>USD100.00</w:t>
            </w:r>
          </w:p>
        </w:tc>
        <w:tc>
          <w:tcPr>
            <w:tcW w:w="651" w:type="dxa"/>
            <w:tcBorders>
              <w:top w:val="nil" w:sz="6" w:space="0" w:color="auto"/>
              <w:left w:val="nil" w:sz="6" w:space="0" w:color="auto"/>
              <w:bottom w:val="nil" w:sz="6" w:space="0" w:color="auto"/>
              <w:right w:val="nil" w:sz="6" w:space="0" w:color="auto"/>
            </w:tcBorders>
          </w:tcPr>
          <w:p>
            <w:pPr>
              <w:pStyle w:val="TableParagraph"/>
              <w:spacing w:line="18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5" w:lineRule="exact"/>
              <w:ind w:right="14"/>
              <w:jc w:val="center"/>
              <w:rPr>
                <w:rFonts w:ascii="宋体" w:hAnsi="宋体" w:cs="宋体" w:eastAsia="宋体" w:hint="default"/>
                <w:sz w:val="15"/>
                <w:szCs w:val="15"/>
              </w:rPr>
            </w:pPr>
            <w:r>
              <w:rPr>
                <w:rFonts w:ascii="宋体" w:hAnsi="宋体" w:cs="宋体" w:eastAsia="宋体" w:hint="default"/>
                <w:sz w:val="15"/>
                <w:szCs w:val="15"/>
              </w:rPr>
              <w:t>美国加州</w:t>
            </w:r>
          </w:p>
        </w:tc>
        <w:tc>
          <w:tcPr>
            <w:tcW w:w="3593" w:type="dxa"/>
            <w:tcBorders>
              <w:top w:val="nil" w:sz="6" w:space="0" w:color="auto"/>
              <w:left w:val="nil" w:sz="6" w:space="0" w:color="auto"/>
              <w:bottom w:val="nil" w:sz="6" w:space="0" w:color="auto"/>
              <w:right w:val="nil" w:sz="6" w:space="0" w:color="auto"/>
            </w:tcBorders>
          </w:tcPr>
          <w:p>
            <w:pPr>
              <w:pStyle w:val="TableParagraph"/>
              <w:spacing w:line="185" w:lineRule="exact"/>
              <w:ind w:left="74" w:right="0"/>
              <w:jc w:val="left"/>
              <w:rPr>
                <w:rFonts w:ascii="宋体" w:hAnsi="宋体" w:cs="宋体" w:eastAsia="宋体" w:hint="default"/>
                <w:sz w:val="15"/>
                <w:szCs w:val="15"/>
              </w:rPr>
            </w:pPr>
            <w:r>
              <w:rPr>
                <w:rFonts w:ascii="宋体" w:hAnsi="宋体" w:cs="宋体" w:eastAsia="宋体" w:hint="default"/>
                <w:sz w:val="15"/>
                <w:szCs w:val="15"/>
              </w:rPr>
              <w:t>数字电视等消费电子产品经销</w:t>
            </w:r>
          </w:p>
        </w:tc>
      </w:tr>
      <w:tr>
        <w:trPr>
          <w:trHeight w:val="229"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sz w:val="15"/>
              </w:rPr>
              <w:t>Tinnovate</w:t>
            </w:r>
            <w:r>
              <w:rPr>
                <w:rFonts w:ascii="宋体"/>
                <w:spacing w:val="-7"/>
                <w:sz w:val="15"/>
              </w:rPr>
              <w:t> </w:t>
            </w:r>
            <w:r>
              <w:rPr>
                <w:rFonts w:ascii="宋体"/>
                <w:sz w:val="15"/>
              </w:rPr>
              <w:t>LLC</w:t>
            </w:r>
          </w:p>
        </w:tc>
        <w:tc>
          <w:tcPr>
            <w:tcW w:w="358"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spacing w:val="-1"/>
                <w:sz w:val="15"/>
              </w:rPr>
              <w:t>USD5.00</w:t>
            </w:r>
          </w:p>
        </w:tc>
        <w:tc>
          <w:tcPr>
            <w:tcW w:w="651" w:type="dxa"/>
            <w:tcBorders>
              <w:top w:val="nil" w:sz="6" w:space="0" w:color="auto"/>
              <w:left w:val="nil" w:sz="6" w:space="0" w:color="auto"/>
              <w:bottom w:val="nil" w:sz="6" w:space="0" w:color="auto"/>
              <w:right w:val="nil" w:sz="6" w:space="0" w:color="auto"/>
            </w:tcBorders>
          </w:tcPr>
          <w:p>
            <w:pPr>
              <w:pStyle w:val="TableParagraph"/>
              <w:spacing w:line="19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美国加州</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数字电视等消费电子产品经销</w:t>
            </w:r>
          </w:p>
        </w:tc>
      </w:tr>
      <w:tr>
        <w:trPr>
          <w:trHeight w:val="401"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4" w:lineRule="exact" w:before="8"/>
              <w:ind w:left="19" w:right="288"/>
              <w:jc w:val="left"/>
              <w:rPr>
                <w:rFonts w:ascii="宋体" w:hAnsi="宋体" w:cs="宋体" w:eastAsia="宋体" w:hint="default"/>
                <w:sz w:val="15"/>
                <w:szCs w:val="15"/>
              </w:rPr>
            </w:pPr>
            <w:r>
              <w:rPr>
                <w:rFonts w:ascii="宋体"/>
                <w:sz w:val="15"/>
              </w:rPr>
              <w:t>TongFang Global (UK)</w:t>
            </w:r>
            <w:r>
              <w:rPr>
                <w:rFonts w:ascii="宋体"/>
                <w:spacing w:val="-13"/>
                <w:sz w:val="15"/>
              </w:rPr>
              <w:t> </w:t>
            </w:r>
            <w:r>
              <w:rPr>
                <w:rFonts w:ascii="宋体"/>
                <w:sz w:val="15"/>
              </w:rPr>
              <w:t>Co.,</w:t>
            </w:r>
            <w:r>
              <w:rPr>
                <w:rFonts w:ascii="宋体"/>
                <w:w w:val="100"/>
                <w:sz w:val="15"/>
              </w:rPr>
              <w:t> </w:t>
            </w:r>
            <w:r>
              <w:rPr>
                <w:rFonts w:ascii="宋体"/>
                <w:sz w:val="15"/>
              </w:rPr>
              <w:t>Limited</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0"/>
              <w:jc w:val="right"/>
              <w:rPr>
                <w:rFonts w:ascii="宋体" w:hAnsi="宋体" w:cs="宋体" w:eastAsia="宋体" w:hint="default"/>
                <w:sz w:val="15"/>
                <w:szCs w:val="15"/>
              </w:rPr>
            </w:pPr>
            <w:r>
              <w:rPr>
                <w:rFonts w:ascii="宋体"/>
                <w:spacing w:val="-1"/>
                <w:sz w:val="15"/>
              </w:rPr>
              <w:t>GBP1.00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
              <w:jc w:val="center"/>
              <w:rPr>
                <w:rFonts w:ascii="宋体" w:hAnsi="宋体" w:cs="宋体" w:eastAsia="宋体" w:hint="default"/>
                <w:sz w:val="15"/>
                <w:szCs w:val="15"/>
              </w:rPr>
            </w:pPr>
            <w:r>
              <w:rPr>
                <w:rFonts w:ascii="宋体" w:hAnsi="宋体" w:cs="宋体" w:eastAsia="宋体" w:hint="default"/>
                <w:sz w:val="15"/>
                <w:szCs w:val="15"/>
              </w:rPr>
              <w:t>英国威尔士</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4" w:right="0"/>
              <w:jc w:val="left"/>
              <w:rPr>
                <w:rFonts w:ascii="宋体" w:hAnsi="宋体" w:cs="宋体" w:eastAsia="宋体" w:hint="default"/>
                <w:sz w:val="15"/>
                <w:szCs w:val="15"/>
              </w:rPr>
            </w:pPr>
            <w:r>
              <w:rPr>
                <w:rFonts w:ascii="宋体" w:hAnsi="宋体" w:cs="宋体" w:eastAsia="宋体" w:hint="default"/>
                <w:sz w:val="15"/>
                <w:szCs w:val="15"/>
              </w:rPr>
              <w:t>数字电视等消费电子产品经销</w:t>
            </w:r>
          </w:p>
        </w:tc>
      </w:tr>
      <w:tr>
        <w:trPr>
          <w:trHeight w:val="400"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9" w:right="0"/>
              <w:jc w:val="left"/>
              <w:rPr>
                <w:rFonts w:ascii="宋体" w:hAnsi="宋体" w:cs="宋体" w:eastAsia="宋体" w:hint="default"/>
                <w:sz w:val="15"/>
                <w:szCs w:val="15"/>
              </w:rPr>
            </w:pPr>
            <w:r>
              <w:rPr>
                <w:rFonts w:ascii="宋体"/>
                <w:sz w:val="15"/>
              </w:rPr>
              <w:t>TongFang</w:t>
            </w:r>
            <w:r>
              <w:rPr>
                <w:rFonts w:ascii="宋体"/>
                <w:spacing w:val="-23"/>
                <w:sz w:val="15"/>
              </w:rPr>
              <w:t> </w:t>
            </w:r>
            <w:r>
              <w:rPr>
                <w:rFonts w:ascii="宋体"/>
                <w:sz w:val="15"/>
              </w:rPr>
              <w:t>Global</w:t>
            </w:r>
            <w:r>
              <w:rPr>
                <w:rFonts w:ascii="宋体"/>
                <w:spacing w:val="-23"/>
                <w:sz w:val="15"/>
              </w:rPr>
              <w:t> </w:t>
            </w:r>
            <w:r>
              <w:rPr>
                <w:rFonts w:ascii="宋体"/>
                <w:sz w:val="15"/>
              </w:rPr>
              <w:t>(Canada)</w:t>
            </w:r>
            <w:r>
              <w:rPr>
                <w:rFonts w:ascii="宋体"/>
                <w:spacing w:val="-26"/>
                <w:sz w:val="15"/>
              </w:rPr>
              <w:t> </w:t>
            </w:r>
            <w:r>
              <w:rPr>
                <w:rFonts w:ascii="宋体"/>
                <w:sz w:val="15"/>
              </w:rPr>
              <w:t>Inc.</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0"/>
              <w:jc w:val="right"/>
              <w:rPr>
                <w:rFonts w:ascii="宋体" w:hAnsi="宋体" w:cs="宋体" w:eastAsia="宋体" w:hint="default"/>
                <w:sz w:val="15"/>
                <w:szCs w:val="15"/>
              </w:rPr>
            </w:pPr>
            <w:r>
              <w:rPr>
                <w:rFonts w:ascii="宋体"/>
                <w:spacing w:val="-1"/>
                <w:sz w:val="15"/>
              </w:rPr>
              <w:t>CAD0.01</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72" w:lineRule="exact"/>
              <w:ind w:right="11"/>
              <w:jc w:val="center"/>
              <w:rPr>
                <w:rFonts w:ascii="宋体" w:hAnsi="宋体" w:cs="宋体" w:eastAsia="宋体" w:hint="default"/>
                <w:sz w:val="15"/>
                <w:szCs w:val="15"/>
              </w:rPr>
            </w:pPr>
            <w:r>
              <w:rPr>
                <w:rFonts w:ascii="宋体" w:hAnsi="宋体" w:cs="宋体" w:eastAsia="宋体" w:hint="default"/>
                <w:sz w:val="15"/>
                <w:szCs w:val="15"/>
              </w:rPr>
              <w:t>加拿大安大</w:t>
            </w:r>
          </w:p>
          <w:p>
            <w:pPr>
              <w:pStyle w:val="TableParagraph"/>
              <w:spacing w:line="195" w:lineRule="exact"/>
              <w:ind w:left="39" w:right="0"/>
              <w:jc w:val="center"/>
              <w:rPr>
                <w:rFonts w:ascii="宋体" w:hAnsi="宋体" w:cs="宋体" w:eastAsia="宋体" w:hint="default"/>
                <w:sz w:val="15"/>
                <w:szCs w:val="15"/>
              </w:rPr>
            </w:pPr>
            <w:r>
              <w:rPr>
                <w:rFonts w:ascii="宋体" w:hAnsi="宋体" w:cs="宋体" w:eastAsia="宋体" w:hint="default"/>
                <w:sz w:val="15"/>
                <w:szCs w:val="15"/>
              </w:rPr>
              <w:t>略省</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4" w:right="0"/>
              <w:jc w:val="left"/>
              <w:rPr>
                <w:rFonts w:ascii="宋体" w:hAnsi="宋体" w:cs="宋体" w:eastAsia="宋体" w:hint="default"/>
                <w:sz w:val="15"/>
                <w:szCs w:val="15"/>
              </w:rPr>
            </w:pPr>
            <w:r>
              <w:rPr>
                <w:rFonts w:ascii="宋体" w:hAnsi="宋体" w:cs="宋体" w:eastAsia="宋体" w:hint="default"/>
                <w:sz w:val="15"/>
                <w:szCs w:val="15"/>
              </w:rPr>
              <w:t>数字电视等消费电子产品经销</w:t>
            </w:r>
          </w:p>
        </w:tc>
      </w:tr>
      <w:tr>
        <w:trPr>
          <w:trHeight w:val="217"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83" w:lineRule="exact"/>
              <w:ind w:left="19" w:right="0"/>
              <w:jc w:val="left"/>
              <w:rPr>
                <w:rFonts w:ascii="宋体" w:hAnsi="宋体" w:cs="宋体" w:eastAsia="宋体" w:hint="default"/>
                <w:sz w:val="15"/>
                <w:szCs w:val="15"/>
              </w:rPr>
            </w:pPr>
            <w:r>
              <w:rPr>
                <w:rFonts w:ascii="宋体"/>
                <w:sz w:val="15"/>
              </w:rPr>
              <w:t>Resuccess</w:t>
            </w:r>
            <w:r>
              <w:rPr>
                <w:rFonts w:ascii="宋体"/>
                <w:spacing w:val="-35"/>
                <w:sz w:val="15"/>
              </w:rPr>
              <w:t> </w:t>
            </w:r>
            <w:r>
              <w:rPr>
                <w:rFonts w:ascii="宋体"/>
                <w:sz w:val="15"/>
              </w:rPr>
              <w:t>Investments</w:t>
            </w:r>
            <w:r>
              <w:rPr>
                <w:rFonts w:ascii="宋体"/>
                <w:spacing w:val="-37"/>
                <w:sz w:val="15"/>
              </w:rPr>
              <w:t> </w:t>
            </w:r>
            <w:r>
              <w:rPr>
                <w:rFonts w:ascii="宋体"/>
                <w:sz w:val="15"/>
              </w:rPr>
              <w:t>Limited</w:t>
            </w:r>
          </w:p>
        </w:tc>
        <w:tc>
          <w:tcPr>
            <w:tcW w:w="358" w:type="dxa"/>
            <w:tcBorders>
              <w:top w:val="nil" w:sz="6" w:space="0" w:color="auto"/>
              <w:left w:val="nil" w:sz="6" w:space="0" w:color="auto"/>
              <w:bottom w:val="nil" w:sz="6" w:space="0" w:color="auto"/>
              <w:right w:val="nil" w:sz="6" w:space="0" w:color="auto"/>
            </w:tcBorders>
          </w:tcPr>
          <w:p>
            <w:pPr>
              <w:pStyle w:val="TableParagraph"/>
              <w:spacing w:line="183" w:lineRule="exact"/>
              <w:ind w:right="0"/>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83" w:lineRule="exact"/>
              <w:ind w:right="60"/>
              <w:jc w:val="right"/>
              <w:rPr>
                <w:rFonts w:ascii="宋体" w:hAnsi="宋体" w:cs="宋体" w:eastAsia="宋体" w:hint="default"/>
                <w:sz w:val="15"/>
                <w:szCs w:val="15"/>
              </w:rPr>
            </w:pPr>
            <w:r>
              <w:rPr>
                <w:rFonts w:ascii="宋体"/>
                <w:spacing w:val="-1"/>
                <w:sz w:val="15"/>
              </w:rPr>
              <w:t>USD2,000.00</w:t>
            </w:r>
          </w:p>
        </w:tc>
        <w:tc>
          <w:tcPr>
            <w:tcW w:w="651" w:type="dxa"/>
            <w:tcBorders>
              <w:top w:val="nil" w:sz="6" w:space="0" w:color="auto"/>
              <w:left w:val="nil" w:sz="6" w:space="0" w:color="auto"/>
              <w:bottom w:val="nil" w:sz="6" w:space="0" w:color="auto"/>
              <w:right w:val="nil" w:sz="6" w:space="0" w:color="auto"/>
            </w:tcBorders>
          </w:tcPr>
          <w:p>
            <w:pPr>
              <w:pStyle w:val="TableParagraph"/>
              <w:spacing w:line="183"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3" w:lineRule="exact"/>
              <w:ind w:right="14"/>
              <w:jc w:val="center"/>
              <w:rPr>
                <w:rFonts w:ascii="宋体" w:hAnsi="宋体" w:cs="宋体" w:eastAsia="宋体" w:hint="default"/>
                <w:sz w:val="15"/>
                <w:szCs w:val="15"/>
              </w:rPr>
            </w:pPr>
            <w:r>
              <w:rPr>
                <w:rFonts w:ascii="宋体" w:hAnsi="宋体" w:cs="宋体" w:eastAsia="宋体" w:hint="default"/>
                <w:sz w:val="15"/>
                <w:szCs w:val="15"/>
              </w:rPr>
              <w:t>维京群岛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183" w:lineRule="exact"/>
              <w:ind w:left="74" w:right="0"/>
              <w:jc w:val="left"/>
              <w:rPr>
                <w:rFonts w:ascii="宋体" w:hAnsi="宋体" w:cs="宋体" w:eastAsia="宋体" w:hint="default"/>
                <w:sz w:val="15"/>
                <w:szCs w:val="15"/>
              </w:rPr>
            </w:pPr>
            <w:r>
              <w:rPr>
                <w:rFonts w:ascii="宋体" w:hAnsi="宋体" w:cs="宋体" w:eastAsia="宋体" w:hint="default"/>
                <w:sz w:val="15"/>
                <w:szCs w:val="15"/>
              </w:rPr>
              <w:t>科技项目投资与管理</w:t>
            </w:r>
          </w:p>
        </w:tc>
      </w:tr>
      <w:tr>
        <w:trPr>
          <w:trHeight w:val="412"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4" w:lineRule="exact" w:before="8"/>
              <w:ind w:left="19" w:right="362"/>
              <w:jc w:val="left"/>
              <w:rPr>
                <w:rFonts w:ascii="宋体" w:hAnsi="宋体" w:cs="宋体" w:eastAsia="宋体" w:hint="default"/>
                <w:sz w:val="15"/>
                <w:szCs w:val="15"/>
              </w:rPr>
            </w:pPr>
            <w:r>
              <w:rPr>
                <w:rFonts w:ascii="宋体"/>
                <w:sz w:val="15"/>
              </w:rPr>
              <w:t>Know China</w:t>
            </w:r>
            <w:r>
              <w:rPr>
                <w:rFonts w:ascii="宋体"/>
                <w:spacing w:val="-11"/>
                <w:sz w:val="15"/>
              </w:rPr>
              <w:t> </w:t>
            </w:r>
            <w:r>
              <w:rPr>
                <w:rFonts w:ascii="宋体"/>
                <w:sz w:val="15"/>
              </w:rPr>
              <w:t>International</w:t>
            </w:r>
            <w:r>
              <w:rPr>
                <w:rFonts w:ascii="宋体"/>
                <w:w w:val="100"/>
                <w:sz w:val="15"/>
              </w:rPr>
              <w:t> </w:t>
            </w:r>
            <w:r>
              <w:rPr>
                <w:rFonts w:ascii="宋体"/>
                <w:sz w:val="15"/>
              </w:rPr>
              <w:t>Holdings</w:t>
            </w:r>
            <w:r>
              <w:rPr>
                <w:rFonts w:ascii="宋体"/>
                <w:spacing w:val="-8"/>
                <w:sz w:val="15"/>
              </w:rPr>
              <w:t> </w:t>
            </w:r>
            <w:r>
              <w:rPr>
                <w:rFonts w:ascii="宋体"/>
                <w:sz w:val="15"/>
              </w:rPr>
              <w:t>Limited</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0"/>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0"/>
              <w:jc w:val="right"/>
              <w:rPr>
                <w:rFonts w:ascii="宋体" w:hAnsi="宋体" w:cs="宋体" w:eastAsia="宋体" w:hint="default"/>
                <w:sz w:val="15"/>
                <w:szCs w:val="15"/>
              </w:rPr>
            </w:pPr>
            <w:r>
              <w:rPr>
                <w:rFonts w:ascii="宋体"/>
                <w:spacing w:val="-1"/>
                <w:sz w:val="15"/>
              </w:rPr>
              <w:t>USD5.00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center"/>
              <w:rPr>
                <w:rFonts w:ascii="宋体" w:hAnsi="宋体" w:cs="宋体" w:eastAsia="宋体" w:hint="default"/>
                <w:sz w:val="15"/>
                <w:szCs w:val="15"/>
              </w:rPr>
            </w:pPr>
            <w:r>
              <w:rPr>
                <w:rFonts w:ascii="宋体" w:hAnsi="宋体" w:cs="宋体" w:eastAsia="宋体" w:hint="default"/>
                <w:sz w:val="15"/>
                <w:szCs w:val="15"/>
              </w:rPr>
              <w:t>开曼群岛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4" w:right="0"/>
              <w:jc w:val="left"/>
              <w:rPr>
                <w:rFonts w:ascii="宋体" w:hAnsi="宋体" w:cs="宋体" w:eastAsia="宋体" w:hint="default"/>
                <w:sz w:val="15"/>
                <w:szCs w:val="15"/>
              </w:rPr>
            </w:pPr>
            <w:r>
              <w:rPr>
                <w:rFonts w:ascii="宋体" w:hAnsi="宋体" w:cs="宋体" w:eastAsia="宋体" w:hint="default"/>
                <w:sz w:val="15"/>
                <w:szCs w:val="15"/>
              </w:rPr>
              <w:t>科技项目投资与管理</w:t>
            </w:r>
          </w:p>
        </w:tc>
      </w:tr>
      <w:tr>
        <w:trPr>
          <w:trHeight w:val="228"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83" w:lineRule="exact"/>
              <w:ind w:left="19" w:right="0"/>
              <w:jc w:val="left"/>
              <w:rPr>
                <w:rFonts w:ascii="宋体" w:hAnsi="宋体" w:cs="宋体" w:eastAsia="宋体" w:hint="default"/>
                <w:sz w:val="15"/>
                <w:szCs w:val="15"/>
              </w:rPr>
            </w:pPr>
            <w:r>
              <w:rPr>
                <w:rFonts w:ascii="宋体" w:hAnsi="宋体" w:cs="宋体" w:eastAsia="宋体" w:hint="default"/>
                <w:sz w:val="15"/>
                <w:szCs w:val="15"/>
              </w:rPr>
              <w:t>同方知网（北京）技术有限公司</w:t>
            </w:r>
          </w:p>
        </w:tc>
        <w:tc>
          <w:tcPr>
            <w:tcW w:w="358" w:type="dxa"/>
            <w:tcBorders>
              <w:top w:val="nil" w:sz="6" w:space="0" w:color="auto"/>
              <w:left w:val="nil" w:sz="6" w:space="0" w:color="auto"/>
              <w:bottom w:val="nil" w:sz="6" w:space="0" w:color="auto"/>
              <w:right w:val="nil" w:sz="6" w:space="0" w:color="auto"/>
            </w:tcBorders>
          </w:tcPr>
          <w:p>
            <w:pPr>
              <w:pStyle w:val="TableParagraph"/>
              <w:spacing w:line="183" w:lineRule="exact"/>
              <w:ind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83" w:lineRule="exact"/>
              <w:ind w:right="60"/>
              <w:jc w:val="right"/>
              <w:rPr>
                <w:rFonts w:ascii="宋体" w:hAnsi="宋体" w:cs="宋体" w:eastAsia="宋体" w:hint="default"/>
                <w:sz w:val="15"/>
                <w:szCs w:val="15"/>
              </w:rPr>
            </w:pPr>
            <w:r>
              <w:rPr>
                <w:rFonts w:ascii="宋体"/>
                <w:spacing w:val="-2"/>
                <w:sz w:val="15"/>
              </w:rPr>
              <w:t>USD100.00</w:t>
            </w:r>
          </w:p>
        </w:tc>
        <w:tc>
          <w:tcPr>
            <w:tcW w:w="651" w:type="dxa"/>
            <w:tcBorders>
              <w:top w:val="nil" w:sz="6" w:space="0" w:color="auto"/>
              <w:left w:val="nil" w:sz="6" w:space="0" w:color="auto"/>
              <w:bottom w:val="nil" w:sz="6" w:space="0" w:color="auto"/>
              <w:right w:val="nil" w:sz="6" w:space="0" w:color="auto"/>
            </w:tcBorders>
          </w:tcPr>
          <w:p>
            <w:pPr>
              <w:pStyle w:val="TableParagraph"/>
              <w:spacing w:line="183"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3" w:lineRule="exact"/>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nil" w:sz="6" w:space="0" w:color="auto"/>
              <w:left w:val="nil" w:sz="6" w:space="0" w:color="auto"/>
              <w:bottom w:val="nil" w:sz="6" w:space="0" w:color="auto"/>
              <w:right w:val="nil" w:sz="6" w:space="0" w:color="auto"/>
            </w:tcBorders>
          </w:tcPr>
          <w:p>
            <w:pPr>
              <w:pStyle w:val="TableParagraph"/>
              <w:spacing w:line="183" w:lineRule="exact"/>
              <w:ind w:left="74" w:right="0"/>
              <w:jc w:val="left"/>
              <w:rPr>
                <w:rFonts w:ascii="宋体" w:hAnsi="宋体" w:cs="宋体" w:eastAsia="宋体" w:hint="default"/>
                <w:sz w:val="15"/>
                <w:szCs w:val="15"/>
              </w:rPr>
            </w:pPr>
            <w:r>
              <w:rPr>
                <w:rFonts w:ascii="宋体" w:hAnsi="宋体" w:cs="宋体" w:eastAsia="宋体" w:hint="default"/>
                <w:sz w:val="15"/>
                <w:szCs w:val="15"/>
              </w:rPr>
              <w:t>网络知识存储与信息检索</w:t>
            </w:r>
          </w:p>
        </w:tc>
      </w:tr>
      <w:tr>
        <w:trPr>
          <w:trHeight w:val="240"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hAnsi="宋体" w:cs="宋体" w:eastAsia="宋体" w:hint="default"/>
                <w:sz w:val="15"/>
                <w:szCs w:val="15"/>
              </w:rPr>
              <w:t>同方知网（美国）技术有限公司</w:t>
            </w:r>
          </w:p>
        </w:tc>
        <w:tc>
          <w:tcPr>
            <w:tcW w:w="358"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spacing w:val="-2"/>
                <w:sz w:val="15"/>
              </w:rPr>
              <w:t>USD100.00</w:t>
            </w:r>
          </w:p>
        </w:tc>
        <w:tc>
          <w:tcPr>
            <w:tcW w:w="651" w:type="dxa"/>
            <w:tcBorders>
              <w:top w:val="nil" w:sz="6" w:space="0" w:color="auto"/>
              <w:left w:val="nil" w:sz="6" w:space="0" w:color="auto"/>
              <w:bottom w:val="nil" w:sz="6" w:space="0" w:color="auto"/>
              <w:right w:val="nil" w:sz="6" w:space="0" w:color="auto"/>
            </w:tcBorders>
          </w:tcPr>
          <w:p>
            <w:pPr>
              <w:pStyle w:val="TableParagraph"/>
              <w:spacing w:line="19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1"/>
              <w:jc w:val="center"/>
              <w:rPr>
                <w:rFonts w:ascii="宋体" w:hAnsi="宋体" w:cs="宋体" w:eastAsia="宋体" w:hint="default"/>
                <w:sz w:val="15"/>
                <w:szCs w:val="15"/>
              </w:rPr>
            </w:pPr>
            <w:r>
              <w:rPr>
                <w:rFonts w:ascii="宋体" w:hAnsi="宋体" w:cs="宋体" w:eastAsia="宋体" w:hint="default"/>
                <w:sz w:val="15"/>
                <w:szCs w:val="15"/>
              </w:rPr>
              <w:t>美国</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数字出版产品国际内容销售</w:t>
            </w:r>
          </w:p>
        </w:tc>
      </w:tr>
      <w:tr>
        <w:trPr>
          <w:trHeight w:val="229"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sz w:val="15"/>
              </w:rPr>
              <w:t>TF-EPI Co.</w:t>
            </w:r>
            <w:r>
              <w:rPr>
                <w:rFonts w:ascii="宋体"/>
                <w:spacing w:val="-6"/>
                <w:sz w:val="15"/>
              </w:rPr>
              <w:t> </w:t>
            </w:r>
            <w:r>
              <w:rPr>
                <w:rFonts w:ascii="宋体"/>
                <w:sz w:val="15"/>
              </w:rPr>
              <w:t>Limited</w:t>
            </w:r>
          </w:p>
        </w:tc>
        <w:tc>
          <w:tcPr>
            <w:tcW w:w="358"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spacing w:val="-1"/>
                <w:sz w:val="15"/>
              </w:rPr>
              <w:t>USD5.00</w:t>
            </w:r>
          </w:p>
        </w:tc>
        <w:tc>
          <w:tcPr>
            <w:tcW w:w="651" w:type="dxa"/>
            <w:tcBorders>
              <w:top w:val="nil" w:sz="6" w:space="0" w:color="auto"/>
              <w:left w:val="nil" w:sz="6" w:space="0" w:color="auto"/>
              <w:bottom w:val="nil" w:sz="6" w:space="0" w:color="auto"/>
              <w:right w:val="nil" w:sz="6" w:space="0" w:color="auto"/>
            </w:tcBorders>
          </w:tcPr>
          <w:p>
            <w:pPr>
              <w:pStyle w:val="TableParagraph"/>
              <w:spacing w:line="19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开曼群岛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科技项目投资与管理</w:t>
            </w:r>
          </w:p>
        </w:tc>
      </w:tr>
      <w:tr>
        <w:trPr>
          <w:trHeight w:val="401"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9" w:right="0"/>
              <w:jc w:val="left"/>
              <w:rPr>
                <w:rFonts w:ascii="宋体" w:hAnsi="宋体" w:cs="宋体" w:eastAsia="宋体" w:hint="default"/>
                <w:sz w:val="15"/>
                <w:szCs w:val="15"/>
              </w:rPr>
            </w:pPr>
            <w:r>
              <w:rPr>
                <w:rFonts w:ascii="宋体" w:hAnsi="宋体" w:cs="宋体" w:eastAsia="宋体" w:hint="default"/>
                <w:sz w:val="15"/>
                <w:szCs w:val="15"/>
              </w:rPr>
              <w:t>同方资本管理有限公司</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0"/>
              <w:jc w:val="right"/>
              <w:rPr>
                <w:rFonts w:ascii="宋体" w:hAnsi="宋体" w:cs="宋体" w:eastAsia="宋体" w:hint="default"/>
                <w:sz w:val="15"/>
                <w:szCs w:val="15"/>
              </w:rPr>
            </w:pPr>
            <w:r>
              <w:rPr>
                <w:rFonts w:ascii="宋体"/>
                <w:spacing w:val="-1"/>
                <w:sz w:val="15"/>
              </w:rPr>
              <w:t>USD5,000.00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center"/>
              <w:rPr>
                <w:rFonts w:ascii="宋体" w:hAnsi="宋体" w:cs="宋体" w:eastAsia="宋体" w:hint="default"/>
                <w:sz w:val="15"/>
                <w:szCs w:val="15"/>
              </w:rPr>
            </w:pPr>
            <w:r>
              <w:rPr>
                <w:rFonts w:ascii="宋体" w:hAnsi="宋体" w:cs="宋体" w:eastAsia="宋体" w:hint="default"/>
                <w:sz w:val="15"/>
                <w:szCs w:val="15"/>
              </w:rPr>
              <w:t>深圳前海</w:t>
            </w:r>
          </w:p>
        </w:tc>
        <w:tc>
          <w:tcPr>
            <w:tcW w:w="3593" w:type="dxa"/>
            <w:tcBorders>
              <w:top w:val="nil" w:sz="6" w:space="0" w:color="auto"/>
              <w:left w:val="nil" w:sz="6" w:space="0" w:color="auto"/>
              <w:bottom w:val="nil" w:sz="6" w:space="0" w:color="auto"/>
              <w:right w:val="nil" w:sz="6" w:space="0" w:color="auto"/>
            </w:tcBorders>
          </w:tcPr>
          <w:p>
            <w:pPr>
              <w:pStyle w:val="TableParagraph"/>
              <w:spacing w:line="194" w:lineRule="exact" w:before="8"/>
              <w:ind w:left="74" w:right="104"/>
              <w:jc w:val="left"/>
              <w:rPr>
                <w:rFonts w:ascii="宋体" w:hAnsi="宋体" w:cs="宋体" w:eastAsia="宋体" w:hint="default"/>
                <w:sz w:val="15"/>
                <w:szCs w:val="15"/>
              </w:rPr>
            </w:pPr>
            <w:r>
              <w:rPr>
                <w:rFonts w:ascii="宋体" w:hAnsi="宋体" w:cs="宋体" w:eastAsia="宋体" w:hint="default"/>
                <w:spacing w:val="-4"/>
                <w:sz w:val="15"/>
                <w:szCs w:val="15"/>
              </w:rPr>
              <w:t>发起设立股权投资企业；受托管理股权投资企业的投</w:t>
            </w:r>
            <w:r>
              <w:rPr>
                <w:rFonts w:ascii="宋体" w:hAnsi="宋体" w:cs="宋体" w:eastAsia="宋体" w:hint="default"/>
                <w:spacing w:val="-27"/>
                <w:sz w:val="15"/>
                <w:szCs w:val="15"/>
              </w:rPr>
              <w:t> </w:t>
            </w:r>
            <w:r>
              <w:rPr>
                <w:rFonts w:ascii="宋体" w:hAnsi="宋体" w:cs="宋体" w:eastAsia="宋体" w:hint="default"/>
                <w:spacing w:val="-27"/>
                <w:sz w:val="15"/>
                <w:szCs w:val="15"/>
              </w:rPr>
            </w:r>
            <w:r>
              <w:rPr>
                <w:rFonts w:ascii="宋体" w:hAnsi="宋体" w:cs="宋体" w:eastAsia="宋体" w:hint="default"/>
                <w:sz w:val="15"/>
                <w:szCs w:val="15"/>
              </w:rPr>
              <w:t>资业务并提供相关服务；股权投资咨询</w:t>
            </w:r>
          </w:p>
        </w:tc>
      </w:tr>
      <w:tr>
        <w:trPr>
          <w:trHeight w:val="389"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72" w:lineRule="exact"/>
              <w:ind w:left="19" w:right="0"/>
              <w:jc w:val="left"/>
              <w:rPr>
                <w:rFonts w:ascii="宋体" w:hAnsi="宋体" w:cs="宋体" w:eastAsia="宋体" w:hint="default"/>
                <w:sz w:val="15"/>
                <w:szCs w:val="15"/>
              </w:rPr>
            </w:pPr>
            <w:r>
              <w:rPr>
                <w:rFonts w:ascii="宋体"/>
                <w:sz w:val="15"/>
              </w:rPr>
              <w:t>THTF Energy-Saving</w:t>
            </w:r>
            <w:r>
              <w:rPr>
                <w:rFonts w:ascii="宋体"/>
                <w:spacing w:val="-12"/>
                <w:sz w:val="15"/>
              </w:rPr>
              <w:t> </w:t>
            </w:r>
            <w:r>
              <w:rPr>
                <w:rFonts w:ascii="宋体"/>
                <w:sz w:val="15"/>
              </w:rPr>
              <w:t>Holdings</w:t>
            </w:r>
          </w:p>
          <w:p>
            <w:pPr>
              <w:pStyle w:val="TableParagraph"/>
              <w:spacing w:line="195" w:lineRule="exact"/>
              <w:ind w:left="19" w:right="0"/>
              <w:jc w:val="left"/>
              <w:rPr>
                <w:rFonts w:ascii="宋体" w:hAnsi="宋体" w:cs="宋体" w:eastAsia="宋体" w:hint="default"/>
                <w:sz w:val="15"/>
                <w:szCs w:val="15"/>
              </w:rPr>
            </w:pPr>
            <w:r>
              <w:rPr>
                <w:rFonts w:ascii="宋体"/>
                <w:sz w:val="15"/>
              </w:rPr>
              <w:t>Limited</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0"/>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0"/>
              <w:jc w:val="right"/>
              <w:rPr>
                <w:rFonts w:ascii="宋体" w:hAnsi="宋体" w:cs="宋体" w:eastAsia="宋体" w:hint="default"/>
                <w:sz w:val="15"/>
                <w:szCs w:val="15"/>
              </w:rPr>
            </w:pPr>
            <w:r>
              <w:rPr>
                <w:rFonts w:ascii="宋体"/>
                <w:spacing w:val="-1"/>
                <w:sz w:val="15"/>
              </w:rPr>
              <w:t>USD5.00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4"/>
              <w:jc w:val="center"/>
              <w:rPr>
                <w:rFonts w:ascii="宋体" w:hAnsi="宋体" w:cs="宋体" w:eastAsia="宋体" w:hint="default"/>
                <w:sz w:val="15"/>
                <w:szCs w:val="15"/>
              </w:rPr>
            </w:pPr>
            <w:r>
              <w:rPr>
                <w:rFonts w:ascii="宋体" w:hAnsi="宋体" w:cs="宋体" w:eastAsia="宋体" w:hint="default"/>
                <w:sz w:val="15"/>
                <w:szCs w:val="15"/>
              </w:rPr>
              <w:t>开曼群岛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389"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72" w:lineRule="exact"/>
              <w:ind w:left="19" w:right="0"/>
              <w:jc w:val="left"/>
              <w:rPr>
                <w:rFonts w:ascii="宋体" w:hAnsi="宋体" w:cs="宋体" w:eastAsia="宋体" w:hint="default"/>
                <w:sz w:val="15"/>
                <w:szCs w:val="15"/>
              </w:rPr>
            </w:pPr>
            <w:r>
              <w:rPr>
                <w:rFonts w:ascii="宋体"/>
                <w:sz w:val="15"/>
              </w:rPr>
              <w:t>Neo-Neon</w:t>
            </w:r>
            <w:r>
              <w:rPr>
                <w:rFonts w:ascii="宋体"/>
                <w:spacing w:val="-10"/>
                <w:sz w:val="15"/>
              </w:rPr>
              <w:t> </w:t>
            </w:r>
            <w:r>
              <w:rPr>
                <w:rFonts w:ascii="宋体"/>
                <w:sz w:val="15"/>
              </w:rPr>
              <w:t>Holdings</w:t>
            </w:r>
          </w:p>
          <w:p>
            <w:pPr>
              <w:pStyle w:val="TableParagraph"/>
              <w:spacing w:line="196" w:lineRule="exact"/>
              <w:ind w:left="19" w:right="0"/>
              <w:jc w:val="left"/>
              <w:rPr>
                <w:rFonts w:ascii="宋体" w:hAnsi="宋体" w:cs="宋体" w:eastAsia="宋体" w:hint="default"/>
                <w:sz w:val="15"/>
                <w:szCs w:val="15"/>
              </w:rPr>
            </w:pPr>
            <w:r>
              <w:rPr>
                <w:rFonts w:ascii="宋体"/>
                <w:sz w:val="15"/>
              </w:rPr>
              <w:t>Limited(01868.HK)</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0"/>
              <w:jc w:val="right"/>
              <w:rPr>
                <w:rFonts w:ascii="宋体" w:hAnsi="宋体" w:cs="宋体" w:eastAsia="宋体" w:hint="default"/>
                <w:sz w:val="15"/>
                <w:szCs w:val="15"/>
              </w:rPr>
            </w:pPr>
            <w:r>
              <w:rPr>
                <w:rFonts w:ascii="宋体"/>
                <w:spacing w:val="-2"/>
                <w:sz w:val="15"/>
              </w:rPr>
              <w:t>HKD50,000.00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7" w:right="0"/>
              <w:jc w:val="center"/>
              <w:rPr>
                <w:rFonts w:ascii="宋体" w:hAnsi="宋体" w:cs="宋体" w:eastAsia="宋体" w:hint="default"/>
                <w:sz w:val="15"/>
                <w:szCs w:val="15"/>
              </w:rPr>
            </w:pPr>
            <w:r>
              <w:rPr>
                <w:rFonts w:ascii="宋体"/>
                <w:sz w:val="15"/>
              </w:rPr>
              <w:t>64.81%</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center"/>
              <w:rPr>
                <w:rFonts w:ascii="宋体" w:hAnsi="宋体" w:cs="宋体" w:eastAsia="宋体" w:hint="default"/>
                <w:sz w:val="15"/>
                <w:szCs w:val="15"/>
              </w:rPr>
            </w:pPr>
            <w:r>
              <w:rPr>
                <w:rFonts w:ascii="宋体" w:hAnsi="宋体" w:cs="宋体" w:eastAsia="宋体" w:hint="default"/>
                <w:sz w:val="15"/>
                <w:szCs w:val="15"/>
              </w:rPr>
              <w:t>开曼群岛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389"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72" w:lineRule="exact"/>
              <w:ind w:left="19" w:right="0"/>
              <w:jc w:val="left"/>
              <w:rPr>
                <w:rFonts w:ascii="宋体" w:hAnsi="宋体" w:cs="宋体" w:eastAsia="宋体" w:hint="default"/>
                <w:sz w:val="15"/>
                <w:szCs w:val="15"/>
              </w:rPr>
            </w:pPr>
            <w:r>
              <w:rPr>
                <w:rFonts w:ascii="宋体"/>
                <w:sz w:val="15"/>
              </w:rPr>
              <w:t>Tongfang</w:t>
            </w:r>
            <w:r>
              <w:rPr>
                <w:rFonts w:ascii="宋体"/>
                <w:spacing w:val="-11"/>
                <w:sz w:val="15"/>
              </w:rPr>
              <w:t> </w:t>
            </w:r>
            <w:r>
              <w:rPr>
                <w:rFonts w:ascii="宋体"/>
                <w:sz w:val="15"/>
              </w:rPr>
              <w:t>Illuminations</w:t>
            </w:r>
          </w:p>
          <w:p>
            <w:pPr>
              <w:pStyle w:val="TableParagraph"/>
              <w:spacing w:line="195" w:lineRule="exact"/>
              <w:ind w:left="19" w:right="0"/>
              <w:jc w:val="left"/>
              <w:rPr>
                <w:rFonts w:ascii="宋体" w:hAnsi="宋体" w:cs="宋体" w:eastAsia="宋体" w:hint="default"/>
                <w:sz w:val="15"/>
                <w:szCs w:val="15"/>
              </w:rPr>
            </w:pPr>
            <w:r>
              <w:rPr>
                <w:rFonts w:ascii="宋体"/>
                <w:sz w:val="15"/>
              </w:rPr>
              <w:t>Limited</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right"/>
              <w:rPr>
                <w:rFonts w:ascii="宋体" w:hAnsi="宋体" w:cs="宋体" w:eastAsia="宋体" w:hint="default"/>
                <w:sz w:val="15"/>
                <w:szCs w:val="15"/>
              </w:rPr>
            </w:pPr>
            <w:r>
              <w:rPr>
                <w:rFonts w:ascii="宋体" w:hAnsi="宋体" w:cs="宋体" w:eastAsia="宋体" w:hint="default"/>
                <w:sz w:val="15"/>
                <w:szCs w:val="15"/>
              </w:rPr>
              <w:t>USD5</w:t>
            </w:r>
            <w:r>
              <w:rPr>
                <w:rFonts w:ascii="宋体" w:hAnsi="宋体" w:cs="宋体" w:eastAsia="宋体" w:hint="default"/>
                <w:spacing w:val="-38"/>
                <w:sz w:val="15"/>
                <w:szCs w:val="15"/>
              </w:rPr>
              <w:t> </w:t>
            </w:r>
            <w:r>
              <w:rPr>
                <w:rFonts w:ascii="宋体" w:hAnsi="宋体" w:cs="宋体" w:eastAsia="宋体" w:hint="default"/>
                <w:sz w:val="15"/>
                <w:szCs w:val="15"/>
              </w:rPr>
              <w:t>万</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center"/>
              <w:rPr>
                <w:rFonts w:ascii="宋体" w:hAnsi="宋体" w:cs="宋体" w:eastAsia="宋体" w:hint="default"/>
                <w:sz w:val="15"/>
                <w:szCs w:val="15"/>
              </w:rPr>
            </w:pPr>
            <w:r>
              <w:rPr>
                <w:rFonts w:ascii="宋体" w:hAnsi="宋体" w:cs="宋体" w:eastAsia="宋体" w:hint="default"/>
                <w:sz w:val="15"/>
                <w:szCs w:val="15"/>
              </w:rPr>
              <w:t>维京群岛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4" w:right="0"/>
              <w:jc w:val="left"/>
              <w:rPr>
                <w:rFonts w:ascii="宋体" w:hAnsi="宋体" w:cs="宋体" w:eastAsia="宋体" w:hint="default"/>
                <w:sz w:val="15"/>
                <w:szCs w:val="15"/>
              </w:rPr>
            </w:pPr>
            <w:r>
              <w:rPr>
                <w:rFonts w:ascii="宋体" w:hAnsi="宋体" w:cs="宋体" w:eastAsia="宋体" w:hint="default"/>
                <w:sz w:val="15"/>
                <w:szCs w:val="15"/>
              </w:rPr>
              <w:t>装饰灯产品的销售</w:t>
            </w:r>
          </w:p>
        </w:tc>
      </w:tr>
      <w:tr>
        <w:trPr>
          <w:trHeight w:val="389"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72" w:lineRule="exact"/>
              <w:ind w:left="19" w:right="0"/>
              <w:jc w:val="left"/>
              <w:rPr>
                <w:rFonts w:ascii="宋体" w:hAnsi="宋体" w:cs="宋体" w:eastAsia="宋体" w:hint="default"/>
                <w:sz w:val="15"/>
                <w:szCs w:val="15"/>
              </w:rPr>
            </w:pPr>
            <w:r>
              <w:rPr>
                <w:rFonts w:ascii="宋体"/>
                <w:sz w:val="15"/>
              </w:rPr>
              <w:t>HK Star Bright</w:t>
            </w:r>
            <w:r>
              <w:rPr>
                <w:rFonts w:ascii="宋体"/>
                <w:spacing w:val="-8"/>
                <w:sz w:val="15"/>
              </w:rPr>
              <w:t> </w:t>
            </w:r>
            <w:r>
              <w:rPr>
                <w:rFonts w:ascii="宋体"/>
                <w:sz w:val="15"/>
              </w:rPr>
              <w:t>Lighting</w:t>
            </w:r>
          </w:p>
          <w:p>
            <w:pPr>
              <w:pStyle w:val="TableParagraph"/>
              <w:spacing w:line="195" w:lineRule="exact"/>
              <w:ind w:left="19" w:right="0"/>
              <w:jc w:val="left"/>
              <w:rPr>
                <w:rFonts w:ascii="宋体" w:hAnsi="宋体" w:cs="宋体" w:eastAsia="宋体" w:hint="default"/>
                <w:sz w:val="15"/>
                <w:szCs w:val="15"/>
              </w:rPr>
            </w:pPr>
            <w:r>
              <w:rPr>
                <w:rFonts w:ascii="宋体"/>
                <w:sz w:val="15"/>
              </w:rPr>
              <w:t>limited</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right"/>
              <w:rPr>
                <w:rFonts w:ascii="宋体" w:hAnsi="宋体" w:cs="宋体" w:eastAsia="宋体" w:hint="default"/>
                <w:sz w:val="15"/>
                <w:szCs w:val="15"/>
              </w:rPr>
            </w:pPr>
            <w:r>
              <w:rPr>
                <w:rFonts w:ascii="宋体" w:hAnsi="宋体" w:cs="宋体" w:eastAsia="宋体" w:hint="default"/>
                <w:sz w:val="15"/>
                <w:szCs w:val="15"/>
              </w:rPr>
              <w:t>HK$1000.00</w:t>
            </w:r>
            <w:r>
              <w:rPr>
                <w:rFonts w:ascii="宋体" w:hAnsi="宋体" w:cs="宋体" w:eastAsia="宋体" w:hint="default"/>
                <w:spacing w:val="-41"/>
                <w:sz w:val="15"/>
                <w:szCs w:val="15"/>
              </w:rPr>
              <w:t> </w:t>
            </w:r>
            <w:r>
              <w:rPr>
                <w:rFonts w:ascii="宋体" w:hAnsi="宋体" w:cs="宋体" w:eastAsia="宋体" w:hint="default"/>
                <w:sz w:val="15"/>
                <w:szCs w:val="15"/>
              </w:rPr>
              <w:t>万</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center"/>
              <w:rPr>
                <w:rFonts w:ascii="宋体" w:hAnsi="宋体" w:cs="宋体" w:eastAsia="宋体" w:hint="default"/>
                <w:sz w:val="15"/>
                <w:szCs w:val="15"/>
              </w:rPr>
            </w:pPr>
            <w:r>
              <w:rPr>
                <w:rFonts w:ascii="宋体" w:hAnsi="宋体" w:cs="宋体" w:eastAsia="宋体" w:hint="default"/>
                <w:sz w:val="15"/>
                <w:szCs w:val="15"/>
              </w:rPr>
              <w:t>中国香港</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4" w:right="0"/>
              <w:jc w:val="left"/>
              <w:rPr>
                <w:rFonts w:ascii="宋体" w:hAnsi="宋体" w:cs="宋体" w:eastAsia="宋体" w:hint="default"/>
                <w:sz w:val="15"/>
                <w:szCs w:val="15"/>
              </w:rPr>
            </w:pPr>
            <w:r>
              <w:rPr>
                <w:rFonts w:ascii="宋体" w:hAnsi="宋体" w:cs="宋体" w:eastAsia="宋体" w:hint="default"/>
                <w:sz w:val="15"/>
                <w:szCs w:val="15"/>
              </w:rPr>
              <w:t>装饰灯产品的销售</w:t>
            </w:r>
          </w:p>
        </w:tc>
      </w:tr>
      <w:tr>
        <w:trPr>
          <w:trHeight w:val="401"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72" w:lineRule="exact"/>
              <w:ind w:left="19" w:right="0"/>
              <w:jc w:val="left"/>
              <w:rPr>
                <w:rFonts w:ascii="宋体" w:hAnsi="宋体" w:cs="宋体" w:eastAsia="宋体" w:hint="default"/>
                <w:sz w:val="15"/>
                <w:szCs w:val="15"/>
              </w:rPr>
            </w:pPr>
            <w:r>
              <w:rPr>
                <w:rFonts w:ascii="宋体"/>
                <w:sz w:val="15"/>
              </w:rPr>
              <w:t>Capital Legend</w:t>
            </w:r>
            <w:r>
              <w:rPr>
                <w:rFonts w:ascii="宋体"/>
                <w:spacing w:val="-11"/>
                <w:sz w:val="15"/>
              </w:rPr>
              <w:t> </w:t>
            </w:r>
            <w:r>
              <w:rPr>
                <w:rFonts w:ascii="宋体"/>
                <w:sz w:val="15"/>
              </w:rPr>
              <w:t>Enterprises</w:t>
            </w:r>
          </w:p>
          <w:p>
            <w:pPr>
              <w:pStyle w:val="TableParagraph"/>
              <w:spacing w:line="195" w:lineRule="exact"/>
              <w:ind w:left="19" w:right="0"/>
              <w:jc w:val="left"/>
              <w:rPr>
                <w:rFonts w:ascii="宋体" w:hAnsi="宋体" w:cs="宋体" w:eastAsia="宋体" w:hint="default"/>
                <w:sz w:val="15"/>
                <w:szCs w:val="15"/>
              </w:rPr>
            </w:pPr>
            <w:r>
              <w:rPr>
                <w:rFonts w:ascii="宋体"/>
                <w:sz w:val="15"/>
              </w:rPr>
              <w:t>Limited</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0"/>
              <w:jc w:val="right"/>
              <w:rPr>
                <w:rFonts w:ascii="宋体" w:hAnsi="宋体" w:cs="宋体" w:eastAsia="宋体" w:hint="default"/>
                <w:sz w:val="15"/>
                <w:szCs w:val="15"/>
              </w:rPr>
            </w:pPr>
            <w:r>
              <w:rPr>
                <w:rFonts w:ascii="宋体"/>
                <w:spacing w:val="-1"/>
                <w:sz w:val="15"/>
              </w:rPr>
              <w:t>USD5.00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center"/>
              <w:rPr>
                <w:rFonts w:ascii="宋体" w:hAnsi="宋体" w:cs="宋体" w:eastAsia="宋体" w:hint="default"/>
                <w:sz w:val="15"/>
                <w:szCs w:val="15"/>
              </w:rPr>
            </w:pPr>
            <w:r>
              <w:rPr>
                <w:rFonts w:ascii="宋体" w:hAnsi="宋体" w:cs="宋体" w:eastAsia="宋体" w:hint="default"/>
                <w:sz w:val="15"/>
                <w:szCs w:val="15"/>
              </w:rPr>
              <w:t>维京群岛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229"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85" w:lineRule="exact"/>
              <w:ind w:left="19" w:right="0"/>
              <w:jc w:val="left"/>
              <w:rPr>
                <w:rFonts w:ascii="宋体" w:hAnsi="宋体" w:cs="宋体" w:eastAsia="宋体" w:hint="default"/>
                <w:sz w:val="15"/>
                <w:szCs w:val="15"/>
              </w:rPr>
            </w:pPr>
            <w:r>
              <w:rPr>
                <w:rFonts w:ascii="宋体"/>
                <w:sz w:val="15"/>
              </w:rPr>
              <w:t>Tongfang Finance</w:t>
            </w:r>
            <w:r>
              <w:rPr>
                <w:rFonts w:ascii="宋体"/>
                <w:spacing w:val="-13"/>
                <w:sz w:val="15"/>
              </w:rPr>
              <w:t> </w:t>
            </w:r>
            <w:r>
              <w:rPr>
                <w:rFonts w:ascii="宋体"/>
                <w:sz w:val="15"/>
              </w:rPr>
              <w:t>Limited</w:t>
            </w:r>
          </w:p>
        </w:tc>
        <w:tc>
          <w:tcPr>
            <w:tcW w:w="358" w:type="dxa"/>
            <w:tcBorders>
              <w:top w:val="nil" w:sz="6" w:space="0" w:color="auto"/>
              <w:left w:val="nil" w:sz="6" w:space="0" w:color="auto"/>
              <w:bottom w:val="nil" w:sz="6" w:space="0" w:color="auto"/>
              <w:right w:val="nil" w:sz="6" w:space="0" w:color="auto"/>
            </w:tcBorders>
          </w:tcPr>
          <w:p>
            <w:pPr>
              <w:pStyle w:val="TableParagraph"/>
              <w:spacing w:line="185" w:lineRule="exact"/>
              <w:ind w:right="0"/>
              <w:jc w:val="center"/>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85" w:lineRule="exact"/>
              <w:ind w:right="60"/>
              <w:jc w:val="right"/>
              <w:rPr>
                <w:rFonts w:ascii="宋体" w:hAnsi="宋体" w:cs="宋体" w:eastAsia="宋体" w:hint="default"/>
                <w:sz w:val="15"/>
                <w:szCs w:val="15"/>
              </w:rPr>
            </w:pPr>
            <w:r>
              <w:rPr>
                <w:rFonts w:ascii="宋体"/>
                <w:spacing w:val="-1"/>
                <w:sz w:val="15"/>
              </w:rPr>
              <w:t>HKD1,000.00</w:t>
            </w:r>
          </w:p>
        </w:tc>
        <w:tc>
          <w:tcPr>
            <w:tcW w:w="651" w:type="dxa"/>
            <w:tcBorders>
              <w:top w:val="nil" w:sz="6" w:space="0" w:color="auto"/>
              <w:left w:val="nil" w:sz="6" w:space="0" w:color="auto"/>
              <w:bottom w:val="nil" w:sz="6" w:space="0" w:color="auto"/>
              <w:right w:val="nil" w:sz="6" w:space="0" w:color="auto"/>
            </w:tcBorders>
          </w:tcPr>
          <w:p>
            <w:pPr>
              <w:pStyle w:val="TableParagraph"/>
              <w:spacing w:line="18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5" w:lineRule="exact"/>
              <w:ind w:right="14"/>
              <w:jc w:val="center"/>
              <w:rPr>
                <w:rFonts w:ascii="宋体" w:hAnsi="宋体" w:cs="宋体" w:eastAsia="宋体" w:hint="default"/>
                <w:sz w:val="15"/>
                <w:szCs w:val="15"/>
              </w:rPr>
            </w:pPr>
            <w:r>
              <w:rPr>
                <w:rFonts w:ascii="宋体" w:hAnsi="宋体" w:cs="宋体" w:eastAsia="宋体" w:hint="default"/>
                <w:sz w:val="15"/>
                <w:szCs w:val="15"/>
              </w:rPr>
              <w:t>中国香港</w:t>
            </w:r>
          </w:p>
        </w:tc>
        <w:tc>
          <w:tcPr>
            <w:tcW w:w="3593" w:type="dxa"/>
            <w:tcBorders>
              <w:top w:val="nil" w:sz="6" w:space="0" w:color="auto"/>
              <w:left w:val="nil" w:sz="6" w:space="0" w:color="auto"/>
              <w:bottom w:val="nil" w:sz="6" w:space="0" w:color="auto"/>
              <w:right w:val="nil" w:sz="6" w:space="0" w:color="auto"/>
            </w:tcBorders>
          </w:tcPr>
          <w:p>
            <w:pPr>
              <w:pStyle w:val="TableParagraph"/>
              <w:spacing w:line="185" w:lineRule="exact"/>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240"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sz w:val="15"/>
              </w:rPr>
              <w:t>Tongfang Development</w:t>
            </w:r>
            <w:r>
              <w:rPr>
                <w:rFonts w:ascii="宋体"/>
                <w:spacing w:val="-16"/>
                <w:sz w:val="15"/>
              </w:rPr>
              <w:t> </w:t>
            </w:r>
            <w:r>
              <w:rPr>
                <w:rFonts w:ascii="宋体"/>
                <w:sz w:val="15"/>
              </w:rPr>
              <w:t>Limited</w:t>
            </w:r>
          </w:p>
        </w:tc>
        <w:tc>
          <w:tcPr>
            <w:tcW w:w="358"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spacing w:val="-1"/>
                <w:sz w:val="15"/>
              </w:rPr>
              <w:t>USD5.00</w:t>
            </w:r>
          </w:p>
        </w:tc>
        <w:tc>
          <w:tcPr>
            <w:tcW w:w="651" w:type="dxa"/>
            <w:tcBorders>
              <w:top w:val="nil" w:sz="6" w:space="0" w:color="auto"/>
              <w:left w:val="nil" w:sz="6" w:space="0" w:color="auto"/>
              <w:bottom w:val="nil" w:sz="6" w:space="0" w:color="auto"/>
              <w:right w:val="nil" w:sz="6" w:space="0" w:color="auto"/>
            </w:tcBorders>
          </w:tcPr>
          <w:p>
            <w:pPr>
              <w:pStyle w:val="TableParagraph"/>
              <w:spacing w:line="19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维京群岛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228"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sz w:val="15"/>
              </w:rPr>
              <w:t>Tongfang Securities</w:t>
            </w:r>
            <w:r>
              <w:rPr>
                <w:rFonts w:ascii="宋体"/>
                <w:spacing w:val="-13"/>
                <w:sz w:val="15"/>
              </w:rPr>
              <w:t> </w:t>
            </w:r>
            <w:r>
              <w:rPr>
                <w:rFonts w:ascii="宋体"/>
                <w:sz w:val="15"/>
              </w:rPr>
              <w:t>Limited</w:t>
            </w:r>
          </w:p>
        </w:tc>
        <w:tc>
          <w:tcPr>
            <w:tcW w:w="358" w:type="dxa"/>
            <w:tcBorders>
              <w:top w:val="nil" w:sz="6" w:space="0" w:color="auto"/>
              <w:left w:val="nil" w:sz="6" w:space="0" w:color="auto"/>
              <w:bottom w:val="nil" w:sz="6" w:space="0" w:color="auto"/>
              <w:right w:val="nil" w:sz="6" w:space="0" w:color="auto"/>
            </w:tcBorders>
          </w:tcPr>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spacing w:val="-2"/>
                <w:sz w:val="15"/>
              </w:rPr>
              <w:t>HKD41,000.00</w:t>
            </w:r>
          </w:p>
        </w:tc>
        <w:tc>
          <w:tcPr>
            <w:tcW w:w="651" w:type="dxa"/>
            <w:tcBorders>
              <w:top w:val="nil" w:sz="6" w:space="0" w:color="auto"/>
              <w:left w:val="nil" w:sz="6" w:space="0" w:color="auto"/>
              <w:bottom w:val="nil" w:sz="6" w:space="0" w:color="auto"/>
              <w:right w:val="nil" w:sz="6" w:space="0" w:color="auto"/>
            </w:tcBorders>
          </w:tcPr>
          <w:p>
            <w:pPr>
              <w:pStyle w:val="TableParagraph"/>
              <w:spacing w:line="19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中国香港</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证券投资</w:t>
            </w:r>
          </w:p>
        </w:tc>
      </w:tr>
      <w:tr>
        <w:trPr>
          <w:trHeight w:val="413"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6" w:lineRule="exact" w:before="5"/>
              <w:ind w:left="19" w:right="60"/>
              <w:jc w:val="left"/>
              <w:rPr>
                <w:rFonts w:ascii="宋体" w:hAnsi="宋体" w:cs="宋体" w:eastAsia="宋体" w:hint="default"/>
                <w:sz w:val="15"/>
                <w:szCs w:val="15"/>
              </w:rPr>
            </w:pPr>
            <w:r>
              <w:rPr>
                <w:rFonts w:ascii="宋体" w:hAnsi="宋体" w:cs="宋体" w:eastAsia="宋体" w:hint="default"/>
                <w:spacing w:val="-2"/>
                <w:sz w:val="15"/>
                <w:szCs w:val="15"/>
              </w:rPr>
              <w:t>同方创新管理咨询（北京）有限</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公司</w:t>
            </w:r>
          </w:p>
        </w:tc>
        <w:tc>
          <w:tcPr>
            <w:tcW w:w="358"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0"/>
              <w:jc w:val="center"/>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0"/>
              <w:jc w:val="right"/>
              <w:rPr>
                <w:rFonts w:ascii="宋体" w:hAnsi="宋体" w:cs="宋体" w:eastAsia="宋体" w:hint="default"/>
                <w:sz w:val="15"/>
                <w:szCs w:val="15"/>
              </w:rPr>
            </w:pPr>
            <w:r>
              <w:rPr>
                <w:rFonts w:ascii="宋体" w:hAnsi="宋体"/>
                <w:spacing w:val="-2"/>
                <w:sz w:val="15"/>
              </w:rPr>
              <w:t>¥2,000.00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4" w:right="0"/>
              <w:jc w:val="left"/>
              <w:rPr>
                <w:rFonts w:ascii="宋体" w:hAnsi="宋体" w:cs="宋体" w:eastAsia="宋体" w:hint="default"/>
                <w:sz w:val="15"/>
                <w:szCs w:val="15"/>
              </w:rPr>
            </w:pPr>
            <w:r>
              <w:rPr>
                <w:rFonts w:ascii="宋体" w:hAnsi="宋体" w:cs="宋体" w:eastAsia="宋体" w:hint="default"/>
                <w:sz w:val="15"/>
                <w:szCs w:val="15"/>
              </w:rPr>
              <w:t>经济贸易咨询、企业管理咨询</w:t>
            </w:r>
          </w:p>
        </w:tc>
      </w:tr>
      <w:tr>
        <w:trPr>
          <w:trHeight w:val="244" w:hRule="exact"/>
        </w:trPr>
        <w:tc>
          <w:tcPr>
            <w:tcW w:w="2184" w:type="dxa"/>
            <w:tcBorders>
              <w:top w:val="nil" w:sz="6" w:space="0" w:color="auto"/>
              <w:left w:val="nil" w:sz="6" w:space="0" w:color="auto"/>
              <w:bottom w:val="single" w:sz="12" w:space="0" w:color="000000"/>
              <w:right w:val="nil" w:sz="6" w:space="0" w:color="auto"/>
            </w:tcBorders>
          </w:tcPr>
          <w:p>
            <w:pPr>
              <w:pStyle w:val="TableParagraph"/>
              <w:spacing w:line="183" w:lineRule="exact"/>
              <w:ind w:left="19" w:right="0"/>
              <w:jc w:val="left"/>
              <w:rPr>
                <w:rFonts w:ascii="宋体" w:hAnsi="宋体" w:cs="宋体" w:eastAsia="宋体" w:hint="default"/>
                <w:sz w:val="15"/>
                <w:szCs w:val="15"/>
              </w:rPr>
            </w:pPr>
            <w:r>
              <w:rPr>
                <w:rFonts w:ascii="宋体" w:hAnsi="宋体" w:cs="宋体" w:eastAsia="宋体" w:hint="default"/>
                <w:sz w:val="15"/>
                <w:szCs w:val="15"/>
              </w:rPr>
              <w:t>深圳同方以衡基金管理有限公司</w:t>
            </w:r>
          </w:p>
        </w:tc>
        <w:tc>
          <w:tcPr>
            <w:tcW w:w="358" w:type="dxa"/>
            <w:tcBorders>
              <w:top w:val="nil" w:sz="6" w:space="0" w:color="auto"/>
              <w:left w:val="nil" w:sz="6" w:space="0" w:color="auto"/>
              <w:bottom w:val="single" w:sz="12" w:space="0" w:color="000000"/>
              <w:right w:val="nil" w:sz="6" w:space="0" w:color="auto"/>
            </w:tcBorders>
          </w:tcPr>
          <w:p>
            <w:pPr>
              <w:pStyle w:val="TableParagraph"/>
              <w:spacing w:line="183" w:lineRule="exact"/>
              <w:ind w:right="0"/>
              <w:jc w:val="center"/>
              <w:rPr>
                <w:rFonts w:ascii="宋体" w:hAnsi="宋体" w:cs="宋体" w:eastAsia="宋体" w:hint="default"/>
                <w:sz w:val="15"/>
                <w:szCs w:val="15"/>
              </w:rPr>
            </w:pPr>
            <w:r>
              <w:rPr>
                <w:rFonts w:ascii="宋体" w:hAnsi="宋体" w:cs="宋体" w:eastAsia="宋体" w:hint="default"/>
                <w:sz w:val="15"/>
                <w:szCs w:val="15"/>
              </w:rPr>
              <w:t>7</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single" w:sz="12" w:space="0" w:color="000000"/>
              <w:right w:val="nil" w:sz="6" w:space="0" w:color="auto"/>
            </w:tcBorders>
          </w:tcPr>
          <w:p>
            <w:pPr>
              <w:pStyle w:val="TableParagraph"/>
              <w:spacing w:line="183" w:lineRule="exact"/>
              <w:ind w:right="60"/>
              <w:jc w:val="right"/>
              <w:rPr>
                <w:rFonts w:ascii="宋体" w:hAnsi="宋体" w:cs="宋体" w:eastAsia="宋体" w:hint="default"/>
                <w:sz w:val="15"/>
                <w:szCs w:val="15"/>
              </w:rPr>
            </w:pPr>
            <w:r>
              <w:rPr>
                <w:rFonts w:ascii="宋体" w:hAnsi="宋体"/>
                <w:spacing w:val="-2"/>
                <w:sz w:val="15"/>
              </w:rPr>
              <w:t>¥1,000.00</w:t>
            </w:r>
          </w:p>
        </w:tc>
        <w:tc>
          <w:tcPr>
            <w:tcW w:w="651" w:type="dxa"/>
            <w:tcBorders>
              <w:top w:val="nil" w:sz="6" w:space="0" w:color="auto"/>
              <w:left w:val="nil" w:sz="6" w:space="0" w:color="auto"/>
              <w:bottom w:val="single" w:sz="12" w:space="0" w:color="000000"/>
              <w:right w:val="nil" w:sz="6" w:space="0" w:color="auto"/>
            </w:tcBorders>
          </w:tcPr>
          <w:p>
            <w:pPr>
              <w:pStyle w:val="TableParagraph"/>
              <w:spacing w:line="183"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single" w:sz="12" w:space="0" w:color="000000"/>
              <w:right w:val="nil" w:sz="6" w:space="0" w:color="auto"/>
            </w:tcBorders>
          </w:tcPr>
          <w:p>
            <w:pPr>
              <w:pStyle w:val="TableParagraph"/>
              <w:spacing w:line="183" w:lineRule="exact"/>
              <w:ind w:right="14"/>
              <w:jc w:val="center"/>
              <w:rPr>
                <w:rFonts w:ascii="宋体" w:hAnsi="宋体" w:cs="宋体" w:eastAsia="宋体" w:hint="default"/>
                <w:sz w:val="15"/>
                <w:szCs w:val="15"/>
              </w:rPr>
            </w:pPr>
            <w:r>
              <w:rPr>
                <w:rFonts w:ascii="宋体" w:hAnsi="宋体" w:cs="宋体" w:eastAsia="宋体" w:hint="default"/>
                <w:sz w:val="15"/>
                <w:szCs w:val="15"/>
              </w:rPr>
              <w:t>广东深圳</w:t>
            </w:r>
          </w:p>
        </w:tc>
        <w:tc>
          <w:tcPr>
            <w:tcW w:w="3593" w:type="dxa"/>
            <w:tcBorders>
              <w:top w:val="nil" w:sz="6" w:space="0" w:color="auto"/>
              <w:left w:val="nil" w:sz="6" w:space="0" w:color="auto"/>
              <w:bottom w:val="single" w:sz="12" w:space="0" w:color="000000"/>
              <w:right w:val="nil" w:sz="6" w:space="0" w:color="auto"/>
            </w:tcBorders>
          </w:tcPr>
          <w:p>
            <w:pPr>
              <w:pStyle w:val="TableParagraph"/>
              <w:spacing w:line="183" w:lineRule="exact"/>
              <w:ind w:left="74" w:right="0"/>
              <w:jc w:val="left"/>
              <w:rPr>
                <w:rFonts w:ascii="宋体" w:hAnsi="宋体" w:cs="宋体" w:eastAsia="宋体" w:hint="default"/>
                <w:sz w:val="15"/>
                <w:szCs w:val="15"/>
              </w:rPr>
            </w:pPr>
            <w:r>
              <w:rPr>
                <w:rFonts w:ascii="宋体" w:hAnsi="宋体" w:cs="宋体" w:eastAsia="宋体" w:hint="default"/>
                <w:sz w:val="15"/>
                <w:szCs w:val="15"/>
              </w:rPr>
              <w:t>受托管理股权投资基金</w:t>
            </w:r>
          </w:p>
        </w:tc>
      </w:tr>
    </w:tbl>
    <w:p>
      <w:pPr>
        <w:spacing w:after="0" w:line="183" w:lineRule="exact"/>
        <w:jc w:val="left"/>
        <w:rPr>
          <w:rFonts w:ascii="宋体" w:hAnsi="宋体" w:cs="宋体" w:eastAsia="宋体" w:hint="default"/>
          <w:sz w:val="15"/>
          <w:szCs w:val="15"/>
        </w:rPr>
        <w:sectPr>
          <w:footerReference w:type="default" r:id="rId44"/>
          <w:pgSz w:w="11910" w:h="16840"/>
          <w:pgMar w:footer="1034" w:header="0" w:top="1320" w:bottom="1220" w:left="1480" w:right="1480"/>
        </w:sectPr>
      </w:pPr>
    </w:p>
    <w:p>
      <w:pPr>
        <w:spacing w:line="240" w:lineRule="auto" w:before="4"/>
        <w:rPr>
          <w:rFonts w:ascii="Times New Roman" w:hAnsi="Times New Roman" w:cs="Times New Roman" w:eastAsia="Times New Roman"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2184"/>
        <w:gridCol w:w="377"/>
        <w:gridCol w:w="1031"/>
        <w:gridCol w:w="651"/>
        <w:gridCol w:w="889"/>
        <w:gridCol w:w="3593"/>
      </w:tblGrid>
      <w:tr>
        <w:trPr>
          <w:trHeight w:val="485" w:hRule="exact"/>
        </w:trPr>
        <w:tc>
          <w:tcPr>
            <w:tcW w:w="2184" w:type="dxa"/>
            <w:tcBorders>
              <w:top w:val="single" w:sz="12" w:space="0" w:color="000000"/>
              <w:left w:val="nil" w:sz="6" w:space="0" w:color="auto"/>
              <w:bottom w:val="single" w:sz="4" w:space="0" w:color="000000"/>
              <w:right w:val="nil" w:sz="6" w:space="0" w:color="auto"/>
            </w:tcBorders>
          </w:tcPr>
          <w:p>
            <w:pPr>
              <w:pStyle w:val="TableParagraph"/>
              <w:spacing w:line="240" w:lineRule="auto" w:before="113"/>
              <w:ind w:left="561" w:right="0"/>
              <w:jc w:val="left"/>
              <w:rPr>
                <w:rFonts w:ascii="宋体" w:hAnsi="宋体" w:cs="宋体" w:eastAsia="宋体" w:hint="default"/>
                <w:sz w:val="15"/>
                <w:szCs w:val="15"/>
              </w:rPr>
            </w:pPr>
            <w:r>
              <w:rPr>
                <w:rFonts w:ascii="宋体" w:hAnsi="宋体" w:cs="宋体" w:eastAsia="宋体" w:hint="default"/>
                <w:b/>
                <w:bCs/>
                <w:sz w:val="15"/>
                <w:szCs w:val="15"/>
              </w:rPr>
              <w:t>控股子公司名称</w:t>
            </w:r>
            <w:r>
              <w:rPr>
                <w:rFonts w:ascii="宋体" w:hAnsi="宋体" w:cs="宋体" w:eastAsia="宋体" w:hint="default"/>
                <w:sz w:val="15"/>
                <w:szCs w:val="15"/>
              </w:rPr>
            </w:r>
          </w:p>
        </w:tc>
        <w:tc>
          <w:tcPr>
            <w:tcW w:w="377"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108" w:right="115"/>
              <w:jc w:val="left"/>
              <w:rPr>
                <w:rFonts w:ascii="宋体" w:hAnsi="宋体" w:cs="宋体" w:eastAsia="宋体" w:hint="default"/>
                <w:sz w:val="15"/>
                <w:szCs w:val="15"/>
              </w:rPr>
            </w:pPr>
            <w:r>
              <w:rPr>
                <w:rFonts w:ascii="宋体" w:hAnsi="宋体" w:cs="宋体" w:eastAsia="宋体" w:hint="default"/>
                <w:b/>
                <w:bCs/>
                <w:sz w:val="15"/>
                <w:szCs w:val="15"/>
              </w:rPr>
              <w:t>级</w:t>
            </w:r>
            <w:r>
              <w:rPr>
                <w:rFonts w:ascii="宋体" w:hAnsi="宋体" w:cs="宋体" w:eastAsia="宋体" w:hint="default"/>
                <w:b/>
                <w:bCs/>
                <w:w w:val="100"/>
                <w:sz w:val="15"/>
                <w:szCs w:val="15"/>
              </w:rPr>
              <w:t> </w:t>
            </w:r>
            <w:r>
              <w:rPr>
                <w:rFonts w:ascii="宋体" w:hAnsi="宋体" w:cs="宋体" w:eastAsia="宋体" w:hint="default"/>
                <w:b/>
                <w:bCs/>
                <w:sz w:val="15"/>
                <w:szCs w:val="15"/>
              </w:rPr>
              <w:t>次</w:t>
            </w:r>
            <w:r>
              <w:rPr>
                <w:rFonts w:ascii="宋体" w:hAnsi="宋体" w:cs="宋体" w:eastAsia="宋体" w:hint="default"/>
                <w:sz w:val="15"/>
                <w:szCs w:val="15"/>
              </w:rPr>
            </w:r>
          </w:p>
        </w:tc>
        <w:tc>
          <w:tcPr>
            <w:tcW w:w="1031" w:type="dxa"/>
            <w:tcBorders>
              <w:top w:val="single" w:sz="12" w:space="0" w:color="000000"/>
              <w:left w:val="nil" w:sz="6" w:space="0" w:color="auto"/>
              <w:bottom w:val="single" w:sz="4" w:space="0" w:color="000000"/>
              <w:right w:val="nil" w:sz="6" w:space="0" w:color="auto"/>
            </w:tcBorders>
          </w:tcPr>
          <w:p>
            <w:pPr>
              <w:pStyle w:val="TableParagraph"/>
              <w:spacing w:line="196" w:lineRule="exact" w:before="14"/>
              <w:ind w:left="184" w:right="0"/>
              <w:jc w:val="left"/>
              <w:rPr>
                <w:rFonts w:ascii="宋体" w:hAnsi="宋体" w:cs="宋体" w:eastAsia="宋体" w:hint="default"/>
                <w:sz w:val="15"/>
                <w:szCs w:val="15"/>
              </w:rPr>
            </w:pPr>
            <w:r>
              <w:rPr>
                <w:rFonts w:ascii="宋体" w:hAnsi="宋体" w:cs="宋体" w:eastAsia="宋体" w:hint="default"/>
                <w:b/>
                <w:bCs/>
                <w:sz w:val="15"/>
                <w:szCs w:val="15"/>
              </w:rPr>
              <w:t>注册资本</w:t>
            </w:r>
            <w:r>
              <w:rPr>
                <w:rFonts w:ascii="宋体" w:hAnsi="宋体" w:cs="宋体" w:eastAsia="宋体" w:hint="default"/>
                <w:sz w:val="15"/>
                <w:szCs w:val="15"/>
              </w:rPr>
            </w:r>
          </w:p>
          <w:p>
            <w:pPr>
              <w:pStyle w:val="TableParagraph"/>
              <w:spacing w:line="196" w:lineRule="exact"/>
              <w:ind w:left="184" w:right="0"/>
              <w:jc w:val="left"/>
              <w:rPr>
                <w:rFonts w:ascii="宋体" w:hAnsi="宋体" w:cs="宋体" w:eastAsia="宋体" w:hint="default"/>
                <w:sz w:val="15"/>
                <w:szCs w:val="15"/>
              </w:rPr>
            </w:pPr>
            <w:r>
              <w:rPr>
                <w:rFonts w:ascii="宋体" w:hAnsi="宋体" w:cs="宋体" w:eastAsia="宋体" w:hint="default"/>
                <w:b/>
                <w:bCs/>
                <w:sz w:val="15"/>
                <w:szCs w:val="15"/>
              </w:rPr>
              <w:t>（万元）</w:t>
            </w:r>
            <w:r>
              <w:rPr>
                <w:rFonts w:ascii="宋体" w:hAnsi="宋体" w:cs="宋体" w:eastAsia="宋体" w:hint="default"/>
                <w:sz w:val="15"/>
                <w:szCs w:val="15"/>
              </w:rPr>
            </w:r>
          </w:p>
        </w:tc>
        <w:tc>
          <w:tcPr>
            <w:tcW w:w="651"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209" w:right="134" w:hanging="149"/>
              <w:jc w:val="left"/>
              <w:rPr>
                <w:rFonts w:ascii="宋体" w:hAnsi="宋体" w:cs="宋体" w:eastAsia="宋体" w:hint="default"/>
                <w:sz w:val="15"/>
                <w:szCs w:val="15"/>
              </w:rPr>
            </w:pPr>
            <w:r>
              <w:rPr>
                <w:rFonts w:ascii="宋体" w:hAnsi="宋体" w:cs="宋体" w:eastAsia="宋体" w:hint="default"/>
                <w:b/>
                <w:bCs/>
                <w:sz w:val="15"/>
                <w:szCs w:val="15"/>
              </w:rPr>
              <w:t>持股比</w:t>
            </w:r>
            <w:r>
              <w:rPr>
                <w:rFonts w:ascii="宋体" w:hAnsi="宋体" w:cs="宋体" w:eastAsia="宋体" w:hint="default"/>
                <w:b/>
                <w:bCs/>
                <w:w w:val="100"/>
                <w:sz w:val="15"/>
                <w:szCs w:val="15"/>
              </w:rPr>
              <w:t> </w:t>
            </w:r>
            <w:r>
              <w:rPr>
                <w:rFonts w:ascii="宋体" w:hAnsi="宋体" w:cs="宋体" w:eastAsia="宋体" w:hint="default"/>
                <w:b/>
                <w:bCs/>
                <w:sz w:val="15"/>
                <w:szCs w:val="15"/>
              </w:rPr>
              <w:t>例</w:t>
            </w:r>
            <w:r>
              <w:rPr>
                <w:rFonts w:ascii="宋体" w:hAnsi="宋体" w:cs="宋体" w:eastAsia="宋体" w:hint="default"/>
                <w:sz w:val="15"/>
                <w:szCs w:val="15"/>
              </w:rPr>
            </w:r>
          </w:p>
        </w:tc>
        <w:tc>
          <w:tcPr>
            <w:tcW w:w="889" w:type="dxa"/>
            <w:tcBorders>
              <w:top w:val="single" w:sz="12" w:space="0" w:color="000000"/>
              <w:left w:val="nil" w:sz="6" w:space="0" w:color="auto"/>
              <w:bottom w:val="single" w:sz="4" w:space="0" w:color="000000"/>
              <w:right w:val="nil" w:sz="6" w:space="0" w:color="auto"/>
            </w:tcBorders>
          </w:tcPr>
          <w:p>
            <w:pPr>
              <w:pStyle w:val="TableParagraph"/>
              <w:spacing w:line="240" w:lineRule="auto" w:before="113"/>
              <w:ind w:right="55"/>
              <w:jc w:val="center"/>
              <w:rPr>
                <w:rFonts w:ascii="宋体" w:hAnsi="宋体" w:cs="宋体" w:eastAsia="宋体" w:hint="default"/>
                <w:sz w:val="15"/>
                <w:szCs w:val="15"/>
              </w:rPr>
            </w:pPr>
            <w:r>
              <w:rPr>
                <w:rFonts w:ascii="宋体" w:hAnsi="宋体" w:cs="宋体" w:eastAsia="宋体" w:hint="default"/>
                <w:b/>
                <w:bCs/>
                <w:sz w:val="15"/>
                <w:szCs w:val="15"/>
              </w:rPr>
              <w:t>注册地址</w:t>
            </w:r>
            <w:r>
              <w:rPr>
                <w:rFonts w:ascii="宋体" w:hAnsi="宋体" w:cs="宋体" w:eastAsia="宋体" w:hint="default"/>
                <w:sz w:val="15"/>
                <w:szCs w:val="15"/>
              </w:rPr>
            </w:r>
          </w:p>
        </w:tc>
        <w:tc>
          <w:tcPr>
            <w:tcW w:w="3593" w:type="dxa"/>
            <w:tcBorders>
              <w:top w:val="single" w:sz="12" w:space="0" w:color="000000"/>
              <w:left w:val="nil" w:sz="6" w:space="0" w:color="auto"/>
              <w:bottom w:val="single" w:sz="4" w:space="0" w:color="000000"/>
              <w:right w:val="nil" w:sz="6" w:space="0" w:color="auto"/>
            </w:tcBorders>
          </w:tcPr>
          <w:p>
            <w:pPr>
              <w:pStyle w:val="TableParagraph"/>
              <w:spacing w:line="240" w:lineRule="auto" w:before="113"/>
              <w:ind w:right="34"/>
              <w:jc w:val="center"/>
              <w:rPr>
                <w:rFonts w:ascii="宋体" w:hAnsi="宋体" w:cs="宋体" w:eastAsia="宋体" w:hint="default"/>
                <w:sz w:val="15"/>
                <w:szCs w:val="15"/>
              </w:rPr>
            </w:pPr>
            <w:r>
              <w:rPr>
                <w:rFonts w:ascii="宋体" w:hAnsi="宋体" w:cs="宋体" w:eastAsia="宋体" w:hint="default"/>
                <w:b/>
                <w:bCs/>
                <w:sz w:val="15"/>
                <w:szCs w:val="15"/>
              </w:rPr>
              <w:t>主营业务</w:t>
            </w:r>
            <w:r>
              <w:rPr>
                <w:rFonts w:ascii="宋体" w:hAnsi="宋体" w:cs="宋体" w:eastAsia="宋体" w:hint="default"/>
                <w:sz w:val="15"/>
                <w:szCs w:val="15"/>
              </w:rPr>
            </w:r>
          </w:p>
        </w:tc>
      </w:tr>
      <w:tr>
        <w:trPr>
          <w:trHeight w:val="405" w:hRule="exact"/>
        </w:trPr>
        <w:tc>
          <w:tcPr>
            <w:tcW w:w="2184" w:type="dxa"/>
            <w:tcBorders>
              <w:top w:val="single" w:sz="4" w:space="0" w:color="000000"/>
              <w:left w:val="nil" w:sz="6" w:space="0" w:color="auto"/>
              <w:bottom w:val="nil" w:sz="6" w:space="0" w:color="auto"/>
              <w:right w:val="nil" w:sz="6" w:space="0" w:color="auto"/>
            </w:tcBorders>
          </w:tcPr>
          <w:p>
            <w:pPr>
              <w:pStyle w:val="TableParagraph"/>
              <w:spacing w:line="171" w:lineRule="exact"/>
              <w:ind w:left="19" w:right="0"/>
              <w:jc w:val="left"/>
              <w:rPr>
                <w:rFonts w:ascii="宋体" w:hAnsi="宋体" w:cs="宋体" w:eastAsia="宋体" w:hint="default"/>
                <w:sz w:val="15"/>
                <w:szCs w:val="15"/>
              </w:rPr>
            </w:pPr>
            <w:r>
              <w:rPr>
                <w:rFonts w:ascii="宋体"/>
                <w:sz w:val="15"/>
              </w:rPr>
              <w:t>Tongfang Asset</w:t>
            </w:r>
            <w:r>
              <w:rPr>
                <w:rFonts w:ascii="宋体"/>
                <w:spacing w:val="-14"/>
                <w:sz w:val="15"/>
              </w:rPr>
              <w:t> </w:t>
            </w:r>
            <w:r>
              <w:rPr>
                <w:rFonts w:ascii="宋体"/>
                <w:sz w:val="15"/>
              </w:rPr>
              <w:t>Management</w:t>
            </w:r>
          </w:p>
          <w:p>
            <w:pPr>
              <w:pStyle w:val="TableParagraph"/>
              <w:spacing w:line="195" w:lineRule="exact"/>
              <w:ind w:left="19" w:right="0"/>
              <w:jc w:val="left"/>
              <w:rPr>
                <w:rFonts w:ascii="宋体" w:hAnsi="宋体" w:cs="宋体" w:eastAsia="宋体" w:hint="default"/>
                <w:sz w:val="15"/>
                <w:szCs w:val="15"/>
              </w:rPr>
            </w:pPr>
            <w:r>
              <w:rPr>
                <w:rFonts w:ascii="宋体"/>
                <w:sz w:val="15"/>
              </w:rPr>
              <w:t>(Cayman) Company</w:t>
            </w:r>
            <w:r>
              <w:rPr>
                <w:rFonts w:ascii="宋体"/>
                <w:spacing w:val="-13"/>
                <w:sz w:val="15"/>
              </w:rPr>
              <w:t> </w:t>
            </w:r>
            <w:r>
              <w:rPr>
                <w:rFonts w:ascii="宋体"/>
                <w:sz w:val="15"/>
              </w:rPr>
              <w:t>Limited</w:t>
            </w:r>
          </w:p>
        </w:tc>
        <w:tc>
          <w:tcPr>
            <w:tcW w:w="377"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9"/>
              <w:jc w:val="center"/>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60"/>
              <w:jc w:val="right"/>
              <w:rPr>
                <w:rFonts w:ascii="宋体" w:hAnsi="宋体" w:cs="宋体" w:eastAsia="宋体" w:hint="default"/>
                <w:sz w:val="15"/>
                <w:szCs w:val="15"/>
              </w:rPr>
            </w:pPr>
            <w:r>
              <w:rPr>
                <w:rFonts w:ascii="宋体"/>
                <w:spacing w:val="-1"/>
                <w:sz w:val="15"/>
              </w:rPr>
              <w:t>USD5.00</w:t>
            </w:r>
          </w:p>
        </w:tc>
        <w:tc>
          <w:tcPr>
            <w:tcW w:w="65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2" w:right="0"/>
              <w:jc w:val="center"/>
              <w:rPr>
                <w:rFonts w:ascii="宋体" w:hAnsi="宋体" w:cs="宋体" w:eastAsia="宋体" w:hint="default"/>
                <w:sz w:val="15"/>
                <w:szCs w:val="15"/>
              </w:rPr>
            </w:pPr>
            <w:r>
              <w:rPr>
                <w:rFonts w:ascii="宋体"/>
                <w:sz w:val="15"/>
              </w:rPr>
              <w:t>100.00%</w:t>
            </w:r>
          </w:p>
        </w:tc>
        <w:tc>
          <w:tcPr>
            <w:tcW w:w="889"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4"/>
              <w:jc w:val="center"/>
              <w:rPr>
                <w:rFonts w:ascii="宋体" w:hAnsi="宋体" w:cs="宋体" w:eastAsia="宋体" w:hint="default"/>
                <w:sz w:val="15"/>
                <w:szCs w:val="15"/>
              </w:rPr>
            </w:pPr>
            <w:r>
              <w:rPr>
                <w:rFonts w:ascii="宋体" w:hAnsi="宋体" w:cs="宋体" w:eastAsia="宋体" w:hint="default"/>
                <w:sz w:val="15"/>
                <w:szCs w:val="15"/>
              </w:rPr>
              <w:t>开曼群岛</w:t>
            </w:r>
          </w:p>
        </w:tc>
        <w:tc>
          <w:tcPr>
            <w:tcW w:w="359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74" w:right="0"/>
              <w:jc w:val="left"/>
              <w:rPr>
                <w:rFonts w:ascii="宋体" w:hAnsi="宋体" w:cs="宋体" w:eastAsia="宋体" w:hint="default"/>
                <w:sz w:val="15"/>
                <w:szCs w:val="15"/>
              </w:rPr>
            </w:pPr>
            <w:r>
              <w:rPr>
                <w:rFonts w:ascii="宋体" w:hAnsi="宋体" w:cs="宋体" w:eastAsia="宋体" w:hint="default"/>
                <w:sz w:val="15"/>
                <w:szCs w:val="15"/>
              </w:rPr>
              <w:t>资产管理</w:t>
            </w:r>
          </w:p>
        </w:tc>
      </w:tr>
      <w:tr>
        <w:trPr>
          <w:trHeight w:val="229"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85" w:lineRule="exact"/>
              <w:ind w:left="19" w:right="0"/>
              <w:jc w:val="left"/>
              <w:rPr>
                <w:rFonts w:ascii="宋体" w:hAnsi="宋体" w:cs="宋体" w:eastAsia="宋体" w:hint="default"/>
                <w:sz w:val="15"/>
                <w:szCs w:val="15"/>
              </w:rPr>
            </w:pPr>
            <w:r>
              <w:rPr>
                <w:rFonts w:ascii="宋体"/>
                <w:sz w:val="15"/>
              </w:rPr>
              <w:t>Tongfang Capital</w:t>
            </w:r>
            <w:r>
              <w:rPr>
                <w:rFonts w:ascii="宋体"/>
                <w:spacing w:val="-13"/>
                <w:sz w:val="15"/>
              </w:rPr>
              <w:t> </w:t>
            </w:r>
            <w:r>
              <w:rPr>
                <w:rFonts w:ascii="宋体"/>
                <w:sz w:val="15"/>
              </w:rPr>
              <w:t>Limited</w:t>
            </w:r>
          </w:p>
        </w:tc>
        <w:tc>
          <w:tcPr>
            <w:tcW w:w="377" w:type="dxa"/>
            <w:tcBorders>
              <w:top w:val="nil" w:sz="6" w:space="0" w:color="auto"/>
              <w:left w:val="nil" w:sz="6" w:space="0" w:color="auto"/>
              <w:bottom w:val="nil" w:sz="6" w:space="0" w:color="auto"/>
              <w:right w:val="nil" w:sz="6" w:space="0" w:color="auto"/>
            </w:tcBorders>
          </w:tcPr>
          <w:p>
            <w:pPr>
              <w:pStyle w:val="TableParagraph"/>
              <w:spacing w:line="185" w:lineRule="exact"/>
              <w:ind w:right="19"/>
              <w:jc w:val="center"/>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185" w:lineRule="exact"/>
              <w:ind w:right="60"/>
              <w:jc w:val="right"/>
              <w:rPr>
                <w:rFonts w:ascii="宋体" w:hAnsi="宋体" w:cs="宋体" w:eastAsia="宋体" w:hint="default"/>
                <w:sz w:val="15"/>
                <w:szCs w:val="15"/>
              </w:rPr>
            </w:pPr>
            <w:r>
              <w:rPr>
                <w:rFonts w:ascii="宋体"/>
                <w:spacing w:val="-1"/>
                <w:sz w:val="15"/>
              </w:rPr>
              <w:t>HKD2,000.00</w:t>
            </w:r>
          </w:p>
        </w:tc>
        <w:tc>
          <w:tcPr>
            <w:tcW w:w="651" w:type="dxa"/>
            <w:tcBorders>
              <w:top w:val="nil" w:sz="6" w:space="0" w:color="auto"/>
              <w:left w:val="nil" w:sz="6" w:space="0" w:color="auto"/>
              <w:bottom w:val="nil" w:sz="6" w:space="0" w:color="auto"/>
              <w:right w:val="nil" w:sz="6" w:space="0" w:color="auto"/>
            </w:tcBorders>
          </w:tcPr>
          <w:p>
            <w:pPr>
              <w:pStyle w:val="TableParagraph"/>
              <w:spacing w:line="18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5" w:lineRule="exact"/>
              <w:ind w:right="14"/>
              <w:jc w:val="center"/>
              <w:rPr>
                <w:rFonts w:ascii="宋体" w:hAnsi="宋体" w:cs="宋体" w:eastAsia="宋体" w:hint="default"/>
                <w:sz w:val="15"/>
                <w:szCs w:val="15"/>
              </w:rPr>
            </w:pPr>
            <w:r>
              <w:rPr>
                <w:rFonts w:ascii="宋体" w:hAnsi="宋体" w:cs="宋体" w:eastAsia="宋体" w:hint="default"/>
                <w:sz w:val="15"/>
                <w:szCs w:val="15"/>
              </w:rPr>
              <w:t>中国香港</w:t>
            </w:r>
          </w:p>
        </w:tc>
        <w:tc>
          <w:tcPr>
            <w:tcW w:w="3593" w:type="dxa"/>
            <w:tcBorders>
              <w:top w:val="nil" w:sz="6" w:space="0" w:color="auto"/>
              <w:left w:val="nil" w:sz="6" w:space="0" w:color="auto"/>
              <w:bottom w:val="nil" w:sz="6" w:space="0" w:color="auto"/>
              <w:right w:val="nil" w:sz="6" w:space="0" w:color="auto"/>
            </w:tcBorders>
          </w:tcPr>
          <w:p>
            <w:pPr>
              <w:pStyle w:val="TableParagraph"/>
              <w:spacing w:line="185" w:lineRule="exact"/>
              <w:ind w:left="74" w:right="0"/>
              <w:jc w:val="left"/>
              <w:rPr>
                <w:rFonts w:ascii="宋体" w:hAnsi="宋体" w:cs="宋体" w:eastAsia="宋体" w:hint="default"/>
                <w:sz w:val="15"/>
                <w:szCs w:val="15"/>
              </w:rPr>
            </w:pPr>
            <w:r>
              <w:rPr>
                <w:rFonts w:ascii="宋体" w:hAnsi="宋体" w:cs="宋体" w:eastAsia="宋体" w:hint="default"/>
                <w:sz w:val="15"/>
                <w:szCs w:val="15"/>
              </w:rPr>
              <w:t>证券投资</w:t>
            </w:r>
          </w:p>
        </w:tc>
      </w:tr>
      <w:tr>
        <w:trPr>
          <w:trHeight w:val="228"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sz w:val="15"/>
              </w:rPr>
              <w:t>THTF Lighting Group</w:t>
            </w:r>
            <w:r>
              <w:rPr>
                <w:rFonts w:ascii="宋体"/>
                <w:spacing w:val="-13"/>
                <w:sz w:val="15"/>
              </w:rPr>
              <w:t> </w:t>
            </w:r>
            <w:r>
              <w:rPr>
                <w:rFonts w:ascii="宋体"/>
                <w:sz w:val="15"/>
              </w:rPr>
              <w:t>Limited</w:t>
            </w:r>
          </w:p>
        </w:tc>
        <w:tc>
          <w:tcPr>
            <w:tcW w:w="377" w:type="dxa"/>
            <w:tcBorders>
              <w:top w:val="nil" w:sz="6" w:space="0" w:color="auto"/>
              <w:left w:val="nil" w:sz="6" w:space="0" w:color="auto"/>
              <w:bottom w:val="nil" w:sz="6" w:space="0" w:color="auto"/>
              <w:right w:val="nil" w:sz="6" w:space="0" w:color="auto"/>
            </w:tcBorders>
          </w:tcPr>
          <w:p>
            <w:pPr>
              <w:pStyle w:val="TableParagraph"/>
              <w:spacing w:line="195" w:lineRule="exact"/>
              <w:ind w:right="19"/>
              <w:jc w:val="center"/>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spacing w:val="-1"/>
                <w:sz w:val="15"/>
              </w:rPr>
              <w:t>USD1,000.00</w:t>
            </w:r>
          </w:p>
        </w:tc>
        <w:tc>
          <w:tcPr>
            <w:tcW w:w="651" w:type="dxa"/>
            <w:tcBorders>
              <w:top w:val="nil" w:sz="6" w:space="0" w:color="auto"/>
              <w:left w:val="nil" w:sz="6" w:space="0" w:color="auto"/>
              <w:bottom w:val="nil" w:sz="6" w:space="0" w:color="auto"/>
              <w:right w:val="nil" w:sz="6" w:space="0" w:color="auto"/>
            </w:tcBorders>
          </w:tcPr>
          <w:p>
            <w:pPr>
              <w:pStyle w:val="TableParagraph"/>
              <w:spacing w:line="19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维京群岛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400"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4" w:lineRule="exact" w:before="7"/>
              <w:ind w:left="19" w:right="437"/>
              <w:jc w:val="left"/>
              <w:rPr>
                <w:rFonts w:ascii="宋体" w:hAnsi="宋体" w:cs="宋体" w:eastAsia="宋体" w:hint="default"/>
                <w:sz w:val="15"/>
                <w:szCs w:val="15"/>
              </w:rPr>
            </w:pPr>
            <w:r>
              <w:rPr>
                <w:rFonts w:ascii="宋体"/>
                <w:sz w:val="15"/>
              </w:rPr>
              <w:t>Maincharm</w:t>
            </w:r>
            <w:r>
              <w:rPr>
                <w:rFonts w:ascii="宋体"/>
                <w:spacing w:val="-10"/>
                <w:sz w:val="15"/>
              </w:rPr>
              <w:t> </w:t>
            </w:r>
            <w:r>
              <w:rPr>
                <w:rFonts w:ascii="宋体"/>
                <w:sz w:val="15"/>
              </w:rPr>
              <w:t>International</w:t>
            </w:r>
            <w:r>
              <w:rPr>
                <w:rFonts w:ascii="宋体"/>
                <w:w w:val="100"/>
                <w:sz w:val="15"/>
              </w:rPr>
              <w:t> </w:t>
            </w:r>
            <w:r>
              <w:rPr>
                <w:rFonts w:ascii="宋体"/>
                <w:sz w:val="15"/>
              </w:rPr>
              <w:t>Limited</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9"/>
              <w:jc w:val="center"/>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0"/>
              <w:jc w:val="right"/>
              <w:rPr>
                <w:rFonts w:ascii="宋体" w:hAnsi="宋体" w:cs="宋体" w:eastAsia="宋体" w:hint="default"/>
                <w:sz w:val="15"/>
                <w:szCs w:val="15"/>
              </w:rPr>
            </w:pPr>
            <w:r>
              <w:rPr>
                <w:rFonts w:ascii="宋体"/>
                <w:spacing w:val="-1"/>
                <w:sz w:val="15"/>
              </w:rPr>
              <w:t>USD5.00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4"/>
              <w:jc w:val="center"/>
              <w:rPr>
                <w:rFonts w:ascii="宋体" w:hAnsi="宋体" w:cs="宋体" w:eastAsia="宋体" w:hint="default"/>
                <w:sz w:val="15"/>
                <w:szCs w:val="15"/>
              </w:rPr>
            </w:pPr>
            <w:r>
              <w:rPr>
                <w:rFonts w:ascii="宋体" w:hAnsi="宋体" w:cs="宋体" w:eastAsia="宋体" w:hint="default"/>
                <w:sz w:val="15"/>
                <w:szCs w:val="15"/>
              </w:rPr>
              <w:t>维京群岛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596"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9" w:right="137"/>
              <w:jc w:val="left"/>
              <w:rPr>
                <w:rFonts w:ascii="宋体" w:hAnsi="宋体" w:cs="宋体" w:eastAsia="宋体" w:hint="default"/>
                <w:sz w:val="15"/>
                <w:szCs w:val="15"/>
              </w:rPr>
            </w:pPr>
            <w:r>
              <w:rPr>
                <w:rFonts w:ascii="宋体"/>
                <w:sz w:val="15"/>
              </w:rPr>
              <w:t>Neo-Neon</w:t>
            </w:r>
            <w:r>
              <w:rPr>
                <w:rFonts w:ascii="宋体"/>
                <w:spacing w:val="-1"/>
                <w:sz w:val="15"/>
              </w:rPr>
              <w:t> </w:t>
            </w:r>
            <w:r>
              <w:rPr>
                <w:rFonts w:ascii="宋体"/>
                <w:sz w:val="15"/>
              </w:rPr>
              <w:t>(Vietnam)</w:t>
            </w:r>
            <w:r>
              <w:rPr>
                <w:rFonts w:ascii="宋体"/>
                <w:w w:val="100"/>
                <w:sz w:val="15"/>
              </w:rPr>
              <w:t> </w:t>
            </w:r>
            <w:r>
              <w:rPr>
                <w:rFonts w:ascii="宋体"/>
                <w:sz w:val="15"/>
              </w:rPr>
              <w:t>Development Company</w:t>
            </w:r>
            <w:r>
              <w:rPr>
                <w:rFonts w:ascii="宋体"/>
                <w:spacing w:val="-12"/>
                <w:sz w:val="15"/>
              </w:rPr>
              <w:t> </w:t>
            </w:r>
            <w:r>
              <w:rPr>
                <w:rFonts w:ascii="宋体"/>
                <w:sz w:val="15"/>
              </w:rPr>
              <w:t>Limited</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9"/>
              <w:jc w:val="center"/>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60"/>
              <w:jc w:val="right"/>
              <w:rPr>
                <w:rFonts w:ascii="宋体" w:hAnsi="宋体" w:cs="宋体" w:eastAsia="宋体" w:hint="default"/>
                <w:sz w:val="15"/>
                <w:szCs w:val="15"/>
              </w:rPr>
            </w:pPr>
            <w:r>
              <w:rPr>
                <w:rFonts w:ascii="宋体"/>
                <w:spacing w:val="-1"/>
                <w:sz w:val="15"/>
              </w:rPr>
              <w:t>USD2,800.00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1"/>
              <w:jc w:val="center"/>
              <w:rPr>
                <w:rFonts w:ascii="宋体" w:hAnsi="宋体" w:cs="宋体" w:eastAsia="宋体" w:hint="default"/>
                <w:sz w:val="15"/>
                <w:szCs w:val="15"/>
              </w:rPr>
            </w:pPr>
            <w:r>
              <w:rPr>
                <w:rFonts w:ascii="宋体" w:hAnsi="宋体" w:cs="宋体" w:eastAsia="宋体" w:hint="default"/>
                <w:sz w:val="15"/>
                <w:szCs w:val="15"/>
              </w:rPr>
              <w:t>越南太平省</w:t>
            </w:r>
          </w:p>
        </w:tc>
        <w:tc>
          <w:tcPr>
            <w:tcW w:w="3593" w:type="dxa"/>
            <w:tcBorders>
              <w:top w:val="nil" w:sz="6" w:space="0" w:color="auto"/>
              <w:left w:val="nil" w:sz="6" w:space="0" w:color="auto"/>
              <w:bottom w:val="nil" w:sz="6" w:space="0" w:color="auto"/>
              <w:right w:val="nil" w:sz="6" w:space="0" w:color="auto"/>
            </w:tcBorders>
          </w:tcPr>
          <w:p>
            <w:pPr>
              <w:pStyle w:val="TableParagraph"/>
              <w:spacing w:line="173" w:lineRule="exact"/>
              <w:ind w:left="74" w:right="0"/>
              <w:jc w:val="left"/>
              <w:rPr>
                <w:rFonts w:ascii="宋体" w:hAnsi="宋体" w:cs="宋体" w:eastAsia="宋体" w:hint="default"/>
                <w:sz w:val="15"/>
                <w:szCs w:val="15"/>
              </w:rPr>
            </w:pPr>
            <w:r>
              <w:rPr>
                <w:rFonts w:ascii="宋体" w:hAnsi="宋体" w:cs="宋体" w:eastAsia="宋体" w:hint="default"/>
                <w:spacing w:val="-1"/>
                <w:sz w:val="15"/>
                <w:szCs w:val="15"/>
              </w:rPr>
              <w:t>LED</w:t>
            </w:r>
            <w:r>
              <w:rPr>
                <w:rFonts w:ascii="宋体" w:hAnsi="宋体" w:cs="宋体" w:eastAsia="宋体" w:hint="default"/>
                <w:spacing w:val="1"/>
                <w:sz w:val="15"/>
                <w:szCs w:val="15"/>
              </w:rPr>
              <w:t> </w:t>
            </w:r>
            <w:r>
              <w:rPr>
                <w:rFonts w:ascii="宋体" w:hAnsi="宋体" w:cs="宋体" w:eastAsia="宋体" w:hint="default"/>
                <w:spacing w:val="-2"/>
                <w:sz w:val="15"/>
                <w:szCs w:val="15"/>
              </w:rPr>
              <w:t>照明、装饰灯系列产品生产及销售；米泡装饰灯</w:t>
            </w:r>
          </w:p>
          <w:p>
            <w:pPr>
              <w:pStyle w:val="TableParagraph"/>
              <w:spacing w:line="240" w:lineRule="auto"/>
              <w:ind w:left="74" w:right="104"/>
              <w:jc w:val="left"/>
              <w:rPr>
                <w:rFonts w:ascii="宋体" w:hAnsi="宋体" w:cs="宋体" w:eastAsia="宋体" w:hint="default"/>
                <w:sz w:val="15"/>
                <w:szCs w:val="15"/>
              </w:rPr>
            </w:pPr>
            <w:r>
              <w:rPr>
                <w:rFonts w:ascii="宋体" w:hAnsi="宋体" w:cs="宋体" w:eastAsia="宋体" w:hint="default"/>
                <w:spacing w:val="-4"/>
                <w:sz w:val="15"/>
                <w:szCs w:val="15"/>
              </w:rPr>
              <w:t>生产及装饰灯配件生产及销售；舞台灯系列产品生产</w:t>
            </w:r>
            <w:r>
              <w:rPr>
                <w:rFonts w:ascii="宋体" w:hAnsi="宋体" w:cs="宋体" w:eastAsia="宋体" w:hint="default"/>
                <w:spacing w:val="-26"/>
                <w:sz w:val="15"/>
                <w:szCs w:val="15"/>
              </w:rPr>
              <w:t> </w:t>
            </w:r>
            <w:r>
              <w:rPr>
                <w:rFonts w:ascii="宋体" w:hAnsi="宋体" w:cs="宋体" w:eastAsia="宋体" w:hint="default"/>
                <w:spacing w:val="-26"/>
                <w:sz w:val="15"/>
                <w:szCs w:val="15"/>
              </w:rPr>
            </w:r>
            <w:r>
              <w:rPr>
                <w:rFonts w:ascii="宋体" w:hAnsi="宋体" w:cs="宋体" w:eastAsia="宋体" w:hint="default"/>
                <w:sz w:val="15"/>
                <w:szCs w:val="15"/>
              </w:rPr>
              <w:t>及销售</w:t>
            </w:r>
          </w:p>
        </w:tc>
      </w:tr>
      <w:tr>
        <w:trPr>
          <w:trHeight w:val="228"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83" w:lineRule="exact"/>
              <w:ind w:left="19" w:right="0"/>
              <w:jc w:val="left"/>
              <w:rPr>
                <w:rFonts w:ascii="宋体" w:hAnsi="宋体" w:cs="宋体" w:eastAsia="宋体" w:hint="default"/>
                <w:sz w:val="15"/>
                <w:szCs w:val="15"/>
              </w:rPr>
            </w:pPr>
            <w:r>
              <w:rPr>
                <w:rFonts w:ascii="宋体"/>
                <w:sz w:val="15"/>
              </w:rPr>
              <w:t>Neo-Neon</w:t>
            </w:r>
            <w:r>
              <w:rPr>
                <w:rFonts w:ascii="宋体"/>
                <w:spacing w:val="-36"/>
                <w:sz w:val="15"/>
              </w:rPr>
              <w:t> </w:t>
            </w:r>
            <w:r>
              <w:rPr>
                <w:rFonts w:ascii="宋体"/>
                <w:sz w:val="15"/>
              </w:rPr>
              <w:t>Development</w:t>
            </w:r>
            <w:r>
              <w:rPr>
                <w:rFonts w:ascii="宋体"/>
                <w:spacing w:val="-36"/>
                <w:sz w:val="15"/>
              </w:rPr>
              <w:t> </w:t>
            </w:r>
            <w:r>
              <w:rPr>
                <w:rFonts w:ascii="宋体"/>
                <w:sz w:val="15"/>
              </w:rPr>
              <w:t>Co.,Ltd.</w:t>
            </w:r>
          </w:p>
        </w:tc>
        <w:tc>
          <w:tcPr>
            <w:tcW w:w="377" w:type="dxa"/>
            <w:tcBorders>
              <w:top w:val="nil" w:sz="6" w:space="0" w:color="auto"/>
              <w:left w:val="nil" w:sz="6" w:space="0" w:color="auto"/>
              <w:bottom w:val="nil" w:sz="6" w:space="0" w:color="auto"/>
              <w:right w:val="nil" w:sz="6" w:space="0" w:color="auto"/>
            </w:tcBorders>
          </w:tcPr>
          <w:p>
            <w:pPr>
              <w:pStyle w:val="TableParagraph"/>
              <w:spacing w:line="183" w:lineRule="exact"/>
              <w:ind w:right="19"/>
              <w:jc w:val="center"/>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183" w:lineRule="exact"/>
              <w:ind w:right="60"/>
              <w:jc w:val="right"/>
              <w:rPr>
                <w:rFonts w:ascii="宋体" w:hAnsi="宋体" w:cs="宋体" w:eastAsia="宋体" w:hint="default"/>
                <w:sz w:val="15"/>
                <w:szCs w:val="15"/>
              </w:rPr>
            </w:pPr>
            <w:r>
              <w:rPr>
                <w:rFonts w:ascii="宋体"/>
                <w:spacing w:val="-1"/>
                <w:sz w:val="15"/>
              </w:rPr>
              <w:t>USD5.00</w:t>
            </w:r>
          </w:p>
        </w:tc>
        <w:tc>
          <w:tcPr>
            <w:tcW w:w="651" w:type="dxa"/>
            <w:tcBorders>
              <w:top w:val="nil" w:sz="6" w:space="0" w:color="auto"/>
              <w:left w:val="nil" w:sz="6" w:space="0" w:color="auto"/>
              <w:bottom w:val="nil" w:sz="6" w:space="0" w:color="auto"/>
              <w:right w:val="nil" w:sz="6" w:space="0" w:color="auto"/>
            </w:tcBorders>
          </w:tcPr>
          <w:p>
            <w:pPr>
              <w:pStyle w:val="TableParagraph"/>
              <w:spacing w:line="183"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3" w:lineRule="exact"/>
              <w:ind w:right="14"/>
              <w:jc w:val="center"/>
              <w:rPr>
                <w:rFonts w:ascii="宋体" w:hAnsi="宋体" w:cs="宋体" w:eastAsia="宋体" w:hint="default"/>
                <w:sz w:val="15"/>
                <w:szCs w:val="15"/>
              </w:rPr>
            </w:pPr>
            <w:r>
              <w:rPr>
                <w:rFonts w:ascii="宋体" w:hAnsi="宋体" w:cs="宋体" w:eastAsia="宋体" w:hint="default"/>
                <w:sz w:val="15"/>
                <w:szCs w:val="15"/>
              </w:rPr>
              <w:t>维京群岛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183" w:lineRule="exact"/>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240"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sz w:val="15"/>
              </w:rPr>
              <w:t>LED House</w:t>
            </w:r>
            <w:r>
              <w:rPr>
                <w:rFonts w:ascii="宋体"/>
                <w:spacing w:val="-8"/>
                <w:sz w:val="15"/>
              </w:rPr>
              <w:t> </w:t>
            </w:r>
            <w:r>
              <w:rPr>
                <w:rFonts w:ascii="宋体"/>
                <w:sz w:val="15"/>
              </w:rPr>
              <w:t>Limited</w:t>
            </w:r>
          </w:p>
        </w:tc>
        <w:tc>
          <w:tcPr>
            <w:tcW w:w="377" w:type="dxa"/>
            <w:tcBorders>
              <w:top w:val="nil" w:sz="6" w:space="0" w:color="auto"/>
              <w:left w:val="nil" w:sz="6" w:space="0" w:color="auto"/>
              <w:bottom w:val="nil" w:sz="6" w:space="0" w:color="auto"/>
              <w:right w:val="nil" w:sz="6" w:space="0" w:color="auto"/>
            </w:tcBorders>
          </w:tcPr>
          <w:p>
            <w:pPr>
              <w:pStyle w:val="TableParagraph"/>
              <w:spacing w:line="195" w:lineRule="exact"/>
              <w:ind w:right="19"/>
              <w:jc w:val="center"/>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spacing w:val="-1"/>
                <w:sz w:val="15"/>
              </w:rPr>
              <w:t>HKD1.00</w:t>
            </w:r>
          </w:p>
        </w:tc>
        <w:tc>
          <w:tcPr>
            <w:tcW w:w="651" w:type="dxa"/>
            <w:tcBorders>
              <w:top w:val="nil" w:sz="6" w:space="0" w:color="auto"/>
              <w:left w:val="nil" w:sz="6" w:space="0" w:color="auto"/>
              <w:bottom w:val="nil" w:sz="6" w:space="0" w:color="auto"/>
              <w:right w:val="nil" w:sz="6" w:space="0" w:color="auto"/>
            </w:tcBorders>
          </w:tcPr>
          <w:p>
            <w:pPr>
              <w:pStyle w:val="TableParagraph"/>
              <w:spacing w:line="19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中国香港</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装饰灯产品的销售</w:t>
            </w:r>
          </w:p>
        </w:tc>
      </w:tr>
      <w:tr>
        <w:trPr>
          <w:trHeight w:val="240"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sz w:val="15"/>
              </w:rPr>
              <w:t>Neo-Neon Enterprises</w:t>
            </w:r>
            <w:r>
              <w:rPr>
                <w:rFonts w:ascii="宋体"/>
                <w:spacing w:val="-16"/>
                <w:sz w:val="15"/>
              </w:rPr>
              <w:t> </w:t>
            </w:r>
            <w:r>
              <w:rPr>
                <w:rFonts w:ascii="宋体"/>
                <w:sz w:val="15"/>
              </w:rPr>
              <w:t>Limited</w:t>
            </w:r>
          </w:p>
        </w:tc>
        <w:tc>
          <w:tcPr>
            <w:tcW w:w="377" w:type="dxa"/>
            <w:tcBorders>
              <w:top w:val="nil" w:sz="6" w:space="0" w:color="auto"/>
              <w:left w:val="nil" w:sz="6" w:space="0" w:color="auto"/>
              <w:bottom w:val="nil" w:sz="6" w:space="0" w:color="auto"/>
              <w:right w:val="nil" w:sz="6" w:space="0" w:color="auto"/>
            </w:tcBorders>
          </w:tcPr>
          <w:p>
            <w:pPr>
              <w:pStyle w:val="TableParagraph"/>
              <w:spacing w:line="195" w:lineRule="exact"/>
              <w:ind w:right="19"/>
              <w:jc w:val="center"/>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spacing w:val="-1"/>
                <w:sz w:val="15"/>
              </w:rPr>
              <w:t>HKD1.00</w:t>
            </w:r>
          </w:p>
        </w:tc>
        <w:tc>
          <w:tcPr>
            <w:tcW w:w="651" w:type="dxa"/>
            <w:tcBorders>
              <w:top w:val="nil" w:sz="6" w:space="0" w:color="auto"/>
              <w:left w:val="nil" w:sz="6" w:space="0" w:color="auto"/>
              <w:bottom w:val="nil" w:sz="6" w:space="0" w:color="auto"/>
              <w:right w:val="nil" w:sz="6" w:space="0" w:color="auto"/>
            </w:tcBorders>
          </w:tcPr>
          <w:p>
            <w:pPr>
              <w:pStyle w:val="TableParagraph"/>
              <w:spacing w:line="19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中国香港</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装饰灯产品的销售</w:t>
            </w:r>
          </w:p>
        </w:tc>
      </w:tr>
      <w:tr>
        <w:trPr>
          <w:trHeight w:val="229"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hAnsi="宋体" w:cs="宋体" w:eastAsia="宋体" w:hint="default"/>
                <w:sz w:val="15"/>
                <w:szCs w:val="15"/>
              </w:rPr>
              <w:t>奇创实业有限公司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195" w:lineRule="exact"/>
              <w:ind w:right="19"/>
              <w:jc w:val="center"/>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spacing w:val="-1"/>
                <w:sz w:val="15"/>
              </w:rPr>
              <w:t>TWD8,000.00</w:t>
            </w:r>
          </w:p>
        </w:tc>
        <w:tc>
          <w:tcPr>
            <w:tcW w:w="651" w:type="dxa"/>
            <w:tcBorders>
              <w:top w:val="nil" w:sz="6" w:space="0" w:color="auto"/>
              <w:left w:val="nil" w:sz="6" w:space="0" w:color="auto"/>
              <w:bottom w:val="nil" w:sz="6" w:space="0" w:color="auto"/>
              <w:right w:val="nil" w:sz="6" w:space="0" w:color="auto"/>
            </w:tcBorders>
          </w:tcPr>
          <w:p>
            <w:pPr>
              <w:pStyle w:val="TableParagraph"/>
              <w:spacing w:line="19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中国台湾</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不动产投资</w:t>
            </w:r>
          </w:p>
        </w:tc>
      </w:tr>
      <w:tr>
        <w:trPr>
          <w:trHeight w:val="412"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4" w:lineRule="exact" w:before="8"/>
              <w:ind w:left="19" w:right="588"/>
              <w:jc w:val="left"/>
              <w:rPr>
                <w:rFonts w:ascii="宋体" w:hAnsi="宋体" w:cs="宋体" w:eastAsia="宋体" w:hint="default"/>
                <w:sz w:val="15"/>
                <w:szCs w:val="15"/>
              </w:rPr>
            </w:pPr>
            <w:r>
              <w:rPr>
                <w:rFonts w:ascii="宋体"/>
                <w:sz w:val="15"/>
              </w:rPr>
              <w:t>Neo-Neon LED</w:t>
            </w:r>
            <w:r>
              <w:rPr>
                <w:rFonts w:ascii="宋体"/>
                <w:spacing w:val="-11"/>
                <w:sz w:val="15"/>
              </w:rPr>
              <w:t> </w:t>
            </w:r>
            <w:r>
              <w:rPr>
                <w:rFonts w:ascii="宋体"/>
                <w:sz w:val="15"/>
              </w:rPr>
              <w:t>Lighting</w:t>
            </w:r>
            <w:r>
              <w:rPr>
                <w:rFonts w:ascii="宋体"/>
                <w:w w:val="100"/>
                <w:sz w:val="15"/>
              </w:rPr>
              <w:t> </w:t>
            </w:r>
            <w:r>
              <w:rPr>
                <w:rFonts w:ascii="宋体"/>
                <w:sz w:val="15"/>
              </w:rPr>
              <w:t>International</w:t>
            </w:r>
            <w:r>
              <w:rPr>
                <w:rFonts w:ascii="宋体"/>
                <w:spacing w:val="-12"/>
                <w:sz w:val="15"/>
              </w:rPr>
              <w:t> </w:t>
            </w:r>
            <w:r>
              <w:rPr>
                <w:rFonts w:ascii="宋体"/>
                <w:sz w:val="15"/>
              </w:rPr>
              <w:t>Limited</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center"/>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0"/>
              <w:jc w:val="right"/>
              <w:rPr>
                <w:rFonts w:ascii="宋体" w:hAnsi="宋体" w:cs="宋体" w:eastAsia="宋体" w:hint="default"/>
                <w:sz w:val="15"/>
                <w:szCs w:val="15"/>
              </w:rPr>
            </w:pPr>
            <w:r>
              <w:rPr>
                <w:rFonts w:ascii="宋体"/>
                <w:spacing w:val="-1"/>
                <w:sz w:val="15"/>
              </w:rPr>
              <w:t>USD1.00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4" w:lineRule="exact" w:before="8"/>
              <w:ind w:left="387" w:right="72" w:hanging="327"/>
              <w:jc w:val="left"/>
              <w:rPr>
                <w:rFonts w:ascii="宋体" w:hAnsi="宋体" w:cs="宋体" w:eastAsia="宋体" w:hint="default"/>
                <w:sz w:val="15"/>
                <w:szCs w:val="15"/>
              </w:rPr>
            </w:pPr>
            <w:r>
              <w:rPr>
                <w:rFonts w:ascii="宋体" w:hAnsi="宋体" w:cs="宋体" w:eastAsia="宋体" w:hint="default"/>
                <w:spacing w:val="-1"/>
                <w:sz w:val="15"/>
                <w:szCs w:val="15"/>
              </w:rPr>
              <w:t>西萨摩亚群</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岛</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4" w:right="0"/>
              <w:jc w:val="left"/>
              <w:rPr>
                <w:rFonts w:ascii="宋体" w:hAnsi="宋体" w:cs="宋体" w:eastAsia="宋体" w:hint="default"/>
                <w:sz w:val="15"/>
                <w:szCs w:val="15"/>
              </w:rPr>
            </w:pPr>
            <w:r>
              <w:rPr>
                <w:rFonts w:ascii="宋体" w:hAnsi="宋体" w:cs="宋体" w:eastAsia="宋体" w:hint="default"/>
                <w:sz w:val="15"/>
                <w:szCs w:val="15"/>
              </w:rPr>
              <w:t>装饰灯产品的销售</w:t>
            </w:r>
          </w:p>
        </w:tc>
      </w:tr>
      <w:tr>
        <w:trPr>
          <w:trHeight w:val="218"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83" w:lineRule="exact"/>
              <w:ind w:left="19" w:right="0"/>
              <w:jc w:val="left"/>
              <w:rPr>
                <w:rFonts w:ascii="宋体" w:hAnsi="宋体" w:cs="宋体" w:eastAsia="宋体" w:hint="default"/>
                <w:sz w:val="15"/>
                <w:szCs w:val="15"/>
              </w:rPr>
            </w:pPr>
            <w:r>
              <w:rPr>
                <w:rFonts w:ascii="宋体"/>
                <w:sz w:val="15"/>
              </w:rPr>
              <w:t>Richmax  Enterprises</w:t>
            </w:r>
            <w:r>
              <w:rPr>
                <w:rFonts w:ascii="宋体"/>
                <w:spacing w:val="61"/>
                <w:sz w:val="15"/>
              </w:rPr>
              <w:t> </w:t>
            </w:r>
            <w:r>
              <w:rPr>
                <w:rFonts w:ascii="宋体"/>
                <w:sz w:val="15"/>
              </w:rPr>
              <w:t>Ltd</w:t>
            </w:r>
          </w:p>
        </w:tc>
        <w:tc>
          <w:tcPr>
            <w:tcW w:w="377" w:type="dxa"/>
            <w:tcBorders>
              <w:top w:val="nil" w:sz="6" w:space="0" w:color="auto"/>
              <w:left w:val="nil" w:sz="6" w:space="0" w:color="auto"/>
              <w:bottom w:val="nil" w:sz="6" w:space="0" w:color="auto"/>
              <w:right w:val="nil" w:sz="6" w:space="0" w:color="auto"/>
            </w:tcBorders>
          </w:tcPr>
          <w:p>
            <w:pPr>
              <w:pStyle w:val="TableParagraph"/>
              <w:spacing w:line="183" w:lineRule="exact"/>
              <w:ind w:right="19"/>
              <w:jc w:val="center"/>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183" w:lineRule="exact"/>
              <w:ind w:right="60"/>
              <w:jc w:val="right"/>
              <w:rPr>
                <w:rFonts w:ascii="宋体" w:hAnsi="宋体" w:cs="宋体" w:eastAsia="宋体" w:hint="default"/>
                <w:sz w:val="15"/>
                <w:szCs w:val="15"/>
              </w:rPr>
            </w:pPr>
            <w:r>
              <w:rPr>
                <w:rFonts w:ascii="宋体"/>
                <w:spacing w:val="-1"/>
                <w:sz w:val="15"/>
              </w:rPr>
              <w:t>USD5.00</w:t>
            </w:r>
          </w:p>
        </w:tc>
        <w:tc>
          <w:tcPr>
            <w:tcW w:w="651" w:type="dxa"/>
            <w:tcBorders>
              <w:top w:val="nil" w:sz="6" w:space="0" w:color="auto"/>
              <w:left w:val="nil" w:sz="6" w:space="0" w:color="auto"/>
              <w:bottom w:val="nil" w:sz="6" w:space="0" w:color="auto"/>
              <w:right w:val="nil" w:sz="6" w:space="0" w:color="auto"/>
            </w:tcBorders>
          </w:tcPr>
          <w:p>
            <w:pPr>
              <w:pStyle w:val="TableParagraph"/>
              <w:spacing w:line="183"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3" w:lineRule="exact"/>
              <w:ind w:right="14"/>
              <w:jc w:val="center"/>
              <w:rPr>
                <w:rFonts w:ascii="宋体" w:hAnsi="宋体" w:cs="宋体" w:eastAsia="宋体" w:hint="default"/>
                <w:sz w:val="15"/>
                <w:szCs w:val="15"/>
              </w:rPr>
            </w:pPr>
            <w:r>
              <w:rPr>
                <w:rFonts w:ascii="宋体" w:hAnsi="宋体" w:cs="宋体" w:eastAsia="宋体" w:hint="default"/>
                <w:sz w:val="15"/>
                <w:szCs w:val="15"/>
              </w:rPr>
              <w:t>维京群岛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183" w:lineRule="exact"/>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595"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4" w:lineRule="exact" w:before="8"/>
              <w:ind w:left="19" w:right="137"/>
              <w:jc w:val="left"/>
              <w:rPr>
                <w:rFonts w:ascii="宋体" w:hAnsi="宋体" w:cs="宋体" w:eastAsia="宋体" w:hint="default"/>
                <w:sz w:val="15"/>
                <w:szCs w:val="15"/>
              </w:rPr>
            </w:pPr>
            <w:r>
              <w:rPr>
                <w:rFonts w:ascii="宋体"/>
                <w:sz w:val="15"/>
              </w:rPr>
              <w:t>Star Bright</w:t>
            </w:r>
            <w:r>
              <w:rPr>
                <w:rFonts w:ascii="宋体"/>
                <w:spacing w:val="-8"/>
                <w:sz w:val="15"/>
              </w:rPr>
              <w:t> </w:t>
            </w:r>
            <w:r>
              <w:rPr>
                <w:rFonts w:ascii="宋体"/>
                <w:sz w:val="15"/>
              </w:rPr>
              <w:t>International</w:t>
            </w:r>
            <w:r>
              <w:rPr>
                <w:rFonts w:ascii="宋体"/>
                <w:w w:val="100"/>
                <w:sz w:val="15"/>
              </w:rPr>
              <w:t> </w:t>
            </w:r>
            <w:r>
              <w:rPr>
                <w:rFonts w:ascii="宋体"/>
                <w:sz w:val="15"/>
              </w:rPr>
              <w:t>(Macao Commercial</w:t>
            </w:r>
            <w:r>
              <w:rPr>
                <w:rFonts w:ascii="宋体"/>
                <w:spacing w:val="-12"/>
                <w:sz w:val="15"/>
              </w:rPr>
              <w:t> </w:t>
            </w:r>
            <w:r>
              <w:rPr>
                <w:rFonts w:ascii="宋体"/>
                <w:sz w:val="15"/>
              </w:rPr>
              <w:t>offshore)</w:t>
            </w:r>
            <w:r>
              <w:rPr>
                <w:rFonts w:ascii="宋体"/>
                <w:w w:val="100"/>
                <w:sz w:val="15"/>
              </w:rPr>
              <w:t> </w:t>
            </w:r>
            <w:r>
              <w:rPr>
                <w:rFonts w:ascii="宋体"/>
                <w:sz w:val="15"/>
              </w:rPr>
              <w:t>Ltd.</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9"/>
              <w:jc w:val="center"/>
              <w:rPr>
                <w:rFonts w:ascii="宋体" w:hAnsi="宋体" w:cs="宋体" w:eastAsia="宋体" w:hint="default"/>
                <w:sz w:val="15"/>
                <w:szCs w:val="15"/>
              </w:rPr>
            </w:pPr>
            <w:r>
              <w:rPr>
                <w:rFonts w:ascii="宋体" w:hAnsi="宋体" w:cs="宋体" w:eastAsia="宋体" w:hint="default"/>
                <w:sz w:val="15"/>
                <w:szCs w:val="15"/>
              </w:rPr>
              <w:t>7</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60"/>
              <w:jc w:val="right"/>
              <w:rPr>
                <w:rFonts w:ascii="宋体" w:hAnsi="宋体" w:cs="宋体" w:eastAsia="宋体" w:hint="default"/>
                <w:sz w:val="15"/>
                <w:szCs w:val="15"/>
              </w:rPr>
            </w:pPr>
            <w:r>
              <w:rPr>
                <w:rFonts w:ascii="宋体"/>
                <w:spacing w:val="-1"/>
                <w:sz w:val="15"/>
              </w:rPr>
              <w:t>MOP10.00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中国澳门</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74" w:right="0"/>
              <w:jc w:val="left"/>
              <w:rPr>
                <w:rFonts w:ascii="宋体" w:hAnsi="宋体" w:cs="宋体" w:eastAsia="宋体" w:hint="default"/>
                <w:sz w:val="15"/>
                <w:szCs w:val="15"/>
              </w:rPr>
            </w:pPr>
            <w:r>
              <w:rPr>
                <w:rFonts w:ascii="宋体" w:hAnsi="宋体" w:cs="宋体" w:eastAsia="宋体" w:hint="default"/>
                <w:sz w:val="15"/>
                <w:szCs w:val="15"/>
              </w:rPr>
              <w:t>装饰灯产品的销售</w:t>
            </w:r>
          </w:p>
        </w:tc>
      </w:tr>
      <w:tr>
        <w:trPr>
          <w:trHeight w:val="389"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72" w:lineRule="exact"/>
              <w:ind w:left="19" w:right="0"/>
              <w:jc w:val="left"/>
              <w:rPr>
                <w:rFonts w:ascii="宋体" w:hAnsi="宋体" w:cs="宋体" w:eastAsia="宋体" w:hint="default"/>
                <w:sz w:val="15"/>
                <w:szCs w:val="15"/>
              </w:rPr>
            </w:pPr>
            <w:r>
              <w:rPr>
                <w:rFonts w:ascii="宋体"/>
                <w:sz w:val="15"/>
              </w:rPr>
              <w:t>Neo-Neon LED M&amp;A</w:t>
            </w:r>
            <w:r>
              <w:rPr>
                <w:rFonts w:ascii="宋体"/>
                <w:spacing w:val="-14"/>
                <w:sz w:val="15"/>
              </w:rPr>
              <w:t> </w:t>
            </w:r>
            <w:r>
              <w:rPr>
                <w:rFonts w:ascii="宋体"/>
                <w:sz w:val="15"/>
              </w:rPr>
              <w:t>Holdings</w:t>
            </w:r>
          </w:p>
          <w:p>
            <w:pPr>
              <w:pStyle w:val="TableParagraph"/>
              <w:spacing w:line="195" w:lineRule="exact"/>
              <w:ind w:left="19" w:right="0"/>
              <w:jc w:val="left"/>
              <w:rPr>
                <w:rFonts w:ascii="宋体" w:hAnsi="宋体" w:cs="宋体" w:eastAsia="宋体" w:hint="default"/>
                <w:sz w:val="15"/>
                <w:szCs w:val="15"/>
              </w:rPr>
            </w:pPr>
            <w:r>
              <w:rPr>
                <w:rFonts w:ascii="宋体"/>
                <w:sz w:val="15"/>
              </w:rPr>
              <w:t>Limited</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9"/>
              <w:jc w:val="center"/>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0"/>
              <w:jc w:val="right"/>
              <w:rPr>
                <w:rFonts w:ascii="宋体" w:hAnsi="宋体" w:cs="宋体" w:eastAsia="宋体" w:hint="default"/>
                <w:sz w:val="15"/>
                <w:szCs w:val="15"/>
              </w:rPr>
            </w:pPr>
            <w:r>
              <w:rPr>
                <w:rFonts w:ascii="宋体"/>
                <w:spacing w:val="-1"/>
                <w:sz w:val="15"/>
              </w:rPr>
              <w:t>USD5.00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4"/>
              <w:jc w:val="center"/>
              <w:rPr>
                <w:rFonts w:ascii="宋体" w:hAnsi="宋体" w:cs="宋体" w:eastAsia="宋体" w:hint="default"/>
                <w:sz w:val="15"/>
                <w:szCs w:val="15"/>
              </w:rPr>
            </w:pPr>
            <w:r>
              <w:rPr>
                <w:rFonts w:ascii="宋体" w:hAnsi="宋体" w:cs="宋体" w:eastAsia="宋体" w:hint="default"/>
                <w:sz w:val="15"/>
                <w:szCs w:val="15"/>
              </w:rPr>
              <w:t>维京群岛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389"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72" w:lineRule="exact"/>
              <w:ind w:left="19" w:right="0"/>
              <w:jc w:val="left"/>
              <w:rPr>
                <w:rFonts w:ascii="宋体" w:hAnsi="宋体" w:cs="宋体" w:eastAsia="宋体" w:hint="default"/>
                <w:sz w:val="15"/>
                <w:szCs w:val="15"/>
              </w:rPr>
            </w:pPr>
            <w:r>
              <w:rPr>
                <w:rFonts w:ascii="宋体"/>
                <w:sz w:val="15"/>
              </w:rPr>
              <w:t>Neo-Neon LED  USA</w:t>
            </w:r>
            <w:r>
              <w:rPr>
                <w:rFonts w:ascii="宋体"/>
                <w:spacing w:val="-12"/>
                <w:sz w:val="15"/>
              </w:rPr>
              <w:t> </w:t>
            </w:r>
            <w:r>
              <w:rPr>
                <w:rFonts w:ascii="宋体"/>
                <w:sz w:val="15"/>
              </w:rPr>
              <w:t>Holdings</w:t>
            </w:r>
          </w:p>
          <w:p>
            <w:pPr>
              <w:pStyle w:val="TableParagraph"/>
              <w:spacing w:line="195" w:lineRule="exact"/>
              <w:ind w:left="19" w:right="0"/>
              <w:jc w:val="left"/>
              <w:rPr>
                <w:rFonts w:ascii="宋体" w:hAnsi="宋体" w:cs="宋体" w:eastAsia="宋体" w:hint="default"/>
                <w:sz w:val="15"/>
                <w:szCs w:val="15"/>
              </w:rPr>
            </w:pPr>
            <w:r>
              <w:rPr>
                <w:rFonts w:ascii="宋体"/>
                <w:sz w:val="15"/>
              </w:rPr>
              <w:t>Limited</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center"/>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0"/>
              <w:jc w:val="right"/>
              <w:rPr>
                <w:rFonts w:ascii="宋体" w:hAnsi="宋体" w:cs="宋体" w:eastAsia="宋体" w:hint="default"/>
                <w:sz w:val="15"/>
                <w:szCs w:val="15"/>
              </w:rPr>
            </w:pPr>
            <w:r>
              <w:rPr>
                <w:rFonts w:ascii="宋体"/>
                <w:spacing w:val="-1"/>
                <w:sz w:val="15"/>
              </w:rPr>
              <w:t>USD5.00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center"/>
              <w:rPr>
                <w:rFonts w:ascii="宋体" w:hAnsi="宋体" w:cs="宋体" w:eastAsia="宋体" w:hint="default"/>
                <w:sz w:val="15"/>
                <w:szCs w:val="15"/>
              </w:rPr>
            </w:pPr>
            <w:r>
              <w:rPr>
                <w:rFonts w:ascii="宋体" w:hAnsi="宋体" w:cs="宋体" w:eastAsia="宋体" w:hint="default"/>
                <w:sz w:val="15"/>
                <w:szCs w:val="15"/>
              </w:rPr>
              <w:t>维京群岛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4" w:right="0"/>
              <w:jc w:val="left"/>
              <w:rPr>
                <w:rFonts w:ascii="宋体" w:hAnsi="宋体" w:cs="宋体" w:eastAsia="宋体" w:hint="default"/>
                <w:sz w:val="15"/>
                <w:szCs w:val="15"/>
              </w:rPr>
            </w:pPr>
            <w:r>
              <w:rPr>
                <w:rFonts w:ascii="宋体" w:hAnsi="宋体" w:cs="宋体" w:eastAsia="宋体" w:hint="default"/>
                <w:sz w:val="15"/>
                <w:szCs w:val="15"/>
              </w:rPr>
              <w:t>装饰灯产品的销售</w:t>
            </w:r>
          </w:p>
        </w:tc>
      </w:tr>
      <w:tr>
        <w:trPr>
          <w:trHeight w:val="401"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9" w:right="0"/>
              <w:jc w:val="left"/>
              <w:rPr>
                <w:rFonts w:ascii="宋体" w:hAnsi="宋体" w:cs="宋体" w:eastAsia="宋体" w:hint="default"/>
                <w:sz w:val="15"/>
                <w:szCs w:val="15"/>
              </w:rPr>
            </w:pPr>
            <w:r>
              <w:rPr>
                <w:rFonts w:ascii="宋体"/>
                <w:sz w:val="15"/>
              </w:rPr>
              <w:t>American Lighting</w:t>
            </w:r>
            <w:r>
              <w:rPr>
                <w:rFonts w:ascii="宋体"/>
                <w:spacing w:val="-10"/>
                <w:sz w:val="15"/>
              </w:rPr>
              <w:t> </w:t>
            </w:r>
            <w:r>
              <w:rPr>
                <w:rFonts w:ascii="宋体"/>
                <w:sz w:val="15"/>
              </w:rPr>
              <w:t>INC.</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center"/>
              <w:rPr>
                <w:rFonts w:ascii="宋体" w:hAnsi="宋体" w:cs="宋体" w:eastAsia="宋体" w:hint="default"/>
                <w:sz w:val="15"/>
                <w:szCs w:val="15"/>
              </w:rPr>
            </w:pPr>
            <w:r>
              <w:rPr>
                <w:rFonts w:ascii="宋体" w:hAnsi="宋体" w:cs="宋体" w:eastAsia="宋体" w:hint="default"/>
                <w:sz w:val="15"/>
                <w:szCs w:val="15"/>
              </w:rPr>
              <w:t>7</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0"/>
              <w:jc w:val="right"/>
              <w:rPr>
                <w:rFonts w:ascii="宋体" w:hAnsi="宋体" w:cs="宋体" w:eastAsia="宋体" w:hint="default"/>
                <w:sz w:val="15"/>
                <w:szCs w:val="15"/>
              </w:rPr>
            </w:pPr>
            <w:r>
              <w:rPr>
                <w:rFonts w:ascii="宋体"/>
                <w:spacing w:val="-2"/>
                <w:sz w:val="15"/>
              </w:rPr>
              <w:t>USD794.45</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7" w:right="0"/>
              <w:jc w:val="center"/>
              <w:rPr>
                <w:rFonts w:ascii="宋体" w:hAnsi="宋体" w:cs="宋体" w:eastAsia="宋体" w:hint="default"/>
                <w:sz w:val="15"/>
                <w:szCs w:val="15"/>
              </w:rPr>
            </w:pPr>
            <w:r>
              <w:rPr>
                <w:rFonts w:ascii="宋体"/>
                <w:sz w:val="15"/>
              </w:rPr>
              <w:t>97.71%</w:t>
            </w:r>
          </w:p>
        </w:tc>
        <w:tc>
          <w:tcPr>
            <w:tcW w:w="889" w:type="dxa"/>
            <w:tcBorders>
              <w:top w:val="nil" w:sz="6" w:space="0" w:color="auto"/>
              <w:left w:val="nil" w:sz="6" w:space="0" w:color="auto"/>
              <w:bottom w:val="nil" w:sz="6" w:space="0" w:color="auto"/>
              <w:right w:val="nil" w:sz="6" w:space="0" w:color="auto"/>
            </w:tcBorders>
          </w:tcPr>
          <w:p>
            <w:pPr>
              <w:pStyle w:val="TableParagraph"/>
              <w:spacing w:line="172" w:lineRule="exact"/>
              <w:ind w:right="11"/>
              <w:jc w:val="center"/>
              <w:rPr>
                <w:rFonts w:ascii="宋体" w:hAnsi="宋体" w:cs="宋体" w:eastAsia="宋体" w:hint="default"/>
                <w:sz w:val="15"/>
                <w:szCs w:val="15"/>
              </w:rPr>
            </w:pPr>
            <w:r>
              <w:rPr>
                <w:rFonts w:ascii="宋体" w:hAnsi="宋体" w:cs="宋体" w:eastAsia="宋体" w:hint="default"/>
                <w:sz w:val="15"/>
                <w:szCs w:val="15"/>
              </w:rPr>
              <w:t>美国科罗拉</w:t>
            </w:r>
          </w:p>
          <w:p>
            <w:pPr>
              <w:pStyle w:val="TableParagraph"/>
              <w:spacing w:line="195" w:lineRule="exact"/>
              <w:ind w:left="39" w:right="0"/>
              <w:jc w:val="center"/>
              <w:rPr>
                <w:rFonts w:ascii="宋体" w:hAnsi="宋体" w:cs="宋体" w:eastAsia="宋体" w:hint="default"/>
                <w:sz w:val="15"/>
                <w:szCs w:val="15"/>
              </w:rPr>
            </w:pPr>
            <w:r>
              <w:rPr>
                <w:rFonts w:ascii="宋体" w:hAnsi="宋体" w:cs="宋体" w:eastAsia="宋体" w:hint="default"/>
                <w:sz w:val="15"/>
                <w:szCs w:val="15"/>
              </w:rPr>
              <w:t>多州</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4" w:right="0"/>
              <w:jc w:val="left"/>
              <w:rPr>
                <w:rFonts w:ascii="宋体" w:hAnsi="宋体" w:cs="宋体" w:eastAsia="宋体" w:hint="default"/>
                <w:sz w:val="15"/>
                <w:szCs w:val="15"/>
              </w:rPr>
            </w:pPr>
            <w:r>
              <w:rPr>
                <w:rFonts w:ascii="宋体" w:hAnsi="宋体" w:cs="宋体" w:eastAsia="宋体" w:hint="default"/>
                <w:sz w:val="15"/>
                <w:szCs w:val="15"/>
              </w:rPr>
              <w:t>装饰灯产品的销售</w:t>
            </w:r>
          </w:p>
        </w:tc>
      </w:tr>
      <w:tr>
        <w:trPr>
          <w:trHeight w:val="217"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85" w:lineRule="exact"/>
              <w:ind w:left="19" w:right="0"/>
              <w:jc w:val="left"/>
              <w:rPr>
                <w:rFonts w:ascii="宋体" w:hAnsi="宋体" w:cs="宋体" w:eastAsia="宋体" w:hint="default"/>
                <w:sz w:val="15"/>
                <w:szCs w:val="15"/>
              </w:rPr>
            </w:pPr>
            <w:r>
              <w:rPr>
                <w:rFonts w:ascii="宋体"/>
                <w:sz w:val="15"/>
              </w:rPr>
              <w:t>TIVOLI,</w:t>
            </w:r>
            <w:r>
              <w:rPr>
                <w:rFonts w:ascii="宋体"/>
                <w:spacing w:val="-3"/>
                <w:sz w:val="15"/>
              </w:rPr>
              <w:t> </w:t>
            </w:r>
            <w:r>
              <w:rPr>
                <w:rFonts w:ascii="宋体"/>
                <w:sz w:val="15"/>
              </w:rPr>
              <w:t>LLC</w:t>
            </w:r>
          </w:p>
        </w:tc>
        <w:tc>
          <w:tcPr>
            <w:tcW w:w="377" w:type="dxa"/>
            <w:tcBorders>
              <w:top w:val="nil" w:sz="6" w:space="0" w:color="auto"/>
              <w:left w:val="nil" w:sz="6" w:space="0" w:color="auto"/>
              <w:bottom w:val="nil" w:sz="6" w:space="0" w:color="auto"/>
              <w:right w:val="nil" w:sz="6" w:space="0" w:color="auto"/>
            </w:tcBorders>
          </w:tcPr>
          <w:p>
            <w:pPr>
              <w:pStyle w:val="TableParagraph"/>
              <w:spacing w:line="185" w:lineRule="exact"/>
              <w:ind w:right="19"/>
              <w:jc w:val="center"/>
              <w:rPr>
                <w:rFonts w:ascii="宋体" w:hAnsi="宋体" w:cs="宋体" w:eastAsia="宋体" w:hint="default"/>
                <w:sz w:val="15"/>
                <w:szCs w:val="15"/>
              </w:rPr>
            </w:pPr>
            <w:r>
              <w:rPr>
                <w:rFonts w:ascii="宋体" w:hAnsi="宋体" w:cs="宋体" w:eastAsia="宋体" w:hint="default"/>
                <w:sz w:val="15"/>
                <w:szCs w:val="15"/>
              </w:rPr>
              <w:t>8</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185" w:lineRule="exact"/>
              <w:ind w:right="60"/>
              <w:jc w:val="right"/>
              <w:rPr>
                <w:rFonts w:ascii="宋体" w:hAnsi="宋体" w:cs="宋体" w:eastAsia="宋体" w:hint="default"/>
                <w:sz w:val="15"/>
                <w:szCs w:val="15"/>
              </w:rPr>
            </w:pPr>
            <w:r>
              <w:rPr>
                <w:rFonts w:ascii="宋体"/>
                <w:spacing w:val="-2"/>
                <w:sz w:val="15"/>
              </w:rPr>
              <w:t>USD450.00</w:t>
            </w:r>
          </w:p>
        </w:tc>
        <w:tc>
          <w:tcPr>
            <w:tcW w:w="651" w:type="dxa"/>
            <w:tcBorders>
              <w:top w:val="nil" w:sz="6" w:space="0" w:color="auto"/>
              <w:left w:val="nil" w:sz="6" w:space="0" w:color="auto"/>
              <w:bottom w:val="nil" w:sz="6" w:space="0" w:color="auto"/>
              <w:right w:val="nil" w:sz="6" w:space="0" w:color="auto"/>
            </w:tcBorders>
          </w:tcPr>
          <w:p>
            <w:pPr>
              <w:pStyle w:val="TableParagraph"/>
              <w:spacing w:line="185" w:lineRule="exact"/>
              <w:ind w:left="77" w:right="0"/>
              <w:jc w:val="center"/>
              <w:rPr>
                <w:rFonts w:ascii="宋体" w:hAnsi="宋体" w:cs="宋体" w:eastAsia="宋体" w:hint="default"/>
                <w:sz w:val="15"/>
                <w:szCs w:val="15"/>
              </w:rPr>
            </w:pPr>
            <w:r>
              <w:rPr>
                <w:rFonts w:ascii="宋体"/>
                <w:sz w:val="15"/>
              </w:rPr>
              <w:t>97.71%</w:t>
            </w:r>
          </w:p>
        </w:tc>
        <w:tc>
          <w:tcPr>
            <w:tcW w:w="889" w:type="dxa"/>
            <w:tcBorders>
              <w:top w:val="nil" w:sz="6" w:space="0" w:color="auto"/>
              <w:left w:val="nil" w:sz="6" w:space="0" w:color="auto"/>
              <w:bottom w:val="nil" w:sz="6" w:space="0" w:color="auto"/>
              <w:right w:val="nil" w:sz="6" w:space="0" w:color="auto"/>
            </w:tcBorders>
          </w:tcPr>
          <w:p>
            <w:pPr>
              <w:pStyle w:val="TableParagraph"/>
              <w:spacing w:line="185" w:lineRule="exact"/>
              <w:ind w:right="14"/>
              <w:jc w:val="center"/>
              <w:rPr>
                <w:rFonts w:ascii="宋体" w:hAnsi="宋体" w:cs="宋体" w:eastAsia="宋体" w:hint="default"/>
                <w:sz w:val="15"/>
                <w:szCs w:val="15"/>
              </w:rPr>
            </w:pPr>
            <w:r>
              <w:rPr>
                <w:rFonts w:ascii="宋体" w:hAnsi="宋体" w:cs="宋体" w:eastAsia="宋体" w:hint="default"/>
                <w:sz w:val="15"/>
                <w:szCs w:val="15"/>
              </w:rPr>
              <w:t>美国加州</w:t>
            </w:r>
          </w:p>
        </w:tc>
        <w:tc>
          <w:tcPr>
            <w:tcW w:w="3593" w:type="dxa"/>
            <w:tcBorders>
              <w:top w:val="nil" w:sz="6" w:space="0" w:color="auto"/>
              <w:left w:val="nil" w:sz="6" w:space="0" w:color="auto"/>
              <w:bottom w:val="nil" w:sz="6" w:space="0" w:color="auto"/>
              <w:right w:val="nil" w:sz="6" w:space="0" w:color="auto"/>
            </w:tcBorders>
          </w:tcPr>
          <w:p>
            <w:pPr>
              <w:pStyle w:val="TableParagraph"/>
              <w:spacing w:line="185" w:lineRule="exact"/>
              <w:ind w:left="74" w:right="0"/>
              <w:jc w:val="left"/>
              <w:rPr>
                <w:rFonts w:ascii="宋体" w:hAnsi="宋体" w:cs="宋体" w:eastAsia="宋体" w:hint="default"/>
                <w:sz w:val="15"/>
                <w:szCs w:val="15"/>
              </w:rPr>
            </w:pPr>
            <w:r>
              <w:rPr>
                <w:rFonts w:ascii="宋体" w:hAnsi="宋体" w:cs="宋体" w:eastAsia="宋体" w:hint="default"/>
                <w:sz w:val="15"/>
                <w:szCs w:val="15"/>
              </w:rPr>
              <w:t>装饰灯产品的销售</w:t>
            </w:r>
          </w:p>
        </w:tc>
      </w:tr>
      <w:tr>
        <w:trPr>
          <w:trHeight w:val="400"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4" w:lineRule="exact" w:before="7"/>
              <w:ind w:left="19" w:right="62"/>
              <w:jc w:val="left"/>
              <w:rPr>
                <w:rFonts w:ascii="宋体" w:hAnsi="宋体" w:cs="宋体" w:eastAsia="宋体" w:hint="default"/>
                <w:sz w:val="15"/>
                <w:szCs w:val="15"/>
              </w:rPr>
            </w:pPr>
            <w:r>
              <w:rPr>
                <w:rFonts w:ascii="宋体"/>
                <w:sz w:val="15"/>
              </w:rPr>
              <w:t>Neo-Neon LED Europe</w:t>
            </w:r>
            <w:r>
              <w:rPr>
                <w:rFonts w:ascii="宋体"/>
                <w:spacing w:val="-14"/>
                <w:sz w:val="15"/>
              </w:rPr>
              <w:t> </w:t>
            </w:r>
            <w:r>
              <w:rPr>
                <w:rFonts w:ascii="宋体"/>
                <w:sz w:val="15"/>
              </w:rPr>
              <w:t>Holdings</w:t>
            </w:r>
            <w:r>
              <w:rPr>
                <w:rFonts w:ascii="宋体"/>
                <w:w w:val="100"/>
                <w:sz w:val="15"/>
              </w:rPr>
              <w:t> </w:t>
            </w:r>
            <w:r>
              <w:rPr>
                <w:rFonts w:ascii="宋体"/>
                <w:sz w:val="15"/>
              </w:rPr>
              <w:t>Limited</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9"/>
              <w:jc w:val="center"/>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0"/>
              <w:jc w:val="right"/>
              <w:rPr>
                <w:rFonts w:ascii="宋体" w:hAnsi="宋体" w:cs="宋体" w:eastAsia="宋体" w:hint="default"/>
                <w:sz w:val="15"/>
                <w:szCs w:val="15"/>
              </w:rPr>
            </w:pPr>
            <w:r>
              <w:rPr>
                <w:rFonts w:ascii="宋体"/>
                <w:spacing w:val="-1"/>
                <w:sz w:val="15"/>
              </w:rPr>
              <w:t>USD5.00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4"/>
              <w:jc w:val="center"/>
              <w:rPr>
                <w:rFonts w:ascii="宋体" w:hAnsi="宋体" w:cs="宋体" w:eastAsia="宋体" w:hint="default"/>
                <w:sz w:val="15"/>
                <w:szCs w:val="15"/>
              </w:rPr>
            </w:pPr>
            <w:r>
              <w:rPr>
                <w:rFonts w:ascii="宋体" w:hAnsi="宋体" w:cs="宋体" w:eastAsia="宋体" w:hint="default"/>
                <w:sz w:val="15"/>
                <w:szCs w:val="15"/>
              </w:rPr>
              <w:t>维京群岛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4" w:right="0"/>
              <w:jc w:val="left"/>
              <w:rPr>
                <w:rFonts w:ascii="宋体" w:hAnsi="宋体" w:cs="宋体" w:eastAsia="宋体" w:hint="default"/>
                <w:sz w:val="15"/>
                <w:szCs w:val="15"/>
              </w:rPr>
            </w:pPr>
            <w:r>
              <w:rPr>
                <w:rFonts w:ascii="宋体" w:hAnsi="宋体" w:cs="宋体" w:eastAsia="宋体" w:hint="default"/>
                <w:sz w:val="15"/>
                <w:szCs w:val="15"/>
              </w:rPr>
              <w:t>装饰灯产品的销售</w:t>
            </w:r>
          </w:p>
        </w:tc>
      </w:tr>
      <w:tr>
        <w:trPr>
          <w:trHeight w:val="401"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72" w:lineRule="exact"/>
              <w:ind w:left="19" w:right="0"/>
              <w:jc w:val="left"/>
              <w:rPr>
                <w:rFonts w:ascii="宋体" w:hAnsi="宋体" w:cs="宋体" w:eastAsia="宋体" w:hint="default"/>
                <w:sz w:val="15"/>
                <w:szCs w:val="15"/>
              </w:rPr>
            </w:pPr>
            <w:r>
              <w:rPr>
                <w:rFonts w:ascii="宋体"/>
                <w:sz w:val="15"/>
              </w:rPr>
              <w:t>Neo-Neon LED Asia</w:t>
            </w:r>
            <w:r>
              <w:rPr>
                <w:rFonts w:ascii="宋体"/>
                <w:spacing w:val="-13"/>
                <w:sz w:val="15"/>
              </w:rPr>
              <w:t> </w:t>
            </w:r>
            <w:r>
              <w:rPr>
                <w:rFonts w:ascii="宋体"/>
                <w:sz w:val="15"/>
              </w:rPr>
              <w:t>Holdings</w:t>
            </w:r>
          </w:p>
          <w:p>
            <w:pPr>
              <w:pStyle w:val="TableParagraph"/>
              <w:spacing w:line="195" w:lineRule="exact"/>
              <w:ind w:left="19" w:right="0"/>
              <w:jc w:val="left"/>
              <w:rPr>
                <w:rFonts w:ascii="宋体" w:hAnsi="宋体" w:cs="宋体" w:eastAsia="宋体" w:hint="default"/>
                <w:sz w:val="15"/>
                <w:szCs w:val="15"/>
              </w:rPr>
            </w:pPr>
            <w:r>
              <w:rPr>
                <w:rFonts w:ascii="宋体"/>
                <w:sz w:val="15"/>
              </w:rPr>
              <w:t>Limited</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9"/>
              <w:jc w:val="center"/>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0"/>
              <w:jc w:val="right"/>
              <w:rPr>
                <w:rFonts w:ascii="宋体" w:hAnsi="宋体" w:cs="宋体" w:eastAsia="宋体" w:hint="default"/>
                <w:sz w:val="15"/>
                <w:szCs w:val="15"/>
              </w:rPr>
            </w:pPr>
            <w:r>
              <w:rPr>
                <w:rFonts w:ascii="宋体"/>
                <w:spacing w:val="-1"/>
                <w:sz w:val="15"/>
              </w:rPr>
              <w:t>USD5.00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center"/>
              <w:rPr>
                <w:rFonts w:ascii="宋体" w:hAnsi="宋体" w:cs="宋体" w:eastAsia="宋体" w:hint="default"/>
                <w:sz w:val="15"/>
                <w:szCs w:val="15"/>
              </w:rPr>
            </w:pPr>
            <w:r>
              <w:rPr>
                <w:rFonts w:ascii="宋体" w:hAnsi="宋体" w:cs="宋体" w:eastAsia="宋体" w:hint="default"/>
                <w:sz w:val="15"/>
                <w:szCs w:val="15"/>
              </w:rPr>
              <w:t>维京群岛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4" w:right="0"/>
              <w:jc w:val="left"/>
              <w:rPr>
                <w:rFonts w:ascii="宋体" w:hAnsi="宋体" w:cs="宋体" w:eastAsia="宋体" w:hint="default"/>
                <w:sz w:val="15"/>
                <w:szCs w:val="15"/>
              </w:rPr>
            </w:pPr>
            <w:r>
              <w:rPr>
                <w:rFonts w:ascii="宋体" w:hAnsi="宋体" w:cs="宋体" w:eastAsia="宋体" w:hint="default"/>
                <w:sz w:val="15"/>
                <w:szCs w:val="15"/>
              </w:rPr>
              <w:t>装饰灯产品的销售</w:t>
            </w:r>
          </w:p>
        </w:tc>
      </w:tr>
      <w:tr>
        <w:trPr>
          <w:trHeight w:val="229"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85" w:lineRule="exact"/>
              <w:ind w:left="19" w:right="0"/>
              <w:jc w:val="left"/>
              <w:rPr>
                <w:rFonts w:ascii="宋体" w:hAnsi="宋体" w:cs="宋体" w:eastAsia="宋体" w:hint="default"/>
                <w:sz w:val="15"/>
                <w:szCs w:val="15"/>
              </w:rPr>
            </w:pPr>
            <w:r>
              <w:rPr>
                <w:rFonts w:ascii="宋体"/>
                <w:sz w:val="15"/>
              </w:rPr>
              <w:t>Mitcham Profits</w:t>
            </w:r>
            <w:r>
              <w:rPr>
                <w:rFonts w:ascii="宋体"/>
                <w:spacing w:val="-9"/>
                <w:sz w:val="15"/>
              </w:rPr>
              <w:t> </w:t>
            </w:r>
            <w:r>
              <w:rPr>
                <w:rFonts w:ascii="宋体"/>
                <w:sz w:val="15"/>
              </w:rPr>
              <w:t>Ltd.</w:t>
            </w:r>
          </w:p>
        </w:tc>
        <w:tc>
          <w:tcPr>
            <w:tcW w:w="377" w:type="dxa"/>
            <w:tcBorders>
              <w:top w:val="nil" w:sz="6" w:space="0" w:color="auto"/>
              <w:left w:val="nil" w:sz="6" w:space="0" w:color="auto"/>
              <w:bottom w:val="nil" w:sz="6" w:space="0" w:color="auto"/>
              <w:right w:val="nil" w:sz="6" w:space="0" w:color="auto"/>
            </w:tcBorders>
          </w:tcPr>
          <w:p>
            <w:pPr>
              <w:pStyle w:val="TableParagraph"/>
              <w:spacing w:line="185" w:lineRule="exact"/>
              <w:ind w:right="19"/>
              <w:jc w:val="center"/>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185" w:lineRule="exact"/>
              <w:ind w:right="60"/>
              <w:jc w:val="right"/>
              <w:rPr>
                <w:rFonts w:ascii="宋体" w:hAnsi="宋体" w:cs="宋体" w:eastAsia="宋体" w:hint="default"/>
                <w:sz w:val="15"/>
                <w:szCs w:val="15"/>
              </w:rPr>
            </w:pPr>
            <w:r>
              <w:rPr>
                <w:rFonts w:ascii="宋体"/>
                <w:spacing w:val="-1"/>
                <w:sz w:val="15"/>
              </w:rPr>
              <w:t>USD5.00</w:t>
            </w:r>
          </w:p>
        </w:tc>
        <w:tc>
          <w:tcPr>
            <w:tcW w:w="651" w:type="dxa"/>
            <w:tcBorders>
              <w:top w:val="nil" w:sz="6" w:space="0" w:color="auto"/>
              <w:left w:val="nil" w:sz="6" w:space="0" w:color="auto"/>
              <w:bottom w:val="nil" w:sz="6" w:space="0" w:color="auto"/>
              <w:right w:val="nil" w:sz="6" w:space="0" w:color="auto"/>
            </w:tcBorders>
          </w:tcPr>
          <w:p>
            <w:pPr>
              <w:pStyle w:val="TableParagraph"/>
              <w:spacing w:line="18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5" w:lineRule="exact"/>
              <w:ind w:right="14"/>
              <w:jc w:val="center"/>
              <w:rPr>
                <w:rFonts w:ascii="宋体" w:hAnsi="宋体" w:cs="宋体" w:eastAsia="宋体" w:hint="default"/>
                <w:sz w:val="15"/>
                <w:szCs w:val="15"/>
              </w:rPr>
            </w:pPr>
            <w:r>
              <w:rPr>
                <w:rFonts w:ascii="宋体" w:hAnsi="宋体" w:cs="宋体" w:eastAsia="宋体" w:hint="default"/>
                <w:sz w:val="15"/>
                <w:szCs w:val="15"/>
              </w:rPr>
              <w:t>维京群岛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185" w:lineRule="exact"/>
              <w:ind w:left="74" w:right="0"/>
              <w:jc w:val="left"/>
              <w:rPr>
                <w:rFonts w:ascii="宋体" w:hAnsi="宋体" w:cs="宋体" w:eastAsia="宋体" w:hint="default"/>
                <w:sz w:val="15"/>
                <w:szCs w:val="15"/>
              </w:rPr>
            </w:pPr>
            <w:r>
              <w:rPr>
                <w:rFonts w:ascii="宋体" w:hAnsi="宋体" w:cs="宋体" w:eastAsia="宋体" w:hint="default"/>
                <w:sz w:val="15"/>
                <w:szCs w:val="15"/>
              </w:rPr>
              <w:t>产品营销管理服务的提供</w:t>
            </w:r>
          </w:p>
        </w:tc>
      </w:tr>
      <w:tr>
        <w:trPr>
          <w:trHeight w:val="240"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sz w:val="15"/>
              </w:rPr>
              <w:t>Cashware Technology</w:t>
            </w:r>
            <w:r>
              <w:rPr>
                <w:rFonts w:ascii="宋体"/>
                <w:spacing w:val="-12"/>
                <w:sz w:val="15"/>
              </w:rPr>
              <w:t> </w:t>
            </w:r>
            <w:r>
              <w:rPr>
                <w:rFonts w:ascii="宋体"/>
                <w:sz w:val="15"/>
              </w:rPr>
              <w:t>Ltd.</w:t>
            </w:r>
          </w:p>
        </w:tc>
        <w:tc>
          <w:tcPr>
            <w:tcW w:w="377" w:type="dxa"/>
            <w:tcBorders>
              <w:top w:val="nil" w:sz="6" w:space="0" w:color="auto"/>
              <w:left w:val="nil" w:sz="6" w:space="0" w:color="auto"/>
              <w:bottom w:val="nil" w:sz="6" w:space="0" w:color="auto"/>
              <w:right w:val="nil" w:sz="6" w:space="0" w:color="auto"/>
            </w:tcBorders>
          </w:tcPr>
          <w:p>
            <w:pPr>
              <w:pStyle w:val="TableParagraph"/>
              <w:spacing w:line="195" w:lineRule="exact"/>
              <w:ind w:right="19"/>
              <w:jc w:val="center"/>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spacing w:val="-1"/>
                <w:sz w:val="15"/>
              </w:rPr>
              <w:t>USD5.00</w:t>
            </w:r>
          </w:p>
        </w:tc>
        <w:tc>
          <w:tcPr>
            <w:tcW w:w="651" w:type="dxa"/>
            <w:tcBorders>
              <w:top w:val="nil" w:sz="6" w:space="0" w:color="auto"/>
              <w:left w:val="nil" w:sz="6" w:space="0" w:color="auto"/>
              <w:bottom w:val="nil" w:sz="6" w:space="0" w:color="auto"/>
              <w:right w:val="nil" w:sz="6" w:space="0" w:color="auto"/>
            </w:tcBorders>
          </w:tcPr>
          <w:p>
            <w:pPr>
              <w:pStyle w:val="TableParagraph"/>
              <w:spacing w:line="19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维京群岛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产品调研服务的提供</w:t>
            </w:r>
          </w:p>
        </w:tc>
      </w:tr>
      <w:tr>
        <w:trPr>
          <w:trHeight w:val="228"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sz w:val="15"/>
              </w:rPr>
              <w:t>Neo-Neon China</w:t>
            </w:r>
            <w:r>
              <w:rPr>
                <w:rFonts w:ascii="宋体"/>
                <w:spacing w:val="-9"/>
                <w:sz w:val="15"/>
              </w:rPr>
              <w:t> </w:t>
            </w:r>
            <w:r>
              <w:rPr>
                <w:rFonts w:ascii="宋体"/>
                <w:sz w:val="15"/>
              </w:rPr>
              <w:t>Limited</w:t>
            </w:r>
          </w:p>
        </w:tc>
        <w:tc>
          <w:tcPr>
            <w:tcW w:w="377" w:type="dxa"/>
            <w:tcBorders>
              <w:top w:val="nil" w:sz="6" w:space="0" w:color="auto"/>
              <w:left w:val="nil" w:sz="6" w:space="0" w:color="auto"/>
              <w:bottom w:val="nil" w:sz="6" w:space="0" w:color="auto"/>
              <w:right w:val="nil" w:sz="6" w:space="0" w:color="auto"/>
            </w:tcBorders>
          </w:tcPr>
          <w:p>
            <w:pPr>
              <w:pStyle w:val="TableParagraph"/>
              <w:spacing w:line="195" w:lineRule="exact"/>
              <w:ind w:right="19"/>
              <w:jc w:val="center"/>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spacing w:val="-1"/>
                <w:sz w:val="15"/>
              </w:rPr>
              <w:t>USD5.00</w:t>
            </w:r>
          </w:p>
        </w:tc>
        <w:tc>
          <w:tcPr>
            <w:tcW w:w="651" w:type="dxa"/>
            <w:tcBorders>
              <w:top w:val="nil" w:sz="6" w:space="0" w:color="auto"/>
              <w:left w:val="nil" w:sz="6" w:space="0" w:color="auto"/>
              <w:bottom w:val="nil" w:sz="6" w:space="0" w:color="auto"/>
              <w:right w:val="nil" w:sz="6" w:space="0" w:color="auto"/>
            </w:tcBorders>
          </w:tcPr>
          <w:p>
            <w:pPr>
              <w:pStyle w:val="TableParagraph"/>
              <w:spacing w:line="19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维京群岛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402"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9" w:right="0"/>
              <w:jc w:val="left"/>
              <w:rPr>
                <w:rFonts w:ascii="宋体" w:hAnsi="宋体" w:cs="宋体" w:eastAsia="宋体" w:hint="default"/>
                <w:sz w:val="15"/>
                <w:szCs w:val="15"/>
              </w:rPr>
            </w:pPr>
            <w:r>
              <w:rPr>
                <w:rFonts w:ascii="宋体" w:hAnsi="宋体" w:cs="宋体" w:eastAsia="宋体" w:hint="default"/>
                <w:sz w:val="15"/>
                <w:szCs w:val="15"/>
              </w:rPr>
              <w:t>广东同方灯饰有限公司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9"/>
              <w:jc w:val="center"/>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0"/>
              <w:jc w:val="right"/>
              <w:rPr>
                <w:rFonts w:ascii="宋体" w:hAnsi="宋体" w:cs="宋体" w:eastAsia="宋体" w:hint="default"/>
                <w:sz w:val="15"/>
                <w:szCs w:val="15"/>
              </w:rPr>
            </w:pPr>
            <w:r>
              <w:rPr>
                <w:rFonts w:ascii="宋体"/>
                <w:spacing w:val="-1"/>
                <w:sz w:val="15"/>
              </w:rPr>
              <w:t>USD3,000.00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4"/>
              <w:jc w:val="center"/>
              <w:rPr>
                <w:rFonts w:ascii="宋体" w:hAnsi="宋体" w:cs="宋体" w:eastAsia="宋体" w:hint="default"/>
                <w:sz w:val="15"/>
                <w:szCs w:val="15"/>
              </w:rPr>
            </w:pPr>
            <w:r>
              <w:rPr>
                <w:rFonts w:ascii="宋体" w:hAnsi="宋体" w:cs="宋体" w:eastAsia="宋体" w:hint="default"/>
                <w:sz w:val="15"/>
                <w:szCs w:val="15"/>
              </w:rPr>
              <w:t>广东江门</w:t>
            </w:r>
          </w:p>
        </w:tc>
        <w:tc>
          <w:tcPr>
            <w:tcW w:w="3593" w:type="dxa"/>
            <w:tcBorders>
              <w:top w:val="nil" w:sz="6" w:space="0" w:color="auto"/>
              <w:left w:val="nil" w:sz="6" w:space="0" w:color="auto"/>
              <w:bottom w:val="nil" w:sz="6" w:space="0" w:color="auto"/>
              <w:right w:val="nil" w:sz="6" w:space="0" w:color="auto"/>
            </w:tcBorders>
          </w:tcPr>
          <w:p>
            <w:pPr>
              <w:pStyle w:val="TableParagraph"/>
              <w:spacing w:line="198" w:lineRule="exact" w:before="4"/>
              <w:ind w:left="74" w:right="141"/>
              <w:jc w:val="left"/>
              <w:rPr>
                <w:rFonts w:ascii="宋体" w:hAnsi="宋体" w:cs="宋体" w:eastAsia="宋体" w:hint="default"/>
                <w:sz w:val="15"/>
                <w:szCs w:val="15"/>
              </w:rPr>
            </w:pPr>
            <w:r>
              <w:rPr>
                <w:rFonts w:ascii="宋体" w:hAnsi="宋体" w:cs="宋体" w:eastAsia="宋体" w:hint="default"/>
                <w:sz w:val="15"/>
                <w:szCs w:val="15"/>
              </w:rPr>
              <w:t>生产、研发、销售</w:t>
            </w:r>
            <w:r>
              <w:rPr>
                <w:rFonts w:ascii="宋体" w:hAnsi="宋体" w:cs="宋体" w:eastAsia="宋体" w:hint="default"/>
                <w:spacing w:val="-43"/>
                <w:sz w:val="15"/>
                <w:szCs w:val="15"/>
              </w:rPr>
              <w:t> </w:t>
            </w:r>
            <w:r>
              <w:rPr>
                <w:rFonts w:ascii="宋体" w:hAnsi="宋体" w:cs="宋体" w:eastAsia="宋体" w:hint="default"/>
                <w:sz w:val="15"/>
                <w:szCs w:val="15"/>
              </w:rPr>
              <w:t>LED</w:t>
            </w:r>
            <w:r>
              <w:rPr>
                <w:rFonts w:ascii="宋体" w:hAnsi="宋体" w:cs="宋体" w:eastAsia="宋体" w:hint="default"/>
                <w:spacing w:val="-41"/>
                <w:sz w:val="15"/>
                <w:szCs w:val="15"/>
              </w:rPr>
              <w:t> </w:t>
            </w:r>
            <w:r>
              <w:rPr>
                <w:rFonts w:ascii="宋体" w:hAnsi="宋体" w:cs="宋体" w:eastAsia="宋体" w:hint="default"/>
                <w:sz w:val="15"/>
                <w:szCs w:val="15"/>
              </w:rPr>
              <w:t>一般照明、发光二极管、</w:t>
            </w:r>
            <w:r>
              <w:rPr>
                <w:rFonts w:ascii="宋体" w:hAnsi="宋体" w:cs="宋体" w:eastAsia="宋体" w:hint="default"/>
                <w:sz w:val="15"/>
                <w:szCs w:val="15"/>
              </w:rPr>
              <w:t>LED</w:t>
            </w:r>
            <w:r>
              <w:rPr>
                <w:rFonts w:ascii="宋体" w:hAnsi="宋体" w:cs="宋体" w:eastAsia="宋体" w:hint="default"/>
                <w:spacing w:val="-2"/>
                <w:w w:val="100"/>
                <w:sz w:val="15"/>
                <w:szCs w:val="15"/>
              </w:rPr>
              <w:t> </w:t>
            </w:r>
            <w:r>
              <w:rPr>
                <w:rFonts w:ascii="宋体" w:hAnsi="宋体" w:cs="宋体" w:eastAsia="宋体" w:hint="default"/>
                <w:sz w:val="15"/>
                <w:szCs w:val="15"/>
              </w:rPr>
              <w:t>芯片、</w:t>
            </w:r>
            <w:r>
              <w:rPr>
                <w:rFonts w:ascii="宋体" w:hAnsi="宋体" w:cs="宋体" w:eastAsia="宋体" w:hint="default"/>
                <w:sz w:val="15"/>
                <w:szCs w:val="15"/>
              </w:rPr>
              <w:t>LED</w:t>
            </w:r>
            <w:r>
              <w:rPr>
                <w:rFonts w:ascii="宋体" w:hAnsi="宋体" w:cs="宋体" w:eastAsia="宋体" w:hint="default"/>
                <w:spacing w:val="-39"/>
                <w:sz w:val="15"/>
                <w:szCs w:val="15"/>
              </w:rPr>
              <w:t> </w:t>
            </w:r>
            <w:r>
              <w:rPr>
                <w:rFonts w:ascii="宋体" w:hAnsi="宋体" w:cs="宋体" w:eastAsia="宋体" w:hint="default"/>
                <w:sz w:val="15"/>
                <w:szCs w:val="15"/>
              </w:rPr>
              <w:t>外延片及</w:t>
            </w:r>
            <w:r>
              <w:rPr>
                <w:rFonts w:ascii="宋体" w:hAnsi="宋体" w:cs="宋体" w:eastAsia="宋体" w:hint="default"/>
                <w:spacing w:val="-40"/>
                <w:sz w:val="15"/>
                <w:szCs w:val="15"/>
              </w:rPr>
              <w:t> </w:t>
            </w:r>
            <w:r>
              <w:rPr>
                <w:rFonts w:ascii="宋体" w:hAnsi="宋体" w:cs="宋体" w:eastAsia="宋体" w:hint="default"/>
                <w:sz w:val="15"/>
                <w:szCs w:val="15"/>
              </w:rPr>
              <w:t>LED</w:t>
            </w:r>
            <w:r>
              <w:rPr>
                <w:rFonts w:ascii="宋体" w:hAnsi="宋体" w:cs="宋体" w:eastAsia="宋体" w:hint="default"/>
                <w:spacing w:val="-39"/>
                <w:sz w:val="15"/>
                <w:szCs w:val="15"/>
              </w:rPr>
              <w:t> </w:t>
            </w:r>
            <w:r>
              <w:rPr>
                <w:rFonts w:ascii="宋体" w:hAnsi="宋体" w:cs="宋体" w:eastAsia="宋体" w:hint="default"/>
                <w:sz w:val="15"/>
                <w:szCs w:val="15"/>
              </w:rPr>
              <w:t>封装等</w:t>
            </w:r>
          </w:p>
        </w:tc>
      </w:tr>
      <w:tr>
        <w:trPr>
          <w:trHeight w:val="1177"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 w:right="60"/>
              <w:jc w:val="left"/>
              <w:rPr>
                <w:rFonts w:ascii="宋体" w:hAnsi="宋体" w:cs="宋体" w:eastAsia="宋体" w:hint="default"/>
                <w:sz w:val="15"/>
                <w:szCs w:val="15"/>
              </w:rPr>
            </w:pPr>
            <w:r>
              <w:rPr>
                <w:rFonts w:ascii="宋体" w:hAnsi="宋体" w:cs="宋体" w:eastAsia="宋体" w:hint="default"/>
                <w:spacing w:val="-2"/>
                <w:sz w:val="15"/>
                <w:szCs w:val="15"/>
              </w:rPr>
              <w:t>广东同方科技园有限公司（原鹤</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山同方照明科技有限公司）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19"/>
              <w:jc w:val="center"/>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60"/>
              <w:jc w:val="right"/>
              <w:rPr>
                <w:rFonts w:ascii="宋体" w:hAnsi="宋体" w:cs="宋体" w:eastAsia="宋体" w:hint="default"/>
                <w:sz w:val="15"/>
                <w:szCs w:val="15"/>
              </w:rPr>
            </w:pPr>
            <w:r>
              <w:rPr>
                <w:rFonts w:ascii="宋体"/>
                <w:spacing w:val="-2"/>
                <w:sz w:val="15"/>
              </w:rPr>
              <w:t>USD30,000.00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广东江门</w:t>
            </w:r>
          </w:p>
        </w:tc>
        <w:tc>
          <w:tcPr>
            <w:tcW w:w="3593" w:type="dxa"/>
            <w:tcBorders>
              <w:top w:val="nil" w:sz="6" w:space="0" w:color="auto"/>
              <w:left w:val="nil" w:sz="6" w:space="0" w:color="auto"/>
              <w:bottom w:val="nil" w:sz="6" w:space="0" w:color="auto"/>
              <w:right w:val="nil" w:sz="6" w:space="0" w:color="auto"/>
            </w:tcBorders>
          </w:tcPr>
          <w:p>
            <w:pPr>
              <w:pStyle w:val="TableParagraph"/>
              <w:spacing w:line="172" w:lineRule="exact"/>
              <w:ind w:left="74" w:right="0"/>
              <w:jc w:val="left"/>
              <w:rPr>
                <w:rFonts w:ascii="宋体" w:hAnsi="宋体" w:cs="宋体" w:eastAsia="宋体" w:hint="default"/>
                <w:sz w:val="15"/>
                <w:szCs w:val="15"/>
              </w:rPr>
            </w:pPr>
            <w:r>
              <w:rPr>
                <w:rFonts w:ascii="宋体" w:hAnsi="宋体" w:cs="宋体" w:eastAsia="宋体" w:hint="default"/>
                <w:spacing w:val="-1"/>
                <w:sz w:val="15"/>
                <w:szCs w:val="15"/>
              </w:rPr>
              <w:t>LED</w:t>
            </w:r>
            <w:r>
              <w:rPr>
                <w:rFonts w:ascii="宋体" w:hAnsi="宋体" w:cs="宋体" w:eastAsia="宋体" w:hint="default"/>
                <w:spacing w:val="-2"/>
                <w:sz w:val="15"/>
                <w:szCs w:val="15"/>
              </w:rPr>
              <w:t> </w:t>
            </w:r>
            <w:r>
              <w:rPr>
                <w:rFonts w:ascii="宋体" w:hAnsi="宋体" w:cs="宋体" w:eastAsia="宋体" w:hint="default"/>
                <w:spacing w:val="-2"/>
                <w:sz w:val="15"/>
                <w:szCs w:val="15"/>
              </w:rPr>
              <w:t>光电器件、光电子专用材料、光纤、新型显示屏</w:t>
            </w:r>
          </w:p>
          <w:p>
            <w:pPr>
              <w:pStyle w:val="TableParagraph"/>
              <w:spacing w:line="240" w:lineRule="auto"/>
              <w:ind w:left="74" w:right="106"/>
              <w:jc w:val="left"/>
              <w:rPr>
                <w:rFonts w:ascii="宋体" w:hAnsi="宋体" w:cs="宋体" w:eastAsia="宋体" w:hint="default"/>
                <w:sz w:val="15"/>
                <w:szCs w:val="15"/>
              </w:rPr>
            </w:pPr>
            <w:r>
              <w:rPr>
                <w:rFonts w:ascii="宋体" w:hAnsi="宋体" w:cs="宋体" w:eastAsia="宋体" w:hint="default"/>
                <w:spacing w:val="-4"/>
                <w:sz w:val="15"/>
                <w:szCs w:val="15"/>
              </w:rPr>
              <w:t>的研发、制造及光电工程安装；金属、非金属制品模</w:t>
            </w:r>
            <w:r>
              <w:rPr>
                <w:rFonts w:ascii="宋体" w:hAnsi="宋体" w:cs="宋体" w:eastAsia="宋体" w:hint="default"/>
                <w:spacing w:val="-31"/>
                <w:sz w:val="15"/>
                <w:szCs w:val="15"/>
              </w:rPr>
              <w:t> </w:t>
            </w:r>
            <w:r>
              <w:rPr>
                <w:rFonts w:ascii="宋体" w:hAnsi="宋体" w:cs="宋体" w:eastAsia="宋体" w:hint="default"/>
                <w:spacing w:val="-31"/>
                <w:sz w:val="15"/>
                <w:szCs w:val="15"/>
              </w:rPr>
            </w:r>
            <w:r>
              <w:rPr>
                <w:rFonts w:ascii="宋体" w:hAnsi="宋体" w:cs="宋体" w:eastAsia="宋体" w:hint="default"/>
                <w:spacing w:val="-4"/>
                <w:sz w:val="15"/>
                <w:szCs w:val="15"/>
              </w:rPr>
              <w:t>具设计、制造；各款灯饰及配件的生产；发光二极体</w:t>
            </w:r>
          </w:p>
          <w:p>
            <w:pPr>
              <w:pStyle w:val="TableParagraph"/>
              <w:spacing w:line="240" w:lineRule="auto"/>
              <w:ind w:left="74" w:right="29"/>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LED</w:t>
            </w:r>
            <w:r>
              <w:rPr>
                <w:rFonts w:ascii="宋体" w:hAnsi="宋体" w:cs="宋体" w:eastAsia="宋体" w:hint="default"/>
                <w:sz w:val="15"/>
                <w:szCs w:val="15"/>
              </w:rPr>
              <w:t>）芯片的制造和销售；</w:t>
            </w:r>
            <w:r>
              <w:rPr>
                <w:rFonts w:ascii="宋体" w:hAnsi="宋体" w:cs="宋体" w:eastAsia="宋体" w:hint="default"/>
                <w:sz w:val="15"/>
                <w:szCs w:val="15"/>
              </w:rPr>
              <w:t>PVC</w:t>
            </w:r>
            <w:r>
              <w:rPr>
                <w:rFonts w:ascii="宋体" w:hAnsi="宋体" w:cs="宋体" w:eastAsia="宋体" w:hint="default"/>
                <w:spacing w:val="-39"/>
                <w:sz w:val="15"/>
                <w:szCs w:val="15"/>
              </w:rPr>
              <w:t> </w:t>
            </w:r>
            <w:r>
              <w:rPr>
                <w:rFonts w:ascii="宋体" w:hAnsi="宋体" w:cs="宋体" w:eastAsia="宋体" w:hint="default"/>
                <w:sz w:val="15"/>
                <w:szCs w:val="15"/>
              </w:rPr>
              <w:t>胶粒、电线电缆的</w:t>
            </w:r>
            <w:r>
              <w:rPr>
                <w:rFonts w:ascii="宋体" w:hAnsi="宋体" w:cs="宋体" w:eastAsia="宋体" w:hint="default"/>
                <w:w w:val="100"/>
                <w:sz w:val="15"/>
                <w:szCs w:val="15"/>
              </w:rPr>
              <w:t> </w:t>
            </w:r>
            <w:r>
              <w:rPr>
                <w:rFonts w:ascii="宋体" w:hAnsi="宋体" w:cs="宋体" w:eastAsia="宋体" w:hint="default"/>
                <w:spacing w:val="-7"/>
                <w:sz w:val="15"/>
                <w:szCs w:val="15"/>
              </w:rPr>
              <w:t>生产和销售；音响、视频类产品的研发、生产和销售；</w:t>
            </w:r>
            <w:r>
              <w:rPr>
                <w:rFonts w:ascii="宋体" w:hAnsi="宋体" w:cs="宋体" w:eastAsia="宋体" w:hint="default"/>
                <w:spacing w:val="-27"/>
                <w:sz w:val="15"/>
                <w:szCs w:val="15"/>
              </w:rPr>
              <w:t> </w:t>
            </w:r>
            <w:r>
              <w:rPr>
                <w:rFonts w:ascii="宋体" w:hAnsi="宋体" w:cs="宋体" w:eastAsia="宋体" w:hint="default"/>
                <w:spacing w:val="-27"/>
                <w:sz w:val="15"/>
                <w:szCs w:val="15"/>
              </w:rPr>
            </w:r>
            <w:r>
              <w:rPr>
                <w:rFonts w:ascii="宋体" w:hAnsi="宋体" w:cs="宋体" w:eastAsia="宋体" w:hint="default"/>
                <w:sz w:val="15"/>
                <w:szCs w:val="15"/>
              </w:rPr>
              <w:t>产品售后维修服务。</w:t>
            </w:r>
          </w:p>
        </w:tc>
      </w:tr>
      <w:tr>
        <w:trPr>
          <w:trHeight w:val="228"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83" w:lineRule="exact"/>
              <w:ind w:left="19" w:right="0"/>
              <w:jc w:val="left"/>
              <w:rPr>
                <w:rFonts w:ascii="宋体" w:hAnsi="宋体" w:cs="宋体" w:eastAsia="宋体" w:hint="default"/>
                <w:sz w:val="15"/>
                <w:szCs w:val="15"/>
              </w:rPr>
            </w:pPr>
            <w:r>
              <w:rPr>
                <w:rFonts w:ascii="宋体" w:hAnsi="宋体" w:cs="宋体" w:eastAsia="宋体" w:hint="default"/>
                <w:sz w:val="15"/>
                <w:szCs w:val="15"/>
              </w:rPr>
              <w:t>江门市同鹤光源科技有限公司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183" w:lineRule="exact"/>
              <w:ind w:right="19"/>
              <w:jc w:val="center"/>
              <w:rPr>
                <w:rFonts w:ascii="宋体" w:hAnsi="宋体" w:cs="宋体" w:eastAsia="宋体" w:hint="default"/>
                <w:sz w:val="15"/>
                <w:szCs w:val="15"/>
              </w:rPr>
            </w:pPr>
            <w:r>
              <w:rPr>
                <w:rFonts w:ascii="宋体" w:hAnsi="宋体" w:cs="宋体" w:eastAsia="宋体" w:hint="default"/>
                <w:sz w:val="15"/>
                <w:szCs w:val="15"/>
              </w:rPr>
              <w:t>7</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183" w:lineRule="exact"/>
              <w:ind w:right="59"/>
              <w:jc w:val="righ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1000.00</w:t>
            </w:r>
            <w:r>
              <w:rPr>
                <w:rFonts w:ascii="宋体" w:hAnsi="宋体" w:cs="宋体" w:eastAsia="宋体" w:hint="default"/>
                <w:spacing w:val="-41"/>
                <w:sz w:val="15"/>
                <w:szCs w:val="15"/>
              </w:rPr>
              <w:t> </w:t>
            </w:r>
            <w:r>
              <w:rPr>
                <w:rFonts w:ascii="宋体" w:hAnsi="宋体" w:cs="宋体" w:eastAsia="宋体" w:hint="default"/>
                <w:sz w:val="15"/>
                <w:szCs w:val="15"/>
              </w:rPr>
              <w:t>万</w:t>
            </w:r>
          </w:p>
        </w:tc>
        <w:tc>
          <w:tcPr>
            <w:tcW w:w="651" w:type="dxa"/>
            <w:tcBorders>
              <w:top w:val="nil" w:sz="6" w:space="0" w:color="auto"/>
              <w:left w:val="nil" w:sz="6" w:space="0" w:color="auto"/>
              <w:bottom w:val="nil" w:sz="6" w:space="0" w:color="auto"/>
              <w:right w:val="nil" w:sz="6" w:space="0" w:color="auto"/>
            </w:tcBorders>
          </w:tcPr>
          <w:p>
            <w:pPr>
              <w:pStyle w:val="TableParagraph"/>
              <w:spacing w:line="183"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3" w:lineRule="exact"/>
              <w:ind w:right="14"/>
              <w:jc w:val="center"/>
              <w:rPr>
                <w:rFonts w:ascii="宋体" w:hAnsi="宋体" w:cs="宋体" w:eastAsia="宋体" w:hint="default"/>
                <w:sz w:val="15"/>
                <w:szCs w:val="15"/>
              </w:rPr>
            </w:pPr>
            <w:r>
              <w:rPr>
                <w:rFonts w:ascii="宋体" w:hAnsi="宋体" w:cs="宋体" w:eastAsia="宋体" w:hint="default"/>
                <w:sz w:val="15"/>
                <w:szCs w:val="15"/>
              </w:rPr>
              <w:t>广东江门</w:t>
            </w:r>
          </w:p>
        </w:tc>
        <w:tc>
          <w:tcPr>
            <w:tcW w:w="3593" w:type="dxa"/>
            <w:tcBorders>
              <w:top w:val="nil" w:sz="6" w:space="0" w:color="auto"/>
              <w:left w:val="nil" w:sz="6" w:space="0" w:color="auto"/>
              <w:bottom w:val="nil" w:sz="6" w:space="0" w:color="auto"/>
              <w:right w:val="nil" w:sz="6" w:space="0" w:color="auto"/>
            </w:tcBorders>
          </w:tcPr>
          <w:p>
            <w:pPr>
              <w:pStyle w:val="TableParagraph"/>
              <w:spacing w:line="183" w:lineRule="exact"/>
              <w:ind w:left="74" w:right="0"/>
              <w:jc w:val="left"/>
              <w:rPr>
                <w:rFonts w:ascii="宋体" w:hAnsi="宋体" w:cs="宋体" w:eastAsia="宋体" w:hint="default"/>
                <w:sz w:val="15"/>
                <w:szCs w:val="15"/>
              </w:rPr>
            </w:pPr>
            <w:r>
              <w:rPr>
                <w:rFonts w:ascii="宋体" w:hAnsi="宋体" w:cs="宋体" w:eastAsia="宋体" w:hint="default"/>
                <w:spacing w:val="-2"/>
                <w:sz w:val="15"/>
                <w:szCs w:val="15"/>
              </w:rPr>
              <w:t>光电子技术的研发，</w:t>
            </w:r>
            <w:r>
              <w:rPr>
                <w:rFonts w:ascii="宋体" w:hAnsi="宋体" w:cs="宋体" w:eastAsia="宋体" w:hint="default"/>
                <w:spacing w:val="-2"/>
                <w:sz w:val="15"/>
                <w:szCs w:val="15"/>
              </w:rPr>
              <w:t>LED</w:t>
            </w:r>
            <w:r>
              <w:rPr>
                <w:rFonts w:ascii="宋体" w:hAnsi="宋体" w:cs="宋体" w:eastAsia="宋体" w:hint="default"/>
                <w:spacing w:val="2"/>
                <w:sz w:val="15"/>
                <w:szCs w:val="15"/>
              </w:rPr>
              <w:t> </w:t>
            </w:r>
            <w:r>
              <w:rPr>
                <w:rFonts w:ascii="宋体" w:hAnsi="宋体" w:cs="宋体" w:eastAsia="宋体" w:hint="default"/>
                <w:spacing w:val="-2"/>
                <w:sz w:val="15"/>
                <w:szCs w:val="15"/>
              </w:rPr>
              <w:t>光电器件、光电子专用材料</w:t>
            </w:r>
          </w:p>
        </w:tc>
      </w:tr>
      <w:tr>
        <w:trPr>
          <w:trHeight w:val="240"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hAnsi="宋体" w:cs="宋体" w:eastAsia="宋体" w:hint="default"/>
                <w:sz w:val="15"/>
                <w:szCs w:val="15"/>
              </w:rPr>
              <w:t>江门市同欣光源科技有限公司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195" w:lineRule="exact"/>
              <w:ind w:right="19"/>
              <w:jc w:val="center"/>
              <w:rPr>
                <w:rFonts w:ascii="宋体" w:hAnsi="宋体" w:cs="宋体" w:eastAsia="宋体" w:hint="default"/>
                <w:sz w:val="15"/>
                <w:szCs w:val="15"/>
              </w:rPr>
            </w:pPr>
            <w:r>
              <w:rPr>
                <w:rFonts w:ascii="宋体" w:hAnsi="宋体" w:cs="宋体" w:eastAsia="宋体" w:hint="default"/>
                <w:sz w:val="15"/>
                <w:szCs w:val="15"/>
              </w:rPr>
              <w:t>7</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195" w:lineRule="exact"/>
              <w:ind w:right="59"/>
              <w:jc w:val="righ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1000.00</w:t>
            </w:r>
            <w:r>
              <w:rPr>
                <w:rFonts w:ascii="宋体" w:hAnsi="宋体" w:cs="宋体" w:eastAsia="宋体" w:hint="default"/>
                <w:spacing w:val="-41"/>
                <w:sz w:val="15"/>
                <w:szCs w:val="15"/>
              </w:rPr>
              <w:t> </w:t>
            </w:r>
            <w:r>
              <w:rPr>
                <w:rFonts w:ascii="宋体" w:hAnsi="宋体" w:cs="宋体" w:eastAsia="宋体" w:hint="default"/>
                <w:sz w:val="15"/>
                <w:szCs w:val="15"/>
              </w:rPr>
              <w:t>万</w:t>
            </w:r>
          </w:p>
        </w:tc>
        <w:tc>
          <w:tcPr>
            <w:tcW w:w="651" w:type="dxa"/>
            <w:tcBorders>
              <w:top w:val="nil" w:sz="6" w:space="0" w:color="auto"/>
              <w:left w:val="nil" w:sz="6" w:space="0" w:color="auto"/>
              <w:bottom w:val="nil" w:sz="6" w:space="0" w:color="auto"/>
              <w:right w:val="nil" w:sz="6" w:space="0" w:color="auto"/>
            </w:tcBorders>
          </w:tcPr>
          <w:p>
            <w:pPr>
              <w:pStyle w:val="TableParagraph"/>
              <w:spacing w:line="19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广东江门</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pacing w:val="-2"/>
                <w:sz w:val="15"/>
                <w:szCs w:val="15"/>
              </w:rPr>
              <w:t>光电子技术的研发，</w:t>
            </w:r>
            <w:r>
              <w:rPr>
                <w:rFonts w:ascii="宋体" w:hAnsi="宋体" w:cs="宋体" w:eastAsia="宋体" w:hint="default"/>
                <w:spacing w:val="-2"/>
                <w:sz w:val="15"/>
                <w:szCs w:val="15"/>
              </w:rPr>
              <w:t>LED</w:t>
            </w:r>
            <w:r>
              <w:rPr>
                <w:rFonts w:ascii="宋体" w:hAnsi="宋体" w:cs="宋体" w:eastAsia="宋体" w:hint="default"/>
                <w:spacing w:val="2"/>
                <w:sz w:val="15"/>
                <w:szCs w:val="15"/>
              </w:rPr>
              <w:t> </w:t>
            </w:r>
            <w:r>
              <w:rPr>
                <w:rFonts w:ascii="宋体" w:hAnsi="宋体" w:cs="宋体" w:eastAsia="宋体" w:hint="default"/>
                <w:spacing w:val="-2"/>
                <w:sz w:val="15"/>
                <w:szCs w:val="15"/>
              </w:rPr>
              <w:t>光电器件、光电子专用材料</w:t>
            </w:r>
          </w:p>
        </w:tc>
      </w:tr>
      <w:tr>
        <w:trPr>
          <w:trHeight w:val="240"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hAnsi="宋体" w:cs="宋体" w:eastAsia="宋体" w:hint="default"/>
                <w:sz w:val="15"/>
                <w:szCs w:val="15"/>
              </w:rPr>
              <w:t>江门市有诚光源科技有限公司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195" w:lineRule="exact"/>
              <w:ind w:right="19"/>
              <w:jc w:val="center"/>
              <w:rPr>
                <w:rFonts w:ascii="宋体" w:hAnsi="宋体" w:cs="宋体" w:eastAsia="宋体" w:hint="default"/>
                <w:sz w:val="15"/>
                <w:szCs w:val="15"/>
              </w:rPr>
            </w:pPr>
            <w:r>
              <w:rPr>
                <w:rFonts w:ascii="宋体" w:hAnsi="宋体" w:cs="宋体" w:eastAsia="宋体" w:hint="default"/>
                <w:sz w:val="15"/>
                <w:szCs w:val="15"/>
              </w:rPr>
              <w:t>7</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195" w:lineRule="exact"/>
              <w:ind w:right="59"/>
              <w:jc w:val="righ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1000.00</w:t>
            </w:r>
            <w:r>
              <w:rPr>
                <w:rFonts w:ascii="宋体" w:hAnsi="宋体" w:cs="宋体" w:eastAsia="宋体" w:hint="default"/>
                <w:spacing w:val="-41"/>
                <w:sz w:val="15"/>
                <w:szCs w:val="15"/>
              </w:rPr>
              <w:t> </w:t>
            </w:r>
            <w:r>
              <w:rPr>
                <w:rFonts w:ascii="宋体" w:hAnsi="宋体" w:cs="宋体" w:eastAsia="宋体" w:hint="default"/>
                <w:sz w:val="15"/>
                <w:szCs w:val="15"/>
              </w:rPr>
              <w:t>万</w:t>
            </w:r>
          </w:p>
        </w:tc>
        <w:tc>
          <w:tcPr>
            <w:tcW w:w="651" w:type="dxa"/>
            <w:tcBorders>
              <w:top w:val="nil" w:sz="6" w:space="0" w:color="auto"/>
              <w:left w:val="nil" w:sz="6" w:space="0" w:color="auto"/>
              <w:bottom w:val="nil" w:sz="6" w:space="0" w:color="auto"/>
              <w:right w:val="nil" w:sz="6" w:space="0" w:color="auto"/>
            </w:tcBorders>
          </w:tcPr>
          <w:p>
            <w:pPr>
              <w:pStyle w:val="TableParagraph"/>
              <w:spacing w:line="19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广东江门</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pacing w:val="-2"/>
                <w:sz w:val="15"/>
                <w:szCs w:val="15"/>
              </w:rPr>
              <w:t>光电子技术的研发，</w:t>
            </w:r>
            <w:r>
              <w:rPr>
                <w:rFonts w:ascii="宋体" w:hAnsi="宋体" w:cs="宋体" w:eastAsia="宋体" w:hint="default"/>
                <w:spacing w:val="-2"/>
                <w:sz w:val="15"/>
                <w:szCs w:val="15"/>
              </w:rPr>
              <w:t>LED</w:t>
            </w:r>
            <w:r>
              <w:rPr>
                <w:rFonts w:ascii="宋体" w:hAnsi="宋体" w:cs="宋体" w:eastAsia="宋体" w:hint="default"/>
                <w:spacing w:val="2"/>
                <w:sz w:val="15"/>
                <w:szCs w:val="15"/>
              </w:rPr>
              <w:t> </w:t>
            </w:r>
            <w:r>
              <w:rPr>
                <w:rFonts w:ascii="宋体" w:hAnsi="宋体" w:cs="宋体" w:eastAsia="宋体" w:hint="default"/>
                <w:spacing w:val="-2"/>
                <w:sz w:val="15"/>
                <w:szCs w:val="15"/>
              </w:rPr>
              <w:t>光电器件、光电子专用材料</w:t>
            </w:r>
          </w:p>
        </w:tc>
      </w:tr>
      <w:tr>
        <w:trPr>
          <w:trHeight w:val="229"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hAnsi="宋体" w:cs="宋体" w:eastAsia="宋体" w:hint="default"/>
                <w:sz w:val="15"/>
                <w:szCs w:val="15"/>
              </w:rPr>
              <w:t>江门市有信光源科技有限公司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195" w:lineRule="exact"/>
              <w:ind w:right="19"/>
              <w:jc w:val="center"/>
              <w:rPr>
                <w:rFonts w:ascii="宋体" w:hAnsi="宋体" w:cs="宋体" w:eastAsia="宋体" w:hint="default"/>
                <w:sz w:val="15"/>
                <w:szCs w:val="15"/>
              </w:rPr>
            </w:pPr>
            <w:r>
              <w:rPr>
                <w:rFonts w:ascii="宋体" w:hAnsi="宋体" w:cs="宋体" w:eastAsia="宋体" w:hint="default"/>
                <w:sz w:val="15"/>
                <w:szCs w:val="15"/>
              </w:rPr>
              <w:t>7</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195" w:lineRule="exact"/>
              <w:ind w:right="59"/>
              <w:jc w:val="righ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1000.00</w:t>
            </w:r>
            <w:r>
              <w:rPr>
                <w:rFonts w:ascii="宋体" w:hAnsi="宋体" w:cs="宋体" w:eastAsia="宋体" w:hint="default"/>
                <w:spacing w:val="-41"/>
                <w:sz w:val="15"/>
                <w:szCs w:val="15"/>
              </w:rPr>
              <w:t> </w:t>
            </w:r>
            <w:r>
              <w:rPr>
                <w:rFonts w:ascii="宋体" w:hAnsi="宋体" w:cs="宋体" w:eastAsia="宋体" w:hint="default"/>
                <w:sz w:val="15"/>
                <w:szCs w:val="15"/>
              </w:rPr>
              <w:t>万</w:t>
            </w:r>
          </w:p>
        </w:tc>
        <w:tc>
          <w:tcPr>
            <w:tcW w:w="651" w:type="dxa"/>
            <w:tcBorders>
              <w:top w:val="nil" w:sz="6" w:space="0" w:color="auto"/>
              <w:left w:val="nil" w:sz="6" w:space="0" w:color="auto"/>
              <w:bottom w:val="nil" w:sz="6" w:space="0" w:color="auto"/>
              <w:right w:val="nil" w:sz="6" w:space="0" w:color="auto"/>
            </w:tcBorders>
          </w:tcPr>
          <w:p>
            <w:pPr>
              <w:pStyle w:val="TableParagraph"/>
              <w:spacing w:line="19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广东江门</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pacing w:val="-2"/>
                <w:sz w:val="15"/>
                <w:szCs w:val="15"/>
              </w:rPr>
              <w:t>光电子技术的研发，</w:t>
            </w:r>
            <w:r>
              <w:rPr>
                <w:rFonts w:ascii="宋体" w:hAnsi="宋体" w:cs="宋体" w:eastAsia="宋体" w:hint="default"/>
                <w:spacing w:val="-2"/>
                <w:sz w:val="15"/>
                <w:szCs w:val="15"/>
              </w:rPr>
              <w:t>LED</w:t>
            </w:r>
            <w:r>
              <w:rPr>
                <w:rFonts w:ascii="宋体" w:hAnsi="宋体" w:cs="宋体" w:eastAsia="宋体" w:hint="default"/>
                <w:spacing w:val="2"/>
                <w:sz w:val="15"/>
                <w:szCs w:val="15"/>
              </w:rPr>
              <w:t> </w:t>
            </w:r>
            <w:r>
              <w:rPr>
                <w:rFonts w:ascii="宋体" w:hAnsi="宋体" w:cs="宋体" w:eastAsia="宋体" w:hint="default"/>
                <w:spacing w:val="-2"/>
                <w:sz w:val="15"/>
                <w:szCs w:val="15"/>
              </w:rPr>
              <w:t>光电器件、光电子专用材料</w:t>
            </w:r>
          </w:p>
        </w:tc>
      </w:tr>
      <w:tr>
        <w:trPr>
          <w:trHeight w:val="401"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9" w:right="0"/>
              <w:jc w:val="left"/>
              <w:rPr>
                <w:rFonts w:ascii="宋体" w:hAnsi="宋体" w:cs="宋体" w:eastAsia="宋体" w:hint="default"/>
                <w:sz w:val="15"/>
                <w:szCs w:val="15"/>
              </w:rPr>
            </w:pPr>
            <w:r>
              <w:rPr>
                <w:rFonts w:ascii="宋体" w:hAnsi="宋体" w:cs="宋体" w:eastAsia="宋体" w:hint="default"/>
                <w:sz w:val="15"/>
                <w:szCs w:val="15"/>
              </w:rPr>
              <w:t>同方（广东）孵化器有限公司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center"/>
              <w:rPr>
                <w:rFonts w:ascii="宋体" w:hAnsi="宋体" w:cs="宋体" w:eastAsia="宋体" w:hint="default"/>
                <w:sz w:val="15"/>
                <w:szCs w:val="15"/>
              </w:rPr>
            </w:pPr>
            <w:r>
              <w:rPr>
                <w:rFonts w:ascii="宋体" w:hAnsi="宋体" w:cs="宋体" w:eastAsia="宋体" w:hint="default"/>
                <w:sz w:val="15"/>
                <w:szCs w:val="15"/>
              </w:rPr>
              <w:t>7</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0"/>
              <w:jc w:val="right"/>
              <w:rPr>
                <w:rFonts w:ascii="宋体" w:hAnsi="宋体" w:cs="宋体" w:eastAsia="宋体" w:hint="default"/>
                <w:sz w:val="15"/>
                <w:szCs w:val="15"/>
              </w:rPr>
            </w:pPr>
            <w:r>
              <w:rPr>
                <w:rFonts w:ascii="宋体" w:hAnsi="宋体"/>
                <w:spacing w:val="-2"/>
                <w:sz w:val="15"/>
              </w:rPr>
              <w:t>¥1,000.00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center"/>
              <w:rPr>
                <w:rFonts w:ascii="宋体" w:hAnsi="宋体" w:cs="宋体" w:eastAsia="宋体" w:hint="default"/>
                <w:sz w:val="15"/>
                <w:szCs w:val="15"/>
              </w:rPr>
            </w:pPr>
            <w:r>
              <w:rPr>
                <w:rFonts w:ascii="宋体" w:hAnsi="宋体" w:cs="宋体" w:eastAsia="宋体" w:hint="default"/>
                <w:sz w:val="15"/>
                <w:szCs w:val="15"/>
              </w:rPr>
              <w:t>广东江门</w:t>
            </w:r>
          </w:p>
        </w:tc>
        <w:tc>
          <w:tcPr>
            <w:tcW w:w="3593" w:type="dxa"/>
            <w:tcBorders>
              <w:top w:val="nil" w:sz="6" w:space="0" w:color="auto"/>
              <w:left w:val="nil" w:sz="6" w:space="0" w:color="auto"/>
              <w:bottom w:val="nil" w:sz="6" w:space="0" w:color="auto"/>
              <w:right w:val="nil" w:sz="6" w:space="0" w:color="auto"/>
            </w:tcBorders>
          </w:tcPr>
          <w:p>
            <w:pPr>
              <w:pStyle w:val="TableParagraph"/>
              <w:spacing w:line="194" w:lineRule="exact" w:before="8"/>
              <w:ind w:left="74" w:right="104"/>
              <w:jc w:val="left"/>
              <w:rPr>
                <w:rFonts w:ascii="宋体" w:hAnsi="宋体" w:cs="宋体" w:eastAsia="宋体" w:hint="default"/>
                <w:sz w:val="15"/>
                <w:szCs w:val="15"/>
              </w:rPr>
            </w:pPr>
            <w:r>
              <w:rPr>
                <w:rFonts w:ascii="宋体" w:hAnsi="宋体" w:cs="宋体" w:eastAsia="宋体" w:hint="default"/>
                <w:spacing w:val="-4"/>
                <w:sz w:val="15"/>
                <w:szCs w:val="15"/>
              </w:rPr>
              <w:t>灯具及配件的生产、加工、销售；科技企业孵化管理</w:t>
            </w:r>
            <w:r>
              <w:rPr>
                <w:rFonts w:ascii="宋体" w:hAnsi="宋体" w:cs="宋体" w:eastAsia="宋体" w:hint="default"/>
                <w:spacing w:val="-27"/>
                <w:sz w:val="15"/>
                <w:szCs w:val="15"/>
              </w:rPr>
              <w:t> </w:t>
            </w:r>
            <w:r>
              <w:rPr>
                <w:rFonts w:ascii="宋体" w:hAnsi="宋体" w:cs="宋体" w:eastAsia="宋体" w:hint="default"/>
                <w:spacing w:val="-27"/>
                <w:sz w:val="15"/>
                <w:szCs w:val="15"/>
              </w:rPr>
            </w:r>
            <w:r>
              <w:rPr>
                <w:rFonts w:ascii="宋体" w:hAnsi="宋体" w:cs="宋体" w:eastAsia="宋体" w:hint="default"/>
                <w:sz w:val="15"/>
                <w:szCs w:val="15"/>
              </w:rPr>
              <w:t>服务；房地产中介服务；代办工商税务登记业务等</w:t>
            </w:r>
          </w:p>
        </w:tc>
      </w:tr>
      <w:tr>
        <w:trPr>
          <w:trHeight w:val="595"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72" w:lineRule="exact"/>
              <w:ind w:left="19" w:right="0"/>
              <w:jc w:val="left"/>
              <w:rPr>
                <w:rFonts w:ascii="宋体" w:hAnsi="宋体" w:cs="宋体" w:eastAsia="宋体" w:hint="default"/>
                <w:sz w:val="15"/>
                <w:szCs w:val="15"/>
              </w:rPr>
            </w:pPr>
            <w:r>
              <w:rPr>
                <w:rFonts w:ascii="宋体" w:hAnsi="宋体" w:cs="宋体" w:eastAsia="宋体" w:hint="default"/>
                <w:sz w:val="15"/>
                <w:szCs w:val="15"/>
              </w:rPr>
              <w:t>广东同和物业管理有限公司（原</w:t>
            </w:r>
          </w:p>
          <w:p>
            <w:pPr>
              <w:pStyle w:val="TableParagraph"/>
              <w:spacing w:line="240" w:lineRule="auto"/>
              <w:ind w:left="19" w:right="60"/>
              <w:jc w:val="left"/>
              <w:rPr>
                <w:rFonts w:ascii="宋体" w:hAnsi="宋体" w:cs="宋体" w:eastAsia="宋体" w:hint="default"/>
                <w:sz w:val="15"/>
                <w:szCs w:val="15"/>
              </w:rPr>
            </w:pPr>
            <w:r>
              <w:rPr>
                <w:rFonts w:ascii="宋体" w:hAnsi="宋体" w:cs="宋体" w:eastAsia="宋体" w:hint="default"/>
                <w:spacing w:val="-2"/>
                <w:sz w:val="15"/>
                <w:szCs w:val="15"/>
              </w:rPr>
              <w:t>广东真明丽绿色光源科技企业孵</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化器有限公司）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9"/>
              <w:jc w:val="center"/>
              <w:rPr>
                <w:rFonts w:ascii="宋体" w:hAnsi="宋体" w:cs="宋体" w:eastAsia="宋体" w:hint="default"/>
                <w:sz w:val="15"/>
                <w:szCs w:val="15"/>
              </w:rPr>
            </w:pPr>
            <w:r>
              <w:rPr>
                <w:rFonts w:ascii="宋体" w:hAnsi="宋体" w:cs="宋体" w:eastAsia="宋体" w:hint="default"/>
                <w:sz w:val="15"/>
                <w:szCs w:val="15"/>
              </w:rPr>
              <w:t>7</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60"/>
              <w:jc w:val="right"/>
              <w:rPr>
                <w:rFonts w:ascii="宋体" w:hAnsi="宋体" w:cs="宋体" w:eastAsia="宋体" w:hint="default"/>
                <w:sz w:val="15"/>
                <w:szCs w:val="15"/>
              </w:rPr>
            </w:pPr>
            <w:r>
              <w:rPr>
                <w:rFonts w:ascii="宋体" w:hAnsi="宋体"/>
                <w:spacing w:val="-2"/>
                <w:sz w:val="15"/>
              </w:rPr>
              <w:t>¥1,000.00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广东江门</w:t>
            </w:r>
          </w:p>
        </w:tc>
        <w:tc>
          <w:tcPr>
            <w:tcW w:w="3593" w:type="dxa"/>
            <w:tcBorders>
              <w:top w:val="nil" w:sz="6" w:space="0" w:color="auto"/>
              <w:left w:val="nil" w:sz="6" w:space="0" w:color="auto"/>
              <w:bottom w:val="nil" w:sz="6" w:space="0" w:color="auto"/>
              <w:right w:val="nil" w:sz="6" w:space="0" w:color="auto"/>
            </w:tcBorders>
          </w:tcPr>
          <w:p>
            <w:pPr>
              <w:pStyle w:val="TableParagraph"/>
              <w:spacing w:line="172" w:lineRule="exact"/>
              <w:ind w:left="74" w:right="0"/>
              <w:jc w:val="left"/>
              <w:rPr>
                <w:rFonts w:ascii="宋体" w:hAnsi="宋体" w:cs="宋体" w:eastAsia="宋体" w:hint="default"/>
                <w:sz w:val="15"/>
                <w:szCs w:val="15"/>
              </w:rPr>
            </w:pPr>
            <w:r>
              <w:rPr>
                <w:rFonts w:ascii="宋体" w:hAnsi="宋体" w:cs="宋体" w:eastAsia="宋体" w:hint="default"/>
                <w:spacing w:val="-4"/>
                <w:sz w:val="15"/>
                <w:szCs w:val="15"/>
              </w:rPr>
              <w:t>招商引资；提供绿色光源、光电子及半导体相关领域</w:t>
            </w:r>
          </w:p>
          <w:p>
            <w:pPr>
              <w:pStyle w:val="TableParagraph"/>
              <w:spacing w:line="240" w:lineRule="auto"/>
              <w:ind w:left="74" w:right="106"/>
              <w:jc w:val="left"/>
              <w:rPr>
                <w:rFonts w:ascii="宋体" w:hAnsi="宋体" w:cs="宋体" w:eastAsia="宋体" w:hint="default"/>
                <w:sz w:val="15"/>
                <w:szCs w:val="15"/>
              </w:rPr>
            </w:pPr>
            <w:r>
              <w:rPr>
                <w:rFonts w:ascii="宋体" w:hAnsi="宋体" w:cs="宋体" w:eastAsia="宋体" w:hint="default"/>
                <w:spacing w:val="-4"/>
                <w:sz w:val="15"/>
                <w:szCs w:val="15"/>
              </w:rPr>
              <w:t>的创业辅导、技术研发、工业设计、融资、政府项目</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审批中介科技服务</w:t>
            </w:r>
          </w:p>
        </w:tc>
      </w:tr>
      <w:tr>
        <w:trPr>
          <w:trHeight w:val="240"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85" w:lineRule="exact"/>
              <w:ind w:left="19" w:right="0"/>
              <w:jc w:val="left"/>
              <w:rPr>
                <w:rFonts w:ascii="宋体" w:hAnsi="宋体" w:cs="宋体" w:eastAsia="宋体" w:hint="default"/>
                <w:sz w:val="15"/>
                <w:szCs w:val="15"/>
              </w:rPr>
            </w:pPr>
            <w:r>
              <w:rPr>
                <w:rFonts w:ascii="宋体" w:hAnsi="宋体" w:cs="宋体" w:eastAsia="宋体" w:hint="default"/>
                <w:sz w:val="15"/>
                <w:szCs w:val="15"/>
              </w:rPr>
              <w:t>鹤山明集有限公司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185" w:lineRule="exact"/>
              <w:ind w:right="19"/>
              <w:jc w:val="center"/>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185" w:lineRule="exact"/>
              <w:ind w:right="60"/>
              <w:jc w:val="right"/>
              <w:rPr>
                <w:rFonts w:ascii="宋体" w:hAnsi="宋体" w:cs="宋体" w:eastAsia="宋体" w:hint="default"/>
                <w:sz w:val="15"/>
                <w:szCs w:val="15"/>
              </w:rPr>
            </w:pPr>
            <w:r>
              <w:rPr>
                <w:rFonts w:ascii="宋体"/>
                <w:spacing w:val="-1"/>
                <w:sz w:val="15"/>
              </w:rPr>
              <w:t>USD42.00</w:t>
            </w:r>
          </w:p>
        </w:tc>
        <w:tc>
          <w:tcPr>
            <w:tcW w:w="651" w:type="dxa"/>
            <w:tcBorders>
              <w:top w:val="nil" w:sz="6" w:space="0" w:color="auto"/>
              <w:left w:val="nil" w:sz="6" w:space="0" w:color="auto"/>
              <w:bottom w:val="nil" w:sz="6" w:space="0" w:color="auto"/>
              <w:right w:val="nil" w:sz="6" w:space="0" w:color="auto"/>
            </w:tcBorders>
          </w:tcPr>
          <w:p>
            <w:pPr>
              <w:pStyle w:val="TableParagraph"/>
              <w:spacing w:line="185" w:lineRule="exact"/>
              <w:ind w:left="77" w:right="0"/>
              <w:jc w:val="center"/>
              <w:rPr>
                <w:rFonts w:ascii="宋体" w:hAnsi="宋体" w:cs="宋体" w:eastAsia="宋体" w:hint="default"/>
                <w:sz w:val="15"/>
                <w:szCs w:val="15"/>
              </w:rPr>
            </w:pPr>
            <w:r>
              <w:rPr>
                <w:rFonts w:ascii="宋体"/>
                <w:sz w:val="15"/>
              </w:rPr>
              <w:t>51.00%</w:t>
            </w:r>
          </w:p>
        </w:tc>
        <w:tc>
          <w:tcPr>
            <w:tcW w:w="889" w:type="dxa"/>
            <w:tcBorders>
              <w:top w:val="nil" w:sz="6" w:space="0" w:color="auto"/>
              <w:left w:val="nil" w:sz="6" w:space="0" w:color="auto"/>
              <w:bottom w:val="nil" w:sz="6" w:space="0" w:color="auto"/>
              <w:right w:val="nil" w:sz="6" w:space="0" w:color="auto"/>
            </w:tcBorders>
          </w:tcPr>
          <w:p>
            <w:pPr>
              <w:pStyle w:val="TableParagraph"/>
              <w:spacing w:line="185" w:lineRule="exact"/>
              <w:ind w:right="14"/>
              <w:jc w:val="center"/>
              <w:rPr>
                <w:rFonts w:ascii="宋体" w:hAnsi="宋体" w:cs="宋体" w:eastAsia="宋体" w:hint="default"/>
                <w:sz w:val="15"/>
                <w:szCs w:val="15"/>
              </w:rPr>
            </w:pPr>
            <w:r>
              <w:rPr>
                <w:rFonts w:ascii="宋体" w:hAnsi="宋体" w:cs="宋体" w:eastAsia="宋体" w:hint="default"/>
                <w:sz w:val="15"/>
                <w:szCs w:val="15"/>
              </w:rPr>
              <w:t>广东江门</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4" w:right="0"/>
              <w:jc w:val="left"/>
              <w:rPr>
                <w:rFonts w:ascii="宋体" w:hAnsi="宋体" w:cs="宋体" w:eastAsia="宋体" w:hint="default"/>
                <w:sz w:val="15"/>
                <w:szCs w:val="15"/>
              </w:rPr>
            </w:pPr>
            <w:r>
              <w:rPr>
                <w:rFonts w:ascii="宋体" w:hAnsi="宋体" w:cs="宋体" w:eastAsia="宋体" w:hint="default"/>
                <w:sz w:val="15"/>
                <w:szCs w:val="15"/>
              </w:rPr>
              <w:t>从事研发、设计，生产经营舞台灯光产品</w:t>
            </w:r>
          </w:p>
        </w:tc>
      </w:tr>
      <w:tr>
        <w:trPr>
          <w:trHeight w:val="229" w:hRule="exact"/>
        </w:trPr>
        <w:tc>
          <w:tcPr>
            <w:tcW w:w="2184" w:type="dxa"/>
            <w:tcBorders>
              <w:top w:val="nil" w:sz="6" w:space="0" w:color="auto"/>
              <w:left w:val="nil" w:sz="6" w:space="0" w:color="auto"/>
              <w:bottom w:val="nil" w:sz="6" w:space="0" w:color="auto"/>
              <w:right w:val="nil" w:sz="6" w:space="0" w:color="auto"/>
            </w:tcBorders>
          </w:tcPr>
          <w:p>
            <w:pPr>
              <w:pStyle w:val="TableParagraph"/>
              <w:spacing w:line="185" w:lineRule="exact"/>
              <w:ind w:left="19" w:right="0"/>
              <w:jc w:val="left"/>
              <w:rPr>
                <w:rFonts w:ascii="宋体" w:hAnsi="宋体" w:cs="宋体" w:eastAsia="宋体" w:hint="default"/>
                <w:sz w:val="15"/>
                <w:szCs w:val="15"/>
              </w:rPr>
            </w:pPr>
            <w:r>
              <w:rPr>
                <w:rFonts w:ascii="宋体" w:hAnsi="宋体" w:cs="宋体" w:eastAsia="宋体" w:hint="default"/>
                <w:sz w:val="15"/>
                <w:szCs w:val="15"/>
              </w:rPr>
              <w:t>鹤山金雨灯饰工程有限公司</w:t>
            </w:r>
          </w:p>
        </w:tc>
        <w:tc>
          <w:tcPr>
            <w:tcW w:w="377" w:type="dxa"/>
            <w:tcBorders>
              <w:top w:val="nil" w:sz="6" w:space="0" w:color="auto"/>
              <w:left w:val="nil" w:sz="6" w:space="0" w:color="auto"/>
              <w:bottom w:val="nil" w:sz="6" w:space="0" w:color="auto"/>
              <w:right w:val="nil" w:sz="6" w:space="0" w:color="auto"/>
            </w:tcBorders>
          </w:tcPr>
          <w:p>
            <w:pPr>
              <w:pStyle w:val="TableParagraph"/>
              <w:spacing w:line="185" w:lineRule="exact"/>
              <w:ind w:right="19"/>
              <w:jc w:val="center"/>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nil" w:sz="6" w:space="0" w:color="auto"/>
              <w:right w:val="nil" w:sz="6" w:space="0" w:color="auto"/>
            </w:tcBorders>
          </w:tcPr>
          <w:p>
            <w:pPr>
              <w:pStyle w:val="TableParagraph"/>
              <w:spacing w:line="185" w:lineRule="exact"/>
              <w:ind w:right="60"/>
              <w:jc w:val="right"/>
              <w:rPr>
                <w:rFonts w:ascii="宋体" w:hAnsi="宋体" w:cs="宋体" w:eastAsia="宋体" w:hint="default"/>
                <w:sz w:val="15"/>
                <w:szCs w:val="15"/>
              </w:rPr>
            </w:pPr>
            <w:r>
              <w:rPr>
                <w:rFonts w:ascii="宋体"/>
                <w:spacing w:val="-2"/>
                <w:sz w:val="15"/>
              </w:rPr>
              <w:t>USD150.00</w:t>
            </w:r>
          </w:p>
        </w:tc>
        <w:tc>
          <w:tcPr>
            <w:tcW w:w="651" w:type="dxa"/>
            <w:tcBorders>
              <w:top w:val="nil" w:sz="6" w:space="0" w:color="auto"/>
              <w:left w:val="nil" w:sz="6" w:space="0" w:color="auto"/>
              <w:bottom w:val="nil" w:sz="6" w:space="0" w:color="auto"/>
              <w:right w:val="nil" w:sz="6" w:space="0" w:color="auto"/>
            </w:tcBorders>
          </w:tcPr>
          <w:p>
            <w:pPr>
              <w:pStyle w:val="TableParagraph"/>
              <w:spacing w:line="18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5" w:lineRule="exact"/>
              <w:ind w:right="14"/>
              <w:jc w:val="center"/>
              <w:rPr>
                <w:rFonts w:ascii="宋体" w:hAnsi="宋体" w:cs="宋体" w:eastAsia="宋体" w:hint="default"/>
                <w:sz w:val="15"/>
                <w:szCs w:val="15"/>
              </w:rPr>
            </w:pPr>
            <w:r>
              <w:rPr>
                <w:rFonts w:ascii="宋体" w:hAnsi="宋体" w:cs="宋体" w:eastAsia="宋体" w:hint="default"/>
                <w:sz w:val="15"/>
                <w:szCs w:val="15"/>
              </w:rPr>
              <w:t>广东江门</w:t>
            </w:r>
          </w:p>
        </w:tc>
        <w:tc>
          <w:tcPr>
            <w:tcW w:w="3593" w:type="dxa"/>
            <w:tcBorders>
              <w:top w:val="nil" w:sz="6" w:space="0" w:color="auto"/>
              <w:left w:val="nil" w:sz="6" w:space="0" w:color="auto"/>
              <w:bottom w:val="nil" w:sz="6" w:space="0" w:color="auto"/>
              <w:right w:val="nil" w:sz="6" w:space="0" w:color="auto"/>
            </w:tcBorders>
          </w:tcPr>
          <w:p>
            <w:pPr>
              <w:pStyle w:val="TableParagraph"/>
              <w:spacing w:line="185" w:lineRule="exact"/>
              <w:ind w:left="74" w:right="0"/>
              <w:jc w:val="left"/>
              <w:rPr>
                <w:rFonts w:ascii="宋体" w:hAnsi="宋体" w:cs="宋体" w:eastAsia="宋体" w:hint="default"/>
                <w:sz w:val="15"/>
                <w:szCs w:val="15"/>
              </w:rPr>
            </w:pPr>
            <w:r>
              <w:rPr>
                <w:rFonts w:ascii="宋体" w:hAnsi="宋体" w:cs="宋体" w:eastAsia="宋体" w:hint="default"/>
                <w:sz w:val="15"/>
                <w:szCs w:val="15"/>
              </w:rPr>
              <w:t>从事室内外灯饰设计安装</w:t>
            </w:r>
          </w:p>
        </w:tc>
      </w:tr>
      <w:tr>
        <w:trPr>
          <w:trHeight w:val="256" w:hRule="exact"/>
        </w:trPr>
        <w:tc>
          <w:tcPr>
            <w:tcW w:w="2184" w:type="dxa"/>
            <w:tcBorders>
              <w:top w:val="nil" w:sz="6" w:space="0" w:color="auto"/>
              <w:left w:val="nil" w:sz="6" w:space="0" w:color="auto"/>
              <w:bottom w:val="single" w:sz="12" w:space="0" w:color="000000"/>
              <w:right w:val="nil" w:sz="6" w:space="0" w:color="auto"/>
            </w:tcBorders>
          </w:tcPr>
          <w:p>
            <w:pPr>
              <w:pStyle w:val="TableParagraph"/>
              <w:spacing w:line="196" w:lineRule="exact"/>
              <w:ind w:left="19" w:right="0"/>
              <w:jc w:val="left"/>
              <w:rPr>
                <w:rFonts w:ascii="宋体" w:hAnsi="宋体" w:cs="宋体" w:eastAsia="宋体" w:hint="default"/>
                <w:sz w:val="15"/>
                <w:szCs w:val="15"/>
              </w:rPr>
            </w:pPr>
            <w:r>
              <w:rPr>
                <w:rFonts w:ascii="宋体" w:hAnsi="宋体" w:cs="宋体" w:eastAsia="宋体" w:hint="default"/>
                <w:sz w:val="15"/>
                <w:szCs w:val="15"/>
              </w:rPr>
              <w:t>鹤山市银雨照明有限公司</w:t>
            </w:r>
          </w:p>
        </w:tc>
        <w:tc>
          <w:tcPr>
            <w:tcW w:w="377" w:type="dxa"/>
            <w:tcBorders>
              <w:top w:val="nil" w:sz="6" w:space="0" w:color="auto"/>
              <w:left w:val="nil" w:sz="6" w:space="0" w:color="auto"/>
              <w:bottom w:val="single" w:sz="12" w:space="0" w:color="000000"/>
              <w:right w:val="nil" w:sz="6" w:space="0" w:color="auto"/>
            </w:tcBorders>
          </w:tcPr>
          <w:p>
            <w:pPr>
              <w:pStyle w:val="TableParagraph"/>
              <w:spacing w:line="196" w:lineRule="exact"/>
              <w:ind w:right="19"/>
              <w:jc w:val="center"/>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31" w:type="dxa"/>
            <w:tcBorders>
              <w:top w:val="nil" w:sz="6" w:space="0" w:color="auto"/>
              <w:left w:val="nil" w:sz="6" w:space="0" w:color="auto"/>
              <w:bottom w:val="single" w:sz="12" w:space="0" w:color="000000"/>
              <w:right w:val="nil" w:sz="6" w:space="0" w:color="auto"/>
            </w:tcBorders>
          </w:tcPr>
          <w:p>
            <w:pPr>
              <w:pStyle w:val="TableParagraph"/>
              <w:spacing w:line="196" w:lineRule="exact"/>
              <w:ind w:right="60"/>
              <w:jc w:val="right"/>
              <w:rPr>
                <w:rFonts w:ascii="宋体" w:hAnsi="宋体" w:cs="宋体" w:eastAsia="宋体" w:hint="default"/>
                <w:sz w:val="15"/>
                <w:szCs w:val="15"/>
              </w:rPr>
            </w:pPr>
            <w:r>
              <w:rPr>
                <w:rFonts w:ascii="宋体" w:hAnsi="宋体"/>
                <w:spacing w:val="-2"/>
                <w:sz w:val="15"/>
              </w:rPr>
              <w:t>¥5,000.00</w:t>
            </w:r>
          </w:p>
        </w:tc>
        <w:tc>
          <w:tcPr>
            <w:tcW w:w="651" w:type="dxa"/>
            <w:tcBorders>
              <w:top w:val="nil" w:sz="6" w:space="0" w:color="auto"/>
              <w:left w:val="nil" w:sz="6" w:space="0" w:color="auto"/>
              <w:bottom w:val="single" w:sz="12" w:space="0" w:color="000000"/>
              <w:right w:val="nil" w:sz="6" w:space="0" w:color="auto"/>
            </w:tcBorders>
          </w:tcPr>
          <w:p>
            <w:pPr>
              <w:pStyle w:val="TableParagraph"/>
              <w:spacing w:line="196"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single" w:sz="12" w:space="0" w:color="000000"/>
              <w:right w:val="nil" w:sz="6" w:space="0" w:color="auto"/>
            </w:tcBorders>
          </w:tcPr>
          <w:p>
            <w:pPr>
              <w:pStyle w:val="TableParagraph"/>
              <w:spacing w:line="196" w:lineRule="exact"/>
              <w:ind w:right="14"/>
              <w:jc w:val="center"/>
              <w:rPr>
                <w:rFonts w:ascii="宋体" w:hAnsi="宋体" w:cs="宋体" w:eastAsia="宋体" w:hint="default"/>
                <w:sz w:val="15"/>
                <w:szCs w:val="15"/>
              </w:rPr>
            </w:pPr>
            <w:r>
              <w:rPr>
                <w:rFonts w:ascii="宋体" w:hAnsi="宋体" w:cs="宋体" w:eastAsia="宋体" w:hint="default"/>
                <w:sz w:val="15"/>
                <w:szCs w:val="15"/>
              </w:rPr>
              <w:t>广东江门</w:t>
            </w:r>
          </w:p>
        </w:tc>
        <w:tc>
          <w:tcPr>
            <w:tcW w:w="3593" w:type="dxa"/>
            <w:tcBorders>
              <w:top w:val="nil" w:sz="6" w:space="0" w:color="auto"/>
              <w:left w:val="nil" w:sz="6" w:space="0" w:color="auto"/>
              <w:bottom w:val="single" w:sz="12" w:space="0" w:color="000000"/>
              <w:right w:val="nil" w:sz="6" w:space="0" w:color="auto"/>
            </w:tcBorders>
          </w:tcPr>
          <w:p>
            <w:pPr>
              <w:pStyle w:val="TableParagraph"/>
              <w:spacing w:line="196" w:lineRule="exact"/>
              <w:ind w:left="74" w:right="0"/>
              <w:jc w:val="left"/>
              <w:rPr>
                <w:rFonts w:ascii="宋体" w:hAnsi="宋体" w:cs="宋体" w:eastAsia="宋体" w:hint="default"/>
                <w:sz w:val="15"/>
                <w:szCs w:val="15"/>
              </w:rPr>
            </w:pPr>
            <w:r>
              <w:rPr>
                <w:rFonts w:ascii="宋体" w:hAnsi="宋体" w:cs="宋体" w:eastAsia="宋体" w:hint="default"/>
                <w:sz w:val="15"/>
                <w:szCs w:val="15"/>
              </w:rPr>
              <w:t>各款灯饰及配件的生产、加工、销售</w:t>
            </w:r>
          </w:p>
        </w:tc>
      </w:tr>
    </w:tbl>
    <w:p>
      <w:pPr>
        <w:spacing w:after="0" w:line="196" w:lineRule="exact"/>
        <w:jc w:val="left"/>
        <w:rPr>
          <w:rFonts w:ascii="宋体" w:hAnsi="宋体" w:cs="宋体" w:eastAsia="宋体" w:hint="default"/>
          <w:sz w:val="15"/>
          <w:szCs w:val="15"/>
        </w:rPr>
        <w:sectPr>
          <w:footerReference w:type="default" r:id="rId45"/>
          <w:pgSz w:w="11910" w:h="16840"/>
          <w:pgMar w:footer="1034" w:header="0" w:top="1320" w:bottom="1220" w:left="1480" w:right="1480"/>
          <w:pgNumType w:start="151"/>
        </w:sectPr>
      </w:pPr>
    </w:p>
    <w:p>
      <w:pPr>
        <w:spacing w:line="240" w:lineRule="auto" w:before="4"/>
        <w:rPr>
          <w:rFonts w:ascii="Times New Roman" w:hAnsi="Times New Roman" w:cs="Times New Roman" w:eastAsia="Times New Roman"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2176"/>
        <w:gridCol w:w="366"/>
        <w:gridCol w:w="1050"/>
        <w:gridCol w:w="651"/>
        <w:gridCol w:w="889"/>
        <w:gridCol w:w="3593"/>
      </w:tblGrid>
      <w:tr>
        <w:trPr>
          <w:trHeight w:val="485" w:hRule="exact"/>
        </w:trPr>
        <w:tc>
          <w:tcPr>
            <w:tcW w:w="2176" w:type="dxa"/>
            <w:tcBorders>
              <w:top w:val="single" w:sz="12" w:space="0" w:color="000000"/>
              <w:left w:val="nil" w:sz="6" w:space="0" w:color="auto"/>
              <w:bottom w:val="single" w:sz="4" w:space="0" w:color="000000"/>
              <w:right w:val="nil" w:sz="6" w:space="0" w:color="auto"/>
            </w:tcBorders>
          </w:tcPr>
          <w:p>
            <w:pPr>
              <w:pStyle w:val="TableParagraph"/>
              <w:spacing w:line="240" w:lineRule="auto" w:before="113"/>
              <w:ind w:left="561" w:right="0"/>
              <w:jc w:val="left"/>
              <w:rPr>
                <w:rFonts w:ascii="宋体" w:hAnsi="宋体" w:cs="宋体" w:eastAsia="宋体" w:hint="default"/>
                <w:sz w:val="15"/>
                <w:szCs w:val="15"/>
              </w:rPr>
            </w:pPr>
            <w:r>
              <w:rPr>
                <w:rFonts w:ascii="宋体" w:hAnsi="宋体" w:cs="宋体" w:eastAsia="宋体" w:hint="default"/>
                <w:b/>
                <w:bCs/>
                <w:sz w:val="15"/>
                <w:szCs w:val="15"/>
              </w:rPr>
              <w:t>控股子公司名称</w:t>
            </w:r>
            <w:r>
              <w:rPr>
                <w:rFonts w:ascii="宋体" w:hAnsi="宋体" w:cs="宋体" w:eastAsia="宋体" w:hint="default"/>
                <w:sz w:val="15"/>
                <w:szCs w:val="15"/>
              </w:rPr>
            </w:r>
          </w:p>
        </w:tc>
        <w:tc>
          <w:tcPr>
            <w:tcW w:w="366"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116" w:right="96"/>
              <w:jc w:val="left"/>
              <w:rPr>
                <w:rFonts w:ascii="宋体" w:hAnsi="宋体" w:cs="宋体" w:eastAsia="宋体" w:hint="default"/>
                <w:sz w:val="15"/>
                <w:szCs w:val="15"/>
              </w:rPr>
            </w:pPr>
            <w:r>
              <w:rPr>
                <w:rFonts w:ascii="宋体" w:hAnsi="宋体" w:cs="宋体" w:eastAsia="宋体" w:hint="default"/>
                <w:b/>
                <w:bCs/>
                <w:sz w:val="15"/>
                <w:szCs w:val="15"/>
              </w:rPr>
              <w:t>级</w:t>
            </w:r>
            <w:r>
              <w:rPr>
                <w:rFonts w:ascii="宋体" w:hAnsi="宋体" w:cs="宋体" w:eastAsia="宋体" w:hint="default"/>
                <w:b/>
                <w:bCs/>
                <w:w w:val="100"/>
                <w:sz w:val="15"/>
                <w:szCs w:val="15"/>
              </w:rPr>
              <w:t> </w:t>
            </w:r>
            <w:r>
              <w:rPr>
                <w:rFonts w:ascii="宋体" w:hAnsi="宋体" w:cs="宋体" w:eastAsia="宋体" w:hint="default"/>
                <w:b/>
                <w:bCs/>
                <w:sz w:val="15"/>
                <w:szCs w:val="15"/>
              </w:rPr>
              <w:t>次</w:t>
            </w:r>
            <w:r>
              <w:rPr>
                <w:rFonts w:ascii="宋体" w:hAnsi="宋体" w:cs="宋体" w:eastAsia="宋体" w:hint="default"/>
                <w:sz w:val="15"/>
                <w:szCs w:val="15"/>
              </w:rPr>
            </w:r>
          </w:p>
        </w:tc>
        <w:tc>
          <w:tcPr>
            <w:tcW w:w="1050" w:type="dxa"/>
            <w:tcBorders>
              <w:top w:val="single" w:sz="12" w:space="0" w:color="000000"/>
              <w:left w:val="nil" w:sz="6" w:space="0" w:color="auto"/>
              <w:bottom w:val="single" w:sz="4" w:space="0" w:color="000000"/>
              <w:right w:val="nil" w:sz="6" w:space="0" w:color="auto"/>
            </w:tcBorders>
          </w:tcPr>
          <w:p>
            <w:pPr>
              <w:pStyle w:val="TableParagraph"/>
              <w:spacing w:line="196" w:lineRule="exact" w:before="14"/>
              <w:ind w:left="203" w:right="0"/>
              <w:jc w:val="left"/>
              <w:rPr>
                <w:rFonts w:ascii="宋体" w:hAnsi="宋体" w:cs="宋体" w:eastAsia="宋体" w:hint="default"/>
                <w:sz w:val="15"/>
                <w:szCs w:val="15"/>
              </w:rPr>
            </w:pPr>
            <w:r>
              <w:rPr>
                <w:rFonts w:ascii="宋体" w:hAnsi="宋体" w:cs="宋体" w:eastAsia="宋体" w:hint="default"/>
                <w:b/>
                <w:bCs/>
                <w:sz w:val="15"/>
                <w:szCs w:val="15"/>
              </w:rPr>
              <w:t>注册资本</w:t>
            </w:r>
            <w:r>
              <w:rPr>
                <w:rFonts w:ascii="宋体" w:hAnsi="宋体" w:cs="宋体" w:eastAsia="宋体" w:hint="default"/>
                <w:sz w:val="15"/>
                <w:szCs w:val="15"/>
              </w:rPr>
            </w:r>
          </w:p>
          <w:p>
            <w:pPr>
              <w:pStyle w:val="TableParagraph"/>
              <w:spacing w:line="196" w:lineRule="exact"/>
              <w:ind w:left="203" w:right="0"/>
              <w:jc w:val="left"/>
              <w:rPr>
                <w:rFonts w:ascii="宋体" w:hAnsi="宋体" w:cs="宋体" w:eastAsia="宋体" w:hint="default"/>
                <w:sz w:val="15"/>
                <w:szCs w:val="15"/>
              </w:rPr>
            </w:pPr>
            <w:r>
              <w:rPr>
                <w:rFonts w:ascii="宋体" w:hAnsi="宋体" w:cs="宋体" w:eastAsia="宋体" w:hint="default"/>
                <w:b/>
                <w:bCs/>
                <w:sz w:val="15"/>
                <w:szCs w:val="15"/>
              </w:rPr>
              <w:t>（万元）</w:t>
            </w:r>
            <w:r>
              <w:rPr>
                <w:rFonts w:ascii="宋体" w:hAnsi="宋体" w:cs="宋体" w:eastAsia="宋体" w:hint="default"/>
                <w:sz w:val="15"/>
                <w:szCs w:val="15"/>
              </w:rPr>
            </w:r>
          </w:p>
        </w:tc>
        <w:tc>
          <w:tcPr>
            <w:tcW w:w="651"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209" w:right="134" w:hanging="149"/>
              <w:jc w:val="left"/>
              <w:rPr>
                <w:rFonts w:ascii="宋体" w:hAnsi="宋体" w:cs="宋体" w:eastAsia="宋体" w:hint="default"/>
                <w:sz w:val="15"/>
                <w:szCs w:val="15"/>
              </w:rPr>
            </w:pPr>
            <w:r>
              <w:rPr>
                <w:rFonts w:ascii="宋体" w:hAnsi="宋体" w:cs="宋体" w:eastAsia="宋体" w:hint="default"/>
                <w:b/>
                <w:bCs/>
                <w:sz w:val="15"/>
                <w:szCs w:val="15"/>
              </w:rPr>
              <w:t>持股比</w:t>
            </w:r>
            <w:r>
              <w:rPr>
                <w:rFonts w:ascii="宋体" w:hAnsi="宋体" w:cs="宋体" w:eastAsia="宋体" w:hint="default"/>
                <w:b/>
                <w:bCs/>
                <w:w w:val="100"/>
                <w:sz w:val="15"/>
                <w:szCs w:val="15"/>
              </w:rPr>
              <w:t> </w:t>
            </w:r>
            <w:r>
              <w:rPr>
                <w:rFonts w:ascii="宋体" w:hAnsi="宋体" w:cs="宋体" w:eastAsia="宋体" w:hint="default"/>
                <w:b/>
                <w:bCs/>
                <w:sz w:val="15"/>
                <w:szCs w:val="15"/>
              </w:rPr>
              <w:t>例</w:t>
            </w:r>
            <w:r>
              <w:rPr>
                <w:rFonts w:ascii="宋体" w:hAnsi="宋体" w:cs="宋体" w:eastAsia="宋体" w:hint="default"/>
                <w:sz w:val="15"/>
                <w:szCs w:val="15"/>
              </w:rPr>
            </w:r>
          </w:p>
        </w:tc>
        <w:tc>
          <w:tcPr>
            <w:tcW w:w="889" w:type="dxa"/>
            <w:tcBorders>
              <w:top w:val="single" w:sz="12" w:space="0" w:color="000000"/>
              <w:left w:val="nil" w:sz="6" w:space="0" w:color="auto"/>
              <w:bottom w:val="single" w:sz="4" w:space="0" w:color="000000"/>
              <w:right w:val="nil" w:sz="6" w:space="0" w:color="auto"/>
            </w:tcBorders>
          </w:tcPr>
          <w:p>
            <w:pPr>
              <w:pStyle w:val="TableParagraph"/>
              <w:spacing w:line="240" w:lineRule="auto" w:before="113"/>
              <w:ind w:right="55"/>
              <w:jc w:val="center"/>
              <w:rPr>
                <w:rFonts w:ascii="宋体" w:hAnsi="宋体" w:cs="宋体" w:eastAsia="宋体" w:hint="default"/>
                <w:sz w:val="15"/>
                <w:szCs w:val="15"/>
              </w:rPr>
            </w:pPr>
            <w:r>
              <w:rPr>
                <w:rFonts w:ascii="宋体" w:hAnsi="宋体" w:cs="宋体" w:eastAsia="宋体" w:hint="default"/>
                <w:b/>
                <w:bCs/>
                <w:sz w:val="15"/>
                <w:szCs w:val="15"/>
              </w:rPr>
              <w:t>注册地址</w:t>
            </w:r>
            <w:r>
              <w:rPr>
                <w:rFonts w:ascii="宋体" w:hAnsi="宋体" w:cs="宋体" w:eastAsia="宋体" w:hint="default"/>
                <w:sz w:val="15"/>
                <w:szCs w:val="15"/>
              </w:rPr>
            </w:r>
          </w:p>
        </w:tc>
        <w:tc>
          <w:tcPr>
            <w:tcW w:w="3593" w:type="dxa"/>
            <w:tcBorders>
              <w:top w:val="single" w:sz="12" w:space="0" w:color="000000"/>
              <w:left w:val="nil" w:sz="6" w:space="0" w:color="auto"/>
              <w:bottom w:val="single" w:sz="4" w:space="0" w:color="000000"/>
              <w:right w:val="nil" w:sz="6" w:space="0" w:color="auto"/>
            </w:tcBorders>
          </w:tcPr>
          <w:p>
            <w:pPr>
              <w:pStyle w:val="TableParagraph"/>
              <w:spacing w:line="240" w:lineRule="auto" w:before="113"/>
              <w:ind w:right="34"/>
              <w:jc w:val="center"/>
              <w:rPr>
                <w:rFonts w:ascii="宋体" w:hAnsi="宋体" w:cs="宋体" w:eastAsia="宋体" w:hint="default"/>
                <w:sz w:val="15"/>
                <w:szCs w:val="15"/>
              </w:rPr>
            </w:pPr>
            <w:r>
              <w:rPr>
                <w:rFonts w:ascii="宋体" w:hAnsi="宋体" w:cs="宋体" w:eastAsia="宋体" w:hint="default"/>
                <w:b/>
                <w:bCs/>
                <w:sz w:val="15"/>
                <w:szCs w:val="15"/>
              </w:rPr>
              <w:t>主营业务</w:t>
            </w:r>
            <w:r>
              <w:rPr>
                <w:rFonts w:ascii="宋体" w:hAnsi="宋体" w:cs="宋体" w:eastAsia="宋体" w:hint="default"/>
                <w:sz w:val="15"/>
                <w:szCs w:val="15"/>
              </w:rPr>
            </w:r>
          </w:p>
        </w:tc>
      </w:tr>
      <w:tr>
        <w:trPr>
          <w:trHeight w:val="978" w:hRule="exact"/>
        </w:trPr>
        <w:tc>
          <w:tcPr>
            <w:tcW w:w="217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9" w:right="0"/>
              <w:jc w:val="left"/>
              <w:rPr>
                <w:rFonts w:ascii="宋体" w:hAnsi="宋体" w:cs="宋体" w:eastAsia="宋体" w:hint="default"/>
                <w:sz w:val="15"/>
                <w:szCs w:val="15"/>
              </w:rPr>
            </w:pPr>
            <w:r>
              <w:rPr>
                <w:rFonts w:ascii="宋体" w:hAnsi="宋体" w:cs="宋体" w:eastAsia="宋体" w:hint="default"/>
                <w:sz w:val="15"/>
                <w:szCs w:val="15"/>
              </w:rPr>
              <w:t>江门市安特力标准检测有限公司</w:t>
            </w:r>
          </w:p>
        </w:tc>
        <w:tc>
          <w:tcPr>
            <w:tcW w:w="36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7</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60"/>
              <w:jc w:val="right"/>
              <w:rPr>
                <w:rFonts w:ascii="宋体" w:hAnsi="宋体" w:cs="宋体" w:eastAsia="宋体" w:hint="default"/>
                <w:sz w:val="15"/>
                <w:szCs w:val="15"/>
              </w:rPr>
            </w:pPr>
            <w:r>
              <w:rPr>
                <w:rFonts w:ascii="宋体" w:hAnsi="宋体"/>
                <w:spacing w:val="-1"/>
                <w:sz w:val="15"/>
              </w:rPr>
              <w:t>¥300.00</w:t>
            </w:r>
          </w:p>
        </w:tc>
        <w:tc>
          <w:tcPr>
            <w:tcW w:w="65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sz w:val="15"/>
              </w:rPr>
              <w:t>100.00%</w:t>
            </w:r>
          </w:p>
        </w:tc>
        <w:tc>
          <w:tcPr>
            <w:tcW w:w="88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广东江门</w:t>
            </w:r>
          </w:p>
        </w:tc>
        <w:tc>
          <w:tcPr>
            <w:tcW w:w="3593" w:type="dxa"/>
            <w:tcBorders>
              <w:top w:val="single" w:sz="4" w:space="0" w:color="000000"/>
              <w:left w:val="nil" w:sz="6" w:space="0" w:color="auto"/>
              <w:bottom w:val="nil" w:sz="6" w:space="0" w:color="auto"/>
              <w:right w:val="nil" w:sz="6" w:space="0" w:color="auto"/>
            </w:tcBorders>
          </w:tcPr>
          <w:p>
            <w:pPr>
              <w:pStyle w:val="TableParagraph"/>
              <w:spacing w:line="171" w:lineRule="exact"/>
              <w:ind w:left="74" w:right="0"/>
              <w:jc w:val="both"/>
              <w:rPr>
                <w:rFonts w:ascii="宋体" w:hAnsi="宋体" w:cs="宋体" w:eastAsia="宋体" w:hint="default"/>
                <w:sz w:val="15"/>
                <w:szCs w:val="15"/>
              </w:rPr>
            </w:pPr>
            <w:r>
              <w:rPr>
                <w:rFonts w:ascii="宋体" w:hAnsi="宋体" w:cs="宋体" w:eastAsia="宋体" w:hint="default"/>
                <w:spacing w:val="-7"/>
                <w:sz w:val="15"/>
                <w:szCs w:val="15"/>
              </w:rPr>
              <w:t>电子产品安全、电磁兼容、理化技术检测服务；仪器、</w:t>
            </w:r>
          </w:p>
          <w:p>
            <w:pPr>
              <w:pStyle w:val="TableParagraph"/>
              <w:spacing w:line="240" w:lineRule="auto"/>
              <w:ind w:left="74" w:right="104"/>
              <w:jc w:val="both"/>
              <w:rPr>
                <w:rFonts w:ascii="宋体" w:hAnsi="宋体" w:cs="宋体" w:eastAsia="宋体" w:hint="default"/>
                <w:sz w:val="15"/>
                <w:szCs w:val="15"/>
              </w:rPr>
            </w:pPr>
            <w:r>
              <w:rPr>
                <w:rFonts w:ascii="宋体" w:hAnsi="宋体" w:cs="宋体" w:eastAsia="宋体" w:hint="default"/>
                <w:spacing w:val="-4"/>
                <w:sz w:val="15"/>
                <w:szCs w:val="15"/>
              </w:rPr>
              <w:t>仪表、试验序曲备的检测服务及销售；电子产品及配</w:t>
            </w:r>
            <w:r>
              <w:rPr>
                <w:rFonts w:ascii="宋体" w:hAnsi="宋体" w:cs="宋体" w:eastAsia="宋体" w:hint="default"/>
                <w:spacing w:val="-30"/>
                <w:sz w:val="15"/>
                <w:szCs w:val="15"/>
              </w:rPr>
              <w:t> </w:t>
            </w:r>
            <w:r>
              <w:rPr>
                <w:rFonts w:ascii="宋体" w:hAnsi="宋体" w:cs="宋体" w:eastAsia="宋体" w:hint="default"/>
                <w:spacing w:val="-30"/>
                <w:sz w:val="15"/>
                <w:szCs w:val="15"/>
              </w:rPr>
            </w:r>
            <w:r>
              <w:rPr>
                <w:rFonts w:ascii="宋体" w:hAnsi="宋体" w:cs="宋体" w:eastAsia="宋体" w:hint="default"/>
                <w:spacing w:val="-4"/>
                <w:sz w:val="15"/>
                <w:szCs w:val="15"/>
              </w:rPr>
              <w:t>件、微电子产品、电子元器件、机电产品的开发及销</w:t>
            </w:r>
            <w:r>
              <w:rPr>
                <w:rFonts w:ascii="宋体" w:hAnsi="宋体" w:cs="宋体" w:eastAsia="宋体" w:hint="default"/>
                <w:spacing w:val="-27"/>
                <w:sz w:val="15"/>
                <w:szCs w:val="15"/>
              </w:rPr>
              <w:t> </w:t>
            </w:r>
            <w:r>
              <w:rPr>
                <w:rFonts w:ascii="宋体" w:hAnsi="宋体" w:cs="宋体" w:eastAsia="宋体" w:hint="default"/>
                <w:spacing w:val="-27"/>
                <w:sz w:val="15"/>
                <w:szCs w:val="15"/>
              </w:rPr>
            </w:r>
            <w:r>
              <w:rPr>
                <w:rFonts w:ascii="宋体" w:hAnsi="宋体" w:cs="宋体" w:eastAsia="宋体" w:hint="default"/>
                <w:spacing w:val="-4"/>
                <w:sz w:val="15"/>
                <w:szCs w:val="15"/>
              </w:rPr>
              <w:t>售；货物及技术进出口；专利代理，商标代理，标准</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测试信息咨询</w:t>
            </w:r>
          </w:p>
        </w:tc>
      </w:tr>
      <w:tr>
        <w:trPr>
          <w:trHeight w:val="401"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9" w:right="0"/>
              <w:jc w:val="left"/>
              <w:rPr>
                <w:rFonts w:ascii="宋体" w:hAnsi="宋体" w:cs="宋体" w:eastAsia="宋体" w:hint="default"/>
                <w:sz w:val="15"/>
                <w:szCs w:val="15"/>
              </w:rPr>
            </w:pPr>
            <w:r>
              <w:rPr>
                <w:rFonts w:ascii="宋体" w:hAnsi="宋体" w:cs="宋体" w:eastAsia="宋体" w:hint="default"/>
                <w:sz w:val="15"/>
                <w:szCs w:val="15"/>
              </w:rPr>
              <w:t>江门银雨节能投资服务有限公司</w:t>
            </w:r>
          </w:p>
        </w:tc>
        <w:tc>
          <w:tcPr>
            <w:tcW w:w="36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6" w:right="0"/>
              <w:jc w:val="center"/>
              <w:rPr>
                <w:rFonts w:ascii="宋体" w:hAnsi="宋体" w:cs="宋体" w:eastAsia="宋体" w:hint="default"/>
                <w:sz w:val="15"/>
                <w:szCs w:val="15"/>
              </w:rPr>
            </w:pPr>
            <w:r>
              <w:rPr>
                <w:rFonts w:ascii="宋体" w:hAnsi="宋体" w:cs="宋体" w:eastAsia="宋体" w:hint="default"/>
                <w:sz w:val="15"/>
                <w:szCs w:val="15"/>
              </w:rPr>
              <w:t>7</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0"/>
              <w:jc w:val="right"/>
              <w:rPr>
                <w:rFonts w:ascii="宋体" w:hAnsi="宋体" w:cs="宋体" w:eastAsia="宋体" w:hint="default"/>
                <w:sz w:val="15"/>
                <w:szCs w:val="15"/>
              </w:rPr>
            </w:pPr>
            <w:r>
              <w:rPr>
                <w:rFonts w:ascii="宋体" w:hAnsi="宋体"/>
                <w:spacing w:val="-1"/>
                <w:sz w:val="15"/>
              </w:rPr>
              <w:t>¥500.00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
              <w:jc w:val="center"/>
              <w:rPr>
                <w:rFonts w:ascii="宋体" w:hAnsi="宋体" w:cs="宋体" w:eastAsia="宋体" w:hint="default"/>
                <w:sz w:val="15"/>
                <w:szCs w:val="15"/>
              </w:rPr>
            </w:pPr>
            <w:r>
              <w:rPr>
                <w:rFonts w:ascii="宋体" w:hAnsi="宋体" w:cs="宋体" w:eastAsia="宋体" w:hint="default"/>
                <w:sz w:val="15"/>
                <w:szCs w:val="15"/>
              </w:rPr>
              <w:t>广东江门</w:t>
            </w:r>
          </w:p>
        </w:tc>
        <w:tc>
          <w:tcPr>
            <w:tcW w:w="3593" w:type="dxa"/>
            <w:tcBorders>
              <w:top w:val="nil" w:sz="6" w:space="0" w:color="auto"/>
              <w:left w:val="nil" w:sz="6" w:space="0" w:color="auto"/>
              <w:bottom w:val="nil" w:sz="6" w:space="0" w:color="auto"/>
              <w:right w:val="nil" w:sz="6" w:space="0" w:color="auto"/>
            </w:tcBorders>
          </w:tcPr>
          <w:p>
            <w:pPr>
              <w:pStyle w:val="TableParagraph"/>
              <w:spacing w:line="173" w:lineRule="exact"/>
              <w:ind w:left="74" w:right="0"/>
              <w:jc w:val="left"/>
              <w:rPr>
                <w:rFonts w:ascii="宋体" w:hAnsi="宋体" w:cs="宋体" w:eastAsia="宋体" w:hint="default"/>
                <w:sz w:val="15"/>
                <w:szCs w:val="15"/>
              </w:rPr>
            </w:pPr>
            <w:r>
              <w:rPr>
                <w:rFonts w:ascii="宋体" w:hAnsi="宋体" w:cs="宋体" w:eastAsia="宋体" w:hint="default"/>
                <w:spacing w:val="-2"/>
                <w:sz w:val="15"/>
                <w:szCs w:val="15"/>
              </w:rPr>
              <w:t>节能项目投资，销售灯具及配件产品；</w:t>
            </w:r>
            <w:r>
              <w:rPr>
                <w:rFonts w:ascii="宋体" w:hAnsi="宋体" w:cs="宋体" w:eastAsia="宋体" w:hint="default"/>
                <w:spacing w:val="-2"/>
                <w:sz w:val="15"/>
                <w:szCs w:val="15"/>
              </w:rPr>
              <w:t>LED </w:t>
            </w:r>
            <w:r>
              <w:rPr>
                <w:rFonts w:ascii="宋体" w:hAnsi="宋体" w:cs="宋体" w:eastAsia="宋体" w:hint="default"/>
                <w:spacing w:val="-1"/>
                <w:sz w:val="15"/>
                <w:szCs w:val="15"/>
              </w:rPr>
              <w:t>节能技术</w:t>
            </w:r>
          </w:p>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服务</w:t>
            </w:r>
          </w:p>
        </w:tc>
      </w:tr>
      <w:tr>
        <w:trPr>
          <w:trHeight w:val="217"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83" w:lineRule="exact"/>
              <w:ind w:left="19" w:right="0"/>
              <w:jc w:val="left"/>
              <w:rPr>
                <w:rFonts w:ascii="宋体" w:hAnsi="宋体" w:cs="宋体" w:eastAsia="宋体" w:hint="default"/>
                <w:sz w:val="15"/>
                <w:szCs w:val="15"/>
              </w:rPr>
            </w:pPr>
            <w:r>
              <w:rPr>
                <w:rFonts w:ascii="宋体" w:hAnsi="宋体" w:cs="宋体" w:eastAsia="宋体" w:hint="default"/>
                <w:sz w:val="15"/>
                <w:szCs w:val="15"/>
              </w:rPr>
              <w:t>鹤山市丰彩光电科技有限公司</w:t>
            </w:r>
          </w:p>
        </w:tc>
        <w:tc>
          <w:tcPr>
            <w:tcW w:w="366" w:type="dxa"/>
            <w:tcBorders>
              <w:top w:val="nil" w:sz="6" w:space="0" w:color="auto"/>
              <w:left w:val="nil" w:sz="6" w:space="0" w:color="auto"/>
              <w:bottom w:val="nil" w:sz="6" w:space="0" w:color="auto"/>
              <w:right w:val="nil" w:sz="6" w:space="0" w:color="auto"/>
            </w:tcBorders>
          </w:tcPr>
          <w:p>
            <w:pPr>
              <w:pStyle w:val="TableParagraph"/>
              <w:spacing w:line="183" w:lineRule="exact"/>
              <w:ind w:left="6" w:right="0"/>
              <w:jc w:val="center"/>
              <w:rPr>
                <w:rFonts w:ascii="宋体" w:hAnsi="宋体" w:cs="宋体" w:eastAsia="宋体" w:hint="default"/>
                <w:sz w:val="15"/>
                <w:szCs w:val="15"/>
              </w:rPr>
            </w:pPr>
            <w:r>
              <w:rPr>
                <w:rFonts w:ascii="宋体" w:hAnsi="宋体" w:cs="宋体" w:eastAsia="宋体" w:hint="default"/>
                <w:sz w:val="15"/>
                <w:szCs w:val="15"/>
              </w:rPr>
              <w:t>7</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83" w:lineRule="exact"/>
              <w:ind w:right="60"/>
              <w:jc w:val="right"/>
              <w:rPr>
                <w:rFonts w:ascii="宋体" w:hAnsi="宋体" w:cs="宋体" w:eastAsia="宋体" w:hint="default"/>
                <w:sz w:val="15"/>
                <w:szCs w:val="15"/>
              </w:rPr>
            </w:pPr>
            <w:r>
              <w:rPr>
                <w:rFonts w:ascii="宋体" w:hAnsi="宋体"/>
                <w:spacing w:val="-1"/>
                <w:sz w:val="15"/>
              </w:rPr>
              <w:t>¥509.53</w:t>
            </w:r>
          </w:p>
        </w:tc>
        <w:tc>
          <w:tcPr>
            <w:tcW w:w="651" w:type="dxa"/>
            <w:tcBorders>
              <w:top w:val="nil" w:sz="6" w:space="0" w:color="auto"/>
              <w:left w:val="nil" w:sz="6" w:space="0" w:color="auto"/>
              <w:bottom w:val="nil" w:sz="6" w:space="0" w:color="auto"/>
              <w:right w:val="nil" w:sz="6" w:space="0" w:color="auto"/>
            </w:tcBorders>
          </w:tcPr>
          <w:p>
            <w:pPr>
              <w:pStyle w:val="TableParagraph"/>
              <w:spacing w:line="183"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3" w:lineRule="exact"/>
              <w:ind w:right="14"/>
              <w:jc w:val="center"/>
              <w:rPr>
                <w:rFonts w:ascii="宋体" w:hAnsi="宋体" w:cs="宋体" w:eastAsia="宋体" w:hint="default"/>
                <w:sz w:val="15"/>
                <w:szCs w:val="15"/>
              </w:rPr>
            </w:pPr>
            <w:r>
              <w:rPr>
                <w:rFonts w:ascii="宋体" w:hAnsi="宋体" w:cs="宋体" w:eastAsia="宋体" w:hint="default"/>
                <w:sz w:val="15"/>
                <w:szCs w:val="15"/>
              </w:rPr>
              <w:t>广东江门</w:t>
            </w:r>
          </w:p>
        </w:tc>
        <w:tc>
          <w:tcPr>
            <w:tcW w:w="3593" w:type="dxa"/>
            <w:tcBorders>
              <w:top w:val="nil" w:sz="6" w:space="0" w:color="auto"/>
              <w:left w:val="nil" w:sz="6" w:space="0" w:color="auto"/>
              <w:bottom w:val="nil" w:sz="6" w:space="0" w:color="auto"/>
              <w:right w:val="nil" w:sz="6" w:space="0" w:color="auto"/>
            </w:tcBorders>
          </w:tcPr>
          <w:p>
            <w:pPr>
              <w:pStyle w:val="TableParagraph"/>
              <w:spacing w:line="183" w:lineRule="exact"/>
              <w:ind w:left="74" w:right="0"/>
              <w:jc w:val="left"/>
              <w:rPr>
                <w:rFonts w:ascii="宋体" w:hAnsi="宋体" w:cs="宋体" w:eastAsia="宋体" w:hint="default"/>
                <w:sz w:val="15"/>
                <w:szCs w:val="15"/>
              </w:rPr>
            </w:pPr>
            <w:r>
              <w:rPr>
                <w:rFonts w:ascii="宋体" w:hAnsi="宋体" w:cs="宋体" w:eastAsia="宋体" w:hint="default"/>
                <w:sz w:val="15"/>
                <w:szCs w:val="15"/>
              </w:rPr>
              <w:t>生产、研发、销售</w:t>
            </w:r>
            <w:r>
              <w:rPr>
                <w:rFonts w:ascii="宋体" w:hAnsi="宋体" w:cs="宋体" w:eastAsia="宋体" w:hint="default"/>
                <w:spacing w:val="-41"/>
                <w:sz w:val="15"/>
                <w:szCs w:val="15"/>
              </w:rPr>
              <w:t> </w:t>
            </w:r>
            <w:r>
              <w:rPr>
                <w:rFonts w:ascii="宋体" w:hAnsi="宋体" w:cs="宋体" w:eastAsia="宋体" w:hint="default"/>
                <w:sz w:val="15"/>
                <w:szCs w:val="15"/>
              </w:rPr>
              <w:t>LED</w:t>
            </w:r>
            <w:r>
              <w:rPr>
                <w:rFonts w:ascii="宋体" w:hAnsi="宋体" w:cs="宋体" w:eastAsia="宋体" w:hint="default"/>
                <w:spacing w:val="-38"/>
                <w:sz w:val="15"/>
                <w:szCs w:val="15"/>
              </w:rPr>
              <w:t> </w:t>
            </w:r>
            <w:r>
              <w:rPr>
                <w:rFonts w:ascii="宋体" w:hAnsi="宋体" w:cs="宋体" w:eastAsia="宋体" w:hint="default"/>
                <w:sz w:val="15"/>
                <w:szCs w:val="15"/>
              </w:rPr>
              <w:t>灯泡系列产品</w:t>
            </w:r>
          </w:p>
        </w:tc>
      </w:tr>
      <w:tr>
        <w:trPr>
          <w:trHeight w:val="401"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9" w:right="0"/>
              <w:jc w:val="left"/>
              <w:rPr>
                <w:rFonts w:ascii="宋体" w:hAnsi="宋体" w:cs="宋体" w:eastAsia="宋体" w:hint="default"/>
                <w:sz w:val="15"/>
                <w:szCs w:val="15"/>
              </w:rPr>
            </w:pPr>
            <w:r>
              <w:rPr>
                <w:rFonts w:ascii="宋体"/>
                <w:sz w:val="15"/>
              </w:rPr>
              <w:t>Neo-Neon Trading</w:t>
            </w:r>
            <w:r>
              <w:rPr>
                <w:rFonts w:ascii="宋体"/>
                <w:spacing w:val="-15"/>
                <w:sz w:val="15"/>
              </w:rPr>
              <w:t> </w:t>
            </w:r>
            <w:r>
              <w:rPr>
                <w:rFonts w:ascii="宋体"/>
                <w:sz w:val="15"/>
              </w:rPr>
              <w:t>Co.,Ltd.</w:t>
            </w:r>
          </w:p>
        </w:tc>
        <w:tc>
          <w:tcPr>
            <w:tcW w:w="36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6" w:right="0"/>
              <w:jc w:val="center"/>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0"/>
              <w:jc w:val="right"/>
              <w:rPr>
                <w:rFonts w:ascii="宋体" w:hAnsi="宋体" w:cs="宋体" w:eastAsia="宋体" w:hint="default"/>
                <w:sz w:val="15"/>
                <w:szCs w:val="15"/>
              </w:rPr>
            </w:pPr>
            <w:r>
              <w:rPr>
                <w:rFonts w:ascii="宋体"/>
                <w:spacing w:val="-2"/>
                <w:sz w:val="15"/>
              </w:rPr>
              <w:t>USD100.00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4" w:lineRule="exact" w:before="8"/>
              <w:ind w:left="387" w:right="72" w:hanging="327"/>
              <w:jc w:val="left"/>
              <w:rPr>
                <w:rFonts w:ascii="宋体" w:hAnsi="宋体" w:cs="宋体" w:eastAsia="宋体" w:hint="default"/>
                <w:sz w:val="15"/>
                <w:szCs w:val="15"/>
              </w:rPr>
            </w:pPr>
            <w:r>
              <w:rPr>
                <w:rFonts w:ascii="宋体" w:hAnsi="宋体" w:cs="宋体" w:eastAsia="宋体" w:hint="default"/>
                <w:spacing w:val="-1"/>
                <w:sz w:val="15"/>
                <w:szCs w:val="15"/>
              </w:rPr>
              <w:t>西萨摩亚群</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岛</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400"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72" w:lineRule="exact"/>
              <w:ind w:left="19" w:right="0"/>
              <w:jc w:val="left"/>
              <w:rPr>
                <w:rFonts w:ascii="宋体" w:hAnsi="宋体" w:cs="宋体" w:eastAsia="宋体" w:hint="default"/>
                <w:sz w:val="15"/>
                <w:szCs w:val="15"/>
              </w:rPr>
            </w:pPr>
            <w:r>
              <w:rPr>
                <w:rFonts w:ascii="宋体"/>
                <w:sz w:val="15"/>
              </w:rPr>
              <w:t>Total</w:t>
            </w:r>
            <w:r>
              <w:rPr>
                <w:rFonts w:ascii="宋体"/>
                <w:spacing w:val="66"/>
                <w:sz w:val="15"/>
              </w:rPr>
              <w:t> </w:t>
            </w:r>
            <w:r>
              <w:rPr>
                <w:rFonts w:ascii="宋体"/>
                <w:sz w:val="15"/>
              </w:rPr>
              <w:t>Contribution</w:t>
            </w:r>
          </w:p>
          <w:p>
            <w:pPr>
              <w:pStyle w:val="TableParagraph"/>
              <w:spacing w:line="195" w:lineRule="exact"/>
              <w:ind w:left="19" w:right="0"/>
              <w:jc w:val="left"/>
              <w:rPr>
                <w:rFonts w:ascii="宋体" w:hAnsi="宋体" w:cs="宋体" w:eastAsia="宋体" w:hint="default"/>
                <w:sz w:val="15"/>
                <w:szCs w:val="15"/>
              </w:rPr>
            </w:pPr>
            <w:r>
              <w:rPr>
                <w:rFonts w:ascii="宋体"/>
                <w:sz w:val="15"/>
              </w:rPr>
              <w:t>Development</w:t>
            </w:r>
            <w:r>
              <w:rPr>
                <w:rFonts w:ascii="宋体"/>
                <w:spacing w:val="-9"/>
                <w:sz w:val="15"/>
              </w:rPr>
              <w:t> </w:t>
            </w:r>
            <w:r>
              <w:rPr>
                <w:rFonts w:ascii="宋体"/>
                <w:sz w:val="15"/>
              </w:rPr>
              <w:t>Limited</w:t>
            </w:r>
          </w:p>
        </w:tc>
        <w:tc>
          <w:tcPr>
            <w:tcW w:w="36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6" w:right="0"/>
              <w:jc w:val="center"/>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0"/>
              <w:jc w:val="right"/>
              <w:rPr>
                <w:rFonts w:ascii="宋体" w:hAnsi="宋体" w:cs="宋体" w:eastAsia="宋体" w:hint="default"/>
                <w:sz w:val="15"/>
                <w:szCs w:val="15"/>
              </w:rPr>
            </w:pPr>
            <w:r>
              <w:rPr>
                <w:rFonts w:ascii="宋体"/>
                <w:spacing w:val="-1"/>
                <w:sz w:val="15"/>
              </w:rPr>
              <w:t>USD5.00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4"/>
              <w:jc w:val="center"/>
              <w:rPr>
                <w:rFonts w:ascii="宋体" w:hAnsi="宋体" w:cs="宋体" w:eastAsia="宋体" w:hint="default"/>
                <w:sz w:val="15"/>
                <w:szCs w:val="15"/>
              </w:rPr>
            </w:pPr>
            <w:r>
              <w:rPr>
                <w:rFonts w:ascii="宋体" w:hAnsi="宋体" w:cs="宋体" w:eastAsia="宋体" w:hint="default"/>
                <w:sz w:val="15"/>
                <w:szCs w:val="15"/>
              </w:rPr>
              <w:t>维京群岛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229"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83" w:lineRule="exact"/>
              <w:ind w:left="19" w:right="0"/>
              <w:jc w:val="left"/>
              <w:rPr>
                <w:rFonts w:ascii="宋体" w:hAnsi="宋体" w:cs="宋体" w:eastAsia="宋体" w:hint="default"/>
                <w:sz w:val="15"/>
                <w:szCs w:val="15"/>
              </w:rPr>
            </w:pPr>
            <w:r>
              <w:rPr>
                <w:rFonts w:ascii="宋体"/>
                <w:sz w:val="15"/>
              </w:rPr>
              <w:t>Lide Trading Company</w:t>
            </w:r>
            <w:r>
              <w:rPr>
                <w:rFonts w:ascii="宋体"/>
                <w:spacing w:val="-14"/>
                <w:sz w:val="15"/>
              </w:rPr>
              <w:t> </w:t>
            </w:r>
            <w:r>
              <w:rPr>
                <w:rFonts w:ascii="宋体"/>
                <w:sz w:val="15"/>
              </w:rPr>
              <w:t>Ltd.</w:t>
            </w:r>
          </w:p>
        </w:tc>
        <w:tc>
          <w:tcPr>
            <w:tcW w:w="366" w:type="dxa"/>
            <w:tcBorders>
              <w:top w:val="nil" w:sz="6" w:space="0" w:color="auto"/>
              <w:left w:val="nil" w:sz="6" w:space="0" w:color="auto"/>
              <w:bottom w:val="nil" w:sz="6" w:space="0" w:color="auto"/>
              <w:right w:val="nil" w:sz="6" w:space="0" w:color="auto"/>
            </w:tcBorders>
          </w:tcPr>
          <w:p>
            <w:pPr>
              <w:pStyle w:val="TableParagraph"/>
              <w:spacing w:line="183" w:lineRule="exact"/>
              <w:ind w:left="6" w:right="0"/>
              <w:jc w:val="center"/>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83" w:lineRule="exact"/>
              <w:ind w:right="60"/>
              <w:jc w:val="right"/>
              <w:rPr>
                <w:rFonts w:ascii="宋体" w:hAnsi="宋体" w:cs="宋体" w:eastAsia="宋体" w:hint="default"/>
                <w:sz w:val="15"/>
                <w:szCs w:val="15"/>
              </w:rPr>
            </w:pPr>
            <w:r>
              <w:rPr>
                <w:rFonts w:ascii="宋体"/>
                <w:spacing w:val="-1"/>
                <w:sz w:val="15"/>
              </w:rPr>
              <w:t>MOP2.50</w:t>
            </w:r>
          </w:p>
        </w:tc>
        <w:tc>
          <w:tcPr>
            <w:tcW w:w="651" w:type="dxa"/>
            <w:tcBorders>
              <w:top w:val="nil" w:sz="6" w:space="0" w:color="auto"/>
              <w:left w:val="nil" w:sz="6" w:space="0" w:color="auto"/>
              <w:bottom w:val="nil" w:sz="6" w:space="0" w:color="auto"/>
              <w:right w:val="nil" w:sz="6" w:space="0" w:color="auto"/>
            </w:tcBorders>
          </w:tcPr>
          <w:p>
            <w:pPr>
              <w:pStyle w:val="TableParagraph"/>
              <w:spacing w:line="183"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3" w:lineRule="exact"/>
              <w:ind w:right="14"/>
              <w:jc w:val="center"/>
              <w:rPr>
                <w:rFonts w:ascii="宋体" w:hAnsi="宋体" w:cs="宋体" w:eastAsia="宋体" w:hint="default"/>
                <w:sz w:val="15"/>
                <w:szCs w:val="15"/>
              </w:rPr>
            </w:pPr>
            <w:r>
              <w:rPr>
                <w:rFonts w:ascii="宋体" w:hAnsi="宋体" w:cs="宋体" w:eastAsia="宋体" w:hint="default"/>
                <w:sz w:val="15"/>
                <w:szCs w:val="15"/>
              </w:rPr>
              <w:t>中国澳门</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4" w:right="0"/>
              <w:jc w:val="left"/>
              <w:rPr>
                <w:rFonts w:ascii="宋体" w:hAnsi="宋体" w:cs="宋体" w:eastAsia="宋体" w:hint="default"/>
                <w:sz w:val="15"/>
                <w:szCs w:val="15"/>
              </w:rPr>
            </w:pPr>
            <w:r>
              <w:rPr>
                <w:rFonts w:ascii="宋体" w:hAnsi="宋体" w:cs="宋体" w:eastAsia="宋体" w:hint="default"/>
                <w:sz w:val="15"/>
                <w:szCs w:val="15"/>
              </w:rPr>
              <w:t>装饰灯产品的销售</w:t>
            </w:r>
          </w:p>
        </w:tc>
      </w:tr>
      <w:tr>
        <w:trPr>
          <w:trHeight w:val="400"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72" w:lineRule="exact"/>
              <w:ind w:left="19" w:right="0"/>
              <w:jc w:val="left"/>
              <w:rPr>
                <w:rFonts w:ascii="宋体" w:hAnsi="宋体" w:cs="宋体" w:eastAsia="宋体" w:hint="default"/>
                <w:sz w:val="15"/>
                <w:szCs w:val="15"/>
              </w:rPr>
            </w:pPr>
            <w:r>
              <w:rPr>
                <w:rFonts w:ascii="宋体"/>
                <w:sz w:val="15"/>
              </w:rPr>
              <w:t>Success Link</w:t>
            </w:r>
            <w:r>
              <w:rPr>
                <w:rFonts w:ascii="宋体"/>
                <w:spacing w:val="-12"/>
                <w:sz w:val="15"/>
              </w:rPr>
              <w:t> </w:t>
            </w:r>
            <w:r>
              <w:rPr>
                <w:rFonts w:ascii="宋体"/>
                <w:sz w:val="15"/>
              </w:rPr>
              <w:t>Investments</w:t>
            </w:r>
          </w:p>
          <w:p>
            <w:pPr>
              <w:pStyle w:val="TableParagraph"/>
              <w:spacing w:line="195" w:lineRule="exact"/>
              <w:ind w:left="19" w:right="0"/>
              <w:jc w:val="left"/>
              <w:rPr>
                <w:rFonts w:ascii="宋体" w:hAnsi="宋体" w:cs="宋体" w:eastAsia="宋体" w:hint="default"/>
                <w:sz w:val="15"/>
                <w:szCs w:val="15"/>
              </w:rPr>
            </w:pPr>
            <w:r>
              <w:rPr>
                <w:rFonts w:ascii="宋体"/>
                <w:sz w:val="15"/>
              </w:rPr>
              <w:t>Limited</w:t>
            </w:r>
          </w:p>
        </w:tc>
        <w:tc>
          <w:tcPr>
            <w:tcW w:w="36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6" w:right="0"/>
              <w:jc w:val="center"/>
              <w:rPr>
                <w:rFonts w:ascii="宋体" w:hAnsi="宋体" w:cs="宋体" w:eastAsia="宋体" w:hint="default"/>
                <w:sz w:val="15"/>
                <w:szCs w:val="15"/>
              </w:rPr>
            </w:pPr>
            <w:r>
              <w:rPr>
                <w:rFonts w:ascii="宋体" w:hAnsi="宋体" w:cs="宋体" w:eastAsia="宋体" w:hint="default"/>
                <w:sz w:val="15"/>
                <w:szCs w:val="15"/>
              </w:rPr>
              <w:t>7</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0"/>
              <w:jc w:val="right"/>
              <w:rPr>
                <w:rFonts w:ascii="宋体" w:hAnsi="宋体" w:cs="宋体" w:eastAsia="宋体" w:hint="default"/>
                <w:sz w:val="15"/>
                <w:szCs w:val="15"/>
              </w:rPr>
            </w:pPr>
            <w:r>
              <w:rPr>
                <w:rFonts w:ascii="宋体"/>
                <w:spacing w:val="-1"/>
                <w:sz w:val="15"/>
              </w:rPr>
              <w:t>USD5.00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4"/>
              <w:jc w:val="center"/>
              <w:rPr>
                <w:rFonts w:ascii="宋体" w:hAnsi="宋体" w:cs="宋体" w:eastAsia="宋体" w:hint="default"/>
                <w:sz w:val="15"/>
                <w:szCs w:val="15"/>
              </w:rPr>
            </w:pPr>
            <w:r>
              <w:rPr>
                <w:rFonts w:ascii="宋体" w:hAnsi="宋体" w:cs="宋体" w:eastAsia="宋体" w:hint="default"/>
                <w:sz w:val="15"/>
                <w:szCs w:val="15"/>
              </w:rPr>
              <w:t>维京群岛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228"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83" w:lineRule="exact"/>
              <w:ind w:left="19" w:right="0"/>
              <w:jc w:val="left"/>
              <w:rPr>
                <w:rFonts w:ascii="宋体" w:hAnsi="宋体" w:cs="宋体" w:eastAsia="宋体" w:hint="default"/>
                <w:sz w:val="15"/>
                <w:szCs w:val="15"/>
              </w:rPr>
            </w:pPr>
            <w:r>
              <w:rPr>
                <w:rFonts w:ascii="宋体"/>
                <w:sz w:val="15"/>
              </w:rPr>
              <w:t>Melrose Holdings</w:t>
            </w:r>
            <w:r>
              <w:rPr>
                <w:rFonts w:ascii="宋体"/>
                <w:spacing w:val="-12"/>
                <w:sz w:val="15"/>
              </w:rPr>
              <w:t> </w:t>
            </w:r>
            <w:r>
              <w:rPr>
                <w:rFonts w:ascii="宋体"/>
                <w:sz w:val="15"/>
              </w:rPr>
              <w:t>Limited</w:t>
            </w:r>
          </w:p>
        </w:tc>
        <w:tc>
          <w:tcPr>
            <w:tcW w:w="366" w:type="dxa"/>
            <w:tcBorders>
              <w:top w:val="nil" w:sz="6" w:space="0" w:color="auto"/>
              <w:left w:val="nil" w:sz="6" w:space="0" w:color="auto"/>
              <w:bottom w:val="nil" w:sz="6" w:space="0" w:color="auto"/>
              <w:right w:val="nil" w:sz="6" w:space="0" w:color="auto"/>
            </w:tcBorders>
          </w:tcPr>
          <w:p>
            <w:pPr>
              <w:pStyle w:val="TableParagraph"/>
              <w:spacing w:line="183" w:lineRule="exact"/>
              <w:ind w:left="6" w:right="0"/>
              <w:jc w:val="center"/>
              <w:rPr>
                <w:rFonts w:ascii="宋体" w:hAnsi="宋体" w:cs="宋体" w:eastAsia="宋体" w:hint="default"/>
                <w:sz w:val="15"/>
                <w:szCs w:val="15"/>
              </w:rPr>
            </w:pPr>
            <w:r>
              <w:rPr>
                <w:rFonts w:ascii="宋体" w:hAnsi="宋体" w:cs="宋体" w:eastAsia="宋体" w:hint="default"/>
                <w:sz w:val="15"/>
                <w:szCs w:val="15"/>
              </w:rPr>
              <w:t>8</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83" w:lineRule="exact"/>
              <w:ind w:right="60"/>
              <w:jc w:val="right"/>
              <w:rPr>
                <w:rFonts w:ascii="宋体" w:hAnsi="宋体" w:cs="宋体" w:eastAsia="宋体" w:hint="default"/>
                <w:sz w:val="15"/>
                <w:szCs w:val="15"/>
              </w:rPr>
            </w:pPr>
            <w:r>
              <w:rPr>
                <w:rFonts w:ascii="宋体"/>
                <w:spacing w:val="-1"/>
                <w:sz w:val="15"/>
              </w:rPr>
              <w:t>HKD1.00</w:t>
            </w:r>
          </w:p>
        </w:tc>
        <w:tc>
          <w:tcPr>
            <w:tcW w:w="651" w:type="dxa"/>
            <w:tcBorders>
              <w:top w:val="nil" w:sz="6" w:space="0" w:color="auto"/>
              <w:left w:val="nil" w:sz="6" w:space="0" w:color="auto"/>
              <w:bottom w:val="nil" w:sz="6" w:space="0" w:color="auto"/>
              <w:right w:val="nil" w:sz="6" w:space="0" w:color="auto"/>
            </w:tcBorders>
          </w:tcPr>
          <w:p>
            <w:pPr>
              <w:pStyle w:val="TableParagraph"/>
              <w:spacing w:line="183"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3" w:lineRule="exact"/>
              <w:ind w:right="14"/>
              <w:jc w:val="center"/>
              <w:rPr>
                <w:rFonts w:ascii="宋体" w:hAnsi="宋体" w:cs="宋体" w:eastAsia="宋体" w:hint="default"/>
                <w:sz w:val="15"/>
                <w:szCs w:val="15"/>
              </w:rPr>
            </w:pPr>
            <w:r>
              <w:rPr>
                <w:rFonts w:ascii="宋体" w:hAnsi="宋体" w:cs="宋体" w:eastAsia="宋体" w:hint="default"/>
                <w:sz w:val="15"/>
                <w:szCs w:val="15"/>
              </w:rPr>
              <w:t>中国香港</w:t>
            </w:r>
          </w:p>
        </w:tc>
        <w:tc>
          <w:tcPr>
            <w:tcW w:w="3593" w:type="dxa"/>
            <w:tcBorders>
              <w:top w:val="nil" w:sz="6" w:space="0" w:color="auto"/>
              <w:left w:val="nil" w:sz="6" w:space="0" w:color="auto"/>
              <w:bottom w:val="nil" w:sz="6" w:space="0" w:color="auto"/>
              <w:right w:val="nil" w:sz="6" w:space="0" w:color="auto"/>
            </w:tcBorders>
          </w:tcPr>
          <w:p>
            <w:pPr>
              <w:pStyle w:val="TableParagraph"/>
              <w:spacing w:line="183" w:lineRule="exact"/>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229"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sz w:val="15"/>
              </w:rPr>
              <w:t>Geni Electronics Company</w:t>
            </w:r>
            <w:r>
              <w:rPr>
                <w:rFonts w:ascii="宋体"/>
                <w:spacing w:val="-15"/>
                <w:sz w:val="15"/>
              </w:rPr>
              <w:t> </w:t>
            </w:r>
            <w:r>
              <w:rPr>
                <w:rFonts w:ascii="宋体"/>
                <w:sz w:val="15"/>
              </w:rPr>
              <w:t>Ltd</w:t>
            </w:r>
          </w:p>
        </w:tc>
        <w:tc>
          <w:tcPr>
            <w:tcW w:w="366" w:type="dxa"/>
            <w:tcBorders>
              <w:top w:val="nil" w:sz="6" w:space="0" w:color="auto"/>
              <w:left w:val="nil" w:sz="6" w:space="0" w:color="auto"/>
              <w:bottom w:val="nil" w:sz="6" w:space="0" w:color="auto"/>
              <w:right w:val="nil" w:sz="6" w:space="0" w:color="auto"/>
            </w:tcBorders>
          </w:tcPr>
          <w:p>
            <w:pPr>
              <w:pStyle w:val="TableParagraph"/>
              <w:spacing w:line="195" w:lineRule="exact"/>
              <w:ind w:left="6" w:right="0"/>
              <w:jc w:val="center"/>
              <w:rPr>
                <w:rFonts w:ascii="宋体" w:hAnsi="宋体" w:cs="宋体" w:eastAsia="宋体" w:hint="default"/>
                <w:sz w:val="15"/>
                <w:szCs w:val="15"/>
              </w:rPr>
            </w:pPr>
            <w:r>
              <w:rPr>
                <w:rFonts w:ascii="宋体" w:hAnsi="宋体" w:cs="宋体" w:eastAsia="宋体" w:hint="default"/>
                <w:sz w:val="15"/>
                <w:szCs w:val="15"/>
              </w:rPr>
              <w:t>7</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spacing w:val="-1"/>
                <w:sz w:val="15"/>
              </w:rPr>
              <w:t>HKD1.00</w:t>
            </w:r>
          </w:p>
        </w:tc>
        <w:tc>
          <w:tcPr>
            <w:tcW w:w="651" w:type="dxa"/>
            <w:tcBorders>
              <w:top w:val="nil" w:sz="6" w:space="0" w:color="auto"/>
              <w:left w:val="nil" w:sz="6" w:space="0" w:color="auto"/>
              <w:bottom w:val="nil" w:sz="6" w:space="0" w:color="auto"/>
              <w:right w:val="nil" w:sz="6" w:space="0" w:color="auto"/>
            </w:tcBorders>
          </w:tcPr>
          <w:p>
            <w:pPr>
              <w:pStyle w:val="TableParagraph"/>
              <w:spacing w:line="195" w:lineRule="exact"/>
              <w:ind w:left="77" w:right="0"/>
              <w:jc w:val="center"/>
              <w:rPr>
                <w:rFonts w:ascii="宋体" w:hAnsi="宋体" w:cs="宋体" w:eastAsia="宋体" w:hint="default"/>
                <w:sz w:val="15"/>
                <w:szCs w:val="15"/>
              </w:rPr>
            </w:pPr>
            <w:r>
              <w:rPr>
                <w:rFonts w:ascii="宋体"/>
                <w:sz w:val="15"/>
              </w:rPr>
              <w:t>51.00%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中国香港</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413"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94" w:lineRule="exact" w:before="8"/>
              <w:ind w:left="19" w:right="503"/>
              <w:jc w:val="left"/>
              <w:rPr>
                <w:rFonts w:ascii="宋体" w:hAnsi="宋体" w:cs="宋体" w:eastAsia="宋体" w:hint="default"/>
                <w:sz w:val="15"/>
                <w:szCs w:val="15"/>
              </w:rPr>
            </w:pPr>
            <w:r>
              <w:rPr>
                <w:rFonts w:ascii="宋体"/>
                <w:sz w:val="15"/>
              </w:rPr>
              <w:t>Billion Choice</w:t>
            </w:r>
            <w:r>
              <w:rPr>
                <w:rFonts w:ascii="宋体"/>
                <w:spacing w:val="-8"/>
                <w:sz w:val="15"/>
              </w:rPr>
              <w:t> </w:t>
            </w:r>
            <w:r>
              <w:rPr>
                <w:rFonts w:ascii="宋体"/>
                <w:sz w:val="15"/>
              </w:rPr>
              <w:t>Trading</w:t>
            </w:r>
            <w:r>
              <w:rPr>
                <w:rFonts w:ascii="宋体"/>
                <w:w w:val="100"/>
                <w:sz w:val="15"/>
              </w:rPr>
              <w:t> </w:t>
            </w:r>
            <w:r>
              <w:rPr>
                <w:rFonts w:ascii="宋体"/>
                <w:sz w:val="15"/>
              </w:rPr>
              <w:t>Limited</w:t>
            </w:r>
          </w:p>
        </w:tc>
        <w:tc>
          <w:tcPr>
            <w:tcW w:w="36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6" w:right="0"/>
              <w:jc w:val="center"/>
              <w:rPr>
                <w:rFonts w:ascii="宋体" w:hAnsi="宋体" w:cs="宋体" w:eastAsia="宋体" w:hint="default"/>
                <w:sz w:val="15"/>
                <w:szCs w:val="15"/>
              </w:rPr>
            </w:pPr>
            <w:r>
              <w:rPr>
                <w:rFonts w:ascii="宋体" w:hAnsi="宋体" w:cs="宋体" w:eastAsia="宋体" w:hint="default"/>
                <w:sz w:val="15"/>
                <w:szCs w:val="15"/>
              </w:rPr>
              <w:t>7</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0"/>
              <w:jc w:val="right"/>
              <w:rPr>
                <w:rFonts w:ascii="宋体" w:hAnsi="宋体" w:cs="宋体" w:eastAsia="宋体" w:hint="default"/>
                <w:sz w:val="15"/>
                <w:szCs w:val="15"/>
              </w:rPr>
            </w:pPr>
            <w:r>
              <w:rPr>
                <w:rFonts w:ascii="宋体"/>
                <w:spacing w:val="-1"/>
                <w:sz w:val="15"/>
              </w:rPr>
              <w:t>USD5.00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center"/>
              <w:rPr>
                <w:rFonts w:ascii="宋体" w:hAnsi="宋体" w:cs="宋体" w:eastAsia="宋体" w:hint="default"/>
                <w:sz w:val="15"/>
                <w:szCs w:val="15"/>
              </w:rPr>
            </w:pPr>
            <w:r>
              <w:rPr>
                <w:rFonts w:ascii="宋体" w:hAnsi="宋体" w:cs="宋体" w:eastAsia="宋体" w:hint="default"/>
                <w:sz w:val="15"/>
                <w:szCs w:val="15"/>
              </w:rPr>
              <w:t>维京群岛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229"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85" w:lineRule="exact"/>
              <w:ind w:left="19" w:right="0"/>
              <w:jc w:val="left"/>
              <w:rPr>
                <w:rFonts w:ascii="宋体" w:hAnsi="宋体" w:cs="宋体" w:eastAsia="宋体" w:hint="default"/>
                <w:sz w:val="15"/>
                <w:szCs w:val="15"/>
              </w:rPr>
            </w:pPr>
            <w:r>
              <w:rPr>
                <w:rFonts w:ascii="宋体"/>
                <w:sz w:val="15"/>
              </w:rPr>
              <w:t>Neo-Neon Venture (BVI)</w:t>
            </w:r>
            <w:r>
              <w:rPr>
                <w:rFonts w:ascii="宋体"/>
                <w:spacing w:val="-13"/>
                <w:sz w:val="15"/>
              </w:rPr>
              <w:t> </w:t>
            </w:r>
            <w:r>
              <w:rPr>
                <w:rFonts w:ascii="宋体"/>
                <w:sz w:val="15"/>
              </w:rPr>
              <w:t>Ltd.</w:t>
            </w:r>
          </w:p>
        </w:tc>
        <w:tc>
          <w:tcPr>
            <w:tcW w:w="366" w:type="dxa"/>
            <w:tcBorders>
              <w:top w:val="nil" w:sz="6" w:space="0" w:color="auto"/>
              <w:left w:val="nil" w:sz="6" w:space="0" w:color="auto"/>
              <w:bottom w:val="nil" w:sz="6" w:space="0" w:color="auto"/>
              <w:right w:val="nil" w:sz="6" w:space="0" w:color="auto"/>
            </w:tcBorders>
          </w:tcPr>
          <w:p>
            <w:pPr>
              <w:pStyle w:val="TableParagraph"/>
              <w:spacing w:line="185" w:lineRule="exact"/>
              <w:ind w:left="6" w:right="0"/>
              <w:jc w:val="center"/>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85" w:lineRule="exact"/>
              <w:ind w:right="60"/>
              <w:jc w:val="right"/>
              <w:rPr>
                <w:rFonts w:ascii="宋体" w:hAnsi="宋体" w:cs="宋体" w:eastAsia="宋体" w:hint="default"/>
                <w:sz w:val="15"/>
                <w:szCs w:val="15"/>
              </w:rPr>
            </w:pPr>
            <w:r>
              <w:rPr>
                <w:rFonts w:ascii="宋体"/>
                <w:spacing w:val="-1"/>
                <w:sz w:val="15"/>
              </w:rPr>
              <w:t>USD5.00</w:t>
            </w:r>
          </w:p>
        </w:tc>
        <w:tc>
          <w:tcPr>
            <w:tcW w:w="651" w:type="dxa"/>
            <w:tcBorders>
              <w:top w:val="nil" w:sz="6" w:space="0" w:color="auto"/>
              <w:left w:val="nil" w:sz="6" w:space="0" w:color="auto"/>
              <w:bottom w:val="nil" w:sz="6" w:space="0" w:color="auto"/>
              <w:right w:val="nil" w:sz="6" w:space="0" w:color="auto"/>
            </w:tcBorders>
          </w:tcPr>
          <w:p>
            <w:pPr>
              <w:pStyle w:val="TableParagraph"/>
              <w:spacing w:line="18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5" w:lineRule="exact"/>
              <w:ind w:right="14"/>
              <w:jc w:val="center"/>
              <w:rPr>
                <w:rFonts w:ascii="宋体" w:hAnsi="宋体" w:cs="宋体" w:eastAsia="宋体" w:hint="default"/>
                <w:sz w:val="15"/>
                <w:szCs w:val="15"/>
              </w:rPr>
            </w:pPr>
            <w:r>
              <w:rPr>
                <w:rFonts w:ascii="宋体" w:hAnsi="宋体" w:cs="宋体" w:eastAsia="宋体" w:hint="default"/>
                <w:sz w:val="15"/>
                <w:szCs w:val="15"/>
              </w:rPr>
              <w:t>维京群岛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185" w:lineRule="exact"/>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239"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sz w:val="15"/>
              </w:rPr>
              <w:t>Choicelord</w:t>
            </w:r>
            <w:r>
              <w:rPr>
                <w:rFonts w:ascii="宋体"/>
                <w:spacing w:val="-7"/>
                <w:sz w:val="15"/>
              </w:rPr>
              <w:t> </w:t>
            </w:r>
            <w:r>
              <w:rPr>
                <w:rFonts w:ascii="宋体"/>
                <w:sz w:val="15"/>
              </w:rPr>
              <w:t>Limited</w:t>
            </w:r>
          </w:p>
        </w:tc>
        <w:tc>
          <w:tcPr>
            <w:tcW w:w="366" w:type="dxa"/>
            <w:tcBorders>
              <w:top w:val="nil" w:sz="6" w:space="0" w:color="auto"/>
              <w:left w:val="nil" w:sz="6" w:space="0" w:color="auto"/>
              <w:bottom w:val="nil" w:sz="6" w:space="0" w:color="auto"/>
              <w:right w:val="nil" w:sz="6" w:space="0" w:color="auto"/>
            </w:tcBorders>
          </w:tcPr>
          <w:p>
            <w:pPr>
              <w:pStyle w:val="TableParagraph"/>
              <w:spacing w:line="195" w:lineRule="exact"/>
              <w:ind w:left="6" w:right="0"/>
              <w:jc w:val="center"/>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spacing w:val="-1"/>
                <w:sz w:val="15"/>
              </w:rPr>
              <w:t>HKD1.00</w:t>
            </w:r>
          </w:p>
        </w:tc>
        <w:tc>
          <w:tcPr>
            <w:tcW w:w="651" w:type="dxa"/>
            <w:tcBorders>
              <w:top w:val="nil" w:sz="6" w:space="0" w:color="auto"/>
              <w:left w:val="nil" w:sz="6" w:space="0" w:color="auto"/>
              <w:bottom w:val="nil" w:sz="6" w:space="0" w:color="auto"/>
              <w:right w:val="nil" w:sz="6" w:space="0" w:color="auto"/>
            </w:tcBorders>
          </w:tcPr>
          <w:p>
            <w:pPr>
              <w:pStyle w:val="TableParagraph"/>
              <w:spacing w:line="19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中国香港</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4" w:right="0"/>
              <w:jc w:val="left"/>
              <w:rPr>
                <w:rFonts w:ascii="宋体" w:hAnsi="宋体" w:cs="宋体" w:eastAsia="宋体" w:hint="default"/>
                <w:sz w:val="15"/>
                <w:szCs w:val="15"/>
              </w:rPr>
            </w:pPr>
            <w:r>
              <w:rPr>
                <w:rFonts w:ascii="宋体" w:hAnsi="宋体" w:cs="宋体" w:eastAsia="宋体" w:hint="default"/>
                <w:sz w:val="15"/>
                <w:szCs w:val="15"/>
              </w:rPr>
              <w:t>装饰灯产品贸易</w:t>
            </w:r>
          </w:p>
        </w:tc>
      </w:tr>
      <w:tr>
        <w:trPr>
          <w:trHeight w:val="389"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72" w:lineRule="exact"/>
              <w:ind w:left="19" w:right="0"/>
              <w:jc w:val="left"/>
              <w:rPr>
                <w:rFonts w:ascii="宋体" w:hAnsi="宋体" w:cs="宋体" w:eastAsia="宋体" w:hint="default"/>
                <w:sz w:val="15"/>
                <w:szCs w:val="15"/>
              </w:rPr>
            </w:pPr>
            <w:r>
              <w:rPr>
                <w:rFonts w:ascii="宋体"/>
                <w:sz w:val="15"/>
              </w:rPr>
              <w:t>Mentle</w:t>
            </w:r>
            <w:r>
              <w:rPr>
                <w:rFonts w:ascii="宋体"/>
                <w:spacing w:val="64"/>
                <w:sz w:val="15"/>
              </w:rPr>
              <w:t> </w:t>
            </w:r>
            <w:r>
              <w:rPr>
                <w:rFonts w:ascii="宋体"/>
                <w:sz w:val="15"/>
              </w:rPr>
              <w:t>International</w:t>
            </w:r>
          </w:p>
          <w:p>
            <w:pPr>
              <w:pStyle w:val="TableParagraph"/>
              <w:spacing w:line="195" w:lineRule="exact"/>
              <w:ind w:left="19" w:right="0"/>
              <w:jc w:val="left"/>
              <w:rPr>
                <w:rFonts w:ascii="宋体" w:hAnsi="宋体" w:cs="宋体" w:eastAsia="宋体" w:hint="default"/>
                <w:sz w:val="15"/>
                <w:szCs w:val="15"/>
              </w:rPr>
            </w:pPr>
            <w:r>
              <w:rPr>
                <w:rFonts w:ascii="宋体"/>
                <w:sz w:val="15"/>
              </w:rPr>
              <w:t>Limited</w:t>
            </w:r>
          </w:p>
        </w:tc>
        <w:tc>
          <w:tcPr>
            <w:tcW w:w="3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 w:right="0"/>
              <w:jc w:val="center"/>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0"/>
              <w:jc w:val="right"/>
              <w:rPr>
                <w:rFonts w:ascii="宋体" w:hAnsi="宋体" w:cs="宋体" w:eastAsia="宋体" w:hint="default"/>
                <w:sz w:val="15"/>
                <w:szCs w:val="15"/>
              </w:rPr>
            </w:pPr>
            <w:r>
              <w:rPr>
                <w:rFonts w:ascii="宋体"/>
                <w:spacing w:val="-1"/>
                <w:sz w:val="15"/>
              </w:rPr>
              <w:t>HKD1.00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center"/>
              <w:rPr>
                <w:rFonts w:ascii="宋体" w:hAnsi="宋体" w:cs="宋体" w:eastAsia="宋体" w:hint="default"/>
                <w:sz w:val="15"/>
                <w:szCs w:val="15"/>
              </w:rPr>
            </w:pPr>
            <w:r>
              <w:rPr>
                <w:rFonts w:ascii="宋体" w:hAnsi="宋体" w:cs="宋体" w:eastAsia="宋体" w:hint="default"/>
                <w:sz w:val="15"/>
                <w:szCs w:val="15"/>
              </w:rPr>
              <w:t>中国香港</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389"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72" w:lineRule="exact"/>
              <w:ind w:left="19" w:right="0"/>
              <w:jc w:val="left"/>
              <w:rPr>
                <w:rFonts w:ascii="宋体" w:hAnsi="宋体" w:cs="宋体" w:eastAsia="宋体" w:hint="default"/>
                <w:sz w:val="15"/>
                <w:szCs w:val="15"/>
              </w:rPr>
            </w:pPr>
            <w:r>
              <w:rPr>
                <w:rFonts w:ascii="宋体"/>
                <w:sz w:val="15"/>
              </w:rPr>
              <w:t>Neo-Neon UK</w:t>
            </w:r>
            <w:r>
              <w:rPr>
                <w:rFonts w:ascii="宋体"/>
                <w:spacing w:val="-9"/>
                <w:sz w:val="15"/>
              </w:rPr>
              <w:t> </w:t>
            </w:r>
            <w:r>
              <w:rPr>
                <w:rFonts w:ascii="宋体"/>
                <w:sz w:val="15"/>
              </w:rPr>
              <w:t>Investment</w:t>
            </w:r>
          </w:p>
          <w:p>
            <w:pPr>
              <w:pStyle w:val="TableParagraph"/>
              <w:spacing w:line="195" w:lineRule="exact"/>
              <w:ind w:left="19" w:right="0"/>
              <w:jc w:val="left"/>
              <w:rPr>
                <w:rFonts w:ascii="宋体" w:hAnsi="宋体" w:cs="宋体" w:eastAsia="宋体" w:hint="default"/>
                <w:sz w:val="15"/>
                <w:szCs w:val="15"/>
              </w:rPr>
            </w:pPr>
            <w:r>
              <w:rPr>
                <w:rFonts w:ascii="宋体"/>
                <w:sz w:val="15"/>
              </w:rPr>
              <w:t>Limited</w:t>
            </w:r>
          </w:p>
        </w:tc>
        <w:tc>
          <w:tcPr>
            <w:tcW w:w="3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 w:right="0"/>
              <w:jc w:val="center"/>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0"/>
              <w:jc w:val="right"/>
              <w:rPr>
                <w:rFonts w:ascii="宋体" w:hAnsi="宋体" w:cs="宋体" w:eastAsia="宋体" w:hint="default"/>
                <w:sz w:val="15"/>
                <w:szCs w:val="15"/>
              </w:rPr>
            </w:pPr>
            <w:r>
              <w:rPr>
                <w:rFonts w:ascii="宋体" w:hAnsi="宋体"/>
                <w:spacing w:val="-1"/>
                <w:sz w:val="15"/>
              </w:rPr>
              <w:t>£0.01</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72" w:lineRule="exact"/>
              <w:ind w:right="11"/>
              <w:jc w:val="center"/>
              <w:rPr>
                <w:rFonts w:ascii="宋体" w:hAnsi="宋体" w:cs="宋体" w:eastAsia="宋体" w:hint="default"/>
                <w:sz w:val="15"/>
                <w:szCs w:val="15"/>
              </w:rPr>
            </w:pPr>
            <w:r>
              <w:rPr>
                <w:rFonts w:ascii="宋体" w:hAnsi="宋体" w:cs="宋体" w:eastAsia="宋体" w:hint="default"/>
                <w:sz w:val="15"/>
                <w:szCs w:val="15"/>
              </w:rPr>
              <w:t>英国白金汉</w:t>
            </w:r>
          </w:p>
          <w:p>
            <w:pPr>
              <w:pStyle w:val="TableParagraph"/>
              <w:spacing w:line="195" w:lineRule="exact"/>
              <w:ind w:left="37" w:right="0"/>
              <w:jc w:val="center"/>
              <w:rPr>
                <w:rFonts w:ascii="宋体" w:hAnsi="宋体" w:cs="宋体" w:eastAsia="宋体" w:hint="default"/>
                <w:sz w:val="15"/>
                <w:szCs w:val="15"/>
              </w:rPr>
            </w:pPr>
            <w:r>
              <w:rPr>
                <w:rFonts w:ascii="宋体" w:hAnsi="宋体" w:cs="宋体" w:eastAsia="宋体" w:hint="default"/>
                <w:w w:val="100"/>
                <w:sz w:val="15"/>
                <w:szCs w:val="15"/>
              </w:rPr>
              <w:t>郡</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389"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72" w:lineRule="exact"/>
              <w:ind w:left="19" w:right="0"/>
              <w:jc w:val="left"/>
              <w:rPr>
                <w:rFonts w:ascii="宋体" w:hAnsi="宋体" w:cs="宋体" w:eastAsia="宋体" w:hint="default"/>
                <w:sz w:val="15"/>
                <w:szCs w:val="15"/>
              </w:rPr>
            </w:pPr>
            <w:r>
              <w:rPr>
                <w:rFonts w:ascii="宋体"/>
                <w:sz w:val="15"/>
              </w:rPr>
              <w:t>Neo-Neon Lighting Design</w:t>
            </w:r>
            <w:r>
              <w:rPr>
                <w:rFonts w:ascii="宋体"/>
                <w:spacing w:val="-13"/>
                <w:sz w:val="15"/>
              </w:rPr>
              <w:t> </w:t>
            </w:r>
            <w:r>
              <w:rPr>
                <w:rFonts w:ascii="宋体"/>
                <w:sz w:val="15"/>
              </w:rPr>
              <w:t>&amp;</w:t>
            </w:r>
          </w:p>
          <w:p>
            <w:pPr>
              <w:pStyle w:val="TableParagraph"/>
              <w:spacing w:line="195" w:lineRule="exact"/>
              <w:ind w:left="19" w:right="0"/>
              <w:jc w:val="left"/>
              <w:rPr>
                <w:rFonts w:ascii="宋体" w:hAnsi="宋体" w:cs="宋体" w:eastAsia="宋体" w:hint="default"/>
                <w:sz w:val="15"/>
                <w:szCs w:val="15"/>
              </w:rPr>
            </w:pPr>
            <w:r>
              <w:rPr>
                <w:rFonts w:ascii="宋体"/>
                <w:sz w:val="15"/>
              </w:rPr>
              <w:t>Engineering</w:t>
            </w:r>
            <w:r>
              <w:rPr>
                <w:rFonts w:ascii="宋体"/>
                <w:spacing w:val="-7"/>
                <w:sz w:val="15"/>
              </w:rPr>
              <w:t> </w:t>
            </w:r>
            <w:r>
              <w:rPr>
                <w:rFonts w:ascii="宋体"/>
                <w:sz w:val="15"/>
              </w:rPr>
              <w:t>Ltd.</w:t>
            </w:r>
          </w:p>
        </w:tc>
        <w:tc>
          <w:tcPr>
            <w:tcW w:w="3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 w:right="0"/>
              <w:jc w:val="center"/>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0"/>
              <w:jc w:val="right"/>
              <w:rPr>
                <w:rFonts w:ascii="宋体" w:hAnsi="宋体" w:cs="宋体" w:eastAsia="宋体" w:hint="default"/>
                <w:sz w:val="15"/>
                <w:szCs w:val="15"/>
              </w:rPr>
            </w:pPr>
            <w:r>
              <w:rPr>
                <w:rFonts w:ascii="宋体"/>
                <w:spacing w:val="-2"/>
                <w:sz w:val="15"/>
              </w:rPr>
              <w:t>HKD100.00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center"/>
              <w:rPr>
                <w:rFonts w:ascii="宋体" w:hAnsi="宋体" w:cs="宋体" w:eastAsia="宋体" w:hint="default"/>
                <w:sz w:val="15"/>
                <w:szCs w:val="15"/>
              </w:rPr>
            </w:pPr>
            <w:r>
              <w:rPr>
                <w:rFonts w:ascii="宋体" w:hAnsi="宋体" w:cs="宋体" w:eastAsia="宋体" w:hint="default"/>
                <w:sz w:val="15"/>
                <w:szCs w:val="15"/>
              </w:rPr>
              <w:t>中国香港</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74" w:right="0"/>
              <w:jc w:val="left"/>
              <w:rPr>
                <w:rFonts w:ascii="宋体" w:hAnsi="宋体" w:cs="宋体" w:eastAsia="宋体" w:hint="default"/>
                <w:sz w:val="15"/>
                <w:szCs w:val="15"/>
              </w:rPr>
            </w:pPr>
            <w:r>
              <w:rPr>
                <w:rFonts w:ascii="宋体" w:hAnsi="宋体" w:cs="宋体" w:eastAsia="宋体" w:hint="default"/>
                <w:sz w:val="15"/>
                <w:szCs w:val="15"/>
              </w:rPr>
              <w:t>装饰灯产品的设计</w:t>
            </w:r>
          </w:p>
        </w:tc>
      </w:tr>
      <w:tr>
        <w:trPr>
          <w:trHeight w:val="390"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9" w:right="0"/>
              <w:jc w:val="left"/>
              <w:rPr>
                <w:rFonts w:ascii="宋体" w:hAnsi="宋体" w:cs="宋体" w:eastAsia="宋体" w:hint="default"/>
                <w:sz w:val="15"/>
                <w:szCs w:val="15"/>
              </w:rPr>
            </w:pPr>
            <w:r>
              <w:rPr>
                <w:rFonts w:ascii="宋体" w:hAnsi="宋体" w:cs="宋体" w:eastAsia="宋体" w:hint="default"/>
                <w:sz w:val="15"/>
                <w:szCs w:val="15"/>
              </w:rPr>
              <w:t>清华同方澳门一人有限公司</w:t>
            </w:r>
          </w:p>
        </w:tc>
        <w:tc>
          <w:tcPr>
            <w:tcW w:w="3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 w:right="0"/>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0"/>
              <w:jc w:val="right"/>
              <w:rPr>
                <w:rFonts w:ascii="宋体" w:hAnsi="宋体" w:cs="宋体" w:eastAsia="宋体" w:hint="default"/>
                <w:sz w:val="15"/>
                <w:szCs w:val="15"/>
              </w:rPr>
            </w:pPr>
            <w:r>
              <w:rPr>
                <w:rFonts w:ascii="宋体"/>
                <w:spacing w:val="-1"/>
                <w:sz w:val="15"/>
              </w:rPr>
              <w:t>MOP2.50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center"/>
              <w:rPr>
                <w:rFonts w:ascii="宋体" w:hAnsi="宋体" w:cs="宋体" w:eastAsia="宋体" w:hint="default"/>
                <w:sz w:val="15"/>
                <w:szCs w:val="15"/>
              </w:rPr>
            </w:pPr>
            <w:r>
              <w:rPr>
                <w:rFonts w:ascii="宋体" w:hAnsi="宋体" w:cs="宋体" w:eastAsia="宋体" w:hint="default"/>
                <w:sz w:val="15"/>
                <w:szCs w:val="15"/>
              </w:rPr>
              <w:t>中国澳门</w:t>
            </w:r>
          </w:p>
        </w:tc>
        <w:tc>
          <w:tcPr>
            <w:tcW w:w="3593" w:type="dxa"/>
            <w:tcBorders>
              <w:top w:val="nil" w:sz="6" w:space="0" w:color="auto"/>
              <w:left w:val="nil" w:sz="6" w:space="0" w:color="auto"/>
              <w:bottom w:val="nil" w:sz="6" w:space="0" w:color="auto"/>
              <w:right w:val="nil" w:sz="6" w:space="0" w:color="auto"/>
            </w:tcBorders>
          </w:tcPr>
          <w:p>
            <w:pPr>
              <w:pStyle w:val="TableParagraph"/>
              <w:spacing w:line="172" w:lineRule="exact"/>
              <w:ind w:left="74" w:right="0"/>
              <w:jc w:val="left"/>
              <w:rPr>
                <w:rFonts w:ascii="宋体" w:hAnsi="宋体" w:cs="宋体" w:eastAsia="宋体" w:hint="default"/>
                <w:sz w:val="15"/>
                <w:szCs w:val="15"/>
              </w:rPr>
            </w:pPr>
            <w:r>
              <w:rPr>
                <w:rFonts w:ascii="宋体" w:hAnsi="宋体" w:cs="宋体" w:eastAsia="宋体" w:hint="default"/>
                <w:spacing w:val="-4"/>
                <w:sz w:val="15"/>
                <w:szCs w:val="15"/>
              </w:rPr>
              <w:t>信息技术、环境保护顾问，销售信息电子产品及环境</w:t>
            </w:r>
          </w:p>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保护产品</w:t>
            </w:r>
          </w:p>
        </w:tc>
      </w:tr>
      <w:tr>
        <w:trPr>
          <w:trHeight w:val="390"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9" w:right="0"/>
              <w:jc w:val="left"/>
              <w:rPr>
                <w:rFonts w:ascii="宋体" w:hAnsi="宋体" w:cs="宋体" w:eastAsia="宋体" w:hint="default"/>
                <w:sz w:val="15"/>
                <w:szCs w:val="15"/>
              </w:rPr>
            </w:pPr>
            <w:r>
              <w:rPr>
                <w:rFonts w:ascii="宋体" w:hAnsi="宋体" w:cs="宋体" w:eastAsia="宋体" w:hint="default"/>
                <w:sz w:val="15"/>
                <w:szCs w:val="15"/>
              </w:rPr>
              <w:t>淮安空港同方水务有限公司</w:t>
            </w:r>
          </w:p>
        </w:tc>
        <w:tc>
          <w:tcPr>
            <w:tcW w:w="36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6"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0"/>
              <w:jc w:val="right"/>
              <w:rPr>
                <w:rFonts w:ascii="宋体" w:hAnsi="宋体" w:cs="宋体" w:eastAsia="宋体" w:hint="default"/>
                <w:sz w:val="15"/>
                <w:szCs w:val="15"/>
              </w:rPr>
            </w:pPr>
            <w:r>
              <w:rPr>
                <w:rFonts w:ascii="宋体"/>
                <w:spacing w:val="-1"/>
                <w:sz w:val="15"/>
              </w:rPr>
              <w:t>USD2,000.00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
              <w:jc w:val="center"/>
              <w:rPr>
                <w:rFonts w:ascii="宋体" w:hAnsi="宋体" w:cs="宋体" w:eastAsia="宋体" w:hint="default"/>
                <w:sz w:val="15"/>
                <w:szCs w:val="15"/>
              </w:rPr>
            </w:pPr>
            <w:r>
              <w:rPr>
                <w:rFonts w:ascii="宋体" w:hAnsi="宋体" w:cs="宋体" w:eastAsia="宋体" w:hint="default"/>
                <w:sz w:val="15"/>
                <w:szCs w:val="15"/>
              </w:rPr>
              <w:t>江苏淮安</w:t>
            </w:r>
          </w:p>
        </w:tc>
        <w:tc>
          <w:tcPr>
            <w:tcW w:w="3593" w:type="dxa"/>
            <w:tcBorders>
              <w:top w:val="nil" w:sz="6" w:space="0" w:color="auto"/>
              <w:left w:val="nil" w:sz="6" w:space="0" w:color="auto"/>
              <w:bottom w:val="nil" w:sz="6" w:space="0" w:color="auto"/>
              <w:right w:val="nil" w:sz="6" w:space="0" w:color="auto"/>
            </w:tcBorders>
          </w:tcPr>
          <w:p>
            <w:pPr>
              <w:pStyle w:val="TableParagraph"/>
              <w:spacing w:line="173" w:lineRule="exact"/>
              <w:ind w:left="74" w:right="0"/>
              <w:jc w:val="left"/>
              <w:rPr>
                <w:rFonts w:ascii="宋体" w:hAnsi="宋体" w:cs="宋体" w:eastAsia="宋体" w:hint="default"/>
                <w:sz w:val="15"/>
                <w:szCs w:val="15"/>
              </w:rPr>
            </w:pPr>
            <w:r>
              <w:rPr>
                <w:rFonts w:ascii="宋体" w:hAnsi="宋体" w:cs="宋体" w:eastAsia="宋体" w:hint="default"/>
                <w:sz w:val="15"/>
                <w:szCs w:val="15"/>
              </w:rPr>
              <w:t>水务方面的建设、运营，新技术开发、研制，生产、</w:t>
            </w:r>
          </w:p>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销售水务新产品</w:t>
            </w:r>
          </w:p>
        </w:tc>
      </w:tr>
      <w:tr>
        <w:trPr>
          <w:trHeight w:val="400"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72" w:lineRule="exact"/>
              <w:ind w:left="19" w:right="0"/>
              <w:jc w:val="left"/>
              <w:rPr>
                <w:rFonts w:ascii="宋体" w:hAnsi="宋体" w:cs="宋体" w:eastAsia="宋体" w:hint="default"/>
                <w:sz w:val="15"/>
                <w:szCs w:val="15"/>
              </w:rPr>
            </w:pPr>
            <w:r>
              <w:rPr>
                <w:rFonts w:ascii="宋体"/>
                <w:sz w:val="15"/>
              </w:rPr>
              <w:t>TF Lighting</w:t>
            </w:r>
            <w:r>
              <w:rPr>
                <w:rFonts w:ascii="宋体"/>
                <w:spacing w:val="-10"/>
                <w:sz w:val="15"/>
              </w:rPr>
              <w:t> </w:t>
            </w:r>
            <w:r>
              <w:rPr>
                <w:rFonts w:ascii="宋体"/>
                <w:sz w:val="15"/>
              </w:rPr>
              <w:t>Engineering</w:t>
            </w:r>
          </w:p>
          <w:p>
            <w:pPr>
              <w:pStyle w:val="TableParagraph"/>
              <w:spacing w:line="195" w:lineRule="exact"/>
              <w:ind w:left="19" w:right="0"/>
              <w:jc w:val="left"/>
              <w:rPr>
                <w:rFonts w:ascii="宋体" w:hAnsi="宋体" w:cs="宋体" w:eastAsia="宋体" w:hint="default"/>
                <w:sz w:val="15"/>
                <w:szCs w:val="15"/>
              </w:rPr>
            </w:pPr>
            <w:r>
              <w:rPr>
                <w:rFonts w:ascii="宋体"/>
                <w:sz w:val="15"/>
              </w:rPr>
              <w:t>Limited</w:t>
            </w:r>
          </w:p>
        </w:tc>
        <w:tc>
          <w:tcPr>
            <w:tcW w:w="36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6" w:right="0"/>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0"/>
              <w:jc w:val="right"/>
              <w:rPr>
                <w:rFonts w:ascii="宋体" w:hAnsi="宋体" w:cs="宋体" w:eastAsia="宋体" w:hint="default"/>
                <w:sz w:val="15"/>
                <w:szCs w:val="15"/>
              </w:rPr>
            </w:pPr>
            <w:r>
              <w:rPr>
                <w:rFonts w:ascii="宋体"/>
                <w:spacing w:val="-1"/>
                <w:sz w:val="15"/>
              </w:rPr>
              <w:t>USD5.00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4"/>
              <w:jc w:val="center"/>
              <w:rPr>
                <w:rFonts w:ascii="宋体" w:hAnsi="宋体" w:cs="宋体" w:eastAsia="宋体" w:hint="default"/>
                <w:sz w:val="15"/>
                <w:szCs w:val="15"/>
              </w:rPr>
            </w:pPr>
            <w:r>
              <w:rPr>
                <w:rFonts w:ascii="宋体" w:hAnsi="宋体" w:cs="宋体" w:eastAsia="宋体" w:hint="default"/>
                <w:sz w:val="15"/>
                <w:szCs w:val="15"/>
              </w:rPr>
              <w:t>开曼群岛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217"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83" w:lineRule="exact"/>
              <w:ind w:left="19" w:right="0"/>
              <w:jc w:val="left"/>
              <w:rPr>
                <w:rFonts w:ascii="宋体" w:hAnsi="宋体" w:cs="宋体" w:eastAsia="宋体" w:hint="default"/>
                <w:sz w:val="15"/>
                <w:szCs w:val="15"/>
              </w:rPr>
            </w:pPr>
            <w:r>
              <w:rPr>
                <w:rFonts w:ascii="宋体" w:hAnsi="宋体" w:cs="宋体" w:eastAsia="宋体" w:hint="default"/>
                <w:sz w:val="15"/>
                <w:szCs w:val="15"/>
              </w:rPr>
              <w:t>北京同方光电环境有限公司</w:t>
            </w:r>
          </w:p>
        </w:tc>
        <w:tc>
          <w:tcPr>
            <w:tcW w:w="366" w:type="dxa"/>
            <w:tcBorders>
              <w:top w:val="nil" w:sz="6" w:space="0" w:color="auto"/>
              <w:left w:val="nil" w:sz="6" w:space="0" w:color="auto"/>
              <w:bottom w:val="nil" w:sz="6" w:space="0" w:color="auto"/>
              <w:right w:val="nil" w:sz="6" w:space="0" w:color="auto"/>
            </w:tcBorders>
          </w:tcPr>
          <w:p>
            <w:pPr>
              <w:pStyle w:val="TableParagraph"/>
              <w:spacing w:line="183" w:lineRule="exact"/>
              <w:ind w:left="6"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83" w:lineRule="exact"/>
              <w:ind w:right="60"/>
              <w:jc w:val="right"/>
              <w:rPr>
                <w:rFonts w:ascii="宋体" w:hAnsi="宋体" w:cs="宋体" w:eastAsia="宋体" w:hint="default"/>
                <w:sz w:val="15"/>
                <w:szCs w:val="15"/>
              </w:rPr>
            </w:pPr>
            <w:r>
              <w:rPr>
                <w:rFonts w:ascii="宋体"/>
                <w:spacing w:val="-1"/>
                <w:sz w:val="15"/>
              </w:rPr>
              <w:t>USD75.00</w:t>
            </w:r>
          </w:p>
        </w:tc>
        <w:tc>
          <w:tcPr>
            <w:tcW w:w="651" w:type="dxa"/>
            <w:tcBorders>
              <w:top w:val="nil" w:sz="6" w:space="0" w:color="auto"/>
              <w:left w:val="nil" w:sz="6" w:space="0" w:color="auto"/>
              <w:bottom w:val="nil" w:sz="6" w:space="0" w:color="auto"/>
              <w:right w:val="nil" w:sz="6" w:space="0" w:color="auto"/>
            </w:tcBorders>
          </w:tcPr>
          <w:p>
            <w:pPr>
              <w:pStyle w:val="TableParagraph"/>
              <w:spacing w:line="183"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3" w:lineRule="exact"/>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nil" w:sz="6" w:space="0" w:color="auto"/>
              <w:left w:val="nil" w:sz="6" w:space="0" w:color="auto"/>
              <w:bottom w:val="nil" w:sz="6" w:space="0" w:color="auto"/>
              <w:right w:val="nil" w:sz="6" w:space="0" w:color="auto"/>
            </w:tcBorders>
          </w:tcPr>
          <w:p>
            <w:pPr>
              <w:pStyle w:val="TableParagraph"/>
              <w:spacing w:line="183" w:lineRule="exact"/>
              <w:ind w:left="74" w:right="0"/>
              <w:jc w:val="left"/>
              <w:rPr>
                <w:rFonts w:ascii="宋体" w:hAnsi="宋体" w:cs="宋体" w:eastAsia="宋体" w:hint="default"/>
                <w:sz w:val="15"/>
                <w:szCs w:val="15"/>
              </w:rPr>
            </w:pPr>
            <w:r>
              <w:rPr>
                <w:rFonts w:ascii="宋体" w:hAnsi="宋体" w:cs="宋体" w:eastAsia="宋体" w:hint="default"/>
                <w:sz w:val="15"/>
                <w:szCs w:val="15"/>
              </w:rPr>
              <w:t>节能型</w:t>
            </w:r>
            <w:r>
              <w:rPr>
                <w:rFonts w:ascii="宋体" w:hAnsi="宋体" w:cs="宋体" w:eastAsia="宋体" w:hint="default"/>
                <w:spacing w:val="-39"/>
                <w:sz w:val="15"/>
                <w:szCs w:val="15"/>
              </w:rPr>
              <w:t> </w:t>
            </w:r>
            <w:r>
              <w:rPr>
                <w:rFonts w:ascii="宋体" w:hAnsi="宋体" w:cs="宋体" w:eastAsia="宋体" w:hint="default"/>
                <w:sz w:val="15"/>
                <w:szCs w:val="15"/>
              </w:rPr>
              <w:t>LED</w:t>
            </w:r>
            <w:r>
              <w:rPr>
                <w:rFonts w:ascii="宋体" w:hAnsi="宋体" w:cs="宋体" w:eastAsia="宋体" w:hint="default"/>
                <w:spacing w:val="-38"/>
                <w:sz w:val="15"/>
                <w:szCs w:val="15"/>
              </w:rPr>
              <w:t> </w:t>
            </w:r>
            <w:r>
              <w:rPr>
                <w:rFonts w:ascii="宋体" w:hAnsi="宋体" w:cs="宋体" w:eastAsia="宋体" w:hint="default"/>
                <w:sz w:val="15"/>
                <w:szCs w:val="15"/>
              </w:rPr>
              <w:t>照明产品研发、生产</w:t>
            </w:r>
          </w:p>
        </w:tc>
      </w:tr>
      <w:tr>
        <w:trPr>
          <w:trHeight w:val="412"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94" w:lineRule="exact" w:before="8"/>
              <w:ind w:left="19" w:right="280"/>
              <w:jc w:val="left"/>
              <w:rPr>
                <w:rFonts w:ascii="宋体" w:hAnsi="宋体" w:cs="宋体" w:eastAsia="宋体" w:hint="default"/>
                <w:sz w:val="15"/>
                <w:szCs w:val="15"/>
              </w:rPr>
            </w:pPr>
            <w:r>
              <w:rPr>
                <w:rFonts w:ascii="宋体"/>
                <w:sz w:val="15"/>
              </w:rPr>
              <w:t>Tongfang Roadway</w:t>
            </w:r>
            <w:r>
              <w:rPr>
                <w:rFonts w:ascii="宋体"/>
                <w:spacing w:val="-13"/>
                <w:sz w:val="15"/>
              </w:rPr>
              <w:t> </w:t>
            </w:r>
            <w:r>
              <w:rPr>
                <w:rFonts w:ascii="宋体"/>
                <w:sz w:val="15"/>
              </w:rPr>
              <w:t>Lighting</w:t>
            </w:r>
            <w:r>
              <w:rPr>
                <w:rFonts w:ascii="宋体"/>
                <w:w w:val="100"/>
                <w:sz w:val="15"/>
              </w:rPr>
              <w:t> </w:t>
            </w:r>
            <w:r>
              <w:rPr>
                <w:rFonts w:ascii="宋体"/>
                <w:sz w:val="15"/>
              </w:rPr>
              <w:t>Singapore</w:t>
            </w:r>
            <w:r>
              <w:rPr>
                <w:rFonts w:ascii="宋体"/>
                <w:spacing w:val="-8"/>
                <w:sz w:val="15"/>
              </w:rPr>
              <w:t> </w:t>
            </w:r>
            <w:r>
              <w:rPr>
                <w:rFonts w:ascii="宋体"/>
                <w:sz w:val="15"/>
              </w:rPr>
              <w:t>Pte.Ltd.</w:t>
            </w:r>
          </w:p>
        </w:tc>
        <w:tc>
          <w:tcPr>
            <w:tcW w:w="36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6"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0"/>
              <w:jc w:val="right"/>
              <w:rPr>
                <w:rFonts w:ascii="宋体" w:hAnsi="宋体" w:cs="宋体" w:eastAsia="宋体" w:hint="default"/>
                <w:sz w:val="15"/>
                <w:szCs w:val="15"/>
              </w:rPr>
            </w:pPr>
            <w:r>
              <w:rPr>
                <w:rFonts w:ascii="宋体"/>
                <w:spacing w:val="-1"/>
                <w:sz w:val="15"/>
              </w:rPr>
              <w:t>SGD0.00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center"/>
              <w:rPr>
                <w:rFonts w:ascii="宋体" w:hAnsi="宋体" w:cs="宋体" w:eastAsia="宋体" w:hint="default"/>
                <w:sz w:val="15"/>
                <w:szCs w:val="15"/>
              </w:rPr>
            </w:pPr>
            <w:r>
              <w:rPr>
                <w:rFonts w:ascii="宋体" w:hAnsi="宋体" w:cs="宋体" w:eastAsia="宋体" w:hint="default"/>
                <w:sz w:val="15"/>
                <w:szCs w:val="15"/>
              </w:rPr>
              <w:t>新加坡</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228"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83" w:lineRule="exact"/>
              <w:ind w:left="19" w:right="0"/>
              <w:jc w:val="left"/>
              <w:rPr>
                <w:rFonts w:ascii="宋体" w:hAnsi="宋体" w:cs="宋体" w:eastAsia="宋体" w:hint="default"/>
                <w:sz w:val="15"/>
                <w:szCs w:val="15"/>
              </w:rPr>
            </w:pPr>
            <w:r>
              <w:rPr>
                <w:rFonts w:ascii="宋体"/>
                <w:sz w:val="15"/>
              </w:rPr>
              <w:t>Cool Clouds</w:t>
            </w:r>
            <w:r>
              <w:rPr>
                <w:rFonts w:ascii="宋体"/>
                <w:spacing w:val="-8"/>
                <w:sz w:val="15"/>
              </w:rPr>
              <w:t> </w:t>
            </w:r>
            <w:r>
              <w:rPr>
                <w:rFonts w:ascii="宋体"/>
                <w:sz w:val="15"/>
              </w:rPr>
              <w:t>Limited</w:t>
            </w:r>
          </w:p>
        </w:tc>
        <w:tc>
          <w:tcPr>
            <w:tcW w:w="366" w:type="dxa"/>
            <w:tcBorders>
              <w:top w:val="nil" w:sz="6" w:space="0" w:color="auto"/>
              <w:left w:val="nil" w:sz="6" w:space="0" w:color="auto"/>
              <w:bottom w:val="nil" w:sz="6" w:space="0" w:color="auto"/>
              <w:right w:val="nil" w:sz="6" w:space="0" w:color="auto"/>
            </w:tcBorders>
          </w:tcPr>
          <w:p>
            <w:pPr>
              <w:pStyle w:val="TableParagraph"/>
              <w:spacing w:line="183" w:lineRule="exact"/>
              <w:ind w:left="6" w:right="0"/>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83" w:lineRule="exact"/>
              <w:ind w:right="60"/>
              <w:jc w:val="right"/>
              <w:rPr>
                <w:rFonts w:ascii="宋体" w:hAnsi="宋体" w:cs="宋体" w:eastAsia="宋体" w:hint="default"/>
                <w:sz w:val="15"/>
                <w:szCs w:val="15"/>
              </w:rPr>
            </w:pPr>
            <w:r>
              <w:rPr>
                <w:rFonts w:ascii="宋体"/>
                <w:spacing w:val="-1"/>
                <w:sz w:val="15"/>
              </w:rPr>
              <w:t>USD5.00</w:t>
            </w:r>
          </w:p>
        </w:tc>
        <w:tc>
          <w:tcPr>
            <w:tcW w:w="651" w:type="dxa"/>
            <w:tcBorders>
              <w:top w:val="nil" w:sz="6" w:space="0" w:color="auto"/>
              <w:left w:val="nil" w:sz="6" w:space="0" w:color="auto"/>
              <w:bottom w:val="nil" w:sz="6" w:space="0" w:color="auto"/>
              <w:right w:val="nil" w:sz="6" w:space="0" w:color="auto"/>
            </w:tcBorders>
          </w:tcPr>
          <w:p>
            <w:pPr>
              <w:pStyle w:val="TableParagraph"/>
              <w:spacing w:line="183"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3" w:lineRule="exact"/>
              <w:ind w:right="14"/>
              <w:jc w:val="center"/>
              <w:rPr>
                <w:rFonts w:ascii="宋体" w:hAnsi="宋体" w:cs="宋体" w:eastAsia="宋体" w:hint="default"/>
                <w:sz w:val="15"/>
                <w:szCs w:val="15"/>
              </w:rPr>
            </w:pPr>
            <w:r>
              <w:rPr>
                <w:rFonts w:ascii="宋体" w:hAnsi="宋体" w:cs="宋体" w:eastAsia="宋体" w:hint="default"/>
                <w:sz w:val="15"/>
                <w:szCs w:val="15"/>
              </w:rPr>
              <w:t>维京群岛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183" w:lineRule="exact"/>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240"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sz w:val="15"/>
              </w:rPr>
              <w:t>Universal Axis</w:t>
            </w:r>
            <w:r>
              <w:rPr>
                <w:rFonts w:ascii="宋体"/>
                <w:spacing w:val="-9"/>
                <w:sz w:val="15"/>
              </w:rPr>
              <w:t> </w:t>
            </w:r>
            <w:r>
              <w:rPr>
                <w:rFonts w:ascii="宋体"/>
                <w:sz w:val="15"/>
              </w:rPr>
              <w:t>Limited</w:t>
            </w:r>
          </w:p>
        </w:tc>
        <w:tc>
          <w:tcPr>
            <w:tcW w:w="366" w:type="dxa"/>
            <w:tcBorders>
              <w:top w:val="nil" w:sz="6" w:space="0" w:color="auto"/>
              <w:left w:val="nil" w:sz="6" w:space="0" w:color="auto"/>
              <w:bottom w:val="nil" w:sz="6" w:space="0" w:color="auto"/>
              <w:right w:val="nil" w:sz="6" w:space="0" w:color="auto"/>
            </w:tcBorders>
          </w:tcPr>
          <w:p>
            <w:pPr>
              <w:pStyle w:val="TableParagraph"/>
              <w:spacing w:line="195" w:lineRule="exact"/>
              <w:ind w:left="6" w:right="0"/>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spacing w:val="-1"/>
                <w:sz w:val="15"/>
              </w:rPr>
              <w:t>USD5.00</w:t>
            </w:r>
          </w:p>
        </w:tc>
        <w:tc>
          <w:tcPr>
            <w:tcW w:w="651" w:type="dxa"/>
            <w:tcBorders>
              <w:top w:val="nil" w:sz="6" w:space="0" w:color="auto"/>
              <w:left w:val="nil" w:sz="6" w:space="0" w:color="auto"/>
              <w:bottom w:val="nil" w:sz="6" w:space="0" w:color="auto"/>
              <w:right w:val="nil" w:sz="6" w:space="0" w:color="auto"/>
            </w:tcBorders>
          </w:tcPr>
          <w:p>
            <w:pPr>
              <w:pStyle w:val="TableParagraph"/>
              <w:spacing w:line="19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维京群岛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229"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95" w:lineRule="exact"/>
              <w:ind w:left="19" w:right="0"/>
              <w:jc w:val="left"/>
              <w:rPr>
                <w:rFonts w:ascii="宋体" w:hAnsi="宋体" w:cs="宋体" w:eastAsia="宋体" w:hint="default"/>
                <w:sz w:val="15"/>
                <w:szCs w:val="15"/>
              </w:rPr>
            </w:pPr>
            <w:r>
              <w:rPr>
                <w:rFonts w:ascii="宋体"/>
                <w:sz w:val="15"/>
              </w:rPr>
              <w:t>Tongfang Aqua 2017</w:t>
            </w:r>
            <w:r>
              <w:rPr>
                <w:rFonts w:ascii="宋体"/>
                <w:spacing w:val="-12"/>
                <w:sz w:val="15"/>
              </w:rPr>
              <w:t> </w:t>
            </w:r>
            <w:r>
              <w:rPr>
                <w:rFonts w:ascii="宋体"/>
                <w:sz w:val="15"/>
              </w:rPr>
              <w:t>Limited</w:t>
            </w:r>
          </w:p>
        </w:tc>
        <w:tc>
          <w:tcPr>
            <w:tcW w:w="366" w:type="dxa"/>
            <w:tcBorders>
              <w:top w:val="nil" w:sz="6" w:space="0" w:color="auto"/>
              <w:left w:val="nil" w:sz="6" w:space="0" w:color="auto"/>
              <w:bottom w:val="nil" w:sz="6" w:space="0" w:color="auto"/>
              <w:right w:val="nil" w:sz="6" w:space="0" w:color="auto"/>
            </w:tcBorders>
          </w:tcPr>
          <w:p>
            <w:pPr>
              <w:pStyle w:val="TableParagraph"/>
              <w:spacing w:line="195" w:lineRule="exact"/>
              <w:ind w:left="6" w:right="0"/>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spacing w:val="-1"/>
                <w:sz w:val="15"/>
              </w:rPr>
              <w:t>USD5.00</w:t>
            </w:r>
          </w:p>
        </w:tc>
        <w:tc>
          <w:tcPr>
            <w:tcW w:w="651" w:type="dxa"/>
            <w:tcBorders>
              <w:top w:val="nil" w:sz="6" w:space="0" w:color="auto"/>
              <w:left w:val="nil" w:sz="6" w:space="0" w:color="auto"/>
              <w:bottom w:val="nil" w:sz="6" w:space="0" w:color="auto"/>
              <w:right w:val="nil" w:sz="6" w:space="0" w:color="auto"/>
            </w:tcBorders>
          </w:tcPr>
          <w:p>
            <w:pPr>
              <w:pStyle w:val="TableParagraph"/>
              <w:spacing w:line="19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维京群岛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790"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9" w:right="280"/>
              <w:jc w:val="left"/>
              <w:rPr>
                <w:rFonts w:ascii="宋体" w:hAnsi="宋体" w:cs="宋体" w:eastAsia="宋体" w:hint="default"/>
                <w:sz w:val="15"/>
                <w:szCs w:val="15"/>
              </w:rPr>
            </w:pPr>
            <w:r>
              <w:rPr>
                <w:rFonts w:ascii="宋体"/>
                <w:sz w:val="15"/>
              </w:rPr>
              <w:t>Technovator</w:t>
            </w:r>
            <w:r>
              <w:rPr>
                <w:rFonts w:ascii="宋体"/>
                <w:spacing w:val="-12"/>
                <w:sz w:val="15"/>
              </w:rPr>
              <w:t> </w:t>
            </w:r>
            <w:r>
              <w:rPr>
                <w:rFonts w:ascii="宋体"/>
                <w:sz w:val="15"/>
              </w:rPr>
              <w:t>International</w:t>
            </w:r>
            <w:r>
              <w:rPr>
                <w:rFonts w:ascii="宋体"/>
                <w:w w:val="100"/>
                <w:sz w:val="15"/>
              </w:rPr>
              <w:t> </w:t>
            </w:r>
            <w:r>
              <w:rPr>
                <w:rFonts w:ascii="宋体"/>
                <w:sz w:val="15"/>
              </w:rPr>
              <w:t>Limited(01206.HK)</w:t>
            </w:r>
          </w:p>
        </w:tc>
        <w:tc>
          <w:tcPr>
            <w:tcW w:w="3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7"/>
              <w:ind w:left="6" w:right="0"/>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84" w:lineRule="exact"/>
              <w:ind w:right="59"/>
              <w:jc w:val="right"/>
              <w:rPr>
                <w:rFonts w:ascii="宋体" w:hAnsi="宋体" w:cs="宋体" w:eastAsia="宋体" w:hint="default"/>
                <w:sz w:val="15"/>
                <w:szCs w:val="15"/>
              </w:rPr>
            </w:pPr>
            <w:r>
              <w:rPr>
                <w:rFonts w:ascii="宋体" w:hAnsi="宋体" w:cs="宋体" w:eastAsia="宋体" w:hint="default"/>
                <w:sz w:val="15"/>
                <w:szCs w:val="15"/>
              </w:rPr>
              <w:t>US$2419.81</w:t>
            </w:r>
            <w:r>
              <w:rPr>
                <w:rFonts w:ascii="宋体" w:hAnsi="宋体" w:cs="宋体" w:eastAsia="宋体" w:hint="default"/>
                <w:spacing w:val="-41"/>
                <w:sz w:val="15"/>
                <w:szCs w:val="15"/>
              </w:rPr>
              <w:t> </w:t>
            </w:r>
            <w:r>
              <w:rPr>
                <w:rFonts w:ascii="宋体" w:hAnsi="宋体" w:cs="宋体" w:eastAsia="宋体" w:hint="default"/>
                <w:sz w:val="15"/>
                <w:szCs w:val="15"/>
              </w:rPr>
              <w:t>万</w:t>
            </w:r>
          </w:p>
          <w:p>
            <w:pPr>
              <w:pStyle w:val="TableParagraph"/>
              <w:spacing w:line="240" w:lineRule="auto"/>
              <w:ind w:left="86" w:right="60" w:firstLine="825"/>
              <w:jc w:val="right"/>
              <w:rPr>
                <w:rFonts w:ascii="宋体" w:hAnsi="宋体" w:cs="宋体" w:eastAsia="宋体" w:hint="default"/>
                <w:sz w:val="15"/>
                <w:szCs w:val="15"/>
              </w:rPr>
            </w:pPr>
            <w:r>
              <w:rPr>
                <w:rFonts w:ascii="宋体"/>
                <w:sz w:val="15"/>
              </w:rPr>
              <w:t>&amp;</w:t>
            </w:r>
            <w:r>
              <w:rPr>
                <w:rFonts w:ascii="宋体"/>
                <w:w w:val="100"/>
                <w:sz w:val="15"/>
              </w:rPr>
              <w:t> </w:t>
            </w:r>
            <w:r>
              <w:rPr>
                <w:rFonts w:ascii="宋体"/>
                <w:spacing w:val="-2"/>
                <w:sz w:val="15"/>
              </w:rPr>
              <w:t>HK$135225.61</w:t>
            </w:r>
          </w:p>
          <w:p>
            <w:pPr>
              <w:pStyle w:val="TableParagraph"/>
              <w:spacing w:line="194" w:lineRule="exact"/>
              <w:ind w:right="61"/>
              <w:jc w:val="right"/>
              <w:rPr>
                <w:rFonts w:ascii="宋体" w:hAnsi="宋体" w:cs="宋体" w:eastAsia="宋体" w:hint="default"/>
                <w:sz w:val="15"/>
                <w:szCs w:val="15"/>
              </w:rPr>
            </w:pPr>
            <w:r>
              <w:rPr>
                <w:rFonts w:ascii="宋体" w:hAnsi="宋体" w:cs="宋体" w:eastAsia="宋体" w:hint="default"/>
                <w:w w:val="100"/>
                <w:sz w:val="15"/>
                <w:szCs w:val="15"/>
              </w:rPr>
              <w:t>万</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7"/>
              <w:ind w:left="77" w:right="0"/>
              <w:jc w:val="center"/>
              <w:rPr>
                <w:rFonts w:ascii="宋体" w:hAnsi="宋体" w:cs="宋体" w:eastAsia="宋体" w:hint="default"/>
                <w:sz w:val="15"/>
                <w:szCs w:val="15"/>
              </w:rPr>
            </w:pPr>
            <w:r>
              <w:rPr>
                <w:rFonts w:ascii="宋体"/>
                <w:sz w:val="15"/>
              </w:rPr>
              <w:t>36.60%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7"/>
              <w:ind w:right="13"/>
              <w:jc w:val="center"/>
              <w:rPr>
                <w:rFonts w:ascii="宋体" w:hAnsi="宋体" w:cs="宋体" w:eastAsia="宋体" w:hint="default"/>
                <w:sz w:val="15"/>
                <w:szCs w:val="15"/>
              </w:rPr>
            </w:pPr>
            <w:r>
              <w:rPr>
                <w:rFonts w:ascii="宋体" w:hAnsi="宋体" w:cs="宋体" w:eastAsia="宋体" w:hint="default"/>
                <w:sz w:val="15"/>
                <w:szCs w:val="15"/>
              </w:rPr>
              <w:t>新加坡</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74" w:right="214"/>
              <w:jc w:val="left"/>
              <w:rPr>
                <w:rFonts w:ascii="宋体" w:hAnsi="宋体" w:cs="宋体" w:eastAsia="宋体" w:hint="default"/>
                <w:sz w:val="15"/>
                <w:szCs w:val="15"/>
              </w:rPr>
            </w:pPr>
            <w:r>
              <w:rPr>
                <w:rFonts w:ascii="宋体" w:hAnsi="宋体" w:cs="宋体" w:eastAsia="宋体" w:hint="default"/>
                <w:spacing w:val="-2"/>
                <w:sz w:val="15"/>
                <w:szCs w:val="15"/>
              </w:rPr>
              <w:t>综合楼宇自动化与能源管理系统及安防与消防系统</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z w:val="15"/>
                <w:szCs w:val="15"/>
              </w:rPr>
              <w:t>的设计、制造、销售</w:t>
            </w:r>
          </w:p>
        </w:tc>
      </w:tr>
      <w:tr>
        <w:trPr>
          <w:trHeight w:val="583"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72" w:lineRule="exact"/>
              <w:ind w:left="19" w:right="0"/>
              <w:jc w:val="left"/>
              <w:rPr>
                <w:rFonts w:ascii="宋体" w:hAnsi="宋体" w:cs="宋体" w:eastAsia="宋体" w:hint="default"/>
                <w:sz w:val="15"/>
                <w:szCs w:val="15"/>
              </w:rPr>
            </w:pPr>
            <w:r>
              <w:rPr>
                <w:rFonts w:ascii="宋体"/>
                <w:sz w:val="15"/>
              </w:rPr>
              <w:t>TongFang Technovator</w:t>
            </w:r>
            <w:r>
              <w:rPr>
                <w:rFonts w:ascii="宋体"/>
                <w:spacing w:val="-16"/>
                <w:sz w:val="15"/>
              </w:rPr>
              <w:t> </w:t>
            </w:r>
            <w:r>
              <w:rPr>
                <w:rFonts w:ascii="宋体"/>
                <w:sz w:val="15"/>
              </w:rPr>
              <w:t>(S.E.A)</w:t>
            </w:r>
          </w:p>
          <w:p>
            <w:pPr>
              <w:pStyle w:val="TableParagraph"/>
              <w:spacing w:line="240" w:lineRule="auto"/>
              <w:ind w:left="19" w:right="92"/>
              <w:jc w:val="left"/>
              <w:rPr>
                <w:rFonts w:ascii="宋体" w:hAnsi="宋体" w:cs="宋体" w:eastAsia="宋体" w:hint="default"/>
                <w:sz w:val="15"/>
                <w:szCs w:val="15"/>
              </w:rPr>
            </w:pPr>
            <w:r>
              <w:rPr>
                <w:rFonts w:ascii="宋体" w:hAnsi="宋体" w:cs="宋体" w:eastAsia="宋体" w:hint="default"/>
                <w:sz w:val="15"/>
                <w:szCs w:val="15"/>
              </w:rPr>
              <w:t>Pte.Ltd</w:t>
            </w:r>
            <w:r>
              <w:rPr>
                <w:rFonts w:ascii="宋体" w:hAnsi="宋体" w:cs="宋体" w:eastAsia="宋体" w:hint="default"/>
                <w:sz w:val="15"/>
                <w:szCs w:val="15"/>
              </w:rPr>
              <w:t>（原 </w:t>
            </w:r>
            <w:r>
              <w:rPr>
                <w:rFonts w:ascii="宋体" w:hAnsi="宋体" w:cs="宋体" w:eastAsia="宋体" w:hint="default"/>
                <w:sz w:val="15"/>
                <w:szCs w:val="15"/>
              </w:rPr>
              <w:t>DISTECH</w:t>
            </w:r>
            <w:r>
              <w:rPr>
                <w:rFonts w:ascii="宋体" w:hAnsi="宋体" w:cs="宋体" w:eastAsia="宋体" w:hint="default"/>
                <w:spacing w:val="-50"/>
                <w:sz w:val="15"/>
                <w:szCs w:val="15"/>
              </w:rPr>
              <w:t> </w:t>
            </w:r>
            <w:r>
              <w:rPr>
                <w:rFonts w:ascii="宋体" w:hAnsi="宋体" w:cs="宋体" w:eastAsia="宋体" w:hint="default"/>
                <w:sz w:val="15"/>
                <w:szCs w:val="15"/>
              </w:rPr>
              <w:t>CONTROLS</w:t>
            </w:r>
            <w:r>
              <w:rPr>
                <w:rFonts w:ascii="宋体" w:hAnsi="宋体" w:cs="宋体" w:eastAsia="宋体" w:hint="default"/>
                <w:w w:val="100"/>
                <w:sz w:val="15"/>
                <w:szCs w:val="15"/>
              </w:rPr>
              <w:t> </w:t>
            </w:r>
            <w:r>
              <w:rPr>
                <w:rFonts w:ascii="宋体" w:hAnsi="宋体" w:cs="宋体" w:eastAsia="宋体" w:hint="default"/>
                <w:sz w:val="15"/>
                <w:szCs w:val="15"/>
              </w:rPr>
              <w:t>PTE</w:t>
            </w:r>
            <w:r>
              <w:rPr>
                <w:rFonts w:ascii="宋体" w:hAnsi="宋体" w:cs="宋体" w:eastAsia="宋体" w:hint="default"/>
                <w:spacing w:val="-1"/>
                <w:sz w:val="15"/>
                <w:szCs w:val="15"/>
              </w:rPr>
              <w:t> </w:t>
            </w:r>
            <w:r>
              <w:rPr>
                <w:rFonts w:ascii="宋体" w:hAnsi="宋体" w:cs="宋体" w:eastAsia="宋体" w:hint="default"/>
                <w:sz w:val="15"/>
                <w:szCs w:val="15"/>
              </w:rPr>
              <w:t>LTD</w:t>
            </w:r>
            <w:r>
              <w:rPr>
                <w:rFonts w:ascii="宋体" w:hAnsi="宋体" w:cs="宋体" w:eastAsia="宋体" w:hint="default"/>
                <w:sz w:val="15"/>
                <w:szCs w:val="15"/>
              </w:rPr>
              <w:t>）</w:t>
            </w:r>
          </w:p>
        </w:tc>
        <w:tc>
          <w:tcPr>
            <w:tcW w:w="3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60"/>
              <w:jc w:val="right"/>
              <w:rPr>
                <w:rFonts w:ascii="宋体" w:hAnsi="宋体" w:cs="宋体" w:eastAsia="宋体" w:hint="default"/>
                <w:sz w:val="15"/>
                <w:szCs w:val="15"/>
              </w:rPr>
            </w:pPr>
            <w:r>
              <w:rPr>
                <w:rFonts w:ascii="宋体"/>
                <w:spacing w:val="-2"/>
                <w:sz w:val="15"/>
              </w:rPr>
              <w:t>USD100.00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新加坡</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4" w:right="214"/>
              <w:jc w:val="left"/>
              <w:rPr>
                <w:rFonts w:ascii="宋体" w:hAnsi="宋体" w:cs="宋体" w:eastAsia="宋体" w:hint="default"/>
                <w:sz w:val="15"/>
                <w:szCs w:val="15"/>
              </w:rPr>
            </w:pPr>
            <w:r>
              <w:rPr>
                <w:rFonts w:ascii="宋体" w:hAnsi="宋体" w:cs="宋体" w:eastAsia="宋体" w:hint="default"/>
                <w:spacing w:val="-2"/>
                <w:sz w:val="15"/>
                <w:szCs w:val="15"/>
              </w:rPr>
              <w:t>综合楼宇自动化与能源管理系统及安防与消防系统</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z w:val="15"/>
                <w:szCs w:val="15"/>
              </w:rPr>
              <w:t>的设计、制造、销售</w:t>
            </w:r>
          </w:p>
        </w:tc>
      </w:tr>
      <w:tr>
        <w:trPr>
          <w:trHeight w:val="389"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72" w:lineRule="exact"/>
              <w:ind w:left="19" w:right="0"/>
              <w:jc w:val="left"/>
              <w:rPr>
                <w:rFonts w:ascii="宋体" w:hAnsi="宋体" w:cs="宋体" w:eastAsia="宋体" w:hint="default"/>
                <w:sz w:val="15"/>
                <w:szCs w:val="15"/>
              </w:rPr>
            </w:pPr>
            <w:r>
              <w:rPr>
                <w:rFonts w:ascii="宋体" w:hAnsi="宋体" w:cs="宋体" w:eastAsia="宋体" w:hint="default"/>
                <w:sz w:val="15"/>
                <w:szCs w:val="15"/>
              </w:rPr>
              <w:t>同方泰德国际科技（北京）有限</w:t>
            </w:r>
          </w:p>
          <w:p>
            <w:pPr>
              <w:pStyle w:val="TableParagraph"/>
              <w:spacing w:line="195" w:lineRule="exact"/>
              <w:ind w:left="19"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3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 w:right="0"/>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0"/>
              <w:jc w:val="right"/>
              <w:rPr>
                <w:rFonts w:ascii="宋体" w:hAnsi="宋体" w:cs="宋体" w:eastAsia="宋体" w:hint="default"/>
                <w:sz w:val="15"/>
                <w:szCs w:val="15"/>
              </w:rPr>
            </w:pPr>
            <w:r>
              <w:rPr>
                <w:rFonts w:ascii="宋体"/>
                <w:spacing w:val="-1"/>
                <w:sz w:val="15"/>
              </w:rPr>
              <w:t>USD8,300.00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center"/>
              <w:rPr>
                <w:rFonts w:ascii="宋体" w:hAnsi="宋体" w:cs="宋体" w:eastAsia="宋体" w:hint="default"/>
                <w:sz w:val="15"/>
                <w:szCs w:val="15"/>
              </w:rPr>
            </w:pPr>
            <w:r>
              <w:rPr>
                <w:rFonts w:ascii="宋体" w:hAnsi="宋体" w:cs="宋体" w:eastAsia="宋体" w:hint="default"/>
                <w:sz w:val="15"/>
                <w:szCs w:val="15"/>
              </w:rPr>
              <w:t>北京怀柔</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4" w:right="0"/>
              <w:jc w:val="left"/>
              <w:rPr>
                <w:rFonts w:ascii="宋体" w:hAnsi="宋体" w:cs="宋体" w:eastAsia="宋体" w:hint="default"/>
                <w:sz w:val="15"/>
                <w:szCs w:val="15"/>
              </w:rPr>
            </w:pPr>
            <w:r>
              <w:rPr>
                <w:rFonts w:ascii="宋体" w:hAnsi="宋体" w:cs="宋体" w:eastAsia="宋体" w:hint="default"/>
                <w:sz w:val="15"/>
                <w:szCs w:val="15"/>
              </w:rPr>
              <w:t>楼宇自动化解决方案的设计、制造、销售</w:t>
            </w:r>
          </w:p>
        </w:tc>
      </w:tr>
      <w:tr>
        <w:trPr>
          <w:trHeight w:val="401"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72" w:lineRule="exact"/>
              <w:ind w:left="19" w:right="0"/>
              <w:jc w:val="left"/>
              <w:rPr>
                <w:rFonts w:ascii="宋体" w:hAnsi="宋体" w:cs="宋体" w:eastAsia="宋体" w:hint="default"/>
                <w:sz w:val="15"/>
                <w:szCs w:val="15"/>
              </w:rPr>
            </w:pPr>
            <w:r>
              <w:rPr>
                <w:rFonts w:ascii="宋体" w:hAnsi="宋体" w:cs="宋体" w:eastAsia="宋体" w:hint="default"/>
                <w:sz w:val="15"/>
                <w:szCs w:val="15"/>
              </w:rPr>
              <w:t>同方泰德智能科技（上海）有限</w:t>
            </w:r>
          </w:p>
          <w:p>
            <w:pPr>
              <w:pStyle w:val="TableParagraph"/>
              <w:spacing w:line="195" w:lineRule="exact"/>
              <w:ind w:left="19"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3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0"/>
              <w:jc w:val="right"/>
              <w:rPr>
                <w:rFonts w:ascii="宋体" w:hAnsi="宋体" w:cs="宋体" w:eastAsia="宋体" w:hint="default"/>
                <w:sz w:val="15"/>
                <w:szCs w:val="15"/>
              </w:rPr>
            </w:pPr>
            <w:r>
              <w:rPr>
                <w:rFonts w:ascii="宋体" w:hAnsi="宋体"/>
                <w:spacing w:val="-2"/>
                <w:sz w:val="15"/>
              </w:rPr>
              <w:t>¥1,000.00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7" w:right="0"/>
              <w:jc w:val="center"/>
              <w:rPr>
                <w:rFonts w:ascii="宋体" w:hAnsi="宋体" w:cs="宋体" w:eastAsia="宋体" w:hint="default"/>
                <w:sz w:val="15"/>
                <w:szCs w:val="15"/>
              </w:rPr>
            </w:pPr>
            <w:r>
              <w:rPr>
                <w:rFonts w:ascii="宋体"/>
                <w:sz w:val="15"/>
              </w:rPr>
              <w:t>40.00%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center"/>
              <w:rPr>
                <w:rFonts w:ascii="宋体" w:hAnsi="宋体" w:cs="宋体" w:eastAsia="宋体" w:hint="default"/>
                <w:sz w:val="15"/>
                <w:szCs w:val="15"/>
              </w:rPr>
            </w:pPr>
            <w:r>
              <w:rPr>
                <w:rFonts w:ascii="宋体" w:hAnsi="宋体" w:cs="宋体" w:eastAsia="宋体" w:hint="default"/>
                <w:sz w:val="15"/>
                <w:szCs w:val="15"/>
              </w:rPr>
              <w:t>上海普陀</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4" w:right="0"/>
              <w:jc w:val="left"/>
              <w:rPr>
                <w:rFonts w:ascii="宋体" w:hAnsi="宋体" w:cs="宋体" w:eastAsia="宋体" w:hint="default"/>
                <w:sz w:val="15"/>
                <w:szCs w:val="15"/>
              </w:rPr>
            </w:pPr>
            <w:r>
              <w:rPr>
                <w:rFonts w:ascii="宋体" w:hAnsi="宋体" w:cs="宋体" w:eastAsia="宋体" w:hint="default"/>
                <w:sz w:val="15"/>
                <w:szCs w:val="15"/>
              </w:rPr>
              <w:t>楼宇自动化解决方案销售</w:t>
            </w:r>
          </w:p>
        </w:tc>
      </w:tr>
      <w:tr>
        <w:trPr>
          <w:trHeight w:val="217"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85" w:lineRule="exact"/>
              <w:ind w:left="19" w:right="0"/>
              <w:jc w:val="left"/>
              <w:rPr>
                <w:rFonts w:ascii="宋体" w:hAnsi="宋体" w:cs="宋体" w:eastAsia="宋体" w:hint="default"/>
                <w:sz w:val="15"/>
                <w:szCs w:val="15"/>
              </w:rPr>
            </w:pPr>
            <w:r>
              <w:rPr>
                <w:rFonts w:ascii="宋体" w:hAnsi="宋体" w:cs="宋体" w:eastAsia="宋体" w:hint="default"/>
                <w:sz w:val="15"/>
                <w:szCs w:val="15"/>
              </w:rPr>
              <w:t>上海及的及科技有限公司</w:t>
            </w:r>
          </w:p>
        </w:tc>
        <w:tc>
          <w:tcPr>
            <w:tcW w:w="366" w:type="dxa"/>
            <w:tcBorders>
              <w:top w:val="nil" w:sz="6" w:space="0" w:color="auto"/>
              <w:left w:val="nil" w:sz="6" w:space="0" w:color="auto"/>
              <w:bottom w:val="nil" w:sz="6" w:space="0" w:color="auto"/>
              <w:right w:val="nil" w:sz="6" w:space="0" w:color="auto"/>
            </w:tcBorders>
          </w:tcPr>
          <w:p>
            <w:pPr>
              <w:pStyle w:val="TableParagraph"/>
              <w:spacing w:line="185" w:lineRule="exact"/>
              <w:ind w:left="6" w:right="0"/>
              <w:jc w:val="center"/>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85" w:lineRule="exact"/>
              <w:ind w:right="60"/>
              <w:jc w:val="right"/>
              <w:rPr>
                <w:rFonts w:ascii="宋体" w:hAnsi="宋体" w:cs="宋体" w:eastAsia="宋体" w:hint="default"/>
                <w:sz w:val="15"/>
                <w:szCs w:val="15"/>
              </w:rPr>
            </w:pPr>
            <w:r>
              <w:rPr>
                <w:rFonts w:ascii="宋体" w:hAnsi="宋体"/>
                <w:spacing w:val="-1"/>
                <w:sz w:val="15"/>
              </w:rPr>
              <w:t>¥300.00</w:t>
            </w:r>
          </w:p>
        </w:tc>
        <w:tc>
          <w:tcPr>
            <w:tcW w:w="651" w:type="dxa"/>
            <w:tcBorders>
              <w:top w:val="nil" w:sz="6" w:space="0" w:color="auto"/>
              <w:left w:val="nil" w:sz="6" w:space="0" w:color="auto"/>
              <w:bottom w:val="nil" w:sz="6" w:space="0" w:color="auto"/>
              <w:right w:val="nil" w:sz="6" w:space="0" w:color="auto"/>
            </w:tcBorders>
          </w:tcPr>
          <w:p>
            <w:pPr>
              <w:pStyle w:val="TableParagraph"/>
              <w:spacing w:line="185" w:lineRule="exact"/>
              <w:ind w:left="77" w:right="0"/>
              <w:jc w:val="center"/>
              <w:rPr>
                <w:rFonts w:ascii="宋体" w:hAnsi="宋体" w:cs="宋体" w:eastAsia="宋体" w:hint="default"/>
                <w:sz w:val="15"/>
                <w:szCs w:val="15"/>
              </w:rPr>
            </w:pPr>
            <w:r>
              <w:rPr>
                <w:rFonts w:ascii="宋体"/>
                <w:sz w:val="15"/>
              </w:rPr>
              <w:t>70.00%</w:t>
            </w:r>
          </w:p>
        </w:tc>
        <w:tc>
          <w:tcPr>
            <w:tcW w:w="889" w:type="dxa"/>
            <w:tcBorders>
              <w:top w:val="nil" w:sz="6" w:space="0" w:color="auto"/>
              <w:left w:val="nil" w:sz="6" w:space="0" w:color="auto"/>
              <w:bottom w:val="nil" w:sz="6" w:space="0" w:color="auto"/>
              <w:right w:val="nil" w:sz="6" w:space="0" w:color="auto"/>
            </w:tcBorders>
          </w:tcPr>
          <w:p>
            <w:pPr>
              <w:pStyle w:val="TableParagraph"/>
              <w:spacing w:line="185" w:lineRule="exact"/>
              <w:ind w:right="14"/>
              <w:jc w:val="center"/>
              <w:rPr>
                <w:rFonts w:ascii="宋体" w:hAnsi="宋体" w:cs="宋体" w:eastAsia="宋体" w:hint="default"/>
                <w:sz w:val="15"/>
                <w:szCs w:val="15"/>
              </w:rPr>
            </w:pPr>
            <w:r>
              <w:rPr>
                <w:rFonts w:ascii="宋体" w:hAnsi="宋体" w:cs="宋体" w:eastAsia="宋体" w:hint="default"/>
                <w:sz w:val="15"/>
                <w:szCs w:val="15"/>
              </w:rPr>
              <w:t>上海徐汇</w:t>
            </w:r>
          </w:p>
        </w:tc>
        <w:tc>
          <w:tcPr>
            <w:tcW w:w="3593" w:type="dxa"/>
            <w:tcBorders>
              <w:top w:val="nil" w:sz="6" w:space="0" w:color="auto"/>
              <w:left w:val="nil" w:sz="6" w:space="0" w:color="auto"/>
              <w:bottom w:val="nil" w:sz="6" w:space="0" w:color="auto"/>
              <w:right w:val="nil" w:sz="6" w:space="0" w:color="auto"/>
            </w:tcBorders>
          </w:tcPr>
          <w:p>
            <w:pPr>
              <w:pStyle w:val="TableParagraph"/>
              <w:spacing w:line="185" w:lineRule="exact"/>
              <w:ind w:left="74" w:right="0"/>
              <w:jc w:val="left"/>
              <w:rPr>
                <w:rFonts w:ascii="宋体" w:hAnsi="宋体" w:cs="宋体" w:eastAsia="宋体" w:hint="default"/>
                <w:sz w:val="15"/>
                <w:szCs w:val="15"/>
              </w:rPr>
            </w:pPr>
            <w:r>
              <w:rPr>
                <w:rFonts w:ascii="宋体" w:hAnsi="宋体" w:cs="宋体" w:eastAsia="宋体" w:hint="default"/>
                <w:sz w:val="15"/>
                <w:szCs w:val="15"/>
              </w:rPr>
              <w:t>计算机信息科技、计算机软硬件科技的销售</w:t>
            </w:r>
          </w:p>
        </w:tc>
      </w:tr>
      <w:tr>
        <w:trPr>
          <w:trHeight w:val="401"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9" w:right="0"/>
              <w:jc w:val="left"/>
              <w:rPr>
                <w:rFonts w:ascii="宋体" w:hAnsi="宋体" w:cs="宋体" w:eastAsia="宋体" w:hint="default"/>
                <w:sz w:val="15"/>
                <w:szCs w:val="15"/>
              </w:rPr>
            </w:pPr>
            <w:r>
              <w:rPr>
                <w:rFonts w:ascii="宋体" w:hAnsi="宋体" w:cs="宋体" w:eastAsia="宋体" w:hint="default"/>
                <w:sz w:val="15"/>
                <w:szCs w:val="15"/>
              </w:rPr>
              <w:t>同方泰德软件（北京）有限公司</w:t>
            </w:r>
          </w:p>
        </w:tc>
        <w:tc>
          <w:tcPr>
            <w:tcW w:w="36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0"/>
              <w:jc w:val="right"/>
              <w:rPr>
                <w:rFonts w:ascii="宋体" w:hAnsi="宋体" w:cs="宋体" w:eastAsia="宋体" w:hint="default"/>
                <w:sz w:val="15"/>
                <w:szCs w:val="15"/>
              </w:rPr>
            </w:pPr>
            <w:r>
              <w:rPr>
                <w:rFonts w:ascii="宋体" w:hAnsi="宋体"/>
                <w:spacing w:val="-2"/>
                <w:sz w:val="15"/>
              </w:rPr>
              <w:t>¥1,000.00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4"/>
              <w:jc w:val="center"/>
              <w:rPr>
                <w:rFonts w:ascii="宋体" w:hAnsi="宋体" w:cs="宋体" w:eastAsia="宋体" w:hint="default"/>
                <w:sz w:val="15"/>
                <w:szCs w:val="15"/>
              </w:rPr>
            </w:pPr>
            <w:r>
              <w:rPr>
                <w:rFonts w:ascii="宋体" w:hAnsi="宋体" w:cs="宋体" w:eastAsia="宋体" w:hint="default"/>
                <w:sz w:val="15"/>
                <w:szCs w:val="15"/>
              </w:rPr>
              <w:t>北京怀柔</w:t>
            </w:r>
          </w:p>
        </w:tc>
        <w:tc>
          <w:tcPr>
            <w:tcW w:w="3593" w:type="dxa"/>
            <w:tcBorders>
              <w:top w:val="nil" w:sz="6" w:space="0" w:color="auto"/>
              <w:left w:val="nil" w:sz="6" w:space="0" w:color="auto"/>
              <w:bottom w:val="nil" w:sz="6" w:space="0" w:color="auto"/>
              <w:right w:val="nil" w:sz="6" w:space="0" w:color="auto"/>
            </w:tcBorders>
          </w:tcPr>
          <w:p>
            <w:pPr>
              <w:pStyle w:val="TableParagraph"/>
              <w:spacing w:line="194" w:lineRule="exact" w:before="7"/>
              <w:ind w:left="74" w:right="106"/>
              <w:jc w:val="left"/>
              <w:rPr>
                <w:rFonts w:ascii="宋体" w:hAnsi="宋体" w:cs="宋体" w:eastAsia="宋体" w:hint="default"/>
                <w:sz w:val="15"/>
                <w:szCs w:val="15"/>
              </w:rPr>
            </w:pPr>
            <w:r>
              <w:rPr>
                <w:rFonts w:ascii="宋体" w:hAnsi="宋体" w:cs="宋体" w:eastAsia="宋体" w:hint="default"/>
                <w:spacing w:val="-4"/>
                <w:sz w:val="15"/>
                <w:szCs w:val="15"/>
              </w:rPr>
              <w:t>软件开发；信息系统集成服务；销售机械设备、电子</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产品、计算机、软件及辅助设备等</w:t>
            </w:r>
          </w:p>
        </w:tc>
      </w:tr>
      <w:tr>
        <w:trPr>
          <w:trHeight w:val="390"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9" w:right="0"/>
              <w:jc w:val="left"/>
              <w:rPr>
                <w:rFonts w:ascii="宋体" w:hAnsi="宋体" w:cs="宋体" w:eastAsia="宋体" w:hint="default"/>
                <w:sz w:val="15"/>
                <w:szCs w:val="15"/>
              </w:rPr>
            </w:pPr>
            <w:r>
              <w:rPr>
                <w:rFonts w:ascii="宋体" w:hAnsi="宋体" w:cs="宋体" w:eastAsia="宋体" w:hint="default"/>
                <w:sz w:val="15"/>
                <w:szCs w:val="15"/>
              </w:rPr>
              <w:t>同方泰德（重庆）科技有限公司</w:t>
            </w:r>
          </w:p>
        </w:tc>
        <w:tc>
          <w:tcPr>
            <w:tcW w:w="36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0"/>
              <w:jc w:val="right"/>
              <w:rPr>
                <w:rFonts w:ascii="宋体" w:hAnsi="宋体" w:cs="宋体" w:eastAsia="宋体" w:hint="default"/>
                <w:sz w:val="15"/>
                <w:szCs w:val="15"/>
              </w:rPr>
            </w:pPr>
            <w:r>
              <w:rPr>
                <w:rFonts w:ascii="宋体" w:hAnsi="宋体"/>
                <w:spacing w:val="-2"/>
                <w:sz w:val="15"/>
              </w:rPr>
              <w:t>¥1,825.00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7" w:right="0"/>
              <w:jc w:val="center"/>
              <w:rPr>
                <w:rFonts w:ascii="宋体" w:hAnsi="宋体" w:cs="宋体" w:eastAsia="宋体" w:hint="default"/>
                <w:sz w:val="15"/>
                <w:szCs w:val="15"/>
              </w:rPr>
            </w:pPr>
            <w:r>
              <w:rPr>
                <w:rFonts w:ascii="宋体"/>
                <w:sz w:val="15"/>
              </w:rPr>
              <w:t>52.00%</w:t>
            </w:r>
          </w:p>
        </w:tc>
        <w:tc>
          <w:tcPr>
            <w:tcW w:w="889" w:type="dxa"/>
            <w:tcBorders>
              <w:top w:val="nil" w:sz="6" w:space="0" w:color="auto"/>
              <w:left w:val="nil" w:sz="6" w:space="0" w:color="auto"/>
              <w:bottom w:val="nil" w:sz="6" w:space="0" w:color="auto"/>
              <w:right w:val="nil" w:sz="6" w:space="0" w:color="auto"/>
            </w:tcBorders>
          </w:tcPr>
          <w:p>
            <w:pPr>
              <w:pStyle w:val="TableParagraph"/>
              <w:spacing w:line="173" w:lineRule="exact"/>
              <w:ind w:right="11"/>
              <w:jc w:val="center"/>
              <w:rPr>
                <w:rFonts w:ascii="宋体" w:hAnsi="宋体" w:cs="宋体" w:eastAsia="宋体" w:hint="default"/>
                <w:sz w:val="15"/>
                <w:szCs w:val="15"/>
              </w:rPr>
            </w:pPr>
            <w:r>
              <w:rPr>
                <w:rFonts w:ascii="宋体" w:hAnsi="宋体" w:cs="宋体" w:eastAsia="宋体" w:hint="default"/>
                <w:sz w:val="15"/>
                <w:szCs w:val="15"/>
              </w:rPr>
              <w:t>重庆北部新</w:t>
            </w:r>
          </w:p>
          <w:p>
            <w:pPr>
              <w:pStyle w:val="TableParagraph"/>
              <w:spacing w:line="195" w:lineRule="exact"/>
              <w:ind w:left="37" w:right="0"/>
              <w:jc w:val="center"/>
              <w:rPr>
                <w:rFonts w:ascii="宋体" w:hAnsi="宋体" w:cs="宋体" w:eastAsia="宋体" w:hint="default"/>
                <w:sz w:val="15"/>
                <w:szCs w:val="15"/>
              </w:rPr>
            </w:pPr>
            <w:r>
              <w:rPr>
                <w:rFonts w:ascii="宋体" w:hAnsi="宋体" w:cs="宋体" w:eastAsia="宋体" w:hint="default"/>
                <w:w w:val="100"/>
                <w:sz w:val="15"/>
                <w:szCs w:val="15"/>
              </w:rPr>
              <w:t>区</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4" w:right="0"/>
              <w:jc w:val="left"/>
              <w:rPr>
                <w:rFonts w:ascii="宋体" w:hAnsi="宋体" w:cs="宋体" w:eastAsia="宋体" w:hint="default"/>
                <w:sz w:val="15"/>
                <w:szCs w:val="15"/>
              </w:rPr>
            </w:pPr>
            <w:r>
              <w:rPr>
                <w:rFonts w:ascii="宋体" w:hAnsi="宋体" w:cs="宋体" w:eastAsia="宋体" w:hint="default"/>
                <w:sz w:val="15"/>
                <w:szCs w:val="15"/>
              </w:rPr>
              <w:t>弱电及节能工程实施及产品销售</w:t>
            </w:r>
          </w:p>
        </w:tc>
      </w:tr>
      <w:tr>
        <w:trPr>
          <w:trHeight w:val="389"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9" w:right="0"/>
              <w:jc w:val="left"/>
              <w:rPr>
                <w:rFonts w:ascii="宋体" w:hAnsi="宋体" w:cs="宋体" w:eastAsia="宋体" w:hint="default"/>
                <w:sz w:val="15"/>
                <w:szCs w:val="15"/>
              </w:rPr>
            </w:pPr>
            <w:r>
              <w:rPr>
                <w:rFonts w:ascii="宋体" w:hAnsi="宋体" w:cs="宋体" w:eastAsia="宋体" w:hint="default"/>
                <w:sz w:val="15"/>
                <w:szCs w:val="15"/>
              </w:rPr>
              <w:t>重庆弘毅道远新能源有限公司</w:t>
            </w:r>
          </w:p>
        </w:tc>
        <w:tc>
          <w:tcPr>
            <w:tcW w:w="36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6" w:right="0"/>
              <w:jc w:val="center"/>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0"/>
              <w:jc w:val="right"/>
              <w:rPr>
                <w:rFonts w:ascii="宋体" w:hAnsi="宋体" w:cs="宋体" w:eastAsia="宋体" w:hint="default"/>
                <w:sz w:val="15"/>
                <w:szCs w:val="15"/>
              </w:rPr>
            </w:pPr>
            <w:r>
              <w:rPr>
                <w:rFonts w:ascii="宋体" w:hAnsi="宋体"/>
                <w:spacing w:val="-2"/>
                <w:sz w:val="15"/>
              </w:rPr>
              <w:t>¥2,000.00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7" w:right="0"/>
              <w:jc w:val="center"/>
              <w:rPr>
                <w:rFonts w:ascii="宋体" w:hAnsi="宋体" w:cs="宋体" w:eastAsia="宋体" w:hint="default"/>
                <w:sz w:val="15"/>
                <w:szCs w:val="15"/>
              </w:rPr>
            </w:pPr>
            <w:r>
              <w:rPr>
                <w:rFonts w:ascii="宋体"/>
                <w:sz w:val="15"/>
              </w:rPr>
              <w:t>60.00%</w:t>
            </w:r>
          </w:p>
        </w:tc>
        <w:tc>
          <w:tcPr>
            <w:tcW w:w="889" w:type="dxa"/>
            <w:tcBorders>
              <w:top w:val="nil" w:sz="6" w:space="0" w:color="auto"/>
              <w:left w:val="nil" w:sz="6" w:space="0" w:color="auto"/>
              <w:bottom w:val="nil" w:sz="6" w:space="0" w:color="auto"/>
              <w:right w:val="nil" w:sz="6" w:space="0" w:color="auto"/>
            </w:tcBorders>
          </w:tcPr>
          <w:p>
            <w:pPr>
              <w:pStyle w:val="TableParagraph"/>
              <w:spacing w:line="172" w:lineRule="exact"/>
              <w:ind w:right="11"/>
              <w:jc w:val="center"/>
              <w:rPr>
                <w:rFonts w:ascii="宋体" w:hAnsi="宋体" w:cs="宋体" w:eastAsia="宋体" w:hint="default"/>
                <w:sz w:val="15"/>
                <w:szCs w:val="15"/>
              </w:rPr>
            </w:pPr>
            <w:r>
              <w:rPr>
                <w:rFonts w:ascii="宋体" w:hAnsi="宋体" w:cs="宋体" w:eastAsia="宋体" w:hint="default"/>
                <w:sz w:val="15"/>
                <w:szCs w:val="15"/>
              </w:rPr>
              <w:t>重庆北部新</w:t>
            </w:r>
          </w:p>
          <w:p>
            <w:pPr>
              <w:pStyle w:val="TableParagraph"/>
              <w:spacing w:line="195" w:lineRule="exact"/>
              <w:ind w:left="37" w:right="0"/>
              <w:jc w:val="center"/>
              <w:rPr>
                <w:rFonts w:ascii="宋体" w:hAnsi="宋体" w:cs="宋体" w:eastAsia="宋体" w:hint="default"/>
                <w:sz w:val="15"/>
                <w:szCs w:val="15"/>
              </w:rPr>
            </w:pPr>
            <w:r>
              <w:rPr>
                <w:rFonts w:ascii="宋体" w:hAnsi="宋体" w:cs="宋体" w:eastAsia="宋体" w:hint="default"/>
                <w:w w:val="100"/>
                <w:sz w:val="15"/>
                <w:szCs w:val="15"/>
              </w:rPr>
              <w:t>区</w:t>
            </w:r>
          </w:p>
        </w:tc>
        <w:tc>
          <w:tcPr>
            <w:tcW w:w="3593" w:type="dxa"/>
            <w:tcBorders>
              <w:top w:val="nil" w:sz="6" w:space="0" w:color="auto"/>
              <w:left w:val="nil" w:sz="6" w:space="0" w:color="auto"/>
              <w:bottom w:val="nil" w:sz="6" w:space="0" w:color="auto"/>
              <w:right w:val="nil" w:sz="6" w:space="0" w:color="auto"/>
            </w:tcBorders>
          </w:tcPr>
          <w:p>
            <w:pPr>
              <w:pStyle w:val="TableParagraph"/>
              <w:spacing w:line="172" w:lineRule="exact"/>
              <w:ind w:left="74" w:right="0"/>
              <w:jc w:val="left"/>
              <w:rPr>
                <w:rFonts w:ascii="宋体" w:hAnsi="宋体" w:cs="宋体" w:eastAsia="宋体" w:hint="default"/>
                <w:sz w:val="15"/>
                <w:szCs w:val="15"/>
              </w:rPr>
            </w:pPr>
            <w:r>
              <w:rPr>
                <w:rFonts w:ascii="宋体" w:hAnsi="宋体" w:cs="宋体" w:eastAsia="宋体" w:hint="default"/>
                <w:spacing w:val="-4"/>
                <w:sz w:val="15"/>
                <w:szCs w:val="15"/>
              </w:rPr>
              <w:t>节能环保技术及产品技术开发、咨询、转让；合同能</w:t>
            </w:r>
          </w:p>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源管理等</w:t>
            </w:r>
          </w:p>
        </w:tc>
      </w:tr>
      <w:tr>
        <w:trPr>
          <w:trHeight w:val="389"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9" w:right="0"/>
              <w:jc w:val="left"/>
              <w:rPr>
                <w:rFonts w:ascii="宋体" w:hAnsi="宋体" w:cs="宋体" w:eastAsia="宋体" w:hint="default"/>
                <w:sz w:val="15"/>
                <w:szCs w:val="15"/>
              </w:rPr>
            </w:pPr>
            <w:r>
              <w:rPr>
                <w:rFonts w:ascii="宋体" w:hAnsi="宋体" w:cs="宋体" w:eastAsia="宋体" w:hint="default"/>
                <w:sz w:val="15"/>
                <w:szCs w:val="15"/>
              </w:rPr>
              <w:t>同方泰德创新（澳门）有限公司</w:t>
            </w:r>
          </w:p>
        </w:tc>
        <w:tc>
          <w:tcPr>
            <w:tcW w:w="36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6"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0"/>
              <w:jc w:val="right"/>
              <w:rPr>
                <w:rFonts w:ascii="宋体" w:hAnsi="宋体" w:cs="宋体" w:eastAsia="宋体" w:hint="default"/>
                <w:sz w:val="15"/>
                <w:szCs w:val="15"/>
              </w:rPr>
            </w:pPr>
            <w:r>
              <w:rPr>
                <w:rFonts w:ascii="宋体"/>
                <w:spacing w:val="-2"/>
                <w:sz w:val="15"/>
              </w:rPr>
              <w:t>MOP604.00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7" w:right="0"/>
              <w:jc w:val="center"/>
              <w:rPr>
                <w:rFonts w:ascii="宋体" w:hAnsi="宋体" w:cs="宋体" w:eastAsia="宋体" w:hint="default"/>
                <w:sz w:val="15"/>
                <w:szCs w:val="15"/>
              </w:rPr>
            </w:pPr>
            <w:r>
              <w:rPr>
                <w:rFonts w:ascii="宋体"/>
                <w:sz w:val="15"/>
              </w:rPr>
              <w:t>65.00%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4"/>
              <w:jc w:val="center"/>
              <w:rPr>
                <w:rFonts w:ascii="宋体" w:hAnsi="宋体" w:cs="宋体" w:eastAsia="宋体" w:hint="default"/>
                <w:sz w:val="15"/>
                <w:szCs w:val="15"/>
              </w:rPr>
            </w:pPr>
            <w:r>
              <w:rPr>
                <w:rFonts w:ascii="宋体" w:hAnsi="宋体" w:cs="宋体" w:eastAsia="宋体" w:hint="default"/>
                <w:sz w:val="15"/>
                <w:szCs w:val="15"/>
              </w:rPr>
              <w:t>中国澳门</w:t>
            </w:r>
          </w:p>
        </w:tc>
        <w:tc>
          <w:tcPr>
            <w:tcW w:w="3593" w:type="dxa"/>
            <w:tcBorders>
              <w:top w:val="nil" w:sz="6" w:space="0" w:color="auto"/>
              <w:left w:val="nil" w:sz="6" w:space="0" w:color="auto"/>
              <w:bottom w:val="nil" w:sz="6" w:space="0" w:color="auto"/>
              <w:right w:val="nil" w:sz="6" w:space="0" w:color="auto"/>
            </w:tcBorders>
          </w:tcPr>
          <w:p>
            <w:pPr>
              <w:pStyle w:val="TableParagraph"/>
              <w:spacing w:line="172" w:lineRule="exact"/>
              <w:ind w:left="74" w:right="0"/>
              <w:jc w:val="left"/>
              <w:rPr>
                <w:rFonts w:ascii="宋体" w:hAnsi="宋体" w:cs="宋体" w:eastAsia="宋体" w:hint="default"/>
                <w:sz w:val="15"/>
                <w:szCs w:val="15"/>
              </w:rPr>
            </w:pPr>
            <w:r>
              <w:rPr>
                <w:rFonts w:ascii="宋体" w:hAnsi="宋体" w:cs="宋体" w:eastAsia="宋体" w:hint="default"/>
                <w:sz w:val="15"/>
                <w:szCs w:val="15"/>
              </w:rPr>
              <w:t>智能化控制系统配套的软件与硬件产品的自主设计、</w:t>
            </w:r>
          </w:p>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研发、生产、安装、销售</w:t>
            </w:r>
          </w:p>
        </w:tc>
      </w:tr>
      <w:tr>
        <w:trPr>
          <w:trHeight w:val="595"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9" w:right="0"/>
              <w:jc w:val="left"/>
              <w:rPr>
                <w:rFonts w:ascii="宋体" w:hAnsi="宋体" w:cs="宋体" w:eastAsia="宋体" w:hint="default"/>
                <w:sz w:val="15"/>
                <w:szCs w:val="15"/>
              </w:rPr>
            </w:pPr>
            <w:r>
              <w:rPr>
                <w:rFonts w:ascii="宋体" w:hAnsi="宋体" w:cs="宋体" w:eastAsia="宋体" w:hint="default"/>
                <w:sz w:val="15"/>
                <w:szCs w:val="15"/>
              </w:rPr>
              <w:t>重庆仙桃能源管理有限公司</w:t>
            </w:r>
          </w:p>
        </w:tc>
        <w:tc>
          <w:tcPr>
            <w:tcW w:w="3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60"/>
              <w:jc w:val="right"/>
              <w:rPr>
                <w:rFonts w:ascii="宋体" w:hAnsi="宋体" w:cs="宋体" w:eastAsia="宋体" w:hint="default"/>
                <w:sz w:val="15"/>
                <w:szCs w:val="15"/>
              </w:rPr>
            </w:pPr>
            <w:r>
              <w:rPr>
                <w:rFonts w:ascii="宋体" w:hAnsi="宋体"/>
                <w:spacing w:val="-2"/>
                <w:sz w:val="15"/>
              </w:rPr>
              <w:t>¥1,000.00</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77" w:right="0"/>
              <w:jc w:val="center"/>
              <w:rPr>
                <w:rFonts w:ascii="宋体" w:hAnsi="宋体" w:cs="宋体" w:eastAsia="宋体" w:hint="default"/>
                <w:sz w:val="15"/>
                <w:szCs w:val="15"/>
              </w:rPr>
            </w:pPr>
            <w:r>
              <w:rPr>
                <w:rFonts w:ascii="宋体"/>
                <w:sz w:val="15"/>
              </w:rPr>
              <w:t>90.00%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重庆渝北</w:t>
            </w:r>
          </w:p>
        </w:tc>
        <w:tc>
          <w:tcPr>
            <w:tcW w:w="3593" w:type="dxa"/>
            <w:tcBorders>
              <w:top w:val="nil" w:sz="6" w:space="0" w:color="auto"/>
              <w:left w:val="nil" w:sz="6" w:space="0" w:color="auto"/>
              <w:bottom w:val="nil" w:sz="6" w:space="0" w:color="auto"/>
              <w:right w:val="nil" w:sz="6" w:space="0" w:color="auto"/>
            </w:tcBorders>
          </w:tcPr>
          <w:p>
            <w:pPr>
              <w:pStyle w:val="TableParagraph"/>
              <w:spacing w:line="172" w:lineRule="exact"/>
              <w:ind w:left="74" w:right="0"/>
              <w:jc w:val="left"/>
              <w:rPr>
                <w:rFonts w:ascii="宋体" w:hAnsi="宋体" w:cs="宋体" w:eastAsia="宋体" w:hint="default"/>
                <w:sz w:val="15"/>
                <w:szCs w:val="15"/>
              </w:rPr>
            </w:pPr>
            <w:r>
              <w:rPr>
                <w:rFonts w:ascii="宋体" w:hAnsi="宋体" w:cs="宋体" w:eastAsia="宋体" w:hint="default"/>
                <w:spacing w:val="-4"/>
                <w:sz w:val="15"/>
                <w:szCs w:val="15"/>
              </w:rPr>
              <w:t>制冷系统、供热系统的开发、建设、运营、管理、维</w:t>
            </w:r>
          </w:p>
          <w:p>
            <w:pPr>
              <w:pStyle w:val="TableParagraph"/>
              <w:spacing w:line="240" w:lineRule="auto"/>
              <w:ind w:left="74" w:right="106"/>
              <w:jc w:val="left"/>
              <w:rPr>
                <w:rFonts w:ascii="宋体" w:hAnsi="宋体" w:cs="宋体" w:eastAsia="宋体" w:hint="default"/>
                <w:sz w:val="15"/>
                <w:szCs w:val="15"/>
              </w:rPr>
            </w:pPr>
            <w:r>
              <w:rPr>
                <w:rFonts w:ascii="宋体" w:hAnsi="宋体" w:cs="宋体" w:eastAsia="宋体" w:hint="default"/>
                <w:spacing w:val="-4"/>
                <w:sz w:val="15"/>
                <w:szCs w:val="15"/>
              </w:rPr>
              <w:t>修维护及相关技术咨询和技术服务；气净化设备、水</w:t>
            </w:r>
            <w:r>
              <w:rPr>
                <w:rFonts w:ascii="宋体" w:hAnsi="宋体" w:cs="宋体" w:eastAsia="宋体" w:hint="default"/>
                <w:spacing w:val="-30"/>
                <w:sz w:val="15"/>
                <w:szCs w:val="15"/>
              </w:rPr>
              <w:t> </w:t>
            </w:r>
            <w:r>
              <w:rPr>
                <w:rFonts w:ascii="宋体" w:hAnsi="宋体" w:cs="宋体" w:eastAsia="宋体" w:hint="default"/>
                <w:spacing w:val="-30"/>
                <w:sz w:val="15"/>
                <w:szCs w:val="15"/>
              </w:rPr>
            </w:r>
            <w:r>
              <w:rPr>
                <w:rFonts w:ascii="宋体" w:hAnsi="宋体" w:cs="宋体" w:eastAsia="宋体" w:hint="default"/>
                <w:sz w:val="15"/>
                <w:szCs w:val="15"/>
              </w:rPr>
              <w:t>处理设备、节能环保设备的销售、安装</w:t>
            </w:r>
          </w:p>
        </w:tc>
      </w:tr>
      <w:tr>
        <w:trPr>
          <w:trHeight w:val="217"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185" w:lineRule="exact"/>
              <w:ind w:left="19" w:right="0"/>
              <w:jc w:val="left"/>
              <w:rPr>
                <w:rFonts w:ascii="宋体" w:hAnsi="宋体" w:cs="宋体" w:eastAsia="宋体" w:hint="default"/>
                <w:sz w:val="15"/>
                <w:szCs w:val="15"/>
              </w:rPr>
            </w:pPr>
            <w:r>
              <w:rPr>
                <w:rFonts w:ascii="宋体"/>
                <w:sz w:val="15"/>
              </w:rPr>
              <w:t>TFRH Investments</w:t>
            </w:r>
            <w:r>
              <w:rPr>
                <w:rFonts w:ascii="宋体"/>
                <w:spacing w:val="-13"/>
                <w:sz w:val="15"/>
              </w:rPr>
              <w:t> </w:t>
            </w:r>
            <w:r>
              <w:rPr>
                <w:rFonts w:ascii="宋体"/>
                <w:sz w:val="15"/>
              </w:rPr>
              <w:t>Limited</w:t>
            </w:r>
          </w:p>
        </w:tc>
        <w:tc>
          <w:tcPr>
            <w:tcW w:w="366" w:type="dxa"/>
            <w:tcBorders>
              <w:top w:val="nil" w:sz="6" w:space="0" w:color="auto"/>
              <w:left w:val="nil" w:sz="6" w:space="0" w:color="auto"/>
              <w:bottom w:val="nil" w:sz="6" w:space="0" w:color="auto"/>
              <w:right w:val="nil" w:sz="6" w:space="0" w:color="auto"/>
            </w:tcBorders>
          </w:tcPr>
          <w:p>
            <w:pPr>
              <w:pStyle w:val="TableParagraph"/>
              <w:spacing w:line="185" w:lineRule="exact"/>
              <w:ind w:left="6" w:right="0"/>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185" w:lineRule="exact"/>
              <w:ind w:right="60"/>
              <w:jc w:val="right"/>
              <w:rPr>
                <w:rFonts w:ascii="宋体" w:hAnsi="宋体" w:cs="宋体" w:eastAsia="宋体" w:hint="default"/>
                <w:sz w:val="15"/>
                <w:szCs w:val="15"/>
              </w:rPr>
            </w:pPr>
            <w:r>
              <w:rPr>
                <w:rFonts w:ascii="宋体"/>
                <w:spacing w:val="-1"/>
                <w:sz w:val="15"/>
              </w:rPr>
              <w:t>USD1,250.00</w:t>
            </w:r>
          </w:p>
        </w:tc>
        <w:tc>
          <w:tcPr>
            <w:tcW w:w="651" w:type="dxa"/>
            <w:tcBorders>
              <w:top w:val="nil" w:sz="6" w:space="0" w:color="auto"/>
              <w:left w:val="nil" w:sz="6" w:space="0" w:color="auto"/>
              <w:bottom w:val="nil" w:sz="6" w:space="0" w:color="auto"/>
              <w:right w:val="nil" w:sz="6" w:space="0" w:color="auto"/>
            </w:tcBorders>
          </w:tcPr>
          <w:p>
            <w:pPr>
              <w:pStyle w:val="TableParagraph"/>
              <w:spacing w:line="18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5" w:lineRule="exact"/>
              <w:ind w:right="14"/>
              <w:jc w:val="center"/>
              <w:rPr>
                <w:rFonts w:ascii="宋体" w:hAnsi="宋体" w:cs="宋体" w:eastAsia="宋体" w:hint="default"/>
                <w:sz w:val="15"/>
                <w:szCs w:val="15"/>
              </w:rPr>
            </w:pPr>
            <w:r>
              <w:rPr>
                <w:rFonts w:ascii="宋体" w:hAnsi="宋体" w:cs="宋体" w:eastAsia="宋体" w:hint="default"/>
                <w:sz w:val="15"/>
                <w:szCs w:val="15"/>
              </w:rPr>
              <w:t>开曼群岛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185" w:lineRule="exact"/>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412"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9" w:right="0"/>
              <w:jc w:val="left"/>
              <w:rPr>
                <w:rFonts w:ascii="宋体" w:hAnsi="宋体" w:cs="宋体" w:eastAsia="宋体" w:hint="default"/>
                <w:sz w:val="15"/>
                <w:szCs w:val="15"/>
              </w:rPr>
            </w:pPr>
            <w:r>
              <w:rPr>
                <w:rFonts w:ascii="宋体" w:hAnsi="宋体" w:cs="宋体" w:eastAsia="宋体" w:hint="default"/>
                <w:sz w:val="15"/>
                <w:szCs w:val="15"/>
              </w:rPr>
              <w:t>同方节能工程技术有限公司</w:t>
            </w:r>
          </w:p>
        </w:tc>
        <w:tc>
          <w:tcPr>
            <w:tcW w:w="36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0"/>
              <w:jc w:val="right"/>
              <w:rPr>
                <w:rFonts w:ascii="宋体" w:hAnsi="宋体" w:cs="宋体" w:eastAsia="宋体" w:hint="default"/>
                <w:sz w:val="15"/>
                <w:szCs w:val="15"/>
              </w:rPr>
            </w:pPr>
            <w:r>
              <w:rPr>
                <w:rFonts w:ascii="宋体" w:hAnsi="宋体"/>
                <w:spacing w:val="-1"/>
                <w:sz w:val="15"/>
              </w:rPr>
              <w:t>¥23,181.22</w:t>
            </w:r>
          </w:p>
        </w:tc>
        <w:tc>
          <w:tcPr>
            <w:tcW w:w="65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nil" w:sz="6" w:space="0" w:color="auto"/>
              <w:left w:val="nil" w:sz="6" w:space="0" w:color="auto"/>
              <w:bottom w:val="nil" w:sz="6" w:space="0" w:color="auto"/>
              <w:right w:val="nil" w:sz="6" w:space="0" w:color="auto"/>
            </w:tcBorders>
          </w:tcPr>
          <w:p>
            <w:pPr>
              <w:pStyle w:val="TableParagraph"/>
              <w:spacing w:line="194" w:lineRule="exact" w:before="7"/>
              <w:ind w:left="74" w:right="106"/>
              <w:jc w:val="left"/>
              <w:rPr>
                <w:rFonts w:ascii="宋体" w:hAnsi="宋体" w:cs="宋体" w:eastAsia="宋体" w:hint="default"/>
                <w:sz w:val="15"/>
                <w:szCs w:val="15"/>
              </w:rPr>
            </w:pPr>
            <w:r>
              <w:rPr>
                <w:rFonts w:ascii="宋体" w:hAnsi="宋体" w:cs="宋体" w:eastAsia="宋体" w:hint="default"/>
                <w:spacing w:val="-4"/>
                <w:sz w:val="15"/>
                <w:szCs w:val="15"/>
              </w:rPr>
              <w:t>合同能源管理、城市热网节能方案的设计、制造、销</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售</w:t>
            </w:r>
          </w:p>
        </w:tc>
      </w:tr>
      <w:tr>
        <w:trPr>
          <w:trHeight w:val="245" w:hRule="exact"/>
        </w:trPr>
        <w:tc>
          <w:tcPr>
            <w:tcW w:w="2176" w:type="dxa"/>
            <w:tcBorders>
              <w:top w:val="nil" w:sz="6" w:space="0" w:color="auto"/>
              <w:left w:val="nil" w:sz="6" w:space="0" w:color="auto"/>
              <w:bottom w:val="single" w:sz="12" w:space="0" w:color="000000"/>
              <w:right w:val="nil" w:sz="6" w:space="0" w:color="auto"/>
            </w:tcBorders>
          </w:tcPr>
          <w:p>
            <w:pPr>
              <w:pStyle w:val="TableParagraph"/>
              <w:spacing w:line="185" w:lineRule="exact"/>
              <w:ind w:left="19" w:right="0"/>
              <w:jc w:val="left"/>
              <w:rPr>
                <w:rFonts w:ascii="宋体" w:hAnsi="宋体" w:cs="宋体" w:eastAsia="宋体" w:hint="default"/>
                <w:sz w:val="15"/>
                <w:szCs w:val="15"/>
              </w:rPr>
            </w:pPr>
            <w:r>
              <w:rPr>
                <w:rFonts w:ascii="宋体" w:hAnsi="宋体" w:cs="宋体" w:eastAsia="宋体" w:hint="default"/>
                <w:sz w:val="15"/>
                <w:szCs w:val="15"/>
              </w:rPr>
              <w:t>同方节能（友谊）热力有限公司</w:t>
            </w:r>
          </w:p>
        </w:tc>
        <w:tc>
          <w:tcPr>
            <w:tcW w:w="366" w:type="dxa"/>
            <w:tcBorders>
              <w:top w:val="nil" w:sz="6" w:space="0" w:color="auto"/>
              <w:left w:val="nil" w:sz="6" w:space="0" w:color="auto"/>
              <w:bottom w:val="single" w:sz="12" w:space="0" w:color="000000"/>
              <w:right w:val="nil" w:sz="6" w:space="0" w:color="auto"/>
            </w:tcBorders>
          </w:tcPr>
          <w:p>
            <w:pPr>
              <w:pStyle w:val="TableParagraph"/>
              <w:spacing w:line="185" w:lineRule="exact"/>
              <w:ind w:left="6" w:right="0"/>
              <w:jc w:val="center"/>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1050" w:type="dxa"/>
            <w:tcBorders>
              <w:top w:val="nil" w:sz="6" w:space="0" w:color="auto"/>
              <w:left w:val="nil" w:sz="6" w:space="0" w:color="auto"/>
              <w:bottom w:val="single" w:sz="12" w:space="0" w:color="000000"/>
              <w:right w:val="nil" w:sz="6" w:space="0" w:color="auto"/>
            </w:tcBorders>
          </w:tcPr>
          <w:p>
            <w:pPr>
              <w:pStyle w:val="TableParagraph"/>
              <w:spacing w:line="185" w:lineRule="exact"/>
              <w:ind w:right="60"/>
              <w:jc w:val="right"/>
              <w:rPr>
                <w:rFonts w:ascii="宋体" w:hAnsi="宋体" w:cs="宋体" w:eastAsia="宋体" w:hint="default"/>
                <w:sz w:val="15"/>
                <w:szCs w:val="15"/>
              </w:rPr>
            </w:pPr>
            <w:r>
              <w:rPr>
                <w:rFonts w:ascii="宋体" w:hAnsi="宋体"/>
                <w:spacing w:val="-2"/>
                <w:sz w:val="15"/>
              </w:rPr>
              <w:t>¥3,000.00</w:t>
            </w:r>
          </w:p>
        </w:tc>
        <w:tc>
          <w:tcPr>
            <w:tcW w:w="651" w:type="dxa"/>
            <w:tcBorders>
              <w:top w:val="nil" w:sz="6" w:space="0" w:color="auto"/>
              <w:left w:val="nil" w:sz="6" w:space="0" w:color="auto"/>
              <w:bottom w:val="single" w:sz="12" w:space="0" w:color="000000"/>
              <w:right w:val="nil" w:sz="6" w:space="0" w:color="auto"/>
            </w:tcBorders>
          </w:tcPr>
          <w:p>
            <w:pPr>
              <w:pStyle w:val="TableParagraph"/>
              <w:spacing w:line="185" w:lineRule="exact"/>
              <w:ind w:left="2"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single" w:sz="12" w:space="0" w:color="000000"/>
              <w:right w:val="nil" w:sz="6" w:space="0" w:color="auto"/>
            </w:tcBorders>
          </w:tcPr>
          <w:p>
            <w:pPr>
              <w:pStyle w:val="TableParagraph"/>
              <w:spacing w:line="185" w:lineRule="exact"/>
              <w:ind w:right="11"/>
              <w:jc w:val="center"/>
              <w:rPr>
                <w:rFonts w:ascii="宋体" w:hAnsi="宋体" w:cs="宋体" w:eastAsia="宋体" w:hint="default"/>
                <w:sz w:val="15"/>
                <w:szCs w:val="15"/>
              </w:rPr>
            </w:pPr>
            <w:r>
              <w:rPr>
                <w:rFonts w:ascii="宋体" w:hAnsi="宋体" w:cs="宋体" w:eastAsia="宋体" w:hint="default"/>
                <w:sz w:val="15"/>
                <w:szCs w:val="15"/>
              </w:rPr>
              <w:t>黑龙江双鸭</w:t>
            </w:r>
          </w:p>
        </w:tc>
        <w:tc>
          <w:tcPr>
            <w:tcW w:w="3593" w:type="dxa"/>
            <w:tcBorders>
              <w:top w:val="nil" w:sz="6" w:space="0" w:color="auto"/>
              <w:left w:val="nil" w:sz="6" w:space="0" w:color="auto"/>
              <w:bottom w:val="single" w:sz="12" w:space="0" w:color="000000"/>
              <w:right w:val="nil" w:sz="6" w:space="0" w:color="auto"/>
            </w:tcBorders>
          </w:tcPr>
          <w:p>
            <w:pPr>
              <w:pStyle w:val="TableParagraph"/>
              <w:spacing w:line="185" w:lineRule="exact"/>
              <w:ind w:left="74" w:right="0"/>
              <w:jc w:val="left"/>
              <w:rPr>
                <w:rFonts w:ascii="宋体" w:hAnsi="宋体" w:cs="宋体" w:eastAsia="宋体" w:hint="default"/>
                <w:sz w:val="15"/>
                <w:szCs w:val="15"/>
              </w:rPr>
            </w:pPr>
            <w:r>
              <w:rPr>
                <w:rFonts w:ascii="宋体" w:hAnsi="宋体" w:cs="宋体" w:eastAsia="宋体" w:hint="default"/>
                <w:sz w:val="15"/>
                <w:szCs w:val="15"/>
              </w:rPr>
              <w:t>热力回收等</w:t>
            </w:r>
          </w:p>
        </w:tc>
      </w:tr>
    </w:tbl>
    <w:p>
      <w:pPr>
        <w:spacing w:after="0" w:line="185" w:lineRule="exact"/>
        <w:jc w:val="left"/>
        <w:rPr>
          <w:rFonts w:ascii="宋体" w:hAnsi="宋体" w:cs="宋体" w:eastAsia="宋体" w:hint="default"/>
          <w:sz w:val="15"/>
          <w:szCs w:val="15"/>
        </w:rPr>
        <w:sectPr>
          <w:pgSz w:w="11910" w:h="16840"/>
          <w:pgMar w:header="0" w:footer="1034" w:top="1320" w:bottom="1220" w:left="1480" w:right="1480"/>
        </w:sectPr>
      </w:pPr>
    </w:p>
    <w:p>
      <w:pPr>
        <w:spacing w:line="240" w:lineRule="auto" w:before="4"/>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190"/>
        <w:gridCol w:w="423"/>
        <w:gridCol w:w="993"/>
        <w:gridCol w:w="652"/>
        <w:gridCol w:w="889"/>
        <w:gridCol w:w="3593"/>
      </w:tblGrid>
      <w:tr>
        <w:trPr>
          <w:trHeight w:val="485" w:hRule="exact"/>
        </w:trPr>
        <w:tc>
          <w:tcPr>
            <w:tcW w:w="2190" w:type="dxa"/>
            <w:tcBorders>
              <w:top w:val="single" w:sz="12" w:space="0" w:color="000000"/>
              <w:left w:val="nil" w:sz="6" w:space="0" w:color="auto"/>
              <w:bottom w:val="single" w:sz="4" w:space="0" w:color="000000"/>
              <w:right w:val="nil" w:sz="6" w:space="0" w:color="auto"/>
            </w:tcBorders>
          </w:tcPr>
          <w:p>
            <w:pPr>
              <w:pStyle w:val="TableParagraph"/>
              <w:spacing w:line="240" w:lineRule="auto" w:before="113"/>
              <w:ind w:left="575" w:right="0"/>
              <w:jc w:val="left"/>
              <w:rPr>
                <w:rFonts w:ascii="宋体" w:hAnsi="宋体" w:cs="宋体" w:eastAsia="宋体" w:hint="default"/>
                <w:sz w:val="15"/>
                <w:szCs w:val="15"/>
              </w:rPr>
            </w:pPr>
            <w:r>
              <w:rPr>
                <w:rFonts w:ascii="宋体" w:hAnsi="宋体" w:cs="宋体" w:eastAsia="宋体" w:hint="default"/>
                <w:b/>
                <w:bCs/>
                <w:sz w:val="15"/>
                <w:szCs w:val="15"/>
              </w:rPr>
              <w:t>控股子公司名称</w:t>
            </w:r>
            <w:r>
              <w:rPr>
                <w:rFonts w:ascii="宋体" w:hAnsi="宋体" w:cs="宋体" w:eastAsia="宋体" w:hint="default"/>
                <w:sz w:val="15"/>
                <w:szCs w:val="15"/>
              </w:rPr>
            </w:r>
          </w:p>
        </w:tc>
        <w:tc>
          <w:tcPr>
            <w:tcW w:w="423"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116" w:right="152"/>
              <w:jc w:val="left"/>
              <w:rPr>
                <w:rFonts w:ascii="宋体" w:hAnsi="宋体" w:cs="宋体" w:eastAsia="宋体" w:hint="default"/>
                <w:sz w:val="15"/>
                <w:szCs w:val="15"/>
              </w:rPr>
            </w:pPr>
            <w:r>
              <w:rPr>
                <w:rFonts w:ascii="宋体" w:hAnsi="宋体" w:cs="宋体" w:eastAsia="宋体" w:hint="default"/>
                <w:b/>
                <w:bCs/>
                <w:sz w:val="15"/>
                <w:szCs w:val="15"/>
              </w:rPr>
              <w:t>级</w:t>
            </w:r>
            <w:r>
              <w:rPr>
                <w:rFonts w:ascii="宋体" w:hAnsi="宋体" w:cs="宋体" w:eastAsia="宋体" w:hint="default"/>
                <w:b/>
                <w:bCs/>
                <w:w w:val="100"/>
                <w:sz w:val="15"/>
                <w:szCs w:val="15"/>
              </w:rPr>
              <w:t> </w:t>
            </w:r>
            <w:r>
              <w:rPr>
                <w:rFonts w:ascii="宋体" w:hAnsi="宋体" w:cs="宋体" w:eastAsia="宋体" w:hint="default"/>
                <w:b/>
                <w:bCs/>
                <w:sz w:val="15"/>
                <w:szCs w:val="15"/>
              </w:rPr>
              <w:t>次</w:t>
            </w:r>
            <w:r>
              <w:rPr>
                <w:rFonts w:ascii="宋体" w:hAnsi="宋体" w:cs="宋体" w:eastAsia="宋体" w:hint="default"/>
                <w:sz w:val="15"/>
                <w:szCs w:val="15"/>
              </w:rPr>
            </w:r>
          </w:p>
        </w:tc>
        <w:tc>
          <w:tcPr>
            <w:tcW w:w="993" w:type="dxa"/>
            <w:tcBorders>
              <w:top w:val="single" w:sz="12" w:space="0" w:color="000000"/>
              <w:left w:val="nil" w:sz="6" w:space="0" w:color="auto"/>
              <w:bottom w:val="single" w:sz="4" w:space="0" w:color="000000"/>
              <w:right w:val="nil" w:sz="6" w:space="0" w:color="auto"/>
            </w:tcBorders>
          </w:tcPr>
          <w:p>
            <w:pPr>
              <w:pStyle w:val="TableParagraph"/>
              <w:spacing w:line="196" w:lineRule="exact" w:before="14"/>
              <w:ind w:left="147" w:right="0"/>
              <w:jc w:val="left"/>
              <w:rPr>
                <w:rFonts w:ascii="宋体" w:hAnsi="宋体" w:cs="宋体" w:eastAsia="宋体" w:hint="default"/>
                <w:sz w:val="15"/>
                <w:szCs w:val="15"/>
              </w:rPr>
            </w:pPr>
            <w:r>
              <w:rPr>
                <w:rFonts w:ascii="宋体" w:hAnsi="宋体" w:cs="宋体" w:eastAsia="宋体" w:hint="default"/>
                <w:b/>
                <w:bCs/>
                <w:sz w:val="15"/>
                <w:szCs w:val="15"/>
              </w:rPr>
              <w:t>注册资本</w:t>
            </w:r>
            <w:r>
              <w:rPr>
                <w:rFonts w:ascii="宋体" w:hAnsi="宋体" w:cs="宋体" w:eastAsia="宋体" w:hint="default"/>
                <w:sz w:val="15"/>
                <w:szCs w:val="15"/>
              </w:rPr>
            </w:r>
          </w:p>
          <w:p>
            <w:pPr>
              <w:pStyle w:val="TableParagraph"/>
              <w:spacing w:line="196" w:lineRule="exact"/>
              <w:ind w:left="147" w:right="0"/>
              <w:jc w:val="left"/>
              <w:rPr>
                <w:rFonts w:ascii="宋体" w:hAnsi="宋体" w:cs="宋体" w:eastAsia="宋体" w:hint="default"/>
                <w:sz w:val="15"/>
                <w:szCs w:val="15"/>
              </w:rPr>
            </w:pPr>
            <w:r>
              <w:rPr>
                <w:rFonts w:ascii="宋体" w:hAnsi="宋体" w:cs="宋体" w:eastAsia="宋体" w:hint="default"/>
                <w:b/>
                <w:bCs/>
                <w:sz w:val="15"/>
                <w:szCs w:val="15"/>
              </w:rPr>
              <w:t>（万元）</w:t>
            </w:r>
            <w:r>
              <w:rPr>
                <w:rFonts w:ascii="宋体" w:hAnsi="宋体" w:cs="宋体" w:eastAsia="宋体" w:hint="default"/>
                <w:sz w:val="15"/>
                <w:szCs w:val="15"/>
              </w:rPr>
            </w:r>
          </w:p>
        </w:tc>
        <w:tc>
          <w:tcPr>
            <w:tcW w:w="652"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210" w:right="134" w:hanging="149"/>
              <w:jc w:val="left"/>
              <w:rPr>
                <w:rFonts w:ascii="宋体" w:hAnsi="宋体" w:cs="宋体" w:eastAsia="宋体" w:hint="default"/>
                <w:sz w:val="15"/>
                <w:szCs w:val="15"/>
              </w:rPr>
            </w:pPr>
            <w:r>
              <w:rPr>
                <w:rFonts w:ascii="宋体" w:hAnsi="宋体" w:cs="宋体" w:eastAsia="宋体" w:hint="default"/>
                <w:b/>
                <w:bCs/>
                <w:sz w:val="15"/>
                <w:szCs w:val="15"/>
              </w:rPr>
              <w:t>持股比</w:t>
            </w:r>
            <w:r>
              <w:rPr>
                <w:rFonts w:ascii="宋体" w:hAnsi="宋体" w:cs="宋体" w:eastAsia="宋体" w:hint="default"/>
                <w:b/>
                <w:bCs/>
                <w:w w:val="100"/>
                <w:sz w:val="15"/>
                <w:szCs w:val="15"/>
              </w:rPr>
              <w:t> </w:t>
            </w:r>
            <w:r>
              <w:rPr>
                <w:rFonts w:ascii="宋体" w:hAnsi="宋体" w:cs="宋体" w:eastAsia="宋体" w:hint="default"/>
                <w:b/>
                <w:bCs/>
                <w:sz w:val="15"/>
                <w:szCs w:val="15"/>
              </w:rPr>
              <w:t>例</w:t>
            </w:r>
            <w:r>
              <w:rPr>
                <w:rFonts w:ascii="宋体" w:hAnsi="宋体" w:cs="宋体" w:eastAsia="宋体" w:hint="default"/>
                <w:sz w:val="15"/>
                <w:szCs w:val="15"/>
              </w:rPr>
            </w:r>
          </w:p>
        </w:tc>
        <w:tc>
          <w:tcPr>
            <w:tcW w:w="889" w:type="dxa"/>
            <w:tcBorders>
              <w:top w:val="single" w:sz="12" w:space="0" w:color="000000"/>
              <w:left w:val="nil" w:sz="6" w:space="0" w:color="auto"/>
              <w:bottom w:val="single" w:sz="4" w:space="0" w:color="000000"/>
              <w:right w:val="nil" w:sz="6" w:space="0" w:color="auto"/>
            </w:tcBorders>
          </w:tcPr>
          <w:p>
            <w:pPr>
              <w:pStyle w:val="TableParagraph"/>
              <w:spacing w:line="240" w:lineRule="auto" w:before="113"/>
              <w:ind w:right="55"/>
              <w:jc w:val="center"/>
              <w:rPr>
                <w:rFonts w:ascii="宋体" w:hAnsi="宋体" w:cs="宋体" w:eastAsia="宋体" w:hint="default"/>
                <w:sz w:val="15"/>
                <w:szCs w:val="15"/>
              </w:rPr>
            </w:pPr>
            <w:r>
              <w:rPr>
                <w:rFonts w:ascii="宋体" w:hAnsi="宋体" w:cs="宋体" w:eastAsia="宋体" w:hint="default"/>
                <w:b/>
                <w:bCs/>
                <w:sz w:val="15"/>
                <w:szCs w:val="15"/>
              </w:rPr>
              <w:t>注册地址</w:t>
            </w:r>
            <w:r>
              <w:rPr>
                <w:rFonts w:ascii="宋体" w:hAnsi="宋体" w:cs="宋体" w:eastAsia="宋体" w:hint="default"/>
                <w:sz w:val="15"/>
                <w:szCs w:val="15"/>
              </w:rPr>
            </w:r>
          </w:p>
        </w:tc>
        <w:tc>
          <w:tcPr>
            <w:tcW w:w="3593" w:type="dxa"/>
            <w:tcBorders>
              <w:top w:val="single" w:sz="12" w:space="0" w:color="000000"/>
              <w:left w:val="nil" w:sz="6" w:space="0" w:color="auto"/>
              <w:bottom w:val="single" w:sz="4" w:space="0" w:color="000000"/>
              <w:right w:val="nil" w:sz="6" w:space="0" w:color="auto"/>
            </w:tcBorders>
          </w:tcPr>
          <w:p>
            <w:pPr>
              <w:pStyle w:val="TableParagraph"/>
              <w:spacing w:line="240" w:lineRule="auto" w:before="113"/>
              <w:ind w:right="34"/>
              <w:jc w:val="center"/>
              <w:rPr>
                <w:rFonts w:ascii="宋体" w:hAnsi="宋体" w:cs="宋体" w:eastAsia="宋体" w:hint="default"/>
                <w:sz w:val="15"/>
                <w:szCs w:val="15"/>
              </w:rPr>
            </w:pPr>
            <w:r>
              <w:rPr>
                <w:rFonts w:ascii="宋体" w:hAnsi="宋体" w:cs="宋体" w:eastAsia="宋体" w:hint="default"/>
                <w:b/>
                <w:bCs/>
                <w:sz w:val="15"/>
                <w:szCs w:val="15"/>
              </w:rPr>
              <w:t>主营业务</w:t>
            </w:r>
            <w:r>
              <w:rPr>
                <w:rFonts w:ascii="宋体" w:hAnsi="宋体" w:cs="宋体" w:eastAsia="宋体" w:hint="default"/>
                <w:sz w:val="15"/>
                <w:szCs w:val="15"/>
              </w:rPr>
            </w:r>
          </w:p>
        </w:tc>
      </w:tr>
      <w:tr>
        <w:trPr>
          <w:trHeight w:val="234" w:hRule="exact"/>
        </w:trPr>
        <w:tc>
          <w:tcPr>
            <w:tcW w:w="2190" w:type="dxa"/>
            <w:tcBorders>
              <w:top w:val="single" w:sz="4" w:space="0" w:color="000000"/>
              <w:left w:val="nil" w:sz="6" w:space="0" w:color="auto"/>
              <w:bottom w:val="nil" w:sz="6" w:space="0" w:color="auto"/>
              <w:right w:val="nil" w:sz="6" w:space="0" w:color="auto"/>
            </w:tcBorders>
          </w:tcPr>
          <w:p>
            <w:pPr/>
          </w:p>
        </w:tc>
        <w:tc>
          <w:tcPr>
            <w:tcW w:w="423" w:type="dxa"/>
            <w:tcBorders>
              <w:top w:val="single" w:sz="4" w:space="0" w:color="000000"/>
              <w:left w:val="nil" w:sz="6" w:space="0" w:color="auto"/>
              <w:bottom w:val="nil" w:sz="6" w:space="0" w:color="auto"/>
              <w:right w:val="nil" w:sz="6" w:space="0" w:color="auto"/>
            </w:tcBorders>
          </w:tcPr>
          <w:p>
            <w:pPr/>
          </w:p>
        </w:tc>
        <w:tc>
          <w:tcPr>
            <w:tcW w:w="993" w:type="dxa"/>
            <w:tcBorders>
              <w:top w:val="single" w:sz="4" w:space="0" w:color="000000"/>
              <w:left w:val="nil" w:sz="6" w:space="0" w:color="auto"/>
              <w:bottom w:val="nil" w:sz="6" w:space="0" w:color="auto"/>
              <w:right w:val="nil" w:sz="6" w:space="0" w:color="auto"/>
            </w:tcBorders>
          </w:tcPr>
          <w:p>
            <w:pPr/>
          </w:p>
        </w:tc>
        <w:tc>
          <w:tcPr>
            <w:tcW w:w="652" w:type="dxa"/>
            <w:tcBorders>
              <w:top w:val="single" w:sz="4" w:space="0" w:color="000000"/>
              <w:left w:val="nil" w:sz="6" w:space="0" w:color="auto"/>
              <w:bottom w:val="nil" w:sz="6" w:space="0" w:color="auto"/>
              <w:right w:val="nil" w:sz="6" w:space="0" w:color="auto"/>
            </w:tcBorders>
          </w:tcPr>
          <w:p>
            <w:pPr/>
          </w:p>
        </w:tc>
        <w:tc>
          <w:tcPr>
            <w:tcW w:w="889" w:type="dxa"/>
            <w:tcBorders>
              <w:top w:val="single" w:sz="4" w:space="0" w:color="000000"/>
              <w:left w:val="nil" w:sz="6" w:space="0" w:color="auto"/>
              <w:bottom w:val="nil" w:sz="6" w:space="0" w:color="auto"/>
              <w:right w:val="nil" w:sz="6" w:space="0" w:color="auto"/>
            </w:tcBorders>
          </w:tcPr>
          <w:p>
            <w:pPr>
              <w:pStyle w:val="TableParagraph"/>
              <w:spacing w:line="172" w:lineRule="exact"/>
              <w:ind w:left="37" w:right="0"/>
              <w:jc w:val="center"/>
              <w:rPr>
                <w:rFonts w:ascii="宋体" w:hAnsi="宋体" w:cs="宋体" w:eastAsia="宋体" w:hint="default"/>
                <w:sz w:val="15"/>
                <w:szCs w:val="15"/>
              </w:rPr>
            </w:pPr>
            <w:r>
              <w:rPr>
                <w:rFonts w:ascii="宋体" w:hAnsi="宋体" w:cs="宋体" w:eastAsia="宋体" w:hint="default"/>
                <w:w w:val="100"/>
                <w:sz w:val="15"/>
                <w:szCs w:val="15"/>
              </w:rPr>
              <w:t>山</w:t>
            </w:r>
          </w:p>
        </w:tc>
        <w:tc>
          <w:tcPr>
            <w:tcW w:w="3593" w:type="dxa"/>
            <w:tcBorders>
              <w:top w:val="single" w:sz="4" w:space="0" w:color="000000"/>
              <w:left w:val="nil" w:sz="6" w:space="0" w:color="auto"/>
              <w:bottom w:val="nil" w:sz="6" w:space="0" w:color="auto"/>
              <w:right w:val="nil" w:sz="6" w:space="0" w:color="auto"/>
            </w:tcBorders>
          </w:tcPr>
          <w:p>
            <w:pPr/>
          </w:p>
        </w:tc>
      </w:tr>
      <w:tr>
        <w:trPr>
          <w:trHeight w:val="240"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3" w:right="0"/>
              <w:jc w:val="left"/>
              <w:rPr>
                <w:rFonts w:ascii="宋体" w:hAnsi="宋体" w:cs="宋体" w:eastAsia="宋体" w:hint="default"/>
                <w:sz w:val="15"/>
                <w:szCs w:val="15"/>
              </w:rPr>
            </w:pPr>
            <w:r>
              <w:rPr>
                <w:rFonts w:ascii="宋体" w:hAnsi="宋体" w:cs="宋体" w:eastAsia="宋体" w:hint="default"/>
                <w:sz w:val="15"/>
                <w:szCs w:val="15"/>
              </w:rPr>
              <w:t>群名投资有限公司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0"/>
              <w:jc w:val="right"/>
              <w:rPr>
                <w:rFonts w:ascii="宋体" w:hAnsi="宋体" w:cs="宋体" w:eastAsia="宋体" w:hint="default"/>
                <w:sz w:val="15"/>
                <w:szCs w:val="15"/>
              </w:rPr>
            </w:pPr>
            <w:r>
              <w:rPr>
                <w:rFonts w:ascii="宋体"/>
                <w:spacing w:val="-1"/>
                <w:sz w:val="15"/>
              </w:rPr>
              <w:t>HKD2,389.31</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
              <w:jc w:val="center"/>
              <w:rPr>
                <w:rFonts w:ascii="宋体" w:hAnsi="宋体" w:cs="宋体" w:eastAsia="宋体" w:hint="default"/>
                <w:sz w:val="15"/>
                <w:szCs w:val="15"/>
              </w:rPr>
            </w:pPr>
            <w:r>
              <w:rPr>
                <w:rFonts w:ascii="宋体" w:hAnsi="宋体" w:cs="宋体" w:eastAsia="宋体" w:hint="default"/>
                <w:sz w:val="15"/>
                <w:szCs w:val="15"/>
              </w:rPr>
              <w:t>中国香港</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4" w:right="0"/>
              <w:jc w:val="left"/>
              <w:rPr>
                <w:rFonts w:ascii="宋体" w:hAnsi="宋体" w:cs="宋体" w:eastAsia="宋体" w:hint="default"/>
                <w:sz w:val="15"/>
                <w:szCs w:val="15"/>
              </w:rPr>
            </w:pPr>
            <w:r>
              <w:rPr>
                <w:rFonts w:ascii="宋体" w:hAnsi="宋体" w:cs="宋体" w:eastAsia="宋体" w:hint="default"/>
                <w:sz w:val="15"/>
                <w:szCs w:val="15"/>
              </w:rPr>
              <w:t>投资控股</w:t>
            </w:r>
          </w:p>
        </w:tc>
      </w:tr>
      <w:tr>
        <w:trPr>
          <w:trHeight w:val="400"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3" w:right="0"/>
              <w:jc w:val="left"/>
              <w:rPr>
                <w:rFonts w:ascii="宋体" w:hAnsi="宋体" w:cs="宋体" w:eastAsia="宋体" w:hint="default"/>
                <w:sz w:val="15"/>
                <w:szCs w:val="15"/>
              </w:rPr>
            </w:pPr>
            <w:r>
              <w:rPr>
                <w:rFonts w:ascii="宋体" w:hAnsi="宋体" w:cs="宋体" w:eastAsia="宋体" w:hint="default"/>
                <w:sz w:val="15"/>
                <w:szCs w:val="15"/>
              </w:rPr>
              <w:t>同方锐安科技有限公司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8"/>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9"/>
              <w:jc w:val="right"/>
              <w:rPr>
                <w:rFonts w:ascii="宋体" w:hAnsi="宋体" w:cs="宋体" w:eastAsia="宋体" w:hint="default"/>
                <w:sz w:val="15"/>
                <w:szCs w:val="15"/>
              </w:rPr>
            </w:pPr>
            <w:r>
              <w:rPr>
                <w:rFonts w:ascii="宋体" w:hAnsi="宋体"/>
                <w:spacing w:val="-2"/>
                <w:sz w:val="15"/>
              </w:rPr>
              <w:t>¥7,058.00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8" w:right="0"/>
              <w:jc w:val="center"/>
              <w:rPr>
                <w:rFonts w:ascii="宋体" w:hAnsi="宋体" w:cs="宋体" w:eastAsia="宋体" w:hint="default"/>
                <w:sz w:val="15"/>
                <w:szCs w:val="15"/>
              </w:rPr>
            </w:pPr>
            <w:r>
              <w:rPr>
                <w:rFonts w:ascii="宋体"/>
                <w:sz w:val="15"/>
              </w:rPr>
              <w:t>85.00%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nil" w:sz="6" w:space="0" w:color="auto"/>
              <w:left w:val="nil" w:sz="6" w:space="0" w:color="auto"/>
              <w:bottom w:val="nil" w:sz="6" w:space="0" w:color="auto"/>
              <w:right w:val="nil" w:sz="6" w:space="0" w:color="auto"/>
            </w:tcBorders>
          </w:tcPr>
          <w:p>
            <w:pPr>
              <w:pStyle w:val="TableParagraph"/>
              <w:spacing w:line="194" w:lineRule="exact" w:before="7"/>
              <w:ind w:left="74" w:right="104"/>
              <w:jc w:val="left"/>
              <w:rPr>
                <w:rFonts w:ascii="宋体" w:hAnsi="宋体" w:cs="宋体" w:eastAsia="宋体" w:hint="default"/>
                <w:sz w:val="15"/>
                <w:szCs w:val="15"/>
              </w:rPr>
            </w:pPr>
            <w:r>
              <w:rPr>
                <w:rFonts w:ascii="宋体" w:hAnsi="宋体" w:cs="宋体" w:eastAsia="宋体" w:hint="default"/>
                <w:spacing w:val="-4"/>
                <w:sz w:val="15"/>
                <w:szCs w:val="15"/>
              </w:rPr>
              <w:t>出入口安全管控产品的研发、生产和销售及一卡通提</w:t>
            </w:r>
            <w:r>
              <w:rPr>
                <w:rFonts w:ascii="宋体" w:hAnsi="宋体" w:cs="宋体" w:eastAsia="宋体" w:hint="default"/>
                <w:spacing w:val="-27"/>
                <w:sz w:val="15"/>
                <w:szCs w:val="15"/>
              </w:rPr>
              <w:t> </w:t>
            </w:r>
            <w:r>
              <w:rPr>
                <w:rFonts w:ascii="宋体" w:hAnsi="宋体" w:cs="宋体" w:eastAsia="宋体" w:hint="default"/>
                <w:spacing w:val="-27"/>
                <w:sz w:val="15"/>
                <w:szCs w:val="15"/>
              </w:rPr>
            </w:r>
            <w:r>
              <w:rPr>
                <w:rFonts w:ascii="宋体" w:hAnsi="宋体" w:cs="宋体" w:eastAsia="宋体" w:hint="default"/>
                <w:sz w:val="15"/>
                <w:szCs w:val="15"/>
              </w:rPr>
              <w:t>应用解决方案</w:t>
            </w:r>
          </w:p>
        </w:tc>
      </w:tr>
      <w:tr>
        <w:trPr>
          <w:trHeight w:val="389"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 w:right="0"/>
              <w:jc w:val="left"/>
              <w:rPr>
                <w:rFonts w:ascii="宋体" w:hAnsi="宋体" w:cs="宋体" w:eastAsia="宋体" w:hint="default"/>
                <w:sz w:val="15"/>
                <w:szCs w:val="15"/>
              </w:rPr>
            </w:pPr>
            <w:r>
              <w:rPr>
                <w:rFonts w:ascii="宋体" w:hAnsi="宋体" w:cs="宋体" w:eastAsia="宋体" w:hint="default"/>
                <w:sz w:val="15"/>
                <w:szCs w:val="15"/>
              </w:rPr>
              <w:t>清芯光电有限公司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8"/>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0"/>
              <w:jc w:val="right"/>
              <w:rPr>
                <w:rFonts w:ascii="宋体" w:hAnsi="宋体" w:cs="宋体" w:eastAsia="宋体" w:hint="default"/>
                <w:sz w:val="15"/>
                <w:szCs w:val="15"/>
              </w:rPr>
            </w:pPr>
            <w:r>
              <w:rPr>
                <w:rFonts w:ascii="宋体"/>
                <w:spacing w:val="-1"/>
                <w:sz w:val="15"/>
              </w:rPr>
              <w:t>USD1,000.00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8" w:right="0"/>
              <w:jc w:val="center"/>
              <w:rPr>
                <w:rFonts w:ascii="宋体" w:hAnsi="宋体" w:cs="宋体" w:eastAsia="宋体" w:hint="default"/>
                <w:sz w:val="15"/>
                <w:szCs w:val="15"/>
              </w:rPr>
            </w:pPr>
            <w:r>
              <w:rPr>
                <w:rFonts w:ascii="宋体"/>
                <w:sz w:val="15"/>
              </w:rPr>
              <w:t>55.00%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center"/>
              <w:rPr>
                <w:rFonts w:ascii="宋体" w:hAnsi="宋体" w:cs="宋体" w:eastAsia="宋体" w:hint="default"/>
                <w:sz w:val="15"/>
                <w:szCs w:val="15"/>
              </w:rPr>
            </w:pPr>
            <w:r>
              <w:rPr>
                <w:rFonts w:ascii="宋体" w:hAnsi="宋体" w:cs="宋体" w:eastAsia="宋体" w:hint="default"/>
                <w:sz w:val="15"/>
                <w:szCs w:val="15"/>
              </w:rPr>
              <w:t>河北廊坊</w:t>
            </w:r>
          </w:p>
        </w:tc>
        <w:tc>
          <w:tcPr>
            <w:tcW w:w="3593" w:type="dxa"/>
            <w:tcBorders>
              <w:top w:val="nil" w:sz="6" w:space="0" w:color="auto"/>
              <w:left w:val="nil" w:sz="6" w:space="0" w:color="auto"/>
              <w:bottom w:val="nil" w:sz="6" w:space="0" w:color="auto"/>
              <w:right w:val="nil" w:sz="6" w:space="0" w:color="auto"/>
            </w:tcBorders>
          </w:tcPr>
          <w:p>
            <w:pPr>
              <w:pStyle w:val="TableParagraph"/>
              <w:spacing w:line="172" w:lineRule="exact"/>
              <w:ind w:left="74" w:right="0"/>
              <w:jc w:val="left"/>
              <w:rPr>
                <w:rFonts w:ascii="宋体" w:hAnsi="宋体" w:cs="宋体" w:eastAsia="宋体" w:hint="default"/>
                <w:sz w:val="15"/>
                <w:szCs w:val="15"/>
              </w:rPr>
            </w:pPr>
            <w:r>
              <w:rPr>
                <w:rFonts w:ascii="宋体" w:hAnsi="宋体" w:cs="宋体" w:eastAsia="宋体" w:hint="default"/>
                <w:sz w:val="15"/>
                <w:szCs w:val="15"/>
              </w:rPr>
              <w:t>高亮度发光二级管</w:t>
            </w:r>
            <w:r>
              <w:rPr>
                <w:rFonts w:ascii="宋体" w:hAnsi="宋体" w:cs="宋体" w:eastAsia="宋体" w:hint="default"/>
                <w:sz w:val="15"/>
                <w:szCs w:val="15"/>
              </w:rPr>
              <w:t>(LED)</w:t>
            </w:r>
            <w:r>
              <w:rPr>
                <w:rFonts w:ascii="宋体" w:hAnsi="宋体" w:cs="宋体" w:eastAsia="宋体" w:hint="default"/>
                <w:sz w:val="15"/>
                <w:szCs w:val="15"/>
              </w:rPr>
              <w:t>外延片和芯片开发、生产、</w:t>
            </w:r>
          </w:p>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销售</w:t>
            </w:r>
          </w:p>
        </w:tc>
      </w:tr>
      <w:tr>
        <w:trPr>
          <w:trHeight w:val="391"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73" w:lineRule="exact"/>
              <w:ind w:left="33" w:right="0"/>
              <w:jc w:val="left"/>
              <w:rPr>
                <w:rFonts w:ascii="宋体" w:hAnsi="宋体" w:cs="宋体" w:eastAsia="宋体" w:hint="default"/>
                <w:sz w:val="15"/>
                <w:szCs w:val="15"/>
              </w:rPr>
            </w:pPr>
            <w:r>
              <w:rPr>
                <w:rFonts w:ascii="宋体" w:hAnsi="宋体" w:cs="宋体" w:eastAsia="宋体" w:hint="default"/>
                <w:sz w:val="15"/>
                <w:szCs w:val="15"/>
              </w:rPr>
              <w:t>同方健康科技（北京）股份有限</w:t>
            </w:r>
          </w:p>
          <w:p>
            <w:pPr>
              <w:pStyle w:val="TableParagraph"/>
              <w:spacing w:line="240" w:lineRule="auto"/>
              <w:ind w:left="33" w:right="0"/>
              <w:jc w:val="left"/>
              <w:rPr>
                <w:rFonts w:ascii="宋体" w:hAnsi="宋体" w:cs="宋体" w:eastAsia="宋体" w:hint="default"/>
                <w:sz w:val="15"/>
                <w:szCs w:val="15"/>
              </w:rPr>
            </w:pPr>
            <w:r>
              <w:rPr>
                <w:rFonts w:ascii="宋体" w:hAnsi="宋体" w:cs="宋体" w:eastAsia="宋体" w:hint="default"/>
                <w:sz w:val="15"/>
                <w:szCs w:val="15"/>
              </w:rPr>
              <w:t>公司</w:t>
            </w:r>
            <w:r>
              <w:rPr>
                <w:rFonts w:ascii="宋体" w:hAnsi="宋体" w:cs="宋体" w:eastAsia="宋体" w:hint="default"/>
                <w:sz w:val="15"/>
                <w:szCs w:val="15"/>
              </w:rPr>
              <w:t>(833151.OC)</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8"/>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right"/>
              <w:rPr>
                <w:rFonts w:ascii="宋体" w:hAnsi="宋体" w:cs="宋体" w:eastAsia="宋体" w:hint="default"/>
                <w:sz w:val="15"/>
                <w:szCs w:val="15"/>
              </w:rPr>
            </w:pPr>
            <w:r>
              <w:rPr>
                <w:rFonts w:ascii="宋体" w:hAnsi="宋体"/>
                <w:spacing w:val="-2"/>
                <w:sz w:val="15"/>
              </w:rPr>
              <w:t>¥5,280.00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8" w:right="0"/>
              <w:jc w:val="center"/>
              <w:rPr>
                <w:rFonts w:ascii="宋体" w:hAnsi="宋体" w:cs="宋体" w:eastAsia="宋体" w:hint="default"/>
                <w:sz w:val="15"/>
                <w:szCs w:val="15"/>
              </w:rPr>
            </w:pPr>
            <w:r>
              <w:rPr>
                <w:rFonts w:ascii="宋体"/>
                <w:sz w:val="15"/>
              </w:rPr>
              <w:t>78.48%</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4" w:right="0"/>
              <w:jc w:val="left"/>
              <w:rPr>
                <w:rFonts w:ascii="宋体" w:hAnsi="宋体" w:cs="宋体" w:eastAsia="宋体" w:hint="default"/>
                <w:sz w:val="15"/>
                <w:szCs w:val="15"/>
              </w:rPr>
            </w:pPr>
            <w:r>
              <w:rPr>
                <w:rFonts w:ascii="宋体" w:hAnsi="宋体" w:cs="宋体" w:eastAsia="宋体" w:hint="default"/>
                <w:spacing w:val="-4"/>
                <w:sz w:val="15"/>
                <w:szCs w:val="15"/>
              </w:rPr>
              <w:t>体育科技产品、体育竞赛管理系统；技术货物进出口</w:t>
            </w:r>
          </w:p>
        </w:tc>
      </w:tr>
      <w:tr>
        <w:trPr>
          <w:trHeight w:val="400"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3" w:right="0"/>
              <w:jc w:val="left"/>
              <w:rPr>
                <w:rFonts w:ascii="宋体" w:hAnsi="宋体" w:cs="宋体" w:eastAsia="宋体" w:hint="default"/>
                <w:sz w:val="15"/>
                <w:szCs w:val="15"/>
              </w:rPr>
            </w:pPr>
            <w:r>
              <w:rPr>
                <w:rFonts w:ascii="宋体" w:hAnsi="宋体" w:cs="宋体" w:eastAsia="宋体" w:hint="default"/>
                <w:sz w:val="15"/>
                <w:szCs w:val="15"/>
              </w:rPr>
              <w:t>沈阳同方多媒体科技有限公司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8"/>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0"/>
              <w:jc w:val="right"/>
              <w:rPr>
                <w:rFonts w:ascii="宋体" w:hAnsi="宋体" w:cs="宋体" w:eastAsia="宋体" w:hint="default"/>
                <w:sz w:val="15"/>
                <w:szCs w:val="15"/>
              </w:rPr>
            </w:pPr>
            <w:r>
              <w:rPr>
                <w:rFonts w:ascii="宋体" w:hAnsi="宋体"/>
                <w:spacing w:val="-1"/>
                <w:sz w:val="15"/>
              </w:rPr>
              <w:t>¥187,500.00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4"/>
              <w:jc w:val="center"/>
              <w:rPr>
                <w:rFonts w:ascii="宋体" w:hAnsi="宋体" w:cs="宋体" w:eastAsia="宋体" w:hint="default"/>
                <w:sz w:val="15"/>
                <w:szCs w:val="15"/>
              </w:rPr>
            </w:pPr>
            <w:r>
              <w:rPr>
                <w:rFonts w:ascii="宋体" w:hAnsi="宋体" w:cs="宋体" w:eastAsia="宋体" w:hint="default"/>
                <w:sz w:val="15"/>
                <w:szCs w:val="15"/>
              </w:rPr>
              <w:t>辽宁沈阳</w:t>
            </w:r>
          </w:p>
        </w:tc>
        <w:tc>
          <w:tcPr>
            <w:tcW w:w="3593" w:type="dxa"/>
            <w:tcBorders>
              <w:top w:val="nil" w:sz="6" w:space="0" w:color="auto"/>
              <w:left w:val="nil" w:sz="6" w:space="0" w:color="auto"/>
              <w:bottom w:val="nil" w:sz="6" w:space="0" w:color="auto"/>
              <w:right w:val="nil" w:sz="6" w:space="0" w:color="auto"/>
            </w:tcBorders>
          </w:tcPr>
          <w:p>
            <w:pPr>
              <w:pStyle w:val="TableParagraph"/>
              <w:spacing w:line="172" w:lineRule="exact"/>
              <w:ind w:left="74" w:right="0"/>
              <w:jc w:val="left"/>
              <w:rPr>
                <w:rFonts w:ascii="宋体" w:hAnsi="宋体" w:cs="宋体" w:eastAsia="宋体" w:hint="default"/>
                <w:sz w:val="15"/>
                <w:szCs w:val="15"/>
              </w:rPr>
            </w:pPr>
            <w:r>
              <w:rPr>
                <w:rFonts w:ascii="宋体" w:hAnsi="宋体" w:cs="宋体" w:eastAsia="宋体" w:hint="default"/>
                <w:spacing w:val="-4"/>
                <w:sz w:val="15"/>
                <w:szCs w:val="15"/>
              </w:rPr>
              <w:t>数字电视及数字音视频产品、液晶模组产品的开发与</w:t>
            </w:r>
          </w:p>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生产</w:t>
            </w:r>
          </w:p>
        </w:tc>
      </w:tr>
      <w:tr>
        <w:trPr>
          <w:trHeight w:val="217"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83" w:lineRule="exact"/>
              <w:ind w:left="33" w:right="0"/>
              <w:jc w:val="left"/>
              <w:rPr>
                <w:rFonts w:ascii="宋体" w:hAnsi="宋体" w:cs="宋体" w:eastAsia="宋体" w:hint="default"/>
                <w:sz w:val="15"/>
                <w:szCs w:val="15"/>
              </w:rPr>
            </w:pPr>
            <w:r>
              <w:rPr>
                <w:rFonts w:ascii="宋体" w:hAnsi="宋体" w:cs="宋体" w:eastAsia="宋体" w:hint="default"/>
                <w:sz w:val="15"/>
                <w:szCs w:val="15"/>
              </w:rPr>
              <w:t>北京同方吉兆科技有限公司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83" w:lineRule="exact"/>
              <w:ind w:right="48"/>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83" w:lineRule="exact"/>
              <w:ind w:right="59"/>
              <w:jc w:val="right"/>
              <w:rPr>
                <w:rFonts w:ascii="宋体" w:hAnsi="宋体" w:cs="宋体" w:eastAsia="宋体" w:hint="default"/>
                <w:sz w:val="15"/>
                <w:szCs w:val="15"/>
              </w:rPr>
            </w:pPr>
            <w:r>
              <w:rPr>
                <w:rFonts w:ascii="宋体" w:hAnsi="宋体"/>
                <w:spacing w:val="-2"/>
                <w:sz w:val="15"/>
              </w:rPr>
              <w:t>¥6,558.00</w:t>
            </w:r>
          </w:p>
        </w:tc>
        <w:tc>
          <w:tcPr>
            <w:tcW w:w="652" w:type="dxa"/>
            <w:tcBorders>
              <w:top w:val="nil" w:sz="6" w:space="0" w:color="auto"/>
              <w:left w:val="nil" w:sz="6" w:space="0" w:color="auto"/>
              <w:bottom w:val="nil" w:sz="6" w:space="0" w:color="auto"/>
              <w:right w:val="nil" w:sz="6" w:space="0" w:color="auto"/>
            </w:tcBorders>
          </w:tcPr>
          <w:p>
            <w:pPr>
              <w:pStyle w:val="TableParagraph"/>
              <w:spacing w:line="183" w:lineRule="exact"/>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3" w:lineRule="exact"/>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nil" w:sz="6" w:space="0" w:color="auto"/>
              <w:left w:val="nil" w:sz="6" w:space="0" w:color="auto"/>
              <w:bottom w:val="nil" w:sz="6" w:space="0" w:color="auto"/>
              <w:right w:val="nil" w:sz="6" w:space="0" w:color="auto"/>
            </w:tcBorders>
          </w:tcPr>
          <w:p>
            <w:pPr>
              <w:pStyle w:val="TableParagraph"/>
              <w:spacing w:line="183" w:lineRule="exact"/>
              <w:ind w:left="74" w:right="0"/>
              <w:jc w:val="left"/>
              <w:rPr>
                <w:rFonts w:ascii="宋体" w:hAnsi="宋体" w:cs="宋体" w:eastAsia="宋体" w:hint="default"/>
                <w:sz w:val="15"/>
                <w:szCs w:val="15"/>
              </w:rPr>
            </w:pPr>
            <w:r>
              <w:rPr>
                <w:rFonts w:ascii="宋体" w:hAnsi="宋体" w:cs="宋体" w:eastAsia="宋体" w:hint="default"/>
                <w:sz w:val="15"/>
                <w:szCs w:val="15"/>
              </w:rPr>
              <w:t>广播电视发射、通信信道和工业控制设备</w:t>
            </w:r>
          </w:p>
        </w:tc>
      </w:tr>
      <w:tr>
        <w:trPr>
          <w:trHeight w:val="401"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94" w:lineRule="exact" w:before="8"/>
              <w:ind w:left="33" w:right="52"/>
              <w:jc w:val="left"/>
              <w:rPr>
                <w:rFonts w:ascii="宋体" w:hAnsi="宋体" w:cs="宋体" w:eastAsia="宋体" w:hint="default"/>
                <w:sz w:val="15"/>
                <w:szCs w:val="15"/>
              </w:rPr>
            </w:pPr>
            <w:r>
              <w:rPr>
                <w:rFonts w:ascii="宋体" w:hAnsi="宋体" w:cs="宋体" w:eastAsia="宋体" w:hint="default"/>
                <w:spacing w:val="-2"/>
                <w:sz w:val="15"/>
                <w:szCs w:val="15"/>
              </w:rPr>
              <w:t>鞍山同方吉兆广播电视设备有限</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9"/>
              <w:jc w:val="right"/>
              <w:rPr>
                <w:rFonts w:ascii="宋体" w:hAnsi="宋体" w:cs="宋体" w:eastAsia="宋体" w:hint="default"/>
                <w:sz w:val="15"/>
                <w:szCs w:val="15"/>
              </w:rPr>
            </w:pPr>
            <w:r>
              <w:rPr>
                <w:rFonts w:ascii="宋体" w:hAnsi="宋体"/>
                <w:spacing w:val="-1"/>
                <w:sz w:val="15"/>
              </w:rPr>
              <w:t>¥600.00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center"/>
              <w:rPr>
                <w:rFonts w:ascii="宋体" w:hAnsi="宋体" w:cs="宋体" w:eastAsia="宋体" w:hint="default"/>
                <w:sz w:val="15"/>
                <w:szCs w:val="15"/>
              </w:rPr>
            </w:pPr>
            <w:r>
              <w:rPr>
                <w:rFonts w:ascii="宋体" w:hAnsi="宋体" w:cs="宋体" w:eastAsia="宋体" w:hint="default"/>
                <w:sz w:val="15"/>
                <w:szCs w:val="15"/>
              </w:rPr>
              <w:t>辽宁鞍山</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4" w:right="0"/>
              <w:jc w:val="left"/>
              <w:rPr>
                <w:rFonts w:ascii="宋体" w:hAnsi="宋体" w:cs="宋体" w:eastAsia="宋体" w:hint="default"/>
                <w:sz w:val="15"/>
                <w:szCs w:val="15"/>
              </w:rPr>
            </w:pPr>
            <w:r>
              <w:rPr>
                <w:rFonts w:ascii="宋体" w:hAnsi="宋体" w:cs="宋体" w:eastAsia="宋体" w:hint="default"/>
                <w:sz w:val="15"/>
                <w:szCs w:val="15"/>
              </w:rPr>
              <w:t>广播电视发射和差转设备</w:t>
            </w:r>
          </w:p>
        </w:tc>
      </w:tr>
      <w:tr>
        <w:trPr>
          <w:trHeight w:val="389"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72" w:lineRule="exact"/>
              <w:ind w:left="33" w:right="0"/>
              <w:jc w:val="left"/>
              <w:rPr>
                <w:rFonts w:ascii="宋体" w:hAnsi="宋体" w:cs="宋体" w:eastAsia="宋体" w:hint="default"/>
                <w:sz w:val="15"/>
                <w:szCs w:val="15"/>
              </w:rPr>
            </w:pPr>
            <w:r>
              <w:rPr>
                <w:rFonts w:ascii="宋体" w:hAnsi="宋体" w:cs="宋体" w:eastAsia="宋体" w:hint="default"/>
                <w:sz w:val="15"/>
                <w:szCs w:val="15"/>
              </w:rPr>
              <w:t>北京同方吉兆广播电视设备有限</w:t>
            </w:r>
          </w:p>
          <w:p>
            <w:pPr>
              <w:pStyle w:val="TableParagraph"/>
              <w:spacing w:line="195" w:lineRule="exact"/>
              <w:ind w:left="33"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9"/>
              <w:jc w:val="right"/>
              <w:rPr>
                <w:rFonts w:ascii="宋体" w:hAnsi="宋体" w:cs="宋体" w:eastAsia="宋体" w:hint="default"/>
                <w:sz w:val="15"/>
                <w:szCs w:val="15"/>
              </w:rPr>
            </w:pPr>
            <w:r>
              <w:rPr>
                <w:rFonts w:ascii="宋体" w:hAnsi="宋体"/>
                <w:spacing w:val="-1"/>
                <w:sz w:val="15"/>
              </w:rPr>
              <w:t>¥200.00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4"/>
              <w:jc w:val="center"/>
              <w:rPr>
                <w:rFonts w:ascii="宋体" w:hAnsi="宋体" w:cs="宋体" w:eastAsia="宋体" w:hint="default"/>
                <w:sz w:val="15"/>
                <w:szCs w:val="15"/>
              </w:rPr>
            </w:pPr>
            <w:r>
              <w:rPr>
                <w:rFonts w:ascii="宋体" w:hAnsi="宋体" w:cs="宋体" w:eastAsia="宋体" w:hint="default"/>
                <w:sz w:val="15"/>
                <w:szCs w:val="15"/>
              </w:rPr>
              <w:t>北京密云</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4" w:right="0"/>
              <w:jc w:val="left"/>
              <w:rPr>
                <w:rFonts w:ascii="宋体" w:hAnsi="宋体" w:cs="宋体" w:eastAsia="宋体" w:hint="default"/>
                <w:sz w:val="15"/>
                <w:szCs w:val="15"/>
              </w:rPr>
            </w:pPr>
            <w:r>
              <w:rPr>
                <w:rFonts w:ascii="宋体" w:hAnsi="宋体" w:cs="宋体" w:eastAsia="宋体" w:hint="default"/>
                <w:sz w:val="15"/>
                <w:szCs w:val="15"/>
              </w:rPr>
              <w:t>电视发射机、调频发射机生产</w:t>
            </w:r>
          </w:p>
        </w:tc>
      </w:tr>
      <w:tr>
        <w:trPr>
          <w:trHeight w:val="389"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72" w:lineRule="exact"/>
              <w:ind w:left="33" w:right="0"/>
              <w:jc w:val="left"/>
              <w:rPr>
                <w:rFonts w:ascii="宋体" w:hAnsi="宋体" w:cs="宋体" w:eastAsia="宋体" w:hint="default"/>
                <w:sz w:val="15"/>
                <w:szCs w:val="15"/>
              </w:rPr>
            </w:pPr>
            <w:r>
              <w:rPr>
                <w:rFonts w:ascii="宋体"/>
                <w:sz w:val="15"/>
              </w:rPr>
              <w:t>TongFang Asia Pacific</w:t>
            </w:r>
            <w:r>
              <w:rPr>
                <w:rFonts w:ascii="宋体"/>
                <w:spacing w:val="-13"/>
                <w:sz w:val="15"/>
              </w:rPr>
              <w:t> </w:t>
            </w:r>
            <w:r>
              <w:rPr>
                <w:rFonts w:ascii="宋体"/>
                <w:sz w:val="15"/>
              </w:rPr>
              <w:t>(R&amp;D</w:t>
            </w:r>
          </w:p>
          <w:p>
            <w:pPr>
              <w:pStyle w:val="TableParagraph"/>
              <w:spacing w:line="195" w:lineRule="exact"/>
              <w:ind w:left="33" w:right="0"/>
              <w:jc w:val="left"/>
              <w:rPr>
                <w:rFonts w:ascii="宋体" w:hAnsi="宋体" w:cs="宋体" w:eastAsia="宋体" w:hint="default"/>
                <w:sz w:val="15"/>
                <w:szCs w:val="15"/>
              </w:rPr>
            </w:pPr>
            <w:r>
              <w:rPr>
                <w:rFonts w:ascii="宋体"/>
                <w:sz w:val="15"/>
              </w:rPr>
              <w:t>Center) Pte</w:t>
            </w:r>
            <w:r>
              <w:rPr>
                <w:rFonts w:ascii="宋体"/>
                <w:spacing w:val="-6"/>
                <w:sz w:val="15"/>
              </w:rPr>
              <w:t> </w:t>
            </w:r>
            <w:r>
              <w:rPr>
                <w:rFonts w:ascii="宋体"/>
                <w:sz w:val="15"/>
              </w:rPr>
              <w:t>Ltd.</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8"/>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9"/>
              <w:jc w:val="right"/>
              <w:rPr>
                <w:rFonts w:ascii="宋体" w:hAnsi="宋体" w:cs="宋体" w:eastAsia="宋体" w:hint="default"/>
                <w:sz w:val="15"/>
                <w:szCs w:val="15"/>
              </w:rPr>
            </w:pPr>
            <w:r>
              <w:rPr>
                <w:rFonts w:ascii="宋体"/>
                <w:spacing w:val="-2"/>
                <w:sz w:val="15"/>
              </w:rPr>
              <w:t>USD300.00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3"/>
              <w:jc w:val="center"/>
              <w:rPr>
                <w:rFonts w:ascii="宋体" w:hAnsi="宋体" w:cs="宋体" w:eastAsia="宋体" w:hint="default"/>
                <w:sz w:val="15"/>
                <w:szCs w:val="15"/>
              </w:rPr>
            </w:pPr>
            <w:r>
              <w:rPr>
                <w:rFonts w:ascii="宋体" w:hAnsi="宋体" w:cs="宋体" w:eastAsia="宋体" w:hint="default"/>
                <w:sz w:val="15"/>
                <w:szCs w:val="15"/>
              </w:rPr>
              <w:t>新加坡</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4" w:right="0"/>
              <w:jc w:val="left"/>
              <w:rPr>
                <w:rFonts w:ascii="宋体" w:hAnsi="宋体" w:cs="宋体" w:eastAsia="宋体" w:hint="default"/>
                <w:sz w:val="15"/>
                <w:szCs w:val="15"/>
              </w:rPr>
            </w:pPr>
            <w:r>
              <w:rPr>
                <w:rFonts w:ascii="宋体" w:hAnsi="宋体" w:cs="宋体" w:eastAsia="宋体" w:hint="default"/>
                <w:sz w:val="15"/>
                <w:szCs w:val="15"/>
              </w:rPr>
              <w:t>智能建筑工程技术研发</w:t>
            </w:r>
          </w:p>
        </w:tc>
      </w:tr>
      <w:tr>
        <w:trPr>
          <w:trHeight w:val="401"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3" w:right="0"/>
              <w:jc w:val="left"/>
              <w:rPr>
                <w:rFonts w:ascii="宋体" w:hAnsi="宋体" w:cs="宋体" w:eastAsia="宋体" w:hint="default"/>
                <w:sz w:val="15"/>
                <w:szCs w:val="15"/>
              </w:rPr>
            </w:pPr>
            <w:r>
              <w:rPr>
                <w:rFonts w:ascii="宋体" w:hAnsi="宋体" w:cs="宋体" w:eastAsia="宋体" w:hint="default"/>
                <w:sz w:val="15"/>
                <w:szCs w:val="15"/>
              </w:rPr>
              <w:t>北京同方光盘股份有限公司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8"/>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9"/>
              <w:jc w:val="right"/>
              <w:rPr>
                <w:rFonts w:ascii="宋体" w:hAnsi="宋体" w:cs="宋体" w:eastAsia="宋体" w:hint="default"/>
                <w:sz w:val="15"/>
                <w:szCs w:val="15"/>
              </w:rPr>
            </w:pPr>
            <w:r>
              <w:rPr>
                <w:rFonts w:ascii="宋体" w:hAnsi="宋体"/>
                <w:spacing w:val="-2"/>
                <w:sz w:val="15"/>
              </w:rPr>
              <w:t>¥4,000.00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nil" w:sz="6" w:space="0" w:color="auto"/>
              <w:left w:val="nil" w:sz="6" w:space="0" w:color="auto"/>
              <w:bottom w:val="nil" w:sz="6" w:space="0" w:color="auto"/>
              <w:right w:val="nil" w:sz="6" w:space="0" w:color="auto"/>
            </w:tcBorders>
          </w:tcPr>
          <w:p>
            <w:pPr>
              <w:pStyle w:val="TableParagraph"/>
              <w:spacing w:line="172" w:lineRule="exact"/>
              <w:ind w:left="74" w:right="0"/>
              <w:jc w:val="left"/>
              <w:rPr>
                <w:rFonts w:ascii="宋体" w:hAnsi="宋体" w:cs="宋体" w:eastAsia="宋体" w:hint="default"/>
                <w:sz w:val="15"/>
                <w:szCs w:val="15"/>
              </w:rPr>
            </w:pPr>
            <w:r>
              <w:rPr>
                <w:rFonts w:ascii="宋体" w:hAnsi="宋体" w:cs="宋体" w:eastAsia="宋体" w:hint="default"/>
                <w:spacing w:val="-4"/>
                <w:sz w:val="15"/>
                <w:szCs w:val="15"/>
              </w:rPr>
              <w:t>电子通信设备、网络系统设备、光盘视听设备及光盘</w:t>
            </w:r>
          </w:p>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材料</w:t>
            </w:r>
          </w:p>
        </w:tc>
      </w:tr>
      <w:tr>
        <w:trPr>
          <w:trHeight w:val="229"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85" w:lineRule="exact"/>
              <w:ind w:left="33" w:right="0"/>
              <w:jc w:val="left"/>
              <w:rPr>
                <w:rFonts w:ascii="宋体" w:hAnsi="宋体" w:cs="宋体" w:eastAsia="宋体" w:hint="default"/>
                <w:sz w:val="15"/>
                <w:szCs w:val="15"/>
              </w:rPr>
            </w:pPr>
            <w:r>
              <w:rPr>
                <w:rFonts w:ascii="宋体" w:hAnsi="宋体" w:cs="宋体" w:eastAsia="宋体" w:hint="default"/>
                <w:sz w:val="15"/>
                <w:szCs w:val="15"/>
              </w:rPr>
              <w:t>淮安同方水务有限公司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85" w:lineRule="exact"/>
              <w:ind w:right="48"/>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85" w:lineRule="exact"/>
              <w:ind w:right="60"/>
              <w:jc w:val="right"/>
              <w:rPr>
                <w:rFonts w:ascii="宋体" w:hAnsi="宋体" w:cs="宋体" w:eastAsia="宋体" w:hint="default"/>
                <w:sz w:val="15"/>
                <w:szCs w:val="15"/>
              </w:rPr>
            </w:pPr>
            <w:r>
              <w:rPr>
                <w:rFonts w:ascii="宋体" w:hAnsi="宋体"/>
                <w:spacing w:val="-1"/>
                <w:sz w:val="15"/>
              </w:rPr>
              <w:t>¥18,600.00</w:t>
            </w:r>
          </w:p>
        </w:tc>
        <w:tc>
          <w:tcPr>
            <w:tcW w:w="652" w:type="dxa"/>
            <w:tcBorders>
              <w:top w:val="nil" w:sz="6" w:space="0" w:color="auto"/>
              <w:left w:val="nil" w:sz="6" w:space="0" w:color="auto"/>
              <w:bottom w:val="nil" w:sz="6" w:space="0" w:color="auto"/>
              <w:right w:val="nil" w:sz="6" w:space="0" w:color="auto"/>
            </w:tcBorders>
          </w:tcPr>
          <w:p>
            <w:pPr>
              <w:pStyle w:val="TableParagraph"/>
              <w:spacing w:line="185" w:lineRule="exact"/>
              <w:ind w:left="78" w:right="0"/>
              <w:jc w:val="center"/>
              <w:rPr>
                <w:rFonts w:ascii="宋体" w:hAnsi="宋体" w:cs="宋体" w:eastAsia="宋体" w:hint="default"/>
                <w:sz w:val="15"/>
                <w:szCs w:val="15"/>
              </w:rPr>
            </w:pPr>
            <w:r>
              <w:rPr>
                <w:rFonts w:ascii="宋体"/>
                <w:sz w:val="15"/>
              </w:rPr>
              <w:t>49.55%</w:t>
            </w:r>
          </w:p>
        </w:tc>
        <w:tc>
          <w:tcPr>
            <w:tcW w:w="889" w:type="dxa"/>
            <w:tcBorders>
              <w:top w:val="nil" w:sz="6" w:space="0" w:color="auto"/>
              <w:left w:val="nil" w:sz="6" w:space="0" w:color="auto"/>
              <w:bottom w:val="nil" w:sz="6" w:space="0" w:color="auto"/>
              <w:right w:val="nil" w:sz="6" w:space="0" w:color="auto"/>
            </w:tcBorders>
          </w:tcPr>
          <w:p>
            <w:pPr>
              <w:pStyle w:val="TableParagraph"/>
              <w:spacing w:line="185" w:lineRule="exact"/>
              <w:ind w:right="14"/>
              <w:jc w:val="center"/>
              <w:rPr>
                <w:rFonts w:ascii="宋体" w:hAnsi="宋体" w:cs="宋体" w:eastAsia="宋体" w:hint="default"/>
                <w:sz w:val="15"/>
                <w:szCs w:val="15"/>
              </w:rPr>
            </w:pPr>
            <w:r>
              <w:rPr>
                <w:rFonts w:ascii="宋体" w:hAnsi="宋体" w:cs="宋体" w:eastAsia="宋体" w:hint="default"/>
                <w:sz w:val="15"/>
                <w:szCs w:val="15"/>
              </w:rPr>
              <w:t>江苏淮安</w:t>
            </w:r>
          </w:p>
        </w:tc>
        <w:tc>
          <w:tcPr>
            <w:tcW w:w="3593" w:type="dxa"/>
            <w:tcBorders>
              <w:top w:val="nil" w:sz="6" w:space="0" w:color="auto"/>
              <w:left w:val="nil" w:sz="6" w:space="0" w:color="auto"/>
              <w:bottom w:val="nil" w:sz="6" w:space="0" w:color="auto"/>
              <w:right w:val="nil" w:sz="6" w:space="0" w:color="auto"/>
            </w:tcBorders>
          </w:tcPr>
          <w:p>
            <w:pPr>
              <w:pStyle w:val="TableParagraph"/>
              <w:spacing w:line="185" w:lineRule="exact"/>
              <w:ind w:left="74" w:right="0"/>
              <w:jc w:val="left"/>
              <w:rPr>
                <w:rFonts w:ascii="宋体" w:hAnsi="宋体" w:cs="宋体" w:eastAsia="宋体" w:hint="default"/>
                <w:sz w:val="15"/>
                <w:szCs w:val="15"/>
              </w:rPr>
            </w:pPr>
            <w:r>
              <w:rPr>
                <w:rFonts w:ascii="宋体" w:hAnsi="宋体" w:cs="宋体" w:eastAsia="宋体" w:hint="default"/>
                <w:sz w:val="15"/>
                <w:szCs w:val="15"/>
              </w:rPr>
              <w:t>水务项目投资、建设、运营</w:t>
            </w:r>
          </w:p>
        </w:tc>
      </w:tr>
      <w:tr>
        <w:trPr>
          <w:trHeight w:val="240"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95" w:lineRule="exact"/>
              <w:ind w:left="33" w:right="0"/>
              <w:jc w:val="left"/>
              <w:rPr>
                <w:rFonts w:ascii="宋体" w:hAnsi="宋体" w:cs="宋体" w:eastAsia="宋体" w:hint="default"/>
                <w:sz w:val="15"/>
                <w:szCs w:val="15"/>
              </w:rPr>
            </w:pPr>
            <w:r>
              <w:rPr>
                <w:rFonts w:ascii="宋体" w:hAnsi="宋体" w:cs="宋体" w:eastAsia="宋体" w:hint="default"/>
                <w:sz w:val="15"/>
                <w:szCs w:val="15"/>
              </w:rPr>
              <w:t>温州同方水务有限公司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95" w:lineRule="exact"/>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95" w:lineRule="exact"/>
              <w:ind w:right="59"/>
              <w:jc w:val="right"/>
              <w:rPr>
                <w:rFonts w:ascii="宋体" w:hAnsi="宋体" w:cs="宋体" w:eastAsia="宋体" w:hint="default"/>
                <w:sz w:val="15"/>
                <w:szCs w:val="15"/>
              </w:rPr>
            </w:pPr>
            <w:r>
              <w:rPr>
                <w:rFonts w:ascii="宋体" w:hAnsi="宋体"/>
                <w:spacing w:val="-2"/>
                <w:sz w:val="15"/>
              </w:rPr>
              <w:t>¥1,244.00</w:t>
            </w:r>
          </w:p>
        </w:tc>
        <w:tc>
          <w:tcPr>
            <w:tcW w:w="652" w:type="dxa"/>
            <w:tcBorders>
              <w:top w:val="nil" w:sz="6" w:space="0" w:color="auto"/>
              <w:left w:val="nil" w:sz="6" w:space="0" w:color="auto"/>
              <w:bottom w:val="nil" w:sz="6" w:space="0" w:color="auto"/>
              <w:right w:val="nil" w:sz="6" w:space="0" w:color="auto"/>
            </w:tcBorders>
          </w:tcPr>
          <w:p>
            <w:pPr>
              <w:pStyle w:val="TableParagraph"/>
              <w:spacing w:line="195" w:lineRule="exact"/>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浙江温州</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水务项目投资、建设、运营</w:t>
            </w:r>
          </w:p>
        </w:tc>
      </w:tr>
      <w:tr>
        <w:trPr>
          <w:trHeight w:val="228"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95" w:lineRule="exact"/>
              <w:ind w:left="33" w:right="0"/>
              <w:jc w:val="left"/>
              <w:rPr>
                <w:rFonts w:ascii="宋体" w:hAnsi="宋体" w:cs="宋体" w:eastAsia="宋体" w:hint="default"/>
                <w:sz w:val="15"/>
                <w:szCs w:val="15"/>
              </w:rPr>
            </w:pPr>
            <w:r>
              <w:rPr>
                <w:rFonts w:ascii="宋体" w:hAnsi="宋体" w:cs="宋体" w:eastAsia="宋体" w:hint="default"/>
                <w:sz w:val="15"/>
                <w:szCs w:val="15"/>
              </w:rPr>
              <w:t>淮安同方清安水务运营有限公司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95" w:lineRule="exact"/>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95" w:lineRule="exact"/>
              <w:ind w:right="59"/>
              <w:jc w:val="right"/>
              <w:rPr>
                <w:rFonts w:ascii="宋体" w:hAnsi="宋体" w:cs="宋体" w:eastAsia="宋体" w:hint="default"/>
                <w:sz w:val="15"/>
                <w:szCs w:val="15"/>
              </w:rPr>
            </w:pPr>
            <w:r>
              <w:rPr>
                <w:rFonts w:ascii="宋体" w:hAnsi="宋体"/>
                <w:spacing w:val="-2"/>
                <w:sz w:val="15"/>
              </w:rPr>
              <w:t>¥1,000.00</w:t>
            </w:r>
          </w:p>
        </w:tc>
        <w:tc>
          <w:tcPr>
            <w:tcW w:w="652" w:type="dxa"/>
            <w:tcBorders>
              <w:top w:val="nil" w:sz="6" w:space="0" w:color="auto"/>
              <w:left w:val="nil" w:sz="6" w:space="0" w:color="auto"/>
              <w:bottom w:val="nil" w:sz="6" w:space="0" w:color="auto"/>
              <w:right w:val="nil" w:sz="6" w:space="0" w:color="auto"/>
            </w:tcBorders>
          </w:tcPr>
          <w:p>
            <w:pPr>
              <w:pStyle w:val="TableParagraph"/>
              <w:spacing w:line="195" w:lineRule="exact"/>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江苏淮安</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污水处理</w:t>
            </w:r>
          </w:p>
        </w:tc>
      </w:tr>
      <w:tr>
        <w:trPr>
          <w:trHeight w:val="400"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3" w:right="0"/>
              <w:jc w:val="left"/>
              <w:rPr>
                <w:rFonts w:ascii="宋体" w:hAnsi="宋体" w:cs="宋体" w:eastAsia="宋体" w:hint="default"/>
                <w:sz w:val="15"/>
                <w:szCs w:val="15"/>
              </w:rPr>
            </w:pPr>
            <w:r>
              <w:rPr>
                <w:rFonts w:ascii="宋体" w:hAnsi="宋体" w:cs="宋体" w:eastAsia="宋体" w:hint="default"/>
                <w:sz w:val="15"/>
                <w:szCs w:val="15"/>
              </w:rPr>
              <w:t>同方光电（香港）有限公司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8"/>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0"/>
              <w:jc w:val="right"/>
              <w:rPr>
                <w:rFonts w:ascii="宋体" w:hAnsi="宋体" w:cs="宋体" w:eastAsia="宋体" w:hint="default"/>
                <w:sz w:val="15"/>
                <w:szCs w:val="15"/>
              </w:rPr>
            </w:pPr>
            <w:r>
              <w:rPr>
                <w:rFonts w:ascii="宋体"/>
                <w:spacing w:val="-1"/>
                <w:sz w:val="15"/>
              </w:rPr>
              <w:t>USD2,000.00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8" w:right="0"/>
              <w:jc w:val="center"/>
              <w:rPr>
                <w:rFonts w:ascii="宋体" w:hAnsi="宋体" w:cs="宋体" w:eastAsia="宋体" w:hint="default"/>
                <w:sz w:val="15"/>
                <w:szCs w:val="15"/>
              </w:rPr>
            </w:pPr>
            <w:r>
              <w:rPr>
                <w:rFonts w:ascii="宋体"/>
                <w:sz w:val="15"/>
              </w:rPr>
              <w:t>45.00%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4"/>
              <w:jc w:val="center"/>
              <w:rPr>
                <w:rFonts w:ascii="宋体" w:hAnsi="宋体" w:cs="宋体" w:eastAsia="宋体" w:hint="default"/>
                <w:sz w:val="15"/>
                <w:szCs w:val="15"/>
              </w:rPr>
            </w:pPr>
            <w:r>
              <w:rPr>
                <w:rFonts w:ascii="宋体" w:hAnsi="宋体" w:cs="宋体" w:eastAsia="宋体" w:hint="default"/>
                <w:sz w:val="15"/>
                <w:szCs w:val="15"/>
              </w:rPr>
              <w:t>中国香港</w:t>
            </w:r>
          </w:p>
        </w:tc>
        <w:tc>
          <w:tcPr>
            <w:tcW w:w="3593" w:type="dxa"/>
            <w:tcBorders>
              <w:top w:val="nil" w:sz="6" w:space="0" w:color="auto"/>
              <w:left w:val="nil" w:sz="6" w:space="0" w:color="auto"/>
              <w:bottom w:val="nil" w:sz="6" w:space="0" w:color="auto"/>
              <w:right w:val="nil" w:sz="6" w:space="0" w:color="auto"/>
            </w:tcBorders>
          </w:tcPr>
          <w:p>
            <w:pPr>
              <w:pStyle w:val="TableParagraph"/>
              <w:spacing w:line="194" w:lineRule="exact" w:before="7"/>
              <w:ind w:left="74" w:right="137"/>
              <w:jc w:val="left"/>
              <w:rPr>
                <w:rFonts w:ascii="宋体" w:hAnsi="宋体" w:cs="宋体" w:eastAsia="宋体" w:hint="default"/>
                <w:sz w:val="15"/>
                <w:szCs w:val="15"/>
              </w:rPr>
            </w:pPr>
            <w:r>
              <w:rPr>
                <w:rFonts w:ascii="宋体" w:hAnsi="宋体" w:cs="宋体" w:eastAsia="宋体" w:hint="default"/>
                <w:sz w:val="15"/>
                <w:szCs w:val="15"/>
              </w:rPr>
              <w:t>LCD</w:t>
            </w:r>
            <w:r>
              <w:rPr>
                <w:rFonts w:ascii="宋体" w:hAnsi="宋体" w:cs="宋体" w:eastAsia="宋体" w:hint="default"/>
                <w:spacing w:val="-41"/>
                <w:sz w:val="15"/>
                <w:szCs w:val="15"/>
              </w:rPr>
              <w:t> </w:t>
            </w:r>
            <w:r>
              <w:rPr>
                <w:rFonts w:ascii="宋体" w:hAnsi="宋体" w:cs="宋体" w:eastAsia="宋体" w:hint="default"/>
                <w:sz w:val="15"/>
                <w:szCs w:val="15"/>
              </w:rPr>
              <w:t>模组产品、</w:t>
            </w:r>
            <w:r>
              <w:rPr>
                <w:rFonts w:ascii="宋体" w:hAnsi="宋体" w:cs="宋体" w:eastAsia="宋体" w:hint="default"/>
                <w:sz w:val="15"/>
                <w:szCs w:val="15"/>
              </w:rPr>
              <w:t>LED</w:t>
            </w:r>
            <w:r>
              <w:rPr>
                <w:rFonts w:ascii="宋体" w:hAnsi="宋体" w:cs="宋体" w:eastAsia="宋体" w:hint="default"/>
                <w:spacing w:val="-39"/>
                <w:sz w:val="15"/>
                <w:szCs w:val="15"/>
              </w:rPr>
              <w:t> </w:t>
            </w:r>
            <w:r>
              <w:rPr>
                <w:rFonts w:ascii="宋体" w:hAnsi="宋体" w:cs="宋体" w:eastAsia="宋体" w:hint="default"/>
                <w:sz w:val="15"/>
                <w:szCs w:val="15"/>
              </w:rPr>
              <w:t>芯片及光条、导光板及光学材料</w:t>
            </w:r>
            <w:r>
              <w:rPr>
                <w:rFonts w:ascii="宋体" w:hAnsi="宋体" w:cs="宋体" w:eastAsia="宋体" w:hint="default"/>
                <w:w w:val="100"/>
                <w:sz w:val="15"/>
                <w:szCs w:val="15"/>
              </w:rPr>
              <w:t> </w:t>
            </w:r>
            <w:r>
              <w:rPr>
                <w:rFonts w:ascii="宋体" w:hAnsi="宋体" w:cs="宋体" w:eastAsia="宋体" w:hint="default"/>
                <w:sz w:val="15"/>
                <w:szCs w:val="15"/>
              </w:rPr>
              <w:t>的开发、生产、技术服务</w:t>
            </w:r>
          </w:p>
        </w:tc>
      </w:tr>
      <w:tr>
        <w:trPr>
          <w:trHeight w:val="389"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 w:right="0"/>
              <w:jc w:val="left"/>
              <w:rPr>
                <w:rFonts w:ascii="宋体" w:hAnsi="宋体" w:cs="宋体" w:eastAsia="宋体" w:hint="default"/>
                <w:sz w:val="15"/>
                <w:szCs w:val="15"/>
              </w:rPr>
            </w:pPr>
            <w:r>
              <w:rPr>
                <w:rFonts w:ascii="宋体" w:hAnsi="宋体" w:cs="宋体" w:eastAsia="宋体" w:hint="default"/>
                <w:sz w:val="15"/>
                <w:szCs w:val="15"/>
              </w:rPr>
              <w:t>广东同方照明有限公司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right"/>
              <w:rPr>
                <w:rFonts w:ascii="宋体" w:hAnsi="宋体" w:cs="宋体" w:eastAsia="宋体" w:hint="default"/>
                <w:sz w:val="15"/>
                <w:szCs w:val="15"/>
              </w:rPr>
            </w:pPr>
            <w:r>
              <w:rPr>
                <w:rFonts w:ascii="宋体" w:hAnsi="宋体"/>
                <w:spacing w:val="-2"/>
                <w:sz w:val="15"/>
              </w:rPr>
              <w:t>¥4,050.00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center"/>
              <w:rPr>
                <w:rFonts w:ascii="宋体" w:hAnsi="宋体" w:cs="宋体" w:eastAsia="宋体" w:hint="default"/>
                <w:sz w:val="15"/>
                <w:szCs w:val="15"/>
              </w:rPr>
            </w:pPr>
            <w:r>
              <w:rPr>
                <w:rFonts w:ascii="宋体" w:hAnsi="宋体" w:cs="宋体" w:eastAsia="宋体" w:hint="default"/>
                <w:sz w:val="15"/>
                <w:szCs w:val="15"/>
              </w:rPr>
              <w:t>广东广州</w:t>
            </w:r>
          </w:p>
        </w:tc>
        <w:tc>
          <w:tcPr>
            <w:tcW w:w="3593" w:type="dxa"/>
            <w:tcBorders>
              <w:top w:val="nil" w:sz="6" w:space="0" w:color="auto"/>
              <w:left w:val="nil" w:sz="6" w:space="0" w:color="auto"/>
              <w:bottom w:val="nil" w:sz="6" w:space="0" w:color="auto"/>
              <w:right w:val="nil" w:sz="6" w:space="0" w:color="auto"/>
            </w:tcBorders>
          </w:tcPr>
          <w:p>
            <w:pPr>
              <w:pStyle w:val="TableParagraph"/>
              <w:spacing w:line="172" w:lineRule="exact"/>
              <w:ind w:left="74" w:right="0"/>
              <w:jc w:val="left"/>
              <w:rPr>
                <w:rFonts w:ascii="宋体" w:hAnsi="宋体" w:cs="宋体" w:eastAsia="宋体" w:hint="default"/>
                <w:sz w:val="15"/>
                <w:szCs w:val="15"/>
              </w:rPr>
            </w:pPr>
            <w:r>
              <w:rPr>
                <w:rFonts w:ascii="宋体" w:hAnsi="宋体" w:cs="宋体" w:eastAsia="宋体" w:hint="default"/>
                <w:spacing w:val="-4"/>
                <w:sz w:val="15"/>
                <w:szCs w:val="15"/>
              </w:rPr>
              <w:t>半导体应用技术开发；半导体器件、电子元器件、照</w:t>
            </w:r>
          </w:p>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明电器设备、电子显示屏、灯具制造与安装</w:t>
            </w:r>
          </w:p>
        </w:tc>
      </w:tr>
      <w:tr>
        <w:trPr>
          <w:trHeight w:val="401"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 w:right="0"/>
              <w:jc w:val="left"/>
              <w:rPr>
                <w:rFonts w:ascii="宋体" w:hAnsi="宋体" w:cs="宋体" w:eastAsia="宋体" w:hint="default"/>
                <w:sz w:val="15"/>
                <w:szCs w:val="15"/>
              </w:rPr>
            </w:pPr>
            <w:r>
              <w:rPr>
                <w:rFonts w:ascii="宋体" w:hAnsi="宋体" w:cs="宋体" w:eastAsia="宋体" w:hint="default"/>
                <w:sz w:val="15"/>
                <w:szCs w:val="15"/>
              </w:rPr>
              <w:t>深圳市同方光电科技有限公司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0"/>
              <w:jc w:val="right"/>
              <w:rPr>
                <w:rFonts w:ascii="宋体" w:hAnsi="宋体" w:cs="宋体" w:eastAsia="宋体" w:hint="default"/>
                <w:sz w:val="15"/>
                <w:szCs w:val="15"/>
              </w:rPr>
            </w:pPr>
            <w:r>
              <w:rPr>
                <w:rFonts w:ascii="宋体"/>
                <w:spacing w:val="-1"/>
                <w:sz w:val="15"/>
              </w:rPr>
              <w:t>HKD2,800.00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center"/>
              <w:rPr>
                <w:rFonts w:ascii="宋体" w:hAnsi="宋体" w:cs="宋体" w:eastAsia="宋体" w:hint="default"/>
                <w:sz w:val="15"/>
                <w:szCs w:val="15"/>
              </w:rPr>
            </w:pPr>
            <w:r>
              <w:rPr>
                <w:rFonts w:ascii="宋体" w:hAnsi="宋体" w:cs="宋体" w:eastAsia="宋体" w:hint="default"/>
                <w:sz w:val="15"/>
                <w:szCs w:val="15"/>
              </w:rPr>
              <w:t>广东深圳</w:t>
            </w:r>
          </w:p>
        </w:tc>
        <w:tc>
          <w:tcPr>
            <w:tcW w:w="3593" w:type="dxa"/>
            <w:tcBorders>
              <w:top w:val="nil" w:sz="6" w:space="0" w:color="auto"/>
              <w:left w:val="nil" w:sz="6" w:space="0" w:color="auto"/>
              <w:bottom w:val="nil" w:sz="6" w:space="0" w:color="auto"/>
              <w:right w:val="nil" w:sz="6" w:space="0" w:color="auto"/>
            </w:tcBorders>
          </w:tcPr>
          <w:p>
            <w:pPr>
              <w:pStyle w:val="TableParagraph"/>
              <w:spacing w:line="172" w:lineRule="exact"/>
              <w:ind w:left="74" w:right="0"/>
              <w:jc w:val="left"/>
              <w:rPr>
                <w:rFonts w:ascii="宋体" w:hAnsi="宋体" w:cs="宋体" w:eastAsia="宋体" w:hint="default"/>
                <w:sz w:val="15"/>
                <w:szCs w:val="15"/>
              </w:rPr>
            </w:pPr>
            <w:r>
              <w:rPr>
                <w:rFonts w:ascii="宋体" w:hAnsi="宋体" w:cs="宋体" w:eastAsia="宋体" w:hint="default"/>
                <w:sz w:val="15"/>
                <w:szCs w:val="15"/>
              </w:rPr>
              <w:t>LED </w:t>
            </w:r>
            <w:r>
              <w:rPr>
                <w:rFonts w:ascii="宋体" w:hAnsi="宋体" w:cs="宋体" w:eastAsia="宋体" w:hint="default"/>
                <w:spacing w:val="-3"/>
                <w:sz w:val="15"/>
                <w:szCs w:val="15"/>
              </w:rPr>
              <w:t>液晶模组的生产经营，</w:t>
            </w:r>
            <w:r>
              <w:rPr>
                <w:rFonts w:ascii="宋体" w:hAnsi="宋体" w:cs="宋体" w:eastAsia="宋体" w:hint="default"/>
                <w:spacing w:val="-3"/>
                <w:sz w:val="15"/>
                <w:szCs w:val="15"/>
              </w:rPr>
              <w:t>LCD</w:t>
            </w:r>
            <w:r>
              <w:rPr>
                <w:rFonts w:ascii="宋体" w:hAnsi="宋体" w:cs="宋体" w:eastAsia="宋体" w:hint="default"/>
                <w:spacing w:val="-3"/>
                <w:sz w:val="15"/>
                <w:szCs w:val="15"/>
              </w:rPr>
              <w:t>、</w:t>
            </w:r>
            <w:r>
              <w:rPr>
                <w:rFonts w:ascii="宋体" w:hAnsi="宋体" w:cs="宋体" w:eastAsia="宋体" w:hint="default"/>
                <w:spacing w:val="-3"/>
                <w:sz w:val="15"/>
                <w:szCs w:val="15"/>
              </w:rPr>
              <w:t>LED</w:t>
            </w:r>
            <w:r>
              <w:rPr>
                <w:rFonts w:ascii="宋体" w:hAnsi="宋体" w:cs="宋体" w:eastAsia="宋体" w:hint="default"/>
                <w:spacing w:val="-52"/>
                <w:sz w:val="15"/>
                <w:szCs w:val="15"/>
              </w:rPr>
              <w:t> </w:t>
            </w:r>
            <w:r>
              <w:rPr>
                <w:rFonts w:ascii="宋体" w:hAnsi="宋体" w:cs="宋体" w:eastAsia="宋体" w:hint="default"/>
                <w:spacing w:val="-3"/>
                <w:sz w:val="15"/>
                <w:szCs w:val="15"/>
              </w:rPr>
              <w:t>芯片及光条、导</w:t>
            </w:r>
          </w:p>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光板、光学材料等的研发、技术咨询服务</w:t>
            </w:r>
          </w:p>
        </w:tc>
      </w:tr>
      <w:tr>
        <w:trPr>
          <w:trHeight w:val="217"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85" w:lineRule="exact"/>
              <w:ind w:left="33" w:right="0"/>
              <w:jc w:val="left"/>
              <w:rPr>
                <w:rFonts w:ascii="宋体" w:hAnsi="宋体" w:cs="宋体" w:eastAsia="宋体" w:hint="default"/>
                <w:sz w:val="15"/>
                <w:szCs w:val="15"/>
              </w:rPr>
            </w:pPr>
            <w:r>
              <w:rPr>
                <w:rFonts w:ascii="宋体"/>
                <w:sz w:val="15"/>
              </w:rPr>
              <w:t>Tongfang HongKong</w:t>
            </w:r>
            <w:r>
              <w:rPr>
                <w:rFonts w:ascii="宋体"/>
                <w:spacing w:val="-15"/>
                <w:sz w:val="15"/>
              </w:rPr>
              <w:t> </w:t>
            </w:r>
            <w:r>
              <w:rPr>
                <w:rFonts w:ascii="宋体"/>
                <w:sz w:val="15"/>
              </w:rPr>
              <w:t>Limited</w:t>
            </w:r>
          </w:p>
        </w:tc>
        <w:tc>
          <w:tcPr>
            <w:tcW w:w="423" w:type="dxa"/>
            <w:tcBorders>
              <w:top w:val="nil" w:sz="6" w:space="0" w:color="auto"/>
              <w:left w:val="nil" w:sz="6" w:space="0" w:color="auto"/>
              <w:bottom w:val="nil" w:sz="6" w:space="0" w:color="auto"/>
              <w:right w:val="nil" w:sz="6" w:space="0" w:color="auto"/>
            </w:tcBorders>
          </w:tcPr>
          <w:p>
            <w:pPr>
              <w:pStyle w:val="TableParagraph"/>
              <w:spacing w:line="185" w:lineRule="exact"/>
              <w:ind w:right="48"/>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85" w:lineRule="exact"/>
              <w:ind w:right="59"/>
              <w:jc w:val="right"/>
              <w:rPr>
                <w:rFonts w:ascii="宋体" w:hAnsi="宋体" w:cs="宋体" w:eastAsia="宋体" w:hint="default"/>
                <w:sz w:val="15"/>
                <w:szCs w:val="15"/>
              </w:rPr>
            </w:pPr>
            <w:r>
              <w:rPr>
                <w:rFonts w:ascii="宋体"/>
                <w:spacing w:val="-2"/>
                <w:sz w:val="15"/>
              </w:rPr>
              <w:t>USD800.00</w:t>
            </w:r>
          </w:p>
        </w:tc>
        <w:tc>
          <w:tcPr>
            <w:tcW w:w="652" w:type="dxa"/>
            <w:tcBorders>
              <w:top w:val="nil" w:sz="6" w:space="0" w:color="auto"/>
              <w:left w:val="nil" w:sz="6" w:space="0" w:color="auto"/>
              <w:bottom w:val="nil" w:sz="6" w:space="0" w:color="auto"/>
              <w:right w:val="nil" w:sz="6" w:space="0" w:color="auto"/>
            </w:tcBorders>
          </w:tcPr>
          <w:p>
            <w:pPr>
              <w:pStyle w:val="TableParagraph"/>
              <w:spacing w:line="185" w:lineRule="exact"/>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5" w:lineRule="exact"/>
              <w:ind w:right="14"/>
              <w:jc w:val="center"/>
              <w:rPr>
                <w:rFonts w:ascii="宋体" w:hAnsi="宋体" w:cs="宋体" w:eastAsia="宋体" w:hint="default"/>
                <w:sz w:val="15"/>
                <w:szCs w:val="15"/>
              </w:rPr>
            </w:pPr>
            <w:r>
              <w:rPr>
                <w:rFonts w:ascii="宋体" w:hAnsi="宋体" w:cs="宋体" w:eastAsia="宋体" w:hint="default"/>
                <w:sz w:val="15"/>
                <w:szCs w:val="15"/>
              </w:rPr>
              <w:t>中国香港</w:t>
            </w:r>
          </w:p>
        </w:tc>
        <w:tc>
          <w:tcPr>
            <w:tcW w:w="3593" w:type="dxa"/>
            <w:tcBorders>
              <w:top w:val="nil" w:sz="6" w:space="0" w:color="auto"/>
              <w:left w:val="nil" w:sz="6" w:space="0" w:color="auto"/>
              <w:bottom w:val="nil" w:sz="6" w:space="0" w:color="auto"/>
              <w:right w:val="nil" w:sz="6" w:space="0" w:color="auto"/>
            </w:tcBorders>
          </w:tcPr>
          <w:p>
            <w:pPr>
              <w:pStyle w:val="TableParagraph"/>
              <w:spacing w:line="185" w:lineRule="exact"/>
              <w:ind w:left="74" w:right="0"/>
              <w:jc w:val="left"/>
              <w:rPr>
                <w:rFonts w:ascii="宋体" w:hAnsi="宋体" w:cs="宋体" w:eastAsia="宋体" w:hint="default"/>
                <w:sz w:val="15"/>
                <w:szCs w:val="15"/>
              </w:rPr>
            </w:pPr>
            <w:r>
              <w:rPr>
                <w:rFonts w:ascii="宋体" w:hAnsi="宋体" w:cs="宋体" w:eastAsia="宋体" w:hint="default"/>
                <w:sz w:val="15"/>
                <w:szCs w:val="15"/>
              </w:rPr>
              <w:t>计算机产品研发和销售</w:t>
            </w:r>
          </w:p>
        </w:tc>
      </w:tr>
      <w:tr>
        <w:trPr>
          <w:trHeight w:val="413"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96" w:lineRule="exact" w:before="5"/>
              <w:ind w:left="33" w:right="52"/>
              <w:jc w:val="left"/>
              <w:rPr>
                <w:rFonts w:ascii="宋体" w:hAnsi="宋体" w:cs="宋体" w:eastAsia="宋体" w:hint="default"/>
                <w:sz w:val="15"/>
                <w:szCs w:val="15"/>
              </w:rPr>
            </w:pPr>
            <w:r>
              <w:rPr>
                <w:rFonts w:ascii="宋体" w:hAnsi="宋体" w:cs="宋体" w:eastAsia="宋体" w:hint="default"/>
                <w:spacing w:val="-2"/>
                <w:sz w:val="15"/>
                <w:szCs w:val="15"/>
              </w:rPr>
              <w:t>同方国际信息技术（深圳）有限</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9"/>
              <w:jc w:val="right"/>
              <w:rPr>
                <w:rFonts w:ascii="宋体" w:hAnsi="宋体" w:cs="宋体" w:eastAsia="宋体" w:hint="default"/>
                <w:sz w:val="15"/>
                <w:szCs w:val="15"/>
              </w:rPr>
            </w:pPr>
            <w:r>
              <w:rPr>
                <w:rFonts w:ascii="宋体" w:hAnsi="宋体"/>
                <w:spacing w:val="-2"/>
                <w:sz w:val="15"/>
              </w:rPr>
              <w:t>¥1,000.00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4"/>
              <w:jc w:val="center"/>
              <w:rPr>
                <w:rFonts w:ascii="宋体" w:hAnsi="宋体" w:cs="宋体" w:eastAsia="宋体" w:hint="default"/>
                <w:sz w:val="15"/>
                <w:szCs w:val="15"/>
              </w:rPr>
            </w:pPr>
            <w:r>
              <w:rPr>
                <w:rFonts w:ascii="宋体" w:hAnsi="宋体" w:cs="宋体" w:eastAsia="宋体" w:hint="default"/>
                <w:sz w:val="15"/>
                <w:szCs w:val="15"/>
              </w:rPr>
              <w:t>广东深圳</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4" w:right="0"/>
              <w:jc w:val="left"/>
              <w:rPr>
                <w:rFonts w:ascii="宋体" w:hAnsi="宋体" w:cs="宋体" w:eastAsia="宋体" w:hint="default"/>
                <w:sz w:val="15"/>
                <w:szCs w:val="15"/>
              </w:rPr>
            </w:pPr>
            <w:r>
              <w:rPr>
                <w:rFonts w:ascii="宋体" w:hAnsi="宋体" w:cs="宋体" w:eastAsia="宋体" w:hint="default"/>
                <w:sz w:val="15"/>
                <w:szCs w:val="15"/>
              </w:rPr>
              <w:t>计算机产品研发和销售</w:t>
            </w:r>
          </w:p>
        </w:tc>
      </w:tr>
      <w:tr>
        <w:trPr>
          <w:trHeight w:val="217"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83" w:lineRule="exact"/>
              <w:ind w:left="33" w:right="0"/>
              <w:jc w:val="left"/>
              <w:rPr>
                <w:rFonts w:ascii="宋体" w:hAnsi="宋体" w:cs="宋体" w:eastAsia="宋体" w:hint="default"/>
                <w:sz w:val="15"/>
                <w:szCs w:val="15"/>
              </w:rPr>
            </w:pPr>
            <w:r>
              <w:rPr>
                <w:rFonts w:ascii="宋体" w:hAnsi="宋体" w:cs="宋体" w:eastAsia="宋体" w:hint="default"/>
                <w:sz w:val="15"/>
                <w:szCs w:val="15"/>
              </w:rPr>
              <w:t>同方计算机（苏州）有限公司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83" w:lineRule="exact"/>
              <w:ind w:right="48"/>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83" w:lineRule="exact"/>
              <w:ind w:right="59"/>
              <w:jc w:val="right"/>
              <w:rPr>
                <w:rFonts w:ascii="宋体" w:hAnsi="宋体" w:cs="宋体" w:eastAsia="宋体" w:hint="default"/>
                <w:sz w:val="15"/>
                <w:szCs w:val="15"/>
              </w:rPr>
            </w:pPr>
            <w:r>
              <w:rPr>
                <w:rFonts w:ascii="宋体" w:hAnsi="宋体"/>
                <w:spacing w:val="-2"/>
                <w:sz w:val="15"/>
              </w:rPr>
              <w:t>¥2,500.00</w:t>
            </w:r>
          </w:p>
        </w:tc>
        <w:tc>
          <w:tcPr>
            <w:tcW w:w="652" w:type="dxa"/>
            <w:tcBorders>
              <w:top w:val="nil" w:sz="6" w:space="0" w:color="auto"/>
              <w:left w:val="nil" w:sz="6" w:space="0" w:color="auto"/>
              <w:bottom w:val="nil" w:sz="6" w:space="0" w:color="auto"/>
              <w:right w:val="nil" w:sz="6" w:space="0" w:color="auto"/>
            </w:tcBorders>
          </w:tcPr>
          <w:p>
            <w:pPr>
              <w:pStyle w:val="TableParagraph"/>
              <w:spacing w:line="183" w:lineRule="exact"/>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3" w:lineRule="exact"/>
              <w:ind w:right="14"/>
              <w:jc w:val="center"/>
              <w:rPr>
                <w:rFonts w:ascii="宋体" w:hAnsi="宋体" w:cs="宋体" w:eastAsia="宋体" w:hint="default"/>
                <w:sz w:val="15"/>
                <w:szCs w:val="15"/>
              </w:rPr>
            </w:pPr>
            <w:r>
              <w:rPr>
                <w:rFonts w:ascii="宋体" w:hAnsi="宋体" w:cs="宋体" w:eastAsia="宋体" w:hint="default"/>
                <w:sz w:val="15"/>
                <w:szCs w:val="15"/>
              </w:rPr>
              <w:t>江苏苏州</w:t>
            </w:r>
          </w:p>
        </w:tc>
        <w:tc>
          <w:tcPr>
            <w:tcW w:w="3593" w:type="dxa"/>
            <w:tcBorders>
              <w:top w:val="nil" w:sz="6" w:space="0" w:color="auto"/>
              <w:left w:val="nil" w:sz="6" w:space="0" w:color="auto"/>
              <w:bottom w:val="nil" w:sz="6" w:space="0" w:color="auto"/>
              <w:right w:val="nil" w:sz="6" w:space="0" w:color="auto"/>
            </w:tcBorders>
          </w:tcPr>
          <w:p>
            <w:pPr>
              <w:pStyle w:val="TableParagraph"/>
              <w:spacing w:line="183" w:lineRule="exact"/>
              <w:ind w:left="74" w:right="0"/>
              <w:jc w:val="left"/>
              <w:rPr>
                <w:rFonts w:ascii="宋体" w:hAnsi="宋体" w:cs="宋体" w:eastAsia="宋体" w:hint="default"/>
                <w:sz w:val="15"/>
                <w:szCs w:val="15"/>
              </w:rPr>
            </w:pPr>
            <w:r>
              <w:rPr>
                <w:rFonts w:ascii="宋体" w:hAnsi="宋体" w:cs="宋体" w:eastAsia="宋体" w:hint="default"/>
                <w:sz w:val="15"/>
                <w:szCs w:val="15"/>
              </w:rPr>
              <w:t>计算机产品研发和生产</w:t>
            </w:r>
          </w:p>
        </w:tc>
      </w:tr>
      <w:tr>
        <w:trPr>
          <w:trHeight w:val="401"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94" w:lineRule="exact" w:before="8"/>
              <w:ind w:left="33" w:right="52"/>
              <w:jc w:val="left"/>
              <w:rPr>
                <w:rFonts w:ascii="宋体" w:hAnsi="宋体" w:cs="宋体" w:eastAsia="宋体" w:hint="default"/>
                <w:sz w:val="15"/>
                <w:szCs w:val="15"/>
              </w:rPr>
            </w:pPr>
            <w:r>
              <w:rPr>
                <w:rFonts w:ascii="宋体" w:hAnsi="宋体" w:cs="宋体" w:eastAsia="宋体" w:hint="default"/>
                <w:spacing w:val="-2"/>
                <w:sz w:val="15"/>
                <w:szCs w:val="15"/>
              </w:rPr>
              <w:t>同方国际信息技术（苏州）有限</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9"/>
              <w:jc w:val="right"/>
              <w:rPr>
                <w:rFonts w:ascii="宋体" w:hAnsi="宋体" w:cs="宋体" w:eastAsia="宋体" w:hint="default"/>
                <w:sz w:val="15"/>
                <w:szCs w:val="15"/>
              </w:rPr>
            </w:pPr>
            <w:r>
              <w:rPr>
                <w:rFonts w:ascii="宋体" w:hAnsi="宋体"/>
                <w:spacing w:val="-2"/>
                <w:sz w:val="15"/>
              </w:rPr>
              <w:t>¥1,000.00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center"/>
              <w:rPr>
                <w:rFonts w:ascii="宋体" w:hAnsi="宋体" w:cs="宋体" w:eastAsia="宋体" w:hint="default"/>
                <w:sz w:val="15"/>
                <w:szCs w:val="15"/>
              </w:rPr>
            </w:pPr>
            <w:r>
              <w:rPr>
                <w:rFonts w:ascii="宋体" w:hAnsi="宋体" w:cs="宋体" w:eastAsia="宋体" w:hint="default"/>
                <w:sz w:val="15"/>
                <w:szCs w:val="15"/>
              </w:rPr>
              <w:t>江苏苏州</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4" w:right="0"/>
              <w:jc w:val="left"/>
              <w:rPr>
                <w:rFonts w:ascii="宋体" w:hAnsi="宋体" w:cs="宋体" w:eastAsia="宋体" w:hint="default"/>
                <w:sz w:val="15"/>
                <w:szCs w:val="15"/>
              </w:rPr>
            </w:pPr>
            <w:r>
              <w:rPr>
                <w:rFonts w:ascii="宋体" w:hAnsi="宋体" w:cs="宋体" w:eastAsia="宋体" w:hint="default"/>
                <w:sz w:val="15"/>
                <w:szCs w:val="15"/>
              </w:rPr>
              <w:t>计算机及相关产品生产、销售</w:t>
            </w:r>
          </w:p>
        </w:tc>
      </w:tr>
      <w:tr>
        <w:trPr>
          <w:trHeight w:val="584"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3" w:right="54"/>
              <w:jc w:val="left"/>
              <w:rPr>
                <w:rFonts w:ascii="宋体" w:hAnsi="宋体" w:cs="宋体" w:eastAsia="宋体" w:hint="default"/>
                <w:sz w:val="15"/>
                <w:szCs w:val="15"/>
              </w:rPr>
            </w:pPr>
            <w:r>
              <w:rPr>
                <w:rFonts w:ascii="宋体"/>
                <w:spacing w:val="-2"/>
                <w:sz w:val="15"/>
              </w:rPr>
              <w:t>UnitedStack(China)Corporatio</w:t>
            </w:r>
            <w:r>
              <w:rPr>
                <w:rFonts w:ascii="宋体"/>
                <w:spacing w:val="-36"/>
                <w:sz w:val="15"/>
              </w:rPr>
              <w:t> </w:t>
            </w:r>
            <w:r>
              <w:rPr>
                <w:rFonts w:ascii="宋体"/>
                <w:spacing w:val="-36"/>
                <w:sz w:val="15"/>
              </w:rPr>
            </w:r>
            <w:r>
              <w:rPr>
                <w:rFonts w:ascii="宋体"/>
                <w:sz w:val="15"/>
              </w:rPr>
              <w:t>n</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60"/>
              <w:jc w:val="right"/>
              <w:rPr>
                <w:rFonts w:ascii="宋体" w:hAnsi="宋体" w:cs="宋体" w:eastAsia="宋体" w:hint="default"/>
                <w:sz w:val="15"/>
                <w:szCs w:val="15"/>
              </w:rPr>
            </w:pPr>
            <w:r>
              <w:rPr>
                <w:rFonts w:ascii="宋体"/>
                <w:spacing w:val="-1"/>
                <w:sz w:val="15"/>
              </w:rPr>
              <w:t>USD5,475.00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78" w:right="0"/>
              <w:jc w:val="center"/>
              <w:rPr>
                <w:rFonts w:ascii="宋体" w:hAnsi="宋体" w:cs="宋体" w:eastAsia="宋体" w:hint="default"/>
                <w:sz w:val="15"/>
                <w:szCs w:val="15"/>
              </w:rPr>
            </w:pPr>
            <w:r>
              <w:rPr>
                <w:rFonts w:ascii="宋体"/>
                <w:sz w:val="15"/>
              </w:rPr>
              <w:t>51.00%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开曼群岛</w:t>
            </w:r>
          </w:p>
        </w:tc>
        <w:tc>
          <w:tcPr>
            <w:tcW w:w="3593" w:type="dxa"/>
            <w:tcBorders>
              <w:top w:val="nil" w:sz="6" w:space="0" w:color="auto"/>
              <w:left w:val="nil" w:sz="6" w:space="0" w:color="auto"/>
              <w:bottom w:val="nil" w:sz="6" w:space="0" w:color="auto"/>
              <w:right w:val="nil" w:sz="6" w:space="0" w:color="auto"/>
            </w:tcBorders>
          </w:tcPr>
          <w:p>
            <w:pPr>
              <w:pStyle w:val="TableParagraph"/>
              <w:spacing w:line="172" w:lineRule="exact"/>
              <w:ind w:left="74" w:right="0"/>
              <w:jc w:val="left"/>
              <w:rPr>
                <w:rFonts w:ascii="宋体" w:hAnsi="宋体" w:cs="宋体" w:eastAsia="宋体" w:hint="default"/>
                <w:sz w:val="15"/>
                <w:szCs w:val="15"/>
              </w:rPr>
            </w:pPr>
            <w:r>
              <w:rPr>
                <w:rFonts w:ascii="宋体" w:hAnsi="宋体" w:cs="宋体" w:eastAsia="宋体" w:hint="default"/>
                <w:spacing w:val="-4"/>
                <w:sz w:val="15"/>
                <w:szCs w:val="15"/>
              </w:rPr>
              <w:t>计算机软件技术及网络技术开发、技术转让、技术咨</w:t>
            </w:r>
          </w:p>
          <w:p>
            <w:pPr>
              <w:pStyle w:val="TableParagraph"/>
              <w:spacing w:line="240" w:lineRule="auto"/>
              <w:ind w:left="74" w:right="106"/>
              <w:jc w:val="left"/>
              <w:rPr>
                <w:rFonts w:ascii="宋体" w:hAnsi="宋体" w:cs="宋体" w:eastAsia="宋体" w:hint="default"/>
                <w:sz w:val="15"/>
                <w:szCs w:val="15"/>
              </w:rPr>
            </w:pPr>
            <w:r>
              <w:rPr>
                <w:rFonts w:ascii="宋体" w:hAnsi="宋体" w:cs="宋体" w:eastAsia="宋体" w:hint="default"/>
                <w:spacing w:val="-4"/>
                <w:sz w:val="15"/>
                <w:szCs w:val="15"/>
              </w:rPr>
              <w:t>询、技术服务、技术推广；计算机系统集成；产品设</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z w:val="15"/>
                <w:szCs w:val="15"/>
              </w:rPr>
              <w:t>计；销售自行开发后的产品</w:t>
            </w:r>
          </w:p>
        </w:tc>
      </w:tr>
      <w:tr>
        <w:trPr>
          <w:trHeight w:val="583"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33" w:right="0"/>
              <w:jc w:val="left"/>
              <w:rPr>
                <w:rFonts w:ascii="宋体" w:hAnsi="宋体" w:cs="宋体" w:eastAsia="宋体" w:hint="default"/>
                <w:sz w:val="15"/>
                <w:szCs w:val="15"/>
              </w:rPr>
            </w:pPr>
            <w:r>
              <w:rPr>
                <w:rFonts w:ascii="宋体"/>
                <w:sz w:val="15"/>
              </w:rPr>
              <w:t>UnitedStack(HongKong)Limited</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48"/>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60"/>
              <w:jc w:val="right"/>
              <w:rPr>
                <w:rFonts w:ascii="宋体" w:hAnsi="宋体" w:cs="宋体" w:eastAsia="宋体" w:hint="default"/>
                <w:sz w:val="15"/>
                <w:szCs w:val="15"/>
              </w:rPr>
            </w:pPr>
            <w:r>
              <w:rPr>
                <w:rFonts w:ascii="宋体"/>
                <w:spacing w:val="-1"/>
                <w:sz w:val="15"/>
              </w:rPr>
              <w:t>USD1,490.00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1"/>
              <w:jc w:val="center"/>
              <w:rPr>
                <w:rFonts w:ascii="宋体" w:hAnsi="宋体" w:cs="宋体" w:eastAsia="宋体" w:hint="default"/>
                <w:sz w:val="15"/>
                <w:szCs w:val="15"/>
              </w:rPr>
            </w:pPr>
            <w:r>
              <w:rPr>
                <w:rFonts w:ascii="宋体" w:hAnsi="宋体" w:cs="宋体" w:eastAsia="宋体" w:hint="default"/>
                <w:sz w:val="15"/>
                <w:szCs w:val="15"/>
              </w:rPr>
              <w:t>香港</w:t>
            </w:r>
          </w:p>
        </w:tc>
        <w:tc>
          <w:tcPr>
            <w:tcW w:w="3593" w:type="dxa"/>
            <w:tcBorders>
              <w:top w:val="nil" w:sz="6" w:space="0" w:color="auto"/>
              <w:left w:val="nil" w:sz="6" w:space="0" w:color="auto"/>
              <w:bottom w:val="nil" w:sz="6" w:space="0" w:color="auto"/>
              <w:right w:val="nil" w:sz="6" w:space="0" w:color="auto"/>
            </w:tcBorders>
          </w:tcPr>
          <w:p>
            <w:pPr>
              <w:pStyle w:val="TableParagraph"/>
              <w:spacing w:line="172" w:lineRule="exact"/>
              <w:ind w:left="74" w:right="0"/>
              <w:jc w:val="left"/>
              <w:rPr>
                <w:rFonts w:ascii="宋体" w:hAnsi="宋体" w:cs="宋体" w:eastAsia="宋体" w:hint="default"/>
                <w:sz w:val="15"/>
                <w:szCs w:val="15"/>
              </w:rPr>
            </w:pPr>
            <w:r>
              <w:rPr>
                <w:rFonts w:ascii="宋体" w:hAnsi="宋体" w:cs="宋体" w:eastAsia="宋体" w:hint="default"/>
                <w:spacing w:val="-4"/>
                <w:sz w:val="15"/>
                <w:szCs w:val="15"/>
              </w:rPr>
              <w:t>计算机软件技术及网络技术开发、技术转让、技术咨</w:t>
            </w:r>
          </w:p>
          <w:p>
            <w:pPr>
              <w:pStyle w:val="TableParagraph"/>
              <w:spacing w:line="240" w:lineRule="auto"/>
              <w:ind w:left="74" w:right="106"/>
              <w:jc w:val="left"/>
              <w:rPr>
                <w:rFonts w:ascii="宋体" w:hAnsi="宋体" w:cs="宋体" w:eastAsia="宋体" w:hint="default"/>
                <w:sz w:val="15"/>
                <w:szCs w:val="15"/>
              </w:rPr>
            </w:pPr>
            <w:r>
              <w:rPr>
                <w:rFonts w:ascii="宋体" w:hAnsi="宋体" w:cs="宋体" w:eastAsia="宋体" w:hint="default"/>
                <w:spacing w:val="-4"/>
                <w:sz w:val="15"/>
                <w:szCs w:val="15"/>
              </w:rPr>
              <w:t>询、技术服务、技术推广；计算机系统集成；产品设</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z w:val="15"/>
                <w:szCs w:val="15"/>
              </w:rPr>
              <w:t>计；销售自行开发后的产品</w:t>
            </w:r>
          </w:p>
        </w:tc>
      </w:tr>
      <w:tr>
        <w:trPr>
          <w:trHeight w:val="583"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 w:right="126"/>
              <w:jc w:val="left"/>
              <w:rPr>
                <w:rFonts w:ascii="宋体" w:hAnsi="宋体" w:cs="宋体" w:eastAsia="宋体" w:hint="default"/>
                <w:sz w:val="15"/>
                <w:szCs w:val="15"/>
              </w:rPr>
            </w:pPr>
            <w:r>
              <w:rPr>
                <w:rFonts w:ascii="宋体" w:hAnsi="宋体" w:cs="宋体" w:eastAsia="宋体" w:hint="default"/>
                <w:spacing w:val="-2"/>
                <w:sz w:val="15"/>
                <w:szCs w:val="15"/>
              </w:rPr>
              <w:t>UnitedStack(</w:t>
            </w:r>
            <w:r>
              <w:rPr>
                <w:rFonts w:ascii="宋体" w:hAnsi="宋体" w:cs="宋体" w:eastAsia="宋体" w:hint="default"/>
                <w:spacing w:val="-2"/>
                <w:sz w:val="15"/>
                <w:szCs w:val="15"/>
              </w:rPr>
              <w:t>北京</w:t>
            </w:r>
            <w:r>
              <w:rPr>
                <w:rFonts w:ascii="宋体" w:hAnsi="宋体" w:cs="宋体" w:eastAsia="宋体" w:hint="default"/>
                <w:spacing w:val="-2"/>
                <w:sz w:val="15"/>
                <w:szCs w:val="15"/>
              </w:rPr>
              <w:t>)</w:t>
            </w:r>
            <w:r>
              <w:rPr>
                <w:rFonts w:ascii="宋体" w:hAnsi="宋体" w:cs="宋体" w:eastAsia="宋体" w:hint="default"/>
                <w:spacing w:val="-2"/>
                <w:sz w:val="15"/>
                <w:szCs w:val="15"/>
              </w:rPr>
              <w:t>科技有限公</w:t>
            </w:r>
            <w:r>
              <w:rPr>
                <w:rFonts w:ascii="宋体" w:hAnsi="宋体" w:cs="宋体" w:eastAsia="宋体" w:hint="default"/>
                <w:spacing w:val="-42"/>
                <w:sz w:val="15"/>
                <w:szCs w:val="15"/>
              </w:rPr>
              <w:t> </w:t>
            </w:r>
            <w:r>
              <w:rPr>
                <w:rFonts w:ascii="宋体" w:hAnsi="宋体" w:cs="宋体" w:eastAsia="宋体" w:hint="default"/>
                <w:spacing w:val="-42"/>
                <w:sz w:val="15"/>
                <w:szCs w:val="15"/>
              </w:rPr>
            </w:r>
            <w:r>
              <w:rPr>
                <w:rFonts w:ascii="宋体" w:hAnsi="宋体" w:cs="宋体" w:eastAsia="宋体" w:hint="default"/>
                <w:sz w:val="15"/>
                <w:szCs w:val="15"/>
              </w:rPr>
              <w:t>司</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48"/>
              <w:jc w:val="center"/>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60"/>
              <w:jc w:val="right"/>
              <w:rPr>
                <w:rFonts w:ascii="宋体" w:hAnsi="宋体" w:cs="宋体" w:eastAsia="宋体" w:hint="default"/>
                <w:sz w:val="15"/>
                <w:szCs w:val="15"/>
              </w:rPr>
            </w:pPr>
            <w:r>
              <w:rPr>
                <w:rFonts w:ascii="宋体"/>
                <w:spacing w:val="-1"/>
                <w:sz w:val="15"/>
              </w:rPr>
              <w:t>USD1,050.00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北京市</w:t>
            </w:r>
          </w:p>
        </w:tc>
        <w:tc>
          <w:tcPr>
            <w:tcW w:w="3593" w:type="dxa"/>
            <w:tcBorders>
              <w:top w:val="nil" w:sz="6" w:space="0" w:color="auto"/>
              <w:left w:val="nil" w:sz="6" w:space="0" w:color="auto"/>
              <w:bottom w:val="nil" w:sz="6" w:space="0" w:color="auto"/>
              <w:right w:val="nil" w:sz="6" w:space="0" w:color="auto"/>
            </w:tcBorders>
          </w:tcPr>
          <w:p>
            <w:pPr>
              <w:pStyle w:val="TableParagraph"/>
              <w:spacing w:line="172" w:lineRule="exact"/>
              <w:ind w:left="74" w:right="0"/>
              <w:jc w:val="left"/>
              <w:rPr>
                <w:rFonts w:ascii="宋体" w:hAnsi="宋体" w:cs="宋体" w:eastAsia="宋体" w:hint="default"/>
                <w:sz w:val="15"/>
                <w:szCs w:val="15"/>
              </w:rPr>
            </w:pPr>
            <w:r>
              <w:rPr>
                <w:rFonts w:ascii="宋体" w:hAnsi="宋体" w:cs="宋体" w:eastAsia="宋体" w:hint="default"/>
                <w:spacing w:val="-4"/>
                <w:sz w:val="15"/>
                <w:szCs w:val="15"/>
              </w:rPr>
              <w:t>计算机软件技术及网络技术开发、技术转让、技术咨</w:t>
            </w:r>
          </w:p>
          <w:p>
            <w:pPr>
              <w:pStyle w:val="TableParagraph"/>
              <w:spacing w:line="240" w:lineRule="auto"/>
              <w:ind w:left="74" w:right="106"/>
              <w:jc w:val="left"/>
              <w:rPr>
                <w:rFonts w:ascii="宋体" w:hAnsi="宋体" w:cs="宋体" w:eastAsia="宋体" w:hint="default"/>
                <w:sz w:val="15"/>
                <w:szCs w:val="15"/>
              </w:rPr>
            </w:pPr>
            <w:r>
              <w:rPr>
                <w:rFonts w:ascii="宋体" w:hAnsi="宋体" w:cs="宋体" w:eastAsia="宋体" w:hint="default"/>
                <w:spacing w:val="-4"/>
                <w:sz w:val="15"/>
                <w:szCs w:val="15"/>
              </w:rPr>
              <w:t>询、技术服务、技术推广；计算机系统集成；产品设</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z w:val="15"/>
                <w:szCs w:val="15"/>
              </w:rPr>
              <w:t>计；销售自行开发后的产品</w:t>
            </w:r>
          </w:p>
        </w:tc>
      </w:tr>
      <w:tr>
        <w:trPr>
          <w:trHeight w:val="595"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 w:right="52"/>
              <w:jc w:val="left"/>
              <w:rPr>
                <w:rFonts w:ascii="宋体" w:hAnsi="宋体" w:cs="宋体" w:eastAsia="宋体" w:hint="default"/>
                <w:sz w:val="15"/>
                <w:szCs w:val="15"/>
              </w:rPr>
            </w:pPr>
            <w:r>
              <w:rPr>
                <w:rFonts w:ascii="宋体" w:hAnsi="宋体" w:cs="宋体" w:eastAsia="宋体" w:hint="default"/>
                <w:spacing w:val="-2"/>
                <w:sz w:val="15"/>
                <w:szCs w:val="15"/>
              </w:rPr>
              <w:t>优思得云计算科技（无锡）有限</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48"/>
              <w:jc w:val="center"/>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59"/>
              <w:jc w:val="right"/>
              <w:rPr>
                <w:rFonts w:ascii="宋体" w:hAnsi="宋体" w:cs="宋体" w:eastAsia="宋体" w:hint="default"/>
                <w:sz w:val="15"/>
                <w:szCs w:val="15"/>
              </w:rPr>
            </w:pPr>
            <w:r>
              <w:rPr>
                <w:rFonts w:ascii="宋体"/>
                <w:spacing w:val="-2"/>
                <w:sz w:val="15"/>
              </w:rPr>
              <w:t>USD600.00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无锡市</w:t>
            </w:r>
          </w:p>
        </w:tc>
        <w:tc>
          <w:tcPr>
            <w:tcW w:w="3593" w:type="dxa"/>
            <w:tcBorders>
              <w:top w:val="nil" w:sz="6" w:space="0" w:color="auto"/>
              <w:left w:val="nil" w:sz="6" w:space="0" w:color="auto"/>
              <w:bottom w:val="nil" w:sz="6" w:space="0" w:color="auto"/>
              <w:right w:val="nil" w:sz="6" w:space="0" w:color="auto"/>
            </w:tcBorders>
          </w:tcPr>
          <w:p>
            <w:pPr>
              <w:pStyle w:val="TableParagraph"/>
              <w:spacing w:line="172" w:lineRule="exact"/>
              <w:ind w:left="74" w:right="0"/>
              <w:jc w:val="left"/>
              <w:rPr>
                <w:rFonts w:ascii="宋体" w:hAnsi="宋体" w:cs="宋体" w:eastAsia="宋体" w:hint="default"/>
                <w:sz w:val="15"/>
                <w:szCs w:val="15"/>
              </w:rPr>
            </w:pPr>
            <w:r>
              <w:rPr>
                <w:rFonts w:ascii="宋体" w:hAnsi="宋体" w:cs="宋体" w:eastAsia="宋体" w:hint="default"/>
                <w:spacing w:val="-4"/>
                <w:sz w:val="15"/>
                <w:szCs w:val="15"/>
              </w:rPr>
              <w:t>计算机软件技术及网络技术开发、技术转让、技术咨</w:t>
            </w:r>
          </w:p>
          <w:p>
            <w:pPr>
              <w:pStyle w:val="TableParagraph"/>
              <w:spacing w:line="240" w:lineRule="auto"/>
              <w:ind w:left="74" w:right="106"/>
              <w:jc w:val="left"/>
              <w:rPr>
                <w:rFonts w:ascii="宋体" w:hAnsi="宋体" w:cs="宋体" w:eastAsia="宋体" w:hint="default"/>
                <w:sz w:val="15"/>
                <w:szCs w:val="15"/>
              </w:rPr>
            </w:pPr>
            <w:r>
              <w:rPr>
                <w:rFonts w:ascii="宋体" w:hAnsi="宋体" w:cs="宋体" w:eastAsia="宋体" w:hint="default"/>
                <w:spacing w:val="-4"/>
                <w:sz w:val="15"/>
                <w:szCs w:val="15"/>
              </w:rPr>
              <w:t>询、技术服务、技术推广；计算机系统集成；产品设</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z w:val="15"/>
                <w:szCs w:val="15"/>
              </w:rPr>
              <w:t>计；销售自行开发后的产品</w:t>
            </w:r>
          </w:p>
        </w:tc>
      </w:tr>
      <w:tr>
        <w:trPr>
          <w:trHeight w:val="217"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85" w:lineRule="exact"/>
              <w:ind w:left="33" w:right="0"/>
              <w:jc w:val="left"/>
              <w:rPr>
                <w:rFonts w:ascii="宋体" w:hAnsi="宋体" w:cs="宋体" w:eastAsia="宋体" w:hint="default"/>
                <w:sz w:val="15"/>
                <w:szCs w:val="15"/>
              </w:rPr>
            </w:pPr>
            <w:r>
              <w:rPr>
                <w:rFonts w:ascii="宋体"/>
                <w:sz w:val="15"/>
              </w:rPr>
              <w:t>TongFang Global</w:t>
            </w:r>
            <w:r>
              <w:rPr>
                <w:rFonts w:ascii="宋体"/>
                <w:spacing w:val="-11"/>
                <w:sz w:val="15"/>
              </w:rPr>
              <w:t> </w:t>
            </w:r>
            <w:r>
              <w:rPr>
                <w:rFonts w:ascii="宋体"/>
                <w:sz w:val="15"/>
              </w:rPr>
              <w:t>Limited</w:t>
            </w:r>
          </w:p>
        </w:tc>
        <w:tc>
          <w:tcPr>
            <w:tcW w:w="423" w:type="dxa"/>
            <w:tcBorders>
              <w:top w:val="nil" w:sz="6" w:space="0" w:color="auto"/>
              <w:left w:val="nil" w:sz="6" w:space="0" w:color="auto"/>
              <w:bottom w:val="nil" w:sz="6" w:space="0" w:color="auto"/>
              <w:right w:val="nil" w:sz="6" w:space="0" w:color="auto"/>
            </w:tcBorders>
          </w:tcPr>
          <w:p>
            <w:pPr>
              <w:pStyle w:val="TableParagraph"/>
              <w:spacing w:line="185" w:lineRule="exact"/>
              <w:ind w:right="48"/>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85" w:lineRule="exact"/>
              <w:ind w:right="60"/>
              <w:jc w:val="right"/>
              <w:rPr>
                <w:rFonts w:ascii="宋体" w:hAnsi="宋体" w:cs="宋体" w:eastAsia="宋体" w:hint="default"/>
                <w:sz w:val="15"/>
                <w:szCs w:val="15"/>
              </w:rPr>
            </w:pPr>
            <w:r>
              <w:rPr>
                <w:rFonts w:ascii="宋体"/>
                <w:spacing w:val="-1"/>
                <w:sz w:val="15"/>
              </w:rPr>
              <w:t>USD1,000.00</w:t>
            </w:r>
          </w:p>
        </w:tc>
        <w:tc>
          <w:tcPr>
            <w:tcW w:w="652" w:type="dxa"/>
            <w:tcBorders>
              <w:top w:val="nil" w:sz="6" w:space="0" w:color="auto"/>
              <w:left w:val="nil" w:sz="6" w:space="0" w:color="auto"/>
              <w:bottom w:val="nil" w:sz="6" w:space="0" w:color="auto"/>
              <w:right w:val="nil" w:sz="6" w:space="0" w:color="auto"/>
            </w:tcBorders>
          </w:tcPr>
          <w:p>
            <w:pPr>
              <w:pStyle w:val="TableParagraph"/>
              <w:spacing w:line="185" w:lineRule="exact"/>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5" w:lineRule="exact"/>
              <w:ind w:right="14"/>
              <w:jc w:val="center"/>
              <w:rPr>
                <w:rFonts w:ascii="宋体" w:hAnsi="宋体" w:cs="宋体" w:eastAsia="宋体" w:hint="default"/>
                <w:sz w:val="15"/>
                <w:szCs w:val="15"/>
              </w:rPr>
            </w:pPr>
            <w:r>
              <w:rPr>
                <w:rFonts w:ascii="宋体" w:hAnsi="宋体" w:cs="宋体" w:eastAsia="宋体" w:hint="default"/>
                <w:sz w:val="15"/>
                <w:szCs w:val="15"/>
              </w:rPr>
              <w:t>中国香港</w:t>
            </w:r>
          </w:p>
        </w:tc>
        <w:tc>
          <w:tcPr>
            <w:tcW w:w="3593" w:type="dxa"/>
            <w:tcBorders>
              <w:top w:val="nil" w:sz="6" w:space="0" w:color="auto"/>
              <w:left w:val="nil" w:sz="6" w:space="0" w:color="auto"/>
              <w:bottom w:val="nil" w:sz="6" w:space="0" w:color="auto"/>
              <w:right w:val="nil" w:sz="6" w:space="0" w:color="auto"/>
            </w:tcBorders>
          </w:tcPr>
          <w:p>
            <w:pPr>
              <w:pStyle w:val="TableParagraph"/>
              <w:spacing w:line="185" w:lineRule="exact"/>
              <w:ind w:left="74" w:right="0"/>
              <w:jc w:val="left"/>
              <w:rPr>
                <w:rFonts w:ascii="宋体" w:hAnsi="宋体" w:cs="宋体" w:eastAsia="宋体" w:hint="default"/>
                <w:sz w:val="15"/>
                <w:szCs w:val="15"/>
              </w:rPr>
            </w:pPr>
            <w:r>
              <w:rPr>
                <w:rFonts w:ascii="宋体" w:hAnsi="宋体" w:cs="宋体" w:eastAsia="宋体" w:hint="default"/>
                <w:sz w:val="15"/>
                <w:szCs w:val="15"/>
              </w:rPr>
              <w:t>数字电视等消费电子产品经销</w:t>
            </w:r>
          </w:p>
        </w:tc>
      </w:tr>
      <w:tr>
        <w:trPr>
          <w:trHeight w:val="412"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94" w:lineRule="exact" w:before="7"/>
              <w:ind w:left="33" w:right="280"/>
              <w:jc w:val="left"/>
              <w:rPr>
                <w:rFonts w:ascii="宋体" w:hAnsi="宋体" w:cs="宋体" w:eastAsia="宋体" w:hint="default"/>
                <w:sz w:val="15"/>
                <w:szCs w:val="15"/>
              </w:rPr>
            </w:pPr>
            <w:r>
              <w:rPr>
                <w:rFonts w:ascii="宋体"/>
                <w:sz w:val="15"/>
              </w:rPr>
              <w:t>TongFang Global</w:t>
            </w:r>
            <w:r>
              <w:rPr>
                <w:rFonts w:ascii="宋体"/>
                <w:spacing w:val="-13"/>
                <w:sz w:val="15"/>
              </w:rPr>
              <w:t> </w:t>
            </w:r>
            <w:r>
              <w:rPr>
                <w:rFonts w:ascii="宋体"/>
                <w:sz w:val="15"/>
              </w:rPr>
              <w:t>(Germany)</w:t>
            </w:r>
            <w:r>
              <w:rPr>
                <w:rFonts w:ascii="宋体"/>
                <w:w w:val="100"/>
                <w:sz w:val="15"/>
              </w:rPr>
              <w:t> </w:t>
            </w:r>
            <w:r>
              <w:rPr>
                <w:rFonts w:ascii="宋体"/>
                <w:sz w:val="15"/>
              </w:rPr>
              <w:t>GmbH</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9"/>
              <w:jc w:val="right"/>
              <w:rPr>
                <w:rFonts w:ascii="宋体" w:hAnsi="宋体" w:cs="宋体" w:eastAsia="宋体" w:hint="default"/>
                <w:sz w:val="15"/>
                <w:szCs w:val="15"/>
              </w:rPr>
            </w:pPr>
            <w:r>
              <w:rPr>
                <w:rFonts w:ascii="宋体"/>
                <w:spacing w:val="-2"/>
                <w:sz w:val="15"/>
              </w:rPr>
              <w:t>EUR202.50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4" w:lineRule="exact" w:before="7"/>
              <w:ind w:left="387" w:right="72" w:hanging="327"/>
              <w:jc w:val="left"/>
              <w:rPr>
                <w:rFonts w:ascii="宋体" w:hAnsi="宋体" w:cs="宋体" w:eastAsia="宋体" w:hint="default"/>
                <w:sz w:val="15"/>
                <w:szCs w:val="15"/>
              </w:rPr>
            </w:pPr>
            <w:r>
              <w:rPr>
                <w:rFonts w:ascii="宋体" w:hAnsi="宋体" w:cs="宋体" w:eastAsia="宋体" w:hint="default"/>
                <w:spacing w:val="-1"/>
                <w:sz w:val="15"/>
                <w:szCs w:val="15"/>
              </w:rPr>
              <w:t>德国法兰克</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福</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4" w:right="0"/>
              <w:jc w:val="left"/>
              <w:rPr>
                <w:rFonts w:ascii="宋体" w:hAnsi="宋体" w:cs="宋体" w:eastAsia="宋体" w:hint="default"/>
                <w:sz w:val="15"/>
                <w:szCs w:val="15"/>
              </w:rPr>
            </w:pPr>
            <w:r>
              <w:rPr>
                <w:rFonts w:ascii="宋体" w:hAnsi="宋体" w:cs="宋体" w:eastAsia="宋体" w:hint="default"/>
                <w:sz w:val="15"/>
                <w:szCs w:val="15"/>
              </w:rPr>
              <w:t>数字电视等消费电子产品经销</w:t>
            </w:r>
          </w:p>
        </w:tc>
      </w:tr>
      <w:tr>
        <w:trPr>
          <w:trHeight w:val="217"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85" w:lineRule="exact"/>
              <w:ind w:left="33" w:right="0"/>
              <w:jc w:val="left"/>
              <w:rPr>
                <w:rFonts w:ascii="宋体" w:hAnsi="宋体" w:cs="宋体" w:eastAsia="宋体" w:hint="default"/>
                <w:sz w:val="15"/>
                <w:szCs w:val="15"/>
              </w:rPr>
            </w:pPr>
            <w:r>
              <w:rPr>
                <w:rFonts w:ascii="宋体" w:hAnsi="宋体" w:cs="宋体" w:eastAsia="宋体" w:hint="default"/>
                <w:sz w:val="15"/>
                <w:szCs w:val="15"/>
              </w:rPr>
              <w:t>同方光电（沈阳）有限公司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85" w:lineRule="exact"/>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85" w:lineRule="exact"/>
              <w:ind w:right="60"/>
              <w:jc w:val="right"/>
              <w:rPr>
                <w:rFonts w:ascii="宋体" w:hAnsi="宋体" w:cs="宋体" w:eastAsia="宋体" w:hint="default"/>
                <w:sz w:val="15"/>
                <w:szCs w:val="15"/>
              </w:rPr>
            </w:pPr>
            <w:r>
              <w:rPr>
                <w:rFonts w:ascii="宋体"/>
                <w:spacing w:val="-1"/>
                <w:sz w:val="15"/>
              </w:rPr>
              <w:t>HKD2,000.00</w:t>
            </w:r>
          </w:p>
        </w:tc>
        <w:tc>
          <w:tcPr>
            <w:tcW w:w="652" w:type="dxa"/>
            <w:tcBorders>
              <w:top w:val="nil" w:sz="6" w:space="0" w:color="auto"/>
              <w:left w:val="nil" w:sz="6" w:space="0" w:color="auto"/>
              <w:bottom w:val="nil" w:sz="6" w:space="0" w:color="auto"/>
              <w:right w:val="nil" w:sz="6" w:space="0" w:color="auto"/>
            </w:tcBorders>
          </w:tcPr>
          <w:p>
            <w:pPr>
              <w:pStyle w:val="TableParagraph"/>
              <w:spacing w:line="185" w:lineRule="exact"/>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5" w:lineRule="exact"/>
              <w:ind w:right="14"/>
              <w:jc w:val="center"/>
              <w:rPr>
                <w:rFonts w:ascii="宋体" w:hAnsi="宋体" w:cs="宋体" w:eastAsia="宋体" w:hint="default"/>
                <w:sz w:val="15"/>
                <w:szCs w:val="15"/>
              </w:rPr>
            </w:pPr>
            <w:r>
              <w:rPr>
                <w:rFonts w:ascii="宋体" w:hAnsi="宋体" w:cs="宋体" w:eastAsia="宋体" w:hint="default"/>
                <w:sz w:val="15"/>
                <w:szCs w:val="15"/>
              </w:rPr>
              <w:t>辽宁沈阳</w:t>
            </w:r>
          </w:p>
        </w:tc>
        <w:tc>
          <w:tcPr>
            <w:tcW w:w="3593" w:type="dxa"/>
            <w:tcBorders>
              <w:top w:val="nil" w:sz="6" w:space="0" w:color="auto"/>
              <w:left w:val="nil" w:sz="6" w:space="0" w:color="auto"/>
              <w:bottom w:val="nil" w:sz="6" w:space="0" w:color="auto"/>
              <w:right w:val="nil" w:sz="6" w:space="0" w:color="auto"/>
            </w:tcBorders>
          </w:tcPr>
          <w:p>
            <w:pPr>
              <w:pStyle w:val="TableParagraph"/>
              <w:spacing w:line="185" w:lineRule="exact"/>
              <w:ind w:left="74" w:right="0"/>
              <w:jc w:val="left"/>
              <w:rPr>
                <w:rFonts w:ascii="宋体" w:hAnsi="宋体" w:cs="宋体" w:eastAsia="宋体" w:hint="default"/>
                <w:sz w:val="15"/>
                <w:szCs w:val="15"/>
              </w:rPr>
            </w:pPr>
            <w:r>
              <w:rPr>
                <w:rFonts w:ascii="宋体" w:hAnsi="宋体" w:cs="宋体" w:eastAsia="宋体" w:hint="default"/>
                <w:sz w:val="15"/>
                <w:szCs w:val="15"/>
              </w:rPr>
              <w:t>液晶显示屏及相关模组的生产销售</w:t>
            </w:r>
          </w:p>
        </w:tc>
      </w:tr>
      <w:tr>
        <w:trPr>
          <w:trHeight w:val="412"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94" w:lineRule="exact" w:before="7"/>
              <w:ind w:left="33" w:right="354"/>
              <w:jc w:val="left"/>
              <w:rPr>
                <w:rFonts w:ascii="宋体" w:hAnsi="宋体" w:cs="宋体" w:eastAsia="宋体" w:hint="default"/>
                <w:sz w:val="15"/>
                <w:szCs w:val="15"/>
              </w:rPr>
            </w:pPr>
            <w:r>
              <w:rPr>
                <w:rFonts w:ascii="宋体"/>
                <w:sz w:val="15"/>
              </w:rPr>
              <w:t>Westinghouse</w:t>
            </w:r>
            <w:r>
              <w:rPr>
                <w:rFonts w:ascii="宋体"/>
                <w:spacing w:val="-11"/>
                <w:sz w:val="15"/>
              </w:rPr>
              <w:t> </w:t>
            </w:r>
            <w:r>
              <w:rPr>
                <w:rFonts w:ascii="宋体"/>
                <w:sz w:val="15"/>
              </w:rPr>
              <w:t>Electronics</w:t>
            </w:r>
            <w:r>
              <w:rPr>
                <w:rFonts w:ascii="宋体"/>
                <w:w w:val="100"/>
                <w:sz w:val="15"/>
              </w:rPr>
              <w:t> </w:t>
            </w:r>
            <w:r>
              <w:rPr>
                <w:rFonts w:ascii="宋体"/>
                <w:sz w:val="15"/>
              </w:rPr>
              <w:t>Limited</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9"/>
              <w:jc w:val="right"/>
              <w:rPr>
                <w:rFonts w:ascii="宋体" w:hAnsi="宋体" w:cs="宋体" w:eastAsia="宋体" w:hint="default"/>
                <w:sz w:val="15"/>
                <w:szCs w:val="15"/>
              </w:rPr>
            </w:pPr>
            <w:r>
              <w:rPr>
                <w:rFonts w:ascii="宋体"/>
                <w:spacing w:val="-2"/>
                <w:sz w:val="15"/>
              </w:rPr>
              <w:t>USD100.00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4"/>
              <w:jc w:val="center"/>
              <w:rPr>
                <w:rFonts w:ascii="宋体" w:hAnsi="宋体" w:cs="宋体" w:eastAsia="宋体" w:hint="default"/>
                <w:sz w:val="15"/>
                <w:szCs w:val="15"/>
              </w:rPr>
            </w:pPr>
            <w:r>
              <w:rPr>
                <w:rFonts w:ascii="宋体" w:hAnsi="宋体" w:cs="宋体" w:eastAsia="宋体" w:hint="default"/>
                <w:sz w:val="15"/>
                <w:szCs w:val="15"/>
              </w:rPr>
              <w:t>中国香港</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4" w:right="0"/>
              <w:jc w:val="left"/>
              <w:rPr>
                <w:rFonts w:ascii="宋体" w:hAnsi="宋体" w:cs="宋体" w:eastAsia="宋体" w:hint="default"/>
                <w:sz w:val="15"/>
                <w:szCs w:val="15"/>
              </w:rPr>
            </w:pPr>
            <w:r>
              <w:rPr>
                <w:rFonts w:ascii="宋体" w:hAnsi="宋体" w:cs="宋体" w:eastAsia="宋体" w:hint="default"/>
                <w:sz w:val="15"/>
                <w:szCs w:val="15"/>
              </w:rPr>
              <w:t>数字电视等消费电子产品经销</w:t>
            </w:r>
          </w:p>
        </w:tc>
      </w:tr>
      <w:tr>
        <w:trPr>
          <w:trHeight w:val="230"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85" w:lineRule="exact"/>
              <w:ind w:left="33" w:right="0"/>
              <w:jc w:val="left"/>
              <w:rPr>
                <w:rFonts w:ascii="宋体" w:hAnsi="宋体" w:cs="宋体" w:eastAsia="宋体" w:hint="default"/>
                <w:sz w:val="15"/>
                <w:szCs w:val="15"/>
              </w:rPr>
            </w:pPr>
            <w:r>
              <w:rPr>
                <w:rFonts w:ascii="宋体" w:hAnsi="宋体" w:cs="宋体" w:eastAsia="宋体" w:hint="default"/>
                <w:sz w:val="15"/>
                <w:szCs w:val="15"/>
              </w:rPr>
              <w:t>同方国际科技（深圳）有限公司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85" w:lineRule="exact"/>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85" w:lineRule="exact"/>
              <w:ind w:right="59"/>
              <w:jc w:val="right"/>
              <w:rPr>
                <w:rFonts w:ascii="宋体" w:hAnsi="宋体" w:cs="宋体" w:eastAsia="宋体" w:hint="default"/>
                <w:sz w:val="15"/>
                <w:szCs w:val="15"/>
              </w:rPr>
            </w:pPr>
            <w:r>
              <w:rPr>
                <w:rFonts w:ascii="宋体"/>
                <w:spacing w:val="-2"/>
                <w:sz w:val="15"/>
              </w:rPr>
              <w:t>USD160.00</w:t>
            </w:r>
          </w:p>
        </w:tc>
        <w:tc>
          <w:tcPr>
            <w:tcW w:w="652" w:type="dxa"/>
            <w:tcBorders>
              <w:top w:val="nil" w:sz="6" w:space="0" w:color="auto"/>
              <w:left w:val="nil" w:sz="6" w:space="0" w:color="auto"/>
              <w:bottom w:val="nil" w:sz="6" w:space="0" w:color="auto"/>
              <w:right w:val="nil" w:sz="6" w:space="0" w:color="auto"/>
            </w:tcBorders>
          </w:tcPr>
          <w:p>
            <w:pPr>
              <w:pStyle w:val="TableParagraph"/>
              <w:spacing w:line="185" w:lineRule="exact"/>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5" w:lineRule="exact"/>
              <w:ind w:right="14"/>
              <w:jc w:val="center"/>
              <w:rPr>
                <w:rFonts w:ascii="宋体" w:hAnsi="宋体" w:cs="宋体" w:eastAsia="宋体" w:hint="default"/>
                <w:sz w:val="15"/>
                <w:szCs w:val="15"/>
              </w:rPr>
            </w:pPr>
            <w:r>
              <w:rPr>
                <w:rFonts w:ascii="宋体" w:hAnsi="宋体" w:cs="宋体" w:eastAsia="宋体" w:hint="default"/>
                <w:sz w:val="15"/>
                <w:szCs w:val="15"/>
              </w:rPr>
              <w:t>广东深圳</w:t>
            </w:r>
          </w:p>
        </w:tc>
        <w:tc>
          <w:tcPr>
            <w:tcW w:w="3593" w:type="dxa"/>
            <w:tcBorders>
              <w:top w:val="nil" w:sz="6" w:space="0" w:color="auto"/>
              <w:left w:val="nil" w:sz="6" w:space="0" w:color="auto"/>
              <w:bottom w:val="nil" w:sz="6" w:space="0" w:color="auto"/>
              <w:right w:val="nil" w:sz="6" w:space="0" w:color="auto"/>
            </w:tcBorders>
          </w:tcPr>
          <w:p>
            <w:pPr>
              <w:pStyle w:val="TableParagraph"/>
              <w:spacing w:line="185" w:lineRule="exact"/>
              <w:ind w:left="74" w:right="0"/>
              <w:jc w:val="left"/>
              <w:rPr>
                <w:rFonts w:ascii="宋体" w:hAnsi="宋体" w:cs="宋体" w:eastAsia="宋体" w:hint="default"/>
                <w:sz w:val="15"/>
                <w:szCs w:val="15"/>
              </w:rPr>
            </w:pPr>
            <w:r>
              <w:rPr>
                <w:rFonts w:ascii="宋体" w:hAnsi="宋体" w:cs="宋体" w:eastAsia="宋体" w:hint="default"/>
                <w:sz w:val="15"/>
                <w:szCs w:val="15"/>
              </w:rPr>
              <w:t>数字电视等消费电子产品经销</w:t>
            </w:r>
          </w:p>
        </w:tc>
      </w:tr>
      <w:tr>
        <w:trPr>
          <w:trHeight w:val="240"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96" w:lineRule="exact"/>
              <w:ind w:left="33" w:right="0"/>
              <w:jc w:val="left"/>
              <w:rPr>
                <w:rFonts w:ascii="宋体" w:hAnsi="宋体" w:cs="宋体" w:eastAsia="宋体" w:hint="default"/>
                <w:sz w:val="15"/>
                <w:szCs w:val="15"/>
              </w:rPr>
            </w:pPr>
            <w:r>
              <w:rPr>
                <w:rFonts w:ascii="宋体" w:hAnsi="宋体" w:cs="宋体" w:eastAsia="宋体" w:hint="default"/>
                <w:sz w:val="15"/>
                <w:szCs w:val="15"/>
              </w:rPr>
              <w:t>同方人工环境有限公司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96" w:lineRule="exact"/>
              <w:ind w:right="48"/>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96" w:lineRule="exact"/>
              <w:ind w:right="60"/>
              <w:jc w:val="right"/>
              <w:rPr>
                <w:rFonts w:ascii="宋体" w:hAnsi="宋体" w:cs="宋体" w:eastAsia="宋体" w:hint="default"/>
                <w:sz w:val="15"/>
                <w:szCs w:val="15"/>
              </w:rPr>
            </w:pPr>
            <w:r>
              <w:rPr>
                <w:rFonts w:ascii="宋体" w:hAnsi="宋体"/>
                <w:spacing w:val="-1"/>
                <w:sz w:val="15"/>
              </w:rPr>
              <w:t>¥43,358.00</w:t>
            </w:r>
          </w:p>
        </w:tc>
        <w:tc>
          <w:tcPr>
            <w:tcW w:w="652" w:type="dxa"/>
            <w:tcBorders>
              <w:top w:val="nil" w:sz="6" w:space="0" w:color="auto"/>
              <w:left w:val="nil" w:sz="6" w:space="0" w:color="auto"/>
              <w:bottom w:val="nil" w:sz="6" w:space="0" w:color="auto"/>
              <w:right w:val="nil" w:sz="6" w:space="0" w:color="auto"/>
            </w:tcBorders>
          </w:tcPr>
          <w:p>
            <w:pPr>
              <w:pStyle w:val="TableParagraph"/>
              <w:spacing w:line="196" w:lineRule="exact"/>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6" w:lineRule="exact"/>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nil" w:sz="6" w:space="0" w:color="auto"/>
              <w:left w:val="nil" w:sz="6" w:space="0" w:color="auto"/>
              <w:bottom w:val="nil" w:sz="6" w:space="0" w:color="auto"/>
              <w:right w:val="nil" w:sz="6" w:space="0" w:color="auto"/>
            </w:tcBorders>
          </w:tcPr>
          <w:p>
            <w:pPr>
              <w:pStyle w:val="TableParagraph"/>
              <w:spacing w:line="196" w:lineRule="exact"/>
              <w:ind w:left="74" w:right="0"/>
              <w:jc w:val="left"/>
              <w:rPr>
                <w:rFonts w:ascii="宋体" w:hAnsi="宋体" w:cs="宋体" w:eastAsia="宋体" w:hint="default"/>
                <w:sz w:val="15"/>
                <w:szCs w:val="15"/>
              </w:rPr>
            </w:pPr>
            <w:r>
              <w:rPr>
                <w:rFonts w:ascii="宋体" w:hAnsi="宋体" w:cs="宋体" w:eastAsia="宋体" w:hint="default"/>
                <w:sz w:val="15"/>
                <w:szCs w:val="15"/>
              </w:rPr>
              <w:t>中央空调机组、空气和水净化系统</w:t>
            </w:r>
          </w:p>
        </w:tc>
      </w:tr>
      <w:tr>
        <w:trPr>
          <w:trHeight w:val="240"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95" w:lineRule="exact"/>
              <w:ind w:left="33" w:right="0"/>
              <w:jc w:val="left"/>
              <w:rPr>
                <w:rFonts w:ascii="宋体" w:hAnsi="宋体" w:cs="宋体" w:eastAsia="宋体" w:hint="default"/>
                <w:sz w:val="15"/>
                <w:szCs w:val="15"/>
              </w:rPr>
            </w:pPr>
            <w:r>
              <w:rPr>
                <w:rFonts w:ascii="宋体" w:hAnsi="宋体" w:cs="宋体" w:eastAsia="宋体" w:hint="default"/>
                <w:sz w:val="15"/>
                <w:szCs w:val="15"/>
              </w:rPr>
              <w:t>北京同方洁净技术有限公司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95" w:lineRule="exact"/>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95" w:lineRule="exact"/>
              <w:ind w:right="59"/>
              <w:jc w:val="right"/>
              <w:rPr>
                <w:rFonts w:ascii="宋体" w:hAnsi="宋体" w:cs="宋体" w:eastAsia="宋体" w:hint="default"/>
                <w:sz w:val="15"/>
                <w:szCs w:val="15"/>
              </w:rPr>
            </w:pPr>
            <w:r>
              <w:rPr>
                <w:rFonts w:ascii="宋体" w:hAnsi="宋体"/>
                <w:spacing w:val="-2"/>
                <w:sz w:val="15"/>
              </w:rPr>
              <w:t>¥1,000.00</w:t>
            </w:r>
          </w:p>
        </w:tc>
        <w:tc>
          <w:tcPr>
            <w:tcW w:w="652" w:type="dxa"/>
            <w:tcBorders>
              <w:top w:val="nil" w:sz="6" w:space="0" w:color="auto"/>
              <w:left w:val="nil" w:sz="6" w:space="0" w:color="auto"/>
              <w:bottom w:val="nil" w:sz="6" w:space="0" w:color="auto"/>
              <w:right w:val="nil" w:sz="6" w:space="0" w:color="auto"/>
            </w:tcBorders>
          </w:tcPr>
          <w:p>
            <w:pPr>
              <w:pStyle w:val="TableParagraph"/>
              <w:spacing w:line="195" w:lineRule="exact"/>
              <w:ind w:left="78" w:right="0"/>
              <w:jc w:val="center"/>
              <w:rPr>
                <w:rFonts w:ascii="宋体" w:hAnsi="宋体" w:cs="宋体" w:eastAsia="宋体" w:hint="default"/>
                <w:sz w:val="15"/>
                <w:szCs w:val="15"/>
              </w:rPr>
            </w:pPr>
            <w:r>
              <w:rPr>
                <w:rFonts w:ascii="宋体"/>
                <w:sz w:val="15"/>
              </w:rPr>
              <w:t>58.00%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空气和水净化系统</w:t>
            </w:r>
          </w:p>
        </w:tc>
      </w:tr>
      <w:tr>
        <w:trPr>
          <w:trHeight w:val="240"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95" w:lineRule="exact"/>
              <w:ind w:left="33" w:right="0"/>
              <w:jc w:val="left"/>
              <w:rPr>
                <w:rFonts w:ascii="宋体" w:hAnsi="宋体" w:cs="宋体" w:eastAsia="宋体" w:hint="default"/>
                <w:sz w:val="15"/>
                <w:szCs w:val="15"/>
              </w:rPr>
            </w:pPr>
            <w:r>
              <w:rPr>
                <w:rFonts w:ascii="宋体" w:hAnsi="宋体" w:cs="宋体" w:eastAsia="宋体" w:hint="default"/>
                <w:sz w:val="15"/>
                <w:szCs w:val="15"/>
              </w:rPr>
              <w:t>无锡同方人工环境有限公司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95" w:lineRule="exact"/>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hAnsi="宋体"/>
                <w:spacing w:val="-1"/>
                <w:sz w:val="15"/>
              </w:rPr>
              <w:t>¥12,000.00</w:t>
            </w:r>
          </w:p>
        </w:tc>
        <w:tc>
          <w:tcPr>
            <w:tcW w:w="652" w:type="dxa"/>
            <w:tcBorders>
              <w:top w:val="nil" w:sz="6" w:space="0" w:color="auto"/>
              <w:left w:val="nil" w:sz="6" w:space="0" w:color="auto"/>
              <w:bottom w:val="nil" w:sz="6" w:space="0" w:color="auto"/>
              <w:right w:val="nil" w:sz="6" w:space="0" w:color="auto"/>
            </w:tcBorders>
          </w:tcPr>
          <w:p>
            <w:pPr>
              <w:pStyle w:val="TableParagraph"/>
              <w:spacing w:line="195" w:lineRule="exact"/>
              <w:ind w:left="78" w:right="0"/>
              <w:jc w:val="center"/>
              <w:rPr>
                <w:rFonts w:ascii="宋体" w:hAnsi="宋体" w:cs="宋体" w:eastAsia="宋体" w:hint="default"/>
                <w:sz w:val="15"/>
                <w:szCs w:val="15"/>
              </w:rPr>
            </w:pPr>
            <w:r>
              <w:rPr>
                <w:rFonts w:ascii="宋体"/>
                <w:sz w:val="15"/>
              </w:rPr>
              <w:t>86.67%</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江苏无锡</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户式空调机组</w:t>
            </w:r>
          </w:p>
        </w:tc>
      </w:tr>
      <w:tr>
        <w:trPr>
          <w:trHeight w:val="240"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95" w:lineRule="exact"/>
              <w:ind w:left="33" w:right="0"/>
              <w:jc w:val="left"/>
              <w:rPr>
                <w:rFonts w:ascii="宋体" w:hAnsi="宋体" w:cs="宋体" w:eastAsia="宋体" w:hint="default"/>
                <w:sz w:val="15"/>
                <w:szCs w:val="15"/>
              </w:rPr>
            </w:pPr>
            <w:r>
              <w:rPr>
                <w:rFonts w:ascii="宋体" w:hAnsi="宋体" w:cs="宋体" w:eastAsia="宋体" w:hint="default"/>
                <w:sz w:val="15"/>
                <w:szCs w:val="15"/>
              </w:rPr>
              <w:t>同方节能装备有限公司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95" w:lineRule="exact"/>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hAnsi="宋体"/>
                <w:spacing w:val="-1"/>
                <w:sz w:val="15"/>
              </w:rPr>
              <w:t>¥21,870.62</w:t>
            </w:r>
          </w:p>
        </w:tc>
        <w:tc>
          <w:tcPr>
            <w:tcW w:w="652" w:type="dxa"/>
            <w:tcBorders>
              <w:top w:val="nil" w:sz="6" w:space="0" w:color="auto"/>
              <w:left w:val="nil" w:sz="6" w:space="0" w:color="auto"/>
              <w:bottom w:val="nil" w:sz="6" w:space="0" w:color="auto"/>
              <w:right w:val="nil" w:sz="6" w:space="0" w:color="auto"/>
            </w:tcBorders>
          </w:tcPr>
          <w:p>
            <w:pPr>
              <w:pStyle w:val="TableParagraph"/>
              <w:spacing w:line="195" w:lineRule="exact"/>
              <w:ind w:left="78" w:right="0"/>
              <w:jc w:val="center"/>
              <w:rPr>
                <w:rFonts w:ascii="宋体" w:hAnsi="宋体" w:cs="宋体" w:eastAsia="宋体" w:hint="default"/>
                <w:sz w:val="15"/>
                <w:szCs w:val="15"/>
              </w:rPr>
            </w:pPr>
            <w:r>
              <w:rPr>
                <w:rFonts w:ascii="宋体"/>
                <w:sz w:val="15"/>
              </w:rPr>
              <w:t>90.00%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河北廊坊</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吸收式冷冻机系列产品</w:t>
            </w:r>
          </w:p>
        </w:tc>
      </w:tr>
      <w:tr>
        <w:trPr>
          <w:trHeight w:val="229"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95" w:lineRule="exact"/>
              <w:ind w:left="33" w:right="0"/>
              <w:jc w:val="left"/>
              <w:rPr>
                <w:rFonts w:ascii="宋体" w:hAnsi="宋体" w:cs="宋体" w:eastAsia="宋体" w:hint="default"/>
                <w:sz w:val="15"/>
                <w:szCs w:val="15"/>
              </w:rPr>
            </w:pPr>
            <w:r>
              <w:rPr>
                <w:rFonts w:ascii="宋体" w:hAnsi="宋体" w:cs="宋体" w:eastAsia="宋体" w:hint="default"/>
                <w:sz w:val="15"/>
                <w:szCs w:val="15"/>
              </w:rPr>
              <w:t>同方能源科技发展有限公司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95" w:lineRule="exact"/>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95" w:lineRule="exact"/>
              <w:ind w:right="60"/>
              <w:jc w:val="right"/>
              <w:rPr>
                <w:rFonts w:ascii="宋体" w:hAnsi="宋体" w:cs="宋体" w:eastAsia="宋体" w:hint="default"/>
                <w:sz w:val="15"/>
                <w:szCs w:val="15"/>
              </w:rPr>
            </w:pPr>
            <w:r>
              <w:rPr>
                <w:rFonts w:ascii="宋体" w:hAnsi="宋体"/>
                <w:spacing w:val="-1"/>
                <w:sz w:val="15"/>
              </w:rPr>
              <w:t>¥10,000.00</w:t>
            </w:r>
          </w:p>
        </w:tc>
        <w:tc>
          <w:tcPr>
            <w:tcW w:w="652" w:type="dxa"/>
            <w:tcBorders>
              <w:top w:val="nil" w:sz="6" w:space="0" w:color="auto"/>
              <w:left w:val="nil" w:sz="6" w:space="0" w:color="auto"/>
              <w:bottom w:val="nil" w:sz="6" w:space="0" w:color="auto"/>
              <w:right w:val="nil" w:sz="6" w:space="0" w:color="auto"/>
            </w:tcBorders>
          </w:tcPr>
          <w:p>
            <w:pPr>
              <w:pStyle w:val="TableParagraph"/>
              <w:spacing w:line="195" w:lineRule="exact"/>
              <w:ind w:left="78" w:right="0"/>
              <w:jc w:val="center"/>
              <w:rPr>
                <w:rFonts w:ascii="宋体" w:hAnsi="宋体" w:cs="宋体" w:eastAsia="宋体" w:hint="default"/>
                <w:sz w:val="15"/>
                <w:szCs w:val="15"/>
              </w:rPr>
            </w:pPr>
            <w:r>
              <w:rPr>
                <w:rFonts w:ascii="宋体"/>
                <w:sz w:val="15"/>
              </w:rPr>
              <w:t>80.00%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节能环保建设工程项目管理</w:t>
            </w:r>
          </w:p>
        </w:tc>
      </w:tr>
      <w:tr>
        <w:trPr>
          <w:trHeight w:val="401"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3" w:right="0"/>
              <w:jc w:val="left"/>
              <w:rPr>
                <w:rFonts w:ascii="宋体" w:hAnsi="宋体" w:cs="宋体" w:eastAsia="宋体" w:hint="default"/>
                <w:sz w:val="15"/>
                <w:szCs w:val="15"/>
              </w:rPr>
            </w:pPr>
            <w:r>
              <w:rPr>
                <w:rFonts w:ascii="宋体" w:hAnsi="宋体" w:cs="宋体" w:eastAsia="宋体" w:hint="default"/>
                <w:sz w:val="15"/>
                <w:szCs w:val="15"/>
              </w:rPr>
              <w:t>阳信同方热力有限公司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8"/>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9"/>
              <w:jc w:val="right"/>
              <w:rPr>
                <w:rFonts w:ascii="宋体" w:hAnsi="宋体" w:cs="宋体" w:eastAsia="宋体" w:hint="default"/>
                <w:sz w:val="15"/>
                <w:szCs w:val="15"/>
              </w:rPr>
            </w:pPr>
            <w:r>
              <w:rPr>
                <w:rFonts w:ascii="宋体" w:hAnsi="宋体"/>
                <w:spacing w:val="-2"/>
                <w:sz w:val="15"/>
              </w:rPr>
              <w:t>¥5,000.00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center"/>
              <w:rPr>
                <w:rFonts w:ascii="宋体" w:hAnsi="宋体" w:cs="宋体" w:eastAsia="宋体" w:hint="default"/>
                <w:sz w:val="15"/>
                <w:szCs w:val="15"/>
              </w:rPr>
            </w:pPr>
            <w:r>
              <w:rPr>
                <w:rFonts w:ascii="宋体" w:hAnsi="宋体" w:cs="宋体" w:eastAsia="宋体" w:hint="default"/>
                <w:sz w:val="15"/>
                <w:szCs w:val="15"/>
              </w:rPr>
              <w:t>山东滨州</w:t>
            </w:r>
          </w:p>
        </w:tc>
        <w:tc>
          <w:tcPr>
            <w:tcW w:w="3593" w:type="dxa"/>
            <w:tcBorders>
              <w:top w:val="nil" w:sz="6" w:space="0" w:color="auto"/>
              <w:left w:val="nil" w:sz="6" w:space="0" w:color="auto"/>
              <w:bottom w:val="nil" w:sz="6" w:space="0" w:color="auto"/>
              <w:right w:val="nil" w:sz="6" w:space="0" w:color="auto"/>
            </w:tcBorders>
          </w:tcPr>
          <w:p>
            <w:pPr>
              <w:pStyle w:val="TableParagraph"/>
              <w:spacing w:line="194" w:lineRule="exact" w:before="8"/>
              <w:ind w:left="74" w:right="106"/>
              <w:jc w:val="left"/>
              <w:rPr>
                <w:rFonts w:ascii="宋体" w:hAnsi="宋体" w:cs="宋体" w:eastAsia="宋体" w:hint="default"/>
                <w:sz w:val="15"/>
                <w:szCs w:val="15"/>
              </w:rPr>
            </w:pPr>
            <w:r>
              <w:rPr>
                <w:rFonts w:ascii="宋体" w:hAnsi="宋体" w:cs="宋体" w:eastAsia="宋体" w:hint="default"/>
                <w:spacing w:val="-4"/>
                <w:sz w:val="15"/>
                <w:szCs w:val="15"/>
              </w:rPr>
              <w:t>热力生产和供应；清洁能源生产和供应；热力设备销</w:t>
            </w:r>
            <w:r>
              <w:rPr>
                <w:rFonts w:ascii="宋体" w:hAnsi="宋体" w:cs="宋体" w:eastAsia="宋体" w:hint="default"/>
                <w:spacing w:val="-30"/>
                <w:sz w:val="15"/>
                <w:szCs w:val="15"/>
              </w:rPr>
              <w:t> </w:t>
            </w:r>
            <w:r>
              <w:rPr>
                <w:rFonts w:ascii="宋体" w:hAnsi="宋体" w:cs="宋体" w:eastAsia="宋体" w:hint="default"/>
                <w:spacing w:val="-30"/>
                <w:sz w:val="15"/>
                <w:szCs w:val="15"/>
              </w:rPr>
            </w:r>
            <w:r>
              <w:rPr>
                <w:rFonts w:ascii="宋体" w:hAnsi="宋体" w:cs="宋体" w:eastAsia="宋体" w:hint="default"/>
                <w:sz w:val="15"/>
                <w:szCs w:val="15"/>
              </w:rPr>
              <w:t>售，维修服务。</w:t>
            </w:r>
          </w:p>
        </w:tc>
      </w:tr>
      <w:tr>
        <w:trPr>
          <w:trHeight w:val="788"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left="33" w:right="0"/>
              <w:jc w:val="left"/>
              <w:rPr>
                <w:rFonts w:ascii="宋体" w:hAnsi="宋体" w:cs="宋体" w:eastAsia="宋体" w:hint="default"/>
                <w:sz w:val="15"/>
                <w:szCs w:val="15"/>
              </w:rPr>
            </w:pPr>
            <w:r>
              <w:rPr>
                <w:rFonts w:ascii="宋体" w:hAnsi="宋体" w:cs="宋体" w:eastAsia="宋体" w:hint="default"/>
                <w:sz w:val="15"/>
                <w:szCs w:val="15"/>
              </w:rPr>
              <w:t>泌阳同方热力有限公司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right="48"/>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right="59"/>
              <w:jc w:val="right"/>
              <w:rPr>
                <w:rFonts w:ascii="宋体" w:hAnsi="宋体" w:cs="宋体" w:eastAsia="宋体" w:hint="default"/>
                <w:sz w:val="15"/>
                <w:szCs w:val="15"/>
              </w:rPr>
            </w:pPr>
            <w:r>
              <w:rPr>
                <w:rFonts w:ascii="宋体" w:hAnsi="宋体"/>
                <w:spacing w:val="-2"/>
                <w:sz w:val="15"/>
              </w:rPr>
              <w:t>¥2,000.00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right="11"/>
              <w:jc w:val="center"/>
              <w:rPr>
                <w:rFonts w:ascii="宋体" w:hAnsi="宋体" w:cs="宋体" w:eastAsia="宋体" w:hint="default"/>
                <w:sz w:val="15"/>
                <w:szCs w:val="15"/>
              </w:rPr>
            </w:pPr>
            <w:r>
              <w:rPr>
                <w:rFonts w:ascii="宋体" w:hAnsi="宋体" w:cs="宋体" w:eastAsia="宋体" w:hint="default"/>
                <w:sz w:val="15"/>
                <w:szCs w:val="15"/>
              </w:rPr>
              <w:t>河南驻马店</w:t>
            </w:r>
          </w:p>
        </w:tc>
        <w:tc>
          <w:tcPr>
            <w:tcW w:w="3593" w:type="dxa"/>
            <w:tcBorders>
              <w:top w:val="nil" w:sz="6" w:space="0" w:color="auto"/>
              <w:left w:val="nil" w:sz="6" w:space="0" w:color="auto"/>
              <w:bottom w:val="nil" w:sz="6" w:space="0" w:color="auto"/>
              <w:right w:val="nil" w:sz="6" w:space="0" w:color="auto"/>
            </w:tcBorders>
          </w:tcPr>
          <w:p>
            <w:pPr>
              <w:pStyle w:val="TableParagraph"/>
              <w:spacing w:line="172" w:lineRule="exact"/>
              <w:ind w:left="74" w:right="0"/>
              <w:jc w:val="both"/>
              <w:rPr>
                <w:rFonts w:ascii="宋体" w:hAnsi="宋体" w:cs="宋体" w:eastAsia="宋体" w:hint="default"/>
                <w:sz w:val="15"/>
                <w:szCs w:val="15"/>
              </w:rPr>
            </w:pPr>
            <w:r>
              <w:rPr>
                <w:rFonts w:ascii="宋体" w:hAnsi="宋体" w:cs="宋体" w:eastAsia="宋体" w:hint="default"/>
                <w:spacing w:val="-4"/>
                <w:sz w:val="15"/>
                <w:szCs w:val="15"/>
              </w:rPr>
              <w:t>热力生产和供应、清洁能源生产和供应，新能源技术</w:t>
            </w:r>
          </w:p>
          <w:p>
            <w:pPr>
              <w:pStyle w:val="TableParagraph"/>
              <w:spacing w:line="240" w:lineRule="auto"/>
              <w:ind w:left="74" w:right="32"/>
              <w:jc w:val="both"/>
              <w:rPr>
                <w:rFonts w:ascii="宋体" w:hAnsi="宋体" w:cs="宋体" w:eastAsia="宋体" w:hint="default"/>
                <w:sz w:val="15"/>
                <w:szCs w:val="15"/>
              </w:rPr>
            </w:pPr>
            <w:r>
              <w:rPr>
                <w:rFonts w:ascii="宋体" w:hAnsi="宋体" w:cs="宋体" w:eastAsia="宋体" w:hint="default"/>
                <w:spacing w:val="-7"/>
                <w:w w:val="100"/>
                <w:sz w:val="15"/>
                <w:szCs w:val="15"/>
              </w:rPr>
              <w:t>开发及技术咨询，电站设备技术开发、技术咨询服务，</w:t>
            </w:r>
            <w:r>
              <w:rPr>
                <w:rFonts w:ascii="宋体" w:hAnsi="宋体" w:cs="宋体" w:eastAsia="宋体" w:hint="default"/>
                <w:spacing w:val="-60"/>
                <w:w w:val="100"/>
                <w:sz w:val="15"/>
                <w:szCs w:val="15"/>
              </w:rPr>
              <w:t> </w:t>
            </w:r>
            <w:r>
              <w:rPr>
                <w:rFonts w:ascii="宋体" w:hAnsi="宋体" w:cs="宋体" w:eastAsia="宋体" w:hint="default"/>
                <w:spacing w:val="-60"/>
                <w:w w:val="100"/>
                <w:sz w:val="15"/>
                <w:szCs w:val="15"/>
              </w:rPr>
            </w:r>
            <w:r>
              <w:rPr>
                <w:rFonts w:ascii="宋体" w:hAnsi="宋体" w:cs="宋体" w:eastAsia="宋体" w:hint="default"/>
                <w:spacing w:val="-2"/>
                <w:sz w:val="15"/>
                <w:szCs w:val="15"/>
              </w:rPr>
              <w:t>生物质能发电、生物质原料的销售，热力设备销售、</w:t>
            </w:r>
            <w:r>
              <w:rPr>
                <w:rFonts w:ascii="宋体" w:hAnsi="宋体" w:cs="宋体" w:eastAsia="宋体" w:hint="default"/>
                <w:spacing w:val="-32"/>
                <w:sz w:val="15"/>
                <w:szCs w:val="15"/>
              </w:rPr>
              <w:t> </w:t>
            </w:r>
            <w:r>
              <w:rPr>
                <w:rFonts w:ascii="宋体" w:hAnsi="宋体" w:cs="宋体" w:eastAsia="宋体" w:hint="default"/>
                <w:spacing w:val="-32"/>
                <w:sz w:val="15"/>
                <w:szCs w:val="15"/>
              </w:rPr>
            </w:r>
            <w:r>
              <w:rPr>
                <w:rFonts w:ascii="宋体" w:hAnsi="宋体" w:cs="宋体" w:eastAsia="宋体" w:hint="default"/>
                <w:sz w:val="15"/>
                <w:szCs w:val="15"/>
              </w:rPr>
              <w:t>维修服务</w:t>
            </w:r>
          </w:p>
        </w:tc>
      </w:tr>
      <w:tr>
        <w:trPr>
          <w:trHeight w:val="244" w:hRule="exact"/>
        </w:trPr>
        <w:tc>
          <w:tcPr>
            <w:tcW w:w="2190" w:type="dxa"/>
            <w:tcBorders>
              <w:top w:val="nil" w:sz="6" w:space="0" w:color="auto"/>
              <w:left w:val="nil" w:sz="6" w:space="0" w:color="auto"/>
              <w:bottom w:val="single" w:sz="12" w:space="0" w:color="000000"/>
              <w:right w:val="nil" w:sz="6" w:space="0" w:color="auto"/>
            </w:tcBorders>
          </w:tcPr>
          <w:p>
            <w:pPr>
              <w:pStyle w:val="TableParagraph"/>
              <w:spacing w:line="183" w:lineRule="exact"/>
              <w:ind w:left="33" w:right="0"/>
              <w:jc w:val="left"/>
              <w:rPr>
                <w:rFonts w:ascii="宋体" w:hAnsi="宋体" w:cs="宋体" w:eastAsia="宋体" w:hint="default"/>
                <w:sz w:val="15"/>
                <w:szCs w:val="15"/>
              </w:rPr>
            </w:pPr>
            <w:r>
              <w:rPr>
                <w:rFonts w:ascii="宋体" w:hAnsi="宋体" w:cs="宋体" w:eastAsia="宋体" w:hint="default"/>
                <w:sz w:val="15"/>
                <w:szCs w:val="15"/>
              </w:rPr>
              <w:t>菏泽同方能源科技有限公司</w:t>
            </w:r>
          </w:p>
        </w:tc>
        <w:tc>
          <w:tcPr>
            <w:tcW w:w="423" w:type="dxa"/>
            <w:tcBorders>
              <w:top w:val="nil" w:sz="6" w:space="0" w:color="auto"/>
              <w:left w:val="nil" w:sz="6" w:space="0" w:color="auto"/>
              <w:bottom w:val="single" w:sz="12" w:space="0" w:color="000000"/>
              <w:right w:val="nil" w:sz="6" w:space="0" w:color="auto"/>
            </w:tcBorders>
          </w:tcPr>
          <w:p>
            <w:pPr>
              <w:pStyle w:val="TableParagraph"/>
              <w:spacing w:line="183" w:lineRule="exact"/>
              <w:ind w:right="48"/>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single" w:sz="12" w:space="0" w:color="000000"/>
              <w:right w:val="nil" w:sz="6" w:space="0" w:color="auto"/>
            </w:tcBorders>
          </w:tcPr>
          <w:p>
            <w:pPr>
              <w:pStyle w:val="TableParagraph"/>
              <w:spacing w:line="183" w:lineRule="exact"/>
              <w:ind w:right="59"/>
              <w:jc w:val="right"/>
              <w:rPr>
                <w:rFonts w:ascii="宋体" w:hAnsi="宋体" w:cs="宋体" w:eastAsia="宋体" w:hint="default"/>
                <w:sz w:val="15"/>
                <w:szCs w:val="15"/>
              </w:rPr>
            </w:pPr>
            <w:r>
              <w:rPr>
                <w:rFonts w:ascii="宋体" w:hAnsi="宋体"/>
                <w:spacing w:val="-2"/>
                <w:sz w:val="15"/>
              </w:rPr>
              <w:t>¥5,000.00</w:t>
            </w:r>
          </w:p>
        </w:tc>
        <w:tc>
          <w:tcPr>
            <w:tcW w:w="652" w:type="dxa"/>
            <w:tcBorders>
              <w:top w:val="nil" w:sz="6" w:space="0" w:color="auto"/>
              <w:left w:val="nil" w:sz="6" w:space="0" w:color="auto"/>
              <w:bottom w:val="single" w:sz="12" w:space="0" w:color="000000"/>
              <w:right w:val="nil" w:sz="6" w:space="0" w:color="auto"/>
            </w:tcBorders>
          </w:tcPr>
          <w:p>
            <w:pPr>
              <w:pStyle w:val="TableParagraph"/>
              <w:spacing w:line="183" w:lineRule="exact"/>
              <w:ind w:left="78" w:right="0"/>
              <w:jc w:val="center"/>
              <w:rPr>
                <w:rFonts w:ascii="宋体" w:hAnsi="宋体" w:cs="宋体" w:eastAsia="宋体" w:hint="default"/>
                <w:sz w:val="15"/>
                <w:szCs w:val="15"/>
              </w:rPr>
            </w:pPr>
            <w:r>
              <w:rPr>
                <w:rFonts w:ascii="宋体"/>
                <w:sz w:val="15"/>
              </w:rPr>
              <w:t>51.00%</w:t>
            </w:r>
          </w:p>
        </w:tc>
        <w:tc>
          <w:tcPr>
            <w:tcW w:w="889" w:type="dxa"/>
            <w:tcBorders>
              <w:top w:val="nil" w:sz="6" w:space="0" w:color="auto"/>
              <w:left w:val="nil" w:sz="6" w:space="0" w:color="auto"/>
              <w:bottom w:val="single" w:sz="12" w:space="0" w:color="000000"/>
              <w:right w:val="nil" w:sz="6" w:space="0" w:color="auto"/>
            </w:tcBorders>
          </w:tcPr>
          <w:p>
            <w:pPr>
              <w:pStyle w:val="TableParagraph"/>
              <w:spacing w:line="183" w:lineRule="exact"/>
              <w:ind w:right="14"/>
              <w:jc w:val="center"/>
              <w:rPr>
                <w:rFonts w:ascii="宋体" w:hAnsi="宋体" w:cs="宋体" w:eastAsia="宋体" w:hint="default"/>
                <w:sz w:val="15"/>
                <w:szCs w:val="15"/>
              </w:rPr>
            </w:pPr>
            <w:r>
              <w:rPr>
                <w:rFonts w:ascii="宋体" w:hAnsi="宋体" w:cs="宋体" w:eastAsia="宋体" w:hint="default"/>
                <w:sz w:val="15"/>
                <w:szCs w:val="15"/>
              </w:rPr>
              <w:t>山东菏泽</w:t>
            </w:r>
          </w:p>
        </w:tc>
        <w:tc>
          <w:tcPr>
            <w:tcW w:w="3593" w:type="dxa"/>
            <w:tcBorders>
              <w:top w:val="nil" w:sz="6" w:space="0" w:color="auto"/>
              <w:left w:val="nil" w:sz="6" w:space="0" w:color="auto"/>
              <w:bottom w:val="single" w:sz="12" w:space="0" w:color="000000"/>
              <w:right w:val="nil" w:sz="6" w:space="0" w:color="auto"/>
            </w:tcBorders>
          </w:tcPr>
          <w:p>
            <w:pPr>
              <w:pStyle w:val="TableParagraph"/>
              <w:spacing w:line="183" w:lineRule="exact"/>
              <w:ind w:left="74" w:right="0"/>
              <w:jc w:val="left"/>
              <w:rPr>
                <w:rFonts w:ascii="宋体" w:hAnsi="宋体" w:cs="宋体" w:eastAsia="宋体" w:hint="default"/>
                <w:sz w:val="15"/>
                <w:szCs w:val="15"/>
              </w:rPr>
            </w:pPr>
            <w:r>
              <w:rPr>
                <w:rFonts w:ascii="宋体" w:hAnsi="宋体" w:cs="宋体" w:eastAsia="宋体" w:hint="default"/>
                <w:spacing w:val="-4"/>
                <w:sz w:val="15"/>
                <w:szCs w:val="15"/>
              </w:rPr>
              <w:t>热力生产和供应、清洁能源生产和供应；热力设备销</w:t>
            </w:r>
          </w:p>
        </w:tc>
      </w:tr>
    </w:tbl>
    <w:p>
      <w:pPr>
        <w:spacing w:after="0" w:line="183" w:lineRule="exact"/>
        <w:jc w:val="left"/>
        <w:rPr>
          <w:rFonts w:ascii="宋体" w:hAnsi="宋体" w:cs="宋体" w:eastAsia="宋体" w:hint="default"/>
          <w:sz w:val="15"/>
          <w:szCs w:val="15"/>
        </w:rPr>
        <w:sectPr>
          <w:pgSz w:w="11910" w:h="16840"/>
          <w:pgMar w:header="0" w:footer="1034" w:top="1320" w:bottom="1220" w:left="1460" w:right="1480"/>
        </w:sectPr>
      </w:pPr>
    </w:p>
    <w:p>
      <w:pPr>
        <w:spacing w:line="240" w:lineRule="auto" w:before="4"/>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190"/>
        <w:gridCol w:w="423"/>
        <w:gridCol w:w="993"/>
        <w:gridCol w:w="652"/>
        <w:gridCol w:w="889"/>
        <w:gridCol w:w="3593"/>
      </w:tblGrid>
      <w:tr>
        <w:trPr>
          <w:trHeight w:val="485" w:hRule="exact"/>
        </w:trPr>
        <w:tc>
          <w:tcPr>
            <w:tcW w:w="2190" w:type="dxa"/>
            <w:tcBorders>
              <w:top w:val="single" w:sz="12" w:space="0" w:color="000000"/>
              <w:left w:val="nil" w:sz="6" w:space="0" w:color="auto"/>
              <w:bottom w:val="single" w:sz="4" w:space="0" w:color="000000"/>
              <w:right w:val="nil" w:sz="6" w:space="0" w:color="auto"/>
            </w:tcBorders>
          </w:tcPr>
          <w:p>
            <w:pPr>
              <w:pStyle w:val="TableParagraph"/>
              <w:spacing w:line="240" w:lineRule="auto" w:before="113"/>
              <w:ind w:left="575" w:right="0"/>
              <w:jc w:val="left"/>
              <w:rPr>
                <w:rFonts w:ascii="宋体" w:hAnsi="宋体" w:cs="宋体" w:eastAsia="宋体" w:hint="default"/>
                <w:sz w:val="15"/>
                <w:szCs w:val="15"/>
              </w:rPr>
            </w:pPr>
            <w:r>
              <w:rPr>
                <w:rFonts w:ascii="宋体" w:hAnsi="宋体" w:cs="宋体" w:eastAsia="宋体" w:hint="default"/>
                <w:b/>
                <w:bCs/>
                <w:sz w:val="15"/>
                <w:szCs w:val="15"/>
              </w:rPr>
              <w:t>控股子公司名称</w:t>
            </w:r>
            <w:r>
              <w:rPr>
                <w:rFonts w:ascii="宋体" w:hAnsi="宋体" w:cs="宋体" w:eastAsia="宋体" w:hint="default"/>
                <w:sz w:val="15"/>
                <w:szCs w:val="15"/>
              </w:rPr>
            </w:r>
          </w:p>
        </w:tc>
        <w:tc>
          <w:tcPr>
            <w:tcW w:w="423"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116" w:right="152"/>
              <w:jc w:val="left"/>
              <w:rPr>
                <w:rFonts w:ascii="宋体" w:hAnsi="宋体" w:cs="宋体" w:eastAsia="宋体" w:hint="default"/>
                <w:sz w:val="15"/>
                <w:szCs w:val="15"/>
              </w:rPr>
            </w:pPr>
            <w:r>
              <w:rPr>
                <w:rFonts w:ascii="宋体" w:hAnsi="宋体" w:cs="宋体" w:eastAsia="宋体" w:hint="default"/>
                <w:b/>
                <w:bCs/>
                <w:sz w:val="15"/>
                <w:szCs w:val="15"/>
              </w:rPr>
              <w:t>级</w:t>
            </w:r>
            <w:r>
              <w:rPr>
                <w:rFonts w:ascii="宋体" w:hAnsi="宋体" w:cs="宋体" w:eastAsia="宋体" w:hint="default"/>
                <w:b/>
                <w:bCs/>
                <w:w w:val="100"/>
                <w:sz w:val="15"/>
                <w:szCs w:val="15"/>
              </w:rPr>
              <w:t> </w:t>
            </w:r>
            <w:r>
              <w:rPr>
                <w:rFonts w:ascii="宋体" w:hAnsi="宋体" w:cs="宋体" w:eastAsia="宋体" w:hint="default"/>
                <w:b/>
                <w:bCs/>
                <w:sz w:val="15"/>
                <w:szCs w:val="15"/>
              </w:rPr>
              <w:t>次</w:t>
            </w:r>
            <w:r>
              <w:rPr>
                <w:rFonts w:ascii="宋体" w:hAnsi="宋体" w:cs="宋体" w:eastAsia="宋体" w:hint="default"/>
                <w:sz w:val="15"/>
                <w:szCs w:val="15"/>
              </w:rPr>
            </w:r>
          </w:p>
        </w:tc>
        <w:tc>
          <w:tcPr>
            <w:tcW w:w="993" w:type="dxa"/>
            <w:tcBorders>
              <w:top w:val="single" w:sz="12" w:space="0" w:color="000000"/>
              <w:left w:val="nil" w:sz="6" w:space="0" w:color="auto"/>
              <w:bottom w:val="single" w:sz="4" w:space="0" w:color="000000"/>
              <w:right w:val="nil" w:sz="6" w:space="0" w:color="auto"/>
            </w:tcBorders>
          </w:tcPr>
          <w:p>
            <w:pPr>
              <w:pStyle w:val="TableParagraph"/>
              <w:spacing w:line="196" w:lineRule="exact" w:before="14"/>
              <w:ind w:left="147" w:right="0"/>
              <w:jc w:val="left"/>
              <w:rPr>
                <w:rFonts w:ascii="宋体" w:hAnsi="宋体" w:cs="宋体" w:eastAsia="宋体" w:hint="default"/>
                <w:sz w:val="15"/>
                <w:szCs w:val="15"/>
              </w:rPr>
            </w:pPr>
            <w:r>
              <w:rPr>
                <w:rFonts w:ascii="宋体" w:hAnsi="宋体" w:cs="宋体" w:eastAsia="宋体" w:hint="default"/>
                <w:b/>
                <w:bCs/>
                <w:sz w:val="15"/>
                <w:szCs w:val="15"/>
              </w:rPr>
              <w:t>注册资本</w:t>
            </w:r>
            <w:r>
              <w:rPr>
                <w:rFonts w:ascii="宋体" w:hAnsi="宋体" w:cs="宋体" w:eastAsia="宋体" w:hint="default"/>
                <w:sz w:val="15"/>
                <w:szCs w:val="15"/>
              </w:rPr>
            </w:r>
          </w:p>
          <w:p>
            <w:pPr>
              <w:pStyle w:val="TableParagraph"/>
              <w:spacing w:line="196" w:lineRule="exact"/>
              <w:ind w:left="147" w:right="0"/>
              <w:jc w:val="left"/>
              <w:rPr>
                <w:rFonts w:ascii="宋体" w:hAnsi="宋体" w:cs="宋体" w:eastAsia="宋体" w:hint="default"/>
                <w:sz w:val="15"/>
                <w:szCs w:val="15"/>
              </w:rPr>
            </w:pPr>
            <w:r>
              <w:rPr>
                <w:rFonts w:ascii="宋体" w:hAnsi="宋体" w:cs="宋体" w:eastAsia="宋体" w:hint="default"/>
                <w:b/>
                <w:bCs/>
                <w:sz w:val="15"/>
                <w:szCs w:val="15"/>
              </w:rPr>
              <w:t>（万元）</w:t>
            </w:r>
            <w:r>
              <w:rPr>
                <w:rFonts w:ascii="宋体" w:hAnsi="宋体" w:cs="宋体" w:eastAsia="宋体" w:hint="default"/>
                <w:sz w:val="15"/>
                <w:szCs w:val="15"/>
              </w:rPr>
            </w:r>
          </w:p>
        </w:tc>
        <w:tc>
          <w:tcPr>
            <w:tcW w:w="652"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210" w:right="134" w:hanging="149"/>
              <w:jc w:val="left"/>
              <w:rPr>
                <w:rFonts w:ascii="宋体" w:hAnsi="宋体" w:cs="宋体" w:eastAsia="宋体" w:hint="default"/>
                <w:sz w:val="15"/>
                <w:szCs w:val="15"/>
              </w:rPr>
            </w:pPr>
            <w:r>
              <w:rPr>
                <w:rFonts w:ascii="宋体" w:hAnsi="宋体" w:cs="宋体" w:eastAsia="宋体" w:hint="default"/>
                <w:b/>
                <w:bCs/>
                <w:sz w:val="15"/>
                <w:szCs w:val="15"/>
              </w:rPr>
              <w:t>持股比</w:t>
            </w:r>
            <w:r>
              <w:rPr>
                <w:rFonts w:ascii="宋体" w:hAnsi="宋体" w:cs="宋体" w:eastAsia="宋体" w:hint="default"/>
                <w:b/>
                <w:bCs/>
                <w:w w:val="100"/>
                <w:sz w:val="15"/>
                <w:szCs w:val="15"/>
              </w:rPr>
              <w:t> </w:t>
            </w:r>
            <w:r>
              <w:rPr>
                <w:rFonts w:ascii="宋体" w:hAnsi="宋体" w:cs="宋体" w:eastAsia="宋体" w:hint="default"/>
                <w:b/>
                <w:bCs/>
                <w:sz w:val="15"/>
                <w:szCs w:val="15"/>
              </w:rPr>
              <w:t>例</w:t>
            </w:r>
            <w:r>
              <w:rPr>
                <w:rFonts w:ascii="宋体" w:hAnsi="宋体" w:cs="宋体" w:eastAsia="宋体" w:hint="default"/>
                <w:sz w:val="15"/>
                <w:szCs w:val="15"/>
              </w:rPr>
            </w:r>
          </w:p>
        </w:tc>
        <w:tc>
          <w:tcPr>
            <w:tcW w:w="889" w:type="dxa"/>
            <w:tcBorders>
              <w:top w:val="single" w:sz="12" w:space="0" w:color="000000"/>
              <w:left w:val="nil" w:sz="6" w:space="0" w:color="auto"/>
              <w:bottom w:val="single" w:sz="4" w:space="0" w:color="000000"/>
              <w:right w:val="nil" w:sz="6" w:space="0" w:color="auto"/>
            </w:tcBorders>
          </w:tcPr>
          <w:p>
            <w:pPr>
              <w:pStyle w:val="TableParagraph"/>
              <w:spacing w:line="240" w:lineRule="auto" w:before="113"/>
              <w:ind w:right="55"/>
              <w:jc w:val="center"/>
              <w:rPr>
                <w:rFonts w:ascii="宋体" w:hAnsi="宋体" w:cs="宋体" w:eastAsia="宋体" w:hint="default"/>
                <w:sz w:val="15"/>
                <w:szCs w:val="15"/>
              </w:rPr>
            </w:pPr>
            <w:r>
              <w:rPr>
                <w:rFonts w:ascii="宋体" w:hAnsi="宋体" w:cs="宋体" w:eastAsia="宋体" w:hint="default"/>
                <w:b/>
                <w:bCs/>
                <w:sz w:val="15"/>
                <w:szCs w:val="15"/>
              </w:rPr>
              <w:t>注册地址</w:t>
            </w:r>
            <w:r>
              <w:rPr>
                <w:rFonts w:ascii="宋体" w:hAnsi="宋体" w:cs="宋体" w:eastAsia="宋体" w:hint="default"/>
                <w:sz w:val="15"/>
                <w:szCs w:val="15"/>
              </w:rPr>
            </w:r>
          </w:p>
        </w:tc>
        <w:tc>
          <w:tcPr>
            <w:tcW w:w="3593" w:type="dxa"/>
            <w:tcBorders>
              <w:top w:val="single" w:sz="12" w:space="0" w:color="000000"/>
              <w:left w:val="nil" w:sz="6" w:space="0" w:color="auto"/>
              <w:bottom w:val="single" w:sz="4" w:space="0" w:color="000000"/>
              <w:right w:val="nil" w:sz="6" w:space="0" w:color="auto"/>
            </w:tcBorders>
          </w:tcPr>
          <w:p>
            <w:pPr>
              <w:pStyle w:val="TableParagraph"/>
              <w:spacing w:line="240" w:lineRule="auto" w:before="113"/>
              <w:ind w:right="34"/>
              <w:jc w:val="center"/>
              <w:rPr>
                <w:rFonts w:ascii="宋体" w:hAnsi="宋体" w:cs="宋体" w:eastAsia="宋体" w:hint="default"/>
                <w:sz w:val="15"/>
                <w:szCs w:val="15"/>
              </w:rPr>
            </w:pPr>
            <w:r>
              <w:rPr>
                <w:rFonts w:ascii="宋体" w:hAnsi="宋体" w:cs="宋体" w:eastAsia="宋体" w:hint="default"/>
                <w:b/>
                <w:bCs/>
                <w:sz w:val="15"/>
                <w:szCs w:val="15"/>
              </w:rPr>
              <w:t>主营业务</w:t>
            </w:r>
            <w:r>
              <w:rPr>
                <w:rFonts w:ascii="宋体" w:hAnsi="宋体" w:cs="宋体" w:eastAsia="宋体" w:hint="default"/>
                <w:sz w:val="15"/>
                <w:szCs w:val="15"/>
              </w:rPr>
            </w:r>
          </w:p>
        </w:tc>
      </w:tr>
      <w:tr>
        <w:trPr>
          <w:trHeight w:val="393" w:hRule="exact"/>
        </w:trPr>
        <w:tc>
          <w:tcPr>
            <w:tcW w:w="2190" w:type="dxa"/>
            <w:tcBorders>
              <w:top w:val="single" w:sz="4" w:space="0" w:color="000000"/>
              <w:left w:val="nil" w:sz="6" w:space="0" w:color="auto"/>
              <w:bottom w:val="nil" w:sz="6" w:space="0" w:color="auto"/>
              <w:right w:val="nil" w:sz="6" w:space="0" w:color="auto"/>
            </w:tcBorders>
          </w:tcPr>
          <w:p>
            <w:pPr/>
          </w:p>
        </w:tc>
        <w:tc>
          <w:tcPr>
            <w:tcW w:w="423" w:type="dxa"/>
            <w:tcBorders>
              <w:top w:val="single" w:sz="4" w:space="0" w:color="000000"/>
              <w:left w:val="nil" w:sz="6" w:space="0" w:color="auto"/>
              <w:bottom w:val="nil" w:sz="6" w:space="0" w:color="auto"/>
              <w:right w:val="nil" w:sz="6" w:space="0" w:color="auto"/>
            </w:tcBorders>
          </w:tcPr>
          <w:p>
            <w:pPr/>
          </w:p>
        </w:tc>
        <w:tc>
          <w:tcPr>
            <w:tcW w:w="993" w:type="dxa"/>
            <w:tcBorders>
              <w:top w:val="single" w:sz="4" w:space="0" w:color="000000"/>
              <w:left w:val="nil" w:sz="6" w:space="0" w:color="auto"/>
              <w:bottom w:val="nil" w:sz="6" w:space="0" w:color="auto"/>
              <w:right w:val="nil" w:sz="6" w:space="0" w:color="auto"/>
            </w:tcBorders>
          </w:tcPr>
          <w:p>
            <w:pPr/>
          </w:p>
        </w:tc>
        <w:tc>
          <w:tcPr>
            <w:tcW w:w="652" w:type="dxa"/>
            <w:tcBorders>
              <w:top w:val="single" w:sz="4" w:space="0" w:color="000000"/>
              <w:left w:val="nil" w:sz="6" w:space="0" w:color="auto"/>
              <w:bottom w:val="nil" w:sz="6" w:space="0" w:color="auto"/>
              <w:right w:val="nil" w:sz="6" w:space="0" w:color="auto"/>
            </w:tcBorders>
          </w:tcPr>
          <w:p>
            <w:pPr/>
          </w:p>
        </w:tc>
        <w:tc>
          <w:tcPr>
            <w:tcW w:w="889" w:type="dxa"/>
            <w:tcBorders>
              <w:top w:val="single" w:sz="4" w:space="0" w:color="000000"/>
              <w:left w:val="nil" w:sz="6" w:space="0" w:color="auto"/>
              <w:bottom w:val="nil" w:sz="6" w:space="0" w:color="auto"/>
              <w:right w:val="nil" w:sz="6" w:space="0" w:color="auto"/>
            </w:tcBorders>
          </w:tcPr>
          <w:p>
            <w:pPr/>
          </w:p>
        </w:tc>
        <w:tc>
          <w:tcPr>
            <w:tcW w:w="3593" w:type="dxa"/>
            <w:tcBorders>
              <w:top w:val="single" w:sz="4" w:space="0" w:color="000000"/>
              <w:left w:val="nil" w:sz="6" w:space="0" w:color="auto"/>
              <w:bottom w:val="nil" w:sz="6" w:space="0" w:color="auto"/>
              <w:right w:val="nil" w:sz="6" w:space="0" w:color="auto"/>
            </w:tcBorders>
          </w:tcPr>
          <w:p>
            <w:pPr>
              <w:pStyle w:val="TableParagraph"/>
              <w:spacing w:line="171" w:lineRule="exact"/>
              <w:ind w:left="74" w:right="0"/>
              <w:jc w:val="left"/>
              <w:rPr>
                <w:rFonts w:ascii="宋体" w:hAnsi="宋体" w:cs="宋体" w:eastAsia="宋体" w:hint="default"/>
                <w:sz w:val="15"/>
                <w:szCs w:val="15"/>
              </w:rPr>
            </w:pPr>
            <w:r>
              <w:rPr>
                <w:rFonts w:ascii="宋体" w:hAnsi="宋体" w:cs="宋体" w:eastAsia="宋体" w:hint="default"/>
                <w:spacing w:val="-4"/>
                <w:sz w:val="15"/>
                <w:szCs w:val="15"/>
              </w:rPr>
              <w:t>售、维修服务。（依法须经批准的项目，经相关部门</w:t>
            </w:r>
          </w:p>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批准后方可开展经营活动）</w:t>
            </w:r>
          </w:p>
        </w:tc>
      </w:tr>
      <w:tr>
        <w:trPr>
          <w:trHeight w:val="780"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33" w:right="0"/>
              <w:jc w:val="left"/>
              <w:rPr>
                <w:rFonts w:ascii="宋体" w:hAnsi="宋体" w:cs="宋体" w:eastAsia="宋体" w:hint="default"/>
                <w:sz w:val="15"/>
                <w:szCs w:val="15"/>
              </w:rPr>
            </w:pPr>
            <w:r>
              <w:rPr>
                <w:rFonts w:ascii="宋体" w:hAnsi="宋体" w:cs="宋体" w:eastAsia="宋体" w:hint="default"/>
                <w:sz w:val="15"/>
                <w:szCs w:val="15"/>
              </w:rPr>
              <w:t>内蒙古同方能源发展有限公司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right="48"/>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right="61"/>
              <w:jc w:val="right"/>
              <w:rPr>
                <w:rFonts w:ascii="宋体" w:hAnsi="宋体" w:cs="宋体" w:eastAsia="宋体" w:hint="default"/>
                <w:sz w:val="15"/>
                <w:szCs w:val="15"/>
              </w:rPr>
            </w:pPr>
            <w:r>
              <w:rPr>
                <w:rFonts w:ascii="宋体" w:hAnsi="宋体"/>
                <w:spacing w:val="-2"/>
                <w:sz w:val="15"/>
              </w:rPr>
              <w:t>¥3,000.00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78" w:right="0"/>
              <w:jc w:val="center"/>
              <w:rPr>
                <w:rFonts w:ascii="宋体" w:hAnsi="宋体" w:cs="宋体" w:eastAsia="宋体" w:hint="default"/>
                <w:sz w:val="15"/>
                <w:szCs w:val="15"/>
              </w:rPr>
            </w:pPr>
            <w:r>
              <w:rPr>
                <w:rFonts w:ascii="宋体"/>
                <w:sz w:val="15"/>
              </w:rPr>
              <w:t>51.00%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313" w:right="72" w:hanging="253"/>
              <w:jc w:val="left"/>
              <w:rPr>
                <w:rFonts w:ascii="宋体" w:hAnsi="宋体" w:cs="宋体" w:eastAsia="宋体" w:hint="default"/>
                <w:sz w:val="15"/>
                <w:szCs w:val="15"/>
              </w:rPr>
            </w:pPr>
            <w:r>
              <w:rPr>
                <w:rFonts w:ascii="宋体" w:hAnsi="宋体" w:cs="宋体" w:eastAsia="宋体" w:hint="default"/>
                <w:spacing w:val="-1"/>
                <w:sz w:val="15"/>
                <w:szCs w:val="15"/>
              </w:rPr>
              <w:t>内蒙古呼和</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浩特</w:t>
            </w:r>
          </w:p>
        </w:tc>
        <w:tc>
          <w:tcPr>
            <w:tcW w:w="3593" w:type="dxa"/>
            <w:tcBorders>
              <w:top w:val="nil" w:sz="6" w:space="0" w:color="auto"/>
              <w:left w:val="nil" w:sz="6" w:space="0" w:color="auto"/>
              <w:bottom w:val="nil" w:sz="6" w:space="0" w:color="auto"/>
              <w:right w:val="nil" w:sz="6" w:space="0" w:color="auto"/>
            </w:tcBorders>
          </w:tcPr>
          <w:p>
            <w:pPr>
              <w:pStyle w:val="TableParagraph"/>
              <w:spacing w:line="172" w:lineRule="exact"/>
              <w:ind w:left="74" w:right="0"/>
              <w:jc w:val="both"/>
              <w:rPr>
                <w:rFonts w:ascii="宋体" w:hAnsi="宋体" w:cs="宋体" w:eastAsia="宋体" w:hint="default"/>
                <w:sz w:val="15"/>
                <w:szCs w:val="15"/>
              </w:rPr>
            </w:pPr>
            <w:r>
              <w:rPr>
                <w:rFonts w:ascii="宋体" w:hAnsi="宋体" w:cs="宋体" w:eastAsia="宋体" w:hint="default"/>
                <w:spacing w:val="-4"/>
                <w:sz w:val="15"/>
                <w:szCs w:val="15"/>
              </w:rPr>
              <w:t>技术开发、技术推广、技术转让、技术咨询、技术服</w:t>
            </w:r>
          </w:p>
          <w:p>
            <w:pPr>
              <w:pStyle w:val="TableParagraph"/>
              <w:spacing w:line="240" w:lineRule="auto"/>
              <w:ind w:left="74" w:right="106"/>
              <w:jc w:val="both"/>
              <w:rPr>
                <w:rFonts w:ascii="宋体" w:hAnsi="宋体" w:cs="宋体" w:eastAsia="宋体" w:hint="default"/>
                <w:sz w:val="15"/>
                <w:szCs w:val="15"/>
              </w:rPr>
            </w:pPr>
            <w:r>
              <w:rPr>
                <w:rFonts w:ascii="宋体" w:hAnsi="宋体" w:cs="宋体" w:eastAsia="宋体" w:hint="default"/>
                <w:spacing w:val="-4"/>
                <w:sz w:val="15"/>
                <w:szCs w:val="15"/>
              </w:rPr>
              <w:t>务；销售自行开发的产品、机械设备、电子产品；计</w:t>
            </w:r>
            <w:r>
              <w:rPr>
                <w:rFonts w:ascii="宋体" w:hAnsi="宋体" w:cs="宋体" w:eastAsia="宋体" w:hint="default"/>
                <w:spacing w:val="-31"/>
                <w:sz w:val="15"/>
                <w:szCs w:val="15"/>
              </w:rPr>
              <w:t> </w:t>
            </w:r>
            <w:r>
              <w:rPr>
                <w:rFonts w:ascii="宋体" w:hAnsi="宋体" w:cs="宋体" w:eastAsia="宋体" w:hint="default"/>
                <w:spacing w:val="-31"/>
                <w:sz w:val="15"/>
                <w:szCs w:val="15"/>
              </w:rPr>
            </w:r>
            <w:r>
              <w:rPr>
                <w:rFonts w:ascii="宋体" w:hAnsi="宋体" w:cs="宋体" w:eastAsia="宋体" w:hint="default"/>
                <w:spacing w:val="-4"/>
                <w:sz w:val="15"/>
                <w:szCs w:val="15"/>
              </w:rPr>
              <w:t>算机系统服务；基础软件服务、应用软件服务；建设</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工程项目管理；经济贸易咨询。</w:t>
            </w:r>
          </w:p>
        </w:tc>
      </w:tr>
      <w:tr>
        <w:trPr>
          <w:trHeight w:val="389"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3" w:right="0"/>
              <w:jc w:val="left"/>
              <w:rPr>
                <w:rFonts w:ascii="宋体" w:hAnsi="宋体" w:cs="宋体" w:eastAsia="宋体" w:hint="default"/>
                <w:sz w:val="15"/>
                <w:szCs w:val="15"/>
              </w:rPr>
            </w:pPr>
            <w:r>
              <w:rPr>
                <w:rFonts w:ascii="宋体" w:hAnsi="宋体" w:cs="宋体" w:eastAsia="宋体" w:hint="default"/>
                <w:sz w:val="15"/>
                <w:szCs w:val="15"/>
              </w:rPr>
              <w:t>北京壹人壹本信息科技有限公司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8"/>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0"/>
              <w:jc w:val="right"/>
              <w:rPr>
                <w:rFonts w:ascii="宋体" w:hAnsi="宋体" w:cs="宋体" w:eastAsia="宋体" w:hint="default"/>
                <w:sz w:val="15"/>
                <w:szCs w:val="15"/>
              </w:rPr>
            </w:pPr>
            <w:r>
              <w:rPr>
                <w:rFonts w:ascii="宋体" w:hAnsi="宋体"/>
                <w:spacing w:val="-1"/>
                <w:sz w:val="15"/>
              </w:rPr>
              <w:t>¥10,000.00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4"/>
              <w:jc w:val="center"/>
              <w:rPr>
                <w:rFonts w:ascii="宋体" w:hAnsi="宋体" w:cs="宋体" w:eastAsia="宋体" w:hint="default"/>
                <w:sz w:val="15"/>
                <w:szCs w:val="15"/>
              </w:rPr>
            </w:pPr>
            <w:r>
              <w:rPr>
                <w:rFonts w:ascii="宋体" w:hAnsi="宋体" w:cs="宋体" w:eastAsia="宋体" w:hint="default"/>
                <w:sz w:val="15"/>
                <w:szCs w:val="15"/>
              </w:rPr>
              <w:t>北京通州</w:t>
            </w:r>
          </w:p>
        </w:tc>
        <w:tc>
          <w:tcPr>
            <w:tcW w:w="3593" w:type="dxa"/>
            <w:tcBorders>
              <w:top w:val="nil" w:sz="6" w:space="0" w:color="auto"/>
              <w:left w:val="nil" w:sz="6" w:space="0" w:color="auto"/>
              <w:bottom w:val="nil" w:sz="6" w:space="0" w:color="auto"/>
              <w:right w:val="nil" w:sz="6" w:space="0" w:color="auto"/>
            </w:tcBorders>
          </w:tcPr>
          <w:p>
            <w:pPr>
              <w:pStyle w:val="TableParagraph"/>
              <w:spacing w:line="172" w:lineRule="exact"/>
              <w:ind w:left="74" w:right="0"/>
              <w:jc w:val="left"/>
              <w:rPr>
                <w:rFonts w:ascii="宋体" w:hAnsi="宋体" w:cs="宋体" w:eastAsia="宋体" w:hint="default"/>
                <w:sz w:val="15"/>
                <w:szCs w:val="15"/>
              </w:rPr>
            </w:pPr>
            <w:r>
              <w:rPr>
                <w:rFonts w:ascii="宋体" w:hAnsi="宋体" w:cs="宋体" w:eastAsia="宋体" w:hint="default"/>
                <w:spacing w:val="-4"/>
                <w:sz w:val="15"/>
                <w:szCs w:val="15"/>
              </w:rPr>
              <w:t>移动通讯终端、手机、计算机产品的研发、生产、销</w:t>
            </w:r>
          </w:p>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售；因特网信息服务业务</w:t>
            </w:r>
          </w:p>
        </w:tc>
      </w:tr>
      <w:tr>
        <w:trPr>
          <w:trHeight w:val="400"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3" w:right="0"/>
              <w:jc w:val="left"/>
              <w:rPr>
                <w:rFonts w:ascii="宋体" w:hAnsi="宋体" w:cs="宋体" w:eastAsia="宋体" w:hint="default"/>
                <w:sz w:val="15"/>
                <w:szCs w:val="15"/>
              </w:rPr>
            </w:pPr>
            <w:r>
              <w:rPr>
                <w:rFonts w:ascii="宋体" w:hAnsi="宋体" w:cs="宋体" w:eastAsia="宋体" w:hint="default"/>
                <w:sz w:val="15"/>
                <w:szCs w:val="15"/>
              </w:rPr>
              <w:t>北京珠穆朗玛移动通信有限公司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1"/>
              <w:jc w:val="right"/>
              <w:rPr>
                <w:rFonts w:ascii="宋体" w:hAnsi="宋体" w:cs="宋体" w:eastAsia="宋体" w:hint="default"/>
                <w:sz w:val="15"/>
                <w:szCs w:val="15"/>
              </w:rPr>
            </w:pPr>
            <w:r>
              <w:rPr>
                <w:rFonts w:ascii="宋体" w:hAnsi="宋体"/>
                <w:spacing w:val="-2"/>
                <w:sz w:val="15"/>
              </w:rPr>
              <w:t>¥5,000.00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8" w:right="0"/>
              <w:jc w:val="center"/>
              <w:rPr>
                <w:rFonts w:ascii="宋体" w:hAnsi="宋体" w:cs="宋体" w:eastAsia="宋体" w:hint="default"/>
                <w:sz w:val="15"/>
                <w:szCs w:val="15"/>
              </w:rPr>
            </w:pPr>
            <w:r>
              <w:rPr>
                <w:rFonts w:ascii="宋体"/>
                <w:sz w:val="15"/>
              </w:rPr>
              <w:t>60.00%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4"/>
              <w:jc w:val="center"/>
              <w:rPr>
                <w:rFonts w:ascii="宋体" w:hAnsi="宋体" w:cs="宋体" w:eastAsia="宋体" w:hint="default"/>
                <w:sz w:val="15"/>
                <w:szCs w:val="15"/>
              </w:rPr>
            </w:pPr>
            <w:r>
              <w:rPr>
                <w:rFonts w:ascii="宋体" w:hAnsi="宋体" w:cs="宋体" w:eastAsia="宋体" w:hint="default"/>
                <w:sz w:val="15"/>
                <w:szCs w:val="15"/>
              </w:rPr>
              <w:t>北京通州</w:t>
            </w:r>
          </w:p>
        </w:tc>
        <w:tc>
          <w:tcPr>
            <w:tcW w:w="3593" w:type="dxa"/>
            <w:tcBorders>
              <w:top w:val="nil" w:sz="6" w:space="0" w:color="auto"/>
              <w:left w:val="nil" w:sz="6" w:space="0" w:color="auto"/>
              <w:bottom w:val="nil" w:sz="6" w:space="0" w:color="auto"/>
              <w:right w:val="nil" w:sz="6" w:space="0" w:color="auto"/>
            </w:tcBorders>
          </w:tcPr>
          <w:p>
            <w:pPr>
              <w:pStyle w:val="TableParagraph"/>
              <w:spacing w:line="172" w:lineRule="exact"/>
              <w:ind w:left="74" w:right="0"/>
              <w:jc w:val="left"/>
              <w:rPr>
                <w:rFonts w:ascii="宋体" w:hAnsi="宋体" w:cs="宋体" w:eastAsia="宋体" w:hint="default"/>
                <w:sz w:val="15"/>
                <w:szCs w:val="15"/>
              </w:rPr>
            </w:pPr>
            <w:r>
              <w:rPr>
                <w:rFonts w:ascii="宋体" w:hAnsi="宋体" w:cs="宋体" w:eastAsia="宋体" w:hint="default"/>
                <w:spacing w:val="-4"/>
                <w:sz w:val="15"/>
                <w:szCs w:val="15"/>
              </w:rPr>
              <w:t>移动通讯终端、手机、计算机产品的研发、生产、销</w:t>
            </w:r>
          </w:p>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售；因特网信息服务业务</w:t>
            </w:r>
          </w:p>
        </w:tc>
      </w:tr>
      <w:tr>
        <w:trPr>
          <w:trHeight w:val="240"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3" w:right="0"/>
              <w:jc w:val="left"/>
              <w:rPr>
                <w:rFonts w:ascii="宋体" w:hAnsi="宋体" w:cs="宋体" w:eastAsia="宋体" w:hint="default"/>
                <w:sz w:val="15"/>
                <w:szCs w:val="15"/>
              </w:rPr>
            </w:pPr>
            <w:r>
              <w:rPr>
                <w:rFonts w:ascii="宋体" w:hAnsi="宋体" w:cs="宋体" w:eastAsia="宋体" w:hint="default"/>
                <w:sz w:val="15"/>
                <w:szCs w:val="15"/>
              </w:rPr>
              <w:t>北京同方实业有限公司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83" w:lineRule="exact"/>
              <w:ind w:right="48"/>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83" w:lineRule="exact"/>
              <w:ind w:right="60"/>
              <w:jc w:val="right"/>
              <w:rPr>
                <w:rFonts w:ascii="宋体" w:hAnsi="宋体" w:cs="宋体" w:eastAsia="宋体" w:hint="default"/>
                <w:sz w:val="15"/>
                <w:szCs w:val="15"/>
              </w:rPr>
            </w:pPr>
            <w:r>
              <w:rPr>
                <w:rFonts w:ascii="宋体" w:hAnsi="宋体"/>
                <w:spacing w:val="-1"/>
                <w:sz w:val="15"/>
              </w:rPr>
              <w:t>¥10,000.00</w:t>
            </w:r>
          </w:p>
        </w:tc>
        <w:tc>
          <w:tcPr>
            <w:tcW w:w="652" w:type="dxa"/>
            <w:tcBorders>
              <w:top w:val="nil" w:sz="6" w:space="0" w:color="auto"/>
              <w:left w:val="nil" w:sz="6" w:space="0" w:color="auto"/>
              <w:bottom w:val="nil" w:sz="6" w:space="0" w:color="auto"/>
              <w:right w:val="nil" w:sz="6" w:space="0" w:color="auto"/>
            </w:tcBorders>
          </w:tcPr>
          <w:p>
            <w:pPr>
              <w:pStyle w:val="TableParagraph"/>
              <w:spacing w:line="183" w:lineRule="exact"/>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3" w:lineRule="exact"/>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4" w:right="0"/>
              <w:jc w:val="left"/>
              <w:rPr>
                <w:rFonts w:ascii="宋体" w:hAnsi="宋体" w:cs="宋体" w:eastAsia="宋体" w:hint="default"/>
                <w:sz w:val="15"/>
                <w:szCs w:val="15"/>
              </w:rPr>
            </w:pPr>
            <w:r>
              <w:rPr>
                <w:rFonts w:ascii="宋体" w:hAnsi="宋体" w:cs="宋体" w:eastAsia="宋体" w:hint="default"/>
                <w:sz w:val="15"/>
                <w:szCs w:val="15"/>
              </w:rPr>
              <w:t>军工相关业务投资控股</w:t>
            </w:r>
          </w:p>
        </w:tc>
      </w:tr>
      <w:tr>
        <w:trPr>
          <w:trHeight w:val="228"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83" w:lineRule="exact"/>
              <w:ind w:left="33" w:right="0"/>
              <w:jc w:val="left"/>
              <w:rPr>
                <w:rFonts w:ascii="宋体" w:hAnsi="宋体" w:cs="宋体" w:eastAsia="宋体" w:hint="default"/>
                <w:sz w:val="15"/>
                <w:szCs w:val="15"/>
              </w:rPr>
            </w:pPr>
            <w:r>
              <w:rPr>
                <w:rFonts w:ascii="宋体" w:hAnsi="宋体" w:cs="宋体" w:eastAsia="宋体" w:hint="default"/>
                <w:sz w:val="15"/>
                <w:szCs w:val="15"/>
              </w:rPr>
              <w:t>江西同方昌明消防车辆有限公司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83" w:lineRule="exact"/>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83" w:lineRule="exact"/>
              <w:ind w:right="59"/>
              <w:jc w:val="right"/>
              <w:rPr>
                <w:rFonts w:ascii="宋体" w:hAnsi="宋体" w:cs="宋体" w:eastAsia="宋体" w:hint="default"/>
                <w:sz w:val="15"/>
                <w:szCs w:val="15"/>
              </w:rPr>
            </w:pPr>
            <w:r>
              <w:rPr>
                <w:rFonts w:ascii="宋体" w:hAnsi="宋体"/>
                <w:spacing w:val="-1"/>
                <w:sz w:val="15"/>
              </w:rPr>
              <w:t>¥600.00</w:t>
            </w:r>
          </w:p>
        </w:tc>
        <w:tc>
          <w:tcPr>
            <w:tcW w:w="652" w:type="dxa"/>
            <w:tcBorders>
              <w:top w:val="nil" w:sz="6" w:space="0" w:color="auto"/>
              <w:left w:val="nil" w:sz="6" w:space="0" w:color="auto"/>
              <w:bottom w:val="nil" w:sz="6" w:space="0" w:color="auto"/>
              <w:right w:val="nil" w:sz="6" w:space="0" w:color="auto"/>
            </w:tcBorders>
          </w:tcPr>
          <w:p>
            <w:pPr>
              <w:pStyle w:val="TableParagraph"/>
              <w:spacing w:line="183" w:lineRule="exact"/>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3" w:lineRule="exact"/>
              <w:ind w:right="11"/>
              <w:jc w:val="center"/>
              <w:rPr>
                <w:rFonts w:ascii="宋体" w:hAnsi="宋体" w:cs="宋体" w:eastAsia="宋体" w:hint="default"/>
                <w:sz w:val="15"/>
                <w:szCs w:val="15"/>
              </w:rPr>
            </w:pPr>
            <w:r>
              <w:rPr>
                <w:rFonts w:ascii="宋体" w:hAnsi="宋体" w:cs="宋体" w:eastAsia="宋体" w:hint="default"/>
                <w:sz w:val="15"/>
                <w:szCs w:val="15"/>
              </w:rPr>
              <w:t>江西景德镇</w:t>
            </w:r>
          </w:p>
        </w:tc>
        <w:tc>
          <w:tcPr>
            <w:tcW w:w="3593" w:type="dxa"/>
            <w:tcBorders>
              <w:top w:val="nil" w:sz="6" w:space="0" w:color="auto"/>
              <w:left w:val="nil" w:sz="6" w:space="0" w:color="auto"/>
              <w:bottom w:val="nil" w:sz="6" w:space="0" w:color="auto"/>
              <w:right w:val="nil" w:sz="6" w:space="0" w:color="auto"/>
            </w:tcBorders>
          </w:tcPr>
          <w:p>
            <w:pPr>
              <w:pStyle w:val="TableParagraph"/>
              <w:spacing w:line="183" w:lineRule="exact"/>
              <w:ind w:left="74" w:right="0"/>
              <w:jc w:val="left"/>
              <w:rPr>
                <w:rFonts w:ascii="宋体" w:hAnsi="宋体" w:cs="宋体" w:eastAsia="宋体" w:hint="default"/>
                <w:sz w:val="15"/>
                <w:szCs w:val="15"/>
              </w:rPr>
            </w:pPr>
            <w:r>
              <w:rPr>
                <w:rFonts w:ascii="宋体" w:hAnsi="宋体" w:cs="宋体" w:eastAsia="宋体" w:hint="default"/>
                <w:sz w:val="15"/>
                <w:szCs w:val="15"/>
              </w:rPr>
              <w:t>消防车辆、消防设备、汽柴油发电机组经销</w:t>
            </w:r>
          </w:p>
        </w:tc>
      </w:tr>
      <w:tr>
        <w:trPr>
          <w:trHeight w:val="240"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95" w:lineRule="exact"/>
              <w:ind w:left="33" w:right="0"/>
              <w:jc w:val="left"/>
              <w:rPr>
                <w:rFonts w:ascii="宋体" w:hAnsi="宋体" w:cs="宋体" w:eastAsia="宋体" w:hint="default"/>
                <w:sz w:val="15"/>
                <w:szCs w:val="15"/>
              </w:rPr>
            </w:pPr>
            <w:r>
              <w:rPr>
                <w:rFonts w:ascii="宋体" w:hAnsi="宋体" w:cs="宋体" w:eastAsia="宋体" w:hint="default"/>
                <w:sz w:val="15"/>
                <w:szCs w:val="15"/>
              </w:rPr>
              <w:t>九江同方工业有限公司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95" w:lineRule="exact"/>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95" w:lineRule="exact"/>
              <w:ind w:right="61"/>
              <w:jc w:val="right"/>
              <w:rPr>
                <w:rFonts w:ascii="宋体" w:hAnsi="宋体" w:cs="宋体" w:eastAsia="宋体" w:hint="default"/>
                <w:sz w:val="15"/>
                <w:szCs w:val="15"/>
              </w:rPr>
            </w:pPr>
            <w:r>
              <w:rPr>
                <w:rFonts w:ascii="宋体" w:hAnsi="宋体"/>
                <w:spacing w:val="-2"/>
                <w:sz w:val="15"/>
              </w:rPr>
              <w:t>¥8,000.00</w:t>
            </w:r>
          </w:p>
        </w:tc>
        <w:tc>
          <w:tcPr>
            <w:tcW w:w="652" w:type="dxa"/>
            <w:tcBorders>
              <w:top w:val="nil" w:sz="6" w:space="0" w:color="auto"/>
              <w:left w:val="nil" w:sz="6" w:space="0" w:color="auto"/>
              <w:bottom w:val="nil" w:sz="6" w:space="0" w:color="auto"/>
              <w:right w:val="nil" w:sz="6" w:space="0" w:color="auto"/>
            </w:tcBorders>
          </w:tcPr>
          <w:p>
            <w:pPr>
              <w:pStyle w:val="TableParagraph"/>
              <w:spacing w:line="195" w:lineRule="exact"/>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江西九江</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电子信息产品加工、制造、销售及服务；房屋租赁</w:t>
            </w:r>
          </w:p>
        </w:tc>
      </w:tr>
      <w:tr>
        <w:trPr>
          <w:trHeight w:val="240"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95" w:lineRule="exact"/>
              <w:ind w:left="33" w:right="0"/>
              <w:jc w:val="left"/>
              <w:rPr>
                <w:rFonts w:ascii="宋体" w:hAnsi="宋体" w:cs="宋体" w:eastAsia="宋体" w:hint="default"/>
                <w:sz w:val="15"/>
                <w:szCs w:val="15"/>
              </w:rPr>
            </w:pPr>
            <w:r>
              <w:rPr>
                <w:rFonts w:ascii="宋体" w:hAnsi="宋体" w:cs="宋体" w:eastAsia="宋体" w:hint="default"/>
                <w:sz w:val="15"/>
                <w:szCs w:val="15"/>
              </w:rPr>
              <w:t>南京同方北斗科技有限公司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95" w:lineRule="exact"/>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95" w:lineRule="exact"/>
              <w:ind w:right="59"/>
              <w:jc w:val="right"/>
              <w:rPr>
                <w:rFonts w:ascii="宋体" w:hAnsi="宋体" w:cs="宋体" w:eastAsia="宋体" w:hint="default"/>
                <w:sz w:val="15"/>
                <w:szCs w:val="15"/>
              </w:rPr>
            </w:pPr>
            <w:r>
              <w:rPr>
                <w:rFonts w:ascii="宋体" w:hAnsi="宋体"/>
                <w:spacing w:val="-1"/>
                <w:sz w:val="15"/>
              </w:rPr>
              <w:t>¥500.00</w:t>
            </w:r>
          </w:p>
        </w:tc>
        <w:tc>
          <w:tcPr>
            <w:tcW w:w="652" w:type="dxa"/>
            <w:tcBorders>
              <w:top w:val="nil" w:sz="6" w:space="0" w:color="auto"/>
              <w:left w:val="nil" w:sz="6" w:space="0" w:color="auto"/>
              <w:bottom w:val="nil" w:sz="6" w:space="0" w:color="auto"/>
              <w:right w:val="nil" w:sz="6" w:space="0" w:color="auto"/>
            </w:tcBorders>
          </w:tcPr>
          <w:p>
            <w:pPr>
              <w:pStyle w:val="TableParagraph"/>
              <w:spacing w:line="195" w:lineRule="exact"/>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江苏南京</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卫星导航定位、授时通讯及应用系统开发</w:t>
            </w:r>
          </w:p>
        </w:tc>
      </w:tr>
      <w:tr>
        <w:trPr>
          <w:trHeight w:val="229"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95" w:lineRule="exact"/>
              <w:ind w:left="33" w:right="0"/>
              <w:jc w:val="left"/>
              <w:rPr>
                <w:rFonts w:ascii="宋体" w:hAnsi="宋体" w:cs="宋体" w:eastAsia="宋体" w:hint="default"/>
                <w:sz w:val="15"/>
                <w:szCs w:val="15"/>
              </w:rPr>
            </w:pPr>
            <w:r>
              <w:rPr>
                <w:rFonts w:ascii="宋体" w:hAnsi="宋体" w:cs="宋体" w:eastAsia="宋体" w:hint="default"/>
                <w:sz w:val="15"/>
                <w:szCs w:val="15"/>
              </w:rPr>
              <w:t>辽宁同方安全技术有限公司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95" w:lineRule="exact"/>
              <w:ind w:right="48"/>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95" w:lineRule="exact"/>
              <w:ind w:right="59"/>
              <w:jc w:val="right"/>
              <w:rPr>
                <w:rFonts w:ascii="宋体" w:hAnsi="宋体" w:cs="宋体" w:eastAsia="宋体" w:hint="default"/>
                <w:sz w:val="15"/>
                <w:szCs w:val="15"/>
              </w:rPr>
            </w:pPr>
            <w:r>
              <w:rPr>
                <w:rFonts w:ascii="宋体" w:hAnsi="宋体"/>
                <w:spacing w:val="-1"/>
                <w:sz w:val="15"/>
              </w:rPr>
              <w:t>¥400.00</w:t>
            </w:r>
          </w:p>
        </w:tc>
        <w:tc>
          <w:tcPr>
            <w:tcW w:w="652" w:type="dxa"/>
            <w:tcBorders>
              <w:top w:val="nil" w:sz="6" w:space="0" w:color="auto"/>
              <w:left w:val="nil" w:sz="6" w:space="0" w:color="auto"/>
              <w:bottom w:val="nil" w:sz="6" w:space="0" w:color="auto"/>
              <w:right w:val="nil" w:sz="6" w:space="0" w:color="auto"/>
            </w:tcBorders>
          </w:tcPr>
          <w:p>
            <w:pPr>
              <w:pStyle w:val="TableParagraph"/>
              <w:spacing w:line="195" w:lineRule="exact"/>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辽宁沈阳</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火灾探测器等生产及销售</w:t>
            </w:r>
          </w:p>
        </w:tc>
      </w:tr>
      <w:tr>
        <w:trPr>
          <w:trHeight w:val="412"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94" w:lineRule="exact" w:before="8"/>
              <w:ind w:left="33" w:right="52"/>
              <w:jc w:val="left"/>
              <w:rPr>
                <w:rFonts w:ascii="宋体" w:hAnsi="宋体" w:cs="宋体" w:eastAsia="宋体" w:hint="default"/>
                <w:sz w:val="15"/>
                <w:szCs w:val="15"/>
              </w:rPr>
            </w:pPr>
            <w:r>
              <w:rPr>
                <w:rFonts w:ascii="宋体" w:hAnsi="宋体" w:cs="宋体" w:eastAsia="宋体" w:hint="default"/>
                <w:spacing w:val="-2"/>
                <w:sz w:val="15"/>
                <w:szCs w:val="15"/>
              </w:rPr>
              <w:t>北京同方星阑科技有限公司（原</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同方传媒（北京）有限公司）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8"/>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1"/>
              <w:jc w:val="right"/>
              <w:rPr>
                <w:rFonts w:ascii="宋体" w:hAnsi="宋体" w:cs="宋体" w:eastAsia="宋体" w:hint="default"/>
                <w:sz w:val="15"/>
                <w:szCs w:val="15"/>
              </w:rPr>
            </w:pPr>
            <w:r>
              <w:rPr>
                <w:rFonts w:ascii="宋体" w:hAnsi="宋体"/>
                <w:spacing w:val="-2"/>
                <w:sz w:val="15"/>
              </w:rPr>
              <w:t>¥2,505.00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nil" w:sz="6" w:space="0" w:color="auto"/>
              <w:left w:val="nil" w:sz="6" w:space="0" w:color="auto"/>
              <w:bottom w:val="nil" w:sz="6" w:space="0" w:color="auto"/>
              <w:right w:val="nil" w:sz="6" w:space="0" w:color="auto"/>
            </w:tcBorders>
          </w:tcPr>
          <w:p>
            <w:pPr>
              <w:pStyle w:val="TableParagraph"/>
              <w:spacing w:line="194" w:lineRule="exact" w:before="8"/>
              <w:ind w:left="74" w:right="32"/>
              <w:jc w:val="left"/>
              <w:rPr>
                <w:rFonts w:ascii="宋体" w:hAnsi="宋体" w:cs="宋体" w:eastAsia="宋体" w:hint="default"/>
                <w:sz w:val="15"/>
                <w:szCs w:val="15"/>
              </w:rPr>
            </w:pPr>
            <w:r>
              <w:rPr>
                <w:rFonts w:ascii="宋体" w:hAnsi="宋体" w:cs="宋体" w:eastAsia="宋体" w:hint="default"/>
                <w:spacing w:val="-7"/>
                <w:sz w:val="15"/>
                <w:szCs w:val="15"/>
              </w:rPr>
              <w:t>技术开发、技术咨询、技术转让、技术服务软件开发、</w:t>
            </w:r>
            <w:r>
              <w:rPr>
                <w:rFonts w:ascii="宋体" w:hAnsi="宋体" w:cs="宋体" w:eastAsia="宋体" w:hint="default"/>
                <w:spacing w:val="-30"/>
                <w:sz w:val="15"/>
                <w:szCs w:val="15"/>
              </w:rPr>
              <w:t> </w:t>
            </w:r>
            <w:r>
              <w:rPr>
                <w:rFonts w:ascii="宋体" w:hAnsi="宋体" w:cs="宋体" w:eastAsia="宋体" w:hint="default"/>
                <w:spacing w:val="-30"/>
                <w:sz w:val="15"/>
                <w:szCs w:val="15"/>
              </w:rPr>
            </w:r>
            <w:r>
              <w:rPr>
                <w:rFonts w:ascii="宋体" w:hAnsi="宋体" w:cs="宋体" w:eastAsia="宋体" w:hint="default"/>
                <w:sz w:val="15"/>
                <w:szCs w:val="15"/>
              </w:rPr>
              <w:t>应用软件开发、基础软件服务</w:t>
            </w:r>
          </w:p>
        </w:tc>
      </w:tr>
      <w:tr>
        <w:trPr>
          <w:trHeight w:val="218"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84" w:lineRule="exact"/>
              <w:ind w:left="33" w:right="0"/>
              <w:jc w:val="left"/>
              <w:rPr>
                <w:rFonts w:ascii="宋体" w:hAnsi="宋体" w:cs="宋体" w:eastAsia="宋体" w:hint="default"/>
                <w:sz w:val="15"/>
                <w:szCs w:val="15"/>
              </w:rPr>
            </w:pPr>
            <w:r>
              <w:rPr>
                <w:rFonts w:ascii="宋体" w:hAnsi="宋体" w:cs="宋体" w:eastAsia="宋体" w:hint="default"/>
                <w:sz w:val="15"/>
                <w:szCs w:val="15"/>
              </w:rPr>
              <w:t>北京同方影视传媒科技有限公司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84" w:lineRule="exact"/>
              <w:ind w:right="48"/>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84" w:lineRule="exact"/>
              <w:ind w:right="59"/>
              <w:jc w:val="right"/>
              <w:rPr>
                <w:rFonts w:ascii="宋体" w:hAnsi="宋体" w:cs="宋体" w:eastAsia="宋体" w:hint="default"/>
                <w:sz w:val="15"/>
                <w:szCs w:val="15"/>
              </w:rPr>
            </w:pPr>
            <w:r>
              <w:rPr>
                <w:rFonts w:ascii="宋体" w:hAnsi="宋体"/>
                <w:spacing w:val="-1"/>
                <w:sz w:val="15"/>
              </w:rPr>
              <w:t>¥500.00</w:t>
            </w:r>
          </w:p>
        </w:tc>
        <w:tc>
          <w:tcPr>
            <w:tcW w:w="652" w:type="dxa"/>
            <w:tcBorders>
              <w:top w:val="nil" w:sz="6" w:space="0" w:color="auto"/>
              <w:left w:val="nil" w:sz="6" w:space="0" w:color="auto"/>
              <w:bottom w:val="nil" w:sz="6" w:space="0" w:color="auto"/>
              <w:right w:val="nil" w:sz="6" w:space="0" w:color="auto"/>
            </w:tcBorders>
          </w:tcPr>
          <w:p>
            <w:pPr>
              <w:pStyle w:val="TableParagraph"/>
              <w:spacing w:line="184" w:lineRule="exact"/>
              <w:ind w:left="78" w:right="0"/>
              <w:jc w:val="center"/>
              <w:rPr>
                <w:rFonts w:ascii="宋体" w:hAnsi="宋体" w:cs="宋体" w:eastAsia="宋体" w:hint="default"/>
                <w:sz w:val="15"/>
                <w:szCs w:val="15"/>
              </w:rPr>
            </w:pPr>
            <w:r>
              <w:rPr>
                <w:rFonts w:ascii="宋体"/>
                <w:sz w:val="15"/>
              </w:rPr>
              <w:t>60.00%</w:t>
            </w:r>
          </w:p>
        </w:tc>
        <w:tc>
          <w:tcPr>
            <w:tcW w:w="889" w:type="dxa"/>
            <w:tcBorders>
              <w:top w:val="nil" w:sz="6" w:space="0" w:color="auto"/>
              <w:left w:val="nil" w:sz="6" w:space="0" w:color="auto"/>
              <w:bottom w:val="nil" w:sz="6" w:space="0" w:color="auto"/>
              <w:right w:val="nil" w:sz="6" w:space="0" w:color="auto"/>
            </w:tcBorders>
          </w:tcPr>
          <w:p>
            <w:pPr>
              <w:pStyle w:val="TableParagraph"/>
              <w:spacing w:line="184" w:lineRule="exact"/>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nil" w:sz="6" w:space="0" w:color="auto"/>
              <w:left w:val="nil" w:sz="6" w:space="0" w:color="auto"/>
              <w:bottom w:val="nil" w:sz="6" w:space="0" w:color="auto"/>
              <w:right w:val="nil" w:sz="6" w:space="0" w:color="auto"/>
            </w:tcBorders>
          </w:tcPr>
          <w:p>
            <w:pPr>
              <w:pStyle w:val="TableParagraph"/>
              <w:spacing w:line="184" w:lineRule="exact"/>
              <w:ind w:left="74" w:right="0"/>
              <w:jc w:val="left"/>
              <w:rPr>
                <w:rFonts w:ascii="宋体" w:hAnsi="宋体" w:cs="宋体" w:eastAsia="宋体" w:hint="default"/>
                <w:sz w:val="15"/>
                <w:szCs w:val="15"/>
              </w:rPr>
            </w:pPr>
            <w:r>
              <w:rPr>
                <w:rFonts w:ascii="宋体" w:hAnsi="宋体" w:cs="宋体" w:eastAsia="宋体" w:hint="default"/>
                <w:sz w:val="15"/>
                <w:szCs w:val="15"/>
              </w:rPr>
              <w:t>数字电影播放服务器研发销售；数字电影广告服务</w:t>
            </w:r>
          </w:p>
        </w:tc>
      </w:tr>
      <w:tr>
        <w:trPr>
          <w:trHeight w:val="401"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94" w:lineRule="exact" w:before="8"/>
              <w:ind w:left="33" w:right="52"/>
              <w:jc w:val="left"/>
              <w:rPr>
                <w:rFonts w:ascii="宋体" w:hAnsi="宋体" w:cs="宋体" w:eastAsia="宋体" w:hint="default"/>
                <w:sz w:val="15"/>
                <w:szCs w:val="15"/>
              </w:rPr>
            </w:pPr>
            <w:r>
              <w:rPr>
                <w:rFonts w:ascii="宋体" w:hAnsi="宋体" w:cs="宋体" w:eastAsia="宋体" w:hint="default"/>
                <w:spacing w:val="-2"/>
                <w:sz w:val="15"/>
                <w:szCs w:val="15"/>
              </w:rPr>
              <w:t>北京同方嘉映数字电影院线有限</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59"/>
              <w:jc w:val="right"/>
              <w:rPr>
                <w:rFonts w:ascii="宋体" w:hAnsi="宋体" w:cs="宋体" w:eastAsia="宋体" w:hint="default"/>
                <w:sz w:val="15"/>
                <w:szCs w:val="15"/>
              </w:rPr>
            </w:pPr>
            <w:r>
              <w:rPr>
                <w:rFonts w:ascii="宋体" w:hAnsi="宋体"/>
                <w:spacing w:val="-1"/>
                <w:sz w:val="15"/>
              </w:rPr>
              <w:t>¥10.00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4" w:right="0"/>
              <w:jc w:val="left"/>
              <w:rPr>
                <w:rFonts w:ascii="宋体" w:hAnsi="宋体" w:cs="宋体" w:eastAsia="宋体" w:hint="default"/>
                <w:sz w:val="15"/>
                <w:szCs w:val="15"/>
              </w:rPr>
            </w:pPr>
            <w:r>
              <w:rPr>
                <w:rFonts w:ascii="宋体" w:hAnsi="宋体" w:cs="宋体" w:eastAsia="宋体" w:hint="default"/>
                <w:sz w:val="15"/>
                <w:szCs w:val="15"/>
              </w:rPr>
              <w:t>电影放映；广告制作、代理、发布</w:t>
            </w:r>
          </w:p>
        </w:tc>
      </w:tr>
      <w:tr>
        <w:trPr>
          <w:trHeight w:val="401"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 w:right="0"/>
              <w:jc w:val="left"/>
              <w:rPr>
                <w:rFonts w:ascii="宋体" w:hAnsi="宋体" w:cs="宋体" w:eastAsia="宋体" w:hint="default"/>
                <w:sz w:val="15"/>
                <w:szCs w:val="15"/>
              </w:rPr>
            </w:pPr>
            <w:r>
              <w:rPr>
                <w:rFonts w:ascii="宋体" w:hAnsi="宋体" w:cs="宋体" w:eastAsia="宋体" w:hint="default"/>
                <w:sz w:val="15"/>
                <w:szCs w:val="15"/>
              </w:rPr>
              <w:t>淮安同方控源截污工程有限公司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8"/>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0"/>
              <w:jc w:val="right"/>
              <w:rPr>
                <w:rFonts w:ascii="宋体" w:hAnsi="宋体" w:cs="宋体" w:eastAsia="宋体" w:hint="default"/>
                <w:sz w:val="15"/>
                <w:szCs w:val="15"/>
              </w:rPr>
            </w:pPr>
            <w:r>
              <w:rPr>
                <w:rFonts w:ascii="宋体" w:hAnsi="宋体"/>
                <w:spacing w:val="-1"/>
                <w:sz w:val="15"/>
              </w:rPr>
              <w:t>¥51,927.00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
              <w:jc w:val="center"/>
              <w:rPr>
                <w:rFonts w:ascii="宋体" w:hAnsi="宋体" w:cs="宋体" w:eastAsia="宋体" w:hint="default"/>
                <w:sz w:val="15"/>
                <w:szCs w:val="15"/>
              </w:rPr>
            </w:pPr>
            <w:r>
              <w:rPr>
                <w:rFonts w:ascii="宋体" w:hAnsi="宋体" w:cs="宋体" w:eastAsia="宋体" w:hint="default"/>
                <w:sz w:val="15"/>
                <w:szCs w:val="15"/>
              </w:rPr>
              <w:t>江苏淮安</w:t>
            </w:r>
          </w:p>
        </w:tc>
        <w:tc>
          <w:tcPr>
            <w:tcW w:w="3593" w:type="dxa"/>
            <w:tcBorders>
              <w:top w:val="nil" w:sz="6" w:space="0" w:color="auto"/>
              <w:left w:val="nil" w:sz="6" w:space="0" w:color="auto"/>
              <w:bottom w:val="nil" w:sz="6" w:space="0" w:color="auto"/>
              <w:right w:val="nil" w:sz="6" w:space="0" w:color="auto"/>
            </w:tcBorders>
          </w:tcPr>
          <w:p>
            <w:pPr>
              <w:pStyle w:val="TableParagraph"/>
              <w:spacing w:line="172" w:lineRule="exact"/>
              <w:ind w:left="74" w:right="0"/>
              <w:jc w:val="left"/>
              <w:rPr>
                <w:rFonts w:ascii="宋体" w:hAnsi="宋体" w:cs="宋体" w:eastAsia="宋体" w:hint="default"/>
                <w:sz w:val="15"/>
                <w:szCs w:val="15"/>
              </w:rPr>
            </w:pPr>
            <w:r>
              <w:rPr>
                <w:rFonts w:ascii="宋体" w:hAnsi="宋体" w:cs="宋体" w:eastAsia="宋体" w:hint="default"/>
                <w:spacing w:val="-4"/>
                <w:sz w:val="15"/>
                <w:szCs w:val="15"/>
              </w:rPr>
              <w:t>市政排水、污水管网、污水泵站、市政雨、污水管网</w:t>
            </w:r>
          </w:p>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管理平台及河道截污工程的建设及运营</w:t>
            </w:r>
          </w:p>
        </w:tc>
      </w:tr>
      <w:tr>
        <w:trPr>
          <w:trHeight w:val="229"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85" w:lineRule="exact"/>
              <w:ind w:left="33" w:right="0"/>
              <w:jc w:val="left"/>
              <w:rPr>
                <w:rFonts w:ascii="宋体" w:hAnsi="宋体" w:cs="宋体" w:eastAsia="宋体" w:hint="default"/>
                <w:sz w:val="15"/>
                <w:szCs w:val="15"/>
              </w:rPr>
            </w:pPr>
            <w:r>
              <w:rPr>
                <w:rFonts w:ascii="宋体" w:hAnsi="宋体" w:cs="宋体" w:eastAsia="宋体" w:hint="default"/>
                <w:sz w:val="15"/>
                <w:szCs w:val="15"/>
              </w:rPr>
              <w:t>南京同方水务有限公司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85" w:lineRule="exact"/>
              <w:ind w:right="48"/>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85" w:lineRule="exact"/>
              <w:ind w:right="60"/>
              <w:jc w:val="right"/>
              <w:rPr>
                <w:rFonts w:ascii="宋体" w:hAnsi="宋体" w:cs="宋体" w:eastAsia="宋体" w:hint="default"/>
                <w:sz w:val="15"/>
                <w:szCs w:val="15"/>
              </w:rPr>
            </w:pPr>
            <w:r>
              <w:rPr>
                <w:rFonts w:ascii="宋体" w:hAnsi="宋体"/>
                <w:spacing w:val="-1"/>
                <w:sz w:val="15"/>
              </w:rPr>
              <w:t>¥43,600.00</w:t>
            </w:r>
          </w:p>
        </w:tc>
        <w:tc>
          <w:tcPr>
            <w:tcW w:w="652" w:type="dxa"/>
            <w:tcBorders>
              <w:top w:val="nil" w:sz="6" w:space="0" w:color="auto"/>
              <w:left w:val="nil" w:sz="6" w:space="0" w:color="auto"/>
              <w:bottom w:val="nil" w:sz="6" w:space="0" w:color="auto"/>
              <w:right w:val="nil" w:sz="6" w:space="0" w:color="auto"/>
            </w:tcBorders>
          </w:tcPr>
          <w:p>
            <w:pPr>
              <w:pStyle w:val="TableParagraph"/>
              <w:spacing w:line="185" w:lineRule="exact"/>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5" w:lineRule="exact"/>
              <w:ind w:right="14"/>
              <w:jc w:val="center"/>
              <w:rPr>
                <w:rFonts w:ascii="宋体" w:hAnsi="宋体" w:cs="宋体" w:eastAsia="宋体" w:hint="default"/>
                <w:sz w:val="15"/>
                <w:szCs w:val="15"/>
              </w:rPr>
            </w:pPr>
            <w:r>
              <w:rPr>
                <w:rFonts w:ascii="宋体" w:hAnsi="宋体" w:cs="宋体" w:eastAsia="宋体" w:hint="default"/>
                <w:sz w:val="15"/>
                <w:szCs w:val="15"/>
              </w:rPr>
              <w:t>江苏南京</w:t>
            </w:r>
          </w:p>
        </w:tc>
        <w:tc>
          <w:tcPr>
            <w:tcW w:w="3593" w:type="dxa"/>
            <w:tcBorders>
              <w:top w:val="nil" w:sz="6" w:space="0" w:color="auto"/>
              <w:left w:val="nil" w:sz="6" w:space="0" w:color="auto"/>
              <w:bottom w:val="nil" w:sz="6" w:space="0" w:color="auto"/>
              <w:right w:val="nil" w:sz="6" w:space="0" w:color="auto"/>
            </w:tcBorders>
          </w:tcPr>
          <w:p>
            <w:pPr>
              <w:pStyle w:val="TableParagraph"/>
              <w:spacing w:line="185" w:lineRule="exact"/>
              <w:ind w:left="74" w:right="0"/>
              <w:jc w:val="left"/>
              <w:rPr>
                <w:rFonts w:ascii="宋体" w:hAnsi="宋体" w:cs="宋体" w:eastAsia="宋体" w:hint="default"/>
                <w:sz w:val="15"/>
                <w:szCs w:val="15"/>
              </w:rPr>
            </w:pPr>
            <w:r>
              <w:rPr>
                <w:rFonts w:ascii="宋体" w:hAnsi="宋体" w:cs="宋体" w:eastAsia="宋体" w:hint="default"/>
                <w:sz w:val="15"/>
                <w:szCs w:val="15"/>
              </w:rPr>
              <w:t>环保技术研发、水务项目运营管理、工程施工</w:t>
            </w:r>
          </w:p>
        </w:tc>
      </w:tr>
      <w:tr>
        <w:trPr>
          <w:trHeight w:val="240"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95" w:lineRule="exact"/>
              <w:ind w:left="33" w:right="0"/>
              <w:jc w:val="left"/>
              <w:rPr>
                <w:rFonts w:ascii="宋体" w:hAnsi="宋体" w:cs="宋体" w:eastAsia="宋体" w:hint="default"/>
                <w:sz w:val="15"/>
                <w:szCs w:val="15"/>
              </w:rPr>
            </w:pPr>
            <w:r>
              <w:rPr>
                <w:rFonts w:ascii="宋体" w:hAnsi="宋体" w:cs="宋体" w:eastAsia="宋体" w:hint="default"/>
                <w:sz w:val="15"/>
                <w:szCs w:val="15"/>
              </w:rPr>
              <w:t>滁州同方水务有限公司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95" w:lineRule="exact"/>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95" w:lineRule="exact"/>
              <w:ind w:right="61"/>
              <w:jc w:val="right"/>
              <w:rPr>
                <w:rFonts w:ascii="宋体" w:hAnsi="宋体" w:cs="宋体" w:eastAsia="宋体" w:hint="default"/>
                <w:sz w:val="15"/>
                <w:szCs w:val="15"/>
              </w:rPr>
            </w:pPr>
            <w:r>
              <w:rPr>
                <w:rFonts w:ascii="宋体" w:hAnsi="宋体"/>
                <w:spacing w:val="-2"/>
                <w:sz w:val="15"/>
              </w:rPr>
              <w:t>¥1,100.00</w:t>
            </w:r>
          </w:p>
        </w:tc>
        <w:tc>
          <w:tcPr>
            <w:tcW w:w="652" w:type="dxa"/>
            <w:tcBorders>
              <w:top w:val="nil" w:sz="6" w:space="0" w:color="auto"/>
              <w:left w:val="nil" w:sz="6" w:space="0" w:color="auto"/>
              <w:bottom w:val="nil" w:sz="6" w:space="0" w:color="auto"/>
              <w:right w:val="nil" w:sz="6" w:space="0" w:color="auto"/>
            </w:tcBorders>
          </w:tcPr>
          <w:p>
            <w:pPr>
              <w:pStyle w:val="TableParagraph"/>
              <w:spacing w:line="195" w:lineRule="exact"/>
              <w:ind w:left="78" w:right="0"/>
              <w:jc w:val="center"/>
              <w:rPr>
                <w:rFonts w:ascii="宋体" w:hAnsi="宋体" w:cs="宋体" w:eastAsia="宋体" w:hint="default"/>
                <w:sz w:val="15"/>
                <w:szCs w:val="15"/>
              </w:rPr>
            </w:pPr>
            <w:r>
              <w:rPr>
                <w:rFonts w:ascii="宋体"/>
                <w:sz w:val="15"/>
              </w:rPr>
              <w:t>90.00%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安徽滁州</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水务项目投资、建设、运营</w:t>
            </w:r>
          </w:p>
        </w:tc>
      </w:tr>
      <w:tr>
        <w:trPr>
          <w:trHeight w:val="240"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95" w:lineRule="exact"/>
              <w:ind w:left="33" w:right="0"/>
              <w:jc w:val="left"/>
              <w:rPr>
                <w:rFonts w:ascii="宋体" w:hAnsi="宋体" w:cs="宋体" w:eastAsia="宋体" w:hint="default"/>
                <w:sz w:val="15"/>
                <w:szCs w:val="15"/>
              </w:rPr>
            </w:pPr>
            <w:r>
              <w:rPr>
                <w:rFonts w:ascii="宋体" w:hAnsi="宋体" w:cs="宋体" w:eastAsia="宋体" w:hint="default"/>
                <w:sz w:val="15"/>
                <w:szCs w:val="15"/>
              </w:rPr>
              <w:t>惠州市同方水务有限公司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95" w:lineRule="exact"/>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95" w:lineRule="exact"/>
              <w:ind w:right="61"/>
              <w:jc w:val="right"/>
              <w:rPr>
                <w:rFonts w:ascii="宋体" w:hAnsi="宋体" w:cs="宋体" w:eastAsia="宋体" w:hint="default"/>
                <w:sz w:val="15"/>
                <w:szCs w:val="15"/>
              </w:rPr>
            </w:pPr>
            <w:r>
              <w:rPr>
                <w:rFonts w:ascii="宋体" w:hAnsi="宋体"/>
                <w:spacing w:val="-2"/>
                <w:sz w:val="15"/>
              </w:rPr>
              <w:t>¥6,881.08</w:t>
            </w:r>
          </w:p>
        </w:tc>
        <w:tc>
          <w:tcPr>
            <w:tcW w:w="652" w:type="dxa"/>
            <w:tcBorders>
              <w:top w:val="nil" w:sz="6" w:space="0" w:color="auto"/>
              <w:left w:val="nil" w:sz="6" w:space="0" w:color="auto"/>
              <w:bottom w:val="nil" w:sz="6" w:space="0" w:color="auto"/>
              <w:right w:val="nil" w:sz="6" w:space="0" w:color="auto"/>
            </w:tcBorders>
          </w:tcPr>
          <w:p>
            <w:pPr>
              <w:pStyle w:val="TableParagraph"/>
              <w:spacing w:line="195" w:lineRule="exact"/>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广东惠州</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水务项目投资、建设、运营</w:t>
            </w:r>
          </w:p>
        </w:tc>
      </w:tr>
      <w:tr>
        <w:trPr>
          <w:trHeight w:val="228"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95" w:lineRule="exact"/>
              <w:ind w:left="33" w:right="0"/>
              <w:jc w:val="left"/>
              <w:rPr>
                <w:rFonts w:ascii="宋体" w:hAnsi="宋体" w:cs="宋体" w:eastAsia="宋体" w:hint="default"/>
                <w:sz w:val="15"/>
                <w:szCs w:val="15"/>
              </w:rPr>
            </w:pPr>
            <w:r>
              <w:rPr>
                <w:rFonts w:ascii="宋体" w:hAnsi="宋体" w:cs="宋体" w:eastAsia="宋体" w:hint="default"/>
                <w:sz w:val="15"/>
                <w:szCs w:val="15"/>
              </w:rPr>
              <w:t>扬州同方水务有限公司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95" w:lineRule="exact"/>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95" w:lineRule="exact"/>
              <w:ind w:right="61"/>
              <w:jc w:val="right"/>
              <w:rPr>
                <w:rFonts w:ascii="宋体" w:hAnsi="宋体" w:cs="宋体" w:eastAsia="宋体" w:hint="default"/>
                <w:sz w:val="15"/>
                <w:szCs w:val="15"/>
              </w:rPr>
            </w:pPr>
            <w:r>
              <w:rPr>
                <w:rFonts w:ascii="宋体" w:hAnsi="宋体"/>
                <w:spacing w:val="-2"/>
                <w:sz w:val="15"/>
              </w:rPr>
              <w:t>¥1,880.00</w:t>
            </w:r>
          </w:p>
        </w:tc>
        <w:tc>
          <w:tcPr>
            <w:tcW w:w="652" w:type="dxa"/>
            <w:tcBorders>
              <w:top w:val="nil" w:sz="6" w:space="0" w:color="auto"/>
              <w:left w:val="nil" w:sz="6" w:space="0" w:color="auto"/>
              <w:bottom w:val="nil" w:sz="6" w:space="0" w:color="auto"/>
              <w:right w:val="nil" w:sz="6" w:space="0" w:color="auto"/>
            </w:tcBorders>
          </w:tcPr>
          <w:p>
            <w:pPr>
              <w:pStyle w:val="TableParagraph"/>
              <w:spacing w:line="195" w:lineRule="exact"/>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江苏扬州</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水务项目投资、建设、运营</w:t>
            </w:r>
          </w:p>
        </w:tc>
      </w:tr>
      <w:tr>
        <w:trPr>
          <w:trHeight w:val="412"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3" w:right="0"/>
              <w:jc w:val="left"/>
              <w:rPr>
                <w:rFonts w:ascii="宋体" w:hAnsi="宋体" w:cs="宋体" w:eastAsia="宋体" w:hint="default"/>
                <w:sz w:val="15"/>
                <w:szCs w:val="15"/>
              </w:rPr>
            </w:pPr>
            <w:r>
              <w:rPr>
                <w:rFonts w:ascii="宋体" w:hAnsi="宋体" w:cs="宋体" w:eastAsia="宋体" w:hint="default"/>
                <w:sz w:val="15"/>
                <w:szCs w:val="15"/>
              </w:rPr>
              <w:t>金湖同方水务有限公司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1"/>
              <w:jc w:val="right"/>
              <w:rPr>
                <w:rFonts w:ascii="宋体" w:hAnsi="宋体" w:cs="宋体" w:eastAsia="宋体" w:hint="default"/>
                <w:sz w:val="15"/>
                <w:szCs w:val="15"/>
              </w:rPr>
            </w:pPr>
            <w:r>
              <w:rPr>
                <w:rFonts w:ascii="宋体" w:hAnsi="宋体"/>
                <w:spacing w:val="-2"/>
                <w:sz w:val="15"/>
              </w:rPr>
              <w:t>¥3,400.00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4"/>
              <w:jc w:val="center"/>
              <w:rPr>
                <w:rFonts w:ascii="宋体" w:hAnsi="宋体" w:cs="宋体" w:eastAsia="宋体" w:hint="default"/>
                <w:sz w:val="15"/>
                <w:szCs w:val="15"/>
              </w:rPr>
            </w:pPr>
            <w:r>
              <w:rPr>
                <w:rFonts w:ascii="宋体" w:hAnsi="宋体" w:cs="宋体" w:eastAsia="宋体" w:hint="default"/>
                <w:sz w:val="15"/>
                <w:szCs w:val="15"/>
              </w:rPr>
              <w:t>江苏金湖</w:t>
            </w:r>
          </w:p>
        </w:tc>
        <w:tc>
          <w:tcPr>
            <w:tcW w:w="3593" w:type="dxa"/>
            <w:tcBorders>
              <w:top w:val="nil" w:sz="6" w:space="0" w:color="auto"/>
              <w:left w:val="nil" w:sz="6" w:space="0" w:color="auto"/>
              <w:bottom w:val="nil" w:sz="6" w:space="0" w:color="auto"/>
              <w:right w:val="nil" w:sz="6" w:space="0" w:color="auto"/>
            </w:tcBorders>
          </w:tcPr>
          <w:p>
            <w:pPr>
              <w:pStyle w:val="TableParagraph"/>
              <w:spacing w:line="194" w:lineRule="exact" w:before="7"/>
              <w:ind w:left="74" w:right="106"/>
              <w:jc w:val="left"/>
              <w:rPr>
                <w:rFonts w:ascii="宋体" w:hAnsi="宋体" w:cs="宋体" w:eastAsia="宋体" w:hint="default"/>
                <w:sz w:val="15"/>
                <w:szCs w:val="15"/>
              </w:rPr>
            </w:pPr>
            <w:r>
              <w:rPr>
                <w:rFonts w:ascii="宋体" w:hAnsi="宋体" w:cs="宋体" w:eastAsia="宋体" w:hint="default"/>
                <w:spacing w:val="-4"/>
                <w:sz w:val="15"/>
                <w:szCs w:val="15"/>
              </w:rPr>
              <w:t>水务项目运营管理；水务项目工程施工；水资源化技</w:t>
            </w:r>
            <w:r>
              <w:rPr>
                <w:rFonts w:ascii="宋体" w:hAnsi="宋体" w:cs="宋体" w:eastAsia="宋体" w:hint="default"/>
                <w:spacing w:val="-30"/>
                <w:sz w:val="15"/>
                <w:szCs w:val="15"/>
              </w:rPr>
              <w:t> </w:t>
            </w:r>
            <w:r>
              <w:rPr>
                <w:rFonts w:ascii="宋体" w:hAnsi="宋体" w:cs="宋体" w:eastAsia="宋体" w:hint="default"/>
                <w:spacing w:val="-30"/>
                <w:sz w:val="15"/>
                <w:szCs w:val="15"/>
              </w:rPr>
            </w:r>
            <w:r>
              <w:rPr>
                <w:rFonts w:ascii="宋体" w:hAnsi="宋体" w:cs="宋体" w:eastAsia="宋体" w:hint="default"/>
                <w:sz w:val="15"/>
                <w:szCs w:val="15"/>
              </w:rPr>
              <w:t>术应用；水务管理技术开发、技术咨询、技术服务</w:t>
            </w:r>
          </w:p>
        </w:tc>
      </w:tr>
      <w:tr>
        <w:trPr>
          <w:trHeight w:val="229"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85" w:lineRule="exact"/>
              <w:ind w:left="33" w:right="0"/>
              <w:jc w:val="left"/>
              <w:rPr>
                <w:rFonts w:ascii="宋体" w:hAnsi="宋体" w:cs="宋体" w:eastAsia="宋体" w:hint="default"/>
                <w:sz w:val="15"/>
                <w:szCs w:val="15"/>
              </w:rPr>
            </w:pPr>
            <w:r>
              <w:rPr>
                <w:rFonts w:ascii="宋体" w:hAnsi="宋体" w:cs="宋体" w:eastAsia="宋体" w:hint="default"/>
                <w:sz w:val="15"/>
                <w:szCs w:val="15"/>
              </w:rPr>
              <w:t>涟水同方水务有限公司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85" w:lineRule="exact"/>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85" w:lineRule="exact"/>
              <w:ind w:right="61"/>
              <w:jc w:val="right"/>
              <w:rPr>
                <w:rFonts w:ascii="宋体" w:hAnsi="宋体" w:cs="宋体" w:eastAsia="宋体" w:hint="default"/>
                <w:sz w:val="15"/>
                <w:szCs w:val="15"/>
              </w:rPr>
            </w:pPr>
            <w:r>
              <w:rPr>
                <w:rFonts w:ascii="宋体" w:hAnsi="宋体"/>
                <w:spacing w:val="-2"/>
                <w:sz w:val="15"/>
              </w:rPr>
              <w:t>¥3,200.00</w:t>
            </w:r>
          </w:p>
        </w:tc>
        <w:tc>
          <w:tcPr>
            <w:tcW w:w="652" w:type="dxa"/>
            <w:tcBorders>
              <w:top w:val="nil" w:sz="6" w:space="0" w:color="auto"/>
              <w:left w:val="nil" w:sz="6" w:space="0" w:color="auto"/>
              <w:bottom w:val="nil" w:sz="6" w:space="0" w:color="auto"/>
              <w:right w:val="nil" w:sz="6" w:space="0" w:color="auto"/>
            </w:tcBorders>
          </w:tcPr>
          <w:p>
            <w:pPr>
              <w:pStyle w:val="TableParagraph"/>
              <w:spacing w:line="185" w:lineRule="exact"/>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85" w:lineRule="exact"/>
              <w:ind w:right="14"/>
              <w:jc w:val="center"/>
              <w:rPr>
                <w:rFonts w:ascii="宋体" w:hAnsi="宋体" w:cs="宋体" w:eastAsia="宋体" w:hint="default"/>
                <w:sz w:val="15"/>
                <w:szCs w:val="15"/>
              </w:rPr>
            </w:pPr>
            <w:r>
              <w:rPr>
                <w:rFonts w:ascii="宋体" w:hAnsi="宋体" w:cs="宋体" w:eastAsia="宋体" w:hint="default"/>
                <w:sz w:val="15"/>
                <w:szCs w:val="15"/>
              </w:rPr>
              <w:t>江苏淮安</w:t>
            </w:r>
          </w:p>
        </w:tc>
        <w:tc>
          <w:tcPr>
            <w:tcW w:w="3593" w:type="dxa"/>
            <w:tcBorders>
              <w:top w:val="nil" w:sz="6" w:space="0" w:color="auto"/>
              <w:left w:val="nil" w:sz="6" w:space="0" w:color="auto"/>
              <w:bottom w:val="nil" w:sz="6" w:space="0" w:color="auto"/>
              <w:right w:val="nil" w:sz="6" w:space="0" w:color="auto"/>
            </w:tcBorders>
          </w:tcPr>
          <w:p>
            <w:pPr>
              <w:pStyle w:val="TableParagraph"/>
              <w:spacing w:line="185" w:lineRule="exact"/>
              <w:ind w:left="74" w:right="0"/>
              <w:jc w:val="left"/>
              <w:rPr>
                <w:rFonts w:ascii="宋体" w:hAnsi="宋体" w:cs="宋体" w:eastAsia="宋体" w:hint="default"/>
                <w:sz w:val="15"/>
                <w:szCs w:val="15"/>
              </w:rPr>
            </w:pPr>
            <w:r>
              <w:rPr>
                <w:rFonts w:ascii="宋体" w:hAnsi="宋体" w:cs="宋体" w:eastAsia="宋体" w:hint="default"/>
                <w:sz w:val="15"/>
                <w:szCs w:val="15"/>
              </w:rPr>
              <w:t>水务项目投资、建设、运营</w:t>
            </w:r>
          </w:p>
        </w:tc>
      </w:tr>
      <w:tr>
        <w:trPr>
          <w:trHeight w:val="240"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95" w:lineRule="exact"/>
              <w:ind w:left="33" w:right="0"/>
              <w:jc w:val="left"/>
              <w:rPr>
                <w:rFonts w:ascii="宋体" w:hAnsi="宋体" w:cs="宋体" w:eastAsia="宋体" w:hint="default"/>
                <w:sz w:val="15"/>
                <w:szCs w:val="15"/>
              </w:rPr>
            </w:pPr>
            <w:r>
              <w:rPr>
                <w:rFonts w:ascii="宋体" w:hAnsi="宋体" w:cs="宋体" w:eastAsia="宋体" w:hint="default"/>
                <w:sz w:val="15"/>
                <w:szCs w:val="15"/>
              </w:rPr>
              <w:t>芜湖同方水务有限公司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95" w:lineRule="exact"/>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95" w:lineRule="exact"/>
              <w:ind w:right="61"/>
              <w:jc w:val="right"/>
              <w:rPr>
                <w:rFonts w:ascii="宋体" w:hAnsi="宋体" w:cs="宋体" w:eastAsia="宋体" w:hint="default"/>
                <w:sz w:val="15"/>
                <w:szCs w:val="15"/>
              </w:rPr>
            </w:pPr>
            <w:r>
              <w:rPr>
                <w:rFonts w:ascii="宋体" w:hAnsi="宋体"/>
                <w:spacing w:val="-2"/>
                <w:sz w:val="15"/>
              </w:rPr>
              <w:t>¥1,000.00</w:t>
            </w:r>
          </w:p>
        </w:tc>
        <w:tc>
          <w:tcPr>
            <w:tcW w:w="652" w:type="dxa"/>
            <w:tcBorders>
              <w:top w:val="nil" w:sz="6" w:space="0" w:color="auto"/>
              <w:left w:val="nil" w:sz="6" w:space="0" w:color="auto"/>
              <w:bottom w:val="nil" w:sz="6" w:space="0" w:color="auto"/>
              <w:right w:val="nil" w:sz="6" w:space="0" w:color="auto"/>
            </w:tcBorders>
          </w:tcPr>
          <w:p>
            <w:pPr>
              <w:pStyle w:val="TableParagraph"/>
              <w:spacing w:line="195" w:lineRule="exact"/>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安徽芜湖</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污水处理厂建设、运营</w:t>
            </w:r>
          </w:p>
        </w:tc>
      </w:tr>
      <w:tr>
        <w:trPr>
          <w:trHeight w:val="240"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95" w:lineRule="exact"/>
              <w:ind w:left="33" w:right="0"/>
              <w:jc w:val="left"/>
              <w:rPr>
                <w:rFonts w:ascii="宋体" w:hAnsi="宋体" w:cs="宋体" w:eastAsia="宋体" w:hint="default"/>
                <w:sz w:val="15"/>
                <w:szCs w:val="15"/>
              </w:rPr>
            </w:pPr>
            <w:r>
              <w:rPr>
                <w:rFonts w:ascii="宋体" w:hAnsi="宋体" w:cs="宋体" w:eastAsia="宋体" w:hint="default"/>
                <w:sz w:val="15"/>
                <w:szCs w:val="15"/>
              </w:rPr>
              <w:t>淮安同方盐化污水处理有限公司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95" w:lineRule="exact"/>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95" w:lineRule="exact"/>
              <w:ind w:right="61"/>
              <w:jc w:val="right"/>
              <w:rPr>
                <w:rFonts w:ascii="宋体" w:hAnsi="宋体" w:cs="宋体" w:eastAsia="宋体" w:hint="default"/>
                <w:sz w:val="15"/>
                <w:szCs w:val="15"/>
              </w:rPr>
            </w:pPr>
            <w:r>
              <w:rPr>
                <w:rFonts w:ascii="宋体" w:hAnsi="宋体"/>
                <w:spacing w:val="-2"/>
                <w:sz w:val="15"/>
              </w:rPr>
              <w:t>¥8,246.28</w:t>
            </w:r>
          </w:p>
        </w:tc>
        <w:tc>
          <w:tcPr>
            <w:tcW w:w="652" w:type="dxa"/>
            <w:tcBorders>
              <w:top w:val="nil" w:sz="6" w:space="0" w:color="auto"/>
              <w:left w:val="nil" w:sz="6" w:space="0" w:color="auto"/>
              <w:bottom w:val="nil" w:sz="6" w:space="0" w:color="auto"/>
              <w:right w:val="nil" w:sz="6" w:space="0" w:color="auto"/>
            </w:tcBorders>
          </w:tcPr>
          <w:p>
            <w:pPr>
              <w:pStyle w:val="TableParagraph"/>
              <w:spacing w:line="195" w:lineRule="exact"/>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江苏淮安</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污水处理</w:t>
            </w:r>
          </w:p>
        </w:tc>
      </w:tr>
      <w:tr>
        <w:trPr>
          <w:trHeight w:val="228"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95" w:lineRule="exact"/>
              <w:ind w:left="33" w:right="0"/>
              <w:jc w:val="left"/>
              <w:rPr>
                <w:rFonts w:ascii="宋体" w:hAnsi="宋体" w:cs="宋体" w:eastAsia="宋体" w:hint="default"/>
                <w:sz w:val="15"/>
                <w:szCs w:val="15"/>
              </w:rPr>
            </w:pPr>
            <w:r>
              <w:rPr>
                <w:rFonts w:ascii="宋体" w:hAnsi="宋体" w:cs="宋体" w:eastAsia="宋体" w:hint="default"/>
                <w:sz w:val="15"/>
                <w:szCs w:val="15"/>
              </w:rPr>
              <w:t>北京同方华光系统科技有限公司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195" w:lineRule="exact"/>
              <w:ind w:right="48"/>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195" w:lineRule="exact"/>
              <w:ind w:right="61"/>
              <w:jc w:val="right"/>
              <w:rPr>
                <w:rFonts w:ascii="宋体" w:hAnsi="宋体" w:cs="宋体" w:eastAsia="宋体" w:hint="default"/>
                <w:sz w:val="15"/>
                <w:szCs w:val="15"/>
              </w:rPr>
            </w:pPr>
            <w:r>
              <w:rPr>
                <w:rFonts w:ascii="宋体" w:hAnsi="宋体"/>
                <w:spacing w:val="-2"/>
                <w:sz w:val="15"/>
              </w:rPr>
              <w:t>¥6,500.00</w:t>
            </w:r>
          </w:p>
        </w:tc>
        <w:tc>
          <w:tcPr>
            <w:tcW w:w="652" w:type="dxa"/>
            <w:tcBorders>
              <w:top w:val="nil" w:sz="6" w:space="0" w:color="auto"/>
              <w:left w:val="nil" w:sz="6" w:space="0" w:color="auto"/>
              <w:bottom w:val="nil" w:sz="6" w:space="0" w:color="auto"/>
              <w:right w:val="nil" w:sz="6" w:space="0" w:color="auto"/>
            </w:tcBorders>
          </w:tcPr>
          <w:p>
            <w:pPr>
              <w:pStyle w:val="TableParagraph"/>
              <w:spacing w:line="195" w:lineRule="exact"/>
              <w:ind w:left="78" w:right="0"/>
              <w:jc w:val="center"/>
              <w:rPr>
                <w:rFonts w:ascii="宋体" w:hAnsi="宋体" w:cs="宋体" w:eastAsia="宋体" w:hint="default"/>
                <w:sz w:val="15"/>
                <w:szCs w:val="15"/>
              </w:rPr>
            </w:pPr>
            <w:r>
              <w:rPr>
                <w:rFonts w:ascii="宋体"/>
                <w:sz w:val="15"/>
              </w:rPr>
              <w:t>51.00%</w:t>
            </w:r>
          </w:p>
        </w:tc>
        <w:tc>
          <w:tcPr>
            <w:tcW w:w="889"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3593" w:type="dxa"/>
            <w:tcBorders>
              <w:top w:val="nil" w:sz="6" w:space="0" w:color="auto"/>
              <w:left w:val="nil" w:sz="6" w:space="0" w:color="auto"/>
              <w:bottom w:val="nil" w:sz="6" w:space="0" w:color="auto"/>
              <w:right w:val="nil" w:sz="6" w:space="0" w:color="auto"/>
            </w:tcBorders>
          </w:tcPr>
          <w:p>
            <w:pPr>
              <w:pStyle w:val="TableParagraph"/>
              <w:spacing w:line="195" w:lineRule="exact"/>
              <w:ind w:left="74" w:right="0"/>
              <w:jc w:val="left"/>
              <w:rPr>
                <w:rFonts w:ascii="宋体" w:hAnsi="宋体" w:cs="宋体" w:eastAsia="宋体" w:hint="default"/>
                <w:sz w:val="15"/>
                <w:szCs w:val="15"/>
              </w:rPr>
            </w:pPr>
            <w:r>
              <w:rPr>
                <w:rFonts w:ascii="宋体" w:hAnsi="宋体" w:cs="宋体" w:eastAsia="宋体" w:hint="default"/>
                <w:sz w:val="15"/>
                <w:szCs w:val="15"/>
              </w:rPr>
              <w:t>激光系统的研发、测试及产品生产</w:t>
            </w:r>
          </w:p>
        </w:tc>
      </w:tr>
      <w:tr>
        <w:trPr>
          <w:trHeight w:val="594"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183" w:lineRule="exact"/>
              <w:ind w:left="33" w:right="0"/>
              <w:jc w:val="left"/>
              <w:rPr>
                <w:rFonts w:ascii="宋体" w:hAnsi="宋体" w:cs="宋体" w:eastAsia="宋体" w:hint="default"/>
                <w:sz w:val="15"/>
                <w:szCs w:val="15"/>
              </w:rPr>
            </w:pPr>
            <w:r>
              <w:rPr>
                <w:rFonts w:ascii="宋体" w:hAnsi="宋体" w:cs="宋体" w:eastAsia="宋体" w:hint="default"/>
                <w:sz w:val="15"/>
                <w:szCs w:val="15"/>
              </w:rPr>
              <w:t>北京同方华光系统工程有限公司</w:t>
            </w:r>
          </w:p>
          <w:p>
            <w:pPr>
              <w:pStyle w:val="TableParagraph"/>
              <w:spacing w:line="240" w:lineRule="auto"/>
              <w:ind w:left="33" w:right="52"/>
              <w:jc w:val="left"/>
              <w:rPr>
                <w:rFonts w:ascii="宋体" w:hAnsi="宋体" w:cs="宋体" w:eastAsia="宋体" w:hint="default"/>
                <w:sz w:val="15"/>
                <w:szCs w:val="15"/>
              </w:rPr>
            </w:pPr>
            <w:r>
              <w:rPr>
                <w:rFonts w:ascii="宋体" w:hAnsi="宋体" w:cs="宋体" w:eastAsia="宋体" w:hint="default"/>
                <w:spacing w:val="-2"/>
                <w:sz w:val="15"/>
                <w:szCs w:val="15"/>
              </w:rPr>
              <w:t>（原北京同方生物芯片技术有限</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61"/>
              <w:jc w:val="right"/>
              <w:rPr>
                <w:rFonts w:ascii="宋体" w:hAnsi="宋体" w:cs="宋体" w:eastAsia="宋体" w:hint="default"/>
                <w:sz w:val="15"/>
                <w:szCs w:val="15"/>
              </w:rPr>
            </w:pPr>
            <w:r>
              <w:rPr>
                <w:rFonts w:ascii="宋体" w:hAnsi="宋体"/>
                <w:spacing w:val="-2"/>
                <w:sz w:val="15"/>
              </w:rPr>
              <w:t>¥2,200.00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北京密云</w:t>
            </w:r>
          </w:p>
        </w:tc>
        <w:tc>
          <w:tcPr>
            <w:tcW w:w="3593" w:type="dxa"/>
            <w:tcBorders>
              <w:top w:val="nil" w:sz="6" w:space="0" w:color="auto"/>
              <w:left w:val="nil" w:sz="6" w:space="0" w:color="auto"/>
              <w:bottom w:val="nil" w:sz="6" w:space="0" w:color="auto"/>
              <w:right w:val="nil" w:sz="6" w:space="0" w:color="auto"/>
            </w:tcBorders>
          </w:tcPr>
          <w:p>
            <w:pPr>
              <w:pStyle w:val="TableParagraph"/>
              <w:spacing w:line="194" w:lineRule="exact" w:before="7"/>
              <w:ind w:left="74" w:right="63"/>
              <w:jc w:val="both"/>
              <w:rPr>
                <w:rFonts w:ascii="宋体" w:hAnsi="宋体" w:cs="宋体" w:eastAsia="宋体" w:hint="default"/>
                <w:sz w:val="15"/>
                <w:szCs w:val="15"/>
              </w:rPr>
            </w:pPr>
            <w:r>
              <w:rPr>
                <w:rFonts w:ascii="宋体" w:hAnsi="宋体" w:cs="宋体" w:eastAsia="宋体" w:hint="default"/>
                <w:spacing w:val="-4"/>
                <w:sz w:val="15"/>
                <w:szCs w:val="15"/>
              </w:rPr>
              <w:t>技术开发、咨询、交流、推广、扩散、转移；应用软</w:t>
            </w:r>
            <w:r>
              <w:rPr>
                <w:rFonts w:ascii="宋体" w:hAnsi="宋体" w:cs="宋体" w:eastAsia="宋体" w:hint="default"/>
                <w:spacing w:val="-32"/>
                <w:sz w:val="15"/>
                <w:szCs w:val="15"/>
              </w:rPr>
              <w:t> </w:t>
            </w:r>
            <w:r>
              <w:rPr>
                <w:rFonts w:ascii="宋体" w:hAnsi="宋体" w:cs="宋体" w:eastAsia="宋体" w:hint="default"/>
                <w:spacing w:val="-32"/>
                <w:sz w:val="15"/>
                <w:szCs w:val="15"/>
              </w:rPr>
            </w:r>
            <w:r>
              <w:rPr>
                <w:rFonts w:ascii="宋体" w:hAnsi="宋体" w:cs="宋体" w:eastAsia="宋体" w:hint="default"/>
                <w:spacing w:val="-2"/>
                <w:sz w:val="15"/>
                <w:szCs w:val="15"/>
              </w:rPr>
              <w:t>件服务；销售计算机、软件及辅助设备、仪器仪表；</w:t>
            </w:r>
            <w:r>
              <w:rPr>
                <w:rFonts w:ascii="宋体" w:hAnsi="宋体" w:cs="宋体" w:eastAsia="宋体" w:hint="default"/>
                <w:spacing w:val="-32"/>
                <w:sz w:val="15"/>
                <w:szCs w:val="15"/>
              </w:rPr>
              <w:t> </w:t>
            </w:r>
            <w:r>
              <w:rPr>
                <w:rFonts w:ascii="宋体" w:hAnsi="宋体" w:cs="宋体" w:eastAsia="宋体" w:hint="default"/>
                <w:spacing w:val="-32"/>
                <w:sz w:val="15"/>
                <w:szCs w:val="15"/>
              </w:rPr>
            </w:r>
            <w:r>
              <w:rPr>
                <w:rFonts w:ascii="宋体" w:hAnsi="宋体" w:cs="宋体" w:eastAsia="宋体" w:hint="default"/>
                <w:sz w:val="15"/>
                <w:szCs w:val="15"/>
              </w:rPr>
              <w:t>技术进出口、代理进出口、货物进出口</w:t>
            </w:r>
          </w:p>
        </w:tc>
      </w:tr>
      <w:tr>
        <w:trPr>
          <w:trHeight w:val="586" w:hRule="exact"/>
        </w:trPr>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33" w:right="0"/>
              <w:jc w:val="left"/>
              <w:rPr>
                <w:rFonts w:ascii="宋体" w:hAnsi="宋体" w:cs="宋体" w:eastAsia="宋体" w:hint="default"/>
                <w:sz w:val="15"/>
                <w:szCs w:val="15"/>
              </w:rPr>
            </w:pPr>
            <w:r>
              <w:rPr>
                <w:rFonts w:ascii="宋体" w:hAnsi="宋体" w:cs="宋体" w:eastAsia="宋体" w:hint="default"/>
                <w:sz w:val="15"/>
                <w:szCs w:val="15"/>
              </w:rPr>
              <w:t>同方大健康产业有限公司</w:t>
            </w:r>
          </w:p>
        </w:tc>
        <w:tc>
          <w:tcPr>
            <w:tcW w:w="4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48"/>
              <w:jc w:val="center"/>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60"/>
              <w:jc w:val="right"/>
              <w:rPr>
                <w:rFonts w:ascii="宋体" w:hAnsi="宋体" w:cs="宋体" w:eastAsia="宋体" w:hint="default"/>
                <w:sz w:val="15"/>
                <w:szCs w:val="15"/>
              </w:rPr>
            </w:pPr>
            <w:r>
              <w:rPr>
                <w:rFonts w:ascii="宋体" w:hAnsi="宋体"/>
                <w:spacing w:val="-1"/>
                <w:sz w:val="15"/>
              </w:rPr>
              <w:t>¥100,000.00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北京昌平</w:t>
            </w:r>
          </w:p>
        </w:tc>
        <w:tc>
          <w:tcPr>
            <w:tcW w:w="3593" w:type="dxa"/>
            <w:tcBorders>
              <w:top w:val="nil" w:sz="6" w:space="0" w:color="auto"/>
              <w:left w:val="nil" w:sz="6" w:space="0" w:color="auto"/>
              <w:bottom w:val="nil" w:sz="6" w:space="0" w:color="auto"/>
              <w:right w:val="nil" w:sz="6" w:space="0" w:color="auto"/>
            </w:tcBorders>
          </w:tcPr>
          <w:p>
            <w:pPr>
              <w:pStyle w:val="TableParagraph"/>
              <w:spacing w:line="172" w:lineRule="exact"/>
              <w:ind w:left="74" w:right="0"/>
              <w:jc w:val="left"/>
              <w:rPr>
                <w:rFonts w:ascii="宋体" w:hAnsi="宋体" w:cs="宋体" w:eastAsia="宋体" w:hint="default"/>
                <w:sz w:val="15"/>
                <w:szCs w:val="15"/>
              </w:rPr>
            </w:pPr>
            <w:r>
              <w:rPr>
                <w:rFonts w:ascii="宋体" w:hAnsi="宋体" w:cs="宋体" w:eastAsia="宋体" w:hint="default"/>
                <w:spacing w:val="-4"/>
                <w:sz w:val="15"/>
                <w:szCs w:val="15"/>
              </w:rPr>
              <w:t>医学研究与试验发展；医疗器械的技术开发、技术咨</w:t>
            </w:r>
          </w:p>
          <w:p>
            <w:pPr>
              <w:pStyle w:val="TableParagraph"/>
              <w:spacing w:line="240" w:lineRule="auto"/>
              <w:ind w:left="74" w:right="106"/>
              <w:jc w:val="left"/>
              <w:rPr>
                <w:rFonts w:ascii="宋体" w:hAnsi="宋体" w:cs="宋体" w:eastAsia="宋体" w:hint="default"/>
                <w:sz w:val="15"/>
                <w:szCs w:val="15"/>
              </w:rPr>
            </w:pPr>
            <w:r>
              <w:rPr>
                <w:rFonts w:ascii="宋体" w:hAnsi="宋体" w:cs="宋体" w:eastAsia="宋体" w:hint="default"/>
                <w:spacing w:val="-4"/>
                <w:sz w:val="15"/>
                <w:szCs w:val="15"/>
              </w:rPr>
              <w:t>询、技术服务；健康管理、健康咨询（须经审批的诊</w:t>
            </w:r>
            <w:r>
              <w:rPr>
                <w:rFonts w:ascii="宋体" w:hAnsi="宋体" w:cs="宋体" w:eastAsia="宋体" w:hint="default"/>
                <w:spacing w:val="-28"/>
                <w:sz w:val="15"/>
                <w:szCs w:val="15"/>
              </w:rPr>
              <w:t> </w:t>
            </w:r>
            <w:r>
              <w:rPr>
                <w:rFonts w:ascii="宋体" w:hAnsi="宋体" w:cs="宋体" w:eastAsia="宋体" w:hint="default"/>
                <w:spacing w:val="-28"/>
                <w:sz w:val="15"/>
                <w:szCs w:val="15"/>
              </w:rPr>
            </w:r>
            <w:r>
              <w:rPr>
                <w:rFonts w:ascii="宋体" w:hAnsi="宋体" w:cs="宋体" w:eastAsia="宋体" w:hint="default"/>
                <w:sz w:val="15"/>
                <w:szCs w:val="15"/>
              </w:rPr>
              <w:t>疗活动除外）；医院管理；集中养老服务</w:t>
            </w:r>
          </w:p>
        </w:tc>
      </w:tr>
      <w:tr>
        <w:trPr>
          <w:trHeight w:val="404" w:hRule="exact"/>
        </w:trPr>
        <w:tc>
          <w:tcPr>
            <w:tcW w:w="2190" w:type="dxa"/>
            <w:tcBorders>
              <w:top w:val="nil" w:sz="6" w:space="0" w:color="auto"/>
              <w:left w:val="nil" w:sz="6" w:space="0" w:color="auto"/>
              <w:bottom w:val="single" w:sz="12" w:space="0" w:color="000000"/>
              <w:right w:val="nil" w:sz="6" w:space="0" w:color="auto"/>
            </w:tcBorders>
          </w:tcPr>
          <w:p>
            <w:pPr>
              <w:pStyle w:val="TableParagraph"/>
              <w:spacing w:line="172" w:lineRule="exact"/>
              <w:ind w:left="33" w:right="0"/>
              <w:jc w:val="left"/>
              <w:rPr>
                <w:rFonts w:ascii="宋体" w:hAnsi="宋体" w:cs="宋体" w:eastAsia="宋体" w:hint="default"/>
                <w:sz w:val="15"/>
                <w:szCs w:val="15"/>
              </w:rPr>
            </w:pPr>
            <w:r>
              <w:rPr>
                <w:rFonts w:ascii="宋体" w:hAnsi="宋体" w:cs="宋体" w:eastAsia="宋体" w:hint="default"/>
                <w:sz w:val="15"/>
                <w:szCs w:val="15"/>
              </w:rPr>
              <w:t>清药同创（北京）药物研发中心</w:t>
            </w:r>
          </w:p>
          <w:p>
            <w:pPr>
              <w:pStyle w:val="TableParagraph"/>
              <w:spacing w:line="195" w:lineRule="exact"/>
              <w:ind w:left="33"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423" w:type="dxa"/>
            <w:tcBorders>
              <w:top w:val="nil" w:sz="6" w:space="0" w:color="auto"/>
              <w:left w:val="nil" w:sz="6" w:space="0" w:color="auto"/>
              <w:bottom w:val="single" w:sz="12" w:space="0" w:color="000000"/>
              <w:right w:val="nil" w:sz="6" w:space="0" w:color="auto"/>
            </w:tcBorders>
          </w:tcPr>
          <w:p>
            <w:pPr>
              <w:pStyle w:val="TableParagraph"/>
              <w:spacing w:line="240" w:lineRule="auto" w:before="72"/>
              <w:ind w:right="48"/>
              <w:jc w:val="center"/>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37"/>
                <w:sz w:val="15"/>
                <w:szCs w:val="15"/>
              </w:rPr>
              <w:t> </w:t>
            </w:r>
            <w:r>
              <w:rPr>
                <w:rFonts w:ascii="宋体" w:hAnsi="宋体" w:cs="宋体" w:eastAsia="宋体" w:hint="default"/>
                <w:sz w:val="15"/>
                <w:szCs w:val="15"/>
              </w:rPr>
              <w:t>级</w:t>
            </w:r>
          </w:p>
        </w:tc>
        <w:tc>
          <w:tcPr>
            <w:tcW w:w="993" w:type="dxa"/>
            <w:tcBorders>
              <w:top w:val="nil" w:sz="6" w:space="0" w:color="auto"/>
              <w:left w:val="nil" w:sz="6" w:space="0" w:color="auto"/>
              <w:bottom w:val="single" w:sz="12" w:space="0" w:color="000000"/>
              <w:right w:val="nil" w:sz="6" w:space="0" w:color="auto"/>
            </w:tcBorders>
          </w:tcPr>
          <w:p>
            <w:pPr>
              <w:pStyle w:val="TableParagraph"/>
              <w:spacing w:line="240" w:lineRule="auto" w:before="72"/>
              <w:ind w:right="61"/>
              <w:jc w:val="right"/>
              <w:rPr>
                <w:rFonts w:ascii="宋体" w:hAnsi="宋体" w:cs="宋体" w:eastAsia="宋体" w:hint="default"/>
                <w:sz w:val="15"/>
                <w:szCs w:val="15"/>
              </w:rPr>
            </w:pPr>
            <w:r>
              <w:rPr>
                <w:rFonts w:ascii="宋体" w:hAnsi="宋体"/>
                <w:spacing w:val="-2"/>
                <w:sz w:val="15"/>
              </w:rPr>
              <w:t>¥2,000.00</w:t>
            </w:r>
          </w:p>
        </w:tc>
        <w:tc>
          <w:tcPr>
            <w:tcW w:w="652" w:type="dxa"/>
            <w:tcBorders>
              <w:top w:val="nil" w:sz="6" w:space="0" w:color="auto"/>
              <w:left w:val="nil" w:sz="6" w:space="0" w:color="auto"/>
              <w:bottom w:val="single" w:sz="12" w:space="0" w:color="000000"/>
              <w:right w:val="nil" w:sz="6" w:space="0" w:color="auto"/>
            </w:tcBorders>
          </w:tcPr>
          <w:p>
            <w:pPr>
              <w:pStyle w:val="TableParagraph"/>
              <w:spacing w:line="240" w:lineRule="auto" w:before="72"/>
              <w:ind w:left="3" w:right="0"/>
              <w:jc w:val="center"/>
              <w:rPr>
                <w:rFonts w:ascii="宋体" w:hAnsi="宋体" w:cs="宋体" w:eastAsia="宋体" w:hint="default"/>
                <w:sz w:val="15"/>
                <w:szCs w:val="15"/>
              </w:rPr>
            </w:pPr>
            <w:r>
              <w:rPr>
                <w:rFonts w:ascii="宋体"/>
                <w:sz w:val="15"/>
              </w:rPr>
              <w:t>100.00%</w:t>
            </w:r>
          </w:p>
        </w:tc>
        <w:tc>
          <w:tcPr>
            <w:tcW w:w="889" w:type="dxa"/>
            <w:tcBorders>
              <w:top w:val="nil" w:sz="6" w:space="0" w:color="auto"/>
              <w:left w:val="nil" w:sz="6" w:space="0" w:color="auto"/>
              <w:bottom w:val="single" w:sz="12" w:space="0" w:color="000000"/>
              <w:right w:val="nil" w:sz="6" w:space="0" w:color="auto"/>
            </w:tcBorders>
          </w:tcPr>
          <w:p>
            <w:pPr>
              <w:pStyle w:val="TableParagraph"/>
              <w:spacing w:line="240" w:lineRule="auto" w:before="72"/>
              <w:ind w:right="14"/>
              <w:jc w:val="center"/>
              <w:rPr>
                <w:rFonts w:ascii="宋体" w:hAnsi="宋体" w:cs="宋体" w:eastAsia="宋体" w:hint="default"/>
                <w:sz w:val="15"/>
                <w:szCs w:val="15"/>
              </w:rPr>
            </w:pPr>
            <w:r>
              <w:rPr>
                <w:rFonts w:ascii="宋体" w:hAnsi="宋体" w:cs="宋体" w:eastAsia="宋体" w:hint="default"/>
                <w:sz w:val="15"/>
                <w:szCs w:val="15"/>
              </w:rPr>
              <w:t>北京昌平</w:t>
            </w:r>
          </w:p>
        </w:tc>
        <w:tc>
          <w:tcPr>
            <w:tcW w:w="3593" w:type="dxa"/>
            <w:tcBorders>
              <w:top w:val="nil" w:sz="6" w:space="0" w:color="auto"/>
              <w:left w:val="nil" w:sz="6" w:space="0" w:color="auto"/>
              <w:bottom w:val="single" w:sz="12" w:space="0" w:color="000000"/>
              <w:right w:val="nil" w:sz="6" w:space="0" w:color="auto"/>
            </w:tcBorders>
          </w:tcPr>
          <w:p>
            <w:pPr>
              <w:pStyle w:val="TableParagraph"/>
              <w:spacing w:line="240" w:lineRule="auto" w:before="72"/>
              <w:ind w:left="74" w:right="0"/>
              <w:jc w:val="left"/>
              <w:rPr>
                <w:rFonts w:ascii="宋体" w:hAnsi="宋体" w:cs="宋体" w:eastAsia="宋体" w:hint="default"/>
                <w:sz w:val="15"/>
                <w:szCs w:val="15"/>
              </w:rPr>
            </w:pPr>
            <w:r>
              <w:rPr>
                <w:rFonts w:ascii="宋体" w:hAnsi="宋体" w:cs="宋体" w:eastAsia="宋体" w:hint="default"/>
                <w:sz w:val="15"/>
                <w:szCs w:val="15"/>
              </w:rPr>
              <w:t>医药研发；医学研究和试验发展</w:t>
            </w:r>
          </w:p>
        </w:tc>
      </w:tr>
    </w:tbl>
    <w:p>
      <w:pPr>
        <w:spacing w:before="21"/>
        <w:ind w:left="695" w:right="4889"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0"/>
          <w:sz w:val="22"/>
          <w:szCs w:val="22"/>
        </w:rPr>
        <w:t> </w:t>
      </w:r>
      <w:r>
        <w:rPr>
          <w:rFonts w:ascii="宋体" w:hAnsi="宋体" w:cs="宋体" w:eastAsia="宋体" w:hint="default"/>
          <w:sz w:val="22"/>
          <w:szCs w:val="22"/>
        </w:rPr>
        <w:t>重要的非全资子公司</w:t>
      </w:r>
    </w:p>
    <w:p>
      <w:pPr>
        <w:spacing w:line="240" w:lineRule="auto" w:before="11"/>
        <w:rPr>
          <w:rFonts w:ascii="宋体" w:hAnsi="宋体" w:cs="宋体" w:eastAsia="宋体" w:hint="default"/>
          <w:sz w:val="12"/>
          <w:szCs w:val="12"/>
        </w:rPr>
      </w:pPr>
    </w:p>
    <w:tbl>
      <w:tblPr>
        <w:tblW w:w="0" w:type="auto"/>
        <w:jc w:val="left"/>
        <w:tblInd w:w="213" w:type="dxa"/>
        <w:tblLayout w:type="fixed"/>
        <w:tblCellMar>
          <w:top w:w="0" w:type="dxa"/>
          <w:left w:w="0" w:type="dxa"/>
          <w:bottom w:w="0" w:type="dxa"/>
          <w:right w:w="0" w:type="dxa"/>
        </w:tblCellMar>
        <w:tblLook w:val="01E0"/>
      </w:tblPr>
      <w:tblGrid>
        <w:gridCol w:w="2442"/>
        <w:gridCol w:w="1235"/>
        <w:gridCol w:w="1535"/>
        <w:gridCol w:w="1772"/>
        <w:gridCol w:w="1580"/>
      </w:tblGrid>
      <w:tr>
        <w:trPr>
          <w:trHeight w:val="487" w:hRule="exact"/>
        </w:trPr>
        <w:tc>
          <w:tcPr>
            <w:tcW w:w="2442"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78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235" w:type="dxa"/>
            <w:tcBorders>
              <w:top w:val="single" w:sz="12" w:space="0" w:color="000000"/>
              <w:left w:val="nil" w:sz="6" w:space="0" w:color="auto"/>
              <w:bottom w:val="single" w:sz="4" w:space="0" w:color="000000"/>
              <w:right w:val="nil" w:sz="6" w:space="0" w:color="auto"/>
            </w:tcBorders>
          </w:tcPr>
          <w:p>
            <w:pPr>
              <w:pStyle w:val="TableParagraph"/>
              <w:spacing w:line="205" w:lineRule="exact"/>
              <w:ind w:left="253" w:right="0"/>
              <w:jc w:val="left"/>
              <w:rPr>
                <w:rFonts w:ascii="宋体" w:hAnsi="宋体" w:cs="宋体" w:eastAsia="宋体" w:hint="default"/>
                <w:sz w:val="18"/>
                <w:szCs w:val="18"/>
              </w:rPr>
            </w:pPr>
            <w:r>
              <w:rPr>
                <w:rFonts w:ascii="宋体" w:hAnsi="宋体" w:cs="宋体" w:eastAsia="宋体" w:hint="default"/>
                <w:b/>
                <w:bCs/>
                <w:sz w:val="18"/>
                <w:szCs w:val="18"/>
              </w:rPr>
              <w:t>少数股东</w:t>
            </w:r>
            <w:r>
              <w:rPr>
                <w:rFonts w:ascii="宋体" w:hAnsi="宋体" w:cs="宋体" w:eastAsia="宋体" w:hint="default"/>
                <w:sz w:val="18"/>
                <w:szCs w:val="18"/>
              </w:rPr>
            </w: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535" w:type="dxa"/>
            <w:tcBorders>
              <w:top w:val="single" w:sz="12" w:space="0" w:color="000000"/>
              <w:left w:val="nil" w:sz="6" w:space="0" w:color="auto"/>
              <w:bottom w:val="single" w:sz="4" w:space="0" w:color="000000"/>
              <w:right w:val="nil" w:sz="6" w:space="0" w:color="auto"/>
            </w:tcBorders>
          </w:tcPr>
          <w:p>
            <w:pPr>
              <w:pStyle w:val="TableParagraph"/>
              <w:spacing w:line="205" w:lineRule="exact"/>
              <w:ind w:right="153"/>
              <w:jc w:val="center"/>
              <w:rPr>
                <w:rFonts w:ascii="宋体" w:hAnsi="宋体" w:cs="宋体" w:eastAsia="宋体" w:hint="default"/>
                <w:sz w:val="18"/>
                <w:szCs w:val="18"/>
              </w:rPr>
            </w:pPr>
            <w:r>
              <w:rPr>
                <w:rFonts w:ascii="宋体" w:hAnsi="宋体" w:cs="宋体" w:eastAsia="宋体" w:hint="default"/>
                <w:b/>
                <w:bCs/>
                <w:sz w:val="18"/>
                <w:szCs w:val="18"/>
              </w:rPr>
              <w:t>本年归属于</w:t>
            </w:r>
            <w:r>
              <w:rPr>
                <w:rFonts w:ascii="宋体" w:hAnsi="宋体" w:cs="宋体" w:eastAsia="宋体" w:hint="default"/>
                <w:sz w:val="18"/>
                <w:szCs w:val="18"/>
              </w:rPr>
            </w:r>
          </w:p>
          <w:p>
            <w:pPr>
              <w:pStyle w:val="TableParagraph"/>
              <w:spacing w:line="240" w:lineRule="auto"/>
              <w:ind w:right="153"/>
              <w:jc w:val="center"/>
              <w:rPr>
                <w:rFonts w:ascii="宋体" w:hAnsi="宋体" w:cs="宋体" w:eastAsia="宋体" w:hint="default"/>
                <w:sz w:val="18"/>
                <w:szCs w:val="18"/>
              </w:rPr>
            </w:pPr>
            <w:r>
              <w:rPr>
                <w:rFonts w:ascii="宋体" w:hAnsi="宋体" w:cs="宋体" w:eastAsia="宋体" w:hint="default"/>
                <w:b/>
                <w:bCs/>
                <w:sz w:val="18"/>
                <w:szCs w:val="18"/>
              </w:rPr>
              <w:t>少数股东的损益</w:t>
            </w:r>
            <w:r>
              <w:rPr>
                <w:rFonts w:ascii="宋体" w:hAnsi="宋体" w:cs="宋体" w:eastAsia="宋体" w:hint="default"/>
                <w:sz w:val="18"/>
                <w:szCs w:val="18"/>
              </w:rPr>
            </w:r>
          </w:p>
        </w:tc>
        <w:tc>
          <w:tcPr>
            <w:tcW w:w="1772" w:type="dxa"/>
            <w:tcBorders>
              <w:top w:val="single" w:sz="12" w:space="0" w:color="000000"/>
              <w:left w:val="nil" w:sz="6" w:space="0" w:color="auto"/>
              <w:bottom w:val="single" w:sz="4" w:space="0" w:color="000000"/>
              <w:right w:val="nil" w:sz="6" w:space="0" w:color="auto"/>
            </w:tcBorders>
          </w:tcPr>
          <w:p>
            <w:pPr>
              <w:pStyle w:val="TableParagraph"/>
              <w:spacing w:line="205" w:lineRule="exact"/>
              <w:ind w:left="150" w:right="0"/>
              <w:jc w:val="left"/>
              <w:rPr>
                <w:rFonts w:ascii="宋体" w:hAnsi="宋体" w:cs="宋体" w:eastAsia="宋体" w:hint="default"/>
                <w:sz w:val="18"/>
                <w:szCs w:val="18"/>
              </w:rPr>
            </w:pPr>
            <w:r>
              <w:rPr>
                <w:rFonts w:ascii="宋体" w:hAnsi="宋体" w:cs="宋体" w:eastAsia="宋体" w:hint="default"/>
                <w:b/>
                <w:bCs/>
                <w:sz w:val="18"/>
                <w:szCs w:val="18"/>
              </w:rPr>
              <w:t>本年向少数股东</w:t>
            </w:r>
            <w:r>
              <w:rPr>
                <w:rFonts w:ascii="宋体" w:hAnsi="宋体" w:cs="宋体" w:eastAsia="宋体" w:hint="default"/>
                <w:sz w:val="18"/>
                <w:szCs w:val="18"/>
              </w:rPr>
            </w: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b/>
                <w:bCs/>
                <w:sz w:val="18"/>
                <w:szCs w:val="18"/>
              </w:rPr>
              <w:t>宣告分派的股利</w:t>
            </w:r>
            <w:r>
              <w:rPr>
                <w:rFonts w:ascii="宋体" w:hAnsi="宋体" w:cs="宋体" w:eastAsia="宋体" w:hint="default"/>
                <w:sz w:val="18"/>
                <w:szCs w:val="18"/>
              </w:rPr>
            </w:r>
          </w:p>
        </w:tc>
        <w:tc>
          <w:tcPr>
            <w:tcW w:w="1580" w:type="dxa"/>
            <w:tcBorders>
              <w:top w:val="single" w:sz="12" w:space="0" w:color="000000"/>
              <w:left w:val="nil" w:sz="6" w:space="0" w:color="auto"/>
              <w:bottom w:val="single" w:sz="4" w:space="0" w:color="000000"/>
              <w:right w:val="nil" w:sz="6" w:space="0" w:color="auto"/>
            </w:tcBorders>
          </w:tcPr>
          <w:p>
            <w:pPr>
              <w:pStyle w:val="TableParagraph"/>
              <w:spacing w:line="205" w:lineRule="exact"/>
              <w:ind w:right="83"/>
              <w:jc w:val="center"/>
              <w:rPr>
                <w:rFonts w:ascii="宋体" w:hAnsi="宋体" w:cs="宋体" w:eastAsia="宋体" w:hint="default"/>
                <w:sz w:val="18"/>
                <w:szCs w:val="18"/>
              </w:rPr>
            </w:pPr>
            <w:r>
              <w:rPr>
                <w:rFonts w:ascii="宋体" w:hAnsi="宋体" w:cs="宋体" w:eastAsia="宋体" w:hint="default"/>
                <w:b/>
                <w:bCs/>
                <w:sz w:val="18"/>
                <w:szCs w:val="18"/>
              </w:rPr>
              <w:t>年末少数股东</w:t>
            </w:r>
            <w:r>
              <w:rPr>
                <w:rFonts w:ascii="宋体" w:hAnsi="宋体" w:cs="宋体" w:eastAsia="宋体" w:hint="default"/>
                <w:sz w:val="18"/>
                <w:szCs w:val="18"/>
              </w:rPr>
            </w:r>
          </w:p>
          <w:p>
            <w:pPr>
              <w:pStyle w:val="TableParagraph"/>
              <w:spacing w:line="240" w:lineRule="auto"/>
              <w:ind w:right="87"/>
              <w:jc w:val="center"/>
              <w:rPr>
                <w:rFonts w:ascii="宋体" w:hAnsi="宋体" w:cs="宋体" w:eastAsia="宋体" w:hint="default"/>
                <w:sz w:val="18"/>
                <w:szCs w:val="18"/>
              </w:rPr>
            </w:pPr>
            <w:r>
              <w:rPr>
                <w:rFonts w:ascii="宋体" w:hAnsi="宋体" w:cs="宋体" w:eastAsia="宋体" w:hint="default"/>
                <w:b/>
                <w:bCs/>
                <w:sz w:val="18"/>
                <w:szCs w:val="18"/>
              </w:rPr>
              <w:t>权益余额</w:t>
            </w:r>
            <w:r>
              <w:rPr>
                <w:rFonts w:ascii="宋体" w:hAnsi="宋体" w:cs="宋体" w:eastAsia="宋体" w:hint="default"/>
                <w:sz w:val="18"/>
                <w:szCs w:val="18"/>
              </w:rPr>
            </w:r>
          </w:p>
        </w:tc>
      </w:tr>
      <w:tr>
        <w:trPr>
          <w:trHeight w:val="288" w:hRule="exact"/>
        </w:trPr>
        <w:tc>
          <w:tcPr>
            <w:tcW w:w="2442" w:type="dxa"/>
            <w:tcBorders>
              <w:top w:val="single" w:sz="4" w:space="0" w:color="000000"/>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同方泰德国际科技有限公司</w:t>
            </w:r>
          </w:p>
        </w:tc>
        <w:tc>
          <w:tcPr>
            <w:tcW w:w="1235" w:type="dxa"/>
            <w:tcBorders>
              <w:top w:val="single" w:sz="4" w:space="0" w:color="000000"/>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63.40%</w:t>
            </w:r>
          </w:p>
        </w:tc>
        <w:tc>
          <w:tcPr>
            <w:tcW w:w="1535" w:type="dxa"/>
            <w:tcBorders>
              <w:top w:val="single" w:sz="4" w:space="0" w:color="000000"/>
              <w:left w:val="nil" w:sz="6" w:space="0" w:color="auto"/>
              <w:bottom w:val="nil" w:sz="6" w:space="0" w:color="auto"/>
              <w:right w:val="nil" w:sz="6" w:space="0" w:color="auto"/>
            </w:tcBorders>
          </w:tcPr>
          <w:p>
            <w:pPr>
              <w:pStyle w:val="TableParagraph"/>
              <w:spacing w:line="232" w:lineRule="exact"/>
              <w:ind w:right="148"/>
              <w:jc w:val="right"/>
              <w:rPr>
                <w:rFonts w:ascii="宋体" w:hAnsi="宋体" w:cs="宋体" w:eastAsia="宋体" w:hint="default"/>
                <w:sz w:val="18"/>
                <w:szCs w:val="18"/>
              </w:rPr>
            </w:pPr>
            <w:r>
              <w:rPr>
                <w:rFonts w:ascii="宋体"/>
                <w:spacing w:val="-1"/>
                <w:sz w:val="18"/>
              </w:rPr>
              <w:t>166,617,729.95</w:t>
            </w:r>
          </w:p>
        </w:tc>
        <w:tc>
          <w:tcPr>
            <w:tcW w:w="1772" w:type="dxa"/>
            <w:tcBorders>
              <w:top w:val="single" w:sz="4" w:space="0" w:color="000000"/>
              <w:left w:val="nil" w:sz="6" w:space="0" w:color="auto"/>
              <w:bottom w:val="nil" w:sz="6" w:space="0" w:color="auto"/>
              <w:right w:val="nil" w:sz="6" w:space="0" w:color="auto"/>
            </w:tcBorders>
          </w:tcPr>
          <w:p>
            <w:pPr>
              <w:pStyle w:val="TableParagraph"/>
              <w:spacing w:line="232" w:lineRule="exact"/>
              <w:ind w:right="109"/>
              <w:jc w:val="right"/>
              <w:rPr>
                <w:rFonts w:ascii="宋体" w:hAnsi="宋体" w:cs="宋体" w:eastAsia="宋体" w:hint="default"/>
                <w:sz w:val="18"/>
                <w:szCs w:val="18"/>
              </w:rPr>
            </w:pPr>
            <w:r>
              <w:rPr>
                <w:rFonts w:ascii="宋体"/>
                <w:sz w:val="18"/>
              </w:rPr>
              <w:t>0.00</w:t>
            </w:r>
          </w:p>
        </w:tc>
        <w:tc>
          <w:tcPr>
            <w:tcW w:w="1580" w:type="dxa"/>
            <w:tcBorders>
              <w:top w:val="single" w:sz="4" w:space="0" w:color="000000"/>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1,675,347,583.45</w:t>
            </w:r>
          </w:p>
        </w:tc>
      </w:tr>
      <w:tr>
        <w:trPr>
          <w:trHeight w:val="284" w:hRule="exact"/>
        </w:trPr>
        <w:tc>
          <w:tcPr>
            <w:tcW w:w="2442" w:type="dxa"/>
            <w:tcBorders>
              <w:top w:val="nil" w:sz="6" w:space="0" w:color="auto"/>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同方友友控股有限公司</w:t>
            </w:r>
          </w:p>
        </w:tc>
        <w:tc>
          <w:tcPr>
            <w:tcW w:w="1235"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35.19%</w:t>
            </w:r>
          </w:p>
        </w:tc>
        <w:tc>
          <w:tcPr>
            <w:tcW w:w="1535" w:type="dxa"/>
            <w:tcBorders>
              <w:top w:val="nil" w:sz="6" w:space="0" w:color="auto"/>
              <w:left w:val="nil" w:sz="6" w:space="0" w:color="auto"/>
              <w:bottom w:val="nil" w:sz="6" w:space="0" w:color="auto"/>
              <w:right w:val="nil" w:sz="6" w:space="0" w:color="auto"/>
            </w:tcBorders>
          </w:tcPr>
          <w:p>
            <w:pPr>
              <w:pStyle w:val="TableParagraph"/>
              <w:spacing w:line="232" w:lineRule="exact"/>
              <w:ind w:right="148"/>
              <w:jc w:val="right"/>
              <w:rPr>
                <w:rFonts w:ascii="宋体" w:hAnsi="宋体" w:cs="宋体" w:eastAsia="宋体" w:hint="default"/>
                <w:sz w:val="18"/>
                <w:szCs w:val="18"/>
              </w:rPr>
            </w:pPr>
            <w:r>
              <w:rPr>
                <w:rFonts w:ascii="宋体"/>
                <w:spacing w:val="-1"/>
                <w:sz w:val="18"/>
              </w:rPr>
              <w:t>49,490,925.73</w:t>
            </w:r>
          </w:p>
        </w:tc>
        <w:tc>
          <w:tcPr>
            <w:tcW w:w="1772" w:type="dxa"/>
            <w:tcBorders>
              <w:top w:val="nil" w:sz="6" w:space="0" w:color="auto"/>
              <w:left w:val="nil" w:sz="6" w:space="0" w:color="auto"/>
              <w:bottom w:val="nil" w:sz="6" w:space="0" w:color="auto"/>
              <w:right w:val="nil" w:sz="6" w:space="0" w:color="auto"/>
            </w:tcBorders>
          </w:tcPr>
          <w:p>
            <w:pPr>
              <w:pStyle w:val="TableParagraph"/>
              <w:spacing w:line="232" w:lineRule="exact"/>
              <w:ind w:right="109"/>
              <w:jc w:val="right"/>
              <w:rPr>
                <w:rFonts w:ascii="宋体" w:hAnsi="宋体" w:cs="宋体" w:eastAsia="宋体" w:hint="default"/>
                <w:sz w:val="18"/>
                <w:szCs w:val="18"/>
              </w:rPr>
            </w:pPr>
            <w:r>
              <w:rPr>
                <w:rFonts w:ascii="宋体"/>
                <w:sz w:val="18"/>
              </w:rPr>
              <w:t>0.00</w:t>
            </w:r>
          </w:p>
        </w:tc>
        <w:tc>
          <w:tcPr>
            <w:tcW w:w="1580" w:type="dxa"/>
            <w:tcBorders>
              <w:top w:val="nil" w:sz="6" w:space="0" w:color="auto"/>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600,867,559.16</w:t>
            </w:r>
          </w:p>
        </w:tc>
      </w:tr>
      <w:tr>
        <w:trPr>
          <w:trHeight w:val="303" w:hRule="exact"/>
        </w:trPr>
        <w:tc>
          <w:tcPr>
            <w:tcW w:w="2442" w:type="dxa"/>
            <w:tcBorders>
              <w:top w:val="nil" w:sz="6" w:space="0" w:color="auto"/>
              <w:left w:val="nil" w:sz="6" w:space="0" w:color="auto"/>
              <w:bottom w:val="single" w:sz="12" w:space="0" w:color="000000"/>
              <w:right w:val="nil" w:sz="6" w:space="0" w:color="auto"/>
            </w:tcBorders>
          </w:tcPr>
          <w:p>
            <w:pPr>
              <w:pStyle w:val="TableParagraph"/>
              <w:spacing w:line="233" w:lineRule="exact"/>
              <w:ind w:left="28"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1235" w:type="dxa"/>
            <w:tcBorders>
              <w:top w:val="nil" w:sz="6" w:space="0" w:color="auto"/>
              <w:left w:val="nil" w:sz="6" w:space="0" w:color="auto"/>
              <w:bottom w:val="single" w:sz="12" w:space="0" w:color="000000"/>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28.75%</w:t>
            </w:r>
          </w:p>
        </w:tc>
        <w:tc>
          <w:tcPr>
            <w:tcW w:w="1535" w:type="dxa"/>
            <w:tcBorders>
              <w:top w:val="nil" w:sz="6" w:space="0" w:color="auto"/>
              <w:left w:val="nil" w:sz="6" w:space="0" w:color="auto"/>
              <w:bottom w:val="single" w:sz="12" w:space="0" w:color="000000"/>
              <w:right w:val="nil" w:sz="6" w:space="0" w:color="auto"/>
            </w:tcBorders>
          </w:tcPr>
          <w:p>
            <w:pPr>
              <w:pStyle w:val="TableParagraph"/>
              <w:spacing w:line="233" w:lineRule="exact"/>
              <w:ind w:right="148"/>
              <w:jc w:val="right"/>
              <w:rPr>
                <w:rFonts w:ascii="宋体" w:hAnsi="宋体" w:cs="宋体" w:eastAsia="宋体" w:hint="default"/>
                <w:sz w:val="18"/>
                <w:szCs w:val="18"/>
              </w:rPr>
            </w:pPr>
            <w:r>
              <w:rPr>
                <w:rFonts w:ascii="宋体"/>
                <w:spacing w:val="-1"/>
                <w:sz w:val="18"/>
              </w:rPr>
              <w:t>193,692,717.71</w:t>
            </w:r>
          </w:p>
        </w:tc>
        <w:tc>
          <w:tcPr>
            <w:tcW w:w="1772" w:type="dxa"/>
            <w:tcBorders>
              <w:top w:val="nil" w:sz="6" w:space="0" w:color="auto"/>
              <w:left w:val="nil" w:sz="6" w:space="0" w:color="auto"/>
              <w:bottom w:val="single" w:sz="12" w:space="0" w:color="000000"/>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53,193,252.00</w:t>
            </w:r>
          </w:p>
        </w:tc>
        <w:tc>
          <w:tcPr>
            <w:tcW w:w="1580" w:type="dxa"/>
            <w:tcBorders>
              <w:top w:val="nil" w:sz="6" w:space="0" w:color="auto"/>
              <w:left w:val="nil" w:sz="6" w:space="0" w:color="auto"/>
              <w:bottom w:val="single" w:sz="12" w:space="0" w:color="000000"/>
              <w:right w:val="nil" w:sz="6" w:space="0" w:color="auto"/>
            </w:tcBorders>
          </w:tcPr>
          <w:p>
            <w:pPr>
              <w:pStyle w:val="TableParagraph"/>
              <w:spacing w:line="233" w:lineRule="exact"/>
              <w:ind w:right="26"/>
              <w:jc w:val="right"/>
              <w:rPr>
                <w:rFonts w:ascii="宋体" w:hAnsi="宋体" w:cs="宋体" w:eastAsia="宋体" w:hint="default"/>
                <w:sz w:val="18"/>
                <w:szCs w:val="18"/>
              </w:rPr>
            </w:pPr>
            <w:r>
              <w:rPr>
                <w:rFonts w:ascii="宋体"/>
                <w:spacing w:val="-1"/>
                <w:sz w:val="18"/>
              </w:rPr>
              <w:t>1,144,959,910.78</w:t>
            </w:r>
          </w:p>
        </w:tc>
      </w:tr>
    </w:tbl>
    <w:p>
      <w:pPr>
        <w:spacing w:before="21"/>
        <w:ind w:left="695" w:right="206"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9"/>
          <w:sz w:val="22"/>
          <w:szCs w:val="22"/>
        </w:rPr>
        <w:t> </w:t>
      </w:r>
      <w:r>
        <w:rPr>
          <w:rFonts w:ascii="宋体" w:hAnsi="宋体" w:cs="宋体" w:eastAsia="宋体" w:hint="default"/>
          <w:sz w:val="22"/>
          <w:szCs w:val="22"/>
        </w:rPr>
        <w:t>重要非全资子公司的主要财务信息</w:t>
      </w:r>
    </w:p>
    <w:p>
      <w:pPr>
        <w:spacing w:line="240" w:lineRule="auto" w:before="9"/>
        <w:rPr>
          <w:rFonts w:ascii="宋体" w:hAnsi="宋体" w:cs="宋体" w:eastAsia="宋体" w:hint="default"/>
          <w:sz w:val="12"/>
          <w:szCs w:val="12"/>
        </w:rPr>
      </w:pPr>
    </w:p>
    <w:p>
      <w:pPr>
        <w:spacing w:line="28" w:lineRule="exact"/>
        <w:ind w:left="19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29.7pt;height:1.45pt;mso-position-horizontal-relative:char;mso-position-vertical-relative:line" coordorigin="0,0" coordsize="8594,29">
            <v:group style="position:absolute;left:14;top:14;width:1001;height:2" coordorigin="14,14" coordsize="1001,2">
              <v:shape style="position:absolute;left:14;top:14;width:1001;height:2" coordorigin="14,14" coordsize="1001,0" path="m14,14l1015,14e" filled="false" stroked="true" strokeweight="1.44pt" strokecolor="#000000">
                <v:path arrowok="t"/>
              </v:shape>
            </v:group>
            <v:group style="position:absolute;left:1015;top:14;width:29;height:2" coordorigin="1015,14" coordsize="29,2">
              <v:shape style="position:absolute;left:1015;top:14;width:29;height:2" coordorigin="1015,14" coordsize="29,0" path="m1015,14l1044,14e" filled="false" stroked="true" strokeweight="1.44pt" strokecolor="#000000">
                <v:path arrowok="t"/>
              </v:shape>
            </v:group>
            <v:group style="position:absolute;left:1044;top:14;width:7535;height:2" coordorigin="1044,14" coordsize="7535,2">
              <v:shape style="position:absolute;left:1044;top:14;width:7535;height:2" coordorigin="1044,14" coordsize="7535,0" path="m1044,14l8579,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0" w:footer="1034" w:top="1320" w:bottom="1220" w:left="1460" w:right="1480"/>
        </w:sectPr>
      </w:pPr>
    </w:p>
    <w:p>
      <w:pPr>
        <w:spacing w:line="240" w:lineRule="auto" w:before="2"/>
        <w:rPr>
          <w:rFonts w:ascii="宋体" w:hAnsi="宋体" w:cs="宋体" w:eastAsia="宋体" w:hint="default"/>
          <w:sz w:val="14"/>
          <w:szCs w:val="14"/>
        </w:rPr>
      </w:pPr>
    </w:p>
    <w:p>
      <w:pPr>
        <w:spacing w:before="0"/>
        <w:ind w:left="242" w:right="-4" w:firstLine="0"/>
        <w:jc w:val="left"/>
        <w:rPr>
          <w:rFonts w:ascii="宋体" w:hAnsi="宋体" w:cs="宋体" w:eastAsia="宋体" w:hint="default"/>
          <w:sz w:val="13"/>
          <w:szCs w:val="13"/>
        </w:rPr>
      </w:pPr>
      <w:r>
        <w:rPr>
          <w:rFonts w:ascii="宋体" w:hAnsi="宋体" w:cs="宋体" w:eastAsia="宋体" w:hint="default"/>
          <w:b/>
          <w:bCs/>
          <w:sz w:val="13"/>
          <w:szCs w:val="13"/>
        </w:rPr>
        <w:t>子公司名称</w:t>
      </w:r>
      <w:r>
        <w:rPr>
          <w:rFonts w:ascii="宋体" w:hAnsi="宋体" w:cs="宋体" w:eastAsia="宋体" w:hint="default"/>
          <w:sz w:val="13"/>
          <w:szCs w:val="13"/>
        </w:rPr>
      </w:r>
    </w:p>
    <w:p>
      <w:pPr>
        <w:spacing w:line="240" w:lineRule="auto" w:before="5"/>
        <w:rPr>
          <w:rFonts w:ascii="宋体" w:hAnsi="宋体" w:cs="宋体" w:eastAsia="宋体" w:hint="default"/>
          <w:b/>
          <w:bCs/>
          <w:sz w:val="16"/>
          <w:szCs w:val="16"/>
        </w:rPr>
      </w:pPr>
    </w:p>
    <w:p>
      <w:pPr>
        <w:spacing w:line="141" w:lineRule="exact" w:before="0"/>
        <w:ind w:left="213" w:right="-4" w:firstLine="0"/>
        <w:jc w:val="left"/>
        <w:rPr>
          <w:rFonts w:ascii="宋体" w:hAnsi="宋体" w:cs="宋体" w:eastAsia="宋体" w:hint="default"/>
          <w:sz w:val="15"/>
          <w:szCs w:val="15"/>
        </w:rPr>
      </w:pPr>
      <w:r>
        <w:rPr/>
        <w:pict>
          <v:group style="position:absolute;margin-left:83.424011pt;margin-top:.599778pt;width:428.75pt;height:.5pt;mso-position-horizontal-relative:page;mso-position-vertical-relative:paragraph;z-index:-1225840" coordorigin="1668,12" coordsize="8575,10">
            <v:group style="position:absolute;left:1673;top:17;width:1001;height:2" coordorigin="1673,17" coordsize="1001,2">
              <v:shape style="position:absolute;left:1673;top:17;width:1001;height:2" coordorigin="1673,17" coordsize="1001,0" path="m1673,17l2674,17e" filled="false" stroked="true" strokeweight=".47998pt" strokecolor="#000000">
                <v:path arrowok="t"/>
              </v:shape>
            </v:group>
            <v:group style="position:absolute;left:2674;top:17;width:10;height:2" coordorigin="2674,17" coordsize="10,2">
              <v:shape style="position:absolute;left:2674;top:17;width:10;height:2" coordorigin="2674,17" coordsize="10,0" path="m2674,17l2684,17e" filled="false" stroked="true" strokeweight=".47998pt" strokecolor="#000000">
                <v:path arrowok="t"/>
              </v:shape>
            </v:group>
            <v:group style="position:absolute;left:2684;top:17;width:1275;height:2" coordorigin="2684,17" coordsize="1275,2">
              <v:shape style="position:absolute;left:2684;top:17;width:1275;height:2" coordorigin="2684,17" coordsize="1275,0" path="m2684,17l3958,17e" filled="false" stroked="true" strokeweight=".47998pt" strokecolor="#000000">
                <v:path arrowok="t"/>
              </v:shape>
            </v:group>
            <v:group style="position:absolute;left:3959;top:17;width:10;height:2" coordorigin="3959,17" coordsize="10,2">
              <v:shape style="position:absolute;left:3959;top:17;width:10;height:2" coordorigin="3959,17" coordsize="10,0" path="m3959,17l3968,17e" filled="false" stroked="true" strokeweight=".47998pt" strokecolor="#000000">
                <v:path arrowok="t"/>
              </v:shape>
            </v:group>
            <v:group style="position:absolute;left:3968;top:17;width:1275;height:2" coordorigin="3968,17" coordsize="1275,2">
              <v:shape style="position:absolute;left:3968;top:17;width:1275;height:2" coordorigin="3968,17" coordsize="1275,0" path="m3968,17l5243,17e" filled="false" stroked="true" strokeweight=".47998pt" strokecolor="#000000">
                <v:path arrowok="t"/>
              </v:shape>
            </v:group>
            <v:group style="position:absolute;left:5243;top:17;width:10;height:2" coordorigin="5243,17" coordsize="10,2">
              <v:shape style="position:absolute;left:5243;top:17;width:10;height:2" coordorigin="5243,17" coordsize="10,0" path="m5243,17l5252,17e" filled="false" stroked="true" strokeweight=".47998pt" strokecolor="#000000">
                <v:path arrowok="t"/>
              </v:shape>
            </v:group>
            <v:group style="position:absolute;left:5252;top:17;width:1275;height:2" coordorigin="5252,17" coordsize="1275,2">
              <v:shape style="position:absolute;left:5252;top:17;width:1275;height:2" coordorigin="5252,17" coordsize="1275,0" path="m5252,17l6527,17e" filled="false" stroked="true" strokeweight=".47998pt" strokecolor="#000000">
                <v:path arrowok="t"/>
              </v:shape>
            </v:group>
            <v:group style="position:absolute;left:6527;top:17;width:10;height:2" coordorigin="6527,17" coordsize="10,2">
              <v:shape style="position:absolute;left:6527;top:17;width:10;height:2" coordorigin="6527,17" coordsize="10,0" path="m6527,17l6537,17e" filled="false" stroked="true" strokeweight=".47998pt" strokecolor="#000000">
                <v:path arrowok="t"/>
              </v:shape>
            </v:group>
            <v:group style="position:absolute;left:6537;top:17;width:1277;height:2" coordorigin="6537,17" coordsize="1277,2">
              <v:shape style="position:absolute;left:6537;top:17;width:1277;height:2" coordorigin="6537,17" coordsize="1277,0" path="m6537,17l7813,17e" filled="false" stroked="true" strokeweight=".47998pt" strokecolor="#000000">
                <v:path arrowok="t"/>
              </v:shape>
            </v:group>
            <v:group style="position:absolute;left:7813;top:17;width:10;height:2" coordorigin="7813,17" coordsize="10,2">
              <v:shape style="position:absolute;left:7813;top:17;width:10;height:2" coordorigin="7813,17" coordsize="10,0" path="m7813,17l7823,17e" filled="false" stroked="true" strokeweight=".47998pt" strokecolor="#000000">
                <v:path arrowok="t"/>
              </v:shape>
            </v:group>
            <v:group style="position:absolute;left:7823;top:17;width:1131;height:2" coordorigin="7823,17" coordsize="1131,2">
              <v:shape style="position:absolute;left:7823;top:17;width:1131;height:2" coordorigin="7823,17" coordsize="1131,0" path="m7823,17l8954,17e" filled="false" stroked="true" strokeweight=".47998pt" strokecolor="#000000">
                <v:path arrowok="t"/>
              </v:shape>
            </v:group>
            <v:group style="position:absolute;left:8954;top:17;width:10;height:2" coordorigin="8954,17" coordsize="10,2">
              <v:shape style="position:absolute;left:8954;top:17;width:10;height:2" coordorigin="8954,17" coordsize="10,0" path="m8954,17l8964,17e" filled="false" stroked="true" strokeweight=".47998pt" strokecolor="#000000">
                <v:path arrowok="t"/>
              </v:shape>
            </v:group>
            <v:group style="position:absolute;left:8964;top:17;width:1275;height:2" coordorigin="8964,17" coordsize="1275,2">
              <v:shape style="position:absolute;left:8964;top:17;width:1275;height:2" coordorigin="8964,17" coordsize="1275,0" path="m8964,17l10238,17e" filled="false" stroked="true" strokeweight=".47998pt" strokecolor="#000000">
                <v:path arrowok="t"/>
              </v:shape>
            </v:group>
            <w10:wrap type="none"/>
          </v:group>
        </w:pict>
      </w:r>
      <w:r>
        <w:rPr>
          <w:rFonts w:ascii="宋体" w:hAnsi="宋体" w:cs="宋体" w:eastAsia="宋体" w:hint="default"/>
          <w:spacing w:val="10"/>
          <w:sz w:val="15"/>
          <w:szCs w:val="15"/>
        </w:rPr>
        <w:t>同方泰德国际</w:t>
      </w:r>
    </w:p>
    <w:p>
      <w:pPr>
        <w:spacing w:before="25"/>
        <w:ind w:left="0" w:right="313" w:firstLine="0"/>
        <w:jc w:val="center"/>
        <w:rPr>
          <w:rFonts w:ascii="宋体" w:hAnsi="宋体" w:cs="宋体" w:eastAsia="宋体" w:hint="default"/>
          <w:sz w:val="15"/>
          <w:szCs w:val="15"/>
        </w:rPr>
      </w:pPr>
      <w:r>
        <w:rPr/>
        <w:br w:type="column"/>
      </w:r>
      <w:r>
        <w:rPr>
          <w:rFonts w:ascii="宋体" w:hAnsi="宋体" w:cs="宋体" w:eastAsia="宋体" w:hint="default"/>
          <w:b/>
          <w:bCs/>
          <w:sz w:val="15"/>
          <w:szCs w:val="15"/>
        </w:rPr>
        <w:t>年末余额</w:t>
      </w:r>
      <w:r>
        <w:rPr>
          <w:rFonts w:ascii="宋体" w:hAnsi="宋体" w:cs="宋体" w:eastAsia="宋体" w:hint="default"/>
          <w:sz w:val="15"/>
          <w:szCs w:val="15"/>
        </w:rPr>
      </w:r>
    </w:p>
    <w:p>
      <w:pPr>
        <w:tabs>
          <w:tab w:pos="1207" w:val="left" w:leader="none"/>
          <w:tab w:pos="2566" w:val="left" w:leader="none"/>
          <w:tab w:pos="3852" w:val="left" w:leader="none"/>
          <w:tab w:pos="4990" w:val="left" w:leader="none"/>
          <w:tab w:pos="6279" w:val="left" w:leader="none"/>
        </w:tabs>
        <w:spacing w:before="99"/>
        <w:ind w:left="0" w:right="313" w:firstLine="0"/>
        <w:jc w:val="center"/>
        <w:rPr>
          <w:rFonts w:ascii="宋体" w:hAnsi="宋体" w:cs="宋体" w:eastAsia="宋体" w:hint="default"/>
          <w:sz w:val="15"/>
          <w:szCs w:val="15"/>
        </w:rPr>
      </w:pPr>
      <w:r>
        <w:rPr/>
        <w:pict>
          <v:group style="position:absolute;margin-left:133.459976pt;margin-top:3.389729pt;width:378.7pt;height:.5pt;mso-position-horizontal-relative:page;mso-position-vertical-relative:paragraph;z-index:4456" coordorigin="2669,68" coordsize="7574,10">
            <v:group style="position:absolute;left:2674;top:73;width:1285;height:2" coordorigin="2674,73" coordsize="1285,2">
              <v:shape style="position:absolute;left:2674;top:73;width:1285;height:2" coordorigin="2674,73" coordsize="1285,0" path="m2674,73l3958,73e" filled="false" stroked="true" strokeweight=".48004pt" strokecolor="#000000">
                <v:path arrowok="t"/>
              </v:shape>
            </v:group>
            <v:group style="position:absolute;left:3959;top:73;width:10;height:2" coordorigin="3959,73" coordsize="10,2">
              <v:shape style="position:absolute;left:3959;top:73;width:10;height:2" coordorigin="3959,73" coordsize="10,0" path="m3959,73l3968,73e" filled="false" stroked="true" strokeweight=".48004pt" strokecolor="#000000">
                <v:path arrowok="t"/>
              </v:shape>
            </v:group>
            <v:group style="position:absolute;left:3968;top:73;width:1275;height:2" coordorigin="3968,73" coordsize="1275,2">
              <v:shape style="position:absolute;left:3968;top:73;width:1275;height:2" coordorigin="3968,73" coordsize="1275,0" path="m3968,73l5243,73e" filled="false" stroked="true" strokeweight=".48004pt" strokecolor="#000000">
                <v:path arrowok="t"/>
              </v:shape>
            </v:group>
            <v:group style="position:absolute;left:5243;top:73;width:10;height:2" coordorigin="5243,73" coordsize="10,2">
              <v:shape style="position:absolute;left:5243;top:73;width:10;height:2" coordorigin="5243,73" coordsize="10,0" path="m5243,73l5252,73e" filled="false" stroked="true" strokeweight=".48004pt" strokecolor="#000000">
                <v:path arrowok="t"/>
              </v:shape>
            </v:group>
            <v:group style="position:absolute;left:5252;top:73;width:1275;height:2" coordorigin="5252,73" coordsize="1275,2">
              <v:shape style="position:absolute;left:5252;top:73;width:1275;height:2" coordorigin="5252,73" coordsize="1275,0" path="m5252,73l6527,73e" filled="false" stroked="true" strokeweight=".48004pt" strokecolor="#000000">
                <v:path arrowok="t"/>
              </v:shape>
            </v:group>
            <v:group style="position:absolute;left:6527;top:73;width:10;height:2" coordorigin="6527,73" coordsize="10,2">
              <v:shape style="position:absolute;left:6527;top:73;width:10;height:2" coordorigin="6527,73" coordsize="10,0" path="m6527,73l6537,73e" filled="false" stroked="true" strokeweight=".48004pt" strokecolor="#000000">
                <v:path arrowok="t"/>
              </v:shape>
            </v:group>
            <v:group style="position:absolute;left:6537;top:73;width:1277;height:2" coordorigin="6537,73" coordsize="1277,2">
              <v:shape style="position:absolute;left:6537;top:73;width:1277;height:2" coordorigin="6537,73" coordsize="1277,0" path="m6537,73l7813,73e" filled="false" stroked="true" strokeweight=".48004pt" strokecolor="#000000">
                <v:path arrowok="t"/>
              </v:shape>
            </v:group>
            <v:group style="position:absolute;left:7813;top:73;width:10;height:2" coordorigin="7813,73" coordsize="10,2">
              <v:shape style="position:absolute;left:7813;top:73;width:10;height:2" coordorigin="7813,73" coordsize="10,0" path="m7813,73l7823,73e" filled="false" stroked="true" strokeweight=".48004pt" strokecolor="#000000">
                <v:path arrowok="t"/>
              </v:shape>
            </v:group>
            <v:group style="position:absolute;left:7823;top:73;width:1131;height:2" coordorigin="7823,73" coordsize="1131,2">
              <v:shape style="position:absolute;left:7823;top:73;width:1131;height:2" coordorigin="7823,73" coordsize="1131,0" path="m7823,73l8954,73e" filled="false" stroked="true" strokeweight=".48004pt" strokecolor="#000000">
                <v:path arrowok="t"/>
              </v:shape>
            </v:group>
            <v:group style="position:absolute;left:8954;top:73;width:10;height:2" coordorigin="8954,73" coordsize="10,2">
              <v:shape style="position:absolute;left:8954;top:73;width:10;height:2" coordorigin="8954,73" coordsize="10,0" path="m8954,73l8964,73e" filled="false" stroked="true" strokeweight=".48004pt" strokecolor="#000000">
                <v:path arrowok="t"/>
              </v:shape>
            </v:group>
            <v:group style="position:absolute;left:8964;top:73;width:1275;height:2" coordorigin="8964,73" coordsize="1275,2">
              <v:shape style="position:absolute;left:8964;top:73;width:1275;height:2" coordorigin="8964,73" coordsize="1275,0" path="m8964,73l10238,73e" filled="false" stroked="true" strokeweight=".48004pt" strokecolor="#000000">
                <v:path arrowok="t"/>
              </v:shape>
            </v:group>
            <w10:wrap type="none"/>
          </v:group>
        </w:pict>
      </w:r>
      <w:r>
        <w:rPr>
          <w:rFonts w:ascii="宋体" w:hAnsi="宋体" w:cs="宋体" w:eastAsia="宋体" w:hint="default"/>
          <w:b/>
          <w:bCs/>
          <w:sz w:val="15"/>
          <w:szCs w:val="15"/>
        </w:rPr>
        <w:t>流动资产</w:t>
        <w:tab/>
        <w:t>非流动资产</w:t>
        <w:tab/>
        <w:t>资产合计</w:t>
        <w:tab/>
        <w:t>流动负债</w:t>
        <w:tab/>
        <w:t>非流动负债</w:t>
        <w:tab/>
        <w:t>负债合计</w:t>
      </w:r>
      <w:r>
        <w:rPr>
          <w:rFonts w:ascii="宋体" w:hAnsi="宋体" w:cs="宋体" w:eastAsia="宋体" w:hint="default"/>
          <w:sz w:val="15"/>
          <w:szCs w:val="15"/>
        </w:rPr>
      </w:r>
    </w:p>
    <w:p>
      <w:pPr>
        <w:spacing w:after="0"/>
        <w:jc w:val="center"/>
        <w:rPr>
          <w:rFonts w:ascii="宋体" w:hAnsi="宋体" w:cs="宋体" w:eastAsia="宋体" w:hint="default"/>
          <w:sz w:val="15"/>
          <w:szCs w:val="15"/>
        </w:rPr>
        <w:sectPr>
          <w:type w:val="continuous"/>
          <w:pgSz w:w="11910" w:h="16840"/>
          <w:pgMar w:top="1000" w:bottom="280" w:left="1460" w:right="1480"/>
          <w:cols w:num="2" w:equalWidth="0">
            <w:col w:w="1190" w:space="152"/>
            <w:col w:w="7628"/>
          </w:cols>
        </w:sectPr>
      </w:pPr>
    </w:p>
    <w:p>
      <w:pPr>
        <w:spacing w:line="249" w:lineRule="exact" w:before="0"/>
        <w:ind w:left="239" w:right="206" w:firstLine="0"/>
        <w:jc w:val="left"/>
        <w:rPr>
          <w:rFonts w:ascii="宋体" w:hAnsi="宋体" w:cs="宋体" w:eastAsia="宋体" w:hint="default"/>
          <w:sz w:val="15"/>
          <w:szCs w:val="15"/>
        </w:rPr>
      </w:pPr>
      <w:r>
        <w:rPr>
          <w:rFonts w:ascii="宋体" w:hAnsi="宋体" w:cs="宋体" w:eastAsia="宋体" w:hint="default"/>
          <w:position w:val="-9"/>
          <w:sz w:val="15"/>
          <w:szCs w:val="15"/>
        </w:rPr>
        <w:t>科技有限公司  </w:t>
      </w:r>
      <w:r>
        <w:rPr>
          <w:rFonts w:ascii="宋体" w:hAnsi="宋体" w:cs="宋体" w:eastAsia="宋体" w:hint="default"/>
          <w:sz w:val="15"/>
          <w:szCs w:val="15"/>
        </w:rPr>
        <w:t>3,497,800,610.13 1,105,699,240.46 4,603,499,850.59 1,924,762,013.71  37,620,011.06</w:t>
      </w:r>
      <w:r>
        <w:rPr>
          <w:rFonts w:ascii="宋体" w:hAnsi="宋体" w:cs="宋体" w:eastAsia="宋体" w:hint="default"/>
          <w:spacing w:val="-17"/>
          <w:sz w:val="15"/>
          <w:szCs w:val="15"/>
        </w:rPr>
        <w:t> </w:t>
      </w:r>
      <w:r>
        <w:rPr>
          <w:rFonts w:ascii="宋体" w:hAnsi="宋体" w:cs="宋体" w:eastAsia="宋体" w:hint="default"/>
          <w:sz w:val="15"/>
          <w:szCs w:val="15"/>
        </w:rPr>
        <w:t>1,962,382,024.77</w:t>
      </w:r>
    </w:p>
    <w:p>
      <w:pPr>
        <w:spacing w:line="144" w:lineRule="exact" w:before="0"/>
        <w:ind w:left="213" w:right="4889" w:firstLine="0"/>
        <w:jc w:val="left"/>
        <w:rPr>
          <w:rFonts w:ascii="宋体" w:hAnsi="宋体" w:cs="宋体" w:eastAsia="宋体" w:hint="default"/>
          <w:sz w:val="15"/>
          <w:szCs w:val="15"/>
        </w:rPr>
      </w:pPr>
      <w:r>
        <w:rPr>
          <w:rFonts w:ascii="宋体" w:hAnsi="宋体" w:cs="宋体" w:eastAsia="宋体" w:hint="default"/>
          <w:spacing w:val="10"/>
          <w:sz w:val="15"/>
          <w:szCs w:val="15"/>
        </w:rPr>
        <w:t>同方友友控股</w:t>
      </w:r>
    </w:p>
    <w:p>
      <w:pPr>
        <w:tabs>
          <w:tab w:pos="1269" w:val="left" w:leader="none"/>
          <w:tab w:pos="5273" w:val="left" w:leader="none"/>
          <w:tab w:pos="7700" w:val="left" w:leader="none"/>
        </w:tabs>
        <w:spacing w:line="246" w:lineRule="exact" w:before="0"/>
        <w:ind w:left="239" w:right="0" w:firstLine="0"/>
        <w:jc w:val="left"/>
        <w:rPr>
          <w:rFonts w:ascii="宋体" w:hAnsi="宋体" w:cs="宋体" w:eastAsia="宋体" w:hint="default"/>
          <w:sz w:val="15"/>
          <w:szCs w:val="15"/>
        </w:rPr>
      </w:pPr>
      <w:r>
        <w:rPr>
          <w:rFonts w:ascii="宋体" w:hAnsi="宋体" w:cs="宋体" w:eastAsia="宋体" w:hint="default"/>
          <w:spacing w:val="-1"/>
          <w:position w:val="-9"/>
          <w:sz w:val="15"/>
          <w:szCs w:val="15"/>
        </w:rPr>
        <w:t>有限公司</w:t>
        <w:tab/>
      </w:r>
      <w:r>
        <w:rPr>
          <w:rFonts w:ascii="宋体" w:hAnsi="宋体" w:cs="宋体" w:eastAsia="宋体" w:hint="default"/>
          <w:spacing w:val="-2"/>
          <w:sz w:val="15"/>
          <w:szCs w:val="15"/>
        </w:rPr>
        <w:t>1,101,290,558.99</w:t>
      </w:r>
      <w:r>
        <w:rPr>
          <w:rFonts w:ascii="宋体" w:hAnsi="宋体" w:cs="宋体" w:eastAsia="宋体" w:hint="default"/>
          <w:sz w:val="15"/>
          <w:szCs w:val="15"/>
        </w:rPr>
        <w:t>  </w:t>
      </w:r>
      <w:r>
        <w:rPr>
          <w:rFonts w:ascii="宋体" w:hAnsi="宋体" w:cs="宋体" w:eastAsia="宋体" w:hint="default"/>
          <w:spacing w:val="-2"/>
          <w:sz w:val="15"/>
          <w:szCs w:val="15"/>
        </w:rPr>
        <w:t>1,401,575,885.62</w:t>
      </w:r>
      <w:r>
        <w:rPr>
          <w:rFonts w:ascii="宋体" w:hAnsi="宋体" w:cs="宋体" w:eastAsia="宋体" w:hint="default"/>
          <w:spacing w:val="12"/>
          <w:sz w:val="15"/>
          <w:szCs w:val="15"/>
        </w:rPr>
        <w:t> </w:t>
      </w:r>
      <w:r>
        <w:rPr>
          <w:rFonts w:ascii="宋体" w:hAnsi="宋体" w:cs="宋体" w:eastAsia="宋体" w:hint="default"/>
          <w:spacing w:val="-2"/>
          <w:sz w:val="15"/>
          <w:szCs w:val="15"/>
        </w:rPr>
        <w:t>2,502,866,444.61</w:t>
        <w:tab/>
      </w:r>
      <w:r>
        <w:rPr>
          <w:rFonts w:ascii="宋体" w:hAnsi="宋体" w:cs="宋体" w:eastAsia="宋体" w:hint="default"/>
          <w:spacing w:val="-1"/>
          <w:sz w:val="15"/>
          <w:szCs w:val="15"/>
        </w:rPr>
        <w:t>742,598,440.84</w:t>
      </w:r>
      <w:r>
        <w:rPr>
          <w:rFonts w:ascii="宋体" w:hAnsi="宋体" w:cs="宋体" w:eastAsia="宋体" w:hint="default"/>
          <w:sz w:val="15"/>
          <w:szCs w:val="15"/>
        </w:rPr>
        <w:t> </w:t>
      </w:r>
      <w:r>
        <w:rPr>
          <w:rFonts w:ascii="宋体" w:hAnsi="宋体" w:cs="宋体" w:eastAsia="宋体" w:hint="default"/>
          <w:spacing w:val="42"/>
          <w:sz w:val="15"/>
          <w:szCs w:val="15"/>
        </w:rPr>
        <w:t> </w:t>
      </w:r>
      <w:r>
        <w:rPr>
          <w:rFonts w:ascii="宋体" w:hAnsi="宋体" w:cs="宋体" w:eastAsia="宋体" w:hint="default"/>
          <w:spacing w:val="-2"/>
          <w:sz w:val="15"/>
          <w:szCs w:val="15"/>
        </w:rPr>
        <w:t>58,264,647.27</w:t>
        <w:tab/>
      </w:r>
      <w:r>
        <w:rPr>
          <w:rFonts w:ascii="宋体" w:hAnsi="宋体" w:cs="宋体" w:eastAsia="宋体" w:hint="default"/>
          <w:spacing w:val="-1"/>
          <w:sz w:val="15"/>
          <w:szCs w:val="15"/>
        </w:rPr>
        <w:t>800,863,088.11</w:t>
      </w:r>
    </w:p>
    <w:p>
      <w:pPr>
        <w:spacing w:after="0" w:line="246" w:lineRule="exact"/>
        <w:jc w:val="left"/>
        <w:rPr>
          <w:rFonts w:ascii="宋体" w:hAnsi="宋体" w:cs="宋体" w:eastAsia="宋体" w:hint="default"/>
          <w:sz w:val="15"/>
          <w:szCs w:val="15"/>
        </w:rPr>
        <w:sectPr>
          <w:type w:val="continuous"/>
          <w:pgSz w:w="11910" w:h="16840"/>
          <w:pgMar w:top="1000" w:bottom="280" w:left="1460" w:right="1480"/>
        </w:sectPr>
      </w:pPr>
    </w:p>
    <w:p>
      <w:pPr>
        <w:spacing w:line="143" w:lineRule="exact" w:before="0"/>
        <w:ind w:left="213" w:right="0" w:firstLine="0"/>
        <w:jc w:val="left"/>
        <w:rPr>
          <w:rFonts w:ascii="宋体" w:hAnsi="宋体" w:cs="宋体" w:eastAsia="宋体" w:hint="default"/>
          <w:sz w:val="15"/>
          <w:szCs w:val="15"/>
        </w:rPr>
      </w:pPr>
      <w:r>
        <w:rPr>
          <w:rFonts w:ascii="宋体" w:hAnsi="宋体" w:cs="宋体" w:eastAsia="宋体" w:hint="default"/>
          <w:spacing w:val="10"/>
          <w:sz w:val="15"/>
          <w:szCs w:val="15"/>
        </w:rPr>
        <w:t>同方威视技术</w:t>
      </w:r>
    </w:p>
    <w:p>
      <w:pPr>
        <w:spacing w:line="246" w:lineRule="exact" w:before="0"/>
        <w:ind w:left="239" w:right="0" w:firstLine="0"/>
        <w:jc w:val="left"/>
        <w:rPr>
          <w:rFonts w:ascii="宋体" w:hAnsi="宋体" w:cs="宋体" w:eastAsia="宋体" w:hint="default"/>
          <w:sz w:val="15"/>
          <w:szCs w:val="15"/>
        </w:rPr>
      </w:pPr>
      <w:r>
        <w:rPr/>
        <w:pict>
          <v:group style="position:absolute;margin-left:82.223999pt;margin-top:13.332541pt;width:430.4pt;height:1.45pt;mso-position-horizontal-relative:page;mso-position-vertical-relative:paragraph;z-index:4504" coordorigin="1644,267" coordsize="8608,29">
            <v:group style="position:absolute;left:1659;top:281;width:1016;height:2" coordorigin="1659,281" coordsize="1016,2">
              <v:shape style="position:absolute;left:1659;top:281;width:1016;height:2" coordorigin="1659,281" coordsize="1016,0" path="m1659,281l2674,281e" filled="false" stroked="true" strokeweight="1.44pt" strokecolor="#000000">
                <v:path arrowok="t"/>
              </v:shape>
            </v:group>
            <v:group style="position:absolute;left:2660;top:281;width:29;height:2" coordorigin="2660,281" coordsize="29,2">
              <v:shape style="position:absolute;left:2660;top:281;width:29;height:2" coordorigin="2660,281" coordsize="29,0" path="m2660,281l2688,281e" filled="false" stroked="true" strokeweight="1.44pt" strokecolor="#000000">
                <v:path arrowok="t"/>
              </v:shape>
            </v:group>
            <v:group style="position:absolute;left:2688;top:281;width:1271;height:2" coordorigin="2688,281" coordsize="1271,2">
              <v:shape style="position:absolute;left:2688;top:281;width:1271;height:2" coordorigin="2688,281" coordsize="1271,0" path="m2688,281l3958,281e" filled="false" stroked="true" strokeweight="1.44pt" strokecolor="#000000">
                <v:path arrowok="t"/>
              </v:shape>
            </v:group>
            <v:group style="position:absolute;left:3944;top:281;width:29;height:2" coordorigin="3944,281" coordsize="29,2">
              <v:shape style="position:absolute;left:3944;top:281;width:29;height:2" coordorigin="3944,281" coordsize="29,0" path="m3944,281l3973,281e" filled="false" stroked="true" strokeweight="1.44pt" strokecolor="#000000">
                <v:path arrowok="t"/>
              </v:shape>
            </v:group>
            <v:group style="position:absolute;left:3973;top:281;width:1270;height:2" coordorigin="3973,281" coordsize="1270,2">
              <v:shape style="position:absolute;left:3973;top:281;width:1270;height:2" coordorigin="3973,281" coordsize="1270,0" path="m3973,281l5243,281e" filled="false" stroked="true" strokeweight="1.44pt" strokecolor="#000000">
                <v:path arrowok="t"/>
              </v:shape>
            </v:group>
            <v:group style="position:absolute;left:5228;top:281;width:29;height:2" coordorigin="5228,281" coordsize="29,2">
              <v:shape style="position:absolute;left:5228;top:281;width:29;height:2" coordorigin="5228,281" coordsize="29,0" path="m5228,281l5257,281e" filled="false" stroked="true" strokeweight="1.44pt" strokecolor="#000000">
                <v:path arrowok="t"/>
              </v:shape>
            </v:group>
            <v:group style="position:absolute;left:5257;top:281;width:1271;height:2" coordorigin="5257,281" coordsize="1271,2">
              <v:shape style="position:absolute;left:5257;top:281;width:1271;height:2" coordorigin="5257,281" coordsize="1271,0" path="m5257,281l6527,281e" filled="false" stroked="true" strokeweight="1.44pt" strokecolor="#000000">
                <v:path arrowok="t"/>
              </v:shape>
            </v:group>
            <v:group style="position:absolute;left:6513;top:281;width:29;height:2" coordorigin="6513,281" coordsize="29,2">
              <v:shape style="position:absolute;left:6513;top:281;width:29;height:2" coordorigin="6513,281" coordsize="29,0" path="m6513,281l6541,281e" filled="false" stroked="true" strokeweight="1.44pt" strokecolor="#000000">
                <v:path arrowok="t"/>
              </v:shape>
            </v:group>
            <v:group style="position:absolute;left:6541;top:281;width:1272;height:2" coordorigin="6541,281" coordsize="1272,2">
              <v:shape style="position:absolute;left:6541;top:281;width:1272;height:2" coordorigin="6541,281" coordsize="1272,0" path="m6541,281l7813,281e" filled="false" stroked="true" strokeweight="1.44pt" strokecolor="#000000">
                <v:path arrowok="t"/>
              </v:shape>
            </v:group>
            <v:group style="position:absolute;left:7799;top:281;width:29;height:2" coordorigin="7799,281" coordsize="29,2">
              <v:shape style="position:absolute;left:7799;top:281;width:29;height:2" coordorigin="7799,281" coordsize="29,0" path="m7799,281l7828,281e" filled="false" stroked="true" strokeweight="1.44pt" strokecolor="#000000">
                <v:path arrowok="t"/>
              </v:shape>
            </v:group>
            <v:group style="position:absolute;left:7828;top:281;width:1127;height:2" coordorigin="7828,281" coordsize="1127,2">
              <v:shape style="position:absolute;left:7828;top:281;width:1127;height:2" coordorigin="7828,281" coordsize="1127,0" path="m7828,281l8954,281e" filled="false" stroked="true" strokeweight="1.44pt" strokecolor="#000000">
                <v:path arrowok="t"/>
              </v:shape>
            </v:group>
            <v:group style="position:absolute;left:8940;top:281;width:29;height:2" coordorigin="8940,281" coordsize="29,2">
              <v:shape style="position:absolute;left:8940;top:281;width:29;height:2" coordorigin="8940,281" coordsize="29,0" path="m8940,281l8968,281e" filled="false" stroked="true" strokeweight="1.44pt" strokecolor="#000000">
                <v:path arrowok="t"/>
              </v:shape>
            </v:group>
            <v:group style="position:absolute;left:8968;top:281;width:1270;height:2" coordorigin="8968,281" coordsize="1270,2">
              <v:shape style="position:absolute;left:8968;top:281;width:1270;height:2" coordorigin="8968,281" coordsize="1270,0" path="m8968,281l10238,281e" filled="false" stroked="true" strokeweight="1.44pt" strokecolor="#000000">
                <v:path arrowok="t"/>
              </v:shape>
            </v:group>
            <w10:wrap type="none"/>
          </v:group>
        </w:pict>
      </w:r>
      <w:r>
        <w:rPr>
          <w:rFonts w:ascii="宋体" w:hAnsi="宋体" w:cs="宋体" w:eastAsia="宋体" w:hint="default"/>
          <w:position w:val="-9"/>
          <w:sz w:val="15"/>
          <w:szCs w:val="15"/>
        </w:rPr>
        <w:t>股份有限公司  </w:t>
      </w:r>
      <w:r>
        <w:rPr>
          <w:rFonts w:ascii="宋体" w:hAnsi="宋体" w:cs="宋体" w:eastAsia="宋体" w:hint="default"/>
          <w:sz w:val="15"/>
          <w:szCs w:val="15"/>
        </w:rPr>
        <w:t>9,579,806,923.32</w:t>
      </w:r>
      <w:r>
        <w:rPr>
          <w:rFonts w:ascii="宋体" w:hAnsi="宋体" w:cs="宋体" w:eastAsia="宋体" w:hint="default"/>
          <w:spacing w:val="-30"/>
          <w:sz w:val="15"/>
          <w:szCs w:val="15"/>
        </w:rPr>
        <w:t> </w:t>
      </w:r>
      <w:r>
        <w:rPr>
          <w:rFonts w:ascii="宋体" w:hAnsi="宋体" w:cs="宋体" w:eastAsia="宋体" w:hint="default"/>
          <w:sz w:val="15"/>
          <w:szCs w:val="15"/>
        </w:rPr>
        <w:t>2,200,862,183.68</w:t>
      </w:r>
    </w:p>
    <w:p>
      <w:pPr>
        <w:spacing w:before="70"/>
        <w:ind w:left="242" w:right="0" w:firstLine="0"/>
        <w:jc w:val="left"/>
        <w:rPr>
          <w:rFonts w:ascii="宋体" w:hAnsi="宋体" w:cs="宋体" w:eastAsia="宋体" w:hint="default"/>
          <w:sz w:val="22"/>
          <w:szCs w:val="22"/>
        </w:rPr>
      </w:pPr>
      <w:r>
        <w:rPr/>
        <w:pict>
          <v:group style="position:absolute;margin-left:82.823997pt;margin-top:26.303654pt;width:429.95pt;height:1.45pt;mso-position-horizontal-relative:page;mso-position-vertical-relative:paragraph;z-index:-1225792" coordorigin="1656,526" coordsize="8599,29">
            <v:group style="position:absolute;left:1671;top:540;width:1107;height:2" coordorigin="1671,540" coordsize="1107,2">
              <v:shape style="position:absolute;left:1671;top:540;width:1107;height:2" coordorigin="1671,540" coordsize="1107,0" path="m1671,540l2777,540e" filled="false" stroked="true" strokeweight="1.44pt" strokecolor="#000000">
                <v:path arrowok="t"/>
              </v:shape>
            </v:group>
            <v:group style="position:absolute;left:2777;top:540;width:29;height:2" coordorigin="2777,540" coordsize="29,2">
              <v:shape style="position:absolute;left:2777;top:540;width:29;height:2" coordorigin="2777,540" coordsize="29,0" path="m2777,540l2806,540e" filled="false" stroked="true" strokeweight="1.44pt" strokecolor="#000000">
                <v:path arrowok="t"/>
              </v:shape>
            </v:group>
            <v:group style="position:absolute;left:2806;top:540;width:7435;height:2" coordorigin="2806,540" coordsize="7435,2">
              <v:shape style="position:absolute;left:2806;top:540;width:7435;height:2" coordorigin="2806,540" coordsize="7435,0" path="m2806,540l10240,540e" filled="false" stroked="true" strokeweight="1.44pt" strokecolor="#000000">
                <v:path arrowok="t"/>
              </v:shape>
            </v:group>
            <w10:wrap type="none"/>
          </v:group>
        </w:pict>
      </w:r>
      <w:r>
        <w:rPr/>
        <w:pict>
          <v:group style="position:absolute;margin-left:83.304008pt;margin-top:42.023674pt;width:428.95pt;height:.5pt;mso-position-horizontal-relative:page;mso-position-vertical-relative:paragraph;z-index:-1225768" coordorigin="1666,840" coordsize="8579,10">
            <v:group style="position:absolute;left:1671;top:845;width:1107;height:2" coordorigin="1671,845" coordsize="1107,2">
              <v:shape style="position:absolute;left:1671;top:845;width:1107;height:2" coordorigin="1671,845" coordsize="1107,0" path="m1671,845l2777,845e" filled="false" stroked="true" strokeweight=".47998pt" strokecolor="#000000">
                <v:path arrowok="t"/>
              </v:shape>
            </v:group>
            <v:group style="position:absolute;left:2777;top:845;width:10;height:2" coordorigin="2777,845" coordsize="10,2">
              <v:shape style="position:absolute;left:2777;top:845;width:10;height:2" coordorigin="2777,845" coordsize="10,0" path="m2777,845l2787,845e" filled="false" stroked="true" strokeweight=".47998pt" strokecolor="#000000">
                <v:path arrowok="t"/>
              </v:shape>
            </v:group>
            <v:group style="position:absolute;left:2787;top:845;width:7454;height:2" coordorigin="2787,845" coordsize="7454,2">
              <v:shape style="position:absolute;left:2787;top:845;width:7454;height:2" coordorigin="2787,845" coordsize="7454,0" path="m2787,845l10240,845e" filled="false" stroked="true" strokeweight=".47998pt" strokecolor="#000000">
                <v:path arrowok="t"/>
              </v:shape>
            </v:group>
            <w10:wrap type="none"/>
          </v:group>
        </w:pict>
      </w:r>
      <w:r>
        <w:rPr>
          <w:rFonts w:ascii="宋体" w:hAnsi="宋体" w:cs="宋体" w:eastAsia="宋体" w:hint="default"/>
          <w:sz w:val="22"/>
          <w:szCs w:val="22"/>
        </w:rPr>
        <w:t>（续</w:t>
      </w:r>
      <w:r>
        <w:rPr>
          <w:rFonts w:ascii="宋体" w:hAnsi="宋体" w:cs="宋体" w:eastAsia="宋体" w:hint="default"/>
          <w:spacing w:val="-53"/>
          <w:sz w:val="22"/>
          <w:szCs w:val="22"/>
        </w:rPr>
        <w:t> </w:t>
      </w:r>
      <w:r>
        <w:rPr>
          <w:rFonts w:ascii="宋体" w:hAnsi="宋体" w:cs="宋体" w:eastAsia="宋体" w:hint="default"/>
          <w:sz w:val="22"/>
          <w:szCs w:val="22"/>
        </w:rPr>
        <w:t>1</w:t>
      </w:r>
      <w:r>
        <w:rPr>
          <w:rFonts w:ascii="宋体" w:hAnsi="宋体" w:cs="宋体" w:eastAsia="宋体" w:hint="default"/>
          <w:sz w:val="22"/>
          <w:szCs w:val="22"/>
        </w:rPr>
        <w:t>）</w:t>
      </w:r>
    </w:p>
    <w:p>
      <w:pPr>
        <w:spacing w:line="143" w:lineRule="exact" w:before="0"/>
        <w:ind w:left="43" w:right="-11" w:firstLine="0"/>
        <w:jc w:val="left"/>
        <w:rPr>
          <w:rFonts w:ascii="宋体" w:hAnsi="宋体" w:cs="宋体" w:eastAsia="宋体" w:hint="default"/>
          <w:sz w:val="15"/>
          <w:szCs w:val="15"/>
        </w:rPr>
      </w:pPr>
      <w:r>
        <w:rPr/>
        <w:br w:type="column"/>
      </w:r>
      <w:r>
        <w:rPr>
          <w:rFonts w:ascii="宋体"/>
          <w:sz w:val="15"/>
        </w:rPr>
        <w:t>11,780,669,107.0</w:t>
      </w:r>
    </w:p>
    <w:p>
      <w:pPr>
        <w:spacing w:line="246" w:lineRule="exact" w:before="0"/>
        <w:ind w:left="1169" w:right="-11" w:firstLine="0"/>
        <w:jc w:val="left"/>
        <w:rPr>
          <w:rFonts w:ascii="宋体" w:hAnsi="宋体" w:cs="宋体" w:eastAsia="宋体" w:hint="default"/>
          <w:sz w:val="15"/>
          <w:szCs w:val="15"/>
        </w:rPr>
      </w:pPr>
      <w:r>
        <w:rPr>
          <w:rFonts w:ascii="宋体"/>
          <w:position w:val="-9"/>
          <w:sz w:val="15"/>
        </w:rPr>
        <w:t>0</w:t>
      </w:r>
      <w:r>
        <w:rPr>
          <w:rFonts w:ascii="宋体"/>
          <w:spacing w:val="2"/>
          <w:position w:val="-9"/>
          <w:sz w:val="15"/>
        </w:rPr>
        <w:t> </w:t>
      </w:r>
      <w:r>
        <w:rPr>
          <w:rFonts w:ascii="宋体"/>
          <w:sz w:val="15"/>
        </w:rPr>
        <w:t>6,714,333,697.15</w:t>
      </w:r>
    </w:p>
    <w:p>
      <w:pPr>
        <w:spacing w:line="143" w:lineRule="exact" w:before="0"/>
        <w:ind w:left="48" w:right="0" w:firstLine="0"/>
        <w:jc w:val="left"/>
        <w:rPr>
          <w:rFonts w:ascii="宋体" w:hAnsi="宋体" w:cs="宋体" w:eastAsia="宋体" w:hint="default"/>
          <w:sz w:val="15"/>
          <w:szCs w:val="15"/>
        </w:rPr>
      </w:pPr>
      <w:r>
        <w:rPr/>
        <w:br w:type="column"/>
      </w:r>
      <w:r>
        <w:rPr>
          <w:rFonts w:ascii="宋体"/>
          <w:sz w:val="15"/>
        </w:rPr>
        <w:t>1,288,333,852.</w:t>
      </w:r>
    </w:p>
    <w:p>
      <w:pPr>
        <w:spacing w:line="246" w:lineRule="exact" w:before="0"/>
        <w:ind w:left="948" w:right="0" w:firstLine="0"/>
        <w:jc w:val="left"/>
        <w:rPr>
          <w:rFonts w:ascii="宋体" w:hAnsi="宋体" w:cs="宋体" w:eastAsia="宋体" w:hint="default"/>
          <w:sz w:val="15"/>
          <w:szCs w:val="15"/>
        </w:rPr>
      </w:pPr>
      <w:r>
        <w:rPr>
          <w:rFonts w:ascii="宋体"/>
          <w:position w:val="-9"/>
          <w:sz w:val="15"/>
        </w:rPr>
        <w:t>06</w:t>
      </w:r>
      <w:r>
        <w:rPr>
          <w:rFonts w:ascii="宋体"/>
          <w:spacing w:val="3"/>
          <w:position w:val="-9"/>
          <w:sz w:val="15"/>
        </w:rPr>
        <w:t> </w:t>
      </w:r>
      <w:r>
        <w:rPr>
          <w:rFonts w:ascii="宋体"/>
          <w:sz w:val="15"/>
        </w:rPr>
        <w:t>8,002,667,549.21</w:t>
      </w:r>
    </w:p>
    <w:p>
      <w:pPr>
        <w:spacing w:after="0" w:line="246" w:lineRule="exact"/>
        <w:jc w:val="left"/>
        <w:rPr>
          <w:rFonts w:ascii="宋体" w:hAnsi="宋体" w:cs="宋体" w:eastAsia="宋体" w:hint="default"/>
          <w:sz w:val="15"/>
          <w:szCs w:val="15"/>
        </w:rPr>
        <w:sectPr>
          <w:type w:val="continuous"/>
          <w:pgSz w:w="11910" w:h="16840"/>
          <w:pgMar w:top="1000" w:bottom="280" w:left="1460" w:right="1480"/>
          <w:cols w:num="3" w:equalWidth="0">
            <w:col w:w="3755" w:space="40"/>
            <w:col w:w="2531" w:space="40"/>
            <w:col w:w="2604"/>
          </w:cols>
        </w:sectPr>
      </w:pPr>
    </w:p>
    <w:p>
      <w:pPr>
        <w:spacing w:line="240" w:lineRule="auto" w:before="12"/>
        <w:rPr>
          <w:rFonts w:ascii="宋体" w:hAnsi="宋体" w:cs="宋体" w:eastAsia="宋体" w:hint="default"/>
          <w:sz w:val="13"/>
          <w:szCs w:val="13"/>
        </w:rPr>
      </w:pPr>
    </w:p>
    <w:tbl>
      <w:tblPr>
        <w:tblW w:w="0" w:type="auto"/>
        <w:jc w:val="left"/>
        <w:tblInd w:w="210" w:type="dxa"/>
        <w:tblLayout w:type="fixed"/>
        <w:tblCellMar>
          <w:top w:w="0" w:type="dxa"/>
          <w:left w:w="0" w:type="dxa"/>
          <w:bottom w:w="0" w:type="dxa"/>
          <w:right w:w="0" w:type="dxa"/>
        </w:tblCellMar>
        <w:tblLook w:val="01E0"/>
      </w:tblPr>
      <w:tblGrid>
        <w:gridCol w:w="2607"/>
        <w:gridCol w:w="2733"/>
      </w:tblGrid>
      <w:tr>
        <w:trPr>
          <w:trHeight w:val="305"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3"/>
                <w:szCs w:val="13"/>
              </w:rPr>
            </w:pPr>
            <w:r>
              <w:rPr>
                <w:rFonts w:ascii="宋体" w:hAnsi="宋体" w:cs="宋体" w:eastAsia="宋体" w:hint="default"/>
                <w:b/>
                <w:bCs/>
                <w:sz w:val="13"/>
                <w:szCs w:val="13"/>
              </w:rPr>
              <w:t>子公司名称</w:t>
            </w:r>
            <w:r>
              <w:rPr>
                <w:rFonts w:ascii="宋体" w:hAnsi="宋体" w:cs="宋体" w:eastAsia="宋体" w:hint="default"/>
                <w:sz w:val="13"/>
                <w:szCs w:val="13"/>
              </w:rPr>
            </w:r>
          </w:p>
        </w:tc>
        <w:tc>
          <w:tcPr>
            <w:tcW w:w="273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宋体" w:hAnsi="宋体" w:cs="宋体" w:eastAsia="宋体" w:hint="default"/>
                <w:sz w:val="15"/>
                <w:szCs w:val="15"/>
              </w:rPr>
            </w:pPr>
            <w:r>
              <w:rPr>
                <w:rFonts w:ascii="宋体" w:hAnsi="宋体" w:cs="宋体" w:eastAsia="宋体" w:hint="default"/>
                <w:b/>
                <w:bCs/>
                <w:sz w:val="15"/>
                <w:szCs w:val="15"/>
              </w:rPr>
              <w:t>年初余额</w:t>
            </w:r>
            <w:r>
              <w:rPr>
                <w:rFonts w:ascii="宋体" w:hAnsi="宋体" w:cs="宋体" w:eastAsia="宋体" w:hint="default"/>
                <w:sz w:val="15"/>
                <w:szCs w:val="15"/>
              </w:rPr>
            </w:r>
          </w:p>
        </w:tc>
      </w:tr>
    </w:tbl>
    <w:p>
      <w:pPr>
        <w:spacing w:after="0" w:line="240" w:lineRule="auto"/>
        <w:jc w:val="right"/>
        <w:rPr>
          <w:rFonts w:ascii="宋体" w:hAnsi="宋体" w:cs="宋体" w:eastAsia="宋体" w:hint="default"/>
          <w:sz w:val="15"/>
          <w:szCs w:val="15"/>
        </w:rPr>
        <w:sectPr>
          <w:type w:val="continuous"/>
          <w:pgSz w:w="11910" w:h="16840"/>
          <w:pgMar w:top="1000" w:bottom="280" w:left="1460" w:right="1480"/>
        </w:sectPr>
      </w:pPr>
    </w:p>
    <w:p>
      <w:pPr>
        <w:spacing w:line="240" w:lineRule="auto" w:before="6"/>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1121"/>
        <w:gridCol w:w="1256"/>
        <w:gridCol w:w="1257"/>
        <w:gridCol w:w="1331"/>
        <w:gridCol w:w="1257"/>
        <w:gridCol w:w="1107"/>
        <w:gridCol w:w="1256"/>
      </w:tblGrid>
      <w:tr>
        <w:trPr>
          <w:trHeight w:val="295" w:hRule="exact"/>
        </w:trPr>
        <w:tc>
          <w:tcPr>
            <w:tcW w:w="1121" w:type="dxa"/>
            <w:tcBorders>
              <w:top w:val="single" w:sz="4" w:space="0" w:color="000000"/>
              <w:left w:val="nil" w:sz="6" w:space="0" w:color="auto"/>
              <w:bottom w:val="single" w:sz="4" w:space="0" w:color="000000"/>
              <w:right w:val="nil" w:sz="6" w:space="0" w:color="auto"/>
            </w:tcBorders>
          </w:tcPr>
          <w:p>
            <w:pPr/>
          </w:p>
        </w:tc>
        <w:tc>
          <w:tcPr>
            <w:tcW w:w="1256"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35" w:right="0"/>
              <w:jc w:val="center"/>
              <w:rPr>
                <w:rFonts w:ascii="宋体" w:hAnsi="宋体" w:cs="宋体" w:eastAsia="宋体" w:hint="default"/>
                <w:sz w:val="15"/>
                <w:szCs w:val="15"/>
              </w:rPr>
            </w:pPr>
            <w:r>
              <w:rPr>
                <w:rFonts w:ascii="宋体" w:hAnsi="宋体" w:cs="宋体" w:eastAsia="宋体" w:hint="default"/>
                <w:b/>
                <w:bCs/>
                <w:sz w:val="15"/>
                <w:szCs w:val="15"/>
              </w:rPr>
              <w:t>流动资产</w:t>
            </w:r>
            <w:r>
              <w:rPr>
                <w:rFonts w:ascii="宋体" w:hAnsi="宋体" w:cs="宋体" w:eastAsia="宋体" w:hint="default"/>
                <w:sz w:val="15"/>
                <w:szCs w:val="15"/>
              </w:rPr>
            </w:r>
          </w:p>
        </w:tc>
        <w:tc>
          <w:tcPr>
            <w:tcW w:w="1257"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290" w:right="0"/>
              <w:jc w:val="left"/>
              <w:rPr>
                <w:rFonts w:ascii="宋体" w:hAnsi="宋体" w:cs="宋体" w:eastAsia="宋体" w:hint="default"/>
                <w:sz w:val="15"/>
                <w:szCs w:val="15"/>
              </w:rPr>
            </w:pPr>
            <w:r>
              <w:rPr>
                <w:rFonts w:ascii="宋体" w:hAnsi="宋体" w:cs="宋体" w:eastAsia="宋体" w:hint="default"/>
                <w:b/>
                <w:bCs/>
                <w:sz w:val="15"/>
                <w:szCs w:val="15"/>
              </w:rPr>
              <w:t>非流动资产</w:t>
            </w:r>
            <w:r>
              <w:rPr>
                <w:rFonts w:ascii="宋体" w:hAnsi="宋体" w:cs="宋体" w:eastAsia="宋体" w:hint="default"/>
                <w:sz w:val="15"/>
                <w:szCs w:val="15"/>
              </w:rPr>
            </w:r>
          </w:p>
        </w:tc>
        <w:tc>
          <w:tcPr>
            <w:tcW w:w="1331"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370" w:right="0"/>
              <w:jc w:val="left"/>
              <w:rPr>
                <w:rFonts w:ascii="宋体" w:hAnsi="宋体" w:cs="宋体" w:eastAsia="宋体" w:hint="default"/>
                <w:sz w:val="15"/>
                <w:szCs w:val="15"/>
              </w:rPr>
            </w:pPr>
            <w:r>
              <w:rPr>
                <w:rFonts w:ascii="宋体" w:hAnsi="宋体" w:cs="宋体" w:eastAsia="宋体" w:hint="default"/>
                <w:b/>
                <w:bCs/>
                <w:sz w:val="15"/>
                <w:szCs w:val="15"/>
              </w:rPr>
              <w:t>资产合计</w:t>
            </w:r>
            <w:r>
              <w:rPr>
                <w:rFonts w:ascii="宋体" w:hAnsi="宋体" w:cs="宋体" w:eastAsia="宋体" w:hint="default"/>
                <w:sz w:val="15"/>
                <w:szCs w:val="15"/>
              </w:rPr>
            </w:r>
          </w:p>
        </w:tc>
        <w:tc>
          <w:tcPr>
            <w:tcW w:w="1257"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319" w:right="0"/>
              <w:jc w:val="left"/>
              <w:rPr>
                <w:rFonts w:ascii="宋体" w:hAnsi="宋体" w:cs="宋体" w:eastAsia="宋体" w:hint="default"/>
                <w:sz w:val="15"/>
                <w:szCs w:val="15"/>
              </w:rPr>
            </w:pPr>
            <w:r>
              <w:rPr>
                <w:rFonts w:ascii="宋体" w:hAnsi="宋体" w:cs="宋体" w:eastAsia="宋体" w:hint="default"/>
                <w:b/>
                <w:bCs/>
                <w:sz w:val="15"/>
                <w:szCs w:val="15"/>
              </w:rPr>
              <w:t>流动负债</w:t>
            </w:r>
            <w:r>
              <w:rPr>
                <w:rFonts w:ascii="宋体" w:hAnsi="宋体" w:cs="宋体" w:eastAsia="宋体" w:hint="default"/>
                <w:sz w:val="15"/>
                <w:szCs w:val="15"/>
              </w:rPr>
            </w:r>
          </w:p>
        </w:tc>
        <w:tc>
          <w:tcPr>
            <w:tcW w:w="1107"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183" w:right="0"/>
              <w:jc w:val="left"/>
              <w:rPr>
                <w:rFonts w:ascii="宋体" w:hAnsi="宋体" w:cs="宋体" w:eastAsia="宋体" w:hint="default"/>
                <w:sz w:val="15"/>
                <w:szCs w:val="15"/>
              </w:rPr>
            </w:pPr>
            <w:r>
              <w:rPr>
                <w:rFonts w:ascii="宋体" w:hAnsi="宋体" w:cs="宋体" w:eastAsia="宋体" w:hint="default"/>
                <w:b/>
                <w:bCs/>
                <w:sz w:val="15"/>
                <w:szCs w:val="15"/>
              </w:rPr>
              <w:t>非流动负债</w:t>
            </w:r>
            <w:r>
              <w:rPr>
                <w:rFonts w:ascii="宋体" w:hAnsi="宋体" w:cs="宋体" w:eastAsia="宋体" w:hint="default"/>
                <w:sz w:val="15"/>
                <w:szCs w:val="15"/>
              </w:rPr>
            </w:r>
          </w:p>
        </w:tc>
        <w:tc>
          <w:tcPr>
            <w:tcW w:w="1256"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325" w:right="0"/>
              <w:jc w:val="left"/>
              <w:rPr>
                <w:rFonts w:ascii="宋体" w:hAnsi="宋体" w:cs="宋体" w:eastAsia="宋体" w:hint="default"/>
                <w:sz w:val="15"/>
                <w:szCs w:val="15"/>
              </w:rPr>
            </w:pPr>
            <w:r>
              <w:rPr>
                <w:rFonts w:ascii="宋体" w:hAnsi="宋体" w:cs="宋体" w:eastAsia="宋体" w:hint="default"/>
                <w:b/>
                <w:bCs/>
                <w:sz w:val="15"/>
                <w:szCs w:val="15"/>
              </w:rPr>
              <w:t>负债合计</w:t>
            </w:r>
            <w:r>
              <w:rPr>
                <w:rFonts w:ascii="宋体" w:hAnsi="宋体" w:cs="宋体" w:eastAsia="宋体" w:hint="default"/>
                <w:sz w:val="15"/>
                <w:szCs w:val="15"/>
              </w:rPr>
            </w:r>
          </w:p>
        </w:tc>
      </w:tr>
      <w:tr>
        <w:trPr>
          <w:trHeight w:val="394" w:hRule="exact"/>
        </w:trPr>
        <w:tc>
          <w:tcPr>
            <w:tcW w:w="1121" w:type="dxa"/>
            <w:tcBorders>
              <w:top w:val="single" w:sz="4" w:space="0" w:color="000000"/>
              <w:left w:val="nil" w:sz="6" w:space="0" w:color="auto"/>
              <w:bottom w:val="nil" w:sz="6" w:space="0" w:color="auto"/>
              <w:right w:val="nil" w:sz="6" w:space="0" w:color="auto"/>
            </w:tcBorders>
          </w:tcPr>
          <w:p>
            <w:pPr>
              <w:pStyle w:val="TableParagraph"/>
              <w:spacing w:line="172" w:lineRule="exact"/>
              <w:ind w:left="40" w:right="0"/>
              <w:jc w:val="left"/>
              <w:rPr>
                <w:rFonts w:ascii="宋体" w:hAnsi="宋体" w:cs="宋体" w:eastAsia="宋体" w:hint="default"/>
                <w:sz w:val="15"/>
                <w:szCs w:val="15"/>
              </w:rPr>
            </w:pPr>
            <w:r>
              <w:rPr>
                <w:rFonts w:ascii="宋体" w:hAnsi="宋体" w:cs="宋体" w:eastAsia="宋体" w:hint="default"/>
                <w:sz w:val="15"/>
                <w:szCs w:val="15"/>
              </w:rPr>
              <w:t>同方泰德国际科</w:t>
            </w:r>
          </w:p>
          <w:p>
            <w:pPr>
              <w:pStyle w:val="TableParagraph"/>
              <w:spacing w:line="195" w:lineRule="exact"/>
              <w:ind w:left="40" w:right="0"/>
              <w:jc w:val="left"/>
              <w:rPr>
                <w:rFonts w:ascii="宋体" w:hAnsi="宋体" w:cs="宋体" w:eastAsia="宋体" w:hint="default"/>
                <w:sz w:val="15"/>
                <w:szCs w:val="15"/>
              </w:rPr>
            </w:pPr>
            <w:r>
              <w:rPr>
                <w:rFonts w:ascii="宋体" w:hAnsi="宋体" w:cs="宋体" w:eastAsia="宋体" w:hint="default"/>
                <w:sz w:val="15"/>
                <w:szCs w:val="15"/>
              </w:rPr>
              <w:t>技有限公司</w:t>
            </w:r>
          </w:p>
        </w:tc>
        <w:tc>
          <w:tcPr>
            <w:tcW w:w="125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0"/>
              <w:jc w:val="center"/>
              <w:rPr>
                <w:rFonts w:ascii="宋体" w:hAnsi="宋体" w:cs="宋体" w:eastAsia="宋体" w:hint="default"/>
                <w:sz w:val="15"/>
                <w:szCs w:val="15"/>
              </w:rPr>
            </w:pPr>
            <w:r>
              <w:rPr>
                <w:rFonts w:ascii="宋体"/>
                <w:sz w:val="15"/>
              </w:rPr>
              <w:t>3,187,836,407.21</w:t>
            </w:r>
          </w:p>
        </w:tc>
        <w:tc>
          <w:tcPr>
            <w:tcW w:w="1257"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5"/>
              <w:jc w:val="right"/>
              <w:rPr>
                <w:rFonts w:ascii="宋体" w:hAnsi="宋体" w:cs="宋体" w:eastAsia="宋体" w:hint="default"/>
                <w:sz w:val="15"/>
                <w:szCs w:val="15"/>
              </w:rPr>
            </w:pPr>
            <w:r>
              <w:rPr>
                <w:rFonts w:ascii="宋体"/>
                <w:spacing w:val="-1"/>
                <w:sz w:val="15"/>
              </w:rPr>
              <w:t>991,379,040.37</w:t>
            </w:r>
          </w:p>
        </w:tc>
        <w:tc>
          <w:tcPr>
            <w:tcW w:w="133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6"/>
              <w:jc w:val="right"/>
              <w:rPr>
                <w:rFonts w:ascii="宋体" w:hAnsi="宋体" w:cs="宋体" w:eastAsia="宋体" w:hint="default"/>
                <w:sz w:val="15"/>
                <w:szCs w:val="15"/>
              </w:rPr>
            </w:pPr>
            <w:r>
              <w:rPr>
                <w:rFonts w:ascii="宋体"/>
                <w:spacing w:val="-2"/>
                <w:sz w:val="15"/>
              </w:rPr>
              <w:t>4,179,215,447.58</w:t>
            </w:r>
          </w:p>
        </w:tc>
        <w:tc>
          <w:tcPr>
            <w:tcW w:w="1257"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5"/>
              <w:jc w:val="right"/>
              <w:rPr>
                <w:rFonts w:ascii="宋体" w:hAnsi="宋体" w:cs="宋体" w:eastAsia="宋体" w:hint="default"/>
                <w:sz w:val="15"/>
                <w:szCs w:val="15"/>
              </w:rPr>
            </w:pPr>
            <w:r>
              <w:rPr>
                <w:rFonts w:ascii="宋体"/>
                <w:spacing w:val="-2"/>
                <w:sz w:val="15"/>
              </w:rPr>
              <w:t>1,770,972,869.63</w:t>
            </w:r>
          </w:p>
        </w:tc>
        <w:tc>
          <w:tcPr>
            <w:tcW w:w="1107"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5"/>
              <w:jc w:val="right"/>
              <w:rPr>
                <w:rFonts w:ascii="宋体" w:hAnsi="宋体" w:cs="宋体" w:eastAsia="宋体" w:hint="default"/>
                <w:sz w:val="15"/>
                <w:szCs w:val="15"/>
              </w:rPr>
            </w:pPr>
            <w:r>
              <w:rPr>
                <w:rFonts w:ascii="宋体"/>
                <w:spacing w:val="-2"/>
                <w:sz w:val="15"/>
              </w:rPr>
              <w:t>34,201,610.30</w:t>
            </w:r>
          </w:p>
        </w:tc>
        <w:tc>
          <w:tcPr>
            <w:tcW w:w="125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6"/>
              <w:jc w:val="right"/>
              <w:rPr>
                <w:rFonts w:ascii="宋体" w:hAnsi="宋体" w:cs="宋体" w:eastAsia="宋体" w:hint="default"/>
                <w:sz w:val="15"/>
                <w:szCs w:val="15"/>
              </w:rPr>
            </w:pPr>
            <w:r>
              <w:rPr>
                <w:rFonts w:ascii="宋体"/>
                <w:spacing w:val="-2"/>
                <w:sz w:val="15"/>
              </w:rPr>
              <w:t>1,805,174,479.93</w:t>
            </w:r>
          </w:p>
        </w:tc>
      </w:tr>
      <w:tr>
        <w:trPr>
          <w:trHeight w:val="389" w:hRule="exact"/>
        </w:trPr>
        <w:tc>
          <w:tcPr>
            <w:tcW w:w="1121" w:type="dxa"/>
            <w:tcBorders>
              <w:top w:val="nil" w:sz="6" w:space="0" w:color="auto"/>
              <w:left w:val="nil" w:sz="6" w:space="0" w:color="auto"/>
              <w:bottom w:val="nil" w:sz="6" w:space="0" w:color="auto"/>
              <w:right w:val="nil" w:sz="6" w:space="0" w:color="auto"/>
            </w:tcBorders>
          </w:tcPr>
          <w:p>
            <w:pPr>
              <w:pStyle w:val="TableParagraph"/>
              <w:spacing w:line="172" w:lineRule="exact"/>
              <w:ind w:left="40" w:right="0"/>
              <w:jc w:val="left"/>
              <w:rPr>
                <w:rFonts w:ascii="宋体" w:hAnsi="宋体" w:cs="宋体" w:eastAsia="宋体" w:hint="default"/>
                <w:sz w:val="15"/>
                <w:szCs w:val="15"/>
              </w:rPr>
            </w:pPr>
            <w:r>
              <w:rPr>
                <w:rFonts w:ascii="宋体" w:hAnsi="宋体" w:cs="宋体" w:eastAsia="宋体" w:hint="default"/>
                <w:sz w:val="15"/>
                <w:szCs w:val="15"/>
              </w:rPr>
              <w:t>同方友友控股有</w:t>
            </w:r>
          </w:p>
          <w:p>
            <w:pPr>
              <w:pStyle w:val="TableParagraph"/>
              <w:spacing w:line="195" w:lineRule="exact"/>
              <w:ind w:left="40"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46" w:right="0"/>
              <w:jc w:val="center"/>
              <w:rPr>
                <w:rFonts w:ascii="宋体" w:hAnsi="宋体" w:cs="宋体" w:eastAsia="宋体" w:hint="default"/>
                <w:sz w:val="15"/>
                <w:szCs w:val="15"/>
              </w:rPr>
            </w:pPr>
            <w:r>
              <w:rPr>
                <w:rFonts w:ascii="宋体"/>
                <w:sz w:val="15"/>
              </w:rPr>
              <w:t>966,029,811.88</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spacing w:val="-1"/>
                <w:sz w:val="15"/>
              </w:rPr>
              <w:t>766,795,233.86</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
              <w:jc w:val="right"/>
              <w:rPr>
                <w:rFonts w:ascii="宋体" w:hAnsi="宋体" w:cs="宋体" w:eastAsia="宋体" w:hint="default"/>
                <w:sz w:val="15"/>
                <w:szCs w:val="15"/>
              </w:rPr>
            </w:pPr>
            <w:r>
              <w:rPr>
                <w:rFonts w:ascii="宋体"/>
                <w:spacing w:val="-2"/>
                <w:sz w:val="15"/>
              </w:rPr>
              <w:t>1,732,825,045.74</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spacing w:val="-1"/>
                <w:sz w:val="15"/>
              </w:rPr>
              <w:t>291,272,090.82</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spacing w:val="-2"/>
                <w:sz w:val="15"/>
              </w:rPr>
              <w:t>7,752,066.55</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
              <w:jc w:val="right"/>
              <w:rPr>
                <w:rFonts w:ascii="宋体" w:hAnsi="宋体" w:cs="宋体" w:eastAsia="宋体" w:hint="default"/>
                <w:sz w:val="15"/>
                <w:szCs w:val="15"/>
              </w:rPr>
            </w:pPr>
            <w:r>
              <w:rPr>
                <w:rFonts w:ascii="宋体"/>
                <w:spacing w:val="-1"/>
                <w:sz w:val="15"/>
              </w:rPr>
              <w:t>299,024,157.37</w:t>
            </w:r>
          </w:p>
        </w:tc>
      </w:tr>
      <w:tr>
        <w:trPr>
          <w:trHeight w:val="406" w:hRule="exact"/>
        </w:trPr>
        <w:tc>
          <w:tcPr>
            <w:tcW w:w="1121" w:type="dxa"/>
            <w:tcBorders>
              <w:top w:val="nil" w:sz="6" w:space="0" w:color="auto"/>
              <w:left w:val="nil" w:sz="6" w:space="0" w:color="auto"/>
              <w:bottom w:val="single" w:sz="12" w:space="0" w:color="000000"/>
              <w:right w:val="nil" w:sz="6" w:space="0" w:color="auto"/>
            </w:tcBorders>
          </w:tcPr>
          <w:p>
            <w:pPr>
              <w:pStyle w:val="TableParagraph"/>
              <w:spacing w:line="172" w:lineRule="exact"/>
              <w:ind w:left="40" w:right="0"/>
              <w:jc w:val="left"/>
              <w:rPr>
                <w:rFonts w:ascii="宋体" w:hAnsi="宋体" w:cs="宋体" w:eastAsia="宋体" w:hint="default"/>
                <w:sz w:val="15"/>
                <w:szCs w:val="15"/>
              </w:rPr>
            </w:pPr>
            <w:r>
              <w:rPr>
                <w:rFonts w:ascii="宋体" w:hAnsi="宋体" w:cs="宋体" w:eastAsia="宋体" w:hint="default"/>
                <w:sz w:val="15"/>
                <w:szCs w:val="15"/>
              </w:rPr>
              <w:t>同方威视技术股</w:t>
            </w:r>
          </w:p>
          <w:p>
            <w:pPr>
              <w:pStyle w:val="TableParagraph"/>
              <w:spacing w:line="195" w:lineRule="exact"/>
              <w:ind w:left="40" w:right="0"/>
              <w:jc w:val="left"/>
              <w:rPr>
                <w:rFonts w:ascii="宋体" w:hAnsi="宋体" w:cs="宋体" w:eastAsia="宋体" w:hint="default"/>
                <w:sz w:val="15"/>
                <w:szCs w:val="15"/>
              </w:rPr>
            </w:pPr>
            <w:r>
              <w:rPr>
                <w:rFonts w:ascii="宋体" w:hAnsi="宋体" w:cs="宋体" w:eastAsia="宋体" w:hint="default"/>
                <w:sz w:val="15"/>
                <w:szCs w:val="15"/>
              </w:rPr>
              <w:t>份有限公司</w:t>
            </w:r>
          </w:p>
        </w:tc>
        <w:tc>
          <w:tcPr>
            <w:tcW w:w="1256" w:type="dxa"/>
            <w:tcBorders>
              <w:top w:val="nil" w:sz="6" w:space="0" w:color="auto"/>
              <w:left w:val="nil" w:sz="6" w:space="0" w:color="auto"/>
              <w:bottom w:val="single" w:sz="12" w:space="0" w:color="000000"/>
              <w:right w:val="nil" w:sz="6" w:space="0" w:color="auto"/>
            </w:tcBorders>
          </w:tcPr>
          <w:p>
            <w:pPr>
              <w:pStyle w:val="TableParagraph"/>
              <w:spacing w:line="240" w:lineRule="auto" w:before="74"/>
              <w:ind w:right="0"/>
              <w:jc w:val="center"/>
              <w:rPr>
                <w:rFonts w:ascii="宋体" w:hAnsi="宋体" w:cs="宋体" w:eastAsia="宋体" w:hint="default"/>
                <w:sz w:val="15"/>
                <w:szCs w:val="15"/>
              </w:rPr>
            </w:pPr>
            <w:r>
              <w:rPr>
                <w:rFonts w:ascii="宋体"/>
                <w:sz w:val="15"/>
              </w:rPr>
              <w:t>8,287,501,254.48</w:t>
            </w:r>
          </w:p>
        </w:tc>
        <w:tc>
          <w:tcPr>
            <w:tcW w:w="1257" w:type="dxa"/>
            <w:tcBorders>
              <w:top w:val="nil" w:sz="6" w:space="0" w:color="auto"/>
              <w:left w:val="nil" w:sz="6" w:space="0" w:color="auto"/>
              <w:bottom w:val="single" w:sz="12" w:space="0" w:color="000000"/>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spacing w:val="-2"/>
                <w:sz w:val="15"/>
              </w:rPr>
              <w:t>2,040,788,119.48</w:t>
            </w:r>
          </w:p>
        </w:tc>
        <w:tc>
          <w:tcPr>
            <w:tcW w:w="1331" w:type="dxa"/>
            <w:tcBorders>
              <w:top w:val="nil" w:sz="6" w:space="0" w:color="auto"/>
              <w:left w:val="nil" w:sz="6" w:space="0" w:color="auto"/>
              <w:bottom w:val="single" w:sz="12" w:space="0" w:color="000000"/>
              <w:right w:val="nil" w:sz="6" w:space="0" w:color="auto"/>
            </w:tcBorders>
          </w:tcPr>
          <w:p>
            <w:pPr>
              <w:pStyle w:val="TableParagraph"/>
              <w:spacing w:line="240" w:lineRule="auto" w:before="74"/>
              <w:ind w:right="26"/>
              <w:jc w:val="right"/>
              <w:rPr>
                <w:rFonts w:ascii="宋体" w:hAnsi="宋体" w:cs="宋体" w:eastAsia="宋体" w:hint="default"/>
                <w:sz w:val="15"/>
                <w:szCs w:val="15"/>
              </w:rPr>
            </w:pPr>
            <w:r>
              <w:rPr>
                <w:rFonts w:ascii="宋体"/>
                <w:spacing w:val="-2"/>
                <w:sz w:val="15"/>
              </w:rPr>
              <w:t>10,328,289,373.96</w:t>
            </w:r>
          </w:p>
        </w:tc>
        <w:tc>
          <w:tcPr>
            <w:tcW w:w="1257" w:type="dxa"/>
            <w:tcBorders>
              <w:top w:val="nil" w:sz="6" w:space="0" w:color="auto"/>
              <w:left w:val="nil" w:sz="6" w:space="0" w:color="auto"/>
              <w:bottom w:val="single" w:sz="12" w:space="0" w:color="000000"/>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spacing w:val="-2"/>
                <w:sz w:val="15"/>
              </w:rPr>
              <w:t>6,643,494,606.90</w:t>
            </w:r>
          </w:p>
        </w:tc>
        <w:tc>
          <w:tcPr>
            <w:tcW w:w="1107" w:type="dxa"/>
            <w:tcBorders>
              <w:top w:val="nil" w:sz="6" w:space="0" w:color="auto"/>
              <w:left w:val="nil" w:sz="6" w:space="0" w:color="auto"/>
              <w:bottom w:val="single" w:sz="12" w:space="0" w:color="000000"/>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spacing w:val="-1"/>
                <w:sz w:val="15"/>
              </w:rPr>
              <w:t>343,109,837.35</w:t>
            </w:r>
          </w:p>
        </w:tc>
        <w:tc>
          <w:tcPr>
            <w:tcW w:w="1256" w:type="dxa"/>
            <w:tcBorders>
              <w:top w:val="nil" w:sz="6" w:space="0" w:color="auto"/>
              <w:left w:val="nil" w:sz="6" w:space="0" w:color="auto"/>
              <w:bottom w:val="single" w:sz="12" w:space="0" w:color="000000"/>
              <w:right w:val="nil" w:sz="6" w:space="0" w:color="auto"/>
            </w:tcBorders>
          </w:tcPr>
          <w:p>
            <w:pPr>
              <w:pStyle w:val="TableParagraph"/>
              <w:spacing w:line="240" w:lineRule="auto" w:before="74"/>
              <w:ind w:right="26"/>
              <w:jc w:val="right"/>
              <w:rPr>
                <w:rFonts w:ascii="宋体" w:hAnsi="宋体" w:cs="宋体" w:eastAsia="宋体" w:hint="default"/>
                <w:sz w:val="15"/>
                <w:szCs w:val="15"/>
              </w:rPr>
            </w:pPr>
            <w:r>
              <w:rPr>
                <w:rFonts w:ascii="宋体"/>
                <w:spacing w:val="-2"/>
                <w:sz w:val="15"/>
              </w:rPr>
              <w:t>6,986,604,444.25</w:t>
            </w:r>
          </w:p>
        </w:tc>
      </w:tr>
    </w:tbl>
    <w:p>
      <w:pPr>
        <w:spacing w:before="21"/>
        <w:ind w:left="162" w:right="105" w:firstLine="0"/>
        <w:jc w:val="left"/>
        <w:rPr>
          <w:rFonts w:ascii="宋体" w:hAnsi="宋体" w:cs="宋体" w:eastAsia="宋体" w:hint="default"/>
          <w:sz w:val="22"/>
          <w:szCs w:val="22"/>
        </w:rPr>
      </w:pPr>
      <w:r>
        <w:rPr>
          <w:rFonts w:ascii="宋体" w:hAnsi="宋体" w:cs="宋体" w:eastAsia="宋体" w:hint="default"/>
          <w:sz w:val="22"/>
          <w:szCs w:val="22"/>
        </w:rPr>
        <w:t>（续</w:t>
      </w:r>
      <w:r>
        <w:rPr>
          <w:rFonts w:ascii="宋体" w:hAnsi="宋体" w:cs="宋体" w:eastAsia="宋体" w:hint="default"/>
          <w:spacing w:val="-53"/>
          <w:sz w:val="22"/>
          <w:szCs w:val="22"/>
        </w:rPr>
        <w:t> </w:t>
      </w:r>
      <w:r>
        <w:rPr>
          <w:rFonts w:ascii="宋体" w:hAnsi="宋体" w:cs="宋体" w:eastAsia="宋体" w:hint="default"/>
          <w:sz w:val="22"/>
          <w:szCs w:val="22"/>
        </w:rPr>
        <w:t>2</w:t>
      </w:r>
      <w:r>
        <w:rPr>
          <w:rFonts w:ascii="宋体" w:hAnsi="宋体" w:cs="宋体" w:eastAsia="宋体" w:hint="default"/>
          <w:sz w:val="22"/>
          <w:szCs w:val="22"/>
        </w:rPr>
        <w:t>）</w:t>
      </w:r>
    </w:p>
    <w:p>
      <w:pPr>
        <w:spacing w:line="240" w:lineRule="auto" w:before="9"/>
        <w:rPr>
          <w:rFonts w:ascii="宋体" w:hAnsi="宋体" w:cs="宋体" w:eastAsia="宋体" w:hint="default"/>
          <w:sz w:val="12"/>
          <w:szCs w:val="12"/>
        </w:rPr>
      </w:pPr>
    </w:p>
    <w:p>
      <w:pPr>
        <w:spacing w:line="28" w:lineRule="exact"/>
        <w:ind w:left="1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29.7pt;height:1.45pt;mso-position-horizontal-relative:char;mso-position-vertical-relative:line" coordorigin="0,0" coordsize="8594,29">
            <v:group style="position:absolute;left:14;top:14;width:2566;height:2" coordorigin="14,14" coordsize="2566,2">
              <v:shape style="position:absolute;left:14;top:14;width:2566;height:2" coordorigin="14,14" coordsize="2566,0" path="m14,14l2580,14e" filled="false" stroked="true" strokeweight="1.44pt" strokecolor="#000000">
                <v:path arrowok="t"/>
              </v:shape>
            </v:group>
            <v:group style="position:absolute;left:2581;top:14;width:29;height:2" coordorigin="2581,14" coordsize="29,2">
              <v:shape style="position:absolute;left:2581;top:14;width:29;height:2" coordorigin="2581,14" coordsize="29,0" path="m2581,14l2609,14e" filled="false" stroked="true" strokeweight="1.44pt" strokecolor="#000000">
                <v:path arrowok="t"/>
              </v:shape>
            </v:group>
            <v:group style="position:absolute;left:2609;top:14;width:5970;height:2" coordorigin="2609,14" coordsize="5970,2">
              <v:shape style="position:absolute;left:2609;top:14;width:5970;height:2" coordorigin="2609,14" coordsize="5970,0" path="m2609,14l8579,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0" w:footer="1034" w:top="1320" w:bottom="1220" w:left="1540" w:right="1540"/>
        </w:sectPr>
      </w:pPr>
    </w:p>
    <w:p>
      <w:pPr>
        <w:spacing w:before="145"/>
        <w:ind w:left="162" w:right="0" w:firstLine="0"/>
        <w:jc w:val="left"/>
        <w:rPr>
          <w:rFonts w:ascii="宋体" w:hAnsi="宋体" w:cs="宋体" w:eastAsia="宋体" w:hint="default"/>
          <w:sz w:val="18"/>
          <w:szCs w:val="18"/>
        </w:rPr>
      </w:pPr>
      <w:r>
        <w:rPr/>
        <w:pict>
          <v:shape style="position:absolute;margin-left:83.664001pt;margin-top:14.641692pt;width:428.25pt;height:159.050pt;mso-position-horizontal-relative:page;mso-position-vertical-relative:paragraph;z-index:4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66"/>
                    <w:gridCol w:w="2214"/>
                    <w:gridCol w:w="2088"/>
                    <w:gridCol w:w="1696"/>
                  </w:tblGrid>
                  <w:tr>
                    <w:trPr>
                      <w:trHeight w:val="295" w:hRule="exact"/>
                    </w:trPr>
                    <w:tc>
                      <w:tcPr>
                        <w:tcW w:w="2566" w:type="dxa"/>
                        <w:tcBorders>
                          <w:top w:val="nil" w:sz="6" w:space="0" w:color="auto"/>
                          <w:left w:val="nil" w:sz="6" w:space="0" w:color="auto"/>
                          <w:bottom w:val="single" w:sz="4" w:space="0" w:color="000000"/>
                          <w:right w:val="nil" w:sz="6" w:space="0" w:color="auto"/>
                        </w:tcBorders>
                      </w:tcPr>
                      <w:p>
                        <w:pPr/>
                      </w:p>
                    </w:tc>
                    <w:tc>
                      <w:tcPr>
                        <w:tcW w:w="2214"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458"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2088"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241"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696"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332" w:right="0"/>
                          <w:jc w:val="left"/>
                          <w:rPr>
                            <w:rFonts w:ascii="宋体" w:hAnsi="宋体" w:cs="宋体" w:eastAsia="宋体" w:hint="default"/>
                            <w:sz w:val="18"/>
                            <w:szCs w:val="18"/>
                          </w:rPr>
                        </w:pPr>
                        <w:r>
                          <w:rPr>
                            <w:rFonts w:ascii="宋体" w:hAnsi="宋体" w:cs="宋体" w:eastAsia="宋体" w:hint="default"/>
                            <w:b/>
                            <w:bCs/>
                            <w:sz w:val="18"/>
                            <w:szCs w:val="18"/>
                          </w:rPr>
                          <w:t>利润总额</w:t>
                        </w:r>
                        <w:r>
                          <w:rPr>
                            <w:rFonts w:ascii="宋体" w:hAnsi="宋体" w:cs="宋体" w:eastAsia="宋体" w:hint="default"/>
                            <w:sz w:val="18"/>
                            <w:szCs w:val="18"/>
                          </w:rPr>
                        </w:r>
                      </w:p>
                    </w:tc>
                  </w:tr>
                  <w:tr>
                    <w:trPr>
                      <w:trHeight w:val="287" w:hRule="exact"/>
                    </w:trPr>
                    <w:tc>
                      <w:tcPr>
                        <w:tcW w:w="2566" w:type="dxa"/>
                        <w:tcBorders>
                          <w:top w:val="single" w:sz="4" w:space="0" w:color="000000"/>
                          <w:left w:val="nil" w:sz="6" w:space="0" w:color="auto"/>
                          <w:bottom w:val="nil" w:sz="6" w:space="0" w:color="auto"/>
                          <w:right w:val="nil" w:sz="6" w:space="0" w:color="auto"/>
                        </w:tcBorders>
                      </w:tcPr>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同方泰德国际科技有限公司</w:t>
                        </w:r>
                      </w:p>
                    </w:tc>
                    <w:tc>
                      <w:tcPr>
                        <w:tcW w:w="2214" w:type="dxa"/>
                        <w:tcBorders>
                          <w:top w:val="single" w:sz="4" w:space="0" w:color="000000"/>
                          <w:left w:val="nil" w:sz="6" w:space="0" w:color="auto"/>
                          <w:bottom w:val="nil" w:sz="6" w:space="0" w:color="auto"/>
                          <w:right w:val="nil" w:sz="6" w:space="0" w:color="auto"/>
                        </w:tcBorders>
                      </w:tcPr>
                      <w:p>
                        <w:pPr>
                          <w:pStyle w:val="TableParagraph"/>
                          <w:spacing w:line="229" w:lineRule="exact"/>
                          <w:ind w:right="239"/>
                          <w:jc w:val="right"/>
                          <w:rPr>
                            <w:rFonts w:ascii="宋体" w:hAnsi="宋体" w:cs="宋体" w:eastAsia="宋体" w:hint="default"/>
                            <w:sz w:val="18"/>
                            <w:szCs w:val="18"/>
                          </w:rPr>
                        </w:pPr>
                        <w:r>
                          <w:rPr>
                            <w:rFonts w:ascii="宋体"/>
                            <w:spacing w:val="-1"/>
                            <w:sz w:val="18"/>
                          </w:rPr>
                          <w:t>2,045,766,573.48</w:t>
                        </w:r>
                      </w:p>
                    </w:tc>
                    <w:tc>
                      <w:tcPr>
                        <w:tcW w:w="2088" w:type="dxa"/>
                        <w:tcBorders>
                          <w:top w:val="single" w:sz="4" w:space="0" w:color="000000"/>
                          <w:left w:val="nil" w:sz="6" w:space="0" w:color="auto"/>
                          <w:bottom w:val="nil" w:sz="6" w:space="0" w:color="auto"/>
                          <w:right w:val="nil" w:sz="6" w:space="0" w:color="auto"/>
                        </w:tcBorders>
                      </w:tcPr>
                      <w:p>
                        <w:pPr>
                          <w:pStyle w:val="TableParagraph"/>
                          <w:spacing w:line="229" w:lineRule="exact"/>
                          <w:ind w:right="330"/>
                          <w:jc w:val="right"/>
                          <w:rPr>
                            <w:rFonts w:ascii="宋体" w:hAnsi="宋体" w:cs="宋体" w:eastAsia="宋体" w:hint="default"/>
                            <w:sz w:val="18"/>
                            <w:szCs w:val="18"/>
                          </w:rPr>
                        </w:pPr>
                        <w:r>
                          <w:rPr>
                            <w:rFonts w:ascii="宋体"/>
                            <w:spacing w:val="-1"/>
                            <w:sz w:val="18"/>
                          </w:rPr>
                          <w:t>1,558,862,892.95</w:t>
                        </w:r>
                      </w:p>
                    </w:tc>
                    <w:tc>
                      <w:tcPr>
                        <w:tcW w:w="1696" w:type="dxa"/>
                        <w:tcBorders>
                          <w:top w:val="single" w:sz="4" w:space="0" w:color="000000"/>
                          <w:left w:val="nil" w:sz="6" w:space="0" w:color="auto"/>
                          <w:bottom w:val="nil" w:sz="6" w:space="0" w:color="auto"/>
                          <w:right w:val="nil" w:sz="6" w:space="0" w:color="auto"/>
                        </w:tcBorders>
                      </w:tcPr>
                      <w:p>
                        <w:pPr>
                          <w:pStyle w:val="TableParagraph"/>
                          <w:spacing w:line="229" w:lineRule="exact"/>
                          <w:ind w:right="26"/>
                          <w:jc w:val="right"/>
                          <w:rPr>
                            <w:rFonts w:ascii="宋体" w:hAnsi="宋体" w:cs="宋体" w:eastAsia="宋体" w:hint="default"/>
                            <w:sz w:val="18"/>
                            <w:szCs w:val="18"/>
                          </w:rPr>
                        </w:pPr>
                        <w:r>
                          <w:rPr>
                            <w:rFonts w:ascii="宋体"/>
                            <w:spacing w:val="-1"/>
                            <w:sz w:val="18"/>
                          </w:rPr>
                          <w:t>311,791,455.92</w:t>
                        </w:r>
                      </w:p>
                    </w:tc>
                  </w:tr>
                  <w:tr>
                    <w:trPr>
                      <w:trHeight w:val="286" w:hRule="exact"/>
                    </w:trPr>
                    <w:tc>
                      <w:tcPr>
                        <w:tcW w:w="2566" w:type="dxa"/>
                        <w:tcBorders>
                          <w:top w:val="nil" w:sz="6" w:space="0" w:color="auto"/>
                          <w:left w:val="nil" w:sz="6" w:space="0" w:color="auto"/>
                          <w:bottom w:val="nil" w:sz="6" w:space="0" w:color="auto"/>
                          <w:right w:val="nil" w:sz="6" w:space="0" w:color="auto"/>
                        </w:tcBorders>
                      </w:tcPr>
                      <w:p>
                        <w:pPr>
                          <w:pStyle w:val="TableParagraph"/>
                          <w:spacing w:line="233" w:lineRule="exact"/>
                          <w:ind w:left="28" w:right="0"/>
                          <w:jc w:val="left"/>
                          <w:rPr>
                            <w:rFonts w:ascii="宋体" w:hAnsi="宋体" w:cs="宋体" w:eastAsia="宋体" w:hint="default"/>
                            <w:sz w:val="18"/>
                            <w:szCs w:val="18"/>
                          </w:rPr>
                        </w:pPr>
                        <w:r>
                          <w:rPr>
                            <w:rFonts w:ascii="宋体" w:hAnsi="宋体" w:cs="宋体" w:eastAsia="宋体" w:hint="default"/>
                            <w:sz w:val="18"/>
                            <w:szCs w:val="18"/>
                          </w:rPr>
                          <w:t>同方友友控股有限公司</w:t>
                        </w:r>
                      </w:p>
                    </w:tc>
                    <w:tc>
                      <w:tcPr>
                        <w:tcW w:w="2214" w:type="dxa"/>
                        <w:tcBorders>
                          <w:top w:val="nil" w:sz="6" w:space="0" w:color="auto"/>
                          <w:left w:val="nil" w:sz="6" w:space="0" w:color="auto"/>
                          <w:bottom w:val="nil" w:sz="6" w:space="0" w:color="auto"/>
                          <w:right w:val="nil" w:sz="6" w:space="0" w:color="auto"/>
                        </w:tcBorders>
                      </w:tcPr>
                      <w:p>
                        <w:pPr>
                          <w:pStyle w:val="TableParagraph"/>
                          <w:spacing w:line="233" w:lineRule="exact"/>
                          <w:ind w:right="239"/>
                          <w:jc w:val="right"/>
                          <w:rPr>
                            <w:rFonts w:ascii="宋体" w:hAnsi="宋体" w:cs="宋体" w:eastAsia="宋体" w:hint="default"/>
                            <w:sz w:val="18"/>
                            <w:szCs w:val="18"/>
                          </w:rPr>
                        </w:pPr>
                        <w:r>
                          <w:rPr>
                            <w:rFonts w:ascii="宋体"/>
                            <w:spacing w:val="-1"/>
                            <w:sz w:val="18"/>
                          </w:rPr>
                          <w:t>692,559,349.01</w:t>
                        </w:r>
                      </w:p>
                    </w:tc>
                    <w:tc>
                      <w:tcPr>
                        <w:tcW w:w="2088" w:type="dxa"/>
                        <w:tcBorders>
                          <w:top w:val="nil" w:sz="6" w:space="0" w:color="auto"/>
                          <w:left w:val="nil" w:sz="6" w:space="0" w:color="auto"/>
                          <w:bottom w:val="nil" w:sz="6" w:space="0" w:color="auto"/>
                          <w:right w:val="nil" w:sz="6" w:space="0" w:color="auto"/>
                        </w:tcBorders>
                      </w:tcPr>
                      <w:p>
                        <w:pPr>
                          <w:pStyle w:val="TableParagraph"/>
                          <w:spacing w:line="233" w:lineRule="exact"/>
                          <w:ind w:right="330"/>
                          <w:jc w:val="right"/>
                          <w:rPr>
                            <w:rFonts w:ascii="宋体" w:hAnsi="宋体" w:cs="宋体" w:eastAsia="宋体" w:hint="default"/>
                            <w:sz w:val="18"/>
                            <w:szCs w:val="18"/>
                          </w:rPr>
                        </w:pPr>
                        <w:r>
                          <w:rPr>
                            <w:rFonts w:ascii="宋体"/>
                            <w:spacing w:val="-1"/>
                            <w:sz w:val="18"/>
                          </w:rPr>
                          <w:t>479,761,231.57</w:t>
                        </w:r>
                      </w:p>
                    </w:tc>
                    <w:tc>
                      <w:tcPr>
                        <w:tcW w:w="1696" w:type="dxa"/>
                        <w:tcBorders>
                          <w:top w:val="nil" w:sz="6" w:space="0" w:color="auto"/>
                          <w:left w:val="nil" w:sz="6" w:space="0" w:color="auto"/>
                          <w:bottom w:val="nil" w:sz="6" w:space="0" w:color="auto"/>
                          <w:right w:val="nil" w:sz="6" w:space="0" w:color="auto"/>
                        </w:tcBorders>
                      </w:tcPr>
                      <w:p>
                        <w:pPr>
                          <w:pStyle w:val="TableParagraph"/>
                          <w:spacing w:line="233" w:lineRule="exact"/>
                          <w:ind w:right="26"/>
                          <w:jc w:val="right"/>
                          <w:rPr>
                            <w:rFonts w:ascii="宋体" w:hAnsi="宋体" w:cs="宋体" w:eastAsia="宋体" w:hint="default"/>
                            <w:sz w:val="18"/>
                            <w:szCs w:val="18"/>
                          </w:rPr>
                        </w:pPr>
                        <w:r>
                          <w:rPr>
                            <w:rFonts w:ascii="宋体"/>
                            <w:spacing w:val="-1"/>
                            <w:sz w:val="18"/>
                          </w:rPr>
                          <w:t>139,181,807.05</w:t>
                        </w:r>
                      </w:p>
                    </w:tc>
                  </w:tr>
                  <w:tr>
                    <w:trPr>
                      <w:trHeight w:val="301" w:hRule="exact"/>
                    </w:trPr>
                    <w:tc>
                      <w:tcPr>
                        <w:tcW w:w="2566" w:type="dxa"/>
                        <w:tcBorders>
                          <w:top w:val="nil" w:sz="6" w:space="0" w:color="auto"/>
                          <w:left w:val="nil" w:sz="6" w:space="0" w:color="auto"/>
                          <w:bottom w:val="single" w:sz="12" w:space="0" w:color="000000"/>
                          <w:right w:val="nil" w:sz="6" w:space="0" w:color="auto"/>
                        </w:tcBorders>
                      </w:tcPr>
                      <w:p>
                        <w:pPr>
                          <w:pStyle w:val="TableParagraph"/>
                          <w:spacing w:line="233" w:lineRule="exact"/>
                          <w:ind w:left="28"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2214" w:type="dxa"/>
                        <w:tcBorders>
                          <w:top w:val="nil" w:sz="6" w:space="0" w:color="auto"/>
                          <w:left w:val="nil" w:sz="6" w:space="0" w:color="auto"/>
                          <w:bottom w:val="single" w:sz="12" w:space="0" w:color="000000"/>
                          <w:right w:val="nil" w:sz="6" w:space="0" w:color="auto"/>
                        </w:tcBorders>
                      </w:tcPr>
                      <w:p>
                        <w:pPr>
                          <w:pStyle w:val="TableParagraph"/>
                          <w:spacing w:line="233" w:lineRule="exact"/>
                          <w:ind w:right="239"/>
                          <w:jc w:val="right"/>
                          <w:rPr>
                            <w:rFonts w:ascii="宋体" w:hAnsi="宋体" w:cs="宋体" w:eastAsia="宋体" w:hint="default"/>
                            <w:sz w:val="18"/>
                            <w:szCs w:val="18"/>
                          </w:rPr>
                        </w:pPr>
                        <w:r>
                          <w:rPr>
                            <w:rFonts w:ascii="宋体"/>
                            <w:spacing w:val="-1"/>
                            <w:sz w:val="18"/>
                          </w:rPr>
                          <w:t>5,370,196,016.05</w:t>
                        </w:r>
                      </w:p>
                    </w:tc>
                    <w:tc>
                      <w:tcPr>
                        <w:tcW w:w="2088" w:type="dxa"/>
                        <w:tcBorders>
                          <w:top w:val="nil" w:sz="6" w:space="0" w:color="auto"/>
                          <w:left w:val="nil" w:sz="6" w:space="0" w:color="auto"/>
                          <w:bottom w:val="single" w:sz="12" w:space="0" w:color="000000"/>
                          <w:right w:val="nil" w:sz="6" w:space="0" w:color="auto"/>
                        </w:tcBorders>
                      </w:tcPr>
                      <w:p>
                        <w:pPr>
                          <w:pStyle w:val="TableParagraph"/>
                          <w:spacing w:line="233" w:lineRule="exact"/>
                          <w:ind w:right="330"/>
                          <w:jc w:val="right"/>
                          <w:rPr>
                            <w:rFonts w:ascii="宋体" w:hAnsi="宋体" w:cs="宋体" w:eastAsia="宋体" w:hint="default"/>
                            <w:sz w:val="18"/>
                            <w:szCs w:val="18"/>
                          </w:rPr>
                        </w:pPr>
                        <w:r>
                          <w:rPr>
                            <w:rFonts w:ascii="宋体"/>
                            <w:spacing w:val="-1"/>
                            <w:sz w:val="18"/>
                          </w:rPr>
                          <w:t>3,292,822,168.45</w:t>
                        </w:r>
                      </w:p>
                    </w:tc>
                    <w:tc>
                      <w:tcPr>
                        <w:tcW w:w="1696" w:type="dxa"/>
                        <w:tcBorders>
                          <w:top w:val="nil" w:sz="6" w:space="0" w:color="auto"/>
                          <w:left w:val="nil" w:sz="6" w:space="0" w:color="auto"/>
                          <w:bottom w:val="single" w:sz="12" w:space="0" w:color="000000"/>
                          <w:right w:val="nil" w:sz="6" w:space="0" w:color="auto"/>
                        </w:tcBorders>
                      </w:tcPr>
                      <w:p>
                        <w:pPr>
                          <w:pStyle w:val="TableParagraph"/>
                          <w:spacing w:line="233" w:lineRule="exact"/>
                          <w:ind w:right="26"/>
                          <w:jc w:val="right"/>
                          <w:rPr>
                            <w:rFonts w:ascii="宋体" w:hAnsi="宋体" w:cs="宋体" w:eastAsia="宋体" w:hint="default"/>
                            <w:sz w:val="18"/>
                            <w:szCs w:val="18"/>
                          </w:rPr>
                        </w:pPr>
                        <w:r>
                          <w:rPr>
                            <w:rFonts w:ascii="宋体"/>
                            <w:spacing w:val="-1"/>
                            <w:sz w:val="18"/>
                          </w:rPr>
                          <w:t>748,574,602.14</w:t>
                        </w:r>
                      </w:p>
                    </w:tc>
                  </w:tr>
                  <w:tr>
                    <w:trPr>
                      <w:trHeight w:val="506" w:hRule="exact"/>
                    </w:trPr>
                    <w:tc>
                      <w:tcPr>
                        <w:tcW w:w="2566" w:type="dxa"/>
                        <w:tcBorders>
                          <w:top w:val="single" w:sz="12" w:space="0" w:color="000000"/>
                          <w:left w:val="nil" w:sz="6" w:space="0" w:color="auto"/>
                          <w:bottom w:val="single" w:sz="12" w:space="0" w:color="000000"/>
                          <w:right w:val="nil" w:sz="6" w:space="0" w:color="auto"/>
                        </w:tcBorders>
                      </w:tcPr>
                      <w:p>
                        <w:pPr>
                          <w:pStyle w:val="TableParagraph"/>
                          <w:spacing w:line="240" w:lineRule="auto" w:before="21"/>
                          <w:ind w:left="28" w:right="0"/>
                          <w:jc w:val="left"/>
                          <w:rPr>
                            <w:rFonts w:ascii="宋体" w:hAnsi="宋体" w:cs="宋体" w:eastAsia="宋体" w:hint="default"/>
                            <w:sz w:val="22"/>
                            <w:szCs w:val="22"/>
                          </w:rPr>
                        </w:pPr>
                        <w:r>
                          <w:rPr>
                            <w:rFonts w:ascii="宋体" w:hAnsi="宋体" w:cs="宋体" w:eastAsia="宋体" w:hint="default"/>
                            <w:sz w:val="22"/>
                            <w:szCs w:val="22"/>
                          </w:rPr>
                          <w:t>（续</w:t>
                        </w:r>
                        <w:r>
                          <w:rPr>
                            <w:rFonts w:ascii="宋体" w:hAnsi="宋体" w:cs="宋体" w:eastAsia="宋体" w:hint="default"/>
                            <w:spacing w:val="-53"/>
                            <w:sz w:val="22"/>
                            <w:szCs w:val="22"/>
                          </w:rPr>
                          <w:t> </w:t>
                        </w:r>
                        <w:r>
                          <w:rPr>
                            <w:rFonts w:ascii="宋体" w:hAnsi="宋体" w:cs="宋体" w:eastAsia="宋体" w:hint="default"/>
                            <w:sz w:val="22"/>
                            <w:szCs w:val="22"/>
                          </w:rPr>
                          <w:t>3</w:t>
                        </w:r>
                        <w:r>
                          <w:rPr>
                            <w:rFonts w:ascii="宋体" w:hAnsi="宋体" w:cs="宋体" w:eastAsia="宋体" w:hint="default"/>
                            <w:sz w:val="22"/>
                            <w:szCs w:val="22"/>
                          </w:rPr>
                          <w:t>）</w:t>
                        </w:r>
                      </w:p>
                    </w:tc>
                    <w:tc>
                      <w:tcPr>
                        <w:tcW w:w="2214" w:type="dxa"/>
                        <w:tcBorders>
                          <w:top w:val="single" w:sz="12" w:space="0" w:color="000000"/>
                          <w:left w:val="nil" w:sz="6" w:space="0" w:color="auto"/>
                          <w:bottom w:val="single" w:sz="12" w:space="0" w:color="000000"/>
                          <w:right w:val="nil" w:sz="6" w:space="0" w:color="auto"/>
                        </w:tcBorders>
                      </w:tcPr>
                      <w:p>
                        <w:pPr/>
                      </w:p>
                    </w:tc>
                    <w:tc>
                      <w:tcPr>
                        <w:tcW w:w="2088" w:type="dxa"/>
                        <w:tcBorders>
                          <w:top w:val="single" w:sz="12" w:space="0" w:color="000000"/>
                          <w:left w:val="nil" w:sz="6" w:space="0" w:color="auto"/>
                          <w:bottom w:val="single" w:sz="12" w:space="0" w:color="000000"/>
                          <w:right w:val="nil" w:sz="6" w:space="0" w:color="auto"/>
                        </w:tcBorders>
                      </w:tcPr>
                      <w:p>
                        <w:pPr/>
                      </w:p>
                    </w:tc>
                    <w:tc>
                      <w:tcPr>
                        <w:tcW w:w="1696" w:type="dxa"/>
                        <w:tcBorders>
                          <w:top w:val="single" w:sz="12" w:space="0" w:color="000000"/>
                          <w:left w:val="nil" w:sz="6" w:space="0" w:color="auto"/>
                          <w:bottom w:val="single" w:sz="12" w:space="0" w:color="000000"/>
                          <w:right w:val="nil" w:sz="6" w:space="0" w:color="auto"/>
                        </w:tcBorders>
                      </w:tcPr>
                      <w:p>
                        <w:pPr/>
                      </w:p>
                    </w:tc>
                  </w:tr>
                  <w:tr>
                    <w:trPr>
                      <w:trHeight w:val="305" w:hRule="exact"/>
                    </w:trPr>
                    <w:tc>
                      <w:tcPr>
                        <w:tcW w:w="2566" w:type="dxa"/>
                        <w:tcBorders>
                          <w:top w:val="single" w:sz="12" w:space="0" w:color="000000"/>
                          <w:left w:val="nil" w:sz="6" w:space="0" w:color="auto"/>
                          <w:bottom w:val="nil" w:sz="6" w:space="0" w:color="auto"/>
                          <w:right w:val="nil" w:sz="6" w:space="0" w:color="auto"/>
                        </w:tcBorders>
                      </w:tcPr>
                      <w:p>
                        <w:pPr/>
                      </w:p>
                    </w:tc>
                    <w:tc>
                      <w:tcPr>
                        <w:tcW w:w="2214" w:type="dxa"/>
                        <w:tcBorders>
                          <w:top w:val="single" w:sz="12" w:space="0" w:color="000000"/>
                          <w:left w:val="nil" w:sz="6" w:space="0" w:color="auto"/>
                          <w:bottom w:val="single" w:sz="4" w:space="0" w:color="000000"/>
                          <w:right w:val="nil" w:sz="6" w:space="0" w:color="auto"/>
                        </w:tcBorders>
                      </w:tcPr>
                      <w:p>
                        <w:pPr/>
                      </w:p>
                    </w:tc>
                    <w:tc>
                      <w:tcPr>
                        <w:tcW w:w="208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3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1696" w:type="dxa"/>
                        <w:tcBorders>
                          <w:top w:val="single" w:sz="12" w:space="0" w:color="000000"/>
                          <w:left w:val="nil" w:sz="6" w:space="0" w:color="auto"/>
                          <w:bottom w:val="single" w:sz="4" w:space="0" w:color="000000"/>
                          <w:right w:val="nil" w:sz="6" w:space="0" w:color="auto"/>
                        </w:tcBorders>
                      </w:tcPr>
                      <w:p>
                        <w:pPr/>
                      </w:p>
                    </w:tc>
                  </w:tr>
                  <w:tr>
                    <w:trPr>
                      <w:trHeight w:val="295" w:hRule="exact"/>
                    </w:trPr>
                    <w:tc>
                      <w:tcPr>
                        <w:tcW w:w="2566" w:type="dxa"/>
                        <w:tcBorders>
                          <w:top w:val="nil" w:sz="6" w:space="0" w:color="auto"/>
                          <w:left w:val="nil" w:sz="6" w:space="0" w:color="auto"/>
                          <w:bottom w:val="single" w:sz="4" w:space="0" w:color="000000"/>
                          <w:right w:val="nil" w:sz="6" w:space="0" w:color="auto"/>
                        </w:tcBorders>
                      </w:tcPr>
                      <w:p>
                        <w:pPr/>
                      </w:p>
                    </w:tc>
                    <w:tc>
                      <w:tcPr>
                        <w:tcW w:w="2214" w:type="dxa"/>
                        <w:tcBorders>
                          <w:top w:val="nil" w:sz="6" w:space="0" w:color="auto"/>
                          <w:left w:val="nil" w:sz="6" w:space="0" w:color="auto"/>
                          <w:bottom w:val="single" w:sz="4" w:space="0" w:color="000000"/>
                          <w:right w:val="nil" w:sz="6" w:space="0" w:color="auto"/>
                        </w:tcBorders>
                      </w:tcPr>
                      <w:p>
                        <w:pPr>
                          <w:pStyle w:val="TableParagraph"/>
                          <w:spacing w:line="232" w:lineRule="exact"/>
                          <w:ind w:left="458"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2088" w:type="dxa"/>
                        <w:tcBorders>
                          <w:top w:val="nil" w:sz="6" w:space="0" w:color="auto"/>
                          <w:left w:val="nil" w:sz="6" w:space="0" w:color="auto"/>
                          <w:bottom w:val="single" w:sz="4" w:space="0" w:color="000000"/>
                          <w:right w:val="nil" w:sz="6" w:space="0" w:color="auto"/>
                        </w:tcBorders>
                      </w:tcPr>
                      <w:p>
                        <w:pPr>
                          <w:pStyle w:val="TableParagraph"/>
                          <w:spacing w:line="232" w:lineRule="exact"/>
                          <w:ind w:left="241"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696" w:type="dxa"/>
                        <w:tcBorders>
                          <w:top w:val="nil" w:sz="6" w:space="0" w:color="auto"/>
                          <w:left w:val="nil" w:sz="6" w:space="0" w:color="auto"/>
                          <w:bottom w:val="single" w:sz="4" w:space="0" w:color="000000"/>
                          <w:right w:val="nil" w:sz="6" w:space="0" w:color="auto"/>
                        </w:tcBorders>
                      </w:tcPr>
                      <w:p>
                        <w:pPr>
                          <w:pStyle w:val="TableParagraph"/>
                          <w:spacing w:line="232" w:lineRule="exact"/>
                          <w:ind w:left="332" w:right="0"/>
                          <w:jc w:val="left"/>
                          <w:rPr>
                            <w:rFonts w:ascii="宋体" w:hAnsi="宋体" w:cs="宋体" w:eastAsia="宋体" w:hint="default"/>
                            <w:sz w:val="18"/>
                            <w:szCs w:val="18"/>
                          </w:rPr>
                        </w:pPr>
                        <w:r>
                          <w:rPr>
                            <w:rFonts w:ascii="宋体" w:hAnsi="宋体" w:cs="宋体" w:eastAsia="宋体" w:hint="default"/>
                            <w:b/>
                            <w:bCs/>
                            <w:sz w:val="18"/>
                            <w:szCs w:val="18"/>
                          </w:rPr>
                          <w:t>利润总额</w:t>
                        </w:r>
                        <w:r>
                          <w:rPr>
                            <w:rFonts w:ascii="宋体" w:hAnsi="宋体" w:cs="宋体" w:eastAsia="宋体" w:hint="default"/>
                            <w:sz w:val="18"/>
                            <w:szCs w:val="18"/>
                          </w:rPr>
                        </w:r>
                      </w:p>
                    </w:tc>
                  </w:tr>
                  <w:tr>
                    <w:trPr>
                      <w:trHeight w:val="289" w:hRule="exact"/>
                    </w:trPr>
                    <w:tc>
                      <w:tcPr>
                        <w:tcW w:w="2566" w:type="dxa"/>
                        <w:tcBorders>
                          <w:top w:val="single" w:sz="4" w:space="0" w:color="000000"/>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同方泰德国际科技有限公司</w:t>
                        </w:r>
                      </w:p>
                    </w:tc>
                    <w:tc>
                      <w:tcPr>
                        <w:tcW w:w="2214" w:type="dxa"/>
                        <w:tcBorders>
                          <w:top w:val="single" w:sz="4" w:space="0" w:color="000000"/>
                          <w:left w:val="nil" w:sz="6" w:space="0" w:color="auto"/>
                          <w:bottom w:val="nil" w:sz="6" w:space="0" w:color="auto"/>
                          <w:right w:val="nil" w:sz="6" w:space="0" w:color="auto"/>
                        </w:tcBorders>
                      </w:tcPr>
                      <w:p>
                        <w:pPr>
                          <w:pStyle w:val="TableParagraph"/>
                          <w:spacing w:line="232" w:lineRule="exact"/>
                          <w:ind w:right="239"/>
                          <w:jc w:val="right"/>
                          <w:rPr>
                            <w:rFonts w:ascii="宋体" w:hAnsi="宋体" w:cs="宋体" w:eastAsia="宋体" w:hint="default"/>
                            <w:sz w:val="18"/>
                            <w:szCs w:val="18"/>
                          </w:rPr>
                        </w:pPr>
                        <w:r>
                          <w:rPr>
                            <w:rFonts w:ascii="宋体"/>
                            <w:spacing w:val="-1"/>
                            <w:sz w:val="18"/>
                          </w:rPr>
                          <w:t>2,022,874,441.20</w:t>
                        </w:r>
                      </w:p>
                    </w:tc>
                    <w:tc>
                      <w:tcPr>
                        <w:tcW w:w="2088" w:type="dxa"/>
                        <w:tcBorders>
                          <w:top w:val="single" w:sz="4" w:space="0" w:color="000000"/>
                          <w:left w:val="nil" w:sz="6" w:space="0" w:color="auto"/>
                          <w:bottom w:val="nil" w:sz="6" w:space="0" w:color="auto"/>
                          <w:right w:val="nil" w:sz="6" w:space="0" w:color="auto"/>
                        </w:tcBorders>
                      </w:tcPr>
                      <w:p>
                        <w:pPr>
                          <w:pStyle w:val="TableParagraph"/>
                          <w:spacing w:line="232" w:lineRule="exact"/>
                          <w:ind w:right="330"/>
                          <w:jc w:val="right"/>
                          <w:rPr>
                            <w:rFonts w:ascii="宋体" w:hAnsi="宋体" w:cs="宋体" w:eastAsia="宋体" w:hint="default"/>
                            <w:sz w:val="18"/>
                            <w:szCs w:val="18"/>
                          </w:rPr>
                        </w:pPr>
                        <w:r>
                          <w:rPr>
                            <w:rFonts w:ascii="宋体"/>
                            <w:spacing w:val="-1"/>
                            <w:sz w:val="18"/>
                          </w:rPr>
                          <w:t>1,526,819,694.59</w:t>
                        </w:r>
                      </w:p>
                    </w:tc>
                    <w:tc>
                      <w:tcPr>
                        <w:tcW w:w="1696" w:type="dxa"/>
                        <w:tcBorders>
                          <w:top w:val="single" w:sz="4" w:space="0" w:color="000000"/>
                          <w:left w:val="nil" w:sz="6" w:space="0" w:color="auto"/>
                          <w:bottom w:val="nil" w:sz="6" w:space="0" w:color="auto"/>
                          <w:right w:val="nil" w:sz="6" w:space="0" w:color="auto"/>
                        </w:tcBorders>
                      </w:tcPr>
                      <w:p>
                        <w:pPr>
                          <w:pStyle w:val="TableParagraph"/>
                          <w:spacing w:line="232" w:lineRule="exact"/>
                          <w:ind w:right="26"/>
                          <w:jc w:val="right"/>
                          <w:rPr>
                            <w:rFonts w:ascii="宋体" w:hAnsi="宋体" w:cs="宋体" w:eastAsia="宋体" w:hint="default"/>
                            <w:sz w:val="18"/>
                            <w:szCs w:val="18"/>
                          </w:rPr>
                        </w:pPr>
                        <w:r>
                          <w:rPr>
                            <w:rFonts w:ascii="宋体"/>
                            <w:spacing w:val="-1"/>
                            <w:sz w:val="18"/>
                          </w:rPr>
                          <w:t>293,740,866.93</w:t>
                        </w:r>
                      </w:p>
                    </w:tc>
                  </w:tr>
                  <w:tr>
                    <w:trPr>
                      <w:trHeight w:val="286" w:hRule="exact"/>
                    </w:trPr>
                    <w:tc>
                      <w:tcPr>
                        <w:tcW w:w="2566" w:type="dxa"/>
                        <w:tcBorders>
                          <w:top w:val="nil" w:sz="6" w:space="0" w:color="auto"/>
                          <w:left w:val="nil" w:sz="6" w:space="0" w:color="auto"/>
                          <w:bottom w:val="nil" w:sz="6" w:space="0" w:color="auto"/>
                          <w:right w:val="nil" w:sz="6" w:space="0" w:color="auto"/>
                        </w:tcBorders>
                      </w:tcPr>
                      <w:p>
                        <w:pPr>
                          <w:pStyle w:val="TableParagraph"/>
                          <w:spacing w:line="233" w:lineRule="exact"/>
                          <w:ind w:left="28" w:right="0"/>
                          <w:jc w:val="left"/>
                          <w:rPr>
                            <w:rFonts w:ascii="宋体" w:hAnsi="宋体" w:cs="宋体" w:eastAsia="宋体" w:hint="default"/>
                            <w:sz w:val="18"/>
                            <w:szCs w:val="18"/>
                          </w:rPr>
                        </w:pPr>
                        <w:r>
                          <w:rPr>
                            <w:rFonts w:ascii="宋体" w:hAnsi="宋体" w:cs="宋体" w:eastAsia="宋体" w:hint="default"/>
                            <w:sz w:val="18"/>
                            <w:szCs w:val="18"/>
                          </w:rPr>
                          <w:t>同方友友控股有限公司</w:t>
                        </w:r>
                      </w:p>
                    </w:tc>
                    <w:tc>
                      <w:tcPr>
                        <w:tcW w:w="2214" w:type="dxa"/>
                        <w:tcBorders>
                          <w:top w:val="nil" w:sz="6" w:space="0" w:color="auto"/>
                          <w:left w:val="nil" w:sz="6" w:space="0" w:color="auto"/>
                          <w:bottom w:val="nil" w:sz="6" w:space="0" w:color="auto"/>
                          <w:right w:val="nil" w:sz="6" w:space="0" w:color="auto"/>
                        </w:tcBorders>
                      </w:tcPr>
                      <w:p>
                        <w:pPr>
                          <w:pStyle w:val="TableParagraph"/>
                          <w:spacing w:line="233" w:lineRule="exact"/>
                          <w:ind w:right="239"/>
                          <w:jc w:val="right"/>
                          <w:rPr>
                            <w:rFonts w:ascii="宋体" w:hAnsi="宋体" w:cs="宋体" w:eastAsia="宋体" w:hint="default"/>
                            <w:sz w:val="18"/>
                            <w:szCs w:val="18"/>
                          </w:rPr>
                        </w:pPr>
                        <w:r>
                          <w:rPr>
                            <w:rFonts w:ascii="宋体"/>
                            <w:spacing w:val="-1"/>
                            <w:sz w:val="18"/>
                          </w:rPr>
                          <w:t>663,814,776.66</w:t>
                        </w:r>
                      </w:p>
                    </w:tc>
                    <w:tc>
                      <w:tcPr>
                        <w:tcW w:w="2088" w:type="dxa"/>
                        <w:tcBorders>
                          <w:top w:val="nil" w:sz="6" w:space="0" w:color="auto"/>
                          <w:left w:val="nil" w:sz="6" w:space="0" w:color="auto"/>
                          <w:bottom w:val="nil" w:sz="6" w:space="0" w:color="auto"/>
                          <w:right w:val="nil" w:sz="6" w:space="0" w:color="auto"/>
                        </w:tcBorders>
                      </w:tcPr>
                      <w:p>
                        <w:pPr>
                          <w:pStyle w:val="TableParagraph"/>
                          <w:spacing w:line="233" w:lineRule="exact"/>
                          <w:ind w:right="330"/>
                          <w:jc w:val="right"/>
                          <w:rPr>
                            <w:rFonts w:ascii="宋体" w:hAnsi="宋体" w:cs="宋体" w:eastAsia="宋体" w:hint="default"/>
                            <w:sz w:val="18"/>
                            <w:szCs w:val="18"/>
                          </w:rPr>
                        </w:pPr>
                        <w:r>
                          <w:rPr>
                            <w:rFonts w:ascii="宋体"/>
                            <w:spacing w:val="-1"/>
                            <w:sz w:val="18"/>
                          </w:rPr>
                          <w:t>451,172,200.22</w:t>
                        </w:r>
                      </w:p>
                    </w:tc>
                    <w:tc>
                      <w:tcPr>
                        <w:tcW w:w="1696" w:type="dxa"/>
                        <w:tcBorders>
                          <w:top w:val="nil" w:sz="6" w:space="0" w:color="auto"/>
                          <w:left w:val="nil" w:sz="6" w:space="0" w:color="auto"/>
                          <w:bottom w:val="nil" w:sz="6" w:space="0" w:color="auto"/>
                          <w:right w:val="nil" w:sz="6" w:space="0" w:color="auto"/>
                        </w:tcBorders>
                      </w:tcPr>
                      <w:p>
                        <w:pPr>
                          <w:pStyle w:val="TableParagraph"/>
                          <w:spacing w:line="233" w:lineRule="exact"/>
                          <w:ind w:right="26"/>
                          <w:jc w:val="right"/>
                          <w:rPr>
                            <w:rFonts w:ascii="宋体" w:hAnsi="宋体" w:cs="宋体" w:eastAsia="宋体" w:hint="default"/>
                            <w:sz w:val="18"/>
                            <w:szCs w:val="18"/>
                          </w:rPr>
                        </w:pPr>
                        <w:r>
                          <w:rPr>
                            <w:rFonts w:ascii="宋体"/>
                            <w:spacing w:val="-1"/>
                            <w:sz w:val="18"/>
                          </w:rPr>
                          <w:t>15,727,015.02</w:t>
                        </w:r>
                      </w:p>
                    </w:tc>
                  </w:tr>
                  <w:tr>
                    <w:trPr>
                      <w:trHeight w:val="301" w:hRule="exact"/>
                    </w:trPr>
                    <w:tc>
                      <w:tcPr>
                        <w:tcW w:w="2566" w:type="dxa"/>
                        <w:tcBorders>
                          <w:top w:val="nil" w:sz="6" w:space="0" w:color="auto"/>
                          <w:left w:val="nil" w:sz="6" w:space="0" w:color="auto"/>
                          <w:bottom w:val="single" w:sz="12" w:space="0" w:color="000000"/>
                          <w:right w:val="nil" w:sz="6" w:space="0" w:color="auto"/>
                        </w:tcBorders>
                      </w:tcPr>
                      <w:p>
                        <w:pPr>
                          <w:pStyle w:val="TableParagraph"/>
                          <w:spacing w:line="233" w:lineRule="exact"/>
                          <w:ind w:left="28"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2214" w:type="dxa"/>
                        <w:tcBorders>
                          <w:top w:val="nil" w:sz="6" w:space="0" w:color="auto"/>
                          <w:left w:val="nil" w:sz="6" w:space="0" w:color="auto"/>
                          <w:bottom w:val="single" w:sz="12" w:space="0" w:color="000000"/>
                          <w:right w:val="nil" w:sz="6" w:space="0" w:color="auto"/>
                        </w:tcBorders>
                      </w:tcPr>
                      <w:p>
                        <w:pPr>
                          <w:pStyle w:val="TableParagraph"/>
                          <w:spacing w:line="233" w:lineRule="exact"/>
                          <w:ind w:right="239"/>
                          <w:jc w:val="right"/>
                          <w:rPr>
                            <w:rFonts w:ascii="宋体" w:hAnsi="宋体" w:cs="宋体" w:eastAsia="宋体" w:hint="default"/>
                            <w:sz w:val="18"/>
                            <w:szCs w:val="18"/>
                          </w:rPr>
                        </w:pPr>
                        <w:r>
                          <w:rPr>
                            <w:rFonts w:ascii="宋体"/>
                            <w:spacing w:val="-1"/>
                            <w:sz w:val="18"/>
                          </w:rPr>
                          <w:t>5,000,821,217.29</w:t>
                        </w:r>
                      </w:p>
                    </w:tc>
                    <w:tc>
                      <w:tcPr>
                        <w:tcW w:w="2088" w:type="dxa"/>
                        <w:tcBorders>
                          <w:top w:val="nil" w:sz="6" w:space="0" w:color="auto"/>
                          <w:left w:val="nil" w:sz="6" w:space="0" w:color="auto"/>
                          <w:bottom w:val="single" w:sz="12" w:space="0" w:color="000000"/>
                          <w:right w:val="nil" w:sz="6" w:space="0" w:color="auto"/>
                        </w:tcBorders>
                      </w:tcPr>
                      <w:p>
                        <w:pPr>
                          <w:pStyle w:val="TableParagraph"/>
                          <w:spacing w:line="233" w:lineRule="exact"/>
                          <w:ind w:right="330"/>
                          <w:jc w:val="right"/>
                          <w:rPr>
                            <w:rFonts w:ascii="宋体" w:hAnsi="宋体" w:cs="宋体" w:eastAsia="宋体" w:hint="default"/>
                            <w:sz w:val="18"/>
                            <w:szCs w:val="18"/>
                          </w:rPr>
                        </w:pPr>
                        <w:r>
                          <w:rPr>
                            <w:rFonts w:ascii="宋体"/>
                            <w:spacing w:val="-1"/>
                            <w:sz w:val="18"/>
                          </w:rPr>
                          <w:t>3,097,099,146.68</w:t>
                        </w:r>
                      </w:p>
                    </w:tc>
                    <w:tc>
                      <w:tcPr>
                        <w:tcW w:w="1696" w:type="dxa"/>
                        <w:tcBorders>
                          <w:top w:val="nil" w:sz="6" w:space="0" w:color="auto"/>
                          <w:left w:val="nil" w:sz="6" w:space="0" w:color="auto"/>
                          <w:bottom w:val="single" w:sz="12" w:space="0" w:color="000000"/>
                          <w:right w:val="nil" w:sz="6" w:space="0" w:color="auto"/>
                        </w:tcBorders>
                      </w:tcPr>
                      <w:p>
                        <w:pPr>
                          <w:pStyle w:val="TableParagraph"/>
                          <w:spacing w:line="233" w:lineRule="exact"/>
                          <w:ind w:right="26"/>
                          <w:jc w:val="right"/>
                          <w:rPr>
                            <w:rFonts w:ascii="宋体" w:hAnsi="宋体" w:cs="宋体" w:eastAsia="宋体" w:hint="default"/>
                            <w:sz w:val="18"/>
                            <w:szCs w:val="18"/>
                          </w:rPr>
                        </w:pPr>
                        <w:r>
                          <w:rPr>
                            <w:rFonts w:ascii="宋体"/>
                            <w:spacing w:val="-1"/>
                            <w:sz w:val="18"/>
                          </w:rPr>
                          <w:t>692,586,139.91</w:t>
                        </w:r>
                      </w:p>
                    </w:tc>
                  </w:tr>
                </w:tbl>
                <w:p>
                  <w:pPr/>
                </w:p>
              </w:txbxContent>
            </v:textbox>
            <w10:wrap type="none"/>
          </v:shape>
        </w:pict>
      </w:r>
      <w:r>
        <w:rPr>
          <w:rFonts w:ascii="宋体" w:hAnsi="宋体" w:cs="宋体" w:eastAsia="宋体" w:hint="default"/>
          <w:b/>
          <w:bCs/>
          <w:w w:val="95"/>
          <w:sz w:val="18"/>
          <w:szCs w:val="18"/>
        </w:rPr>
        <w:t>子公司名称</w:t>
      </w:r>
      <w:r>
        <w:rPr>
          <w:rFonts w:ascii="宋体" w:hAnsi="宋体" w:cs="宋体" w:eastAsia="宋体" w:hint="default"/>
          <w:sz w:val="18"/>
          <w:szCs w:val="18"/>
        </w:rPr>
      </w:r>
    </w:p>
    <w:p>
      <w:pPr>
        <w:spacing w:line="235" w:lineRule="exact" w:before="0"/>
        <w:ind w:left="162"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本年发生额</w:t>
      </w:r>
      <w:r>
        <w:rPr>
          <w:rFonts w:ascii="宋体" w:hAnsi="宋体" w:cs="宋体" w:eastAsia="宋体" w:hint="default"/>
          <w:sz w:val="18"/>
          <w:szCs w:val="18"/>
        </w:rPr>
      </w:r>
    </w:p>
    <w:p>
      <w:pPr>
        <w:spacing w:after="0" w:line="235" w:lineRule="exact"/>
        <w:jc w:val="left"/>
        <w:rPr>
          <w:rFonts w:ascii="宋体" w:hAnsi="宋体" w:cs="宋体" w:eastAsia="宋体" w:hint="default"/>
          <w:sz w:val="18"/>
          <w:szCs w:val="18"/>
        </w:rPr>
        <w:sectPr>
          <w:type w:val="continuous"/>
          <w:pgSz w:w="11910" w:h="16840"/>
          <w:pgMar w:top="1000" w:bottom="280" w:left="1540" w:right="1540"/>
          <w:cols w:num="2" w:equalWidth="0">
            <w:col w:w="1065" w:space="4022"/>
            <w:col w:w="3743"/>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3"/>
          <w:szCs w:val="13"/>
        </w:rPr>
      </w:pPr>
    </w:p>
    <w:p>
      <w:pPr>
        <w:spacing w:before="0"/>
        <w:ind w:left="162" w:right="105" w:firstLine="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7"/>
          <w:szCs w:val="27"/>
        </w:rPr>
      </w:pPr>
    </w:p>
    <w:p>
      <w:pPr>
        <w:spacing w:before="32"/>
        <w:ind w:left="615" w:right="105"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在合营企业或联营企业中的权益</w:t>
      </w:r>
    </w:p>
    <w:p>
      <w:pPr>
        <w:spacing w:before="113"/>
        <w:ind w:left="615" w:right="105"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10"/>
          <w:sz w:val="22"/>
          <w:szCs w:val="22"/>
        </w:rPr>
        <w:t> </w:t>
      </w:r>
      <w:r>
        <w:rPr>
          <w:rFonts w:ascii="宋体" w:hAnsi="宋体" w:cs="宋体" w:eastAsia="宋体" w:hint="default"/>
          <w:sz w:val="22"/>
          <w:szCs w:val="22"/>
        </w:rPr>
        <w:t>合营企业或联营企业</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319"/>
        <w:gridCol w:w="607"/>
        <w:gridCol w:w="598"/>
        <w:gridCol w:w="700"/>
        <w:gridCol w:w="4338"/>
      </w:tblGrid>
      <w:tr>
        <w:trPr>
          <w:trHeight w:val="410" w:hRule="exact"/>
        </w:trPr>
        <w:tc>
          <w:tcPr>
            <w:tcW w:w="2319" w:type="dxa"/>
            <w:tcBorders>
              <w:top w:val="single" w:sz="12" w:space="0" w:color="000000"/>
              <w:left w:val="nil" w:sz="6" w:space="0" w:color="auto"/>
              <w:bottom w:val="single" w:sz="4" w:space="0" w:color="000000"/>
              <w:right w:val="nil" w:sz="6" w:space="0" w:color="auto"/>
            </w:tcBorders>
          </w:tcPr>
          <w:p>
            <w:pPr>
              <w:pStyle w:val="TableParagraph"/>
              <w:spacing w:line="240" w:lineRule="auto" w:before="74"/>
              <w:ind w:left="633" w:right="0"/>
              <w:jc w:val="left"/>
              <w:rPr>
                <w:rFonts w:ascii="宋体" w:hAnsi="宋体" w:cs="宋体" w:eastAsia="宋体" w:hint="default"/>
                <w:sz w:val="15"/>
                <w:szCs w:val="15"/>
              </w:rPr>
            </w:pPr>
            <w:r>
              <w:rPr>
                <w:rFonts w:ascii="宋体" w:hAnsi="宋体" w:cs="宋体" w:eastAsia="宋体" w:hint="default"/>
                <w:b/>
                <w:bCs/>
                <w:sz w:val="15"/>
                <w:szCs w:val="15"/>
              </w:rPr>
              <w:t>被投资企业名称</w:t>
            </w:r>
            <w:r>
              <w:rPr>
                <w:rFonts w:ascii="宋体" w:hAnsi="宋体" w:cs="宋体" w:eastAsia="宋体" w:hint="default"/>
                <w:sz w:val="15"/>
                <w:szCs w:val="15"/>
              </w:rPr>
            </w:r>
          </w:p>
        </w:tc>
        <w:tc>
          <w:tcPr>
            <w:tcW w:w="607" w:type="dxa"/>
            <w:tcBorders>
              <w:top w:val="single" w:sz="12" w:space="0" w:color="000000"/>
              <w:left w:val="nil" w:sz="6" w:space="0" w:color="auto"/>
              <w:bottom w:val="single" w:sz="4" w:space="0" w:color="000000"/>
              <w:right w:val="nil" w:sz="6" w:space="0" w:color="auto"/>
            </w:tcBorders>
          </w:tcPr>
          <w:p>
            <w:pPr>
              <w:pStyle w:val="TableParagraph"/>
              <w:spacing w:line="174" w:lineRule="exact"/>
              <w:ind w:right="4"/>
              <w:jc w:val="center"/>
              <w:rPr>
                <w:rFonts w:ascii="宋体" w:hAnsi="宋体" w:cs="宋体" w:eastAsia="宋体" w:hint="default"/>
                <w:sz w:val="15"/>
                <w:szCs w:val="15"/>
              </w:rPr>
            </w:pPr>
            <w:r>
              <w:rPr>
                <w:rFonts w:ascii="宋体" w:hAnsi="宋体" w:cs="宋体" w:eastAsia="宋体" w:hint="default"/>
                <w:b/>
                <w:bCs/>
                <w:sz w:val="15"/>
                <w:szCs w:val="15"/>
              </w:rPr>
              <w:t>表决</w:t>
            </w:r>
            <w:r>
              <w:rPr>
                <w:rFonts w:ascii="宋体" w:hAnsi="宋体" w:cs="宋体" w:eastAsia="宋体" w:hint="default"/>
                <w:sz w:val="15"/>
                <w:szCs w:val="15"/>
              </w:rPr>
            </w:r>
          </w:p>
          <w:p>
            <w:pPr>
              <w:pStyle w:val="TableParagraph"/>
              <w:spacing w:line="195" w:lineRule="exact"/>
              <w:ind w:right="6"/>
              <w:jc w:val="center"/>
              <w:rPr>
                <w:rFonts w:ascii="宋体" w:hAnsi="宋体" w:cs="宋体" w:eastAsia="宋体" w:hint="default"/>
                <w:sz w:val="15"/>
                <w:szCs w:val="15"/>
              </w:rPr>
            </w:pPr>
            <w:r>
              <w:rPr>
                <w:rFonts w:ascii="宋体" w:hAnsi="宋体" w:cs="宋体" w:eastAsia="宋体" w:hint="default"/>
                <w:b/>
                <w:bCs/>
                <w:w w:val="100"/>
                <w:sz w:val="15"/>
                <w:szCs w:val="15"/>
              </w:rPr>
              <w:t>权</w:t>
            </w:r>
            <w:r>
              <w:rPr>
                <w:rFonts w:ascii="宋体" w:hAnsi="宋体" w:cs="宋体" w:eastAsia="宋体" w:hint="default"/>
                <w:w w:val="100"/>
                <w:sz w:val="15"/>
                <w:szCs w:val="15"/>
              </w:rPr>
            </w:r>
          </w:p>
        </w:tc>
        <w:tc>
          <w:tcPr>
            <w:tcW w:w="598" w:type="dxa"/>
            <w:tcBorders>
              <w:top w:val="single" w:sz="12" w:space="0" w:color="000000"/>
              <w:left w:val="nil" w:sz="6" w:space="0" w:color="auto"/>
              <w:bottom w:val="single" w:sz="4" w:space="0" w:color="000000"/>
              <w:right w:val="nil" w:sz="6" w:space="0" w:color="auto"/>
            </w:tcBorders>
          </w:tcPr>
          <w:p>
            <w:pPr>
              <w:pStyle w:val="TableParagraph"/>
              <w:spacing w:line="174" w:lineRule="exact"/>
              <w:ind w:left="197" w:right="0" w:hanging="75"/>
              <w:jc w:val="left"/>
              <w:rPr>
                <w:rFonts w:ascii="宋体" w:hAnsi="宋体" w:cs="宋体" w:eastAsia="宋体" w:hint="default"/>
                <w:sz w:val="15"/>
                <w:szCs w:val="15"/>
              </w:rPr>
            </w:pPr>
            <w:r>
              <w:rPr>
                <w:rFonts w:ascii="宋体" w:hAnsi="宋体" w:cs="宋体" w:eastAsia="宋体" w:hint="default"/>
                <w:b/>
                <w:bCs/>
                <w:sz w:val="15"/>
                <w:szCs w:val="15"/>
              </w:rPr>
              <w:t>投票</w:t>
            </w:r>
            <w:r>
              <w:rPr>
                <w:rFonts w:ascii="宋体" w:hAnsi="宋体" w:cs="宋体" w:eastAsia="宋体" w:hint="default"/>
                <w:sz w:val="15"/>
                <w:szCs w:val="15"/>
              </w:rPr>
            </w:r>
          </w:p>
          <w:p>
            <w:pPr>
              <w:pStyle w:val="TableParagraph"/>
              <w:spacing w:line="195" w:lineRule="exact"/>
              <w:ind w:left="197" w:right="0"/>
              <w:jc w:val="left"/>
              <w:rPr>
                <w:rFonts w:ascii="宋体" w:hAnsi="宋体" w:cs="宋体" w:eastAsia="宋体" w:hint="default"/>
                <w:sz w:val="15"/>
                <w:szCs w:val="15"/>
              </w:rPr>
            </w:pPr>
            <w:r>
              <w:rPr>
                <w:rFonts w:ascii="宋体" w:hAnsi="宋体" w:cs="宋体" w:eastAsia="宋体" w:hint="default"/>
                <w:b/>
                <w:bCs/>
                <w:w w:val="100"/>
                <w:sz w:val="15"/>
                <w:szCs w:val="15"/>
              </w:rPr>
              <w:t>权</w:t>
            </w:r>
            <w:r>
              <w:rPr>
                <w:rFonts w:ascii="宋体" w:hAnsi="宋体" w:cs="宋体" w:eastAsia="宋体" w:hint="default"/>
                <w:w w:val="100"/>
                <w:sz w:val="15"/>
                <w:szCs w:val="15"/>
              </w:rPr>
            </w:r>
          </w:p>
        </w:tc>
        <w:tc>
          <w:tcPr>
            <w:tcW w:w="700" w:type="dxa"/>
            <w:tcBorders>
              <w:top w:val="single" w:sz="12" w:space="0" w:color="000000"/>
              <w:left w:val="nil" w:sz="6" w:space="0" w:color="auto"/>
              <w:bottom w:val="single" w:sz="4" w:space="0" w:color="000000"/>
              <w:right w:val="nil" w:sz="6" w:space="0" w:color="auto"/>
            </w:tcBorders>
          </w:tcPr>
          <w:p>
            <w:pPr>
              <w:pStyle w:val="TableParagraph"/>
              <w:spacing w:line="174" w:lineRule="exact"/>
              <w:ind w:right="14"/>
              <w:jc w:val="center"/>
              <w:rPr>
                <w:rFonts w:ascii="宋体" w:hAnsi="宋体" w:cs="宋体" w:eastAsia="宋体" w:hint="default"/>
                <w:sz w:val="15"/>
                <w:szCs w:val="15"/>
              </w:rPr>
            </w:pPr>
            <w:r>
              <w:rPr>
                <w:rFonts w:ascii="宋体" w:hAnsi="宋体" w:cs="宋体" w:eastAsia="宋体" w:hint="default"/>
                <w:b/>
                <w:bCs/>
                <w:sz w:val="15"/>
                <w:szCs w:val="15"/>
              </w:rPr>
              <w:t>注册地</w:t>
            </w:r>
            <w:r>
              <w:rPr>
                <w:rFonts w:ascii="宋体" w:hAnsi="宋体" w:cs="宋体" w:eastAsia="宋体" w:hint="default"/>
                <w:sz w:val="15"/>
                <w:szCs w:val="15"/>
              </w:rPr>
            </w:r>
          </w:p>
          <w:p>
            <w:pPr>
              <w:pStyle w:val="TableParagraph"/>
              <w:spacing w:line="195" w:lineRule="exact"/>
              <w:ind w:right="14"/>
              <w:jc w:val="center"/>
              <w:rPr>
                <w:rFonts w:ascii="宋体" w:hAnsi="宋体" w:cs="宋体" w:eastAsia="宋体" w:hint="default"/>
                <w:sz w:val="15"/>
                <w:szCs w:val="15"/>
              </w:rPr>
            </w:pPr>
            <w:r>
              <w:rPr>
                <w:rFonts w:ascii="宋体" w:hAnsi="宋体" w:cs="宋体" w:eastAsia="宋体" w:hint="default"/>
                <w:b/>
                <w:bCs/>
                <w:w w:val="100"/>
                <w:sz w:val="15"/>
                <w:szCs w:val="15"/>
              </w:rPr>
              <w:t>址</w:t>
            </w:r>
            <w:r>
              <w:rPr>
                <w:rFonts w:ascii="宋体" w:hAnsi="宋体" w:cs="宋体" w:eastAsia="宋体" w:hint="default"/>
                <w:w w:val="100"/>
                <w:sz w:val="15"/>
                <w:szCs w:val="15"/>
              </w:rPr>
            </w:r>
          </w:p>
        </w:tc>
        <w:tc>
          <w:tcPr>
            <w:tcW w:w="4338" w:type="dxa"/>
            <w:tcBorders>
              <w:top w:val="single" w:sz="12" w:space="0" w:color="000000"/>
              <w:left w:val="nil" w:sz="6" w:space="0" w:color="auto"/>
              <w:bottom w:val="single" w:sz="4" w:space="0" w:color="000000"/>
              <w:right w:val="nil" w:sz="6" w:space="0" w:color="auto"/>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b/>
                <w:bCs/>
                <w:sz w:val="15"/>
                <w:szCs w:val="15"/>
              </w:rPr>
              <w:t>主营业务</w:t>
            </w:r>
            <w:r>
              <w:rPr>
                <w:rFonts w:ascii="宋体" w:hAnsi="宋体" w:cs="宋体" w:eastAsia="宋体" w:hint="default"/>
                <w:sz w:val="15"/>
                <w:szCs w:val="15"/>
              </w:rPr>
            </w:r>
          </w:p>
        </w:tc>
      </w:tr>
      <w:tr>
        <w:trPr>
          <w:trHeight w:val="588" w:hRule="exact"/>
        </w:trPr>
        <w:tc>
          <w:tcPr>
            <w:tcW w:w="2319"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9" w:right="0"/>
              <w:jc w:val="left"/>
              <w:rPr>
                <w:rFonts w:ascii="宋体" w:hAnsi="宋体" w:cs="宋体" w:eastAsia="宋体" w:hint="default"/>
                <w:sz w:val="15"/>
                <w:szCs w:val="15"/>
              </w:rPr>
            </w:pPr>
            <w:r>
              <w:rPr>
                <w:rFonts w:ascii="宋体" w:hAnsi="宋体" w:cs="宋体" w:eastAsia="宋体" w:hint="default"/>
                <w:sz w:val="15"/>
                <w:szCs w:val="15"/>
              </w:rPr>
              <w:t>新鸿电子有限公司</w:t>
            </w:r>
          </w:p>
        </w:tc>
        <w:tc>
          <w:tcPr>
            <w:tcW w:w="607"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5" w:right="0"/>
              <w:jc w:val="center"/>
              <w:rPr>
                <w:rFonts w:ascii="宋体" w:hAnsi="宋体" w:cs="宋体" w:eastAsia="宋体" w:hint="default"/>
                <w:sz w:val="15"/>
                <w:szCs w:val="15"/>
              </w:rPr>
            </w:pPr>
            <w:r>
              <w:rPr>
                <w:rFonts w:ascii="宋体"/>
                <w:sz w:val="15"/>
              </w:rPr>
              <w:t>70.00%</w:t>
            </w:r>
          </w:p>
        </w:tc>
        <w:tc>
          <w:tcPr>
            <w:tcW w:w="598"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44"/>
              <w:jc w:val="right"/>
              <w:rPr>
                <w:rFonts w:ascii="宋体" w:hAnsi="宋体" w:cs="宋体" w:eastAsia="宋体" w:hint="default"/>
                <w:sz w:val="15"/>
                <w:szCs w:val="15"/>
              </w:rPr>
            </w:pPr>
            <w:r>
              <w:rPr>
                <w:rFonts w:ascii="宋体"/>
                <w:spacing w:val="-1"/>
                <w:sz w:val="15"/>
              </w:rPr>
              <w:t>70.00%</w:t>
            </w:r>
          </w:p>
        </w:tc>
        <w:tc>
          <w:tcPr>
            <w:tcW w:w="700"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江苏常州</w:t>
            </w:r>
          </w:p>
        </w:tc>
        <w:tc>
          <w:tcPr>
            <w:tcW w:w="4338" w:type="dxa"/>
            <w:tcBorders>
              <w:top w:val="single" w:sz="4" w:space="0" w:color="000000"/>
              <w:left w:val="nil" w:sz="6" w:space="0" w:color="auto"/>
              <w:bottom w:val="nil" w:sz="6" w:space="0" w:color="auto"/>
              <w:right w:val="nil" w:sz="6" w:space="0" w:color="auto"/>
            </w:tcBorders>
          </w:tcPr>
          <w:p>
            <w:pPr>
              <w:pStyle w:val="TableParagraph"/>
              <w:spacing w:line="171" w:lineRule="exact"/>
              <w:ind w:left="51" w:right="0"/>
              <w:jc w:val="left"/>
              <w:rPr>
                <w:rFonts w:ascii="宋体" w:hAnsi="宋体" w:cs="宋体" w:eastAsia="宋体" w:hint="default"/>
                <w:sz w:val="15"/>
                <w:szCs w:val="15"/>
              </w:rPr>
            </w:pPr>
            <w:r>
              <w:rPr>
                <w:rFonts w:ascii="宋体" w:hAnsi="宋体" w:cs="宋体" w:eastAsia="宋体" w:hint="default"/>
                <w:sz w:val="15"/>
                <w:szCs w:val="15"/>
              </w:rPr>
              <w:t>纳米材料场致发射多点（包括单点）</w:t>
            </w:r>
            <w:r>
              <w:rPr>
                <w:rFonts w:ascii="宋体" w:hAnsi="宋体" w:cs="宋体" w:eastAsia="宋体" w:hint="default"/>
                <w:sz w:val="15"/>
                <w:szCs w:val="15"/>
              </w:rPr>
              <w:t>X</w:t>
            </w:r>
            <w:r>
              <w:rPr>
                <w:rFonts w:ascii="宋体" w:hAnsi="宋体" w:cs="宋体" w:eastAsia="宋体" w:hint="default"/>
                <w:spacing w:val="11"/>
                <w:sz w:val="15"/>
                <w:szCs w:val="15"/>
              </w:rPr>
              <w:t> </w:t>
            </w:r>
            <w:r>
              <w:rPr>
                <w:rFonts w:ascii="宋体" w:hAnsi="宋体" w:cs="宋体" w:eastAsia="宋体" w:hint="default"/>
                <w:sz w:val="15"/>
                <w:szCs w:val="15"/>
              </w:rPr>
              <w:t>射线光源产品及其零部件</w:t>
            </w:r>
          </w:p>
          <w:p>
            <w:pPr>
              <w:pStyle w:val="TableParagraph"/>
              <w:spacing w:line="194" w:lineRule="exact"/>
              <w:ind w:left="51" w:right="0"/>
              <w:jc w:val="left"/>
              <w:rPr>
                <w:rFonts w:ascii="宋体" w:hAnsi="宋体" w:cs="宋体" w:eastAsia="宋体" w:hint="default"/>
                <w:sz w:val="15"/>
                <w:szCs w:val="15"/>
              </w:rPr>
            </w:pPr>
            <w:r>
              <w:rPr>
                <w:rFonts w:ascii="宋体" w:hAnsi="宋体" w:cs="宋体" w:eastAsia="宋体" w:hint="default"/>
                <w:spacing w:val="-4"/>
                <w:sz w:val="15"/>
                <w:szCs w:val="15"/>
              </w:rPr>
              <w:t>研发、设计、生产、销售自产产品，并提供售后机相关技术服务。</w:t>
            </w:r>
          </w:p>
          <w:p>
            <w:pPr>
              <w:pStyle w:val="TableParagraph"/>
              <w:spacing w:line="195" w:lineRule="exact"/>
              <w:ind w:left="51" w:right="0"/>
              <w:jc w:val="left"/>
              <w:rPr>
                <w:rFonts w:ascii="宋体" w:hAnsi="宋体" w:cs="宋体" w:eastAsia="宋体" w:hint="default"/>
                <w:sz w:val="15"/>
                <w:szCs w:val="15"/>
              </w:rPr>
            </w:pPr>
            <w:r>
              <w:rPr>
                <w:rFonts w:ascii="宋体" w:hAnsi="宋体" w:cs="宋体" w:eastAsia="宋体" w:hint="default"/>
                <w:sz w:val="15"/>
                <w:szCs w:val="15"/>
              </w:rPr>
              <w:t>（依法须经批准的项目，经相关部门批准后方可开展经营活动）</w:t>
            </w:r>
          </w:p>
        </w:tc>
      </w:tr>
      <w:tr>
        <w:trPr>
          <w:trHeight w:val="389"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 w:right="0"/>
              <w:jc w:val="left"/>
              <w:rPr>
                <w:rFonts w:ascii="宋体" w:hAnsi="宋体" w:cs="宋体" w:eastAsia="宋体" w:hint="default"/>
                <w:sz w:val="15"/>
                <w:szCs w:val="15"/>
              </w:rPr>
            </w:pPr>
            <w:r>
              <w:rPr>
                <w:rFonts w:ascii="宋体" w:hAnsi="宋体" w:cs="宋体" w:eastAsia="宋体" w:hint="default"/>
                <w:sz w:val="15"/>
                <w:szCs w:val="15"/>
              </w:rPr>
              <w:t>中检科威（北京）科技有限公司</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center"/>
              <w:rPr>
                <w:rFonts w:ascii="宋体" w:hAnsi="宋体" w:cs="宋体" w:eastAsia="宋体" w:hint="default"/>
                <w:sz w:val="15"/>
                <w:szCs w:val="15"/>
              </w:rPr>
            </w:pPr>
            <w:r>
              <w:rPr>
                <w:rFonts w:ascii="宋体"/>
                <w:sz w:val="15"/>
              </w:rPr>
              <w:t>50.00%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4"/>
              <w:jc w:val="right"/>
              <w:rPr>
                <w:rFonts w:ascii="宋体" w:hAnsi="宋体" w:cs="宋体" w:eastAsia="宋体" w:hint="default"/>
                <w:sz w:val="15"/>
                <w:szCs w:val="15"/>
              </w:rPr>
            </w:pPr>
            <w:r>
              <w:rPr>
                <w:rFonts w:ascii="宋体"/>
                <w:spacing w:val="-1"/>
                <w:sz w:val="15"/>
              </w:rPr>
              <w:t>50.00%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4338" w:type="dxa"/>
            <w:tcBorders>
              <w:top w:val="nil" w:sz="6" w:space="0" w:color="auto"/>
              <w:left w:val="nil" w:sz="6" w:space="0" w:color="auto"/>
              <w:bottom w:val="nil" w:sz="6" w:space="0" w:color="auto"/>
              <w:right w:val="nil" w:sz="6" w:space="0" w:color="auto"/>
            </w:tcBorders>
          </w:tcPr>
          <w:p>
            <w:pPr>
              <w:pStyle w:val="TableParagraph"/>
              <w:spacing w:line="172" w:lineRule="exact"/>
              <w:ind w:left="51" w:right="0"/>
              <w:jc w:val="left"/>
              <w:rPr>
                <w:rFonts w:ascii="宋体" w:hAnsi="宋体" w:cs="宋体" w:eastAsia="宋体" w:hint="default"/>
                <w:sz w:val="15"/>
                <w:szCs w:val="15"/>
              </w:rPr>
            </w:pPr>
            <w:r>
              <w:rPr>
                <w:rFonts w:ascii="宋体" w:hAnsi="宋体" w:cs="宋体" w:eastAsia="宋体" w:hint="default"/>
                <w:sz w:val="15"/>
                <w:szCs w:val="15"/>
              </w:rPr>
              <w:t>仪器仪表和成套设施设备的研发、生产、销售；杀虫灭菌处理；</w:t>
            </w:r>
          </w:p>
          <w:p>
            <w:pPr>
              <w:pStyle w:val="TableParagraph"/>
              <w:spacing w:line="196" w:lineRule="exact"/>
              <w:ind w:left="51" w:right="0"/>
              <w:jc w:val="left"/>
              <w:rPr>
                <w:rFonts w:ascii="宋体" w:hAnsi="宋体" w:cs="宋体" w:eastAsia="宋体" w:hint="default"/>
                <w:sz w:val="15"/>
                <w:szCs w:val="15"/>
              </w:rPr>
            </w:pPr>
            <w:r>
              <w:rPr>
                <w:rFonts w:ascii="宋体" w:hAnsi="宋体" w:cs="宋体" w:eastAsia="宋体" w:hint="default"/>
                <w:sz w:val="15"/>
                <w:szCs w:val="15"/>
              </w:rPr>
              <w:t>货物或技术进出口贸易</w:t>
            </w:r>
          </w:p>
        </w:tc>
      </w:tr>
      <w:tr>
        <w:trPr>
          <w:trHeight w:val="408"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 w:right="0"/>
              <w:jc w:val="left"/>
              <w:rPr>
                <w:rFonts w:ascii="宋体" w:hAnsi="宋体" w:cs="宋体" w:eastAsia="宋体" w:hint="default"/>
                <w:sz w:val="15"/>
                <w:szCs w:val="15"/>
              </w:rPr>
            </w:pPr>
            <w:r>
              <w:rPr>
                <w:rFonts w:ascii="宋体" w:hAnsi="宋体" w:cs="宋体" w:eastAsia="宋体" w:hint="default"/>
                <w:sz w:val="15"/>
                <w:szCs w:val="15"/>
              </w:rPr>
              <w:t>同方投资有限公司</w:t>
            </w:r>
          </w:p>
        </w:tc>
        <w:tc>
          <w:tcPr>
            <w:tcW w:w="607" w:type="dxa"/>
            <w:tcBorders>
              <w:top w:val="nil" w:sz="6" w:space="0" w:color="auto"/>
              <w:left w:val="nil" w:sz="6" w:space="0" w:color="auto"/>
              <w:bottom w:val="nil" w:sz="6" w:space="0" w:color="auto"/>
              <w:right w:val="nil" w:sz="6" w:space="0" w:color="auto"/>
            </w:tcBorders>
          </w:tcPr>
          <w:p>
            <w:pPr>
              <w:pStyle w:val="TableParagraph"/>
              <w:spacing w:line="172" w:lineRule="exact"/>
              <w:ind w:right="22"/>
              <w:jc w:val="right"/>
              <w:rPr>
                <w:rFonts w:ascii="宋体" w:hAnsi="宋体" w:cs="宋体" w:eastAsia="宋体" w:hint="default"/>
                <w:sz w:val="15"/>
                <w:szCs w:val="15"/>
              </w:rPr>
            </w:pPr>
            <w:r>
              <w:rPr>
                <w:rFonts w:ascii="宋体"/>
                <w:spacing w:val="-1"/>
                <w:sz w:val="15"/>
              </w:rPr>
              <w:t>45.4545</w:t>
            </w:r>
          </w:p>
          <w:p>
            <w:pPr>
              <w:pStyle w:val="TableParagraph"/>
              <w:spacing w:line="195" w:lineRule="exact"/>
              <w:ind w:right="22"/>
              <w:jc w:val="right"/>
              <w:rPr>
                <w:rFonts w:ascii="宋体" w:hAnsi="宋体" w:cs="宋体" w:eastAsia="宋体" w:hint="default"/>
                <w:sz w:val="15"/>
                <w:szCs w:val="15"/>
              </w:rPr>
            </w:pPr>
            <w:r>
              <w:rPr>
                <w:rFonts w:ascii="宋体"/>
                <w:w w:val="100"/>
                <w:sz w:val="15"/>
              </w:rPr>
              <w:t>%</w:t>
            </w:r>
          </w:p>
        </w:tc>
        <w:tc>
          <w:tcPr>
            <w:tcW w:w="598" w:type="dxa"/>
            <w:tcBorders>
              <w:top w:val="nil" w:sz="6" w:space="0" w:color="auto"/>
              <w:left w:val="nil" w:sz="6" w:space="0" w:color="auto"/>
              <w:bottom w:val="nil" w:sz="6" w:space="0" w:color="auto"/>
              <w:right w:val="nil" w:sz="6" w:space="0" w:color="auto"/>
            </w:tcBorders>
          </w:tcPr>
          <w:p>
            <w:pPr>
              <w:pStyle w:val="TableParagraph"/>
              <w:spacing w:line="172" w:lineRule="exact"/>
              <w:ind w:right="44"/>
              <w:jc w:val="right"/>
              <w:rPr>
                <w:rFonts w:ascii="宋体" w:hAnsi="宋体" w:cs="宋体" w:eastAsia="宋体" w:hint="default"/>
                <w:sz w:val="15"/>
                <w:szCs w:val="15"/>
              </w:rPr>
            </w:pPr>
            <w:r>
              <w:rPr>
                <w:rFonts w:ascii="宋体"/>
                <w:spacing w:val="-1"/>
                <w:sz w:val="15"/>
              </w:rPr>
              <w:t>45.4545</w:t>
            </w:r>
          </w:p>
          <w:p>
            <w:pPr>
              <w:pStyle w:val="TableParagraph"/>
              <w:spacing w:line="195" w:lineRule="exact"/>
              <w:ind w:right="44"/>
              <w:jc w:val="right"/>
              <w:rPr>
                <w:rFonts w:ascii="宋体" w:hAnsi="宋体" w:cs="宋体" w:eastAsia="宋体" w:hint="default"/>
                <w:sz w:val="15"/>
                <w:szCs w:val="15"/>
              </w:rPr>
            </w:pPr>
            <w:r>
              <w:rPr>
                <w:rFonts w:ascii="宋体"/>
                <w:w w:val="100"/>
                <w:sz w:val="15"/>
              </w:rPr>
              <w:t>%</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
              <w:jc w:val="center"/>
              <w:rPr>
                <w:rFonts w:ascii="宋体" w:hAnsi="宋体" w:cs="宋体" w:eastAsia="宋体" w:hint="default"/>
                <w:sz w:val="15"/>
                <w:szCs w:val="15"/>
              </w:rPr>
            </w:pPr>
            <w:r>
              <w:rPr>
                <w:rFonts w:ascii="宋体" w:hAnsi="宋体" w:cs="宋体" w:eastAsia="宋体" w:hint="default"/>
                <w:sz w:val="15"/>
                <w:szCs w:val="15"/>
              </w:rPr>
              <w:t>山东潍坊</w:t>
            </w:r>
          </w:p>
        </w:tc>
        <w:tc>
          <w:tcPr>
            <w:tcW w:w="433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1" w:right="0"/>
              <w:jc w:val="left"/>
              <w:rPr>
                <w:rFonts w:ascii="宋体" w:hAnsi="宋体" w:cs="宋体" w:eastAsia="宋体" w:hint="default"/>
                <w:sz w:val="15"/>
                <w:szCs w:val="15"/>
              </w:rPr>
            </w:pPr>
            <w:r>
              <w:rPr>
                <w:rFonts w:ascii="宋体" w:hAnsi="宋体" w:cs="宋体" w:eastAsia="宋体" w:hint="default"/>
                <w:sz w:val="15"/>
                <w:szCs w:val="15"/>
              </w:rPr>
              <w:t>股权投资、资产管理</w:t>
            </w:r>
          </w:p>
        </w:tc>
      </w:tr>
      <w:tr>
        <w:trPr>
          <w:trHeight w:val="252"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192" w:lineRule="exact"/>
              <w:ind w:left="9" w:right="0"/>
              <w:jc w:val="left"/>
              <w:rPr>
                <w:rFonts w:ascii="宋体" w:hAnsi="宋体" w:cs="宋体" w:eastAsia="宋体" w:hint="default"/>
                <w:sz w:val="15"/>
                <w:szCs w:val="15"/>
              </w:rPr>
            </w:pPr>
            <w:r>
              <w:rPr>
                <w:rFonts w:ascii="宋体" w:hAnsi="宋体" w:cs="宋体" w:eastAsia="宋体" w:hint="default"/>
                <w:sz w:val="15"/>
                <w:szCs w:val="15"/>
              </w:rPr>
              <w:t>易程科技股份有限公司</w:t>
            </w:r>
          </w:p>
        </w:tc>
        <w:tc>
          <w:tcPr>
            <w:tcW w:w="607" w:type="dxa"/>
            <w:tcBorders>
              <w:top w:val="nil" w:sz="6" w:space="0" w:color="auto"/>
              <w:left w:val="nil" w:sz="6" w:space="0" w:color="auto"/>
              <w:bottom w:val="nil" w:sz="6" w:space="0" w:color="auto"/>
              <w:right w:val="nil" w:sz="6" w:space="0" w:color="auto"/>
            </w:tcBorders>
          </w:tcPr>
          <w:p>
            <w:pPr>
              <w:pStyle w:val="TableParagraph"/>
              <w:spacing w:line="192" w:lineRule="exact"/>
              <w:ind w:left="105" w:right="0"/>
              <w:jc w:val="center"/>
              <w:rPr>
                <w:rFonts w:ascii="宋体" w:hAnsi="宋体" w:cs="宋体" w:eastAsia="宋体" w:hint="default"/>
                <w:sz w:val="15"/>
                <w:szCs w:val="15"/>
              </w:rPr>
            </w:pPr>
            <w:r>
              <w:rPr>
                <w:rFonts w:ascii="宋体"/>
                <w:sz w:val="15"/>
              </w:rPr>
              <w:t>28.80%</w:t>
            </w:r>
          </w:p>
        </w:tc>
        <w:tc>
          <w:tcPr>
            <w:tcW w:w="598" w:type="dxa"/>
            <w:tcBorders>
              <w:top w:val="nil" w:sz="6" w:space="0" w:color="auto"/>
              <w:left w:val="nil" w:sz="6" w:space="0" w:color="auto"/>
              <w:bottom w:val="nil" w:sz="6" w:space="0" w:color="auto"/>
              <w:right w:val="nil" w:sz="6" w:space="0" w:color="auto"/>
            </w:tcBorders>
          </w:tcPr>
          <w:p>
            <w:pPr>
              <w:pStyle w:val="TableParagraph"/>
              <w:spacing w:line="192" w:lineRule="exact"/>
              <w:ind w:right="44"/>
              <w:jc w:val="right"/>
              <w:rPr>
                <w:rFonts w:ascii="宋体" w:hAnsi="宋体" w:cs="宋体" w:eastAsia="宋体" w:hint="default"/>
                <w:sz w:val="15"/>
                <w:szCs w:val="15"/>
              </w:rPr>
            </w:pPr>
            <w:r>
              <w:rPr>
                <w:rFonts w:ascii="宋体"/>
                <w:spacing w:val="-1"/>
                <w:sz w:val="15"/>
              </w:rPr>
              <w:t>28.80%</w:t>
            </w:r>
          </w:p>
        </w:tc>
        <w:tc>
          <w:tcPr>
            <w:tcW w:w="700" w:type="dxa"/>
            <w:tcBorders>
              <w:top w:val="nil" w:sz="6" w:space="0" w:color="auto"/>
              <w:left w:val="nil" w:sz="6" w:space="0" w:color="auto"/>
              <w:bottom w:val="nil" w:sz="6" w:space="0" w:color="auto"/>
              <w:right w:val="nil" w:sz="6" w:space="0" w:color="auto"/>
            </w:tcBorders>
          </w:tcPr>
          <w:p>
            <w:pPr>
              <w:pStyle w:val="TableParagraph"/>
              <w:spacing w:line="192" w:lineRule="exact"/>
              <w:ind w:right="3"/>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4338" w:type="dxa"/>
            <w:tcBorders>
              <w:top w:val="nil" w:sz="6" w:space="0" w:color="auto"/>
              <w:left w:val="nil" w:sz="6" w:space="0" w:color="auto"/>
              <w:bottom w:val="nil" w:sz="6" w:space="0" w:color="auto"/>
              <w:right w:val="nil" w:sz="6" w:space="0" w:color="auto"/>
            </w:tcBorders>
          </w:tcPr>
          <w:p>
            <w:pPr>
              <w:pStyle w:val="TableParagraph"/>
              <w:spacing w:line="192" w:lineRule="exact"/>
              <w:ind w:left="51" w:right="0"/>
              <w:jc w:val="left"/>
              <w:rPr>
                <w:rFonts w:ascii="宋体" w:hAnsi="宋体" w:cs="宋体" w:eastAsia="宋体" w:hint="default"/>
                <w:sz w:val="15"/>
                <w:szCs w:val="15"/>
              </w:rPr>
            </w:pPr>
            <w:r>
              <w:rPr>
                <w:rFonts w:ascii="宋体" w:hAnsi="宋体" w:cs="宋体" w:eastAsia="宋体" w:hint="default"/>
                <w:sz w:val="15"/>
                <w:szCs w:val="15"/>
              </w:rPr>
              <w:t>铁路客运专线信息服务系统、票务系统</w:t>
            </w:r>
          </w:p>
        </w:tc>
      </w:tr>
      <w:tr>
        <w:trPr>
          <w:trHeight w:val="251"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 w:right="0"/>
              <w:jc w:val="left"/>
              <w:rPr>
                <w:rFonts w:ascii="宋体" w:hAnsi="宋体" w:cs="宋体" w:eastAsia="宋体" w:hint="default"/>
                <w:sz w:val="15"/>
                <w:szCs w:val="15"/>
              </w:rPr>
            </w:pPr>
            <w:r>
              <w:rPr>
                <w:rFonts w:ascii="宋体" w:hAnsi="宋体" w:cs="宋体" w:eastAsia="宋体" w:hint="default"/>
                <w:sz w:val="15"/>
                <w:szCs w:val="15"/>
              </w:rPr>
              <w:t>北京海视安数据科技有限公司</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
              <w:jc w:val="center"/>
              <w:rPr>
                <w:rFonts w:ascii="宋体" w:hAnsi="宋体" w:cs="宋体" w:eastAsia="宋体" w:hint="default"/>
                <w:sz w:val="15"/>
                <w:szCs w:val="15"/>
              </w:rPr>
            </w:pPr>
            <w:r>
              <w:rPr>
                <w:rFonts w:ascii="宋体"/>
                <w:w w:val="100"/>
                <w:sz w:val="15"/>
              </w:rPr>
              <w:t>-</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
              <w:jc w:val="center"/>
              <w:rPr>
                <w:rFonts w:ascii="宋体" w:hAnsi="宋体" w:cs="宋体" w:eastAsia="宋体" w:hint="default"/>
                <w:sz w:val="15"/>
                <w:szCs w:val="15"/>
              </w:rPr>
            </w:pPr>
            <w:r>
              <w:rPr>
                <w:rFonts w:ascii="宋体"/>
                <w:w w:val="100"/>
                <w:sz w:val="15"/>
              </w:rPr>
              <w:t>-</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433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1" w:right="0"/>
              <w:jc w:val="left"/>
              <w:rPr>
                <w:rFonts w:ascii="宋体" w:hAnsi="宋体" w:cs="宋体" w:eastAsia="宋体" w:hint="default"/>
                <w:sz w:val="15"/>
                <w:szCs w:val="15"/>
              </w:rPr>
            </w:pPr>
            <w:r>
              <w:rPr>
                <w:rFonts w:ascii="宋体" w:hAnsi="宋体" w:cs="宋体" w:eastAsia="宋体" w:hint="default"/>
                <w:sz w:val="15"/>
                <w:szCs w:val="15"/>
              </w:rPr>
              <w:t>网络存储、数据安全、容灾备份解决方案</w:t>
            </w:r>
          </w:p>
        </w:tc>
      </w:tr>
      <w:tr>
        <w:trPr>
          <w:trHeight w:val="427"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9" w:right="0"/>
              <w:jc w:val="left"/>
              <w:rPr>
                <w:rFonts w:ascii="宋体" w:hAnsi="宋体" w:cs="宋体" w:eastAsia="宋体" w:hint="default"/>
                <w:sz w:val="15"/>
                <w:szCs w:val="15"/>
              </w:rPr>
            </w:pPr>
            <w:r>
              <w:rPr>
                <w:rFonts w:ascii="宋体" w:hAnsi="宋体" w:cs="宋体" w:eastAsia="宋体" w:hint="default"/>
                <w:sz w:val="15"/>
                <w:szCs w:val="15"/>
              </w:rPr>
              <w:t>同威津福科技（天津）有限公司</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5" w:right="0"/>
              <w:jc w:val="center"/>
              <w:rPr>
                <w:rFonts w:ascii="宋体" w:hAnsi="宋体" w:cs="宋体" w:eastAsia="宋体" w:hint="default"/>
                <w:sz w:val="15"/>
                <w:szCs w:val="15"/>
              </w:rPr>
            </w:pPr>
            <w:r>
              <w:rPr>
                <w:rFonts w:ascii="宋体"/>
                <w:sz w:val="15"/>
              </w:rPr>
              <w:t>51.00%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4"/>
              <w:jc w:val="right"/>
              <w:rPr>
                <w:rFonts w:ascii="宋体" w:hAnsi="宋体" w:cs="宋体" w:eastAsia="宋体" w:hint="default"/>
                <w:sz w:val="15"/>
                <w:szCs w:val="15"/>
              </w:rPr>
            </w:pPr>
            <w:r>
              <w:rPr>
                <w:rFonts w:ascii="宋体"/>
                <w:spacing w:val="-1"/>
                <w:sz w:val="15"/>
              </w:rPr>
              <w:t>51.00%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
              <w:jc w:val="center"/>
              <w:rPr>
                <w:rFonts w:ascii="宋体" w:hAnsi="宋体" w:cs="宋体" w:eastAsia="宋体" w:hint="default"/>
                <w:sz w:val="15"/>
                <w:szCs w:val="15"/>
              </w:rPr>
            </w:pPr>
            <w:r>
              <w:rPr>
                <w:rFonts w:ascii="宋体" w:hAnsi="宋体" w:cs="宋体" w:eastAsia="宋体" w:hint="default"/>
                <w:sz w:val="15"/>
                <w:szCs w:val="15"/>
              </w:rPr>
              <w:t>天津南开</w:t>
            </w:r>
          </w:p>
        </w:tc>
        <w:tc>
          <w:tcPr>
            <w:tcW w:w="4338" w:type="dxa"/>
            <w:tcBorders>
              <w:top w:val="nil" w:sz="6" w:space="0" w:color="auto"/>
              <w:left w:val="nil" w:sz="6" w:space="0" w:color="auto"/>
              <w:bottom w:val="nil" w:sz="6" w:space="0" w:color="auto"/>
              <w:right w:val="nil" w:sz="6" w:space="0" w:color="auto"/>
            </w:tcBorders>
          </w:tcPr>
          <w:p>
            <w:pPr>
              <w:pStyle w:val="TableParagraph"/>
              <w:spacing w:line="240" w:lineRule="auto"/>
              <w:ind w:left="51" w:right="69"/>
              <w:jc w:val="left"/>
              <w:rPr>
                <w:rFonts w:ascii="宋体" w:hAnsi="宋体" w:cs="宋体" w:eastAsia="宋体" w:hint="default"/>
                <w:sz w:val="15"/>
                <w:szCs w:val="15"/>
              </w:rPr>
            </w:pPr>
            <w:r>
              <w:rPr>
                <w:rFonts w:ascii="宋体" w:hAnsi="宋体" w:cs="宋体" w:eastAsia="宋体" w:hint="default"/>
                <w:spacing w:val="-1"/>
                <w:sz w:val="15"/>
                <w:szCs w:val="15"/>
              </w:rPr>
              <w:t>科学研究及技术服务；销售、安装及租赁机械设备、仪器仪表、</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z w:val="15"/>
                <w:szCs w:val="15"/>
              </w:rPr>
              <w:t>电子设备等</w:t>
            </w:r>
          </w:p>
        </w:tc>
      </w:tr>
      <w:tr>
        <w:trPr>
          <w:trHeight w:val="232"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191" w:lineRule="exact"/>
              <w:ind w:left="9" w:right="0"/>
              <w:jc w:val="left"/>
              <w:rPr>
                <w:rFonts w:ascii="宋体" w:hAnsi="宋体" w:cs="宋体" w:eastAsia="宋体" w:hint="default"/>
                <w:sz w:val="15"/>
                <w:szCs w:val="15"/>
              </w:rPr>
            </w:pPr>
            <w:r>
              <w:rPr>
                <w:rFonts w:ascii="宋体" w:hAnsi="宋体" w:cs="宋体" w:eastAsia="宋体" w:hint="default"/>
                <w:sz w:val="15"/>
                <w:szCs w:val="15"/>
              </w:rPr>
              <w:t>北京朗视仪器有限公司</w:t>
            </w:r>
          </w:p>
        </w:tc>
        <w:tc>
          <w:tcPr>
            <w:tcW w:w="607" w:type="dxa"/>
            <w:tcBorders>
              <w:top w:val="nil" w:sz="6" w:space="0" w:color="auto"/>
              <w:left w:val="nil" w:sz="6" w:space="0" w:color="auto"/>
              <w:bottom w:val="nil" w:sz="6" w:space="0" w:color="auto"/>
              <w:right w:val="nil" w:sz="6" w:space="0" w:color="auto"/>
            </w:tcBorders>
          </w:tcPr>
          <w:p>
            <w:pPr>
              <w:pStyle w:val="TableParagraph"/>
              <w:spacing w:line="191" w:lineRule="exact"/>
              <w:ind w:left="105" w:right="0"/>
              <w:jc w:val="center"/>
              <w:rPr>
                <w:rFonts w:ascii="宋体" w:hAnsi="宋体" w:cs="宋体" w:eastAsia="宋体" w:hint="default"/>
                <w:sz w:val="15"/>
                <w:szCs w:val="15"/>
              </w:rPr>
            </w:pPr>
            <w:r>
              <w:rPr>
                <w:rFonts w:ascii="宋体"/>
                <w:sz w:val="15"/>
              </w:rPr>
              <w:t>23.69%</w:t>
            </w:r>
          </w:p>
        </w:tc>
        <w:tc>
          <w:tcPr>
            <w:tcW w:w="598" w:type="dxa"/>
            <w:tcBorders>
              <w:top w:val="nil" w:sz="6" w:space="0" w:color="auto"/>
              <w:left w:val="nil" w:sz="6" w:space="0" w:color="auto"/>
              <w:bottom w:val="nil" w:sz="6" w:space="0" w:color="auto"/>
              <w:right w:val="nil" w:sz="6" w:space="0" w:color="auto"/>
            </w:tcBorders>
          </w:tcPr>
          <w:p>
            <w:pPr>
              <w:pStyle w:val="TableParagraph"/>
              <w:spacing w:line="191" w:lineRule="exact"/>
              <w:ind w:right="44"/>
              <w:jc w:val="right"/>
              <w:rPr>
                <w:rFonts w:ascii="宋体" w:hAnsi="宋体" w:cs="宋体" w:eastAsia="宋体" w:hint="default"/>
                <w:sz w:val="15"/>
                <w:szCs w:val="15"/>
              </w:rPr>
            </w:pPr>
            <w:r>
              <w:rPr>
                <w:rFonts w:ascii="宋体"/>
                <w:spacing w:val="-1"/>
                <w:sz w:val="15"/>
              </w:rPr>
              <w:t>23.69%</w:t>
            </w:r>
          </w:p>
        </w:tc>
        <w:tc>
          <w:tcPr>
            <w:tcW w:w="700" w:type="dxa"/>
            <w:tcBorders>
              <w:top w:val="nil" w:sz="6" w:space="0" w:color="auto"/>
              <w:left w:val="nil" w:sz="6" w:space="0" w:color="auto"/>
              <w:bottom w:val="nil" w:sz="6" w:space="0" w:color="auto"/>
              <w:right w:val="nil" w:sz="6" w:space="0" w:color="auto"/>
            </w:tcBorders>
          </w:tcPr>
          <w:p>
            <w:pPr>
              <w:pStyle w:val="TableParagraph"/>
              <w:spacing w:line="191" w:lineRule="exact"/>
              <w:ind w:right="3"/>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4338" w:type="dxa"/>
            <w:tcBorders>
              <w:top w:val="nil" w:sz="6" w:space="0" w:color="auto"/>
              <w:left w:val="nil" w:sz="6" w:space="0" w:color="auto"/>
              <w:bottom w:val="nil" w:sz="6" w:space="0" w:color="auto"/>
              <w:right w:val="nil" w:sz="6" w:space="0" w:color="auto"/>
            </w:tcBorders>
          </w:tcPr>
          <w:p>
            <w:pPr>
              <w:pStyle w:val="TableParagraph"/>
              <w:spacing w:line="191" w:lineRule="exact"/>
              <w:ind w:left="51" w:right="0"/>
              <w:jc w:val="left"/>
              <w:rPr>
                <w:rFonts w:ascii="宋体" w:hAnsi="宋体" w:cs="宋体" w:eastAsia="宋体" w:hint="default"/>
                <w:sz w:val="15"/>
                <w:szCs w:val="15"/>
              </w:rPr>
            </w:pPr>
            <w:r>
              <w:rPr>
                <w:rFonts w:ascii="宋体" w:hAnsi="宋体" w:cs="宋体" w:eastAsia="宋体" w:hint="default"/>
                <w:sz w:val="15"/>
                <w:szCs w:val="15"/>
              </w:rPr>
              <w:t>仪器仪表、医疗器械的制造、修理及相关“四技”服务</w:t>
            </w:r>
          </w:p>
        </w:tc>
      </w:tr>
      <w:tr>
        <w:trPr>
          <w:trHeight w:val="408"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 w:right="0"/>
              <w:jc w:val="left"/>
              <w:rPr>
                <w:rFonts w:ascii="宋体" w:hAnsi="宋体" w:cs="宋体" w:eastAsia="宋体" w:hint="default"/>
                <w:sz w:val="15"/>
                <w:szCs w:val="15"/>
              </w:rPr>
            </w:pPr>
            <w:r>
              <w:rPr>
                <w:rFonts w:ascii="宋体"/>
                <w:sz w:val="15"/>
              </w:rPr>
              <w:t>Asqella</w:t>
            </w:r>
            <w:r>
              <w:rPr>
                <w:rFonts w:ascii="宋体"/>
                <w:spacing w:val="-2"/>
                <w:sz w:val="15"/>
              </w:rPr>
              <w:t> </w:t>
            </w:r>
            <w:r>
              <w:rPr>
                <w:rFonts w:ascii="宋体"/>
                <w:sz w:val="15"/>
              </w:rPr>
              <w:t>Oy</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5" w:right="0"/>
              <w:jc w:val="center"/>
              <w:rPr>
                <w:rFonts w:ascii="宋体" w:hAnsi="宋体" w:cs="宋体" w:eastAsia="宋体" w:hint="default"/>
                <w:sz w:val="15"/>
                <w:szCs w:val="15"/>
              </w:rPr>
            </w:pPr>
            <w:r>
              <w:rPr>
                <w:rFonts w:ascii="宋体"/>
                <w:sz w:val="15"/>
              </w:rPr>
              <w:t>27.37%</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4"/>
              <w:jc w:val="right"/>
              <w:rPr>
                <w:rFonts w:ascii="宋体" w:hAnsi="宋体" w:cs="宋体" w:eastAsia="宋体" w:hint="default"/>
                <w:sz w:val="15"/>
                <w:szCs w:val="15"/>
              </w:rPr>
            </w:pPr>
            <w:r>
              <w:rPr>
                <w:rFonts w:ascii="宋体"/>
                <w:spacing w:val="-1"/>
                <w:sz w:val="15"/>
              </w:rPr>
              <w:t>27.37%</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5"/>
              <w:jc w:val="center"/>
              <w:rPr>
                <w:rFonts w:ascii="宋体" w:hAnsi="宋体" w:cs="宋体" w:eastAsia="宋体" w:hint="default"/>
                <w:sz w:val="15"/>
                <w:szCs w:val="15"/>
              </w:rPr>
            </w:pPr>
            <w:r>
              <w:rPr>
                <w:rFonts w:ascii="宋体" w:hAnsi="宋体" w:cs="宋体" w:eastAsia="宋体" w:hint="default"/>
                <w:sz w:val="15"/>
                <w:szCs w:val="15"/>
              </w:rPr>
              <w:t>芬兰</w:t>
            </w:r>
          </w:p>
        </w:tc>
        <w:tc>
          <w:tcPr>
            <w:tcW w:w="4338" w:type="dxa"/>
            <w:tcBorders>
              <w:top w:val="nil" w:sz="6" w:space="0" w:color="auto"/>
              <w:left w:val="nil" w:sz="6" w:space="0" w:color="auto"/>
              <w:bottom w:val="nil" w:sz="6" w:space="0" w:color="auto"/>
              <w:right w:val="nil" w:sz="6" w:space="0" w:color="auto"/>
            </w:tcBorders>
          </w:tcPr>
          <w:p>
            <w:pPr>
              <w:pStyle w:val="TableParagraph"/>
              <w:spacing w:line="194" w:lineRule="exact" w:before="15"/>
              <w:ind w:left="51" w:right="69"/>
              <w:jc w:val="left"/>
              <w:rPr>
                <w:rFonts w:ascii="宋体" w:hAnsi="宋体" w:cs="宋体" w:eastAsia="宋体" w:hint="default"/>
                <w:sz w:val="15"/>
                <w:szCs w:val="15"/>
              </w:rPr>
            </w:pPr>
            <w:r>
              <w:rPr>
                <w:rFonts w:ascii="宋体" w:hAnsi="宋体" w:cs="宋体" w:eastAsia="宋体" w:hint="default"/>
                <w:spacing w:val="-1"/>
                <w:sz w:val="15"/>
                <w:szCs w:val="15"/>
              </w:rPr>
              <w:t>电子、软件和自动化解决方案的研究；传感器系统的设计研究开</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z w:val="15"/>
                <w:szCs w:val="15"/>
              </w:rPr>
              <w:t>发，产品制造，营销和销售</w:t>
            </w:r>
          </w:p>
        </w:tc>
      </w:tr>
      <w:tr>
        <w:trPr>
          <w:trHeight w:val="389"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 w:right="0"/>
              <w:jc w:val="left"/>
              <w:rPr>
                <w:rFonts w:ascii="宋体" w:hAnsi="宋体" w:cs="宋体" w:eastAsia="宋体" w:hint="default"/>
                <w:sz w:val="15"/>
                <w:szCs w:val="15"/>
              </w:rPr>
            </w:pPr>
            <w:r>
              <w:rPr>
                <w:rFonts w:ascii="宋体" w:hAnsi="宋体" w:cs="宋体" w:eastAsia="宋体" w:hint="default"/>
                <w:sz w:val="15"/>
                <w:szCs w:val="15"/>
              </w:rPr>
              <w:t>内蒙古清烯碳能科技发展有限公司</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center"/>
              <w:rPr>
                <w:rFonts w:ascii="宋体" w:hAnsi="宋体" w:cs="宋体" w:eastAsia="宋体" w:hint="default"/>
                <w:sz w:val="15"/>
                <w:szCs w:val="15"/>
              </w:rPr>
            </w:pPr>
            <w:r>
              <w:rPr>
                <w:rFonts w:ascii="宋体"/>
                <w:sz w:val="15"/>
              </w:rPr>
              <w:t>20.00%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4"/>
              <w:jc w:val="right"/>
              <w:rPr>
                <w:rFonts w:ascii="宋体" w:hAnsi="宋体" w:cs="宋体" w:eastAsia="宋体" w:hint="default"/>
                <w:sz w:val="15"/>
                <w:szCs w:val="15"/>
              </w:rPr>
            </w:pPr>
            <w:r>
              <w:rPr>
                <w:rFonts w:ascii="宋体"/>
                <w:spacing w:val="-1"/>
                <w:sz w:val="15"/>
              </w:rPr>
              <w:t>20.00%</w:t>
            </w:r>
          </w:p>
        </w:tc>
        <w:tc>
          <w:tcPr>
            <w:tcW w:w="700" w:type="dxa"/>
            <w:tcBorders>
              <w:top w:val="nil" w:sz="6" w:space="0" w:color="auto"/>
              <w:left w:val="nil" w:sz="6" w:space="0" w:color="auto"/>
              <w:bottom w:val="nil" w:sz="6" w:space="0" w:color="auto"/>
              <w:right w:val="nil" w:sz="6" w:space="0" w:color="auto"/>
            </w:tcBorders>
          </w:tcPr>
          <w:p>
            <w:pPr>
              <w:pStyle w:val="TableParagraph"/>
              <w:spacing w:line="172" w:lineRule="exact"/>
              <w:ind w:right="3"/>
              <w:jc w:val="center"/>
              <w:rPr>
                <w:rFonts w:ascii="宋体" w:hAnsi="宋体" w:cs="宋体" w:eastAsia="宋体" w:hint="default"/>
                <w:sz w:val="15"/>
                <w:szCs w:val="15"/>
              </w:rPr>
            </w:pPr>
            <w:r>
              <w:rPr>
                <w:rFonts w:ascii="宋体" w:hAnsi="宋体" w:cs="宋体" w:eastAsia="宋体" w:hint="default"/>
                <w:sz w:val="15"/>
                <w:szCs w:val="15"/>
              </w:rPr>
              <w:t>内蒙古包</w:t>
            </w:r>
          </w:p>
          <w:p>
            <w:pPr>
              <w:pStyle w:val="TableParagraph"/>
              <w:spacing w:line="195" w:lineRule="exact"/>
              <w:ind w:left="52" w:right="0"/>
              <w:jc w:val="center"/>
              <w:rPr>
                <w:rFonts w:ascii="宋体" w:hAnsi="宋体" w:cs="宋体" w:eastAsia="宋体" w:hint="default"/>
                <w:sz w:val="15"/>
                <w:szCs w:val="15"/>
              </w:rPr>
            </w:pPr>
            <w:r>
              <w:rPr>
                <w:rFonts w:ascii="宋体" w:hAnsi="宋体" w:cs="宋体" w:eastAsia="宋体" w:hint="default"/>
                <w:w w:val="100"/>
                <w:sz w:val="15"/>
                <w:szCs w:val="15"/>
              </w:rPr>
              <w:t>头</w:t>
            </w:r>
          </w:p>
        </w:tc>
        <w:tc>
          <w:tcPr>
            <w:tcW w:w="433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1" w:right="0"/>
              <w:jc w:val="left"/>
              <w:rPr>
                <w:rFonts w:ascii="宋体" w:hAnsi="宋体" w:cs="宋体" w:eastAsia="宋体" w:hint="default"/>
                <w:sz w:val="15"/>
                <w:szCs w:val="15"/>
              </w:rPr>
            </w:pPr>
            <w:r>
              <w:rPr>
                <w:rFonts w:ascii="宋体" w:hAnsi="宋体" w:cs="宋体" w:eastAsia="宋体" w:hint="default"/>
                <w:sz w:val="15"/>
                <w:szCs w:val="15"/>
              </w:rPr>
              <w:t>石墨烯、碳材料及储能器件技术开发、技术咨询等</w:t>
            </w:r>
          </w:p>
        </w:tc>
      </w:tr>
      <w:tr>
        <w:trPr>
          <w:trHeight w:val="389"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 w:right="0"/>
              <w:jc w:val="left"/>
              <w:rPr>
                <w:rFonts w:ascii="宋体" w:hAnsi="宋体" w:cs="宋体" w:eastAsia="宋体" w:hint="default"/>
                <w:sz w:val="15"/>
                <w:szCs w:val="15"/>
              </w:rPr>
            </w:pPr>
            <w:r>
              <w:rPr>
                <w:rFonts w:ascii="宋体" w:hAnsi="宋体" w:cs="宋体" w:eastAsia="宋体" w:hint="default"/>
                <w:sz w:val="15"/>
                <w:szCs w:val="15"/>
              </w:rPr>
              <w:t>新疆芳香庄园酒业股份有限公司</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center"/>
              <w:rPr>
                <w:rFonts w:ascii="宋体" w:hAnsi="宋体" w:cs="宋体" w:eastAsia="宋体" w:hint="default"/>
                <w:sz w:val="15"/>
                <w:szCs w:val="15"/>
              </w:rPr>
            </w:pPr>
            <w:r>
              <w:rPr>
                <w:rFonts w:ascii="宋体"/>
                <w:sz w:val="15"/>
              </w:rPr>
              <w:t>30.48%</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4"/>
              <w:jc w:val="right"/>
              <w:rPr>
                <w:rFonts w:ascii="宋体" w:hAnsi="宋体" w:cs="宋体" w:eastAsia="宋体" w:hint="default"/>
                <w:sz w:val="15"/>
                <w:szCs w:val="15"/>
              </w:rPr>
            </w:pPr>
            <w:r>
              <w:rPr>
                <w:rFonts w:ascii="宋体"/>
                <w:spacing w:val="-1"/>
                <w:sz w:val="15"/>
              </w:rPr>
              <w:t>30.48%</w:t>
            </w:r>
          </w:p>
        </w:tc>
        <w:tc>
          <w:tcPr>
            <w:tcW w:w="700" w:type="dxa"/>
            <w:tcBorders>
              <w:top w:val="nil" w:sz="6" w:space="0" w:color="auto"/>
              <w:left w:val="nil" w:sz="6" w:space="0" w:color="auto"/>
              <w:bottom w:val="nil" w:sz="6" w:space="0" w:color="auto"/>
              <w:right w:val="nil" w:sz="6" w:space="0" w:color="auto"/>
            </w:tcBorders>
          </w:tcPr>
          <w:p>
            <w:pPr>
              <w:pStyle w:val="TableParagraph"/>
              <w:spacing w:line="172" w:lineRule="exact"/>
              <w:ind w:right="3"/>
              <w:jc w:val="center"/>
              <w:rPr>
                <w:rFonts w:ascii="宋体" w:hAnsi="宋体" w:cs="宋体" w:eastAsia="宋体" w:hint="default"/>
                <w:sz w:val="15"/>
                <w:szCs w:val="15"/>
              </w:rPr>
            </w:pPr>
            <w:r>
              <w:rPr>
                <w:rFonts w:ascii="宋体" w:hAnsi="宋体" w:cs="宋体" w:eastAsia="宋体" w:hint="default"/>
                <w:sz w:val="15"/>
                <w:szCs w:val="15"/>
              </w:rPr>
              <w:t>新疆巴音</w:t>
            </w:r>
          </w:p>
          <w:p>
            <w:pPr>
              <w:pStyle w:val="TableParagraph"/>
              <w:spacing w:line="195" w:lineRule="exact"/>
              <w:ind w:left="54" w:right="0"/>
              <w:jc w:val="center"/>
              <w:rPr>
                <w:rFonts w:ascii="宋体" w:hAnsi="宋体" w:cs="宋体" w:eastAsia="宋体" w:hint="default"/>
                <w:sz w:val="15"/>
                <w:szCs w:val="15"/>
              </w:rPr>
            </w:pPr>
            <w:r>
              <w:rPr>
                <w:rFonts w:ascii="宋体" w:hAnsi="宋体" w:cs="宋体" w:eastAsia="宋体" w:hint="default"/>
                <w:sz w:val="15"/>
                <w:szCs w:val="15"/>
              </w:rPr>
              <w:t>郭楞</w:t>
            </w:r>
          </w:p>
        </w:tc>
        <w:tc>
          <w:tcPr>
            <w:tcW w:w="4338" w:type="dxa"/>
            <w:tcBorders>
              <w:top w:val="nil" w:sz="6" w:space="0" w:color="auto"/>
              <w:left w:val="nil" w:sz="6" w:space="0" w:color="auto"/>
              <w:bottom w:val="nil" w:sz="6" w:space="0" w:color="auto"/>
              <w:right w:val="nil" w:sz="6" w:space="0" w:color="auto"/>
            </w:tcBorders>
          </w:tcPr>
          <w:p>
            <w:pPr>
              <w:pStyle w:val="TableParagraph"/>
              <w:spacing w:line="172" w:lineRule="exact"/>
              <w:ind w:left="51" w:right="0"/>
              <w:jc w:val="left"/>
              <w:rPr>
                <w:rFonts w:ascii="宋体" w:hAnsi="宋体" w:cs="宋体" w:eastAsia="宋体" w:hint="default"/>
                <w:sz w:val="15"/>
                <w:szCs w:val="15"/>
              </w:rPr>
            </w:pPr>
            <w:r>
              <w:rPr>
                <w:rFonts w:ascii="宋体" w:hAnsi="宋体" w:cs="宋体" w:eastAsia="宋体" w:hint="default"/>
                <w:sz w:val="15"/>
                <w:szCs w:val="15"/>
              </w:rPr>
              <w:t>葡萄酒及果酒加工灌装、其他酒、葡萄的种植销售、农副产品的</w:t>
            </w:r>
          </w:p>
          <w:p>
            <w:pPr>
              <w:pStyle w:val="TableParagraph"/>
              <w:spacing w:line="195" w:lineRule="exact"/>
              <w:ind w:left="51" w:right="0"/>
              <w:jc w:val="left"/>
              <w:rPr>
                <w:rFonts w:ascii="宋体" w:hAnsi="宋体" w:cs="宋体" w:eastAsia="宋体" w:hint="default"/>
                <w:sz w:val="15"/>
                <w:szCs w:val="15"/>
              </w:rPr>
            </w:pPr>
            <w:r>
              <w:rPr>
                <w:rFonts w:ascii="宋体" w:hAnsi="宋体" w:cs="宋体" w:eastAsia="宋体" w:hint="default"/>
                <w:sz w:val="15"/>
                <w:szCs w:val="15"/>
              </w:rPr>
              <w:t>加工销售、皮棉的销售</w:t>
            </w:r>
          </w:p>
        </w:tc>
      </w:tr>
      <w:tr>
        <w:trPr>
          <w:trHeight w:val="408"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172" w:lineRule="exact"/>
              <w:ind w:left="9" w:right="0"/>
              <w:jc w:val="left"/>
              <w:rPr>
                <w:rFonts w:ascii="宋体" w:hAnsi="宋体" w:cs="宋体" w:eastAsia="宋体" w:hint="default"/>
                <w:sz w:val="15"/>
                <w:szCs w:val="15"/>
              </w:rPr>
            </w:pPr>
            <w:r>
              <w:rPr>
                <w:rFonts w:ascii="宋体" w:hAnsi="宋体" w:cs="宋体" w:eastAsia="宋体" w:hint="default"/>
                <w:sz w:val="15"/>
                <w:szCs w:val="15"/>
              </w:rPr>
              <w:t>同方（深圳）云计算技术股份有限</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05" w:right="0"/>
              <w:jc w:val="center"/>
              <w:rPr>
                <w:rFonts w:ascii="宋体" w:hAnsi="宋体" w:cs="宋体" w:eastAsia="宋体" w:hint="default"/>
                <w:sz w:val="15"/>
                <w:szCs w:val="15"/>
              </w:rPr>
            </w:pPr>
            <w:r>
              <w:rPr>
                <w:rFonts w:ascii="宋体"/>
                <w:sz w:val="15"/>
              </w:rPr>
              <w:t>26.25%</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4"/>
              <w:jc w:val="right"/>
              <w:rPr>
                <w:rFonts w:ascii="宋体" w:hAnsi="宋体" w:cs="宋体" w:eastAsia="宋体" w:hint="default"/>
                <w:sz w:val="15"/>
                <w:szCs w:val="15"/>
              </w:rPr>
            </w:pPr>
            <w:r>
              <w:rPr>
                <w:rFonts w:ascii="宋体"/>
                <w:spacing w:val="-1"/>
                <w:sz w:val="15"/>
              </w:rPr>
              <w:t>26.25%</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
              <w:jc w:val="center"/>
              <w:rPr>
                <w:rFonts w:ascii="宋体" w:hAnsi="宋体" w:cs="宋体" w:eastAsia="宋体" w:hint="default"/>
                <w:sz w:val="15"/>
                <w:szCs w:val="15"/>
              </w:rPr>
            </w:pPr>
            <w:r>
              <w:rPr>
                <w:rFonts w:ascii="宋体" w:hAnsi="宋体" w:cs="宋体" w:eastAsia="宋体" w:hint="default"/>
                <w:sz w:val="15"/>
                <w:szCs w:val="15"/>
              </w:rPr>
              <w:t>广东深圳</w:t>
            </w:r>
          </w:p>
        </w:tc>
        <w:tc>
          <w:tcPr>
            <w:tcW w:w="433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1" w:right="0"/>
              <w:jc w:val="left"/>
              <w:rPr>
                <w:rFonts w:ascii="宋体" w:hAnsi="宋体" w:cs="宋体" w:eastAsia="宋体" w:hint="default"/>
                <w:sz w:val="15"/>
                <w:szCs w:val="15"/>
              </w:rPr>
            </w:pPr>
            <w:r>
              <w:rPr>
                <w:rFonts w:ascii="宋体" w:hAnsi="宋体" w:cs="宋体" w:eastAsia="宋体" w:hint="default"/>
                <w:sz w:val="15"/>
                <w:szCs w:val="15"/>
              </w:rPr>
              <w:t>云计算技术开发；计算机软硬件技术开发咨询</w:t>
            </w:r>
          </w:p>
        </w:tc>
      </w:tr>
      <w:tr>
        <w:trPr>
          <w:trHeight w:val="233"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192" w:lineRule="exact"/>
              <w:ind w:left="9" w:right="0"/>
              <w:jc w:val="left"/>
              <w:rPr>
                <w:rFonts w:ascii="宋体" w:hAnsi="宋体" w:cs="宋体" w:eastAsia="宋体" w:hint="default"/>
                <w:sz w:val="15"/>
                <w:szCs w:val="15"/>
              </w:rPr>
            </w:pPr>
            <w:r>
              <w:rPr>
                <w:rFonts w:ascii="宋体" w:hAnsi="宋体" w:cs="宋体" w:eastAsia="宋体" w:hint="default"/>
                <w:sz w:val="15"/>
                <w:szCs w:val="15"/>
              </w:rPr>
              <w:t>北京同方艾威康科技有限公司</w:t>
            </w:r>
          </w:p>
        </w:tc>
        <w:tc>
          <w:tcPr>
            <w:tcW w:w="607" w:type="dxa"/>
            <w:tcBorders>
              <w:top w:val="nil" w:sz="6" w:space="0" w:color="auto"/>
              <w:left w:val="nil" w:sz="6" w:space="0" w:color="auto"/>
              <w:bottom w:val="nil" w:sz="6" w:space="0" w:color="auto"/>
              <w:right w:val="nil" w:sz="6" w:space="0" w:color="auto"/>
            </w:tcBorders>
          </w:tcPr>
          <w:p>
            <w:pPr>
              <w:pStyle w:val="TableParagraph"/>
              <w:spacing w:line="192" w:lineRule="exact"/>
              <w:ind w:left="105" w:right="0"/>
              <w:jc w:val="center"/>
              <w:rPr>
                <w:rFonts w:ascii="宋体" w:hAnsi="宋体" w:cs="宋体" w:eastAsia="宋体" w:hint="default"/>
                <w:sz w:val="15"/>
                <w:szCs w:val="15"/>
              </w:rPr>
            </w:pPr>
            <w:r>
              <w:rPr>
                <w:rFonts w:ascii="宋体"/>
                <w:sz w:val="15"/>
              </w:rPr>
              <w:t>20.00%</w:t>
            </w:r>
          </w:p>
        </w:tc>
        <w:tc>
          <w:tcPr>
            <w:tcW w:w="598" w:type="dxa"/>
            <w:tcBorders>
              <w:top w:val="nil" w:sz="6" w:space="0" w:color="auto"/>
              <w:left w:val="nil" w:sz="6" w:space="0" w:color="auto"/>
              <w:bottom w:val="nil" w:sz="6" w:space="0" w:color="auto"/>
              <w:right w:val="nil" w:sz="6" w:space="0" w:color="auto"/>
            </w:tcBorders>
          </w:tcPr>
          <w:p>
            <w:pPr>
              <w:pStyle w:val="TableParagraph"/>
              <w:spacing w:line="192" w:lineRule="exact"/>
              <w:ind w:right="44"/>
              <w:jc w:val="right"/>
              <w:rPr>
                <w:rFonts w:ascii="宋体" w:hAnsi="宋体" w:cs="宋体" w:eastAsia="宋体" w:hint="default"/>
                <w:sz w:val="15"/>
                <w:szCs w:val="15"/>
              </w:rPr>
            </w:pPr>
            <w:r>
              <w:rPr>
                <w:rFonts w:ascii="宋体"/>
                <w:spacing w:val="-1"/>
                <w:sz w:val="15"/>
              </w:rPr>
              <w:t>20.00%</w:t>
            </w:r>
          </w:p>
        </w:tc>
        <w:tc>
          <w:tcPr>
            <w:tcW w:w="700" w:type="dxa"/>
            <w:tcBorders>
              <w:top w:val="nil" w:sz="6" w:space="0" w:color="auto"/>
              <w:left w:val="nil" w:sz="6" w:space="0" w:color="auto"/>
              <w:bottom w:val="nil" w:sz="6" w:space="0" w:color="auto"/>
              <w:right w:val="nil" w:sz="6" w:space="0" w:color="auto"/>
            </w:tcBorders>
          </w:tcPr>
          <w:p>
            <w:pPr>
              <w:pStyle w:val="TableParagraph"/>
              <w:spacing w:line="192" w:lineRule="exact"/>
              <w:ind w:right="3"/>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4338" w:type="dxa"/>
            <w:tcBorders>
              <w:top w:val="nil" w:sz="6" w:space="0" w:color="auto"/>
              <w:left w:val="nil" w:sz="6" w:space="0" w:color="auto"/>
              <w:bottom w:val="nil" w:sz="6" w:space="0" w:color="auto"/>
              <w:right w:val="nil" w:sz="6" w:space="0" w:color="auto"/>
            </w:tcBorders>
          </w:tcPr>
          <w:p>
            <w:pPr>
              <w:pStyle w:val="TableParagraph"/>
              <w:spacing w:line="192" w:lineRule="exact"/>
              <w:ind w:left="51" w:right="0"/>
              <w:jc w:val="left"/>
              <w:rPr>
                <w:rFonts w:ascii="宋体" w:hAnsi="宋体" w:cs="宋体" w:eastAsia="宋体" w:hint="default"/>
                <w:sz w:val="15"/>
                <w:szCs w:val="15"/>
              </w:rPr>
            </w:pPr>
            <w:r>
              <w:rPr>
                <w:rFonts w:ascii="宋体" w:hAnsi="宋体" w:cs="宋体" w:eastAsia="宋体" w:hint="default"/>
                <w:sz w:val="15"/>
                <w:szCs w:val="15"/>
              </w:rPr>
              <w:t>教育信息化整体解决方案相关软、硬件及服务的研发和销售</w:t>
            </w:r>
          </w:p>
        </w:tc>
      </w:tr>
      <w:tr>
        <w:trPr>
          <w:trHeight w:val="409"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196" w:lineRule="exact" w:before="14"/>
              <w:ind w:left="21" w:right="53" w:hanging="12"/>
              <w:jc w:val="left"/>
              <w:rPr>
                <w:rFonts w:ascii="宋体" w:hAnsi="宋体" w:cs="宋体" w:eastAsia="宋体" w:hint="default"/>
                <w:sz w:val="15"/>
                <w:szCs w:val="15"/>
              </w:rPr>
            </w:pPr>
            <w:r>
              <w:rPr>
                <w:rFonts w:ascii="宋体" w:hAnsi="宋体" w:cs="宋体" w:eastAsia="宋体" w:hint="default"/>
                <w:spacing w:val="-2"/>
                <w:sz w:val="15"/>
                <w:szCs w:val="15"/>
              </w:rPr>
              <w:t>沐华清诚（北京）教育科技发展有</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限公司</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5" w:right="0"/>
              <w:jc w:val="center"/>
              <w:rPr>
                <w:rFonts w:ascii="宋体" w:hAnsi="宋体" w:cs="宋体" w:eastAsia="宋体" w:hint="default"/>
                <w:sz w:val="15"/>
                <w:szCs w:val="15"/>
              </w:rPr>
            </w:pPr>
            <w:r>
              <w:rPr>
                <w:rFonts w:ascii="宋体"/>
                <w:sz w:val="15"/>
              </w:rPr>
              <w:t>10.00%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4"/>
              <w:jc w:val="right"/>
              <w:rPr>
                <w:rFonts w:ascii="宋体" w:hAnsi="宋体" w:cs="宋体" w:eastAsia="宋体" w:hint="default"/>
                <w:sz w:val="15"/>
                <w:szCs w:val="15"/>
              </w:rPr>
            </w:pPr>
            <w:r>
              <w:rPr>
                <w:rFonts w:ascii="宋体"/>
                <w:spacing w:val="-1"/>
                <w:sz w:val="15"/>
              </w:rPr>
              <w:t>10.00%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433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51" w:right="0"/>
              <w:jc w:val="left"/>
              <w:rPr>
                <w:rFonts w:ascii="宋体" w:hAnsi="宋体" w:cs="宋体" w:eastAsia="宋体" w:hint="default"/>
                <w:sz w:val="15"/>
                <w:szCs w:val="15"/>
              </w:rPr>
            </w:pPr>
            <w:r>
              <w:rPr>
                <w:rFonts w:ascii="宋体" w:hAnsi="宋体" w:cs="宋体" w:eastAsia="宋体" w:hint="default"/>
                <w:sz w:val="15"/>
                <w:szCs w:val="15"/>
              </w:rPr>
              <w:t>技术开发、转让、咨询、服务等</w:t>
            </w:r>
          </w:p>
        </w:tc>
      </w:tr>
      <w:tr>
        <w:trPr>
          <w:trHeight w:val="1572" w:hRule="exact"/>
        </w:trPr>
        <w:tc>
          <w:tcPr>
            <w:tcW w:w="2319"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1" w:right="53" w:hanging="12"/>
              <w:jc w:val="left"/>
              <w:rPr>
                <w:rFonts w:ascii="宋体" w:hAnsi="宋体" w:cs="宋体" w:eastAsia="宋体" w:hint="default"/>
                <w:sz w:val="15"/>
                <w:szCs w:val="15"/>
              </w:rPr>
            </w:pPr>
            <w:r>
              <w:rPr>
                <w:rFonts w:ascii="宋体" w:hAnsi="宋体" w:cs="宋体" w:eastAsia="宋体" w:hint="default"/>
                <w:spacing w:val="-2"/>
                <w:sz w:val="15"/>
                <w:szCs w:val="15"/>
              </w:rPr>
              <w:t>嘉峪关市智慧雄关信息科技有限责</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任公司</w:t>
            </w:r>
          </w:p>
        </w:tc>
        <w:tc>
          <w:tcPr>
            <w:tcW w:w="607"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105" w:right="0"/>
              <w:jc w:val="center"/>
              <w:rPr>
                <w:rFonts w:ascii="宋体" w:hAnsi="宋体" w:cs="宋体" w:eastAsia="宋体" w:hint="default"/>
                <w:sz w:val="15"/>
                <w:szCs w:val="15"/>
              </w:rPr>
            </w:pPr>
            <w:r>
              <w:rPr>
                <w:rFonts w:ascii="宋体"/>
                <w:sz w:val="15"/>
              </w:rPr>
              <w:t>12.00%</w:t>
            </w:r>
          </w:p>
        </w:tc>
        <w:tc>
          <w:tcPr>
            <w:tcW w:w="598"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44"/>
              <w:jc w:val="right"/>
              <w:rPr>
                <w:rFonts w:ascii="宋体" w:hAnsi="宋体" w:cs="宋体" w:eastAsia="宋体" w:hint="default"/>
                <w:sz w:val="15"/>
                <w:szCs w:val="15"/>
              </w:rPr>
            </w:pPr>
            <w:r>
              <w:rPr>
                <w:rFonts w:ascii="宋体"/>
                <w:spacing w:val="-1"/>
                <w:sz w:val="15"/>
              </w:rPr>
              <w:t>12.00%</w:t>
            </w:r>
          </w:p>
        </w:tc>
        <w:tc>
          <w:tcPr>
            <w:tcW w:w="700" w:type="dxa"/>
            <w:tcBorders>
              <w:top w:val="nil" w:sz="6" w:space="0" w:color="auto"/>
              <w:left w:val="nil" w:sz="6" w:space="0" w:color="auto"/>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26" w:right="49" w:hanging="180"/>
              <w:jc w:val="left"/>
              <w:rPr>
                <w:rFonts w:ascii="宋体" w:hAnsi="宋体" w:cs="宋体" w:eastAsia="宋体" w:hint="default"/>
                <w:sz w:val="15"/>
                <w:szCs w:val="15"/>
              </w:rPr>
            </w:pPr>
            <w:r>
              <w:rPr>
                <w:rFonts w:ascii="宋体" w:hAnsi="宋体" w:cs="宋体" w:eastAsia="宋体" w:hint="default"/>
                <w:spacing w:val="-1"/>
                <w:sz w:val="15"/>
                <w:szCs w:val="15"/>
              </w:rPr>
              <w:t>甘肃省嘉</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峪关</w:t>
            </w:r>
          </w:p>
        </w:tc>
        <w:tc>
          <w:tcPr>
            <w:tcW w:w="4338" w:type="dxa"/>
            <w:tcBorders>
              <w:top w:val="nil" w:sz="6" w:space="0" w:color="auto"/>
              <w:left w:val="nil" w:sz="6" w:space="0" w:color="auto"/>
              <w:bottom w:val="single" w:sz="12" w:space="0" w:color="000000"/>
              <w:right w:val="nil" w:sz="6" w:space="0" w:color="auto"/>
            </w:tcBorders>
          </w:tcPr>
          <w:p>
            <w:pPr>
              <w:pStyle w:val="TableParagraph"/>
              <w:spacing w:line="172" w:lineRule="exact"/>
              <w:ind w:left="51" w:right="0"/>
              <w:jc w:val="both"/>
              <w:rPr>
                <w:rFonts w:ascii="宋体" w:hAnsi="宋体" w:cs="宋体" w:eastAsia="宋体" w:hint="default"/>
                <w:sz w:val="15"/>
                <w:szCs w:val="15"/>
              </w:rPr>
            </w:pPr>
            <w:r>
              <w:rPr>
                <w:rFonts w:ascii="宋体" w:hAnsi="宋体" w:cs="宋体" w:eastAsia="宋体" w:hint="default"/>
                <w:sz w:val="15"/>
                <w:szCs w:val="15"/>
              </w:rPr>
              <w:t>计算机网络领域内项目运营、技术开发、技术服务、技术推广、</w:t>
            </w:r>
          </w:p>
          <w:p>
            <w:pPr>
              <w:pStyle w:val="TableParagraph"/>
              <w:spacing w:line="240" w:lineRule="auto"/>
              <w:ind w:left="51" w:right="69"/>
              <w:jc w:val="both"/>
              <w:rPr>
                <w:rFonts w:ascii="宋体" w:hAnsi="宋体" w:cs="宋体" w:eastAsia="宋体" w:hint="default"/>
                <w:sz w:val="15"/>
                <w:szCs w:val="15"/>
              </w:rPr>
            </w:pPr>
            <w:r>
              <w:rPr>
                <w:rFonts w:ascii="宋体" w:hAnsi="宋体" w:cs="宋体" w:eastAsia="宋体" w:hint="default"/>
                <w:spacing w:val="-1"/>
                <w:sz w:val="15"/>
                <w:szCs w:val="15"/>
              </w:rPr>
              <w:t>技术咨询、技术转让、信息系统集成；安防系统开发、运用、咨</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pacing w:val="-1"/>
                <w:sz w:val="15"/>
                <w:szCs w:val="15"/>
              </w:rPr>
              <w:t>询服务；节能设备研发、批发零售；节能技术开发及咨询服务，</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pacing w:val="-1"/>
                <w:sz w:val="15"/>
                <w:szCs w:val="15"/>
              </w:rPr>
              <w:t>智能化系统设备运行维护服务；建筑工程；通信工程；智能化工</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pacing w:val="-1"/>
                <w:sz w:val="15"/>
                <w:szCs w:val="15"/>
              </w:rPr>
              <w:t>程；安防工程；企业策划；会展服务；招标代理；广告设计、制</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pacing w:val="-1"/>
                <w:sz w:val="15"/>
                <w:szCs w:val="15"/>
              </w:rPr>
              <w:t>作、发布；接手金融机构委托从事金融信息技术外包服务、金融</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pacing w:val="-1"/>
                <w:sz w:val="15"/>
                <w:szCs w:val="15"/>
              </w:rPr>
              <w:t>知识流程外包服务；电子商务；文化技术交流策划；旅游产品开</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z w:val="15"/>
                <w:szCs w:val="15"/>
              </w:rPr>
              <w:t>发、批发零售</w:t>
            </w:r>
          </w:p>
        </w:tc>
      </w:tr>
    </w:tbl>
    <w:p>
      <w:pPr>
        <w:spacing w:after="0" w:line="240" w:lineRule="auto"/>
        <w:jc w:val="both"/>
        <w:rPr>
          <w:rFonts w:ascii="宋体" w:hAnsi="宋体" w:cs="宋体" w:eastAsia="宋体" w:hint="default"/>
          <w:sz w:val="15"/>
          <w:szCs w:val="15"/>
        </w:rPr>
        <w:sectPr>
          <w:type w:val="continuous"/>
          <w:pgSz w:w="11910" w:h="16840"/>
          <w:pgMar w:top="1000" w:bottom="280" w:left="1540" w:right="1540"/>
        </w:sectPr>
      </w:pPr>
    </w:p>
    <w:p>
      <w:pPr>
        <w:spacing w:line="240" w:lineRule="auto" w:before="4"/>
        <w:rPr>
          <w:rFonts w:ascii="Times New Roman" w:hAnsi="Times New Roman" w:cs="Times New Roman" w:eastAsia="Times New Roman"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2393"/>
        <w:gridCol w:w="569"/>
        <w:gridCol w:w="541"/>
        <w:gridCol w:w="738"/>
        <w:gridCol w:w="4322"/>
      </w:tblGrid>
      <w:tr>
        <w:trPr>
          <w:trHeight w:val="408" w:hRule="exact"/>
        </w:trPr>
        <w:tc>
          <w:tcPr>
            <w:tcW w:w="2393" w:type="dxa"/>
            <w:tcBorders>
              <w:top w:val="single" w:sz="12" w:space="0" w:color="000000"/>
              <w:left w:val="nil" w:sz="6" w:space="0" w:color="auto"/>
              <w:bottom w:val="single" w:sz="4" w:space="0" w:color="000000"/>
              <w:right w:val="nil" w:sz="6" w:space="0" w:color="auto"/>
            </w:tcBorders>
          </w:tcPr>
          <w:p>
            <w:pPr>
              <w:pStyle w:val="TableParagraph"/>
              <w:spacing w:line="240" w:lineRule="auto" w:before="74"/>
              <w:ind w:left="633" w:right="0"/>
              <w:jc w:val="left"/>
              <w:rPr>
                <w:rFonts w:ascii="宋体" w:hAnsi="宋体" w:cs="宋体" w:eastAsia="宋体" w:hint="default"/>
                <w:sz w:val="15"/>
                <w:szCs w:val="15"/>
              </w:rPr>
            </w:pPr>
            <w:r>
              <w:rPr>
                <w:rFonts w:ascii="宋体" w:hAnsi="宋体" w:cs="宋体" w:eastAsia="宋体" w:hint="default"/>
                <w:b/>
                <w:bCs/>
                <w:sz w:val="15"/>
                <w:szCs w:val="15"/>
              </w:rPr>
              <w:t>被投资企业名称</w:t>
            </w:r>
            <w:r>
              <w:rPr>
                <w:rFonts w:ascii="宋体" w:hAnsi="宋体" w:cs="宋体" w:eastAsia="宋体" w:hint="default"/>
                <w:sz w:val="15"/>
                <w:szCs w:val="15"/>
              </w:rPr>
            </w:r>
          </w:p>
        </w:tc>
        <w:tc>
          <w:tcPr>
            <w:tcW w:w="569" w:type="dxa"/>
            <w:tcBorders>
              <w:top w:val="single" w:sz="12" w:space="0" w:color="000000"/>
              <w:left w:val="nil" w:sz="6" w:space="0" w:color="auto"/>
              <w:bottom w:val="single" w:sz="4" w:space="0" w:color="000000"/>
              <w:right w:val="nil" w:sz="6" w:space="0" w:color="auto"/>
            </w:tcBorders>
          </w:tcPr>
          <w:p>
            <w:pPr>
              <w:pStyle w:val="TableParagraph"/>
              <w:spacing w:line="171" w:lineRule="exact"/>
              <w:ind w:left="148" w:right="0" w:hanging="75"/>
              <w:jc w:val="left"/>
              <w:rPr>
                <w:rFonts w:ascii="宋体" w:hAnsi="宋体" w:cs="宋体" w:eastAsia="宋体" w:hint="default"/>
                <w:sz w:val="15"/>
                <w:szCs w:val="15"/>
              </w:rPr>
            </w:pPr>
            <w:r>
              <w:rPr>
                <w:rFonts w:ascii="宋体" w:hAnsi="宋体" w:cs="宋体" w:eastAsia="宋体" w:hint="default"/>
                <w:b/>
                <w:bCs/>
                <w:sz w:val="15"/>
                <w:szCs w:val="15"/>
              </w:rPr>
              <w:t>表决</w:t>
            </w:r>
            <w:r>
              <w:rPr>
                <w:rFonts w:ascii="宋体" w:hAnsi="宋体" w:cs="宋体" w:eastAsia="宋体" w:hint="default"/>
                <w:sz w:val="15"/>
                <w:szCs w:val="15"/>
              </w:rPr>
            </w:r>
          </w:p>
          <w:p>
            <w:pPr>
              <w:pStyle w:val="TableParagraph"/>
              <w:spacing w:line="195" w:lineRule="exact"/>
              <w:ind w:left="148" w:right="0"/>
              <w:jc w:val="left"/>
              <w:rPr>
                <w:rFonts w:ascii="宋体" w:hAnsi="宋体" w:cs="宋体" w:eastAsia="宋体" w:hint="default"/>
                <w:sz w:val="15"/>
                <w:szCs w:val="15"/>
              </w:rPr>
            </w:pPr>
            <w:r>
              <w:rPr>
                <w:rFonts w:ascii="宋体" w:hAnsi="宋体" w:cs="宋体" w:eastAsia="宋体" w:hint="default"/>
                <w:b/>
                <w:bCs/>
                <w:w w:val="100"/>
                <w:sz w:val="15"/>
                <w:szCs w:val="15"/>
              </w:rPr>
              <w:t>权</w:t>
            </w:r>
            <w:r>
              <w:rPr>
                <w:rFonts w:ascii="宋体" w:hAnsi="宋体" w:cs="宋体" w:eastAsia="宋体" w:hint="default"/>
                <w:w w:val="100"/>
                <w:sz w:val="15"/>
                <w:szCs w:val="15"/>
              </w:rPr>
            </w:r>
          </w:p>
        </w:tc>
        <w:tc>
          <w:tcPr>
            <w:tcW w:w="541" w:type="dxa"/>
            <w:tcBorders>
              <w:top w:val="single" w:sz="12" w:space="0" w:color="000000"/>
              <w:left w:val="nil" w:sz="6" w:space="0" w:color="auto"/>
              <w:bottom w:val="single" w:sz="4" w:space="0" w:color="000000"/>
              <w:right w:val="nil" w:sz="6" w:space="0" w:color="auto"/>
            </w:tcBorders>
          </w:tcPr>
          <w:p>
            <w:pPr>
              <w:pStyle w:val="TableParagraph"/>
              <w:spacing w:line="171" w:lineRule="exact"/>
              <w:ind w:left="160" w:right="0" w:hanging="75"/>
              <w:jc w:val="left"/>
              <w:rPr>
                <w:rFonts w:ascii="宋体" w:hAnsi="宋体" w:cs="宋体" w:eastAsia="宋体" w:hint="default"/>
                <w:sz w:val="15"/>
                <w:szCs w:val="15"/>
              </w:rPr>
            </w:pPr>
            <w:r>
              <w:rPr>
                <w:rFonts w:ascii="宋体" w:hAnsi="宋体" w:cs="宋体" w:eastAsia="宋体" w:hint="default"/>
                <w:b/>
                <w:bCs/>
                <w:sz w:val="15"/>
                <w:szCs w:val="15"/>
              </w:rPr>
              <w:t>投票</w:t>
            </w:r>
            <w:r>
              <w:rPr>
                <w:rFonts w:ascii="宋体" w:hAnsi="宋体" w:cs="宋体" w:eastAsia="宋体" w:hint="default"/>
                <w:sz w:val="15"/>
                <w:szCs w:val="15"/>
              </w:rPr>
            </w:r>
          </w:p>
          <w:p>
            <w:pPr>
              <w:pStyle w:val="TableParagraph"/>
              <w:spacing w:line="195" w:lineRule="exact"/>
              <w:ind w:left="160" w:right="0"/>
              <w:jc w:val="left"/>
              <w:rPr>
                <w:rFonts w:ascii="宋体" w:hAnsi="宋体" w:cs="宋体" w:eastAsia="宋体" w:hint="default"/>
                <w:sz w:val="15"/>
                <w:szCs w:val="15"/>
              </w:rPr>
            </w:pPr>
            <w:r>
              <w:rPr>
                <w:rFonts w:ascii="宋体" w:hAnsi="宋体" w:cs="宋体" w:eastAsia="宋体" w:hint="default"/>
                <w:b/>
                <w:bCs/>
                <w:w w:val="100"/>
                <w:sz w:val="15"/>
                <w:szCs w:val="15"/>
              </w:rPr>
              <w:t>权</w:t>
            </w:r>
            <w:r>
              <w:rPr>
                <w:rFonts w:ascii="宋体" w:hAnsi="宋体" w:cs="宋体" w:eastAsia="宋体" w:hint="default"/>
                <w:w w:val="100"/>
                <w:sz w:val="15"/>
                <w:szCs w:val="15"/>
              </w:rPr>
            </w:r>
          </w:p>
        </w:tc>
        <w:tc>
          <w:tcPr>
            <w:tcW w:w="738" w:type="dxa"/>
            <w:tcBorders>
              <w:top w:val="single" w:sz="12" w:space="0" w:color="000000"/>
              <w:left w:val="nil" w:sz="6" w:space="0" w:color="auto"/>
              <w:bottom w:val="single" w:sz="4" w:space="0" w:color="000000"/>
              <w:right w:val="nil" w:sz="6" w:space="0" w:color="auto"/>
            </w:tcBorders>
          </w:tcPr>
          <w:p>
            <w:pPr>
              <w:pStyle w:val="TableParagraph"/>
              <w:spacing w:line="171" w:lineRule="exact"/>
              <w:ind w:right="11"/>
              <w:jc w:val="center"/>
              <w:rPr>
                <w:rFonts w:ascii="宋体" w:hAnsi="宋体" w:cs="宋体" w:eastAsia="宋体" w:hint="default"/>
                <w:sz w:val="15"/>
                <w:szCs w:val="15"/>
              </w:rPr>
            </w:pPr>
            <w:r>
              <w:rPr>
                <w:rFonts w:ascii="宋体" w:hAnsi="宋体" w:cs="宋体" w:eastAsia="宋体" w:hint="default"/>
                <w:b/>
                <w:bCs/>
                <w:sz w:val="15"/>
                <w:szCs w:val="15"/>
              </w:rPr>
              <w:t>注册地</w:t>
            </w:r>
            <w:r>
              <w:rPr>
                <w:rFonts w:ascii="宋体" w:hAnsi="宋体" w:cs="宋体" w:eastAsia="宋体" w:hint="default"/>
                <w:sz w:val="15"/>
                <w:szCs w:val="15"/>
              </w:rPr>
            </w:r>
          </w:p>
          <w:p>
            <w:pPr>
              <w:pStyle w:val="TableParagraph"/>
              <w:spacing w:line="195" w:lineRule="exact"/>
              <w:ind w:right="11"/>
              <w:jc w:val="center"/>
              <w:rPr>
                <w:rFonts w:ascii="宋体" w:hAnsi="宋体" w:cs="宋体" w:eastAsia="宋体" w:hint="default"/>
                <w:sz w:val="15"/>
                <w:szCs w:val="15"/>
              </w:rPr>
            </w:pPr>
            <w:r>
              <w:rPr>
                <w:rFonts w:ascii="宋体" w:hAnsi="宋体" w:cs="宋体" w:eastAsia="宋体" w:hint="default"/>
                <w:b/>
                <w:bCs/>
                <w:w w:val="100"/>
                <w:sz w:val="15"/>
                <w:szCs w:val="15"/>
              </w:rPr>
              <w:t>址</w:t>
            </w:r>
            <w:r>
              <w:rPr>
                <w:rFonts w:ascii="宋体" w:hAnsi="宋体" w:cs="宋体" w:eastAsia="宋体" w:hint="default"/>
                <w:w w:val="100"/>
                <w:sz w:val="15"/>
                <w:szCs w:val="15"/>
              </w:rPr>
            </w:r>
          </w:p>
        </w:tc>
        <w:tc>
          <w:tcPr>
            <w:tcW w:w="4322" w:type="dxa"/>
            <w:tcBorders>
              <w:top w:val="single" w:sz="12" w:space="0" w:color="000000"/>
              <w:left w:val="nil" w:sz="6" w:space="0" w:color="auto"/>
              <w:bottom w:val="single" w:sz="4" w:space="0" w:color="000000"/>
              <w:right w:val="nil" w:sz="6" w:space="0" w:color="auto"/>
            </w:tcBorders>
          </w:tcPr>
          <w:p>
            <w:pPr>
              <w:pStyle w:val="TableParagraph"/>
              <w:spacing w:line="240" w:lineRule="auto" w:before="74"/>
              <w:ind w:right="18"/>
              <w:jc w:val="center"/>
              <w:rPr>
                <w:rFonts w:ascii="宋体" w:hAnsi="宋体" w:cs="宋体" w:eastAsia="宋体" w:hint="default"/>
                <w:sz w:val="15"/>
                <w:szCs w:val="15"/>
              </w:rPr>
            </w:pPr>
            <w:r>
              <w:rPr>
                <w:rFonts w:ascii="宋体" w:hAnsi="宋体" w:cs="宋体" w:eastAsia="宋体" w:hint="default"/>
                <w:b/>
                <w:bCs/>
                <w:sz w:val="15"/>
                <w:szCs w:val="15"/>
              </w:rPr>
              <w:t>主营业务</w:t>
            </w:r>
            <w:r>
              <w:rPr>
                <w:rFonts w:ascii="宋体" w:hAnsi="宋体" w:cs="宋体" w:eastAsia="宋体" w:hint="default"/>
                <w:sz w:val="15"/>
                <w:szCs w:val="15"/>
              </w:rPr>
            </w:r>
          </w:p>
        </w:tc>
      </w:tr>
      <w:tr>
        <w:trPr>
          <w:trHeight w:val="804" w:hRule="exact"/>
        </w:trPr>
        <w:tc>
          <w:tcPr>
            <w:tcW w:w="239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9" w:right="0"/>
              <w:jc w:val="left"/>
              <w:rPr>
                <w:rFonts w:ascii="宋体" w:hAnsi="宋体" w:cs="宋体" w:eastAsia="宋体" w:hint="default"/>
                <w:sz w:val="15"/>
                <w:szCs w:val="15"/>
              </w:rPr>
            </w:pPr>
            <w:r>
              <w:rPr>
                <w:rFonts w:ascii="宋体" w:hAnsi="宋体" w:cs="宋体" w:eastAsia="宋体" w:hint="default"/>
                <w:sz w:val="15"/>
                <w:szCs w:val="15"/>
              </w:rPr>
              <w:t>上海魁马科技有限公司</w:t>
            </w:r>
          </w:p>
        </w:tc>
        <w:tc>
          <w:tcPr>
            <w:tcW w:w="56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right="4"/>
              <w:jc w:val="center"/>
              <w:rPr>
                <w:rFonts w:ascii="宋体" w:hAnsi="宋体" w:cs="宋体" w:eastAsia="宋体" w:hint="default"/>
                <w:sz w:val="15"/>
                <w:szCs w:val="15"/>
              </w:rPr>
            </w:pPr>
            <w:r>
              <w:rPr>
                <w:rFonts w:ascii="宋体"/>
                <w:sz w:val="15"/>
              </w:rPr>
              <w:t>30.00%</w:t>
            </w:r>
          </w:p>
        </w:tc>
        <w:tc>
          <w:tcPr>
            <w:tcW w:w="54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61" w:right="0"/>
              <w:jc w:val="left"/>
              <w:rPr>
                <w:rFonts w:ascii="宋体" w:hAnsi="宋体" w:cs="宋体" w:eastAsia="宋体" w:hint="default"/>
                <w:sz w:val="15"/>
                <w:szCs w:val="15"/>
              </w:rPr>
            </w:pPr>
            <w:r>
              <w:rPr>
                <w:rFonts w:ascii="宋体"/>
                <w:sz w:val="15"/>
              </w:rPr>
              <w:t>30.00%</w:t>
            </w:r>
          </w:p>
        </w:tc>
        <w:tc>
          <w:tcPr>
            <w:tcW w:w="738"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319" w:right="67" w:hanging="255"/>
              <w:jc w:val="left"/>
              <w:rPr>
                <w:rFonts w:ascii="宋体" w:hAnsi="宋体" w:cs="宋体" w:eastAsia="宋体" w:hint="default"/>
                <w:sz w:val="15"/>
                <w:szCs w:val="15"/>
              </w:rPr>
            </w:pPr>
            <w:r>
              <w:rPr>
                <w:rFonts w:ascii="宋体" w:hAnsi="宋体" w:cs="宋体" w:eastAsia="宋体" w:hint="default"/>
                <w:sz w:val="15"/>
                <w:szCs w:val="15"/>
              </w:rPr>
              <w:t>上海市嘉</w:t>
            </w:r>
            <w:r>
              <w:rPr>
                <w:rFonts w:ascii="宋体" w:hAnsi="宋体" w:cs="宋体" w:eastAsia="宋体" w:hint="default"/>
                <w:w w:val="100"/>
                <w:sz w:val="15"/>
                <w:szCs w:val="15"/>
              </w:rPr>
              <w:t> </w:t>
            </w:r>
            <w:r>
              <w:rPr>
                <w:rFonts w:ascii="宋体" w:hAnsi="宋体" w:cs="宋体" w:eastAsia="宋体" w:hint="default"/>
                <w:sz w:val="15"/>
                <w:szCs w:val="15"/>
              </w:rPr>
              <w:t>定</w:t>
            </w:r>
          </w:p>
        </w:tc>
        <w:tc>
          <w:tcPr>
            <w:tcW w:w="4322" w:type="dxa"/>
            <w:tcBorders>
              <w:top w:val="single" w:sz="4" w:space="0" w:color="000000"/>
              <w:left w:val="nil" w:sz="6" w:space="0" w:color="auto"/>
              <w:bottom w:val="nil" w:sz="6" w:space="0" w:color="auto"/>
              <w:right w:val="nil" w:sz="6" w:space="0" w:color="auto"/>
            </w:tcBorders>
          </w:tcPr>
          <w:p>
            <w:pPr>
              <w:pStyle w:val="TableParagraph"/>
              <w:spacing w:line="174" w:lineRule="exact"/>
              <w:ind w:left="33" w:right="0"/>
              <w:jc w:val="both"/>
              <w:rPr>
                <w:rFonts w:ascii="宋体" w:hAnsi="宋体" w:cs="宋体" w:eastAsia="宋体" w:hint="default"/>
                <w:sz w:val="15"/>
                <w:szCs w:val="15"/>
              </w:rPr>
            </w:pPr>
            <w:r>
              <w:rPr>
                <w:rFonts w:ascii="宋体" w:hAnsi="宋体" w:cs="宋体" w:eastAsia="宋体" w:hint="default"/>
                <w:sz w:val="15"/>
                <w:szCs w:val="15"/>
              </w:rPr>
              <w:t>从事计算机技术、网络技术、智能技术、环保技术领域内的技术</w:t>
            </w:r>
          </w:p>
          <w:p>
            <w:pPr>
              <w:pStyle w:val="TableParagraph"/>
              <w:spacing w:line="240" w:lineRule="auto"/>
              <w:ind w:left="33" w:right="72"/>
              <w:jc w:val="both"/>
              <w:rPr>
                <w:rFonts w:ascii="宋体" w:hAnsi="宋体" w:cs="宋体" w:eastAsia="宋体" w:hint="default"/>
                <w:sz w:val="15"/>
                <w:szCs w:val="15"/>
              </w:rPr>
            </w:pPr>
            <w:r>
              <w:rPr>
                <w:rFonts w:ascii="宋体" w:hAnsi="宋体" w:cs="宋体" w:eastAsia="宋体" w:hint="default"/>
                <w:spacing w:val="-1"/>
                <w:sz w:val="15"/>
                <w:szCs w:val="15"/>
              </w:rPr>
              <w:t>开发、技术转让、技术咨询、技术服务，网络工程，计算机、电</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pacing w:val="-1"/>
                <w:sz w:val="15"/>
                <w:szCs w:val="15"/>
              </w:rPr>
              <w:t>子设备的租赁，计算机、软件及辅助设备，电子产品、办公用品</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z w:val="15"/>
                <w:szCs w:val="15"/>
              </w:rPr>
              <w:t>的销售</w:t>
            </w:r>
          </w:p>
        </w:tc>
      </w:tr>
      <w:tr>
        <w:trPr>
          <w:trHeight w:val="232"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192" w:lineRule="exact"/>
              <w:ind w:left="9" w:right="0"/>
              <w:jc w:val="left"/>
              <w:rPr>
                <w:rFonts w:ascii="宋体" w:hAnsi="宋体" w:cs="宋体" w:eastAsia="宋体" w:hint="default"/>
                <w:sz w:val="15"/>
                <w:szCs w:val="15"/>
              </w:rPr>
            </w:pPr>
            <w:r>
              <w:rPr>
                <w:rFonts w:ascii="宋体" w:hAnsi="宋体" w:cs="宋体" w:eastAsia="宋体" w:hint="default"/>
                <w:sz w:val="15"/>
                <w:szCs w:val="15"/>
              </w:rPr>
              <w:t>深圳市倍测科技有限公司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192" w:lineRule="exact"/>
              <w:ind w:right="4"/>
              <w:jc w:val="center"/>
              <w:rPr>
                <w:rFonts w:ascii="宋体" w:hAnsi="宋体" w:cs="宋体" w:eastAsia="宋体" w:hint="default"/>
                <w:sz w:val="15"/>
                <w:szCs w:val="15"/>
              </w:rPr>
            </w:pPr>
            <w:r>
              <w:rPr>
                <w:rFonts w:ascii="宋体"/>
                <w:sz w:val="15"/>
              </w:rPr>
              <w:t>21.00%</w:t>
            </w:r>
          </w:p>
        </w:tc>
        <w:tc>
          <w:tcPr>
            <w:tcW w:w="541" w:type="dxa"/>
            <w:tcBorders>
              <w:top w:val="nil" w:sz="6" w:space="0" w:color="auto"/>
              <w:left w:val="nil" w:sz="6" w:space="0" w:color="auto"/>
              <w:bottom w:val="nil" w:sz="6" w:space="0" w:color="auto"/>
              <w:right w:val="nil" w:sz="6" w:space="0" w:color="auto"/>
            </w:tcBorders>
          </w:tcPr>
          <w:p>
            <w:pPr>
              <w:pStyle w:val="TableParagraph"/>
              <w:spacing w:line="192" w:lineRule="exact"/>
              <w:ind w:left="61" w:right="0"/>
              <w:jc w:val="left"/>
              <w:rPr>
                <w:rFonts w:ascii="宋体" w:hAnsi="宋体" w:cs="宋体" w:eastAsia="宋体" w:hint="default"/>
                <w:sz w:val="15"/>
                <w:szCs w:val="15"/>
              </w:rPr>
            </w:pPr>
            <w:r>
              <w:rPr>
                <w:rFonts w:ascii="宋体"/>
                <w:sz w:val="15"/>
              </w:rPr>
              <w:t>21.00%</w:t>
            </w:r>
          </w:p>
        </w:tc>
        <w:tc>
          <w:tcPr>
            <w:tcW w:w="738" w:type="dxa"/>
            <w:tcBorders>
              <w:top w:val="nil" w:sz="6" w:space="0" w:color="auto"/>
              <w:left w:val="nil" w:sz="6" w:space="0" w:color="auto"/>
              <w:bottom w:val="nil" w:sz="6" w:space="0" w:color="auto"/>
              <w:right w:val="nil" w:sz="6" w:space="0" w:color="auto"/>
            </w:tcBorders>
          </w:tcPr>
          <w:p>
            <w:pPr>
              <w:pStyle w:val="TableParagraph"/>
              <w:spacing w:line="192" w:lineRule="exact"/>
              <w:ind w:right="2"/>
              <w:jc w:val="center"/>
              <w:rPr>
                <w:rFonts w:ascii="宋体" w:hAnsi="宋体" w:cs="宋体" w:eastAsia="宋体" w:hint="default"/>
                <w:sz w:val="15"/>
                <w:szCs w:val="15"/>
              </w:rPr>
            </w:pPr>
            <w:r>
              <w:rPr>
                <w:rFonts w:ascii="宋体" w:hAnsi="宋体" w:cs="宋体" w:eastAsia="宋体" w:hint="default"/>
                <w:sz w:val="15"/>
                <w:szCs w:val="15"/>
              </w:rPr>
              <w:t>广东深圳</w:t>
            </w:r>
          </w:p>
        </w:tc>
        <w:tc>
          <w:tcPr>
            <w:tcW w:w="4322" w:type="dxa"/>
            <w:tcBorders>
              <w:top w:val="nil" w:sz="6" w:space="0" w:color="auto"/>
              <w:left w:val="nil" w:sz="6" w:space="0" w:color="auto"/>
              <w:bottom w:val="nil" w:sz="6" w:space="0" w:color="auto"/>
              <w:right w:val="nil" w:sz="6" w:space="0" w:color="auto"/>
            </w:tcBorders>
          </w:tcPr>
          <w:p>
            <w:pPr>
              <w:pStyle w:val="TableParagraph"/>
              <w:spacing w:line="192" w:lineRule="exact"/>
              <w:ind w:left="33" w:right="0"/>
              <w:jc w:val="left"/>
              <w:rPr>
                <w:rFonts w:ascii="宋体" w:hAnsi="宋体" w:cs="宋体" w:eastAsia="宋体" w:hint="default"/>
                <w:sz w:val="15"/>
                <w:szCs w:val="15"/>
              </w:rPr>
            </w:pPr>
            <w:r>
              <w:rPr>
                <w:rFonts w:ascii="宋体" w:hAnsi="宋体" w:cs="宋体" w:eastAsia="宋体" w:hint="default"/>
                <w:sz w:val="15"/>
                <w:szCs w:val="15"/>
              </w:rPr>
              <w:t>计算机软件的技术开发；投资兴办实业</w:t>
            </w:r>
          </w:p>
        </w:tc>
      </w:tr>
      <w:tr>
        <w:trPr>
          <w:trHeight w:val="620"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9" w:right="0"/>
              <w:jc w:val="left"/>
              <w:rPr>
                <w:rFonts w:ascii="宋体" w:hAnsi="宋体" w:cs="宋体" w:eastAsia="宋体" w:hint="default"/>
                <w:sz w:val="15"/>
                <w:szCs w:val="15"/>
              </w:rPr>
            </w:pPr>
            <w:r>
              <w:rPr>
                <w:rFonts w:ascii="宋体" w:hAnsi="宋体" w:cs="宋体" w:eastAsia="宋体" w:hint="default"/>
                <w:sz w:val="15"/>
                <w:szCs w:val="15"/>
              </w:rPr>
              <w:t>深圳市五色检测技术服务有限公司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4"/>
              <w:jc w:val="center"/>
              <w:rPr>
                <w:rFonts w:ascii="宋体" w:hAnsi="宋体" w:cs="宋体" w:eastAsia="宋体" w:hint="default"/>
                <w:sz w:val="15"/>
                <w:szCs w:val="15"/>
              </w:rPr>
            </w:pPr>
            <w:r>
              <w:rPr>
                <w:rFonts w:ascii="宋体"/>
                <w:sz w:val="15"/>
              </w:rPr>
              <w:t>32.00%</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61" w:right="0"/>
              <w:jc w:val="left"/>
              <w:rPr>
                <w:rFonts w:ascii="宋体" w:hAnsi="宋体" w:cs="宋体" w:eastAsia="宋体" w:hint="default"/>
                <w:sz w:val="15"/>
                <w:szCs w:val="15"/>
              </w:rPr>
            </w:pPr>
            <w:r>
              <w:rPr>
                <w:rFonts w:ascii="宋体"/>
                <w:sz w:val="15"/>
              </w:rPr>
              <w:t>32.00%</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广东深圳</w:t>
            </w:r>
          </w:p>
        </w:tc>
        <w:tc>
          <w:tcPr>
            <w:tcW w:w="4322" w:type="dxa"/>
            <w:tcBorders>
              <w:top w:val="nil" w:sz="6" w:space="0" w:color="auto"/>
              <w:left w:val="nil" w:sz="6" w:space="0" w:color="auto"/>
              <w:bottom w:val="nil" w:sz="6" w:space="0" w:color="auto"/>
              <w:right w:val="nil" w:sz="6" w:space="0" w:color="auto"/>
            </w:tcBorders>
          </w:tcPr>
          <w:p>
            <w:pPr>
              <w:pStyle w:val="TableParagraph"/>
              <w:spacing w:line="194" w:lineRule="exact" w:before="14"/>
              <w:ind w:left="33" w:right="72"/>
              <w:jc w:val="both"/>
              <w:rPr>
                <w:rFonts w:ascii="宋体" w:hAnsi="宋体" w:cs="宋体" w:eastAsia="宋体" w:hint="default"/>
                <w:sz w:val="15"/>
                <w:szCs w:val="15"/>
              </w:rPr>
            </w:pPr>
            <w:r>
              <w:rPr>
                <w:rFonts w:ascii="宋体" w:hAnsi="宋体" w:cs="宋体" w:eastAsia="宋体" w:hint="default"/>
                <w:spacing w:val="-1"/>
                <w:sz w:val="15"/>
                <w:szCs w:val="15"/>
              </w:rPr>
              <w:t>污染场地修复的技术开发、技术推广、技术咨询、技术服务、技</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pacing w:val="-1"/>
                <w:sz w:val="15"/>
                <w:szCs w:val="15"/>
              </w:rPr>
              <w:t>术转让；污染场地修复及检测设备和仪器的研发、制造与销售；</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z w:val="15"/>
                <w:szCs w:val="15"/>
              </w:rPr>
              <w:t>环境监测、环境监测系统运营</w:t>
            </w:r>
          </w:p>
        </w:tc>
      </w:tr>
      <w:tr>
        <w:trPr>
          <w:trHeight w:val="252"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192" w:lineRule="exact"/>
              <w:ind w:left="9" w:right="0"/>
              <w:jc w:val="left"/>
              <w:rPr>
                <w:rFonts w:ascii="宋体" w:hAnsi="宋体" w:cs="宋体" w:eastAsia="宋体" w:hint="default"/>
                <w:sz w:val="15"/>
                <w:szCs w:val="15"/>
              </w:rPr>
            </w:pPr>
            <w:r>
              <w:rPr>
                <w:rFonts w:ascii="宋体" w:hAnsi="宋体" w:cs="宋体" w:eastAsia="宋体" w:hint="default"/>
                <w:sz w:val="15"/>
                <w:szCs w:val="15"/>
              </w:rPr>
              <w:t>北京文录激光科技有限公司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192" w:lineRule="exact"/>
              <w:ind w:right="4"/>
              <w:jc w:val="center"/>
              <w:rPr>
                <w:rFonts w:ascii="宋体" w:hAnsi="宋体" w:cs="宋体" w:eastAsia="宋体" w:hint="default"/>
                <w:sz w:val="15"/>
                <w:szCs w:val="15"/>
              </w:rPr>
            </w:pPr>
            <w:r>
              <w:rPr>
                <w:rFonts w:ascii="宋体"/>
                <w:sz w:val="15"/>
              </w:rPr>
              <w:t>20.00%</w:t>
            </w:r>
          </w:p>
        </w:tc>
        <w:tc>
          <w:tcPr>
            <w:tcW w:w="541" w:type="dxa"/>
            <w:tcBorders>
              <w:top w:val="nil" w:sz="6" w:space="0" w:color="auto"/>
              <w:left w:val="nil" w:sz="6" w:space="0" w:color="auto"/>
              <w:bottom w:val="nil" w:sz="6" w:space="0" w:color="auto"/>
              <w:right w:val="nil" w:sz="6" w:space="0" w:color="auto"/>
            </w:tcBorders>
          </w:tcPr>
          <w:p>
            <w:pPr>
              <w:pStyle w:val="TableParagraph"/>
              <w:spacing w:line="192" w:lineRule="exact"/>
              <w:ind w:left="61" w:right="0"/>
              <w:jc w:val="left"/>
              <w:rPr>
                <w:rFonts w:ascii="宋体" w:hAnsi="宋体" w:cs="宋体" w:eastAsia="宋体" w:hint="default"/>
                <w:sz w:val="15"/>
                <w:szCs w:val="15"/>
              </w:rPr>
            </w:pPr>
            <w:r>
              <w:rPr>
                <w:rFonts w:ascii="宋体"/>
                <w:sz w:val="15"/>
              </w:rPr>
              <w:t>20.00%</w:t>
            </w:r>
          </w:p>
        </w:tc>
        <w:tc>
          <w:tcPr>
            <w:tcW w:w="738" w:type="dxa"/>
            <w:tcBorders>
              <w:top w:val="nil" w:sz="6" w:space="0" w:color="auto"/>
              <w:left w:val="nil" w:sz="6" w:space="0" w:color="auto"/>
              <w:bottom w:val="nil" w:sz="6" w:space="0" w:color="auto"/>
              <w:right w:val="nil" w:sz="6" w:space="0" w:color="auto"/>
            </w:tcBorders>
          </w:tcPr>
          <w:p>
            <w:pPr>
              <w:pStyle w:val="TableParagraph"/>
              <w:spacing w:line="192" w:lineRule="exact"/>
              <w:ind w:right="2"/>
              <w:jc w:val="center"/>
              <w:rPr>
                <w:rFonts w:ascii="宋体" w:hAnsi="宋体" w:cs="宋体" w:eastAsia="宋体" w:hint="default"/>
                <w:sz w:val="15"/>
                <w:szCs w:val="15"/>
              </w:rPr>
            </w:pPr>
            <w:r>
              <w:rPr>
                <w:rFonts w:ascii="宋体" w:hAnsi="宋体" w:cs="宋体" w:eastAsia="宋体" w:hint="default"/>
                <w:sz w:val="15"/>
                <w:szCs w:val="15"/>
              </w:rPr>
              <w:t>北京昌平</w:t>
            </w:r>
          </w:p>
        </w:tc>
        <w:tc>
          <w:tcPr>
            <w:tcW w:w="4322" w:type="dxa"/>
            <w:tcBorders>
              <w:top w:val="nil" w:sz="6" w:space="0" w:color="auto"/>
              <w:left w:val="nil" w:sz="6" w:space="0" w:color="auto"/>
              <w:bottom w:val="nil" w:sz="6" w:space="0" w:color="auto"/>
              <w:right w:val="nil" w:sz="6" w:space="0" w:color="auto"/>
            </w:tcBorders>
          </w:tcPr>
          <w:p>
            <w:pPr>
              <w:pStyle w:val="TableParagraph"/>
              <w:spacing w:line="192" w:lineRule="exact"/>
              <w:ind w:left="33" w:right="0"/>
              <w:jc w:val="left"/>
              <w:rPr>
                <w:rFonts w:ascii="宋体" w:hAnsi="宋体" w:cs="宋体" w:eastAsia="宋体" w:hint="default"/>
                <w:sz w:val="15"/>
                <w:szCs w:val="15"/>
              </w:rPr>
            </w:pPr>
            <w:r>
              <w:rPr>
                <w:rFonts w:ascii="宋体" w:hAnsi="宋体" w:cs="宋体" w:eastAsia="宋体" w:hint="default"/>
                <w:sz w:val="15"/>
                <w:szCs w:val="15"/>
              </w:rPr>
              <w:t>激光数码储存电子盘复制</w:t>
            </w:r>
          </w:p>
        </w:tc>
      </w:tr>
      <w:tr>
        <w:trPr>
          <w:trHeight w:val="270"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 w:right="0"/>
              <w:jc w:val="left"/>
              <w:rPr>
                <w:rFonts w:ascii="宋体" w:hAnsi="宋体" w:cs="宋体" w:eastAsia="宋体" w:hint="default"/>
                <w:sz w:val="15"/>
                <w:szCs w:val="15"/>
              </w:rPr>
            </w:pPr>
            <w:r>
              <w:rPr>
                <w:rFonts w:ascii="宋体" w:hAnsi="宋体" w:cs="宋体" w:eastAsia="宋体" w:hint="default"/>
                <w:sz w:val="15"/>
                <w:szCs w:val="15"/>
              </w:rPr>
              <w:t>山西左云晋能新能源发电有限公司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
              <w:jc w:val="center"/>
              <w:rPr>
                <w:rFonts w:ascii="宋体" w:hAnsi="宋体" w:cs="宋体" w:eastAsia="宋体" w:hint="default"/>
                <w:sz w:val="15"/>
                <w:szCs w:val="15"/>
              </w:rPr>
            </w:pPr>
            <w:r>
              <w:rPr>
                <w:rFonts w:ascii="宋体"/>
                <w:sz w:val="15"/>
              </w:rPr>
              <w:t>35.00%</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1" w:right="0"/>
              <w:jc w:val="left"/>
              <w:rPr>
                <w:rFonts w:ascii="宋体" w:hAnsi="宋体" w:cs="宋体" w:eastAsia="宋体" w:hint="default"/>
                <w:sz w:val="15"/>
                <w:szCs w:val="15"/>
              </w:rPr>
            </w:pPr>
            <w:r>
              <w:rPr>
                <w:rFonts w:ascii="宋体"/>
                <w:sz w:val="15"/>
              </w:rPr>
              <w:t>35.00%</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
              <w:jc w:val="center"/>
              <w:rPr>
                <w:rFonts w:ascii="宋体" w:hAnsi="宋体" w:cs="宋体" w:eastAsia="宋体" w:hint="default"/>
                <w:sz w:val="15"/>
                <w:szCs w:val="15"/>
              </w:rPr>
            </w:pPr>
            <w:r>
              <w:rPr>
                <w:rFonts w:ascii="宋体" w:hAnsi="宋体" w:cs="宋体" w:eastAsia="宋体" w:hint="default"/>
                <w:sz w:val="15"/>
                <w:szCs w:val="15"/>
              </w:rPr>
              <w:t>山西左云</w:t>
            </w:r>
          </w:p>
        </w:tc>
        <w:tc>
          <w:tcPr>
            <w:tcW w:w="432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3" w:right="0"/>
              <w:jc w:val="left"/>
              <w:rPr>
                <w:rFonts w:ascii="宋体" w:hAnsi="宋体" w:cs="宋体" w:eastAsia="宋体" w:hint="default"/>
                <w:sz w:val="15"/>
                <w:szCs w:val="15"/>
              </w:rPr>
            </w:pPr>
            <w:r>
              <w:rPr>
                <w:rFonts w:ascii="宋体" w:hAnsi="宋体" w:cs="宋体" w:eastAsia="宋体" w:hint="default"/>
                <w:sz w:val="15"/>
                <w:szCs w:val="15"/>
              </w:rPr>
              <w:t>煤矸石发电</w:t>
            </w:r>
          </w:p>
        </w:tc>
      </w:tr>
      <w:tr>
        <w:trPr>
          <w:trHeight w:val="270"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 w:right="0"/>
              <w:jc w:val="left"/>
              <w:rPr>
                <w:rFonts w:ascii="宋体" w:hAnsi="宋体" w:cs="宋体" w:eastAsia="宋体" w:hint="default"/>
                <w:sz w:val="15"/>
                <w:szCs w:val="15"/>
              </w:rPr>
            </w:pPr>
            <w:r>
              <w:rPr>
                <w:rFonts w:ascii="宋体" w:hAnsi="宋体" w:cs="宋体" w:eastAsia="宋体" w:hint="default"/>
                <w:sz w:val="15"/>
                <w:szCs w:val="15"/>
              </w:rPr>
              <w:t>北京迈信力通科技有限公司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
              <w:jc w:val="center"/>
              <w:rPr>
                <w:rFonts w:ascii="宋体" w:hAnsi="宋体" w:cs="宋体" w:eastAsia="宋体" w:hint="default"/>
                <w:sz w:val="15"/>
                <w:szCs w:val="15"/>
              </w:rPr>
            </w:pPr>
            <w:r>
              <w:rPr>
                <w:rFonts w:ascii="宋体"/>
                <w:sz w:val="15"/>
              </w:rPr>
              <w:t>15.00%</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1" w:right="0"/>
              <w:jc w:val="left"/>
              <w:rPr>
                <w:rFonts w:ascii="宋体" w:hAnsi="宋体" w:cs="宋体" w:eastAsia="宋体" w:hint="default"/>
                <w:sz w:val="15"/>
                <w:szCs w:val="15"/>
              </w:rPr>
            </w:pPr>
            <w:r>
              <w:rPr>
                <w:rFonts w:ascii="宋体"/>
                <w:sz w:val="15"/>
              </w:rPr>
              <w:t>15.00%</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432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3" w:right="0"/>
              <w:jc w:val="left"/>
              <w:rPr>
                <w:rFonts w:ascii="宋体" w:hAnsi="宋体" w:cs="宋体" w:eastAsia="宋体" w:hint="default"/>
                <w:sz w:val="15"/>
                <w:szCs w:val="15"/>
              </w:rPr>
            </w:pPr>
            <w:r>
              <w:rPr>
                <w:rFonts w:ascii="宋体" w:hAnsi="宋体" w:cs="宋体" w:eastAsia="宋体" w:hint="default"/>
                <w:sz w:val="15"/>
                <w:szCs w:val="15"/>
              </w:rPr>
              <w:t>通讯设备、计算机、软件及辅助设备购销</w:t>
            </w:r>
          </w:p>
        </w:tc>
      </w:tr>
      <w:tr>
        <w:trPr>
          <w:trHeight w:val="270"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 w:right="0"/>
              <w:jc w:val="left"/>
              <w:rPr>
                <w:rFonts w:ascii="宋体" w:hAnsi="宋体" w:cs="宋体" w:eastAsia="宋体" w:hint="default"/>
                <w:sz w:val="15"/>
                <w:szCs w:val="15"/>
              </w:rPr>
            </w:pPr>
            <w:r>
              <w:rPr>
                <w:rFonts w:ascii="宋体" w:hAnsi="宋体" w:cs="宋体" w:eastAsia="宋体" w:hint="default"/>
                <w:sz w:val="15"/>
                <w:szCs w:val="15"/>
              </w:rPr>
              <w:t>北京同方博宇工程技术有限公司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7"/>
              <w:jc w:val="center"/>
              <w:rPr>
                <w:rFonts w:ascii="宋体" w:hAnsi="宋体" w:cs="宋体" w:eastAsia="宋体" w:hint="default"/>
                <w:sz w:val="15"/>
                <w:szCs w:val="15"/>
              </w:rPr>
            </w:pPr>
            <w:r>
              <w:rPr>
                <w:rFonts w:ascii="宋体"/>
                <w:w w:val="100"/>
                <w:sz w:val="15"/>
              </w:rPr>
              <w:t>-</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6"/>
              <w:jc w:val="center"/>
              <w:rPr>
                <w:rFonts w:ascii="宋体" w:hAnsi="宋体" w:cs="宋体" w:eastAsia="宋体" w:hint="default"/>
                <w:sz w:val="15"/>
                <w:szCs w:val="15"/>
              </w:rPr>
            </w:pPr>
            <w:r>
              <w:rPr>
                <w:rFonts w:ascii="宋体"/>
                <w:w w:val="100"/>
                <w:sz w:val="15"/>
              </w:rPr>
              <w:t>-</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432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3" w:right="0"/>
              <w:jc w:val="left"/>
              <w:rPr>
                <w:rFonts w:ascii="宋体" w:hAnsi="宋体" w:cs="宋体" w:eastAsia="宋体" w:hint="default"/>
                <w:sz w:val="15"/>
                <w:szCs w:val="15"/>
              </w:rPr>
            </w:pPr>
            <w:r>
              <w:rPr>
                <w:rFonts w:ascii="宋体" w:hAnsi="宋体" w:cs="宋体" w:eastAsia="宋体" w:hint="default"/>
                <w:sz w:val="15"/>
                <w:szCs w:val="15"/>
              </w:rPr>
              <w:t>化工工程（多晶硅、煤化工等）的工程总包和施工建设</w:t>
            </w:r>
          </w:p>
        </w:tc>
      </w:tr>
      <w:tr>
        <w:trPr>
          <w:trHeight w:val="270"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 w:right="0"/>
              <w:jc w:val="left"/>
              <w:rPr>
                <w:rFonts w:ascii="宋体" w:hAnsi="宋体" w:cs="宋体" w:eastAsia="宋体" w:hint="default"/>
                <w:sz w:val="15"/>
                <w:szCs w:val="15"/>
              </w:rPr>
            </w:pPr>
            <w:r>
              <w:rPr>
                <w:rFonts w:ascii="宋体" w:hAnsi="宋体" w:cs="宋体" w:eastAsia="宋体" w:hint="default"/>
                <w:sz w:val="15"/>
                <w:szCs w:val="15"/>
              </w:rPr>
              <w:t>深圳市华融泰资产管理有限公司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
              <w:jc w:val="center"/>
              <w:rPr>
                <w:rFonts w:ascii="宋体" w:hAnsi="宋体" w:cs="宋体" w:eastAsia="宋体" w:hint="default"/>
                <w:sz w:val="15"/>
                <w:szCs w:val="15"/>
              </w:rPr>
            </w:pPr>
            <w:r>
              <w:rPr>
                <w:rFonts w:ascii="宋体"/>
                <w:sz w:val="15"/>
              </w:rPr>
              <w:t>48.00%</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1" w:right="0"/>
              <w:jc w:val="left"/>
              <w:rPr>
                <w:rFonts w:ascii="宋体" w:hAnsi="宋体" w:cs="宋体" w:eastAsia="宋体" w:hint="default"/>
                <w:sz w:val="15"/>
                <w:szCs w:val="15"/>
              </w:rPr>
            </w:pPr>
            <w:r>
              <w:rPr>
                <w:rFonts w:ascii="宋体"/>
                <w:sz w:val="15"/>
              </w:rPr>
              <w:t>48.00%</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
              <w:jc w:val="center"/>
              <w:rPr>
                <w:rFonts w:ascii="宋体" w:hAnsi="宋体" w:cs="宋体" w:eastAsia="宋体" w:hint="default"/>
                <w:sz w:val="15"/>
                <w:szCs w:val="15"/>
              </w:rPr>
            </w:pPr>
            <w:r>
              <w:rPr>
                <w:rFonts w:ascii="宋体" w:hAnsi="宋体" w:cs="宋体" w:eastAsia="宋体" w:hint="default"/>
                <w:sz w:val="15"/>
                <w:szCs w:val="15"/>
              </w:rPr>
              <w:t>广东深圳</w:t>
            </w:r>
          </w:p>
        </w:tc>
        <w:tc>
          <w:tcPr>
            <w:tcW w:w="432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3" w:right="0"/>
              <w:jc w:val="left"/>
              <w:rPr>
                <w:rFonts w:ascii="宋体" w:hAnsi="宋体" w:cs="宋体" w:eastAsia="宋体" w:hint="default"/>
                <w:sz w:val="15"/>
                <w:szCs w:val="15"/>
              </w:rPr>
            </w:pPr>
            <w:r>
              <w:rPr>
                <w:rFonts w:ascii="宋体" w:hAnsi="宋体" w:cs="宋体" w:eastAsia="宋体" w:hint="default"/>
                <w:sz w:val="15"/>
                <w:szCs w:val="15"/>
              </w:rPr>
              <w:t>资产管理；投资咨询（不含限制项目）；投资兴办实业</w:t>
            </w:r>
          </w:p>
        </w:tc>
      </w:tr>
      <w:tr>
        <w:trPr>
          <w:trHeight w:val="251"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 w:right="0"/>
              <w:jc w:val="left"/>
              <w:rPr>
                <w:rFonts w:ascii="宋体" w:hAnsi="宋体" w:cs="宋体" w:eastAsia="宋体" w:hint="default"/>
                <w:sz w:val="15"/>
                <w:szCs w:val="15"/>
              </w:rPr>
            </w:pPr>
            <w:r>
              <w:rPr>
                <w:rFonts w:ascii="宋体" w:hAnsi="宋体" w:cs="宋体" w:eastAsia="宋体" w:hint="default"/>
                <w:sz w:val="15"/>
                <w:szCs w:val="15"/>
              </w:rPr>
              <w:t>北京同方厚持投资集团有限公司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
              <w:jc w:val="center"/>
              <w:rPr>
                <w:rFonts w:ascii="宋体" w:hAnsi="宋体" w:cs="宋体" w:eastAsia="宋体" w:hint="default"/>
                <w:sz w:val="15"/>
                <w:szCs w:val="15"/>
              </w:rPr>
            </w:pPr>
            <w:r>
              <w:rPr>
                <w:rFonts w:ascii="宋体"/>
                <w:sz w:val="15"/>
              </w:rPr>
              <w:t>45.00%</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1" w:right="0"/>
              <w:jc w:val="left"/>
              <w:rPr>
                <w:rFonts w:ascii="宋体" w:hAnsi="宋体" w:cs="宋体" w:eastAsia="宋体" w:hint="default"/>
                <w:sz w:val="15"/>
                <w:szCs w:val="15"/>
              </w:rPr>
            </w:pPr>
            <w:r>
              <w:rPr>
                <w:rFonts w:ascii="宋体"/>
                <w:sz w:val="15"/>
              </w:rPr>
              <w:t>45.00%</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432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3" w:right="0"/>
              <w:jc w:val="left"/>
              <w:rPr>
                <w:rFonts w:ascii="宋体" w:hAnsi="宋体" w:cs="宋体" w:eastAsia="宋体" w:hint="default"/>
                <w:sz w:val="15"/>
                <w:szCs w:val="15"/>
              </w:rPr>
            </w:pPr>
            <w:r>
              <w:rPr>
                <w:rFonts w:ascii="宋体" w:hAnsi="宋体" w:cs="宋体" w:eastAsia="宋体" w:hint="default"/>
                <w:sz w:val="15"/>
                <w:szCs w:val="15"/>
              </w:rPr>
              <w:t>投资管理；投资咨询</w:t>
            </w:r>
          </w:p>
        </w:tc>
      </w:tr>
      <w:tr>
        <w:trPr>
          <w:trHeight w:val="428"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ind w:left="21" w:right="128" w:hanging="12"/>
              <w:jc w:val="left"/>
              <w:rPr>
                <w:rFonts w:ascii="宋体" w:hAnsi="宋体" w:cs="宋体" w:eastAsia="宋体" w:hint="default"/>
                <w:sz w:val="15"/>
                <w:szCs w:val="15"/>
              </w:rPr>
            </w:pPr>
            <w:r>
              <w:rPr>
                <w:rFonts w:ascii="宋体" w:hAnsi="宋体" w:cs="宋体" w:eastAsia="宋体" w:hint="default"/>
                <w:spacing w:val="-2"/>
                <w:sz w:val="15"/>
                <w:szCs w:val="15"/>
              </w:rPr>
              <w:t>中车资本（天津）股权投资基金管</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理有限公司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
              <w:jc w:val="center"/>
              <w:rPr>
                <w:rFonts w:ascii="宋体" w:hAnsi="宋体" w:cs="宋体" w:eastAsia="宋体" w:hint="default"/>
                <w:sz w:val="15"/>
                <w:szCs w:val="15"/>
              </w:rPr>
            </w:pPr>
            <w:r>
              <w:rPr>
                <w:rFonts w:ascii="宋体"/>
                <w:sz w:val="15"/>
              </w:rPr>
              <w:t>25.00%</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61" w:right="0"/>
              <w:jc w:val="left"/>
              <w:rPr>
                <w:rFonts w:ascii="宋体" w:hAnsi="宋体" w:cs="宋体" w:eastAsia="宋体" w:hint="default"/>
                <w:sz w:val="15"/>
                <w:szCs w:val="15"/>
              </w:rPr>
            </w:pPr>
            <w:r>
              <w:rPr>
                <w:rFonts w:ascii="宋体"/>
                <w:sz w:val="15"/>
              </w:rPr>
              <w:t>25.00%</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ind w:left="319" w:right="67" w:hanging="255"/>
              <w:jc w:val="left"/>
              <w:rPr>
                <w:rFonts w:ascii="宋体" w:hAnsi="宋体" w:cs="宋体" w:eastAsia="宋体" w:hint="default"/>
                <w:sz w:val="15"/>
                <w:szCs w:val="15"/>
              </w:rPr>
            </w:pPr>
            <w:r>
              <w:rPr>
                <w:rFonts w:ascii="宋体" w:hAnsi="宋体" w:cs="宋体" w:eastAsia="宋体" w:hint="default"/>
                <w:sz w:val="15"/>
                <w:szCs w:val="15"/>
              </w:rPr>
              <w:t>天津自贸</w:t>
            </w:r>
            <w:r>
              <w:rPr>
                <w:rFonts w:ascii="宋体" w:hAnsi="宋体" w:cs="宋体" w:eastAsia="宋体" w:hint="default"/>
                <w:w w:val="100"/>
                <w:sz w:val="15"/>
                <w:szCs w:val="15"/>
              </w:rPr>
              <w:t> </w:t>
            </w:r>
            <w:r>
              <w:rPr>
                <w:rFonts w:ascii="宋体" w:hAnsi="宋体" w:cs="宋体" w:eastAsia="宋体" w:hint="default"/>
                <w:sz w:val="15"/>
                <w:szCs w:val="15"/>
              </w:rPr>
              <w:t>区</w:t>
            </w:r>
          </w:p>
        </w:tc>
        <w:tc>
          <w:tcPr>
            <w:tcW w:w="432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3" w:right="0"/>
              <w:jc w:val="left"/>
              <w:rPr>
                <w:rFonts w:ascii="宋体" w:hAnsi="宋体" w:cs="宋体" w:eastAsia="宋体" w:hint="default"/>
                <w:sz w:val="15"/>
                <w:szCs w:val="15"/>
              </w:rPr>
            </w:pPr>
            <w:r>
              <w:rPr>
                <w:rFonts w:ascii="宋体" w:hAnsi="宋体" w:cs="宋体" w:eastAsia="宋体" w:hint="default"/>
                <w:sz w:val="15"/>
                <w:szCs w:val="15"/>
              </w:rPr>
              <w:t>受托管理股权投资企业，从事投资管理及相关咨询服务。</w:t>
            </w:r>
          </w:p>
        </w:tc>
      </w:tr>
      <w:tr>
        <w:trPr>
          <w:trHeight w:val="232"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191" w:lineRule="exact"/>
              <w:ind w:left="9" w:right="0"/>
              <w:jc w:val="left"/>
              <w:rPr>
                <w:rFonts w:ascii="宋体" w:hAnsi="宋体" w:cs="宋体" w:eastAsia="宋体" w:hint="default"/>
                <w:sz w:val="15"/>
                <w:szCs w:val="15"/>
              </w:rPr>
            </w:pPr>
            <w:r>
              <w:rPr>
                <w:rFonts w:ascii="宋体" w:hAnsi="宋体" w:cs="宋体" w:eastAsia="宋体" w:hint="default"/>
                <w:sz w:val="15"/>
                <w:szCs w:val="15"/>
              </w:rPr>
              <w:t>嘉融投资有限公司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191" w:lineRule="exact"/>
              <w:ind w:right="4"/>
              <w:jc w:val="center"/>
              <w:rPr>
                <w:rFonts w:ascii="宋体" w:hAnsi="宋体" w:cs="宋体" w:eastAsia="宋体" w:hint="default"/>
                <w:sz w:val="15"/>
                <w:szCs w:val="15"/>
              </w:rPr>
            </w:pPr>
            <w:r>
              <w:rPr>
                <w:rFonts w:ascii="宋体"/>
                <w:sz w:val="15"/>
              </w:rPr>
              <w:t>50.00%</w:t>
            </w:r>
          </w:p>
        </w:tc>
        <w:tc>
          <w:tcPr>
            <w:tcW w:w="541" w:type="dxa"/>
            <w:tcBorders>
              <w:top w:val="nil" w:sz="6" w:space="0" w:color="auto"/>
              <w:left w:val="nil" w:sz="6" w:space="0" w:color="auto"/>
              <w:bottom w:val="nil" w:sz="6" w:space="0" w:color="auto"/>
              <w:right w:val="nil" w:sz="6" w:space="0" w:color="auto"/>
            </w:tcBorders>
          </w:tcPr>
          <w:p>
            <w:pPr>
              <w:pStyle w:val="TableParagraph"/>
              <w:spacing w:line="191" w:lineRule="exact"/>
              <w:ind w:left="61" w:right="0"/>
              <w:jc w:val="left"/>
              <w:rPr>
                <w:rFonts w:ascii="宋体" w:hAnsi="宋体" w:cs="宋体" w:eastAsia="宋体" w:hint="default"/>
                <w:sz w:val="15"/>
                <w:szCs w:val="15"/>
              </w:rPr>
            </w:pPr>
            <w:r>
              <w:rPr>
                <w:rFonts w:ascii="宋体"/>
                <w:sz w:val="15"/>
              </w:rPr>
              <w:t>50.00%</w:t>
            </w:r>
          </w:p>
        </w:tc>
        <w:tc>
          <w:tcPr>
            <w:tcW w:w="738" w:type="dxa"/>
            <w:tcBorders>
              <w:top w:val="nil" w:sz="6" w:space="0" w:color="auto"/>
              <w:left w:val="nil" w:sz="6" w:space="0" w:color="auto"/>
              <w:bottom w:val="nil" w:sz="6" w:space="0" w:color="auto"/>
              <w:right w:val="nil" w:sz="6" w:space="0" w:color="auto"/>
            </w:tcBorders>
          </w:tcPr>
          <w:p>
            <w:pPr>
              <w:pStyle w:val="TableParagraph"/>
              <w:spacing w:line="191" w:lineRule="exact"/>
              <w:ind w:right="2"/>
              <w:jc w:val="center"/>
              <w:rPr>
                <w:rFonts w:ascii="宋体" w:hAnsi="宋体" w:cs="宋体" w:eastAsia="宋体" w:hint="default"/>
                <w:sz w:val="15"/>
                <w:szCs w:val="15"/>
              </w:rPr>
            </w:pPr>
            <w:r>
              <w:rPr>
                <w:rFonts w:ascii="宋体" w:hAnsi="宋体" w:cs="宋体" w:eastAsia="宋体" w:hint="default"/>
                <w:sz w:val="15"/>
                <w:szCs w:val="15"/>
              </w:rPr>
              <w:t>上海浦东</w:t>
            </w:r>
          </w:p>
        </w:tc>
        <w:tc>
          <w:tcPr>
            <w:tcW w:w="4322" w:type="dxa"/>
            <w:tcBorders>
              <w:top w:val="nil" w:sz="6" w:space="0" w:color="auto"/>
              <w:left w:val="nil" w:sz="6" w:space="0" w:color="auto"/>
              <w:bottom w:val="nil" w:sz="6" w:space="0" w:color="auto"/>
              <w:right w:val="nil" w:sz="6" w:space="0" w:color="auto"/>
            </w:tcBorders>
          </w:tcPr>
          <w:p>
            <w:pPr>
              <w:pStyle w:val="TableParagraph"/>
              <w:spacing w:line="191" w:lineRule="exact"/>
              <w:ind w:left="33" w:right="0"/>
              <w:jc w:val="left"/>
              <w:rPr>
                <w:rFonts w:ascii="宋体" w:hAnsi="宋体" w:cs="宋体" w:eastAsia="宋体" w:hint="default"/>
                <w:sz w:val="15"/>
                <w:szCs w:val="15"/>
              </w:rPr>
            </w:pPr>
            <w:r>
              <w:rPr>
                <w:rFonts w:ascii="宋体" w:hAnsi="宋体" w:cs="宋体" w:eastAsia="宋体" w:hint="default"/>
                <w:sz w:val="15"/>
                <w:szCs w:val="15"/>
              </w:rPr>
              <w:t>实业投资、创业投资、投资管理、投资咨询（除经纪）</w:t>
            </w:r>
          </w:p>
        </w:tc>
      </w:tr>
      <w:tr>
        <w:trPr>
          <w:trHeight w:val="427"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194" w:lineRule="exact" w:before="15"/>
              <w:ind w:left="21" w:right="128" w:hanging="12"/>
              <w:jc w:val="left"/>
              <w:rPr>
                <w:rFonts w:ascii="宋体" w:hAnsi="宋体" w:cs="宋体" w:eastAsia="宋体" w:hint="default"/>
                <w:sz w:val="15"/>
                <w:szCs w:val="15"/>
              </w:rPr>
            </w:pPr>
            <w:r>
              <w:rPr>
                <w:rFonts w:ascii="宋体" w:hAnsi="宋体" w:cs="宋体" w:eastAsia="宋体" w:hint="default"/>
                <w:spacing w:val="-2"/>
                <w:sz w:val="15"/>
                <w:szCs w:val="15"/>
              </w:rPr>
              <w:t>同方莱士医药产业投资（广东）有</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
              <w:jc w:val="center"/>
              <w:rPr>
                <w:rFonts w:ascii="宋体" w:hAnsi="宋体" w:cs="宋体" w:eastAsia="宋体" w:hint="default"/>
                <w:sz w:val="15"/>
                <w:szCs w:val="15"/>
              </w:rPr>
            </w:pPr>
            <w:r>
              <w:rPr>
                <w:rFonts w:ascii="宋体"/>
                <w:sz w:val="15"/>
              </w:rPr>
              <w:t>51.00%</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1" w:right="0"/>
              <w:jc w:val="left"/>
              <w:rPr>
                <w:rFonts w:ascii="宋体" w:hAnsi="宋体" w:cs="宋体" w:eastAsia="宋体" w:hint="default"/>
                <w:sz w:val="15"/>
                <w:szCs w:val="15"/>
              </w:rPr>
            </w:pPr>
            <w:r>
              <w:rPr>
                <w:rFonts w:ascii="宋体"/>
                <w:sz w:val="15"/>
              </w:rPr>
              <w:t>51.00%</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
              <w:jc w:val="center"/>
              <w:rPr>
                <w:rFonts w:ascii="宋体" w:hAnsi="宋体" w:cs="宋体" w:eastAsia="宋体" w:hint="default"/>
                <w:sz w:val="15"/>
                <w:szCs w:val="15"/>
              </w:rPr>
            </w:pPr>
            <w:r>
              <w:rPr>
                <w:rFonts w:ascii="宋体" w:hAnsi="宋体" w:cs="宋体" w:eastAsia="宋体" w:hint="default"/>
                <w:sz w:val="15"/>
                <w:szCs w:val="15"/>
              </w:rPr>
              <w:t>广东广州</w:t>
            </w:r>
          </w:p>
        </w:tc>
        <w:tc>
          <w:tcPr>
            <w:tcW w:w="432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3" w:right="0"/>
              <w:jc w:val="left"/>
              <w:rPr>
                <w:rFonts w:ascii="宋体" w:hAnsi="宋体" w:cs="宋体" w:eastAsia="宋体" w:hint="default"/>
                <w:sz w:val="15"/>
                <w:szCs w:val="15"/>
              </w:rPr>
            </w:pPr>
            <w:r>
              <w:rPr>
                <w:rFonts w:ascii="宋体" w:hAnsi="宋体" w:cs="宋体" w:eastAsia="宋体" w:hint="default"/>
                <w:sz w:val="15"/>
                <w:szCs w:val="15"/>
              </w:rPr>
              <w:t>生物医药科技投资等</w:t>
            </w:r>
          </w:p>
        </w:tc>
      </w:tr>
      <w:tr>
        <w:trPr>
          <w:trHeight w:val="233"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192" w:lineRule="exact"/>
              <w:ind w:left="9" w:right="0"/>
              <w:jc w:val="left"/>
              <w:rPr>
                <w:rFonts w:ascii="宋体" w:hAnsi="宋体" w:cs="宋体" w:eastAsia="宋体" w:hint="default"/>
                <w:sz w:val="15"/>
                <w:szCs w:val="15"/>
              </w:rPr>
            </w:pPr>
            <w:r>
              <w:rPr>
                <w:rFonts w:ascii="宋体" w:hAnsi="宋体" w:cs="宋体" w:eastAsia="宋体" w:hint="default"/>
                <w:sz w:val="15"/>
                <w:szCs w:val="15"/>
              </w:rPr>
              <w:t>天诚国际投资有限公司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192" w:lineRule="exact"/>
              <w:ind w:right="4"/>
              <w:jc w:val="center"/>
              <w:rPr>
                <w:rFonts w:ascii="宋体" w:hAnsi="宋体" w:cs="宋体" w:eastAsia="宋体" w:hint="default"/>
                <w:sz w:val="15"/>
                <w:szCs w:val="15"/>
              </w:rPr>
            </w:pPr>
            <w:r>
              <w:rPr>
                <w:rFonts w:ascii="宋体"/>
                <w:sz w:val="15"/>
              </w:rPr>
              <w:t>12.34%</w:t>
            </w:r>
          </w:p>
        </w:tc>
        <w:tc>
          <w:tcPr>
            <w:tcW w:w="541" w:type="dxa"/>
            <w:tcBorders>
              <w:top w:val="nil" w:sz="6" w:space="0" w:color="auto"/>
              <w:left w:val="nil" w:sz="6" w:space="0" w:color="auto"/>
              <w:bottom w:val="nil" w:sz="6" w:space="0" w:color="auto"/>
              <w:right w:val="nil" w:sz="6" w:space="0" w:color="auto"/>
            </w:tcBorders>
          </w:tcPr>
          <w:p>
            <w:pPr>
              <w:pStyle w:val="TableParagraph"/>
              <w:spacing w:line="192" w:lineRule="exact"/>
              <w:ind w:left="61" w:right="0"/>
              <w:jc w:val="left"/>
              <w:rPr>
                <w:rFonts w:ascii="宋体" w:hAnsi="宋体" w:cs="宋体" w:eastAsia="宋体" w:hint="default"/>
                <w:sz w:val="15"/>
                <w:szCs w:val="15"/>
              </w:rPr>
            </w:pPr>
            <w:r>
              <w:rPr>
                <w:rFonts w:ascii="宋体"/>
                <w:sz w:val="15"/>
              </w:rPr>
              <w:t>12.34%</w:t>
            </w:r>
          </w:p>
        </w:tc>
        <w:tc>
          <w:tcPr>
            <w:tcW w:w="738" w:type="dxa"/>
            <w:tcBorders>
              <w:top w:val="nil" w:sz="6" w:space="0" w:color="auto"/>
              <w:left w:val="nil" w:sz="6" w:space="0" w:color="auto"/>
              <w:bottom w:val="nil" w:sz="6" w:space="0" w:color="auto"/>
              <w:right w:val="nil" w:sz="6" w:space="0" w:color="auto"/>
            </w:tcBorders>
          </w:tcPr>
          <w:p>
            <w:pPr>
              <w:pStyle w:val="TableParagraph"/>
              <w:spacing w:line="192" w:lineRule="exact"/>
              <w:ind w:right="2"/>
              <w:jc w:val="center"/>
              <w:rPr>
                <w:rFonts w:ascii="宋体" w:hAnsi="宋体" w:cs="宋体" w:eastAsia="宋体" w:hint="default"/>
                <w:sz w:val="15"/>
                <w:szCs w:val="15"/>
              </w:rPr>
            </w:pPr>
            <w:r>
              <w:rPr>
                <w:rFonts w:ascii="宋体" w:hAnsi="宋体" w:cs="宋体" w:eastAsia="宋体" w:hint="default"/>
                <w:sz w:val="15"/>
                <w:szCs w:val="15"/>
              </w:rPr>
              <w:t>中国香港</w:t>
            </w:r>
          </w:p>
        </w:tc>
        <w:tc>
          <w:tcPr>
            <w:tcW w:w="4322" w:type="dxa"/>
            <w:tcBorders>
              <w:top w:val="nil" w:sz="6" w:space="0" w:color="auto"/>
              <w:left w:val="nil" w:sz="6" w:space="0" w:color="auto"/>
              <w:bottom w:val="nil" w:sz="6" w:space="0" w:color="auto"/>
              <w:right w:val="nil" w:sz="6" w:space="0" w:color="auto"/>
            </w:tcBorders>
          </w:tcPr>
          <w:p>
            <w:pPr>
              <w:pStyle w:val="TableParagraph"/>
              <w:spacing w:line="192" w:lineRule="exact"/>
              <w:ind w:left="33" w:right="0"/>
              <w:jc w:val="left"/>
              <w:rPr>
                <w:rFonts w:ascii="宋体" w:hAnsi="宋体" w:cs="宋体" w:eastAsia="宋体" w:hint="default"/>
                <w:sz w:val="15"/>
                <w:szCs w:val="15"/>
              </w:rPr>
            </w:pPr>
            <w:r>
              <w:rPr>
                <w:rFonts w:ascii="宋体" w:hAnsi="宋体" w:cs="宋体" w:eastAsia="宋体" w:hint="default"/>
                <w:sz w:val="15"/>
                <w:szCs w:val="15"/>
              </w:rPr>
              <w:t>血液制品的生产、销售</w:t>
            </w:r>
          </w:p>
        </w:tc>
      </w:tr>
      <w:tr>
        <w:trPr>
          <w:trHeight w:val="427"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194" w:lineRule="exact" w:before="15"/>
              <w:ind w:left="21" w:right="128" w:hanging="12"/>
              <w:jc w:val="left"/>
              <w:rPr>
                <w:rFonts w:ascii="宋体" w:hAnsi="宋体" w:cs="宋体" w:eastAsia="宋体" w:hint="default"/>
                <w:sz w:val="15"/>
                <w:szCs w:val="15"/>
              </w:rPr>
            </w:pPr>
            <w:r>
              <w:rPr>
                <w:rFonts w:ascii="宋体" w:hAnsi="宋体" w:cs="宋体" w:eastAsia="宋体" w:hint="default"/>
                <w:spacing w:val="-2"/>
                <w:sz w:val="15"/>
                <w:szCs w:val="15"/>
              </w:rPr>
              <w:t>同方致远（深圳）股权投资基金管</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理有限公司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
              <w:jc w:val="center"/>
              <w:rPr>
                <w:rFonts w:ascii="宋体" w:hAnsi="宋体" w:cs="宋体" w:eastAsia="宋体" w:hint="default"/>
                <w:sz w:val="15"/>
                <w:szCs w:val="15"/>
              </w:rPr>
            </w:pPr>
            <w:r>
              <w:rPr>
                <w:rFonts w:ascii="宋体"/>
                <w:sz w:val="15"/>
              </w:rPr>
              <w:t>45.00%</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1" w:right="0"/>
              <w:jc w:val="left"/>
              <w:rPr>
                <w:rFonts w:ascii="宋体" w:hAnsi="宋体" w:cs="宋体" w:eastAsia="宋体" w:hint="default"/>
                <w:sz w:val="15"/>
                <w:szCs w:val="15"/>
              </w:rPr>
            </w:pPr>
            <w:r>
              <w:rPr>
                <w:rFonts w:ascii="宋体"/>
                <w:sz w:val="15"/>
              </w:rPr>
              <w:t>45.00%</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
              <w:jc w:val="center"/>
              <w:rPr>
                <w:rFonts w:ascii="宋体" w:hAnsi="宋体" w:cs="宋体" w:eastAsia="宋体" w:hint="default"/>
                <w:sz w:val="15"/>
                <w:szCs w:val="15"/>
              </w:rPr>
            </w:pPr>
            <w:r>
              <w:rPr>
                <w:rFonts w:ascii="宋体" w:hAnsi="宋体" w:cs="宋体" w:eastAsia="宋体" w:hint="default"/>
                <w:sz w:val="15"/>
                <w:szCs w:val="15"/>
              </w:rPr>
              <w:t>广东深圳</w:t>
            </w:r>
          </w:p>
        </w:tc>
        <w:tc>
          <w:tcPr>
            <w:tcW w:w="4322" w:type="dxa"/>
            <w:tcBorders>
              <w:top w:val="nil" w:sz="6" w:space="0" w:color="auto"/>
              <w:left w:val="nil" w:sz="6" w:space="0" w:color="auto"/>
              <w:bottom w:val="nil" w:sz="6" w:space="0" w:color="auto"/>
              <w:right w:val="nil" w:sz="6" w:space="0" w:color="auto"/>
            </w:tcBorders>
          </w:tcPr>
          <w:p>
            <w:pPr>
              <w:pStyle w:val="TableParagraph"/>
              <w:spacing w:line="194" w:lineRule="exact" w:before="15"/>
              <w:ind w:left="33" w:right="72"/>
              <w:jc w:val="left"/>
              <w:rPr>
                <w:rFonts w:ascii="宋体" w:hAnsi="宋体" w:cs="宋体" w:eastAsia="宋体" w:hint="default"/>
                <w:sz w:val="15"/>
                <w:szCs w:val="15"/>
              </w:rPr>
            </w:pPr>
            <w:r>
              <w:rPr>
                <w:rFonts w:ascii="宋体" w:hAnsi="宋体" w:cs="宋体" w:eastAsia="宋体" w:hint="default"/>
                <w:spacing w:val="-1"/>
                <w:sz w:val="15"/>
                <w:szCs w:val="15"/>
              </w:rPr>
              <w:t>受托资产管理、投资管理；受托管理股权投资基金；股权投资；</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z w:val="15"/>
                <w:szCs w:val="15"/>
              </w:rPr>
              <w:t>实业投资；投资咨询</w:t>
            </w:r>
          </w:p>
        </w:tc>
      </w:tr>
      <w:tr>
        <w:trPr>
          <w:trHeight w:val="232"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192" w:lineRule="exact"/>
              <w:ind w:left="9" w:right="0"/>
              <w:jc w:val="left"/>
              <w:rPr>
                <w:rFonts w:ascii="宋体" w:hAnsi="宋体" w:cs="宋体" w:eastAsia="宋体" w:hint="default"/>
                <w:sz w:val="15"/>
                <w:szCs w:val="15"/>
              </w:rPr>
            </w:pPr>
            <w:r>
              <w:rPr>
                <w:rFonts w:ascii="宋体" w:hAnsi="宋体" w:cs="宋体" w:eastAsia="宋体" w:hint="default"/>
                <w:sz w:val="15"/>
                <w:szCs w:val="15"/>
              </w:rPr>
              <w:t>深圳市前海弘泰基金管理有限公司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192" w:lineRule="exact"/>
              <w:ind w:right="4"/>
              <w:jc w:val="center"/>
              <w:rPr>
                <w:rFonts w:ascii="宋体" w:hAnsi="宋体" w:cs="宋体" w:eastAsia="宋体" w:hint="default"/>
                <w:sz w:val="15"/>
                <w:szCs w:val="15"/>
              </w:rPr>
            </w:pPr>
            <w:r>
              <w:rPr>
                <w:rFonts w:ascii="宋体"/>
                <w:sz w:val="15"/>
              </w:rPr>
              <w:t>40.00%</w:t>
            </w:r>
          </w:p>
        </w:tc>
        <w:tc>
          <w:tcPr>
            <w:tcW w:w="541" w:type="dxa"/>
            <w:tcBorders>
              <w:top w:val="nil" w:sz="6" w:space="0" w:color="auto"/>
              <w:left w:val="nil" w:sz="6" w:space="0" w:color="auto"/>
              <w:bottom w:val="nil" w:sz="6" w:space="0" w:color="auto"/>
              <w:right w:val="nil" w:sz="6" w:space="0" w:color="auto"/>
            </w:tcBorders>
          </w:tcPr>
          <w:p>
            <w:pPr>
              <w:pStyle w:val="TableParagraph"/>
              <w:spacing w:line="192" w:lineRule="exact"/>
              <w:ind w:left="61" w:right="0"/>
              <w:jc w:val="left"/>
              <w:rPr>
                <w:rFonts w:ascii="宋体" w:hAnsi="宋体" w:cs="宋体" w:eastAsia="宋体" w:hint="default"/>
                <w:sz w:val="15"/>
                <w:szCs w:val="15"/>
              </w:rPr>
            </w:pPr>
            <w:r>
              <w:rPr>
                <w:rFonts w:ascii="宋体"/>
                <w:sz w:val="15"/>
              </w:rPr>
              <w:t>40.00%</w:t>
            </w:r>
          </w:p>
        </w:tc>
        <w:tc>
          <w:tcPr>
            <w:tcW w:w="738" w:type="dxa"/>
            <w:tcBorders>
              <w:top w:val="nil" w:sz="6" w:space="0" w:color="auto"/>
              <w:left w:val="nil" w:sz="6" w:space="0" w:color="auto"/>
              <w:bottom w:val="nil" w:sz="6" w:space="0" w:color="auto"/>
              <w:right w:val="nil" w:sz="6" w:space="0" w:color="auto"/>
            </w:tcBorders>
          </w:tcPr>
          <w:p>
            <w:pPr>
              <w:pStyle w:val="TableParagraph"/>
              <w:spacing w:line="192" w:lineRule="exact"/>
              <w:ind w:right="2"/>
              <w:jc w:val="center"/>
              <w:rPr>
                <w:rFonts w:ascii="宋体" w:hAnsi="宋体" w:cs="宋体" w:eastAsia="宋体" w:hint="default"/>
                <w:sz w:val="15"/>
                <w:szCs w:val="15"/>
              </w:rPr>
            </w:pPr>
            <w:r>
              <w:rPr>
                <w:rFonts w:ascii="宋体" w:hAnsi="宋体" w:cs="宋体" w:eastAsia="宋体" w:hint="default"/>
                <w:sz w:val="15"/>
                <w:szCs w:val="15"/>
              </w:rPr>
              <w:t>广东深圳</w:t>
            </w:r>
          </w:p>
        </w:tc>
        <w:tc>
          <w:tcPr>
            <w:tcW w:w="4322" w:type="dxa"/>
            <w:tcBorders>
              <w:top w:val="nil" w:sz="6" w:space="0" w:color="auto"/>
              <w:left w:val="nil" w:sz="6" w:space="0" w:color="auto"/>
              <w:bottom w:val="nil" w:sz="6" w:space="0" w:color="auto"/>
              <w:right w:val="nil" w:sz="6" w:space="0" w:color="auto"/>
            </w:tcBorders>
          </w:tcPr>
          <w:p>
            <w:pPr>
              <w:pStyle w:val="TableParagraph"/>
              <w:spacing w:line="192" w:lineRule="exact"/>
              <w:ind w:left="33" w:right="0"/>
              <w:jc w:val="left"/>
              <w:rPr>
                <w:rFonts w:ascii="宋体" w:hAnsi="宋体" w:cs="宋体" w:eastAsia="宋体" w:hint="default"/>
                <w:sz w:val="15"/>
                <w:szCs w:val="15"/>
              </w:rPr>
            </w:pPr>
            <w:r>
              <w:rPr>
                <w:rFonts w:ascii="宋体" w:hAnsi="宋体" w:cs="宋体" w:eastAsia="宋体" w:hint="default"/>
                <w:sz w:val="15"/>
                <w:szCs w:val="15"/>
              </w:rPr>
              <w:t>受托管理股权投资基金</w:t>
            </w:r>
          </w:p>
        </w:tc>
      </w:tr>
      <w:tr>
        <w:trPr>
          <w:trHeight w:val="407"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9" w:right="0"/>
              <w:jc w:val="left"/>
              <w:rPr>
                <w:rFonts w:ascii="宋体" w:hAnsi="宋体" w:cs="宋体" w:eastAsia="宋体" w:hint="default"/>
                <w:sz w:val="15"/>
                <w:szCs w:val="15"/>
              </w:rPr>
            </w:pPr>
            <w:r>
              <w:rPr>
                <w:rFonts w:ascii="宋体" w:hAnsi="宋体" w:cs="宋体" w:eastAsia="宋体" w:hint="default"/>
                <w:sz w:val="15"/>
                <w:szCs w:val="15"/>
              </w:rPr>
              <w:t>和融浙联实业有限公司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
              <w:jc w:val="center"/>
              <w:rPr>
                <w:rFonts w:ascii="宋体" w:hAnsi="宋体" w:cs="宋体" w:eastAsia="宋体" w:hint="default"/>
                <w:sz w:val="15"/>
                <w:szCs w:val="15"/>
              </w:rPr>
            </w:pPr>
            <w:r>
              <w:rPr>
                <w:rFonts w:ascii="宋体"/>
                <w:sz w:val="15"/>
              </w:rPr>
              <w:t>40.00%</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61" w:right="0"/>
              <w:jc w:val="left"/>
              <w:rPr>
                <w:rFonts w:ascii="宋体" w:hAnsi="宋体" w:cs="宋体" w:eastAsia="宋体" w:hint="default"/>
                <w:sz w:val="15"/>
                <w:szCs w:val="15"/>
              </w:rPr>
            </w:pPr>
            <w:r>
              <w:rPr>
                <w:rFonts w:ascii="宋体"/>
                <w:sz w:val="15"/>
              </w:rPr>
              <w:t>40.00%</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
              <w:jc w:val="center"/>
              <w:rPr>
                <w:rFonts w:ascii="宋体" w:hAnsi="宋体" w:cs="宋体" w:eastAsia="宋体" w:hint="default"/>
                <w:sz w:val="15"/>
                <w:szCs w:val="15"/>
              </w:rPr>
            </w:pPr>
            <w:r>
              <w:rPr>
                <w:rFonts w:ascii="宋体" w:hAnsi="宋体" w:cs="宋体" w:eastAsia="宋体" w:hint="default"/>
                <w:sz w:val="15"/>
                <w:szCs w:val="15"/>
              </w:rPr>
              <w:t>浙江嘉兴</w:t>
            </w:r>
          </w:p>
        </w:tc>
        <w:tc>
          <w:tcPr>
            <w:tcW w:w="4322" w:type="dxa"/>
            <w:tcBorders>
              <w:top w:val="nil" w:sz="6" w:space="0" w:color="auto"/>
              <w:left w:val="nil" w:sz="6" w:space="0" w:color="auto"/>
              <w:bottom w:val="nil" w:sz="6" w:space="0" w:color="auto"/>
              <w:right w:val="nil" w:sz="6" w:space="0" w:color="auto"/>
            </w:tcBorders>
          </w:tcPr>
          <w:p>
            <w:pPr>
              <w:pStyle w:val="TableParagraph"/>
              <w:spacing w:line="194" w:lineRule="exact" w:before="14"/>
              <w:ind w:left="33" w:right="0"/>
              <w:jc w:val="left"/>
              <w:rPr>
                <w:rFonts w:ascii="宋体" w:hAnsi="宋体" w:cs="宋体" w:eastAsia="宋体" w:hint="default"/>
                <w:sz w:val="15"/>
                <w:szCs w:val="15"/>
              </w:rPr>
            </w:pPr>
            <w:r>
              <w:rPr>
                <w:rFonts w:ascii="宋体" w:hAnsi="宋体" w:cs="宋体" w:eastAsia="宋体" w:hint="default"/>
                <w:spacing w:val="-4"/>
                <w:sz w:val="15"/>
                <w:szCs w:val="15"/>
              </w:rPr>
              <w:t>承办展览展示活动、企业管理、企业策划；技术服务、技术开发、</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技术咨询；销售电子产品、计算机、软件及辅助设备、机械设备</w:t>
            </w:r>
          </w:p>
        </w:tc>
      </w:tr>
      <w:tr>
        <w:trPr>
          <w:trHeight w:val="408"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172" w:lineRule="exact"/>
              <w:ind w:left="9" w:right="0"/>
              <w:jc w:val="left"/>
              <w:rPr>
                <w:rFonts w:ascii="宋体" w:hAnsi="宋体" w:cs="宋体" w:eastAsia="宋体" w:hint="default"/>
                <w:sz w:val="15"/>
                <w:szCs w:val="15"/>
              </w:rPr>
            </w:pPr>
            <w:r>
              <w:rPr>
                <w:rFonts w:ascii="宋体" w:hAnsi="宋体" w:cs="宋体" w:eastAsia="宋体" w:hint="default"/>
                <w:sz w:val="15"/>
                <w:szCs w:val="15"/>
              </w:rPr>
              <w:t>重庆同方弘强股权投资基金管理有</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
              <w:jc w:val="center"/>
              <w:rPr>
                <w:rFonts w:ascii="宋体" w:hAnsi="宋体" w:cs="宋体" w:eastAsia="宋体" w:hint="default"/>
                <w:sz w:val="15"/>
                <w:szCs w:val="15"/>
              </w:rPr>
            </w:pPr>
            <w:r>
              <w:rPr>
                <w:rFonts w:ascii="宋体"/>
                <w:sz w:val="15"/>
              </w:rPr>
              <w:t>45.00%</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1" w:right="0"/>
              <w:jc w:val="left"/>
              <w:rPr>
                <w:rFonts w:ascii="宋体" w:hAnsi="宋体" w:cs="宋体" w:eastAsia="宋体" w:hint="default"/>
                <w:sz w:val="15"/>
                <w:szCs w:val="15"/>
              </w:rPr>
            </w:pPr>
            <w:r>
              <w:rPr>
                <w:rFonts w:ascii="宋体"/>
                <w:sz w:val="15"/>
              </w:rPr>
              <w:t>45.00%</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sz w:val="15"/>
                <w:szCs w:val="15"/>
              </w:rPr>
              <w:t>重庆渝北</w:t>
            </w:r>
          </w:p>
        </w:tc>
        <w:tc>
          <w:tcPr>
            <w:tcW w:w="432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 w:right="0"/>
              <w:jc w:val="left"/>
              <w:rPr>
                <w:rFonts w:ascii="宋体" w:hAnsi="宋体" w:cs="宋体" w:eastAsia="宋体" w:hint="default"/>
                <w:sz w:val="15"/>
                <w:szCs w:val="15"/>
              </w:rPr>
            </w:pPr>
            <w:r>
              <w:rPr>
                <w:rFonts w:ascii="宋体" w:hAnsi="宋体" w:cs="宋体" w:eastAsia="宋体" w:hint="default"/>
                <w:sz w:val="15"/>
                <w:szCs w:val="15"/>
              </w:rPr>
              <w:t>股权投资管理</w:t>
            </w:r>
          </w:p>
        </w:tc>
      </w:tr>
      <w:tr>
        <w:trPr>
          <w:trHeight w:val="252"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192" w:lineRule="exact"/>
              <w:ind w:left="9" w:right="0"/>
              <w:jc w:val="left"/>
              <w:rPr>
                <w:rFonts w:ascii="宋体" w:hAnsi="宋体" w:cs="宋体" w:eastAsia="宋体" w:hint="default"/>
                <w:sz w:val="15"/>
                <w:szCs w:val="15"/>
              </w:rPr>
            </w:pPr>
            <w:r>
              <w:rPr>
                <w:rFonts w:ascii="宋体" w:hAnsi="宋体" w:cs="宋体" w:eastAsia="宋体" w:hint="default"/>
                <w:sz w:val="15"/>
                <w:szCs w:val="15"/>
              </w:rPr>
              <w:t>开封广电同方数字电视有限公司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192" w:lineRule="exact"/>
              <w:ind w:right="4"/>
              <w:jc w:val="center"/>
              <w:rPr>
                <w:rFonts w:ascii="宋体" w:hAnsi="宋体" w:cs="宋体" w:eastAsia="宋体" w:hint="default"/>
                <w:sz w:val="15"/>
                <w:szCs w:val="15"/>
              </w:rPr>
            </w:pPr>
            <w:r>
              <w:rPr>
                <w:rFonts w:ascii="宋体"/>
                <w:sz w:val="15"/>
              </w:rPr>
              <w:t>49.00%</w:t>
            </w:r>
          </w:p>
        </w:tc>
        <w:tc>
          <w:tcPr>
            <w:tcW w:w="541" w:type="dxa"/>
            <w:tcBorders>
              <w:top w:val="nil" w:sz="6" w:space="0" w:color="auto"/>
              <w:left w:val="nil" w:sz="6" w:space="0" w:color="auto"/>
              <w:bottom w:val="nil" w:sz="6" w:space="0" w:color="auto"/>
              <w:right w:val="nil" w:sz="6" w:space="0" w:color="auto"/>
            </w:tcBorders>
          </w:tcPr>
          <w:p>
            <w:pPr>
              <w:pStyle w:val="TableParagraph"/>
              <w:spacing w:line="192" w:lineRule="exact"/>
              <w:ind w:left="61" w:right="0"/>
              <w:jc w:val="left"/>
              <w:rPr>
                <w:rFonts w:ascii="宋体" w:hAnsi="宋体" w:cs="宋体" w:eastAsia="宋体" w:hint="default"/>
                <w:sz w:val="15"/>
                <w:szCs w:val="15"/>
              </w:rPr>
            </w:pPr>
            <w:r>
              <w:rPr>
                <w:rFonts w:ascii="宋体"/>
                <w:sz w:val="15"/>
              </w:rPr>
              <w:t>49.00%</w:t>
            </w:r>
          </w:p>
        </w:tc>
        <w:tc>
          <w:tcPr>
            <w:tcW w:w="738" w:type="dxa"/>
            <w:tcBorders>
              <w:top w:val="nil" w:sz="6" w:space="0" w:color="auto"/>
              <w:left w:val="nil" w:sz="6" w:space="0" w:color="auto"/>
              <w:bottom w:val="nil" w:sz="6" w:space="0" w:color="auto"/>
              <w:right w:val="nil" w:sz="6" w:space="0" w:color="auto"/>
            </w:tcBorders>
          </w:tcPr>
          <w:p>
            <w:pPr>
              <w:pStyle w:val="TableParagraph"/>
              <w:spacing w:line="192" w:lineRule="exact"/>
              <w:ind w:right="2"/>
              <w:jc w:val="center"/>
              <w:rPr>
                <w:rFonts w:ascii="宋体" w:hAnsi="宋体" w:cs="宋体" w:eastAsia="宋体" w:hint="default"/>
                <w:sz w:val="15"/>
                <w:szCs w:val="15"/>
              </w:rPr>
            </w:pPr>
            <w:r>
              <w:rPr>
                <w:rFonts w:ascii="宋体" w:hAnsi="宋体" w:cs="宋体" w:eastAsia="宋体" w:hint="default"/>
                <w:sz w:val="15"/>
                <w:szCs w:val="15"/>
              </w:rPr>
              <w:t>河南开封</w:t>
            </w:r>
          </w:p>
        </w:tc>
        <w:tc>
          <w:tcPr>
            <w:tcW w:w="4322" w:type="dxa"/>
            <w:tcBorders>
              <w:top w:val="nil" w:sz="6" w:space="0" w:color="auto"/>
              <w:left w:val="nil" w:sz="6" w:space="0" w:color="auto"/>
              <w:bottom w:val="nil" w:sz="6" w:space="0" w:color="auto"/>
              <w:right w:val="nil" w:sz="6" w:space="0" w:color="auto"/>
            </w:tcBorders>
          </w:tcPr>
          <w:p>
            <w:pPr>
              <w:pStyle w:val="TableParagraph"/>
              <w:spacing w:line="192" w:lineRule="exact"/>
              <w:ind w:left="33" w:right="0"/>
              <w:jc w:val="left"/>
              <w:rPr>
                <w:rFonts w:ascii="宋体" w:hAnsi="宋体" w:cs="宋体" w:eastAsia="宋体" w:hint="default"/>
                <w:sz w:val="15"/>
                <w:szCs w:val="15"/>
              </w:rPr>
            </w:pPr>
            <w:r>
              <w:rPr>
                <w:rFonts w:ascii="宋体" w:hAnsi="宋体" w:cs="宋体" w:eastAsia="宋体" w:hint="default"/>
                <w:sz w:val="15"/>
                <w:szCs w:val="15"/>
              </w:rPr>
              <w:t>地面无线数字电视运营</w:t>
            </w:r>
          </w:p>
        </w:tc>
      </w:tr>
      <w:tr>
        <w:trPr>
          <w:trHeight w:val="270"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 w:right="0"/>
              <w:jc w:val="left"/>
              <w:rPr>
                <w:rFonts w:ascii="宋体" w:hAnsi="宋体" w:cs="宋体" w:eastAsia="宋体" w:hint="default"/>
                <w:sz w:val="15"/>
                <w:szCs w:val="15"/>
              </w:rPr>
            </w:pPr>
            <w:r>
              <w:rPr>
                <w:rFonts w:ascii="宋体" w:hAnsi="宋体" w:cs="宋体" w:eastAsia="宋体" w:hint="default"/>
                <w:sz w:val="15"/>
                <w:szCs w:val="15"/>
              </w:rPr>
              <w:t>商丘同方恒泰数字电视有限公司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
              <w:jc w:val="center"/>
              <w:rPr>
                <w:rFonts w:ascii="宋体" w:hAnsi="宋体" w:cs="宋体" w:eastAsia="宋体" w:hint="default"/>
                <w:sz w:val="15"/>
                <w:szCs w:val="15"/>
              </w:rPr>
            </w:pPr>
            <w:r>
              <w:rPr>
                <w:rFonts w:ascii="宋体"/>
                <w:sz w:val="15"/>
              </w:rPr>
              <w:t>49.00%</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1" w:right="0"/>
              <w:jc w:val="left"/>
              <w:rPr>
                <w:rFonts w:ascii="宋体" w:hAnsi="宋体" w:cs="宋体" w:eastAsia="宋体" w:hint="default"/>
                <w:sz w:val="15"/>
                <w:szCs w:val="15"/>
              </w:rPr>
            </w:pPr>
            <w:r>
              <w:rPr>
                <w:rFonts w:ascii="宋体"/>
                <w:sz w:val="15"/>
              </w:rPr>
              <w:t>49.00%</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
              <w:jc w:val="center"/>
              <w:rPr>
                <w:rFonts w:ascii="宋体" w:hAnsi="宋体" w:cs="宋体" w:eastAsia="宋体" w:hint="default"/>
                <w:sz w:val="15"/>
                <w:szCs w:val="15"/>
              </w:rPr>
            </w:pPr>
            <w:r>
              <w:rPr>
                <w:rFonts w:ascii="宋体" w:hAnsi="宋体" w:cs="宋体" w:eastAsia="宋体" w:hint="default"/>
                <w:sz w:val="15"/>
                <w:szCs w:val="15"/>
              </w:rPr>
              <w:t>河南商丘</w:t>
            </w:r>
          </w:p>
        </w:tc>
        <w:tc>
          <w:tcPr>
            <w:tcW w:w="432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3" w:right="0"/>
              <w:jc w:val="left"/>
              <w:rPr>
                <w:rFonts w:ascii="宋体" w:hAnsi="宋体" w:cs="宋体" w:eastAsia="宋体" w:hint="default"/>
                <w:sz w:val="15"/>
                <w:szCs w:val="15"/>
              </w:rPr>
            </w:pPr>
            <w:r>
              <w:rPr>
                <w:rFonts w:ascii="宋体" w:hAnsi="宋体" w:cs="宋体" w:eastAsia="宋体" w:hint="default"/>
                <w:sz w:val="15"/>
                <w:szCs w:val="15"/>
              </w:rPr>
              <w:t>地面无线数字电视运营</w:t>
            </w:r>
          </w:p>
        </w:tc>
      </w:tr>
      <w:tr>
        <w:trPr>
          <w:trHeight w:val="270"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 w:right="0"/>
              <w:jc w:val="left"/>
              <w:rPr>
                <w:rFonts w:ascii="宋体" w:hAnsi="宋体" w:cs="宋体" w:eastAsia="宋体" w:hint="default"/>
                <w:sz w:val="15"/>
                <w:szCs w:val="15"/>
              </w:rPr>
            </w:pPr>
            <w:r>
              <w:rPr>
                <w:rFonts w:ascii="宋体" w:hAnsi="宋体" w:cs="宋体" w:eastAsia="宋体" w:hint="default"/>
                <w:sz w:val="15"/>
                <w:szCs w:val="15"/>
              </w:rPr>
              <w:t>泉州广电同方数字电视有限公司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
              <w:jc w:val="center"/>
              <w:rPr>
                <w:rFonts w:ascii="宋体" w:hAnsi="宋体" w:cs="宋体" w:eastAsia="宋体" w:hint="default"/>
                <w:sz w:val="15"/>
                <w:szCs w:val="15"/>
              </w:rPr>
            </w:pPr>
            <w:r>
              <w:rPr>
                <w:rFonts w:ascii="宋体"/>
                <w:sz w:val="15"/>
              </w:rPr>
              <w:t>49.00%</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1" w:right="0"/>
              <w:jc w:val="left"/>
              <w:rPr>
                <w:rFonts w:ascii="宋体" w:hAnsi="宋体" w:cs="宋体" w:eastAsia="宋体" w:hint="default"/>
                <w:sz w:val="15"/>
                <w:szCs w:val="15"/>
              </w:rPr>
            </w:pPr>
            <w:r>
              <w:rPr>
                <w:rFonts w:ascii="宋体"/>
                <w:sz w:val="15"/>
              </w:rPr>
              <w:t>49.00%</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
              <w:jc w:val="center"/>
              <w:rPr>
                <w:rFonts w:ascii="宋体" w:hAnsi="宋体" w:cs="宋体" w:eastAsia="宋体" w:hint="default"/>
                <w:sz w:val="15"/>
                <w:szCs w:val="15"/>
              </w:rPr>
            </w:pPr>
            <w:r>
              <w:rPr>
                <w:rFonts w:ascii="宋体" w:hAnsi="宋体" w:cs="宋体" w:eastAsia="宋体" w:hint="default"/>
                <w:sz w:val="15"/>
                <w:szCs w:val="15"/>
              </w:rPr>
              <w:t>福建泉州</w:t>
            </w:r>
          </w:p>
        </w:tc>
        <w:tc>
          <w:tcPr>
            <w:tcW w:w="432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3" w:right="0"/>
              <w:jc w:val="left"/>
              <w:rPr>
                <w:rFonts w:ascii="宋体" w:hAnsi="宋体" w:cs="宋体" w:eastAsia="宋体" w:hint="default"/>
                <w:sz w:val="15"/>
                <w:szCs w:val="15"/>
              </w:rPr>
            </w:pPr>
            <w:r>
              <w:rPr>
                <w:rFonts w:ascii="宋体" w:hAnsi="宋体" w:cs="宋体" w:eastAsia="宋体" w:hint="default"/>
                <w:sz w:val="15"/>
                <w:szCs w:val="15"/>
              </w:rPr>
              <w:t>地面无线数字电视运营</w:t>
            </w:r>
          </w:p>
        </w:tc>
      </w:tr>
      <w:tr>
        <w:trPr>
          <w:trHeight w:val="270"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 w:right="0"/>
              <w:jc w:val="left"/>
              <w:rPr>
                <w:rFonts w:ascii="宋体" w:hAnsi="宋体" w:cs="宋体" w:eastAsia="宋体" w:hint="default"/>
                <w:sz w:val="15"/>
                <w:szCs w:val="15"/>
              </w:rPr>
            </w:pPr>
            <w:r>
              <w:rPr>
                <w:rFonts w:ascii="宋体" w:hAnsi="宋体" w:cs="宋体" w:eastAsia="宋体" w:hint="default"/>
                <w:sz w:val="15"/>
                <w:szCs w:val="15"/>
              </w:rPr>
              <w:t>运城市蓝星同方数字电视有限公司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
              <w:jc w:val="center"/>
              <w:rPr>
                <w:rFonts w:ascii="宋体" w:hAnsi="宋体" w:cs="宋体" w:eastAsia="宋体" w:hint="default"/>
                <w:sz w:val="15"/>
                <w:szCs w:val="15"/>
              </w:rPr>
            </w:pPr>
            <w:r>
              <w:rPr>
                <w:rFonts w:ascii="宋体"/>
                <w:sz w:val="15"/>
              </w:rPr>
              <w:t>49.00%</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1" w:right="0"/>
              <w:jc w:val="left"/>
              <w:rPr>
                <w:rFonts w:ascii="宋体" w:hAnsi="宋体" w:cs="宋体" w:eastAsia="宋体" w:hint="default"/>
                <w:sz w:val="15"/>
                <w:szCs w:val="15"/>
              </w:rPr>
            </w:pPr>
            <w:r>
              <w:rPr>
                <w:rFonts w:ascii="宋体"/>
                <w:sz w:val="15"/>
              </w:rPr>
              <w:t>49.00%</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
              <w:jc w:val="center"/>
              <w:rPr>
                <w:rFonts w:ascii="宋体" w:hAnsi="宋体" w:cs="宋体" w:eastAsia="宋体" w:hint="default"/>
                <w:sz w:val="15"/>
                <w:szCs w:val="15"/>
              </w:rPr>
            </w:pPr>
            <w:r>
              <w:rPr>
                <w:rFonts w:ascii="宋体" w:hAnsi="宋体" w:cs="宋体" w:eastAsia="宋体" w:hint="default"/>
                <w:sz w:val="15"/>
                <w:szCs w:val="15"/>
              </w:rPr>
              <w:t>山西运城</w:t>
            </w:r>
          </w:p>
        </w:tc>
        <w:tc>
          <w:tcPr>
            <w:tcW w:w="432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3" w:right="0"/>
              <w:jc w:val="left"/>
              <w:rPr>
                <w:rFonts w:ascii="宋体" w:hAnsi="宋体" w:cs="宋体" w:eastAsia="宋体" w:hint="default"/>
                <w:sz w:val="15"/>
                <w:szCs w:val="15"/>
              </w:rPr>
            </w:pPr>
            <w:r>
              <w:rPr>
                <w:rFonts w:ascii="宋体" w:hAnsi="宋体" w:cs="宋体" w:eastAsia="宋体" w:hint="default"/>
                <w:sz w:val="15"/>
                <w:szCs w:val="15"/>
              </w:rPr>
              <w:t>地面无线数字电视运营</w:t>
            </w:r>
          </w:p>
        </w:tc>
      </w:tr>
      <w:tr>
        <w:trPr>
          <w:trHeight w:val="270"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 w:right="0"/>
              <w:jc w:val="left"/>
              <w:rPr>
                <w:rFonts w:ascii="宋体" w:hAnsi="宋体" w:cs="宋体" w:eastAsia="宋体" w:hint="default"/>
                <w:sz w:val="15"/>
                <w:szCs w:val="15"/>
              </w:rPr>
            </w:pPr>
            <w:r>
              <w:rPr>
                <w:rFonts w:ascii="宋体" w:hAnsi="宋体" w:cs="宋体" w:eastAsia="宋体" w:hint="default"/>
                <w:sz w:val="15"/>
                <w:szCs w:val="15"/>
              </w:rPr>
              <w:t>许昌广电同方数字电视有限公司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
              <w:jc w:val="center"/>
              <w:rPr>
                <w:rFonts w:ascii="宋体" w:hAnsi="宋体" w:cs="宋体" w:eastAsia="宋体" w:hint="default"/>
                <w:sz w:val="15"/>
                <w:szCs w:val="15"/>
              </w:rPr>
            </w:pPr>
            <w:r>
              <w:rPr>
                <w:rFonts w:ascii="宋体"/>
                <w:sz w:val="15"/>
              </w:rPr>
              <w:t>49.00%</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1" w:right="0"/>
              <w:jc w:val="left"/>
              <w:rPr>
                <w:rFonts w:ascii="宋体" w:hAnsi="宋体" w:cs="宋体" w:eastAsia="宋体" w:hint="default"/>
                <w:sz w:val="15"/>
                <w:szCs w:val="15"/>
              </w:rPr>
            </w:pPr>
            <w:r>
              <w:rPr>
                <w:rFonts w:ascii="宋体"/>
                <w:sz w:val="15"/>
              </w:rPr>
              <w:t>49.00%</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
              <w:jc w:val="center"/>
              <w:rPr>
                <w:rFonts w:ascii="宋体" w:hAnsi="宋体" w:cs="宋体" w:eastAsia="宋体" w:hint="default"/>
                <w:sz w:val="15"/>
                <w:szCs w:val="15"/>
              </w:rPr>
            </w:pPr>
            <w:r>
              <w:rPr>
                <w:rFonts w:ascii="宋体" w:hAnsi="宋体" w:cs="宋体" w:eastAsia="宋体" w:hint="default"/>
                <w:sz w:val="15"/>
                <w:szCs w:val="15"/>
              </w:rPr>
              <w:t>河南许昌</w:t>
            </w:r>
          </w:p>
        </w:tc>
        <w:tc>
          <w:tcPr>
            <w:tcW w:w="432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3" w:right="0"/>
              <w:jc w:val="left"/>
              <w:rPr>
                <w:rFonts w:ascii="宋体" w:hAnsi="宋体" w:cs="宋体" w:eastAsia="宋体" w:hint="default"/>
                <w:sz w:val="15"/>
                <w:szCs w:val="15"/>
              </w:rPr>
            </w:pPr>
            <w:r>
              <w:rPr>
                <w:rFonts w:ascii="宋体" w:hAnsi="宋体" w:cs="宋体" w:eastAsia="宋体" w:hint="default"/>
                <w:sz w:val="15"/>
                <w:szCs w:val="15"/>
              </w:rPr>
              <w:t>地面无线数字电视运营</w:t>
            </w:r>
          </w:p>
        </w:tc>
      </w:tr>
      <w:tr>
        <w:trPr>
          <w:trHeight w:val="270"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 w:right="0"/>
              <w:jc w:val="left"/>
              <w:rPr>
                <w:rFonts w:ascii="宋体" w:hAnsi="宋体" w:cs="宋体" w:eastAsia="宋体" w:hint="default"/>
                <w:sz w:val="15"/>
                <w:szCs w:val="15"/>
              </w:rPr>
            </w:pPr>
            <w:r>
              <w:rPr>
                <w:rFonts w:ascii="宋体" w:hAnsi="宋体" w:cs="宋体" w:eastAsia="宋体" w:hint="default"/>
                <w:sz w:val="15"/>
                <w:szCs w:val="15"/>
              </w:rPr>
              <w:t>天津北方移动传媒有限公司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
              <w:jc w:val="center"/>
              <w:rPr>
                <w:rFonts w:ascii="宋体" w:hAnsi="宋体" w:cs="宋体" w:eastAsia="宋体" w:hint="default"/>
                <w:sz w:val="15"/>
                <w:szCs w:val="15"/>
              </w:rPr>
            </w:pPr>
            <w:r>
              <w:rPr>
                <w:rFonts w:ascii="宋体"/>
                <w:sz w:val="15"/>
              </w:rPr>
              <w:t>49.00%</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1" w:right="0"/>
              <w:jc w:val="left"/>
              <w:rPr>
                <w:rFonts w:ascii="宋体" w:hAnsi="宋体" w:cs="宋体" w:eastAsia="宋体" w:hint="default"/>
                <w:sz w:val="15"/>
                <w:szCs w:val="15"/>
              </w:rPr>
            </w:pPr>
            <w:r>
              <w:rPr>
                <w:rFonts w:ascii="宋体"/>
                <w:sz w:val="15"/>
              </w:rPr>
              <w:t>49.00%</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
              <w:jc w:val="center"/>
              <w:rPr>
                <w:rFonts w:ascii="宋体" w:hAnsi="宋体" w:cs="宋体" w:eastAsia="宋体" w:hint="default"/>
                <w:sz w:val="15"/>
                <w:szCs w:val="15"/>
              </w:rPr>
            </w:pPr>
            <w:r>
              <w:rPr>
                <w:rFonts w:ascii="宋体" w:hAnsi="宋体" w:cs="宋体" w:eastAsia="宋体" w:hint="default"/>
                <w:sz w:val="15"/>
                <w:szCs w:val="15"/>
              </w:rPr>
              <w:t>天津河东</w:t>
            </w:r>
          </w:p>
        </w:tc>
        <w:tc>
          <w:tcPr>
            <w:tcW w:w="432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3" w:right="0"/>
              <w:jc w:val="left"/>
              <w:rPr>
                <w:rFonts w:ascii="宋体" w:hAnsi="宋体" w:cs="宋体" w:eastAsia="宋体" w:hint="default"/>
                <w:sz w:val="15"/>
                <w:szCs w:val="15"/>
              </w:rPr>
            </w:pPr>
            <w:r>
              <w:rPr>
                <w:rFonts w:ascii="宋体" w:hAnsi="宋体" w:cs="宋体" w:eastAsia="宋体" w:hint="default"/>
                <w:sz w:val="15"/>
                <w:szCs w:val="15"/>
              </w:rPr>
              <w:t>移动公交广告运营</w:t>
            </w:r>
          </w:p>
        </w:tc>
      </w:tr>
      <w:tr>
        <w:trPr>
          <w:trHeight w:val="251"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 w:right="0"/>
              <w:jc w:val="left"/>
              <w:rPr>
                <w:rFonts w:ascii="宋体" w:hAnsi="宋体" w:cs="宋体" w:eastAsia="宋体" w:hint="default"/>
                <w:sz w:val="15"/>
                <w:szCs w:val="15"/>
              </w:rPr>
            </w:pPr>
            <w:r>
              <w:rPr>
                <w:rFonts w:ascii="宋体" w:hAnsi="宋体" w:cs="宋体" w:eastAsia="宋体" w:hint="default"/>
                <w:sz w:val="15"/>
                <w:szCs w:val="15"/>
              </w:rPr>
              <w:t>濮阳广电同方数字电视有限公司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
              <w:jc w:val="center"/>
              <w:rPr>
                <w:rFonts w:ascii="宋体" w:hAnsi="宋体" w:cs="宋体" w:eastAsia="宋体" w:hint="default"/>
                <w:sz w:val="15"/>
                <w:szCs w:val="15"/>
              </w:rPr>
            </w:pPr>
            <w:r>
              <w:rPr>
                <w:rFonts w:ascii="宋体"/>
                <w:sz w:val="15"/>
              </w:rPr>
              <w:t>49.00%</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1" w:right="0"/>
              <w:jc w:val="left"/>
              <w:rPr>
                <w:rFonts w:ascii="宋体" w:hAnsi="宋体" w:cs="宋体" w:eastAsia="宋体" w:hint="default"/>
                <w:sz w:val="15"/>
                <w:szCs w:val="15"/>
              </w:rPr>
            </w:pPr>
            <w:r>
              <w:rPr>
                <w:rFonts w:ascii="宋体"/>
                <w:sz w:val="15"/>
              </w:rPr>
              <w:t>49.00%</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
              <w:jc w:val="center"/>
              <w:rPr>
                <w:rFonts w:ascii="宋体" w:hAnsi="宋体" w:cs="宋体" w:eastAsia="宋体" w:hint="default"/>
                <w:sz w:val="15"/>
                <w:szCs w:val="15"/>
              </w:rPr>
            </w:pPr>
            <w:r>
              <w:rPr>
                <w:rFonts w:ascii="宋体" w:hAnsi="宋体" w:cs="宋体" w:eastAsia="宋体" w:hint="default"/>
                <w:sz w:val="15"/>
                <w:szCs w:val="15"/>
              </w:rPr>
              <w:t>河南濮阳</w:t>
            </w:r>
          </w:p>
        </w:tc>
        <w:tc>
          <w:tcPr>
            <w:tcW w:w="432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3" w:right="0"/>
              <w:jc w:val="left"/>
              <w:rPr>
                <w:rFonts w:ascii="宋体" w:hAnsi="宋体" w:cs="宋体" w:eastAsia="宋体" w:hint="default"/>
                <w:sz w:val="15"/>
                <w:szCs w:val="15"/>
              </w:rPr>
            </w:pPr>
            <w:r>
              <w:rPr>
                <w:rFonts w:ascii="宋体" w:hAnsi="宋体" w:cs="宋体" w:eastAsia="宋体" w:hint="default"/>
                <w:sz w:val="15"/>
                <w:szCs w:val="15"/>
              </w:rPr>
              <w:t>地面无线数字电视运营</w:t>
            </w:r>
          </w:p>
        </w:tc>
      </w:tr>
      <w:tr>
        <w:trPr>
          <w:trHeight w:val="427"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194" w:lineRule="exact" w:before="15"/>
              <w:ind w:left="21" w:right="128" w:hanging="12"/>
              <w:jc w:val="left"/>
              <w:rPr>
                <w:rFonts w:ascii="宋体" w:hAnsi="宋体" w:cs="宋体" w:eastAsia="宋体" w:hint="default"/>
                <w:sz w:val="15"/>
                <w:szCs w:val="15"/>
              </w:rPr>
            </w:pPr>
            <w:r>
              <w:rPr>
                <w:rFonts w:ascii="宋体" w:hAnsi="宋体" w:cs="宋体" w:eastAsia="宋体" w:hint="default"/>
                <w:spacing w:val="-2"/>
                <w:sz w:val="15"/>
                <w:szCs w:val="15"/>
              </w:rPr>
              <w:t>达州广电同方无线数字电视有限公</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司</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
              <w:jc w:val="center"/>
              <w:rPr>
                <w:rFonts w:ascii="宋体" w:hAnsi="宋体" w:cs="宋体" w:eastAsia="宋体" w:hint="default"/>
                <w:sz w:val="15"/>
                <w:szCs w:val="15"/>
              </w:rPr>
            </w:pPr>
            <w:r>
              <w:rPr>
                <w:rFonts w:ascii="宋体"/>
                <w:sz w:val="15"/>
              </w:rPr>
              <w:t>49.00%</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1" w:right="0"/>
              <w:jc w:val="left"/>
              <w:rPr>
                <w:rFonts w:ascii="宋体" w:hAnsi="宋体" w:cs="宋体" w:eastAsia="宋体" w:hint="default"/>
                <w:sz w:val="15"/>
                <w:szCs w:val="15"/>
              </w:rPr>
            </w:pPr>
            <w:r>
              <w:rPr>
                <w:rFonts w:ascii="宋体"/>
                <w:sz w:val="15"/>
              </w:rPr>
              <w:t>49.00%</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
              <w:jc w:val="center"/>
              <w:rPr>
                <w:rFonts w:ascii="宋体" w:hAnsi="宋体" w:cs="宋体" w:eastAsia="宋体" w:hint="default"/>
                <w:sz w:val="15"/>
                <w:szCs w:val="15"/>
              </w:rPr>
            </w:pPr>
            <w:r>
              <w:rPr>
                <w:rFonts w:ascii="宋体" w:hAnsi="宋体" w:cs="宋体" w:eastAsia="宋体" w:hint="default"/>
                <w:sz w:val="15"/>
                <w:szCs w:val="15"/>
              </w:rPr>
              <w:t>四川达州</w:t>
            </w:r>
          </w:p>
        </w:tc>
        <w:tc>
          <w:tcPr>
            <w:tcW w:w="432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3" w:right="0"/>
              <w:jc w:val="left"/>
              <w:rPr>
                <w:rFonts w:ascii="宋体" w:hAnsi="宋体" w:cs="宋体" w:eastAsia="宋体" w:hint="default"/>
                <w:sz w:val="15"/>
                <w:szCs w:val="15"/>
              </w:rPr>
            </w:pPr>
            <w:r>
              <w:rPr>
                <w:rFonts w:ascii="宋体" w:hAnsi="宋体" w:cs="宋体" w:eastAsia="宋体" w:hint="default"/>
                <w:sz w:val="15"/>
                <w:szCs w:val="15"/>
              </w:rPr>
              <w:t>地面无线数字电视运营</w:t>
            </w:r>
          </w:p>
        </w:tc>
      </w:tr>
      <w:tr>
        <w:trPr>
          <w:trHeight w:val="251"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192" w:lineRule="exact"/>
              <w:ind w:left="9" w:right="0"/>
              <w:jc w:val="left"/>
              <w:rPr>
                <w:rFonts w:ascii="宋体" w:hAnsi="宋体" w:cs="宋体" w:eastAsia="宋体" w:hint="default"/>
                <w:sz w:val="15"/>
                <w:szCs w:val="15"/>
              </w:rPr>
            </w:pPr>
            <w:r>
              <w:rPr>
                <w:rFonts w:ascii="宋体" w:hAnsi="宋体" w:cs="宋体" w:eastAsia="宋体" w:hint="default"/>
                <w:sz w:val="15"/>
                <w:szCs w:val="15"/>
              </w:rPr>
              <w:t>日照广电同方数字电视有限公司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192" w:lineRule="exact"/>
              <w:ind w:right="4"/>
              <w:jc w:val="center"/>
              <w:rPr>
                <w:rFonts w:ascii="宋体" w:hAnsi="宋体" w:cs="宋体" w:eastAsia="宋体" w:hint="default"/>
                <w:sz w:val="15"/>
                <w:szCs w:val="15"/>
              </w:rPr>
            </w:pPr>
            <w:r>
              <w:rPr>
                <w:rFonts w:ascii="宋体"/>
                <w:sz w:val="15"/>
              </w:rPr>
              <w:t>49.00%</w:t>
            </w:r>
          </w:p>
        </w:tc>
        <w:tc>
          <w:tcPr>
            <w:tcW w:w="541" w:type="dxa"/>
            <w:tcBorders>
              <w:top w:val="nil" w:sz="6" w:space="0" w:color="auto"/>
              <w:left w:val="nil" w:sz="6" w:space="0" w:color="auto"/>
              <w:bottom w:val="nil" w:sz="6" w:space="0" w:color="auto"/>
              <w:right w:val="nil" w:sz="6" w:space="0" w:color="auto"/>
            </w:tcBorders>
          </w:tcPr>
          <w:p>
            <w:pPr>
              <w:pStyle w:val="TableParagraph"/>
              <w:spacing w:line="192" w:lineRule="exact"/>
              <w:ind w:left="61" w:right="0"/>
              <w:jc w:val="left"/>
              <w:rPr>
                <w:rFonts w:ascii="宋体" w:hAnsi="宋体" w:cs="宋体" w:eastAsia="宋体" w:hint="default"/>
                <w:sz w:val="15"/>
                <w:szCs w:val="15"/>
              </w:rPr>
            </w:pPr>
            <w:r>
              <w:rPr>
                <w:rFonts w:ascii="宋体"/>
                <w:sz w:val="15"/>
              </w:rPr>
              <w:t>49.00%</w:t>
            </w:r>
          </w:p>
        </w:tc>
        <w:tc>
          <w:tcPr>
            <w:tcW w:w="738" w:type="dxa"/>
            <w:tcBorders>
              <w:top w:val="nil" w:sz="6" w:space="0" w:color="auto"/>
              <w:left w:val="nil" w:sz="6" w:space="0" w:color="auto"/>
              <w:bottom w:val="nil" w:sz="6" w:space="0" w:color="auto"/>
              <w:right w:val="nil" w:sz="6" w:space="0" w:color="auto"/>
            </w:tcBorders>
          </w:tcPr>
          <w:p>
            <w:pPr>
              <w:pStyle w:val="TableParagraph"/>
              <w:spacing w:line="192" w:lineRule="exact"/>
              <w:ind w:right="2"/>
              <w:jc w:val="center"/>
              <w:rPr>
                <w:rFonts w:ascii="宋体" w:hAnsi="宋体" w:cs="宋体" w:eastAsia="宋体" w:hint="default"/>
                <w:sz w:val="15"/>
                <w:szCs w:val="15"/>
              </w:rPr>
            </w:pPr>
            <w:r>
              <w:rPr>
                <w:rFonts w:ascii="宋体" w:hAnsi="宋体" w:cs="宋体" w:eastAsia="宋体" w:hint="default"/>
                <w:sz w:val="15"/>
                <w:szCs w:val="15"/>
              </w:rPr>
              <w:t>山东日照</w:t>
            </w:r>
          </w:p>
        </w:tc>
        <w:tc>
          <w:tcPr>
            <w:tcW w:w="4322" w:type="dxa"/>
            <w:tcBorders>
              <w:top w:val="nil" w:sz="6" w:space="0" w:color="auto"/>
              <w:left w:val="nil" w:sz="6" w:space="0" w:color="auto"/>
              <w:bottom w:val="nil" w:sz="6" w:space="0" w:color="auto"/>
              <w:right w:val="nil" w:sz="6" w:space="0" w:color="auto"/>
            </w:tcBorders>
          </w:tcPr>
          <w:p>
            <w:pPr>
              <w:pStyle w:val="TableParagraph"/>
              <w:spacing w:line="192" w:lineRule="exact"/>
              <w:ind w:left="33" w:right="0"/>
              <w:jc w:val="left"/>
              <w:rPr>
                <w:rFonts w:ascii="宋体" w:hAnsi="宋体" w:cs="宋体" w:eastAsia="宋体" w:hint="default"/>
                <w:sz w:val="15"/>
                <w:szCs w:val="15"/>
              </w:rPr>
            </w:pPr>
            <w:r>
              <w:rPr>
                <w:rFonts w:ascii="宋体" w:hAnsi="宋体" w:cs="宋体" w:eastAsia="宋体" w:hint="default"/>
                <w:sz w:val="15"/>
                <w:szCs w:val="15"/>
              </w:rPr>
              <w:t>地面无线数字电视运营</w:t>
            </w:r>
          </w:p>
        </w:tc>
      </w:tr>
      <w:tr>
        <w:trPr>
          <w:trHeight w:val="251"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 w:right="0"/>
              <w:jc w:val="left"/>
              <w:rPr>
                <w:rFonts w:ascii="宋体" w:hAnsi="宋体" w:cs="宋体" w:eastAsia="宋体" w:hint="default"/>
                <w:sz w:val="15"/>
                <w:szCs w:val="15"/>
              </w:rPr>
            </w:pPr>
            <w:r>
              <w:rPr>
                <w:rFonts w:ascii="宋体" w:hAnsi="宋体" w:cs="宋体" w:eastAsia="宋体" w:hint="default"/>
                <w:sz w:val="15"/>
                <w:szCs w:val="15"/>
              </w:rPr>
              <w:t>天门广电同方数字电视有限公司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
              <w:jc w:val="center"/>
              <w:rPr>
                <w:rFonts w:ascii="宋体" w:hAnsi="宋体" w:cs="宋体" w:eastAsia="宋体" w:hint="default"/>
                <w:sz w:val="15"/>
                <w:szCs w:val="15"/>
              </w:rPr>
            </w:pPr>
            <w:r>
              <w:rPr>
                <w:rFonts w:ascii="宋体"/>
                <w:sz w:val="15"/>
              </w:rPr>
              <w:t>49.00%</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61" w:right="0"/>
              <w:jc w:val="left"/>
              <w:rPr>
                <w:rFonts w:ascii="宋体" w:hAnsi="宋体" w:cs="宋体" w:eastAsia="宋体" w:hint="default"/>
                <w:sz w:val="15"/>
                <w:szCs w:val="15"/>
              </w:rPr>
            </w:pPr>
            <w:r>
              <w:rPr>
                <w:rFonts w:ascii="宋体"/>
                <w:sz w:val="15"/>
              </w:rPr>
              <w:t>49.00%</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
              <w:jc w:val="center"/>
              <w:rPr>
                <w:rFonts w:ascii="宋体" w:hAnsi="宋体" w:cs="宋体" w:eastAsia="宋体" w:hint="default"/>
                <w:sz w:val="15"/>
                <w:szCs w:val="15"/>
              </w:rPr>
            </w:pPr>
            <w:r>
              <w:rPr>
                <w:rFonts w:ascii="宋体" w:hAnsi="宋体" w:cs="宋体" w:eastAsia="宋体" w:hint="default"/>
                <w:sz w:val="15"/>
                <w:szCs w:val="15"/>
              </w:rPr>
              <w:t>湖北天门</w:t>
            </w:r>
          </w:p>
        </w:tc>
        <w:tc>
          <w:tcPr>
            <w:tcW w:w="432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3" w:right="0"/>
              <w:jc w:val="left"/>
              <w:rPr>
                <w:rFonts w:ascii="宋体" w:hAnsi="宋体" w:cs="宋体" w:eastAsia="宋体" w:hint="default"/>
                <w:sz w:val="15"/>
                <w:szCs w:val="15"/>
              </w:rPr>
            </w:pPr>
            <w:r>
              <w:rPr>
                <w:rFonts w:ascii="宋体" w:hAnsi="宋体" w:cs="宋体" w:eastAsia="宋体" w:hint="default"/>
                <w:sz w:val="15"/>
                <w:szCs w:val="15"/>
              </w:rPr>
              <w:t>地面无线数字电视运营</w:t>
            </w:r>
          </w:p>
        </w:tc>
      </w:tr>
      <w:tr>
        <w:trPr>
          <w:trHeight w:val="408"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194" w:lineRule="exact" w:before="15"/>
              <w:ind w:left="21" w:right="128" w:hanging="12"/>
              <w:jc w:val="left"/>
              <w:rPr>
                <w:rFonts w:ascii="宋体" w:hAnsi="宋体" w:cs="宋体" w:eastAsia="宋体" w:hint="default"/>
                <w:sz w:val="15"/>
                <w:szCs w:val="15"/>
              </w:rPr>
            </w:pPr>
            <w:r>
              <w:rPr>
                <w:rFonts w:ascii="宋体" w:hAnsi="宋体" w:cs="宋体" w:eastAsia="宋体" w:hint="default"/>
                <w:spacing w:val="-2"/>
                <w:sz w:val="15"/>
                <w:szCs w:val="15"/>
              </w:rPr>
              <w:t>陕西省广电同方数字电视有限责任</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
              <w:jc w:val="center"/>
              <w:rPr>
                <w:rFonts w:ascii="宋体" w:hAnsi="宋体" w:cs="宋体" w:eastAsia="宋体" w:hint="default"/>
                <w:sz w:val="15"/>
                <w:szCs w:val="15"/>
              </w:rPr>
            </w:pPr>
            <w:r>
              <w:rPr>
                <w:rFonts w:ascii="宋体"/>
                <w:sz w:val="15"/>
              </w:rPr>
              <w:t>40.00%</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1" w:right="0"/>
              <w:jc w:val="left"/>
              <w:rPr>
                <w:rFonts w:ascii="宋体" w:hAnsi="宋体" w:cs="宋体" w:eastAsia="宋体" w:hint="default"/>
                <w:sz w:val="15"/>
                <w:szCs w:val="15"/>
              </w:rPr>
            </w:pPr>
            <w:r>
              <w:rPr>
                <w:rFonts w:ascii="宋体"/>
                <w:sz w:val="15"/>
              </w:rPr>
              <w:t>40.00%</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
              <w:jc w:val="center"/>
              <w:rPr>
                <w:rFonts w:ascii="宋体" w:hAnsi="宋体" w:cs="宋体" w:eastAsia="宋体" w:hint="default"/>
                <w:sz w:val="15"/>
                <w:szCs w:val="15"/>
              </w:rPr>
            </w:pPr>
            <w:r>
              <w:rPr>
                <w:rFonts w:ascii="宋体" w:hAnsi="宋体" w:cs="宋体" w:eastAsia="宋体" w:hint="default"/>
                <w:sz w:val="15"/>
                <w:szCs w:val="15"/>
              </w:rPr>
              <w:t>陕西西安</w:t>
            </w:r>
          </w:p>
        </w:tc>
        <w:tc>
          <w:tcPr>
            <w:tcW w:w="432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3" w:right="0"/>
              <w:jc w:val="left"/>
              <w:rPr>
                <w:rFonts w:ascii="宋体" w:hAnsi="宋体" w:cs="宋体" w:eastAsia="宋体" w:hint="default"/>
                <w:sz w:val="15"/>
                <w:szCs w:val="15"/>
              </w:rPr>
            </w:pPr>
            <w:r>
              <w:rPr>
                <w:rFonts w:ascii="宋体" w:hAnsi="宋体" w:cs="宋体" w:eastAsia="宋体" w:hint="default"/>
                <w:sz w:val="15"/>
                <w:szCs w:val="15"/>
              </w:rPr>
              <w:t>地面无线数字电视运营</w:t>
            </w:r>
          </w:p>
        </w:tc>
      </w:tr>
      <w:tr>
        <w:trPr>
          <w:trHeight w:val="389"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172" w:lineRule="exact"/>
              <w:ind w:left="9" w:right="0"/>
              <w:jc w:val="left"/>
              <w:rPr>
                <w:rFonts w:ascii="宋体" w:hAnsi="宋体" w:cs="宋体" w:eastAsia="宋体" w:hint="default"/>
                <w:sz w:val="15"/>
                <w:szCs w:val="15"/>
              </w:rPr>
            </w:pPr>
            <w:r>
              <w:rPr>
                <w:rFonts w:ascii="宋体" w:hAnsi="宋体" w:cs="宋体" w:eastAsia="宋体" w:hint="default"/>
                <w:sz w:val="15"/>
                <w:szCs w:val="15"/>
              </w:rPr>
              <w:t>南阳广电同方数字电视有限责任公</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w w:val="100"/>
                <w:sz w:val="15"/>
                <w:szCs w:val="15"/>
              </w:rPr>
              <w:t>司</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
              <w:jc w:val="center"/>
              <w:rPr>
                <w:rFonts w:ascii="宋体" w:hAnsi="宋体" w:cs="宋体" w:eastAsia="宋体" w:hint="default"/>
                <w:sz w:val="15"/>
                <w:szCs w:val="15"/>
              </w:rPr>
            </w:pPr>
            <w:r>
              <w:rPr>
                <w:rFonts w:ascii="宋体"/>
                <w:sz w:val="15"/>
              </w:rPr>
              <w:t>49.00%</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1" w:right="0"/>
              <w:jc w:val="left"/>
              <w:rPr>
                <w:rFonts w:ascii="宋体" w:hAnsi="宋体" w:cs="宋体" w:eastAsia="宋体" w:hint="default"/>
                <w:sz w:val="15"/>
                <w:szCs w:val="15"/>
              </w:rPr>
            </w:pPr>
            <w:r>
              <w:rPr>
                <w:rFonts w:ascii="宋体"/>
                <w:sz w:val="15"/>
              </w:rPr>
              <w:t>49.00%</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
              <w:jc w:val="center"/>
              <w:rPr>
                <w:rFonts w:ascii="宋体" w:hAnsi="宋体" w:cs="宋体" w:eastAsia="宋体" w:hint="default"/>
                <w:sz w:val="15"/>
                <w:szCs w:val="15"/>
              </w:rPr>
            </w:pPr>
            <w:r>
              <w:rPr>
                <w:rFonts w:ascii="宋体" w:hAnsi="宋体" w:cs="宋体" w:eastAsia="宋体" w:hint="default"/>
                <w:sz w:val="15"/>
                <w:szCs w:val="15"/>
              </w:rPr>
              <w:t>河南南阳</w:t>
            </w:r>
          </w:p>
        </w:tc>
        <w:tc>
          <w:tcPr>
            <w:tcW w:w="432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 w:right="0"/>
              <w:jc w:val="left"/>
              <w:rPr>
                <w:rFonts w:ascii="宋体" w:hAnsi="宋体" w:cs="宋体" w:eastAsia="宋体" w:hint="default"/>
                <w:sz w:val="15"/>
                <w:szCs w:val="15"/>
              </w:rPr>
            </w:pPr>
            <w:r>
              <w:rPr>
                <w:rFonts w:ascii="宋体" w:hAnsi="宋体" w:cs="宋体" w:eastAsia="宋体" w:hint="default"/>
                <w:sz w:val="15"/>
                <w:szCs w:val="15"/>
              </w:rPr>
              <w:t>地面无线数字电视运营</w:t>
            </w:r>
          </w:p>
        </w:tc>
      </w:tr>
      <w:tr>
        <w:trPr>
          <w:trHeight w:val="408"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 w:right="0"/>
              <w:jc w:val="left"/>
              <w:rPr>
                <w:rFonts w:ascii="宋体" w:hAnsi="宋体" w:cs="宋体" w:eastAsia="宋体" w:hint="default"/>
                <w:sz w:val="15"/>
                <w:szCs w:val="15"/>
              </w:rPr>
            </w:pPr>
            <w:r>
              <w:rPr>
                <w:rFonts w:ascii="宋体" w:hAnsi="宋体" w:cs="宋体" w:eastAsia="宋体" w:hint="default"/>
                <w:sz w:val="15"/>
                <w:szCs w:val="15"/>
              </w:rPr>
              <w:t>张家口电广文化传媒有限公司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
              <w:jc w:val="center"/>
              <w:rPr>
                <w:rFonts w:ascii="宋体" w:hAnsi="宋体" w:cs="宋体" w:eastAsia="宋体" w:hint="default"/>
                <w:sz w:val="15"/>
                <w:szCs w:val="15"/>
              </w:rPr>
            </w:pPr>
            <w:r>
              <w:rPr>
                <w:rFonts w:ascii="宋体"/>
                <w:sz w:val="15"/>
              </w:rPr>
              <w:t>49.00%</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1" w:right="0"/>
              <w:jc w:val="left"/>
              <w:rPr>
                <w:rFonts w:ascii="宋体" w:hAnsi="宋体" w:cs="宋体" w:eastAsia="宋体" w:hint="default"/>
                <w:sz w:val="15"/>
                <w:szCs w:val="15"/>
              </w:rPr>
            </w:pPr>
            <w:r>
              <w:rPr>
                <w:rFonts w:ascii="宋体"/>
                <w:sz w:val="15"/>
              </w:rPr>
              <w:t>49.00%</w:t>
            </w:r>
          </w:p>
        </w:tc>
        <w:tc>
          <w:tcPr>
            <w:tcW w:w="738" w:type="dxa"/>
            <w:tcBorders>
              <w:top w:val="nil" w:sz="6" w:space="0" w:color="auto"/>
              <w:left w:val="nil" w:sz="6" w:space="0" w:color="auto"/>
              <w:bottom w:val="nil" w:sz="6" w:space="0" w:color="auto"/>
              <w:right w:val="nil" w:sz="6" w:space="0" w:color="auto"/>
            </w:tcBorders>
          </w:tcPr>
          <w:p>
            <w:pPr>
              <w:pStyle w:val="TableParagraph"/>
              <w:spacing w:line="172" w:lineRule="exact"/>
              <w:ind w:right="2"/>
              <w:jc w:val="center"/>
              <w:rPr>
                <w:rFonts w:ascii="宋体" w:hAnsi="宋体" w:cs="宋体" w:eastAsia="宋体" w:hint="default"/>
                <w:sz w:val="15"/>
                <w:szCs w:val="15"/>
              </w:rPr>
            </w:pPr>
            <w:r>
              <w:rPr>
                <w:rFonts w:ascii="宋体" w:hAnsi="宋体" w:cs="宋体" w:eastAsia="宋体" w:hint="default"/>
                <w:sz w:val="15"/>
                <w:szCs w:val="15"/>
              </w:rPr>
              <w:t>河北张家</w:t>
            </w:r>
          </w:p>
          <w:p>
            <w:pPr>
              <w:pStyle w:val="TableParagraph"/>
              <w:spacing w:line="195" w:lineRule="exact"/>
              <w:ind w:left="53" w:right="0"/>
              <w:jc w:val="center"/>
              <w:rPr>
                <w:rFonts w:ascii="宋体" w:hAnsi="宋体" w:cs="宋体" w:eastAsia="宋体" w:hint="default"/>
                <w:sz w:val="15"/>
                <w:szCs w:val="15"/>
              </w:rPr>
            </w:pPr>
            <w:r>
              <w:rPr>
                <w:rFonts w:ascii="宋体" w:hAnsi="宋体" w:cs="宋体" w:eastAsia="宋体" w:hint="default"/>
                <w:w w:val="100"/>
                <w:sz w:val="15"/>
                <w:szCs w:val="15"/>
              </w:rPr>
              <w:t>口</w:t>
            </w:r>
          </w:p>
        </w:tc>
        <w:tc>
          <w:tcPr>
            <w:tcW w:w="432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 w:right="0"/>
              <w:jc w:val="left"/>
              <w:rPr>
                <w:rFonts w:ascii="宋体" w:hAnsi="宋体" w:cs="宋体" w:eastAsia="宋体" w:hint="default"/>
                <w:sz w:val="15"/>
                <w:szCs w:val="15"/>
              </w:rPr>
            </w:pPr>
            <w:r>
              <w:rPr>
                <w:rFonts w:ascii="宋体" w:hAnsi="宋体" w:cs="宋体" w:eastAsia="宋体" w:hint="default"/>
                <w:sz w:val="15"/>
                <w:szCs w:val="15"/>
              </w:rPr>
              <w:t>地面无线数字电视运营</w:t>
            </w:r>
          </w:p>
        </w:tc>
      </w:tr>
      <w:tr>
        <w:trPr>
          <w:trHeight w:val="252"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192" w:lineRule="exact"/>
              <w:ind w:left="9" w:right="0"/>
              <w:jc w:val="left"/>
              <w:rPr>
                <w:rFonts w:ascii="宋体" w:hAnsi="宋体" w:cs="宋体" w:eastAsia="宋体" w:hint="default"/>
                <w:sz w:val="15"/>
                <w:szCs w:val="15"/>
              </w:rPr>
            </w:pPr>
            <w:r>
              <w:rPr>
                <w:rFonts w:ascii="宋体" w:hAnsi="宋体" w:cs="宋体" w:eastAsia="宋体" w:hint="default"/>
                <w:sz w:val="15"/>
                <w:szCs w:val="15"/>
              </w:rPr>
              <w:t>洛阳同方数字电视有限公司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192" w:lineRule="exact"/>
              <w:ind w:right="4"/>
              <w:jc w:val="center"/>
              <w:rPr>
                <w:rFonts w:ascii="宋体" w:hAnsi="宋体" w:cs="宋体" w:eastAsia="宋体" w:hint="default"/>
                <w:sz w:val="15"/>
                <w:szCs w:val="15"/>
              </w:rPr>
            </w:pPr>
            <w:r>
              <w:rPr>
                <w:rFonts w:ascii="宋体"/>
                <w:sz w:val="15"/>
              </w:rPr>
              <w:t>41.00%</w:t>
            </w:r>
          </w:p>
        </w:tc>
        <w:tc>
          <w:tcPr>
            <w:tcW w:w="541" w:type="dxa"/>
            <w:tcBorders>
              <w:top w:val="nil" w:sz="6" w:space="0" w:color="auto"/>
              <w:left w:val="nil" w:sz="6" w:space="0" w:color="auto"/>
              <w:bottom w:val="nil" w:sz="6" w:space="0" w:color="auto"/>
              <w:right w:val="nil" w:sz="6" w:space="0" w:color="auto"/>
            </w:tcBorders>
          </w:tcPr>
          <w:p>
            <w:pPr>
              <w:pStyle w:val="TableParagraph"/>
              <w:spacing w:line="192" w:lineRule="exact"/>
              <w:ind w:left="61" w:right="0"/>
              <w:jc w:val="left"/>
              <w:rPr>
                <w:rFonts w:ascii="宋体" w:hAnsi="宋体" w:cs="宋体" w:eastAsia="宋体" w:hint="default"/>
                <w:sz w:val="15"/>
                <w:szCs w:val="15"/>
              </w:rPr>
            </w:pPr>
            <w:r>
              <w:rPr>
                <w:rFonts w:ascii="宋体"/>
                <w:sz w:val="15"/>
              </w:rPr>
              <w:t>41.00%</w:t>
            </w:r>
          </w:p>
        </w:tc>
        <w:tc>
          <w:tcPr>
            <w:tcW w:w="738" w:type="dxa"/>
            <w:tcBorders>
              <w:top w:val="nil" w:sz="6" w:space="0" w:color="auto"/>
              <w:left w:val="nil" w:sz="6" w:space="0" w:color="auto"/>
              <w:bottom w:val="nil" w:sz="6" w:space="0" w:color="auto"/>
              <w:right w:val="nil" w:sz="6" w:space="0" w:color="auto"/>
            </w:tcBorders>
          </w:tcPr>
          <w:p>
            <w:pPr>
              <w:pStyle w:val="TableParagraph"/>
              <w:spacing w:line="192" w:lineRule="exact"/>
              <w:ind w:right="2"/>
              <w:jc w:val="center"/>
              <w:rPr>
                <w:rFonts w:ascii="宋体" w:hAnsi="宋体" w:cs="宋体" w:eastAsia="宋体" w:hint="default"/>
                <w:sz w:val="15"/>
                <w:szCs w:val="15"/>
              </w:rPr>
            </w:pPr>
            <w:r>
              <w:rPr>
                <w:rFonts w:ascii="宋体" w:hAnsi="宋体" w:cs="宋体" w:eastAsia="宋体" w:hint="default"/>
                <w:sz w:val="15"/>
                <w:szCs w:val="15"/>
              </w:rPr>
              <w:t>河南洛阳</w:t>
            </w:r>
          </w:p>
        </w:tc>
        <w:tc>
          <w:tcPr>
            <w:tcW w:w="4322" w:type="dxa"/>
            <w:tcBorders>
              <w:top w:val="nil" w:sz="6" w:space="0" w:color="auto"/>
              <w:left w:val="nil" w:sz="6" w:space="0" w:color="auto"/>
              <w:bottom w:val="nil" w:sz="6" w:space="0" w:color="auto"/>
              <w:right w:val="nil" w:sz="6" w:space="0" w:color="auto"/>
            </w:tcBorders>
          </w:tcPr>
          <w:p>
            <w:pPr>
              <w:pStyle w:val="TableParagraph"/>
              <w:spacing w:line="192" w:lineRule="exact"/>
              <w:ind w:left="33" w:right="0"/>
              <w:jc w:val="left"/>
              <w:rPr>
                <w:rFonts w:ascii="宋体" w:hAnsi="宋体" w:cs="宋体" w:eastAsia="宋体" w:hint="default"/>
                <w:sz w:val="15"/>
                <w:szCs w:val="15"/>
              </w:rPr>
            </w:pPr>
            <w:r>
              <w:rPr>
                <w:rFonts w:ascii="宋体" w:hAnsi="宋体" w:cs="宋体" w:eastAsia="宋体" w:hint="default"/>
                <w:sz w:val="15"/>
                <w:szCs w:val="15"/>
              </w:rPr>
              <w:t>地面无线数字电视运营</w:t>
            </w:r>
          </w:p>
        </w:tc>
      </w:tr>
      <w:tr>
        <w:trPr>
          <w:trHeight w:val="251"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 w:right="0"/>
              <w:jc w:val="left"/>
              <w:rPr>
                <w:rFonts w:ascii="宋体" w:hAnsi="宋体" w:cs="宋体" w:eastAsia="宋体" w:hint="default"/>
                <w:sz w:val="15"/>
                <w:szCs w:val="15"/>
              </w:rPr>
            </w:pPr>
            <w:r>
              <w:rPr>
                <w:rFonts w:ascii="宋体" w:hAnsi="宋体" w:cs="宋体" w:eastAsia="宋体" w:hint="default"/>
                <w:sz w:val="15"/>
                <w:szCs w:val="15"/>
              </w:rPr>
              <w:t>同方国信投资控股有限公司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
              <w:jc w:val="center"/>
              <w:rPr>
                <w:rFonts w:ascii="宋体" w:hAnsi="宋体" w:cs="宋体" w:eastAsia="宋体" w:hint="default"/>
                <w:sz w:val="15"/>
                <w:szCs w:val="15"/>
              </w:rPr>
            </w:pPr>
            <w:r>
              <w:rPr>
                <w:rFonts w:ascii="宋体"/>
                <w:sz w:val="15"/>
              </w:rPr>
              <w:t>26.32%</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1" w:right="0"/>
              <w:jc w:val="left"/>
              <w:rPr>
                <w:rFonts w:ascii="宋体" w:hAnsi="宋体" w:cs="宋体" w:eastAsia="宋体" w:hint="default"/>
                <w:sz w:val="15"/>
                <w:szCs w:val="15"/>
              </w:rPr>
            </w:pPr>
            <w:r>
              <w:rPr>
                <w:rFonts w:ascii="宋体"/>
                <w:sz w:val="15"/>
              </w:rPr>
              <w:t>26.32%</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
              <w:jc w:val="center"/>
              <w:rPr>
                <w:rFonts w:ascii="宋体" w:hAnsi="宋体" w:cs="宋体" w:eastAsia="宋体" w:hint="default"/>
                <w:sz w:val="15"/>
                <w:szCs w:val="15"/>
              </w:rPr>
            </w:pPr>
            <w:r>
              <w:rPr>
                <w:rFonts w:ascii="宋体" w:hAnsi="宋体" w:cs="宋体" w:eastAsia="宋体" w:hint="default"/>
                <w:sz w:val="15"/>
                <w:szCs w:val="15"/>
              </w:rPr>
              <w:t>重庆渝北</w:t>
            </w:r>
          </w:p>
        </w:tc>
        <w:tc>
          <w:tcPr>
            <w:tcW w:w="432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3" w:right="0"/>
              <w:jc w:val="left"/>
              <w:rPr>
                <w:rFonts w:ascii="宋体" w:hAnsi="宋体" w:cs="宋体" w:eastAsia="宋体" w:hint="default"/>
                <w:sz w:val="15"/>
                <w:szCs w:val="15"/>
              </w:rPr>
            </w:pPr>
            <w:r>
              <w:rPr>
                <w:rFonts w:ascii="宋体" w:hAnsi="宋体" w:cs="宋体" w:eastAsia="宋体" w:hint="default"/>
                <w:sz w:val="15"/>
                <w:szCs w:val="15"/>
              </w:rPr>
              <w:t>投资控股并向其所投资企业提供相关服务</w:t>
            </w:r>
          </w:p>
        </w:tc>
      </w:tr>
      <w:tr>
        <w:trPr>
          <w:trHeight w:val="622"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9" w:right="0"/>
              <w:jc w:val="left"/>
              <w:rPr>
                <w:rFonts w:ascii="宋体" w:hAnsi="宋体" w:cs="宋体" w:eastAsia="宋体" w:hint="default"/>
                <w:sz w:val="15"/>
                <w:szCs w:val="15"/>
              </w:rPr>
            </w:pPr>
            <w:r>
              <w:rPr>
                <w:rFonts w:ascii="宋体" w:hAnsi="宋体" w:cs="宋体" w:eastAsia="宋体" w:hint="default"/>
                <w:sz w:val="15"/>
                <w:szCs w:val="15"/>
              </w:rPr>
              <w:t>中国医疗网络有限公司（</w:t>
            </w:r>
            <w:r>
              <w:rPr>
                <w:rFonts w:ascii="宋体" w:hAnsi="宋体" w:cs="宋体" w:eastAsia="宋体" w:hint="default"/>
                <w:sz w:val="15"/>
                <w:szCs w:val="15"/>
              </w:rPr>
              <w:t>0383.HK</w:t>
            </w:r>
            <w:r>
              <w:rPr>
                <w:rFonts w:ascii="宋体" w:hAnsi="宋体" w:cs="宋体" w:eastAsia="宋体" w:hint="default"/>
                <w:sz w:val="15"/>
                <w:szCs w:val="15"/>
              </w:rPr>
              <w:t>）</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4"/>
              <w:jc w:val="center"/>
              <w:rPr>
                <w:rFonts w:ascii="宋体" w:hAnsi="宋体" w:cs="宋体" w:eastAsia="宋体" w:hint="default"/>
                <w:sz w:val="15"/>
                <w:szCs w:val="15"/>
              </w:rPr>
            </w:pPr>
            <w:r>
              <w:rPr>
                <w:rFonts w:ascii="宋体"/>
                <w:sz w:val="15"/>
              </w:rPr>
              <w:t>27.62%</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61" w:right="0"/>
              <w:jc w:val="left"/>
              <w:rPr>
                <w:rFonts w:ascii="宋体" w:hAnsi="宋体" w:cs="宋体" w:eastAsia="宋体" w:hint="default"/>
                <w:sz w:val="15"/>
                <w:szCs w:val="15"/>
              </w:rPr>
            </w:pPr>
            <w:r>
              <w:rPr>
                <w:rFonts w:ascii="宋体"/>
                <w:sz w:val="15"/>
              </w:rPr>
              <w:t>27.62%</w:t>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百慕大</w:t>
            </w:r>
          </w:p>
        </w:tc>
        <w:tc>
          <w:tcPr>
            <w:tcW w:w="4322" w:type="dxa"/>
            <w:tcBorders>
              <w:top w:val="nil" w:sz="6" w:space="0" w:color="auto"/>
              <w:left w:val="nil" w:sz="6" w:space="0" w:color="auto"/>
              <w:bottom w:val="nil" w:sz="6" w:space="0" w:color="auto"/>
              <w:right w:val="nil" w:sz="6" w:space="0" w:color="auto"/>
            </w:tcBorders>
          </w:tcPr>
          <w:p>
            <w:pPr>
              <w:pStyle w:val="TableParagraph"/>
              <w:spacing w:line="240" w:lineRule="auto"/>
              <w:ind w:left="33" w:right="72"/>
              <w:jc w:val="both"/>
              <w:rPr>
                <w:rFonts w:ascii="宋体" w:hAnsi="宋体" w:cs="宋体" w:eastAsia="宋体" w:hint="default"/>
                <w:sz w:val="15"/>
                <w:szCs w:val="15"/>
              </w:rPr>
            </w:pPr>
            <w:r>
              <w:rPr>
                <w:rFonts w:ascii="宋体" w:hAnsi="宋体" w:cs="宋体" w:eastAsia="宋体" w:hint="default"/>
                <w:spacing w:val="-1"/>
                <w:sz w:val="15"/>
                <w:szCs w:val="15"/>
              </w:rPr>
              <w:t>投资、管理及营运医疗及医院业务、护老业务、买卖医疗设备及</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pacing w:val="-1"/>
                <w:sz w:val="15"/>
                <w:szCs w:val="15"/>
              </w:rPr>
              <w:t>相关用品、物业投资及开发、证券买卖及投资，提供金融服务以</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z w:val="15"/>
                <w:szCs w:val="15"/>
              </w:rPr>
              <w:t>及策略投资</w:t>
            </w:r>
          </w:p>
        </w:tc>
      </w:tr>
      <w:tr>
        <w:trPr>
          <w:trHeight w:val="232"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191" w:lineRule="exact"/>
              <w:ind w:left="9" w:right="0"/>
              <w:jc w:val="left"/>
              <w:rPr>
                <w:rFonts w:ascii="宋体" w:hAnsi="宋体" w:cs="宋体" w:eastAsia="宋体" w:hint="default"/>
                <w:sz w:val="15"/>
                <w:szCs w:val="15"/>
              </w:rPr>
            </w:pPr>
            <w:r>
              <w:rPr>
                <w:rFonts w:ascii="宋体"/>
                <w:sz w:val="15"/>
              </w:rPr>
              <w:t>Technovator</w:t>
            </w:r>
            <w:r>
              <w:rPr>
                <w:rFonts w:ascii="宋体"/>
                <w:spacing w:val="-9"/>
                <w:sz w:val="15"/>
              </w:rPr>
              <w:t> </w:t>
            </w:r>
            <w:r>
              <w:rPr>
                <w:rFonts w:ascii="宋体"/>
                <w:sz w:val="15"/>
              </w:rPr>
              <w:t>Qatar</w:t>
            </w:r>
          </w:p>
        </w:tc>
        <w:tc>
          <w:tcPr>
            <w:tcW w:w="569" w:type="dxa"/>
            <w:tcBorders>
              <w:top w:val="nil" w:sz="6" w:space="0" w:color="auto"/>
              <w:left w:val="nil" w:sz="6" w:space="0" w:color="auto"/>
              <w:bottom w:val="nil" w:sz="6" w:space="0" w:color="auto"/>
              <w:right w:val="nil" w:sz="6" w:space="0" w:color="auto"/>
            </w:tcBorders>
          </w:tcPr>
          <w:p>
            <w:pPr>
              <w:pStyle w:val="TableParagraph"/>
              <w:spacing w:line="191" w:lineRule="exact"/>
              <w:ind w:right="4"/>
              <w:jc w:val="center"/>
              <w:rPr>
                <w:rFonts w:ascii="宋体" w:hAnsi="宋体" w:cs="宋体" w:eastAsia="宋体" w:hint="default"/>
                <w:sz w:val="15"/>
                <w:szCs w:val="15"/>
              </w:rPr>
            </w:pPr>
            <w:r>
              <w:rPr>
                <w:rFonts w:ascii="宋体"/>
                <w:sz w:val="15"/>
              </w:rPr>
              <w:t>49.00%</w:t>
            </w:r>
          </w:p>
        </w:tc>
        <w:tc>
          <w:tcPr>
            <w:tcW w:w="541" w:type="dxa"/>
            <w:tcBorders>
              <w:top w:val="nil" w:sz="6" w:space="0" w:color="auto"/>
              <w:left w:val="nil" w:sz="6" w:space="0" w:color="auto"/>
              <w:bottom w:val="nil" w:sz="6" w:space="0" w:color="auto"/>
              <w:right w:val="nil" w:sz="6" w:space="0" w:color="auto"/>
            </w:tcBorders>
          </w:tcPr>
          <w:p>
            <w:pPr>
              <w:pStyle w:val="TableParagraph"/>
              <w:spacing w:line="191" w:lineRule="exact"/>
              <w:ind w:left="61" w:right="0"/>
              <w:jc w:val="left"/>
              <w:rPr>
                <w:rFonts w:ascii="宋体" w:hAnsi="宋体" w:cs="宋体" w:eastAsia="宋体" w:hint="default"/>
                <w:sz w:val="15"/>
                <w:szCs w:val="15"/>
              </w:rPr>
            </w:pPr>
            <w:r>
              <w:rPr>
                <w:rFonts w:ascii="宋体"/>
                <w:sz w:val="15"/>
              </w:rPr>
              <w:t>49.00%</w:t>
            </w:r>
          </w:p>
        </w:tc>
        <w:tc>
          <w:tcPr>
            <w:tcW w:w="738" w:type="dxa"/>
            <w:tcBorders>
              <w:top w:val="nil" w:sz="6" w:space="0" w:color="auto"/>
              <w:left w:val="nil" w:sz="6" w:space="0" w:color="auto"/>
              <w:bottom w:val="nil" w:sz="6" w:space="0" w:color="auto"/>
              <w:right w:val="nil" w:sz="6" w:space="0" w:color="auto"/>
            </w:tcBorders>
          </w:tcPr>
          <w:p>
            <w:pPr>
              <w:pStyle w:val="TableParagraph"/>
              <w:spacing w:line="191" w:lineRule="exact"/>
              <w:ind w:right="2"/>
              <w:jc w:val="center"/>
              <w:rPr>
                <w:rFonts w:ascii="宋体" w:hAnsi="宋体" w:cs="宋体" w:eastAsia="宋体" w:hint="default"/>
                <w:sz w:val="15"/>
                <w:szCs w:val="15"/>
              </w:rPr>
            </w:pPr>
            <w:r>
              <w:rPr>
                <w:rFonts w:ascii="宋体" w:hAnsi="宋体" w:cs="宋体" w:eastAsia="宋体" w:hint="default"/>
                <w:sz w:val="15"/>
                <w:szCs w:val="15"/>
              </w:rPr>
              <w:t>卡塔尔</w:t>
            </w:r>
          </w:p>
        </w:tc>
        <w:tc>
          <w:tcPr>
            <w:tcW w:w="4322" w:type="dxa"/>
            <w:tcBorders>
              <w:top w:val="nil" w:sz="6" w:space="0" w:color="auto"/>
              <w:left w:val="nil" w:sz="6" w:space="0" w:color="auto"/>
              <w:bottom w:val="nil" w:sz="6" w:space="0" w:color="auto"/>
              <w:right w:val="nil" w:sz="6" w:space="0" w:color="auto"/>
            </w:tcBorders>
          </w:tcPr>
          <w:p>
            <w:pPr>
              <w:pStyle w:val="TableParagraph"/>
              <w:spacing w:line="191" w:lineRule="exact"/>
              <w:ind w:left="33" w:right="0"/>
              <w:jc w:val="left"/>
              <w:rPr>
                <w:rFonts w:ascii="宋体" w:hAnsi="宋体" w:cs="宋体" w:eastAsia="宋体" w:hint="default"/>
                <w:sz w:val="15"/>
                <w:szCs w:val="15"/>
              </w:rPr>
            </w:pPr>
            <w:r>
              <w:rPr>
                <w:rFonts w:ascii="宋体" w:hAnsi="宋体" w:cs="宋体" w:eastAsia="宋体" w:hint="default"/>
                <w:sz w:val="15"/>
                <w:szCs w:val="15"/>
              </w:rPr>
              <w:t>暂无</w:t>
            </w:r>
          </w:p>
        </w:tc>
      </w:tr>
      <w:tr>
        <w:trPr>
          <w:trHeight w:val="408"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 w:right="0"/>
              <w:jc w:val="left"/>
              <w:rPr>
                <w:rFonts w:ascii="宋体" w:hAnsi="宋体" w:cs="宋体" w:eastAsia="宋体" w:hint="default"/>
                <w:sz w:val="15"/>
                <w:szCs w:val="15"/>
              </w:rPr>
            </w:pPr>
            <w:r>
              <w:rPr>
                <w:rFonts w:ascii="宋体" w:hAnsi="宋体" w:cs="宋体" w:eastAsia="宋体" w:hint="default"/>
                <w:sz w:val="15"/>
                <w:szCs w:val="15"/>
              </w:rPr>
              <w:t>同方泰德集成建筑有限公司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4"/>
              <w:jc w:val="center"/>
              <w:rPr>
                <w:rFonts w:ascii="宋体" w:hAnsi="宋体" w:cs="宋体" w:eastAsia="宋体" w:hint="default"/>
                <w:sz w:val="15"/>
                <w:szCs w:val="15"/>
              </w:rPr>
            </w:pPr>
            <w:r>
              <w:rPr>
                <w:rFonts w:ascii="宋体"/>
                <w:sz w:val="15"/>
              </w:rPr>
              <w:t>21.00%</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61" w:right="0"/>
              <w:jc w:val="left"/>
              <w:rPr>
                <w:rFonts w:ascii="宋体" w:hAnsi="宋体" w:cs="宋体" w:eastAsia="宋体" w:hint="default"/>
                <w:sz w:val="15"/>
                <w:szCs w:val="15"/>
              </w:rPr>
            </w:pPr>
            <w:r>
              <w:rPr>
                <w:rFonts w:ascii="宋体"/>
                <w:sz w:val="15"/>
              </w:rPr>
              <w:t>21.00%</w:t>
            </w:r>
          </w:p>
        </w:tc>
        <w:tc>
          <w:tcPr>
            <w:tcW w:w="738" w:type="dxa"/>
            <w:tcBorders>
              <w:top w:val="nil" w:sz="6" w:space="0" w:color="auto"/>
              <w:left w:val="nil" w:sz="6" w:space="0" w:color="auto"/>
              <w:bottom w:val="nil" w:sz="6" w:space="0" w:color="auto"/>
              <w:right w:val="nil" w:sz="6" w:space="0" w:color="auto"/>
            </w:tcBorders>
          </w:tcPr>
          <w:p>
            <w:pPr>
              <w:pStyle w:val="TableParagraph"/>
              <w:spacing w:line="194" w:lineRule="exact" w:before="15"/>
              <w:ind w:left="171" w:right="67" w:hanging="106"/>
              <w:jc w:val="left"/>
              <w:rPr>
                <w:rFonts w:ascii="宋体" w:hAnsi="宋体" w:cs="宋体" w:eastAsia="宋体" w:hint="default"/>
                <w:sz w:val="15"/>
                <w:szCs w:val="15"/>
              </w:rPr>
            </w:pPr>
            <w:r>
              <w:rPr>
                <w:rFonts w:ascii="宋体" w:hAnsi="宋体" w:cs="宋体" w:eastAsia="宋体" w:hint="default"/>
                <w:spacing w:val="-1"/>
                <w:sz w:val="15"/>
                <w:szCs w:val="15"/>
              </w:rPr>
              <w:t>江苏盐城</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阜宁县</w:t>
            </w:r>
          </w:p>
        </w:tc>
        <w:tc>
          <w:tcPr>
            <w:tcW w:w="4322" w:type="dxa"/>
            <w:tcBorders>
              <w:top w:val="nil" w:sz="6" w:space="0" w:color="auto"/>
              <w:left w:val="nil" w:sz="6" w:space="0" w:color="auto"/>
              <w:bottom w:val="nil" w:sz="6" w:space="0" w:color="auto"/>
              <w:right w:val="nil" w:sz="6" w:space="0" w:color="auto"/>
            </w:tcBorders>
          </w:tcPr>
          <w:p>
            <w:pPr>
              <w:pStyle w:val="TableParagraph"/>
              <w:spacing w:line="194" w:lineRule="exact" w:before="15"/>
              <w:ind w:left="33" w:right="72"/>
              <w:jc w:val="left"/>
              <w:rPr>
                <w:rFonts w:ascii="宋体" w:hAnsi="宋体" w:cs="宋体" w:eastAsia="宋体" w:hint="default"/>
                <w:sz w:val="15"/>
                <w:szCs w:val="15"/>
              </w:rPr>
            </w:pPr>
            <w:r>
              <w:rPr>
                <w:rFonts w:ascii="宋体" w:hAnsi="宋体" w:cs="宋体" w:eastAsia="宋体" w:hint="default"/>
                <w:spacing w:val="-1"/>
                <w:sz w:val="15"/>
                <w:szCs w:val="15"/>
              </w:rPr>
              <w:t>房屋集成建筑施工；装配式智慧建筑技术推广、技术开发、技术</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z w:val="15"/>
                <w:szCs w:val="15"/>
              </w:rPr>
              <w:t>转让</w:t>
            </w:r>
          </w:p>
        </w:tc>
      </w:tr>
      <w:tr>
        <w:trPr>
          <w:trHeight w:val="408"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 w:right="0"/>
              <w:jc w:val="left"/>
              <w:rPr>
                <w:rFonts w:ascii="宋体" w:hAnsi="宋体" w:cs="宋体" w:eastAsia="宋体" w:hint="default"/>
                <w:sz w:val="15"/>
                <w:szCs w:val="15"/>
              </w:rPr>
            </w:pPr>
            <w:r>
              <w:rPr>
                <w:rFonts w:ascii="宋体" w:hAnsi="宋体" w:cs="宋体" w:eastAsia="宋体" w:hint="default"/>
                <w:sz w:val="15"/>
                <w:szCs w:val="15"/>
              </w:rPr>
              <w:t>内蒙古富龙供热工程技术有限公司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
              <w:jc w:val="center"/>
              <w:rPr>
                <w:rFonts w:ascii="宋体" w:hAnsi="宋体" w:cs="宋体" w:eastAsia="宋体" w:hint="default"/>
                <w:sz w:val="15"/>
                <w:szCs w:val="15"/>
              </w:rPr>
            </w:pPr>
            <w:r>
              <w:rPr>
                <w:rFonts w:ascii="宋体"/>
                <w:sz w:val="15"/>
              </w:rPr>
              <w:t>10.00%</w:t>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61" w:right="0"/>
              <w:jc w:val="left"/>
              <w:rPr>
                <w:rFonts w:ascii="宋体" w:hAnsi="宋体" w:cs="宋体" w:eastAsia="宋体" w:hint="default"/>
                <w:sz w:val="15"/>
                <w:szCs w:val="15"/>
              </w:rPr>
            </w:pPr>
            <w:r>
              <w:rPr>
                <w:rFonts w:ascii="宋体"/>
                <w:sz w:val="15"/>
              </w:rPr>
              <w:t>10.00%</w:t>
            </w:r>
          </w:p>
        </w:tc>
        <w:tc>
          <w:tcPr>
            <w:tcW w:w="738" w:type="dxa"/>
            <w:tcBorders>
              <w:top w:val="nil" w:sz="6" w:space="0" w:color="auto"/>
              <w:left w:val="nil" w:sz="6" w:space="0" w:color="auto"/>
              <w:bottom w:val="nil" w:sz="6" w:space="0" w:color="auto"/>
              <w:right w:val="nil" w:sz="6" w:space="0" w:color="auto"/>
            </w:tcBorders>
          </w:tcPr>
          <w:p>
            <w:pPr>
              <w:pStyle w:val="TableParagraph"/>
              <w:spacing w:line="172" w:lineRule="exact"/>
              <w:ind w:right="4"/>
              <w:jc w:val="center"/>
              <w:rPr>
                <w:rFonts w:ascii="宋体" w:hAnsi="宋体" w:cs="宋体" w:eastAsia="宋体" w:hint="default"/>
                <w:sz w:val="15"/>
                <w:szCs w:val="15"/>
              </w:rPr>
            </w:pPr>
            <w:r>
              <w:rPr>
                <w:rFonts w:ascii="宋体" w:hAnsi="宋体" w:cs="宋体" w:eastAsia="宋体" w:hint="default"/>
                <w:sz w:val="15"/>
                <w:szCs w:val="15"/>
              </w:rPr>
              <w:t>内蒙古</w:t>
            </w:r>
            <w:r>
              <w:rPr>
                <w:rFonts w:ascii="宋体" w:hAnsi="宋体" w:cs="宋体" w:eastAsia="宋体" w:hint="default"/>
                <w:spacing w:val="1"/>
                <w:sz w:val="15"/>
                <w:szCs w:val="15"/>
              </w:rPr>
              <w:t> </w:t>
            </w:r>
            <w:r>
              <w:rPr>
                <w:rFonts w:ascii="宋体" w:hAnsi="宋体" w:cs="宋体" w:eastAsia="宋体" w:hint="default"/>
                <w:sz w:val="15"/>
                <w:szCs w:val="15"/>
              </w:rPr>
              <w:t>赤</w:t>
            </w:r>
          </w:p>
          <w:p>
            <w:pPr>
              <w:pStyle w:val="TableParagraph"/>
              <w:spacing w:line="195" w:lineRule="exact"/>
              <w:ind w:left="53" w:right="0"/>
              <w:jc w:val="center"/>
              <w:rPr>
                <w:rFonts w:ascii="宋体" w:hAnsi="宋体" w:cs="宋体" w:eastAsia="宋体" w:hint="default"/>
                <w:sz w:val="15"/>
                <w:szCs w:val="15"/>
              </w:rPr>
            </w:pPr>
            <w:r>
              <w:rPr>
                <w:rFonts w:ascii="宋体" w:hAnsi="宋体" w:cs="宋体" w:eastAsia="宋体" w:hint="default"/>
                <w:w w:val="100"/>
                <w:sz w:val="15"/>
                <w:szCs w:val="15"/>
              </w:rPr>
              <w:t>峰</w:t>
            </w:r>
          </w:p>
        </w:tc>
        <w:tc>
          <w:tcPr>
            <w:tcW w:w="4322" w:type="dxa"/>
            <w:tcBorders>
              <w:top w:val="nil" w:sz="6" w:space="0" w:color="auto"/>
              <w:left w:val="nil" w:sz="6" w:space="0" w:color="auto"/>
              <w:bottom w:val="nil" w:sz="6" w:space="0" w:color="auto"/>
              <w:right w:val="nil" w:sz="6" w:space="0" w:color="auto"/>
            </w:tcBorders>
          </w:tcPr>
          <w:p>
            <w:pPr>
              <w:pStyle w:val="TableParagraph"/>
              <w:spacing w:line="172" w:lineRule="exact"/>
              <w:ind w:left="33" w:right="0"/>
              <w:jc w:val="left"/>
              <w:rPr>
                <w:rFonts w:ascii="宋体" w:hAnsi="宋体" w:cs="宋体" w:eastAsia="宋体" w:hint="default"/>
                <w:sz w:val="15"/>
                <w:szCs w:val="15"/>
              </w:rPr>
            </w:pPr>
            <w:r>
              <w:rPr>
                <w:rFonts w:ascii="宋体" w:hAnsi="宋体" w:cs="宋体" w:eastAsia="宋体" w:hint="default"/>
                <w:sz w:val="15"/>
                <w:szCs w:val="15"/>
              </w:rPr>
              <w:t>供热供气设备技术研发；技术推广、技术咨询、技术培训，技术</w:t>
            </w:r>
          </w:p>
          <w:p>
            <w:pPr>
              <w:pStyle w:val="TableParagraph"/>
              <w:spacing w:line="195" w:lineRule="exact"/>
              <w:ind w:left="33" w:right="0"/>
              <w:jc w:val="left"/>
              <w:rPr>
                <w:rFonts w:ascii="宋体" w:hAnsi="宋体" w:cs="宋体" w:eastAsia="宋体" w:hint="default"/>
                <w:sz w:val="15"/>
                <w:szCs w:val="15"/>
              </w:rPr>
            </w:pPr>
            <w:r>
              <w:rPr>
                <w:rFonts w:ascii="宋体" w:hAnsi="宋体" w:cs="宋体" w:eastAsia="宋体" w:hint="default"/>
                <w:sz w:val="15"/>
                <w:szCs w:val="15"/>
              </w:rPr>
              <w:t>服务。</w:t>
            </w:r>
          </w:p>
        </w:tc>
      </w:tr>
      <w:tr>
        <w:trPr>
          <w:trHeight w:val="233" w:hRule="exact"/>
        </w:trPr>
        <w:tc>
          <w:tcPr>
            <w:tcW w:w="2393" w:type="dxa"/>
            <w:tcBorders>
              <w:top w:val="nil" w:sz="6" w:space="0" w:color="auto"/>
              <w:left w:val="nil" w:sz="6" w:space="0" w:color="auto"/>
              <w:bottom w:val="nil" w:sz="6" w:space="0" w:color="auto"/>
              <w:right w:val="nil" w:sz="6" w:space="0" w:color="auto"/>
            </w:tcBorders>
          </w:tcPr>
          <w:p>
            <w:pPr>
              <w:pStyle w:val="TableParagraph"/>
              <w:spacing w:line="192" w:lineRule="exact"/>
              <w:ind w:left="9" w:right="0"/>
              <w:jc w:val="left"/>
              <w:rPr>
                <w:rFonts w:ascii="宋体" w:hAnsi="宋体" w:cs="宋体" w:eastAsia="宋体" w:hint="default"/>
                <w:sz w:val="15"/>
                <w:szCs w:val="15"/>
              </w:rPr>
            </w:pPr>
            <w:r>
              <w:rPr>
                <w:rFonts w:ascii="宋体" w:hAnsi="宋体" w:cs="宋体" w:eastAsia="宋体" w:hint="default"/>
                <w:sz w:val="15"/>
                <w:szCs w:val="15"/>
              </w:rPr>
              <w:t>广州同艺照明有限公司</w:t>
            </w:r>
          </w:p>
        </w:tc>
        <w:tc>
          <w:tcPr>
            <w:tcW w:w="569" w:type="dxa"/>
            <w:tcBorders>
              <w:top w:val="nil" w:sz="6" w:space="0" w:color="auto"/>
              <w:left w:val="nil" w:sz="6" w:space="0" w:color="auto"/>
              <w:bottom w:val="nil" w:sz="6" w:space="0" w:color="auto"/>
              <w:right w:val="nil" w:sz="6" w:space="0" w:color="auto"/>
            </w:tcBorders>
          </w:tcPr>
          <w:p>
            <w:pPr>
              <w:pStyle w:val="TableParagraph"/>
              <w:spacing w:line="192" w:lineRule="exact"/>
              <w:ind w:right="4"/>
              <w:jc w:val="center"/>
              <w:rPr>
                <w:rFonts w:ascii="宋体" w:hAnsi="宋体" w:cs="宋体" w:eastAsia="宋体" w:hint="default"/>
                <w:sz w:val="15"/>
                <w:szCs w:val="15"/>
              </w:rPr>
            </w:pPr>
            <w:r>
              <w:rPr>
                <w:rFonts w:ascii="宋体"/>
                <w:sz w:val="15"/>
              </w:rPr>
              <w:t>39.00%</w:t>
            </w:r>
          </w:p>
        </w:tc>
        <w:tc>
          <w:tcPr>
            <w:tcW w:w="541" w:type="dxa"/>
            <w:tcBorders>
              <w:top w:val="nil" w:sz="6" w:space="0" w:color="auto"/>
              <w:left w:val="nil" w:sz="6" w:space="0" w:color="auto"/>
              <w:bottom w:val="nil" w:sz="6" w:space="0" w:color="auto"/>
              <w:right w:val="nil" w:sz="6" w:space="0" w:color="auto"/>
            </w:tcBorders>
          </w:tcPr>
          <w:p>
            <w:pPr>
              <w:pStyle w:val="TableParagraph"/>
              <w:spacing w:line="192" w:lineRule="exact"/>
              <w:ind w:left="61" w:right="0"/>
              <w:jc w:val="left"/>
              <w:rPr>
                <w:rFonts w:ascii="宋体" w:hAnsi="宋体" w:cs="宋体" w:eastAsia="宋体" w:hint="default"/>
                <w:sz w:val="15"/>
                <w:szCs w:val="15"/>
              </w:rPr>
            </w:pPr>
            <w:r>
              <w:rPr>
                <w:rFonts w:ascii="宋体"/>
                <w:sz w:val="15"/>
              </w:rPr>
              <w:t>39.00%</w:t>
            </w:r>
          </w:p>
        </w:tc>
        <w:tc>
          <w:tcPr>
            <w:tcW w:w="738" w:type="dxa"/>
            <w:tcBorders>
              <w:top w:val="nil" w:sz="6" w:space="0" w:color="auto"/>
              <w:left w:val="nil" w:sz="6" w:space="0" w:color="auto"/>
              <w:bottom w:val="nil" w:sz="6" w:space="0" w:color="auto"/>
              <w:right w:val="nil" w:sz="6" w:space="0" w:color="auto"/>
            </w:tcBorders>
          </w:tcPr>
          <w:p>
            <w:pPr>
              <w:pStyle w:val="TableParagraph"/>
              <w:spacing w:line="192" w:lineRule="exact"/>
              <w:ind w:right="2"/>
              <w:jc w:val="center"/>
              <w:rPr>
                <w:rFonts w:ascii="宋体" w:hAnsi="宋体" w:cs="宋体" w:eastAsia="宋体" w:hint="default"/>
                <w:sz w:val="15"/>
                <w:szCs w:val="15"/>
              </w:rPr>
            </w:pPr>
            <w:r>
              <w:rPr>
                <w:rFonts w:ascii="宋体" w:hAnsi="宋体" w:cs="宋体" w:eastAsia="宋体" w:hint="default"/>
                <w:sz w:val="15"/>
                <w:szCs w:val="15"/>
              </w:rPr>
              <w:t>广东广州</w:t>
            </w:r>
          </w:p>
        </w:tc>
        <w:tc>
          <w:tcPr>
            <w:tcW w:w="4322" w:type="dxa"/>
            <w:tcBorders>
              <w:top w:val="nil" w:sz="6" w:space="0" w:color="auto"/>
              <w:left w:val="nil" w:sz="6" w:space="0" w:color="auto"/>
              <w:bottom w:val="nil" w:sz="6" w:space="0" w:color="auto"/>
              <w:right w:val="nil" w:sz="6" w:space="0" w:color="auto"/>
            </w:tcBorders>
          </w:tcPr>
          <w:p>
            <w:pPr>
              <w:pStyle w:val="TableParagraph"/>
              <w:spacing w:line="192" w:lineRule="exact"/>
              <w:ind w:left="33" w:right="0"/>
              <w:jc w:val="left"/>
              <w:rPr>
                <w:rFonts w:ascii="宋体" w:hAnsi="宋体" w:cs="宋体" w:eastAsia="宋体" w:hint="default"/>
                <w:sz w:val="15"/>
                <w:szCs w:val="15"/>
              </w:rPr>
            </w:pPr>
            <w:r>
              <w:rPr>
                <w:rFonts w:ascii="宋体" w:hAnsi="宋体" w:cs="宋体" w:eastAsia="宋体" w:hint="default"/>
                <w:sz w:val="15"/>
                <w:szCs w:val="15"/>
              </w:rPr>
              <w:t>照明器具的研发、生产和销售</w:t>
            </w:r>
          </w:p>
        </w:tc>
      </w:tr>
      <w:tr>
        <w:trPr>
          <w:trHeight w:val="423" w:hRule="exact"/>
        </w:trPr>
        <w:tc>
          <w:tcPr>
            <w:tcW w:w="2393" w:type="dxa"/>
            <w:tcBorders>
              <w:top w:val="nil" w:sz="6" w:space="0" w:color="auto"/>
              <w:left w:val="nil" w:sz="6" w:space="0" w:color="auto"/>
              <w:bottom w:val="single" w:sz="12" w:space="0" w:color="000000"/>
              <w:right w:val="nil" w:sz="6" w:space="0" w:color="auto"/>
            </w:tcBorders>
          </w:tcPr>
          <w:p>
            <w:pPr>
              <w:pStyle w:val="TableParagraph"/>
              <w:spacing w:line="194" w:lineRule="exact" w:before="15"/>
              <w:ind w:left="21" w:right="75" w:hanging="12"/>
              <w:jc w:val="left"/>
              <w:rPr>
                <w:rFonts w:ascii="宋体" w:hAnsi="宋体" w:cs="宋体" w:eastAsia="宋体" w:hint="default"/>
                <w:sz w:val="15"/>
                <w:szCs w:val="15"/>
              </w:rPr>
            </w:pPr>
            <w:r>
              <w:rPr>
                <w:rFonts w:ascii="宋体"/>
                <w:sz w:val="15"/>
              </w:rPr>
              <w:t>Lime PC Multimedia</w:t>
            </w:r>
            <w:r>
              <w:rPr>
                <w:rFonts w:ascii="宋体"/>
                <w:spacing w:val="-33"/>
                <w:sz w:val="15"/>
              </w:rPr>
              <w:t> </w:t>
            </w:r>
            <w:r>
              <w:rPr>
                <w:rFonts w:ascii="宋体"/>
                <w:sz w:val="15"/>
              </w:rPr>
              <w:t>Technologies</w:t>
            </w:r>
            <w:r>
              <w:rPr>
                <w:rFonts w:ascii="宋体"/>
                <w:w w:val="100"/>
                <w:sz w:val="15"/>
              </w:rPr>
              <w:t> </w:t>
            </w:r>
            <w:r>
              <w:rPr>
                <w:rFonts w:ascii="宋体"/>
                <w:sz w:val="15"/>
              </w:rPr>
              <w:t>Co.,</w:t>
            </w:r>
            <w:r>
              <w:rPr>
                <w:rFonts w:ascii="宋体"/>
                <w:spacing w:val="-6"/>
                <w:sz w:val="15"/>
              </w:rPr>
              <w:t> </w:t>
            </w:r>
            <w:r>
              <w:rPr>
                <w:rFonts w:ascii="宋体"/>
                <w:sz w:val="15"/>
              </w:rPr>
              <w:t>Limited</w:t>
            </w:r>
          </w:p>
        </w:tc>
        <w:tc>
          <w:tcPr>
            <w:tcW w:w="569" w:type="dxa"/>
            <w:tcBorders>
              <w:top w:val="nil" w:sz="6" w:space="0" w:color="auto"/>
              <w:left w:val="nil" w:sz="6" w:space="0" w:color="auto"/>
              <w:bottom w:val="single" w:sz="12" w:space="0" w:color="000000"/>
              <w:right w:val="nil" w:sz="6" w:space="0" w:color="auto"/>
            </w:tcBorders>
          </w:tcPr>
          <w:p>
            <w:pPr>
              <w:pStyle w:val="TableParagraph"/>
              <w:spacing w:line="240" w:lineRule="auto" w:before="91"/>
              <w:ind w:right="4"/>
              <w:jc w:val="center"/>
              <w:rPr>
                <w:rFonts w:ascii="宋体" w:hAnsi="宋体" w:cs="宋体" w:eastAsia="宋体" w:hint="default"/>
                <w:sz w:val="15"/>
                <w:szCs w:val="15"/>
              </w:rPr>
            </w:pPr>
            <w:r>
              <w:rPr>
                <w:rFonts w:ascii="宋体"/>
                <w:sz w:val="15"/>
              </w:rPr>
              <w:t>50.00%</w:t>
            </w:r>
          </w:p>
        </w:tc>
        <w:tc>
          <w:tcPr>
            <w:tcW w:w="541" w:type="dxa"/>
            <w:tcBorders>
              <w:top w:val="nil" w:sz="6" w:space="0" w:color="auto"/>
              <w:left w:val="nil" w:sz="6" w:space="0" w:color="auto"/>
              <w:bottom w:val="single" w:sz="12" w:space="0" w:color="000000"/>
              <w:right w:val="nil" w:sz="6" w:space="0" w:color="auto"/>
            </w:tcBorders>
          </w:tcPr>
          <w:p>
            <w:pPr>
              <w:pStyle w:val="TableParagraph"/>
              <w:spacing w:line="240" w:lineRule="auto" w:before="91"/>
              <w:ind w:left="61" w:right="0"/>
              <w:jc w:val="left"/>
              <w:rPr>
                <w:rFonts w:ascii="宋体" w:hAnsi="宋体" w:cs="宋体" w:eastAsia="宋体" w:hint="default"/>
                <w:sz w:val="15"/>
                <w:szCs w:val="15"/>
              </w:rPr>
            </w:pPr>
            <w:r>
              <w:rPr>
                <w:rFonts w:ascii="宋体"/>
                <w:sz w:val="15"/>
              </w:rPr>
              <w:t>50.00%</w:t>
            </w:r>
          </w:p>
        </w:tc>
        <w:tc>
          <w:tcPr>
            <w:tcW w:w="738" w:type="dxa"/>
            <w:tcBorders>
              <w:top w:val="nil" w:sz="6" w:space="0" w:color="auto"/>
              <w:left w:val="nil" w:sz="6" w:space="0" w:color="auto"/>
              <w:bottom w:val="single" w:sz="12" w:space="0" w:color="000000"/>
              <w:right w:val="nil" w:sz="6" w:space="0" w:color="auto"/>
            </w:tcBorders>
          </w:tcPr>
          <w:p>
            <w:pPr>
              <w:pStyle w:val="TableParagraph"/>
              <w:spacing w:line="240" w:lineRule="auto" w:before="91"/>
              <w:ind w:right="2"/>
              <w:jc w:val="center"/>
              <w:rPr>
                <w:rFonts w:ascii="宋体" w:hAnsi="宋体" w:cs="宋体" w:eastAsia="宋体" w:hint="default"/>
                <w:sz w:val="15"/>
                <w:szCs w:val="15"/>
              </w:rPr>
            </w:pPr>
            <w:r>
              <w:rPr>
                <w:rFonts w:ascii="宋体" w:hAnsi="宋体" w:cs="宋体" w:eastAsia="宋体" w:hint="default"/>
                <w:sz w:val="15"/>
                <w:szCs w:val="15"/>
              </w:rPr>
              <w:t>中国香港</w:t>
            </w:r>
          </w:p>
        </w:tc>
        <w:tc>
          <w:tcPr>
            <w:tcW w:w="4322" w:type="dxa"/>
            <w:tcBorders>
              <w:top w:val="nil" w:sz="6" w:space="0" w:color="auto"/>
              <w:left w:val="nil" w:sz="6" w:space="0" w:color="auto"/>
              <w:bottom w:val="single" w:sz="12" w:space="0" w:color="000000"/>
              <w:right w:val="nil" w:sz="6" w:space="0" w:color="auto"/>
            </w:tcBorders>
          </w:tcPr>
          <w:p>
            <w:pPr>
              <w:pStyle w:val="TableParagraph"/>
              <w:spacing w:line="240" w:lineRule="auto" w:before="91"/>
              <w:ind w:left="33" w:right="0"/>
              <w:jc w:val="left"/>
              <w:rPr>
                <w:rFonts w:ascii="宋体" w:hAnsi="宋体" w:cs="宋体" w:eastAsia="宋体" w:hint="default"/>
                <w:sz w:val="15"/>
                <w:szCs w:val="15"/>
              </w:rPr>
            </w:pPr>
            <w:r>
              <w:rPr>
                <w:rFonts w:ascii="宋体" w:hAnsi="宋体" w:cs="宋体" w:eastAsia="宋体" w:hint="default"/>
                <w:sz w:val="15"/>
                <w:szCs w:val="15"/>
              </w:rPr>
              <w:t>计算机、数字电视等消费电子产品经销</w:t>
            </w:r>
          </w:p>
        </w:tc>
      </w:tr>
    </w:tbl>
    <w:p>
      <w:pPr>
        <w:spacing w:after="0" w:line="240" w:lineRule="auto"/>
        <w:jc w:val="left"/>
        <w:rPr>
          <w:rFonts w:ascii="宋体" w:hAnsi="宋体" w:cs="宋体" w:eastAsia="宋体" w:hint="default"/>
          <w:sz w:val="15"/>
          <w:szCs w:val="15"/>
        </w:rPr>
        <w:sectPr>
          <w:pgSz w:w="11910" w:h="16840"/>
          <w:pgMar w:header="0" w:footer="1034" w:top="1320" w:bottom="1220" w:left="1560" w:right="1560"/>
        </w:sectPr>
      </w:pPr>
    </w:p>
    <w:p>
      <w:pPr>
        <w:spacing w:line="240" w:lineRule="auto" w:before="4"/>
        <w:rPr>
          <w:rFonts w:ascii="Times New Roman" w:hAnsi="Times New Roman" w:cs="Times New Roman" w:eastAsia="Times New Roman" w:hint="default"/>
          <w:sz w:val="7"/>
          <w:szCs w:val="7"/>
        </w:rPr>
      </w:pPr>
    </w:p>
    <w:tbl>
      <w:tblPr>
        <w:tblW w:w="0" w:type="auto"/>
        <w:jc w:val="left"/>
        <w:tblInd w:w="213" w:type="dxa"/>
        <w:tblLayout w:type="fixed"/>
        <w:tblCellMar>
          <w:top w:w="0" w:type="dxa"/>
          <w:left w:w="0" w:type="dxa"/>
          <w:bottom w:w="0" w:type="dxa"/>
          <w:right w:w="0" w:type="dxa"/>
        </w:tblCellMar>
        <w:tblLook w:val="01E0"/>
      </w:tblPr>
      <w:tblGrid>
        <w:gridCol w:w="2319"/>
        <w:gridCol w:w="607"/>
        <w:gridCol w:w="598"/>
        <w:gridCol w:w="700"/>
        <w:gridCol w:w="4340"/>
      </w:tblGrid>
      <w:tr>
        <w:trPr>
          <w:trHeight w:val="408" w:hRule="exact"/>
        </w:trPr>
        <w:tc>
          <w:tcPr>
            <w:tcW w:w="2319" w:type="dxa"/>
            <w:tcBorders>
              <w:top w:val="single" w:sz="12" w:space="0" w:color="000000"/>
              <w:left w:val="nil" w:sz="6" w:space="0" w:color="auto"/>
              <w:bottom w:val="single" w:sz="4" w:space="0" w:color="000000"/>
              <w:right w:val="nil" w:sz="6" w:space="0" w:color="auto"/>
            </w:tcBorders>
          </w:tcPr>
          <w:p>
            <w:pPr>
              <w:pStyle w:val="TableParagraph"/>
              <w:spacing w:line="240" w:lineRule="auto" w:before="74"/>
              <w:ind w:left="633" w:right="0"/>
              <w:jc w:val="left"/>
              <w:rPr>
                <w:rFonts w:ascii="宋体" w:hAnsi="宋体" w:cs="宋体" w:eastAsia="宋体" w:hint="default"/>
                <w:sz w:val="15"/>
                <w:szCs w:val="15"/>
              </w:rPr>
            </w:pPr>
            <w:r>
              <w:rPr>
                <w:rFonts w:ascii="宋体" w:hAnsi="宋体" w:cs="宋体" w:eastAsia="宋体" w:hint="default"/>
                <w:b/>
                <w:bCs/>
                <w:sz w:val="15"/>
                <w:szCs w:val="15"/>
              </w:rPr>
              <w:t>被投资企业名称</w:t>
            </w:r>
            <w:r>
              <w:rPr>
                <w:rFonts w:ascii="宋体" w:hAnsi="宋体" w:cs="宋体" w:eastAsia="宋体" w:hint="default"/>
                <w:sz w:val="15"/>
                <w:szCs w:val="15"/>
              </w:rPr>
            </w:r>
          </w:p>
        </w:tc>
        <w:tc>
          <w:tcPr>
            <w:tcW w:w="607" w:type="dxa"/>
            <w:tcBorders>
              <w:top w:val="single" w:sz="12" w:space="0" w:color="000000"/>
              <w:left w:val="nil" w:sz="6" w:space="0" w:color="auto"/>
              <w:bottom w:val="single" w:sz="4" w:space="0" w:color="000000"/>
              <w:right w:val="nil" w:sz="6" w:space="0" w:color="auto"/>
            </w:tcBorders>
          </w:tcPr>
          <w:p>
            <w:pPr>
              <w:pStyle w:val="TableParagraph"/>
              <w:spacing w:line="171" w:lineRule="exact"/>
              <w:ind w:right="4"/>
              <w:jc w:val="center"/>
              <w:rPr>
                <w:rFonts w:ascii="宋体" w:hAnsi="宋体" w:cs="宋体" w:eastAsia="宋体" w:hint="default"/>
                <w:sz w:val="15"/>
                <w:szCs w:val="15"/>
              </w:rPr>
            </w:pPr>
            <w:r>
              <w:rPr>
                <w:rFonts w:ascii="宋体" w:hAnsi="宋体" w:cs="宋体" w:eastAsia="宋体" w:hint="default"/>
                <w:b/>
                <w:bCs/>
                <w:sz w:val="15"/>
                <w:szCs w:val="15"/>
              </w:rPr>
              <w:t>表决</w:t>
            </w:r>
            <w:r>
              <w:rPr>
                <w:rFonts w:ascii="宋体" w:hAnsi="宋体" w:cs="宋体" w:eastAsia="宋体" w:hint="default"/>
                <w:sz w:val="15"/>
                <w:szCs w:val="15"/>
              </w:rPr>
            </w:r>
          </w:p>
          <w:p>
            <w:pPr>
              <w:pStyle w:val="TableParagraph"/>
              <w:spacing w:line="195" w:lineRule="exact"/>
              <w:ind w:right="6"/>
              <w:jc w:val="center"/>
              <w:rPr>
                <w:rFonts w:ascii="宋体" w:hAnsi="宋体" w:cs="宋体" w:eastAsia="宋体" w:hint="default"/>
                <w:sz w:val="15"/>
                <w:szCs w:val="15"/>
              </w:rPr>
            </w:pPr>
            <w:r>
              <w:rPr>
                <w:rFonts w:ascii="宋体" w:hAnsi="宋体" w:cs="宋体" w:eastAsia="宋体" w:hint="default"/>
                <w:b/>
                <w:bCs/>
                <w:w w:val="100"/>
                <w:sz w:val="15"/>
                <w:szCs w:val="15"/>
              </w:rPr>
              <w:t>权</w:t>
            </w:r>
            <w:r>
              <w:rPr>
                <w:rFonts w:ascii="宋体" w:hAnsi="宋体" w:cs="宋体" w:eastAsia="宋体" w:hint="default"/>
                <w:w w:val="100"/>
                <w:sz w:val="15"/>
                <w:szCs w:val="15"/>
              </w:rPr>
            </w:r>
          </w:p>
        </w:tc>
        <w:tc>
          <w:tcPr>
            <w:tcW w:w="598" w:type="dxa"/>
            <w:tcBorders>
              <w:top w:val="single" w:sz="12" w:space="0" w:color="000000"/>
              <w:left w:val="nil" w:sz="6" w:space="0" w:color="auto"/>
              <w:bottom w:val="single" w:sz="4" w:space="0" w:color="000000"/>
              <w:right w:val="nil" w:sz="6" w:space="0" w:color="auto"/>
            </w:tcBorders>
          </w:tcPr>
          <w:p>
            <w:pPr>
              <w:pStyle w:val="TableParagraph"/>
              <w:spacing w:line="171" w:lineRule="exact"/>
              <w:ind w:left="197" w:right="0" w:hanging="75"/>
              <w:jc w:val="left"/>
              <w:rPr>
                <w:rFonts w:ascii="宋体" w:hAnsi="宋体" w:cs="宋体" w:eastAsia="宋体" w:hint="default"/>
                <w:sz w:val="15"/>
                <w:szCs w:val="15"/>
              </w:rPr>
            </w:pPr>
            <w:r>
              <w:rPr>
                <w:rFonts w:ascii="宋体" w:hAnsi="宋体" w:cs="宋体" w:eastAsia="宋体" w:hint="default"/>
                <w:b/>
                <w:bCs/>
                <w:sz w:val="15"/>
                <w:szCs w:val="15"/>
              </w:rPr>
              <w:t>投票</w:t>
            </w:r>
            <w:r>
              <w:rPr>
                <w:rFonts w:ascii="宋体" w:hAnsi="宋体" w:cs="宋体" w:eastAsia="宋体" w:hint="default"/>
                <w:sz w:val="15"/>
                <w:szCs w:val="15"/>
              </w:rPr>
            </w:r>
          </w:p>
          <w:p>
            <w:pPr>
              <w:pStyle w:val="TableParagraph"/>
              <w:spacing w:line="195" w:lineRule="exact"/>
              <w:ind w:left="197" w:right="0"/>
              <w:jc w:val="left"/>
              <w:rPr>
                <w:rFonts w:ascii="宋体" w:hAnsi="宋体" w:cs="宋体" w:eastAsia="宋体" w:hint="default"/>
                <w:sz w:val="15"/>
                <w:szCs w:val="15"/>
              </w:rPr>
            </w:pPr>
            <w:r>
              <w:rPr>
                <w:rFonts w:ascii="宋体" w:hAnsi="宋体" w:cs="宋体" w:eastAsia="宋体" w:hint="default"/>
                <w:b/>
                <w:bCs/>
                <w:w w:val="100"/>
                <w:sz w:val="15"/>
                <w:szCs w:val="15"/>
              </w:rPr>
              <w:t>权</w:t>
            </w:r>
            <w:r>
              <w:rPr>
                <w:rFonts w:ascii="宋体" w:hAnsi="宋体" w:cs="宋体" w:eastAsia="宋体" w:hint="default"/>
                <w:w w:val="100"/>
                <w:sz w:val="15"/>
                <w:szCs w:val="15"/>
              </w:rPr>
            </w:r>
          </w:p>
        </w:tc>
        <w:tc>
          <w:tcPr>
            <w:tcW w:w="700" w:type="dxa"/>
            <w:tcBorders>
              <w:top w:val="single" w:sz="12" w:space="0" w:color="000000"/>
              <w:left w:val="nil" w:sz="6" w:space="0" w:color="auto"/>
              <w:bottom w:val="single" w:sz="4" w:space="0" w:color="000000"/>
              <w:right w:val="nil" w:sz="6" w:space="0" w:color="auto"/>
            </w:tcBorders>
          </w:tcPr>
          <w:p>
            <w:pPr>
              <w:pStyle w:val="TableParagraph"/>
              <w:spacing w:line="171" w:lineRule="exact"/>
              <w:ind w:right="12"/>
              <w:jc w:val="center"/>
              <w:rPr>
                <w:rFonts w:ascii="宋体" w:hAnsi="宋体" w:cs="宋体" w:eastAsia="宋体" w:hint="default"/>
                <w:sz w:val="15"/>
                <w:szCs w:val="15"/>
              </w:rPr>
            </w:pPr>
            <w:r>
              <w:rPr>
                <w:rFonts w:ascii="宋体" w:hAnsi="宋体" w:cs="宋体" w:eastAsia="宋体" w:hint="default"/>
                <w:b/>
                <w:bCs/>
                <w:sz w:val="15"/>
                <w:szCs w:val="15"/>
              </w:rPr>
              <w:t>注册地</w:t>
            </w:r>
            <w:r>
              <w:rPr>
                <w:rFonts w:ascii="宋体" w:hAnsi="宋体" w:cs="宋体" w:eastAsia="宋体" w:hint="default"/>
                <w:sz w:val="15"/>
                <w:szCs w:val="15"/>
              </w:rPr>
            </w:r>
          </w:p>
          <w:p>
            <w:pPr>
              <w:pStyle w:val="TableParagraph"/>
              <w:spacing w:line="195" w:lineRule="exact"/>
              <w:ind w:right="12"/>
              <w:jc w:val="center"/>
              <w:rPr>
                <w:rFonts w:ascii="宋体" w:hAnsi="宋体" w:cs="宋体" w:eastAsia="宋体" w:hint="default"/>
                <w:sz w:val="15"/>
                <w:szCs w:val="15"/>
              </w:rPr>
            </w:pPr>
            <w:r>
              <w:rPr>
                <w:rFonts w:ascii="宋体" w:hAnsi="宋体" w:cs="宋体" w:eastAsia="宋体" w:hint="default"/>
                <w:b/>
                <w:bCs/>
                <w:w w:val="100"/>
                <w:sz w:val="15"/>
                <w:szCs w:val="15"/>
              </w:rPr>
              <w:t>址</w:t>
            </w:r>
            <w:r>
              <w:rPr>
                <w:rFonts w:ascii="宋体" w:hAnsi="宋体" w:cs="宋体" w:eastAsia="宋体" w:hint="default"/>
                <w:w w:val="100"/>
                <w:sz w:val="15"/>
                <w:szCs w:val="15"/>
              </w:rPr>
            </w:r>
          </w:p>
        </w:tc>
        <w:tc>
          <w:tcPr>
            <w:tcW w:w="4340" w:type="dxa"/>
            <w:tcBorders>
              <w:top w:val="single" w:sz="12" w:space="0" w:color="000000"/>
              <w:left w:val="nil" w:sz="6" w:space="0" w:color="auto"/>
              <w:bottom w:val="single" w:sz="4" w:space="0" w:color="000000"/>
              <w:right w:val="nil" w:sz="6" w:space="0" w:color="auto"/>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b/>
                <w:bCs/>
                <w:sz w:val="15"/>
                <w:szCs w:val="15"/>
              </w:rPr>
              <w:t>主营业务</w:t>
            </w:r>
            <w:r>
              <w:rPr>
                <w:rFonts w:ascii="宋体" w:hAnsi="宋体" w:cs="宋体" w:eastAsia="宋体" w:hint="default"/>
                <w:sz w:val="15"/>
                <w:szCs w:val="15"/>
              </w:rPr>
            </w:r>
          </w:p>
        </w:tc>
      </w:tr>
      <w:tr>
        <w:trPr>
          <w:trHeight w:val="414" w:hRule="exact"/>
        </w:trPr>
        <w:tc>
          <w:tcPr>
            <w:tcW w:w="2319" w:type="dxa"/>
            <w:tcBorders>
              <w:top w:val="single" w:sz="4" w:space="0" w:color="000000"/>
              <w:left w:val="nil" w:sz="6" w:space="0" w:color="auto"/>
              <w:bottom w:val="nil" w:sz="6" w:space="0" w:color="auto"/>
              <w:right w:val="nil" w:sz="6" w:space="0" w:color="auto"/>
            </w:tcBorders>
          </w:tcPr>
          <w:p>
            <w:pPr>
              <w:pStyle w:val="TableParagraph"/>
              <w:spacing w:line="174" w:lineRule="exact"/>
              <w:ind w:left="9" w:right="0"/>
              <w:jc w:val="left"/>
              <w:rPr>
                <w:rFonts w:ascii="宋体" w:hAnsi="宋体" w:cs="宋体" w:eastAsia="宋体" w:hint="default"/>
                <w:sz w:val="15"/>
                <w:szCs w:val="15"/>
              </w:rPr>
            </w:pPr>
            <w:r>
              <w:rPr>
                <w:rFonts w:ascii="宋体" w:hAnsi="宋体" w:cs="宋体" w:eastAsia="宋体" w:hint="default"/>
                <w:sz w:val="15"/>
                <w:szCs w:val="15"/>
              </w:rPr>
              <w:t>广州同方瑞风节能科技股份有限公</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w w:val="100"/>
                <w:sz w:val="15"/>
                <w:szCs w:val="15"/>
              </w:rPr>
              <w:t>司</w:t>
            </w:r>
          </w:p>
        </w:tc>
        <w:tc>
          <w:tcPr>
            <w:tcW w:w="607"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25.00%</w:t>
            </w:r>
          </w:p>
        </w:tc>
        <w:tc>
          <w:tcPr>
            <w:tcW w:w="59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44"/>
              <w:jc w:val="right"/>
              <w:rPr>
                <w:rFonts w:ascii="宋体" w:hAnsi="宋体" w:cs="宋体" w:eastAsia="宋体" w:hint="default"/>
                <w:sz w:val="15"/>
                <w:szCs w:val="15"/>
              </w:rPr>
            </w:pPr>
            <w:r>
              <w:rPr>
                <w:rFonts w:ascii="宋体"/>
                <w:spacing w:val="-1"/>
                <w:sz w:val="15"/>
              </w:rPr>
              <w:t>25.00%</w:t>
            </w:r>
          </w:p>
        </w:tc>
        <w:tc>
          <w:tcPr>
            <w:tcW w:w="70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3"/>
              <w:jc w:val="center"/>
              <w:rPr>
                <w:rFonts w:ascii="宋体" w:hAnsi="宋体" w:cs="宋体" w:eastAsia="宋体" w:hint="default"/>
                <w:sz w:val="15"/>
                <w:szCs w:val="15"/>
              </w:rPr>
            </w:pPr>
            <w:r>
              <w:rPr>
                <w:rFonts w:ascii="宋体" w:hAnsi="宋体" w:cs="宋体" w:eastAsia="宋体" w:hint="default"/>
                <w:sz w:val="15"/>
                <w:szCs w:val="15"/>
              </w:rPr>
              <w:t>广东广州</w:t>
            </w:r>
          </w:p>
        </w:tc>
        <w:tc>
          <w:tcPr>
            <w:tcW w:w="434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51" w:right="0"/>
              <w:jc w:val="left"/>
              <w:rPr>
                <w:rFonts w:ascii="宋体" w:hAnsi="宋体" w:cs="宋体" w:eastAsia="宋体" w:hint="default"/>
                <w:sz w:val="15"/>
                <w:szCs w:val="15"/>
              </w:rPr>
            </w:pPr>
            <w:r>
              <w:rPr>
                <w:rFonts w:ascii="宋体" w:hAnsi="宋体" w:cs="宋体" w:eastAsia="宋体" w:hint="default"/>
                <w:sz w:val="15"/>
                <w:szCs w:val="15"/>
              </w:rPr>
              <w:t>制冷空调设备制造等</w:t>
            </w:r>
          </w:p>
        </w:tc>
      </w:tr>
      <w:tr>
        <w:trPr>
          <w:trHeight w:val="251"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191" w:lineRule="exact"/>
              <w:ind w:left="9" w:right="0"/>
              <w:jc w:val="left"/>
              <w:rPr>
                <w:rFonts w:ascii="宋体" w:hAnsi="宋体" w:cs="宋体" w:eastAsia="宋体" w:hint="default"/>
                <w:sz w:val="15"/>
                <w:szCs w:val="15"/>
              </w:rPr>
            </w:pPr>
            <w:r>
              <w:rPr>
                <w:rFonts w:ascii="宋体" w:hAnsi="宋体" w:cs="宋体" w:eastAsia="宋体" w:hint="default"/>
                <w:sz w:val="15"/>
                <w:szCs w:val="15"/>
              </w:rPr>
              <w:t>同方佰宜科技（北京）有限公司</w:t>
            </w:r>
          </w:p>
        </w:tc>
        <w:tc>
          <w:tcPr>
            <w:tcW w:w="607" w:type="dxa"/>
            <w:tcBorders>
              <w:top w:val="nil" w:sz="6" w:space="0" w:color="auto"/>
              <w:left w:val="nil" w:sz="6" w:space="0" w:color="auto"/>
              <w:bottom w:val="nil" w:sz="6" w:space="0" w:color="auto"/>
              <w:right w:val="nil" w:sz="6" w:space="0" w:color="auto"/>
            </w:tcBorders>
          </w:tcPr>
          <w:p>
            <w:pPr>
              <w:pStyle w:val="TableParagraph"/>
              <w:spacing w:line="191" w:lineRule="exact"/>
              <w:ind w:right="22"/>
              <w:jc w:val="right"/>
              <w:rPr>
                <w:rFonts w:ascii="宋体" w:hAnsi="宋体" w:cs="宋体" w:eastAsia="宋体" w:hint="default"/>
                <w:sz w:val="15"/>
                <w:szCs w:val="15"/>
              </w:rPr>
            </w:pPr>
            <w:r>
              <w:rPr>
                <w:rFonts w:ascii="宋体"/>
                <w:spacing w:val="-1"/>
                <w:sz w:val="15"/>
              </w:rPr>
              <w:t>30.00%</w:t>
            </w:r>
          </w:p>
        </w:tc>
        <w:tc>
          <w:tcPr>
            <w:tcW w:w="598" w:type="dxa"/>
            <w:tcBorders>
              <w:top w:val="nil" w:sz="6" w:space="0" w:color="auto"/>
              <w:left w:val="nil" w:sz="6" w:space="0" w:color="auto"/>
              <w:bottom w:val="nil" w:sz="6" w:space="0" w:color="auto"/>
              <w:right w:val="nil" w:sz="6" w:space="0" w:color="auto"/>
            </w:tcBorders>
          </w:tcPr>
          <w:p>
            <w:pPr>
              <w:pStyle w:val="TableParagraph"/>
              <w:spacing w:line="191" w:lineRule="exact"/>
              <w:ind w:right="44"/>
              <w:jc w:val="right"/>
              <w:rPr>
                <w:rFonts w:ascii="宋体" w:hAnsi="宋体" w:cs="宋体" w:eastAsia="宋体" w:hint="default"/>
                <w:sz w:val="15"/>
                <w:szCs w:val="15"/>
              </w:rPr>
            </w:pPr>
            <w:r>
              <w:rPr>
                <w:rFonts w:ascii="宋体"/>
                <w:spacing w:val="-1"/>
                <w:sz w:val="15"/>
              </w:rPr>
              <w:t>30.00%</w:t>
            </w:r>
          </w:p>
        </w:tc>
        <w:tc>
          <w:tcPr>
            <w:tcW w:w="700" w:type="dxa"/>
            <w:tcBorders>
              <w:top w:val="nil" w:sz="6" w:space="0" w:color="auto"/>
              <w:left w:val="nil" w:sz="6" w:space="0" w:color="auto"/>
              <w:bottom w:val="nil" w:sz="6" w:space="0" w:color="auto"/>
              <w:right w:val="nil" w:sz="6" w:space="0" w:color="auto"/>
            </w:tcBorders>
          </w:tcPr>
          <w:p>
            <w:pPr>
              <w:pStyle w:val="TableParagraph"/>
              <w:spacing w:line="191" w:lineRule="exact"/>
              <w:ind w:right="3"/>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4340" w:type="dxa"/>
            <w:tcBorders>
              <w:top w:val="nil" w:sz="6" w:space="0" w:color="auto"/>
              <w:left w:val="nil" w:sz="6" w:space="0" w:color="auto"/>
              <w:bottom w:val="nil" w:sz="6" w:space="0" w:color="auto"/>
              <w:right w:val="nil" w:sz="6" w:space="0" w:color="auto"/>
            </w:tcBorders>
          </w:tcPr>
          <w:p>
            <w:pPr>
              <w:pStyle w:val="TableParagraph"/>
              <w:spacing w:line="191" w:lineRule="exact"/>
              <w:ind w:left="51" w:right="0"/>
              <w:jc w:val="left"/>
              <w:rPr>
                <w:rFonts w:ascii="宋体" w:hAnsi="宋体" w:cs="宋体" w:eastAsia="宋体" w:hint="default"/>
                <w:sz w:val="15"/>
                <w:szCs w:val="15"/>
              </w:rPr>
            </w:pPr>
            <w:r>
              <w:rPr>
                <w:rFonts w:ascii="宋体" w:hAnsi="宋体" w:cs="宋体" w:eastAsia="宋体" w:hint="default"/>
                <w:sz w:val="15"/>
                <w:szCs w:val="15"/>
              </w:rPr>
              <w:t>控制系统软件开发</w:t>
            </w:r>
          </w:p>
        </w:tc>
      </w:tr>
      <w:tr>
        <w:trPr>
          <w:trHeight w:val="270"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 w:right="0"/>
              <w:jc w:val="left"/>
              <w:rPr>
                <w:rFonts w:ascii="宋体" w:hAnsi="宋体" w:cs="宋体" w:eastAsia="宋体" w:hint="default"/>
                <w:sz w:val="15"/>
                <w:szCs w:val="15"/>
              </w:rPr>
            </w:pPr>
            <w:r>
              <w:rPr>
                <w:rFonts w:ascii="宋体" w:hAnsi="宋体" w:cs="宋体" w:eastAsia="宋体" w:hint="default"/>
                <w:sz w:val="15"/>
                <w:szCs w:val="15"/>
              </w:rPr>
              <w:t>北京同方时讯电子股份有限公司</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2"/>
              <w:jc w:val="right"/>
              <w:rPr>
                <w:rFonts w:ascii="宋体" w:hAnsi="宋体" w:cs="宋体" w:eastAsia="宋体" w:hint="default"/>
                <w:sz w:val="15"/>
                <w:szCs w:val="15"/>
              </w:rPr>
            </w:pPr>
            <w:r>
              <w:rPr>
                <w:rFonts w:ascii="宋体"/>
                <w:spacing w:val="-1"/>
                <w:sz w:val="15"/>
              </w:rPr>
              <w:t>30.00%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4"/>
              <w:jc w:val="right"/>
              <w:rPr>
                <w:rFonts w:ascii="宋体" w:hAnsi="宋体" w:cs="宋体" w:eastAsia="宋体" w:hint="default"/>
                <w:sz w:val="15"/>
                <w:szCs w:val="15"/>
              </w:rPr>
            </w:pPr>
            <w:r>
              <w:rPr>
                <w:rFonts w:ascii="宋体"/>
                <w:spacing w:val="-1"/>
                <w:sz w:val="15"/>
              </w:rPr>
              <w:t>30.00%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434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1" w:right="0"/>
              <w:jc w:val="left"/>
              <w:rPr>
                <w:rFonts w:ascii="宋体" w:hAnsi="宋体" w:cs="宋体" w:eastAsia="宋体" w:hint="default"/>
                <w:sz w:val="15"/>
                <w:szCs w:val="15"/>
              </w:rPr>
            </w:pPr>
            <w:r>
              <w:rPr>
                <w:rFonts w:ascii="宋体" w:hAnsi="宋体" w:cs="宋体" w:eastAsia="宋体" w:hint="default"/>
                <w:sz w:val="15"/>
                <w:szCs w:val="15"/>
              </w:rPr>
              <w:t>军用电子标签</w:t>
            </w:r>
          </w:p>
        </w:tc>
      </w:tr>
      <w:tr>
        <w:trPr>
          <w:trHeight w:val="270"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9" w:right="0"/>
              <w:jc w:val="left"/>
              <w:rPr>
                <w:rFonts w:ascii="宋体" w:hAnsi="宋体" w:cs="宋体" w:eastAsia="宋体" w:hint="default"/>
                <w:sz w:val="15"/>
                <w:szCs w:val="15"/>
              </w:rPr>
            </w:pPr>
            <w:r>
              <w:rPr>
                <w:rFonts w:ascii="宋体" w:hAnsi="宋体" w:cs="宋体" w:eastAsia="宋体" w:hint="default"/>
                <w:sz w:val="15"/>
                <w:szCs w:val="15"/>
              </w:rPr>
              <w:t>吉林同方科贸有限责任公司</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2"/>
              <w:jc w:val="right"/>
              <w:rPr>
                <w:rFonts w:ascii="宋体" w:hAnsi="宋体" w:cs="宋体" w:eastAsia="宋体" w:hint="default"/>
                <w:sz w:val="15"/>
                <w:szCs w:val="15"/>
              </w:rPr>
            </w:pPr>
            <w:r>
              <w:rPr>
                <w:rFonts w:ascii="宋体"/>
                <w:spacing w:val="-1"/>
                <w:sz w:val="15"/>
              </w:rPr>
              <w:t>46.00%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4"/>
              <w:jc w:val="right"/>
              <w:rPr>
                <w:rFonts w:ascii="宋体" w:hAnsi="宋体" w:cs="宋体" w:eastAsia="宋体" w:hint="default"/>
                <w:sz w:val="15"/>
                <w:szCs w:val="15"/>
              </w:rPr>
            </w:pPr>
            <w:r>
              <w:rPr>
                <w:rFonts w:ascii="宋体"/>
                <w:spacing w:val="-1"/>
                <w:sz w:val="15"/>
              </w:rPr>
              <w:t>46.00%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
              <w:jc w:val="center"/>
              <w:rPr>
                <w:rFonts w:ascii="宋体" w:hAnsi="宋体" w:cs="宋体" w:eastAsia="宋体" w:hint="default"/>
                <w:sz w:val="15"/>
                <w:szCs w:val="15"/>
              </w:rPr>
            </w:pPr>
            <w:r>
              <w:rPr>
                <w:rFonts w:ascii="宋体" w:hAnsi="宋体" w:cs="宋体" w:eastAsia="宋体" w:hint="default"/>
                <w:sz w:val="15"/>
                <w:szCs w:val="15"/>
              </w:rPr>
              <w:t>吉林长春</w:t>
            </w:r>
          </w:p>
        </w:tc>
        <w:tc>
          <w:tcPr>
            <w:tcW w:w="434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1" w:right="0"/>
              <w:jc w:val="left"/>
              <w:rPr>
                <w:rFonts w:ascii="宋体" w:hAnsi="宋体" w:cs="宋体" w:eastAsia="宋体" w:hint="default"/>
                <w:sz w:val="15"/>
                <w:szCs w:val="15"/>
              </w:rPr>
            </w:pPr>
            <w:r>
              <w:rPr>
                <w:rFonts w:ascii="宋体" w:hAnsi="宋体" w:cs="宋体" w:eastAsia="宋体" w:hint="default"/>
                <w:sz w:val="15"/>
                <w:szCs w:val="15"/>
              </w:rPr>
              <w:t>计算机及信息产品、人环控制设备、仪器仪表</w:t>
            </w:r>
          </w:p>
        </w:tc>
      </w:tr>
      <w:tr>
        <w:trPr>
          <w:trHeight w:val="252"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 w:right="0"/>
              <w:jc w:val="left"/>
              <w:rPr>
                <w:rFonts w:ascii="宋体" w:hAnsi="宋体" w:cs="宋体" w:eastAsia="宋体" w:hint="default"/>
                <w:sz w:val="15"/>
                <w:szCs w:val="15"/>
              </w:rPr>
            </w:pPr>
            <w:r>
              <w:rPr>
                <w:rFonts w:ascii="宋体" w:hAnsi="宋体" w:cs="宋体" w:eastAsia="宋体" w:hint="default"/>
                <w:sz w:val="15"/>
                <w:szCs w:val="15"/>
              </w:rPr>
              <w:t>云南云电同方科技有限公司</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2"/>
              <w:jc w:val="right"/>
              <w:rPr>
                <w:rFonts w:ascii="宋体" w:hAnsi="宋体" w:cs="宋体" w:eastAsia="宋体" w:hint="default"/>
                <w:sz w:val="15"/>
                <w:szCs w:val="15"/>
              </w:rPr>
            </w:pPr>
            <w:r>
              <w:rPr>
                <w:rFonts w:ascii="宋体"/>
                <w:spacing w:val="-1"/>
                <w:sz w:val="15"/>
              </w:rPr>
              <w:t>37.50%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4"/>
              <w:jc w:val="right"/>
              <w:rPr>
                <w:rFonts w:ascii="宋体" w:hAnsi="宋体" w:cs="宋体" w:eastAsia="宋体" w:hint="default"/>
                <w:sz w:val="15"/>
                <w:szCs w:val="15"/>
              </w:rPr>
            </w:pPr>
            <w:r>
              <w:rPr>
                <w:rFonts w:ascii="宋体"/>
                <w:spacing w:val="-1"/>
                <w:sz w:val="15"/>
              </w:rPr>
              <w:t>37.50%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
              <w:jc w:val="center"/>
              <w:rPr>
                <w:rFonts w:ascii="宋体" w:hAnsi="宋体" w:cs="宋体" w:eastAsia="宋体" w:hint="default"/>
                <w:sz w:val="15"/>
                <w:szCs w:val="15"/>
              </w:rPr>
            </w:pPr>
            <w:r>
              <w:rPr>
                <w:rFonts w:ascii="宋体" w:hAnsi="宋体" w:cs="宋体" w:eastAsia="宋体" w:hint="default"/>
                <w:sz w:val="15"/>
                <w:szCs w:val="15"/>
              </w:rPr>
              <w:t>云南昆明</w:t>
            </w:r>
          </w:p>
        </w:tc>
        <w:tc>
          <w:tcPr>
            <w:tcW w:w="434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1" w:right="0"/>
              <w:jc w:val="left"/>
              <w:rPr>
                <w:rFonts w:ascii="宋体" w:hAnsi="宋体" w:cs="宋体" w:eastAsia="宋体" w:hint="default"/>
                <w:sz w:val="15"/>
                <w:szCs w:val="15"/>
              </w:rPr>
            </w:pPr>
            <w:r>
              <w:rPr>
                <w:rFonts w:ascii="宋体" w:hAnsi="宋体" w:cs="宋体" w:eastAsia="宋体" w:hint="default"/>
                <w:sz w:val="15"/>
                <w:szCs w:val="15"/>
              </w:rPr>
              <w:t>IT</w:t>
            </w:r>
            <w:r>
              <w:rPr>
                <w:rFonts w:ascii="宋体" w:hAnsi="宋体" w:cs="宋体" w:eastAsia="宋体" w:hint="default"/>
                <w:spacing w:val="-39"/>
                <w:sz w:val="15"/>
                <w:szCs w:val="15"/>
              </w:rPr>
              <w:t> </w:t>
            </w:r>
            <w:r>
              <w:rPr>
                <w:rFonts w:ascii="宋体" w:hAnsi="宋体" w:cs="宋体" w:eastAsia="宋体" w:hint="default"/>
                <w:sz w:val="15"/>
                <w:szCs w:val="15"/>
              </w:rPr>
              <w:t>与电力高科技产品</w:t>
            </w:r>
          </w:p>
        </w:tc>
      </w:tr>
      <w:tr>
        <w:trPr>
          <w:trHeight w:val="622"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9" w:right="0"/>
              <w:jc w:val="left"/>
              <w:rPr>
                <w:rFonts w:ascii="宋体" w:hAnsi="宋体" w:cs="宋体" w:eastAsia="宋体" w:hint="default"/>
                <w:sz w:val="15"/>
                <w:szCs w:val="15"/>
              </w:rPr>
            </w:pPr>
            <w:r>
              <w:rPr>
                <w:rFonts w:ascii="宋体" w:hAnsi="宋体" w:cs="宋体" w:eastAsia="宋体" w:hint="default"/>
                <w:sz w:val="15"/>
                <w:szCs w:val="15"/>
              </w:rPr>
              <w:t>同方环境股份有限公司</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宋体" w:hAnsi="宋体" w:cs="宋体" w:eastAsia="宋体" w:hint="default"/>
                <w:sz w:val="15"/>
                <w:szCs w:val="15"/>
              </w:rPr>
            </w:pPr>
            <w:r>
              <w:rPr>
                <w:rFonts w:ascii="宋体"/>
                <w:spacing w:val="-1"/>
                <w:sz w:val="15"/>
              </w:rPr>
              <w:t>31.50%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44"/>
              <w:jc w:val="right"/>
              <w:rPr>
                <w:rFonts w:ascii="宋体" w:hAnsi="宋体" w:cs="宋体" w:eastAsia="宋体" w:hint="default"/>
                <w:sz w:val="15"/>
                <w:szCs w:val="15"/>
              </w:rPr>
            </w:pPr>
            <w:r>
              <w:rPr>
                <w:rFonts w:ascii="宋体"/>
                <w:spacing w:val="-1"/>
                <w:sz w:val="15"/>
              </w:rPr>
              <w:t>31.50%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4340" w:type="dxa"/>
            <w:tcBorders>
              <w:top w:val="nil" w:sz="6" w:space="0" w:color="auto"/>
              <w:left w:val="nil" w:sz="6" w:space="0" w:color="auto"/>
              <w:bottom w:val="nil" w:sz="6" w:space="0" w:color="auto"/>
              <w:right w:val="nil" w:sz="6" w:space="0" w:color="auto"/>
            </w:tcBorders>
          </w:tcPr>
          <w:p>
            <w:pPr>
              <w:pStyle w:val="TableParagraph"/>
              <w:spacing w:line="194" w:lineRule="exact" w:before="15"/>
              <w:ind w:left="51" w:right="72"/>
              <w:jc w:val="both"/>
              <w:rPr>
                <w:rFonts w:ascii="宋体" w:hAnsi="宋体" w:cs="宋体" w:eastAsia="宋体" w:hint="default"/>
                <w:sz w:val="15"/>
                <w:szCs w:val="15"/>
              </w:rPr>
            </w:pPr>
            <w:r>
              <w:rPr>
                <w:rFonts w:ascii="宋体" w:hAnsi="宋体" w:cs="宋体" w:eastAsia="宋体" w:hint="default"/>
                <w:spacing w:val="-1"/>
                <w:sz w:val="15"/>
                <w:szCs w:val="15"/>
              </w:rPr>
              <w:t>环保工程咨询、设计、施工；施工总承包；洁净新能源发电与环</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pacing w:val="-1"/>
                <w:sz w:val="15"/>
                <w:szCs w:val="15"/>
              </w:rPr>
              <w:t>境保护技术、工程的研究、设计、开发、转让、咨询、引进和服</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z w:val="15"/>
                <w:szCs w:val="15"/>
              </w:rPr>
              <w:t>务等</w:t>
            </w:r>
          </w:p>
        </w:tc>
      </w:tr>
      <w:tr>
        <w:trPr>
          <w:trHeight w:val="232"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192" w:lineRule="exact"/>
              <w:ind w:left="9" w:right="0"/>
              <w:jc w:val="left"/>
              <w:rPr>
                <w:rFonts w:ascii="宋体" w:hAnsi="宋体" w:cs="宋体" w:eastAsia="宋体" w:hint="default"/>
                <w:sz w:val="15"/>
                <w:szCs w:val="15"/>
              </w:rPr>
            </w:pPr>
            <w:r>
              <w:rPr>
                <w:rFonts w:ascii="宋体" w:hAnsi="宋体" w:cs="宋体" w:eastAsia="宋体" w:hint="default"/>
                <w:sz w:val="15"/>
                <w:szCs w:val="15"/>
              </w:rPr>
              <w:t>泰豪创意科技集团股份有限公司</w:t>
            </w:r>
          </w:p>
        </w:tc>
        <w:tc>
          <w:tcPr>
            <w:tcW w:w="607" w:type="dxa"/>
            <w:tcBorders>
              <w:top w:val="nil" w:sz="6" w:space="0" w:color="auto"/>
              <w:left w:val="nil" w:sz="6" w:space="0" w:color="auto"/>
              <w:bottom w:val="nil" w:sz="6" w:space="0" w:color="auto"/>
              <w:right w:val="nil" w:sz="6" w:space="0" w:color="auto"/>
            </w:tcBorders>
          </w:tcPr>
          <w:p>
            <w:pPr>
              <w:pStyle w:val="TableParagraph"/>
              <w:spacing w:line="192" w:lineRule="exact"/>
              <w:ind w:right="22"/>
              <w:jc w:val="right"/>
              <w:rPr>
                <w:rFonts w:ascii="宋体" w:hAnsi="宋体" w:cs="宋体" w:eastAsia="宋体" w:hint="default"/>
                <w:sz w:val="15"/>
                <w:szCs w:val="15"/>
              </w:rPr>
            </w:pPr>
            <w:r>
              <w:rPr>
                <w:rFonts w:ascii="宋体"/>
                <w:spacing w:val="-1"/>
                <w:sz w:val="15"/>
              </w:rPr>
              <w:t>40.00%</w:t>
            </w:r>
          </w:p>
        </w:tc>
        <w:tc>
          <w:tcPr>
            <w:tcW w:w="598" w:type="dxa"/>
            <w:tcBorders>
              <w:top w:val="nil" w:sz="6" w:space="0" w:color="auto"/>
              <w:left w:val="nil" w:sz="6" w:space="0" w:color="auto"/>
              <w:bottom w:val="nil" w:sz="6" w:space="0" w:color="auto"/>
              <w:right w:val="nil" w:sz="6" w:space="0" w:color="auto"/>
            </w:tcBorders>
          </w:tcPr>
          <w:p>
            <w:pPr>
              <w:pStyle w:val="TableParagraph"/>
              <w:spacing w:line="192" w:lineRule="exact"/>
              <w:ind w:right="44"/>
              <w:jc w:val="right"/>
              <w:rPr>
                <w:rFonts w:ascii="宋体" w:hAnsi="宋体" w:cs="宋体" w:eastAsia="宋体" w:hint="default"/>
                <w:sz w:val="15"/>
                <w:szCs w:val="15"/>
              </w:rPr>
            </w:pPr>
            <w:r>
              <w:rPr>
                <w:rFonts w:ascii="宋体"/>
                <w:spacing w:val="-1"/>
                <w:sz w:val="15"/>
              </w:rPr>
              <w:t>40.00%</w:t>
            </w:r>
          </w:p>
        </w:tc>
        <w:tc>
          <w:tcPr>
            <w:tcW w:w="700" w:type="dxa"/>
            <w:tcBorders>
              <w:top w:val="nil" w:sz="6" w:space="0" w:color="auto"/>
              <w:left w:val="nil" w:sz="6" w:space="0" w:color="auto"/>
              <w:bottom w:val="nil" w:sz="6" w:space="0" w:color="auto"/>
              <w:right w:val="nil" w:sz="6" w:space="0" w:color="auto"/>
            </w:tcBorders>
          </w:tcPr>
          <w:p>
            <w:pPr>
              <w:pStyle w:val="TableParagraph"/>
              <w:spacing w:line="192" w:lineRule="exact"/>
              <w:ind w:right="3"/>
              <w:jc w:val="center"/>
              <w:rPr>
                <w:rFonts w:ascii="宋体" w:hAnsi="宋体" w:cs="宋体" w:eastAsia="宋体" w:hint="default"/>
                <w:sz w:val="15"/>
                <w:szCs w:val="15"/>
              </w:rPr>
            </w:pPr>
            <w:r>
              <w:rPr>
                <w:rFonts w:ascii="宋体" w:hAnsi="宋体" w:cs="宋体" w:eastAsia="宋体" w:hint="default"/>
                <w:sz w:val="15"/>
                <w:szCs w:val="15"/>
              </w:rPr>
              <w:t>江西南昌</w:t>
            </w:r>
          </w:p>
        </w:tc>
        <w:tc>
          <w:tcPr>
            <w:tcW w:w="4340" w:type="dxa"/>
            <w:tcBorders>
              <w:top w:val="nil" w:sz="6" w:space="0" w:color="auto"/>
              <w:left w:val="nil" w:sz="6" w:space="0" w:color="auto"/>
              <w:bottom w:val="nil" w:sz="6" w:space="0" w:color="auto"/>
              <w:right w:val="nil" w:sz="6" w:space="0" w:color="auto"/>
            </w:tcBorders>
          </w:tcPr>
          <w:p>
            <w:pPr>
              <w:pStyle w:val="TableParagraph"/>
              <w:spacing w:line="192" w:lineRule="exact"/>
              <w:ind w:left="51" w:right="0"/>
              <w:jc w:val="left"/>
              <w:rPr>
                <w:rFonts w:ascii="宋体" w:hAnsi="宋体" w:cs="宋体" w:eastAsia="宋体" w:hint="default"/>
                <w:sz w:val="15"/>
                <w:szCs w:val="15"/>
              </w:rPr>
            </w:pPr>
            <w:r>
              <w:rPr>
                <w:rFonts w:ascii="宋体" w:hAnsi="宋体" w:cs="宋体" w:eastAsia="宋体" w:hint="default"/>
                <w:sz w:val="15"/>
                <w:szCs w:val="15"/>
              </w:rPr>
              <w:t>动漫形象及相关衍生产品开发、生产、经营</w:t>
            </w:r>
          </w:p>
        </w:tc>
      </w:tr>
      <w:tr>
        <w:trPr>
          <w:trHeight w:val="407"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9" w:right="0"/>
              <w:jc w:val="left"/>
              <w:rPr>
                <w:rFonts w:ascii="宋体" w:hAnsi="宋体" w:cs="宋体" w:eastAsia="宋体" w:hint="default"/>
                <w:sz w:val="15"/>
                <w:szCs w:val="15"/>
              </w:rPr>
            </w:pPr>
            <w:r>
              <w:rPr>
                <w:rFonts w:ascii="宋体" w:hAnsi="宋体" w:cs="宋体" w:eastAsia="宋体" w:hint="default"/>
                <w:sz w:val="15"/>
                <w:szCs w:val="15"/>
              </w:rPr>
              <w:t>重庆同方合志科技有限公司</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2"/>
              <w:jc w:val="right"/>
              <w:rPr>
                <w:rFonts w:ascii="宋体" w:hAnsi="宋体" w:cs="宋体" w:eastAsia="宋体" w:hint="default"/>
                <w:sz w:val="15"/>
                <w:szCs w:val="15"/>
              </w:rPr>
            </w:pPr>
            <w:r>
              <w:rPr>
                <w:rFonts w:ascii="宋体"/>
                <w:spacing w:val="-1"/>
                <w:sz w:val="15"/>
              </w:rPr>
              <w:t>40.00%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44"/>
              <w:jc w:val="right"/>
              <w:rPr>
                <w:rFonts w:ascii="宋体" w:hAnsi="宋体" w:cs="宋体" w:eastAsia="宋体" w:hint="default"/>
                <w:sz w:val="15"/>
                <w:szCs w:val="15"/>
              </w:rPr>
            </w:pPr>
            <w:r>
              <w:rPr>
                <w:rFonts w:ascii="宋体"/>
                <w:spacing w:val="-1"/>
                <w:sz w:val="15"/>
              </w:rPr>
              <w:t>40.00%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
              <w:jc w:val="center"/>
              <w:rPr>
                <w:rFonts w:ascii="宋体" w:hAnsi="宋体" w:cs="宋体" w:eastAsia="宋体" w:hint="default"/>
                <w:sz w:val="15"/>
                <w:szCs w:val="15"/>
              </w:rPr>
            </w:pPr>
            <w:r>
              <w:rPr>
                <w:rFonts w:ascii="宋体" w:hAnsi="宋体" w:cs="宋体" w:eastAsia="宋体" w:hint="default"/>
                <w:sz w:val="15"/>
                <w:szCs w:val="15"/>
              </w:rPr>
              <w:t>重庆北新</w:t>
            </w:r>
          </w:p>
        </w:tc>
        <w:tc>
          <w:tcPr>
            <w:tcW w:w="4340" w:type="dxa"/>
            <w:tcBorders>
              <w:top w:val="nil" w:sz="6" w:space="0" w:color="auto"/>
              <w:left w:val="nil" w:sz="6" w:space="0" w:color="auto"/>
              <w:bottom w:val="nil" w:sz="6" w:space="0" w:color="auto"/>
              <w:right w:val="nil" w:sz="6" w:space="0" w:color="auto"/>
            </w:tcBorders>
          </w:tcPr>
          <w:p>
            <w:pPr>
              <w:pStyle w:val="TableParagraph"/>
              <w:spacing w:line="194" w:lineRule="exact" w:before="14"/>
              <w:ind w:left="51" w:right="72"/>
              <w:jc w:val="left"/>
              <w:rPr>
                <w:rFonts w:ascii="宋体" w:hAnsi="宋体" w:cs="宋体" w:eastAsia="宋体" w:hint="default"/>
                <w:sz w:val="15"/>
                <w:szCs w:val="15"/>
              </w:rPr>
            </w:pPr>
            <w:r>
              <w:rPr>
                <w:rFonts w:ascii="宋体" w:hAnsi="宋体" w:cs="宋体" w:eastAsia="宋体" w:hint="default"/>
                <w:spacing w:val="-1"/>
                <w:sz w:val="15"/>
                <w:szCs w:val="15"/>
              </w:rPr>
              <w:t>通信设备器材、嵌入式电子系统、计算机软硬件的开发、产销与</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z w:val="15"/>
                <w:szCs w:val="15"/>
              </w:rPr>
              <w:t>技术服务</w:t>
            </w:r>
          </w:p>
        </w:tc>
      </w:tr>
      <w:tr>
        <w:trPr>
          <w:trHeight w:val="409"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9" w:right="0"/>
              <w:jc w:val="left"/>
              <w:rPr>
                <w:rFonts w:ascii="宋体" w:hAnsi="宋体" w:cs="宋体" w:eastAsia="宋体" w:hint="default"/>
                <w:sz w:val="15"/>
                <w:szCs w:val="15"/>
              </w:rPr>
            </w:pPr>
            <w:r>
              <w:rPr>
                <w:rFonts w:ascii="宋体" w:hAnsi="宋体" w:cs="宋体" w:eastAsia="宋体" w:hint="default"/>
                <w:sz w:val="15"/>
                <w:szCs w:val="15"/>
              </w:rPr>
              <w:t>北京辰安科技股份有限公司</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2"/>
              <w:jc w:val="right"/>
              <w:rPr>
                <w:rFonts w:ascii="宋体" w:hAnsi="宋体" w:cs="宋体" w:eastAsia="宋体" w:hint="default"/>
                <w:sz w:val="15"/>
                <w:szCs w:val="15"/>
              </w:rPr>
            </w:pPr>
            <w:r>
              <w:rPr>
                <w:rFonts w:ascii="宋体"/>
                <w:spacing w:val="-1"/>
                <w:sz w:val="15"/>
              </w:rPr>
              <w:t>8.4375%</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44"/>
              <w:jc w:val="right"/>
              <w:rPr>
                <w:rFonts w:ascii="宋体" w:hAnsi="宋体" w:cs="宋体" w:eastAsia="宋体" w:hint="default"/>
                <w:sz w:val="15"/>
                <w:szCs w:val="15"/>
              </w:rPr>
            </w:pPr>
            <w:r>
              <w:rPr>
                <w:rFonts w:ascii="宋体"/>
                <w:spacing w:val="-1"/>
                <w:sz w:val="15"/>
              </w:rPr>
              <w:t>8.4375%</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4340" w:type="dxa"/>
            <w:tcBorders>
              <w:top w:val="nil" w:sz="6" w:space="0" w:color="auto"/>
              <w:left w:val="nil" w:sz="6" w:space="0" w:color="auto"/>
              <w:bottom w:val="nil" w:sz="6" w:space="0" w:color="auto"/>
              <w:right w:val="nil" w:sz="6" w:space="0" w:color="auto"/>
            </w:tcBorders>
          </w:tcPr>
          <w:p>
            <w:pPr>
              <w:pStyle w:val="TableParagraph"/>
              <w:spacing w:line="173" w:lineRule="exact"/>
              <w:ind w:left="51" w:right="0"/>
              <w:jc w:val="left"/>
              <w:rPr>
                <w:rFonts w:ascii="宋体" w:hAnsi="宋体" w:cs="宋体" w:eastAsia="宋体" w:hint="default"/>
                <w:sz w:val="15"/>
                <w:szCs w:val="15"/>
              </w:rPr>
            </w:pPr>
            <w:r>
              <w:rPr>
                <w:rFonts w:ascii="宋体" w:hAnsi="宋体" w:cs="宋体" w:eastAsia="宋体" w:hint="default"/>
                <w:w w:val="100"/>
                <w:sz w:val="15"/>
                <w:szCs w:val="15"/>
              </w:rPr>
              <w:t>公共</w:t>
            </w:r>
            <w:r>
              <w:rPr>
                <w:rFonts w:ascii="宋体" w:hAnsi="宋体" w:cs="宋体" w:eastAsia="宋体" w:hint="default"/>
                <w:spacing w:val="-3"/>
                <w:w w:val="100"/>
                <w:sz w:val="15"/>
                <w:szCs w:val="15"/>
              </w:rPr>
              <w:t>安</w:t>
            </w:r>
            <w:r>
              <w:rPr>
                <w:rFonts w:ascii="宋体" w:hAnsi="宋体" w:cs="宋体" w:eastAsia="宋体" w:hint="default"/>
                <w:w w:val="100"/>
                <w:sz w:val="15"/>
                <w:szCs w:val="15"/>
              </w:rPr>
              <w:t>全</w:t>
            </w:r>
            <w:r>
              <w:rPr>
                <w:rFonts w:ascii="宋体" w:hAnsi="宋体" w:cs="宋体" w:eastAsia="宋体" w:hint="default"/>
                <w:spacing w:val="-3"/>
                <w:w w:val="100"/>
                <w:sz w:val="15"/>
                <w:szCs w:val="15"/>
              </w:rPr>
              <w:t>应</w:t>
            </w:r>
            <w:r>
              <w:rPr>
                <w:rFonts w:ascii="宋体" w:hAnsi="宋体" w:cs="宋体" w:eastAsia="宋体" w:hint="default"/>
                <w:w w:val="100"/>
                <w:sz w:val="15"/>
                <w:szCs w:val="15"/>
              </w:rPr>
              <w:t>急</w:t>
            </w:r>
            <w:r>
              <w:rPr>
                <w:rFonts w:ascii="宋体" w:hAnsi="宋体" w:cs="宋体" w:eastAsia="宋体" w:hint="default"/>
                <w:spacing w:val="-3"/>
                <w:w w:val="100"/>
                <w:sz w:val="15"/>
                <w:szCs w:val="15"/>
              </w:rPr>
              <w:t>装备</w:t>
            </w:r>
            <w:r>
              <w:rPr>
                <w:rFonts w:ascii="宋体" w:hAnsi="宋体" w:cs="宋体" w:eastAsia="宋体" w:hint="default"/>
                <w:spacing w:val="-65"/>
                <w:w w:val="100"/>
                <w:sz w:val="15"/>
                <w:szCs w:val="15"/>
              </w:rPr>
              <w:t>、</w:t>
            </w:r>
            <w:r>
              <w:rPr>
                <w:rFonts w:ascii="宋体" w:hAnsi="宋体" w:cs="宋体" w:eastAsia="宋体" w:hint="default"/>
                <w:spacing w:val="-3"/>
                <w:w w:val="100"/>
                <w:sz w:val="15"/>
                <w:szCs w:val="15"/>
              </w:rPr>
              <w:t>辐</w:t>
            </w:r>
            <w:r>
              <w:rPr>
                <w:rFonts w:ascii="宋体" w:hAnsi="宋体" w:cs="宋体" w:eastAsia="宋体" w:hint="default"/>
                <w:w w:val="100"/>
                <w:sz w:val="15"/>
                <w:szCs w:val="15"/>
              </w:rPr>
              <w:t>射</w:t>
            </w:r>
            <w:r>
              <w:rPr>
                <w:rFonts w:ascii="宋体" w:hAnsi="宋体" w:cs="宋体" w:eastAsia="宋体" w:hint="default"/>
                <w:spacing w:val="-3"/>
                <w:w w:val="100"/>
                <w:sz w:val="15"/>
                <w:szCs w:val="15"/>
              </w:rPr>
              <w:t>检</w:t>
            </w:r>
            <w:r>
              <w:rPr>
                <w:rFonts w:ascii="宋体" w:hAnsi="宋体" w:cs="宋体" w:eastAsia="宋体" w:hint="default"/>
                <w:w w:val="100"/>
                <w:sz w:val="15"/>
                <w:szCs w:val="15"/>
              </w:rPr>
              <w:t>测</w:t>
            </w:r>
            <w:r>
              <w:rPr>
                <w:rFonts w:ascii="宋体" w:hAnsi="宋体" w:cs="宋体" w:eastAsia="宋体" w:hint="default"/>
                <w:spacing w:val="-3"/>
                <w:w w:val="100"/>
                <w:sz w:val="15"/>
                <w:szCs w:val="15"/>
              </w:rPr>
              <w:t>仪</w:t>
            </w:r>
            <w:r>
              <w:rPr>
                <w:rFonts w:ascii="宋体" w:hAnsi="宋体" w:cs="宋体" w:eastAsia="宋体" w:hint="default"/>
                <w:w w:val="100"/>
                <w:sz w:val="15"/>
                <w:szCs w:val="15"/>
              </w:rPr>
              <w:t>器</w:t>
            </w:r>
            <w:r>
              <w:rPr>
                <w:rFonts w:ascii="宋体" w:hAnsi="宋体" w:cs="宋体" w:eastAsia="宋体" w:hint="default"/>
                <w:spacing w:val="-3"/>
                <w:w w:val="100"/>
                <w:sz w:val="15"/>
                <w:szCs w:val="15"/>
              </w:rPr>
              <w:t>仪</w:t>
            </w:r>
            <w:r>
              <w:rPr>
                <w:rFonts w:ascii="宋体" w:hAnsi="宋体" w:cs="宋体" w:eastAsia="宋体" w:hint="default"/>
                <w:w w:val="100"/>
                <w:sz w:val="15"/>
                <w:szCs w:val="15"/>
              </w:rPr>
              <w:t>表及</w:t>
            </w:r>
            <w:r>
              <w:rPr>
                <w:rFonts w:ascii="宋体" w:hAnsi="宋体" w:cs="宋体" w:eastAsia="宋体" w:hint="default"/>
                <w:spacing w:val="-3"/>
                <w:w w:val="100"/>
                <w:sz w:val="15"/>
                <w:szCs w:val="15"/>
              </w:rPr>
              <w:t>相</w:t>
            </w:r>
            <w:r>
              <w:rPr>
                <w:rFonts w:ascii="宋体" w:hAnsi="宋体" w:cs="宋体" w:eastAsia="宋体" w:hint="default"/>
                <w:w w:val="100"/>
                <w:sz w:val="15"/>
                <w:szCs w:val="15"/>
              </w:rPr>
              <w:t>关</w:t>
            </w:r>
            <w:r>
              <w:rPr>
                <w:rFonts w:ascii="宋体" w:hAnsi="宋体" w:cs="宋体" w:eastAsia="宋体" w:hint="default"/>
                <w:spacing w:val="-3"/>
                <w:w w:val="100"/>
                <w:sz w:val="15"/>
                <w:szCs w:val="15"/>
              </w:rPr>
              <w:t>计</w:t>
            </w:r>
            <w:r>
              <w:rPr>
                <w:rFonts w:ascii="宋体" w:hAnsi="宋体" w:cs="宋体" w:eastAsia="宋体" w:hint="default"/>
                <w:w w:val="100"/>
                <w:sz w:val="15"/>
                <w:szCs w:val="15"/>
              </w:rPr>
              <w:t>算</w:t>
            </w:r>
            <w:r>
              <w:rPr>
                <w:rFonts w:ascii="宋体" w:hAnsi="宋体" w:cs="宋体" w:eastAsia="宋体" w:hint="default"/>
                <w:spacing w:val="-3"/>
                <w:w w:val="100"/>
                <w:sz w:val="15"/>
                <w:szCs w:val="15"/>
              </w:rPr>
              <w:t>机</w:t>
            </w:r>
            <w:r>
              <w:rPr>
                <w:rFonts w:ascii="宋体" w:hAnsi="宋体" w:cs="宋体" w:eastAsia="宋体" w:hint="default"/>
                <w:w w:val="100"/>
                <w:sz w:val="15"/>
                <w:szCs w:val="15"/>
              </w:rPr>
              <w:t>软</w:t>
            </w:r>
            <w:r>
              <w:rPr>
                <w:rFonts w:ascii="宋体" w:hAnsi="宋体" w:cs="宋体" w:eastAsia="宋体" w:hint="default"/>
                <w:spacing w:val="-3"/>
                <w:w w:val="100"/>
                <w:sz w:val="15"/>
                <w:szCs w:val="15"/>
              </w:rPr>
              <w:t>硬</w:t>
            </w:r>
            <w:r>
              <w:rPr>
                <w:rFonts w:ascii="宋体" w:hAnsi="宋体" w:cs="宋体" w:eastAsia="宋体" w:hint="default"/>
                <w:w w:val="100"/>
                <w:sz w:val="15"/>
                <w:szCs w:val="15"/>
              </w:rPr>
              <w:t>件</w:t>
            </w:r>
            <w:r>
              <w:rPr>
                <w:rFonts w:ascii="宋体" w:hAnsi="宋体" w:cs="宋体" w:eastAsia="宋体" w:hint="default"/>
                <w:spacing w:val="-3"/>
                <w:w w:val="100"/>
                <w:sz w:val="15"/>
                <w:szCs w:val="15"/>
              </w:rPr>
              <w:t>研发</w:t>
            </w:r>
            <w:r>
              <w:rPr>
                <w:rFonts w:ascii="宋体" w:hAnsi="宋体" w:cs="宋体" w:eastAsia="宋体" w:hint="default"/>
                <w:w w:val="100"/>
                <w:sz w:val="15"/>
                <w:szCs w:val="15"/>
              </w:rPr>
              <w:t>、</w:t>
            </w:r>
          </w:p>
          <w:p>
            <w:pPr>
              <w:pStyle w:val="TableParagraph"/>
              <w:spacing w:line="240" w:lineRule="auto"/>
              <w:ind w:left="51" w:right="0"/>
              <w:jc w:val="left"/>
              <w:rPr>
                <w:rFonts w:ascii="宋体" w:hAnsi="宋体" w:cs="宋体" w:eastAsia="宋体" w:hint="default"/>
                <w:sz w:val="15"/>
                <w:szCs w:val="15"/>
              </w:rPr>
            </w:pPr>
            <w:r>
              <w:rPr>
                <w:rFonts w:ascii="宋体" w:hAnsi="宋体" w:cs="宋体" w:eastAsia="宋体" w:hint="default"/>
                <w:sz w:val="15"/>
                <w:szCs w:val="15"/>
              </w:rPr>
              <w:t>生产、销售</w:t>
            </w:r>
          </w:p>
        </w:tc>
      </w:tr>
      <w:tr>
        <w:trPr>
          <w:trHeight w:val="251"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191" w:lineRule="exact"/>
              <w:ind w:left="9" w:right="0"/>
              <w:jc w:val="left"/>
              <w:rPr>
                <w:rFonts w:ascii="宋体" w:hAnsi="宋体" w:cs="宋体" w:eastAsia="宋体" w:hint="default"/>
                <w:sz w:val="15"/>
                <w:szCs w:val="15"/>
              </w:rPr>
            </w:pPr>
            <w:r>
              <w:rPr>
                <w:rFonts w:ascii="宋体" w:hAnsi="宋体" w:cs="宋体" w:eastAsia="宋体" w:hint="default"/>
                <w:sz w:val="15"/>
                <w:szCs w:val="15"/>
              </w:rPr>
              <w:t>泰豪科技股份有限公司</w:t>
            </w:r>
          </w:p>
        </w:tc>
        <w:tc>
          <w:tcPr>
            <w:tcW w:w="607" w:type="dxa"/>
            <w:tcBorders>
              <w:top w:val="nil" w:sz="6" w:space="0" w:color="auto"/>
              <w:left w:val="nil" w:sz="6" w:space="0" w:color="auto"/>
              <w:bottom w:val="nil" w:sz="6" w:space="0" w:color="auto"/>
              <w:right w:val="nil" w:sz="6" w:space="0" w:color="auto"/>
            </w:tcBorders>
          </w:tcPr>
          <w:p>
            <w:pPr>
              <w:pStyle w:val="TableParagraph"/>
              <w:spacing w:line="191" w:lineRule="exact"/>
              <w:ind w:right="22"/>
              <w:jc w:val="right"/>
              <w:rPr>
                <w:rFonts w:ascii="宋体" w:hAnsi="宋体" w:cs="宋体" w:eastAsia="宋体" w:hint="default"/>
                <w:sz w:val="15"/>
                <w:szCs w:val="15"/>
              </w:rPr>
            </w:pPr>
            <w:r>
              <w:rPr>
                <w:rFonts w:ascii="宋体"/>
                <w:spacing w:val="-1"/>
                <w:sz w:val="15"/>
              </w:rPr>
              <w:t>19.31%</w:t>
            </w:r>
          </w:p>
        </w:tc>
        <w:tc>
          <w:tcPr>
            <w:tcW w:w="598" w:type="dxa"/>
            <w:tcBorders>
              <w:top w:val="nil" w:sz="6" w:space="0" w:color="auto"/>
              <w:left w:val="nil" w:sz="6" w:space="0" w:color="auto"/>
              <w:bottom w:val="nil" w:sz="6" w:space="0" w:color="auto"/>
              <w:right w:val="nil" w:sz="6" w:space="0" w:color="auto"/>
            </w:tcBorders>
          </w:tcPr>
          <w:p>
            <w:pPr>
              <w:pStyle w:val="TableParagraph"/>
              <w:spacing w:line="191" w:lineRule="exact"/>
              <w:ind w:right="44"/>
              <w:jc w:val="right"/>
              <w:rPr>
                <w:rFonts w:ascii="宋体" w:hAnsi="宋体" w:cs="宋体" w:eastAsia="宋体" w:hint="default"/>
                <w:sz w:val="15"/>
                <w:szCs w:val="15"/>
              </w:rPr>
            </w:pPr>
            <w:r>
              <w:rPr>
                <w:rFonts w:ascii="宋体"/>
                <w:spacing w:val="-1"/>
                <w:sz w:val="15"/>
              </w:rPr>
              <w:t>19.31%</w:t>
            </w:r>
          </w:p>
        </w:tc>
        <w:tc>
          <w:tcPr>
            <w:tcW w:w="700" w:type="dxa"/>
            <w:tcBorders>
              <w:top w:val="nil" w:sz="6" w:space="0" w:color="auto"/>
              <w:left w:val="nil" w:sz="6" w:space="0" w:color="auto"/>
              <w:bottom w:val="nil" w:sz="6" w:space="0" w:color="auto"/>
              <w:right w:val="nil" w:sz="6" w:space="0" w:color="auto"/>
            </w:tcBorders>
          </w:tcPr>
          <w:p>
            <w:pPr>
              <w:pStyle w:val="TableParagraph"/>
              <w:spacing w:line="191" w:lineRule="exact"/>
              <w:ind w:right="3"/>
              <w:jc w:val="center"/>
              <w:rPr>
                <w:rFonts w:ascii="宋体" w:hAnsi="宋体" w:cs="宋体" w:eastAsia="宋体" w:hint="default"/>
                <w:sz w:val="15"/>
                <w:szCs w:val="15"/>
              </w:rPr>
            </w:pPr>
            <w:r>
              <w:rPr>
                <w:rFonts w:ascii="宋体" w:hAnsi="宋体" w:cs="宋体" w:eastAsia="宋体" w:hint="default"/>
                <w:sz w:val="15"/>
                <w:szCs w:val="15"/>
              </w:rPr>
              <w:t>江西南昌</w:t>
            </w:r>
          </w:p>
        </w:tc>
        <w:tc>
          <w:tcPr>
            <w:tcW w:w="4340" w:type="dxa"/>
            <w:tcBorders>
              <w:top w:val="nil" w:sz="6" w:space="0" w:color="auto"/>
              <w:left w:val="nil" w:sz="6" w:space="0" w:color="auto"/>
              <w:bottom w:val="nil" w:sz="6" w:space="0" w:color="auto"/>
              <w:right w:val="nil" w:sz="6" w:space="0" w:color="auto"/>
            </w:tcBorders>
          </w:tcPr>
          <w:p>
            <w:pPr>
              <w:pStyle w:val="TableParagraph"/>
              <w:spacing w:line="191" w:lineRule="exact"/>
              <w:ind w:left="51" w:right="0"/>
              <w:jc w:val="left"/>
              <w:rPr>
                <w:rFonts w:ascii="宋体" w:hAnsi="宋体" w:cs="宋体" w:eastAsia="宋体" w:hint="default"/>
                <w:sz w:val="15"/>
                <w:szCs w:val="15"/>
              </w:rPr>
            </w:pPr>
            <w:r>
              <w:rPr>
                <w:rFonts w:ascii="宋体" w:hAnsi="宋体" w:cs="宋体" w:eastAsia="宋体" w:hint="default"/>
                <w:sz w:val="15"/>
                <w:szCs w:val="15"/>
              </w:rPr>
              <w:t>智能建筑电气、发电机及机组、装备信息产品</w:t>
            </w:r>
          </w:p>
        </w:tc>
      </w:tr>
      <w:tr>
        <w:trPr>
          <w:trHeight w:val="270"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 w:right="0"/>
              <w:jc w:val="left"/>
              <w:rPr>
                <w:rFonts w:ascii="宋体" w:hAnsi="宋体" w:cs="宋体" w:eastAsia="宋体" w:hint="default"/>
                <w:sz w:val="15"/>
                <w:szCs w:val="15"/>
              </w:rPr>
            </w:pPr>
            <w:r>
              <w:rPr>
                <w:rFonts w:ascii="宋体" w:hAnsi="宋体" w:cs="宋体" w:eastAsia="宋体" w:hint="default"/>
                <w:sz w:val="15"/>
                <w:szCs w:val="15"/>
              </w:rPr>
              <w:t>北京中录同方文化传播有限公司</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2"/>
              <w:jc w:val="right"/>
              <w:rPr>
                <w:rFonts w:ascii="宋体" w:hAnsi="宋体" w:cs="宋体" w:eastAsia="宋体" w:hint="default"/>
                <w:sz w:val="15"/>
                <w:szCs w:val="15"/>
              </w:rPr>
            </w:pPr>
            <w:r>
              <w:rPr>
                <w:rFonts w:ascii="宋体"/>
                <w:spacing w:val="-1"/>
                <w:sz w:val="15"/>
              </w:rPr>
              <w:t>50.00%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4"/>
              <w:jc w:val="right"/>
              <w:rPr>
                <w:rFonts w:ascii="宋体" w:hAnsi="宋体" w:cs="宋体" w:eastAsia="宋体" w:hint="default"/>
                <w:sz w:val="15"/>
                <w:szCs w:val="15"/>
              </w:rPr>
            </w:pPr>
            <w:r>
              <w:rPr>
                <w:rFonts w:ascii="宋体"/>
                <w:spacing w:val="-1"/>
                <w:sz w:val="15"/>
              </w:rPr>
              <w:t>50.00%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
              <w:jc w:val="center"/>
              <w:rPr>
                <w:rFonts w:ascii="宋体" w:hAnsi="宋体" w:cs="宋体" w:eastAsia="宋体" w:hint="default"/>
                <w:sz w:val="15"/>
                <w:szCs w:val="15"/>
              </w:rPr>
            </w:pPr>
            <w:r>
              <w:rPr>
                <w:rFonts w:ascii="宋体" w:hAnsi="宋体" w:cs="宋体" w:eastAsia="宋体" w:hint="default"/>
                <w:sz w:val="15"/>
                <w:szCs w:val="15"/>
              </w:rPr>
              <w:t>北京昌平</w:t>
            </w:r>
          </w:p>
        </w:tc>
        <w:tc>
          <w:tcPr>
            <w:tcW w:w="434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1" w:right="0"/>
              <w:jc w:val="left"/>
              <w:rPr>
                <w:rFonts w:ascii="宋体" w:hAnsi="宋体" w:cs="宋体" w:eastAsia="宋体" w:hint="default"/>
                <w:sz w:val="15"/>
                <w:szCs w:val="15"/>
              </w:rPr>
            </w:pPr>
            <w:r>
              <w:rPr>
                <w:rFonts w:ascii="宋体" w:hAnsi="宋体" w:cs="宋体" w:eastAsia="宋体" w:hint="default"/>
                <w:sz w:val="15"/>
                <w:szCs w:val="15"/>
              </w:rPr>
              <w:t>音像制品、数字多媒体、宽频网络多媒体</w:t>
            </w:r>
          </w:p>
        </w:tc>
      </w:tr>
      <w:tr>
        <w:trPr>
          <w:trHeight w:val="270"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 w:right="0"/>
              <w:jc w:val="left"/>
              <w:rPr>
                <w:rFonts w:ascii="宋体" w:hAnsi="宋体" w:cs="宋体" w:eastAsia="宋体" w:hint="default"/>
                <w:sz w:val="15"/>
                <w:szCs w:val="15"/>
              </w:rPr>
            </w:pPr>
            <w:r>
              <w:rPr>
                <w:rFonts w:ascii="宋体" w:hAnsi="宋体" w:cs="宋体" w:eastAsia="宋体" w:hint="default"/>
                <w:sz w:val="15"/>
                <w:szCs w:val="15"/>
              </w:rPr>
              <w:t>同方全球人寿保险有限公司</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2"/>
              <w:jc w:val="right"/>
              <w:rPr>
                <w:rFonts w:ascii="宋体" w:hAnsi="宋体" w:cs="宋体" w:eastAsia="宋体" w:hint="default"/>
                <w:sz w:val="15"/>
                <w:szCs w:val="15"/>
              </w:rPr>
            </w:pPr>
            <w:r>
              <w:rPr>
                <w:rFonts w:ascii="宋体"/>
                <w:spacing w:val="-1"/>
                <w:sz w:val="15"/>
              </w:rPr>
              <w:t>50.00%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4"/>
              <w:jc w:val="right"/>
              <w:rPr>
                <w:rFonts w:ascii="宋体" w:hAnsi="宋体" w:cs="宋体" w:eastAsia="宋体" w:hint="default"/>
                <w:sz w:val="15"/>
                <w:szCs w:val="15"/>
              </w:rPr>
            </w:pPr>
            <w:r>
              <w:rPr>
                <w:rFonts w:ascii="宋体"/>
                <w:spacing w:val="-1"/>
                <w:sz w:val="15"/>
              </w:rPr>
              <w:t>50.00%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
              <w:jc w:val="center"/>
              <w:rPr>
                <w:rFonts w:ascii="宋体" w:hAnsi="宋体" w:cs="宋体" w:eastAsia="宋体" w:hint="default"/>
                <w:sz w:val="15"/>
                <w:szCs w:val="15"/>
              </w:rPr>
            </w:pPr>
            <w:r>
              <w:rPr>
                <w:rFonts w:ascii="宋体" w:hAnsi="宋体" w:cs="宋体" w:eastAsia="宋体" w:hint="default"/>
                <w:sz w:val="15"/>
                <w:szCs w:val="15"/>
              </w:rPr>
              <w:t>上海浦东</w:t>
            </w:r>
          </w:p>
        </w:tc>
        <w:tc>
          <w:tcPr>
            <w:tcW w:w="434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1" w:right="0"/>
              <w:jc w:val="left"/>
              <w:rPr>
                <w:rFonts w:ascii="宋体" w:hAnsi="宋体" w:cs="宋体" w:eastAsia="宋体" w:hint="default"/>
                <w:sz w:val="15"/>
                <w:szCs w:val="15"/>
              </w:rPr>
            </w:pPr>
            <w:r>
              <w:rPr>
                <w:rFonts w:ascii="宋体" w:hAnsi="宋体" w:cs="宋体" w:eastAsia="宋体" w:hint="default"/>
                <w:sz w:val="15"/>
                <w:szCs w:val="15"/>
              </w:rPr>
              <w:t>人寿保险、健康保险和意外伤害保险等保险业务及其再保险业务</w:t>
            </w:r>
          </w:p>
        </w:tc>
      </w:tr>
      <w:tr>
        <w:trPr>
          <w:trHeight w:val="252"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 w:right="0"/>
              <w:jc w:val="left"/>
              <w:rPr>
                <w:rFonts w:ascii="宋体" w:hAnsi="宋体" w:cs="宋体" w:eastAsia="宋体" w:hint="default"/>
                <w:sz w:val="15"/>
                <w:szCs w:val="15"/>
              </w:rPr>
            </w:pPr>
            <w:r>
              <w:rPr>
                <w:rFonts w:ascii="宋体" w:hAnsi="宋体" w:cs="宋体" w:eastAsia="宋体" w:hint="default"/>
                <w:sz w:val="15"/>
                <w:szCs w:val="15"/>
              </w:rPr>
              <w:t>同方鼎欣科技股份有限公司</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2"/>
              <w:jc w:val="right"/>
              <w:rPr>
                <w:rFonts w:ascii="宋体" w:hAnsi="宋体" w:cs="宋体" w:eastAsia="宋体" w:hint="default"/>
                <w:sz w:val="15"/>
                <w:szCs w:val="15"/>
              </w:rPr>
            </w:pPr>
            <w:r>
              <w:rPr>
                <w:rFonts w:ascii="宋体"/>
                <w:spacing w:val="-1"/>
                <w:sz w:val="15"/>
              </w:rPr>
              <w:t>20.00%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4"/>
              <w:jc w:val="right"/>
              <w:rPr>
                <w:rFonts w:ascii="宋体" w:hAnsi="宋体" w:cs="宋体" w:eastAsia="宋体" w:hint="default"/>
                <w:sz w:val="15"/>
                <w:szCs w:val="15"/>
              </w:rPr>
            </w:pPr>
            <w:r>
              <w:rPr>
                <w:rFonts w:ascii="宋体"/>
                <w:spacing w:val="-1"/>
                <w:sz w:val="15"/>
              </w:rPr>
              <w:t>20.00%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
              <w:jc w:val="center"/>
              <w:rPr>
                <w:rFonts w:ascii="宋体" w:hAnsi="宋体" w:cs="宋体" w:eastAsia="宋体" w:hint="default"/>
                <w:sz w:val="15"/>
                <w:szCs w:val="15"/>
              </w:rPr>
            </w:pPr>
            <w:r>
              <w:rPr>
                <w:rFonts w:ascii="宋体" w:hAnsi="宋体" w:cs="宋体" w:eastAsia="宋体" w:hint="default"/>
                <w:sz w:val="15"/>
                <w:szCs w:val="15"/>
              </w:rPr>
              <w:t>北京海淀</w:t>
            </w:r>
          </w:p>
        </w:tc>
        <w:tc>
          <w:tcPr>
            <w:tcW w:w="434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1" w:right="0"/>
              <w:jc w:val="left"/>
              <w:rPr>
                <w:rFonts w:ascii="宋体" w:hAnsi="宋体" w:cs="宋体" w:eastAsia="宋体" w:hint="default"/>
                <w:sz w:val="15"/>
                <w:szCs w:val="15"/>
              </w:rPr>
            </w:pPr>
            <w:r>
              <w:rPr>
                <w:rFonts w:ascii="宋体" w:hAnsi="宋体" w:cs="宋体" w:eastAsia="宋体" w:hint="default"/>
                <w:sz w:val="15"/>
                <w:szCs w:val="15"/>
              </w:rPr>
              <w:t>计算机软硬件产品、应用服务、劳务派遣、生产第二类医疗器械</w:t>
            </w:r>
          </w:p>
        </w:tc>
      </w:tr>
      <w:tr>
        <w:trPr>
          <w:trHeight w:val="408"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 w:right="0"/>
              <w:jc w:val="left"/>
              <w:rPr>
                <w:rFonts w:ascii="宋体" w:hAnsi="宋体" w:cs="宋体" w:eastAsia="宋体" w:hint="default"/>
                <w:sz w:val="15"/>
                <w:szCs w:val="15"/>
              </w:rPr>
            </w:pPr>
            <w:r>
              <w:rPr>
                <w:rFonts w:ascii="宋体" w:hAnsi="宋体" w:cs="宋体" w:eastAsia="宋体" w:hint="default"/>
                <w:sz w:val="15"/>
                <w:szCs w:val="15"/>
              </w:rPr>
              <w:t>迁安市华控环境投资有限责任公司</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2"/>
              <w:jc w:val="right"/>
              <w:rPr>
                <w:rFonts w:ascii="宋体" w:hAnsi="宋体" w:cs="宋体" w:eastAsia="宋体" w:hint="default"/>
                <w:sz w:val="15"/>
                <w:szCs w:val="15"/>
              </w:rPr>
            </w:pPr>
            <w:r>
              <w:rPr>
                <w:rFonts w:ascii="宋体"/>
                <w:spacing w:val="-1"/>
                <w:sz w:val="15"/>
              </w:rPr>
              <w:t>27.20%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4"/>
              <w:jc w:val="right"/>
              <w:rPr>
                <w:rFonts w:ascii="宋体" w:hAnsi="宋体" w:cs="宋体" w:eastAsia="宋体" w:hint="default"/>
                <w:sz w:val="15"/>
                <w:szCs w:val="15"/>
              </w:rPr>
            </w:pPr>
            <w:r>
              <w:rPr>
                <w:rFonts w:ascii="宋体"/>
                <w:spacing w:val="-1"/>
                <w:sz w:val="15"/>
              </w:rPr>
              <w:t>27.20%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
              <w:jc w:val="center"/>
              <w:rPr>
                <w:rFonts w:ascii="宋体" w:hAnsi="宋体" w:cs="宋体" w:eastAsia="宋体" w:hint="default"/>
                <w:sz w:val="15"/>
                <w:szCs w:val="15"/>
              </w:rPr>
            </w:pPr>
            <w:r>
              <w:rPr>
                <w:rFonts w:ascii="宋体" w:hAnsi="宋体" w:cs="宋体" w:eastAsia="宋体" w:hint="default"/>
                <w:sz w:val="15"/>
                <w:szCs w:val="15"/>
              </w:rPr>
              <w:t>河北迁安</w:t>
            </w:r>
          </w:p>
        </w:tc>
        <w:tc>
          <w:tcPr>
            <w:tcW w:w="4340" w:type="dxa"/>
            <w:tcBorders>
              <w:top w:val="nil" w:sz="6" w:space="0" w:color="auto"/>
              <w:left w:val="nil" w:sz="6" w:space="0" w:color="auto"/>
              <w:bottom w:val="nil" w:sz="6" w:space="0" w:color="auto"/>
              <w:right w:val="nil" w:sz="6" w:space="0" w:color="auto"/>
            </w:tcBorders>
          </w:tcPr>
          <w:p>
            <w:pPr>
              <w:pStyle w:val="TableParagraph"/>
              <w:spacing w:line="194" w:lineRule="exact" w:before="15"/>
              <w:ind w:left="51" w:right="0"/>
              <w:jc w:val="left"/>
              <w:rPr>
                <w:rFonts w:ascii="宋体" w:hAnsi="宋体" w:cs="宋体" w:eastAsia="宋体" w:hint="default"/>
                <w:sz w:val="15"/>
                <w:szCs w:val="15"/>
              </w:rPr>
            </w:pPr>
            <w:r>
              <w:rPr>
                <w:rFonts w:ascii="宋体" w:hAnsi="宋体" w:cs="宋体" w:eastAsia="宋体" w:hint="default"/>
                <w:spacing w:val="-4"/>
                <w:sz w:val="15"/>
                <w:szCs w:val="15"/>
              </w:rPr>
              <w:t>城市、农村公共基础设施的投资、建设、运营管理；自来水生产、</w:t>
            </w:r>
            <w:r>
              <w:rPr>
                <w:rFonts w:ascii="宋体" w:hAnsi="宋体" w:cs="宋体" w:eastAsia="宋体" w:hint="default"/>
                <w:spacing w:val="-29"/>
                <w:sz w:val="15"/>
                <w:szCs w:val="15"/>
              </w:rPr>
              <w:t> </w:t>
            </w:r>
            <w:r>
              <w:rPr>
                <w:rFonts w:ascii="宋体" w:hAnsi="宋体" w:cs="宋体" w:eastAsia="宋体" w:hint="default"/>
                <w:spacing w:val="-29"/>
                <w:sz w:val="15"/>
                <w:szCs w:val="15"/>
              </w:rPr>
            </w:r>
            <w:r>
              <w:rPr>
                <w:rFonts w:ascii="宋体" w:hAnsi="宋体" w:cs="宋体" w:eastAsia="宋体" w:hint="default"/>
                <w:sz w:val="15"/>
                <w:szCs w:val="15"/>
              </w:rPr>
              <w:t>销售；污水处理再利用；雨水收集</w:t>
            </w:r>
          </w:p>
        </w:tc>
      </w:tr>
      <w:tr>
        <w:trPr>
          <w:trHeight w:val="389" w:hRule="exact"/>
        </w:trPr>
        <w:tc>
          <w:tcPr>
            <w:tcW w:w="2319" w:type="dxa"/>
            <w:tcBorders>
              <w:top w:val="nil" w:sz="6" w:space="0" w:color="auto"/>
              <w:left w:val="nil" w:sz="6" w:space="0" w:color="auto"/>
              <w:bottom w:val="nil" w:sz="6" w:space="0" w:color="auto"/>
              <w:right w:val="nil" w:sz="6" w:space="0" w:color="auto"/>
            </w:tcBorders>
          </w:tcPr>
          <w:p>
            <w:pPr>
              <w:pStyle w:val="TableParagraph"/>
              <w:spacing w:line="172" w:lineRule="exact"/>
              <w:ind w:left="9" w:right="0"/>
              <w:jc w:val="left"/>
              <w:rPr>
                <w:rFonts w:ascii="宋体" w:hAnsi="宋体" w:cs="宋体" w:eastAsia="宋体" w:hint="default"/>
                <w:sz w:val="15"/>
                <w:szCs w:val="15"/>
              </w:rPr>
            </w:pPr>
            <w:r>
              <w:rPr>
                <w:rFonts w:ascii="宋体" w:hAnsi="宋体" w:cs="宋体" w:eastAsia="宋体" w:hint="default"/>
                <w:sz w:val="15"/>
                <w:szCs w:val="15"/>
              </w:rPr>
              <w:t>玉溪市华控环境海绵城市建设有限</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60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2"/>
              <w:jc w:val="right"/>
              <w:rPr>
                <w:rFonts w:ascii="宋体" w:hAnsi="宋体" w:cs="宋体" w:eastAsia="宋体" w:hint="default"/>
                <w:sz w:val="15"/>
                <w:szCs w:val="15"/>
              </w:rPr>
            </w:pPr>
            <w:r>
              <w:rPr>
                <w:rFonts w:ascii="宋体"/>
                <w:spacing w:val="-1"/>
                <w:sz w:val="15"/>
              </w:rPr>
              <w:t>39.00%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4"/>
              <w:jc w:val="right"/>
              <w:rPr>
                <w:rFonts w:ascii="宋体" w:hAnsi="宋体" w:cs="宋体" w:eastAsia="宋体" w:hint="default"/>
                <w:sz w:val="15"/>
                <w:szCs w:val="15"/>
              </w:rPr>
            </w:pPr>
            <w:r>
              <w:rPr>
                <w:rFonts w:ascii="宋体"/>
                <w:spacing w:val="-1"/>
                <w:sz w:val="15"/>
              </w:rPr>
              <w:t>39.00%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
              <w:jc w:val="center"/>
              <w:rPr>
                <w:rFonts w:ascii="宋体" w:hAnsi="宋体" w:cs="宋体" w:eastAsia="宋体" w:hint="default"/>
                <w:sz w:val="15"/>
                <w:szCs w:val="15"/>
              </w:rPr>
            </w:pPr>
            <w:r>
              <w:rPr>
                <w:rFonts w:ascii="宋体" w:hAnsi="宋体" w:cs="宋体" w:eastAsia="宋体" w:hint="default"/>
                <w:sz w:val="15"/>
                <w:szCs w:val="15"/>
              </w:rPr>
              <w:t>云南玉溪</w:t>
            </w:r>
          </w:p>
        </w:tc>
        <w:tc>
          <w:tcPr>
            <w:tcW w:w="434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51" w:right="0"/>
              <w:jc w:val="left"/>
              <w:rPr>
                <w:rFonts w:ascii="宋体" w:hAnsi="宋体" w:cs="宋体" w:eastAsia="宋体" w:hint="default"/>
                <w:sz w:val="15"/>
                <w:szCs w:val="15"/>
              </w:rPr>
            </w:pPr>
            <w:r>
              <w:rPr>
                <w:rFonts w:ascii="宋体" w:hAnsi="宋体" w:cs="宋体" w:eastAsia="宋体" w:hint="default"/>
                <w:sz w:val="15"/>
                <w:szCs w:val="15"/>
              </w:rPr>
              <w:t>海绵城市规划、设计、项目建设运营管理及相关技术咨询服务</w:t>
            </w:r>
          </w:p>
        </w:tc>
      </w:tr>
      <w:tr>
        <w:trPr>
          <w:trHeight w:val="404" w:hRule="exact"/>
        </w:trPr>
        <w:tc>
          <w:tcPr>
            <w:tcW w:w="2319" w:type="dxa"/>
            <w:tcBorders>
              <w:top w:val="nil" w:sz="6" w:space="0" w:color="auto"/>
              <w:left w:val="nil" w:sz="6" w:space="0" w:color="auto"/>
              <w:bottom w:val="single" w:sz="12" w:space="0" w:color="000000"/>
              <w:right w:val="nil" w:sz="6" w:space="0" w:color="auto"/>
            </w:tcBorders>
          </w:tcPr>
          <w:p>
            <w:pPr>
              <w:pStyle w:val="TableParagraph"/>
              <w:spacing w:line="240" w:lineRule="auto" w:before="72"/>
              <w:ind w:left="9" w:right="0"/>
              <w:jc w:val="left"/>
              <w:rPr>
                <w:rFonts w:ascii="宋体" w:hAnsi="宋体" w:cs="宋体" w:eastAsia="宋体" w:hint="default"/>
                <w:sz w:val="15"/>
                <w:szCs w:val="15"/>
              </w:rPr>
            </w:pPr>
            <w:r>
              <w:rPr>
                <w:rFonts w:ascii="宋体" w:hAnsi="宋体" w:cs="宋体" w:eastAsia="宋体" w:hint="default"/>
                <w:sz w:val="15"/>
                <w:szCs w:val="15"/>
              </w:rPr>
              <w:t>河南同盟智慧城市科技有限公司</w:t>
            </w:r>
          </w:p>
        </w:tc>
        <w:tc>
          <w:tcPr>
            <w:tcW w:w="607" w:type="dxa"/>
            <w:tcBorders>
              <w:top w:val="nil" w:sz="6" w:space="0" w:color="auto"/>
              <w:left w:val="nil" w:sz="6" w:space="0" w:color="auto"/>
              <w:bottom w:val="single" w:sz="12" w:space="0" w:color="000000"/>
              <w:right w:val="nil" w:sz="6" w:space="0" w:color="auto"/>
            </w:tcBorders>
          </w:tcPr>
          <w:p>
            <w:pPr>
              <w:pStyle w:val="TableParagraph"/>
              <w:spacing w:line="240" w:lineRule="auto" w:before="72"/>
              <w:ind w:right="22"/>
              <w:jc w:val="right"/>
              <w:rPr>
                <w:rFonts w:ascii="宋体" w:hAnsi="宋体" w:cs="宋体" w:eastAsia="宋体" w:hint="default"/>
                <w:sz w:val="15"/>
                <w:szCs w:val="15"/>
              </w:rPr>
            </w:pPr>
            <w:r>
              <w:rPr>
                <w:rFonts w:ascii="宋体"/>
                <w:spacing w:val="-1"/>
                <w:sz w:val="15"/>
              </w:rPr>
              <w:t>5.00%</w:t>
            </w:r>
          </w:p>
        </w:tc>
        <w:tc>
          <w:tcPr>
            <w:tcW w:w="598" w:type="dxa"/>
            <w:tcBorders>
              <w:top w:val="nil" w:sz="6" w:space="0" w:color="auto"/>
              <w:left w:val="nil" w:sz="6" w:space="0" w:color="auto"/>
              <w:bottom w:val="single" w:sz="12" w:space="0" w:color="000000"/>
              <w:right w:val="nil" w:sz="6" w:space="0" w:color="auto"/>
            </w:tcBorders>
          </w:tcPr>
          <w:p>
            <w:pPr>
              <w:pStyle w:val="TableParagraph"/>
              <w:spacing w:line="240" w:lineRule="auto" w:before="72"/>
              <w:ind w:right="44"/>
              <w:jc w:val="right"/>
              <w:rPr>
                <w:rFonts w:ascii="宋体" w:hAnsi="宋体" w:cs="宋体" w:eastAsia="宋体" w:hint="default"/>
                <w:sz w:val="15"/>
                <w:szCs w:val="15"/>
              </w:rPr>
            </w:pPr>
            <w:r>
              <w:rPr>
                <w:rFonts w:ascii="宋体"/>
                <w:spacing w:val="-1"/>
                <w:sz w:val="15"/>
              </w:rPr>
              <w:t>5.00%</w:t>
            </w:r>
          </w:p>
        </w:tc>
        <w:tc>
          <w:tcPr>
            <w:tcW w:w="700" w:type="dxa"/>
            <w:tcBorders>
              <w:top w:val="nil" w:sz="6" w:space="0" w:color="auto"/>
              <w:left w:val="nil" w:sz="6" w:space="0" w:color="auto"/>
              <w:bottom w:val="single" w:sz="12" w:space="0" w:color="000000"/>
              <w:right w:val="nil" w:sz="6" w:space="0" w:color="auto"/>
            </w:tcBorders>
          </w:tcPr>
          <w:p>
            <w:pPr>
              <w:pStyle w:val="TableParagraph"/>
              <w:spacing w:line="240" w:lineRule="auto" w:before="72"/>
              <w:ind w:right="3"/>
              <w:jc w:val="center"/>
              <w:rPr>
                <w:rFonts w:ascii="宋体" w:hAnsi="宋体" w:cs="宋体" w:eastAsia="宋体" w:hint="default"/>
                <w:sz w:val="15"/>
                <w:szCs w:val="15"/>
              </w:rPr>
            </w:pPr>
            <w:r>
              <w:rPr>
                <w:rFonts w:ascii="宋体" w:hAnsi="宋体" w:cs="宋体" w:eastAsia="宋体" w:hint="default"/>
                <w:sz w:val="15"/>
                <w:szCs w:val="15"/>
              </w:rPr>
              <w:t>河南新乡</w:t>
            </w:r>
          </w:p>
        </w:tc>
        <w:tc>
          <w:tcPr>
            <w:tcW w:w="4340" w:type="dxa"/>
            <w:tcBorders>
              <w:top w:val="nil" w:sz="6" w:space="0" w:color="auto"/>
              <w:left w:val="nil" w:sz="6" w:space="0" w:color="auto"/>
              <w:bottom w:val="single" w:sz="12" w:space="0" w:color="000000"/>
              <w:right w:val="nil" w:sz="6" w:space="0" w:color="auto"/>
            </w:tcBorders>
          </w:tcPr>
          <w:p>
            <w:pPr>
              <w:pStyle w:val="TableParagraph"/>
              <w:spacing w:line="172" w:lineRule="exact"/>
              <w:ind w:left="51" w:right="0"/>
              <w:jc w:val="left"/>
              <w:rPr>
                <w:rFonts w:ascii="宋体" w:hAnsi="宋体" w:cs="宋体" w:eastAsia="宋体" w:hint="default"/>
                <w:sz w:val="15"/>
                <w:szCs w:val="15"/>
              </w:rPr>
            </w:pPr>
            <w:r>
              <w:rPr>
                <w:rFonts w:ascii="宋体" w:hAnsi="宋体" w:cs="宋体" w:eastAsia="宋体" w:hint="default"/>
                <w:sz w:val="15"/>
                <w:szCs w:val="15"/>
              </w:rPr>
              <w:t>信息系统集成服务，数据处理，软件服务，运维服务，计算机系</w:t>
            </w:r>
          </w:p>
          <w:p>
            <w:pPr>
              <w:pStyle w:val="TableParagraph"/>
              <w:spacing w:line="195" w:lineRule="exact"/>
              <w:ind w:left="51" w:right="0"/>
              <w:jc w:val="left"/>
              <w:rPr>
                <w:rFonts w:ascii="宋体" w:hAnsi="宋体" w:cs="宋体" w:eastAsia="宋体" w:hint="default"/>
                <w:sz w:val="15"/>
                <w:szCs w:val="15"/>
              </w:rPr>
            </w:pPr>
            <w:r>
              <w:rPr>
                <w:rFonts w:ascii="宋体" w:hAnsi="宋体" w:cs="宋体" w:eastAsia="宋体" w:hint="default"/>
                <w:sz w:val="15"/>
                <w:szCs w:val="15"/>
              </w:rPr>
              <w:t>统服务</w:t>
            </w:r>
          </w:p>
        </w:tc>
      </w:tr>
    </w:tbl>
    <w:p>
      <w:pPr>
        <w:spacing w:before="81"/>
        <w:ind w:left="695"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8"/>
          <w:sz w:val="22"/>
          <w:szCs w:val="22"/>
        </w:rPr>
        <w:t> </w:t>
      </w:r>
      <w:r>
        <w:rPr>
          <w:rFonts w:ascii="宋体" w:hAnsi="宋体" w:cs="宋体" w:eastAsia="宋体" w:hint="default"/>
          <w:sz w:val="22"/>
          <w:szCs w:val="22"/>
        </w:rPr>
        <w:t>重要的合营企业的主要财务信息</w:t>
      </w:r>
    </w:p>
    <w:p>
      <w:pPr>
        <w:spacing w:line="240" w:lineRule="auto" w:before="11"/>
        <w:rPr>
          <w:rFonts w:ascii="宋体" w:hAnsi="宋体" w:cs="宋体" w:eastAsia="宋体" w:hint="default"/>
          <w:sz w:val="12"/>
          <w:szCs w:val="12"/>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4162;height:2" coordorigin="14,14" coordsize="4162,2">
              <v:shape style="position:absolute;left:14;top:14;width:4162;height:2" coordorigin="14,14" coordsize="4162,0" path="m14,14l4176,14e" filled="false" stroked="true" strokeweight="1.44pt" strokecolor="#000000">
                <v:path arrowok="t"/>
              </v:shape>
            </v:group>
            <v:group style="position:absolute;left:4177;top:14;width:29;height:2" coordorigin="4177,14" coordsize="29,2">
              <v:shape style="position:absolute;left:4177;top:14;width:29;height:2" coordorigin="4177,14" coordsize="29,0" path="m4177,14l4205,14e" filled="false" stroked="true" strokeweight="1.44pt" strokecolor="#000000">
                <v:path arrowok="t"/>
              </v:shape>
            </v:group>
            <v:group style="position:absolute;left:4205;top:14;width:2331;height:2" coordorigin="4205,14" coordsize="2331,2">
              <v:shape style="position:absolute;left:4205;top:14;width:2331;height:2" coordorigin="4205,14" coordsize="2331,0" path="m4205,14l6536,14e" filled="false" stroked="true" strokeweight="1.44pt" strokecolor="#000000">
                <v:path arrowok="t"/>
              </v:shape>
            </v:group>
            <v:group style="position:absolute;left:6536;top:14;width:29;height:2" coordorigin="6536,14" coordsize="29,2">
              <v:shape style="position:absolute;left:6536;top:14;width:29;height:2" coordorigin="6536,14" coordsize="29,0" path="m6536,14l6565,14e" filled="false" stroked="true" strokeweight="1.44pt" strokecolor="#000000">
                <v:path arrowok="t"/>
              </v:shape>
            </v:group>
            <v:group style="position:absolute;left:6565;top:14;width:2175;height:2" coordorigin="6565,14" coordsize="2175,2">
              <v:shape style="position:absolute;left:6565;top:14;width:2175;height:2" coordorigin="6565,14" coordsize="2175,0" path="m6565,14l8740,14e" filled="false" stroked="true" strokeweight="1.44pt" strokecolor="#000000">
                <v:path arrowok="t"/>
              </v:shape>
            </v:group>
          </v:group>
        </w:pict>
      </w:r>
      <w:r>
        <w:rPr>
          <w:rFonts w:ascii="宋体" w:hAnsi="宋体" w:cs="宋体" w:eastAsia="宋体" w:hint="default"/>
          <w:position w:val="0"/>
          <w:sz w:val="2"/>
          <w:szCs w:val="2"/>
        </w:rPr>
      </w:r>
    </w:p>
    <w:p>
      <w:pPr>
        <w:tabs>
          <w:tab w:pos="6804" w:val="left" w:leader="none"/>
        </w:tabs>
        <w:spacing w:line="233" w:lineRule="exact" w:before="0"/>
        <w:ind w:left="4524" w:right="0" w:firstLine="0"/>
        <w:jc w:val="left"/>
        <w:rPr>
          <w:rFonts w:ascii="宋体" w:hAnsi="宋体" w:cs="宋体" w:eastAsia="宋体" w:hint="default"/>
          <w:sz w:val="18"/>
          <w:szCs w:val="18"/>
        </w:rPr>
      </w:pPr>
      <w:r>
        <w:rPr/>
        <w:pict>
          <v:shape style="position:absolute;margin-left:79.704002pt;margin-top:9.945625pt;width:436.3pt;height:365.5pt;mso-position-horizontal-relative:page;mso-position-vertical-relative:paragraph;z-index:4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79"/>
                    <w:gridCol w:w="2381"/>
                    <w:gridCol w:w="2165"/>
                  </w:tblGrid>
                  <w:tr>
                    <w:trPr>
                      <w:trHeight w:val="385" w:hRule="exact"/>
                    </w:trPr>
                    <w:tc>
                      <w:tcPr>
                        <w:tcW w:w="8725" w:type="dxa"/>
                        <w:gridSpan w:val="3"/>
                        <w:tcBorders>
                          <w:top w:val="nil" w:sz="6" w:space="0" w:color="auto"/>
                          <w:left w:val="nil" w:sz="6" w:space="0" w:color="auto"/>
                          <w:bottom w:val="nil" w:sz="6" w:space="0" w:color="auto"/>
                          <w:right w:val="nil" w:sz="6" w:space="0" w:color="auto"/>
                        </w:tcBorders>
                      </w:tcPr>
                      <w:p>
                        <w:pPr>
                          <w:pStyle w:val="TableParagraph"/>
                          <w:spacing w:line="13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pStyle w:val="TableParagraph"/>
                          <w:spacing w:line="192" w:lineRule="exact"/>
                          <w:ind w:left="5499" w:right="0"/>
                          <w:jc w:val="left"/>
                          <w:rPr>
                            <w:rFonts w:ascii="宋体" w:hAnsi="宋体" w:cs="宋体" w:eastAsia="宋体" w:hint="default"/>
                            <w:sz w:val="18"/>
                            <w:szCs w:val="18"/>
                          </w:rPr>
                        </w:pPr>
                        <w:r>
                          <w:rPr>
                            <w:rFonts w:ascii="宋体" w:hAnsi="宋体" w:cs="宋体" w:eastAsia="宋体" w:hint="default"/>
                            <w:b/>
                            <w:bCs/>
                            <w:spacing w:val="-23"/>
                            <w:sz w:val="18"/>
                            <w:szCs w:val="18"/>
                          </w:rPr>
                          <w:t>同方全球人寿保险有限公司</w:t>
                        </w:r>
                        <w:r>
                          <w:rPr>
                            <w:rFonts w:ascii="宋体" w:hAnsi="宋体" w:cs="宋体" w:eastAsia="宋体" w:hint="default"/>
                            <w:spacing w:val="-23"/>
                            <w:sz w:val="18"/>
                            <w:szCs w:val="18"/>
                          </w:rPr>
                        </w:r>
                      </w:p>
                    </w:tc>
                  </w:tr>
                  <w:tr>
                    <w:trPr>
                      <w:trHeight w:val="288" w:hRule="exact"/>
                    </w:trPr>
                    <w:tc>
                      <w:tcPr>
                        <w:tcW w:w="4179"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81" w:type="dxa"/>
                        <w:tcBorders>
                          <w:top w:val="single" w:sz="4" w:space="0" w:color="000000"/>
                          <w:left w:val="nil" w:sz="6" w:space="0" w:color="auto"/>
                          <w:bottom w:val="nil" w:sz="6" w:space="0" w:color="auto"/>
                          <w:right w:val="nil" w:sz="6" w:space="0" w:color="auto"/>
                        </w:tcBorders>
                      </w:tcPr>
                      <w:p>
                        <w:pPr>
                          <w:pStyle w:val="TableParagraph"/>
                          <w:spacing w:line="232" w:lineRule="exact"/>
                          <w:ind w:right="146"/>
                          <w:jc w:val="right"/>
                          <w:rPr>
                            <w:rFonts w:ascii="宋体" w:hAnsi="宋体" w:cs="宋体" w:eastAsia="宋体" w:hint="default"/>
                            <w:sz w:val="18"/>
                            <w:szCs w:val="18"/>
                          </w:rPr>
                        </w:pPr>
                        <w:r>
                          <w:rPr>
                            <w:rFonts w:ascii="宋体"/>
                            <w:spacing w:val="-1"/>
                            <w:sz w:val="18"/>
                          </w:rPr>
                          <w:t>768,940,363.00</w:t>
                        </w:r>
                      </w:p>
                    </w:tc>
                    <w:tc>
                      <w:tcPr>
                        <w:tcW w:w="2165" w:type="dxa"/>
                        <w:tcBorders>
                          <w:top w:val="single" w:sz="4" w:space="0" w:color="000000"/>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641,600,504.00</w:t>
                        </w:r>
                      </w:p>
                    </w:tc>
                  </w:tr>
                  <w:tr>
                    <w:trPr>
                      <w:trHeight w:val="285"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81" w:type="dxa"/>
                        <w:tcBorders>
                          <w:top w:val="nil" w:sz="6" w:space="0" w:color="auto"/>
                          <w:left w:val="nil" w:sz="6" w:space="0" w:color="auto"/>
                          <w:bottom w:val="nil" w:sz="6" w:space="0" w:color="auto"/>
                          <w:right w:val="nil" w:sz="6" w:space="0" w:color="auto"/>
                        </w:tcBorders>
                      </w:tcPr>
                      <w:p>
                        <w:pPr>
                          <w:pStyle w:val="TableParagraph"/>
                          <w:spacing w:line="232" w:lineRule="exact"/>
                          <w:ind w:right="146"/>
                          <w:jc w:val="right"/>
                          <w:rPr>
                            <w:rFonts w:ascii="宋体" w:hAnsi="宋体" w:cs="宋体" w:eastAsia="宋体" w:hint="default"/>
                            <w:sz w:val="18"/>
                            <w:szCs w:val="18"/>
                          </w:rPr>
                        </w:pPr>
                        <w:r>
                          <w:rPr>
                            <w:rFonts w:ascii="宋体"/>
                            <w:spacing w:val="-1"/>
                            <w:sz w:val="18"/>
                          </w:rPr>
                          <w:t>11,629,724,467.00</w:t>
                        </w:r>
                      </w:p>
                    </w:tc>
                    <w:tc>
                      <w:tcPr>
                        <w:tcW w:w="2165"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11,285,927,224.00</w:t>
                        </w:r>
                      </w:p>
                    </w:tc>
                  </w:tr>
                  <w:tr>
                    <w:trPr>
                      <w:trHeight w:val="285"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381" w:type="dxa"/>
                        <w:tcBorders>
                          <w:top w:val="nil" w:sz="6" w:space="0" w:color="auto"/>
                          <w:left w:val="nil" w:sz="6" w:space="0" w:color="auto"/>
                          <w:bottom w:val="nil" w:sz="6" w:space="0" w:color="auto"/>
                          <w:right w:val="nil" w:sz="6" w:space="0" w:color="auto"/>
                        </w:tcBorders>
                      </w:tcPr>
                      <w:p>
                        <w:pPr>
                          <w:pStyle w:val="TableParagraph"/>
                          <w:spacing w:line="233" w:lineRule="exact"/>
                          <w:ind w:right="146"/>
                          <w:jc w:val="right"/>
                          <w:rPr>
                            <w:rFonts w:ascii="宋体" w:hAnsi="宋体" w:cs="宋体" w:eastAsia="宋体" w:hint="default"/>
                            <w:sz w:val="18"/>
                            <w:szCs w:val="18"/>
                          </w:rPr>
                        </w:pPr>
                        <w:r>
                          <w:rPr>
                            <w:rFonts w:ascii="宋体"/>
                            <w:spacing w:val="-1"/>
                            <w:sz w:val="18"/>
                          </w:rPr>
                          <w:t>12,398,664,830.00</w:t>
                        </w:r>
                      </w:p>
                    </w:tc>
                    <w:tc>
                      <w:tcPr>
                        <w:tcW w:w="2165"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11,927,527,728.00</w:t>
                        </w:r>
                      </w:p>
                    </w:tc>
                  </w:tr>
                  <w:tr>
                    <w:trPr>
                      <w:trHeight w:val="283"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81" w:type="dxa"/>
                        <w:tcBorders>
                          <w:top w:val="nil" w:sz="6" w:space="0" w:color="auto"/>
                          <w:left w:val="nil" w:sz="6" w:space="0" w:color="auto"/>
                          <w:bottom w:val="nil" w:sz="6" w:space="0" w:color="auto"/>
                          <w:right w:val="nil" w:sz="6" w:space="0" w:color="auto"/>
                        </w:tcBorders>
                      </w:tcPr>
                      <w:p>
                        <w:pPr>
                          <w:pStyle w:val="TableParagraph"/>
                          <w:spacing w:line="232" w:lineRule="exact"/>
                          <w:ind w:right="146"/>
                          <w:jc w:val="right"/>
                          <w:rPr>
                            <w:rFonts w:ascii="宋体" w:hAnsi="宋体" w:cs="宋体" w:eastAsia="宋体" w:hint="default"/>
                            <w:sz w:val="18"/>
                            <w:szCs w:val="18"/>
                          </w:rPr>
                        </w:pPr>
                        <w:r>
                          <w:rPr>
                            <w:rFonts w:ascii="宋体"/>
                            <w:spacing w:val="-1"/>
                            <w:sz w:val="18"/>
                          </w:rPr>
                          <w:t>9,678,131,902.00</w:t>
                        </w:r>
                      </w:p>
                    </w:tc>
                    <w:tc>
                      <w:tcPr>
                        <w:tcW w:w="2165"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9,965,915,788.00</w:t>
                        </w:r>
                      </w:p>
                    </w:tc>
                  </w:tr>
                  <w:tr>
                    <w:trPr>
                      <w:trHeight w:val="284"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381" w:type="dxa"/>
                        <w:tcBorders>
                          <w:top w:val="nil" w:sz="6" w:space="0" w:color="auto"/>
                          <w:left w:val="nil" w:sz="6" w:space="0" w:color="auto"/>
                          <w:bottom w:val="nil" w:sz="6" w:space="0" w:color="auto"/>
                          <w:right w:val="nil" w:sz="6" w:space="0" w:color="auto"/>
                        </w:tcBorders>
                      </w:tcPr>
                      <w:p>
                        <w:pPr>
                          <w:pStyle w:val="TableParagraph"/>
                          <w:spacing w:line="232" w:lineRule="exact"/>
                          <w:ind w:right="146"/>
                          <w:jc w:val="right"/>
                          <w:rPr>
                            <w:rFonts w:ascii="宋体" w:hAnsi="宋体" w:cs="宋体" w:eastAsia="宋体" w:hint="default"/>
                            <w:sz w:val="18"/>
                            <w:szCs w:val="18"/>
                          </w:rPr>
                        </w:pPr>
                        <w:r>
                          <w:rPr>
                            <w:rFonts w:ascii="宋体"/>
                            <w:spacing w:val="-1"/>
                            <w:sz w:val="18"/>
                          </w:rPr>
                          <w:t>1,467,267,889.00</w:t>
                        </w:r>
                      </w:p>
                    </w:tc>
                    <w:tc>
                      <w:tcPr>
                        <w:tcW w:w="2165"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1,032,718,705.00</w:t>
                        </w:r>
                      </w:p>
                    </w:tc>
                  </w:tr>
                  <w:tr>
                    <w:trPr>
                      <w:trHeight w:val="284"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381" w:type="dxa"/>
                        <w:tcBorders>
                          <w:top w:val="nil" w:sz="6" w:space="0" w:color="auto"/>
                          <w:left w:val="nil" w:sz="6" w:space="0" w:color="auto"/>
                          <w:bottom w:val="nil" w:sz="6" w:space="0" w:color="auto"/>
                          <w:right w:val="nil" w:sz="6" w:space="0" w:color="auto"/>
                        </w:tcBorders>
                      </w:tcPr>
                      <w:p>
                        <w:pPr>
                          <w:pStyle w:val="TableParagraph"/>
                          <w:spacing w:line="233" w:lineRule="exact"/>
                          <w:ind w:right="146"/>
                          <w:jc w:val="right"/>
                          <w:rPr>
                            <w:rFonts w:ascii="宋体" w:hAnsi="宋体" w:cs="宋体" w:eastAsia="宋体" w:hint="default"/>
                            <w:sz w:val="18"/>
                            <w:szCs w:val="18"/>
                          </w:rPr>
                        </w:pPr>
                        <w:r>
                          <w:rPr>
                            <w:rFonts w:ascii="宋体"/>
                            <w:spacing w:val="-1"/>
                            <w:sz w:val="18"/>
                          </w:rPr>
                          <w:t>11,145,399,791.00</w:t>
                        </w:r>
                      </w:p>
                    </w:tc>
                    <w:tc>
                      <w:tcPr>
                        <w:tcW w:w="2165"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10,998,634,493.00</w:t>
                        </w:r>
                      </w:p>
                    </w:tc>
                  </w:tr>
                  <w:tr>
                    <w:trPr>
                      <w:trHeight w:val="283"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381" w:type="dxa"/>
                        <w:tcBorders>
                          <w:top w:val="nil" w:sz="6" w:space="0" w:color="auto"/>
                          <w:left w:val="nil" w:sz="6" w:space="0" w:color="auto"/>
                          <w:bottom w:val="nil" w:sz="6" w:space="0" w:color="auto"/>
                          <w:right w:val="nil" w:sz="6" w:space="0" w:color="auto"/>
                        </w:tcBorders>
                      </w:tcPr>
                      <w:p>
                        <w:pPr>
                          <w:pStyle w:val="TableParagraph"/>
                          <w:spacing w:line="232" w:lineRule="exact"/>
                          <w:ind w:right="145"/>
                          <w:jc w:val="right"/>
                          <w:rPr>
                            <w:rFonts w:ascii="宋体" w:hAnsi="宋体" w:cs="宋体" w:eastAsia="宋体" w:hint="default"/>
                            <w:sz w:val="18"/>
                            <w:szCs w:val="18"/>
                          </w:rPr>
                        </w:pPr>
                        <w:r>
                          <w:rPr>
                            <w:rFonts w:ascii="宋体"/>
                            <w:sz w:val="18"/>
                          </w:rPr>
                          <w:t>0.00</w:t>
                        </w:r>
                      </w:p>
                    </w:tc>
                    <w:tc>
                      <w:tcPr>
                        <w:tcW w:w="216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4"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381" w:type="dxa"/>
                        <w:tcBorders>
                          <w:top w:val="nil" w:sz="6" w:space="0" w:color="auto"/>
                          <w:left w:val="nil" w:sz="6" w:space="0" w:color="auto"/>
                          <w:bottom w:val="nil" w:sz="6" w:space="0" w:color="auto"/>
                          <w:right w:val="nil" w:sz="6" w:space="0" w:color="auto"/>
                        </w:tcBorders>
                      </w:tcPr>
                      <w:p>
                        <w:pPr>
                          <w:pStyle w:val="TableParagraph"/>
                          <w:spacing w:line="232" w:lineRule="exact"/>
                          <w:ind w:right="146"/>
                          <w:jc w:val="right"/>
                          <w:rPr>
                            <w:rFonts w:ascii="宋体" w:hAnsi="宋体" w:cs="宋体" w:eastAsia="宋体" w:hint="default"/>
                            <w:sz w:val="18"/>
                            <w:szCs w:val="18"/>
                          </w:rPr>
                        </w:pPr>
                        <w:r>
                          <w:rPr>
                            <w:rFonts w:ascii="宋体"/>
                            <w:spacing w:val="-1"/>
                            <w:sz w:val="18"/>
                          </w:rPr>
                          <w:t>1,253,265,039.00</w:t>
                        </w:r>
                      </w:p>
                    </w:tc>
                    <w:tc>
                      <w:tcPr>
                        <w:tcW w:w="2165"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928,893,235.00</w:t>
                        </w:r>
                      </w:p>
                    </w:tc>
                  </w:tr>
                  <w:tr>
                    <w:trPr>
                      <w:trHeight w:val="284"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81" w:type="dxa"/>
                        <w:tcBorders>
                          <w:top w:val="nil" w:sz="6" w:space="0" w:color="auto"/>
                          <w:left w:val="nil" w:sz="6" w:space="0" w:color="auto"/>
                          <w:bottom w:val="nil" w:sz="6" w:space="0" w:color="auto"/>
                          <w:right w:val="nil" w:sz="6" w:space="0" w:color="auto"/>
                        </w:tcBorders>
                      </w:tcPr>
                      <w:p>
                        <w:pPr>
                          <w:pStyle w:val="TableParagraph"/>
                          <w:spacing w:line="233" w:lineRule="exact"/>
                          <w:ind w:right="146"/>
                          <w:jc w:val="right"/>
                          <w:rPr>
                            <w:rFonts w:ascii="宋体" w:hAnsi="宋体" w:cs="宋体" w:eastAsia="宋体" w:hint="default"/>
                            <w:sz w:val="18"/>
                            <w:szCs w:val="18"/>
                          </w:rPr>
                        </w:pPr>
                        <w:r>
                          <w:rPr>
                            <w:rFonts w:ascii="宋体"/>
                            <w:spacing w:val="-1"/>
                            <w:sz w:val="18"/>
                          </w:rPr>
                          <w:t>3,958,634,497.00</w:t>
                        </w:r>
                      </w:p>
                    </w:tc>
                    <w:tc>
                      <w:tcPr>
                        <w:tcW w:w="2165"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2,987,204,643.00</w:t>
                        </w:r>
                      </w:p>
                    </w:tc>
                  </w:tr>
                  <w:tr>
                    <w:trPr>
                      <w:trHeight w:val="283"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381" w:type="dxa"/>
                        <w:tcBorders>
                          <w:top w:val="nil" w:sz="6" w:space="0" w:color="auto"/>
                          <w:left w:val="nil" w:sz="6" w:space="0" w:color="auto"/>
                          <w:bottom w:val="nil" w:sz="6" w:space="0" w:color="auto"/>
                          <w:right w:val="nil" w:sz="6" w:space="0" w:color="auto"/>
                        </w:tcBorders>
                      </w:tcPr>
                      <w:p>
                        <w:pPr>
                          <w:pStyle w:val="TableParagraph"/>
                          <w:spacing w:line="232" w:lineRule="exact"/>
                          <w:ind w:right="146"/>
                          <w:jc w:val="right"/>
                          <w:rPr>
                            <w:rFonts w:ascii="宋体" w:hAnsi="宋体" w:cs="宋体" w:eastAsia="宋体" w:hint="default"/>
                            <w:sz w:val="18"/>
                            <w:szCs w:val="18"/>
                          </w:rPr>
                        </w:pPr>
                        <w:r>
                          <w:rPr>
                            <w:rFonts w:ascii="宋体"/>
                            <w:spacing w:val="-1"/>
                            <w:sz w:val="18"/>
                          </w:rPr>
                          <w:t>132,568,430.00</w:t>
                        </w:r>
                      </w:p>
                    </w:tc>
                    <w:tc>
                      <w:tcPr>
                        <w:tcW w:w="2165"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4,605,630.00</w:t>
                        </w:r>
                      </w:p>
                    </w:tc>
                  </w:tr>
                  <w:tr>
                    <w:trPr>
                      <w:trHeight w:val="284"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归属于母公司所有者的其他综合收益</w:t>
                        </w:r>
                      </w:p>
                    </w:tc>
                    <w:tc>
                      <w:tcPr>
                        <w:tcW w:w="2381" w:type="dxa"/>
                        <w:tcBorders>
                          <w:top w:val="nil" w:sz="6" w:space="0" w:color="auto"/>
                          <w:left w:val="nil" w:sz="6" w:space="0" w:color="auto"/>
                          <w:bottom w:val="nil" w:sz="6" w:space="0" w:color="auto"/>
                          <w:right w:val="nil" w:sz="6" w:space="0" w:color="auto"/>
                        </w:tcBorders>
                      </w:tcPr>
                      <w:p>
                        <w:pPr>
                          <w:pStyle w:val="TableParagraph"/>
                          <w:spacing w:line="232" w:lineRule="exact"/>
                          <w:ind w:right="146"/>
                          <w:jc w:val="right"/>
                          <w:rPr>
                            <w:rFonts w:ascii="宋体" w:hAnsi="宋体" w:cs="宋体" w:eastAsia="宋体" w:hint="default"/>
                            <w:sz w:val="18"/>
                            <w:szCs w:val="18"/>
                          </w:rPr>
                        </w:pPr>
                        <w:r>
                          <w:rPr>
                            <w:rFonts w:ascii="宋体"/>
                            <w:spacing w:val="-1"/>
                            <w:sz w:val="18"/>
                          </w:rPr>
                          <w:t>191,803,374.00</w:t>
                        </w:r>
                      </w:p>
                    </w:tc>
                    <w:tc>
                      <w:tcPr>
                        <w:tcW w:w="2165"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-234,900,644.00</w:t>
                        </w:r>
                      </w:p>
                    </w:tc>
                  </w:tr>
                  <w:tr>
                    <w:trPr>
                      <w:trHeight w:val="301" w:hRule="exact"/>
                    </w:trPr>
                    <w:tc>
                      <w:tcPr>
                        <w:tcW w:w="4179" w:type="dxa"/>
                        <w:tcBorders>
                          <w:top w:val="nil" w:sz="6" w:space="0" w:color="auto"/>
                          <w:left w:val="nil" w:sz="6" w:space="0" w:color="auto"/>
                          <w:bottom w:val="single" w:sz="1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381" w:type="dxa"/>
                        <w:tcBorders>
                          <w:top w:val="nil" w:sz="6" w:space="0" w:color="auto"/>
                          <w:left w:val="nil" w:sz="6" w:space="0" w:color="auto"/>
                          <w:bottom w:val="single" w:sz="12" w:space="0" w:color="000000"/>
                          <w:right w:val="nil" w:sz="6" w:space="0" w:color="auto"/>
                        </w:tcBorders>
                      </w:tcPr>
                      <w:p>
                        <w:pPr>
                          <w:pStyle w:val="TableParagraph"/>
                          <w:spacing w:line="233" w:lineRule="exact"/>
                          <w:ind w:right="146"/>
                          <w:jc w:val="right"/>
                          <w:rPr>
                            <w:rFonts w:ascii="宋体" w:hAnsi="宋体" w:cs="宋体" w:eastAsia="宋体" w:hint="default"/>
                            <w:sz w:val="18"/>
                            <w:szCs w:val="18"/>
                          </w:rPr>
                        </w:pPr>
                        <w:r>
                          <w:rPr>
                            <w:rFonts w:ascii="宋体"/>
                            <w:spacing w:val="-1"/>
                            <w:sz w:val="18"/>
                          </w:rPr>
                          <w:t>324,371,804.00</w:t>
                        </w:r>
                      </w:p>
                    </w:tc>
                    <w:tc>
                      <w:tcPr>
                        <w:tcW w:w="2165" w:type="dxa"/>
                        <w:tcBorders>
                          <w:top w:val="nil" w:sz="6" w:space="0" w:color="auto"/>
                          <w:left w:val="nil" w:sz="6" w:space="0" w:color="auto"/>
                          <w:bottom w:val="single" w:sz="12" w:space="0" w:color="000000"/>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-230,295,014.00</w:t>
                        </w:r>
                      </w:p>
                    </w:tc>
                  </w:tr>
                  <w:tr>
                    <w:trPr>
                      <w:trHeight w:val="566" w:hRule="exact"/>
                    </w:trPr>
                    <w:tc>
                      <w:tcPr>
                        <w:tcW w:w="4179" w:type="dxa"/>
                        <w:tcBorders>
                          <w:top w:val="single" w:sz="12" w:space="0" w:color="000000"/>
                          <w:left w:val="nil" w:sz="6" w:space="0" w:color="auto"/>
                          <w:bottom w:val="single" w:sz="12" w:space="0" w:color="000000"/>
                          <w:right w:val="nil" w:sz="6" w:space="0" w:color="auto"/>
                        </w:tcBorders>
                      </w:tcPr>
                      <w:p>
                        <w:pPr>
                          <w:pStyle w:val="TableParagraph"/>
                          <w:spacing w:line="240" w:lineRule="auto" w:before="81"/>
                          <w:ind w:left="561" w:right="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8"/>
                            <w:sz w:val="22"/>
                            <w:szCs w:val="22"/>
                          </w:rPr>
                          <w:t> </w:t>
                        </w:r>
                        <w:r>
                          <w:rPr>
                            <w:rFonts w:ascii="宋体" w:hAnsi="宋体" w:cs="宋体" w:eastAsia="宋体" w:hint="default"/>
                            <w:sz w:val="22"/>
                            <w:szCs w:val="22"/>
                          </w:rPr>
                          <w:t>重要的联营企业的主要财务信息</w:t>
                        </w:r>
                      </w:p>
                    </w:tc>
                    <w:tc>
                      <w:tcPr>
                        <w:tcW w:w="2381" w:type="dxa"/>
                        <w:tcBorders>
                          <w:top w:val="single" w:sz="12" w:space="0" w:color="000000"/>
                          <w:left w:val="nil" w:sz="6" w:space="0" w:color="auto"/>
                          <w:bottom w:val="single" w:sz="12" w:space="0" w:color="000000"/>
                          <w:right w:val="nil" w:sz="6" w:space="0" w:color="auto"/>
                        </w:tcBorders>
                      </w:tcPr>
                      <w:p>
                        <w:pPr/>
                      </w:p>
                    </w:tc>
                    <w:tc>
                      <w:tcPr>
                        <w:tcW w:w="2165" w:type="dxa"/>
                        <w:tcBorders>
                          <w:top w:val="single" w:sz="12" w:space="0" w:color="000000"/>
                          <w:left w:val="nil" w:sz="6" w:space="0" w:color="auto"/>
                          <w:bottom w:val="single" w:sz="12" w:space="0" w:color="000000"/>
                          <w:right w:val="nil" w:sz="6" w:space="0" w:color="auto"/>
                        </w:tcBorders>
                      </w:tcPr>
                      <w:p>
                        <w:pPr/>
                      </w:p>
                    </w:tc>
                  </w:tr>
                  <w:tr>
                    <w:trPr>
                      <w:trHeight w:val="305" w:hRule="exact"/>
                    </w:trPr>
                    <w:tc>
                      <w:tcPr>
                        <w:tcW w:w="4179" w:type="dxa"/>
                        <w:tcBorders>
                          <w:top w:val="single" w:sz="12" w:space="0" w:color="000000"/>
                          <w:left w:val="nil" w:sz="6" w:space="0" w:color="auto"/>
                          <w:bottom w:val="nil" w:sz="6" w:space="0" w:color="auto"/>
                          <w:right w:val="nil" w:sz="6" w:space="0" w:color="auto"/>
                        </w:tcBorders>
                      </w:tcPr>
                      <w:p>
                        <w:pPr/>
                      </w:p>
                    </w:tc>
                    <w:tc>
                      <w:tcPr>
                        <w:tcW w:w="238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33" w:right="0"/>
                          <w:jc w:val="left"/>
                          <w:rPr>
                            <w:rFonts w:ascii="宋体" w:hAnsi="宋体" w:cs="宋体" w:eastAsia="宋体" w:hint="default"/>
                            <w:sz w:val="18"/>
                            <w:szCs w:val="18"/>
                          </w:rPr>
                        </w:pPr>
                        <w:r>
                          <w:rPr>
                            <w:rFonts w:ascii="宋体" w:hAnsi="宋体" w:cs="宋体" w:eastAsia="宋体" w:hint="default"/>
                            <w:b/>
                            <w:bCs/>
                            <w:sz w:val="18"/>
                            <w:szCs w:val="18"/>
                          </w:rPr>
                          <w:t>年末余额 </w:t>
                        </w:r>
                        <w:r>
                          <w:rPr>
                            <w:rFonts w:ascii="宋体" w:hAnsi="宋体" w:cs="宋体" w:eastAsia="宋体" w:hint="default"/>
                            <w:b/>
                            <w:bCs/>
                            <w:sz w:val="18"/>
                            <w:szCs w:val="18"/>
                          </w:rPr>
                          <w:t>/</w:t>
                        </w:r>
                        <w:r>
                          <w:rPr>
                            <w:rFonts w:ascii="宋体" w:hAnsi="宋体" w:cs="宋体" w:eastAsia="宋体" w:hint="default"/>
                            <w:b/>
                            <w:bCs/>
                            <w:spacing w:val="-3"/>
                            <w:sz w:val="18"/>
                            <w:szCs w:val="18"/>
                          </w:rPr>
                          <w:t> </w:t>
                        </w: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165"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139"/>
                          <w:jc w:val="right"/>
                          <w:rPr>
                            <w:rFonts w:ascii="宋体" w:hAnsi="宋体" w:cs="宋体" w:eastAsia="宋体" w:hint="default"/>
                            <w:sz w:val="18"/>
                            <w:szCs w:val="18"/>
                          </w:rPr>
                        </w:pPr>
                        <w:r>
                          <w:rPr>
                            <w:rFonts w:ascii="宋体" w:hAnsi="宋体" w:cs="宋体" w:eastAsia="宋体" w:hint="default"/>
                            <w:b/>
                            <w:bCs/>
                            <w:sz w:val="18"/>
                            <w:szCs w:val="18"/>
                          </w:rPr>
                          <w:t>年初余额 </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6" w:hRule="exact"/>
                    </w:trPr>
                    <w:tc>
                      <w:tcPr>
                        <w:tcW w:w="872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
                          <w:ind w:left="5367" w:right="0"/>
                          <w:jc w:val="left"/>
                          <w:rPr>
                            <w:rFonts w:ascii="宋体" w:hAnsi="宋体" w:cs="宋体" w:eastAsia="宋体" w:hint="default"/>
                            <w:sz w:val="18"/>
                            <w:szCs w:val="18"/>
                          </w:rPr>
                        </w:pPr>
                        <w:r>
                          <w:rPr>
                            <w:rFonts w:ascii="宋体" w:hAnsi="宋体" w:cs="宋体" w:eastAsia="宋体" w:hint="default"/>
                            <w:b/>
                            <w:bCs/>
                            <w:sz w:val="18"/>
                            <w:szCs w:val="18"/>
                          </w:rPr>
                          <w:t>同方国信投资控股有限公司</w:t>
                        </w:r>
                        <w:r>
                          <w:rPr>
                            <w:rFonts w:ascii="宋体" w:hAnsi="宋体" w:cs="宋体" w:eastAsia="宋体" w:hint="default"/>
                            <w:sz w:val="18"/>
                            <w:szCs w:val="18"/>
                          </w:rPr>
                        </w:r>
                      </w:p>
                    </w:tc>
                  </w:tr>
                  <w:tr>
                    <w:trPr>
                      <w:trHeight w:val="288" w:hRule="exact"/>
                    </w:trPr>
                    <w:tc>
                      <w:tcPr>
                        <w:tcW w:w="4179"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81" w:type="dxa"/>
                        <w:tcBorders>
                          <w:top w:val="single" w:sz="4" w:space="0" w:color="000000"/>
                          <w:left w:val="nil" w:sz="6" w:space="0" w:color="auto"/>
                          <w:bottom w:val="nil" w:sz="6" w:space="0" w:color="auto"/>
                          <w:right w:val="nil" w:sz="6" w:space="0" w:color="auto"/>
                        </w:tcBorders>
                      </w:tcPr>
                      <w:p>
                        <w:pPr>
                          <w:pStyle w:val="TableParagraph"/>
                          <w:spacing w:line="232" w:lineRule="exact"/>
                          <w:ind w:right="122"/>
                          <w:jc w:val="right"/>
                          <w:rPr>
                            <w:rFonts w:ascii="宋体" w:hAnsi="宋体" w:cs="宋体" w:eastAsia="宋体" w:hint="default"/>
                            <w:sz w:val="18"/>
                            <w:szCs w:val="18"/>
                          </w:rPr>
                        </w:pPr>
                        <w:r>
                          <w:rPr>
                            <w:rFonts w:ascii="宋体"/>
                            <w:spacing w:val="-1"/>
                            <w:sz w:val="18"/>
                          </w:rPr>
                          <w:t>59,933,536,018.57</w:t>
                        </w:r>
                      </w:p>
                    </w:tc>
                    <w:tc>
                      <w:tcPr>
                        <w:tcW w:w="2165" w:type="dxa"/>
                        <w:tcBorders>
                          <w:top w:val="single" w:sz="4" w:space="0" w:color="000000"/>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pacing w:val="-1"/>
                            <w:sz w:val="18"/>
                          </w:rPr>
                          <w:t>74,535,042,473.79</w:t>
                        </w:r>
                      </w:p>
                    </w:tc>
                  </w:tr>
                  <w:tr>
                    <w:trPr>
                      <w:trHeight w:val="284"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81" w:type="dxa"/>
                        <w:tcBorders>
                          <w:top w:val="nil" w:sz="6" w:space="0" w:color="auto"/>
                          <w:left w:val="nil" w:sz="6" w:space="0" w:color="auto"/>
                          <w:bottom w:val="nil" w:sz="6" w:space="0" w:color="auto"/>
                          <w:right w:val="nil" w:sz="6" w:space="0" w:color="auto"/>
                        </w:tcBorders>
                      </w:tcPr>
                      <w:p>
                        <w:pPr>
                          <w:pStyle w:val="TableParagraph"/>
                          <w:spacing w:line="232" w:lineRule="exact"/>
                          <w:ind w:right="123"/>
                          <w:jc w:val="right"/>
                          <w:rPr>
                            <w:rFonts w:ascii="宋体" w:hAnsi="宋体" w:cs="宋体" w:eastAsia="宋体" w:hint="default"/>
                            <w:sz w:val="18"/>
                            <w:szCs w:val="18"/>
                          </w:rPr>
                        </w:pPr>
                        <w:r>
                          <w:rPr>
                            <w:rFonts w:ascii="宋体"/>
                            <w:spacing w:val="-1"/>
                            <w:sz w:val="18"/>
                          </w:rPr>
                          <w:t>218,379,087,293.17</w:t>
                        </w:r>
                      </w:p>
                    </w:tc>
                    <w:tc>
                      <w:tcPr>
                        <w:tcW w:w="216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pacing w:val="-1"/>
                            <w:sz w:val="18"/>
                          </w:rPr>
                          <w:t>197,144,231,415.21</w:t>
                        </w:r>
                      </w:p>
                    </w:tc>
                  </w:tr>
                  <w:tr>
                    <w:trPr>
                      <w:trHeight w:val="286"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381" w:type="dxa"/>
                        <w:tcBorders>
                          <w:top w:val="nil" w:sz="6" w:space="0" w:color="auto"/>
                          <w:left w:val="nil" w:sz="6" w:space="0" w:color="auto"/>
                          <w:bottom w:val="nil" w:sz="6" w:space="0" w:color="auto"/>
                          <w:right w:val="nil" w:sz="6" w:space="0" w:color="auto"/>
                        </w:tcBorders>
                      </w:tcPr>
                      <w:p>
                        <w:pPr>
                          <w:pStyle w:val="TableParagraph"/>
                          <w:spacing w:line="233" w:lineRule="exact"/>
                          <w:ind w:right="123"/>
                          <w:jc w:val="right"/>
                          <w:rPr>
                            <w:rFonts w:ascii="宋体" w:hAnsi="宋体" w:cs="宋体" w:eastAsia="宋体" w:hint="default"/>
                            <w:sz w:val="18"/>
                            <w:szCs w:val="18"/>
                          </w:rPr>
                        </w:pPr>
                        <w:r>
                          <w:rPr>
                            <w:rFonts w:ascii="宋体"/>
                            <w:spacing w:val="-1"/>
                            <w:sz w:val="18"/>
                          </w:rPr>
                          <w:t>278,312,623,311.74</w:t>
                        </w:r>
                      </w:p>
                    </w:tc>
                    <w:tc>
                      <w:tcPr>
                        <w:tcW w:w="2165" w:type="dxa"/>
                        <w:tcBorders>
                          <w:top w:val="nil" w:sz="6" w:space="0" w:color="auto"/>
                          <w:left w:val="nil" w:sz="6" w:space="0" w:color="auto"/>
                          <w:bottom w:val="nil" w:sz="6" w:space="0" w:color="auto"/>
                          <w:right w:val="nil" w:sz="6" w:space="0" w:color="auto"/>
                        </w:tcBorders>
                      </w:tcPr>
                      <w:p>
                        <w:pPr>
                          <w:pStyle w:val="TableParagraph"/>
                          <w:spacing w:line="233" w:lineRule="exact"/>
                          <w:ind w:right="106"/>
                          <w:jc w:val="right"/>
                          <w:rPr>
                            <w:rFonts w:ascii="宋体" w:hAnsi="宋体" w:cs="宋体" w:eastAsia="宋体" w:hint="default"/>
                            <w:sz w:val="18"/>
                            <w:szCs w:val="18"/>
                          </w:rPr>
                        </w:pPr>
                        <w:r>
                          <w:rPr>
                            <w:rFonts w:ascii="宋体"/>
                            <w:spacing w:val="-1"/>
                            <w:sz w:val="18"/>
                          </w:rPr>
                          <w:t>271,679,273,889.00</w:t>
                        </w:r>
                      </w:p>
                    </w:tc>
                  </w:tr>
                  <w:tr>
                    <w:trPr>
                      <w:trHeight w:val="286"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81" w:type="dxa"/>
                        <w:tcBorders>
                          <w:top w:val="nil" w:sz="6" w:space="0" w:color="auto"/>
                          <w:left w:val="nil" w:sz="6" w:space="0" w:color="auto"/>
                          <w:bottom w:val="nil" w:sz="6" w:space="0" w:color="auto"/>
                          <w:right w:val="nil" w:sz="6" w:space="0" w:color="auto"/>
                        </w:tcBorders>
                      </w:tcPr>
                      <w:p>
                        <w:pPr>
                          <w:pStyle w:val="TableParagraph"/>
                          <w:spacing w:line="233" w:lineRule="exact"/>
                          <w:ind w:right="123"/>
                          <w:jc w:val="right"/>
                          <w:rPr>
                            <w:rFonts w:ascii="宋体" w:hAnsi="宋体" w:cs="宋体" w:eastAsia="宋体" w:hint="default"/>
                            <w:sz w:val="18"/>
                            <w:szCs w:val="18"/>
                          </w:rPr>
                        </w:pPr>
                        <w:r>
                          <w:rPr>
                            <w:rFonts w:ascii="宋体"/>
                            <w:spacing w:val="-1"/>
                            <w:sz w:val="18"/>
                          </w:rPr>
                          <w:t>196,708,183,465.94</w:t>
                        </w:r>
                      </w:p>
                    </w:tc>
                    <w:tc>
                      <w:tcPr>
                        <w:tcW w:w="2165" w:type="dxa"/>
                        <w:tcBorders>
                          <w:top w:val="nil" w:sz="6" w:space="0" w:color="auto"/>
                          <w:left w:val="nil" w:sz="6" w:space="0" w:color="auto"/>
                          <w:bottom w:val="nil" w:sz="6" w:space="0" w:color="auto"/>
                          <w:right w:val="nil" w:sz="6" w:space="0" w:color="auto"/>
                        </w:tcBorders>
                      </w:tcPr>
                      <w:p>
                        <w:pPr>
                          <w:pStyle w:val="TableParagraph"/>
                          <w:spacing w:line="233" w:lineRule="exact"/>
                          <w:ind w:right="106"/>
                          <w:jc w:val="right"/>
                          <w:rPr>
                            <w:rFonts w:ascii="宋体" w:hAnsi="宋体" w:cs="宋体" w:eastAsia="宋体" w:hint="default"/>
                            <w:sz w:val="18"/>
                            <w:szCs w:val="18"/>
                          </w:rPr>
                        </w:pPr>
                        <w:r>
                          <w:rPr>
                            <w:rFonts w:ascii="宋体"/>
                            <w:spacing w:val="-1"/>
                            <w:sz w:val="18"/>
                          </w:rPr>
                          <w:t>197,042,928,537.03</w:t>
                        </w:r>
                      </w:p>
                    </w:tc>
                  </w:tr>
                  <w:tr>
                    <w:trPr>
                      <w:trHeight w:val="284"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381" w:type="dxa"/>
                        <w:tcBorders>
                          <w:top w:val="nil" w:sz="6" w:space="0" w:color="auto"/>
                          <w:left w:val="nil" w:sz="6" w:space="0" w:color="auto"/>
                          <w:bottom w:val="nil" w:sz="6" w:space="0" w:color="auto"/>
                          <w:right w:val="nil" w:sz="6" w:space="0" w:color="auto"/>
                        </w:tcBorders>
                      </w:tcPr>
                      <w:p>
                        <w:pPr>
                          <w:pStyle w:val="TableParagraph"/>
                          <w:spacing w:line="233" w:lineRule="exact"/>
                          <w:ind w:right="122"/>
                          <w:jc w:val="right"/>
                          <w:rPr>
                            <w:rFonts w:ascii="宋体" w:hAnsi="宋体" w:cs="宋体" w:eastAsia="宋体" w:hint="default"/>
                            <w:sz w:val="18"/>
                            <w:szCs w:val="18"/>
                          </w:rPr>
                        </w:pPr>
                        <w:r>
                          <w:rPr>
                            <w:rFonts w:ascii="宋体"/>
                            <w:spacing w:val="-1"/>
                            <w:sz w:val="18"/>
                          </w:rPr>
                          <w:t>30,381,772,120.73</w:t>
                        </w:r>
                      </w:p>
                    </w:tc>
                    <w:tc>
                      <w:tcPr>
                        <w:tcW w:w="2165" w:type="dxa"/>
                        <w:tcBorders>
                          <w:top w:val="nil" w:sz="6" w:space="0" w:color="auto"/>
                          <w:left w:val="nil" w:sz="6" w:space="0" w:color="auto"/>
                          <w:bottom w:val="nil" w:sz="6" w:space="0" w:color="auto"/>
                          <w:right w:val="nil" w:sz="6" w:space="0" w:color="auto"/>
                        </w:tcBorders>
                      </w:tcPr>
                      <w:p>
                        <w:pPr>
                          <w:pStyle w:val="TableParagraph"/>
                          <w:spacing w:line="233" w:lineRule="exact"/>
                          <w:ind w:right="106"/>
                          <w:jc w:val="right"/>
                          <w:rPr>
                            <w:rFonts w:ascii="宋体" w:hAnsi="宋体" w:cs="宋体" w:eastAsia="宋体" w:hint="default"/>
                            <w:sz w:val="18"/>
                            <w:szCs w:val="18"/>
                          </w:rPr>
                        </w:pPr>
                        <w:r>
                          <w:rPr>
                            <w:rFonts w:ascii="宋体"/>
                            <w:spacing w:val="-1"/>
                            <w:sz w:val="18"/>
                          </w:rPr>
                          <w:t>26,065,919,396.47</w:t>
                        </w:r>
                      </w:p>
                    </w:tc>
                  </w:tr>
                  <w:tr>
                    <w:trPr>
                      <w:trHeight w:val="284"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381" w:type="dxa"/>
                        <w:tcBorders>
                          <w:top w:val="nil" w:sz="6" w:space="0" w:color="auto"/>
                          <w:left w:val="nil" w:sz="6" w:space="0" w:color="auto"/>
                          <w:bottom w:val="nil" w:sz="6" w:space="0" w:color="auto"/>
                          <w:right w:val="nil" w:sz="6" w:space="0" w:color="auto"/>
                        </w:tcBorders>
                      </w:tcPr>
                      <w:p>
                        <w:pPr>
                          <w:pStyle w:val="TableParagraph"/>
                          <w:spacing w:line="232" w:lineRule="exact"/>
                          <w:ind w:right="123"/>
                          <w:jc w:val="right"/>
                          <w:rPr>
                            <w:rFonts w:ascii="宋体" w:hAnsi="宋体" w:cs="宋体" w:eastAsia="宋体" w:hint="default"/>
                            <w:sz w:val="18"/>
                            <w:szCs w:val="18"/>
                          </w:rPr>
                        </w:pPr>
                        <w:r>
                          <w:rPr>
                            <w:rFonts w:ascii="宋体"/>
                            <w:spacing w:val="-1"/>
                            <w:sz w:val="18"/>
                          </w:rPr>
                          <w:t>227,089,955,586.67</w:t>
                        </w:r>
                      </w:p>
                    </w:tc>
                    <w:tc>
                      <w:tcPr>
                        <w:tcW w:w="2165" w:type="dxa"/>
                        <w:tcBorders>
                          <w:top w:val="nil" w:sz="6" w:space="0" w:color="auto"/>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pacing w:val="-1"/>
                            <w:sz w:val="18"/>
                          </w:rPr>
                          <w:t>223,108,847,933.50</w:t>
                        </w:r>
                      </w:p>
                    </w:tc>
                  </w:tr>
                  <w:tr>
                    <w:trPr>
                      <w:trHeight w:val="286"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381" w:type="dxa"/>
                        <w:tcBorders>
                          <w:top w:val="nil" w:sz="6" w:space="0" w:color="auto"/>
                          <w:left w:val="nil" w:sz="6" w:space="0" w:color="auto"/>
                          <w:bottom w:val="nil" w:sz="6" w:space="0" w:color="auto"/>
                          <w:right w:val="nil" w:sz="6" w:space="0" w:color="auto"/>
                        </w:tcBorders>
                      </w:tcPr>
                      <w:p>
                        <w:pPr>
                          <w:pStyle w:val="TableParagraph"/>
                          <w:spacing w:line="233" w:lineRule="exact"/>
                          <w:ind w:right="122"/>
                          <w:jc w:val="right"/>
                          <w:rPr>
                            <w:rFonts w:ascii="宋体" w:hAnsi="宋体" w:cs="宋体" w:eastAsia="宋体" w:hint="default"/>
                            <w:sz w:val="18"/>
                            <w:szCs w:val="18"/>
                          </w:rPr>
                        </w:pPr>
                        <w:r>
                          <w:rPr>
                            <w:rFonts w:ascii="宋体"/>
                            <w:spacing w:val="-1"/>
                            <w:sz w:val="18"/>
                          </w:rPr>
                          <w:t>26,309,721,786.48</w:t>
                        </w:r>
                      </w:p>
                    </w:tc>
                    <w:tc>
                      <w:tcPr>
                        <w:tcW w:w="2165" w:type="dxa"/>
                        <w:tcBorders>
                          <w:top w:val="nil" w:sz="6" w:space="0" w:color="auto"/>
                          <w:left w:val="nil" w:sz="6" w:space="0" w:color="auto"/>
                          <w:bottom w:val="nil" w:sz="6" w:space="0" w:color="auto"/>
                          <w:right w:val="nil" w:sz="6" w:space="0" w:color="auto"/>
                        </w:tcBorders>
                      </w:tcPr>
                      <w:p>
                        <w:pPr>
                          <w:pStyle w:val="TableParagraph"/>
                          <w:spacing w:line="233" w:lineRule="exact"/>
                          <w:ind w:right="106"/>
                          <w:jc w:val="right"/>
                          <w:rPr>
                            <w:rFonts w:ascii="宋体" w:hAnsi="宋体" w:cs="宋体" w:eastAsia="宋体" w:hint="default"/>
                            <w:sz w:val="18"/>
                            <w:szCs w:val="18"/>
                          </w:rPr>
                        </w:pPr>
                        <w:r>
                          <w:rPr>
                            <w:rFonts w:ascii="宋体"/>
                            <w:spacing w:val="-1"/>
                            <w:sz w:val="18"/>
                          </w:rPr>
                          <w:t>23,491,882,316.62</w:t>
                        </w:r>
                      </w:p>
                    </w:tc>
                  </w:tr>
                  <w:tr>
                    <w:trPr>
                      <w:trHeight w:val="301" w:hRule="exact"/>
                    </w:trPr>
                    <w:tc>
                      <w:tcPr>
                        <w:tcW w:w="4179" w:type="dxa"/>
                        <w:tcBorders>
                          <w:top w:val="nil" w:sz="6" w:space="0" w:color="auto"/>
                          <w:left w:val="nil" w:sz="6" w:space="0" w:color="auto"/>
                          <w:bottom w:val="single" w:sz="1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381" w:type="dxa"/>
                        <w:tcBorders>
                          <w:top w:val="nil" w:sz="6" w:space="0" w:color="auto"/>
                          <w:left w:val="nil" w:sz="6" w:space="0" w:color="auto"/>
                          <w:bottom w:val="single" w:sz="12" w:space="0" w:color="000000"/>
                          <w:right w:val="nil" w:sz="6" w:space="0" w:color="auto"/>
                        </w:tcBorders>
                      </w:tcPr>
                      <w:p>
                        <w:pPr>
                          <w:pStyle w:val="TableParagraph"/>
                          <w:spacing w:line="233" w:lineRule="exact"/>
                          <w:ind w:right="122"/>
                          <w:jc w:val="right"/>
                          <w:rPr>
                            <w:rFonts w:ascii="宋体" w:hAnsi="宋体" w:cs="宋体" w:eastAsia="宋体" w:hint="default"/>
                            <w:sz w:val="18"/>
                            <w:szCs w:val="18"/>
                          </w:rPr>
                        </w:pPr>
                        <w:r>
                          <w:rPr>
                            <w:rFonts w:ascii="宋体"/>
                            <w:spacing w:val="-1"/>
                            <w:sz w:val="18"/>
                          </w:rPr>
                          <w:t>24,912,945,938.59</w:t>
                        </w:r>
                      </w:p>
                    </w:tc>
                    <w:tc>
                      <w:tcPr>
                        <w:tcW w:w="2165" w:type="dxa"/>
                        <w:tcBorders>
                          <w:top w:val="nil" w:sz="6" w:space="0" w:color="auto"/>
                          <w:left w:val="nil" w:sz="6" w:space="0" w:color="auto"/>
                          <w:bottom w:val="single" w:sz="12" w:space="0" w:color="000000"/>
                          <w:right w:val="nil" w:sz="6" w:space="0" w:color="auto"/>
                        </w:tcBorders>
                      </w:tcPr>
                      <w:p>
                        <w:pPr>
                          <w:pStyle w:val="TableParagraph"/>
                          <w:spacing w:line="233" w:lineRule="exact"/>
                          <w:ind w:right="106"/>
                          <w:jc w:val="right"/>
                          <w:rPr>
                            <w:rFonts w:ascii="宋体" w:hAnsi="宋体" w:cs="宋体" w:eastAsia="宋体" w:hint="default"/>
                            <w:sz w:val="18"/>
                            <w:szCs w:val="18"/>
                          </w:rPr>
                        </w:pPr>
                        <w:r>
                          <w:rPr>
                            <w:rFonts w:ascii="宋体"/>
                            <w:spacing w:val="-1"/>
                            <w:sz w:val="18"/>
                          </w:rPr>
                          <w:t>25,078,543,638.88</w:t>
                        </w:r>
                      </w:p>
                    </w:tc>
                  </w:tr>
                </w:tbl>
                <w:p>
                  <w:pPr/>
                </w:p>
              </w:txbxContent>
            </v:textbox>
            <w10:wrap type="none"/>
          </v:shape>
        </w:pict>
      </w:r>
      <w:r>
        <w:rPr>
          <w:rFonts w:ascii="宋体" w:hAnsi="宋体" w:cs="宋体" w:eastAsia="宋体" w:hint="default"/>
          <w:b/>
          <w:bCs/>
          <w:sz w:val="18"/>
          <w:szCs w:val="18"/>
        </w:rPr>
        <w:t>年末余额 </w:t>
      </w:r>
      <w:r>
        <w:rPr>
          <w:rFonts w:ascii="宋体" w:hAnsi="宋体" w:cs="宋体" w:eastAsia="宋体" w:hint="default"/>
          <w:b/>
          <w:bCs/>
          <w:sz w:val="18"/>
          <w:szCs w:val="18"/>
        </w:rPr>
        <w:t>/</w:t>
      </w:r>
      <w:r>
        <w:rPr>
          <w:rFonts w:ascii="宋体" w:hAnsi="宋体" w:cs="宋体" w:eastAsia="宋体" w:hint="default"/>
          <w:b/>
          <w:bCs/>
          <w:spacing w:val="-3"/>
          <w:sz w:val="18"/>
          <w:szCs w:val="18"/>
        </w:rPr>
        <w:t> </w:t>
      </w:r>
      <w:r>
        <w:rPr>
          <w:rFonts w:ascii="宋体" w:hAnsi="宋体" w:cs="宋体" w:eastAsia="宋体" w:hint="default"/>
          <w:b/>
          <w:bCs/>
          <w:sz w:val="18"/>
          <w:szCs w:val="18"/>
        </w:rPr>
        <w:t>本年发生额</w:t>
        <w:tab/>
        <w:t>年初余额 </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上年发生额</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p>
      <w:pPr>
        <w:spacing w:line="20" w:lineRule="exact"/>
        <w:ind w:left="4291" w:right="0" w:firstLine="0"/>
        <w:rPr>
          <w:rFonts w:ascii="宋体" w:hAnsi="宋体" w:cs="宋体" w:eastAsia="宋体" w:hint="default"/>
          <w:sz w:val="2"/>
          <w:szCs w:val="2"/>
        </w:rPr>
      </w:pPr>
      <w:r>
        <w:rPr>
          <w:rFonts w:ascii="宋体" w:hAnsi="宋体" w:cs="宋体" w:eastAsia="宋体" w:hint="default"/>
          <w:sz w:val="2"/>
          <w:szCs w:val="2"/>
        </w:rPr>
        <w:pict>
          <v:group style="width:228.65pt;height:.5pt;mso-position-horizontal-relative:char;mso-position-vertical-relative:line" coordorigin="0,0" coordsize="4573,10">
            <v:group style="position:absolute;left:5;top:5;width:2360;height:2" coordorigin="5,5" coordsize="2360,2">
              <v:shape style="position:absolute;left:5;top:5;width:2360;height:2" coordorigin="5,5" coordsize="2360,0" path="m5,5l2364,5e" filled="false" stroked="true" strokeweight=".48001pt" strokecolor="#000000">
                <v:path arrowok="t"/>
              </v:shape>
            </v:group>
            <v:group style="position:absolute;left:2364;top:5;width:10;height:2" coordorigin="2364,5" coordsize="10,2">
              <v:shape style="position:absolute;left:2364;top:5;width:10;height:2" coordorigin="2364,5" coordsize="10,0" path="m2364,5l2374,5e" filled="false" stroked="true" strokeweight=".48001pt" strokecolor="#000000">
                <v:path arrowok="t"/>
              </v:shape>
            </v:group>
            <v:group style="position:absolute;left:2374;top:5;width:2194;height:2" coordorigin="2374,5" coordsize="2194,2">
              <v:shape style="position:absolute;left:2374;top:5;width:2194;height:2" coordorigin="2374,5" coordsize="2194,0" path="m2374,5l4568,5e" filled="false" stroked="true" strokeweight=".4800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44"/>
        <w:ind w:left="242"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0" w:footer="1034" w:top="1320" w:bottom="1220" w:left="1460" w:right="1460"/>
        </w:sectPr>
      </w:pPr>
    </w:p>
    <w:p>
      <w:pPr>
        <w:spacing w:line="240" w:lineRule="auto" w:before="6"/>
        <w:rPr>
          <w:rFonts w:ascii="宋体" w:hAnsi="宋体" w:cs="宋体" w:eastAsia="宋体" w:hint="default"/>
          <w:b/>
          <w:bCs/>
          <w:sz w:val="6"/>
          <w:szCs w:val="6"/>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4179;height:2" coordorigin="14,14" coordsize="4179,2">
              <v:shape style="position:absolute;left:14;top:14;width:4179;height:2" coordorigin="14,14" coordsize="4179,0" path="m14,14l4193,14e" filled="false" stroked="true" strokeweight="1.44pt" strokecolor="#000000">
                <v:path arrowok="t"/>
              </v:shape>
            </v:group>
            <v:group style="position:absolute;left:4193;top:14;width:29;height:2" coordorigin="4193,14" coordsize="29,2">
              <v:shape style="position:absolute;left:4193;top:14;width:29;height:2" coordorigin="4193,14" coordsize="29,0" path="m4193,14l4222,14e" filled="false" stroked="true" strokeweight="1.44pt" strokecolor="#000000">
                <v:path arrowok="t"/>
              </v:shape>
            </v:group>
            <v:group style="position:absolute;left:4222;top:14;width:2336;height:2" coordorigin="4222,14" coordsize="2336,2">
              <v:shape style="position:absolute;left:4222;top:14;width:2336;height:2" coordorigin="4222,14" coordsize="2336,0" path="m4222,14l6558,14e" filled="false" stroked="true" strokeweight="1.44pt" strokecolor="#000000">
                <v:path arrowok="t"/>
              </v:shape>
            </v:group>
            <v:group style="position:absolute;left:6558;top:14;width:29;height:2" coordorigin="6558,14" coordsize="29,2">
              <v:shape style="position:absolute;left:6558;top:14;width:29;height:2" coordorigin="6558,14" coordsize="29,0" path="m6558,14l6587,14e" filled="false" stroked="true" strokeweight="1.44pt" strokecolor="#000000">
                <v:path arrowok="t"/>
              </v:shape>
            </v:group>
            <v:group style="position:absolute;left:6587;top:14;width:2154;height:2" coordorigin="6587,14" coordsize="2154,2">
              <v:shape style="position:absolute;left:6587;top:14;width:2154;height:2" coordorigin="6587,14" coordsize="2154,0" path="m6587,14l8740,14e" filled="false" stroked="true" strokeweight="1.44pt" strokecolor="#000000">
                <v:path arrowok="t"/>
              </v:shape>
            </v:group>
          </v:group>
        </w:pict>
      </w:r>
      <w:r>
        <w:rPr>
          <w:rFonts w:ascii="宋体" w:hAnsi="宋体" w:cs="宋体" w:eastAsia="宋体" w:hint="default"/>
          <w:position w:val="0"/>
          <w:sz w:val="2"/>
          <w:szCs w:val="2"/>
        </w:rPr>
      </w:r>
    </w:p>
    <w:p>
      <w:pPr>
        <w:tabs>
          <w:tab w:pos="6818" w:val="left" w:leader="none"/>
        </w:tabs>
        <w:spacing w:line="300" w:lineRule="auto" w:before="0"/>
        <w:ind w:left="5501" w:right="269" w:hanging="956"/>
        <w:jc w:val="left"/>
        <w:rPr>
          <w:rFonts w:ascii="宋体" w:hAnsi="宋体" w:cs="宋体" w:eastAsia="宋体" w:hint="default"/>
          <w:sz w:val="18"/>
          <w:szCs w:val="18"/>
        </w:rPr>
      </w:pPr>
      <w:r>
        <w:rPr/>
        <w:pict>
          <v:group style="position:absolute;margin-left:288.410004pt;margin-top:14.471719pt;width:227.8pt;height:.5pt;mso-position-horizontal-relative:page;mso-position-vertical-relative:paragraph;z-index:-1225552" coordorigin="5768,289" coordsize="4556,10">
            <v:group style="position:absolute;left:5773;top:294;width:2365;height:2" coordorigin="5773,294" coordsize="2365,2">
              <v:shape style="position:absolute;left:5773;top:294;width:2365;height:2" coordorigin="5773,294" coordsize="2365,0" path="m5773,294l8137,294e" filled="false" stroked="true" strokeweight=".48pt" strokecolor="#000000">
                <v:path arrowok="t"/>
              </v:shape>
            </v:group>
            <v:group style="position:absolute;left:8137;top:294;width:10;height:2" coordorigin="8137,294" coordsize="10,2">
              <v:shape style="position:absolute;left:8137;top:294;width:10;height:2" coordorigin="8137,294" coordsize="10,0" path="m8137,294l8147,294e" filled="false" stroked="true" strokeweight=".48pt" strokecolor="#000000">
                <v:path arrowok="t"/>
              </v:shape>
            </v:group>
            <v:group style="position:absolute;left:8147;top:294;width:2173;height:2" coordorigin="8147,294" coordsize="2173,2">
              <v:shape style="position:absolute;left:8147;top:294;width:2173;height:2" coordorigin="8147,294" coordsize="2173,0" path="m8147,294l10319,294e" filled="false" stroked="true" strokeweight=".48pt" strokecolor="#000000">
                <v:path arrowok="t"/>
              </v:shape>
            </v:group>
            <w10:wrap type="none"/>
          </v:group>
        </w:pict>
      </w:r>
      <w:r>
        <w:rPr/>
        <w:pict>
          <v:shape style="position:absolute;margin-left:79.704002pt;margin-top:10.217343pt;width:436.3pt;height:309.150pt;mso-position-horizontal-relative:page;mso-position-vertical-relative:paragraph;z-index:4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79"/>
                    <w:gridCol w:w="2381"/>
                    <w:gridCol w:w="2165"/>
                  </w:tblGrid>
                  <w:tr>
                    <w:trPr>
                      <w:trHeight w:val="385" w:hRule="exact"/>
                    </w:trPr>
                    <w:tc>
                      <w:tcPr>
                        <w:tcW w:w="8725" w:type="dxa"/>
                        <w:gridSpan w:val="3"/>
                        <w:tcBorders>
                          <w:top w:val="nil" w:sz="6" w:space="0" w:color="auto"/>
                          <w:left w:val="nil" w:sz="6" w:space="0" w:color="auto"/>
                          <w:bottom w:val="nil" w:sz="6" w:space="0" w:color="auto"/>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r>
                  <w:tr>
                    <w:trPr>
                      <w:trHeight w:val="289" w:hRule="exact"/>
                    </w:trPr>
                    <w:tc>
                      <w:tcPr>
                        <w:tcW w:w="4179"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81" w:type="dxa"/>
                        <w:tcBorders>
                          <w:top w:val="single" w:sz="4" w:space="0" w:color="000000"/>
                          <w:left w:val="nil" w:sz="6" w:space="0" w:color="auto"/>
                          <w:bottom w:val="nil" w:sz="6" w:space="0" w:color="auto"/>
                          <w:right w:val="nil" w:sz="6" w:space="0" w:color="auto"/>
                        </w:tcBorders>
                      </w:tcPr>
                      <w:p>
                        <w:pPr>
                          <w:pStyle w:val="TableParagraph"/>
                          <w:spacing w:line="232" w:lineRule="exact"/>
                          <w:ind w:right="123"/>
                          <w:jc w:val="right"/>
                          <w:rPr>
                            <w:rFonts w:ascii="宋体" w:hAnsi="宋体" w:cs="宋体" w:eastAsia="宋体" w:hint="default"/>
                            <w:sz w:val="18"/>
                            <w:szCs w:val="18"/>
                          </w:rPr>
                        </w:pPr>
                        <w:r>
                          <w:rPr>
                            <w:rFonts w:ascii="宋体"/>
                            <w:spacing w:val="-1"/>
                            <w:sz w:val="18"/>
                          </w:rPr>
                          <w:t>13,077,577,694.63</w:t>
                        </w:r>
                      </w:p>
                    </w:tc>
                    <w:tc>
                      <w:tcPr>
                        <w:tcW w:w="2165" w:type="dxa"/>
                        <w:tcBorders>
                          <w:top w:val="single" w:sz="4" w:space="0" w:color="000000"/>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pacing w:val="-1"/>
                            <w:sz w:val="18"/>
                          </w:rPr>
                          <w:t>12,488,803,318.27</w:t>
                        </w:r>
                      </w:p>
                    </w:tc>
                  </w:tr>
                  <w:tr>
                    <w:trPr>
                      <w:trHeight w:val="284"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381" w:type="dxa"/>
                        <w:tcBorders>
                          <w:top w:val="nil" w:sz="6" w:space="0" w:color="auto"/>
                          <w:left w:val="nil" w:sz="6" w:space="0" w:color="auto"/>
                          <w:bottom w:val="nil" w:sz="6" w:space="0" w:color="auto"/>
                          <w:right w:val="nil" w:sz="6" w:space="0" w:color="auto"/>
                        </w:tcBorders>
                      </w:tcPr>
                      <w:p>
                        <w:pPr>
                          <w:pStyle w:val="TableParagraph"/>
                          <w:spacing w:line="233" w:lineRule="exact"/>
                          <w:ind w:right="123"/>
                          <w:jc w:val="right"/>
                          <w:rPr>
                            <w:rFonts w:ascii="宋体" w:hAnsi="宋体" w:cs="宋体" w:eastAsia="宋体" w:hint="default"/>
                            <w:sz w:val="18"/>
                            <w:szCs w:val="18"/>
                          </w:rPr>
                        </w:pPr>
                        <w:r>
                          <w:rPr>
                            <w:rFonts w:ascii="宋体"/>
                            <w:spacing w:val="-1"/>
                            <w:sz w:val="18"/>
                          </w:rPr>
                          <w:t>2,274,184,167.56</w:t>
                        </w:r>
                      </w:p>
                    </w:tc>
                    <w:tc>
                      <w:tcPr>
                        <w:tcW w:w="216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2,814,751,991.01</w:t>
                        </w:r>
                      </w:p>
                    </w:tc>
                  </w:tr>
                  <w:tr>
                    <w:trPr>
                      <w:trHeight w:val="284"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归属于母公司所有者的其他综合收益</w:t>
                        </w:r>
                      </w:p>
                    </w:tc>
                    <w:tc>
                      <w:tcPr>
                        <w:tcW w:w="2381" w:type="dxa"/>
                        <w:tcBorders>
                          <w:top w:val="nil" w:sz="6" w:space="0" w:color="auto"/>
                          <w:left w:val="nil" w:sz="6" w:space="0" w:color="auto"/>
                          <w:bottom w:val="nil" w:sz="6" w:space="0" w:color="auto"/>
                          <w:right w:val="nil" w:sz="6" w:space="0" w:color="auto"/>
                        </w:tcBorders>
                      </w:tcPr>
                      <w:p>
                        <w:pPr>
                          <w:pStyle w:val="TableParagraph"/>
                          <w:spacing w:line="232" w:lineRule="exact"/>
                          <w:ind w:right="123"/>
                          <w:jc w:val="right"/>
                          <w:rPr>
                            <w:rFonts w:ascii="宋体" w:hAnsi="宋体" w:cs="宋体" w:eastAsia="宋体" w:hint="default"/>
                            <w:sz w:val="18"/>
                            <w:szCs w:val="18"/>
                          </w:rPr>
                        </w:pPr>
                        <w:r>
                          <w:rPr>
                            <w:rFonts w:ascii="宋体"/>
                            <w:spacing w:val="-1"/>
                            <w:sz w:val="18"/>
                          </w:rPr>
                          <w:t>-1,188,840,246.32</w:t>
                        </w:r>
                      </w:p>
                    </w:tc>
                    <w:tc>
                      <w:tcPr>
                        <w:tcW w:w="216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-790,304,459.36</w:t>
                        </w:r>
                      </w:p>
                    </w:tc>
                  </w:tr>
                  <w:tr>
                    <w:trPr>
                      <w:trHeight w:val="303" w:hRule="exact"/>
                    </w:trPr>
                    <w:tc>
                      <w:tcPr>
                        <w:tcW w:w="4179" w:type="dxa"/>
                        <w:tcBorders>
                          <w:top w:val="nil" w:sz="6" w:space="0" w:color="auto"/>
                          <w:left w:val="nil" w:sz="6" w:space="0" w:color="auto"/>
                          <w:bottom w:val="single" w:sz="1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381" w:type="dxa"/>
                        <w:tcBorders>
                          <w:top w:val="nil" w:sz="6" w:space="0" w:color="auto"/>
                          <w:left w:val="nil" w:sz="6" w:space="0" w:color="auto"/>
                          <w:bottom w:val="single" w:sz="12" w:space="0" w:color="000000"/>
                          <w:right w:val="nil" w:sz="6" w:space="0" w:color="auto"/>
                        </w:tcBorders>
                      </w:tcPr>
                      <w:p>
                        <w:pPr>
                          <w:pStyle w:val="TableParagraph"/>
                          <w:spacing w:line="233" w:lineRule="exact"/>
                          <w:ind w:right="123"/>
                          <w:jc w:val="right"/>
                          <w:rPr>
                            <w:rFonts w:ascii="宋体" w:hAnsi="宋体" w:cs="宋体" w:eastAsia="宋体" w:hint="default"/>
                            <w:sz w:val="18"/>
                            <w:szCs w:val="18"/>
                          </w:rPr>
                        </w:pPr>
                        <w:r>
                          <w:rPr>
                            <w:rFonts w:ascii="宋体"/>
                            <w:spacing w:val="-1"/>
                            <w:sz w:val="18"/>
                          </w:rPr>
                          <w:t>1,085,343,921.24</w:t>
                        </w:r>
                      </w:p>
                    </w:tc>
                    <w:tc>
                      <w:tcPr>
                        <w:tcW w:w="2165" w:type="dxa"/>
                        <w:tcBorders>
                          <w:top w:val="nil" w:sz="6" w:space="0" w:color="auto"/>
                          <w:left w:val="nil" w:sz="6" w:space="0" w:color="auto"/>
                          <w:bottom w:val="single" w:sz="12"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2,024,447,531.65</w:t>
                        </w:r>
                      </w:p>
                    </w:tc>
                  </w:tr>
                  <w:tr>
                    <w:trPr>
                      <w:trHeight w:val="564" w:hRule="exact"/>
                    </w:trPr>
                    <w:tc>
                      <w:tcPr>
                        <w:tcW w:w="4179" w:type="dxa"/>
                        <w:tcBorders>
                          <w:top w:val="single" w:sz="12" w:space="0" w:color="000000"/>
                          <w:left w:val="nil" w:sz="6" w:space="0" w:color="auto"/>
                          <w:bottom w:val="single" w:sz="12" w:space="0" w:color="000000"/>
                          <w:right w:val="nil" w:sz="6" w:space="0" w:color="auto"/>
                        </w:tcBorders>
                      </w:tcPr>
                      <w:p>
                        <w:pPr>
                          <w:pStyle w:val="TableParagraph"/>
                          <w:spacing w:line="240" w:lineRule="auto" w:before="81"/>
                          <w:ind w:left="108" w:right="0"/>
                          <w:jc w:val="left"/>
                          <w:rPr>
                            <w:rFonts w:ascii="宋体" w:hAnsi="宋体" w:cs="宋体" w:eastAsia="宋体" w:hint="default"/>
                            <w:sz w:val="22"/>
                            <w:szCs w:val="22"/>
                          </w:rPr>
                        </w:pPr>
                        <w:r>
                          <w:rPr>
                            <w:rFonts w:ascii="宋体" w:hAnsi="宋体" w:cs="宋体" w:eastAsia="宋体" w:hint="default"/>
                            <w:sz w:val="22"/>
                            <w:szCs w:val="22"/>
                          </w:rPr>
                          <w:t>（续</w:t>
                        </w:r>
                        <w:r>
                          <w:rPr>
                            <w:rFonts w:ascii="宋体" w:hAnsi="宋体" w:cs="宋体" w:eastAsia="宋体" w:hint="default"/>
                            <w:spacing w:val="-53"/>
                            <w:sz w:val="22"/>
                            <w:szCs w:val="22"/>
                          </w:rPr>
                          <w:t> </w:t>
                        </w:r>
                        <w:r>
                          <w:rPr>
                            <w:rFonts w:ascii="宋体" w:hAnsi="宋体" w:cs="宋体" w:eastAsia="宋体" w:hint="default"/>
                            <w:sz w:val="22"/>
                            <w:szCs w:val="22"/>
                          </w:rPr>
                          <w:t>1</w:t>
                        </w:r>
                        <w:r>
                          <w:rPr>
                            <w:rFonts w:ascii="宋体" w:hAnsi="宋体" w:cs="宋体" w:eastAsia="宋体" w:hint="default"/>
                            <w:sz w:val="22"/>
                            <w:szCs w:val="22"/>
                          </w:rPr>
                          <w:t>）</w:t>
                        </w:r>
                      </w:p>
                    </w:tc>
                    <w:tc>
                      <w:tcPr>
                        <w:tcW w:w="2381" w:type="dxa"/>
                        <w:tcBorders>
                          <w:top w:val="single" w:sz="12" w:space="0" w:color="000000"/>
                          <w:left w:val="nil" w:sz="6" w:space="0" w:color="auto"/>
                          <w:bottom w:val="single" w:sz="12" w:space="0" w:color="000000"/>
                          <w:right w:val="nil" w:sz="6" w:space="0" w:color="auto"/>
                        </w:tcBorders>
                      </w:tcPr>
                      <w:p>
                        <w:pPr/>
                      </w:p>
                    </w:tc>
                    <w:tc>
                      <w:tcPr>
                        <w:tcW w:w="2165" w:type="dxa"/>
                        <w:tcBorders>
                          <w:top w:val="single" w:sz="12" w:space="0" w:color="000000"/>
                          <w:left w:val="nil" w:sz="6" w:space="0" w:color="auto"/>
                          <w:bottom w:val="single" w:sz="12" w:space="0" w:color="000000"/>
                          <w:right w:val="nil" w:sz="6" w:space="0" w:color="auto"/>
                        </w:tcBorders>
                      </w:tcPr>
                      <w:p>
                        <w:pPr/>
                      </w:p>
                    </w:tc>
                  </w:tr>
                  <w:tr>
                    <w:trPr>
                      <w:trHeight w:val="307" w:hRule="exact"/>
                    </w:trPr>
                    <w:tc>
                      <w:tcPr>
                        <w:tcW w:w="4179" w:type="dxa"/>
                        <w:tcBorders>
                          <w:top w:val="single" w:sz="12" w:space="0" w:color="000000"/>
                          <w:left w:val="nil" w:sz="6" w:space="0" w:color="auto"/>
                          <w:bottom w:val="nil" w:sz="6" w:space="0" w:color="auto"/>
                          <w:right w:val="nil" w:sz="6" w:space="0" w:color="auto"/>
                        </w:tcBorders>
                      </w:tcPr>
                      <w:p>
                        <w:pPr/>
                      </w:p>
                    </w:tc>
                    <w:tc>
                      <w:tcPr>
                        <w:tcW w:w="2381"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33" w:right="0"/>
                          <w:jc w:val="left"/>
                          <w:rPr>
                            <w:rFonts w:ascii="宋体" w:hAnsi="宋体" w:cs="宋体" w:eastAsia="宋体" w:hint="default"/>
                            <w:sz w:val="18"/>
                            <w:szCs w:val="18"/>
                          </w:rPr>
                        </w:pPr>
                        <w:r>
                          <w:rPr>
                            <w:rFonts w:ascii="宋体" w:hAnsi="宋体" w:cs="宋体" w:eastAsia="宋体" w:hint="default"/>
                            <w:b/>
                            <w:bCs/>
                            <w:sz w:val="18"/>
                            <w:szCs w:val="18"/>
                          </w:rPr>
                          <w:t>年末余额 </w:t>
                        </w:r>
                        <w:r>
                          <w:rPr>
                            <w:rFonts w:ascii="宋体" w:hAnsi="宋体" w:cs="宋体" w:eastAsia="宋体" w:hint="default"/>
                            <w:b/>
                            <w:bCs/>
                            <w:sz w:val="18"/>
                            <w:szCs w:val="18"/>
                          </w:rPr>
                          <w:t>/</w:t>
                        </w:r>
                        <w:r>
                          <w:rPr>
                            <w:rFonts w:ascii="宋体" w:hAnsi="宋体" w:cs="宋体" w:eastAsia="宋体" w:hint="default"/>
                            <w:b/>
                            <w:bCs/>
                            <w:spacing w:val="-3"/>
                            <w:sz w:val="18"/>
                            <w:szCs w:val="18"/>
                          </w:rPr>
                          <w:t> </w:t>
                        </w: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165" w:type="dxa"/>
                        <w:tcBorders>
                          <w:top w:val="single" w:sz="12" w:space="0" w:color="000000"/>
                          <w:left w:val="nil" w:sz="6" w:space="0" w:color="auto"/>
                          <w:bottom w:val="single" w:sz="4" w:space="0" w:color="000000"/>
                          <w:right w:val="nil" w:sz="6" w:space="0" w:color="auto"/>
                        </w:tcBorders>
                      </w:tcPr>
                      <w:p>
                        <w:pPr>
                          <w:pStyle w:val="TableParagraph"/>
                          <w:spacing w:line="234" w:lineRule="exact"/>
                          <w:ind w:right="139"/>
                          <w:jc w:val="right"/>
                          <w:rPr>
                            <w:rFonts w:ascii="宋体" w:hAnsi="宋体" w:cs="宋体" w:eastAsia="宋体" w:hint="default"/>
                            <w:sz w:val="18"/>
                            <w:szCs w:val="18"/>
                          </w:rPr>
                        </w:pPr>
                        <w:r>
                          <w:rPr>
                            <w:rFonts w:ascii="宋体" w:hAnsi="宋体" w:cs="宋体" w:eastAsia="宋体" w:hint="default"/>
                            <w:b/>
                            <w:bCs/>
                            <w:sz w:val="18"/>
                            <w:szCs w:val="18"/>
                          </w:rPr>
                          <w:t>年初余额 </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3" w:hRule="exact"/>
                    </w:trPr>
                    <w:tc>
                      <w:tcPr>
                        <w:tcW w:w="8725" w:type="dxa"/>
                        <w:gridSpan w:val="3"/>
                        <w:tcBorders>
                          <w:top w:val="nil" w:sz="6" w:space="0" w:color="auto"/>
                          <w:left w:val="nil" w:sz="6" w:space="0" w:color="auto"/>
                          <w:bottom w:val="nil" w:sz="6" w:space="0" w:color="auto"/>
                          <w:right w:val="nil" w:sz="6" w:space="0" w:color="auto"/>
                        </w:tcBorders>
                      </w:tcPr>
                      <w:p>
                        <w:pPr>
                          <w:pStyle w:val="TableParagraph"/>
                          <w:spacing w:line="234" w:lineRule="exact"/>
                          <w:ind w:left="5187" w:right="0"/>
                          <w:jc w:val="left"/>
                          <w:rPr>
                            <w:rFonts w:ascii="宋体" w:hAnsi="宋体" w:cs="宋体" w:eastAsia="宋体" w:hint="default"/>
                            <w:sz w:val="18"/>
                            <w:szCs w:val="18"/>
                          </w:rPr>
                        </w:pPr>
                        <w:r>
                          <w:rPr>
                            <w:rFonts w:ascii="宋体" w:hAnsi="宋体" w:cs="宋体" w:eastAsia="宋体" w:hint="default"/>
                            <w:b/>
                            <w:bCs/>
                            <w:sz w:val="18"/>
                            <w:szCs w:val="18"/>
                          </w:rPr>
                          <w:t>深圳市华融泰资产管理有限公司</w:t>
                        </w:r>
                        <w:r>
                          <w:rPr>
                            <w:rFonts w:ascii="宋体" w:hAnsi="宋体" w:cs="宋体" w:eastAsia="宋体" w:hint="default"/>
                            <w:sz w:val="18"/>
                            <w:szCs w:val="18"/>
                          </w:rPr>
                        </w:r>
                      </w:p>
                    </w:tc>
                  </w:tr>
                  <w:tr>
                    <w:trPr>
                      <w:trHeight w:val="289" w:hRule="exact"/>
                    </w:trPr>
                    <w:tc>
                      <w:tcPr>
                        <w:tcW w:w="4179"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81" w:type="dxa"/>
                        <w:tcBorders>
                          <w:top w:val="single" w:sz="4" w:space="0" w:color="000000"/>
                          <w:left w:val="nil" w:sz="6" w:space="0" w:color="auto"/>
                          <w:bottom w:val="nil" w:sz="6" w:space="0" w:color="auto"/>
                          <w:right w:val="nil" w:sz="6" w:space="0" w:color="auto"/>
                        </w:tcBorders>
                      </w:tcPr>
                      <w:p>
                        <w:pPr>
                          <w:pStyle w:val="TableParagraph"/>
                          <w:spacing w:line="232" w:lineRule="exact"/>
                          <w:ind w:right="123"/>
                          <w:jc w:val="right"/>
                          <w:rPr>
                            <w:rFonts w:ascii="宋体" w:hAnsi="宋体" w:cs="宋体" w:eastAsia="宋体" w:hint="default"/>
                            <w:sz w:val="18"/>
                            <w:szCs w:val="18"/>
                          </w:rPr>
                        </w:pPr>
                        <w:r>
                          <w:rPr>
                            <w:rFonts w:ascii="宋体"/>
                            <w:spacing w:val="-1"/>
                            <w:sz w:val="18"/>
                          </w:rPr>
                          <w:t>3,775,539,011.27</w:t>
                        </w:r>
                      </w:p>
                    </w:tc>
                    <w:tc>
                      <w:tcPr>
                        <w:tcW w:w="2165" w:type="dxa"/>
                        <w:tcBorders>
                          <w:top w:val="single" w:sz="4" w:space="0" w:color="000000"/>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3,241,611,044.40</w:t>
                        </w:r>
                      </w:p>
                    </w:tc>
                  </w:tr>
                  <w:tr>
                    <w:trPr>
                      <w:trHeight w:val="286"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81" w:type="dxa"/>
                        <w:tcBorders>
                          <w:top w:val="nil" w:sz="6" w:space="0" w:color="auto"/>
                          <w:left w:val="nil" w:sz="6" w:space="0" w:color="auto"/>
                          <w:bottom w:val="nil" w:sz="6" w:space="0" w:color="auto"/>
                          <w:right w:val="nil" w:sz="6" w:space="0" w:color="auto"/>
                        </w:tcBorders>
                      </w:tcPr>
                      <w:p>
                        <w:pPr>
                          <w:pStyle w:val="TableParagraph"/>
                          <w:spacing w:line="233" w:lineRule="exact"/>
                          <w:ind w:right="123"/>
                          <w:jc w:val="right"/>
                          <w:rPr>
                            <w:rFonts w:ascii="宋体" w:hAnsi="宋体" w:cs="宋体" w:eastAsia="宋体" w:hint="default"/>
                            <w:sz w:val="18"/>
                            <w:szCs w:val="18"/>
                          </w:rPr>
                        </w:pPr>
                        <w:r>
                          <w:rPr>
                            <w:rFonts w:ascii="宋体"/>
                            <w:spacing w:val="-1"/>
                            <w:sz w:val="18"/>
                          </w:rPr>
                          <w:t>4,768,379,086.44</w:t>
                        </w:r>
                      </w:p>
                    </w:tc>
                    <w:tc>
                      <w:tcPr>
                        <w:tcW w:w="2165"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4,659,924,554.87</w:t>
                        </w:r>
                      </w:p>
                    </w:tc>
                  </w:tr>
                  <w:tr>
                    <w:trPr>
                      <w:trHeight w:val="286"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381" w:type="dxa"/>
                        <w:tcBorders>
                          <w:top w:val="nil" w:sz="6" w:space="0" w:color="auto"/>
                          <w:left w:val="nil" w:sz="6" w:space="0" w:color="auto"/>
                          <w:bottom w:val="nil" w:sz="6" w:space="0" w:color="auto"/>
                          <w:right w:val="nil" w:sz="6" w:space="0" w:color="auto"/>
                        </w:tcBorders>
                      </w:tcPr>
                      <w:p>
                        <w:pPr>
                          <w:pStyle w:val="TableParagraph"/>
                          <w:spacing w:line="233" w:lineRule="exact"/>
                          <w:ind w:right="123"/>
                          <w:jc w:val="right"/>
                          <w:rPr>
                            <w:rFonts w:ascii="宋体" w:hAnsi="宋体" w:cs="宋体" w:eastAsia="宋体" w:hint="default"/>
                            <w:sz w:val="18"/>
                            <w:szCs w:val="18"/>
                          </w:rPr>
                        </w:pPr>
                        <w:r>
                          <w:rPr>
                            <w:rFonts w:ascii="宋体"/>
                            <w:spacing w:val="-1"/>
                            <w:sz w:val="18"/>
                          </w:rPr>
                          <w:t>8,543,918,097.71</w:t>
                        </w:r>
                      </w:p>
                    </w:tc>
                    <w:tc>
                      <w:tcPr>
                        <w:tcW w:w="2165"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7,901,535,599.27</w:t>
                        </w:r>
                      </w:p>
                    </w:tc>
                  </w:tr>
                  <w:tr>
                    <w:trPr>
                      <w:trHeight w:val="285"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81" w:type="dxa"/>
                        <w:tcBorders>
                          <w:top w:val="nil" w:sz="6" w:space="0" w:color="auto"/>
                          <w:left w:val="nil" w:sz="6" w:space="0" w:color="auto"/>
                          <w:bottom w:val="nil" w:sz="6" w:space="0" w:color="auto"/>
                          <w:right w:val="nil" w:sz="6" w:space="0" w:color="auto"/>
                        </w:tcBorders>
                      </w:tcPr>
                      <w:p>
                        <w:pPr>
                          <w:pStyle w:val="TableParagraph"/>
                          <w:spacing w:line="233" w:lineRule="exact"/>
                          <w:ind w:right="123"/>
                          <w:jc w:val="right"/>
                          <w:rPr>
                            <w:rFonts w:ascii="宋体" w:hAnsi="宋体" w:cs="宋体" w:eastAsia="宋体" w:hint="default"/>
                            <w:sz w:val="18"/>
                            <w:szCs w:val="18"/>
                          </w:rPr>
                        </w:pPr>
                        <w:r>
                          <w:rPr>
                            <w:rFonts w:ascii="宋体"/>
                            <w:spacing w:val="-1"/>
                            <w:sz w:val="18"/>
                          </w:rPr>
                          <w:t>4,406,748,447.96</w:t>
                        </w:r>
                      </w:p>
                    </w:tc>
                    <w:tc>
                      <w:tcPr>
                        <w:tcW w:w="2165"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3,935,526,834.82</w:t>
                        </w:r>
                      </w:p>
                    </w:tc>
                  </w:tr>
                  <w:tr>
                    <w:trPr>
                      <w:trHeight w:val="285"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381" w:type="dxa"/>
                        <w:tcBorders>
                          <w:top w:val="nil" w:sz="6" w:space="0" w:color="auto"/>
                          <w:left w:val="nil" w:sz="6" w:space="0" w:color="auto"/>
                          <w:bottom w:val="nil" w:sz="6" w:space="0" w:color="auto"/>
                          <w:right w:val="nil" w:sz="6" w:space="0" w:color="auto"/>
                        </w:tcBorders>
                      </w:tcPr>
                      <w:p>
                        <w:pPr>
                          <w:pStyle w:val="TableParagraph"/>
                          <w:spacing w:line="232" w:lineRule="exact"/>
                          <w:ind w:right="123"/>
                          <w:jc w:val="right"/>
                          <w:rPr>
                            <w:rFonts w:ascii="宋体" w:hAnsi="宋体" w:cs="宋体" w:eastAsia="宋体" w:hint="default"/>
                            <w:sz w:val="18"/>
                            <w:szCs w:val="18"/>
                          </w:rPr>
                        </w:pPr>
                        <w:r>
                          <w:rPr>
                            <w:rFonts w:ascii="宋体"/>
                            <w:spacing w:val="-1"/>
                            <w:sz w:val="18"/>
                          </w:rPr>
                          <w:t>2,742,841,970.56</w:t>
                        </w:r>
                      </w:p>
                    </w:tc>
                    <w:tc>
                      <w:tcPr>
                        <w:tcW w:w="2165"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2,353,122,283.43</w:t>
                        </w:r>
                      </w:p>
                    </w:tc>
                  </w:tr>
                  <w:tr>
                    <w:trPr>
                      <w:trHeight w:val="286"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381" w:type="dxa"/>
                        <w:tcBorders>
                          <w:top w:val="nil" w:sz="6" w:space="0" w:color="auto"/>
                          <w:left w:val="nil" w:sz="6" w:space="0" w:color="auto"/>
                          <w:bottom w:val="nil" w:sz="6" w:space="0" w:color="auto"/>
                          <w:right w:val="nil" w:sz="6" w:space="0" w:color="auto"/>
                        </w:tcBorders>
                      </w:tcPr>
                      <w:p>
                        <w:pPr>
                          <w:pStyle w:val="TableParagraph"/>
                          <w:spacing w:line="233" w:lineRule="exact"/>
                          <w:ind w:right="123"/>
                          <w:jc w:val="right"/>
                          <w:rPr>
                            <w:rFonts w:ascii="宋体" w:hAnsi="宋体" w:cs="宋体" w:eastAsia="宋体" w:hint="default"/>
                            <w:sz w:val="18"/>
                            <w:szCs w:val="18"/>
                          </w:rPr>
                        </w:pPr>
                        <w:r>
                          <w:rPr>
                            <w:rFonts w:ascii="宋体"/>
                            <w:spacing w:val="-1"/>
                            <w:sz w:val="18"/>
                          </w:rPr>
                          <w:t>7,149,590,418.52</w:t>
                        </w:r>
                      </w:p>
                    </w:tc>
                    <w:tc>
                      <w:tcPr>
                        <w:tcW w:w="2165"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6,288,649,118.25</w:t>
                        </w:r>
                      </w:p>
                    </w:tc>
                  </w:tr>
                  <w:tr>
                    <w:trPr>
                      <w:trHeight w:val="286"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381" w:type="dxa"/>
                        <w:tcBorders>
                          <w:top w:val="nil" w:sz="6" w:space="0" w:color="auto"/>
                          <w:left w:val="nil" w:sz="6" w:space="0" w:color="auto"/>
                          <w:bottom w:val="nil" w:sz="6" w:space="0" w:color="auto"/>
                          <w:right w:val="nil" w:sz="6" w:space="0" w:color="auto"/>
                        </w:tcBorders>
                      </w:tcPr>
                      <w:p>
                        <w:pPr>
                          <w:pStyle w:val="TableParagraph"/>
                          <w:spacing w:line="233" w:lineRule="exact"/>
                          <w:ind w:right="123"/>
                          <w:jc w:val="right"/>
                          <w:rPr>
                            <w:rFonts w:ascii="宋体" w:hAnsi="宋体" w:cs="宋体" w:eastAsia="宋体" w:hint="default"/>
                            <w:sz w:val="18"/>
                            <w:szCs w:val="18"/>
                          </w:rPr>
                        </w:pPr>
                        <w:r>
                          <w:rPr>
                            <w:rFonts w:ascii="宋体"/>
                            <w:spacing w:val="-1"/>
                            <w:sz w:val="18"/>
                          </w:rPr>
                          <w:t>1,692,917,924.29</w:t>
                        </w:r>
                      </w:p>
                    </w:tc>
                    <w:tc>
                      <w:tcPr>
                        <w:tcW w:w="2165"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1,702,016,645.66</w:t>
                        </w:r>
                      </w:p>
                    </w:tc>
                  </w:tr>
                  <w:tr>
                    <w:trPr>
                      <w:trHeight w:val="284"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381" w:type="dxa"/>
                        <w:tcBorders>
                          <w:top w:val="nil" w:sz="6" w:space="0" w:color="auto"/>
                          <w:left w:val="nil" w:sz="6" w:space="0" w:color="auto"/>
                          <w:bottom w:val="nil" w:sz="6" w:space="0" w:color="auto"/>
                          <w:right w:val="nil" w:sz="6" w:space="0" w:color="auto"/>
                        </w:tcBorders>
                      </w:tcPr>
                      <w:p>
                        <w:pPr>
                          <w:pStyle w:val="TableParagraph"/>
                          <w:spacing w:line="233" w:lineRule="exact"/>
                          <w:ind w:right="122"/>
                          <w:jc w:val="right"/>
                          <w:rPr>
                            <w:rFonts w:ascii="宋体" w:hAnsi="宋体" w:cs="宋体" w:eastAsia="宋体" w:hint="default"/>
                            <w:sz w:val="18"/>
                            <w:szCs w:val="18"/>
                          </w:rPr>
                        </w:pPr>
                        <w:r>
                          <w:rPr>
                            <w:rFonts w:ascii="宋体"/>
                            <w:spacing w:val="-1"/>
                            <w:sz w:val="18"/>
                          </w:rPr>
                          <w:t>-298,590,245.10</w:t>
                        </w:r>
                      </w:p>
                    </w:tc>
                    <w:tc>
                      <w:tcPr>
                        <w:tcW w:w="2165"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-89,130,164.64</w:t>
                        </w:r>
                      </w:p>
                    </w:tc>
                  </w:tr>
                  <w:tr>
                    <w:trPr>
                      <w:trHeight w:val="284"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81" w:type="dxa"/>
                        <w:tcBorders>
                          <w:top w:val="nil" w:sz="6" w:space="0" w:color="auto"/>
                          <w:left w:val="nil" w:sz="6" w:space="0" w:color="auto"/>
                          <w:bottom w:val="nil" w:sz="6" w:space="0" w:color="auto"/>
                          <w:right w:val="nil" w:sz="6" w:space="0" w:color="auto"/>
                        </w:tcBorders>
                      </w:tcPr>
                      <w:p>
                        <w:pPr>
                          <w:pStyle w:val="TableParagraph"/>
                          <w:spacing w:line="232" w:lineRule="exact"/>
                          <w:ind w:right="123"/>
                          <w:jc w:val="right"/>
                          <w:rPr>
                            <w:rFonts w:ascii="宋体" w:hAnsi="宋体" w:cs="宋体" w:eastAsia="宋体" w:hint="default"/>
                            <w:sz w:val="18"/>
                            <w:szCs w:val="18"/>
                          </w:rPr>
                        </w:pPr>
                        <w:r>
                          <w:rPr>
                            <w:rFonts w:ascii="宋体"/>
                            <w:spacing w:val="-1"/>
                            <w:sz w:val="18"/>
                          </w:rPr>
                          <w:t>2,024,195,047.87</w:t>
                        </w:r>
                      </w:p>
                    </w:tc>
                    <w:tc>
                      <w:tcPr>
                        <w:tcW w:w="2165"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1,619,704,608.35</w:t>
                        </w:r>
                      </w:p>
                    </w:tc>
                  </w:tr>
                  <w:tr>
                    <w:trPr>
                      <w:trHeight w:val="286"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381" w:type="dxa"/>
                        <w:tcBorders>
                          <w:top w:val="nil" w:sz="6" w:space="0" w:color="auto"/>
                          <w:left w:val="nil" w:sz="6" w:space="0" w:color="auto"/>
                          <w:bottom w:val="nil" w:sz="6" w:space="0" w:color="auto"/>
                          <w:right w:val="nil" w:sz="6" w:space="0" w:color="auto"/>
                        </w:tcBorders>
                      </w:tcPr>
                      <w:p>
                        <w:pPr>
                          <w:pStyle w:val="TableParagraph"/>
                          <w:spacing w:line="233" w:lineRule="exact"/>
                          <w:ind w:right="122"/>
                          <w:jc w:val="right"/>
                          <w:rPr>
                            <w:rFonts w:ascii="宋体" w:hAnsi="宋体" w:cs="宋体" w:eastAsia="宋体" w:hint="default"/>
                            <w:sz w:val="18"/>
                            <w:szCs w:val="18"/>
                          </w:rPr>
                        </w:pPr>
                        <w:r>
                          <w:rPr>
                            <w:rFonts w:ascii="宋体"/>
                            <w:spacing w:val="-1"/>
                            <w:sz w:val="18"/>
                          </w:rPr>
                          <w:t>-240,715,581.20</w:t>
                        </w:r>
                      </w:p>
                    </w:tc>
                    <w:tc>
                      <w:tcPr>
                        <w:tcW w:w="216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-290,122,971.02</w:t>
                        </w:r>
                      </w:p>
                    </w:tc>
                  </w:tr>
                  <w:tr>
                    <w:trPr>
                      <w:trHeight w:val="286" w:hRule="exact"/>
                    </w:trPr>
                    <w:tc>
                      <w:tcPr>
                        <w:tcW w:w="417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归属于母公司所有者的其他综合收益</w:t>
                        </w:r>
                      </w:p>
                    </w:tc>
                    <w:tc>
                      <w:tcPr>
                        <w:tcW w:w="2381" w:type="dxa"/>
                        <w:tcBorders>
                          <w:top w:val="nil" w:sz="6" w:space="0" w:color="auto"/>
                          <w:left w:val="nil" w:sz="6" w:space="0" w:color="auto"/>
                          <w:bottom w:val="nil" w:sz="6" w:space="0" w:color="auto"/>
                          <w:right w:val="nil" w:sz="6" w:space="0" w:color="auto"/>
                        </w:tcBorders>
                      </w:tcPr>
                      <w:p>
                        <w:pPr>
                          <w:pStyle w:val="TableParagraph"/>
                          <w:spacing w:line="233" w:lineRule="exact"/>
                          <w:ind w:right="122"/>
                          <w:jc w:val="right"/>
                          <w:rPr>
                            <w:rFonts w:ascii="宋体" w:hAnsi="宋体" w:cs="宋体" w:eastAsia="宋体" w:hint="default"/>
                            <w:sz w:val="18"/>
                            <w:szCs w:val="18"/>
                          </w:rPr>
                        </w:pPr>
                        <w:r>
                          <w:rPr>
                            <w:rFonts w:ascii="宋体"/>
                            <w:spacing w:val="-1"/>
                            <w:sz w:val="18"/>
                          </w:rPr>
                          <w:t>-77,520,439.84</w:t>
                        </w:r>
                      </w:p>
                    </w:tc>
                    <w:tc>
                      <w:tcPr>
                        <w:tcW w:w="216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99,117,665.33</w:t>
                        </w:r>
                      </w:p>
                    </w:tc>
                  </w:tr>
                  <w:tr>
                    <w:trPr>
                      <w:trHeight w:val="301" w:hRule="exact"/>
                    </w:trPr>
                    <w:tc>
                      <w:tcPr>
                        <w:tcW w:w="4179" w:type="dxa"/>
                        <w:tcBorders>
                          <w:top w:val="nil" w:sz="6" w:space="0" w:color="auto"/>
                          <w:left w:val="nil" w:sz="6" w:space="0" w:color="auto"/>
                          <w:bottom w:val="single" w:sz="1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381" w:type="dxa"/>
                        <w:tcBorders>
                          <w:top w:val="nil" w:sz="6" w:space="0" w:color="auto"/>
                          <w:left w:val="nil" w:sz="6" w:space="0" w:color="auto"/>
                          <w:bottom w:val="single" w:sz="12" w:space="0" w:color="000000"/>
                          <w:right w:val="nil" w:sz="6" w:space="0" w:color="auto"/>
                        </w:tcBorders>
                      </w:tcPr>
                      <w:p>
                        <w:pPr>
                          <w:pStyle w:val="TableParagraph"/>
                          <w:spacing w:line="233" w:lineRule="exact"/>
                          <w:ind w:right="122"/>
                          <w:jc w:val="right"/>
                          <w:rPr>
                            <w:rFonts w:ascii="宋体" w:hAnsi="宋体" w:cs="宋体" w:eastAsia="宋体" w:hint="default"/>
                            <w:sz w:val="18"/>
                            <w:szCs w:val="18"/>
                          </w:rPr>
                        </w:pPr>
                        <w:r>
                          <w:rPr>
                            <w:rFonts w:ascii="宋体"/>
                            <w:spacing w:val="-1"/>
                            <w:sz w:val="18"/>
                          </w:rPr>
                          <w:t>-318,236,021.04</w:t>
                        </w:r>
                      </w:p>
                    </w:tc>
                    <w:tc>
                      <w:tcPr>
                        <w:tcW w:w="2165" w:type="dxa"/>
                        <w:tcBorders>
                          <w:top w:val="nil" w:sz="6" w:space="0" w:color="auto"/>
                          <w:left w:val="nil" w:sz="6" w:space="0" w:color="auto"/>
                          <w:bottom w:val="single" w:sz="12"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-191,005,305.69</w:t>
                        </w:r>
                      </w:p>
                    </w:tc>
                  </w:tr>
                </w:tbl>
                <w:p>
                  <w:pPr/>
                </w:p>
              </w:txbxContent>
            </v:textbox>
            <w10:wrap type="none"/>
          </v:shape>
        </w:pict>
      </w:r>
      <w:r>
        <w:rPr>
          <w:rFonts w:ascii="宋体" w:hAnsi="宋体" w:cs="宋体" w:eastAsia="宋体" w:hint="default"/>
          <w:b/>
          <w:bCs/>
          <w:sz w:val="18"/>
          <w:szCs w:val="18"/>
        </w:rPr>
        <w:t>年末余额 </w:t>
      </w:r>
      <w:r>
        <w:rPr>
          <w:rFonts w:ascii="宋体" w:hAnsi="宋体" w:cs="宋体" w:eastAsia="宋体" w:hint="default"/>
          <w:b/>
          <w:bCs/>
          <w:sz w:val="18"/>
          <w:szCs w:val="18"/>
        </w:rPr>
        <w:t>/</w:t>
      </w:r>
      <w:r>
        <w:rPr>
          <w:rFonts w:ascii="宋体" w:hAnsi="宋体" w:cs="宋体" w:eastAsia="宋体" w:hint="default"/>
          <w:b/>
          <w:bCs/>
          <w:spacing w:val="-3"/>
          <w:sz w:val="18"/>
          <w:szCs w:val="18"/>
        </w:rPr>
        <w:t> </w:t>
      </w:r>
      <w:r>
        <w:rPr>
          <w:rFonts w:ascii="宋体" w:hAnsi="宋体" w:cs="宋体" w:eastAsia="宋体" w:hint="default"/>
          <w:b/>
          <w:bCs/>
          <w:sz w:val="18"/>
          <w:szCs w:val="18"/>
        </w:rPr>
        <w:t>本年发生额</w:t>
        <w:tab/>
        <w:t>年初余额 </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上年发生额</w:t>
      </w:r>
      <w:r>
        <w:rPr>
          <w:rFonts w:ascii="宋体" w:hAnsi="宋体" w:cs="宋体" w:eastAsia="宋体" w:hint="default"/>
          <w:b/>
          <w:bCs/>
          <w:w w:val="99"/>
          <w:sz w:val="18"/>
          <w:szCs w:val="18"/>
        </w:rPr>
        <w:t> </w:t>
      </w:r>
      <w:r>
        <w:rPr>
          <w:rFonts w:ascii="宋体" w:hAnsi="宋体" w:cs="宋体" w:eastAsia="宋体" w:hint="default"/>
          <w:b/>
          <w:bCs/>
          <w:sz w:val="18"/>
          <w:szCs w:val="18"/>
        </w:rPr>
        <w:t>同方国信投资控股有限公司</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p>
      <w:pPr>
        <w:spacing w:before="44"/>
        <w:ind w:left="242" w:right="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3"/>
          <w:szCs w:val="23"/>
        </w:rPr>
      </w:pPr>
    </w:p>
    <w:p>
      <w:pPr>
        <w:spacing w:before="32"/>
        <w:ind w:left="592" w:right="0" w:firstLine="0"/>
        <w:jc w:val="left"/>
        <w:rPr>
          <w:rFonts w:ascii="宋体" w:hAnsi="宋体" w:cs="宋体" w:eastAsia="宋体" w:hint="default"/>
          <w:sz w:val="22"/>
          <w:szCs w:val="22"/>
        </w:rPr>
      </w:pPr>
      <w:r>
        <w:rPr>
          <w:rFonts w:ascii="宋体" w:hAnsi="宋体" w:cs="宋体" w:eastAsia="宋体" w:hint="default"/>
          <w:sz w:val="22"/>
          <w:szCs w:val="22"/>
        </w:rPr>
        <w:t>（续</w:t>
      </w:r>
      <w:r>
        <w:rPr>
          <w:rFonts w:ascii="宋体" w:hAnsi="宋体" w:cs="宋体" w:eastAsia="宋体" w:hint="default"/>
          <w:spacing w:val="-53"/>
          <w:sz w:val="22"/>
          <w:szCs w:val="22"/>
        </w:rPr>
        <w:t> </w:t>
      </w:r>
      <w:r>
        <w:rPr>
          <w:rFonts w:ascii="宋体" w:hAnsi="宋体" w:cs="宋体" w:eastAsia="宋体" w:hint="default"/>
          <w:sz w:val="22"/>
          <w:szCs w:val="22"/>
        </w:rPr>
        <w:t>2</w:t>
      </w:r>
      <w:r>
        <w:rPr>
          <w:rFonts w:ascii="宋体" w:hAnsi="宋体" w:cs="宋体" w:eastAsia="宋体" w:hint="default"/>
          <w:sz w:val="22"/>
          <w:szCs w:val="22"/>
        </w:rPr>
        <w:t>）</w:t>
      </w:r>
    </w:p>
    <w:p>
      <w:pPr>
        <w:spacing w:line="240" w:lineRule="auto" w:before="11"/>
        <w:rPr>
          <w:rFonts w:ascii="宋体" w:hAnsi="宋体" w:cs="宋体" w:eastAsia="宋体" w:hint="default"/>
          <w:sz w:val="12"/>
          <w:szCs w:val="12"/>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4138;height:2" coordorigin="14,14" coordsize="4138,2">
              <v:shape style="position:absolute;left:14;top:14;width:4138;height:2" coordorigin="14,14" coordsize="4138,0" path="m14,14l4152,14e" filled="false" stroked="true" strokeweight="1.44pt" strokecolor="#000000">
                <v:path arrowok="t"/>
              </v:shape>
            </v:group>
            <v:group style="position:absolute;left:4153;top:14;width:29;height:2" coordorigin="4153,14" coordsize="29,2">
              <v:shape style="position:absolute;left:4153;top:14;width:29;height:2" coordorigin="4153,14" coordsize="29,0" path="m4153,14l4181,14e" filled="false" stroked="true" strokeweight="1.44pt" strokecolor="#000000">
                <v:path arrowok="t"/>
              </v:shape>
            </v:group>
            <v:group style="position:absolute;left:4181;top:14;width:2374;height:2" coordorigin="4181,14" coordsize="2374,2">
              <v:shape style="position:absolute;left:4181;top:14;width:2374;height:2" coordorigin="4181,14" coordsize="2374,0" path="m4181,14l6555,14e" filled="false" stroked="true" strokeweight="1.44pt" strokecolor="#000000">
                <v:path arrowok="t"/>
              </v:shape>
            </v:group>
            <v:group style="position:absolute;left:6555;top:14;width:29;height:2" coordorigin="6555,14" coordsize="29,2">
              <v:shape style="position:absolute;left:6555;top:14;width:29;height:2" coordorigin="6555,14" coordsize="29,0" path="m6555,14l6584,14e" filled="false" stroked="true" strokeweight="1.44pt" strokecolor="#000000">
                <v:path arrowok="t"/>
              </v:shape>
            </v:group>
            <v:group style="position:absolute;left:6584;top:14;width:2156;height:2" coordorigin="6584,14" coordsize="2156,2">
              <v:shape style="position:absolute;left:6584;top:14;width:2156;height:2" coordorigin="6584,14" coordsize="2156,0" path="m6584,14l8740,14e" filled="false" stroked="true" strokeweight="1.44pt" strokecolor="#000000">
                <v:path arrowok="t"/>
              </v:shape>
            </v:group>
          </v:group>
        </w:pict>
      </w:r>
      <w:r>
        <w:rPr>
          <w:rFonts w:ascii="宋体" w:hAnsi="宋体" w:cs="宋体" w:eastAsia="宋体" w:hint="default"/>
          <w:position w:val="0"/>
          <w:sz w:val="2"/>
          <w:szCs w:val="2"/>
        </w:rPr>
      </w:r>
    </w:p>
    <w:p>
      <w:pPr>
        <w:tabs>
          <w:tab w:pos="6538" w:val="left" w:leader="none"/>
        </w:tabs>
        <w:spacing w:line="188" w:lineRule="exact" w:before="0"/>
        <w:ind w:left="4246" w:right="0" w:firstLine="0"/>
        <w:jc w:val="center"/>
        <w:rPr>
          <w:rFonts w:ascii="宋体" w:hAnsi="宋体" w:cs="宋体" w:eastAsia="宋体" w:hint="default"/>
          <w:sz w:val="18"/>
          <w:szCs w:val="18"/>
        </w:rPr>
      </w:pPr>
      <w:r>
        <w:rPr>
          <w:rFonts w:ascii="宋体" w:hAnsi="宋体" w:cs="宋体" w:eastAsia="宋体" w:hint="default"/>
          <w:b/>
          <w:bCs/>
          <w:sz w:val="18"/>
          <w:szCs w:val="18"/>
        </w:rPr>
        <w:t>年末余额 </w:t>
      </w:r>
      <w:r>
        <w:rPr>
          <w:rFonts w:ascii="宋体" w:hAnsi="宋体" w:cs="宋体" w:eastAsia="宋体" w:hint="default"/>
          <w:b/>
          <w:bCs/>
          <w:sz w:val="18"/>
          <w:szCs w:val="18"/>
        </w:rPr>
        <w:t>/</w:t>
      </w:r>
      <w:r>
        <w:rPr>
          <w:rFonts w:ascii="宋体" w:hAnsi="宋体" w:cs="宋体" w:eastAsia="宋体" w:hint="default"/>
          <w:b/>
          <w:bCs/>
          <w:spacing w:val="-3"/>
          <w:sz w:val="18"/>
          <w:szCs w:val="18"/>
        </w:rPr>
        <w:t> </w:t>
      </w:r>
      <w:r>
        <w:rPr>
          <w:rFonts w:ascii="宋体" w:hAnsi="宋体" w:cs="宋体" w:eastAsia="宋体" w:hint="default"/>
          <w:b/>
          <w:bCs/>
          <w:sz w:val="18"/>
          <w:szCs w:val="18"/>
        </w:rPr>
        <w:t>本年发生额</w:t>
        <w:tab/>
        <w:t>年初余额 </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上年发生额</w:t>
      </w:r>
      <w:r>
        <w:rPr>
          <w:rFonts w:ascii="宋体" w:hAnsi="宋体" w:cs="宋体" w:eastAsia="宋体" w:hint="default"/>
          <w:sz w:val="18"/>
          <w:szCs w:val="18"/>
        </w:rPr>
      </w:r>
    </w:p>
    <w:p>
      <w:pPr>
        <w:spacing w:line="148" w:lineRule="exact" w:before="0"/>
        <w:ind w:left="242" w:right="0" w:firstLine="0"/>
        <w:jc w:val="left"/>
        <w:rPr>
          <w:rFonts w:ascii="宋体" w:hAnsi="宋体" w:cs="宋体" w:eastAsia="宋体" w:hint="default"/>
          <w:sz w:val="18"/>
          <w:szCs w:val="18"/>
        </w:rPr>
      </w:pPr>
      <w:r>
        <w:rPr/>
        <w:pict>
          <v:group style="position:absolute;margin-left:286.369995pt;margin-top:4.923068pt;width:229.85pt;height:.5pt;mso-position-horizontal-relative:page;mso-position-vertical-relative:paragraph;z-index:4792" coordorigin="5727,98" coordsize="4597,10">
            <v:group style="position:absolute;left:5732;top:103;width:2403;height:2" coordorigin="5732,103" coordsize="2403,2">
              <v:shape style="position:absolute;left:5732;top:103;width:2403;height:2" coordorigin="5732,103" coordsize="2403,0" path="m5732,103l8135,103e" filled="false" stroked="true" strokeweight=".47998pt" strokecolor="#000000">
                <v:path arrowok="t"/>
              </v:shape>
            </v:group>
            <v:group style="position:absolute;left:8135;top:103;width:10;height:2" coordorigin="8135,103" coordsize="10,2">
              <v:shape style="position:absolute;left:8135;top:103;width:10;height:2" coordorigin="8135,103" coordsize="10,0" path="m8135,103l8145,103e" filled="false" stroked="true" strokeweight=".47998pt" strokecolor="#000000">
                <v:path arrowok="t"/>
              </v:shape>
            </v:group>
            <v:group style="position:absolute;left:8145;top:103;width:2175;height:2" coordorigin="8145,103" coordsize="2175,2">
              <v:shape style="position:absolute;left:8145;top:103;width:2175;height:2" coordorigin="8145,103" coordsize="2175,0" path="m8145,103l10319,103e" filled="false" stroked="true" strokeweight=".47998pt" strokecolor="#000000">
                <v:path arrowok="t"/>
              </v:shape>
            </v:group>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spacing w:line="192" w:lineRule="exact" w:before="0"/>
        <w:ind w:left="4136" w:right="0" w:firstLine="0"/>
        <w:jc w:val="center"/>
        <w:rPr>
          <w:rFonts w:ascii="宋体" w:hAnsi="宋体" w:cs="宋体" w:eastAsia="宋体" w:hint="default"/>
          <w:sz w:val="18"/>
          <w:szCs w:val="18"/>
        </w:rPr>
      </w:pPr>
      <w:r>
        <w:rPr>
          <w:rFonts w:ascii="宋体" w:hAnsi="宋体" w:cs="宋体" w:eastAsia="宋体" w:hint="default"/>
          <w:b/>
          <w:bCs/>
          <w:sz w:val="18"/>
          <w:szCs w:val="18"/>
        </w:rPr>
        <w:t>同方莱士医药产业投资（广东）有限公司</w:t>
      </w:r>
      <w:r>
        <w:rPr>
          <w:rFonts w:ascii="宋体" w:hAnsi="宋体" w:cs="宋体" w:eastAsia="宋体" w:hint="default"/>
          <w:sz w:val="18"/>
          <w:szCs w:val="18"/>
        </w:rPr>
      </w:r>
    </w:p>
    <w:p>
      <w:pPr>
        <w:spacing w:line="240" w:lineRule="auto" w:before="6"/>
        <w:rPr>
          <w:rFonts w:ascii="宋体" w:hAnsi="宋体" w:cs="宋体" w:eastAsia="宋体" w:hint="default"/>
          <w:b/>
          <w:bCs/>
          <w:sz w:val="4"/>
          <w:szCs w:val="4"/>
        </w:rPr>
      </w:pPr>
    </w:p>
    <w:tbl>
      <w:tblPr>
        <w:tblW w:w="0" w:type="auto"/>
        <w:jc w:val="left"/>
        <w:tblInd w:w="134" w:type="dxa"/>
        <w:tblLayout w:type="fixed"/>
        <w:tblCellMar>
          <w:top w:w="0" w:type="dxa"/>
          <w:left w:w="0" w:type="dxa"/>
          <w:bottom w:w="0" w:type="dxa"/>
          <w:right w:w="0" w:type="dxa"/>
        </w:tblCellMar>
        <w:tblLook w:val="01E0"/>
      </w:tblPr>
      <w:tblGrid>
        <w:gridCol w:w="3989"/>
        <w:gridCol w:w="2813"/>
        <w:gridCol w:w="1923"/>
      </w:tblGrid>
      <w:tr>
        <w:trPr>
          <w:trHeight w:val="290" w:hRule="exact"/>
        </w:trPr>
        <w:tc>
          <w:tcPr>
            <w:tcW w:w="3989"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813" w:type="dxa"/>
            <w:tcBorders>
              <w:top w:val="single" w:sz="4" w:space="0" w:color="000000"/>
              <w:left w:val="nil" w:sz="6" w:space="0" w:color="auto"/>
              <w:bottom w:val="nil" w:sz="6" w:space="0" w:color="auto"/>
              <w:right w:val="nil" w:sz="6" w:space="0" w:color="auto"/>
            </w:tcBorders>
          </w:tcPr>
          <w:p>
            <w:pPr>
              <w:pStyle w:val="TableParagraph"/>
              <w:spacing w:line="232" w:lineRule="exact"/>
              <w:ind w:right="369"/>
              <w:jc w:val="right"/>
              <w:rPr>
                <w:rFonts w:ascii="宋体" w:hAnsi="宋体" w:cs="宋体" w:eastAsia="宋体" w:hint="default"/>
                <w:sz w:val="18"/>
                <w:szCs w:val="18"/>
              </w:rPr>
            </w:pPr>
            <w:r>
              <w:rPr>
                <w:rFonts w:ascii="宋体"/>
                <w:spacing w:val="-1"/>
                <w:sz w:val="18"/>
              </w:rPr>
              <w:t>2,164,457,637.90</w:t>
            </w:r>
          </w:p>
        </w:tc>
        <w:tc>
          <w:tcPr>
            <w:tcW w:w="1923" w:type="dxa"/>
            <w:tcBorders>
              <w:top w:val="single" w:sz="4" w:space="0" w:color="000000"/>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2,129,198,989.96</w:t>
            </w:r>
          </w:p>
        </w:tc>
      </w:tr>
      <w:tr>
        <w:trPr>
          <w:trHeight w:val="284" w:hRule="exact"/>
        </w:trPr>
        <w:tc>
          <w:tcPr>
            <w:tcW w:w="398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813" w:type="dxa"/>
            <w:tcBorders>
              <w:top w:val="nil" w:sz="6" w:space="0" w:color="auto"/>
              <w:left w:val="nil" w:sz="6" w:space="0" w:color="auto"/>
              <w:bottom w:val="nil" w:sz="6" w:space="0" w:color="auto"/>
              <w:right w:val="nil" w:sz="6" w:space="0" w:color="auto"/>
            </w:tcBorders>
          </w:tcPr>
          <w:p>
            <w:pPr>
              <w:pStyle w:val="TableParagraph"/>
              <w:spacing w:line="233" w:lineRule="exact"/>
              <w:ind w:right="369"/>
              <w:jc w:val="right"/>
              <w:rPr>
                <w:rFonts w:ascii="宋体" w:hAnsi="宋体" w:cs="宋体" w:eastAsia="宋体" w:hint="default"/>
                <w:sz w:val="18"/>
                <w:szCs w:val="18"/>
              </w:rPr>
            </w:pPr>
            <w:r>
              <w:rPr>
                <w:rFonts w:ascii="宋体"/>
                <w:spacing w:val="-1"/>
                <w:sz w:val="18"/>
              </w:rPr>
              <w:t>1,752,041,724.33</w:t>
            </w:r>
          </w:p>
        </w:tc>
        <w:tc>
          <w:tcPr>
            <w:tcW w:w="1923"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1,900,836,000.00</w:t>
            </w:r>
          </w:p>
        </w:tc>
      </w:tr>
      <w:tr>
        <w:trPr>
          <w:trHeight w:val="284" w:hRule="exact"/>
        </w:trPr>
        <w:tc>
          <w:tcPr>
            <w:tcW w:w="398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813" w:type="dxa"/>
            <w:tcBorders>
              <w:top w:val="nil" w:sz="6" w:space="0" w:color="auto"/>
              <w:left w:val="nil" w:sz="6" w:space="0" w:color="auto"/>
              <w:bottom w:val="nil" w:sz="6" w:space="0" w:color="auto"/>
              <w:right w:val="nil" w:sz="6" w:space="0" w:color="auto"/>
            </w:tcBorders>
          </w:tcPr>
          <w:p>
            <w:pPr>
              <w:pStyle w:val="TableParagraph"/>
              <w:spacing w:line="232" w:lineRule="exact"/>
              <w:ind w:right="369"/>
              <w:jc w:val="right"/>
              <w:rPr>
                <w:rFonts w:ascii="宋体" w:hAnsi="宋体" w:cs="宋体" w:eastAsia="宋体" w:hint="default"/>
                <w:sz w:val="18"/>
                <w:szCs w:val="18"/>
              </w:rPr>
            </w:pPr>
            <w:r>
              <w:rPr>
                <w:rFonts w:ascii="宋体"/>
                <w:spacing w:val="-1"/>
                <w:sz w:val="18"/>
              </w:rPr>
              <w:t>3,916,499,362.23</w:t>
            </w:r>
          </w:p>
        </w:tc>
        <w:tc>
          <w:tcPr>
            <w:tcW w:w="1923"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4,030,034,989.96</w:t>
            </w:r>
          </w:p>
        </w:tc>
      </w:tr>
      <w:tr>
        <w:trPr>
          <w:trHeight w:val="286" w:hRule="exact"/>
        </w:trPr>
        <w:tc>
          <w:tcPr>
            <w:tcW w:w="398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813" w:type="dxa"/>
            <w:tcBorders>
              <w:top w:val="nil" w:sz="6" w:space="0" w:color="auto"/>
              <w:left w:val="nil" w:sz="6" w:space="0" w:color="auto"/>
              <w:bottom w:val="nil" w:sz="6" w:space="0" w:color="auto"/>
              <w:right w:val="nil" w:sz="6" w:space="0" w:color="auto"/>
            </w:tcBorders>
          </w:tcPr>
          <w:p>
            <w:pPr>
              <w:pStyle w:val="TableParagraph"/>
              <w:spacing w:line="233" w:lineRule="exact"/>
              <w:ind w:right="369"/>
              <w:jc w:val="right"/>
              <w:rPr>
                <w:rFonts w:ascii="宋体" w:hAnsi="宋体" w:cs="宋体" w:eastAsia="宋体" w:hint="default"/>
                <w:sz w:val="18"/>
                <w:szCs w:val="18"/>
              </w:rPr>
            </w:pPr>
            <w:r>
              <w:rPr>
                <w:rFonts w:ascii="宋体"/>
                <w:spacing w:val="-1"/>
                <w:sz w:val="18"/>
              </w:rPr>
              <w:t>26,892,340.23</w:t>
            </w:r>
          </w:p>
        </w:tc>
        <w:tc>
          <w:tcPr>
            <w:tcW w:w="1923"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17,046,951.26</w:t>
            </w:r>
          </w:p>
        </w:tc>
      </w:tr>
      <w:tr>
        <w:trPr>
          <w:trHeight w:val="286" w:hRule="exact"/>
        </w:trPr>
        <w:tc>
          <w:tcPr>
            <w:tcW w:w="398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813" w:type="dxa"/>
            <w:tcBorders>
              <w:top w:val="nil" w:sz="6" w:space="0" w:color="auto"/>
              <w:left w:val="nil" w:sz="6" w:space="0" w:color="auto"/>
              <w:bottom w:val="nil" w:sz="6" w:space="0" w:color="auto"/>
              <w:right w:val="nil" w:sz="6" w:space="0" w:color="auto"/>
            </w:tcBorders>
          </w:tcPr>
          <w:p>
            <w:pPr>
              <w:pStyle w:val="TableParagraph"/>
              <w:spacing w:line="233" w:lineRule="exact"/>
              <w:ind w:right="369"/>
              <w:jc w:val="right"/>
              <w:rPr>
                <w:rFonts w:ascii="宋体" w:hAnsi="宋体" w:cs="宋体" w:eastAsia="宋体" w:hint="default"/>
                <w:sz w:val="18"/>
                <w:szCs w:val="18"/>
              </w:rPr>
            </w:pPr>
            <w:r>
              <w:rPr>
                <w:rFonts w:ascii="宋体"/>
                <w:spacing w:val="-1"/>
                <w:sz w:val="18"/>
              </w:rPr>
              <w:t>2,044,079,346.37</w:t>
            </w:r>
          </w:p>
        </w:tc>
        <w:tc>
          <w:tcPr>
            <w:tcW w:w="1923"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2,005,284,727.60</w:t>
            </w:r>
          </w:p>
        </w:tc>
      </w:tr>
      <w:tr>
        <w:trPr>
          <w:trHeight w:val="284" w:hRule="exact"/>
        </w:trPr>
        <w:tc>
          <w:tcPr>
            <w:tcW w:w="398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813" w:type="dxa"/>
            <w:tcBorders>
              <w:top w:val="nil" w:sz="6" w:space="0" w:color="auto"/>
              <w:left w:val="nil" w:sz="6" w:space="0" w:color="auto"/>
              <w:bottom w:val="nil" w:sz="6" w:space="0" w:color="auto"/>
              <w:right w:val="nil" w:sz="6" w:space="0" w:color="auto"/>
            </w:tcBorders>
          </w:tcPr>
          <w:p>
            <w:pPr>
              <w:pStyle w:val="TableParagraph"/>
              <w:spacing w:line="233" w:lineRule="exact"/>
              <w:ind w:right="369"/>
              <w:jc w:val="right"/>
              <w:rPr>
                <w:rFonts w:ascii="宋体" w:hAnsi="宋体" w:cs="宋体" w:eastAsia="宋体" w:hint="default"/>
                <w:sz w:val="18"/>
                <w:szCs w:val="18"/>
              </w:rPr>
            </w:pPr>
            <w:r>
              <w:rPr>
                <w:rFonts w:ascii="宋体"/>
                <w:spacing w:val="-1"/>
                <w:sz w:val="18"/>
              </w:rPr>
              <w:t>2,070,971,686.60</w:t>
            </w:r>
          </w:p>
        </w:tc>
        <w:tc>
          <w:tcPr>
            <w:tcW w:w="1923"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2,022,331,678.86</w:t>
            </w:r>
          </w:p>
        </w:tc>
      </w:tr>
      <w:tr>
        <w:trPr>
          <w:trHeight w:val="284" w:hRule="exact"/>
        </w:trPr>
        <w:tc>
          <w:tcPr>
            <w:tcW w:w="398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813" w:type="dxa"/>
            <w:tcBorders>
              <w:top w:val="nil" w:sz="6" w:space="0" w:color="auto"/>
              <w:left w:val="nil" w:sz="6" w:space="0" w:color="auto"/>
              <w:bottom w:val="nil" w:sz="6" w:space="0" w:color="auto"/>
              <w:right w:val="nil" w:sz="6" w:space="0" w:color="auto"/>
            </w:tcBorders>
          </w:tcPr>
          <w:p>
            <w:pPr>
              <w:pStyle w:val="TableParagraph"/>
              <w:spacing w:line="232" w:lineRule="exact"/>
              <w:ind w:right="368"/>
              <w:jc w:val="right"/>
              <w:rPr>
                <w:rFonts w:ascii="宋体" w:hAnsi="宋体" w:cs="宋体" w:eastAsia="宋体" w:hint="default"/>
                <w:sz w:val="18"/>
                <w:szCs w:val="18"/>
              </w:rPr>
            </w:pPr>
            <w:r>
              <w:rPr>
                <w:rFonts w:ascii="宋体"/>
                <w:sz w:val="18"/>
              </w:rPr>
              <w:t>0.00</w:t>
            </w:r>
          </w:p>
        </w:tc>
        <w:tc>
          <w:tcPr>
            <w:tcW w:w="1923" w:type="dxa"/>
            <w:tcBorders>
              <w:top w:val="nil" w:sz="6" w:space="0" w:color="auto"/>
              <w:left w:val="nil" w:sz="6" w:space="0" w:color="auto"/>
              <w:bottom w:val="nil" w:sz="6" w:space="0" w:color="auto"/>
              <w:right w:val="nil" w:sz="6" w:space="0" w:color="auto"/>
            </w:tcBorders>
          </w:tcPr>
          <w:p>
            <w:pPr>
              <w:pStyle w:val="TableParagraph"/>
              <w:spacing w:line="232" w:lineRule="exact"/>
              <w:ind w:right="109"/>
              <w:jc w:val="right"/>
              <w:rPr>
                <w:rFonts w:ascii="宋体" w:hAnsi="宋体" w:cs="宋体" w:eastAsia="宋体" w:hint="default"/>
                <w:sz w:val="18"/>
                <w:szCs w:val="18"/>
              </w:rPr>
            </w:pPr>
            <w:r>
              <w:rPr>
                <w:rFonts w:ascii="宋体"/>
                <w:sz w:val="18"/>
              </w:rPr>
              <w:t>0.00</w:t>
            </w:r>
          </w:p>
        </w:tc>
      </w:tr>
      <w:tr>
        <w:trPr>
          <w:trHeight w:val="286" w:hRule="exact"/>
        </w:trPr>
        <w:tc>
          <w:tcPr>
            <w:tcW w:w="398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813" w:type="dxa"/>
            <w:tcBorders>
              <w:top w:val="nil" w:sz="6" w:space="0" w:color="auto"/>
              <w:left w:val="nil" w:sz="6" w:space="0" w:color="auto"/>
              <w:bottom w:val="nil" w:sz="6" w:space="0" w:color="auto"/>
              <w:right w:val="nil" w:sz="6" w:space="0" w:color="auto"/>
            </w:tcBorders>
          </w:tcPr>
          <w:p>
            <w:pPr>
              <w:pStyle w:val="TableParagraph"/>
              <w:spacing w:line="233" w:lineRule="exact"/>
              <w:ind w:right="369"/>
              <w:jc w:val="right"/>
              <w:rPr>
                <w:rFonts w:ascii="宋体" w:hAnsi="宋体" w:cs="宋体" w:eastAsia="宋体" w:hint="default"/>
                <w:sz w:val="18"/>
                <w:szCs w:val="18"/>
              </w:rPr>
            </w:pPr>
            <w:r>
              <w:rPr>
                <w:rFonts w:ascii="宋体"/>
                <w:spacing w:val="-1"/>
                <w:sz w:val="18"/>
              </w:rPr>
              <w:t>1,845,527,675.63</w:t>
            </w:r>
          </w:p>
        </w:tc>
        <w:tc>
          <w:tcPr>
            <w:tcW w:w="1923"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2,007,703,311.10</w:t>
            </w:r>
          </w:p>
        </w:tc>
      </w:tr>
      <w:tr>
        <w:trPr>
          <w:trHeight w:val="286" w:hRule="exact"/>
        </w:trPr>
        <w:tc>
          <w:tcPr>
            <w:tcW w:w="398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13" w:type="dxa"/>
            <w:tcBorders>
              <w:top w:val="nil" w:sz="6" w:space="0" w:color="auto"/>
              <w:left w:val="nil" w:sz="6" w:space="0" w:color="auto"/>
              <w:bottom w:val="nil" w:sz="6" w:space="0" w:color="auto"/>
              <w:right w:val="nil" w:sz="6" w:space="0" w:color="auto"/>
            </w:tcBorders>
          </w:tcPr>
          <w:p>
            <w:pPr>
              <w:pStyle w:val="TableParagraph"/>
              <w:spacing w:line="233" w:lineRule="exact"/>
              <w:ind w:right="368"/>
              <w:jc w:val="right"/>
              <w:rPr>
                <w:rFonts w:ascii="宋体" w:hAnsi="宋体" w:cs="宋体" w:eastAsia="宋体" w:hint="default"/>
                <w:sz w:val="18"/>
                <w:szCs w:val="18"/>
              </w:rPr>
            </w:pPr>
            <w:r>
              <w:rPr>
                <w:rFonts w:ascii="宋体"/>
                <w:sz w:val="18"/>
              </w:rPr>
              <w:t>0.00</w:t>
            </w:r>
          </w:p>
        </w:tc>
        <w:tc>
          <w:tcPr>
            <w:tcW w:w="1923" w:type="dxa"/>
            <w:tcBorders>
              <w:top w:val="nil" w:sz="6" w:space="0" w:color="auto"/>
              <w:left w:val="nil" w:sz="6" w:space="0" w:color="auto"/>
              <w:bottom w:val="nil" w:sz="6" w:space="0" w:color="auto"/>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sz w:val="18"/>
              </w:rPr>
              <w:t>0.00</w:t>
            </w:r>
          </w:p>
        </w:tc>
      </w:tr>
      <w:tr>
        <w:trPr>
          <w:trHeight w:val="284" w:hRule="exact"/>
        </w:trPr>
        <w:tc>
          <w:tcPr>
            <w:tcW w:w="398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813" w:type="dxa"/>
            <w:tcBorders>
              <w:top w:val="nil" w:sz="6" w:space="0" w:color="auto"/>
              <w:left w:val="nil" w:sz="6" w:space="0" w:color="auto"/>
              <w:bottom w:val="nil" w:sz="6" w:space="0" w:color="auto"/>
              <w:right w:val="nil" w:sz="6" w:space="0" w:color="auto"/>
            </w:tcBorders>
          </w:tcPr>
          <w:p>
            <w:pPr>
              <w:pStyle w:val="TableParagraph"/>
              <w:spacing w:line="233" w:lineRule="exact"/>
              <w:ind w:right="369"/>
              <w:jc w:val="right"/>
              <w:rPr>
                <w:rFonts w:ascii="宋体" w:hAnsi="宋体" w:cs="宋体" w:eastAsia="宋体" w:hint="default"/>
                <w:sz w:val="18"/>
                <w:szCs w:val="18"/>
              </w:rPr>
            </w:pPr>
            <w:r>
              <w:rPr>
                <w:rFonts w:ascii="宋体"/>
                <w:spacing w:val="-1"/>
                <w:sz w:val="18"/>
              </w:rPr>
              <w:t>-78,187,172.76</w:t>
            </w:r>
          </w:p>
        </w:tc>
        <w:tc>
          <w:tcPr>
            <w:tcW w:w="1923"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7,703,311.10</w:t>
            </w:r>
          </w:p>
        </w:tc>
      </w:tr>
      <w:tr>
        <w:trPr>
          <w:trHeight w:val="284" w:hRule="exact"/>
        </w:trPr>
        <w:tc>
          <w:tcPr>
            <w:tcW w:w="398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归属于母公司所有者的其他综合收益</w:t>
            </w:r>
          </w:p>
        </w:tc>
        <w:tc>
          <w:tcPr>
            <w:tcW w:w="2813" w:type="dxa"/>
            <w:tcBorders>
              <w:top w:val="nil" w:sz="6" w:space="0" w:color="auto"/>
              <w:left w:val="nil" w:sz="6" w:space="0" w:color="auto"/>
              <w:bottom w:val="nil" w:sz="6" w:space="0" w:color="auto"/>
              <w:right w:val="nil" w:sz="6" w:space="0" w:color="auto"/>
            </w:tcBorders>
          </w:tcPr>
          <w:p>
            <w:pPr>
              <w:pStyle w:val="TableParagraph"/>
              <w:spacing w:line="232" w:lineRule="exact"/>
              <w:ind w:right="369"/>
              <w:jc w:val="right"/>
              <w:rPr>
                <w:rFonts w:ascii="宋体" w:hAnsi="宋体" w:cs="宋体" w:eastAsia="宋体" w:hint="default"/>
                <w:sz w:val="18"/>
                <w:szCs w:val="18"/>
              </w:rPr>
            </w:pPr>
            <w:r>
              <w:rPr>
                <w:rFonts w:ascii="宋体"/>
                <w:spacing w:val="-1"/>
                <w:sz w:val="18"/>
              </w:rPr>
              <w:t>-83,988,462.71</w:t>
            </w:r>
          </w:p>
        </w:tc>
        <w:tc>
          <w:tcPr>
            <w:tcW w:w="1923" w:type="dxa"/>
            <w:tcBorders>
              <w:top w:val="nil" w:sz="6" w:space="0" w:color="auto"/>
              <w:left w:val="nil" w:sz="6" w:space="0" w:color="auto"/>
              <w:bottom w:val="nil" w:sz="6" w:space="0" w:color="auto"/>
              <w:right w:val="nil" w:sz="6" w:space="0" w:color="auto"/>
            </w:tcBorders>
          </w:tcPr>
          <w:p>
            <w:pPr>
              <w:pStyle w:val="TableParagraph"/>
              <w:spacing w:line="232" w:lineRule="exact"/>
              <w:ind w:right="109"/>
              <w:jc w:val="right"/>
              <w:rPr>
                <w:rFonts w:ascii="宋体" w:hAnsi="宋体" w:cs="宋体" w:eastAsia="宋体" w:hint="default"/>
                <w:sz w:val="18"/>
                <w:szCs w:val="18"/>
              </w:rPr>
            </w:pPr>
            <w:r>
              <w:rPr>
                <w:rFonts w:ascii="宋体"/>
                <w:sz w:val="18"/>
              </w:rPr>
              <w:t>0.00</w:t>
            </w:r>
          </w:p>
        </w:tc>
      </w:tr>
      <w:tr>
        <w:trPr>
          <w:trHeight w:val="303" w:hRule="exact"/>
        </w:trPr>
        <w:tc>
          <w:tcPr>
            <w:tcW w:w="3989" w:type="dxa"/>
            <w:tcBorders>
              <w:top w:val="nil" w:sz="6" w:space="0" w:color="auto"/>
              <w:left w:val="nil" w:sz="6" w:space="0" w:color="auto"/>
              <w:bottom w:val="single" w:sz="1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813" w:type="dxa"/>
            <w:tcBorders>
              <w:top w:val="nil" w:sz="6" w:space="0" w:color="auto"/>
              <w:left w:val="nil" w:sz="6" w:space="0" w:color="auto"/>
              <w:bottom w:val="single" w:sz="12" w:space="0" w:color="000000"/>
              <w:right w:val="nil" w:sz="6" w:space="0" w:color="auto"/>
            </w:tcBorders>
          </w:tcPr>
          <w:p>
            <w:pPr>
              <w:pStyle w:val="TableParagraph"/>
              <w:spacing w:line="233" w:lineRule="exact"/>
              <w:ind w:right="369"/>
              <w:jc w:val="right"/>
              <w:rPr>
                <w:rFonts w:ascii="宋体" w:hAnsi="宋体" w:cs="宋体" w:eastAsia="宋体" w:hint="default"/>
                <w:sz w:val="18"/>
                <w:szCs w:val="18"/>
              </w:rPr>
            </w:pPr>
            <w:r>
              <w:rPr>
                <w:rFonts w:ascii="宋体"/>
                <w:spacing w:val="-1"/>
                <w:sz w:val="18"/>
              </w:rPr>
              <w:t>-162,175,635.47</w:t>
            </w:r>
          </w:p>
        </w:tc>
        <w:tc>
          <w:tcPr>
            <w:tcW w:w="1923" w:type="dxa"/>
            <w:tcBorders>
              <w:top w:val="nil" w:sz="6" w:space="0" w:color="auto"/>
              <w:left w:val="nil" w:sz="6" w:space="0" w:color="auto"/>
              <w:bottom w:val="single" w:sz="12" w:space="0" w:color="000000"/>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7,703,311.10</w:t>
            </w:r>
          </w:p>
        </w:tc>
      </w:tr>
    </w:tbl>
    <w:p>
      <w:pPr>
        <w:spacing w:before="67"/>
        <w:ind w:left="592" w:right="0" w:firstLine="0"/>
        <w:jc w:val="left"/>
        <w:rPr>
          <w:rFonts w:ascii="宋体" w:hAnsi="宋体" w:cs="宋体" w:eastAsia="宋体" w:hint="default"/>
          <w:sz w:val="22"/>
          <w:szCs w:val="22"/>
        </w:rPr>
      </w:pPr>
      <w:r>
        <w:rPr>
          <w:rFonts w:ascii="宋体" w:hAnsi="宋体" w:cs="宋体" w:eastAsia="宋体" w:hint="default"/>
          <w:sz w:val="22"/>
          <w:szCs w:val="22"/>
        </w:rPr>
        <w:t>（续</w:t>
      </w:r>
      <w:r>
        <w:rPr>
          <w:rFonts w:ascii="宋体" w:hAnsi="宋体" w:cs="宋体" w:eastAsia="宋体" w:hint="default"/>
          <w:spacing w:val="-53"/>
          <w:sz w:val="22"/>
          <w:szCs w:val="22"/>
        </w:rPr>
        <w:t> </w:t>
      </w:r>
      <w:r>
        <w:rPr>
          <w:rFonts w:ascii="宋体" w:hAnsi="宋体" w:cs="宋体" w:eastAsia="宋体" w:hint="default"/>
          <w:sz w:val="22"/>
          <w:szCs w:val="22"/>
        </w:rPr>
        <w:t>3</w:t>
      </w:r>
      <w:r>
        <w:rPr>
          <w:rFonts w:ascii="宋体" w:hAnsi="宋体" w:cs="宋体" w:eastAsia="宋体" w:hint="default"/>
          <w:sz w:val="22"/>
          <w:szCs w:val="22"/>
        </w:rPr>
        <w:t>）</w:t>
      </w:r>
    </w:p>
    <w:p>
      <w:pPr>
        <w:spacing w:line="240" w:lineRule="auto" w:before="9"/>
        <w:rPr>
          <w:rFonts w:ascii="宋体" w:hAnsi="宋体" w:cs="宋体" w:eastAsia="宋体" w:hint="default"/>
          <w:sz w:val="12"/>
          <w:szCs w:val="12"/>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4107;height:2" coordorigin="14,14" coordsize="4107,2">
              <v:shape style="position:absolute;left:14;top:14;width:4107;height:2" coordorigin="14,14" coordsize="4107,0" path="m14,14l4121,14e" filled="false" stroked="true" strokeweight="1.44pt" strokecolor="#000000">
                <v:path arrowok="t"/>
              </v:shape>
            </v:group>
            <v:group style="position:absolute;left:4121;top:14;width:29;height:2" coordorigin="4121,14" coordsize="29,2">
              <v:shape style="position:absolute;left:4121;top:14;width:29;height:2" coordorigin="4121,14" coordsize="29,0" path="m4121,14l4150,14e" filled="false" stroked="true" strokeweight="1.44pt" strokecolor="#000000">
                <v:path arrowok="t"/>
              </v:shape>
            </v:group>
            <v:group style="position:absolute;left:4150;top:14;width:2408;height:2" coordorigin="4150,14" coordsize="2408,2">
              <v:shape style="position:absolute;left:4150;top:14;width:2408;height:2" coordorigin="4150,14" coordsize="2408,0" path="m4150,14l6558,14e" filled="false" stroked="true" strokeweight="1.44pt" strokecolor="#000000">
                <v:path arrowok="t"/>
              </v:shape>
            </v:group>
            <v:group style="position:absolute;left:6558;top:14;width:29;height:2" coordorigin="6558,14" coordsize="29,2">
              <v:shape style="position:absolute;left:6558;top:14;width:29;height:2" coordorigin="6558,14" coordsize="29,0" path="m6558,14l6587,14e" filled="false" stroked="true" strokeweight="1.44pt" strokecolor="#000000">
                <v:path arrowok="t"/>
              </v:shape>
            </v:group>
            <v:group style="position:absolute;left:6587;top:14;width:2154;height:2" coordorigin="6587,14" coordsize="2154,2">
              <v:shape style="position:absolute;left:6587;top:14;width:2154;height:2" coordorigin="6587,14" coordsize="2154,0" path="m6587,14l8740,14e" filled="false" stroked="true" strokeweight="1.44pt" strokecolor="#000000">
                <v:path arrowok="t"/>
              </v:shape>
            </v:group>
          </v:group>
        </w:pict>
      </w:r>
      <w:r>
        <w:rPr>
          <w:rFonts w:ascii="宋体" w:hAnsi="宋体" w:cs="宋体" w:eastAsia="宋体" w:hint="default"/>
          <w:position w:val="0"/>
          <w:sz w:val="2"/>
          <w:szCs w:val="2"/>
        </w:rPr>
      </w:r>
    </w:p>
    <w:p>
      <w:pPr>
        <w:tabs>
          <w:tab w:pos="6547" w:val="left" w:leader="none"/>
        </w:tabs>
        <w:spacing w:line="189" w:lineRule="exact" w:before="0"/>
        <w:ind w:left="4238" w:right="0" w:firstLine="0"/>
        <w:jc w:val="center"/>
        <w:rPr>
          <w:rFonts w:ascii="宋体" w:hAnsi="宋体" w:cs="宋体" w:eastAsia="宋体" w:hint="default"/>
          <w:sz w:val="18"/>
          <w:szCs w:val="18"/>
        </w:rPr>
      </w:pPr>
      <w:r>
        <w:rPr>
          <w:rFonts w:ascii="宋体" w:hAnsi="宋体" w:cs="宋体" w:eastAsia="宋体" w:hint="default"/>
          <w:b/>
          <w:bCs/>
          <w:sz w:val="18"/>
          <w:szCs w:val="18"/>
        </w:rPr>
        <w:t>年末余额 </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本年发生额</w:t>
        <w:tab/>
        <w:t>年初余额 </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上年发生额</w:t>
      </w:r>
      <w:r>
        <w:rPr>
          <w:rFonts w:ascii="宋体" w:hAnsi="宋体" w:cs="宋体" w:eastAsia="宋体" w:hint="default"/>
          <w:sz w:val="18"/>
          <w:szCs w:val="18"/>
        </w:rPr>
      </w:r>
    </w:p>
    <w:p>
      <w:pPr>
        <w:spacing w:line="148" w:lineRule="exact" w:before="0"/>
        <w:ind w:left="242" w:right="0" w:firstLine="0"/>
        <w:jc w:val="left"/>
        <w:rPr>
          <w:rFonts w:ascii="宋体" w:hAnsi="宋体" w:cs="宋体" w:eastAsia="宋体" w:hint="default"/>
          <w:sz w:val="18"/>
          <w:szCs w:val="18"/>
        </w:rPr>
      </w:pPr>
      <w:r>
        <w:rPr/>
        <w:pict>
          <v:group style="position:absolute;margin-left:284.809967pt;margin-top:4.863008pt;width:231.4pt;height:.5pt;mso-position-horizontal-relative:page;mso-position-vertical-relative:paragraph;z-index:4816" coordorigin="5696,97" coordsize="4628,10">
            <v:group style="position:absolute;left:5701;top:102;width:2437;height:2" coordorigin="5701,102" coordsize="2437,2">
              <v:shape style="position:absolute;left:5701;top:102;width:2437;height:2" coordorigin="5701,102" coordsize="2437,0" path="m5701,102l8137,102e" filled="false" stroked="true" strokeweight=".48004pt" strokecolor="#000000">
                <v:path arrowok="t"/>
              </v:shape>
            </v:group>
            <v:group style="position:absolute;left:8137;top:102;width:10;height:2" coordorigin="8137,102" coordsize="10,2">
              <v:shape style="position:absolute;left:8137;top:102;width:10;height:2" coordorigin="8137,102" coordsize="10,0" path="m8137,102l8147,102e" filled="false" stroked="true" strokeweight=".48004pt" strokecolor="#000000">
                <v:path arrowok="t"/>
              </v:shape>
            </v:group>
            <v:group style="position:absolute;left:8147;top:102;width:2173;height:2" coordorigin="8147,102" coordsize="2173,2">
              <v:shape style="position:absolute;left:8147;top:102;width:2173;height:2" coordorigin="8147,102" coordsize="2173,0" path="m8147,102l10319,102e" filled="false" stroked="true" strokeweight=".48004pt" strokecolor="#000000">
                <v:path arrowok="t"/>
              </v:shape>
            </v:group>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spacing w:line="191" w:lineRule="exact" w:before="0"/>
        <w:ind w:left="4108" w:right="0" w:firstLine="0"/>
        <w:jc w:val="center"/>
        <w:rPr>
          <w:rFonts w:ascii="宋体" w:hAnsi="宋体" w:cs="宋体" w:eastAsia="宋体" w:hint="default"/>
          <w:sz w:val="18"/>
          <w:szCs w:val="18"/>
        </w:rPr>
      </w:pPr>
      <w:r>
        <w:rPr>
          <w:rFonts w:ascii="宋体" w:hAnsi="宋体" w:cs="宋体" w:eastAsia="宋体" w:hint="default"/>
          <w:b/>
          <w:bCs/>
          <w:sz w:val="18"/>
          <w:szCs w:val="18"/>
        </w:rPr>
        <w:t>中国医疗网络有限公司</w:t>
      </w:r>
      <w:r>
        <w:rPr>
          <w:rFonts w:ascii="宋体" w:hAnsi="宋体" w:cs="宋体" w:eastAsia="宋体" w:hint="default"/>
          <w:sz w:val="18"/>
          <w:szCs w:val="18"/>
        </w:rPr>
      </w:r>
    </w:p>
    <w:p>
      <w:pPr>
        <w:spacing w:line="240" w:lineRule="auto" w:before="6"/>
        <w:rPr>
          <w:rFonts w:ascii="宋体" w:hAnsi="宋体" w:cs="宋体" w:eastAsia="宋体" w:hint="default"/>
          <w:b/>
          <w:bCs/>
          <w:sz w:val="4"/>
          <w:szCs w:val="4"/>
        </w:rPr>
      </w:pPr>
    </w:p>
    <w:tbl>
      <w:tblPr>
        <w:tblW w:w="0" w:type="auto"/>
        <w:jc w:val="left"/>
        <w:tblInd w:w="134" w:type="dxa"/>
        <w:tblLayout w:type="fixed"/>
        <w:tblCellMar>
          <w:top w:w="0" w:type="dxa"/>
          <w:left w:w="0" w:type="dxa"/>
          <w:bottom w:w="0" w:type="dxa"/>
          <w:right w:w="0" w:type="dxa"/>
        </w:tblCellMar>
        <w:tblLook w:val="01E0"/>
      </w:tblPr>
      <w:tblGrid>
        <w:gridCol w:w="3002"/>
        <w:gridCol w:w="3804"/>
        <w:gridCol w:w="1920"/>
      </w:tblGrid>
      <w:tr>
        <w:trPr>
          <w:trHeight w:val="289" w:hRule="exact"/>
        </w:trPr>
        <w:tc>
          <w:tcPr>
            <w:tcW w:w="3002"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804" w:type="dxa"/>
            <w:tcBorders>
              <w:top w:val="single" w:sz="4" w:space="0" w:color="000000"/>
              <w:left w:val="nil" w:sz="6" w:space="0" w:color="auto"/>
              <w:bottom w:val="nil" w:sz="6" w:space="0" w:color="auto"/>
              <w:right w:val="nil" w:sz="6" w:space="0" w:color="auto"/>
            </w:tcBorders>
          </w:tcPr>
          <w:p>
            <w:pPr>
              <w:pStyle w:val="TableParagraph"/>
              <w:spacing w:line="232" w:lineRule="exact"/>
              <w:ind w:right="368"/>
              <w:jc w:val="right"/>
              <w:rPr>
                <w:rFonts w:ascii="宋体" w:hAnsi="宋体" w:cs="宋体" w:eastAsia="宋体" w:hint="default"/>
                <w:sz w:val="18"/>
                <w:szCs w:val="18"/>
              </w:rPr>
            </w:pPr>
            <w:r>
              <w:rPr>
                <w:rFonts w:ascii="宋体"/>
                <w:spacing w:val="-1"/>
                <w:sz w:val="18"/>
              </w:rPr>
              <w:t>1,000,042,984.20</w:t>
            </w:r>
          </w:p>
        </w:tc>
        <w:tc>
          <w:tcPr>
            <w:tcW w:w="1920" w:type="dxa"/>
            <w:tcBorders>
              <w:top w:val="single" w:sz="4" w:space="0" w:color="000000"/>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1,768,217,977.11</w:t>
            </w:r>
          </w:p>
        </w:tc>
      </w:tr>
      <w:tr>
        <w:trPr>
          <w:trHeight w:val="286" w:hRule="exact"/>
        </w:trPr>
        <w:tc>
          <w:tcPr>
            <w:tcW w:w="3002"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804" w:type="dxa"/>
            <w:tcBorders>
              <w:top w:val="nil" w:sz="6" w:space="0" w:color="auto"/>
              <w:left w:val="nil" w:sz="6" w:space="0" w:color="auto"/>
              <w:bottom w:val="nil" w:sz="6" w:space="0" w:color="auto"/>
              <w:right w:val="nil" w:sz="6" w:space="0" w:color="auto"/>
            </w:tcBorders>
          </w:tcPr>
          <w:p>
            <w:pPr>
              <w:pStyle w:val="TableParagraph"/>
              <w:spacing w:line="233" w:lineRule="exact"/>
              <w:ind w:right="368"/>
              <w:jc w:val="right"/>
              <w:rPr>
                <w:rFonts w:ascii="宋体" w:hAnsi="宋体" w:cs="宋体" w:eastAsia="宋体" w:hint="default"/>
                <w:sz w:val="18"/>
                <w:szCs w:val="18"/>
              </w:rPr>
            </w:pPr>
            <w:r>
              <w:rPr>
                <w:rFonts w:ascii="宋体"/>
                <w:spacing w:val="-1"/>
                <w:sz w:val="18"/>
              </w:rPr>
              <w:t>1,940,904,791.80</w:t>
            </w:r>
          </w:p>
        </w:tc>
        <w:tc>
          <w:tcPr>
            <w:tcW w:w="1920"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1,940,202,280.06</w:t>
            </w:r>
          </w:p>
        </w:tc>
      </w:tr>
      <w:tr>
        <w:trPr>
          <w:trHeight w:val="284" w:hRule="exact"/>
        </w:trPr>
        <w:tc>
          <w:tcPr>
            <w:tcW w:w="3002"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804" w:type="dxa"/>
            <w:tcBorders>
              <w:top w:val="nil" w:sz="6" w:space="0" w:color="auto"/>
              <w:left w:val="nil" w:sz="6" w:space="0" w:color="auto"/>
              <w:bottom w:val="nil" w:sz="6" w:space="0" w:color="auto"/>
              <w:right w:val="nil" w:sz="6" w:space="0" w:color="auto"/>
            </w:tcBorders>
          </w:tcPr>
          <w:p>
            <w:pPr>
              <w:pStyle w:val="TableParagraph"/>
              <w:spacing w:line="233" w:lineRule="exact"/>
              <w:ind w:right="368"/>
              <w:jc w:val="right"/>
              <w:rPr>
                <w:rFonts w:ascii="宋体" w:hAnsi="宋体" w:cs="宋体" w:eastAsia="宋体" w:hint="default"/>
                <w:sz w:val="18"/>
                <w:szCs w:val="18"/>
              </w:rPr>
            </w:pPr>
            <w:r>
              <w:rPr>
                <w:rFonts w:ascii="宋体"/>
                <w:spacing w:val="-1"/>
                <w:sz w:val="18"/>
              </w:rPr>
              <w:t>2,940,947,776.00</w:t>
            </w:r>
          </w:p>
        </w:tc>
        <w:tc>
          <w:tcPr>
            <w:tcW w:w="1920"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3,708,420,257.17</w:t>
            </w:r>
          </w:p>
        </w:tc>
      </w:tr>
      <w:tr>
        <w:trPr>
          <w:trHeight w:val="284" w:hRule="exact"/>
        </w:trPr>
        <w:tc>
          <w:tcPr>
            <w:tcW w:w="300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804" w:type="dxa"/>
            <w:tcBorders>
              <w:top w:val="nil" w:sz="6" w:space="0" w:color="auto"/>
              <w:left w:val="nil" w:sz="6" w:space="0" w:color="auto"/>
              <w:bottom w:val="nil" w:sz="6" w:space="0" w:color="auto"/>
              <w:right w:val="nil" w:sz="6" w:space="0" w:color="auto"/>
            </w:tcBorders>
          </w:tcPr>
          <w:p>
            <w:pPr>
              <w:pStyle w:val="TableParagraph"/>
              <w:spacing w:line="232" w:lineRule="exact"/>
              <w:ind w:right="367"/>
              <w:jc w:val="right"/>
              <w:rPr>
                <w:rFonts w:ascii="宋体" w:hAnsi="宋体" w:cs="宋体" w:eastAsia="宋体" w:hint="default"/>
                <w:sz w:val="18"/>
                <w:szCs w:val="18"/>
              </w:rPr>
            </w:pPr>
            <w:r>
              <w:rPr>
                <w:rFonts w:ascii="宋体"/>
                <w:spacing w:val="-1"/>
                <w:sz w:val="18"/>
              </w:rPr>
              <w:t>902,746,231.40</w:t>
            </w:r>
          </w:p>
        </w:tc>
        <w:tc>
          <w:tcPr>
            <w:tcW w:w="1920"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1,546,762,848.54</w:t>
            </w:r>
          </w:p>
        </w:tc>
      </w:tr>
      <w:tr>
        <w:trPr>
          <w:trHeight w:val="286" w:hRule="exact"/>
        </w:trPr>
        <w:tc>
          <w:tcPr>
            <w:tcW w:w="3002"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804" w:type="dxa"/>
            <w:tcBorders>
              <w:top w:val="nil" w:sz="6" w:space="0" w:color="auto"/>
              <w:left w:val="nil" w:sz="6" w:space="0" w:color="auto"/>
              <w:bottom w:val="nil" w:sz="6" w:space="0" w:color="auto"/>
              <w:right w:val="nil" w:sz="6" w:space="0" w:color="auto"/>
            </w:tcBorders>
          </w:tcPr>
          <w:p>
            <w:pPr>
              <w:pStyle w:val="TableParagraph"/>
              <w:spacing w:line="233" w:lineRule="exact"/>
              <w:ind w:right="367"/>
              <w:jc w:val="right"/>
              <w:rPr>
                <w:rFonts w:ascii="宋体" w:hAnsi="宋体" w:cs="宋体" w:eastAsia="宋体" w:hint="default"/>
                <w:sz w:val="18"/>
                <w:szCs w:val="18"/>
              </w:rPr>
            </w:pPr>
            <w:r>
              <w:rPr>
                <w:rFonts w:ascii="宋体"/>
                <w:spacing w:val="-1"/>
                <w:sz w:val="18"/>
              </w:rPr>
              <w:t>457,353,618.80</w:t>
            </w:r>
          </w:p>
        </w:tc>
        <w:tc>
          <w:tcPr>
            <w:tcW w:w="1920"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469,427,830.07</w:t>
            </w:r>
          </w:p>
        </w:tc>
      </w:tr>
      <w:tr>
        <w:trPr>
          <w:trHeight w:val="301" w:hRule="exact"/>
        </w:trPr>
        <w:tc>
          <w:tcPr>
            <w:tcW w:w="3002" w:type="dxa"/>
            <w:tcBorders>
              <w:top w:val="nil" w:sz="6" w:space="0" w:color="auto"/>
              <w:left w:val="nil" w:sz="6" w:space="0" w:color="auto"/>
              <w:bottom w:val="single" w:sz="1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804" w:type="dxa"/>
            <w:tcBorders>
              <w:top w:val="nil" w:sz="6" w:space="0" w:color="auto"/>
              <w:left w:val="nil" w:sz="6" w:space="0" w:color="auto"/>
              <w:bottom w:val="single" w:sz="12" w:space="0" w:color="000000"/>
              <w:right w:val="nil" w:sz="6" w:space="0" w:color="auto"/>
            </w:tcBorders>
          </w:tcPr>
          <w:p>
            <w:pPr>
              <w:pStyle w:val="TableParagraph"/>
              <w:spacing w:line="233" w:lineRule="exact"/>
              <w:ind w:right="368"/>
              <w:jc w:val="right"/>
              <w:rPr>
                <w:rFonts w:ascii="宋体" w:hAnsi="宋体" w:cs="宋体" w:eastAsia="宋体" w:hint="default"/>
                <w:sz w:val="18"/>
                <w:szCs w:val="18"/>
              </w:rPr>
            </w:pPr>
            <w:r>
              <w:rPr>
                <w:rFonts w:ascii="宋体"/>
                <w:spacing w:val="-1"/>
                <w:sz w:val="18"/>
              </w:rPr>
              <w:t>1,360,099,850.20</w:t>
            </w:r>
          </w:p>
        </w:tc>
        <w:tc>
          <w:tcPr>
            <w:tcW w:w="1920" w:type="dxa"/>
            <w:tcBorders>
              <w:top w:val="nil" w:sz="6" w:space="0" w:color="auto"/>
              <w:left w:val="nil" w:sz="6" w:space="0" w:color="auto"/>
              <w:bottom w:val="single" w:sz="12" w:space="0" w:color="000000"/>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2,016,190,678.61</w:t>
            </w:r>
          </w:p>
        </w:tc>
      </w:tr>
    </w:tbl>
    <w:p>
      <w:pPr>
        <w:spacing w:after="0" w:line="233" w:lineRule="exact"/>
        <w:jc w:val="right"/>
        <w:rPr>
          <w:rFonts w:ascii="宋体" w:hAnsi="宋体" w:cs="宋体" w:eastAsia="宋体" w:hint="default"/>
          <w:sz w:val="18"/>
          <w:szCs w:val="18"/>
        </w:rPr>
        <w:sectPr>
          <w:footerReference w:type="default" r:id="rId46"/>
          <w:pgSz w:w="11910" w:h="16840"/>
          <w:pgMar w:footer="1054" w:header="0" w:top="1320" w:bottom="1240" w:left="1460" w:right="1460"/>
          <w:pgNumType w:start="158"/>
        </w:sectPr>
      </w:pPr>
    </w:p>
    <w:p>
      <w:pPr>
        <w:spacing w:line="240" w:lineRule="auto" w:before="6"/>
        <w:rPr>
          <w:rFonts w:ascii="宋体" w:hAnsi="宋体" w:cs="宋体" w:eastAsia="宋体" w:hint="default"/>
          <w:b/>
          <w:bCs/>
          <w:sz w:val="6"/>
          <w:szCs w:val="6"/>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4107;height:2" coordorigin="14,14" coordsize="4107,2">
              <v:shape style="position:absolute;left:14;top:14;width:4107;height:2" coordorigin="14,14" coordsize="4107,0" path="m14,14l4121,14e" filled="false" stroked="true" strokeweight="1.44pt" strokecolor="#000000">
                <v:path arrowok="t"/>
              </v:shape>
            </v:group>
            <v:group style="position:absolute;left:4121;top:14;width:29;height:2" coordorigin="4121,14" coordsize="29,2">
              <v:shape style="position:absolute;left:4121;top:14;width:29;height:2" coordorigin="4121,14" coordsize="29,0" path="m4121,14l4150,14e" filled="false" stroked="true" strokeweight="1.44pt" strokecolor="#000000">
                <v:path arrowok="t"/>
              </v:shape>
            </v:group>
            <v:group style="position:absolute;left:4150;top:14;width:2408;height:2" coordorigin="4150,14" coordsize="2408,2">
              <v:shape style="position:absolute;left:4150;top:14;width:2408;height:2" coordorigin="4150,14" coordsize="2408,0" path="m4150,14l6558,14e" filled="false" stroked="true" strokeweight="1.44pt" strokecolor="#000000">
                <v:path arrowok="t"/>
              </v:shape>
            </v:group>
            <v:group style="position:absolute;left:6558;top:14;width:29;height:2" coordorigin="6558,14" coordsize="29,2">
              <v:shape style="position:absolute;left:6558;top:14;width:29;height:2" coordorigin="6558,14" coordsize="29,0" path="m6558,14l6587,14e" filled="false" stroked="true" strokeweight="1.44pt" strokecolor="#000000">
                <v:path arrowok="t"/>
              </v:shape>
            </v:group>
            <v:group style="position:absolute;left:6587;top:14;width:2154;height:2" coordorigin="6587,14" coordsize="2154,2">
              <v:shape style="position:absolute;left:6587;top:14;width:2154;height:2" coordorigin="6587,14" coordsize="2154,0" path="m6587,14l8740,14e" filled="false" stroked="true" strokeweight="1.44pt" strokecolor="#000000">
                <v:path arrowok="t"/>
              </v:shape>
            </v:group>
          </v:group>
        </w:pict>
      </w:r>
      <w:r>
        <w:rPr>
          <w:rFonts w:ascii="宋体" w:hAnsi="宋体" w:cs="宋体" w:eastAsia="宋体" w:hint="default"/>
          <w:position w:val="0"/>
          <w:sz w:val="2"/>
          <w:szCs w:val="2"/>
        </w:rPr>
      </w:r>
    </w:p>
    <w:p>
      <w:pPr>
        <w:tabs>
          <w:tab w:pos="6547" w:val="left" w:leader="none"/>
        </w:tabs>
        <w:spacing w:line="188" w:lineRule="exact" w:before="0"/>
        <w:ind w:left="4238" w:right="0" w:firstLine="0"/>
        <w:jc w:val="center"/>
        <w:rPr>
          <w:rFonts w:ascii="宋体" w:hAnsi="宋体" w:cs="宋体" w:eastAsia="宋体" w:hint="default"/>
          <w:sz w:val="18"/>
          <w:szCs w:val="18"/>
        </w:rPr>
      </w:pPr>
      <w:r>
        <w:rPr>
          <w:rFonts w:ascii="宋体" w:hAnsi="宋体" w:cs="宋体" w:eastAsia="宋体" w:hint="default"/>
          <w:b/>
          <w:bCs/>
          <w:sz w:val="18"/>
          <w:szCs w:val="18"/>
        </w:rPr>
        <w:t>年末余额 </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本年发生额</w:t>
        <w:tab/>
        <w:t>年初余额 </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上年发生额</w:t>
      </w:r>
      <w:r>
        <w:rPr>
          <w:rFonts w:ascii="宋体" w:hAnsi="宋体" w:cs="宋体" w:eastAsia="宋体" w:hint="default"/>
          <w:sz w:val="18"/>
          <w:szCs w:val="18"/>
        </w:rPr>
      </w:r>
    </w:p>
    <w:p>
      <w:pPr>
        <w:spacing w:line="148" w:lineRule="exact" w:before="0"/>
        <w:ind w:left="242" w:right="0" w:firstLine="0"/>
        <w:jc w:val="left"/>
        <w:rPr>
          <w:rFonts w:ascii="宋体" w:hAnsi="宋体" w:cs="宋体" w:eastAsia="宋体" w:hint="default"/>
          <w:sz w:val="18"/>
          <w:szCs w:val="18"/>
        </w:rPr>
      </w:pPr>
      <w:r>
        <w:rPr/>
        <w:pict>
          <v:group style="position:absolute;margin-left:284.809998pt;margin-top:4.863046pt;width:231.4pt;height:.5pt;mso-position-horizontal-relative:page;mso-position-vertical-relative:paragraph;z-index:4912" coordorigin="5696,97" coordsize="4628,10">
            <v:group style="position:absolute;left:5701;top:102;width:2437;height:2" coordorigin="5701,102" coordsize="2437,2">
              <v:shape style="position:absolute;left:5701;top:102;width:2437;height:2" coordorigin="5701,102" coordsize="2437,0" path="m5701,102l8137,102e" filled="false" stroked="true" strokeweight=".48pt" strokecolor="#000000">
                <v:path arrowok="t"/>
              </v:shape>
            </v:group>
            <v:group style="position:absolute;left:8137;top:102;width:10;height:2" coordorigin="8137,102" coordsize="10,2">
              <v:shape style="position:absolute;left:8137;top:102;width:10;height:2" coordorigin="8137,102" coordsize="10,0" path="m8137,102l8147,102e" filled="false" stroked="true" strokeweight=".48pt" strokecolor="#000000">
                <v:path arrowok="t"/>
              </v:shape>
            </v:group>
            <v:group style="position:absolute;left:8147;top:102;width:2173;height:2" coordorigin="8147,102" coordsize="2173,2">
              <v:shape style="position:absolute;left:8147;top:102;width:2173;height:2" coordorigin="8147,102" coordsize="2173,0" path="m8147,102l10319,102e" filled="false" stroked="true" strokeweight=".48pt" strokecolor="#000000">
                <v:path arrowok="t"/>
              </v:shape>
            </v:group>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spacing w:line="191" w:lineRule="exact" w:before="0"/>
        <w:ind w:left="4108" w:right="0" w:firstLine="0"/>
        <w:jc w:val="center"/>
        <w:rPr>
          <w:rFonts w:ascii="宋体" w:hAnsi="宋体" w:cs="宋体" w:eastAsia="宋体" w:hint="default"/>
          <w:sz w:val="18"/>
          <w:szCs w:val="18"/>
        </w:rPr>
      </w:pPr>
      <w:r>
        <w:rPr>
          <w:rFonts w:ascii="宋体" w:hAnsi="宋体" w:cs="宋体" w:eastAsia="宋体" w:hint="default"/>
          <w:b/>
          <w:bCs/>
          <w:sz w:val="18"/>
          <w:szCs w:val="18"/>
        </w:rPr>
        <w:t>中国医疗网络有限公司</w:t>
      </w:r>
      <w:r>
        <w:rPr>
          <w:rFonts w:ascii="宋体" w:hAnsi="宋体" w:cs="宋体" w:eastAsia="宋体" w:hint="default"/>
          <w:sz w:val="18"/>
          <w:szCs w:val="18"/>
        </w:rPr>
      </w:r>
    </w:p>
    <w:p>
      <w:pPr>
        <w:spacing w:line="240" w:lineRule="auto" w:before="6"/>
        <w:rPr>
          <w:rFonts w:ascii="宋体" w:hAnsi="宋体" w:cs="宋体" w:eastAsia="宋体" w:hint="default"/>
          <w:b/>
          <w:bCs/>
          <w:sz w:val="4"/>
          <w:szCs w:val="4"/>
        </w:rPr>
      </w:pPr>
    </w:p>
    <w:tbl>
      <w:tblPr>
        <w:tblW w:w="0" w:type="auto"/>
        <w:jc w:val="left"/>
        <w:tblInd w:w="134" w:type="dxa"/>
        <w:tblLayout w:type="fixed"/>
        <w:tblCellMar>
          <w:top w:w="0" w:type="dxa"/>
          <w:left w:w="0" w:type="dxa"/>
          <w:bottom w:w="0" w:type="dxa"/>
          <w:right w:w="0" w:type="dxa"/>
        </w:tblCellMar>
        <w:tblLook w:val="01E0"/>
      </w:tblPr>
      <w:tblGrid>
        <w:gridCol w:w="3992"/>
        <w:gridCol w:w="2814"/>
        <w:gridCol w:w="1920"/>
      </w:tblGrid>
      <w:tr>
        <w:trPr>
          <w:trHeight w:val="289" w:hRule="exact"/>
        </w:trPr>
        <w:tc>
          <w:tcPr>
            <w:tcW w:w="3992"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814" w:type="dxa"/>
            <w:tcBorders>
              <w:top w:val="single" w:sz="4" w:space="0" w:color="000000"/>
              <w:left w:val="nil" w:sz="6" w:space="0" w:color="auto"/>
              <w:bottom w:val="nil" w:sz="6" w:space="0" w:color="auto"/>
              <w:right w:val="nil" w:sz="6" w:space="0" w:color="auto"/>
            </w:tcBorders>
          </w:tcPr>
          <w:p>
            <w:pPr>
              <w:pStyle w:val="TableParagraph"/>
              <w:spacing w:line="232" w:lineRule="exact"/>
              <w:ind w:right="367"/>
              <w:jc w:val="right"/>
              <w:rPr>
                <w:rFonts w:ascii="宋体" w:hAnsi="宋体" w:cs="宋体" w:eastAsia="宋体" w:hint="default"/>
                <w:sz w:val="18"/>
                <w:szCs w:val="18"/>
              </w:rPr>
            </w:pPr>
            <w:r>
              <w:rPr>
                <w:rFonts w:ascii="宋体"/>
                <w:spacing w:val="-1"/>
                <w:sz w:val="18"/>
              </w:rPr>
              <w:t>-2,183,851.63</w:t>
            </w:r>
          </w:p>
        </w:tc>
        <w:tc>
          <w:tcPr>
            <w:tcW w:w="1920"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72,150,406.35</w:t>
            </w:r>
          </w:p>
        </w:tc>
      </w:tr>
      <w:tr>
        <w:trPr>
          <w:trHeight w:val="284" w:hRule="exact"/>
        </w:trPr>
        <w:tc>
          <w:tcPr>
            <w:tcW w:w="3992"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814" w:type="dxa"/>
            <w:tcBorders>
              <w:top w:val="nil" w:sz="6" w:space="0" w:color="auto"/>
              <w:left w:val="nil" w:sz="6" w:space="0" w:color="auto"/>
              <w:bottom w:val="nil" w:sz="6" w:space="0" w:color="auto"/>
              <w:right w:val="nil" w:sz="6" w:space="0" w:color="auto"/>
            </w:tcBorders>
          </w:tcPr>
          <w:p>
            <w:pPr>
              <w:pStyle w:val="TableParagraph"/>
              <w:spacing w:line="233" w:lineRule="exact"/>
              <w:ind w:right="368"/>
              <w:jc w:val="right"/>
              <w:rPr>
                <w:rFonts w:ascii="宋体" w:hAnsi="宋体" w:cs="宋体" w:eastAsia="宋体" w:hint="default"/>
                <w:sz w:val="18"/>
                <w:szCs w:val="18"/>
              </w:rPr>
            </w:pPr>
            <w:r>
              <w:rPr>
                <w:rFonts w:ascii="宋体"/>
                <w:spacing w:val="-1"/>
                <w:sz w:val="18"/>
              </w:rPr>
              <w:t>1,583,031,777.43</w:t>
            </w:r>
          </w:p>
        </w:tc>
        <w:tc>
          <w:tcPr>
            <w:tcW w:w="1920"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1,620,079,172.21</w:t>
            </w:r>
          </w:p>
        </w:tc>
      </w:tr>
      <w:tr>
        <w:trPr>
          <w:trHeight w:val="284" w:hRule="exact"/>
        </w:trPr>
        <w:tc>
          <w:tcPr>
            <w:tcW w:w="3992"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14" w:type="dxa"/>
            <w:tcBorders>
              <w:top w:val="nil" w:sz="6" w:space="0" w:color="auto"/>
              <w:left w:val="nil" w:sz="6" w:space="0" w:color="auto"/>
              <w:bottom w:val="nil" w:sz="6" w:space="0" w:color="auto"/>
              <w:right w:val="nil" w:sz="6" w:space="0" w:color="auto"/>
            </w:tcBorders>
          </w:tcPr>
          <w:p>
            <w:pPr>
              <w:pStyle w:val="TableParagraph"/>
              <w:spacing w:line="232" w:lineRule="exact"/>
              <w:ind w:right="369"/>
              <w:jc w:val="right"/>
              <w:rPr>
                <w:rFonts w:ascii="宋体" w:hAnsi="宋体" w:cs="宋体" w:eastAsia="宋体" w:hint="default"/>
                <w:sz w:val="18"/>
                <w:szCs w:val="18"/>
              </w:rPr>
            </w:pPr>
            <w:r>
              <w:rPr>
                <w:rFonts w:ascii="宋体"/>
                <w:spacing w:val="-1"/>
                <w:sz w:val="18"/>
              </w:rPr>
              <w:t>979,259,018.84</w:t>
            </w:r>
          </w:p>
        </w:tc>
        <w:tc>
          <w:tcPr>
            <w:tcW w:w="1920"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232,253,847.52</w:t>
            </w:r>
          </w:p>
        </w:tc>
      </w:tr>
      <w:tr>
        <w:trPr>
          <w:trHeight w:val="286" w:hRule="exact"/>
        </w:trPr>
        <w:tc>
          <w:tcPr>
            <w:tcW w:w="3992"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814" w:type="dxa"/>
            <w:tcBorders>
              <w:top w:val="nil" w:sz="6" w:space="0" w:color="auto"/>
              <w:left w:val="nil" w:sz="6" w:space="0" w:color="auto"/>
              <w:bottom w:val="nil" w:sz="6" w:space="0" w:color="auto"/>
              <w:right w:val="nil" w:sz="6" w:space="0" w:color="auto"/>
            </w:tcBorders>
          </w:tcPr>
          <w:p>
            <w:pPr>
              <w:pStyle w:val="TableParagraph"/>
              <w:spacing w:line="233" w:lineRule="exact"/>
              <w:ind w:right="367"/>
              <w:jc w:val="right"/>
              <w:rPr>
                <w:rFonts w:ascii="宋体" w:hAnsi="宋体" w:cs="宋体" w:eastAsia="宋体" w:hint="default"/>
                <w:sz w:val="18"/>
                <w:szCs w:val="18"/>
              </w:rPr>
            </w:pPr>
            <w:r>
              <w:rPr>
                <w:rFonts w:ascii="宋体"/>
                <w:spacing w:val="-1"/>
                <w:sz w:val="18"/>
              </w:rPr>
              <w:t>-46,211,830.92</w:t>
            </w:r>
          </w:p>
        </w:tc>
        <w:tc>
          <w:tcPr>
            <w:tcW w:w="1920"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-48,192,131.88</w:t>
            </w:r>
          </w:p>
        </w:tc>
      </w:tr>
      <w:tr>
        <w:trPr>
          <w:trHeight w:val="286" w:hRule="exact"/>
        </w:trPr>
        <w:tc>
          <w:tcPr>
            <w:tcW w:w="3992"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归属于母公司所有者的其他综合收益</w:t>
            </w:r>
          </w:p>
        </w:tc>
        <w:tc>
          <w:tcPr>
            <w:tcW w:w="2814" w:type="dxa"/>
            <w:tcBorders>
              <w:top w:val="nil" w:sz="6" w:space="0" w:color="auto"/>
              <w:left w:val="nil" w:sz="6" w:space="0" w:color="auto"/>
              <w:bottom w:val="nil" w:sz="6" w:space="0" w:color="auto"/>
              <w:right w:val="nil" w:sz="6" w:space="0" w:color="auto"/>
            </w:tcBorders>
          </w:tcPr>
          <w:p>
            <w:pPr>
              <w:pStyle w:val="TableParagraph"/>
              <w:spacing w:line="233" w:lineRule="exact"/>
              <w:ind w:right="367"/>
              <w:jc w:val="right"/>
              <w:rPr>
                <w:rFonts w:ascii="宋体" w:hAnsi="宋体" w:cs="宋体" w:eastAsia="宋体" w:hint="default"/>
                <w:sz w:val="18"/>
                <w:szCs w:val="18"/>
              </w:rPr>
            </w:pPr>
            <w:r>
              <w:rPr>
                <w:rFonts w:ascii="宋体"/>
                <w:spacing w:val="-1"/>
                <w:sz w:val="18"/>
              </w:rPr>
              <w:t>20,258,973.74</w:t>
            </w:r>
          </w:p>
        </w:tc>
        <w:tc>
          <w:tcPr>
            <w:tcW w:w="1920"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-28,044,403.75</w:t>
            </w:r>
          </w:p>
        </w:tc>
      </w:tr>
      <w:tr>
        <w:trPr>
          <w:trHeight w:val="301" w:hRule="exact"/>
        </w:trPr>
        <w:tc>
          <w:tcPr>
            <w:tcW w:w="3992" w:type="dxa"/>
            <w:tcBorders>
              <w:top w:val="nil" w:sz="6" w:space="0" w:color="auto"/>
              <w:left w:val="nil" w:sz="6" w:space="0" w:color="auto"/>
              <w:bottom w:val="single" w:sz="1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814" w:type="dxa"/>
            <w:tcBorders>
              <w:top w:val="nil" w:sz="6" w:space="0" w:color="auto"/>
              <w:left w:val="nil" w:sz="6" w:space="0" w:color="auto"/>
              <w:bottom w:val="single" w:sz="12" w:space="0" w:color="000000"/>
              <w:right w:val="nil" w:sz="6" w:space="0" w:color="auto"/>
            </w:tcBorders>
          </w:tcPr>
          <w:p>
            <w:pPr>
              <w:pStyle w:val="TableParagraph"/>
              <w:spacing w:line="233" w:lineRule="exact"/>
              <w:ind w:right="367"/>
              <w:jc w:val="right"/>
              <w:rPr>
                <w:rFonts w:ascii="宋体" w:hAnsi="宋体" w:cs="宋体" w:eastAsia="宋体" w:hint="default"/>
                <w:sz w:val="18"/>
                <w:szCs w:val="18"/>
              </w:rPr>
            </w:pPr>
            <w:r>
              <w:rPr>
                <w:rFonts w:ascii="宋体"/>
                <w:spacing w:val="-1"/>
                <w:sz w:val="18"/>
              </w:rPr>
              <w:t>-25,952,857.18</w:t>
            </w:r>
          </w:p>
        </w:tc>
        <w:tc>
          <w:tcPr>
            <w:tcW w:w="1920" w:type="dxa"/>
            <w:tcBorders>
              <w:top w:val="nil" w:sz="6" w:space="0" w:color="auto"/>
              <w:left w:val="nil" w:sz="6" w:space="0" w:color="auto"/>
              <w:bottom w:val="single" w:sz="12" w:space="0" w:color="000000"/>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-76,236,535.63</w:t>
            </w:r>
          </w:p>
        </w:tc>
      </w:tr>
    </w:tbl>
    <w:p>
      <w:pPr>
        <w:spacing w:before="67"/>
        <w:ind w:left="647" w:right="0" w:firstLine="0"/>
        <w:jc w:val="left"/>
        <w:rPr>
          <w:rFonts w:ascii="宋体" w:hAnsi="宋体" w:cs="宋体" w:eastAsia="宋体" w:hint="default"/>
          <w:sz w:val="22"/>
          <w:szCs w:val="22"/>
        </w:rPr>
      </w:pPr>
      <w:r>
        <w:rPr>
          <w:rFonts w:ascii="宋体" w:hAnsi="宋体" w:cs="宋体" w:eastAsia="宋体" w:hint="default"/>
          <w:sz w:val="22"/>
          <w:szCs w:val="22"/>
        </w:rPr>
        <w:t>注：上年发生额指股权购买日至资产负债表日之损益发生金额。</w:t>
      </w:r>
    </w:p>
    <w:p>
      <w:pPr>
        <w:spacing w:before="129"/>
        <w:ind w:left="592" w:right="0" w:firstLine="0"/>
        <w:jc w:val="left"/>
        <w:rPr>
          <w:rFonts w:ascii="宋体" w:hAnsi="宋体" w:cs="宋体" w:eastAsia="宋体" w:hint="default"/>
          <w:sz w:val="22"/>
          <w:szCs w:val="22"/>
        </w:rPr>
      </w:pPr>
      <w:r>
        <w:rPr>
          <w:rFonts w:ascii="宋体" w:hAnsi="宋体" w:cs="宋体" w:eastAsia="宋体" w:hint="default"/>
          <w:sz w:val="22"/>
          <w:szCs w:val="22"/>
        </w:rPr>
        <w:t>（续</w:t>
      </w:r>
      <w:r>
        <w:rPr>
          <w:rFonts w:ascii="宋体" w:hAnsi="宋体" w:cs="宋体" w:eastAsia="宋体" w:hint="default"/>
          <w:spacing w:val="-53"/>
          <w:sz w:val="22"/>
          <w:szCs w:val="22"/>
        </w:rPr>
        <w:t> </w:t>
      </w:r>
      <w:r>
        <w:rPr>
          <w:rFonts w:ascii="宋体" w:hAnsi="宋体" w:cs="宋体" w:eastAsia="宋体" w:hint="default"/>
          <w:sz w:val="22"/>
          <w:szCs w:val="22"/>
        </w:rPr>
        <w:t>4</w:t>
      </w:r>
      <w:r>
        <w:rPr>
          <w:rFonts w:ascii="宋体" w:hAnsi="宋体" w:cs="宋体" w:eastAsia="宋体" w:hint="default"/>
          <w:sz w:val="22"/>
          <w:szCs w:val="22"/>
        </w:rPr>
        <w:t>）</w:t>
      </w:r>
    </w:p>
    <w:p>
      <w:pPr>
        <w:spacing w:line="240" w:lineRule="auto" w:before="9"/>
        <w:rPr>
          <w:rFonts w:ascii="宋体" w:hAnsi="宋体" w:cs="宋体" w:eastAsia="宋体" w:hint="default"/>
          <w:sz w:val="12"/>
          <w:szCs w:val="12"/>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4138;height:2" coordorigin="14,14" coordsize="4138,2">
              <v:shape style="position:absolute;left:14;top:14;width:4138;height:2" coordorigin="14,14" coordsize="4138,0" path="m14,14l4152,14e" filled="false" stroked="true" strokeweight="1.44pt" strokecolor="#000000">
                <v:path arrowok="t"/>
              </v:shape>
            </v:group>
            <v:group style="position:absolute;left:4153;top:14;width:29;height:2" coordorigin="4153,14" coordsize="29,2">
              <v:shape style="position:absolute;left:4153;top:14;width:29;height:2" coordorigin="4153,14" coordsize="29,0" path="m4153,14l4181,14e" filled="false" stroked="true" strokeweight="1.44pt" strokecolor="#000000">
                <v:path arrowok="t"/>
              </v:shape>
            </v:group>
            <v:group style="position:absolute;left:4181;top:14;width:2374;height:2" coordorigin="4181,14" coordsize="2374,2">
              <v:shape style="position:absolute;left:4181;top:14;width:2374;height:2" coordorigin="4181,14" coordsize="2374,0" path="m4181,14l6555,14e" filled="false" stroked="true" strokeweight="1.44pt" strokecolor="#000000">
                <v:path arrowok="t"/>
              </v:shape>
            </v:group>
            <v:group style="position:absolute;left:6555;top:14;width:29;height:2" coordorigin="6555,14" coordsize="29,2">
              <v:shape style="position:absolute;left:6555;top:14;width:29;height:2" coordorigin="6555,14" coordsize="29,0" path="m6555,14l6584,14e" filled="false" stroked="true" strokeweight="1.44pt" strokecolor="#000000">
                <v:path arrowok="t"/>
              </v:shape>
            </v:group>
            <v:group style="position:absolute;left:6584;top:14;width:2156;height:2" coordorigin="6584,14" coordsize="2156,2">
              <v:shape style="position:absolute;left:6584;top:14;width:2156;height:2" coordorigin="6584,14" coordsize="2156,0" path="m6584,14l8740,14e" filled="false" stroked="true" strokeweight="1.44pt" strokecolor="#000000">
                <v:path arrowok="t"/>
              </v:shape>
            </v:group>
          </v:group>
        </w:pict>
      </w:r>
      <w:r>
        <w:rPr>
          <w:rFonts w:ascii="宋体" w:hAnsi="宋体" w:cs="宋体" w:eastAsia="宋体" w:hint="default"/>
          <w:position w:val="0"/>
          <w:sz w:val="2"/>
          <w:szCs w:val="2"/>
        </w:rPr>
      </w:r>
    </w:p>
    <w:p>
      <w:pPr>
        <w:tabs>
          <w:tab w:pos="6538" w:val="left" w:leader="none"/>
        </w:tabs>
        <w:spacing w:line="190" w:lineRule="exact" w:before="0"/>
        <w:ind w:left="4246" w:right="0" w:firstLine="0"/>
        <w:jc w:val="center"/>
        <w:rPr>
          <w:rFonts w:ascii="宋体" w:hAnsi="宋体" w:cs="宋体" w:eastAsia="宋体" w:hint="default"/>
          <w:sz w:val="18"/>
          <w:szCs w:val="18"/>
        </w:rPr>
      </w:pPr>
      <w:r>
        <w:rPr>
          <w:rFonts w:ascii="宋体" w:hAnsi="宋体" w:cs="宋体" w:eastAsia="宋体" w:hint="default"/>
          <w:b/>
          <w:bCs/>
          <w:sz w:val="18"/>
          <w:szCs w:val="18"/>
        </w:rPr>
        <w:t>年末余额 </w:t>
      </w:r>
      <w:r>
        <w:rPr>
          <w:rFonts w:ascii="宋体" w:hAnsi="宋体" w:cs="宋体" w:eastAsia="宋体" w:hint="default"/>
          <w:b/>
          <w:bCs/>
          <w:sz w:val="18"/>
          <w:szCs w:val="18"/>
        </w:rPr>
        <w:t>/</w:t>
      </w:r>
      <w:r>
        <w:rPr>
          <w:rFonts w:ascii="宋体" w:hAnsi="宋体" w:cs="宋体" w:eastAsia="宋体" w:hint="default"/>
          <w:b/>
          <w:bCs/>
          <w:spacing w:val="-3"/>
          <w:sz w:val="18"/>
          <w:szCs w:val="18"/>
        </w:rPr>
        <w:t> </w:t>
      </w:r>
      <w:r>
        <w:rPr>
          <w:rFonts w:ascii="宋体" w:hAnsi="宋体" w:cs="宋体" w:eastAsia="宋体" w:hint="default"/>
          <w:b/>
          <w:bCs/>
          <w:sz w:val="18"/>
          <w:szCs w:val="18"/>
        </w:rPr>
        <w:t>本年发生额</w:t>
        <w:tab/>
        <w:t>年初余额 </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上年发生额</w:t>
      </w:r>
      <w:r>
        <w:rPr>
          <w:rFonts w:ascii="宋体" w:hAnsi="宋体" w:cs="宋体" w:eastAsia="宋体" w:hint="default"/>
          <w:sz w:val="18"/>
          <w:szCs w:val="18"/>
        </w:rPr>
      </w:r>
    </w:p>
    <w:p>
      <w:pPr>
        <w:spacing w:line="148" w:lineRule="exact" w:before="0"/>
        <w:ind w:left="242" w:right="0" w:firstLine="0"/>
        <w:jc w:val="left"/>
        <w:rPr>
          <w:rFonts w:ascii="宋体" w:hAnsi="宋体" w:cs="宋体" w:eastAsia="宋体" w:hint="default"/>
          <w:sz w:val="18"/>
          <w:szCs w:val="18"/>
        </w:rPr>
      </w:pPr>
      <w:r>
        <w:rPr/>
        <w:pict>
          <v:group style="position:absolute;margin-left:286.369995pt;margin-top:4.923053pt;width:229.85pt;height:.5pt;mso-position-horizontal-relative:page;mso-position-vertical-relative:paragraph;z-index:4936" coordorigin="5727,98" coordsize="4597,10">
            <v:group style="position:absolute;left:5732;top:103;width:2403;height:2" coordorigin="5732,103" coordsize="2403,2">
              <v:shape style="position:absolute;left:5732;top:103;width:2403;height:2" coordorigin="5732,103" coordsize="2403,0" path="m5732,103l8135,103e" filled="false" stroked="true" strokeweight=".48pt" strokecolor="#000000">
                <v:path arrowok="t"/>
              </v:shape>
            </v:group>
            <v:group style="position:absolute;left:8135;top:103;width:10;height:2" coordorigin="8135,103" coordsize="10,2">
              <v:shape style="position:absolute;left:8135;top:103;width:10;height:2" coordorigin="8135,103" coordsize="10,0" path="m8135,103l8145,103e" filled="false" stroked="true" strokeweight=".48pt" strokecolor="#000000">
                <v:path arrowok="t"/>
              </v:shape>
            </v:group>
            <v:group style="position:absolute;left:8145;top:103;width:2175;height:2" coordorigin="8145,103" coordsize="2175,2">
              <v:shape style="position:absolute;left:8145;top:103;width:2175;height:2" coordorigin="8145,103" coordsize="2175,0" path="m8145,103l10319,103e" filled="false" stroked="true" strokeweight=".48pt" strokecolor="#000000">
                <v:path arrowok="t"/>
              </v:shape>
            </v:group>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spacing w:line="192" w:lineRule="exact" w:before="0"/>
        <w:ind w:left="4137" w:right="0" w:firstLine="0"/>
        <w:jc w:val="center"/>
        <w:rPr>
          <w:rFonts w:ascii="宋体" w:hAnsi="宋体" w:cs="宋体" w:eastAsia="宋体" w:hint="default"/>
          <w:sz w:val="18"/>
          <w:szCs w:val="18"/>
        </w:rPr>
      </w:pPr>
      <w:r>
        <w:rPr>
          <w:rFonts w:ascii="宋体" w:hAnsi="宋体" w:cs="宋体" w:eastAsia="宋体" w:hint="default"/>
          <w:b/>
          <w:bCs/>
          <w:sz w:val="18"/>
          <w:szCs w:val="18"/>
        </w:rPr>
        <w:t>天诚国际投资有限公司</w:t>
      </w:r>
      <w:r>
        <w:rPr>
          <w:rFonts w:ascii="宋体" w:hAnsi="宋体" w:cs="宋体" w:eastAsia="宋体" w:hint="default"/>
          <w:sz w:val="18"/>
          <w:szCs w:val="18"/>
        </w:rPr>
      </w:r>
    </w:p>
    <w:p>
      <w:pPr>
        <w:spacing w:line="240" w:lineRule="auto" w:before="6"/>
        <w:rPr>
          <w:rFonts w:ascii="宋体" w:hAnsi="宋体" w:cs="宋体" w:eastAsia="宋体" w:hint="default"/>
          <w:b/>
          <w:bCs/>
          <w:sz w:val="4"/>
          <w:szCs w:val="4"/>
        </w:rPr>
      </w:pPr>
    </w:p>
    <w:tbl>
      <w:tblPr>
        <w:tblW w:w="0" w:type="auto"/>
        <w:jc w:val="left"/>
        <w:tblInd w:w="134" w:type="dxa"/>
        <w:tblLayout w:type="fixed"/>
        <w:tblCellMar>
          <w:top w:w="0" w:type="dxa"/>
          <w:left w:w="0" w:type="dxa"/>
          <w:bottom w:w="0" w:type="dxa"/>
          <w:right w:w="0" w:type="dxa"/>
        </w:tblCellMar>
        <w:tblLook w:val="01E0"/>
      </w:tblPr>
      <w:tblGrid>
        <w:gridCol w:w="3944"/>
        <w:gridCol w:w="2814"/>
        <w:gridCol w:w="1968"/>
      </w:tblGrid>
      <w:tr>
        <w:trPr>
          <w:trHeight w:val="288" w:hRule="exact"/>
        </w:trPr>
        <w:tc>
          <w:tcPr>
            <w:tcW w:w="3944" w:type="dxa"/>
            <w:tcBorders>
              <w:top w:val="single" w:sz="4" w:space="0" w:color="000000"/>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814" w:type="dxa"/>
            <w:tcBorders>
              <w:top w:val="single" w:sz="4" w:space="0" w:color="000000"/>
              <w:left w:val="nil" w:sz="6" w:space="0" w:color="auto"/>
              <w:bottom w:val="nil" w:sz="6" w:space="0" w:color="auto"/>
              <w:right w:val="nil" w:sz="6" w:space="0" w:color="auto"/>
            </w:tcBorders>
          </w:tcPr>
          <w:p>
            <w:pPr>
              <w:pStyle w:val="TableParagraph"/>
              <w:spacing w:line="230" w:lineRule="exact"/>
              <w:ind w:right="324"/>
              <w:jc w:val="right"/>
              <w:rPr>
                <w:rFonts w:ascii="宋体" w:hAnsi="宋体" w:cs="宋体" w:eastAsia="宋体" w:hint="default"/>
                <w:sz w:val="18"/>
                <w:szCs w:val="18"/>
              </w:rPr>
            </w:pPr>
            <w:r>
              <w:rPr>
                <w:rFonts w:ascii="宋体"/>
                <w:spacing w:val="-1"/>
                <w:sz w:val="18"/>
              </w:rPr>
              <w:t>8,426,369,295.20</w:t>
            </w:r>
          </w:p>
        </w:tc>
        <w:tc>
          <w:tcPr>
            <w:tcW w:w="1968" w:type="dxa"/>
            <w:tcBorders>
              <w:top w:val="single" w:sz="4" w:space="0" w:color="000000"/>
              <w:left w:val="nil" w:sz="6" w:space="0" w:color="auto"/>
              <w:bottom w:val="nil" w:sz="6" w:space="0" w:color="auto"/>
              <w:right w:val="nil" w:sz="6" w:space="0" w:color="auto"/>
            </w:tcBorders>
          </w:tcPr>
          <w:p>
            <w:pPr>
              <w:pStyle w:val="TableParagraph"/>
              <w:spacing w:line="230" w:lineRule="exact"/>
              <w:ind w:right="110"/>
              <w:jc w:val="right"/>
              <w:rPr>
                <w:rFonts w:ascii="宋体" w:hAnsi="宋体" w:cs="宋体" w:eastAsia="宋体" w:hint="default"/>
                <w:sz w:val="18"/>
                <w:szCs w:val="18"/>
              </w:rPr>
            </w:pPr>
            <w:r>
              <w:rPr>
                <w:rFonts w:ascii="宋体"/>
                <w:spacing w:val="-1"/>
                <w:sz w:val="18"/>
              </w:rPr>
              <w:t>8,432,842,000.00</w:t>
            </w:r>
          </w:p>
        </w:tc>
      </w:tr>
      <w:tr>
        <w:trPr>
          <w:trHeight w:val="286" w:hRule="exact"/>
        </w:trPr>
        <w:tc>
          <w:tcPr>
            <w:tcW w:w="3944"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814" w:type="dxa"/>
            <w:tcBorders>
              <w:top w:val="nil" w:sz="6" w:space="0" w:color="auto"/>
              <w:left w:val="nil" w:sz="6" w:space="0" w:color="auto"/>
              <w:bottom w:val="nil" w:sz="6" w:space="0" w:color="auto"/>
              <w:right w:val="nil" w:sz="6" w:space="0" w:color="auto"/>
            </w:tcBorders>
          </w:tcPr>
          <w:p>
            <w:pPr>
              <w:pStyle w:val="TableParagraph"/>
              <w:spacing w:line="233" w:lineRule="exact"/>
              <w:ind w:right="325"/>
              <w:jc w:val="right"/>
              <w:rPr>
                <w:rFonts w:ascii="宋体" w:hAnsi="宋体" w:cs="宋体" w:eastAsia="宋体" w:hint="default"/>
                <w:sz w:val="18"/>
                <w:szCs w:val="18"/>
              </w:rPr>
            </w:pPr>
            <w:r>
              <w:rPr>
                <w:rFonts w:ascii="宋体"/>
                <w:spacing w:val="-1"/>
                <w:sz w:val="18"/>
              </w:rPr>
              <w:t>14,864,764,668.00</w:t>
            </w:r>
          </w:p>
        </w:tc>
        <w:tc>
          <w:tcPr>
            <w:tcW w:w="1968"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7,590,342,000.00</w:t>
            </w:r>
          </w:p>
        </w:tc>
      </w:tr>
      <w:tr>
        <w:trPr>
          <w:trHeight w:val="286" w:hRule="exact"/>
        </w:trPr>
        <w:tc>
          <w:tcPr>
            <w:tcW w:w="3944"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814" w:type="dxa"/>
            <w:tcBorders>
              <w:top w:val="nil" w:sz="6" w:space="0" w:color="auto"/>
              <w:left w:val="nil" w:sz="6" w:space="0" w:color="auto"/>
              <w:bottom w:val="nil" w:sz="6" w:space="0" w:color="auto"/>
              <w:right w:val="nil" w:sz="6" w:space="0" w:color="auto"/>
            </w:tcBorders>
          </w:tcPr>
          <w:p>
            <w:pPr>
              <w:pStyle w:val="TableParagraph"/>
              <w:spacing w:line="233" w:lineRule="exact"/>
              <w:ind w:right="325"/>
              <w:jc w:val="right"/>
              <w:rPr>
                <w:rFonts w:ascii="宋体" w:hAnsi="宋体" w:cs="宋体" w:eastAsia="宋体" w:hint="default"/>
                <w:sz w:val="18"/>
                <w:szCs w:val="18"/>
              </w:rPr>
            </w:pPr>
            <w:r>
              <w:rPr>
                <w:rFonts w:ascii="宋体"/>
                <w:spacing w:val="-1"/>
                <w:sz w:val="18"/>
              </w:rPr>
              <w:t>23,291,133,963.20</w:t>
            </w:r>
          </w:p>
        </w:tc>
        <w:tc>
          <w:tcPr>
            <w:tcW w:w="1968"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16,023,184,000.00</w:t>
            </w:r>
          </w:p>
        </w:tc>
      </w:tr>
      <w:tr>
        <w:trPr>
          <w:trHeight w:val="284" w:hRule="exact"/>
        </w:trPr>
        <w:tc>
          <w:tcPr>
            <w:tcW w:w="3944"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814" w:type="dxa"/>
            <w:tcBorders>
              <w:top w:val="nil" w:sz="6" w:space="0" w:color="auto"/>
              <w:left w:val="nil" w:sz="6" w:space="0" w:color="auto"/>
              <w:bottom w:val="nil" w:sz="6" w:space="0" w:color="auto"/>
              <w:right w:val="nil" w:sz="6" w:space="0" w:color="auto"/>
            </w:tcBorders>
          </w:tcPr>
          <w:p>
            <w:pPr>
              <w:pStyle w:val="TableParagraph"/>
              <w:spacing w:line="233" w:lineRule="exact"/>
              <w:ind w:right="324"/>
              <w:jc w:val="right"/>
              <w:rPr>
                <w:rFonts w:ascii="宋体" w:hAnsi="宋体" w:cs="宋体" w:eastAsia="宋体" w:hint="default"/>
                <w:sz w:val="18"/>
                <w:szCs w:val="18"/>
              </w:rPr>
            </w:pPr>
            <w:r>
              <w:rPr>
                <w:rFonts w:ascii="宋体"/>
                <w:spacing w:val="-1"/>
                <w:sz w:val="18"/>
              </w:rPr>
              <w:t>4,919,960,415.20</w:t>
            </w:r>
          </w:p>
        </w:tc>
        <w:tc>
          <w:tcPr>
            <w:tcW w:w="1968"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733,261,000.00</w:t>
            </w:r>
          </w:p>
        </w:tc>
      </w:tr>
      <w:tr>
        <w:trPr>
          <w:trHeight w:val="284" w:hRule="exact"/>
        </w:trPr>
        <w:tc>
          <w:tcPr>
            <w:tcW w:w="394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814" w:type="dxa"/>
            <w:tcBorders>
              <w:top w:val="nil" w:sz="6" w:space="0" w:color="auto"/>
              <w:left w:val="nil" w:sz="6" w:space="0" w:color="auto"/>
              <w:bottom w:val="nil" w:sz="6" w:space="0" w:color="auto"/>
              <w:right w:val="nil" w:sz="6" w:space="0" w:color="auto"/>
            </w:tcBorders>
          </w:tcPr>
          <w:p>
            <w:pPr>
              <w:pStyle w:val="TableParagraph"/>
              <w:spacing w:line="232" w:lineRule="exact"/>
              <w:ind w:right="324"/>
              <w:jc w:val="right"/>
              <w:rPr>
                <w:rFonts w:ascii="宋体" w:hAnsi="宋体" w:cs="宋体" w:eastAsia="宋体" w:hint="default"/>
                <w:sz w:val="18"/>
                <w:szCs w:val="18"/>
              </w:rPr>
            </w:pPr>
            <w:r>
              <w:rPr>
                <w:rFonts w:ascii="宋体"/>
                <w:spacing w:val="-1"/>
                <w:sz w:val="18"/>
              </w:rPr>
              <w:t>1,952,635,305.60</w:t>
            </w:r>
          </w:p>
        </w:tc>
        <w:tc>
          <w:tcPr>
            <w:tcW w:w="1968"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848,178,000.00</w:t>
            </w:r>
          </w:p>
        </w:tc>
      </w:tr>
      <w:tr>
        <w:trPr>
          <w:trHeight w:val="286" w:hRule="exact"/>
        </w:trPr>
        <w:tc>
          <w:tcPr>
            <w:tcW w:w="3944"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814" w:type="dxa"/>
            <w:tcBorders>
              <w:top w:val="nil" w:sz="6" w:space="0" w:color="auto"/>
              <w:left w:val="nil" w:sz="6" w:space="0" w:color="auto"/>
              <w:bottom w:val="nil" w:sz="6" w:space="0" w:color="auto"/>
              <w:right w:val="nil" w:sz="6" w:space="0" w:color="auto"/>
            </w:tcBorders>
          </w:tcPr>
          <w:p>
            <w:pPr>
              <w:pStyle w:val="TableParagraph"/>
              <w:spacing w:line="233" w:lineRule="exact"/>
              <w:ind w:right="324"/>
              <w:jc w:val="right"/>
              <w:rPr>
                <w:rFonts w:ascii="宋体" w:hAnsi="宋体" w:cs="宋体" w:eastAsia="宋体" w:hint="default"/>
                <w:sz w:val="18"/>
                <w:szCs w:val="18"/>
              </w:rPr>
            </w:pPr>
            <w:r>
              <w:rPr>
                <w:rFonts w:ascii="宋体"/>
                <w:spacing w:val="-1"/>
                <w:sz w:val="18"/>
              </w:rPr>
              <w:t>6,872,595,720.80</w:t>
            </w:r>
          </w:p>
        </w:tc>
        <w:tc>
          <w:tcPr>
            <w:tcW w:w="1968"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1,581,439,000.00</w:t>
            </w:r>
          </w:p>
        </w:tc>
      </w:tr>
      <w:tr>
        <w:trPr>
          <w:trHeight w:val="286" w:hRule="exact"/>
        </w:trPr>
        <w:tc>
          <w:tcPr>
            <w:tcW w:w="3944"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814" w:type="dxa"/>
            <w:tcBorders>
              <w:top w:val="nil" w:sz="6" w:space="0" w:color="auto"/>
              <w:left w:val="nil" w:sz="6" w:space="0" w:color="auto"/>
              <w:bottom w:val="nil" w:sz="6" w:space="0" w:color="auto"/>
              <w:right w:val="nil" w:sz="6" w:space="0" w:color="auto"/>
            </w:tcBorders>
          </w:tcPr>
          <w:p>
            <w:pPr>
              <w:pStyle w:val="TableParagraph"/>
              <w:spacing w:line="233" w:lineRule="exact"/>
              <w:ind w:right="324"/>
              <w:jc w:val="right"/>
              <w:rPr>
                <w:rFonts w:ascii="宋体" w:hAnsi="宋体" w:cs="宋体" w:eastAsia="宋体" w:hint="default"/>
                <w:sz w:val="18"/>
                <w:szCs w:val="18"/>
              </w:rPr>
            </w:pPr>
            <w:r>
              <w:rPr>
                <w:rFonts w:ascii="宋体"/>
                <w:spacing w:val="-1"/>
                <w:sz w:val="18"/>
              </w:rPr>
              <w:t>2,658,573,357.30</w:t>
            </w:r>
          </w:p>
        </w:tc>
        <w:tc>
          <w:tcPr>
            <w:tcW w:w="1968" w:type="dxa"/>
            <w:tcBorders>
              <w:top w:val="nil" w:sz="6" w:space="0" w:color="auto"/>
              <w:left w:val="nil" w:sz="6" w:space="0" w:color="auto"/>
              <w:bottom w:val="nil" w:sz="6" w:space="0" w:color="auto"/>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sz w:val="18"/>
              </w:rPr>
              <w:t>0.00</w:t>
            </w:r>
          </w:p>
        </w:tc>
      </w:tr>
      <w:tr>
        <w:trPr>
          <w:trHeight w:val="284" w:hRule="exact"/>
        </w:trPr>
        <w:tc>
          <w:tcPr>
            <w:tcW w:w="3944"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814" w:type="dxa"/>
            <w:tcBorders>
              <w:top w:val="nil" w:sz="6" w:space="0" w:color="auto"/>
              <w:left w:val="nil" w:sz="6" w:space="0" w:color="auto"/>
              <w:bottom w:val="nil" w:sz="6" w:space="0" w:color="auto"/>
              <w:right w:val="nil" w:sz="6" w:space="0" w:color="auto"/>
            </w:tcBorders>
          </w:tcPr>
          <w:p>
            <w:pPr>
              <w:pStyle w:val="TableParagraph"/>
              <w:spacing w:line="233" w:lineRule="exact"/>
              <w:ind w:right="325"/>
              <w:jc w:val="right"/>
              <w:rPr>
                <w:rFonts w:ascii="宋体" w:hAnsi="宋体" w:cs="宋体" w:eastAsia="宋体" w:hint="default"/>
                <w:sz w:val="18"/>
                <w:szCs w:val="18"/>
              </w:rPr>
            </w:pPr>
            <w:r>
              <w:rPr>
                <w:rFonts w:ascii="宋体"/>
                <w:spacing w:val="-1"/>
                <w:sz w:val="18"/>
              </w:rPr>
              <w:t>13,759,964,885.10</w:t>
            </w:r>
          </w:p>
        </w:tc>
        <w:tc>
          <w:tcPr>
            <w:tcW w:w="1968"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14,441,745,000.00</w:t>
            </w:r>
          </w:p>
        </w:tc>
      </w:tr>
      <w:tr>
        <w:trPr>
          <w:trHeight w:val="284" w:hRule="exact"/>
        </w:trPr>
        <w:tc>
          <w:tcPr>
            <w:tcW w:w="3944"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14" w:type="dxa"/>
            <w:tcBorders>
              <w:top w:val="nil" w:sz="6" w:space="0" w:color="auto"/>
              <w:left w:val="nil" w:sz="6" w:space="0" w:color="auto"/>
              <w:bottom w:val="nil" w:sz="6" w:space="0" w:color="auto"/>
              <w:right w:val="nil" w:sz="6" w:space="0" w:color="auto"/>
            </w:tcBorders>
          </w:tcPr>
          <w:p>
            <w:pPr>
              <w:pStyle w:val="TableParagraph"/>
              <w:spacing w:line="232" w:lineRule="exact"/>
              <w:ind w:right="324"/>
              <w:jc w:val="right"/>
              <w:rPr>
                <w:rFonts w:ascii="宋体" w:hAnsi="宋体" w:cs="宋体" w:eastAsia="宋体" w:hint="default"/>
                <w:sz w:val="18"/>
                <w:szCs w:val="18"/>
              </w:rPr>
            </w:pPr>
            <w:r>
              <w:rPr>
                <w:rFonts w:ascii="宋体"/>
                <w:spacing w:val="-1"/>
                <w:sz w:val="18"/>
              </w:rPr>
              <w:t>4,804,923,920.40</w:t>
            </w:r>
          </w:p>
        </w:tc>
        <w:tc>
          <w:tcPr>
            <w:tcW w:w="1968" w:type="dxa"/>
            <w:tcBorders>
              <w:top w:val="nil" w:sz="6" w:space="0" w:color="auto"/>
              <w:left w:val="nil" w:sz="6" w:space="0" w:color="auto"/>
              <w:bottom w:val="nil" w:sz="6" w:space="0" w:color="auto"/>
              <w:right w:val="nil" w:sz="6" w:space="0" w:color="auto"/>
            </w:tcBorders>
          </w:tcPr>
          <w:p>
            <w:pPr>
              <w:pStyle w:val="TableParagraph"/>
              <w:spacing w:line="232" w:lineRule="exact"/>
              <w:ind w:right="109"/>
              <w:jc w:val="right"/>
              <w:rPr>
                <w:rFonts w:ascii="宋体" w:hAnsi="宋体" w:cs="宋体" w:eastAsia="宋体" w:hint="default"/>
                <w:sz w:val="18"/>
                <w:szCs w:val="18"/>
              </w:rPr>
            </w:pPr>
            <w:r>
              <w:rPr>
                <w:rFonts w:ascii="宋体"/>
                <w:sz w:val="18"/>
              </w:rPr>
              <w:t>0.00</w:t>
            </w:r>
          </w:p>
        </w:tc>
      </w:tr>
      <w:tr>
        <w:trPr>
          <w:trHeight w:val="286" w:hRule="exact"/>
        </w:trPr>
        <w:tc>
          <w:tcPr>
            <w:tcW w:w="3944"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814" w:type="dxa"/>
            <w:tcBorders>
              <w:top w:val="nil" w:sz="6" w:space="0" w:color="auto"/>
              <w:left w:val="nil" w:sz="6" w:space="0" w:color="auto"/>
              <w:bottom w:val="nil" w:sz="6" w:space="0" w:color="auto"/>
              <w:right w:val="nil" w:sz="6" w:space="0" w:color="auto"/>
            </w:tcBorders>
          </w:tcPr>
          <w:p>
            <w:pPr>
              <w:pStyle w:val="TableParagraph"/>
              <w:spacing w:line="233" w:lineRule="exact"/>
              <w:ind w:right="324"/>
              <w:jc w:val="right"/>
              <w:rPr>
                <w:rFonts w:ascii="宋体" w:hAnsi="宋体" w:cs="宋体" w:eastAsia="宋体" w:hint="default"/>
                <w:sz w:val="18"/>
                <w:szCs w:val="18"/>
              </w:rPr>
            </w:pPr>
            <w:r>
              <w:rPr>
                <w:rFonts w:ascii="宋体"/>
                <w:spacing w:val="-1"/>
                <w:sz w:val="18"/>
              </w:rPr>
              <w:t>-635,164,035.30</w:t>
            </w:r>
          </w:p>
        </w:tc>
        <w:tc>
          <w:tcPr>
            <w:tcW w:w="1968" w:type="dxa"/>
            <w:tcBorders>
              <w:top w:val="nil" w:sz="6" w:space="0" w:color="auto"/>
              <w:left w:val="nil" w:sz="6" w:space="0" w:color="auto"/>
              <w:bottom w:val="nil" w:sz="6" w:space="0" w:color="auto"/>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sz w:val="18"/>
              </w:rPr>
              <w:t>0.00</w:t>
            </w:r>
          </w:p>
        </w:tc>
      </w:tr>
      <w:tr>
        <w:trPr>
          <w:trHeight w:val="286" w:hRule="exact"/>
        </w:trPr>
        <w:tc>
          <w:tcPr>
            <w:tcW w:w="3944"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归属于母公司所有者的其他综合收益</w:t>
            </w:r>
          </w:p>
        </w:tc>
        <w:tc>
          <w:tcPr>
            <w:tcW w:w="2814" w:type="dxa"/>
            <w:tcBorders>
              <w:top w:val="nil" w:sz="6" w:space="0" w:color="auto"/>
              <w:left w:val="nil" w:sz="6" w:space="0" w:color="auto"/>
              <w:bottom w:val="nil" w:sz="6" w:space="0" w:color="auto"/>
              <w:right w:val="nil" w:sz="6" w:space="0" w:color="auto"/>
            </w:tcBorders>
          </w:tcPr>
          <w:p>
            <w:pPr>
              <w:pStyle w:val="TableParagraph"/>
              <w:spacing w:line="233" w:lineRule="exact"/>
              <w:ind w:right="324"/>
              <w:jc w:val="right"/>
              <w:rPr>
                <w:rFonts w:ascii="宋体" w:hAnsi="宋体" w:cs="宋体" w:eastAsia="宋体" w:hint="default"/>
                <w:sz w:val="18"/>
                <w:szCs w:val="18"/>
              </w:rPr>
            </w:pPr>
            <w:r>
              <w:rPr>
                <w:rFonts w:ascii="宋体"/>
                <w:spacing w:val="-1"/>
                <w:sz w:val="18"/>
              </w:rPr>
              <w:t>20,601,148.20</w:t>
            </w:r>
          </w:p>
        </w:tc>
        <w:tc>
          <w:tcPr>
            <w:tcW w:w="1968" w:type="dxa"/>
            <w:tcBorders>
              <w:top w:val="nil" w:sz="6" w:space="0" w:color="auto"/>
              <w:left w:val="nil" w:sz="6" w:space="0" w:color="auto"/>
              <w:bottom w:val="nil" w:sz="6" w:space="0" w:color="auto"/>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sz w:val="18"/>
              </w:rPr>
              <w:t>0.00</w:t>
            </w:r>
          </w:p>
        </w:tc>
      </w:tr>
      <w:tr>
        <w:trPr>
          <w:trHeight w:val="301" w:hRule="exact"/>
        </w:trPr>
        <w:tc>
          <w:tcPr>
            <w:tcW w:w="3944" w:type="dxa"/>
            <w:tcBorders>
              <w:top w:val="nil" w:sz="6" w:space="0" w:color="auto"/>
              <w:left w:val="nil" w:sz="6" w:space="0" w:color="auto"/>
              <w:bottom w:val="single" w:sz="1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814" w:type="dxa"/>
            <w:tcBorders>
              <w:top w:val="nil" w:sz="6" w:space="0" w:color="auto"/>
              <w:left w:val="nil" w:sz="6" w:space="0" w:color="auto"/>
              <w:bottom w:val="single" w:sz="12" w:space="0" w:color="000000"/>
              <w:right w:val="nil" w:sz="6" w:space="0" w:color="auto"/>
            </w:tcBorders>
          </w:tcPr>
          <w:p>
            <w:pPr>
              <w:pStyle w:val="TableParagraph"/>
              <w:spacing w:line="233" w:lineRule="exact"/>
              <w:ind w:right="324"/>
              <w:jc w:val="right"/>
              <w:rPr>
                <w:rFonts w:ascii="宋体" w:hAnsi="宋体" w:cs="宋体" w:eastAsia="宋体" w:hint="default"/>
                <w:sz w:val="18"/>
                <w:szCs w:val="18"/>
              </w:rPr>
            </w:pPr>
            <w:r>
              <w:rPr>
                <w:rFonts w:ascii="宋体"/>
                <w:spacing w:val="-1"/>
                <w:sz w:val="18"/>
              </w:rPr>
              <w:t>-614,562,887.10</w:t>
            </w:r>
          </w:p>
        </w:tc>
        <w:tc>
          <w:tcPr>
            <w:tcW w:w="1968" w:type="dxa"/>
            <w:tcBorders>
              <w:top w:val="nil" w:sz="6" w:space="0" w:color="auto"/>
              <w:left w:val="nil" w:sz="6" w:space="0" w:color="auto"/>
              <w:bottom w:val="single" w:sz="12" w:space="0" w:color="000000"/>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sz w:val="18"/>
              </w:rPr>
              <w:t>0.00</w:t>
            </w:r>
          </w:p>
        </w:tc>
      </w:tr>
    </w:tbl>
    <w:p>
      <w:pPr>
        <w:spacing w:line="398" w:lineRule="auto" w:before="67"/>
        <w:ind w:left="695" w:right="1813" w:firstLine="36"/>
        <w:jc w:val="left"/>
        <w:rPr>
          <w:rFonts w:ascii="宋体" w:hAnsi="宋体" w:cs="宋体" w:eastAsia="宋体" w:hint="default"/>
          <w:sz w:val="22"/>
          <w:szCs w:val="22"/>
        </w:rPr>
      </w:pPr>
      <w:r>
        <w:rPr>
          <w:rFonts w:ascii="宋体" w:hAnsi="宋体" w:cs="宋体" w:eastAsia="宋体" w:hint="default"/>
          <w:spacing w:val="-1"/>
          <w:sz w:val="22"/>
          <w:szCs w:val="22"/>
        </w:rPr>
        <w:t>注：上年发生额指股权购买日至资产负债表日之损益发生金额。</w:t>
      </w:r>
      <w:r>
        <w:rPr>
          <w:rFonts w:ascii="宋体" w:hAnsi="宋体" w:cs="宋体" w:eastAsia="宋体" w:hint="default"/>
          <w:w w:val="100"/>
          <w:sz w:val="22"/>
          <w:szCs w:val="22"/>
        </w:rPr>
        <w:t> </w:t>
      </w:r>
      <w:r>
        <w:rPr>
          <w:rFonts w:ascii="宋体" w:hAnsi="宋体" w:cs="宋体" w:eastAsia="宋体" w:hint="default"/>
          <w:b/>
          <w:bCs/>
          <w:sz w:val="22"/>
          <w:szCs w:val="22"/>
        </w:rPr>
        <w:t>(4)</w:t>
      </w:r>
      <w:r>
        <w:rPr>
          <w:rFonts w:ascii="宋体" w:hAnsi="宋体" w:cs="宋体" w:eastAsia="宋体" w:hint="default"/>
          <w:b/>
          <w:bCs/>
          <w:spacing w:val="7"/>
          <w:sz w:val="22"/>
          <w:szCs w:val="22"/>
        </w:rPr>
        <w:t> </w:t>
      </w:r>
      <w:r>
        <w:rPr>
          <w:rFonts w:ascii="宋体" w:hAnsi="宋体" w:cs="宋体" w:eastAsia="宋体" w:hint="default"/>
          <w:sz w:val="22"/>
          <w:szCs w:val="22"/>
        </w:rPr>
        <w:t>不重要的合营企业和联营企业的汇总财务信息</w:t>
      </w:r>
    </w:p>
    <w:tbl>
      <w:tblPr>
        <w:tblW w:w="0" w:type="auto"/>
        <w:jc w:val="left"/>
        <w:tblInd w:w="119" w:type="dxa"/>
        <w:tblLayout w:type="fixed"/>
        <w:tblCellMar>
          <w:top w:w="0" w:type="dxa"/>
          <w:left w:w="0" w:type="dxa"/>
          <w:bottom w:w="0" w:type="dxa"/>
          <w:right w:w="0" w:type="dxa"/>
        </w:tblCellMar>
        <w:tblLook w:val="01E0"/>
      </w:tblPr>
      <w:tblGrid>
        <w:gridCol w:w="2739"/>
        <w:gridCol w:w="3535"/>
        <w:gridCol w:w="2466"/>
      </w:tblGrid>
      <w:tr>
        <w:trPr>
          <w:trHeight w:val="307" w:hRule="exact"/>
        </w:trPr>
        <w:tc>
          <w:tcPr>
            <w:tcW w:w="2739"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3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176" w:right="0"/>
              <w:jc w:val="left"/>
              <w:rPr>
                <w:rFonts w:ascii="宋体" w:hAnsi="宋体" w:cs="宋体" w:eastAsia="宋体" w:hint="default"/>
                <w:sz w:val="18"/>
                <w:szCs w:val="18"/>
              </w:rPr>
            </w:pPr>
            <w:r>
              <w:rPr>
                <w:rFonts w:ascii="宋体" w:hAnsi="宋体" w:cs="宋体" w:eastAsia="宋体" w:hint="default"/>
                <w:b/>
                <w:bCs/>
                <w:sz w:val="18"/>
                <w:szCs w:val="18"/>
              </w:rPr>
              <w:t>年末余额 </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466"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23" w:right="0"/>
              <w:jc w:val="left"/>
              <w:rPr>
                <w:rFonts w:ascii="宋体" w:hAnsi="宋体" w:cs="宋体" w:eastAsia="宋体" w:hint="default"/>
                <w:sz w:val="18"/>
                <w:szCs w:val="18"/>
              </w:rPr>
            </w:pPr>
            <w:r>
              <w:rPr>
                <w:rFonts w:ascii="宋体" w:hAnsi="宋体" w:cs="宋体" w:eastAsia="宋体" w:hint="default"/>
                <w:b/>
                <w:bCs/>
                <w:sz w:val="18"/>
                <w:szCs w:val="18"/>
              </w:rPr>
              <w:t>年初余额 </w:t>
            </w:r>
            <w:r>
              <w:rPr>
                <w:rFonts w:ascii="宋体" w:hAnsi="宋体" w:cs="宋体" w:eastAsia="宋体" w:hint="default"/>
                <w:b/>
                <w:bCs/>
                <w:sz w:val="18"/>
                <w:szCs w:val="18"/>
              </w:rPr>
              <w:t>/</w:t>
            </w:r>
            <w:r>
              <w:rPr>
                <w:rFonts w:ascii="宋体" w:hAnsi="宋体" w:cs="宋体" w:eastAsia="宋体" w:hint="default"/>
                <w:b/>
                <w:bCs/>
                <w:spacing w:val="-2"/>
                <w:sz w:val="18"/>
                <w:szCs w:val="18"/>
              </w:rPr>
              <w:t> </w:t>
            </w: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88" w:hRule="exact"/>
        </w:trPr>
        <w:tc>
          <w:tcPr>
            <w:tcW w:w="2739" w:type="dxa"/>
            <w:tcBorders>
              <w:top w:val="single" w:sz="4" w:space="0" w:color="000000"/>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合营企业：</w:t>
            </w:r>
            <w:r>
              <w:rPr>
                <w:rFonts w:ascii="宋体" w:hAnsi="宋体" w:cs="宋体" w:eastAsia="宋体" w:hint="default"/>
                <w:sz w:val="18"/>
                <w:szCs w:val="18"/>
              </w:rPr>
            </w:r>
          </w:p>
        </w:tc>
        <w:tc>
          <w:tcPr>
            <w:tcW w:w="3535" w:type="dxa"/>
            <w:tcBorders>
              <w:top w:val="single" w:sz="4" w:space="0" w:color="000000"/>
              <w:left w:val="nil" w:sz="6" w:space="0" w:color="auto"/>
              <w:bottom w:val="nil" w:sz="6" w:space="0" w:color="auto"/>
              <w:right w:val="nil" w:sz="6" w:space="0" w:color="auto"/>
            </w:tcBorders>
          </w:tcPr>
          <w:p>
            <w:pPr/>
          </w:p>
        </w:tc>
        <w:tc>
          <w:tcPr>
            <w:tcW w:w="2466" w:type="dxa"/>
            <w:tcBorders>
              <w:top w:val="single" w:sz="4" w:space="0" w:color="000000"/>
              <w:left w:val="nil" w:sz="6" w:space="0" w:color="auto"/>
              <w:bottom w:val="nil" w:sz="6" w:space="0" w:color="auto"/>
              <w:right w:val="nil" w:sz="6" w:space="0" w:color="auto"/>
            </w:tcBorders>
          </w:tcPr>
          <w:p>
            <w:pPr/>
          </w:p>
        </w:tc>
      </w:tr>
      <w:tr>
        <w:trPr>
          <w:trHeight w:val="284"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535" w:type="dxa"/>
            <w:tcBorders>
              <w:top w:val="nil" w:sz="6" w:space="0" w:color="auto"/>
              <w:left w:val="nil" w:sz="6" w:space="0" w:color="auto"/>
              <w:bottom w:val="nil" w:sz="6" w:space="0" w:color="auto"/>
              <w:right w:val="nil" w:sz="6" w:space="0" w:color="auto"/>
            </w:tcBorders>
          </w:tcPr>
          <w:p>
            <w:pPr>
              <w:pStyle w:val="TableParagraph"/>
              <w:spacing w:line="232" w:lineRule="exact"/>
              <w:ind w:right="222"/>
              <w:jc w:val="right"/>
              <w:rPr>
                <w:rFonts w:ascii="宋体" w:hAnsi="宋体" w:cs="宋体" w:eastAsia="宋体" w:hint="default"/>
                <w:sz w:val="18"/>
                <w:szCs w:val="18"/>
              </w:rPr>
            </w:pPr>
            <w:r>
              <w:rPr>
                <w:rFonts w:ascii="宋体"/>
                <w:spacing w:val="-1"/>
                <w:sz w:val="18"/>
              </w:rPr>
              <w:t>53,876,314.91</w:t>
            </w:r>
          </w:p>
        </w:tc>
        <w:tc>
          <w:tcPr>
            <w:tcW w:w="2466"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54,617,323.54</w:t>
            </w:r>
          </w:p>
        </w:tc>
      </w:tr>
      <w:tr>
        <w:trPr>
          <w:trHeight w:val="286" w:hRule="exact"/>
        </w:trPr>
        <w:tc>
          <w:tcPr>
            <w:tcW w:w="8740" w:type="dxa"/>
            <w:gridSpan w:val="3"/>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r>
      <w:tr>
        <w:trPr>
          <w:trHeight w:val="286"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净利润</w:t>
            </w:r>
          </w:p>
        </w:tc>
        <w:tc>
          <w:tcPr>
            <w:tcW w:w="3535"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pacing w:val="-1"/>
                <w:sz w:val="18"/>
              </w:rPr>
              <w:t>-7,905,296.63</w:t>
            </w:r>
          </w:p>
        </w:tc>
        <w:tc>
          <w:tcPr>
            <w:tcW w:w="2466"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-7,706,968.52</w:t>
            </w:r>
          </w:p>
        </w:tc>
      </w:tr>
      <w:tr>
        <w:trPr>
          <w:trHeight w:val="284"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其他综合收益</w:t>
            </w:r>
          </w:p>
        </w:tc>
        <w:tc>
          <w:tcPr>
            <w:tcW w:w="3535" w:type="dxa"/>
            <w:tcBorders>
              <w:top w:val="nil" w:sz="6" w:space="0" w:color="auto"/>
              <w:left w:val="nil" w:sz="6" w:space="0" w:color="auto"/>
              <w:bottom w:val="nil" w:sz="6" w:space="0" w:color="auto"/>
              <w:right w:val="nil" w:sz="6" w:space="0" w:color="auto"/>
            </w:tcBorders>
          </w:tcPr>
          <w:p>
            <w:pPr>
              <w:pStyle w:val="TableParagraph"/>
              <w:spacing w:line="233" w:lineRule="exact"/>
              <w:ind w:right="221"/>
              <w:jc w:val="right"/>
              <w:rPr>
                <w:rFonts w:ascii="宋体" w:hAnsi="宋体" w:cs="宋体" w:eastAsia="宋体" w:hint="default"/>
                <w:sz w:val="18"/>
                <w:szCs w:val="18"/>
              </w:rPr>
            </w:pPr>
            <w:r>
              <w:rPr>
                <w:rFonts w:ascii="宋体"/>
                <w:sz w:val="18"/>
              </w:rPr>
              <w:t>0.00</w:t>
            </w:r>
          </w:p>
        </w:tc>
        <w:tc>
          <w:tcPr>
            <w:tcW w:w="2466"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0.00</w:t>
            </w:r>
          </w:p>
        </w:tc>
      </w:tr>
      <w:tr>
        <w:trPr>
          <w:trHeight w:val="284"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综合收益总额</w:t>
            </w:r>
          </w:p>
        </w:tc>
        <w:tc>
          <w:tcPr>
            <w:tcW w:w="3535" w:type="dxa"/>
            <w:tcBorders>
              <w:top w:val="nil" w:sz="6" w:space="0" w:color="auto"/>
              <w:left w:val="nil" w:sz="6" w:space="0" w:color="auto"/>
              <w:bottom w:val="nil" w:sz="6" w:space="0" w:color="auto"/>
              <w:right w:val="nil" w:sz="6" w:space="0" w:color="auto"/>
            </w:tcBorders>
          </w:tcPr>
          <w:p>
            <w:pPr>
              <w:pStyle w:val="TableParagraph"/>
              <w:spacing w:line="232" w:lineRule="exact"/>
              <w:ind w:right="222"/>
              <w:jc w:val="right"/>
              <w:rPr>
                <w:rFonts w:ascii="宋体" w:hAnsi="宋体" w:cs="宋体" w:eastAsia="宋体" w:hint="default"/>
                <w:sz w:val="18"/>
                <w:szCs w:val="18"/>
              </w:rPr>
            </w:pPr>
            <w:r>
              <w:rPr>
                <w:rFonts w:ascii="宋体"/>
                <w:spacing w:val="-1"/>
                <w:sz w:val="18"/>
              </w:rPr>
              <w:t>-7,905,296.63</w:t>
            </w:r>
          </w:p>
        </w:tc>
        <w:tc>
          <w:tcPr>
            <w:tcW w:w="2466"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-7,706,968.52</w:t>
            </w:r>
          </w:p>
        </w:tc>
      </w:tr>
      <w:tr>
        <w:trPr>
          <w:trHeight w:val="286"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3535"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nil" w:sz="6" w:space="0" w:color="auto"/>
            </w:tcBorders>
          </w:tcPr>
          <w:p>
            <w:pPr/>
          </w:p>
        </w:tc>
      </w:tr>
      <w:tr>
        <w:trPr>
          <w:trHeight w:val="286"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535" w:type="dxa"/>
            <w:tcBorders>
              <w:top w:val="nil" w:sz="6" w:space="0" w:color="auto"/>
              <w:left w:val="nil" w:sz="6" w:space="0" w:color="auto"/>
              <w:bottom w:val="nil" w:sz="6" w:space="0" w:color="auto"/>
              <w:right w:val="nil" w:sz="6" w:space="0" w:color="auto"/>
            </w:tcBorders>
          </w:tcPr>
          <w:p>
            <w:pPr>
              <w:pStyle w:val="TableParagraph"/>
              <w:spacing w:line="233" w:lineRule="exact"/>
              <w:ind w:right="223"/>
              <w:jc w:val="right"/>
              <w:rPr>
                <w:rFonts w:ascii="宋体" w:hAnsi="宋体" w:cs="宋体" w:eastAsia="宋体" w:hint="default"/>
                <w:sz w:val="18"/>
                <w:szCs w:val="18"/>
              </w:rPr>
            </w:pPr>
            <w:r>
              <w:rPr>
                <w:rFonts w:ascii="宋体"/>
                <w:spacing w:val="-1"/>
                <w:sz w:val="18"/>
              </w:rPr>
              <w:t>3,907,450,353.45</w:t>
            </w:r>
          </w:p>
        </w:tc>
        <w:tc>
          <w:tcPr>
            <w:tcW w:w="2466"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3,498,432,642.14</w:t>
            </w:r>
          </w:p>
        </w:tc>
      </w:tr>
      <w:tr>
        <w:trPr>
          <w:trHeight w:val="285" w:hRule="exact"/>
        </w:trPr>
        <w:tc>
          <w:tcPr>
            <w:tcW w:w="8740" w:type="dxa"/>
            <w:gridSpan w:val="3"/>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r>
      <w:tr>
        <w:trPr>
          <w:trHeight w:val="285"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净利润</w:t>
            </w:r>
          </w:p>
        </w:tc>
        <w:tc>
          <w:tcPr>
            <w:tcW w:w="3535" w:type="dxa"/>
            <w:tcBorders>
              <w:top w:val="nil" w:sz="6" w:space="0" w:color="auto"/>
              <w:left w:val="nil" w:sz="6" w:space="0" w:color="auto"/>
              <w:bottom w:val="nil" w:sz="6" w:space="0" w:color="auto"/>
              <w:right w:val="nil" w:sz="6" w:space="0" w:color="auto"/>
            </w:tcBorders>
          </w:tcPr>
          <w:p>
            <w:pPr>
              <w:pStyle w:val="TableParagraph"/>
              <w:spacing w:line="232" w:lineRule="exact"/>
              <w:ind w:right="222"/>
              <w:jc w:val="right"/>
              <w:rPr>
                <w:rFonts w:ascii="宋体" w:hAnsi="宋体" w:cs="宋体" w:eastAsia="宋体" w:hint="default"/>
                <w:sz w:val="18"/>
                <w:szCs w:val="18"/>
              </w:rPr>
            </w:pPr>
            <w:r>
              <w:rPr>
                <w:rFonts w:ascii="宋体"/>
                <w:spacing w:val="-1"/>
                <w:sz w:val="18"/>
              </w:rPr>
              <w:t>9,191,782.73</w:t>
            </w:r>
          </w:p>
        </w:tc>
        <w:tc>
          <w:tcPr>
            <w:tcW w:w="2466"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251,703,158.68</w:t>
            </w:r>
          </w:p>
        </w:tc>
      </w:tr>
      <w:tr>
        <w:trPr>
          <w:trHeight w:val="286" w:hRule="exact"/>
        </w:trPr>
        <w:tc>
          <w:tcPr>
            <w:tcW w:w="273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其他综合收益</w:t>
            </w:r>
          </w:p>
        </w:tc>
        <w:tc>
          <w:tcPr>
            <w:tcW w:w="3535"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pacing w:val="-1"/>
                <w:sz w:val="18"/>
              </w:rPr>
              <w:t>-51,654,712.55</w:t>
            </w:r>
          </w:p>
        </w:tc>
        <w:tc>
          <w:tcPr>
            <w:tcW w:w="2466"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-3,507,423.18</w:t>
            </w:r>
          </w:p>
        </w:tc>
      </w:tr>
      <w:tr>
        <w:trPr>
          <w:trHeight w:val="301" w:hRule="exact"/>
        </w:trPr>
        <w:tc>
          <w:tcPr>
            <w:tcW w:w="2739" w:type="dxa"/>
            <w:tcBorders>
              <w:top w:val="nil" w:sz="6" w:space="0" w:color="auto"/>
              <w:left w:val="nil" w:sz="6" w:space="0" w:color="auto"/>
              <w:bottom w:val="single" w:sz="12" w:space="0" w:color="000000"/>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综合收益总额</w:t>
            </w:r>
          </w:p>
        </w:tc>
        <w:tc>
          <w:tcPr>
            <w:tcW w:w="3535" w:type="dxa"/>
            <w:tcBorders>
              <w:top w:val="nil" w:sz="6" w:space="0" w:color="auto"/>
              <w:left w:val="nil" w:sz="6" w:space="0" w:color="auto"/>
              <w:bottom w:val="single" w:sz="12" w:space="0" w:color="000000"/>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pacing w:val="-1"/>
                <w:sz w:val="18"/>
              </w:rPr>
              <w:t>-42,462,929.82</w:t>
            </w:r>
          </w:p>
        </w:tc>
        <w:tc>
          <w:tcPr>
            <w:tcW w:w="2466" w:type="dxa"/>
            <w:tcBorders>
              <w:top w:val="nil" w:sz="6" w:space="0" w:color="auto"/>
              <w:left w:val="nil" w:sz="6" w:space="0" w:color="auto"/>
              <w:bottom w:val="single" w:sz="12" w:space="0" w:color="000000"/>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248,195,735.50</w:t>
            </w:r>
          </w:p>
        </w:tc>
      </w:tr>
    </w:tbl>
    <w:p>
      <w:pPr>
        <w:spacing w:line="240" w:lineRule="auto" w:before="5"/>
        <w:rPr>
          <w:rFonts w:ascii="宋体" w:hAnsi="宋体" w:cs="宋体" w:eastAsia="宋体" w:hint="default"/>
          <w:sz w:val="5"/>
          <w:szCs w:val="5"/>
        </w:rPr>
      </w:pPr>
    </w:p>
    <w:p>
      <w:pPr>
        <w:spacing w:before="36"/>
        <w:ind w:left="242" w:right="0" w:firstLine="0"/>
        <w:jc w:val="left"/>
        <w:rPr>
          <w:rFonts w:ascii="宋体" w:hAnsi="宋体" w:cs="宋体" w:eastAsia="宋体" w:hint="default"/>
          <w:sz w:val="21"/>
          <w:szCs w:val="21"/>
        </w:rPr>
      </w:pPr>
      <w:r>
        <w:rPr>
          <w:rFonts w:ascii="宋体" w:hAnsi="宋体" w:cs="宋体" w:eastAsia="宋体" w:hint="default"/>
          <w:b/>
          <w:bCs/>
          <w:sz w:val="21"/>
          <w:szCs w:val="21"/>
        </w:rPr>
        <w:t>八、与金融工具相关风险</w:t>
      </w:r>
      <w:r>
        <w:rPr>
          <w:rFonts w:ascii="宋体" w:hAnsi="宋体" w:cs="宋体" w:eastAsia="宋体" w:hint="default"/>
          <w:sz w:val="21"/>
          <w:szCs w:val="21"/>
        </w:rPr>
      </w:r>
    </w:p>
    <w:p>
      <w:pPr>
        <w:spacing w:line="297" w:lineRule="auto" w:before="54"/>
        <w:ind w:left="242" w:right="236" w:firstLine="439"/>
        <w:jc w:val="both"/>
        <w:rPr>
          <w:rFonts w:ascii="宋体" w:hAnsi="宋体" w:cs="宋体" w:eastAsia="宋体" w:hint="default"/>
          <w:sz w:val="22"/>
          <w:szCs w:val="22"/>
        </w:rPr>
      </w:pPr>
      <w:r>
        <w:rPr>
          <w:rFonts w:ascii="宋体" w:hAnsi="宋体" w:cs="宋体" w:eastAsia="宋体" w:hint="default"/>
          <w:spacing w:val="-3"/>
          <w:sz w:val="22"/>
          <w:szCs w:val="22"/>
        </w:rPr>
        <w:t>本公司的主要金融工具包括银行借款（含短期借款和长期借款）、应付债券（含中期</w:t>
      </w:r>
      <w:r>
        <w:rPr>
          <w:rFonts w:ascii="宋体" w:hAnsi="宋体" w:cs="宋体" w:eastAsia="宋体" w:hint="default"/>
          <w:w w:val="100"/>
          <w:sz w:val="22"/>
          <w:szCs w:val="22"/>
        </w:rPr>
        <w:t> </w:t>
      </w:r>
      <w:r>
        <w:rPr>
          <w:rFonts w:ascii="宋体" w:hAnsi="宋体" w:cs="宋体" w:eastAsia="宋体" w:hint="default"/>
          <w:spacing w:val="-3"/>
          <w:sz w:val="22"/>
          <w:szCs w:val="22"/>
        </w:rPr>
        <w:t>票据、列示于其他流动负债的超短期融资券和短期融资券等）、应收款项、应付款项、长</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期应收款、长期应付款、可供出售金融资产、以公允价值计量且其变动计入当期损益的金</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融资产和金融负债等，各项金融工具的详细情况说明见附注六。与这些金融工具有关的风</w:t>
      </w:r>
    </w:p>
    <w:p>
      <w:pPr>
        <w:spacing w:after="0" w:line="297" w:lineRule="auto"/>
        <w:jc w:val="both"/>
        <w:rPr>
          <w:rFonts w:ascii="宋体" w:hAnsi="宋体" w:cs="宋体" w:eastAsia="宋体" w:hint="default"/>
          <w:sz w:val="22"/>
          <w:szCs w:val="22"/>
        </w:rPr>
        <w:sectPr>
          <w:pgSz w:w="11910" w:h="16840"/>
          <w:pgMar w:header="0" w:footer="1054" w:top="1320" w:bottom="1240" w:left="1460" w:right="1460"/>
        </w:sectPr>
      </w:pPr>
    </w:p>
    <w:p>
      <w:pPr>
        <w:spacing w:line="297" w:lineRule="auto" w:before="6"/>
        <w:ind w:left="102" w:right="117" w:firstLine="0"/>
        <w:jc w:val="both"/>
        <w:rPr>
          <w:rFonts w:ascii="宋体" w:hAnsi="宋体" w:cs="宋体" w:eastAsia="宋体" w:hint="default"/>
          <w:sz w:val="22"/>
          <w:szCs w:val="22"/>
        </w:rPr>
      </w:pPr>
      <w:r>
        <w:rPr>
          <w:rFonts w:ascii="宋体" w:hAnsi="宋体" w:cs="宋体" w:eastAsia="宋体" w:hint="default"/>
          <w:spacing w:val="-3"/>
          <w:sz w:val="22"/>
          <w:szCs w:val="22"/>
        </w:rPr>
        <w:t>险，以及本公司为降低这些风险所采取的风险管理政策如下所述。本公司管理层对这些风</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险敞口进行管理和监控以确保将上述风险控制在限定的范围之内。</w:t>
      </w:r>
    </w:p>
    <w:p>
      <w:pPr>
        <w:spacing w:line="328" w:lineRule="auto" w:before="77"/>
        <w:ind w:left="541" w:right="117"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15"/>
          <w:sz w:val="22"/>
          <w:szCs w:val="22"/>
        </w:rPr>
        <w:t> </w:t>
      </w:r>
      <w:r>
        <w:rPr>
          <w:rFonts w:ascii="宋体" w:hAnsi="宋体" w:cs="宋体" w:eastAsia="宋体" w:hint="default"/>
          <w:sz w:val="22"/>
          <w:szCs w:val="22"/>
        </w:rPr>
        <w:t>各类风险管理目标和政策</w:t>
      </w:r>
      <w:r>
        <w:rPr>
          <w:rFonts w:ascii="宋体" w:hAnsi="宋体" w:cs="宋体" w:eastAsia="宋体" w:hint="default"/>
          <w:w w:val="100"/>
          <w:sz w:val="22"/>
          <w:szCs w:val="22"/>
        </w:rPr>
        <w:t> </w:t>
      </w:r>
      <w:r>
        <w:rPr>
          <w:rFonts w:ascii="宋体" w:hAnsi="宋体" w:cs="宋体" w:eastAsia="宋体" w:hint="default"/>
          <w:spacing w:val="-3"/>
          <w:sz w:val="22"/>
          <w:szCs w:val="22"/>
        </w:rPr>
        <w:t>本公司从事风险管理的目标是在风险和收益之间取得适当的平衡，将风险对本公司经</w:t>
      </w:r>
    </w:p>
    <w:p>
      <w:pPr>
        <w:spacing w:line="274" w:lineRule="exact" w:before="0"/>
        <w:ind w:left="102" w:right="0" w:firstLine="0"/>
        <w:jc w:val="both"/>
        <w:rPr>
          <w:rFonts w:ascii="宋体" w:hAnsi="宋体" w:cs="宋体" w:eastAsia="宋体" w:hint="default"/>
          <w:sz w:val="22"/>
          <w:szCs w:val="22"/>
        </w:rPr>
      </w:pPr>
      <w:r>
        <w:rPr>
          <w:rFonts w:ascii="宋体" w:hAnsi="宋体" w:cs="宋体" w:eastAsia="宋体" w:hint="default"/>
          <w:spacing w:val="-3"/>
          <w:sz w:val="22"/>
          <w:szCs w:val="22"/>
        </w:rPr>
        <w:t>营业绩的负面影响降低到最低水平，使股东及其它权益投资者的利益最大化。基于该风险</w:t>
      </w:r>
    </w:p>
    <w:p>
      <w:pPr>
        <w:spacing w:line="297" w:lineRule="auto" w:before="69"/>
        <w:ind w:left="102" w:right="117" w:firstLine="0"/>
        <w:jc w:val="both"/>
        <w:rPr>
          <w:rFonts w:ascii="宋体" w:hAnsi="宋体" w:cs="宋体" w:eastAsia="宋体" w:hint="default"/>
          <w:sz w:val="22"/>
          <w:szCs w:val="22"/>
        </w:rPr>
      </w:pPr>
      <w:r>
        <w:rPr>
          <w:rFonts w:ascii="宋体" w:hAnsi="宋体" w:cs="宋体" w:eastAsia="宋体" w:hint="default"/>
          <w:spacing w:val="-3"/>
          <w:sz w:val="22"/>
          <w:szCs w:val="22"/>
        </w:rPr>
        <w:t>管理目标，本公司风险管理的基本策略是确定和分析本公司所面临的各种风险，建立适当</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的风险承受底线并进行风险管理，并及时可靠地对各种风险进行监督，将风险控制在限定</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的范围之内。</w:t>
      </w:r>
    </w:p>
    <w:p>
      <w:pPr>
        <w:spacing w:before="77"/>
        <w:ind w:left="555" w:right="117"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12"/>
          <w:sz w:val="22"/>
          <w:szCs w:val="22"/>
        </w:rPr>
        <w:t> </w:t>
      </w:r>
      <w:r>
        <w:rPr>
          <w:rFonts w:ascii="宋体" w:hAnsi="宋体" w:cs="宋体" w:eastAsia="宋体" w:hint="default"/>
          <w:sz w:val="22"/>
          <w:szCs w:val="22"/>
        </w:rPr>
        <w:t>市场风险</w:t>
      </w:r>
    </w:p>
    <w:p>
      <w:pPr>
        <w:tabs>
          <w:tab w:pos="1001" w:val="left" w:leader="none"/>
        </w:tabs>
        <w:spacing w:line="328" w:lineRule="auto" w:before="127"/>
        <w:ind w:left="541" w:right="117"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tab/>
      </w:r>
      <w:r>
        <w:rPr>
          <w:rFonts w:ascii="宋体" w:hAnsi="宋体" w:cs="宋体" w:eastAsia="宋体" w:hint="default"/>
          <w:sz w:val="22"/>
          <w:szCs w:val="22"/>
        </w:rPr>
        <w:t>汇率风险</w:t>
      </w:r>
      <w:r>
        <w:rPr>
          <w:rFonts w:ascii="宋体" w:hAnsi="宋体" w:cs="宋体" w:eastAsia="宋体" w:hint="default"/>
          <w:w w:val="100"/>
          <w:sz w:val="22"/>
          <w:szCs w:val="22"/>
        </w:rPr>
        <w:t> </w:t>
      </w:r>
      <w:r>
        <w:rPr>
          <w:rFonts w:ascii="宋体" w:hAnsi="宋体" w:cs="宋体" w:eastAsia="宋体" w:hint="default"/>
          <w:spacing w:val="-3"/>
          <w:sz w:val="22"/>
          <w:szCs w:val="22"/>
        </w:rPr>
        <w:t>本公司承受的汇率风险主要与美元、欧元、港元等币种有关。本公司下属同方威视技</w:t>
      </w:r>
    </w:p>
    <w:p>
      <w:pPr>
        <w:spacing w:line="274" w:lineRule="exact" w:before="0"/>
        <w:ind w:left="102" w:right="0" w:firstLine="0"/>
        <w:jc w:val="both"/>
        <w:rPr>
          <w:rFonts w:ascii="宋体" w:hAnsi="宋体" w:cs="宋体" w:eastAsia="宋体" w:hint="default"/>
          <w:sz w:val="22"/>
          <w:szCs w:val="22"/>
        </w:rPr>
      </w:pPr>
      <w:r>
        <w:rPr>
          <w:rFonts w:ascii="宋体" w:hAnsi="宋体" w:cs="宋体" w:eastAsia="宋体" w:hint="default"/>
          <w:sz w:val="22"/>
          <w:szCs w:val="22"/>
        </w:rPr>
        <w:t>术股份有限公司、</w:t>
      </w:r>
      <w:r>
        <w:rPr>
          <w:rFonts w:ascii="宋体" w:hAnsi="宋体" w:cs="宋体" w:eastAsia="宋体" w:hint="default"/>
          <w:sz w:val="22"/>
          <w:szCs w:val="22"/>
        </w:rPr>
        <w:t>TongFang Global Limited</w:t>
      </w:r>
      <w:r>
        <w:rPr>
          <w:rFonts w:ascii="宋体" w:hAnsi="宋体" w:cs="宋体" w:eastAsia="宋体" w:hint="default"/>
          <w:sz w:val="22"/>
          <w:szCs w:val="22"/>
        </w:rPr>
        <w:t>、</w:t>
      </w:r>
      <w:r>
        <w:rPr>
          <w:rFonts w:ascii="宋体" w:hAnsi="宋体" w:cs="宋体" w:eastAsia="宋体" w:hint="default"/>
          <w:sz w:val="22"/>
          <w:szCs w:val="22"/>
        </w:rPr>
        <w:t>Tongfang HongKong</w:t>
      </w:r>
      <w:r>
        <w:rPr>
          <w:rFonts w:ascii="宋体" w:hAnsi="宋体" w:cs="宋体" w:eastAsia="宋体" w:hint="default"/>
          <w:spacing w:val="-80"/>
          <w:sz w:val="22"/>
          <w:szCs w:val="22"/>
        </w:rPr>
        <w:t> </w:t>
      </w:r>
      <w:r>
        <w:rPr>
          <w:rFonts w:ascii="宋体" w:hAnsi="宋体" w:cs="宋体" w:eastAsia="宋体" w:hint="default"/>
          <w:sz w:val="22"/>
          <w:szCs w:val="22"/>
        </w:rPr>
        <w:t>Limited</w:t>
      </w:r>
      <w:r>
        <w:rPr>
          <w:rFonts w:ascii="宋体" w:hAnsi="宋体" w:cs="宋体" w:eastAsia="宋体" w:hint="default"/>
          <w:sz w:val="22"/>
          <w:szCs w:val="22"/>
        </w:rPr>
        <w:t>、同方泰德国</w:t>
      </w:r>
    </w:p>
    <w:p>
      <w:pPr>
        <w:spacing w:line="297" w:lineRule="auto" w:before="69"/>
        <w:ind w:left="102" w:right="114" w:firstLine="0"/>
        <w:jc w:val="both"/>
        <w:rPr>
          <w:rFonts w:ascii="宋体" w:hAnsi="宋体" w:cs="宋体" w:eastAsia="宋体" w:hint="default"/>
          <w:sz w:val="22"/>
          <w:szCs w:val="22"/>
        </w:rPr>
      </w:pPr>
      <w:r>
        <w:rPr>
          <w:rFonts w:ascii="宋体" w:hAnsi="宋体" w:cs="宋体" w:eastAsia="宋体" w:hint="default"/>
          <w:spacing w:val="-9"/>
          <w:sz w:val="22"/>
          <w:szCs w:val="22"/>
        </w:rPr>
        <w:t>际科技有限公司、同方友友控股有限公司、同方知网（北京）技术有限公司等控股子公司，</w:t>
      </w:r>
      <w:r>
        <w:rPr>
          <w:rFonts w:ascii="宋体" w:hAnsi="宋体" w:cs="宋体" w:eastAsia="宋体" w:hint="default"/>
          <w:spacing w:val="-48"/>
          <w:sz w:val="22"/>
          <w:szCs w:val="22"/>
        </w:rPr>
        <w:t> </w:t>
      </w:r>
      <w:r>
        <w:rPr>
          <w:rFonts w:ascii="宋体" w:hAnsi="宋体" w:cs="宋体" w:eastAsia="宋体" w:hint="default"/>
          <w:spacing w:val="-48"/>
          <w:sz w:val="22"/>
          <w:szCs w:val="22"/>
        </w:rPr>
      </w:r>
      <w:r>
        <w:rPr>
          <w:rFonts w:ascii="宋体" w:hAnsi="宋体" w:cs="宋体" w:eastAsia="宋体" w:hint="default"/>
          <w:spacing w:val="-3"/>
          <w:sz w:val="22"/>
          <w:szCs w:val="22"/>
        </w:rPr>
        <w:t>均不同程度地面向国际市场开展以外币计价结算的产品购销和技术服务业务。本公司除上</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述控股子公司之外的业务单元，则主要开展以人民币计价结算的经营业务。截至</w:t>
      </w:r>
      <w:r>
        <w:rPr>
          <w:rFonts w:ascii="宋体" w:hAnsi="宋体" w:cs="宋体" w:eastAsia="宋体" w:hint="default"/>
          <w:spacing w:val="-3"/>
          <w:sz w:val="22"/>
          <w:szCs w:val="22"/>
        </w:rPr>
        <w:t>2018</w:t>
      </w:r>
      <w:r>
        <w:rPr>
          <w:rFonts w:ascii="宋体" w:hAnsi="宋体" w:cs="宋体" w:eastAsia="宋体" w:hint="default"/>
          <w:spacing w:val="-3"/>
          <w:sz w:val="22"/>
          <w:szCs w:val="22"/>
        </w:rPr>
        <w:t>年</w:t>
      </w:r>
      <w:r>
        <w:rPr>
          <w:rFonts w:ascii="宋体" w:hAnsi="宋体" w:cs="宋体" w:eastAsia="宋体" w:hint="default"/>
          <w:spacing w:val="-3"/>
          <w:sz w:val="22"/>
          <w:szCs w:val="22"/>
        </w:rPr>
        <w:t>12</w:t>
      </w:r>
      <w:r>
        <w:rPr>
          <w:rFonts w:ascii="宋体" w:hAnsi="宋体" w:cs="宋体" w:eastAsia="宋体" w:hint="default"/>
          <w:spacing w:val="-63"/>
          <w:sz w:val="22"/>
          <w:szCs w:val="22"/>
        </w:rPr>
        <w:t> </w:t>
      </w:r>
      <w:r>
        <w:rPr>
          <w:rFonts w:ascii="宋体" w:hAnsi="宋体" w:cs="宋体" w:eastAsia="宋体" w:hint="default"/>
          <w:spacing w:val="-3"/>
          <w:sz w:val="22"/>
          <w:szCs w:val="22"/>
        </w:rPr>
        <w:t>月</w:t>
      </w:r>
      <w:r>
        <w:rPr>
          <w:rFonts w:ascii="宋体" w:hAnsi="宋体" w:cs="宋体" w:eastAsia="宋体" w:hint="default"/>
          <w:spacing w:val="-3"/>
          <w:sz w:val="22"/>
          <w:szCs w:val="22"/>
        </w:rPr>
        <w:t>31</w:t>
      </w:r>
      <w:r>
        <w:rPr>
          <w:rFonts w:ascii="宋体" w:hAnsi="宋体" w:cs="宋体" w:eastAsia="宋体" w:hint="default"/>
          <w:spacing w:val="-3"/>
          <w:sz w:val="22"/>
          <w:szCs w:val="22"/>
        </w:rPr>
        <w:t>日，除本附注六、</w:t>
      </w:r>
      <w:r>
        <w:rPr>
          <w:rFonts w:ascii="宋体" w:hAnsi="宋体" w:cs="宋体" w:eastAsia="宋体" w:hint="default"/>
          <w:spacing w:val="-3"/>
          <w:sz w:val="22"/>
          <w:szCs w:val="22"/>
        </w:rPr>
        <w:t>56</w:t>
      </w:r>
      <w:r>
        <w:rPr>
          <w:rFonts w:ascii="宋体" w:hAnsi="宋体" w:cs="宋体" w:eastAsia="宋体" w:hint="default"/>
          <w:spacing w:val="-3"/>
          <w:sz w:val="22"/>
          <w:szCs w:val="22"/>
        </w:rPr>
        <w:t>所述资产及负债的外币余额外，本公司的资产及负债均为人民币</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z w:val="22"/>
          <w:szCs w:val="22"/>
        </w:rPr>
        <w:t>余额。该等外币余额的资产和负债产生的汇率风险可能对本公司的经营业绩产生影响。</w:t>
      </w:r>
    </w:p>
    <w:p>
      <w:pPr>
        <w:spacing w:line="297" w:lineRule="auto" w:before="77"/>
        <w:ind w:left="102" w:right="117" w:firstLine="439"/>
        <w:jc w:val="both"/>
        <w:rPr>
          <w:rFonts w:ascii="宋体" w:hAnsi="宋体" w:cs="宋体" w:eastAsia="宋体" w:hint="default"/>
          <w:sz w:val="22"/>
          <w:szCs w:val="22"/>
        </w:rPr>
      </w:pPr>
      <w:r>
        <w:rPr>
          <w:rFonts w:ascii="宋体" w:hAnsi="宋体" w:cs="宋体" w:eastAsia="宋体" w:hint="default"/>
          <w:spacing w:val="-3"/>
          <w:sz w:val="22"/>
          <w:szCs w:val="22"/>
        </w:rPr>
        <w:t>本公司密切关注汇率变动对本公司的影响。随着海外业务拓展与市场份额变化，若发</w:t>
      </w:r>
      <w:r>
        <w:rPr>
          <w:rFonts w:ascii="宋体" w:hAnsi="宋体" w:cs="宋体" w:eastAsia="宋体" w:hint="default"/>
          <w:w w:val="100"/>
          <w:sz w:val="22"/>
          <w:szCs w:val="22"/>
        </w:rPr>
        <w:t> </w:t>
      </w:r>
      <w:r>
        <w:rPr>
          <w:rFonts w:ascii="宋体" w:hAnsi="宋体" w:cs="宋体" w:eastAsia="宋体" w:hint="default"/>
          <w:spacing w:val="-3"/>
          <w:sz w:val="22"/>
          <w:szCs w:val="22"/>
        </w:rPr>
        <w:t>生人民币升值或贬值等本公司不可控制的风险，本公司将通过调整采购和销售策略、实施</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人民币跨境结算与归集、合理运用汇率掉期保值工具等措施，加以有效防控。</w:t>
      </w:r>
    </w:p>
    <w:p>
      <w:pPr>
        <w:tabs>
          <w:tab w:pos="1001" w:val="left" w:leader="none"/>
        </w:tabs>
        <w:spacing w:line="326" w:lineRule="auto" w:before="77"/>
        <w:ind w:left="541" w:right="117"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tab/>
      </w:r>
      <w:r>
        <w:rPr>
          <w:rFonts w:ascii="宋体" w:hAnsi="宋体" w:cs="宋体" w:eastAsia="宋体" w:hint="default"/>
          <w:sz w:val="22"/>
          <w:szCs w:val="22"/>
        </w:rPr>
        <w:t>利率风险</w:t>
      </w:r>
      <w:r>
        <w:rPr>
          <w:rFonts w:ascii="宋体" w:hAnsi="宋体" w:cs="宋体" w:eastAsia="宋体" w:hint="default"/>
          <w:w w:val="100"/>
          <w:sz w:val="22"/>
          <w:szCs w:val="22"/>
        </w:rPr>
        <w:t> </w:t>
      </w:r>
      <w:r>
        <w:rPr>
          <w:rFonts w:ascii="宋体" w:hAnsi="宋体" w:cs="宋体" w:eastAsia="宋体" w:hint="default"/>
          <w:spacing w:val="-3"/>
          <w:sz w:val="22"/>
          <w:szCs w:val="22"/>
        </w:rPr>
        <w:t>本公司的利率风险产生于银行借款及应付债券等带息债务。浮动利率的金融负债使本</w:t>
      </w:r>
    </w:p>
    <w:p>
      <w:pPr>
        <w:spacing w:line="297" w:lineRule="auto" w:before="0"/>
        <w:ind w:left="102" w:right="117" w:firstLine="0"/>
        <w:jc w:val="both"/>
        <w:rPr>
          <w:rFonts w:ascii="宋体" w:hAnsi="宋体" w:cs="宋体" w:eastAsia="宋体" w:hint="default"/>
          <w:sz w:val="22"/>
          <w:szCs w:val="22"/>
        </w:rPr>
      </w:pPr>
      <w:r>
        <w:rPr>
          <w:rFonts w:ascii="宋体" w:hAnsi="宋体" w:cs="宋体" w:eastAsia="宋体" w:hint="default"/>
          <w:spacing w:val="-3"/>
          <w:sz w:val="22"/>
          <w:szCs w:val="22"/>
        </w:rPr>
        <w:t>公司面临现金流量利率风险，固定利率的金融负债使本公司面临公允价值利率风险。本公</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司根据当时的市场环境来决定固定利率及浮动利率合同的相对比例。</w:t>
      </w:r>
    </w:p>
    <w:p>
      <w:pPr>
        <w:spacing w:line="297" w:lineRule="auto" w:before="74"/>
        <w:ind w:left="102" w:right="117" w:firstLine="439"/>
        <w:jc w:val="both"/>
        <w:rPr>
          <w:rFonts w:ascii="宋体" w:hAnsi="宋体" w:cs="宋体" w:eastAsia="宋体" w:hint="default"/>
          <w:sz w:val="22"/>
          <w:szCs w:val="22"/>
        </w:rPr>
      </w:pPr>
      <w:r>
        <w:rPr>
          <w:rFonts w:ascii="宋体" w:hAnsi="宋体" w:cs="宋体" w:eastAsia="宋体" w:hint="default"/>
          <w:spacing w:val="-3"/>
          <w:sz w:val="22"/>
          <w:szCs w:val="22"/>
        </w:rPr>
        <w:t>本公司作为非金融企业，目前可能面临的利率风险，主要来自于存续的中长期浮动利</w:t>
      </w:r>
      <w:r>
        <w:rPr>
          <w:rFonts w:ascii="宋体" w:hAnsi="宋体" w:cs="宋体" w:eastAsia="宋体" w:hint="default"/>
          <w:w w:val="100"/>
          <w:sz w:val="22"/>
          <w:szCs w:val="22"/>
        </w:rPr>
        <w:t> </w:t>
      </w:r>
      <w:r>
        <w:rPr>
          <w:rFonts w:ascii="宋体" w:hAnsi="宋体" w:cs="宋体" w:eastAsia="宋体" w:hint="default"/>
          <w:spacing w:val="-3"/>
          <w:sz w:val="22"/>
          <w:szCs w:val="22"/>
        </w:rPr>
        <w:t>率债务。对此，本公司将在市场加息预期明确或进入升息通道的情况下，发挥自身主体信</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pacing w:val="-3"/>
          <w:sz w:val="22"/>
          <w:szCs w:val="22"/>
        </w:rPr>
        <w:t>用评级和差别化融资优势，以其他中长期低息债务融资工具（包括但不限于自主发行的中</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期票据或公司债券等）替代面临加息风险的浮动利率债务。</w:t>
      </w:r>
    </w:p>
    <w:p>
      <w:pPr>
        <w:tabs>
          <w:tab w:pos="1001" w:val="left" w:leader="none"/>
        </w:tabs>
        <w:spacing w:line="338" w:lineRule="auto" w:before="77"/>
        <w:ind w:left="541" w:right="2245"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tab/>
      </w:r>
      <w:r>
        <w:rPr>
          <w:rFonts w:ascii="宋体" w:hAnsi="宋体" w:cs="宋体" w:eastAsia="宋体" w:hint="default"/>
          <w:sz w:val="22"/>
          <w:szCs w:val="22"/>
        </w:rPr>
        <w:t>价格风险</w:t>
      </w:r>
      <w:r>
        <w:rPr>
          <w:rFonts w:ascii="宋体" w:hAnsi="宋体" w:cs="宋体" w:eastAsia="宋体" w:hint="default"/>
          <w:w w:val="100"/>
          <w:sz w:val="22"/>
          <w:szCs w:val="22"/>
        </w:rPr>
        <w:t> </w:t>
      </w:r>
      <w:r>
        <w:rPr>
          <w:rFonts w:ascii="宋体" w:hAnsi="宋体" w:cs="宋体" w:eastAsia="宋体" w:hint="default"/>
          <w:spacing w:val="-1"/>
          <w:sz w:val="22"/>
          <w:szCs w:val="22"/>
        </w:rPr>
        <w:t>本公司以市场价格销售产品，因此受到此等价格波动的影响。</w:t>
      </w:r>
      <w:r>
        <w:rPr>
          <w:rFonts w:ascii="宋体" w:hAnsi="宋体" w:cs="宋体" w:eastAsia="宋体" w:hint="default"/>
          <w:spacing w:val="-89"/>
          <w:sz w:val="22"/>
          <w:szCs w:val="22"/>
        </w:rPr>
        <w:t> </w:t>
      </w:r>
      <w:r>
        <w:rPr>
          <w:rFonts w:ascii="宋体" w:hAnsi="宋体" w:cs="宋体" w:eastAsia="宋体" w:hint="default"/>
          <w:spacing w:val="-89"/>
          <w:sz w:val="22"/>
          <w:szCs w:val="22"/>
        </w:rPr>
      </w:r>
      <w:r>
        <w:rPr>
          <w:rFonts w:ascii="宋体" w:hAnsi="宋体" w:cs="宋体" w:eastAsia="宋体" w:hint="default"/>
          <w:b/>
          <w:bCs/>
          <w:sz w:val="22"/>
          <w:szCs w:val="22"/>
        </w:rPr>
        <w:t>(2)</w:t>
      </w:r>
      <w:r>
        <w:rPr>
          <w:rFonts w:ascii="宋体" w:hAnsi="宋体" w:cs="宋体" w:eastAsia="宋体" w:hint="default"/>
          <w:b/>
          <w:bCs/>
          <w:spacing w:val="12"/>
          <w:sz w:val="22"/>
          <w:szCs w:val="22"/>
        </w:rPr>
        <w:t> </w:t>
      </w:r>
      <w:r>
        <w:rPr>
          <w:rFonts w:ascii="宋体" w:hAnsi="宋体" w:cs="宋体" w:eastAsia="宋体" w:hint="default"/>
          <w:sz w:val="22"/>
          <w:szCs w:val="22"/>
        </w:rPr>
        <w:t>信用风险</w:t>
      </w:r>
    </w:p>
    <w:p>
      <w:pPr>
        <w:spacing w:line="297" w:lineRule="auto" w:before="37"/>
        <w:ind w:left="102" w:right="116" w:firstLine="439"/>
        <w:jc w:val="both"/>
        <w:rPr>
          <w:rFonts w:ascii="宋体" w:hAnsi="宋体" w:cs="宋体" w:eastAsia="宋体" w:hint="default"/>
          <w:sz w:val="22"/>
          <w:szCs w:val="22"/>
        </w:rPr>
      </w:pPr>
      <w:r>
        <w:rPr>
          <w:rFonts w:ascii="宋体" w:hAnsi="宋体" w:cs="宋体" w:eastAsia="宋体" w:hint="default"/>
          <w:spacing w:val="-3"/>
          <w:sz w:val="22"/>
          <w:szCs w:val="22"/>
        </w:rPr>
        <w:t>截至</w:t>
      </w:r>
      <w:r>
        <w:rPr>
          <w:rFonts w:ascii="宋体" w:hAnsi="宋体" w:cs="宋体" w:eastAsia="宋体" w:hint="default"/>
          <w:spacing w:val="-3"/>
          <w:sz w:val="22"/>
          <w:szCs w:val="22"/>
        </w:rPr>
        <w:t>2018</w:t>
      </w:r>
      <w:r>
        <w:rPr>
          <w:rFonts w:ascii="宋体" w:hAnsi="宋体" w:cs="宋体" w:eastAsia="宋体" w:hint="default"/>
          <w:spacing w:val="-3"/>
          <w:sz w:val="22"/>
          <w:szCs w:val="22"/>
        </w:rPr>
        <w:t>年</w:t>
      </w:r>
      <w:r>
        <w:rPr>
          <w:rFonts w:ascii="宋体" w:hAnsi="宋体" w:cs="宋体" w:eastAsia="宋体" w:hint="default"/>
          <w:spacing w:val="-3"/>
          <w:sz w:val="22"/>
          <w:szCs w:val="22"/>
        </w:rPr>
        <w:t>12</w:t>
      </w:r>
      <w:r>
        <w:rPr>
          <w:rFonts w:ascii="宋体" w:hAnsi="宋体" w:cs="宋体" w:eastAsia="宋体" w:hint="default"/>
          <w:spacing w:val="-3"/>
          <w:sz w:val="22"/>
          <w:szCs w:val="22"/>
        </w:rPr>
        <w:t>月</w:t>
      </w:r>
      <w:r>
        <w:rPr>
          <w:rFonts w:ascii="宋体" w:hAnsi="宋体" w:cs="宋体" w:eastAsia="宋体" w:hint="default"/>
          <w:spacing w:val="-3"/>
          <w:sz w:val="22"/>
          <w:szCs w:val="22"/>
        </w:rPr>
        <w:t>31</w:t>
      </w:r>
      <w:r>
        <w:rPr>
          <w:rFonts w:ascii="宋体" w:hAnsi="宋体" w:cs="宋体" w:eastAsia="宋体" w:hint="default"/>
          <w:spacing w:val="-3"/>
          <w:sz w:val="22"/>
          <w:szCs w:val="22"/>
        </w:rPr>
        <w:t>日，可能引起本公司财务损失的最大信用风险敞口，主要来自于经</w:t>
      </w:r>
      <w:r>
        <w:rPr>
          <w:rFonts w:ascii="宋体" w:hAnsi="宋体" w:cs="宋体" w:eastAsia="宋体" w:hint="default"/>
          <w:w w:val="100"/>
          <w:sz w:val="22"/>
          <w:szCs w:val="22"/>
        </w:rPr>
        <w:t> </w:t>
      </w:r>
      <w:r>
        <w:rPr>
          <w:rFonts w:ascii="宋体" w:hAnsi="宋体" w:cs="宋体" w:eastAsia="宋体" w:hint="default"/>
          <w:sz w:val="22"/>
          <w:szCs w:val="22"/>
        </w:rPr>
        <w:t>济合同他方未能履行义务而导致本公司金融资产产生的损失，具体包括：</w:t>
      </w:r>
    </w:p>
    <w:p>
      <w:pPr>
        <w:spacing w:line="297" w:lineRule="auto" w:before="77"/>
        <w:ind w:left="102" w:right="117" w:firstLine="439"/>
        <w:jc w:val="both"/>
        <w:rPr>
          <w:rFonts w:ascii="宋体" w:hAnsi="宋体" w:cs="宋体" w:eastAsia="宋体" w:hint="default"/>
          <w:sz w:val="22"/>
          <w:szCs w:val="22"/>
        </w:rPr>
      </w:pPr>
      <w:r>
        <w:rPr>
          <w:rFonts w:ascii="宋体" w:hAnsi="宋体" w:cs="宋体" w:eastAsia="宋体" w:hint="default"/>
          <w:spacing w:val="-3"/>
          <w:sz w:val="22"/>
          <w:szCs w:val="22"/>
        </w:rPr>
        <w:t>合并资产负债表中已确认的金融资产的账面金额；对于以公允价值计量的金融工具而</w:t>
      </w:r>
      <w:r>
        <w:rPr>
          <w:rFonts w:ascii="宋体" w:hAnsi="宋体" w:cs="宋体" w:eastAsia="宋体" w:hint="default"/>
          <w:w w:val="100"/>
          <w:sz w:val="22"/>
          <w:szCs w:val="22"/>
        </w:rPr>
        <w:t> </w:t>
      </w:r>
      <w:r>
        <w:rPr>
          <w:rFonts w:ascii="宋体" w:hAnsi="宋体" w:cs="宋体" w:eastAsia="宋体" w:hint="default"/>
          <w:spacing w:val="-3"/>
          <w:sz w:val="22"/>
          <w:szCs w:val="22"/>
        </w:rPr>
        <w:t>言，账面价值反映了其风险敞口，但并非最大风险敞口，其最大风险敞口将随着未来公允</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价值的变化而改变。</w:t>
      </w:r>
    </w:p>
    <w:p>
      <w:pPr>
        <w:spacing w:after="0" w:line="297" w:lineRule="auto"/>
        <w:jc w:val="both"/>
        <w:rPr>
          <w:rFonts w:ascii="宋体" w:hAnsi="宋体" w:cs="宋体" w:eastAsia="宋体" w:hint="default"/>
          <w:sz w:val="22"/>
          <w:szCs w:val="22"/>
        </w:rPr>
        <w:sectPr>
          <w:footerReference w:type="default" r:id="rId47"/>
          <w:pgSz w:w="11910" w:h="16840"/>
          <w:pgMar w:footer="1034" w:header="0" w:top="1360" w:bottom="1220" w:left="1600" w:right="1580"/>
          <w:pgNumType w:start="160"/>
        </w:sectPr>
      </w:pPr>
    </w:p>
    <w:p>
      <w:pPr>
        <w:spacing w:line="297" w:lineRule="auto" w:before="6"/>
        <w:ind w:left="222" w:right="437" w:firstLine="439"/>
        <w:jc w:val="both"/>
        <w:rPr>
          <w:rFonts w:ascii="宋体" w:hAnsi="宋体" w:cs="宋体" w:eastAsia="宋体" w:hint="default"/>
          <w:sz w:val="22"/>
          <w:szCs w:val="22"/>
        </w:rPr>
      </w:pPr>
      <w:r>
        <w:rPr>
          <w:rFonts w:ascii="宋体" w:hAnsi="宋体" w:cs="宋体" w:eastAsia="宋体" w:hint="default"/>
          <w:spacing w:val="-3"/>
          <w:sz w:val="22"/>
          <w:szCs w:val="22"/>
        </w:rPr>
        <w:t>为降低信用风险，本公司成立专门部门确定信用额度，实施信用审批，并执行相关监</w:t>
      </w:r>
      <w:r>
        <w:rPr>
          <w:rFonts w:ascii="宋体" w:hAnsi="宋体" w:cs="宋体" w:eastAsia="宋体" w:hint="default"/>
          <w:w w:val="100"/>
          <w:sz w:val="22"/>
          <w:szCs w:val="22"/>
        </w:rPr>
        <w:t> </w:t>
      </w:r>
      <w:r>
        <w:rPr>
          <w:rFonts w:ascii="宋体" w:hAnsi="宋体" w:cs="宋体" w:eastAsia="宋体" w:hint="default"/>
          <w:spacing w:val="-3"/>
          <w:sz w:val="22"/>
          <w:szCs w:val="22"/>
        </w:rPr>
        <w:t>控程序以确保采取必要的措施回收到期或逾期债权。此外，本公司在每个资产负债表日审</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核各项应收款项的回收情况，以确保就无法回收的款项充分计提坏账准备。因此，本公司</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管理层认为本公司所承担的信用风险已得到有效控制。</w:t>
      </w:r>
    </w:p>
    <w:p>
      <w:pPr>
        <w:spacing w:line="348" w:lineRule="auto" w:before="74"/>
        <w:ind w:left="661" w:right="0" w:firstLine="14"/>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9"/>
          <w:sz w:val="22"/>
          <w:szCs w:val="22"/>
        </w:rPr>
        <w:t> </w:t>
      </w:r>
      <w:r>
        <w:rPr>
          <w:rFonts w:ascii="宋体" w:hAnsi="宋体" w:cs="宋体" w:eastAsia="宋体" w:hint="default"/>
          <w:sz w:val="22"/>
          <w:szCs w:val="22"/>
        </w:rPr>
        <w:t>流动风险</w:t>
      </w:r>
      <w:r>
        <w:rPr>
          <w:rFonts w:ascii="宋体" w:hAnsi="宋体" w:cs="宋体" w:eastAsia="宋体" w:hint="default"/>
          <w:w w:val="100"/>
          <w:sz w:val="22"/>
          <w:szCs w:val="22"/>
        </w:rPr>
        <w:t> </w:t>
      </w:r>
      <w:r>
        <w:rPr>
          <w:rFonts w:ascii="宋体" w:hAnsi="宋体" w:cs="宋体" w:eastAsia="宋体" w:hint="default"/>
          <w:spacing w:val="-3"/>
          <w:sz w:val="22"/>
          <w:szCs w:val="22"/>
        </w:rPr>
        <w:t>流动风险为本公司在到期日无法履行其财务义务的风险。本公司管理流动性风险的方</w:t>
      </w:r>
    </w:p>
    <w:p>
      <w:pPr>
        <w:spacing w:line="256" w:lineRule="exact" w:before="0"/>
        <w:ind w:left="222" w:right="0" w:firstLine="0"/>
        <w:jc w:val="left"/>
        <w:rPr>
          <w:rFonts w:ascii="宋体" w:hAnsi="宋体" w:cs="宋体" w:eastAsia="宋体" w:hint="default"/>
          <w:sz w:val="22"/>
          <w:szCs w:val="22"/>
        </w:rPr>
      </w:pPr>
      <w:r>
        <w:rPr>
          <w:rFonts w:ascii="宋体" w:hAnsi="宋体" w:cs="宋体" w:eastAsia="宋体" w:hint="default"/>
          <w:spacing w:val="-3"/>
          <w:sz w:val="22"/>
          <w:szCs w:val="22"/>
        </w:rPr>
        <w:t>法是确保有足够的资金流动性来履行到期债务，而不至于造成不可接受的损失或对企业信</w:t>
      </w:r>
    </w:p>
    <w:p>
      <w:pPr>
        <w:spacing w:line="297" w:lineRule="auto" w:before="69"/>
        <w:ind w:left="222" w:right="0" w:firstLine="0"/>
        <w:jc w:val="left"/>
        <w:rPr>
          <w:rFonts w:ascii="宋体" w:hAnsi="宋体" w:cs="宋体" w:eastAsia="宋体" w:hint="default"/>
          <w:sz w:val="22"/>
          <w:szCs w:val="22"/>
        </w:rPr>
      </w:pPr>
      <w:r>
        <w:rPr>
          <w:rFonts w:ascii="宋体" w:hAnsi="宋体" w:cs="宋体" w:eastAsia="宋体" w:hint="default"/>
          <w:spacing w:val="-3"/>
          <w:sz w:val="22"/>
          <w:szCs w:val="22"/>
        </w:rPr>
        <w:t>誉造成损害。本公司定期分析负债结构和期限，以确保保持充裕的流动性。本公司管理层</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对银行借款的使用情况进行监控并确保遵守借款协议；同时，与金融机构保持密切协作，</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以保有充足的授信额度，有效防控流动性风险。</w:t>
      </w:r>
    </w:p>
    <w:p>
      <w:pPr>
        <w:spacing w:line="328" w:lineRule="auto" w:before="137"/>
        <w:ind w:left="661" w:right="0"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15"/>
          <w:sz w:val="22"/>
          <w:szCs w:val="22"/>
        </w:rPr>
        <w:t> </w:t>
      </w:r>
      <w:r>
        <w:rPr>
          <w:rFonts w:ascii="宋体" w:hAnsi="宋体" w:cs="宋体" w:eastAsia="宋体" w:hint="default"/>
          <w:sz w:val="22"/>
          <w:szCs w:val="22"/>
        </w:rPr>
        <w:t>敏感性分析</w:t>
      </w:r>
      <w:r>
        <w:rPr>
          <w:rFonts w:ascii="宋体" w:hAnsi="宋体" w:cs="宋体" w:eastAsia="宋体" w:hint="default"/>
          <w:w w:val="100"/>
          <w:sz w:val="22"/>
          <w:szCs w:val="22"/>
        </w:rPr>
        <w:t> </w:t>
      </w:r>
      <w:r>
        <w:rPr>
          <w:rFonts w:ascii="宋体" w:hAnsi="宋体" w:cs="宋体" w:eastAsia="宋体" w:hint="default"/>
          <w:spacing w:val="-3"/>
          <w:sz w:val="22"/>
          <w:szCs w:val="22"/>
        </w:rPr>
        <w:t>本公司采用敏感性分析技术分析风险变量的合理、可能变化对当期损益或所有者权益</w:t>
      </w:r>
    </w:p>
    <w:p>
      <w:pPr>
        <w:spacing w:line="297" w:lineRule="auto" w:before="0"/>
        <w:ind w:left="222" w:right="437" w:firstLine="0"/>
        <w:jc w:val="both"/>
        <w:rPr>
          <w:rFonts w:ascii="宋体" w:hAnsi="宋体" w:cs="宋体" w:eastAsia="宋体" w:hint="default"/>
          <w:sz w:val="22"/>
          <w:szCs w:val="22"/>
        </w:rPr>
      </w:pPr>
      <w:r>
        <w:rPr>
          <w:rFonts w:ascii="宋体" w:hAnsi="宋体" w:cs="宋体" w:eastAsia="宋体" w:hint="default"/>
          <w:spacing w:val="-3"/>
          <w:sz w:val="22"/>
          <w:szCs w:val="22"/>
        </w:rPr>
        <w:t>可能产生的影响。由于任何风险变量很少孤立的发生变化，而变量之间存在的相关性对某</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一风险变量变化的最终影响金额将产生重大作用，因此下述内容是在假设每一变量的变化</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是独立的情况下进行的。</w:t>
      </w:r>
    </w:p>
    <w:p>
      <w:pPr>
        <w:spacing w:line="345" w:lineRule="auto" w:before="77"/>
        <w:ind w:left="661" w:right="0" w:firstLine="14"/>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9"/>
          <w:sz w:val="22"/>
          <w:szCs w:val="22"/>
        </w:rPr>
        <w:t> </w:t>
      </w:r>
      <w:r>
        <w:rPr>
          <w:rFonts w:ascii="宋体" w:hAnsi="宋体" w:cs="宋体" w:eastAsia="宋体" w:hint="default"/>
          <w:sz w:val="22"/>
          <w:szCs w:val="22"/>
        </w:rPr>
        <w:t>外汇风险敏感性分析</w:t>
      </w:r>
      <w:r>
        <w:rPr>
          <w:rFonts w:ascii="宋体" w:hAnsi="宋体" w:cs="宋体" w:eastAsia="宋体" w:hint="default"/>
          <w:w w:val="100"/>
          <w:sz w:val="22"/>
          <w:szCs w:val="22"/>
        </w:rPr>
        <w:t> </w:t>
      </w:r>
      <w:r>
        <w:rPr>
          <w:rFonts w:ascii="宋体" w:hAnsi="宋体" w:cs="宋体" w:eastAsia="宋体" w:hint="default"/>
          <w:spacing w:val="-3"/>
          <w:sz w:val="22"/>
          <w:szCs w:val="22"/>
        </w:rPr>
        <w:t>外汇风险敏感性分析假设：本公司的全部现金流量套期及境外经营净投资套期（如果</w:t>
      </w:r>
    </w:p>
    <w:p>
      <w:pPr>
        <w:spacing w:line="261" w:lineRule="exact" w:before="0"/>
        <w:ind w:left="222" w:right="0" w:firstLine="0"/>
        <w:jc w:val="left"/>
        <w:rPr>
          <w:rFonts w:ascii="宋体" w:hAnsi="宋体" w:cs="宋体" w:eastAsia="宋体" w:hint="default"/>
          <w:sz w:val="22"/>
          <w:szCs w:val="22"/>
        </w:rPr>
      </w:pPr>
      <w:r>
        <w:rPr>
          <w:rFonts w:ascii="宋体" w:hAnsi="宋体" w:cs="宋体" w:eastAsia="宋体" w:hint="default"/>
          <w:sz w:val="22"/>
          <w:szCs w:val="22"/>
        </w:rPr>
        <w:t>有）均高度有效。</w:t>
      </w:r>
    </w:p>
    <w:p>
      <w:pPr>
        <w:spacing w:line="295" w:lineRule="auto" w:before="129"/>
        <w:ind w:left="222" w:right="437" w:firstLine="439"/>
        <w:jc w:val="both"/>
        <w:rPr>
          <w:rFonts w:ascii="宋体" w:hAnsi="宋体" w:cs="宋体" w:eastAsia="宋体" w:hint="default"/>
          <w:sz w:val="22"/>
          <w:szCs w:val="22"/>
        </w:rPr>
      </w:pPr>
      <w:r>
        <w:rPr>
          <w:rFonts w:ascii="宋体" w:hAnsi="宋体" w:cs="宋体" w:eastAsia="宋体" w:hint="default"/>
          <w:spacing w:val="-3"/>
          <w:sz w:val="22"/>
          <w:szCs w:val="22"/>
        </w:rPr>
        <w:t>在上述假设基础上，如其他变量不变，汇率可能发生的合理变动对当期损益和权益的</w:t>
      </w:r>
      <w:r>
        <w:rPr>
          <w:rFonts w:ascii="宋体" w:hAnsi="宋体" w:cs="宋体" w:eastAsia="宋体" w:hint="default"/>
          <w:w w:val="100"/>
          <w:sz w:val="22"/>
          <w:szCs w:val="22"/>
        </w:rPr>
        <w:t> </w:t>
      </w:r>
      <w:r>
        <w:rPr>
          <w:rFonts w:ascii="宋体" w:hAnsi="宋体" w:cs="宋体" w:eastAsia="宋体" w:hint="default"/>
          <w:sz w:val="22"/>
          <w:szCs w:val="22"/>
        </w:rPr>
        <w:t>税前影响如下：</w:t>
      </w:r>
    </w:p>
    <w:p>
      <w:pPr>
        <w:spacing w:line="240" w:lineRule="auto" w:before="13"/>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2448"/>
        <w:gridCol w:w="3141"/>
        <w:gridCol w:w="3136"/>
      </w:tblGrid>
      <w:tr>
        <w:trPr>
          <w:trHeight w:val="305" w:hRule="exact"/>
        </w:trPr>
        <w:tc>
          <w:tcPr>
            <w:tcW w:w="244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4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82" w:right="0"/>
              <w:jc w:val="center"/>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313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72"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7"/>
                <w:sz w:val="18"/>
                <w:szCs w:val="18"/>
              </w:rPr>
              <w:t> </w:t>
            </w:r>
            <w:r>
              <w:rPr>
                <w:rFonts w:ascii="宋体" w:hAnsi="宋体" w:cs="宋体" w:eastAsia="宋体" w:hint="default"/>
                <w:b/>
                <w:bCs/>
                <w:sz w:val="18"/>
                <w:szCs w:val="18"/>
              </w:rPr>
              <w:t>年度对综合收益的影响</w:t>
            </w:r>
            <w:r>
              <w:rPr>
                <w:rFonts w:ascii="宋体" w:hAnsi="宋体" w:cs="宋体" w:eastAsia="宋体" w:hint="default"/>
                <w:sz w:val="18"/>
                <w:szCs w:val="18"/>
              </w:rPr>
            </w:r>
          </w:p>
        </w:tc>
      </w:tr>
      <w:tr>
        <w:trPr>
          <w:trHeight w:val="289" w:hRule="exact"/>
        </w:trPr>
        <w:tc>
          <w:tcPr>
            <w:tcW w:w="2448"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对货币性资产</w:t>
            </w:r>
          </w:p>
        </w:tc>
        <w:tc>
          <w:tcPr>
            <w:tcW w:w="3141" w:type="dxa"/>
            <w:tcBorders>
              <w:top w:val="single" w:sz="4" w:space="0" w:color="000000"/>
              <w:left w:val="nil" w:sz="6" w:space="0" w:color="auto"/>
              <w:bottom w:val="nil" w:sz="6" w:space="0" w:color="auto"/>
              <w:right w:val="nil" w:sz="6" w:space="0" w:color="auto"/>
            </w:tcBorders>
          </w:tcPr>
          <w:p>
            <w:pPr>
              <w:pStyle w:val="TableParagraph"/>
              <w:spacing w:line="232" w:lineRule="exact"/>
              <w:ind w:left="687" w:right="0"/>
              <w:jc w:val="center"/>
              <w:rPr>
                <w:rFonts w:ascii="宋体" w:hAnsi="宋体" w:cs="宋体" w:eastAsia="宋体" w:hint="default"/>
                <w:sz w:val="18"/>
                <w:szCs w:val="18"/>
              </w:rPr>
            </w:pPr>
            <w:r>
              <w:rPr>
                <w:rFonts w:ascii="宋体" w:hAnsi="宋体" w:cs="宋体" w:eastAsia="宋体" w:hint="default"/>
                <w:sz w:val="18"/>
                <w:szCs w:val="18"/>
              </w:rPr>
              <w:t>对人民币升值</w:t>
            </w:r>
            <w:r>
              <w:rPr>
                <w:rFonts w:ascii="宋体" w:hAnsi="宋体" w:cs="宋体" w:eastAsia="宋体" w:hint="default"/>
                <w:spacing w:val="-42"/>
                <w:sz w:val="18"/>
                <w:szCs w:val="18"/>
              </w:rPr>
              <w:t> </w:t>
            </w:r>
            <w:r>
              <w:rPr>
                <w:rFonts w:ascii="宋体" w:hAnsi="宋体" w:cs="宋体" w:eastAsia="宋体" w:hint="default"/>
                <w:sz w:val="18"/>
                <w:szCs w:val="18"/>
              </w:rPr>
              <w:t>5%</w:t>
            </w:r>
          </w:p>
        </w:tc>
        <w:tc>
          <w:tcPr>
            <w:tcW w:w="3136"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369,598,331.99</w:t>
            </w:r>
          </w:p>
        </w:tc>
      </w:tr>
      <w:tr>
        <w:trPr>
          <w:trHeight w:val="284" w:hRule="exact"/>
        </w:trPr>
        <w:tc>
          <w:tcPr>
            <w:tcW w:w="244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对货币性负债</w:t>
            </w:r>
          </w:p>
        </w:tc>
        <w:tc>
          <w:tcPr>
            <w:tcW w:w="3141" w:type="dxa"/>
            <w:tcBorders>
              <w:top w:val="nil" w:sz="6" w:space="0" w:color="auto"/>
              <w:left w:val="nil" w:sz="6" w:space="0" w:color="auto"/>
              <w:bottom w:val="nil" w:sz="6" w:space="0" w:color="auto"/>
              <w:right w:val="nil" w:sz="6" w:space="0" w:color="auto"/>
            </w:tcBorders>
          </w:tcPr>
          <w:p>
            <w:pPr>
              <w:pStyle w:val="TableParagraph"/>
              <w:spacing w:line="233" w:lineRule="exact"/>
              <w:ind w:left="687" w:right="0"/>
              <w:jc w:val="center"/>
              <w:rPr>
                <w:rFonts w:ascii="宋体" w:hAnsi="宋体" w:cs="宋体" w:eastAsia="宋体" w:hint="default"/>
                <w:sz w:val="18"/>
                <w:szCs w:val="18"/>
              </w:rPr>
            </w:pPr>
            <w:r>
              <w:rPr>
                <w:rFonts w:ascii="宋体" w:hAnsi="宋体" w:cs="宋体" w:eastAsia="宋体" w:hint="default"/>
                <w:sz w:val="18"/>
                <w:szCs w:val="18"/>
              </w:rPr>
              <w:t>对人民币升值</w:t>
            </w:r>
            <w:r>
              <w:rPr>
                <w:rFonts w:ascii="宋体" w:hAnsi="宋体" w:cs="宋体" w:eastAsia="宋体" w:hint="default"/>
                <w:spacing w:val="-42"/>
                <w:sz w:val="18"/>
                <w:szCs w:val="18"/>
              </w:rPr>
              <w:t> </w:t>
            </w:r>
            <w:r>
              <w:rPr>
                <w:rFonts w:ascii="宋体" w:hAnsi="宋体" w:cs="宋体" w:eastAsia="宋体" w:hint="default"/>
                <w:sz w:val="18"/>
                <w:szCs w:val="18"/>
              </w:rPr>
              <w:t>5%</w:t>
            </w:r>
          </w:p>
        </w:tc>
        <w:tc>
          <w:tcPr>
            <w:tcW w:w="3136"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-341,797,643.90</w:t>
            </w:r>
          </w:p>
        </w:tc>
      </w:tr>
      <w:tr>
        <w:trPr>
          <w:trHeight w:val="284" w:hRule="exact"/>
        </w:trPr>
        <w:tc>
          <w:tcPr>
            <w:tcW w:w="244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对货币性资产</w:t>
            </w:r>
          </w:p>
        </w:tc>
        <w:tc>
          <w:tcPr>
            <w:tcW w:w="3141" w:type="dxa"/>
            <w:tcBorders>
              <w:top w:val="nil" w:sz="6" w:space="0" w:color="auto"/>
              <w:left w:val="nil" w:sz="6" w:space="0" w:color="auto"/>
              <w:bottom w:val="nil" w:sz="6" w:space="0" w:color="auto"/>
              <w:right w:val="nil" w:sz="6" w:space="0" w:color="auto"/>
            </w:tcBorders>
          </w:tcPr>
          <w:p>
            <w:pPr>
              <w:pStyle w:val="TableParagraph"/>
              <w:spacing w:line="232" w:lineRule="exact"/>
              <w:ind w:left="687" w:right="0"/>
              <w:jc w:val="center"/>
              <w:rPr>
                <w:rFonts w:ascii="宋体" w:hAnsi="宋体" w:cs="宋体" w:eastAsia="宋体" w:hint="default"/>
                <w:sz w:val="18"/>
                <w:szCs w:val="18"/>
              </w:rPr>
            </w:pPr>
            <w:r>
              <w:rPr>
                <w:rFonts w:ascii="宋体" w:hAnsi="宋体" w:cs="宋体" w:eastAsia="宋体" w:hint="default"/>
                <w:sz w:val="18"/>
                <w:szCs w:val="18"/>
              </w:rPr>
              <w:t>对人民币贬值</w:t>
            </w:r>
            <w:r>
              <w:rPr>
                <w:rFonts w:ascii="宋体" w:hAnsi="宋体" w:cs="宋体" w:eastAsia="宋体" w:hint="default"/>
                <w:spacing w:val="-42"/>
                <w:sz w:val="18"/>
                <w:szCs w:val="18"/>
              </w:rPr>
              <w:t> </w:t>
            </w:r>
            <w:r>
              <w:rPr>
                <w:rFonts w:ascii="宋体" w:hAnsi="宋体" w:cs="宋体" w:eastAsia="宋体" w:hint="default"/>
                <w:sz w:val="18"/>
                <w:szCs w:val="18"/>
              </w:rPr>
              <w:t>5%</w:t>
            </w:r>
          </w:p>
        </w:tc>
        <w:tc>
          <w:tcPr>
            <w:tcW w:w="3136"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-369,598,331.99</w:t>
            </w:r>
          </w:p>
        </w:tc>
      </w:tr>
      <w:tr>
        <w:trPr>
          <w:trHeight w:val="303" w:hRule="exact"/>
        </w:trPr>
        <w:tc>
          <w:tcPr>
            <w:tcW w:w="2448" w:type="dxa"/>
            <w:tcBorders>
              <w:top w:val="nil" w:sz="6" w:space="0" w:color="auto"/>
              <w:left w:val="nil" w:sz="6" w:space="0" w:color="auto"/>
              <w:bottom w:val="single" w:sz="1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对货币性负债</w:t>
            </w:r>
          </w:p>
        </w:tc>
        <w:tc>
          <w:tcPr>
            <w:tcW w:w="3141" w:type="dxa"/>
            <w:tcBorders>
              <w:top w:val="nil" w:sz="6" w:space="0" w:color="auto"/>
              <w:left w:val="nil" w:sz="6" w:space="0" w:color="auto"/>
              <w:bottom w:val="single" w:sz="12" w:space="0" w:color="000000"/>
              <w:right w:val="nil" w:sz="6" w:space="0" w:color="auto"/>
            </w:tcBorders>
          </w:tcPr>
          <w:p>
            <w:pPr>
              <w:pStyle w:val="TableParagraph"/>
              <w:spacing w:line="233" w:lineRule="exact"/>
              <w:ind w:left="687" w:right="0"/>
              <w:jc w:val="center"/>
              <w:rPr>
                <w:rFonts w:ascii="宋体" w:hAnsi="宋体" w:cs="宋体" w:eastAsia="宋体" w:hint="default"/>
                <w:sz w:val="18"/>
                <w:szCs w:val="18"/>
              </w:rPr>
            </w:pPr>
            <w:r>
              <w:rPr>
                <w:rFonts w:ascii="宋体" w:hAnsi="宋体" w:cs="宋体" w:eastAsia="宋体" w:hint="default"/>
                <w:sz w:val="18"/>
                <w:szCs w:val="18"/>
              </w:rPr>
              <w:t>对人民币贬值</w:t>
            </w:r>
            <w:r>
              <w:rPr>
                <w:rFonts w:ascii="宋体" w:hAnsi="宋体" w:cs="宋体" w:eastAsia="宋体" w:hint="default"/>
                <w:spacing w:val="-42"/>
                <w:sz w:val="18"/>
                <w:szCs w:val="18"/>
              </w:rPr>
              <w:t> </w:t>
            </w:r>
            <w:r>
              <w:rPr>
                <w:rFonts w:ascii="宋体" w:hAnsi="宋体" w:cs="宋体" w:eastAsia="宋体" w:hint="default"/>
                <w:sz w:val="18"/>
                <w:szCs w:val="18"/>
              </w:rPr>
              <w:t>5%</w:t>
            </w:r>
          </w:p>
        </w:tc>
        <w:tc>
          <w:tcPr>
            <w:tcW w:w="3136" w:type="dxa"/>
            <w:tcBorders>
              <w:top w:val="nil" w:sz="6" w:space="0" w:color="auto"/>
              <w:left w:val="nil" w:sz="6" w:space="0" w:color="auto"/>
              <w:bottom w:val="single" w:sz="12"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341,797,643.90</w:t>
            </w:r>
          </w:p>
        </w:tc>
      </w:tr>
    </w:tbl>
    <w:p>
      <w:pPr>
        <w:spacing w:line="348" w:lineRule="auto" w:before="81"/>
        <w:ind w:left="661" w:right="2561" w:firstLine="14"/>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9"/>
          <w:sz w:val="22"/>
          <w:szCs w:val="22"/>
        </w:rPr>
        <w:t> </w:t>
      </w:r>
      <w:r>
        <w:rPr>
          <w:rFonts w:ascii="宋体" w:hAnsi="宋体" w:cs="宋体" w:eastAsia="宋体" w:hint="default"/>
          <w:sz w:val="22"/>
          <w:szCs w:val="22"/>
        </w:rPr>
        <w:t>利率风险敏感性分析</w:t>
      </w:r>
      <w:r>
        <w:rPr>
          <w:rFonts w:ascii="宋体" w:hAnsi="宋体" w:cs="宋体" w:eastAsia="宋体" w:hint="default"/>
          <w:w w:val="100"/>
          <w:sz w:val="22"/>
          <w:szCs w:val="22"/>
        </w:rPr>
        <w:t> </w:t>
      </w:r>
      <w:r>
        <w:rPr>
          <w:rFonts w:ascii="宋体" w:hAnsi="宋体" w:cs="宋体" w:eastAsia="宋体" w:hint="default"/>
          <w:sz w:val="22"/>
          <w:szCs w:val="22"/>
        </w:rPr>
        <w:t>利率风险敏感性分析基于下述假设：</w:t>
      </w:r>
      <w:r>
        <w:rPr>
          <w:rFonts w:ascii="宋体" w:hAnsi="宋体" w:cs="宋体" w:eastAsia="宋体" w:hint="default"/>
          <w:w w:val="100"/>
          <w:sz w:val="22"/>
          <w:szCs w:val="22"/>
        </w:rPr>
        <w:t> </w:t>
      </w:r>
      <w:r>
        <w:rPr>
          <w:rFonts w:ascii="宋体" w:hAnsi="宋体" w:cs="宋体" w:eastAsia="宋体" w:hint="default"/>
          <w:spacing w:val="-1"/>
          <w:sz w:val="22"/>
          <w:szCs w:val="22"/>
        </w:rPr>
        <w:t>市场利率变化影响可变利率金融工具的利息收入或费用；</w:t>
      </w:r>
    </w:p>
    <w:p>
      <w:pPr>
        <w:spacing w:line="345" w:lineRule="auto" w:before="30"/>
        <w:ind w:left="661" w:right="0" w:hanging="32"/>
        <w:jc w:val="left"/>
        <w:rPr>
          <w:rFonts w:ascii="宋体" w:hAnsi="宋体" w:cs="宋体" w:eastAsia="宋体" w:hint="default"/>
          <w:sz w:val="22"/>
          <w:szCs w:val="22"/>
        </w:rPr>
      </w:pPr>
      <w:r>
        <w:rPr>
          <w:rFonts w:ascii="宋体" w:hAnsi="宋体" w:cs="宋体" w:eastAsia="宋体" w:hint="default"/>
          <w:spacing w:val="-17"/>
          <w:sz w:val="22"/>
          <w:szCs w:val="22"/>
        </w:rPr>
        <w:t>对于以公允价值计量的固定利率金融工具，市场利率变化仅仅影响其利息收入或费用。</w:t>
      </w:r>
      <w:r>
        <w:rPr>
          <w:rFonts w:ascii="宋体" w:hAnsi="宋体" w:cs="宋体" w:eastAsia="宋体" w:hint="default"/>
          <w:spacing w:val="-80"/>
          <w:sz w:val="22"/>
          <w:szCs w:val="22"/>
        </w:rPr>
        <w:t> </w:t>
      </w:r>
      <w:r>
        <w:rPr>
          <w:rFonts w:ascii="宋体" w:hAnsi="宋体" w:cs="宋体" w:eastAsia="宋体" w:hint="default"/>
          <w:spacing w:val="-3"/>
          <w:sz w:val="22"/>
          <w:szCs w:val="22"/>
        </w:rPr>
        <w:t>在上述假设基础上，如其他变量不变，利率可能发生的合理变动对当期损益和权益的</w:t>
      </w:r>
    </w:p>
    <w:p>
      <w:pPr>
        <w:spacing w:line="261" w:lineRule="exact" w:before="0"/>
        <w:ind w:left="222" w:right="0" w:firstLine="0"/>
        <w:jc w:val="left"/>
        <w:rPr>
          <w:rFonts w:ascii="宋体" w:hAnsi="宋体" w:cs="宋体" w:eastAsia="宋体" w:hint="default"/>
          <w:sz w:val="22"/>
          <w:szCs w:val="22"/>
        </w:rPr>
      </w:pPr>
      <w:r>
        <w:rPr>
          <w:rFonts w:ascii="宋体" w:hAnsi="宋体" w:cs="宋体" w:eastAsia="宋体" w:hint="default"/>
          <w:sz w:val="22"/>
          <w:szCs w:val="22"/>
        </w:rPr>
        <w:t>税前影响如下：</w:t>
      </w:r>
    </w:p>
    <w:p>
      <w:pPr>
        <w:spacing w:line="240" w:lineRule="auto" w:before="9"/>
        <w:rPr>
          <w:rFonts w:ascii="宋体" w:hAnsi="宋体" w:cs="宋体" w:eastAsia="宋体" w:hint="default"/>
          <w:sz w:val="12"/>
          <w:szCs w:val="12"/>
        </w:rPr>
      </w:pPr>
    </w:p>
    <w:p>
      <w:pPr>
        <w:spacing w:line="28" w:lineRule="exact"/>
        <w:ind w:left="17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43.95pt;height:1.45pt;mso-position-horizontal-relative:char;mso-position-vertical-relative:line" coordorigin="0,0" coordsize="8879,29">
            <v:group style="position:absolute;left:14;top:14;width:1227;height:2" coordorigin="14,14" coordsize="1227,2">
              <v:shape style="position:absolute;left:14;top:14;width:1227;height:2" coordorigin="14,14" coordsize="1227,0" path="m14,14l1241,14e" filled="false" stroked="true" strokeweight="1.44pt" strokecolor="#000000">
                <v:path arrowok="t"/>
              </v:shape>
            </v:group>
            <v:group style="position:absolute;left:1241;top:14;width:29;height:2" coordorigin="1241,14" coordsize="29,2">
              <v:shape style="position:absolute;left:1241;top:14;width:29;height:2" coordorigin="1241,14" coordsize="29,0" path="m1241,14l1270,14e" filled="false" stroked="true" strokeweight="1.44pt" strokecolor="#000000">
                <v:path arrowok="t"/>
              </v:shape>
            </v:group>
            <v:group style="position:absolute;left:1270;top:14;width:843;height:2" coordorigin="1270,14" coordsize="843,2">
              <v:shape style="position:absolute;left:1270;top:14;width:843;height:2" coordorigin="1270,14" coordsize="843,0" path="m1270,14l2112,14e" filled="false" stroked="true" strokeweight="1.44pt" strokecolor="#000000">
                <v:path arrowok="t"/>
              </v:shape>
            </v:group>
            <v:group style="position:absolute;left:2113;top:14;width:29;height:2" coordorigin="2113,14" coordsize="29,2">
              <v:shape style="position:absolute;left:2113;top:14;width:29;height:2" coordorigin="2113,14" coordsize="29,0" path="m2113,14l2141,14e" filled="false" stroked="true" strokeweight="1.44pt" strokecolor="#000000">
                <v:path arrowok="t"/>
              </v:shape>
            </v:group>
            <v:group style="position:absolute;left:2141;top:14;width:3394;height:2" coordorigin="2141,14" coordsize="3394,2">
              <v:shape style="position:absolute;left:2141;top:14;width:3394;height:2" coordorigin="2141,14" coordsize="3394,0" path="m2141,14l5535,14e" filled="false" stroked="true" strokeweight="1.44pt" strokecolor="#000000">
                <v:path arrowok="t"/>
              </v:shape>
            </v:group>
            <v:group style="position:absolute;left:5535;top:14;width:29;height:2" coordorigin="5535,14" coordsize="29,2">
              <v:shape style="position:absolute;left:5535;top:14;width:29;height:2" coordorigin="5535,14" coordsize="29,0" path="m5535,14l5564,14e" filled="false" stroked="true" strokeweight="1.44pt" strokecolor="#000000">
                <v:path arrowok="t"/>
              </v:shape>
            </v:group>
            <v:group style="position:absolute;left:5564;top:14;width:3301;height:2" coordorigin="5564,14" coordsize="3301,2">
              <v:shape style="position:absolute;left:5564;top:14;width:3301;height:2" coordorigin="5564,14" coordsize="3301,0" path="m5564,14l8865,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0" w:footer="1034" w:top="1360" w:bottom="1240" w:left="1480" w:right="1260"/>
        </w:sectPr>
      </w:pPr>
    </w:p>
    <w:p>
      <w:pPr>
        <w:tabs>
          <w:tab w:pos="1539" w:val="left" w:leader="none"/>
        </w:tabs>
        <w:spacing w:before="145"/>
        <w:ind w:left="313" w:right="0" w:firstLine="0"/>
        <w:jc w:val="left"/>
        <w:rPr>
          <w:rFonts w:ascii="宋体" w:hAnsi="宋体" w:cs="宋体" w:eastAsia="宋体" w:hint="default"/>
          <w:sz w:val="18"/>
          <w:szCs w:val="18"/>
        </w:rPr>
      </w:pPr>
      <w:r>
        <w:rPr>
          <w:rFonts w:ascii="宋体" w:hAnsi="宋体" w:cs="宋体" w:eastAsia="宋体" w:hint="default"/>
          <w:b/>
          <w:bCs/>
          <w:w w:val="95"/>
          <w:sz w:val="18"/>
          <w:szCs w:val="18"/>
        </w:rPr>
        <w:t>项目</w:t>
        <w:tab/>
        <w:t>利率变动</w:t>
      </w:r>
      <w:r>
        <w:rPr>
          <w:rFonts w:ascii="宋体" w:hAnsi="宋体" w:cs="宋体" w:eastAsia="宋体" w:hint="default"/>
          <w:sz w:val="18"/>
          <w:szCs w:val="18"/>
        </w:rPr>
      </w:r>
    </w:p>
    <w:p>
      <w:pPr>
        <w:tabs>
          <w:tab w:pos="3375" w:val="left" w:leader="none"/>
        </w:tabs>
        <w:spacing w:line="235" w:lineRule="exact" w:before="0"/>
        <w:ind w:left="0" w:right="90"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2018</w:t>
      </w:r>
      <w:r>
        <w:rPr>
          <w:rFonts w:ascii="宋体" w:hAnsi="宋体" w:cs="宋体" w:eastAsia="宋体" w:hint="default"/>
          <w:b/>
          <w:bCs/>
          <w:spacing w:val="-46"/>
          <w:sz w:val="18"/>
          <w:szCs w:val="18"/>
        </w:rPr>
        <w:t> </w:t>
      </w:r>
      <w:r>
        <w:rPr>
          <w:rFonts w:ascii="宋体" w:hAnsi="宋体" w:cs="宋体" w:eastAsia="宋体" w:hint="default"/>
          <w:b/>
          <w:bCs/>
          <w:sz w:val="18"/>
          <w:szCs w:val="18"/>
        </w:rPr>
        <w:t>年度</w:t>
        <w:tab/>
      </w:r>
      <w:r>
        <w:rPr>
          <w:rFonts w:ascii="宋体" w:hAnsi="宋体" w:cs="宋体" w:eastAsia="宋体" w:hint="default"/>
          <w:b/>
          <w:bCs/>
          <w:sz w:val="18"/>
          <w:szCs w:val="18"/>
        </w:rPr>
        <w:t>2017</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p>
      <w:pPr>
        <w:spacing w:line="20" w:lineRule="exact"/>
        <w:ind w:left="-16" w:right="0" w:firstLine="0"/>
        <w:rPr>
          <w:rFonts w:ascii="宋体" w:hAnsi="宋体" w:cs="宋体" w:eastAsia="宋体" w:hint="default"/>
          <w:sz w:val="2"/>
          <w:szCs w:val="2"/>
        </w:rPr>
      </w:pPr>
      <w:r>
        <w:rPr>
          <w:rFonts w:ascii="宋体" w:hAnsi="宋体" w:cs="宋体" w:eastAsia="宋体" w:hint="default"/>
          <w:sz w:val="2"/>
          <w:szCs w:val="2"/>
        </w:rPr>
        <w:pict>
          <v:group style="width:338.1pt;height:.5pt;mso-position-horizontal-relative:char;mso-position-vertical-relative:line" coordorigin="0,0" coordsize="6762,10">
            <v:group style="position:absolute;left:5;top:5;width:1541;height:2" coordorigin="5,5" coordsize="1541,2">
              <v:shape style="position:absolute;left:5;top:5;width:1541;height:2" coordorigin="5,5" coordsize="1541,0" path="m5,5l1546,5e" filled="false" stroked="true" strokeweight=".47998pt" strokecolor="#000000">
                <v:path arrowok="t"/>
              </v:shape>
            </v:group>
            <v:group style="position:absolute;left:1546;top:5;width:10;height:2" coordorigin="1546,5" coordsize="10,2">
              <v:shape style="position:absolute;left:1546;top:5;width:10;height:2" coordorigin="1546,5" coordsize="10,0" path="m1546,5l1555,5e" filled="false" stroked="true" strokeweight=".47998pt" strokecolor="#000000">
                <v:path arrowok="t"/>
              </v:shape>
            </v:group>
            <v:group style="position:absolute;left:1555;top:5;width:1873;height:2" coordorigin="1555,5" coordsize="1873,2">
              <v:shape style="position:absolute;left:1555;top:5;width:1873;height:2" coordorigin="1555,5" coordsize="1873,0" path="m1555,5l3428,5e" filled="false" stroked="true" strokeweight=".47998pt" strokecolor="#000000">
                <v:path arrowok="t"/>
              </v:shape>
            </v:group>
            <v:group style="position:absolute;left:3428;top:5;width:10;height:2" coordorigin="3428,5" coordsize="10,2">
              <v:shape style="position:absolute;left:3428;top:5;width:10;height:2" coordorigin="3428,5" coordsize="10,0" path="m3428,5l3437,5e" filled="false" stroked="true" strokeweight=".47998pt" strokecolor="#000000">
                <v:path arrowok="t"/>
              </v:shape>
            </v:group>
            <v:group style="position:absolute;left:3437;top:5;width:1467;height:2" coordorigin="3437,5" coordsize="1467,2">
              <v:shape style="position:absolute;left:3437;top:5;width:1467;height:2" coordorigin="3437,5" coordsize="1467,0" path="m3437,5l4904,5e" filled="false" stroked="true" strokeweight=".47998pt" strokecolor="#000000">
                <v:path arrowok="t"/>
              </v:shape>
            </v:group>
            <v:group style="position:absolute;left:4904;top:5;width:10;height:2" coordorigin="4904,5" coordsize="10,2">
              <v:shape style="position:absolute;left:4904;top:5;width:10;height:2" coordorigin="4904,5" coordsize="10,0" path="m4904,5l4914,5e" filled="false" stroked="true" strokeweight=".47998pt" strokecolor="#000000">
                <v:path arrowok="t"/>
              </v:shape>
            </v:group>
            <v:group style="position:absolute;left:4914;top:5;width:1844;height:2" coordorigin="4914,5" coordsize="1844,2">
              <v:shape style="position:absolute;left:4914;top:5;width:1844;height:2" coordorigin="4914,5" coordsize="1844,0" path="m4914,5l6757,5e" filled="false" stroked="true" strokeweight=".47998pt" strokecolor="#000000">
                <v:path arrowok="t"/>
              </v:shape>
            </v:group>
          </v:group>
        </w:pict>
      </w:r>
      <w:r>
        <w:rPr>
          <w:rFonts w:ascii="宋体" w:hAnsi="宋体" w:cs="宋体" w:eastAsia="宋体" w:hint="default"/>
          <w:sz w:val="2"/>
          <w:szCs w:val="2"/>
        </w:rPr>
      </w:r>
    </w:p>
    <w:p>
      <w:pPr>
        <w:tabs>
          <w:tab w:pos="1531" w:val="left" w:leader="none"/>
          <w:tab w:pos="3391" w:val="left" w:leader="none"/>
          <w:tab w:pos="4875" w:val="left" w:leader="none"/>
        </w:tabs>
        <w:spacing w:before="0"/>
        <w:ind w:left="0" w:right="110" w:firstLine="0"/>
        <w:jc w:val="center"/>
        <w:rPr>
          <w:rFonts w:ascii="宋体" w:hAnsi="宋体" w:cs="宋体" w:eastAsia="宋体" w:hint="default"/>
          <w:sz w:val="18"/>
          <w:szCs w:val="18"/>
        </w:rPr>
      </w:pPr>
      <w:r>
        <w:rPr>
          <w:rFonts w:ascii="宋体" w:hAnsi="宋体" w:cs="宋体" w:eastAsia="宋体" w:hint="default"/>
          <w:b/>
          <w:bCs/>
          <w:w w:val="95"/>
          <w:sz w:val="18"/>
          <w:szCs w:val="18"/>
        </w:rPr>
        <w:t>对净利润的影响</w:t>
        <w:tab/>
        <w:t>对所有者权益的影响</w:t>
        <w:tab/>
        <w:t>对净利润的影响</w:t>
        <w:tab/>
      </w:r>
      <w:r>
        <w:rPr>
          <w:rFonts w:ascii="宋体" w:hAnsi="宋体" w:cs="宋体" w:eastAsia="宋体" w:hint="default"/>
          <w:b/>
          <w:bCs/>
          <w:sz w:val="18"/>
          <w:szCs w:val="18"/>
        </w:rPr>
        <w:t>对所有者权益的影响</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000" w:bottom="280" w:left="1480" w:right="1260"/>
          <w:cols w:num="2" w:equalWidth="0">
            <w:col w:w="2262" w:space="40"/>
            <w:col w:w="6868"/>
          </w:cols>
        </w:sectPr>
      </w:pPr>
    </w:p>
    <w:p>
      <w:pPr>
        <w:spacing w:line="240" w:lineRule="auto" w:before="2"/>
        <w:rPr>
          <w:rFonts w:ascii="宋体" w:hAnsi="宋体" w:cs="宋体" w:eastAsia="宋体" w:hint="default"/>
          <w:b/>
          <w:bCs/>
          <w:sz w:val="4"/>
          <w:szCs w:val="4"/>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443pt;height:.5pt;mso-position-horizontal-relative:char;mso-position-vertical-relative:line" coordorigin="0,0" coordsize="8860,10">
            <v:group style="position:absolute;left:5;top:5;width:1227;height:2" coordorigin="5,5" coordsize="1227,2">
              <v:shape style="position:absolute;left:5;top:5;width:1227;height:2" coordorigin="5,5" coordsize="1227,0" path="m5,5l1231,5e" filled="false" stroked="true" strokeweight=".47998pt" strokecolor="#000000">
                <v:path arrowok="t"/>
              </v:shape>
            </v:group>
            <v:group style="position:absolute;left:1231;top:5;width:10;height:2" coordorigin="1231,5" coordsize="10,2">
              <v:shape style="position:absolute;left:1231;top:5;width:10;height:2" coordorigin="1231,5" coordsize="10,0" path="m1231,5l1241,5e" filled="false" stroked="true" strokeweight=".47998pt" strokecolor="#000000">
                <v:path arrowok="t"/>
              </v:shape>
            </v:group>
            <v:group style="position:absolute;left:1241;top:5;width:863;height:2" coordorigin="1241,5" coordsize="863,2">
              <v:shape style="position:absolute;left:1241;top:5;width:863;height:2" coordorigin="1241,5" coordsize="863,0" path="m1241,5l2103,5e" filled="false" stroked="true" strokeweight=".47998pt" strokecolor="#000000">
                <v:path arrowok="t"/>
              </v:shape>
            </v:group>
            <v:group style="position:absolute;left:2103;top:5;width:10;height:2" coordorigin="2103,5" coordsize="10,2">
              <v:shape style="position:absolute;left:2103;top:5;width:10;height:2" coordorigin="2103,5" coordsize="10,0" path="m2103,5l2113,5e" filled="false" stroked="true" strokeweight=".47998pt" strokecolor="#000000">
                <v:path arrowok="t"/>
              </v:shape>
            </v:group>
            <v:group style="position:absolute;left:2113;top:5;width:1532;height:2" coordorigin="2113,5" coordsize="1532,2">
              <v:shape style="position:absolute;left:2113;top:5;width:1532;height:2" coordorigin="2113,5" coordsize="1532,0" path="m2113,5l3644,5e" filled="false" stroked="true" strokeweight=".47998pt" strokecolor="#000000">
                <v:path arrowok="t"/>
              </v:shape>
            </v:group>
            <v:group style="position:absolute;left:3644;top:5;width:10;height:2" coordorigin="3644,5" coordsize="10,2">
              <v:shape style="position:absolute;left:3644;top:5;width:10;height:2" coordorigin="3644,5" coordsize="10,0" path="m3644,5l3653,5e" filled="false" stroked="true" strokeweight=".47998pt" strokecolor="#000000">
                <v:path arrowok="t"/>
              </v:shape>
            </v:group>
            <v:group style="position:absolute;left:3653;top:5;width:1873;height:2" coordorigin="3653,5" coordsize="1873,2">
              <v:shape style="position:absolute;left:3653;top:5;width:1873;height:2" coordorigin="3653,5" coordsize="1873,0" path="m3653,5l5526,5e" filled="false" stroked="true" strokeweight=".47998pt" strokecolor="#000000">
                <v:path arrowok="t"/>
              </v:shape>
            </v:group>
            <v:group style="position:absolute;left:5526;top:5;width:10;height:2" coordorigin="5526,5" coordsize="10,2">
              <v:shape style="position:absolute;left:5526;top:5;width:10;height:2" coordorigin="5526,5" coordsize="10,0" path="m5526,5l5535,5e" filled="false" stroked="true" strokeweight=".47998pt" strokecolor="#000000">
                <v:path arrowok="t"/>
              </v:shape>
            </v:group>
            <v:group style="position:absolute;left:5535;top:5;width:1467;height:2" coordorigin="5535,5" coordsize="1467,2">
              <v:shape style="position:absolute;left:5535;top:5;width:1467;height:2" coordorigin="5535,5" coordsize="1467,0" path="m5535,5l7002,5e" filled="false" stroked="true" strokeweight=".47998pt" strokecolor="#000000">
                <v:path arrowok="t"/>
              </v:shape>
            </v:group>
            <v:group style="position:absolute;left:7002;top:5;width:10;height:2" coordorigin="7002,5" coordsize="10,2">
              <v:shape style="position:absolute;left:7002;top:5;width:10;height:2" coordorigin="7002,5" coordsize="10,0" path="m7002,5l7012,5e" filled="false" stroked="true" strokeweight=".47998pt" strokecolor="#000000">
                <v:path arrowok="t"/>
              </v:shape>
            </v:group>
            <v:group style="position:absolute;left:7012;top:5;width:1844;height:2" coordorigin="7012,5" coordsize="1844,2">
              <v:shape style="position:absolute;left:7012;top:5;width:1844;height:2" coordorigin="7012,5" coordsize="1844,0" path="m7012,5l8855,5e" filled="false" stroked="true" strokeweight=".47998pt" strokecolor="#000000">
                <v:path arrowok="t"/>
              </v:shape>
            </v:group>
          </v:group>
        </w:pict>
      </w:r>
      <w:r>
        <w:rPr>
          <w:rFonts w:ascii="宋体" w:hAnsi="宋体" w:cs="宋体" w:eastAsia="宋体" w:hint="default"/>
          <w:sz w:val="2"/>
          <w:szCs w:val="2"/>
        </w:rPr>
      </w:r>
    </w:p>
    <w:p>
      <w:pPr>
        <w:tabs>
          <w:tab w:pos="2543" w:val="left" w:leader="none"/>
          <w:tab w:pos="4424" w:val="left" w:leader="none"/>
          <w:tab w:pos="5903" w:val="left" w:leader="none"/>
          <w:tab w:pos="7754" w:val="left" w:leader="none"/>
        </w:tabs>
        <w:spacing w:before="0"/>
        <w:ind w:left="313" w:right="0" w:firstLine="0"/>
        <w:jc w:val="left"/>
        <w:rPr>
          <w:rFonts w:ascii="宋体" w:hAnsi="宋体" w:cs="宋体" w:eastAsia="宋体" w:hint="default"/>
          <w:sz w:val="18"/>
          <w:szCs w:val="18"/>
        </w:rPr>
      </w:pPr>
      <w:r>
        <w:rPr>
          <w:rFonts w:ascii="宋体" w:hAnsi="宋体" w:cs="宋体" w:eastAsia="宋体" w:hint="default"/>
          <w:sz w:val="18"/>
          <w:szCs w:val="18"/>
        </w:rPr>
        <w:t>浮动利率借款  增加</w:t>
      </w:r>
      <w:r>
        <w:rPr>
          <w:rFonts w:ascii="宋体" w:hAnsi="宋体" w:cs="宋体" w:eastAsia="宋体" w:hint="default"/>
          <w:spacing w:val="-57"/>
          <w:sz w:val="18"/>
          <w:szCs w:val="18"/>
        </w:rPr>
        <w:t> </w:t>
      </w:r>
      <w:r>
        <w:rPr>
          <w:rFonts w:ascii="宋体" w:hAnsi="宋体" w:cs="宋体" w:eastAsia="宋体" w:hint="default"/>
          <w:sz w:val="18"/>
          <w:szCs w:val="18"/>
        </w:rPr>
        <w:t>1%</w:t>
        <w:tab/>
      </w:r>
      <w:r>
        <w:rPr>
          <w:rFonts w:ascii="宋体" w:hAnsi="宋体" w:cs="宋体" w:eastAsia="宋体" w:hint="default"/>
          <w:spacing w:val="-1"/>
          <w:sz w:val="18"/>
          <w:szCs w:val="18"/>
        </w:rPr>
        <w:t>-44,047,983.67</w:t>
        <w:tab/>
        <w:t>-44,047,983.67</w:t>
        <w:tab/>
        <w:t>-27,678,447.80</w:t>
        <w:tab/>
        <w:t>-27,678,447.80</w:t>
      </w:r>
    </w:p>
    <w:p>
      <w:pPr>
        <w:tabs>
          <w:tab w:pos="2632" w:val="left" w:leader="none"/>
          <w:tab w:pos="4514" w:val="left" w:leader="none"/>
          <w:tab w:pos="5992" w:val="left" w:leader="none"/>
          <w:tab w:pos="7843" w:val="left" w:leader="none"/>
        </w:tabs>
        <w:spacing w:before="50"/>
        <w:ind w:left="313" w:right="0" w:firstLine="0"/>
        <w:jc w:val="left"/>
        <w:rPr>
          <w:rFonts w:ascii="宋体" w:hAnsi="宋体" w:cs="宋体" w:eastAsia="宋体" w:hint="default"/>
          <w:sz w:val="18"/>
          <w:szCs w:val="18"/>
        </w:rPr>
      </w:pPr>
      <w:r>
        <w:rPr>
          <w:rFonts w:ascii="宋体" w:hAnsi="宋体" w:cs="宋体" w:eastAsia="宋体" w:hint="default"/>
          <w:sz w:val="18"/>
          <w:szCs w:val="18"/>
        </w:rPr>
        <w:t>浮动利率借款  减少</w:t>
      </w:r>
      <w:r>
        <w:rPr>
          <w:rFonts w:ascii="宋体" w:hAnsi="宋体" w:cs="宋体" w:eastAsia="宋体" w:hint="default"/>
          <w:spacing w:val="-57"/>
          <w:sz w:val="18"/>
          <w:szCs w:val="18"/>
        </w:rPr>
        <w:t> </w:t>
      </w:r>
      <w:r>
        <w:rPr>
          <w:rFonts w:ascii="宋体" w:hAnsi="宋体" w:cs="宋体" w:eastAsia="宋体" w:hint="default"/>
          <w:sz w:val="18"/>
          <w:szCs w:val="18"/>
        </w:rPr>
        <w:t>1%</w:t>
        <w:tab/>
      </w:r>
      <w:r>
        <w:rPr>
          <w:rFonts w:ascii="宋体" w:hAnsi="宋体" w:cs="宋体" w:eastAsia="宋体" w:hint="default"/>
          <w:spacing w:val="-1"/>
          <w:sz w:val="18"/>
          <w:szCs w:val="18"/>
        </w:rPr>
        <w:t>44,047,983.67</w:t>
        <w:tab/>
        <w:t>44,047,983.67</w:t>
        <w:tab/>
        <w:t>27,678,447.80</w:t>
        <w:tab/>
        <w:t>27,678,447.80</w:t>
      </w:r>
    </w:p>
    <w:p>
      <w:pPr>
        <w:spacing w:line="240" w:lineRule="auto" w:before="4"/>
        <w:rPr>
          <w:rFonts w:ascii="宋体" w:hAnsi="宋体" w:cs="宋体" w:eastAsia="宋体" w:hint="default"/>
          <w:sz w:val="4"/>
          <w:szCs w:val="4"/>
        </w:rPr>
      </w:pPr>
    </w:p>
    <w:p>
      <w:pPr>
        <w:spacing w:line="28" w:lineRule="exact"/>
        <w:ind w:left="164" w:right="0" w:firstLine="0"/>
        <w:rPr>
          <w:rFonts w:ascii="宋体" w:hAnsi="宋体" w:cs="宋体" w:eastAsia="宋体" w:hint="default"/>
          <w:sz w:val="2"/>
          <w:szCs w:val="2"/>
        </w:rPr>
      </w:pPr>
      <w:r>
        <w:rPr>
          <w:rFonts w:ascii="宋体" w:hAnsi="宋体" w:cs="宋体" w:eastAsia="宋体" w:hint="default"/>
          <w:position w:val="0"/>
          <w:sz w:val="2"/>
          <w:szCs w:val="2"/>
        </w:rPr>
        <w:pict>
          <v:group style="width:444.7pt;height:1.45pt;mso-position-horizontal-relative:char;mso-position-vertical-relative:line" coordorigin="0,0" coordsize="8894,29">
            <v:group style="position:absolute;left:14;top:14;width:1241;height:2" coordorigin="14,14" coordsize="1241,2">
              <v:shape style="position:absolute;left:14;top:14;width:1241;height:2" coordorigin="14,14" coordsize="1241,0" path="m14,14l1255,14e" filled="false" stroked="true" strokeweight="1.44pt" strokecolor="#000000">
                <v:path arrowok="t"/>
              </v:shape>
            </v:group>
            <v:group style="position:absolute;left:1241;top:14;width:29;height:2" coordorigin="1241,14" coordsize="29,2">
              <v:shape style="position:absolute;left:1241;top:14;width:29;height:2" coordorigin="1241,14" coordsize="29,0" path="m1241,14l1270,14e" filled="false" stroked="true" strokeweight="1.44pt" strokecolor="#000000">
                <v:path arrowok="t"/>
              </v:shape>
            </v:group>
            <v:group style="position:absolute;left:1270;top:14;width:858;height:2" coordorigin="1270,14" coordsize="858,2">
              <v:shape style="position:absolute;left:1270;top:14;width:858;height:2" coordorigin="1270,14" coordsize="858,0" path="m1270,14l2127,14e" filled="false" stroked="true" strokeweight="1.44pt" strokecolor="#000000">
                <v:path arrowok="t"/>
              </v:shape>
            </v:group>
            <v:group style="position:absolute;left:2113;top:14;width:29;height:2" coordorigin="2113,14" coordsize="29,2">
              <v:shape style="position:absolute;left:2113;top:14;width:29;height:2" coordorigin="2113,14" coordsize="29,0" path="m2113,14l2141,14e" filled="false" stroked="true" strokeweight="1.44pt" strokecolor="#000000">
                <v:path arrowok="t"/>
              </v:shape>
            </v:group>
            <v:group style="position:absolute;left:2141;top:14;width:1527;height:2" coordorigin="2141,14" coordsize="1527,2">
              <v:shape style="position:absolute;left:2141;top:14;width:1527;height:2" coordorigin="2141,14" coordsize="1527,0" path="m2141,14l3668,14e" filled="false" stroked="true" strokeweight="1.44pt" strokecolor="#000000">
                <v:path arrowok="t"/>
              </v:shape>
            </v:group>
            <v:group style="position:absolute;left:3653;top:14;width:29;height:2" coordorigin="3653,14" coordsize="29,2">
              <v:shape style="position:absolute;left:3653;top:14;width:29;height:2" coordorigin="3653,14" coordsize="29,0" path="m3653,14l3682,14e" filled="false" stroked="true" strokeweight="1.44pt" strokecolor="#000000">
                <v:path arrowok="t"/>
              </v:shape>
            </v:group>
            <v:group style="position:absolute;left:3682;top:14;width:1868;height:2" coordorigin="3682,14" coordsize="1868,2">
              <v:shape style="position:absolute;left:3682;top:14;width:1868;height:2" coordorigin="3682,14" coordsize="1868,0" path="m3682,14l5550,14e" filled="false" stroked="true" strokeweight="1.44pt" strokecolor="#000000">
                <v:path arrowok="t"/>
              </v:shape>
            </v:group>
            <v:group style="position:absolute;left:5535;top:14;width:29;height:2" coordorigin="5535,14" coordsize="29,2">
              <v:shape style="position:absolute;left:5535;top:14;width:29;height:2" coordorigin="5535,14" coordsize="29,0" path="m5535,14l5564,14e" filled="false" stroked="true" strokeweight="1.44pt" strokecolor="#000000">
                <v:path arrowok="t"/>
              </v:shape>
            </v:group>
            <v:group style="position:absolute;left:5564;top:14;width:1463;height:2" coordorigin="5564,14" coordsize="1463,2">
              <v:shape style="position:absolute;left:5564;top:14;width:1463;height:2" coordorigin="5564,14" coordsize="1463,0" path="m5564,14l7026,14e" filled="false" stroked="true" strokeweight="1.44pt" strokecolor="#000000">
                <v:path arrowok="t"/>
              </v:shape>
            </v:group>
            <v:group style="position:absolute;left:7012;top:14;width:29;height:2" coordorigin="7012,14" coordsize="29,2">
              <v:shape style="position:absolute;left:7012;top:14;width:29;height:2" coordorigin="7012,14" coordsize="29,0" path="m7012,14l7041,14e" filled="false" stroked="true" strokeweight="1.44pt" strokecolor="#000000">
                <v:path arrowok="t"/>
              </v:shape>
            </v:group>
            <v:group style="position:absolute;left:7041;top:14;width:1839;height:2" coordorigin="7041,14" coordsize="1839,2">
              <v:shape style="position:absolute;left:7041;top:14;width:1839;height:2" coordorigin="7041,14" coordsize="1839,0" path="m7041,14l8879,14e" filled="false" stroked="true" strokeweight="1.44pt" strokecolor="#000000">
                <v:path arrowok="t"/>
              </v:shape>
            </v:group>
          </v:group>
        </w:pict>
      </w:r>
      <w:r>
        <w:rPr>
          <w:rFonts w:ascii="宋体" w:hAnsi="宋体" w:cs="宋体" w:eastAsia="宋体" w:hint="default"/>
          <w:position w:val="0"/>
          <w:sz w:val="2"/>
          <w:szCs w:val="2"/>
        </w:rPr>
      </w:r>
    </w:p>
    <w:p>
      <w:pPr>
        <w:spacing w:before="86"/>
        <w:ind w:left="222" w:right="0" w:firstLine="0"/>
        <w:jc w:val="left"/>
        <w:rPr>
          <w:rFonts w:ascii="宋体" w:hAnsi="宋体" w:cs="宋体" w:eastAsia="宋体" w:hint="default"/>
          <w:sz w:val="21"/>
          <w:szCs w:val="21"/>
        </w:rPr>
      </w:pPr>
      <w:r>
        <w:rPr>
          <w:rFonts w:ascii="宋体" w:hAnsi="宋体" w:cs="宋体" w:eastAsia="宋体" w:hint="default"/>
          <w:b/>
          <w:bCs/>
          <w:sz w:val="21"/>
          <w:szCs w:val="21"/>
        </w:rPr>
        <w:t>九、公允价值的披露</w:t>
      </w:r>
      <w:r>
        <w:rPr>
          <w:rFonts w:ascii="宋体" w:hAnsi="宋体" w:cs="宋体" w:eastAsia="宋体" w:hint="default"/>
          <w:sz w:val="21"/>
          <w:szCs w:val="21"/>
        </w:rPr>
      </w:r>
    </w:p>
    <w:p>
      <w:pPr>
        <w:spacing w:before="52"/>
        <w:ind w:left="67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年末以公允价值计量的资产和负债的金额和公允价值计量层次</w:t>
      </w:r>
    </w:p>
    <w:p>
      <w:pPr>
        <w:spacing w:after="0"/>
        <w:jc w:val="left"/>
        <w:rPr>
          <w:rFonts w:ascii="宋体" w:hAnsi="宋体" w:cs="宋体" w:eastAsia="宋体" w:hint="default"/>
          <w:sz w:val="22"/>
          <w:szCs w:val="22"/>
        </w:rPr>
        <w:sectPr>
          <w:type w:val="continuous"/>
          <w:pgSz w:w="11910" w:h="16840"/>
          <w:pgMar w:top="1000" w:bottom="280" w:left="1480" w:right="1260"/>
        </w:sectPr>
      </w:pPr>
    </w:p>
    <w:p>
      <w:pPr>
        <w:spacing w:line="240" w:lineRule="auto" w:before="6"/>
        <w:rPr>
          <w:rFonts w:ascii="宋体" w:hAnsi="宋体" w:cs="宋体" w:eastAsia="宋体" w:hint="default"/>
          <w:sz w:val="6"/>
          <w:szCs w:val="6"/>
        </w:rPr>
      </w:pPr>
    </w:p>
    <w:p>
      <w:pPr>
        <w:spacing w:line="28" w:lineRule="exact"/>
        <w:ind w:left="110" w:right="0" w:firstLine="0"/>
        <w:rPr>
          <w:rFonts w:ascii="宋体" w:hAnsi="宋体" w:cs="宋体" w:eastAsia="宋体" w:hint="default"/>
          <w:sz w:val="2"/>
          <w:szCs w:val="2"/>
        </w:rPr>
      </w:pPr>
      <w:r>
        <w:rPr>
          <w:rFonts w:ascii="宋体" w:hAnsi="宋体" w:cs="宋体" w:eastAsia="宋体" w:hint="default"/>
          <w:position w:val="0"/>
          <w:sz w:val="2"/>
          <w:szCs w:val="2"/>
        </w:rPr>
        <w:pict>
          <v:group style="width:444.45pt;height:1.45pt;mso-position-horizontal-relative:char;mso-position-vertical-relative:line" coordorigin="0,0" coordsize="8889,29">
            <v:group style="position:absolute;left:14;top:14;width:2907;height:2" coordorigin="14,14" coordsize="2907,2">
              <v:shape style="position:absolute;left:14;top:14;width:2907;height:2" coordorigin="14,14" coordsize="2907,0" path="m14,14l2921,14e" filled="false" stroked="true" strokeweight="1.44pt" strokecolor="#000000">
                <v:path arrowok="t"/>
              </v:shape>
            </v:group>
            <v:group style="position:absolute;left:2921;top:14;width:29;height:2" coordorigin="2921,14" coordsize="29,2">
              <v:shape style="position:absolute;left:2921;top:14;width:29;height:2" coordorigin="2921,14" coordsize="29,0" path="m2921,14l2950,14e" filled="false" stroked="true" strokeweight="1.44pt" strokecolor="#000000">
                <v:path arrowok="t"/>
              </v:shape>
            </v:group>
            <v:group style="position:absolute;left:2950;top:14;width:5925;height:2" coordorigin="2950,14" coordsize="5925,2">
              <v:shape style="position:absolute;left:2950;top:14;width:5925;height:2" coordorigin="2950,14" coordsize="5925,0" path="m2950,14l8874,14e" filled="false" stroked="true" strokeweight="1.44pt" strokecolor="#000000">
                <v:path arrowok="t"/>
              </v:shape>
            </v:group>
          </v:group>
        </w:pict>
      </w:r>
      <w:r>
        <w:rPr>
          <w:rFonts w:ascii="宋体" w:hAnsi="宋体" w:cs="宋体" w:eastAsia="宋体" w:hint="default"/>
          <w:position w:val="0"/>
          <w:sz w:val="2"/>
          <w:szCs w:val="2"/>
        </w:rPr>
      </w:r>
    </w:p>
    <w:p>
      <w:pPr>
        <w:spacing w:before="0"/>
        <w:ind w:left="5463" w:right="0" w:firstLine="0"/>
        <w:jc w:val="left"/>
        <w:rPr>
          <w:rFonts w:ascii="宋体" w:hAnsi="宋体" w:cs="宋体" w:eastAsia="宋体" w:hint="default"/>
          <w:sz w:val="18"/>
          <w:szCs w:val="18"/>
        </w:rPr>
      </w:pPr>
      <w:r>
        <w:rPr/>
        <w:pict>
          <v:group style="position:absolute;margin-left:227.330002pt;margin-top:14.471719pt;width:298.150pt;height:.5pt;mso-position-horizontal-relative:page;mso-position-vertical-relative:paragraph;z-index:-1225240" coordorigin="4547,289" coordsize="5963,10">
            <v:group style="position:absolute;left:4551;top:294;width:1566;height:2" coordorigin="4551,294" coordsize="1566,2">
              <v:shape style="position:absolute;left:4551;top:294;width:1566;height:2" coordorigin="4551,294" coordsize="1566,0" path="m4551,294l6117,294e" filled="false" stroked="true" strokeweight=".48pt" strokecolor="#000000">
                <v:path arrowok="t"/>
              </v:shape>
            </v:group>
            <v:group style="position:absolute;left:6117;top:294;width:10;height:2" coordorigin="6117,294" coordsize="10,2">
              <v:shape style="position:absolute;left:6117;top:294;width:10;height:2" coordorigin="6117,294" coordsize="10,0" path="m6117,294l6126,294e" filled="false" stroked="true" strokeweight=".48pt" strokecolor="#000000">
                <v:path arrowok="t"/>
              </v:shape>
            </v:group>
            <v:group style="position:absolute;left:6126;top:294;width:1558;height:2" coordorigin="6126,294" coordsize="1558,2">
              <v:shape style="position:absolute;left:6126;top:294;width:1558;height:2" coordorigin="6126,294" coordsize="1558,0" path="m6126,294l7684,294e" filled="false" stroked="true" strokeweight=".48pt" strokecolor="#000000">
                <v:path arrowok="t"/>
              </v:shape>
            </v:group>
            <v:group style="position:absolute;left:7684;top:294;width:10;height:2" coordorigin="7684,294" coordsize="10,2">
              <v:shape style="position:absolute;left:7684;top:294;width:10;height:2" coordorigin="7684,294" coordsize="10,0" path="m7684,294l7693,294e" filled="false" stroked="true" strokeweight=".48pt" strokecolor="#000000">
                <v:path arrowok="t"/>
              </v:shape>
            </v:group>
            <v:group style="position:absolute;left:7693;top:294;width:1244;height:2" coordorigin="7693,294" coordsize="1244,2">
              <v:shape style="position:absolute;left:7693;top:294;width:1244;height:2" coordorigin="7693,294" coordsize="1244,0" path="m7693,294l8937,294e" filled="false" stroked="true" strokeweight=".48pt" strokecolor="#000000">
                <v:path arrowok="t"/>
              </v:shape>
            </v:group>
            <v:group style="position:absolute;left:8937;top:294;width:10;height:2" coordorigin="8937,294" coordsize="10,2">
              <v:shape style="position:absolute;left:8937;top:294;width:10;height:2" coordorigin="8937,294" coordsize="10,0" path="m8937,294l8947,294e" filled="false" stroked="true" strokeweight=".48pt" strokecolor="#000000">
                <v:path arrowok="t"/>
              </v:shape>
            </v:group>
            <v:group style="position:absolute;left:8947;top:294;width:1558;height:2" coordorigin="8947,294" coordsize="1558,2">
              <v:shape style="position:absolute;left:8947;top:294;width:1558;height:2" coordorigin="8947,294" coordsize="1558,0" path="m8947,294l10504,294e" filled="false" stroked="true" strokeweight=".48pt" strokecolor="#000000">
                <v:path arrowok="t"/>
              </v:shape>
            </v:group>
            <w10:wrap type="none"/>
          </v:group>
        </w:pict>
      </w:r>
      <w:r>
        <w:rPr>
          <w:rFonts w:ascii="宋体" w:hAnsi="宋体" w:cs="宋体" w:eastAsia="宋体" w:hint="default"/>
          <w:b/>
          <w:bCs/>
          <w:sz w:val="18"/>
          <w:szCs w:val="18"/>
        </w:rPr>
        <w:t>年末公允价值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0" w:footer="1034" w:top="1320" w:bottom="1240" w:left="1520" w:right="1280"/>
        </w:sectPr>
      </w:pPr>
    </w:p>
    <w:p>
      <w:pPr>
        <w:spacing w:before="2"/>
        <w:ind w:left="182" w:right="-13"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spacing w:line="240" w:lineRule="auto" w:before="12"/>
        <w:rPr>
          <w:rFonts w:ascii="宋体" w:hAnsi="宋体" w:cs="宋体" w:eastAsia="宋体" w:hint="default"/>
          <w:b/>
          <w:bCs/>
          <w:sz w:val="22"/>
          <w:szCs w:val="22"/>
        </w:rPr>
      </w:pPr>
    </w:p>
    <w:p>
      <w:pPr>
        <w:spacing w:before="0"/>
        <w:ind w:left="182" w:right="-13" w:firstLine="0"/>
        <w:jc w:val="left"/>
        <w:rPr>
          <w:rFonts w:ascii="宋体" w:hAnsi="宋体" w:cs="宋体" w:eastAsia="宋体" w:hint="default"/>
          <w:sz w:val="18"/>
          <w:szCs w:val="18"/>
        </w:rPr>
      </w:pPr>
      <w:r>
        <w:rPr/>
        <w:pict>
          <v:group style="position:absolute;margin-left:81.984001pt;margin-top:-.288254pt;width:443.5pt;height:.5pt;mso-position-horizontal-relative:page;mso-position-vertical-relative:paragraph;z-index:-1225216" coordorigin="1640,-6" coordsize="8870,10">
            <v:group style="position:absolute;left:1644;top:-1;width:2907;height:2" coordorigin="1644,-1" coordsize="2907,2">
              <v:shape style="position:absolute;left:1644;top:-1;width:2907;height:2" coordorigin="1644,-1" coordsize="2907,0" path="m1644,-1l4551,-1e" filled="false" stroked="true" strokeweight=".48pt" strokecolor="#000000">
                <v:path arrowok="t"/>
              </v:shape>
            </v:group>
            <v:group style="position:absolute;left:4551;top:-1;width:10;height:2" coordorigin="4551,-1" coordsize="10,2">
              <v:shape style="position:absolute;left:4551;top:-1;width:10;height:2" coordorigin="4551,-1" coordsize="10,0" path="m4551,-1l4561,-1e" filled="false" stroked="true" strokeweight=".48pt" strokecolor="#000000">
                <v:path arrowok="t"/>
              </v:shape>
            </v:group>
            <v:group style="position:absolute;left:4561;top:-1;width:1556;height:2" coordorigin="4561,-1" coordsize="1556,2">
              <v:shape style="position:absolute;left:4561;top:-1;width:1556;height:2" coordorigin="4561,-1" coordsize="1556,0" path="m4561,-1l6117,-1e" filled="false" stroked="true" strokeweight=".48pt" strokecolor="#000000">
                <v:path arrowok="t"/>
              </v:shape>
            </v:group>
            <v:group style="position:absolute;left:6117;top:-1;width:10;height:2" coordorigin="6117,-1" coordsize="10,2">
              <v:shape style="position:absolute;left:6117;top:-1;width:10;height:2" coordorigin="6117,-1" coordsize="10,0" path="m6117,-1l6126,-1e" filled="false" stroked="true" strokeweight=".48pt" strokecolor="#000000">
                <v:path arrowok="t"/>
              </v:shape>
            </v:group>
            <v:group style="position:absolute;left:6126;top:-1;width:1558;height:2" coordorigin="6126,-1" coordsize="1558,2">
              <v:shape style="position:absolute;left:6126;top:-1;width:1558;height:2" coordorigin="6126,-1" coordsize="1558,0" path="m6126,-1l7684,-1e" filled="false" stroked="true" strokeweight=".48pt" strokecolor="#000000">
                <v:path arrowok="t"/>
              </v:shape>
            </v:group>
            <v:group style="position:absolute;left:7684;top:-1;width:10;height:2" coordorigin="7684,-1" coordsize="10,2">
              <v:shape style="position:absolute;left:7684;top:-1;width:10;height:2" coordorigin="7684,-1" coordsize="10,0" path="m7684,-1l7693,-1e" filled="false" stroked="true" strokeweight=".48pt" strokecolor="#000000">
                <v:path arrowok="t"/>
              </v:shape>
            </v:group>
            <v:group style="position:absolute;left:7693;top:-1;width:1244;height:2" coordorigin="7693,-1" coordsize="1244,2">
              <v:shape style="position:absolute;left:7693;top:-1;width:1244;height:2" coordorigin="7693,-1" coordsize="1244,0" path="m7693,-1l8937,-1e" filled="false" stroked="true" strokeweight=".48pt" strokecolor="#000000">
                <v:path arrowok="t"/>
              </v:shape>
            </v:group>
            <v:group style="position:absolute;left:8937;top:-1;width:10;height:2" coordorigin="8937,-1" coordsize="10,2">
              <v:shape style="position:absolute;left:8937;top:-1;width:10;height:2" coordorigin="8937,-1" coordsize="10,0" path="m8937,-1l8947,-1e" filled="false" stroked="true" strokeweight=".48pt" strokecolor="#000000">
                <v:path arrowok="t"/>
              </v:shape>
            </v:group>
            <v:group style="position:absolute;left:8947;top:-1;width:1558;height:2" coordorigin="8947,-1" coordsize="1558,2">
              <v:shape style="position:absolute;left:8947;top:-1;width:1558;height:2" coordorigin="8947,-1" coordsize="1558,0" path="m8947,-1l10504,-1e" filled="false" stroked="true" strokeweight=".48pt" strokecolor="#000000">
                <v:path arrowok="t"/>
              </v:shape>
            </v:group>
            <w10:wrap type="none"/>
          </v:group>
        </w:pict>
      </w:r>
      <w:r>
        <w:rPr>
          <w:rFonts w:ascii="宋体" w:hAnsi="宋体" w:cs="宋体" w:eastAsia="宋体" w:hint="default"/>
          <w:b/>
          <w:bCs/>
          <w:sz w:val="18"/>
          <w:szCs w:val="18"/>
        </w:rPr>
        <w:t>一、持续的计量</w:t>
      </w:r>
      <w:r>
        <w:rPr>
          <w:rFonts w:ascii="宋体" w:hAnsi="宋体" w:cs="宋体" w:eastAsia="宋体" w:hint="default"/>
          <w:sz w:val="18"/>
          <w:szCs w:val="18"/>
        </w:rPr>
      </w:r>
    </w:p>
    <w:p>
      <w:pPr>
        <w:spacing w:line="232" w:lineRule="exact" w:before="48"/>
        <w:ind w:left="182" w:right="-13" w:firstLine="0"/>
        <w:jc w:val="left"/>
        <w:rPr>
          <w:rFonts w:ascii="宋体" w:hAnsi="宋体" w:cs="宋体" w:eastAsia="宋体" w:hint="default"/>
          <w:sz w:val="18"/>
          <w:szCs w:val="18"/>
        </w:rPr>
      </w:pPr>
      <w:r>
        <w:rPr>
          <w:rFonts w:ascii="宋体" w:hAnsi="宋体" w:cs="宋体" w:eastAsia="宋体" w:hint="default"/>
          <w:spacing w:val="-6"/>
          <w:sz w:val="18"/>
          <w:szCs w:val="18"/>
        </w:rPr>
        <w:t>（一）以公允价值计量且变动计入当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期损益的金融资产</w:t>
      </w:r>
    </w:p>
    <w:p>
      <w:pPr>
        <w:spacing w:before="2"/>
        <w:ind w:left="182" w:right="-13"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交易性金融资产</w:t>
      </w:r>
    </w:p>
    <w:p>
      <w:pPr>
        <w:spacing w:before="33"/>
        <w:ind w:left="618" w:right="0" w:hanging="543"/>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第一层次公允价值</w:t>
      </w:r>
      <w:r>
        <w:rPr>
          <w:rFonts w:ascii="宋体" w:hAnsi="宋体" w:cs="宋体" w:eastAsia="宋体" w:hint="default"/>
          <w:b/>
          <w:bCs/>
          <w:spacing w:val="-16"/>
          <w:w w:val="95"/>
          <w:sz w:val="18"/>
          <w:szCs w:val="18"/>
        </w:rPr>
        <w:t> </w:t>
      </w:r>
      <w:r>
        <w:rPr>
          <w:rFonts w:ascii="宋体" w:hAnsi="宋体" w:cs="宋体" w:eastAsia="宋体" w:hint="default"/>
          <w:b/>
          <w:bCs/>
          <w:spacing w:val="-16"/>
          <w:w w:val="95"/>
          <w:sz w:val="18"/>
          <w:szCs w:val="18"/>
        </w:rPr>
      </w:r>
      <w:r>
        <w:rPr>
          <w:rFonts w:ascii="宋体" w:hAnsi="宋体" w:cs="宋体" w:eastAsia="宋体" w:hint="default"/>
          <w:b/>
          <w:bCs/>
          <w:sz w:val="18"/>
          <w:szCs w:val="18"/>
        </w:rPr>
        <w:t>计量</w:t>
      </w:r>
      <w:r>
        <w:rPr>
          <w:rFonts w:ascii="宋体" w:hAnsi="宋体" w:cs="宋体" w:eastAsia="宋体" w:hint="default"/>
          <w:sz w:val="18"/>
          <w:szCs w:val="18"/>
        </w:rPr>
      </w:r>
    </w:p>
    <w:p>
      <w:pPr>
        <w:spacing w:before="33"/>
        <w:ind w:left="625" w:right="0" w:hanging="543"/>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第二层次公允价值</w:t>
      </w:r>
      <w:r>
        <w:rPr>
          <w:rFonts w:ascii="宋体" w:hAnsi="宋体" w:cs="宋体" w:eastAsia="宋体" w:hint="default"/>
          <w:b/>
          <w:bCs/>
          <w:spacing w:val="-16"/>
          <w:w w:val="95"/>
          <w:sz w:val="18"/>
          <w:szCs w:val="18"/>
        </w:rPr>
        <w:t> </w:t>
      </w:r>
      <w:r>
        <w:rPr>
          <w:rFonts w:ascii="宋体" w:hAnsi="宋体" w:cs="宋体" w:eastAsia="宋体" w:hint="default"/>
          <w:b/>
          <w:bCs/>
          <w:spacing w:val="-16"/>
          <w:w w:val="95"/>
          <w:sz w:val="18"/>
          <w:szCs w:val="18"/>
        </w:rPr>
      </w:r>
      <w:r>
        <w:rPr>
          <w:rFonts w:ascii="宋体" w:hAnsi="宋体" w:cs="宋体" w:eastAsia="宋体" w:hint="default"/>
          <w:b/>
          <w:bCs/>
          <w:sz w:val="18"/>
          <w:szCs w:val="18"/>
        </w:rPr>
        <w:t>计量</w:t>
      </w:r>
      <w:r>
        <w:rPr>
          <w:rFonts w:ascii="宋体" w:hAnsi="宋体" w:cs="宋体" w:eastAsia="宋体" w:hint="default"/>
          <w:sz w:val="18"/>
          <w:szCs w:val="18"/>
        </w:rPr>
      </w:r>
    </w:p>
    <w:p>
      <w:pPr>
        <w:spacing w:line="175" w:lineRule="exact" w:before="33"/>
        <w:ind w:left="104"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第三层次公允</w:t>
      </w:r>
      <w:r>
        <w:rPr>
          <w:rFonts w:ascii="宋体" w:hAnsi="宋体" w:cs="宋体" w:eastAsia="宋体" w:hint="default"/>
          <w:sz w:val="18"/>
          <w:szCs w:val="18"/>
        </w:rPr>
      </w:r>
    </w:p>
    <w:p>
      <w:pPr>
        <w:tabs>
          <w:tab w:pos="1878" w:val="left" w:leader="none"/>
        </w:tabs>
        <w:spacing w:line="295" w:lineRule="exact" w:before="0"/>
        <w:ind w:left="286" w:right="0" w:firstLine="0"/>
        <w:jc w:val="left"/>
        <w:rPr>
          <w:rFonts w:ascii="宋体" w:hAnsi="宋体" w:cs="宋体" w:eastAsia="宋体" w:hint="default"/>
          <w:sz w:val="18"/>
          <w:szCs w:val="18"/>
        </w:rPr>
      </w:pPr>
      <w:r>
        <w:rPr>
          <w:rFonts w:ascii="宋体" w:hAnsi="宋体" w:cs="宋体" w:eastAsia="宋体" w:hint="default"/>
          <w:b/>
          <w:bCs/>
          <w:w w:val="95"/>
          <w:sz w:val="18"/>
          <w:szCs w:val="18"/>
        </w:rPr>
        <w:t>价值计量</w:t>
        <w:tab/>
      </w:r>
      <w:r>
        <w:rPr>
          <w:rFonts w:ascii="宋体" w:hAnsi="宋体" w:cs="宋体" w:eastAsia="宋体" w:hint="default"/>
          <w:b/>
          <w:bCs/>
          <w:position w:val="12"/>
          <w:sz w:val="18"/>
          <w:szCs w:val="18"/>
        </w:rPr>
        <w:t>合计</w:t>
      </w:r>
      <w:r>
        <w:rPr>
          <w:rFonts w:ascii="宋体" w:hAnsi="宋体" w:cs="宋体" w:eastAsia="宋体" w:hint="default"/>
          <w:sz w:val="18"/>
          <w:szCs w:val="18"/>
        </w:rPr>
      </w:r>
    </w:p>
    <w:p>
      <w:pPr>
        <w:spacing w:after="0" w:line="295" w:lineRule="exact"/>
        <w:jc w:val="left"/>
        <w:rPr>
          <w:rFonts w:ascii="宋体" w:hAnsi="宋体" w:cs="宋体" w:eastAsia="宋体" w:hint="default"/>
          <w:sz w:val="18"/>
          <w:szCs w:val="18"/>
        </w:rPr>
        <w:sectPr>
          <w:type w:val="continuous"/>
          <w:pgSz w:w="11910" w:h="16840"/>
          <w:pgMar w:top="1000" w:bottom="280" w:left="1520" w:right="1280"/>
          <w:cols w:num="4" w:equalWidth="0">
            <w:col w:w="2974" w:space="40"/>
            <w:col w:w="1520" w:space="40"/>
            <w:col w:w="1528" w:space="40"/>
            <w:col w:w="2968"/>
          </w:cols>
        </w:sectPr>
      </w:pPr>
    </w:p>
    <w:p>
      <w:pPr>
        <w:tabs>
          <w:tab w:pos="3278" w:val="left" w:leader="none"/>
          <w:tab w:pos="5746" w:val="left" w:leader="none"/>
          <w:tab w:pos="6999" w:val="left" w:leader="none"/>
          <w:tab w:pos="7666" w:val="left" w:leader="none"/>
        </w:tabs>
        <w:spacing w:before="50"/>
        <w:ind w:left="455" w:right="0" w:firstLine="0"/>
        <w:jc w:val="left"/>
        <w:rPr>
          <w:rFonts w:ascii="宋体" w:hAnsi="宋体" w:cs="宋体" w:eastAsia="宋体" w:hint="default"/>
          <w:sz w:val="18"/>
          <w:szCs w:val="18"/>
        </w:rPr>
      </w:pPr>
      <w:r>
        <w:rPr>
          <w:rFonts w:ascii="宋体" w:hAnsi="宋体" w:cs="宋体" w:eastAsia="宋体" w:hint="default"/>
          <w:sz w:val="18"/>
          <w:szCs w:val="18"/>
        </w:rPr>
        <w:t>权益工具投资</w:t>
        <w:tab/>
      </w:r>
      <w:r>
        <w:rPr>
          <w:rFonts w:ascii="宋体" w:hAnsi="宋体" w:cs="宋体" w:eastAsia="宋体" w:hint="default"/>
          <w:spacing w:val="-1"/>
          <w:sz w:val="18"/>
          <w:szCs w:val="18"/>
        </w:rPr>
        <w:t>371,838,355.92</w:t>
        <w:tab/>
      </w:r>
      <w:r>
        <w:rPr>
          <w:rFonts w:ascii="宋体" w:hAnsi="宋体" w:cs="宋体" w:eastAsia="宋体" w:hint="default"/>
          <w:sz w:val="18"/>
          <w:szCs w:val="18"/>
        </w:rPr>
        <w:t>0.00</w:t>
        <w:tab/>
        <w:t>0.00</w:t>
        <w:tab/>
      </w:r>
      <w:r>
        <w:rPr>
          <w:rFonts w:ascii="宋体" w:hAnsi="宋体" w:cs="宋体" w:eastAsia="宋体" w:hint="default"/>
          <w:spacing w:val="-1"/>
          <w:sz w:val="18"/>
          <w:szCs w:val="18"/>
        </w:rPr>
        <w:t>371,838,355.92</w:t>
      </w:r>
    </w:p>
    <w:p>
      <w:pPr>
        <w:spacing w:line="232" w:lineRule="exact" w:before="48"/>
        <w:ind w:left="182" w:right="6116"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指定以公允价值计量且其变动计 入当期损益的金融资产</w:t>
      </w:r>
    </w:p>
    <w:p>
      <w:pPr>
        <w:spacing w:line="212" w:lineRule="exact" w:before="0"/>
        <w:ind w:left="455" w:right="0" w:firstLine="0"/>
        <w:jc w:val="left"/>
        <w:rPr>
          <w:rFonts w:ascii="宋体" w:hAnsi="宋体" w:cs="宋体" w:eastAsia="宋体" w:hint="default"/>
          <w:sz w:val="18"/>
          <w:szCs w:val="18"/>
        </w:rPr>
      </w:pPr>
      <w:r>
        <w:rPr/>
        <w:pict>
          <v:shape style="position:absolute;margin-left:81.503998pt;margin-top:7.46565pt;width:443.75pt;height:132.450pt;mso-position-horizontal-relative:page;mso-position-vertical-relative:paragraph;z-index:5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4"/>
                    <w:gridCol w:w="1612"/>
                    <w:gridCol w:w="1955"/>
                    <w:gridCol w:w="867"/>
                    <w:gridCol w:w="1566"/>
                  </w:tblGrid>
                  <w:tr>
                    <w:trPr>
                      <w:trHeight w:val="180" w:hRule="exact"/>
                    </w:trPr>
                    <w:tc>
                      <w:tcPr>
                        <w:tcW w:w="4487" w:type="dxa"/>
                        <w:gridSpan w:val="2"/>
                        <w:tcBorders>
                          <w:top w:val="nil" w:sz="6" w:space="0" w:color="auto"/>
                          <w:left w:val="nil" w:sz="6" w:space="0" w:color="auto"/>
                          <w:bottom w:val="nil" w:sz="6" w:space="0" w:color="auto"/>
                          <w:right w:val="nil" w:sz="6" w:space="0" w:color="auto"/>
                        </w:tcBorders>
                      </w:tcPr>
                      <w:p>
                        <w:pPr>
                          <w:pStyle w:val="TableParagraph"/>
                          <w:tabs>
                            <w:tab w:pos="3168" w:val="left" w:leader="none"/>
                          </w:tabs>
                          <w:spacing w:line="220" w:lineRule="exact"/>
                          <w:ind w:left="71" w:right="0"/>
                          <w:jc w:val="left"/>
                          <w:rPr>
                            <w:rFonts w:ascii="宋体" w:hAnsi="宋体" w:cs="宋体" w:eastAsia="宋体" w:hint="default"/>
                            <w:sz w:val="18"/>
                            <w:szCs w:val="18"/>
                          </w:rPr>
                        </w:pPr>
                        <w:r>
                          <w:rPr>
                            <w:rFonts w:ascii="宋体" w:hAnsi="宋体" w:cs="宋体" w:eastAsia="宋体" w:hint="default"/>
                            <w:position w:val="-11"/>
                            <w:sz w:val="18"/>
                            <w:szCs w:val="18"/>
                          </w:rPr>
                          <w:t>资</w:t>
                          <w:tab/>
                        </w:r>
                        <w:r>
                          <w:rPr>
                            <w:rFonts w:ascii="宋体" w:hAnsi="宋体" w:cs="宋体" w:eastAsia="宋体" w:hint="default"/>
                            <w:sz w:val="18"/>
                            <w:szCs w:val="18"/>
                          </w:rPr>
                          <w:t>111,726,127.85</w:t>
                        </w:r>
                      </w:p>
                    </w:tc>
                    <w:tc>
                      <w:tcPr>
                        <w:tcW w:w="1955" w:type="dxa"/>
                        <w:tcBorders>
                          <w:top w:val="nil" w:sz="6" w:space="0" w:color="auto"/>
                          <w:left w:val="nil" w:sz="6" w:space="0" w:color="auto"/>
                          <w:bottom w:val="nil" w:sz="6" w:space="0" w:color="auto"/>
                          <w:right w:val="nil" w:sz="6" w:space="0" w:color="auto"/>
                        </w:tcBorders>
                      </w:tcPr>
                      <w:p>
                        <w:pPr>
                          <w:pStyle w:val="TableParagraph"/>
                          <w:spacing w:line="180" w:lineRule="exact"/>
                          <w:ind w:right="443"/>
                          <w:jc w:val="right"/>
                          <w:rPr>
                            <w:rFonts w:ascii="宋体" w:hAnsi="宋体" w:cs="宋体" w:eastAsia="宋体" w:hint="default"/>
                            <w:sz w:val="18"/>
                            <w:szCs w:val="18"/>
                          </w:rPr>
                        </w:pPr>
                        <w:r>
                          <w:rPr>
                            <w:rFonts w:ascii="宋体"/>
                            <w:spacing w:val="-1"/>
                            <w:sz w:val="18"/>
                          </w:rPr>
                          <w:t>30,050,000.00</w:t>
                        </w:r>
                      </w:p>
                    </w:tc>
                    <w:tc>
                      <w:tcPr>
                        <w:tcW w:w="867" w:type="dxa"/>
                        <w:tcBorders>
                          <w:top w:val="nil" w:sz="6" w:space="0" w:color="auto"/>
                          <w:left w:val="nil" w:sz="6" w:space="0" w:color="auto"/>
                          <w:bottom w:val="nil" w:sz="6" w:space="0" w:color="auto"/>
                          <w:right w:val="nil" w:sz="6" w:space="0" w:color="auto"/>
                        </w:tcBorders>
                      </w:tcPr>
                      <w:p>
                        <w:pPr>
                          <w:pStyle w:val="TableParagraph"/>
                          <w:spacing w:line="180" w:lineRule="exact"/>
                          <w:ind w:right="55"/>
                          <w:jc w:val="right"/>
                          <w:rPr>
                            <w:rFonts w:ascii="宋体" w:hAnsi="宋体" w:cs="宋体" w:eastAsia="宋体" w:hint="default"/>
                            <w:sz w:val="18"/>
                            <w:szCs w:val="18"/>
                          </w:rPr>
                        </w:pPr>
                        <w:r>
                          <w:rPr>
                            <w:rFonts w:ascii="宋体"/>
                            <w:sz w:val="18"/>
                          </w:rPr>
                          <w:t>0.00</w:t>
                        </w:r>
                      </w:p>
                    </w:tc>
                    <w:tc>
                      <w:tcPr>
                        <w:tcW w:w="1566" w:type="dxa"/>
                        <w:tcBorders>
                          <w:top w:val="nil" w:sz="6" w:space="0" w:color="auto"/>
                          <w:left w:val="nil" w:sz="6" w:space="0" w:color="auto"/>
                          <w:bottom w:val="nil" w:sz="6" w:space="0" w:color="auto"/>
                          <w:right w:val="nil" w:sz="6" w:space="0" w:color="auto"/>
                        </w:tcBorders>
                      </w:tcPr>
                      <w:p>
                        <w:pPr>
                          <w:pStyle w:val="TableParagraph"/>
                          <w:spacing w:line="180" w:lineRule="exact"/>
                          <w:ind w:right="55"/>
                          <w:jc w:val="right"/>
                          <w:rPr>
                            <w:rFonts w:ascii="宋体" w:hAnsi="宋体" w:cs="宋体" w:eastAsia="宋体" w:hint="default"/>
                            <w:sz w:val="18"/>
                            <w:szCs w:val="18"/>
                          </w:rPr>
                        </w:pPr>
                        <w:r>
                          <w:rPr>
                            <w:rFonts w:ascii="宋体"/>
                            <w:spacing w:val="-1"/>
                            <w:sz w:val="18"/>
                          </w:rPr>
                          <w:t>141,776,127.85</w:t>
                        </w:r>
                      </w:p>
                    </w:tc>
                  </w:tr>
                  <w:tr>
                    <w:trPr>
                      <w:trHeight w:val="428" w:hRule="exact"/>
                    </w:trPr>
                    <w:tc>
                      <w:tcPr>
                        <w:tcW w:w="887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41"/>
                          <w:ind w:left="71" w:right="0"/>
                          <w:jc w:val="left"/>
                          <w:rPr>
                            <w:rFonts w:ascii="宋体" w:hAnsi="宋体" w:cs="宋体" w:eastAsia="宋体" w:hint="default"/>
                            <w:sz w:val="18"/>
                            <w:szCs w:val="18"/>
                          </w:rPr>
                        </w:pPr>
                        <w:r>
                          <w:rPr>
                            <w:rFonts w:ascii="宋体" w:hAnsi="宋体" w:cs="宋体" w:eastAsia="宋体" w:hint="default"/>
                            <w:sz w:val="18"/>
                            <w:szCs w:val="18"/>
                          </w:rPr>
                          <w:t>（二）可供出售金融资产</w:t>
                        </w:r>
                      </w:p>
                    </w:tc>
                  </w:tr>
                  <w:tr>
                    <w:trPr>
                      <w:trHeight w:val="284" w:hRule="exact"/>
                    </w:trPr>
                    <w:tc>
                      <w:tcPr>
                        <w:tcW w:w="2874" w:type="dxa"/>
                        <w:tcBorders>
                          <w:top w:val="nil" w:sz="6" w:space="0" w:color="auto"/>
                          <w:left w:val="nil" w:sz="6" w:space="0" w:color="auto"/>
                          <w:bottom w:val="nil" w:sz="6" w:space="0" w:color="auto"/>
                          <w:right w:val="nil" w:sz="6" w:space="0" w:color="auto"/>
                        </w:tcBorders>
                      </w:tcPr>
                      <w:p>
                        <w:pPr>
                          <w:pStyle w:val="TableParagraph"/>
                          <w:spacing w:line="232" w:lineRule="exact"/>
                          <w:ind w:left="345"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1612" w:type="dxa"/>
                        <w:tcBorders>
                          <w:top w:val="nil" w:sz="6" w:space="0" w:color="auto"/>
                          <w:left w:val="nil" w:sz="6" w:space="0" w:color="auto"/>
                          <w:bottom w:val="nil" w:sz="6" w:space="0" w:color="auto"/>
                          <w:right w:val="nil" w:sz="6" w:space="0" w:color="auto"/>
                        </w:tcBorders>
                      </w:tcPr>
                      <w:p>
                        <w:pPr>
                          <w:pStyle w:val="TableParagraph"/>
                          <w:spacing w:line="232" w:lineRule="exact"/>
                          <w:ind w:right="56"/>
                          <w:jc w:val="right"/>
                          <w:rPr>
                            <w:rFonts w:ascii="宋体" w:hAnsi="宋体" w:cs="宋体" w:eastAsia="宋体" w:hint="default"/>
                            <w:sz w:val="18"/>
                            <w:szCs w:val="18"/>
                          </w:rPr>
                        </w:pPr>
                        <w:r>
                          <w:rPr>
                            <w:rFonts w:ascii="宋体"/>
                            <w:spacing w:val="-1"/>
                            <w:sz w:val="18"/>
                          </w:rPr>
                          <w:t>3,577,309,583.43</w:t>
                        </w:r>
                      </w:p>
                    </w:tc>
                    <w:tc>
                      <w:tcPr>
                        <w:tcW w:w="1955" w:type="dxa"/>
                        <w:tcBorders>
                          <w:top w:val="nil" w:sz="6" w:space="0" w:color="auto"/>
                          <w:left w:val="nil" w:sz="6" w:space="0" w:color="auto"/>
                          <w:bottom w:val="nil" w:sz="6" w:space="0" w:color="auto"/>
                          <w:right w:val="nil" w:sz="6" w:space="0" w:color="auto"/>
                        </w:tcBorders>
                      </w:tcPr>
                      <w:p>
                        <w:pPr>
                          <w:pStyle w:val="TableParagraph"/>
                          <w:spacing w:line="232" w:lineRule="exact"/>
                          <w:ind w:right="443"/>
                          <w:jc w:val="right"/>
                          <w:rPr>
                            <w:rFonts w:ascii="宋体" w:hAnsi="宋体" w:cs="宋体" w:eastAsia="宋体" w:hint="default"/>
                            <w:sz w:val="18"/>
                            <w:szCs w:val="18"/>
                          </w:rPr>
                        </w:pPr>
                        <w:r>
                          <w:rPr>
                            <w:rFonts w:ascii="宋体"/>
                            <w:spacing w:val="-1"/>
                            <w:sz w:val="18"/>
                          </w:rPr>
                          <w:t>35,408,064.28</w:t>
                        </w:r>
                      </w:p>
                    </w:tc>
                    <w:tc>
                      <w:tcPr>
                        <w:tcW w:w="867"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z w:val="18"/>
                          </w:rPr>
                          <w:t>0.00</w:t>
                        </w:r>
                      </w:p>
                    </w:tc>
                    <w:tc>
                      <w:tcPr>
                        <w:tcW w:w="1566"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3,612,717,647.71</w:t>
                        </w:r>
                      </w:p>
                    </w:tc>
                  </w:tr>
                  <w:tr>
                    <w:trPr>
                      <w:trHeight w:val="286" w:hRule="exact"/>
                    </w:trPr>
                    <w:tc>
                      <w:tcPr>
                        <w:tcW w:w="2874" w:type="dxa"/>
                        <w:tcBorders>
                          <w:top w:val="nil" w:sz="6" w:space="0" w:color="auto"/>
                          <w:left w:val="nil" w:sz="6" w:space="0" w:color="auto"/>
                          <w:bottom w:val="nil" w:sz="6" w:space="0" w:color="auto"/>
                          <w:right w:val="nil" w:sz="6" w:space="0" w:color="auto"/>
                        </w:tcBorders>
                      </w:tcPr>
                      <w:p>
                        <w:pPr>
                          <w:pStyle w:val="TableParagraph"/>
                          <w:spacing w:line="233" w:lineRule="exact"/>
                          <w:ind w:left="345" w:right="0"/>
                          <w:jc w:val="left"/>
                          <w:rPr>
                            <w:rFonts w:ascii="宋体" w:hAnsi="宋体" w:cs="宋体" w:eastAsia="宋体" w:hint="default"/>
                            <w:sz w:val="18"/>
                            <w:szCs w:val="18"/>
                          </w:rPr>
                        </w:pPr>
                        <w:r>
                          <w:rPr>
                            <w:rFonts w:ascii="宋体" w:hAnsi="宋体" w:cs="宋体" w:eastAsia="宋体" w:hint="default"/>
                            <w:sz w:val="18"/>
                            <w:szCs w:val="18"/>
                          </w:rPr>
                          <w:t>债务工具投资</w:t>
                        </w:r>
                      </w:p>
                    </w:tc>
                    <w:tc>
                      <w:tcPr>
                        <w:tcW w:w="1612"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z w:val="18"/>
                          </w:rPr>
                          <w:t>0.00</w:t>
                        </w:r>
                      </w:p>
                    </w:tc>
                    <w:tc>
                      <w:tcPr>
                        <w:tcW w:w="1955" w:type="dxa"/>
                        <w:tcBorders>
                          <w:top w:val="nil" w:sz="6" w:space="0" w:color="auto"/>
                          <w:left w:val="nil" w:sz="6" w:space="0" w:color="auto"/>
                          <w:bottom w:val="nil" w:sz="6" w:space="0" w:color="auto"/>
                          <w:right w:val="nil" w:sz="6" w:space="0" w:color="auto"/>
                        </w:tcBorders>
                      </w:tcPr>
                      <w:p>
                        <w:pPr>
                          <w:pStyle w:val="TableParagraph"/>
                          <w:spacing w:line="233" w:lineRule="exact"/>
                          <w:ind w:right="443"/>
                          <w:jc w:val="right"/>
                          <w:rPr>
                            <w:rFonts w:ascii="宋体" w:hAnsi="宋体" w:cs="宋体" w:eastAsia="宋体" w:hint="default"/>
                            <w:sz w:val="18"/>
                            <w:szCs w:val="18"/>
                          </w:rPr>
                        </w:pPr>
                        <w:r>
                          <w:rPr>
                            <w:rFonts w:ascii="宋体"/>
                            <w:spacing w:val="-1"/>
                            <w:sz w:val="18"/>
                          </w:rPr>
                          <w:t>66,871,398.68</w:t>
                        </w:r>
                      </w:p>
                    </w:tc>
                    <w:tc>
                      <w:tcPr>
                        <w:tcW w:w="867"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z w:val="18"/>
                          </w:rPr>
                          <w:t>0.00</w:t>
                        </w:r>
                      </w:p>
                    </w:tc>
                    <w:tc>
                      <w:tcPr>
                        <w:tcW w:w="1566"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66,871,398.68</w:t>
                        </w:r>
                      </w:p>
                    </w:tc>
                  </w:tr>
                  <w:tr>
                    <w:trPr>
                      <w:trHeight w:val="286" w:hRule="exact"/>
                    </w:trPr>
                    <w:tc>
                      <w:tcPr>
                        <w:tcW w:w="2874" w:type="dxa"/>
                        <w:tcBorders>
                          <w:top w:val="nil" w:sz="6" w:space="0" w:color="auto"/>
                          <w:left w:val="nil" w:sz="6" w:space="0" w:color="auto"/>
                          <w:bottom w:val="nil" w:sz="6" w:space="0" w:color="auto"/>
                          <w:right w:val="nil" w:sz="6" w:space="0" w:color="auto"/>
                        </w:tcBorders>
                      </w:tcPr>
                      <w:p>
                        <w:pPr>
                          <w:pStyle w:val="TableParagraph"/>
                          <w:spacing w:line="233" w:lineRule="exact"/>
                          <w:ind w:left="71" w:right="0"/>
                          <w:jc w:val="left"/>
                          <w:rPr>
                            <w:rFonts w:ascii="宋体" w:hAnsi="宋体" w:cs="宋体" w:eastAsia="宋体" w:hint="default"/>
                            <w:sz w:val="18"/>
                            <w:szCs w:val="18"/>
                          </w:rPr>
                        </w:pPr>
                        <w:r>
                          <w:rPr>
                            <w:rFonts w:ascii="宋体" w:hAnsi="宋体" w:cs="宋体" w:eastAsia="宋体" w:hint="default"/>
                            <w:sz w:val="18"/>
                            <w:szCs w:val="18"/>
                          </w:rPr>
                          <w:t>（三）投资性房地产</w:t>
                        </w:r>
                      </w:p>
                    </w:tc>
                    <w:tc>
                      <w:tcPr>
                        <w:tcW w:w="1612" w:type="dxa"/>
                        <w:tcBorders>
                          <w:top w:val="nil" w:sz="6" w:space="0" w:color="auto"/>
                          <w:left w:val="nil" w:sz="6" w:space="0" w:color="auto"/>
                          <w:bottom w:val="nil" w:sz="6" w:space="0" w:color="auto"/>
                          <w:right w:val="nil" w:sz="6" w:space="0" w:color="auto"/>
                        </w:tcBorders>
                      </w:tcPr>
                      <w:p>
                        <w:pPr/>
                      </w:p>
                    </w:tc>
                    <w:tc>
                      <w:tcPr>
                        <w:tcW w:w="1955" w:type="dxa"/>
                        <w:tcBorders>
                          <w:top w:val="nil" w:sz="6" w:space="0" w:color="auto"/>
                          <w:left w:val="nil" w:sz="6" w:space="0" w:color="auto"/>
                          <w:bottom w:val="nil" w:sz="6" w:space="0" w:color="auto"/>
                          <w:right w:val="nil" w:sz="6" w:space="0" w:color="auto"/>
                        </w:tcBorders>
                      </w:tcPr>
                      <w:p>
                        <w:pPr/>
                      </w:p>
                    </w:tc>
                    <w:tc>
                      <w:tcPr>
                        <w:tcW w:w="867"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r>
                  <w:tr>
                    <w:trPr>
                      <w:trHeight w:val="233" w:hRule="exact"/>
                    </w:trPr>
                    <w:tc>
                      <w:tcPr>
                        <w:tcW w:w="2874" w:type="dxa"/>
                        <w:tcBorders>
                          <w:top w:val="nil" w:sz="6" w:space="0" w:color="auto"/>
                          <w:left w:val="nil" w:sz="6" w:space="0" w:color="auto"/>
                          <w:bottom w:val="nil" w:sz="6" w:space="0" w:color="auto"/>
                          <w:right w:val="nil" w:sz="6" w:space="0" w:color="auto"/>
                        </w:tcBorders>
                      </w:tcPr>
                      <w:p>
                        <w:pPr>
                          <w:pStyle w:val="TableParagraph"/>
                          <w:spacing w:line="233" w:lineRule="exact"/>
                          <w:ind w:left="345" w:right="0"/>
                          <w:jc w:val="left"/>
                          <w:rPr>
                            <w:rFonts w:ascii="宋体" w:hAnsi="宋体" w:cs="宋体" w:eastAsia="宋体" w:hint="default"/>
                            <w:sz w:val="18"/>
                            <w:szCs w:val="18"/>
                          </w:rPr>
                        </w:pPr>
                        <w:r>
                          <w:rPr>
                            <w:rFonts w:ascii="宋体" w:hAnsi="宋体" w:cs="宋体" w:eastAsia="宋体" w:hint="default"/>
                            <w:sz w:val="18"/>
                            <w:szCs w:val="18"/>
                          </w:rPr>
                          <w:t>出租的建筑物</w:t>
                        </w:r>
                      </w:p>
                    </w:tc>
                    <w:tc>
                      <w:tcPr>
                        <w:tcW w:w="1612"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z w:val="18"/>
                          </w:rPr>
                          <w:t>0.00</w:t>
                        </w:r>
                      </w:p>
                    </w:tc>
                    <w:tc>
                      <w:tcPr>
                        <w:tcW w:w="1955" w:type="dxa"/>
                        <w:tcBorders>
                          <w:top w:val="nil" w:sz="6" w:space="0" w:color="auto"/>
                          <w:left w:val="nil" w:sz="6" w:space="0" w:color="auto"/>
                          <w:bottom w:val="nil" w:sz="6" w:space="0" w:color="auto"/>
                          <w:right w:val="nil" w:sz="6" w:space="0" w:color="auto"/>
                        </w:tcBorders>
                      </w:tcPr>
                      <w:p>
                        <w:pPr>
                          <w:pStyle w:val="TableParagraph"/>
                          <w:spacing w:line="233" w:lineRule="exact"/>
                          <w:ind w:right="443"/>
                          <w:jc w:val="right"/>
                          <w:rPr>
                            <w:rFonts w:ascii="宋体" w:hAnsi="宋体" w:cs="宋体" w:eastAsia="宋体" w:hint="default"/>
                            <w:sz w:val="18"/>
                            <w:szCs w:val="18"/>
                          </w:rPr>
                        </w:pPr>
                        <w:r>
                          <w:rPr>
                            <w:rFonts w:ascii="宋体"/>
                            <w:spacing w:val="-1"/>
                            <w:sz w:val="18"/>
                          </w:rPr>
                          <w:t>772,964,600.00</w:t>
                        </w:r>
                      </w:p>
                    </w:tc>
                    <w:tc>
                      <w:tcPr>
                        <w:tcW w:w="867"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z w:val="18"/>
                          </w:rPr>
                          <w:t>0.00</w:t>
                        </w:r>
                      </w:p>
                    </w:tc>
                    <w:tc>
                      <w:tcPr>
                        <w:tcW w:w="1566"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772,964,600.00</w:t>
                        </w:r>
                      </w:p>
                    </w:tc>
                  </w:tr>
                  <w:tr>
                    <w:trPr>
                      <w:trHeight w:val="336" w:hRule="exact"/>
                    </w:trPr>
                    <w:tc>
                      <w:tcPr>
                        <w:tcW w:w="287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71" w:right="0"/>
                          <w:jc w:val="left"/>
                          <w:rPr>
                            <w:rFonts w:ascii="宋体" w:hAnsi="宋体" w:cs="宋体" w:eastAsia="宋体" w:hint="default"/>
                            <w:sz w:val="18"/>
                            <w:szCs w:val="18"/>
                          </w:rPr>
                        </w:pPr>
                        <w:r>
                          <w:rPr>
                            <w:rFonts w:ascii="宋体" w:hAnsi="宋体" w:cs="宋体" w:eastAsia="宋体" w:hint="default"/>
                            <w:sz w:val="18"/>
                            <w:szCs w:val="18"/>
                          </w:rPr>
                          <w:t>（四）其他非流动资产</w:t>
                        </w:r>
                      </w:p>
                    </w:tc>
                    <w:tc>
                      <w:tcPr>
                        <w:tcW w:w="1612" w:type="dxa"/>
                        <w:tcBorders>
                          <w:top w:val="nil" w:sz="6" w:space="0" w:color="auto"/>
                          <w:left w:val="nil" w:sz="6" w:space="0" w:color="auto"/>
                          <w:bottom w:val="nil" w:sz="6" w:space="0" w:color="auto"/>
                          <w:right w:val="nil" w:sz="6" w:space="0" w:color="auto"/>
                        </w:tcBorders>
                      </w:tcPr>
                      <w:p>
                        <w:pPr/>
                      </w:p>
                    </w:tc>
                    <w:tc>
                      <w:tcPr>
                        <w:tcW w:w="1955" w:type="dxa"/>
                        <w:tcBorders>
                          <w:top w:val="nil" w:sz="6" w:space="0" w:color="auto"/>
                          <w:left w:val="nil" w:sz="6" w:space="0" w:color="auto"/>
                          <w:bottom w:val="nil" w:sz="6" w:space="0" w:color="auto"/>
                          <w:right w:val="nil" w:sz="6" w:space="0" w:color="auto"/>
                        </w:tcBorders>
                      </w:tcPr>
                      <w:p>
                        <w:pPr/>
                      </w:p>
                    </w:tc>
                    <w:tc>
                      <w:tcPr>
                        <w:tcW w:w="867"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r>
                  <w:tr>
                    <w:trPr>
                      <w:trHeight w:val="286" w:hRule="exact"/>
                    </w:trPr>
                    <w:tc>
                      <w:tcPr>
                        <w:tcW w:w="2874"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非上市资产管理计划和投资基金</w:t>
                        </w:r>
                      </w:p>
                    </w:tc>
                    <w:tc>
                      <w:tcPr>
                        <w:tcW w:w="1612"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z w:val="18"/>
                          </w:rPr>
                          <w:t>0.00</w:t>
                        </w:r>
                      </w:p>
                    </w:tc>
                    <w:tc>
                      <w:tcPr>
                        <w:tcW w:w="1955" w:type="dxa"/>
                        <w:tcBorders>
                          <w:top w:val="nil" w:sz="6" w:space="0" w:color="auto"/>
                          <w:left w:val="nil" w:sz="6" w:space="0" w:color="auto"/>
                          <w:bottom w:val="nil" w:sz="6" w:space="0" w:color="auto"/>
                          <w:right w:val="nil" w:sz="6" w:space="0" w:color="auto"/>
                        </w:tcBorders>
                      </w:tcPr>
                      <w:p>
                        <w:pPr>
                          <w:pStyle w:val="TableParagraph"/>
                          <w:spacing w:line="233" w:lineRule="exact"/>
                          <w:ind w:right="443"/>
                          <w:jc w:val="right"/>
                          <w:rPr>
                            <w:rFonts w:ascii="宋体" w:hAnsi="宋体" w:cs="宋体" w:eastAsia="宋体" w:hint="default"/>
                            <w:sz w:val="18"/>
                            <w:szCs w:val="18"/>
                          </w:rPr>
                        </w:pPr>
                        <w:r>
                          <w:rPr>
                            <w:rFonts w:ascii="宋体"/>
                            <w:spacing w:val="-1"/>
                            <w:sz w:val="18"/>
                          </w:rPr>
                          <w:t>653,872,538.98</w:t>
                        </w:r>
                      </w:p>
                    </w:tc>
                    <w:tc>
                      <w:tcPr>
                        <w:tcW w:w="867"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z w:val="18"/>
                          </w:rPr>
                          <w:t>0.00</w:t>
                        </w:r>
                      </w:p>
                    </w:tc>
                    <w:tc>
                      <w:tcPr>
                        <w:tcW w:w="1566"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653,872,538.98</w:t>
                        </w:r>
                      </w:p>
                    </w:tc>
                  </w:tr>
                  <w:tr>
                    <w:trPr>
                      <w:trHeight w:val="301" w:hRule="exact"/>
                    </w:trPr>
                    <w:tc>
                      <w:tcPr>
                        <w:tcW w:w="2874" w:type="dxa"/>
                        <w:tcBorders>
                          <w:top w:val="nil" w:sz="6" w:space="0" w:color="auto"/>
                          <w:left w:val="nil" w:sz="6" w:space="0" w:color="auto"/>
                          <w:bottom w:val="single" w:sz="12" w:space="0" w:color="000000"/>
                          <w:right w:val="nil" w:sz="6" w:space="0" w:color="auto"/>
                        </w:tcBorders>
                      </w:tcPr>
                      <w:p>
                        <w:pPr>
                          <w:pStyle w:val="TableParagraph"/>
                          <w:spacing w:line="233" w:lineRule="exact"/>
                          <w:ind w:left="71" w:right="0"/>
                          <w:jc w:val="left"/>
                          <w:rPr>
                            <w:rFonts w:ascii="宋体" w:hAnsi="宋体" w:cs="宋体" w:eastAsia="宋体" w:hint="default"/>
                            <w:sz w:val="18"/>
                            <w:szCs w:val="18"/>
                          </w:rPr>
                        </w:pPr>
                        <w:r>
                          <w:rPr>
                            <w:rFonts w:ascii="宋体" w:hAnsi="宋体" w:cs="宋体" w:eastAsia="宋体" w:hint="default"/>
                            <w:b/>
                            <w:bCs/>
                            <w:sz w:val="18"/>
                            <w:szCs w:val="18"/>
                          </w:rPr>
                          <w:t>持续以公允价值计量的资产总额</w:t>
                        </w:r>
                        <w:r>
                          <w:rPr>
                            <w:rFonts w:ascii="宋体" w:hAnsi="宋体" w:cs="宋体" w:eastAsia="宋体" w:hint="default"/>
                            <w:sz w:val="18"/>
                            <w:szCs w:val="18"/>
                          </w:rPr>
                        </w:r>
                      </w:p>
                    </w:tc>
                    <w:tc>
                      <w:tcPr>
                        <w:tcW w:w="1612" w:type="dxa"/>
                        <w:tcBorders>
                          <w:top w:val="nil" w:sz="6" w:space="0" w:color="auto"/>
                          <w:left w:val="nil" w:sz="6" w:space="0" w:color="auto"/>
                          <w:bottom w:val="single" w:sz="12" w:space="0" w:color="000000"/>
                          <w:right w:val="nil" w:sz="6" w:space="0" w:color="auto"/>
                        </w:tcBorders>
                      </w:tcPr>
                      <w:p>
                        <w:pPr>
                          <w:pStyle w:val="TableParagraph"/>
                          <w:spacing w:line="233" w:lineRule="exact"/>
                          <w:ind w:right="56"/>
                          <w:jc w:val="right"/>
                          <w:rPr>
                            <w:rFonts w:ascii="宋体" w:hAnsi="宋体" w:cs="宋体" w:eastAsia="宋体" w:hint="default"/>
                            <w:sz w:val="18"/>
                            <w:szCs w:val="18"/>
                          </w:rPr>
                        </w:pPr>
                        <w:r>
                          <w:rPr>
                            <w:rFonts w:ascii="宋体"/>
                            <w:b/>
                            <w:w w:val="95"/>
                            <w:sz w:val="18"/>
                          </w:rPr>
                          <w:t>4,060,874,067.20</w:t>
                        </w:r>
                        <w:r>
                          <w:rPr>
                            <w:rFonts w:ascii="宋体"/>
                            <w:sz w:val="18"/>
                          </w:rPr>
                        </w:r>
                      </w:p>
                    </w:tc>
                    <w:tc>
                      <w:tcPr>
                        <w:tcW w:w="1955" w:type="dxa"/>
                        <w:tcBorders>
                          <w:top w:val="nil" w:sz="6" w:space="0" w:color="auto"/>
                          <w:left w:val="nil" w:sz="6" w:space="0" w:color="auto"/>
                          <w:bottom w:val="single" w:sz="12" w:space="0" w:color="000000"/>
                          <w:right w:val="nil" w:sz="6" w:space="0" w:color="auto"/>
                        </w:tcBorders>
                      </w:tcPr>
                      <w:p>
                        <w:pPr>
                          <w:pStyle w:val="TableParagraph"/>
                          <w:spacing w:line="233" w:lineRule="exact"/>
                          <w:ind w:right="444"/>
                          <w:jc w:val="right"/>
                          <w:rPr>
                            <w:rFonts w:ascii="宋体" w:hAnsi="宋体" w:cs="宋体" w:eastAsia="宋体" w:hint="default"/>
                            <w:sz w:val="18"/>
                            <w:szCs w:val="18"/>
                          </w:rPr>
                        </w:pPr>
                        <w:r>
                          <w:rPr>
                            <w:rFonts w:ascii="宋体"/>
                            <w:b/>
                            <w:w w:val="95"/>
                            <w:sz w:val="18"/>
                          </w:rPr>
                          <w:t>1,559,166,601.94</w:t>
                        </w:r>
                        <w:r>
                          <w:rPr>
                            <w:rFonts w:ascii="宋体"/>
                            <w:sz w:val="18"/>
                          </w:rPr>
                        </w:r>
                      </w:p>
                    </w:tc>
                    <w:tc>
                      <w:tcPr>
                        <w:tcW w:w="867" w:type="dxa"/>
                        <w:tcBorders>
                          <w:top w:val="nil" w:sz="6" w:space="0" w:color="auto"/>
                          <w:left w:val="nil" w:sz="6" w:space="0" w:color="auto"/>
                          <w:bottom w:val="single" w:sz="12" w:space="0" w:color="000000"/>
                          <w:right w:val="nil" w:sz="6" w:space="0" w:color="auto"/>
                        </w:tcBorders>
                      </w:tcPr>
                      <w:p>
                        <w:pPr>
                          <w:pStyle w:val="TableParagraph"/>
                          <w:spacing w:line="233" w:lineRule="exact"/>
                          <w:ind w:right="54"/>
                          <w:jc w:val="right"/>
                          <w:rPr>
                            <w:rFonts w:ascii="宋体" w:hAnsi="宋体" w:cs="宋体" w:eastAsia="宋体" w:hint="default"/>
                            <w:sz w:val="18"/>
                            <w:szCs w:val="18"/>
                          </w:rPr>
                        </w:pPr>
                        <w:r>
                          <w:rPr>
                            <w:rFonts w:ascii="宋体"/>
                            <w:b/>
                            <w:sz w:val="18"/>
                          </w:rPr>
                          <w:t>0.00</w:t>
                        </w:r>
                        <w:r>
                          <w:rPr>
                            <w:rFonts w:ascii="宋体"/>
                            <w:sz w:val="18"/>
                          </w:rPr>
                        </w:r>
                      </w:p>
                    </w:tc>
                    <w:tc>
                      <w:tcPr>
                        <w:tcW w:w="1566" w:type="dxa"/>
                        <w:tcBorders>
                          <w:top w:val="nil" w:sz="6" w:space="0" w:color="auto"/>
                          <w:left w:val="nil" w:sz="6" w:space="0" w:color="auto"/>
                          <w:bottom w:val="single" w:sz="12" w:space="0" w:color="000000"/>
                          <w:right w:val="nil" w:sz="6" w:space="0" w:color="auto"/>
                        </w:tcBorders>
                      </w:tcPr>
                      <w:p>
                        <w:pPr>
                          <w:pStyle w:val="TableParagraph"/>
                          <w:spacing w:line="233" w:lineRule="exact"/>
                          <w:ind w:right="56"/>
                          <w:jc w:val="right"/>
                          <w:rPr>
                            <w:rFonts w:ascii="宋体" w:hAnsi="宋体" w:cs="宋体" w:eastAsia="宋体" w:hint="default"/>
                            <w:sz w:val="18"/>
                            <w:szCs w:val="18"/>
                          </w:rPr>
                        </w:pPr>
                        <w:r>
                          <w:rPr>
                            <w:rFonts w:ascii="宋体"/>
                            <w:b/>
                            <w:w w:val="95"/>
                            <w:sz w:val="18"/>
                          </w:rPr>
                          <w:t>5,620,040,669.14</w:t>
                        </w:r>
                        <w:r>
                          <w:rPr>
                            <w:rFonts w:ascii="宋体"/>
                            <w:sz w:val="18"/>
                          </w:rPr>
                        </w:r>
                      </w:p>
                    </w:tc>
                  </w:tr>
                </w:tbl>
                <w:p>
                  <w:pPr/>
                </w:p>
              </w:txbxContent>
            </v:textbox>
            <w10:wrap type="none"/>
          </v:shape>
        </w:pict>
      </w:r>
      <w:r>
        <w:rPr>
          <w:rFonts w:ascii="宋体" w:hAnsi="宋体" w:cs="宋体" w:eastAsia="宋体" w:hint="default"/>
          <w:sz w:val="18"/>
          <w:szCs w:val="18"/>
        </w:rPr>
        <w:t>按照公允价值计量的权益工具投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line="328" w:lineRule="auto" w:before="32"/>
        <w:ind w:left="63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持续和非持续第一层次公允价值计量项目市价的确定依据</w:t>
      </w:r>
      <w:r>
        <w:rPr>
          <w:rFonts w:ascii="宋体" w:hAnsi="宋体" w:cs="宋体" w:eastAsia="宋体" w:hint="default"/>
          <w:w w:val="100"/>
          <w:sz w:val="22"/>
          <w:szCs w:val="22"/>
        </w:rPr>
        <w:t> </w:t>
      </w:r>
      <w:r>
        <w:rPr>
          <w:rFonts w:ascii="宋体" w:hAnsi="宋体" w:cs="宋体" w:eastAsia="宋体" w:hint="default"/>
          <w:spacing w:val="-1"/>
          <w:sz w:val="22"/>
          <w:szCs w:val="22"/>
        </w:rPr>
        <w:t>本公司以活跃市场上未经调整的报价作为第一层次金融资产的公允价值。</w:t>
      </w:r>
    </w:p>
    <w:p>
      <w:pPr>
        <w:spacing w:line="280" w:lineRule="auto" w:before="46"/>
        <w:ind w:left="182" w:right="417" w:firstLine="453"/>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18"/>
          <w:sz w:val="22"/>
          <w:szCs w:val="22"/>
        </w:rPr>
        <w:t> </w:t>
      </w:r>
      <w:r>
        <w:rPr>
          <w:rFonts w:ascii="宋体" w:hAnsi="宋体" w:cs="宋体" w:eastAsia="宋体" w:hint="default"/>
          <w:sz w:val="22"/>
          <w:szCs w:val="22"/>
        </w:rPr>
        <w:t>持续和非持续第二层次公允价值计量项目，采用的估值技术和重要参数的定性及</w:t>
      </w:r>
      <w:r>
        <w:rPr>
          <w:rFonts w:ascii="宋体" w:hAnsi="宋体" w:cs="宋体" w:eastAsia="宋体" w:hint="default"/>
          <w:w w:val="100"/>
          <w:sz w:val="22"/>
          <w:szCs w:val="22"/>
        </w:rPr>
        <w:t> </w:t>
      </w:r>
      <w:r>
        <w:rPr>
          <w:rFonts w:ascii="宋体" w:hAnsi="宋体" w:cs="宋体" w:eastAsia="宋体" w:hint="default"/>
          <w:sz w:val="22"/>
          <w:szCs w:val="22"/>
        </w:rPr>
        <w:t>定量信息</w:t>
      </w:r>
    </w:p>
    <w:p>
      <w:pPr>
        <w:spacing w:line="297" w:lineRule="auto" w:before="92"/>
        <w:ind w:left="182" w:right="417" w:firstLine="439"/>
        <w:jc w:val="both"/>
        <w:rPr>
          <w:rFonts w:ascii="宋体" w:hAnsi="宋体" w:cs="宋体" w:eastAsia="宋体" w:hint="default"/>
          <w:sz w:val="22"/>
          <w:szCs w:val="22"/>
        </w:rPr>
      </w:pPr>
      <w:r>
        <w:rPr>
          <w:rFonts w:ascii="宋体" w:hAnsi="宋体" w:cs="宋体" w:eastAsia="宋体" w:hint="default"/>
          <w:spacing w:val="-3"/>
          <w:sz w:val="22"/>
          <w:szCs w:val="22"/>
        </w:rPr>
        <w:t>本公司以预期收益率预计未来现金流量，并以反映交易对手方的信用风险折现率进行</w:t>
      </w:r>
      <w:r>
        <w:rPr>
          <w:rFonts w:ascii="宋体" w:hAnsi="宋体" w:cs="宋体" w:eastAsia="宋体" w:hint="default"/>
          <w:w w:val="100"/>
          <w:sz w:val="22"/>
          <w:szCs w:val="22"/>
        </w:rPr>
        <w:t> </w:t>
      </w:r>
      <w:r>
        <w:rPr>
          <w:rFonts w:ascii="宋体" w:hAnsi="宋体" w:cs="宋体" w:eastAsia="宋体" w:hint="default"/>
          <w:spacing w:val="-3"/>
          <w:sz w:val="22"/>
          <w:szCs w:val="22"/>
        </w:rPr>
        <w:t>折现，以此作为第二层次金融资产、非上市资产管理计划和投资基金的估值技术和主要输</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入值；以假设在市场出售投资性房地产时，参考类似地段和条件的同类房地产现行市价按</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直接比较法进行评估，以此作为第二层次投资性房地产的估值技术和主要输入值。</w:t>
      </w:r>
    </w:p>
    <w:p>
      <w:pPr>
        <w:spacing w:before="81"/>
        <w:ind w:left="163" w:right="6796" w:firstLine="0"/>
        <w:jc w:val="center"/>
        <w:rPr>
          <w:rFonts w:ascii="宋体" w:hAnsi="宋体" w:cs="宋体" w:eastAsia="宋体" w:hint="default"/>
          <w:sz w:val="21"/>
          <w:szCs w:val="21"/>
        </w:rPr>
      </w:pPr>
      <w:r>
        <w:rPr>
          <w:rFonts w:ascii="宋体" w:hAnsi="宋体" w:cs="宋体" w:eastAsia="宋体" w:hint="default"/>
          <w:b/>
          <w:bCs/>
          <w:sz w:val="21"/>
          <w:szCs w:val="21"/>
        </w:rPr>
        <w:t>十、关联方及关联交易</w:t>
      </w:r>
      <w:r>
        <w:rPr>
          <w:rFonts w:ascii="宋体" w:hAnsi="宋体" w:cs="宋体" w:eastAsia="宋体" w:hint="default"/>
          <w:sz w:val="21"/>
          <w:szCs w:val="21"/>
        </w:rPr>
      </w:r>
    </w:p>
    <w:p>
      <w:pPr>
        <w:spacing w:before="54"/>
        <w:ind w:left="163" w:right="6666" w:firstLine="0"/>
        <w:jc w:val="center"/>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一</w:t>
      </w:r>
      <w:r>
        <w:rPr>
          <w:rFonts w:ascii="宋体" w:hAnsi="宋体" w:cs="宋体" w:eastAsia="宋体" w:hint="default"/>
          <w:b/>
          <w:bCs/>
          <w:sz w:val="22"/>
          <w:szCs w:val="22"/>
        </w:rPr>
        <w:t>)</w:t>
      </w:r>
      <w:r>
        <w:rPr>
          <w:rFonts w:ascii="宋体" w:hAnsi="宋体" w:cs="宋体" w:eastAsia="宋体" w:hint="default"/>
          <w:b/>
          <w:bCs/>
          <w:sz w:val="22"/>
          <w:szCs w:val="22"/>
        </w:rPr>
        <w:t>关联方关系</w:t>
      </w:r>
      <w:r>
        <w:rPr>
          <w:rFonts w:ascii="宋体" w:hAnsi="宋体" w:cs="宋体" w:eastAsia="宋体" w:hint="default"/>
          <w:sz w:val="22"/>
          <w:szCs w:val="22"/>
        </w:rPr>
      </w:r>
    </w:p>
    <w:p>
      <w:pPr>
        <w:spacing w:after="0"/>
        <w:jc w:val="center"/>
        <w:rPr>
          <w:rFonts w:ascii="宋体" w:hAnsi="宋体" w:cs="宋体" w:eastAsia="宋体" w:hint="default"/>
          <w:sz w:val="22"/>
          <w:szCs w:val="22"/>
        </w:rPr>
        <w:sectPr>
          <w:type w:val="continuous"/>
          <w:pgSz w:w="11910" w:h="16840"/>
          <w:pgMar w:top="1000" w:bottom="280" w:left="1520" w:right="1280"/>
        </w:sectPr>
      </w:pPr>
    </w:p>
    <w:p>
      <w:pPr>
        <w:spacing w:before="6"/>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8"/>
          <w:sz w:val="22"/>
          <w:szCs w:val="22"/>
        </w:rPr>
        <w:t> </w:t>
      </w:r>
      <w:r>
        <w:rPr>
          <w:rFonts w:ascii="宋体" w:hAnsi="宋体" w:cs="宋体" w:eastAsia="宋体" w:hint="default"/>
          <w:sz w:val="22"/>
          <w:szCs w:val="22"/>
        </w:rPr>
        <w:t>控股股东</w:t>
      </w:r>
    </w:p>
    <w:p>
      <w:pPr>
        <w:spacing w:before="111"/>
        <w:ind w:left="695"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12"/>
          <w:sz w:val="22"/>
          <w:szCs w:val="22"/>
        </w:rPr>
        <w:t> </w:t>
      </w:r>
      <w:r>
        <w:rPr>
          <w:rFonts w:ascii="宋体" w:hAnsi="宋体" w:cs="宋体" w:eastAsia="宋体" w:hint="default"/>
          <w:sz w:val="22"/>
          <w:szCs w:val="22"/>
        </w:rPr>
        <w:t>控股股东</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763"/>
        <w:gridCol w:w="1446"/>
        <w:gridCol w:w="995"/>
        <w:gridCol w:w="1546"/>
        <w:gridCol w:w="1387"/>
        <w:gridCol w:w="1588"/>
      </w:tblGrid>
      <w:tr>
        <w:trPr>
          <w:trHeight w:val="487" w:hRule="exact"/>
        </w:trPr>
        <w:tc>
          <w:tcPr>
            <w:tcW w:w="1763"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108" w:right="0"/>
              <w:jc w:val="left"/>
              <w:rPr>
                <w:rFonts w:ascii="宋体" w:hAnsi="宋体" w:cs="宋体" w:eastAsia="宋体" w:hint="default"/>
                <w:sz w:val="18"/>
                <w:szCs w:val="18"/>
              </w:rPr>
            </w:pPr>
            <w:r>
              <w:rPr>
                <w:rFonts w:ascii="宋体" w:hAnsi="宋体" w:cs="宋体" w:eastAsia="宋体" w:hint="default"/>
                <w:b/>
                <w:bCs/>
                <w:sz w:val="18"/>
                <w:szCs w:val="18"/>
              </w:rPr>
              <w:t>控股股东名称</w:t>
            </w:r>
            <w:r>
              <w:rPr>
                <w:rFonts w:ascii="宋体" w:hAnsi="宋体" w:cs="宋体" w:eastAsia="宋体" w:hint="default"/>
                <w:sz w:val="18"/>
                <w:szCs w:val="18"/>
              </w:rPr>
            </w:r>
          </w:p>
        </w:tc>
        <w:tc>
          <w:tcPr>
            <w:tcW w:w="1446"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64"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95"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right="119"/>
              <w:jc w:val="right"/>
              <w:rPr>
                <w:rFonts w:ascii="宋体" w:hAnsi="宋体" w:cs="宋体" w:eastAsia="宋体" w:hint="default"/>
                <w:sz w:val="18"/>
                <w:szCs w:val="18"/>
              </w:rPr>
            </w:pPr>
            <w:r>
              <w:rPr>
                <w:rFonts w:ascii="宋体" w:hAnsi="宋体" w:cs="宋体" w:eastAsia="宋体" w:hint="default"/>
                <w:b/>
                <w:bCs/>
                <w:w w:val="95"/>
                <w:sz w:val="18"/>
                <w:szCs w:val="18"/>
              </w:rPr>
              <w:t>业务性质</w:t>
            </w:r>
            <w:r>
              <w:rPr>
                <w:rFonts w:ascii="宋体" w:hAnsi="宋体" w:cs="宋体" w:eastAsia="宋体" w:hint="default"/>
                <w:sz w:val="18"/>
                <w:szCs w:val="18"/>
              </w:rPr>
            </w:r>
          </w:p>
        </w:tc>
        <w:tc>
          <w:tcPr>
            <w:tcW w:w="1546"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right="16"/>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387" w:type="dxa"/>
            <w:tcBorders>
              <w:top w:val="single" w:sz="12" w:space="0" w:color="000000"/>
              <w:left w:val="nil" w:sz="6" w:space="0" w:color="auto"/>
              <w:bottom w:val="single" w:sz="4" w:space="0" w:color="000000"/>
              <w:right w:val="nil" w:sz="6" w:space="0" w:color="auto"/>
            </w:tcBorders>
          </w:tcPr>
          <w:p>
            <w:pPr>
              <w:pStyle w:val="TableParagraph"/>
              <w:spacing w:line="206" w:lineRule="exact"/>
              <w:ind w:right="24"/>
              <w:jc w:val="center"/>
              <w:rPr>
                <w:rFonts w:ascii="宋体" w:hAnsi="宋体" w:cs="宋体" w:eastAsia="宋体" w:hint="default"/>
                <w:sz w:val="18"/>
                <w:szCs w:val="18"/>
              </w:rPr>
            </w:pPr>
            <w:r>
              <w:rPr>
                <w:rFonts w:ascii="宋体" w:hAnsi="宋体" w:cs="宋体" w:eastAsia="宋体" w:hint="default"/>
                <w:b/>
                <w:bCs/>
                <w:sz w:val="18"/>
                <w:szCs w:val="18"/>
              </w:rPr>
              <w:t>对本公司的持</w:t>
            </w:r>
            <w:r>
              <w:rPr>
                <w:rFonts w:ascii="宋体" w:hAnsi="宋体" w:cs="宋体" w:eastAsia="宋体" w:hint="default"/>
                <w:sz w:val="18"/>
                <w:szCs w:val="18"/>
              </w:rPr>
            </w:r>
          </w:p>
          <w:p>
            <w:pPr>
              <w:pStyle w:val="TableParagraph"/>
              <w:spacing w:line="234" w:lineRule="exact"/>
              <w:ind w:right="24"/>
              <w:jc w:val="center"/>
              <w:rPr>
                <w:rFonts w:ascii="宋体" w:hAnsi="宋体" w:cs="宋体" w:eastAsia="宋体" w:hint="default"/>
                <w:sz w:val="18"/>
                <w:szCs w:val="18"/>
              </w:rPr>
            </w:pPr>
            <w:r>
              <w:rPr>
                <w:rFonts w:ascii="宋体" w:hAnsi="宋体" w:cs="宋体" w:eastAsia="宋体" w:hint="default"/>
                <w:b/>
                <w:bCs/>
                <w:sz w:val="18"/>
                <w:szCs w:val="18"/>
              </w:rPr>
              <w:t>股比例</w:t>
            </w:r>
            <w:r>
              <w:rPr>
                <w:rFonts w:ascii="宋体" w:hAnsi="宋体" w:cs="宋体" w:eastAsia="宋体" w:hint="default"/>
                <w:sz w:val="18"/>
                <w:szCs w:val="18"/>
              </w:rPr>
            </w:r>
          </w:p>
        </w:tc>
        <w:tc>
          <w:tcPr>
            <w:tcW w:w="1588" w:type="dxa"/>
            <w:tcBorders>
              <w:top w:val="single" w:sz="12" w:space="0" w:color="000000"/>
              <w:left w:val="nil" w:sz="6" w:space="0" w:color="auto"/>
              <w:bottom w:val="single" w:sz="4" w:space="0" w:color="000000"/>
              <w:right w:val="nil" w:sz="6" w:space="0" w:color="auto"/>
            </w:tcBorders>
          </w:tcPr>
          <w:p>
            <w:pPr>
              <w:pStyle w:val="TableParagraph"/>
              <w:spacing w:line="206" w:lineRule="exact"/>
              <w:ind w:left="6" w:right="0"/>
              <w:jc w:val="center"/>
              <w:rPr>
                <w:rFonts w:ascii="宋体" w:hAnsi="宋体" w:cs="宋体" w:eastAsia="宋体" w:hint="default"/>
                <w:sz w:val="18"/>
                <w:szCs w:val="18"/>
              </w:rPr>
            </w:pPr>
            <w:r>
              <w:rPr>
                <w:rFonts w:ascii="宋体" w:hAnsi="宋体" w:cs="宋体" w:eastAsia="宋体" w:hint="default"/>
                <w:b/>
                <w:bCs/>
                <w:sz w:val="18"/>
                <w:szCs w:val="18"/>
              </w:rPr>
              <w:t>对本公司的表决</w:t>
            </w:r>
            <w:r>
              <w:rPr>
                <w:rFonts w:ascii="宋体" w:hAnsi="宋体" w:cs="宋体" w:eastAsia="宋体" w:hint="default"/>
                <w:sz w:val="18"/>
                <w:szCs w:val="18"/>
              </w:rPr>
            </w:r>
          </w:p>
          <w:p>
            <w:pPr>
              <w:pStyle w:val="TableParagraph"/>
              <w:spacing w:line="234" w:lineRule="exact"/>
              <w:ind w:left="3" w:right="0"/>
              <w:jc w:val="center"/>
              <w:rPr>
                <w:rFonts w:ascii="宋体" w:hAnsi="宋体" w:cs="宋体" w:eastAsia="宋体" w:hint="default"/>
                <w:sz w:val="18"/>
                <w:szCs w:val="18"/>
              </w:rPr>
            </w:pPr>
            <w:r>
              <w:rPr>
                <w:rFonts w:ascii="宋体" w:hAnsi="宋体" w:cs="宋体" w:eastAsia="宋体" w:hint="default"/>
                <w:b/>
                <w:bCs/>
                <w:sz w:val="18"/>
                <w:szCs w:val="18"/>
              </w:rPr>
              <w:t>权比例</w:t>
            </w:r>
            <w:r>
              <w:rPr>
                <w:rFonts w:ascii="宋体" w:hAnsi="宋体" w:cs="宋体" w:eastAsia="宋体" w:hint="default"/>
                <w:sz w:val="18"/>
                <w:szCs w:val="18"/>
              </w:rPr>
            </w:r>
          </w:p>
        </w:tc>
      </w:tr>
      <w:tr>
        <w:trPr>
          <w:trHeight w:val="305" w:hRule="exact"/>
        </w:trPr>
        <w:tc>
          <w:tcPr>
            <w:tcW w:w="176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446"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63" w:right="0"/>
              <w:jc w:val="center"/>
              <w:rPr>
                <w:rFonts w:ascii="宋体" w:hAnsi="宋体" w:cs="宋体" w:eastAsia="宋体" w:hint="default"/>
                <w:sz w:val="18"/>
                <w:szCs w:val="18"/>
              </w:rPr>
            </w:pPr>
            <w:r>
              <w:rPr>
                <w:rFonts w:ascii="宋体" w:hAnsi="宋体" w:cs="宋体" w:eastAsia="宋体" w:hint="default"/>
                <w:sz w:val="18"/>
                <w:szCs w:val="18"/>
              </w:rPr>
              <w:t>北京市海淀区</w:t>
            </w:r>
          </w:p>
        </w:tc>
        <w:tc>
          <w:tcPr>
            <w:tcW w:w="99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21"/>
              <w:jc w:val="right"/>
              <w:rPr>
                <w:rFonts w:ascii="宋体" w:hAnsi="宋体" w:cs="宋体" w:eastAsia="宋体" w:hint="default"/>
                <w:sz w:val="18"/>
                <w:szCs w:val="18"/>
              </w:rPr>
            </w:pPr>
            <w:r>
              <w:rPr>
                <w:rFonts w:ascii="宋体" w:hAnsi="宋体" w:cs="宋体" w:eastAsia="宋体" w:hint="default"/>
                <w:sz w:val="18"/>
                <w:szCs w:val="18"/>
              </w:rPr>
              <w:t>资产管理</w:t>
            </w:r>
          </w:p>
        </w:tc>
        <w:tc>
          <w:tcPr>
            <w:tcW w:w="1546"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4"/>
              <w:jc w:val="center"/>
              <w:rPr>
                <w:rFonts w:ascii="宋体" w:hAnsi="宋体" w:cs="宋体" w:eastAsia="宋体" w:hint="default"/>
                <w:sz w:val="18"/>
                <w:szCs w:val="18"/>
              </w:rPr>
            </w:pPr>
            <w:r>
              <w:rPr>
                <w:rFonts w:ascii="宋体" w:hAnsi="宋体" w:cs="宋体" w:eastAsia="宋体" w:hint="default"/>
                <w:sz w:val="18"/>
                <w:szCs w:val="18"/>
              </w:rPr>
              <w:t>250,000.00</w:t>
            </w:r>
            <w:r>
              <w:rPr>
                <w:rFonts w:ascii="宋体" w:hAnsi="宋体" w:cs="宋体" w:eastAsia="宋体" w:hint="default"/>
                <w:spacing w:val="-67"/>
                <w:sz w:val="18"/>
                <w:szCs w:val="18"/>
              </w:rPr>
              <w:t> </w:t>
            </w:r>
            <w:r>
              <w:rPr>
                <w:rFonts w:ascii="宋体" w:hAnsi="宋体" w:cs="宋体" w:eastAsia="宋体" w:hint="default"/>
                <w:sz w:val="18"/>
                <w:szCs w:val="18"/>
              </w:rPr>
              <w:t>万元</w:t>
            </w:r>
          </w:p>
        </w:tc>
        <w:tc>
          <w:tcPr>
            <w:tcW w:w="1387"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409" w:right="0"/>
              <w:jc w:val="left"/>
              <w:rPr>
                <w:rFonts w:ascii="宋体" w:hAnsi="宋体" w:cs="宋体" w:eastAsia="宋体" w:hint="default"/>
                <w:sz w:val="18"/>
                <w:szCs w:val="18"/>
              </w:rPr>
            </w:pPr>
            <w:r>
              <w:rPr>
                <w:rFonts w:ascii="宋体"/>
                <w:sz w:val="18"/>
              </w:rPr>
              <w:t>25.75%</w:t>
            </w:r>
          </w:p>
        </w:tc>
        <w:tc>
          <w:tcPr>
            <w:tcW w:w="1588"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527" w:right="0"/>
              <w:jc w:val="left"/>
              <w:rPr>
                <w:rFonts w:ascii="宋体" w:hAnsi="宋体" w:cs="宋体" w:eastAsia="宋体" w:hint="default"/>
                <w:sz w:val="18"/>
                <w:szCs w:val="18"/>
              </w:rPr>
            </w:pPr>
            <w:r>
              <w:rPr>
                <w:rFonts w:ascii="宋体"/>
                <w:sz w:val="18"/>
              </w:rPr>
              <w:t>25.75%</w:t>
            </w:r>
          </w:p>
        </w:tc>
      </w:tr>
    </w:tbl>
    <w:p>
      <w:pPr>
        <w:spacing w:before="21"/>
        <w:ind w:left="695"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8"/>
          <w:sz w:val="22"/>
          <w:szCs w:val="22"/>
        </w:rPr>
        <w:t> </w:t>
      </w:r>
      <w:r>
        <w:rPr>
          <w:rFonts w:ascii="宋体" w:hAnsi="宋体" w:cs="宋体" w:eastAsia="宋体" w:hint="default"/>
          <w:sz w:val="22"/>
          <w:szCs w:val="22"/>
        </w:rPr>
        <w:t>控股股东的注册资本及其变化</w:t>
      </w:r>
    </w:p>
    <w:p>
      <w:pPr>
        <w:spacing w:line="240" w:lineRule="auto" w:before="11"/>
        <w:rPr>
          <w:rFonts w:ascii="宋体" w:hAnsi="宋体" w:cs="宋体" w:eastAsia="宋体" w:hint="default"/>
          <w:sz w:val="12"/>
          <w:szCs w:val="12"/>
        </w:rPr>
      </w:pPr>
    </w:p>
    <w:tbl>
      <w:tblPr>
        <w:tblW w:w="0" w:type="auto"/>
        <w:jc w:val="left"/>
        <w:tblInd w:w="134" w:type="dxa"/>
        <w:tblLayout w:type="fixed"/>
        <w:tblCellMar>
          <w:top w:w="0" w:type="dxa"/>
          <w:left w:w="0" w:type="dxa"/>
          <w:bottom w:w="0" w:type="dxa"/>
          <w:right w:w="0" w:type="dxa"/>
        </w:tblCellMar>
        <w:tblLook w:val="01E0"/>
      </w:tblPr>
      <w:tblGrid>
        <w:gridCol w:w="1845"/>
        <w:gridCol w:w="1878"/>
        <w:gridCol w:w="1614"/>
        <w:gridCol w:w="1656"/>
        <w:gridCol w:w="1733"/>
      </w:tblGrid>
      <w:tr>
        <w:trPr>
          <w:trHeight w:val="305" w:hRule="exact"/>
        </w:trPr>
        <w:tc>
          <w:tcPr>
            <w:tcW w:w="184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187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5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1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7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5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77"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3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9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07" w:hRule="exact"/>
        </w:trPr>
        <w:tc>
          <w:tcPr>
            <w:tcW w:w="1845"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878"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296" w:right="0"/>
              <w:jc w:val="left"/>
              <w:rPr>
                <w:rFonts w:ascii="宋体" w:hAnsi="宋体" w:cs="宋体" w:eastAsia="宋体" w:hint="default"/>
                <w:sz w:val="18"/>
                <w:szCs w:val="18"/>
              </w:rPr>
            </w:pPr>
            <w:r>
              <w:rPr>
                <w:rFonts w:ascii="宋体" w:hAnsi="宋体" w:cs="宋体" w:eastAsia="宋体" w:hint="default"/>
                <w:sz w:val="18"/>
                <w:szCs w:val="18"/>
              </w:rPr>
              <w:t>250,000.00</w:t>
            </w:r>
            <w:r>
              <w:rPr>
                <w:rFonts w:ascii="宋体" w:hAnsi="宋体" w:cs="宋体" w:eastAsia="宋体" w:hint="default"/>
                <w:spacing w:val="-49"/>
                <w:sz w:val="18"/>
                <w:szCs w:val="18"/>
              </w:rPr>
              <w:t> </w:t>
            </w:r>
            <w:r>
              <w:rPr>
                <w:rFonts w:ascii="宋体" w:hAnsi="宋体" w:cs="宋体" w:eastAsia="宋体" w:hint="default"/>
                <w:sz w:val="18"/>
                <w:szCs w:val="18"/>
              </w:rPr>
              <w:t>万元</w:t>
            </w:r>
          </w:p>
        </w:tc>
        <w:tc>
          <w:tcPr>
            <w:tcW w:w="1614"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974" w:right="0"/>
              <w:jc w:val="left"/>
              <w:rPr>
                <w:rFonts w:ascii="宋体" w:hAnsi="宋体" w:cs="宋体" w:eastAsia="宋体" w:hint="default"/>
                <w:sz w:val="18"/>
                <w:szCs w:val="18"/>
              </w:rPr>
            </w:pPr>
            <w:r>
              <w:rPr>
                <w:rFonts w:ascii="宋体"/>
                <w:sz w:val="18"/>
              </w:rPr>
              <w:t>0.00</w:t>
            </w:r>
          </w:p>
        </w:tc>
        <w:tc>
          <w:tcPr>
            <w:tcW w:w="1656"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976" w:right="0"/>
              <w:jc w:val="left"/>
              <w:rPr>
                <w:rFonts w:ascii="宋体" w:hAnsi="宋体" w:cs="宋体" w:eastAsia="宋体" w:hint="default"/>
                <w:sz w:val="18"/>
                <w:szCs w:val="18"/>
              </w:rPr>
            </w:pPr>
            <w:r>
              <w:rPr>
                <w:rFonts w:ascii="宋体"/>
                <w:sz w:val="18"/>
              </w:rPr>
              <w:t>0.00</w:t>
            </w:r>
          </w:p>
        </w:tc>
        <w:tc>
          <w:tcPr>
            <w:tcW w:w="173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319" w:right="0"/>
              <w:jc w:val="left"/>
              <w:rPr>
                <w:rFonts w:ascii="宋体" w:hAnsi="宋体" w:cs="宋体" w:eastAsia="宋体" w:hint="default"/>
                <w:sz w:val="18"/>
                <w:szCs w:val="18"/>
              </w:rPr>
            </w:pPr>
            <w:r>
              <w:rPr>
                <w:rFonts w:ascii="宋体" w:hAnsi="宋体" w:cs="宋体" w:eastAsia="宋体" w:hint="default"/>
                <w:sz w:val="18"/>
                <w:szCs w:val="18"/>
              </w:rPr>
              <w:t>250,000.00</w:t>
            </w:r>
            <w:r>
              <w:rPr>
                <w:rFonts w:ascii="宋体" w:hAnsi="宋体" w:cs="宋体" w:eastAsia="宋体" w:hint="default"/>
                <w:spacing w:val="-49"/>
                <w:sz w:val="18"/>
                <w:szCs w:val="18"/>
              </w:rPr>
              <w:t> </w:t>
            </w:r>
            <w:r>
              <w:rPr>
                <w:rFonts w:ascii="宋体" w:hAnsi="宋体" w:cs="宋体" w:eastAsia="宋体" w:hint="default"/>
                <w:sz w:val="18"/>
                <w:szCs w:val="18"/>
              </w:rPr>
              <w:t>万元</w:t>
            </w:r>
          </w:p>
        </w:tc>
      </w:tr>
    </w:tbl>
    <w:p>
      <w:pPr>
        <w:spacing w:before="81"/>
        <w:ind w:left="695"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7"/>
          <w:sz w:val="22"/>
          <w:szCs w:val="22"/>
        </w:rPr>
        <w:t> </w:t>
      </w:r>
      <w:r>
        <w:rPr>
          <w:rFonts w:ascii="宋体" w:hAnsi="宋体" w:cs="宋体" w:eastAsia="宋体" w:hint="default"/>
          <w:sz w:val="22"/>
          <w:szCs w:val="22"/>
        </w:rPr>
        <w:t>控股股东的所持股份或权益及其变化</w:t>
      </w:r>
    </w:p>
    <w:p>
      <w:pPr>
        <w:spacing w:line="240" w:lineRule="auto" w:before="9"/>
        <w:rPr>
          <w:rFonts w:ascii="宋体" w:hAnsi="宋体" w:cs="宋体" w:eastAsia="宋体" w:hint="default"/>
          <w:sz w:val="12"/>
          <w:szCs w:val="12"/>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1767;height:2" coordorigin="14,14" coordsize="1767,2">
              <v:shape style="position:absolute;left:14;top:14;width:1767;height:2" coordorigin="14,14" coordsize="1767,0" path="m14,14l1781,14e" filled="false" stroked="true" strokeweight="1.44pt" strokecolor="#000000">
                <v:path arrowok="t"/>
              </v:shape>
            </v:group>
            <v:group style="position:absolute;left:1781;top:14;width:29;height:2" coordorigin="1781,14" coordsize="29,2">
              <v:shape style="position:absolute;left:1781;top:14;width:29;height:2" coordorigin="1781,14" coordsize="29,0" path="m1781,14l1810,14e" filled="false" stroked="true" strokeweight="1.44pt" strokecolor="#000000">
                <v:path arrowok="t"/>
              </v:shape>
            </v:group>
            <v:group style="position:absolute;left:1810;top:14;width:3376;height:2" coordorigin="1810,14" coordsize="3376,2">
              <v:shape style="position:absolute;left:1810;top:14;width:3376;height:2" coordorigin="1810,14" coordsize="3376,0" path="m1810,14l5185,14e" filled="false" stroked="true" strokeweight="1.44pt" strokecolor="#000000">
                <v:path arrowok="t"/>
              </v:shape>
            </v:group>
            <v:group style="position:absolute;left:5185;top:14;width:29;height:2" coordorigin="5185,14" coordsize="29,2">
              <v:shape style="position:absolute;left:5185;top:14;width:29;height:2" coordorigin="5185,14" coordsize="29,0" path="m5185,14l5214,14e" filled="false" stroked="true" strokeweight="1.44pt" strokecolor="#000000">
                <v:path arrowok="t"/>
              </v:shape>
            </v:group>
            <v:group style="position:absolute;left:5214;top:14;width:3526;height:2" coordorigin="5214,14" coordsize="3526,2">
              <v:shape style="position:absolute;left:5214;top:14;width:3526;height:2" coordorigin="5214,14" coordsize="3526,0" path="m5214,14l8740,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0" w:footer="1034" w:top="1360" w:bottom="1240" w:left="1460" w:right="1460"/>
        </w:sectPr>
      </w:pPr>
    </w:p>
    <w:p>
      <w:pPr>
        <w:spacing w:before="145"/>
        <w:ind w:left="242" w:right="0" w:firstLine="0"/>
        <w:jc w:val="left"/>
        <w:rPr>
          <w:rFonts w:ascii="宋体" w:hAnsi="宋体" w:cs="宋体" w:eastAsia="宋体" w:hint="default"/>
          <w:sz w:val="18"/>
          <w:szCs w:val="18"/>
        </w:rPr>
      </w:pPr>
      <w:r>
        <w:rPr/>
        <w:pict>
          <v:shape style="position:absolute;margin-left:79.704002pt;margin-top:14.641706pt;width:436.3pt;height:31.5pt;mso-position-horizontal-relative:page;mso-position-vertical-relative:paragraph;z-index:5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6"/>
                    <w:gridCol w:w="1858"/>
                    <w:gridCol w:w="1715"/>
                    <w:gridCol w:w="1696"/>
                    <w:gridCol w:w="1690"/>
                  </w:tblGrid>
                  <w:tr>
                    <w:trPr>
                      <w:trHeight w:val="295" w:hRule="exact"/>
                    </w:trPr>
                    <w:tc>
                      <w:tcPr>
                        <w:tcW w:w="1766" w:type="dxa"/>
                        <w:tcBorders>
                          <w:top w:val="nil" w:sz="6" w:space="0" w:color="auto"/>
                          <w:left w:val="nil" w:sz="6" w:space="0" w:color="auto"/>
                          <w:bottom w:val="single" w:sz="4" w:space="0" w:color="000000"/>
                          <w:right w:val="nil" w:sz="6" w:space="0" w:color="auto"/>
                        </w:tcBorders>
                      </w:tcPr>
                      <w:p>
                        <w:pPr/>
                      </w:p>
                    </w:tc>
                    <w:tc>
                      <w:tcPr>
                        <w:tcW w:w="1858"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53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715"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37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96"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277"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690"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357" w:right="0"/>
                          <w:jc w:val="left"/>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305" w:hRule="exact"/>
                    </w:trPr>
                    <w:tc>
                      <w:tcPr>
                        <w:tcW w:w="1766" w:type="dxa"/>
                        <w:tcBorders>
                          <w:top w:val="single" w:sz="4" w:space="0" w:color="000000"/>
                          <w:left w:val="nil" w:sz="6" w:space="0" w:color="auto"/>
                          <w:bottom w:val="single" w:sz="12" w:space="0" w:color="000000"/>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858" w:type="dxa"/>
                        <w:tcBorders>
                          <w:top w:val="single" w:sz="4" w:space="0" w:color="000000"/>
                          <w:left w:val="nil" w:sz="6" w:space="0" w:color="auto"/>
                          <w:bottom w:val="single" w:sz="12" w:space="0" w:color="000000"/>
                          <w:right w:val="nil" w:sz="6" w:space="0" w:color="auto"/>
                        </w:tcBorders>
                      </w:tcPr>
                      <w:p>
                        <w:pPr>
                          <w:pStyle w:val="TableParagraph"/>
                          <w:spacing w:line="230" w:lineRule="exact"/>
                          <w:ind w:left="420" w:right="0"/>
                          <w:jc w:val="left"/>
                          <w:rPr>
                            <w:rFonts w:ascii="宋体" w:hAnsi="宋体" w:cs="宋体" w:eastAsia="宋体" w:hint="default"/>
                            <w:sz w:val="18"/>
                            <w:szCs w:val="18"/>
                          </w:rPr>
                        </w:pPr>
                        <w:r>
                          <w:rPr>
                            <w:rFonts w:ascii="宋体"/>
                            <w:sz w:val="18"/>
                          </w:rPr>
                          <w:t>763,310,997.00</w:t>
                        </w:r>
                      </w:p>
                    </w:tc>
                    <w:tc>
                      <w:tcPr>
                        <w:tcW w:w="1715" w:type="dxa"/>
                        <w:tcBorders>
                          <w:top w:val="single" w:sz="4" w:space="0" w:color="000000"/>
                          <w:left w:val="nil" w:sz="6" w:space="0" w:color="auto"/>
                          <w:bottom w:val="single" w:sz="12" w:space="0" w:color="000000"/>
                          <w:right w:val="nil" w:sz="6" w:space="0" w:color="auto"/>
                        </w:tcBorders>
                      </w:tcPr>
                      <w:p>
                        <w:pPr>
                          <w:pStyle w:val="TableParagraph"/>
                          <w:spacing w:line="230" w:lineRule="exact"/>
                          <w:ind w:left="177" w:right="0"/>
                          <w:jc w:val="left"/>
                          <w:rPr>
                            <w:rFonts w:ascii="宋体" w:hAnsi="宋体" w:cs="宋体" w:eastAsia="宋体" w:hint="default"/>
                            <w:sz w:val="18"/>
                            <w:szCs w:val="18"/>
                          </w:rPr>
                        </w:pPr>
                        <w:r>
                          <w:rPr>
                            <w:rFonts w:ascii="宋体"/>
                            <w:sz w:val="18"/>
                          </w:rPr>
                          <w:t>753,310,910.00</w:t>
                        </w:r>
                      </w:p>
                    </w:tc>
                    <w:tc>
                      <w:tcPr>
                        <w:tcW w:w="1696" w:type="dxa"/>
                        <w:tcBorders>
                          <w:top w:val="single" w:sz="4" w:space="0" w:color="000000"/>
                          <w:left w:val="nil" w:sz="6" w:space="0" w:color="auto"/>
                          <w:bottom w:val="single" w:sz="12" w:space="0" w:color="000000"/>
                          <w:right w:val="nil" w:sz="6" w:space="0" w:color="auto"/>
                        </w:tcBorders>
                      </w:tcPr>
                      <w:p>
                        <w:pPr>
                          <w:pStyle w:val="TableParagraph"/>
                          <w:spacing w:line="230" w:lineRule="exact"/>
                          <w:ind w:left="798" w:right="0"/>
                          <w:jc w:val="left"/>
                          <w:rPr>
                            <w:rFonts w:ascii="宋体" w:hAnsi="宋体" w:cs="宋体" w:eastAsia="宋体" w:hint="default"/>
                            <w:sz w:val="18"/>
                            <w:szCs w:val="18"/>
                          </w:rPr>
                        </w:pPr>
                        <w:r>
                          <w:rPr>
                            <w:rFonts w:ascii="宋体"/>
                            <w:sz w:val="18"/>
                          </w:rPr>
                          <w:t>25.75%</w:t>
                        </w:r>
                      </w:p>
                    </w:tc>
                    <w:tc>
                      <w:tcPr>
                        <w:tcW w:w="1690" w:type="dxa"/>
                        <w:tcBorders>
                          <w:top w:val="single" w:sz="4" w:space="0" w:color="000000"/>
                          <w:left w:val="nil" w:sz="6" w:space="0" w:color="auto"/>
                          <w:bottom w:val="single" w:sz="12" w:space="0" w:color="000000"/>
                          <w:right w:val="nil" w:sz="6" w:space="0" w:color="auto"/>
                        </w:tcBorders>
                      </w:tcPr>
                      <w:p>
                        <w:pPr>
                          <w:pStyle w:val="TableParagraph"/>
                          <w:spacing w:line="230" w:lineRule="exact"/>
                          <w:ind w:left="1041" w:right="0"/>
                          <w:jc w:val="left"/>
                          <w:rPr>
                            <w:rFonts w:ascii="宋体" w:hAnsi="宋体" w:cs="宋体" w:eastAsia="宋体" w:hint="default"/>
                            <w:sz w:val="18"/>
                            <w:szCs w:val="18"/>
                          </w:rPr>
                        </w:pPr>
                        <w:r>
                          <w:rPr>
                            <w:rFonts w:ascii="宋体"/>
                            <w:sz w:val="18"/>
                          </w:rPr>
                          <w:t>25.42%</w:t>
                        </w:r>
                      </w:p>
                    </w:tc>
                  </w:tr>
                </w:tbl>
                <w:p>
                  <w:pPr/>
                </w:p>
              </w:txbxContent>
            </v:textbox>
            <w10:wrap type="none"/>
          </v:shape>
        </w:pict>
      </w:r>
      <w:r>
        <w:rPr>
          <w:rFonts w:ascii="宋体" w:hAnsi="宋体" w:cs="宋体" w:eastAsia="宋体" w:hint="default"/>
          <w:b/>
          <w:bCs/>
          <w:w w:val="95"/>
          <w:sz w:val="18"/>
          <w:szCs w:val="18"/>
        </w:rPr>
        <w:t>控股股东</w:t>
      </w:r>
      <w:r>
        <w:rPr>
          <w:rFonts w:ascii="宋体" w:hAnsi="宋体" w:cs="宋体" w:eastAsia="宋体" w:hint="default"/>
          <w:sz w:val="18"/>
          <w:szCs w:val="18"/>
        </w:rPr>
      </w:r>
    </w:p>
    <w:p>
      <w:pPr>
        <w:tabs>
          <w:tab w:pos="3720" w:val="left" w:leader="none"/>
        </w:tabs>
        <w:spacing w:line="235" w:lineRule="exact" w:before="0"/>
        <w:ind w:left="242"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持股金额</w:t>
        <w:tab/>
      </w:r>
      <w:r>
        <w:rPr>
          <w:rFonts w:ascii="宋体" w:hAnsi="宋体" w:cs="宋体" w:eastAsia="宋体" w:hint="default"/>
          <w:b/>
          <w:bCs/>
          <w:sz w:val="18"/>
          <w:szCs w:val="18"/>
        </w:rPr>
        <w:t>持股比例</w:t>
      </w:r>
      <w:r>
        <w:rPr>
          <w:rFonts w:ascii="宋体" w:hAnsi="宋体" w:cs="宋体" w:eastAsia="宋体" w:hint="default"/>
          <w:sz w:val="18"/>
          <w:szCs w:val="18"/>
        </w:rPr>
      </w:r>
    </w:p>
    <w:p>
      <w:pPr>
        <w:spacing w:after="0" w:line="235" w:lineRule="exact"/>
        <w:jc w:val="left"/>
        <w:rPr>
          <w:rFonts w:ascii="宋体" w:hAnsi="宋体" w:cs="宋体" w:eastAsia="宋体" w:hint="default"/>
          <w:sz w:val="18"/>
          <w:szCs w:val="18"/>
        </w:rPr>
        <w:sectPr>
          <w:type w:val="continuous"/>
          <w:pgSz w:w="11910" w:h="16840"/>
          <w:pgMar w:top="1000" w:bottom="280" w:left="1460" w:right="1460"/>
          <w:cols w:num="2" w:equalWidth="0">
            <w:col w:w="965" w:space="2033"/>
            <w:col w:w="5992"/>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4"/>
          <w:szCs w:val="24"/>
        </w:rPr>
      </w:pPr>
    </w:p>
    <w:p>
      <w:pPr>
        <w:spacing w:line="338" w:lineRule="auto" w:before="32"/>
        <w:ind w:left="681" w:right="1703"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15"/>
          <w:sz w:val="22"/>
          <w:szCs w:val="22"/>
        </w:rPr>
        <w:t> </w:t>
      </w:r>
      <w:r>
        <w:rPr>
          <w:rFonts w:ascii="宋体" w:hAnsi="宋体" w:cs="宋体" w:eastAsia="宋体" w:hint="default"/>
          <w:sz w:val="22"/>
          <w:szCs w:val="22"/>
        </w:rPr>
        <w:t>子公司</w:t>
      </w:r>
      <w:r>
        <w:rPr>
          <w:rFonts w:ascii="宋体" w:hAnsi="宋体" w:cs="宋体" w:eastAsia="宋体" w:hint="default"/>
          <w:w w:val="100"/>
          <w:sz w:val="22"/>
          <w:szCs w:val="22"/>
        </w:rPr>
        <w:t> </w:t>
      </w:r>
      <w:r>
        <w:rPr>
          <w:rFonts w:ascii="宋体" w:hAnsi="宋体" w:cs="宋体" w:eastAsia="宋体" w:hint="default"/>
          <w:spacing w:val="-1"/>
          <w:sz w:val="22"/>
          <w:szCs w:val="22"/>
        </w:rPr>
        <w:t>子公司情况详见本附注“七、</w:t>
      </w:r>
      <w:r>
        <w:rPr>
          <w:rFonts w:ascii="宋体" w:hAnsi="宋体" w:cs="宋体" w:eastAsia="宋体" w:hint="default"/>
          <w:spacing w:val="-1"/>
          <w:sz w:val="22"/>
          <w:szCs w:val="22"/>
        </w:rPr>
        <w:t>1.</w:t>
      </w:r>
      <w:r>
        <w:rPr>
          <w:rFonts w:ascii="宋体" w:hAnsi="宋体" w:cs="宋体" w:eastAsia="宋体" w:hint="default"/>
          <w:spacing w:val="-1"/>
          <w:sz w:val="22"/>
          <w:szCs w:val="22"/>
        </w:rPr>
        <w:t>（</w:t>
      </w:r>
      <w:r>
        <w:rPr>
          <w:rFonts w:ascii="宋体" w:hAnsi="宋体" w:cs="宋体" w:eastAsia="宋体" w:hint="default"/>
          <w:spacing w:val="-1"/>
          <w:sz w:val="22"/>
          <w:szCs w:val="22"/>
        </w:rPr>
        <w:t>1</w:t>
      </w:r>
      <w:r>
        <w:rPr>
          <w:rFonts w:ascii="宋体" w:hAnsi="宋体" w:cs="宋体" w:eastAsia="宋体" w:hint="default"/>
          <w:spacing w:val="-1"/>
          <w:sz w:val="22"/>
          <w:szCs w:val="22"/>
        </w:rPr>
        <w:t>）企业集团的构成”相关内容。</w:t>
      </w:r>
      <w:r>
        <w:rPr>
          <w:rFonts w:ascii="宋体" w:hAnsi="宋体" w:cs="宋体" w:eastAsia="宋体" w:hint="default"/>
          <w:spacing w:val="-82"/>
          <w:sz w:val="22"/>
          <w:szCs w:val="22"/>
        </w:rPr>
        <w:t> </w:t>
      </w:r>
      <w:r>
        <w:rPr>
          <w:rFonts w:ascii="宋体" w:hAnsi="宋体" w:cs="宋体" w:eastAsia="宋体" w:hint="default"/>
          <w:spacing w:val="-82"/>
          <w:sz w:val="22"/>
          <w:szCs w:val="22"/>
        </w:rPr>
      </w: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16"/>
          <w:sz w:val="22"/>
          <w:szCs w:val="22"/>
        </w:rPr>
        <w:t> </w:t>
      </w:r>
      <w:r>
        <w:rPr>
          <w:rFonts w:ascii="宋体" w:hAnsi="宋体" w:cs="宋体" w:eastAsia="宋体" w:hint="default"/>
          <w:sz w:val="22"/>
          <w:szCs w:val="22"/>
        </w:rPr>
        <w:t>合营企业及联营企业</w:t>
      </w:r>
    </w:p>
    <w:p>
      <w:pPr>
        <w:spacing w:line="297" w:lineRule="auto" w:before="13"/>
        <w:ind w:left="242" w:right="235" w:firstLine="439"/>
        <w:jc w:val="both"/>
        <w:rPr>
          <w:rFonts w:ascii="宋体" w:hAnsi="宋体" w:cs="宋体" w:eastAsia="宋体" w:hint="default"/>
          <w:sz w:val="22"/>
          <w:szCs w:val="22"/>
        </w:rPr>
      </w:pPr>
      <w:r>
        <w:rPr>
          <w:rFonts w:ascii="宋体" w:hAnsi="宋体" w:cs="宋体" w:eastAsia="宋体" w:hint="default"/>
          <w:spacing w:val="-6"/>
          <w:sz w:val="22"/>
          <w:szCs w:val="22"/>
        </w:rPr>
        <w:t>本公司重要的合营或联营企业详见本附注“七、</w:t>
      </w:r>
      <w:r>
        <w:rPr>
          <w:rFonts w:ascii="宋体" w:hAnsi="宋体" w:cs="宋体" w:eastAsia="宋体" w:hint="default"/>
          <w:spacing w:val="-6"/>
          <w:sz w:val="22"/>
          <w:szCs w:val="22"/>
        </w:rPr>
        <w:t>2.</w:t>
      </w:r>
      <w:r>
        <w:rPr>
          <w:rFonts w:ascii="宋体" w:hAnsi="宋体" w:cs="宋体" w:eastAsia="宋体" w:hint="default"/>
          <w:spacing w:val="-6"/>
          <w:sz w:val="22"/>
          <w:szCs w:val="22"/>
        </w:rPr>
        <w:t>（</w:t>
      </w:r>
      <w:r>
        <w:rPr>
          <w:rFonts w:ascii="宋体" w:hAnsi="宋体" w:cs="宋体" w:eastAsia="宋体" w:hint="default"/>
          <w:spacing w:val="-6"/>
          <w:sz w:val="22"/>
          <w:szCs w:val="22"/>
        </w:rPr>
        <w:t>1</w:t>
      </w:r>
      <w:r>
        <w:rPr>
          <w:rFonts w:ascii="宋体" w:hAnsi="宋体" w:cs="宋体" w:eastAsia="宋体" w:hint="default"/>
          <w:spacing w:val="-6"/>
          <w:sz w:val="22"/>
          <w:szCs w:val="22"/>
        </w:rPr>
        <w:t>）重要的合营企业或联营企业”</w:t>
      </w:r>
      <w:r>
        <w:rPr>
          <w:rFonts w:ascii="宋体" w:hAnsi="宋体" w:cs="宋体" w:eastAsia="宋体" w:hint="default"/>
          <w:w w:val="100"/>
          <w:sz w:val="22"/>
          <w:szCs w:val="22"/>
        </w:rPr>
        <w:t> </w:t>
      </w:r>
      <w:r>
        <w:rPr>
          <w:rFonts w:ascii="宋体" w:hAnsi="宋体" w:cs="宋体" w:eastAsia="宋体" w:hint="default"/>
          <w:spacing w:val="-3"/>
          <w:sz w:val="22"/>
          <w:szCs w:val="22"/>
        </w:rPr>
        <w:t>相关内容。本年与本公司发生关联方交易，或前期与本公司发生关联方交易形成余额的其</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他合营或联营企业情况如下：</w:t>
      </w:r>
    </w:p>
    <w:p>
      <w:pPr>
        <w:spacing w:line="240" w:lineRule="auto" w:before="11"/>
        <w:rPr>
          <w:rFonts w:ascii="宋体" w:hAnsi="宋体" w:cs="宋体" w:eastAsia="宋体" w:hint="default"/>
          <w:sz w:val="8"/>
          <w:szCs w:val="8"/>
        </w:rPr>
      </w:pPr>
    </w:p>
    <w:tbl>
      <w:tblPr>
        <w:tblW w:w="0" w:type="auto"/>
        <w:jc w:val="left"/>
        <w:tblInd w:w="134" w:type="dxa"/>
        <w:tblLayout w:type="fixed"/>
        <w:tblCellMar>
          <w:top w:w="0" w:type="dxa"/>
          <w:left w:w="0" w:type="dxa"/>
          <w:bottom w:w="0" w:type="dxa"/>
          <w:right w:w="0" w:type="dxa"/>
        </w:tblCellMar>
        <w:tblLook w:val="01E0"/>
      </w:tblPr>
      <w:tblGrid>
        <w:gridCol w:w="4205"/>
        <w:gridCol w:w="4520"/>
      </w:tblGrid>
      <w:tr>
        <w:trPr>
          <w:trHeight w:val="305" w:hRule="exact"/>
        </w:trPr>
        <w:tc>
          <w:tcPr>
            <w:tcW w:w="420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合营或联营企业名称</w:t>
            </w:r>
            <w:r>
              <w:rPr>
                <w:rFonts w:ascii="宋体" w:hAnsi="宋体" w:cs="宋体" w:eastAsia="宋体" w:hint="default"/>
                <w:sz w:val="18"/>
                <w:szCs w:val="18"/>
              </w:rPr>
            </w:r>
          </w:p>
        </w:tc>
        <w:tc>
          <w:tcPr>
            <w:tcW w:w="4520"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179"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r>
      <w:tr>
        <w:trPr>
          <w:trHeight w:val="289" w:hRule="exact"/>
        </w:trPr>
        <w:tc>
          <w:tcPr>
            <w:tcW w:w="4205"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同方全球人寿保险有限公司</w:t>
            </w:r>
          </w:p>
        </w:tc>
        <w:tc>
          <w:tcPr>
            <w:tcW w:w="4520" w:type="dxa"/>
            <w:tcBorders>
              <w:top w:val="single" w:sz="4" w:space="0" w:color="000000"/>
              <w:left w:val="nil" w:sz="6" w:space="0" w:color="auto"/>
              <w:bottom w:val="nil" w:sz="6" w:space="0" w:color="auto"/>
              <w:right w:val="nil" w:sz="6" w:space="0" w:color="auto"/>
            </w:tcBorders>
          </w:tcPr>
          <w:p>
            <w:pPr>
              <w:pStyle w:val="TableParagraph"/>
              <w:spacing w:line="232" w:lineRule="exact"/>
              <w:ind w:left="1037"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新鸿电子有限公司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北京辰安科技股份有限公司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北京恩赛威节能技术服务有限责任公司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北京朗视仪器有限公司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2"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北京同方艾威康科技有限公司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北京同方博宇工程技术有限公司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北京同方时讯电子股份有限公司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北京中录同方文化传播有限公司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2"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达州广电同方无线数字电视有限公司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广州同方瑞风节能科技股份有限公司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广州同艺照明有限公司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2"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开封广电同方数字电视有限公司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洛阳同方数字电视有限公司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南阳广电同方数字电视有限责任公司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濮阳广电同方数字电视有限公司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2"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迁安市华控环境投资有限责任公司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泉州广电同方数字电视有限公司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日照广电同方数字电视有限公司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山西左云晋能新能源发电有限公司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2"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商丘同方恒泰数字电视有限公司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上海魁马科技有限公司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99" w:hRule="exact"/>
        </w:trPr>
        <w:tc>
          <w:tcPr>
            <w:tcW w:w="4205" w:type="dxa"/>
            <w:tcBorders>
              <w:top w:val="nil" w:sz="6" w:space="0" w:color="auto"/>
              <w:left w:val="nil" w:sz="6" w:space="0" w:color="auto"/>
              <w:bottom w:val="single" w:sz="1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深圳市华融泰资产管理有限公司</w:t>
            </w:r>
          </w:p>
        </w:tc>
        <w:tc>
          <w:tcPr>
            <w:tcW w:w="4520" w:type="dxa"/>
            <w:tcBorders>
              <w:top w:val="nil" w:sz="6" w:space="0" w:color="auto"/>
              <w:left w:val="nil" w:sz="6" w:space="0" w:color="auto"/>
              <w:bottom w:val="single" w:sz="12" w:space="0" w:color="000000"/>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after="0" w:line="233" w:lineRule="exact"/>
        <w:jc w:val="left"/>
        <w:rPr>
          <w:rFonts w:ascii="宋体" w:hAnsi="宋体" w:cs="宋体" w:eastAsia="宋体" w:hint="default"/>
          <w:sz w:val="18"/>
          <w:szCs w:val="18"/>
        </w:rPr>
        <w:sectPr>
          <w:type w:val="continuous"/>
          <w:pgSz w:w="11910" w:h="16840"/>
          <w:pgMar w:top="1000" w:bottom="280" w:left="1460" w:right="1460"/>
        </w:sectPr>
      </w:pPr>
    </w:p>
    <w:p>
      <w:pPr>
        <w:spacing w:line="240" w:lineRule="auto" w:before="6"/>
        <w:rPr>
          <w:rFonts w:ascii="宋体" w:hAnsi="宋体" w:cs="宋体" w:eastAsia="宋体" w:hint="default"/>
          <w:sz w:val="6"/>
          <w:szCs w:val="6"/>
        </w:rPr>
      </w:pPr>
    </w:p>
    <w:tbl>
      <w:tblPr>
        <w:tblW w:w="0" w:type="auto"/>
        <w:jc w:val="left"/>
        <w:tblInd w:w="134" w:type="dxa"/>
        <w:tblLayout w:type="fixed"/>
        <w:tblCellMar>
          <w:top w:w="0" w:type="dxa"/>
          <w:left w:w="0" w:type="dxa"/>
          <w:bottom w:w="0" w:type="dxa"/>
          <w:right w:w="0" w:type="dxa"/>
        </w:tblCellMar>
        <w:tblLook w:val="01E0"/>
      </w:tblPr>
      <w:tblGrid>
        <w:gridCol w:w="4295"/>
        <w:gridCol w:w="4430"/>
      </w:tblGrid>
      <w:tr>
        <w:trPr>
          <w:trHeight w:val="305" w:hRule="exact"/>
        </w:trPr>
        <w:tc>
          <w:tcPr>
            <w:tcW w:w="429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合营或联营企业名称</w:t>
            </w:r>
            <w:r>
              <w:rPr>
                <w:rFonts w:ascii="宋体" w:hAnsi="宋体" w:cs="宋体" w:eastAsia="宋体" w:hint="default"/>
                <w:sz w:val="18"/>
                <w:szCs w:val="18"/>
              </w:rPr>
            </w:r>
          </w:p>
        </w:tc>
        <w:tc>
          <w:tcPr>
            <w:tcW w:w="4430"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089"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r>
      <w:tr>
        <w:trPr>
          <w:trHeight w:val="292" w:hRule="exact"/>
        </w:trPr>
        <w:tc>
          <w:tcPr>
            <w:tcW w:w="4295" w:type="dxa"/>
            <w:tcBorders>
              <w:top w:val="single" w:sz="4" w:space="0" w:color="000000"/>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深圳市前海弘泰基金管理有限公司</w:t>
            </w:r>
          </w:p>
        </w:tc>
        <w:tc>
          <w:tcPr>
            <w:tcW w:w="4430" w:type="dxa"/>
            <w:tcBorders>
              <w:top w:val="single" w:sz="4" w:space="0" w:color="000000"/>
              <w:left w:val="nil" w:sz="6" w:space="0" w:color="auto"/>
              <w:bottom w:val="nil" w:sz="6" w:space="0" w:color="auto"/>
              <w:right w:val="nil" w:sz="6" w:space="0" w:color="auto"/>
            </w:tcBorders>
          </w:tcPr>
          <w:p>
            <w:pPr>
              <w:pStyle w:val="TableParagraph"/>
              <w:spacing w:line="235"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深圳同方信息技术有限公司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苏州易通程达物业管理有限公司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2"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天门广电同方数字电视有限公司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同方佰宜科技（北京）有限公司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2"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同方鼎欣科技股份有限公司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同方国信投资控股有限公司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2"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许昌广电同方数字电视有限公司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云南云电同方科技有限公司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运城市蓝星同方数字电视有限公司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2"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张家口电广文化传媒有限公司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中检科威（北京）科技有限公司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sz w:val="18"/>
              </w:rPr>
              <w:t>Tongfang Kontafarma Holdings</w:t>
            </w:r>
            <w:r>
              <w:rPr>
                <w:rFonts w:ascii="宋体"/>
                <w:spacing w:val="-13"/>
                <w:sz w:val="18"/>
              </w:rPr>
              <w:t> </w:t>
            </w:r>
            <w:r>
              <w:rPr>
                <w:rFonts w:ascii="宋体"/>
                <w:sz w:val="18"/>
              </w:rPr>
              <w:t>Limited</w:t>
            </w:r>
          </w:p>
        </w:tc>
        <w:tc>
          <w:tcPr>
            <w:tcW w:w="4430" w:type="dxa"/>
            <w:tcBorders>
              <w:top w:val="nil" w:sz="6" w:space="0" w:color="auto"/>
              <w:left w:val="nil" w:sz="6" w:space="0" w:color="auto"/>
              <w:bottom w:val="nil" w:sz="6" w:space="0" w:color="auto"/>
              <w:right w:val="nil" w:sz="6" w:space="0" w:color="auto"/>
            </w:tcBorders>
          </w:tcPr>
          <w:p>
            <w:pPr>
              <w:pStyle w:val="TableParagraph"/>
              <w:spacing w:line="232"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6"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北京海视安数据科技有限公司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6"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北京厚持投资管理有限责任公司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4"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北京华控康泰医疗健康管理有限公司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4"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北京清控人居环境研究院有限公司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2"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6"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北京文录激光科技有限公司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6"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北京易程华创系统工程股份有限公司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5"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北京中环世纪工程设计有限责任公司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5"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华控创新（北京）药物研究院有限公司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2"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6"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江西清华泰豪三波电机有限公司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6"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江西泰豪军工集团有限公司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4"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陕西省广电同方数字电视有限责任公司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4"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陕西紫光辰济药业有限公司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2"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6"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深圳华控赛格股份有限公司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6"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苏州博远容天信息科技股份有限公司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4"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泰豪科技（深圳）电力技术有限公司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4"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2"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6"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同方药业集团有限公司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6"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易程（苏州）电子科技股份有限公司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5"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易程（苏州）软件股份有限公司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5"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易程（苏州）新技术股份有限公司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2"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6"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易程创新科技有限公司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6"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长春泰豪电子装备有限公司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4"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重庆国际信托有限公司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4"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重庆康乐制药有限公司</w:t>
            </w:r>
          </w:p>
        </w:tc>
        <w:tc>
          <w:tcPr>
            <w:tcW w:w="4430" w:type="dxa"/>
            <w:tcBorders>
              <w:top w:val="nil" w:sz="6" w:space="0" w:color="auto"/>
              <w:left w:val="nil" w:sz="6" w:space="0" w:color="auto"/>
              <w:bottom w:val="nil" w:sz="6" w:space="0" w:color="auto"/>
              <w:right w:val="nil" w:sz="6" w:space="0" w:color="auto"/>
            </w:tcBorders>
          </w:tcPr>
          <w:p>
            <w:pPr>
              <w:pStyle w:val="TableParagraph"/>
              <w:spacing w:line="232"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301" w:hRule="exact"/>
        </w:trPr>
        <w:tc>
          <w:tcPr>
            <w:tcW w:w="4295" w:type="dxa"/>
            <w:tcBorders>
              <w:top w:val="nil" w:sz="6" w:space="0" w:color="auto"/>
              <w:left w:val="nil" w:sz="6" w:space="0" w:color="auto"/>
              <w:bottom w:val="single" w:sz="1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重庆三峡银行股份有限公司</w:t>
            </w:r>
          </w:p>
        </w:tc>
        <w:tc>
          <w:tcPr>
            <w:tcW w:w="4430" w:type="dxa"/>
            <w:tcBorders>
              <w:top w:val="nil" w:sz="6" w:space="0" w:color="auto"/>
              <w:left w:val="nil" w:sz="6" w:space="0" w:color="auto"/>
              <w:bottom w:val="single" w:sz="12" w:space="0" w:color="000000"/>
              <w:right w:val="nil" w:sz="6" w:space="0" w:color="auto"/>
            </w:tcBorders>
          </w:tcPr>
          <w:p>
            <w:pPr>
              <w:pStyle w:val="TableParagraph"/>
              <w:spacing w:line="233" w:lineRule="exact"/>
              <w:ind w:left="94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bl>
    <w:p>
      <w:pPr>
        <w:spacing w:before="81"/>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16"/>
          <w:sz w:val="22"/>
          <w:szCs w:val="22"/>
        </w:rPr>
        <w:t> </w:t>
      </w:r>
      <w:r>
        <w:rPr>
          <w:rFonts w:ascii="宋体" w:hAnsi="宋体" w:cs="宋体" w:eastAsia="宋体" w:hint="default"/>
          <w:sz w:val="22"/>
          <w:szCs w:val="22"/>
        </w:rPr>
        <w:t>其他关联方</w:t>
      </w:r>
    </w:p>
    <w:p>
      <w:pPr>
        <w:spacing w:line="240" w:lineRule="auto" w:before="5"/>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3901"/>
        <w:gridCol w:w="4889"/>
      </w:tblGrid>
      <w:tr>
        <w:trPr>
          <w:trHeight w:val="307" w:hRule="exact"/>
        </w:trPr>
        <w:tc>
          <w:tcPr>
            <w:tcW w:w="3901"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4889"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529"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r>
    </w:tbl>
    <w:p>
      <w:pPr>
        <w:spacing w:after="0" w:line="234" w:lineRule="exact"/>
        <w:jc w:val="left"/>
        <w:rPr>
          <w:rFonts w:ascii="宋体" w:hAnsi="宋体" w:cs="宋体" w:eastAsia="宋体" w:hint="default"/>
          <w:sz w:val="18"/>
          <w:szCs w:val="18"/>
        </w:rPr>
        <w:sectPr>
          <w:pgSz w:w="11910" w:h="16840"/>
          <w:pgMar w:header="0" w:footer="1034" w:top="1320" w:bottom="1240" w:left="1460" w:right="1440"/>
        </w:sectPr>
      </w:pPr>
    </w:p>
    <w:p>
      <w:pPr>
        <w:spacing w:line="240" w:lineRule="auto" w:before="4"/>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4668"/>
        <w:gridCol w:w="4122"/>
      </w:tblGrid>
      <w:tr>
        <w:trPr>
          <w:trHeight w:val="305" w:hRule="exact"/>
        </w:trPr>
        <w:tc>
          <w:tcPr>
            <w:tcW w:w="466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412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762"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r>
      <w:tr>
        <w:trPr>
          <w:trHeight w:val="292" w:hRule="exact"/>
        </w:trPr>
        <w:tc>
          <w:tcPr>
            <w:tcW w:w="4668" w:type="dxa"/>
            <w:tcBorders>
              <w:top w:val="single" w:sz="4" w:space="0" w:color="000000"/>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4122" w:type="dxa"/>
            <w:tcBorders>
              <w:top w:val="single" w:sz="4" w:space="0" w:color="000000"/>
              <w:left w:val="nil" w:sz="6" w:space="0" w:color="auto"/>
              <w:bottom w:val="nil" w:sz="6" w:space="0" w:color="auto"/>
              <w:right w:val="nil" w:sz="6" w:space="0" w:color="auto"/>
            </w:tcBorders>
          </w:tcPr>
          <w:p>
            <w:pPr>
              <w:pStyle w:val="TableParagraph"/>
              <w:spacing w:line="235" w:lineRule="exact"/>
              <w:ind w:left="600" w:right="0"/>
              <w:jc w:val="left"/>
              <w:rPr>
                <w:rFonts w:ascii="宋体" w:hAnsi="宋体" w:cs="宋体" w:eastAsia="宋体" w:hint="default"/>
                <w:sz w:val="18"/>
                <w:szCs w:val="18"/>
              </w:rPr>
            </w:pPr>
            <w:r>
              <w:rPr>
                <w:rFonts w:ascii="宋体" w:hAnsi="宋体" w:cs="宋体" w:eastAsia="宋体" w:hint="default"/>
                <w:sz w:val="18"/>
                <w:szCs w:val="18"/>
              </w:rPr>
              <w:t>控股股东之实际控制人</w:t>
            </w:r>
          </w:p>
        </w:tc>
      </w:tr>
      <w:tr>
        <w:trPr>
          <w:trHeight w:val="284"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北京华控通力科技有限公司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清华大学下属单位</w:t>
            </w:r>
          </w:p>
        </w:tc>
      </w:tr>
      <w:tr>
        <w:trPr>
          <w:trHeight w:val="284"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北京清华工业开发研究院</w:t>
            </w:r>
          </w:p>
        </w:tc>
        <w:tc>
          <w:tcPr>
            <w:tcW w:w="4122" w:type="dxa"/>
            <w:tcBorders>
              <w:top w:val="nil" w:sz="6" w:space="0" w:color="auto"/>
              <w:left w:val="nil" w:sz="6" w:space="0" w:color="auto"/>
              <w:bottom w:val="nil" w:sz="6" w:space="0" w:color="auto"/>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sz w:val="18"/>
                <w:szCs w:val="18"/>
              </w:rPr>
              <w:t>清华大学下属单位</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北京清华长庚医院</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清华大学下属单位</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北京通力华清科技有限责任公司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清华大学下属单位</w:t>
            </w:r>
          </w:p>
        </w:tc>
      </w:tr>
      <w:tr>
        <w:trPr>
          <w:trHeight w:val="284"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河北华控弘屹科技有限公司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清华大学下属单位</w:t>
            </w:r>
          </w:p>
        </w:tc>
      </w:tr>
      <w:tr>
        <w:trPr>
          <w:trHeight w:val="284"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清华大学附属中学</w:t>
            </w:r>
          </w:p>
        </w:tc>
        <w:tc>
          <w:tcPr>
            <w:tcW w:w="4122" w:type="dxa"/>
            <w:tcBorders>
              <w:top w:val="nil" w:sz="6" w:space="0" w:color="auto"/>
              <w:left w:val="nil" w:sz="6" w:space="0" w:color="auto"/>
              <w:bottom w:val="nil" w:sz="6" w:space="0" w:color="auto"/>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sz w:val="18"/>
                <w:szCs w:val="18"/>
              </w:rPr>
              <w:t>清华大学下属单位</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清华大学图书馆</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清华大学下属单位</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深圳清华大学研究院</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清华大学下属单位</w:t>
            </w:r>
          </w:p>
        </w:tc>
      </w:tr>
      <w:tr>
        <w:trPr>
          <w:trHeight w:val="284"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浙江清华长三角研究院</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清华大学下属单位</w:t>
            </w:r>
          </w:p>
        </w:tc>
      </w:tr>
      <w:tr>
        <w:trPr>
          <w:trHeight w:val="284"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《中国学术期刊（光盘版）》电子杂志社有限公司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安徽泽众安全科技有限公司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北京博奥晶典生物技术有限公司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北京诚志利华科技发展有限公司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北京诚志英华生物科技有限公司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北京诚志永昌化工有限公司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北京国环清华环境工程设计研究院有限公司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北京华环电子股份有限公司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北京华环电子设备有限公司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北京华清物业管理有限责任公司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北京华业阳光新能源有限公司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北京慕华信息科技有限公司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北京乔波冰雪世界体育发展有限公司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北京清华同衡规划设计研究院有限公司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北京清控金媒文化科技有限公司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北京清控人居光电研究院有限公司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北京清能创新科技有限公司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北京清尚建筑装饰工程有限公司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北京清筑华诚国际建筑咨询有限公司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北京卓识教育咨询有限责任公司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博奥生物集团有限公司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诚志科技园（江西）发展有限公司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诚志重科技有限公司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河北诚志永昌化工有限公司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沐华清诚（北京）教育科技发展有限公司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诺德基金管理有限公司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启迪创业投资管理（北京）有限公司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启迪控股股份有限公司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清华大学出版社有限公司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清华大学建筑设计研究院有限公司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清华控股集团财务有限公司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清华同方光盘电子出版社</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清控融资租赁有限公司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清控三联创业投资（北京）有限公司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绍兴乔波冰雪世界体育发展有限公司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石家庄诚志永华显示材料有限公司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300" w:hRule="exact"/>
        </w:trPr>
        <w:tc>
          <w:tcPr>
            <w:tcW w:w="4668" w:type="dxa"/>
            <w:tcBorders>
              <w:top w:val="nil" w:sz="6" w:space="0" w:color="auto"/>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苏州紫光创新教育发展有限公司</w:t>
            </w:r>
          </w:p>
        </w:tc>
        <w:tc>
          <w:tcPr>
            <w:tcW w:w="4122" w:type="dxa"/>
            <w:tcBorders>
              <w:top w:val="nil" w:sz="6" w:space="0" w:color="auto"/>
              <w:left w:val="nil" w:sz="6" w:space="0" w:color="auto"/>
              <w:bottom w:val="single" w:sz="12" w:space="0" w:color="000000"/>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bl>
    <w:p>
      <w:pPr>
        <w:spacing w:after="0" w:line="232" w:lineRule="exact"/>
        <w:jc w:val="left"/>
        <w:rPr>
          <w:rFonts w:ascii="宋体" w:hAnsi="宋体" w:cs="宋体" w:eastAsia="宋体" w:hint="default"/>
          <w:sz w:val="18"/>
          <w:szCs w:val="18"/>
        </w:rPr>
        <w:sectPr>
          <w:pgSz w:w="11910" w:h="16840"/>
          <w:pgMar w:header="0" w:footer="1034" w:top="1320" w:bottom="1220" w:left="1460" w:right="1440"/>
        </w:sectPr>
      </w:pPr>
    </w:p>
    <w:p>
      <w:pPr>
        <w:spacing w:line="240" w:lineRule="auto" w:before="4"/>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3948"/>
        <w:gridCol w:w="4842"/>
      </w:tblGrid>
      <w:tr>
        <w:trPr>
          <w:trHeight w:val="305" w:hRule="exact"/>
        </w:trPr>
        <w:tc>
          <w:tcPr>
            <w:tcW w:w="394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484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482"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r>
      <w:tr>
        <w:trPr>
          <w:trHeight w:val="292" w:hRule="exact"/>
        </w:trPr>
        <w:tc>
          <w:tcPr>
            <w:tcW w:w="3948" w:type="dxa"/>
            <w:tcBorders>
              <w:top w:val="single" w:sz="4" w:space="0" w:color="000000"/>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紫光供应链管理有限公司</w:t>
            </w:r>
          </w:p>
        </w:tc>
        <w:tc>
          <w:tcPr>
            <w:tcW w:w="4842" w:type="dxa"/>
            <w:tcBorders>
              <w:top w:val="single" w:sz="4" w:space="0" w:color="000000"/>
              <w:left w:val="nil" w:sz="6" w:space="0" w:color="auto"/>
              <w:bottom w:val="nil" w:sz="6" w:space="0" w:color="auto"/>
              <w:right w:val="nil" w:sz="6" w:space="0" w:color="auto"/>
            </w:tcBorders>
          </w:tcPr>
          <w:p>
            <w:pPr>
              <w:pStyle w:val="TableParagraph"/>
              <w:spacing w:line="235" w:lineRule="exact"/>
              <w:ind w:right="999"/>
              <w:jc w:val="righ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394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紫光股份有限公司</w:t>
            </w:r>
          </w:p>
        </w:tc>
        <w:tc>
          <w:tcPr>
            <w:tcW w:w="4842" w:type="dxa"/>
            <w:tcBorders>
              <w:top w:val="nil" w:sz="6" w:space="0" w:color="auto"/>
              <w:left w:val="nil" w:sz="6" w:space="0" w:color="auto"/>
              <w:bottom w:val="nil" w:sz="6" w:space="0" w:color="auto"/>
              <w:right w:val="nil" w:sz="6" w:space="0" w:color="auto"/>
            </w:tcBorders>
          </w:tcPr>
          <w:p>
            <w:pPr>
              <w:pStyle w:val="TableParagraph"/>
              <w:spacing w:line="233" w:lineRule="exact"/>
              <w:ind w:right="999"/>
              <w:jc w:val="righ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394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紫光国芯微电子股份有限公司</w:t>
            </w:r>
          </w:p>
        </w:tc>
        <w:tc>
          <w:tcPr>
            <w:tcW w:w="4842" w:type="dxa"/>
            <w:tcBorders>
              <w:top w:val="nil" w:sz="6" w:space="0" w:color="auto"/>
              <w:left w:val="nil" w:sz="6" w:space="0" w:color="auto"/>
              <w:bottom w:val="nil" w:sz="6" w:space="0" w:color="auto"/>
              <w:right w:val="nil" w:sz="6" w:space="0" w:color="auto"/>
            </w:tcBorders>
          </w:tcPr>
          <w:p>
            <w:pPr>
              <w:pStyle w:val="TableParagraph"/>
              <w:spacing w:line="232" w:lineRule="exact"/>
              <w:ind w:right="999"/>
              <w:jc w:val="righ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394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紫光华山科技服务有限公司</w:t>
            </w:r>
          </w:p>
        </w:tc>
        <w:tc>
          <w:tcPr>
            <w:tcW w:w="4842" w:type="dxa"/>
            <w:tcBorders>
              <w:top w:val="nil" w:sz="6" w:space="0" w:color="auto"/>
              <w:left w:val="nil" w:sz="6" w:space="0" w:color="auto"/>
              <w:bottom w:val="nil" w:sz="6" w:space="0" w:color="auto"/>
              <w:right w:val="nil" w:sz="6" w:space="0" w:color="auto"/>
            </w:tcBorders>
          </w:tcPr>
          <w:p>
            <w:pPr>
              <w:pStyle w:val="TableParagraph"/>
              <w:spacing w:line="233" w:lineRule="exact"/>
              <w:ind w:right="999"/>
              <w:jc w:val="righ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394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紫光软件系统有限公司</w:t>
            </w:r>
          </w:p>
        </w:tc>
        <w:tc>
          <w:tcPr>
            <w:tcW w:w="4842" w:type="dxa"/>
            <w:tcBorders>
              <w:top w:val="nil" w:sz="6" w:space="0" w:color="auto"/>
              <w:left w:val="nil" w:sz="6" w:space="0" w:color="auto"/>
              <w:bottom w:val="nil" w:sz="6" w:space="0" w:color="auto"/>
              <w:right w:val="nil" w:sz="6" w:space="0" w:color="auto"/>
            </w:tcBorders>
          </w:tcPr>
          <w:p>
            <w:pPr>
              <w:pStyle w:val="TableParagraph"/>
              <w:spacing w:line="233" w:lineRule="exact"/>
              <w:ind w:right="999"/>
              <w:jc w:val="righ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394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紫光数码（苏州）集团有限公司</w:t>
            </w:r>
          </w:p>
        </w:tc>
        <w:tc>
          <w:tcPr>
            <w:tcW w:w="4842" w:type="dxa"/>
            <w:tcBorders>
              <w:top w:val="nil" w:sz="6" w:space="0" w:color="auto"/>
              <w:left w:val="nil" w:sz="6" w:space="0" w:color="auto"/>
              <w:bottom w:val="nil" w:sz="6" w:space="0" w:color="auto"/>
              <w:right w:val="nil" w:sz="6" w:space="0" w:color="auto"/>
            </w:tcBorders>
          </w:tcPr>
          <w:p>
            <w:pPr>
              <w:pStyle w:val="TableParagraph"/>
              <w:spacing w:line="233" w:lineRule="exact"/>
              <w:ind w:right="999"/>
              <w:jc w:val="righ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300" w:hRule="exact"/>
        </w:trPr>
        <w:tc>
          <w:tcPr>
            <w:tcW w:w="3948" w:type="dxa"/>
            <w:tcBorders>
              <w:top w:val="nil" w:sz="6" w:space="0" w:color="auto"/>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紫光同芯微电子有限公司</w:t>
            </w:r>
          </w:p>
        </w:tc>
        <w:tc>
          <w:tcPr>
            <w:tcW w:w="4842" w:type="dxa"/>
            <w:tcBorders>
              <w:top w:val="nil" w:sz="6" w:space="0" w:color="auto"/>
              <w:left w:val="nil" w:sz="6" w:space="0" w:color="auto"/>
              <w:bottom w:val="single" w:sz="12" w:space="0" w:color="000000"/>
              <w:right w:val="nil" w:sz="6" w:space="0" w:color="auto"/>
            </w:tcBorders>
          </w:tcPr>
          <w:p>
            <w:pPr>
              <w:pStyle w:val="TableParagraph"/>
              <w:spacing w:line="232" w:lineRule="exact"/>
              <w:ind w:right="999"/>
              <w:jc w:val="righ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bl>
    <w:p>
      <w:pPr>
        <w:spacing w:before="21"/>
        <w:ind w:left="582" w:right="0" w:firstLine="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二</w:t>
      </w:r>
      <w:r>
        <w:rPr>
          <w:rFonts w:ascii="宋体" w:hAnsi="宋体" w:cs="宋体" w:eastAsia="宋体" w:hint="default"/>
          <w:b/>
          <w:bCs/>
          <w:sz w:val="22"/>
          <w:szCs w:val="22"/>
        </w:rPr>
        <w:t>)</w:t>
      </w:r>
      <w:r>
        <w:rPr>
          <w:rFonts w:ascii="宋体" w:hAnsi="宋体" w:cs="宋体" w:eastAsia="宋体" w:hint="default"/>
          <w:b/>
          <w:bCs/>
          <w:spacing w:val="9"/>
          <w:sz w:val="22"/>
          <w:szCs w:val="22"/>
        </w:rPr>
        <w:t> </w:t>
      </w:r>
      <w:r>
        <w:rPr>
          <w:rFonts w:ascii="宋体" w:hAnsi="宋体" w:cs="宋体" w:eastAsia="宋体" w:hint="default"/>
          <w:b/>
          <w:bCs/>
          <w:sz w:val="22"/>
          <w:szCs w:val="22"/>
        </w:rPr>
        <w:t>关联交易</w:t>
      </w:r>
      <w:r>
        <w:rPr>
          <w:rFonts w:ascii="宋体" w:hAnsi="宋体" w:cs="宋体" w:eastAsia="宋体" w:hint="default"/>
          <w:sz w:val="22"/>
          <w:szCs w:val="22"/>
        </w:rPr>
      </w:r>
    </w:p>
    <w:p>
      <w:pPr>
        <w:spacing w:before="57"/>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购销商品、提供和接受劳务的关联交易</w:t>
      </w:r>
    </w:p>
    <w:p>
      <w:pPr>
        <w:spacing w:before="110"/>
        <w:ind w:left="695"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11"/>
          <w:sz w:val="22"/>
          <w:szCs w:val="22"/>
        </w:rPr>
        <w:t> </w:t>
      </w:r>
      <w:r>
        <w:rPr>
          <w:rFonts w:ascii="宋体" w:hAnsi="宋体" w:cs="宋体" w:eastAsia="宋体" w:hint="default"/>
          <w:sz w:val="22"/>
          <w:szCs w:val="22"/>
        </w:rPr>
        <w:t>采购商品</w:t>
      </w:r>
      <w:r>
        <w:rPr>
          <w:rFonts w:ascii="宋体" w:hAnsi="宋体" w:cs="宋体" w:eastAsia="宋体" w:hint="default"/>
          <w:sz w:val="22"/>
          <w:szCs w:val="22"/>
        </w:rPr>
        <w:t>/</w:t>
      </w:r>
      <w:r>
        <w:rPr>
          <w:rFonts w:ascii="宋体" w:hAnsi="宋体" w:cs="宋体" w:eastAsia="宋体" w:hint="default"/>
          <w:sz w:val="22"/>
          <w:szCs w:val="22"/>
        </w:rPr>
        <w:t>接受劳务</w:t>
      </w:r>
    </w:p>
    <w:p>
      <w:pPr>
        <w:spacing w:line="240" w:lineRule="auto" w:before="11"/>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4750"/>
        <w:gridCol w:w="2275"/>
        <w:gridCol w:w="1715"/>
      </w:tblGrid>
      <w:tr>
        <w:trPr>
          <w:trHeight w:val="305" w:hRule="exact"/>
        </w:trPr>
        <w:tc>
          <w:tcPr>
            <w:tcW w:w="4750"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27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667"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71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0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2" w:hRule="exact"/>
        </w:trPr>
        <w:tc>
          <w:tcPr>
            <w:tcW w:w="4750" w:type="dxa"/>
            <w:tcBorders>
              <w:top w:val="single" w:sz="4" w:space="0" w:color="000000"/>
              <w:left w:val="nil" w:sz="6" w:space="0" w:color="auto"/>
              <w:bottom w:val="nil" w:sz="6" w:space="0" w:color="auto"/>
              <w:right w:val="nil" w:sz="6" w:space="0" w:color="auto"/>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清华大学及其下属单位：</w:t>
            </w:r>
            <w:r>
              <w:rPr>
                <w:rFonts w:ascii="宋体" w:hAnsi="宋体" w:cs="宋体" w:eastAsia="宋体" w:hint="default"/>
                <w:sz w:val="18"/>
                <w:szCs w:val="18"/>
              </w:rPr>
            </w:r>
          </w:p>
        </w:tc>
        <w:tc>
          <w:tcPr>
            <w:tcW w:w="2275" w:type="dxa"/>
            <w:tcBorders>
              <w:top w:val="single" w:sz="4" w:space="0" w:color="000000"/>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nil" w:sz="6" w:space="0" w:color="auto"/>
              <w:right w:val="nil" w:sz="6" w:space="0" w:color="auto"/>
            </w:tcBorders>
          </w:tcPr>
          <w:p>
            <w:pP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275" w:type="dxa"/>
            <w:tcBorders>
              <w:top w:val="nil" w:sz="6" w:space="0" w:color="auto"/>
              <w:left w:val="nil" w:sz="6" w:space="0" w:color="auto"/>
              <w:bottom w:val="nil" w:sz="6" w:space="0" w:color="auto"/>
              <w:right w:val="nil" w:sz="6" w:space="0" w:color="auto"/>
            </w:tcBorders>
          </w:tcPr>
          <w:p>
            <w:pPr>
              <w:pStyle w:val="TableParagraph"/>
              <w:spacing w:line="233" w:lineRule="exact"/>
              <w:ind w:right="304"/>
              <w:jc w:val="right"/>
              <w:rPr>
                <w:rFonts w:ascii="宋体" w:hAnsi="宋体" w:cs="宋体" w:eastAsia="宋体" w:hint="default"/>
                <w:sz w:val="18"/>
                <w:szCs w:val="18"/>
              </w:rPr>
            </w:pPr>
            <w:r>
              <w:rPr>
                <w:rFonts w:ascii="宋体"/>
                <w:spacing w:val="-1"/>
                <w:sz w:val="18"/>
              </w:rPr>
              <w:t>69,652,089.51</w:t>
            </w:r>
          </w:p>
        </w:tc>
        <w:tc>
          <w:tcPr>
            <w:tcW w:w="171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47,887,953.54</w:t>
            </w: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北京通力华清科技有限责任公司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3" w:lineRule="exact"/>
              <w:ind w:right="304"/>
              <w:jc w:val="right"/>
              <w:rPr>
                <w:rFonts w:ascii="宋体" w:hAnsi="宋体" w:cs="宋体" w:eastAsia="宋体" w:hint="default"/>
                <w:sz w:val="18"/>
                <w:szCs w:val="18"/>
              </w:rPr>
            </w:pPr>
            <w:r>
              <w:rPr>
                <w:rFonts w:ascii="宋体"/>
                <w:spacing w:val="-1"/>
                <w:sz w:val="18"/>
              </w:rPr>
              <w:t>11,940,688.42</w:t>
            </w:r>
          </w:p>
        </w:tc>
        <w:tc>
          <w:tcPr>
            <w:tcW w:w="171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10,757,991.95</w:t>
            </w: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浙江清华长三角研究院</w:t>
            </w:r>
          </w:p>
        </w:tc>
        <w:tc>
          <w:tcPr>
            <w:tcW w:w="2275" w:type="dxa"/>
            <w:tcBorders>
              <w:top w:val="nil" w:sz="6" w:space="0" w:color="auto"/>
              <w:left w:val="nil" w:sz="6" w:space="0" w:color="auto"/>
              <w:bottom w:val="nil" w:sz="6" w:space="0" w:color="auto"/>
              <w:right w:val="nil" w:sz="6" w:space="0" w:color="auto"/>
            </w:tcBorders>
          </w:tcPr>
          <w:p>
            <w:pPr>
              <w:pStyle w:val="TableParagraph"/>
              <w:spacing w:line="232" w:lineRule="exact"/>
              <w:ind w:right="304"/>
              <w:jc w:val="right"/>
              <w:rPr>
                <w:rFonts w:ascii="宋体" w:hAnsi="宋体" w:cs="宋体" w:eastAsia="宋体" w:hint="default"/>
                <w:sz w:val="18"/>
                <w:szCs w:val="18"/>
              </w:rPr>
            </w:pPr>
            <w:r>
              <w:rPr>
                <w:rFonts w:ascii="宋体"/>
                <w:spacing w:val="-1"/>
                <w:sz w:val="18"/>
              </w:rPr>
              <w:t>3,000,000.00</w:t>
            </w:r>
          </w:p>
        </w:tc>
        <w:tc>
          <w:tcPr>
            <w:tcW w:w="171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0.00</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北京华控通力科技有限公司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3" w:lineRule="exact"/>
              <w:ind w:right="304"/>
              <w:jc w:val="right"/>
              <w:rPr>
                <w:rFonts w:ascii="宋体" w:hAnsi="宋体" w:cs="宋体" w:eastAsia="宋体" w:hint="default"/>
                <w:sz w:val="18"/>
                <w:szCs w:val="18"/>
              </w:rPr>
            </w:pPr>
            <w:r>
              <w:rPr>
                <w:rFonts w:ascii="宋体"/>
                <w:spacing w:val="-1"/>
                <w:sz w:val="18"/>
              </w:rPr>
              <w:t>404,638.26</w:t>
            </w:r>
          </w:p>
        </w:tc>
        <w:tc>
          <w:tcPr>
            <w:tcW w:w="171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84,102.48</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控股股东及受同一控股股东控制的其他企业：</w:t>
            </w:r>
            <w:r>
              <w:rPr>
                <w:rFonts w:ascii="宋体" w:hAnsi="宋体" w:cs="宋体" w:eastAsia="宋体" w:hint="default"/>
                <w:sz w:val="18"/>
                <w:szCs w:val="18"/>
              </w:rPr>
            </w:r>
          </w:p>
        </w:tc>
        <w:tc>
          <w:tcPr>
            <w:tcW w:w="2275"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nil" w:sz="6" w:space="0" w:color="auto"/>
              <w:right w:val="nil" w:sz="6" w:space="0" w:color="auto"/>
            </w:tcBorders>
          </w:tcPr>
          <w:p>
            <w:pP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《中国学术期刊（光盘版）》电子杂志社有限公司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3" w:lineRule="exact"/>
              <w:ind w:right="304"/>
              <w:jc w:val="right"/>
              <w:rPr>
                <w:rFonts w:ascii="宋体" w:hAnsi="宋体" w:cs="宋体" w:eastAsia="宋体" w:hint="default"/>
                <w:sz w:val="18"/>
                <w:szCs w:val="18"/>
              </w:rPr>
            </w:pPr>
            <w:r>
              <w:rPr>
                <w:rFonts w:ascii="宋体"/>
                <w:spacing w:val="-1"/>
                <w:sz w:val="18"/>
              </w:rPr>
              <w:t>69,773,289.86</w:t>
            </w:r>
          </w:p>
        </w:tc>
        <w:tc>
          <w:tcPr>
            <w:tcW w:w="171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87,048,373.79</w:t>
            </w: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北京华环电子设备有限公司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2" w:lineRule="exact"/>
              <w:ind w:right="304"/>
              <w:jc w:val="right"/>
              <w:rPr>
                <w:rFonts w:ascii="宋体" w:hAnsi="宋体" w:cs="宋体" w:eastAsia="宋体" w:hint="default"/>
                <w:sz w:val="18"/>
                <w:szCs w:val="18"/>
              </w:rPr>
            </w:pPr>
            <w:r>
              <w:rPr>
                <w:rFonts w:ascii="宋体"/>
                <w:spacing w:val="-1"/>
                <w:sz w:val="18"/>
              </w:rPr>
              <w:t>8,196,361.76</w:t>
            </w:r>
          </w:p>
        </w:tc>
        <w:tc>
          <w:tcPr>
            <w:tcW w:w="171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5,298,843.26</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北京清控人居光电研究院有限公司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3" w:lineRule="exact"/>
              <w:ind w:right="304"/>
              <w:jc w:val="right"/>
              <w:rPr>
                <w:rFonts w:ascii="宋体" w:hAnsi="宋体" w:cs="宋体" w:eastAsia="宋体" w:hint="default"/>
                <w:sz w:val="18"/>
                <w:szCs w:val="18"/>
              </w:rPr>
            </w:pPr>
            <w:r>
              <w:rPr>
                <w:rFonts w:ascii="宋体"/>
                <w:spacing w:val="-1"/>
                <w:sz w:val="18"/>
              </w:rPr>
              <w:t>2,949,056.60</w:t>
            </w:r>
          </w:p>
        </w:tc>
        <w:tc>
          <w:tcPr>
            <w:tcW w:w="171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z w:val="18"/>
              </w:rPr>
              <w:t>0.00</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紫光华山科技服务有限公司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3" w:lineRule="exact"/>
              <w:ind w:right="304"/>
              <w:jc w:val="right"/>
              <w:rPr>
                <w:rFonts w:ascii="宋体" w:hAnsi="宋体" w:cs="宋体" w:eastAsia="宋体" w:hint="default"/>
                <w:sz w:val="18"/>
                <w:szCs w:val="18"/>
              </w:rPr>
            </w:pPr>
            <w:r>
              <w:rPr>
                <w:rFonts w:ascii="宋体"/>
                <w:spacing w:val="-1"/>
                <w:sz w:val="18"/>
              </w:rPr>
              <w:t>1,201,886.79</w:t>
            </w:r>
          </w:p>
        </w:tc>
        <w:tc>
          <w:tcPr>
            <w:tcW w:w="171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515,094.34</w:t>
            </w: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紫光同芯微电子有限公司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3" w:lineRule="exact"/>
              <w:ind w:right="304"/>
              <w:jc w:val="right"/>
              <w:rPr>
                <w:rFonts w:ascii="宋体" w:hAnsi="宋体" w:cs="宋体" w:eastAsia="宋体" w:hint="default"/>
                <w:sz w:val="18"/>
                <w:szCs w:val="18"/>
              </w:rPr>
            </w:pPr>
            <w:r>
              <w:rPr>
                <w:rFonts w:ascii="宋体"/>
                <w:spacing w:val="-1"/>
                <w:sz w:val="18"/>
              </w:rPr>
              <w:t>419,329.57</w:t>
            </w:r>
          </w:p>
        </w:tc>
        <w:tc>
          <w:tcPr>
            <w:tcW w:w="171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1,320,689.73</w:t>
            </w: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北京国环清华环境工程设计研究院有限公司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2" w:lineRule="exact"/>
              <w:ind w:right="304"/>
              <w:jc w:val="right"/>
              <w:rPr>
                <w:rFonts w:ascii="宋体" w:hAnsi="宋体" w:cs="宋体" w:eastAsia="宋体" w:hint="default"/>
                <w:sz w:val="18"/>
                <w:szCs w:val="18"/>
              </w:rPr>
            </w:pPr>
            <w:r>
              <w:rPr>
                <w:rFonts w:ascii="宋体"/>
                <w:spacing w:val="-1"/>
                <w:sz w:val="18"/>
              </w:rPr>
              <w:t>216,986.13</w:t>
            </w:r>
          </w:p>
        </w:tc>
        <w:tc>
          <w:tcPr>
            <w:tcW w:w="171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0.00</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紫光数码（苏州）集团有限公司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3" w:lineRule="exact"/>
              <w:ind w:right="303"/>
              <w:jc w:val="right"/>
              <w:rPr>
                <w:rFonts w:ascii="宋体" w:hAnsi="宋体" w:cs="宋体" w:eastAsia="宋体" w:hint="default"/>
                <w:sz w:val="18"/>
                <w:szCs w:val="18"/>
              </w:rPr>
            </w:pPr>
            <w:r>
              <w:rPr>
                <w:rFonts w:ascii="宋体"/>
                <w:sz w:val="18"/>
              </w:rPr>
              <w:t>0.00</w:t>
            </w:r>
          </w:p>
        </w:tc>
        <w:tc>
          <w:tcPr>
            <w:tcW w:w="171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1,570,843.20</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北京清华同衡规划设计研究院有限公司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3" w:lineRule="exact"/>
              <w:ind w:right="303"/>
              <w:jc w:val="right"/>
              <w:rPr>
                <w:rFonts w:ascii="宋体" w:hAnsi="宋体" w:cs="宋体" w:eastAsia="宋体" w:hint="default"/>
                <w:sz w:val="18"/>
                <w:szCs w:val="18"/>
              </w:rPr>
            </w:pPr>
            <w:r>
              <w:rPr>
                <w:rFonts w:ascii="宋体"/>
                <w:sz w:val="18"/>
              </w:rPr>
              <w:t>0.00</w:t>
            </w:r>
          </w:p>
        </w:tc>
        <w:tc>
          <w:tcPr>
            <w:tcW w:w="171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490,245.29</w:t>
            </w: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北京清控金媒文化科技有限公司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3" w:lineRule="exact"/>
              <w:ind w:right="303"/>
              <w:jc w:val="right"/>
              <w:rPr>
                <w:rFonts w:ascii="宋体" w:hAnsi="宋体" w:cs="宋体" w:eastAsia="宋体" w:hint="default"/>
                <w:sz w:val="18"/>
                <w:szCs w:val="18"/>
              </w:rPr>
            </w:pPr>
            <w:r>
              <w:rPr>
                <w:rFonts w:ascii="宋体"/>
                <w:sz w:val="18"/>
              </w:rPr>
              <w:t>0.00</w:t>
            </w:r>
          </w:p>
        </w:tc>
        <w:tc>
          <w:tcPr>
            <w:tcW w:w="171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94,339.62</w:t>
            </w: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北京慕华信息科技有限公司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2" w:lineRule="exact"/>
              <w:ind w:right="303"/>
              <w:jc w:val="right"/>
              <w:rPr>
                <w:rFonts w:ascii="宋体" w:hAnsi="宋体" w:cs="宋体" w:eastAsia="宋体" w:hint="default"/>
                <w:sz w:val="18"/>
                <w:szCs w:val="18"/>
              </w:rPr>
            </w:pPr>
            <w:r>
              <w:rPr>
                <w:rFonts w:ascii="宋体"/>
                <w:sz w:val="18"/>
              </w:rPr>
              <w:t>0.00</w:t>
            </w:r>
          </w:p>
        </w:tc>
        <w:tc>
          <w:tcPr>
            <w:tcW w:w="171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75,471.70</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北京华环电子股份有限公司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3" w:lineRule="exact"/>
              <w:ind w:right="303"/>
              <w:jc w:val="right"/>
              <w:rPr>
                <w:rFonts w:ascii="宋体" w:hAnsi="宋体" w:cs="宋体" w:eastAsia="宋体" w:hint="default"/>
                <w:sz w:val="18"/>
                <w:szCs w:val="18"/>
              </w:rPr>
            </w:pPr>
            <w:r>
              <w:rPr>
                <w:rFonts w:ascii="宋体"/>
                <w:sz w:val="18"/>
              </w:rPr>
              <w:t>0.00</w:t>
            </w:r>
          </w:p>
        </w:tc>
        <w:tc>
          <w:tcPr>
            <w:tcW w:w="171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14,423.08</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合营及联营企业：</w:t>
            </w:r>
            <w:r>
              <w:rPr>
                <w:rFonts w:ascii="宋体" w:hAnsi="宋体" w:cs="宋体" w:eastAsia="宋体" w:hint="default"/>
                <w:sz w:val="18"/>
                <w:szCs w:val="18"/>
              </w:rPr>
            </w:r>
          </w:p>
        </w:tc>
        <w:tc>
          <w:tcPr>
            <w:tcW w:w="2275"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nil" w:sz="6" w:space="0" w:color="auto"/>
              <w:right w:val="nil" w:sz="6" w:space="0" w:color="auto"/>
            </w:tcBorders>
          </w:tcPr>
          <w:p>
            <w:pP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易程创新科技有限公司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3" w:lineRule="exact"/>
              <w:ind w:right="304"/>
              <w:jc w:val="right"/>
              <w:rPr>
                <w:rFonts w:ascii="宋体" w:hAnsi="宋体" w:cs="宋体" w:eastAsia="宋体" w:hint="default"/>
                <w:sz w:val="18"/>
                <w:szCs w:val="18"/>
              </w:rPr>
            </w:pPr>
            <w:r>
              <w:rPr>
                <w:rFonts w:ascii="宋体"/>
                <w:spacing w:val="-1"/>
                <w:sz w:val="18"/>
              </w:rPr>
              <w:t>25,861,805.10</w:t>
            </w:r>
          </w:p>
        </w:tc>
        <w:tc>
          <w:tcPr>
            <w:tcW w:w="171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z w:val="18"/>
              </w:rPr>
              <w:t>0.00</w:t>
            </w: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北京中环世纪工程设计有限责任公司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2" w:lineRule="exact"/>
              <w:ind w:right="304"/>
              <w:jc w:val="right"/>
              <w:rPr>
                <w:rFonts w:ascii="宋体" w:hAnsi="宋体" w:cs="宋体" w:eastAsia="宋体" w:hint="default"/>
                <w:sz w:val="18"/>
                <w:szCs w:val="18"/>
              </w:rPr>
            </w:pPr>
            <w:r>
              <w:rPr>
                <w:rFonts w:ascii="宋体"/>
                <w:spacing w:val="-1"/>
                <w:sz w:val="18"/>
              </w:rPr>
              <w:t>20,027,613.27</w:t>
            </w:r>
          </w:p>
        </w:tc>
        <w:tc>
          <w:tcPr>
            <w:tcW w:w="171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29,807,271.66</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广州同方瑞风节能科技股份有限公司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3" w:lineRule="exact"/>
              <w:ind w:right="304"/>
              <w:jc w:val="right"/>
              <w:rPr>
                <w:rFonts w:ascii="宋体" w:hAnsi="宋体" w:cs="宋体" w:eastAsia="宋体" w:hint="default"/>
                <w:sz w:val="18"/>
                <w:szCs w:val="18"/>
              </w:rPr>
            </w:pPr>
            <w:r>
              <w:rPr>
                <w:rFonts w:ascii="宋体"/>
                <w:spacing w:val="-1"/>
                <w:sz w:val="18"/>
              </w:rPr>
              <w:t>13,673,967.93</w:t>
            </w:r>
          </w:p>
        </w:tc>
        <w:tc>
          <w:tcPr>
            <w:tcW w:w="171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3,147,645.30</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同方全球人寿保险有限公司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3" w:lineRule="exact"/>
              <w:ind w:right="304"/>
              <w:jc w:val="right"/>
              <w:rPr>
                <w:rFonts w:ascii="宋体" w:hAnsi="宋体" w:cs="宋体" w:eastAsia="宋体" w:hint="default"/>
                <w:sz w:val="18"/>
                <w:szCs w:val="18"/>
              </w:rPr>
            </w:pPr>
            <w:r>
              <w:rPr>
                <w:rFonts w:ascii="宋体"/>
                <w:spacing w:val="-1"/>
                <w:sz w:val="18"/>
              </w:rPr>
              <w:t>6,148,860.30</w:t>
            </w:r>
          </w:p>
        </w:tc>
        <w:tc>
          <w:tcPr>
            <w:tcW w:w="171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5,442,068.88</w:t>
            </w: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同方佰宜科技（北京）有限公司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3" w:lineRule="exact"/>
              <w:ind w:right="304"/>
              <w:jc w:val="right"/>
              <w:rPr>
                <w:rFonts w:ascii="宋体" w:hAnsi="宋体" w:cs="宋体" w:eastAsia="宋体" w:hint="default"/>
                <w:sz w:val="18"/>
                <w:szCs w:val="18"/>
              </w:rPr>
            </w:pPr>
            <w:r>
              <w:rPr>
                <w:rFonts w:ascii="宋体"/>
                <w:spacing w:val="-1"/>
                <w:sz w:val="18"/>
              </w:rPr>
              <w:t>3,168,003.94</w:t>
            </w:r>
          </w:p>
        </w:tc>
        <w:tc>
          <w:tcPr>
            <w:tcW w:w="171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4,511,832.64</w:t>
            </w: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同方鼎欣科技股份有限公司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2" w:lineRule="exact"/>
              <w:ind w:right="304"/>
              <w:jc w:val="right"/>
              <w:rPr>
                <w:rFonts w:ascii="宋体" w:hAnsi="宋体" w:cs="宋体" w:eastAsia="宋体" w:hint="default"/>
                <w:sz w:val="18"/>
                <w:szCs w:val="18"/>
              </w:rPr>
            </w:pPr>
            <w:r>
              <w:rPr>
                <w:rFonts w:ascii="宋体"/>
                <w:spacing w:val="-1"/>
                <w:sz w:val="18"/>
              </w:rPr>
              <w:t>2,807,543.70</w:t>
            </w:r>
          </w:p>
        </w:tc>
        <w:tc>
          <w:tcPr>
            <w:tcW w:w="171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1,781,129.86</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北京同方艾威康科技有限公司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3" w:lineRule="exact"/>
              <w:ind w:right="304"/>
              <w:jc w:val="right"/>
              <w:rPr>
                <w:rFonts w:ascii="宋体" w:hAnsi="宋体" w:cs="宋体" w:eastAsia="宋体" w:hint="default"/>
                <w:sz w:val="18"/>
                <w:szCs w:val="18"/>
              </w:rPr>
            </w:pPr>
            <w:r>
              <w:rPr>
                <w:rFonts w:ascii="宋体"/>
                <w:spacing w:val="-1"/>
                <w:sz w:val="18"/>
              </w:rPr>
              <w:t>2,746,051.84</w:t>
            </w:r>
          </w:p>
        </w:tc>
        <w:tc>
          <w:tcPr>
            <w:tcW w:w="171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9,153.84</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江西清华泰豪三波电机有限公司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3" w:lineRule="exact"/>
              <w:ind w:right="304"/>
              <w:jc w:val="right"/>
              <w:rPr>
                <w:rFonts w:ascii="宋体" w:hAnsi="宋体" w:cs="宋体" w:eastAsia="宋体" w:hint="default"/>
                <w:sz w:val="18"/>
                <w:szCs w:val="18"/>
              </w:rPr>
            </w:pPr>
            <w:r>
              <w:rPr>
                <w:rFonts w:ascii="宋体"/>
                <w:spacing w:val="-1"/>
                <w:sz w:val="18"/>
              </w:rPr>
              <w:t>2,268,000.00</w:t>
            </w:r>
          </w:p>
        </w:tc>
        <w:tc>
          <w:tcPr>
            <w:tcW w:w="171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2,268,000.00</w:t>
            </w:r>
          </w:p>
        </w:tc>
      </w:tr>
      <w:tr>
        <w:trPr>
          <w:trHeight w:val="285"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北京清控人居环境研究院有限公司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3" w:lineRule="exact"/>
              <w:ind w:right="304"/>
              <w:jc w:val="right"/>
              <w:rPr>
                <w:rFonts w:ascii="宋体" w:hAnsi="宋体" w:cs="宋体" w:eastAsia="宋体" w:hint="default"/>
                <w:sz w:val="18"/>
                <w:szCs w:val="18"/>
              </w:rPr>
            </w:pPr>
            <w:r>
              <w:rPr>
                <w:rFonts w:ascii="宋体"/>
                <w:spacing w:val="-1"/>
                <w:sz w:val="18"/>
              </w:rPr>
              <w:t>1,078,838.88</w:t>
            </w:r>
          </w:p>
        </w:tc>
        <w:tc>
          <w:tcPr>
            <w:tcW w:w="171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1,500,091.17</w:t>
            </w: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深圳华控赛格股份有限公司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2" w:lineRule="exact"/>
              <w:ind w:right="304"/>
              <w:jc w:val="right"/>
              <w:rPr>
                <w:rFonts w:ascii="宋体" w:hAnsi="宋体" w:cs="宋体" w:eastAsia="宋体" w:hint="default"/>
                <w:sz w:val="18"/>
                <w:szCs w:val="18"/>
              </w:rPr>
            </w:pPr>
            <w:r>
              <w:rPr>
                <w:rFonts w:ascii="宋体"/>
                <w:spacing w:val="-1"/>
                <w:sz w:val="18"/>
              </w:rPr>
              <w:t>879,742.17</w:t>
            </w:r>
          </w:p>
        </w:tc>
        <w:tc>
          <w:tcPr>
            <w:tcW w:w="171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83,708,171.20</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泰豪科技（深圳）电力技术有限公司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3" w:lineRule="exact"/>
              <w:ind w:right="304"/>
              <w:jc w:val="right"/>
              <w:rPr>
                <w:rFonts w:ascii="宋体" w:hAnsi="宋体" w:cs="宋体" w:eastAsia="宋体" w:hint="default"/>
                <w:sz w:val="18"/>
                <w:szCs w:val="18"/>
              </w:rPr>
            </w:pPr>
            <w:r>
              <w:rPr>
                <w:rFonts w:ascii="宋体"/>
                <w:spacing w:val="-1"/>
                <w:sz w:val="18"/>
              </w:rPr>
              <w:t>491,153.85</w:t>
            </w:r>
          </w:p>
        </w:tc>
        <w:tc>
          <w:tcPr>
            <w:tcW w:w="171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z w:val="18"/>
              </w:rPr>
              <w:t>0.00</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重庆康乐制药有限公司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3" w:lineRule="exact"/>
              <w:ind w:right="304"/>
              <w:jc w:val="right"/>
              <w:rPr>
                <w:rFonts w:ascii="宋体" w:hAnsi="宋体" w:cs="宋体" w:eastAsia="宋体" w:hint="default"/>
                <w:sz w:val="18"/>
                <w:szCs w:val="18"/>
              </w:rPr>
            </w:pPr>
            <w:r>
              <w:rPr>
                <w:rFonts w:ascii="宋体"/>
                <w:spacing w:val="-1"/>
                <w:sz w:val="18"/>
              </w:rPr>
              <w:t>283,018.87</w:t>
            </w:r>
          </w:p>
        </w:tc>
        <w:tc>
          <w:tcPr>
            <w:tcW w:w="171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z w:val="18"/>
              </w:rPr>
              <w:t>0.00</w:t>
            </w: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华控创新（北京）药物研究院有限公司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3" w:lineRule="exact"/>
              <w:ind w:right="304"/>
              <w:jc w:val="right"/>
              <w:rPr>
                <w:rFonts w:ascii="宋体" w:hAnsi="宋体" w:cs="宋体" w:eastAsia="宋体" w:hint="default"/>
                <w:sz w:val="18"/>
                <w:szCs w:val="18"/>
              </w:rPr>
            </w:pPr>
            <w:r>
              <w:rPr>
                <w:rFonts w:ascii="宋体"/>
                <w:spacing w:val="-1"/>
                <w:sz w:val="18"/>
              </w:rPr>
              <w:t>242,056.60</w:t>
            </w:r>
          </w:p>
        </w:tc>
        <w:tc>
          <w:tcPr>
            <w:tcW w:w="171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z w:val="18"/>
              </w:rPr>
              <w:t>0.00</w:t>
            </w: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许昌广电同方数字电视有限公司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2" w:lineRule="exact"/>
              <w:ind w:right="304"/>
              <w:jc w:val="right"/>
              <w:rPr>
                <w:rFonts w:ascii="宋体" w:hAnsi="宋体" w:cs="宋体" w:eastAsia="宋体" w:hint="default"/>
                <w:sz w:val="18"/>
                <w:szCs w:val="18"/>
              </w:rPr>
            </w:pPr>
            <w:r>
              <w:rPr>
                <w:rFonts w:ascii="宋体"/>
                <w:spacing w:val="-1"/>
                <w:sz w:val="18"/>
              </w:rPr>
              <w:t>155,058.58</w:t>
            </w:r>
          </w:p>
        </w:tc>
        <w:tc>
          <w:tcPr>
            <w:tcW w:w="1715"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0.00</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北京同方时讯电子股份有限公司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3" w:lineRule="exact"/>
              <w:ind w:right="304"/>
              <w:jc w:val="right"/>
              <w:rPr>
                <w:rFonts w:ascii="宋体" w:hAnsi="宋体" w:cs="宋体" w:eastAsia="宋体" w:hint="default"/>
                <w:sz w:val="18"/>
                <w:szCs w:val="18"/>
              </w:rPr>
            </w:pPr>
            <w:r>
              <w:rPr>
                <w:rFonts w:ascii="宋体"/>
                <w:spacing w:val="-1"/>
                <w:sz w:val="18"/>
              </w:rPr>
              <w:t>118,113.20</w:t>
            </w:r>
          </w:p>
        </w:tc>
        <w:tc>
          <w:tcPr>
            <w:tcW w:w="171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422,254.71</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33" w:lineRule="exact"/>
              <w:ind w:right="303"/>
              <w:jc w:val="right"/>
              <w:rPr>
                <w:rFonts w:ascii="宋体" w:hAnsi="宋体" w:cs="宋体" w:eastAsia="宋体" w:hint="default"/>
                <w:sz w:val="18"/>
                <w:szCs w:val="18"/>
              </w:rPr>
            </w:pPr>
            <w:r>
              <w:rPr>
                <w:rFonts w:ascii="宋体"/>
                <w:sz w:val="18"/>
              </w:rPr>
              <w:t>0.00</w:t>
            </w:r>
          </w:p>
        </w:tc>
        <w:tc>
          <w:tcPr>
            <w:tcW w:w="171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27,198,106.28</w:t>
            </w:r>
          </w:p>
        </w:tc>
      </w:tr>
      <w:tr>
        <w:trPr>
          <w:trHeight w:val="299" w:hRule="exact"/>
        </w:trPr>
        <w:tc>
          <w:tcPr>
            <w:tcW w:w="4750" w:type="dxa"/>
            <w:tcBorders>
              <w:top w:val="nil" w:sz="6" w:space="0" w:color="auto"/>
              <w:left w:val="nil" w:sz="6" w:space="0" w:color="auto"/>
              <w:bottom w:val="single" w:sz="12" w:space="0" w:color="000000"/>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275" w:type="dxa"/>
            <w:tcBorders>
              <w:top w:val="nil" w:sz="6" w:space="0" w:color="auto"/>
              <w:left w:val="nil" w:sz="6" w:space="0" w:color="auto"/>
              <w:bottom w:val="single" w:sz="12" w:space="0" w:color="000000"/>
              <w:right w:val="nil" w:sz="6" w:space="0" w:color="auto"/>
            </w:tcBorders>
          </w:tcPr>
          <w:p>
            <w:pPr>
              <w:pStyle w:val="TableParagraph"/>
              <w:spacing w:line="233" w:lineRule="exact"/>
              <w:ind w:right="303"/>
              <w:jc w:val="right"/>
              <w:rPr>
                <w:rFonts w:ascii="宋体" w:hAnsi="宋体" w:cs="宋体" w:eastAsia="宋体" w:hint="default"/>
                <w:sz w:val="18"/>
                <w:szCs w:val="18"/>
              </w:rPr>
            </w:pPr>
            <w:r>
              <w:rPr>
                <w:rFonts w:ascii="宋体"/>
                <w:sz w:val="18"/>
              </w:rPr>
              <w:t>0.00</w:t>
            </w:r>
          </w:p>
        </w:tc>
        <w:tc>
          <w:tcPr>
            <w:tcW w:w="1715" w:type="dxa"/>
            <w:tcBorders>
              <w:top w:val="nil" w:sz="6" w:space="0" w:color="auto"/>
              <w:left w:val="nil" w:sz="6" w:space="0" w:color="auto"/>
              <w:bottom w:val="single" w:sz="12"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4,608,260.13</w:t>
            </w:r>
          </w:p>
        </w:tc>
      </w:tr>
    </w:tbl>
    <w:p>
      <w:pPr>
        <w:spacing w:after="0" w:line="233" w:lineRule="exact"/>
        <w:jc w:val="right"/>
        <w:rPr>
          <w:rFonts w:ascii="宋体" w:hAnsi="宋体" w:cs="宋体" w:eastAsia="宋体" w:hint="default"/>
          <w:sz w:val="18"/>
          <w:szCs w:val="18"/>
        </w:rPr>
        <w:sectPr>
          <w:pgSz w:w="11910" w:h="16840"/>
          <w:pgMar w:header="0" w:footer="1034" w:top="1320" w:bottom="1220" w:left="1460" w:right="1440"/>
        </w:sectPr>
      </w:pPr>
    </w:p>
    <w:p>
      <w:pPr>
        <w:spacing w:line="240" w:lineRule="auto" w:before="6"/>
        <w:rPr>
          <w:rFonts w:ascii="宋体" w:hAnsi="宋体" w:cs="宋体" w:eastAsia="宋体" w:hint="default"/>
          <w:sz w:val="6"/>
          <w:szCs w:val="6"/>
        </w:rPr>
      </w:pPr>
    </w:p>
    <w:tbl>
      <w:tblPr>
        <w:tblW w:w="0" w:type="auto"/>
        <w:jc w:val="left"/>
        <w:tblInd w:w="134" w:type="dxa"/>
        <w:tblLayout w:type="fixed"/>
        <w:tblCellMar>
          <w:top w:w="0" w:type="dxa"/>
          <w:left w:w="0" w:type="dxa"/>
          <w:bottom w:w="0" w:type="dxa"/>
          <w:right w:w="0" w:type="dxa"/>
        </w:tblCellMar>
        <w:tblLook w:val="01E0"/>
      </w:tblPr>
      <w:tblGrid>
        <w:gridCol w:w="4106"/>
        <w:gridCol w:w="2905"/>
        <w:gridCol w:w="1715"/>
      </w:tblGrid>
      <w:tr>
        <w:trPr>
          <w:trHeight w:val="305" w:hRule="exact"/>
        </w:trPr>
        <w:tc>
          <w:tcPr>
            <w:tcW w:w="4106"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90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97"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71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0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2" w:hRule="exact"/>
        </w:trPr>
        <w:tc>
          <w:tcPr>
            <w:tcW w:w="4106" w:type="dxa"/>
            <w:tcBorders>
              <w:top w:val="single" w:sz="4" w:space="0" w:color="000000"/>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北京厚持投资管理有限责任公司</w:t>
            </w:r>
          </w:p>
        </w:tc>
        <w:tc>
          <w:tcPr>
            <w:tcW w:w="2905" w:type="dxa"/>
            <w:tcBorders>
              <w:top w:val="single" w:sz="4" w:space="0" w:color="000000"/>
              <w:left w:val="nil" w:sz="6" w:space="0" w:color="auto"/>
              <w:bottom w:val="nil" w:sz="6" w:space="0" w:color="auto"/>
              <w:right w:val="nil" w:sz="6" w:space="0" w:color="auto"/>
            </w:tcBorders>
          </w:tcPr>
          <w:p>
            <w:pPr>
              <w:pStyle w:val="TableParagraph"/>
              <w:spacing w:line="235" w:lineRule="exact"/>
              <w:ind w:right="303"/>
              <w:jc w:val="right"/>
              <w:rPr>
                <w:rFonts w:ascii="宋体" w:hAnsi="宋体" w:cs="宋体" w:eastAsia="宋体" w:hint="default"/>
                <w:sz w:val="18"/>
                <w:szCs w:val="18"/>
              </w:rPr>
            </w:pPr>
            <w:r>
              <w:rPr>
                <w:rFonts w:ascii="宋体"/>
                <w:sz w:val="18"/>
              </w:rPr>
              <w:t>0.00</w:t>
            </w:r>
          </w:p>
        </w:tc>
        <w:tc>
          <w:tcPr>
            <w:tcW w:w="1715" w:type="dxa"/>
            <w:tcBorders>
              <w:top w:val="single" w:sz="4" w:space="0" w:color="000000"/>
              <w:left w:val="nil" w:sz="6" w:space="0" w:color="auto"/>
              <w:bottom w:val="nil" w:sz="6" w:space="0" w:color="auto"/>
              <w:right w:val="nil" w:sz="6" w:space="0" w:color="auto"/>
            </w:tcBorders>
          </w:tcPr>
          <w:p>
            <w:pPr>
              <w:pStyle w:val="TableParagraph"/>
              <w:spacing w:line="235" w:lineRule="exact"/>
              <w:ind w:right="105"/>
              <w:jc w:val="right"/>
              <w:rPr>
                <w:rFonts w:ascii="宋体" w:hAnsi="宋体" w:cs="宋体" w:eastAsia="宋体" w:hint="default"/>
                <w:sz w:val="18"/>
                <w:szCs w:val="18"/>
              </w:rPr>
            </w:pPr>
            <w:r>
              <w:rPr>
                <w:rFonts w:ascii="宋体"/>
                <w:spacing w:val="-1"/>
                <w:sz w:val="18"/>
              </w:rPr>
              <w:t>1,000,000.00</w:t>
            </w:r>
          </w:p>
        </w:tc>
      </w:tr>
      <w:tr>
        <w:trPr>
          <w:trHeight w:val="284" w:hRule="exact"/>
        </w:trPr>
        <w:tc>
          <w:tcPr>
            <w:tcW w:w="4106"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开封广电同方数字电视有限公司</w:t>
            </w:r>
          </w:p>
        </w:tc>
        <w:tc>
          <w:tcPr>
            <w:tcW w:w="2905" w:type="dxa"/>
            <w:tcBorders>
              <w:top w:val="nil" w:sz="6" w:space="0" w:color="auto"/>
              <w:left w:val="nil" w:sz="6" w:space="0" w:color="auto"/>
              <w:bottom w:val="nil" w:sz="6" w:space="0" w:color="auto"/>
              <w:right w:val="nil" w:sz="6" w:space="0" w:color="auto"/>
            </w:tcBorders>
          </w:tcPr>
          <w:p>
            <w:pPr>
              <w:pStyle w:val="TableParagraph"/>
              <w:spacing w:line="233" w:lineRule="exact"/>
              <w:ind w:right="303"/>
              <w:jc w:val="right"/>
              <w:rPr>
                <w:rFonts w:ascii="宋体" w:hAnsi="宋体" w:cs="宋体" w:eastAsia="宋体" w:hint="default"/>
                <w:sz w:val="18"/>
                <w:szCs w:val="18"/>
              </w:rPr>
            </w:pPr>
            <w:r>
              <w:rPr>
                <w:rFonts w:ascii="宋体"/>
                <w:sz w:val="18"/>
              </w:rPr>
              <w:t>0.00</w:t>
            </w:r>
          </w:p>
        </w:tc>
        <w:tc>
          <w:tcPr>
            <w:tcW w:w="1715"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285,849.05</w:t>
            </w:r>
          </w:p>
        </w:tc>
      </w:tr>
      <w:tr>
        <w:trPr>
          <w:trHeight w:val="288" w:hRule="exact"/>
        </w:trPr>
        <w:tc>
          <w:tcPr>
            <w:tcW w:w="4106"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运城市蓝星同方数字电视有限公司</w:t>
            </w:r>
          </w:p>
        </w:tc>
        <w:tc>
          <w:tcPr>
            <w:tcW w:w="2905" w:type="dxa"/>
            <w:tcBorders>
              <w:top w:val="nil" w:sz="6" w:space="0" w:color="auto"/>
              <w:left w:val="nil" w:sz="6" w:space="0" w:color="auto"/>
              <w:bottom w:val="single" w:sz="4" w:space="0" w:color="000000"/>
              <w:right w:val="nil" w:sz="6" w:space="0" w:color="auto"/>
            </w:tcBorders>
          </w:tcPr>
          <w:p>
            <w:pPr>
              <w:pStyle w:val="TableParagraph"/>
              <w:spacing w:line="232" w:lineRule="exact"/>
              <w:ind w:right="303"/>
              <w:jc w:val="right"/>
              <w:rPr>
                <w:rFonts w:ascii="宋体" w:hAnsi="宋体" w:cs="宋体" w:eastAsia="宋体" w:hint="default"/>
                <w:sz w:val="18"/>
                <w:szCs w:val="18"/>
              </w:rPr>
            </w:pPr>
            <w:r>
              <w:rPr>
                <w:rFonts w:ascii="宋体"/>
                <w:sz w:val="18"/>
              </w:rPr>
              <w:t>0.00</w:t>
            </w:r>
          </w:p>
        </w:tc>
        <w:tc>
          <w:tcPr>
            <w:tcW w:w="1715" w:type="dxa"/>
            <w:tcBorders>
              <w:top w:val="nil" w:sz="6" w:space="0" w:color="auto"/>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1,500.00</w:t>
            </w:r>
          </w:p>
        </w:tc>
      </w:tr>
      <w:tr>
        <w:trPr>
          <w:trHeight w:val="307" w:hRule="exact"/>
        </w:trPr>
        <w:tc>
          <w:tcPr>
            <w:tcW w:w="4106" w:type="dxa"/>
            <w:tcBorders>
              <w:top w:val="single" w:sz="4" w:space="0" w:color="000000"/>
              <w:left w:val="nil" w:sz="6" w:space="0" w:color="auto"/>
              <w:bottom w:val="single" w:sz="12"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05" w:type="dxa"/>
            <w:tcBorders>
              <w:top w:val="single" w:sz="4" w:space="0" w:color="000000"/>
              <w:left w:val="nil" w:sz="6" w:space="0" w:color="auto"/>
              <w:bottom w:val="single" w:sz="12" w:space="0" w:color="000000"/>
              <w:right w:val="nil" w:sz="6" w:space="0" w:color="auto"/>
            </w:tcBorders>
          </w:tcPr>
          <w:p>
            <w:pPr>
              <w:pStyle w:val="TableParagraph"/>
              <w:spacing w:line="234" w:lineRule="exact"/>
              <w:ind w:right="306"/>
              <w:jc w:val="right"/>
              <w:rPr>
                <w:rFonts w:ascii="宋体" w:hAnsi="宋体" w:cs="宋体" w:eastAsia="宋体" w:hint="default"/>
                <w:sz w:val="18"/>
                <w:szCs w:val="18"/>
              </w:rPr>
            </w:pPr>
            <w:r>
              <w:rPr>
                <w:rFonts w:ascii="宋体"/>
                <w:b/>
                <w:w w:val="95"/>
                <w:sz w:val="18"/>
              </w:rPr>
              <w:t>247,704,155.13</w:t>
            </w:r>
            <w:r>
              <w:rPr>
                <w:rFonts w:ascii="宋体"/>
                <w:sz w:val="18"/>
              </w:rPr>
            </w:r>
          </w:p>
        </w:tc>
        <w:tc>
          <w:tcPr>
            <w:tcW w:w="1715" w:type="dxa"/>
            <w:tcBorders>
              <w:top w:val="single" w:sz="4" w:space="0" w:color="000000"/>
              <w:left w:val="nil" w:sz="6" w:space="0" w:color="auto"/>
              <w:bottom w:val="single" w:sz="12" w:space="0" w:color="000000"/>
              <w:right w:val="nil" w:sz="6" w:space="0" w:color="auto"/>
            </w:tcBorders>
          </w:tcPr>
          <w:p>
            <w:pPr>
              <w:pStyle w:val="TableParagraph"/>
              <w:spacing w:line="234" w:lineRule="exact"/>
              <w:ind w:right="106"/>
              <w:jc w:val="right"/>
              <w:rPr>
                <w:rFonts w:ascii="宋体" w:hAnsi="宋体" w:cs="宋体" w:eastAsia="宋体" w:hint="default"/>
                <w:sz w:val="18"/>
                <w:szCs w:val="18"/>
              </w:rPr>
            </w:pPr>
            <w:r>
              <w:rPr>
                <w:rFonts w:ascii="宋体"/>
                <w:b/>
                <w:w w:val="95"/>
                <w:sz w:val="18"/>
              </w:rPr>
              <w:t>320,849,706.70</w:t>
            </w:r>
            <w:r>
              <w:rPr>
                <w:rFonts w:ascii="宋体"/>
                <w:sz w:val="18"/>
              </w:rPr>
            </w:r>
          </w:p>
        </w:tc>
      </w:tr>
    </w:tbl>
    <w:p>
      <w:pPr>
        <w:spacing w:before="81"/>
        <w:ind w:left="695" w:right="4889"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1"/>
          <w:sz w:val="22"/>
          <w:szCs w:val="22"/>
        </w:rPr>
        <w:t> </w:t>
      </w:r>
      <w:r>
        <w:rPr>
          <w:rFonts w:ascii="宋体" w:hAnsi="宋体" w:cs="宋体" w:eastAsia="宋体" w:hint="default"/>
          <w:sz w:val="22"/>
          <w:szCs w:val="22"/>
        </w:rPr>
        <w:t>销售商品</w:t>
      </w:r>
      <w:r>
        <w:rPr>
          <w:rFonts w:ascii="宋体" w:hAnsi="宋体" w:cs="宋体" w:eastAsia="宋体" w:hint="default"/>
          <w:sz w:val="22"/>
          <w:szCs w:val="22"/>
        </w:rPr>
        <w:t>/</w:t>
      </w:r>
      <w:r>
        <w:rPr>
          <w:rFonts w:ascii="宋体" w:hAnsi="宋体" w:cs="宋体" w:eastAsia="宋体" w:hint="default"/>
          <w:sz w:val="22"/>
          <w:szCs w:val="22"/>
        </w:rPr>
        <w:t>提供劳务</w:t>
      </w:r>
    </w:p>
    <w:p>
      <w:pPr>
        <w:spacing w:line="240" w:lineRule="auto" w:before="11"/>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4743"/>
        <w:gridCol w:w="2263"/>
        <w:gridCol w:w="1734"/>
      </w:tblGrid>
      <w:tr>
        <w:trPr>
          <w:trHeight w:val="305" w:hRule="exact"/>
        </w:trPr>
        <w:tc>
          <w:tcPr>
            <w:tcW w:w="474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26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660"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73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13"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89" w:hRule="exact"/>
        </w:trPr>
        <w:tc>
          <w:tcPr>
            <w:tcW w:w="4743" w:type="dxa"/>
            <w:tcBorders>
              <w:top w:val="single" w:sz="4" w:space="0" w:color="000000"/>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清华大学及其下属单位：</w:t>
            </w:r>
            <w:r>
              <w:rPr>
                <w:rFonts w:ascii="宋体" w:hAnsi="宋体" w:cs="宋体" w:eastAsia="宋体" w:hint="default"/>
                <w:sz w:val="18"/>
                <w:szCs w:val="18"/>
              </w:rPr>
            </w:r>
          </w:p>
        </w:tc>
        <w:tc>
          <w:tcPr>
            <w:tcW w:w="2263" w:type="dxa"/>
            <w:tcBorders>
              <w:top w:val="single" w:sz="4" w:space="0" w:color="000000"/>
              <w:left w:val="nil" w:sz="6" w:space="0" w:color="auto"/>
              <w:bottom w:val="nil" w:sz="6" w:space="0" w:color="auto"/>
              <w:right w:val="nil" w:sz="6" w:space="0" w:color="auto"/>
            </w:tcBorders>
          </w:tcPr>
          <w:p>
            <w:pPr/>
          </w:p>
        </w:tc>
        <w:tc>
          <w:tcPr>
            <w:tcW w:w="1734" w:type="dxa"/>
            <w:tcBorders>
              <w:top w:val="single" w:sz="4" w:space="0" w:color="000000"/>
              <w:left w:val="nil" w:sz="6" w:space="0" w:color="auto"/>
              <w:bottom w:val="nil" w:sz="6" w:space="0" w:color="auto"/>
              <w:right w:val="nil" w:sz="6" w:space="0" w:color="auto"/>
            </w:tcBorders>
          </w:tcPr>
          <w:p>
            <w:pP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26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9,568,916.11</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4,314,986.75</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深圳清华大学研究院</w:t>
            </w:r>
          </w:p>
        </w:tc>
        <w:tc>
          <w:tcPr>
            <w:tcW w:w="226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11,680,500.00</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11,277,692.31</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清华大学图书馆</w:t>
            </w:r>
          </w:p>
        </w:tc>
        <w:tc>
          <w:tcPr>
            <w:tcW w:w="226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1,955,008.00</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231,687.96</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北京清华长庚医院</w:t>
            </w:r>
          </w:p>
        </w:tc>
        <w:tc>
          <w:tcPr>
            <w:tcW w:w="2263" w:type="dxa"/>
            <w:tcBorders>
              <w:top w:val="nil" w:sz="6" w:space="0" w:color="auto"/>
              <w:left w:val="nil" w:sz="6" w:space="0" w:color="auto"/>
              <w:bottom w:val="nil" w:sz="6" w:space="0" w:color="auto"/>
              <w:right w:val="nil" w:sz="6" w:space="0" w:color="auto"/>
            </w:tcBorders>
          </w:tcPr>
          <w:p>
            <w:pPr>
              <w:pStyle w:val="TableParagraph"/>
              <w:spacing w:line="232" w:lineRule="exact"/>
              <w:ind w:right="311"/>
              <w:jc w:val="right"/>
              <w:rPr>
                <w:rFonts w:ascii="宋体" w:hAnsi="宋体" w:cs="宋体" w:eastAsia="宋体" w:hint="default"/>
                <w:sz w:val="18"/>
                <w:szCs w:val="18"/>
              </w:rPr>
            </w:pPr>
            <w:r>
              <w:rPr>
                <w:rFonts w:ascii="宋体"/>
                <w:spacing w:val="-1"/>
                <w:sz w:val="18"/>
              </w:rPr>
              <w:t>115,000.01</w:t>
            </w:r>
          </w:p>
        </w:tc>
        <w:tc>
          <w:tcPr>
            <w:tcW w:w="1734"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191,494.09</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北京通力华清科技有限责任公司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47,413.79</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103,418.81</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清华大学附属中学</w:t>
            </w:r>
          </w:p>
        </w:tc>
        <w:tc>
          <w:tcPr>
            <w:tcW w:w="226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5,873.50</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控股股东及受同一控股股东控制的其他企业：</w:t>
            </w:r>
            <w:r>
              <w:rPr>
                <w:rFonts w:ascii="宋体" w:hAnsi="宋体" w:cs="宋体" w:eastAsia="宋体" w:hint="default"/>
                <w:sz w:val="18"/>
                <w:szCs w:val="18"/>
              </w:rPr>
            </w:r>
          </w:p>
        </w:tc>
        <w:tc>
          <w:tcPr>
            <w:tcW w:w="2263"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32" w:lineRule="exact"/>
              <w:ind w:right="311"/>
              <w:jc w:val="right"/>
              <w:rPr>
                <w:rFonts w:ascii="宋体" w:hAnsi="宋体" w:cs="宋体" w:eastAsia="宋体" w:hint="default"/>
                <w:sz w:val="18"/>
                <w:szCs w:val="18"/>
              </w:rPr>
            </w:pPr>
            <w:r>
              <w:rPr>
                <w:rFonts w:ascii="宋体"/>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19,485.45</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紫光数码（苏州）集团有限公司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46,614,806.87</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45,790,207.69</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紫光供应链管理有限公司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23,824,399.06</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28,197,710.22</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《中国学术期刊（光盘版）》电子杂志社有限公司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4,912,818.78</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3,079,041.05</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紫光同芯微电子有限公司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32" w:lineRule="exact"/>
              <w:ind w:right="311"/>
              <w:jc w:val="right"/>
              <w:rPr>
                <w:rFonts w:ascii="宋体" w:hAnsi="宋体" w:cs="宋体" w:eastAsia="宋体" w:hint="default"/>
                <w:sz w:val="18"/>
                <w:szCs w:val="18"/>
              </w:rPr>
            </w:pPr>
            <w:r>
              <w:rPr>
                <w:rFonts w:ascii="宋体"/>
                <w:spacing w:val="-1"/>
                <w:sz w:val="18"/>
              </w:rPr>
              <w:t>1,377,965.21</w:t>
            </w:r>
          </w:p>
        </w:tc>
        <w:tc>
          <w:tcPr>
            <w:tcW w:w="1734"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1,314,639.79</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紫光国芯微电子股份有限公司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417,692.45</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906,671.43</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北京清华同衡规划设计研究院有限公司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390,981.69</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235,490.85</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诚志重科技有限公司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214,475.65</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184,265.11</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清华大学出版社有限公司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32" w:lineRule="exact"/>
              <w:ind w:right="311"/>
              <w:jc w:val="right"/>
              <w:rPr>
                <w:rFonts w:ascii="宋体" w:hAnsi="宋体" w:cs="宋体" w:eastAsia="宋体" w:hint="default"/>
                <w:sz w:val="18"/>
                <w:szCs w:val="18"/>
              </w:rPr>
            </w:pPr>
            <w:r>
              <w:rPr>
                <w:rFonts w:ascii="宋体"/>
                <w:spacing w:val="-1"/>
                <w:sz w:val="18"/>
              </w:rPr>
              <w:t>132,724.62</w:t>
            </w:r>
          </w:p>
        </w:tc>
        <w:tc>
          <w:tcPr>
            <w:tcW w:w="1734"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144,072.07</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沐华清诚（北京）教育科技发展有限公司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81,407.86</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z w:val="18"/>
              </w:rPr>
              <w:t>0.00</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北京诚志英华生物科技有限公司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56,484.35</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75,336.37</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诺德基金管理有限公司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45,431.60</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z w:val="18"/>
              </w:rPr>
              <w:t>0.00</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苏州紫光创新教育发展有限公司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32" w:lineRule="exact"/>
              <w:ind w:right="311"/>
              <w:jc w:val="right"/>
              <w:rPr>
                <w:rFonts w:ascii="宋体" w:hAnsi="宋体" w:cs="宋体" w:eastAsia="宋体" w:hint="default"/>
                <w:sz w:val="18"/>
                <w:szCs w:val="18"/>
              </w:rPr>
            </w:pPr>
            <w:r>
              <w:rPr>
                <w:rFonts w:ascii="宋体"/>
                <w:spacing w:val="-1"/>
                <w:sz w:val="18"/>
              </w:rPr>
              <w:t>43,565.86</w:t>
            </w:r>
          </w:p>
        </w:tc>
        <w:tc>
          <w:tcPr>
            <w:tcW w:w="1734"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3,714,357.50</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启迪控股股份有限公司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28,358.97</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z w:val="18"/>
              </w:rPr>
              <w:t>0.00</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北京清控人居光电研究院有限公司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15,622.68</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386,520.52</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清华大学建筑设计研究院有限公司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4,611.06</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2,675.21</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清华同方光盘电子出版社</w:t>
            </w:r>
          </w:p>
        </w:tc>
        <w:tc>
          <w:tcPr>
            <w:tcW w:w="2263" w:type="dxa"/>
            <w:tcBorders>
              <w:top w:val="nil" w:sz="6" w:space="0" w:color="auto"/>
              <w:left w:val="nil" w:sz="6" w:space="0" w:color="auto"/>
              <w:bottom w:val="nil" w:sz="6" w:space="0" w:color="auto"/>
              <w:right w:val="nil" w:sz="6" w:space="0" w:color="auto"/>
            </w:tcBorders>
          </w:tcPr>
          <w:p>
            <w:pPr>
              <w:pStyle w:val="TableParagraph"/>
              <w:spacing w:line="232" w:lineRule="exact"/>
              <w:ind w:right="311"/>
              <w:jc w:val="right"/>
              <w:rPr>
                <w:rFonts w:ascii="宋体" w:hAnsi="宋体" w:cs="宋体" w:eastAsia="宋体" w:hint="default"/>
                <w:sz w:val="18"/>
                <w:szCs w:val="18"/>
              </w:rPr>
            </w:pPr>
            <w:r>
              <w:rPr>
                <w:rFonts w:ascii="宋体"/>
                <w:sz w:val="18"/>
              </w:rPr>
              <w:t>86.21</w:t>
            </w:r>
          </w:p>
        </w:tc>
        <w:tc>
          <w:tcPr>
            <w:tcW w:w="1734"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0.00</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紫光软件系统有限公司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250,725.65</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石家庄诚志永华显示材料有限公司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186,980.97</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河北诚志永昌化工有限公司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38,306.23</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清华控股集团财务有限公司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32" w:lineRule="exact"/>
              <w:ind w:right="311"/>
              <w:jc w:val="right"/>
              <w:rPr>
                <w:rFonts w:ascii="宋体" w:hAnsi="宋体" w:cs="宋体" w:eastAsia="宋体" w:hint="default"/>
                <w:sz w:val="18"/>
                <w:szCs w:val="18"/>
              </w:rPr>
            </w:pPr>
            <w:r>
              <w:rPr>
                <w:rFonts w:ascii="宋体"/>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25,384.62</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北京诚志利华科技发展有限公司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19,129.94</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北京清筑华诚国际建筑咨询有限公司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5,128.21</w:t>
            </w:r>
          </w:p>
        </w:tc>
      </w:tr>
      <w:tr>
        <w:trPr>
          <w:trHeight w:val="285"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清控融资租赁有限公司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4,273.51</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北京博奥晶典生物技术有限公司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32" w:lineRule="exact"/>
              <w:ind w:right="311"/>
              <w:jc w:val="right"/>
              <w:rPr>
                <w:rFonts w:ascii="宋体" w:hAnsi="宋体" w:cs="宋体" w:eastAsia="宋体" w:hint="default"/>
                <w:sz w:val="18"/>
                <w:szCs w:val="18"/>
              </w:rPr>
            </w:pPr>
            <w:r>
              <w:rPr>
                <w:rFonts w:ascii="宋体"/>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1,235.04</w:t>
            </w:r>
          </w:p>
        </w:tc>
      </w:tr>
      <w:tr>
        <w:trPr>
          <w:trHeight w:val="301" w:hRule="exact"/>
        </w:trPr>
        <w:tc>
          <w:tcPr>
            <w:tcW w:w="4743" w:type="dxa"/>
            <w:tcBorders>
              <w:top w:val="nil" w:sz="6" w:space="0" w:color="auto"/>
              <w:left w:val="nil" w:sz="6" w:space="0" w:color="auto"/>
              <w:bottom w:val="single" w:sz="12" w:space="0" w:color="000000"/>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北京国环清华环境工程设计研究院有限公司</w:t>
            </w:r>
          </w:p>
        </w:tc>
        <w:tc>
          <w:tcPr>
            <w:tcW w:w="2263" w:type="dxa"/>
            <w:tcBorders>
              <w:top w:val="nil" w:sz="6" w:space="0" w:color="auto"/>
              <w:left w:val="nil" w:sz="6" w:space="0" w:color="auto"/>
              <w:bottom w:val="single" w:sz="12" w:space="0" w:color="000000"/>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z w:val="18"/>
              </w:rPr>
              <w:t>0.00</w:t>
            </w:r>
          </w:p>
        </w:tc>
        <w:tc>
          <w:tcPr>
            <w:tcW w:w="1734" w:type="dxa"/>
            <w:tcBorders>
              <w:top w:val="nil" w:sz="6" w:space="0" w:color="auto"/>
              <w:left w:val="nil" w:sz="6" w:space="0" w:color="auto"/>
              <w:bottom w:val="single" w:sz="12"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358.97</w:t>
            </w:r>
          </w:p>
        </w:tc>
      </w:tr>
    </w:tbl>
    <w:p>
      <w:pPr>
        <w:spacing w:after="0" w:line="233" w:lineRule="exact"/>
        <w:jc w:val="right"/>
        <w:rPr>
          <w:rFonts w:ascii="宋体" w:hAnsi="宋体" w:cs="宋体" w:eastAsia="宋体" w:hint="default"/>
          <w:sz w:val="18"/>
          <w:szCs w:val="18"/>
        </w:rPr>
        <w:sectPr>
          <w:pgSz w:w="11910" w:h="16840"/>
          <w:pgMar w:header="0" w:footer="1034" w:top="1320" w:bottom="1220" w:left="1460" w:right="1480"/>
        </w:sectPr>
      </w:pPr>
    </w:p>
    <w:p>
      <w:pPr>
        <w:spacing w:line="240" w:lineRule="auto" w:before="4"/>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4383"/>
        <w:gridCol w:w="2623"/>
        <w:gridCol w:w="1734"/>
      </w:tblGrid>
      <w:tr>
        <w:trPr>
          <w:trHeight w:val="305" w:hRule="exact"/>
        </w:trPr>
        <w:tc>
          <w:tcPr>
            <w:tcW w:w="438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62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20"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73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13"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2" w:hRule="exact"/>
        </w:trPr>
        <w:tc>
          <w:tcPr>
            <w:tcW w:w="4383" w:type="dxa"/>
            <w:tcBorders>
              <w:top w:val="single" w:sz="4" w:space="0" w:color="000000"/>
              <w:left w:val="nil" w:sz="6" w:space="0" w:color="auto"/>
              <w:bottom w:val="nil" w:sz="6" w:space="0" w:color="auto"/>
              <w:right w:val="nil" w:sz="6" w:space="0" w:color="auto"/>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合营及联营企业：</w:t>
            </w:r>
            <w:r>
              <w:rPr>
                <w:rFonts w:ascii="宋体" w:hAnsi="宋体" w:cs="宋体" w:eastAsia="宋体" w:hint="default"/>
                <w:sz w:val="18"/>
                <w:szCs w:val="18"/>
              </w:rPr>
            </w:r>
          </w:p>
        </w:tc>
        <w:tc>
          <w:tcPr>
            <w:tcW w:w="2623" w:type="dxa"/>
            <w:tcBorders>
              <w:top w:val="single" w:sz="4" w:space="0" w:color="000000"/>
              <w:left w:val="nil" w:sz="6" w:space="0" w:color="auto"/>
              <w:bottom w:val="nil" w:sz="6" w:space="0" w:color="auto"/>
              <w:right w:val="nil" w:sz="6" w:space="0" w:color="auto"/>
            </w:tcBorders>
          </w:tcPr>
          <w:p>
            <w:pPr/>
          </w:p>
        </w:tc>
        <w:tc>
          <w:tcPr>
            <w:tcW w:w="1734" w:type="dxa"/>
            <w:tcBorders>
              <w:top w:val="single" w:sz="4" w:space="0" w:color="000000"/>
              <w:left w:val="nil" w:sz="6" w:space="0" w:color="auto"/>
              <w:bottom w:val="nil" w:sz="6" w:space="0" w:color="auto"/>
              <w:right w:val="nil" w:sz="6" w:space="0" w:color="auto"/>
            </w:tcBorders>
          </w:tcPr>
          <w:p>
            <w:pPr/>
          </w:p>
        </w:tc>
      </w:tr>
      <w:tr>
        <w:trPr>
          <w:trHeight w:val="284"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中检科威（北京）科技有限公司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42,052,478.64</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9,351,452.99</w:t>
            </w:r>
          </w:p>
        </w:tc>
      </w:tr>
      <w:tr>
        <w:trPr>
          <w:trHeight w:val="284"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广州同方瑞风节能科技股份有限公司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2" w:lineRule="exact"/>
              <w:ind w:right="311"/>
              <w:jc w:val="right"/>
              <w:rPr>
                <w:rFonts w:ascii="宋体" w:hAnsi="宋体" w:cs="宋体" w:eastAsia="宋体" w:hint="default"/>
                <w:sz w:val="18"/>
                <w:szCs w:val="18"/>
              </w:rPr>
            </w:pPr>
            <w:r>
              <w:rPr>
                <w:rFonts w:ascii="宋体"/>
                <w:spacing w:val="-1"/>
                <w:sz w:val="18"/>
              </w:rPr>
              <w:t>7,587,462.72</w:t>
            </w:r>
          </w:p>
        </w:tc>
        <w:tc>
          <w:tcPr>
            <w:tcW w:w="1734"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5,237,307.60</w:t>
            </w:r>
          </w:p>
        </w:tc>
      </w:tr>
      <w:tr>
        <w:trPr>
          <w:trHeight w:val="286"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重庆三峡银行股份有限公司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2,222,226.73</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1,007,948.72</w:t>
            </w:r>
          </w:p>
        </w:tc>
      </w:tr>
      <w:tr>
        <w:trPr>
          <w:trHeight w:val="286"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陕西省广电同方数字电视有限责任公司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1,972,302.39</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2,935,626.10</w:t>
            </w:r>
          </w:p>
        </w:tc>
      </w:tr>
      <w:tr>
        <w:trPr>
          <w:trHeight w:val="284"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北京同方艾威康科技有限公司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1,951,059.99</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1,142,521.91</w:t>
            </w:r>
          </w:p>
        </w:tc>
      </w:tr>
      <w:tr>
        <w:trPr>
          <w:trHeight w:val="284"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2" w:lineRule="exact"/>
              <w:ind w:right="311"/>
              <w:jc w:val="right"/>
              <w:rPr>
                <w:rFonts w:ascii="宋体" w:hAnsi="宋体" w:cs="宋体" w:eastAsia="宋体" w:hint="default"/>
                <w:sz w:val="18"/>
                <w:szCs w:val="18"/>
              </w:rPr>
            </w:pPr>
            <w:r>
              <w:rPr>
                <w:rFonts w:ascii="宋体"/>
                <w:spacing w:val="-1"/>
                <w:sz w:val="18"/>
              </w:rPr>
              <w:t>1,856,735.00</w:t>
            </w:r>
          </w:p>
        </w:tc>
        <w:tc>
          <w:tcPr>
            <w:tcW w:w="1734"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5,355,311.72</w:t>
            </w:r>
          </w:p>
        </w:tc>
      </w:tr>
      <w:tr>
        <w:trPr>
          <w:trHeight w:val="286"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开封广电同方数字电视有限公司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1,513,031.91</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416,198.79</w:t>
            </w:r>
          </w:p>
        </w:tc>
      </w:tr>
      <w:tr>
        <w:trPr>
          <w:trHeight w:val="286"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濮阳广电同方数字电视有限公司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1,488,759.51</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1,196,824.64</w:t>
            </w:r>
          </w:p>
        </w:tc>
      </w:tr>
      <w:tr>
        <w:trPr>
          <w:trHeight w:val="284"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上海魁马科技有限公司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1,298,998.27</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z w:val="18"/>
              </w:rPr>
              <w:t>0.00</w:t>
            </w:r>
          </w:p>
        </w:tc>
      </w:tr>
      <w:tr>
        <w:trPr>
          <w:trHeight w:val="284"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苏州博远容天信息科技股份有限公司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2" w:lineRule="exact"/>
              <w:ind w:right="311"/>
              <w:jc w:val="right"/>
              <w:rPr>
                <w:rFonts w:ascii="宋体" w:hAnsi="宋体" w:cs="宋体" w:eastAsia="宋体" w:hint="default"/>
                <w:sz w:val="18"/>
                <w:szCs w:val="18"/>
              </w:rPr>
            </w:pPr>
            <w:r>
              <w:rPr>
                <w:rFonts w:ascii="宋体"/>
                <w:spacing w:val="-1"/>
                <w:sz w:val="18"/>
              </w:rPr>
              <w:t>1,178,621.18</w:t>
            </w:r>
          </w:p>
        </w:tc>
        <w:tc>
          <w:tcPr>
            <w:tcW w:w="1734"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0.00</w:t>
            </w:r>
          </w:p>
        </w:tc>
      </w:tr>
      <w:tr>
        <w:trPr>
          <w:trHeight w:val="286"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运城市蓝星同方数字电视有限公司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1,101,558.01</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1,477,575.01</w:t>
            </w:r>
          </w:p>
        </w:tc>
      </w:tr>
      <w:tr>
        <w:trPr>
          <w:trHeight w:val="286"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日照广电同方数字电视有限公司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1,088,750.47</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977,748.14</w:t>
            </w:r>
          </w:p>
        </w:tc>
      </w:tr>
      <w:tr>
        <w:trPr>
          <w:trHeight w:val="285"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易程（苏州）电子科技股份有限公司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1,057,327.57</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1,038,333.30</w:t>
            </w:r>
          </w:p>
        </w:tc>
      </w:tr>
      <w:tr>
        <w:trPr>
          <w:trHeight w:val="284"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北京清控人居环境研究院有限公司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2" w:lineRule="exact"/>
              <w:ind w:right="311"/>
              <w:jc w:val="right"/>
              <w:rPr>
                <w:rFonts w:ascii="宋体" w:hAnsi="宋体" w:cs="宋体" w:eastAsia="宋体" w:hint="default"/>
                <w:sz w:val="18"/>
                <w:szCs w:val="18"/>
              </w:rPr>
            </w:pPr>
            <w:r>
              <w:rPr>
                <w:rFonts w:ascii="宋体"/>
                <w:spacing w:val="-1"/>
                <w:sz w:val="18"/>
              </w:rPr>
              <w:t>997,918.25</w:t>
            </w:r>
          </w:p>
        </w:tc>
        <w:tc>
          <w:tcPr>
            <w:tcW w:w="1734"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1,174,441.48</w:t>
            </w:r>
          </w:p>
        </w:tc>
      </w:tr>
      <w:tr>
        <w:trPr>
          <w:trHeight w:val="286"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北京厚持投资管理有限责任公司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905,438.66</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490,782.97</w:t>
            </w:r>
          </w:p>
        </w:tc>
      </w:tr>
      <w:tr>
        <w:trPr>
          <w:trHeight w:val="286"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许昌广电同方数字电视有限公司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853,308.32</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728,422.38</w:t>
            </w:r>
          </w:p>
        </w:tc>
      </w:tr>
      <w:tr>
        <w:trPr>
          <w:trHeight w:val="284"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北京朗视仪器有限公司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820,321.23</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z w:val="18"/>
              </w:rPr>
              <w:t>0.00</w:t>
            </w:r>
          </w:p>
        </w:tc>
      </w:tr>
      <w:tr>
        <w:trPr>
          <w:trHeight w:val="284"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南阳广电同方数字电视有限责任公司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2" w:lineRule="exact"/>
              <w:ind w:right="311"/>
              <w:jc w:val="right"/>
              <w:rPr>
                <w:rFonts w:ascii="宋体" w:hAnsi="宋体" w:cs="宋体" w:eastAsia="宋体" w:hint="default"/>
                <w:sz w:val="18"/>
                <w:szCs w:val="18"/>
              </w:rPr>
            </w:pPr>
            <w:r>
              <w:rPr>
                <w:rFonts w:ascii="宋体"/>
                <w:spacing w:val="-1"/>
                <w:sz w:val="18"/>
              </w:rPr>
              <w:t>720,395.40</w:t>
            </w:r>
          </w:p>
        </w:tc>
        <w:tc>
          <w:tcPr>
            <w:tcW w:w="1734"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1,523,004.02</w:t>
            </w:r>
          </w:p>
        </w:tc>
      </w:tr>
      <w:tr>
        <w:trPr>
          <w:trHeight w:val="286"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商丘同方恒泰数字电视有限公司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615,123.85</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1,451,925.21</w:t>
            </w:r>
          </w:p>
        </w:tc>
      </w:tr>
      <w:tr>
        <w:trPr>
          <w:trHeight w:val="286"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同方药业集团有限公司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614,946.06</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399,294.44</w:t>
            </w:r>
          </w:p>
        </w:tc>
      </w:tr>
      <w:tr>
        <w:trPr>
          <w:trHeight w:val="284"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泉州广电同方数字电视有限公司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542,127.51</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804,067.28</w:t>
            </w:r>
          </w:p>
        </w:tc>
      </w:tr>
      <w:tr>
        <w:trPr>
          <w:trHeight w:val="284"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深圳华控赛格股份有限公司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2" w:lineRule="exact"/>
              <w:ind w:right="311"/>
              <w:jc w:val="right"/>
              <w:rPr>
                <w:rFonts w:ascii="宋体" w:hAnsi="宋体" w:cs="宋体" w:eastAsia="宋体" w:hint="default"/>
                <w:sz w:val="18"/>
                <w:szCs w:val="18"/>
              </w:rPr>
            </w:pPr>
            <w:r>
              <w:rPr>
                <w:rFonts w:ascii="宋体"/>
                <w:spacing w:val="-1"/>
                <w:sz w:val="18"/>
              </w:rPr>
              <w:t>506,410.09</w:t>
            </w:r>
          </w:p>
        </w:tc>
        <w:tc>
          <w:tcPr>
            <w:tcW w:w="1734"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34,285.72</w:t>
            </w:r>
          </w:p>
        </w:tc>
      </w:tr>
      <w:tr>
        <w:trPr>
          <w:trHeight w:val="286"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天门广电同方数字电视有限公司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491,540.15</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475,501.71</w:t>
            </w:r>
          </w:p>
        </w:tc>
      </w:tr>
      <w:tr>
        <w:trPr>
          <w:trHeight w:val="286"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360,905.69</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140,564.89</w:t>
            </w:r>
          </w:p>
        </w:tc>
      </w:tr>
      <w:tr>
        <w:trPr>
          <w:trHeight w:val="285"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同方全球人寿保险有限公司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328,960.94</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322,499.30</w:t>
            </w:r>
          </w:p>
        </w:tc>
      </w:tr>
      <w:tr>
        <w:trPr>
          <w:trHeight w:val="285"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北京同方时讯电子股份有限公司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2" w:lineRule="exact"/>
              <w:ind w:right="311"/>
              <w:jc w:val="right"/>
              <w:rPr>
                <w:rFonts w:ascii="宋体" w:hAnsi="宋体" w:cs="宋体" w:eastAsia="宋体" w:hint="default"/>
                <w:sz w:val="18"/>
                <w:szCs w:val="18"/>
              </w:rPr>
            </w:pPr>
            <w:r>
              <w:rPr>
                <w:rFonts w:ascii="宋体"/>
                <w:spacing w:val="-1"/>
                <w:sz w:val="18"/>
              </w:rPr>
              <w:t>278,788.83</w:t>
            </w:r>
          </w:p>
        </w:tc>
        <w:tc>
          <w:tcPr>
            <w:tcW w:w="1734"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742,007.77</w:t>
            </w:r>
          </w:p>
        </w:tc>
      </w:tr>
      <w:tr>
        <w:trPr>
          <w:trHeight w:val="286"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张家口电广文化传媒有限公司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239,297.33</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388,097.72</w:t>
            </w:r>
          </w:p>
        </w:tc>
      </w:tr>
      <w:tr>
        <w:trPr>
          <w:trHeight w:val="286"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重庆康乐制药有限公司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235,849.05</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z w:val="18"/>
              </w:rPr>
              <w:t>0.00</w:t>
            </w:r>
          </w:p>
        </w:tc>
      </w:tr>
      <w:tr>
        <w:trPr>
          <w:trHeight w:val="284"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195,152.21</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896,235.79</w:t>
            </w:r>
          </w:p>
        </w:tc>
      </w:tr>
      <w:tr>
        <w:trPr>
          <w:trHeight w:val="284"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江西清华泰豪三波电机有限公司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2" w:lineRule="exact"/>
              <w:ind w:right="311"/>
              <w:jc w:val="right"/>
              <w:rPr>
                <w:rFonts w:ascii="宋体" w:hAnsi="宋体" w:cs="宋体" w:eastAsia="宋体" w:hint="default"/>
                <w:sz w:val="18"/>
                <w:szCs w:val="18"/>
              </w:rPr>
            </w:pPr>
            <w:r>
              <w:rPr>
                <w:rFonts w:ascii="宋体"/>
                <w:spacing w:val="-1"/>
                <w:sz w:val="18"/>
              </w:rPr>
              <w:t>147,169.81</w:t>
            </w:r>
          </w:p>
        </w:tc>
        <w:tc>
          <w:tcPr>
            <w:tcW w:w="1734"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0.00</w:t>
            </w:r>
          </w:p>
        </w:tc>
      </w:tr>
      <w:tr>
        <w:trPr>
          <w:trHeight w:val="286"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102,855.64</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132,490.91</w:t>
            </w:r>
          </w:p>
        </w:tc>
      </w:tr>
      <w:tr>
        <w:trPr>
          <w:trHeight w:val="286"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云南云电同方科技有限公司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36,989.57</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28,439.16</w:t>
            </w:r>
          </w:p>
        </w:tc>
      </w:tr>
      <w:tr>
        <w:trPr>
          <w:trHeight w:val="284"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洛阳同方数字电视有限公司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16,379.31</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26,265.12</w:t>
            </w:r>
          </w:p>
        </w:tc>
      </w:tr>
      <w:tr>
        <w:trPr>
          <w:trHeight w:val="284"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北京易程华创系统工程股份有限公司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2" w:lineRule="exact"/>
              <w:ind w:right="311"/>
              <w:jc w:val="right"/>
              <w:rPr>
                <w:rFonts w:ascii="宋体" w:hAnsi="宋体" w:cs="宋体" w:eastAsia="宋体" w:hint="default"/>
                <w:sz w:val="18"/>
                <w:szCs w:val="18"/>
              </w:rPr>
            </w:pPr>
            <w:r>
              <w:rPr>
                <w:rFonts w:ascii="宋体"/>
                <w:spacing w:val="-1"/>
                <w:sz w:val="18"/>
              </w:rPr>
              <w:t>15,997.45</w:t>
            </w:r>
          </w:p>
        </w:tc>
        <w:tc>
          <w:tcPr>
            <w:tcW w:w="1734"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3,428.58</w:t>
            </w:r>
          </w:p>
        </w:tc>
      </w:tr>
      <w:tr>
        <w:trPr>
          <w:trHeight w:val="286"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江西泰豪军工集团有限公司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9,811.32</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166,584.63</w:t>
            </w:r>
          </w:p>
        </w:tc>
      </w:tr>
      <w:tr>
        <w:trPr>
          <w:trHeight w:val="286"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北京辰安科技股份有限公司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1,915.83</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646,387.58</w:t>
            </w:r>
          </w:p>
        </w:tc>
      </w:tr>
      <w:tr>
        <w:trPr>
          <w:trHeight w:val="285"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华控创新（北京）药物研究院有限公司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pacing w:val="-1"/>
                <w:sz w:val="18"/>
              </w:rPr>
              <w:t>309.16</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10,435.90</w:t>
            </w:r>
          </w:p>
        </w:tc>
      </w:tr>
      <w:tr>
        <w:trPr>
          <w:trHeight w:val="285"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同方国信投资控股有限公司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2" w:lineRule="exact"/>
              <w:ind w:right="311"/>
              <w:jc w:val="right"/>
              <w:rPr>
                <w:rFonts w:ascii="宋体" w:hAnsi="宋体" w:cs="宋体" w:eastAsia="宋体" w:hint="default"/>
                <w:sz w:val="18"/>
                <w:szCs w:val="18"/>
              </w:rPr>
            </w:pPr>
            <w:r>
              <w:rPr>
                <w:rFonts w:ascii="宋体"/>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3,376,068.55</w:t>
            </w:r>
          </w:p>
        </w:tc>
      </w:tr>
      <w:tr>
        <w:trPr>
          <w:trHeight w:val="286"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380,169.69</w:t>
            </w:r>
          </w:p>
        </w:tc>
      </w:tr>
      <w:tr>
        <w:trPr>
          <w:trHeight w:val="286"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达州广电同方无线数字电视有限公司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105,427.35</w:t>
            </w:r>
          </w:p>
        </w:tc>
      </w:tr>
      <w:tr>
        <w:trPr>
          <w:trHeight w:val="284"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迁安市华控环境投资有限责任公司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68,777.78</w:t>
            </w:r>
          </w:p>
        </w:tc>
      </w:tr>
      <w:tr>
        <w:trPr>
          <w:trHeight w:val="284"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长春泰豪电子装备有限公司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2" w:lineRule="exact"/>
              <w:ind w:right="311"/>
              <w:jc w:val="right"/>
              <w:rPr>
                <w:rFonts w:ascii="宋体" w:hAnsi="宋体" w:cs="宋体" w:eastAsia="宋体" w:hint="default"/>
                <w:sz w:val="18"/>
                <w:szCs w:val="18"/>
              </w:rPr>
            </w:pPr>
            <w:r>
              <w:rPr>
                <w:rFonts w:ascii="宋体"/>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24,324.57</w:t>
            </w:r>
          </w:p>
        </w:tc>
      </w:tr>
      <w:tr>
        <w:trPr>
          <w:trHeight w:val="286"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北京华控康泰医疗健康管理有限公司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23,007.95</w:t>
            </w:r>
          </w:p>
        </w:tc>
      </w:tr>
      <w:tr>
        <w:trPr>
          <w:trHeight w:val="286"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sz w:val="18"/>
              </w:rPr>
              <w:t>Tongfang Kontafarma Holdings</w:t>
            </w:r>
            <w:r>
              <w:rPr>
                <w:rFonts w:ascii="宋体"/>
                <w:spacing w:val="-13"/>
                <w:sz w:val="18"/>
              </w:rPr>
              <w:t> </w:t>
            </w:r>
            <w:r>
              <w:rPr>
                <w:rFonts w:ascii="宋体"/>
                <w:sz w:val="18"/>
              </w:rPr>
              <w:t>Limited</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22,726.49</w:t>
            </w:r>
          </w:p>
        </w:tc>
      </w:tr>
      <w:tr>
        <w:trPr>
          <w:trHeight w:val="284"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陕西紫光辰济药业有限公司</w:t>
            </w:r>
          </w:p>
        </w:tc>
        <w:tc>
          <w:tcPr>
            <w:tcW w:w="2623" w:type="dxa"/>
            <w:tcBorders>
              <w:top w:val="nil" w:sz="6" w:space="0" w:color="auto"/>
              <w:left w:val="nil" w:sz="6" w:space="0" w:color="auto"/>
              <w:bottom w:val="nil" w:sz="6" w:space="0" w:color="auto"/>
              <w:right w:val="nil" w:sz="6" w:space="0" w:color="auto"/>
            </w:tcBorders>
          </w:tcPr>
          <w:p>
            <w:pPr>
              <w:pStyle w:val="TableParagraph"/>
              <w:spacing w:line="233" w:lineRule="exact"/>
              <w:ind w:right="311"/>
              <w:jc w:val="right"/>
              <w:rPr>
                <w:rFonts w:ascii="宋体" w:hAnsi="宋体" w:cs="宋体" w:eastAsia="宋体" w:hint="default"/>
                <w:sz w:val="18"/>
                <w:szCs w:val="18"/>
              </w:rPr>
            </w:pPr>
            <w:r>
              <w:rPr>
                <w:rFonts w:ascii="宋体"/>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19,000.02</w:t>
            </w:r>
          </w:p>
        </w:tc>
      </w:tr>
      <w:tr>
        <w:trPr>
          <w:trHeight w:val="300" w:hRule="exact"/>
        </w:trPr>
        <w:tc>
          <w:tcPr>
            <w:tcW w:w="4383" w:type="dxa"/>
            <w:tcBorders>
              <w:top w:val="nil" w:sz="6" w:space="0" w:color="auto"/>
              <w:left w:val="nil" w:sz="6" w:space="0" w:color="auto"/>
              <w:bottom w:val="single" w:sz="12"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深圳市前海弘泰基金管理有限公司</w:t>
            </w:r>
          </w:p>
        </w:tc>
        <w:tc>
          <w:tcPr>
            <w:tcW w:w="2623" w:type="dxa"/>
            <w:tcBorders>
              <w:top w:val="nil" w:sz="6" w:space="0" w:color="auto"/>
              <w:left w:val="nil" w:sz="6" w:space="0" w:color="auto"/>
              <w:bottom w:val="single" w:sz="12" w:space="0" w:color="000000"/>
              <w:right w:val="nil" w:sz="6" w:space="0" w:color="auto"/>
            </w:tcBorders>
          </w:tcPr>
          <w:p>
            <w:pPr>
              <w:pStyle w:val="TableParagraph"/>
              <w:spacing w:line="232" w:lineRule="exact"/>
              <w:ind w:right="311"/>
              <w:jc w:val="right"/>
              <w:rPr>
                <w:rFonts w:ascii="宋体" w:hAnsi="宋体" w:cs="宋体" w:eastAsia="宋体" w:hint="default"/>
                <w:sz w:val="18"/>
                <w:szCs w:val="18"/>
              </w:rPr>
            </w:pPr>
            <w:r>
              <w:rPr>
                <w:rFonts w:ascii="宋体"/>
                <w:sz w:val="18"/>
              </w:rPr>
              <w:t>0.00</w:t>
            </w:r>
          </w:p>
        </w:tc>
        <w:tc>
          <w:tcPr>
            <w:tcW w:w="1734" w:type="dxa"/>
            <w:tcBorders>
              <w:top w:val="nil" w:sz="6" w:space="0" w:color="auto"/>
              <w:left w:val="nil" w:sz="6" w:space="0" w:color="auto"/>
              <w:bottom w:val="single" w:sz="12"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12,769.23</w:t>
            </w:r>
          </w:p>
        </w:tc>
      </w:tr>
    </w:tbl>
    <w:p>
      <w:pPr>
        <w:spacing w:after="0" w:line="232" w:lineRule="exact"/>
        <w:jc w:val="right"/>
        <w:rPr>
          <w:rFonts w:ascii="宋体" w:hAnsi="宋体" w:cs="宋体" w:eastAsia="宋体" w:hint="default"/>
          <w:sz w:val="18"/>
          <w:szCs w:val="18"/>
        </w:rPr>
        <w:sectPr>
          <w:pgSz w:w="11910" w:h="16840"/>
          <w:pgMar w:header="0" w:footer="1034" w:top="1320" w:bottom="1220" w:left="1460" w:right="1480"/>
        </w:sectPr>
      </w:pPr>
    </w:p>
    <w:p>
      <w:pPr>
        <w:spacing w:line="240" w:lineRule="auto" w:before="4"/>
        <w:rPr>
          <w:rFonts w:ascii="Times New Roman" w:hAnsi="Times New Roman" w:cs="Times New Roman" w:eastAsia="Times New Roman"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4008"/>
        <w:gridCol w:w="2983"/>
        <w:gridCol w:w="1734"/>
      </w:tblGrid>
      <w:tr>
        <w:trPr>
          <w:trHeight w:val="305" w:hRule="exact"/>
        </w:trPr>
        <w:tc>
          <w:tcPr>
            <w:tcW w:w="400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98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380"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73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13"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6" w:hRule="exact"/>
        </w:trPr>
        <w:tc>
          <w:tcPr>
            <w:tcW w:w="4008" w:type="dxa"/>
            <w:tcBorders>
              <w:top w:val="single" w:sz="4" w:space="0" w:color="000000"/>
              <w:left w:val="nil" w:sz="6" w:space="0" w:color="auto"/>
              <w:bottom w:val="single" w:sz="4" w:space="0" w:color="000000"/>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深圳市华融泰资产管理有限公司</w:t>
            </w:r>
          </w:p>
        </w:tc>
        <w:tc>
          <w:tcPr>
            <w:tcW w:w="2983" w:type="dxa"/>
            <w:tcBorders>
              <w:top w:val="single" w:sz="4" w:space="0" w:color="000000"/>
              <w:left w:val="nil" w:sz="6" w:space="0" w:color="auto"/>
              <w:bottom w:val="single" w:sz="4" w:space="0" w:color="000000"/>
              <w:right w:val="nil" w:sz="6" w:space="0" w:color="auto"/>
            </w:tcBorders>
          </w:tcPr>
          <w:p>
            <w:pPr>
              <w:pStyle w:val="TableParagraph"/>
              <w:spacing w:line="235" w:lineRule="exact"/>
              <w:ind w:right="311"/>
              <w:jc w:val="right"/>
              <w:rPr>
                <w:rFonts w:ascii="宋体" w:hAnsi="宋体" w:cs="宋体" w:eastAsia="宋体" w:hint="default"/>
                <w:sz w:val="18"/>
                <w:szCs w:val="18"/>
              </w:rPr>
            </w:pPr>
            <w:r>
              <w:rPr>
                <w:rFonts w:ascii="宋体"/>
                <w:sz w:val="18"/>
              </w:rPr>
              <w:t>0.00</w:t>
            </w:r>
          </w:p>
        </w:tc>
        <w:tc>
          <w:tcPr>
            <w:tcW w:w="1734" w:type="dxa"/>
            <w:tcBorders>
              <w:top w:val="single" w:sz="4" w:space="0" w:color="000000"/>
              <w:left w:val="nil" w:sz="6" w:space="0" w:color="auto"/>
              <w:bottom w:val="single" w:sz="4" w:space="0" w:color="000000"/>
              <w:right w:val="nil" w:sz="6" w:space="0" w:color="auto"/>
            </w:tcBorders>
          </w:tcPr>
          <w:p>
            <w:pPr>
              <w:pStyle w:val="TableParagraph"/>
              <w:spacing w:line="235" w:lineRule="exact"/>
              <w:ind w:right="105"/>
              <w:jc w:val="right"/>
              <w:rPr>
                <w:rFonts w:ascii="宋体" w:hAnsi="宋体" w:cs="宋体" w:eastAsia="宋体" w:hint="default"/>
                <w:sz w:val="18"/>
                <w:szCs w:val="18"/>
              </w:rPr>
            </w:pPr>
            <w:r>
              <w:rPr>
                <w:rFonts w:ascii="宋体"/>
                <w:spacing w:val="-1"/>
                <w:sz w:val="18"/>
              </w:rPr>
              <w:t>10,529.91</w:t>
            </w:r>
          </w:p>
        </w:tc>
      </w:tr>
      <w:tr>
        <w:trPr>
          <w:trHeight w:val="305" w:hRule="exact"/>
        </w:trPr>
        <w:tc>
          <w:tcPr>
            <w:tcW w:w="4008" w:type="dxa"/>
            <w:tcBorders>
              <w:top w:val="single" w:sz="4" w:space="0" w:color="000000"/>
              <w:left w:val="nil" w:sz="6" w:space="0" w:color="auto"/>
              <w:bottom w:val="single" w:sz="12"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83" w:type="dxa"/>
            <w:tcBorders>
              <w:top w:val="single" w:sz="4" w:space="0" w:color="000000"/>
              <w:left w:val="nil" w:sz="6" w:space="0" w:color="auto"/>
              <w:bottom w:val="single" w:sz="12" w:space="0" w:color="000000"/>
              <w:right w:val="nil" w:sz="6" w:space="0" w:color="auto"/>
            </w:tcBorders>
          </w:tcPr>
          <w:p>
            <w:pPr>
              <w:pStyle w:val="TableParagraph"/>
              <w:spacing w:line="234" w:lineRule="exact"/>
              <w:ind w:right="312"/>
              <w:jc w:val="right"/>
              <w:rPr>
                <w:rFonts w:ascii="宋体" w:hAnsi="宋体" w:cs="宋体" w:eastAsia="宋体" w:hint="default"/>
                <w:sz w:val="18"/>
                <w:szCs w:val="18"/>
              </w:rPr>
            </w:pPr>
            <w:r>
              <w:rPr>
                <w:rFonts w:ascii="宋体"/>
                <w:b/>
                <w:w w:val="95"/>
                <w:sz w:val="18"/>
              </w:rPr>
              <w:t>176,935,494.88</w:t>
            </w:r>
            <w:r>
              <w:rPr>
                <w:rFonts w:ascii="宋体"/>
                <w:sz w:val="18"/>
              </w:rPr>
            </w:r>
          </w:p>
        </w:tc>
        <w:tc>
          <w:tcPr>
            <w:tcW w:w="1734" w:type="dxa"/>
            <w:tcBorders>
              <w:top w:val="single" w:sz="4" w:space="0" w:color="000000"/>
              <w:left w:val="nil" w:sz="6" w:space="0" w:color="auto"/>
              <w:bottom w:val="single" w:sz="12" w:space="0" w:color="000000"/>
              <w:right w:val="nil" w:sz="6" w:space="0" w:color="auto"/>
            </w:tcBorders>
          </w:tcPr>
          <w:p>
            <w:pPr>
              <w:pStyle w:val="TableParagraph"/>
              <w:spacing w:line="234" w:lineRule="exact"/>
              <w:ind w:right="106"/>
              <w:jc w:val="right"/>
              <w:rPr>
                <w:rFonts w:ascii="宋体" w:hAnsi="宋体" w:cs="宋体" w:eastAsia="宋体" w:hint="default"/>
                <w:sz w:val="18"/>
                <w:szCs w:val="18"/>
              </w:rPr>
            </w:pPr>
            <w:r>
              <w:rPr>
                <w:rFonts w:ascii="宋体"/>
                <w:b/>
                <w:w w:val="95"/>
                <w:sz w:val="18"/>
              </w:rPr>
              <w:t>145,471,962.84</w:t>
            </w:r>
            <w:r>
              <w:rPr>
                <w:rFonts w:ascii="宋体"/>
                <w:sz w:val="18"/>
              </w:rPr>
            </w:r>
          </w:p>
        </w:tc>
      </w:tr>
    </w:tbl>
    <w:p>
      <w:pPr>
        <w:spacing w:before="21"/>
        <w:ind w:left="67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17"/>
          <w:sz w:val="22"/>
          <w:szCs w:val="22"/>
        </w:rPr>
        <w:t> </w:t>
      </w:r>
      <w:r>
        <w:rPr>
          <w:rFonts w:ascii="宋体" w:hAnsi="宋体" w:cs="宋体" w:eastAsia="宋体" w:hint="default"/>
          <w:sz w:val="22"/>
          <w:szCs w:val="22"/>
        </w:rPr>
        <w:t>关联受托管理</w:t>
      </w:r>
    </w:p>
    <w:p>
      <w:pPr>
        <w:spacing w:line="240" w:lineRule="auto" w:before="8"/>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687"/>
        <w:gridCol w:w="1715"/>
        <w:gridCol w:w="1017"/>
        <w:gridCol w:w="1068"/>
        <w:gridCol w:w="1066"/>
        <w:gridCol w:w="1008"/>
        <w:gridCol w:w="1166"/>
      </w:tblGrid>
      <w:tr>
        <w:trPr>
          <w:trHeight w:val="487" w:hRule="exact"/>
        </w:trPr>
        <w:tc>
          <w:tcPr>
            <w:tcW w:w="1687"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108" w:right="0"/>
              <w:jc w:val="left"/>
              <w:rPr>
                <w:rFonts w:ascii="宋体" w:hAnsi="宋体" w:cs="宋体" w:eastAsia="宋体" w:hint="default"/>
                <w:sz w:val="18"/>
                <w:szCs w:val="18"/>
              </w:rPr>
            </w:pPr>
            <w:r>
              <w:rPr>
                <w:rFonts w:ascii="宋体" w:hAnsi="宋体" w:cs="宋体" w:eastAsia="宋体" w:hint="default"/>
                <w:b/>
                <w:bCs/>
                <w:sz w:val="18"/>
                <w:szCs w:val="18"/>
              </w:rPr>
              <w:t>委托方名称</w:t>
            </w:r>
            <w:r>
              <w:rPr>
                <w:rFonts w:ascii="宋体" w:hAnsi="宋体" w:cs="宋体" w:eastAsia="宋体" w:hint="default"/>
                <w:sz w:val="18"/>
                <w:szCs w:val="18"/>
              </w:rPr>
            </w:r>
          </w:p>
        </w:tc>
        <w:tc>
          <w:tcPr>
            <w:tcW w:w="1715"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430" w:right="0"/>
              <w:jc w:val="left"/>
              <w:rPr>
                <w:rFonts w:ascii="宋体" w:hAnsi="宋体" w:cs="宋体" w:eastAsia="宋体" w:hint="default"/>
                <w:sz w:val="18"/>
                <w:szCs w:val="18"/>
              </w:rPr>
            </w:pPr>
            <w:r>
              <w:rPr>
                <w:rFonts w:ascii="宋体" w:hAnsi="宋体" w:cs="宋体" w:eastAsia="宋体" w:hint="default"/>
                <w:b/>
                <w:bCs/>
                <w:sz w:val="18"/>
                <w:szCs w:val="18"/>
              </w:rPr>
              <w:t>受托方名称</w:t>
            </w:r>
            <w:r>
              <w:rPr>
                <w:rFonts w:ascii="宋体" w:hAnsi="宋体" w:cs="宋体" w:eastAsia="宋体" w:hint="default"/>
                <w:sz w:val="18"/>
                <w:szCs w:val="18"/>
              </w:rPr>
            </w:r>
          </w:p>
        </w:tc>
        <w:tc>
          <w:tcPr>
            <w:tcW w:w="1017" w:type="dxa"/>
            <w:tcBorders>
              <w:top w:val="single" w:sz="12" w:space="0" w:color="000000"/>
              <w:left w:val="nil" w:sz="6" w:space="0" w:color="auto"/>
              <w:bottom w:val="single" w:sz="4" w:space="0" w:color="000000"/>
              <w:right w:val="nil" w:sz="6" w:space="0" w:color="auto"/>
            </w:tcBorders>
          </w:tcPr>
          <w:p>
            <w:pPr>
              <w:pStyle w:val="TableParagraph"/>
              <w:spacing w:line="206" w:lineRule="exact"/>
              <w:ind w:right="20"/>
              <w:jc w:val="center"/>
              <w:rPr>
                <w:rFonts w:ascii="宋体" w:hAnsi="宋体" w:cs="宋体" w:eastAsia="宋体" w:hint="default"/>
                <w:sz w:val="18"/>
                <w:szCs w:val="18"/>
              </w:rPr>
            </w:pPr>
            <w:r>
              <w:rPr>
                <w:rFonts w:ascii="宋体" w:hAnsi="宋体" w:cs="宋体" w:eastAsia="宋体" w:hint="default"/>
                <w:b/>
                <w:bCs/>
                <w:sz w:val="18"/>
                <w:szCs w:val="18"/>
              </w:rPr>
              <w:t>受托资产</w:t>
            </w:r>
            <w:r>
              <w:rPr>
                <w:rFonts w:ascii="宋体" w:hAnsi="宋体" w:cs="宋体" w:eastAsia="宋体" w:hint="default"/>
                <w:sz w:val="18"/>
                <w:szCs w:val="18"/>
              </w:rPr>
            </w:r>
          </w:p>
          <w:p>
            <w:pPr>
              <w:pStyle w:val="TableParagraph"/>
              <w:spacing w:line="234" w:lineRule="exact"/>
              <w:ind w:right="18"/>
              <w:jc w:val="center"/>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1068" w:type="dxa"/>
            <w:tcBorders>
              <w:top w:val="single" w:sz="12" w:space="0" w:color="000000"/>
              <w:left w:val="nil" w:sz="6" w:space="0" w:color="auto"/>
              <w:bottom w:val="single" w:sz="4" w:space="0" w:color="000000"/>
              <w:right w:val="nil" w:sz="6" w:space="0" w:color="auto"/>
            </w:tcBorders>
          </w:tcPr>
          <w:p>
            <w:pPr>
              <w:pStyle w:val="TableParagraph"/>
              <w:spacing w:line="206" w:lineRule="exact"/>
              <w:ind w:left="247" w:right="0" w:firstLine="88"/>
              <w:jc w:val="left"/>
              <w:rPr>
                <w:rFonts w:ascii="宋体" w:hAnsi="宋体" w:cs="宋体" w:eastAsia="宋体" w:hint="default"/>
                <w:sz w:val="18"/>
                <w:szCs w:val="18"/>
              </w:rPr>
            </w:pPr>
            <w:r>
              <w:rPr>
                <w:rFonts w:ascii="宋体" w:hAnsi="宋体" w:cs="宋体" w:eastAsia="宋体" w:hint="default"/>
                <w:b/>
                <w:bCs/>
                <w:sz w:val="18"/>
                <w:szCs w:val="18"/>
              </w:rPr>
              <w:t>受托</w:t>
            </w:r>
            <w:r>
              <w:rPr>
                <w:rFonts w:ascii="宋体" w:hAnsi="宋体" w:cs="宋体" w:eastAsia="宋体" w:hint="default"/>
                <w:sz w:val="18"/>
                <w:szCs w:val="18"/>
              </w:rPr>
            </w:r>
          </w:p>
          <w:p>
            <w:pPr>
              <w:pStyle w:val="TableParagraph"/>
              <w:spacing w:line="234" w:lineRule="exact"/>
              <w:ind w:left="247" w:right="0"/>
              <w:jc w:val="left"/>
              <w:rPr>
                <w:rFonts w:ascii="宋体" w:hAnsi="宋体" w:cs="宋体" w:eastAsia="宋体" w:hint="default"/>
                <w:sz w:val="18"/>
                <w:szCs w:val="18"/>
              </w:rPr>
            </w:pPr>
            <w:r>
              <w:rPr>
                <w:rFonts w:ascii="宋体" w:hAnsi="宋体" w:cs="宋体" w:eastAsia="宋体" w:hint="default"/>
                <w:b/>
                <w:bCs/>
                <w:sz w:val="18"/>
                <w:szCs w:val="18"/>
              </w:rPr>
              <w:t>起始日</w:t>
            </w:r>
            <w:r>
              <w:rPr>
                <w:rFonts w:ascii="宋体" w:hAnsi="宋体" w:cs="宋体" w:eastAsia="宋体" w:hint="default"/>
                <w:sz w:val="18"/>
                <w:szCs w:val="18"/>
              </w:rPr>
            </w:r>
          </w:p>
        </w:tc>
        <w:tc>
          <w:tcPr>
            <w:tcW w:w="1066" w:type="dxa"/>
            <w:tcBorders>
              <w:top w:val="single" w:sz="12" w:space="0" w:color="000000"/>
              <w:left w:val="nil" w:sz="6" w:space="0" w:color="auto"/>
              <w:bottom w:val="single" w:sz="4" w:space="0" w:color="000000"/>
              <w:right w:val="nil" w:sz="6" w:space="0" w:color="auto"/>
            </w:tcBorders>
          </w:tcPr>
          <w:p>
            <w:pPr>
              <w:pStyle w:val="TableParagraph"/>
              <w:spacing w:line="206" w:lineRule="exact"/>
              <w:ind w:left="276" w:right="0" w:firstLine="91"/>
              <w:jc w:val="left"/>
              <w:rPr>
                <w:rFonts w:ascii="宋体" w:hAnsi="宋体" w:cs="宋体" w:eastAsia="宋体" w:hint="default"/>
                <w:sz w:val="18"/>
                <w:szCs w:val="18"/>
              </w:rPr>
            </w:pPr>
            <w:r>
              <w:rPr>
                <w:rFonts w:ascii="宋体" w:hAnsi="宋体" w:cs="宋体" w:eastAsia="宋体" w:hint="default"/>
                <w:b/>
                <w:bCs/>
                <w:sz w:val="18"/>
                <w:szCs w:val="18"/>
              </w:rPr>
              <w:t>受托</w:t>
            </w:r>
            <w:r>
              <w:rPr>
                <w:rFonts w:ascii="宋体" w:hAnsi="宋体" w:cs="宋体" w:eastAsia="宋体" w:hint="default"/>
                <w:sz w:val="18"/>
                <w:szCs w:val="18"/>
              </w:rPr>
            </w:r>
          </w:p>
          <w:p>
            <w:pPr>
              <w:pStyle w:val="TableParagraph"/>
              <w:spacing w:line="234" w:lineRule="exact"/>
              <w:ind w:left="276" w:right="0"/>
              <w:jc w:val="left"/>
              <w:rPr>
                <w:rFonts w:ascii="宋体" w:hAnsi="宋体" w:cs="宋体" w:eastAsia="宋体" w:hint="default"/>
                <w:sz w:val="18"/>
                <w:szCs w:val="18"/>
              </w:rPr>
            </w:pPr>
            <w:r>
              <w:rPr>
                <w:rFonts w:ascii="宋体" w:hAnsi="宋体" w:cs="宋体" w:eastAsia="宋体" w:hint="default"/>
                <w:b/>
                <w:bCs/>
                <w:sz w:val="18"/>
                <w:szCs w:val="18"/>
              </w:rPr>
              <w:t>终止日</w:t>
            </w:r>
            <w:r>
              <w:rPr>
                <w:rFonts w:ascii="宋体" w:hAnsi="宋体" w:cs="宋体" w:eastAsia="宋体" w:hint="default"/>
                <w:sz w:val="18"/>
                <w:szCs w:val="18"/>
              </w:rPr>
            </w:r>
          </w:p>
        </w:tc>
        <w:tc>
          <w:tcPr>
            <w:tcW w:w="1008" w:type="dxa"/>
            <w:tcBorders>
              <w:top w:val="single" w:sz="12" w:space="0" w:color="000000"/>
              <w:left w:val="nil" w:sz="6" w:space="0" w:color="auto"/>
              <w:bottom w:val="single" w:sz="4" w:space="0" w:color="000000"/>
              <w:right w:val="nil" w:sz="6" w:space="0" w:color="auto"/>
            </w:tcBorders>
          </w:tcPr>
          <w:p>
            <w:pPr>
              <w:pStyle w:val="TableParagraph"/>
              <w:spacing w:line="206" w:lineRule="exact"/>
              <w:ind w:left="156" w:right="0"/>
              <w:jc w:val="left"/>
              <w:rPr>
                <w:rFonts w:ascii="宋体" w:hAnsi="宋体" w:cs="宋体" w:eastAsia="宋体" w:hint="default"/>
                <w:sz w:val="18"/>
                <w:szCs w:val="18"/>
              </w:rPr>
            </w:pPr>
            <w:r>
              <w:rPr>
                <w:rFonts w:ascii="宋体" w:hAnsi="宋体" w:cs="宋体" w:eastAsia="宋体" w:hint="default"/>
                <w:b/>
                <w:bCs/>
                <w:sz w:val="18"/>
                <w:szCs w:val="18"/>
              </w:rPr>
              <w:t>托管收益</w:t>
            </w:r>
            <w:r>
              <w:rPr>
                <w:rFonts w:ascii="宋体" w:hAnsi="宋体" w:cs="宋体" w:eastAsia="宋体" w:hint="default"/>
                <w:sz w:val="18"/>
                <w:szCs w:val="18"/>
              </w:rPr>
            </w:r>
          </w:p>
          <w:p>
            <w:pPr>
              <w:pStyle w:val="TableParagraph"/>
              <w:spacing w:line="234" w:lineRule="exact"/>
              <w:ind w:left="156" w:right="0"/>
              <w:jc w:val="left"/>
              <w:rPr>
                <w:rFonts w:ascii="宋体" w:hAnsi="宋体" w:cs="宋体" w:eastAsia="宋体" w:hint="default"/>
                <w:sz w:val="18"/>
                <w:szCs w:val="18"/>
              </w:rPr>
            </w:pPr>
            <w:r>
              <w:rPr>
                <w:rFonts w:ascii="宋体" w:hAnsi="宋体" w:cs="宋体" w:eastAsia="宋体" w:hint="default"/>
                <w:b/>
                <w:bCs/>
                <w:sz w:val="18"/>
                <w:szCs w:val="18"/>
              </w:rPr>
              <w:t>定价依据</w:t>
            </w:r>
            <w:r>
              <w:rPr>
                <w:rFonts w:ascii="宋体" w:hAnsi="宋体" w:cs="宋体" w:eastAsia="宋体" w:hint="default"/>
                <w:sz w:val="18"/>
                <w:szCs w:val="18"/>
              </w:rPr>
            </w:r>
          </w:p>
        </w:tc>
        <w:tc>
          <w:tcPr>
            <w:tcW w:w="1166" w:type="dxa"/>
            <w:tcBorders>
              <w:top w:val="single" w:sz="12" w:space="0" w:color="000000"/>
              <w:left w:val="nil" w:sz="6" w:space="0" w:color="auto"/>
              <w:bottom w:val="single" w:sz="4" w:space="0" w:color="000000"/>
              <w:right w:val="nil" w:sz="6" w:space="0" w:color="auto"/>
            </w:tcBorders>
          </w:tcPr>
          <w:p>
            <w:pPr>
              <w:pStyle w:val="TableParagraph"/>
              <w:spacing w:line="206" w:lineRule="exact"/>
              <w:ind w:left="220" w:right="0" w:hanging="92"/>
              <w:jc w:val="left"/>
              <w:rPr>
                <w:rFonts w:ascii="宋体" w:hAnsi="宋体" w:cs="宋体" w:eastAsia="宋体" w:hint="default"/>
                <w:sz w:val="18"/>
                <w:szCs w:val="18"/>
              </w:rPr>
            </w:pPr>
            <w:r>
              <w:rPr>
                <w:rFonts w:ascii="宋体" w:hAnsi="宋体" w:cs="宋体" w:eastAsia="宋体" w:hint="default"/>
                <w:b/>
                <w:bCs/>
                <w:sz w:val="18"/>
                <w:szCs w:val="18"/>
              </w:rPr>
              <w:t>本年确认的</w:t>
            </w:r>
            <w:r>
              <w:rPr>
                <w:rFonts w:ascii="宋体" w:hAnsi="宋体" w:cs="宋体" w:eastAsia="宋体" w:hint="default"/>
                <w:sz w:val="18"/>
                <w:szCs w:val="18"/>
              </w:rPr>
            </w:r>
          </w:p>
          <w:p>
            <w:pPr>
              <w:pStyle w:val="TableParagraph"/>
              <w:spacing w:line="234" w:lineRule="exact"/>
              <w:ind w:left="220" w:right="0"/>
              <w:jc w:val="left"/>
              <w:rPr>
                <w:rFonts w:ascii="宋体" w:hAnsi="宋体" w:cs="宋体" w:eastAsia="宋体" w:hint="default"/>
                <w:sz w:val="18"/>
                <w:szCs w:val="18"/>
              </w:rPr>
            </w:pPr>
            <w:r>
              <w:rPr>
                <w:rFonts w:ascii="宋体" w:hAnsi="宋体" w:cs="宋体" w:eastAsia="宋体" w:hint="default"/>
                <w:b/>
                <w:bCs/>
                <w:sz w:val="18"/>
                <w:szCs w:val="18"/>
              </w:rPr>
              <w:t>托管收益</w:t>
            </w:r>
            <w:r>
              <w:rPr>
                <w:rFonts w:ascii="宋体" w:hAnsi="宋体" w:cs="宋体" w:eastAsia="宋体" w:hint="default"/>
                <w:sz w:val="18"/>
                <w:szCs w:val="18"/>
              </w:rPr>
            </w:r>
          </w:p>
        </w:tc>
      </w:tr>
      <w:tr>
        <w:trPr>
          <w:trHeight w:val="487" w:hRule="exact"/>
        </w:trPr>
        <w:tc>
          <w:tcPr>
            <w:tcW w:w="1687"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left="108"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715" w:type="dxa"/>
            <w:tcBorders>
              <w:top w:val="single" w:sz="4" w:space="0" w:color="000000"/>
              <w:left w:val="nil" w:sz="6" w:space="0" w:color="auto"/>
              <w:bottom w:val="single" w:sz="12" w:space="0" w:color="000000"/>
              <w:right w:val="nil" w:sz="6" w:space="0" w:color="auto"/>
            </w:tcBorders>
          </w:tcPr>
          <w:p>
            <w:pPr>
              <w:pStyle w:val="TableParagraph"/>
              <w:spacing w:line="204" w:lineRule="exact"/>
              <w:ind w:left="139" w:right="0"/>
              <w:jc w:val="left"/>
              <w:rPr>
                <w:rFonts w:ascii="宋体" w:hAnsi="宋体" w:cs="宋体" w:eastAsia="宋体" w:hint="default"/>
                <w:sz w:val="18"/>
                <w:szCs w:val="18"/>
              </w:rPr>
            </w:pPr>
            <w:r>
              <w:rPr>
                <w:rFonts w:ascii="宋体" w:hAnsi="宋体" w:cs="宋体" w:eastAsia="宋体" w:hint="default"/>
                <w:sz w:val="18"/>
                <w:szCs w:val="18"/>
              </w:rPr>
              <w:t>同方知网数字出版</w:t>
            </w:r>
          </w:p>
          <w:p>
            <w:pPr>
              <w:pStyle w:val="TableParagraph"/>
              <w:spacing w:line="234" w:lineRule="exact"/>
              <w:ind w:left="139" w:right="0"/>
              <w:jc w:val="left"/>
              <w:rPr>
                <w:rFonts w:ascii="宋体" w:hAnsi="宋体" w:cs="宋体" w:eastAsia="宋体" w:hint="default"/>
                <w:sz w:val="18"/>
                <w:szCs w:val="18"/>
              </w:rPr>
            </w:pPr>
            <w:r>
              <w:rPr>
                <w:rFonts w:ascii="宋体" w:hAnsi="宋体" w:cs="宋体" w:eastAsia="宋体" w:hint="default"/>
                <w:sz w:val="18"/>
                <w:szCs w:val="18"/>
              </w:rPr>
              <w:t>技术股份有限公司</w:t>
            </w:r>
          </w:p>
        </w:tc>
        <w:tc>
          <w:tcPr>
            <w:tcW w:w="1017"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left="135" w:right="0"/>
              <w:jc w:val="left"/>
              <w:rPr>
                <w:rFonts w:ascii="宋体" w:hAnsi="宋体" w:cs="宋体" w:eastAsia="宋体" w:hint="default"/>
                <w:sz w:val="18"/>
                <w:szCs w:val="18"/>
              </w:rPr>
            </w:pPr>
            <w:r>
              <w:rPr>
                <w:rFonts w:ascii="宋体" w:hAnsi="宋体" w:cs="宋体" w:eastAsia="宋体" w:hint="default"/>
                <w:sz w:val="18"/>
                <w:szCs w:val="18"/>
              </w:rPr>
              <w:t>资产托管</w:t>
            </w:r>
          </w:p>
        </w:tc>
        <w:tc>
          <w:tcPr>
            <w:tcW w:w="1068"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left="158" w:right="0"/>
              <w:jc w:val="left"/>
              <w:rPr>
                <w:rFonts w:ascii="宋体" w:hAnsi="宋体" w:cs="宋体" w:eastAsia="宋体" w:hint="default"/>
                <w:sz w:val="18"/>
                <w:szCs w:val="18"/>
              </w:rPr>
            </w:pPr>
            <w:r>
              <w:rPr>
                <w:rFonts w:ascii="宋体"/>
                <w:sz w:val="18"/>
              </w:rPr>
              <w:t>2014-4-1</w:t>
            </w:r>
          </w:p>
        </w:tc>
        <w:tc>
          <w:tcPr>
            <w:tcW w:w="1066"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left="187" w:right="0"/>
              <w:jc w:val="left"/>
              <w:rPr>
                <w:rFonts w:ascii="宋体" w:hAnsi="宋体" w:cs="宋体" w:eastAsia="宋体" w:hint="default"/>
                <w:sz w:val="18"/>
                <w:szCs w:val="18"/>
              </w:rPr>
            </w:pPr>
            <w:r>
              <w:rPr>
                <w:rFonts w:ascii="宋体"/>
                <w:sz w:val="18"/>
              </w:rPr>
              <w:t>2024-4-1</w:t>
            </w:r>
          </w:p>
        </w:tc>
        <w:tc>
          <w:tcPr>
            <w:tcW w:w="1008"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left="29"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66"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97" w:lineRule="auto" w:before="21"/>
        <w:ind w:left="222" w:right="217" w:firstLine="439"/>
        <w:jc w:val="both"/>
        <w:rPr>
          <w:rFonts w:ascii="宋体" w:hAnsi="宋体" w:cs="宋体" w:eastAsia="宋体" w:hint="default"/>
          <w:sz w:val="22"/>
          <w:szCs w:val="22"/>
        </w:rPr>
      </w:pPr>
      <w:r>
        <w:rPr>
          <w:rFonts w:ascii="宋体" w:hAnsi="宋体" w:cs="宋体" w:eastAsia="宋体" w:hint="default"/>
          <w:spacing w:val="-3"/>
          <w:sz w:val="22"/>
          <w:szCs w:val="22"/>
        </w:rPr>
        <w:t>作为清华控股有限公司受让《中国学术期刊（光盘版）》电子杂志社有限公司出资权</w:t>
      </w:r>
      <w:r>
        <w:rPr>
          <w:rFonts w:ascii="宋体" w:hAnsi="宋体" w:cs="宋体" w:eastAsia="宋体" w:hint="default"/>
          <w:w w:val="100"/>
          <w:sz w:val="22"/>
          <w:szCs w:val="22"/>
        </w:rPr>
        <w:t> </w:t>
      </w:r>
      <w:r>
        <w:rPr>
          <w:rFonts w:ascii="宋体" w:hAnsi="宋体" w:cs="宋体" w:eastAsia="宋体" w:hint="default"/>
          <w:spacing w:val="-3"/>
          <w:sz w:val="22"/>
          <w:szCs w:val="22"/>
        </w:rPr>
        <w:t>益的附加条件，同方知网数字出版技术股份有限公司同意接受清华控股有限公司委托，代</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为行使电子杂志社的管理权和经营决策权。</w:t>
      </w:r>
    </w:p>
    <w:p>
      <w:pPr>
        <w:spacing w:before="77"/>
        <w:ind w:left="67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18"/>
          <w:sz w:val="22"/>
          <w:szCs w:val="22"/>
        </w:rPr>
        <w:t> </w:t>
      </w:r>
      <w:r>
        <w:rPr>
          <w:rFonts w:ascii="宋体" w:hAnsi="宋体" w:cs="宋体" w:eastAsia="宋体" w:hint="default"/>
          <w:sz w:val="22"/>
          <w:szCs w:val="22"/>
        </w:rPr>
        <w:t>关联方出租情况</w:t>
      </w:r>
    </w:p>
    <w:p>
      <w:pPr>
        <w:spacing w:before="113"/>
        <w:ind w:left="675" w:right="3346"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12"/>
          <w:sz w:val="22"/>
          <w:szCs w:val="22"/>
        </w:rPr>
        <w:t> </w:t>
      </w:r>
      <w:r>
        <w:rPr>
          <w:rFonts w:ascii="宋体" w:hAnsi="宋体" w:cs="宋体" w:eastAsia="宋体" w:hint="default"/>
          <w:sz w:val="22"/>
          <w:szCs w:val="22"/>
        </w:rPr>
        <w:t>出租情况</w:t>
      </w:r>
    </w:p>
    <w:p>
      <w:pPr>
        <w:spacing w:line="240" w:lineRule="auto" w:before="11"/>
        <w:rPr>
          <w:rFonts w:ascii="宋体" w:hAnsi="宋体" w:cs="宋体" w:eastAsia="宋体" w:hint="default"/>
          <w:sz w:val="10"/>
          <w:szCs w:val="10"/>
        </w:rPr>
      </w:pPr>
    </w:p>
    <w:tbl>
      <w:tblPr>
        <w:tblW w:w="0" w:type="auto"/>
        <w:jc w:val="left"/>
        <w:tblInd w:w="164" w:type="dxa"/>
        <w:tblLayout w:type="fixed"/>
        <w:tblCellMar>
          <w:top w:w="0" w:type="dxa"/>
          <w:left w:w="0" w:type="dxa"/>
          <w:bottom w:w="0" w:type="dxa"/>
          <w:right w:w="0" w:type="dxa"/>
        </w:tblCellMar>
        <w:tblLook w:val="01E0"/>
      </w:tblPr>
      <w:tblGrid>
        <w:gridCol w:w="1787"/>
        <w:gridCol w:w="2766"/>
        <w:gridCol w:w="1444"/>
        <w:gridCol w:w="1364"/>
        <w:gridCol w:w="1292"/>
      </w:tblGrid>
      <w:tr>
        <w:trPr>
          <w:trHeight w:val="461" w:hRule="exact"/>
        </w:trPr>
        <w:tc>
          <w:tcPr>
            <w:tcW w:w="1787" w:type="dxa"/>
            <w:tcBorders>
              <w:top w:val="single" w:sz="12" w:space="0" w:color="000000"/>
              <w:left w:val="nil" w:sz="6" w:space="0" w:color="auto"/>
              <w:bottom w:val="single" w:sz="4" w:space="0" w:color="000000"/>
              <w:right w:val="nil" w:sz="6" w:space="0" w:color="auto"/>
            </w:tcBorders>
          </w:tcPr>
          <w:p>
            <w:pPr>
              <w:pStyle w:val="TableParagraph"/>
              <w:spacing w:line="240" w:lineRule="auto" w:before="77"/>
              <w:ind w:left="57"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2766" w:type="dxa"/>
            <w:tcBorders>
              <w:top w:val="single" w:sz="12" w:space="0" w:color="000000"/>
              <w:left w:val="nil" w:sz="6" w:space="0" w:color="auto"/>
              <w:bottom w:val="single" w:sz="4" w:space="0" w:color="000000"/>
              <w:right w:val="nil" w:sz="6" w:space="0" w:color="auto"/>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承租方名称</w:t>
            </w:r>
            <w:r>
              <w:rPr>
                <w:rFonts w:ascii="宋体" w:hAnsi="宋体" w:cs="宋体" w:eastAsia="宋体" w:hint="default"/>
                <w:sz w:val="18"/>
                <w:szCs w:val="18"/>
              </w:rPr>
            </w:r>
          </w:p>
        </w:tc>
        <w:tc>
          <w:tcPr>
            <w:tcW w:w="1444" w:type="dxa"/>
            <w:tcBorders>
              <w:top w:val="single" w:sz="12" w:space="0" w:color="000000"/>
              <w:left w:val="nil" w:sz="6" w:space="0" w:color="auto"/>
              <w:bottom w:val="single" w:sz="4" w:space="0" w:color="000000"/>
              <w:right w:val="nil" w:sz="6" w:space="0" w:color="auto"/>
            </w:tcBorders>
          </w:tcPr>
          <w:p>
            <w:pPr>
              <w:pStyle w:val="TableParagraph"/>
              <w:spacing w:line="240" w:lineRule="auto" w:before="77"/>
              <w:ind w:right="153"/>
              <w:jc w:val="right"/>
              <w:rPr>
                <w:rFonts w:ascii="宋体" w:hAnsi="宋体" w:cs="宋体" w:eastAsia="宋体" w:hint="default"/>
                <w:sz w:val="18"/>
                <w:szCs w:val="18"/>
              </w:rPr>
            </w:pPr>
            <w:r>
              <w:rPr>
                <w:rFonts w:ascii="宋体" w:hAnsi="宋体" w:cs="宋体" w:eastAsia="宋体" w:hint="default"/>
                <w:b/>
                <w:bCs/>
                <w:w w:val="95"/>
                <w:sz w:val="18"/>
                <w:szCs w:val="18"/>
              </w:rPr>
              <w:t>租赁资产种类</w:t>
            </w:r>
            <w:r>
              <w:rPr>
                <w:rFonts w:ascii="宋体" w:hAnsi="宋体" w:cs="宋体" w:eastAsia="宋体" w:hint="default"/>
                <w:sz w:val="18"/>
                <w:szCs w:val="18"/>
              </w:rPr>
            </w:r>
          </w:p>
        </w:tc>
        <w:tc>
          <w:tcPr>
            <w:tcW w:w="1364" w:type="dxa"/>
            <w:tcBorders>
              <w:top w:val="single" w:sz="12" w:space="0" w:color="000000"/>
              <w:left w:val="nil" w:sz="6" w:space="0" w:color="auto"/>
              <w:bottom w:val="single" w:sz="4" w:space="0" w:color="000000"/>
              <w:right w:val="nil" w:sz="6" w:space="0" w:color="auto"/>
            </w:tcBorders>
          </w:tcPr>
          <w:p>
            <w:pPr>
              <w:pStyle w:val="TableParagraph"/>
              <w:spacing w:line="218" w:lineRule="exact" w:before="3"/>
              <w:ind w:left="435" w:right="114" w:hanging="272"/>
              <w:jc w:val="left"/>
              <w:rPr>
                <w:rFonts w:ascii="宋体" w:hAnsi="宋体" w:cs="宋体" w:eastAsia="宋体" w:hint="default"/>
                <w:sz w:val="18"/>
                <w:szCs w:val="18"/>
              </w:rPr>
            </w:pPr>
            <w:r>
              <w:rPr>
                <w:rFonts w:ascii="宋体" w:hAnsi="宋体" w:cs="宋体" w:eastAsia="宋体" w:hint="default"/>
                <w:b/>
                <w:bCs/>
                <w:sz w:val="18"/>
                <w:szCs w:val="18"/>
              </w:rPr>
              <w:t>本年确认的租</w:t>
            </w:r>
            <w:r>
              <w:rPr>
                <w:rFonts w:ascii="宋体" w:hAnsi="宋体" w:cs="宋体" w:eastAsia="宋体" w:hint="default"/>
                <w:b/>
                <w:bCs/>
                <w:w w:val="99"/>
                <w:sz w:val="18"/>
                <w:szCs w:val="18"/>
              </w:rPr>
              <w:t> </w:t>
            </w:r>
            <w:r>
              <w:rPr>
                <w:rFonts w:ascii="宋体" w:hAnsi="宋体" w:cs="宋体" w:eastAsia="宋体" w:hint="default"/>
                <w:b/>
                <w:bCs/>
                <w:sz w:val="18"/>
                <w:szCs w:val="18"/>
              </w:rPr>
              <w:t>赁收益</w:t>
            </w:r>
            <w:r>
              <w:rPr>
                <w:rFonts w:ascii="宋体" w:hAnsi="宋体" w:cs="宋体" w:eastAsia="宋体" w:hint="default"/>
                <w:sz w:val="18"/>
                <w:szCs w:val="18"/>
              </w:rPr>
            </w:r>
          </w:p>
        </w:tc>
        <w:tc>
          <w:tcPr>
            <w:tcW w:w="1292" w:type="dxa"/>
            <w:tcBorders>
              <w:top w:val="single" w:sz="12" w:space="0" w:color="000000"/>
              <w:left w:val="nil" w:sz="6" w:space="0" w:color="auto"/>
              <w:bottom w:val="single" w:sz="4" w:space="0" w:color="000000"/>
              <w:right w:val="nil" w:sz="6" w:space="0" w:color="auto"/>
            </w:tcBorders>
          </w:tcPr>
          <w:p>
            <w:pPr>
              <w:pStyle w:val="TableParagraph"/>
              <w:spacing w:line="218" w:lineRule="exact" w:before="3"/>
              <w:ind w:left="375" w:right="101" w:hanging="272"/>
              <w:jc w:val="left"/>
              <w:rPr>
                <w:rFonts w:ascii="宋体" w:hAnsi="宋体" w:cs="宋体" w:eastAsia="宋体" w:hint="default"/>
                <w:sz w:val="18"/>
                <w:szCs w:val="18"/>
              </w:rPr>
            </w:pPr>
            <w:r>
              <w:rPr>
                <w:rFonts w:ascii="宋体" w:hAnsi="宋体" w:cs="宋体" w:eastAsia="宋体" w:hint="default"/>
                <w:b/>
                <w:bCs/>
                <w:sz w:val="18"/>
                <w:szCs w:val="18"/>
              </w:rPr>
              <w:t>上年确认的租</w:t>
            </w:r>
            <w:r>
              <w:rPr>
                <w:rFonts w:ascii="宋体" w:hAnsi="宋体" w:cs="宋体" w:eastAsia="宋体" w:hint="default"/>
                <w:b/>
                <w:bCs/>
                <w:w w:val="99"/>
                <w:sz w:val="18"/>
                <w:szCs w:val="18"/>
              </w:rPr>
              <w:t> </w:t>
            </w:r>
            <w:r>
              <w:rPr>
                <w:rFonts w:ascii="宋体" w:hAnsi="宋体" w:cs="宋体" w:eastAsia="宋体" w:hint="default"/>
                <w:b/>
                <w:bCs/>
                <w:sz w:val="18"/>
                <w:szCs w:val="18"/>
              </w:rPr>
              <w:t>赁收益</w:t>
            </w:r>
            <w:r>
              <w:rPr>
                <w:rFonts w:ascii="宋体" w:hAnsi="宋体" w:cs="宋体" w:eastAsia="宋体" w:hint="default"/>
                <w:sz w:val="18"/>
                <w:szCs w:val="18"/>
              </w:rPr>
            </w:r>
          </w:p>
        </w:tc>
      </w:tr>
      <w:tr>
        <w:trPr>
          <w:trHeight w:val="292" w:hRule="exact"/>
        </w:trPr>
        <w:tc>
          <w:tcPr>
            <w:tcW w:w="1787" w:type="dxa"/>
            <w:tcBorders>
              <w:top w:val="single" w:sz="4" w:space="0" w:color="000000"/>
              <w:left w:val="nil" w:sz="6" w:space="0" w:color="auto"/>
              <w:bottom w:val="nil" w:sz="6" w:space="0" w:color="auto"/>
              <w:right w:val="nil" w:sz="6" w:space="0" w:color="auto"/>
            </w:tcBorders>
          </w:tcPr>
          <w:p>
            <w:pPr>
              <w:pStyle w:val="TableParagraph"/>
              <w:spacing w:line="234"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66" w:type="dxa"/>
            <w:tcBorders>
              <w:top w:val="single" w:sz="4" w:space="0" w:color="000000"/>
              <w:left w:val="nil" w:sz="6" w:space="0" w:color="auto"/>
              <w:bottom w:val="nil" w:sz="6" w:space="0" w:color="auto"/>
              <w:right w:val="nil" w:sz="6" w:space="0" w:color="auto"/>
            </w:tcBorders>
          </w:tcPr>
          <w:p>
            <w:pPr>
              <w:pStyle w:val="TableParagraph"/>
              <w:spacing w:line="234" w:lineRule="exact"/>
              <w:ind w:left="55" w:right="0"/>
              <w:jc w:val="left"/>
              <w:rPr>
                <w:rFonts w:ascii="宋体" w:hAnsi="宋体" w:cs="宋体" w:eastAsia="宋体" w:hint="default"/>
                <w:sz w:val="18"/>
                <w:szCs w:val="18"/>
              </w:rPr>
            </w:pPr>
            <w:r>
              <w:rPr>
                <w:rFonts w:ascii="宋体" w:hAnsi="宋体" w:cs="宋体" w:eastAsia="宋体" w:hint="default"/>
                <w:sz w:val="18"/>
                <w:szCs w:val="18"/>
              </w:rPr>
              <w:t>紫光国芯微电子股份有限公司</w:t>
            </w:r>
          </w:p>
        </w:tc>
        <w:tc>
          <w:tcPr>
            <w:tcW w:w="1444" w:type="dxa"/>
            <w:tcBorders>
              <w:top w:val="single" w:sz="4" w:space="0" w:color="000000"/>
              <w:left w:val="nil" w:sz="6" w:space="0" w:color="auto"/>
              <w:bottom w:val="nil" w:sz="6" w:space="0" w:color="auto"/>
              <w:right w:val="nil" w:sz="6" w:space="0" w:color="auto"/>
            </w:tcBorders>
          </w:tcPr>
          <w:p>
            <w:pPr>
              <w:pStyle w:val="TableParagraph"/>
              <w:spacing w:line="234" w:lineRule="exact"/>
              <w:ind w:right="125"/>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4" w:type="dxa"/>
            <w:tcBorders>
              <w:top w:val="single" w:sz="4" w:space="0" w:color="000000"/>
              <w:left w:val="nil" w:sz="6" w:space="0" w:color="auto"/>
              <w:bottom w:val="nil" w:sz="6" w:space="0" w:color="auto"/>
              <w:right w:val="nil" w:sz="6" w:space="0" w:color="auto"/>
            </w:tcBorders>
          </w:tcPr>
          <w:p>
            <w:pPr>
              <w:pStyle w:val="TableParagraph"/>
              <w:spacing w:line="234" w:lineRule="exact"/>
              <w:ind w:right="59"/>
              <w:jc w:val="right"/>
              <w:rPr>
                <w:rFonts w:ascii="宋体" w:hAnsi="宋体" w:cs="宋体" w:eastAsia="宋体" w:hint="default"/>
                <w:sz w:val="18"/>
                <w:szCs w:val="18"/>
              </w:rPr>
            </w:pPr>
            <w:r>
              <w:rPr>
                <w:rFonts w:ascii="宋体"/>
                <w:spacing w:val="-1"/>
                <w:sz w:val="18"/>
              </w:rPr>
              <w:t>7,038,507.12</w:t>
            </w:r>
          </w:p>
        </w:tc>
        <w:tc>
          <w:tcPr>
            <w:tcW w:w="1292" w:type="dxa"/>
            <w:tcBorders>
              <w:top w:val="single" w:sz="4" w:space="0" w:color="000000"/>
              <w:left w:val="nil" w:sz="6" w:space="0" w:color="auto"/>
              <w:bottom w:val="nil" w:sz="6" w:space="0" w:color="auto"/>
              <w:right w:val="nil" w:sz="6" w:space="0" w:color="auto"/>
            </w:tcBorders>
          </w:tcPr>
          <w:p>
            <w:pPr>
              <w:pStyle w:val="TableParagraph"/>
              <w:spacing w:line="234" w:lineRule="exact"/>
              <w:ind w:right="55"/>
              <w:jc w:val="right"/>
              <w:rPr>
                <w:rFonts w:ascii="宋体" w:hAnsi="宋体" w:cs="宋体" w:eastAsia="宋体" w:hint="default"/>
                <w:sz w:val="18"/>
                <w:szCs w:val="18"/>
              </w:rPr>
            </w:pPr>
            <w:r>
              <w:rPr>
                <w:rFonts w:ascii="宋体"/>
                <w:spacing w:val="-1"/>
                <w:sz w:val="18"/>
              </w:rPr>
              <w:t>6,598,745.04</w:t>
            </w:r>
          </w:p>
        </w:tc>
      </w:tr>
      <w:tr>
        <w:trPr>
          <w:trHeight w:val="284"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33"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66" w:type="dxa"/>
            <w:tcBorders>
              <w:top w:val="nil" w:sz="6" w:space="0" w:color="auto"/>
              <w:left w:val="nil" w:sz="6" w:space="0" w:color="auto"/>
              <w:bottom w:val="nil" w:sz="6" w:space="0" w:color="auto"/>
              <w:right w:val="nil" w:sz="6" w:space="0" w:color="auto"/>
            </w:tcBorders>
          </w:tcPr>
          <w:p>
            <w:pPr>
              <w:pStyle w:val="TableParagraph"/>
              <w:spacing w:line="233" w:lineRule="exact"/>
              <w:ind w:left="55" w:right="0"/>
              <w:jc w:val="left"/>
              <w:rPr>
                <w:rFonts w:ascii="宋体" w:hAnsi="宋体" w:cs="宋体" w:eastAsia="宋体" w:hint="default"/>
                <w:sz w:val="18"/>
                <w:szCs w:val="18"/>
              </w:rPr>
            </w:pPr>
            <w:r>
              <w:rPr>
                <w:rFonts w:ascii="宋体" w:hAnsi="宋体" w:cs="宋体" w:eastAsia="宋体" w:hint="default"/>
                <w:sz w:val="18"/>
                <w:szCs w:val="18"/>
              </w:rPr>
              <w:t>紫光同芯微电子有限公司</w:t>
            </w:r>
          </w:p>
        </w:tc>
        <w:tc>
          <w:tcPr>
            <w:tcW w:w="1444" w:type="dxa"/>
            <w:tcBorders>
              <w:top w:val="nil" w:sz="6" w:space="0" w:color="auto"/>
              <w:left w:val="nil" w:sz="6" w:space="0" w:color="auto"/>
              <w:bottom w:val="nil" w:sz="6" w:space="0" w:color="auto"/>
              <w:right w:val="nil" w:sz="6" w:space="0" w:color="auto"/>
            </w:tcBorders>
          </w:tcPr>
          <w:p>
            <w:pPr>
              <w:pStyle w:val="TableParagraph"/>
              <w:spacing w:line="233" w:lineRule="exact"/>
              <w:ind w:right="125"/>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4" w:type="dxa"/>
            <w:tcBorders>
              <w:top w:val="nil" w:sz="6" w:space="0" w:color="auto"/>
              <w:left w:val="nil" w:sz="6" w:space="0" w:color="auto"/>
              <w:bottom w:val="nil" w:sz="6" w:space="0" w:color="auto"/>
              <w:right w:val="nil" w:sz="6" w:space="0" w:color="auto"/>
            </w:tcBorders>
          </w:tcPr>
          <w:p>
            <w:pPr>
              <w:pStyle w:val="TableParagraph"/>
              <w:spacing w:line="233" w:lineRule="exact"/>
              <w:ind w:right="59"/>
              <w:jc w:val="right"/>
              <w:rPr>
                <w:rFonts w:ascii="宋体" w:hAnsi="宋体" w:cs="宋体" w:eastAsia="宋体" w:hint="default"/>
                <w:sz w:val="18"/>
                <w:szCs w:val="18"/>
              </w:rPr>
            </w:pPr>
            <w:r>
              <w:rPr>
                <w:rFonts w:ascii="宋体"/>
                <w:spacing w:val="-1"/>
                <w:sz w:val="18"/>
              </w:rPr>
              <w:t>6,455,922.90</w:t>
            </w:r>
          </w:p>
        </w:tc>
        <w:tc>
          <w:tcPr>
            <w:tcW w:w="1292"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6,670,844.36</w:t>
            </w:r>
          </w:p>
        </w:tc>
      </w:tr>
      <w:tr>
        <w:trPr>
          <w:trHeight w:val="284"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32"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66" w:type="dxa"/>
            <w:tcBorders>
              <w:top w:val="nil" w:sz="6" w:space="0" w:color="auto"/>
              <w:left w:val="nil" w:sz="6" w:space="0" w:color="auto"/>
              <w:bottom w:val="nil" w:sz="6" w:space="0" w:color="auto"/>
              <w:right w:val="nil" w:sz="6" w:space="0" w:color="auto"/>
            </w:tcBorders>
          </w:tcPr>
          <w:p>
            <w:pPr>
              <w:pStyle w:val="TableParagraph"/>
              <w:spacing w:line="232" w:lineRule="exact"/>
              <w:ind w:left="55" w:right="0"/>
              <w:jc w:val="left"/>
              <w:rPr>
                <w:rFonts w:ascii="宋体" w:hAnsi="宋体" w:cs="宋体" w:eastAsia="宋体" w:hint="default"/>
                <w:sz w:val="18"/>
                <w:szCs w:val="18"/>
              </w:rPr>
            </w:pPr>
            <w:r>
              <w:rPr>
                <w:rFonts w:ascii="宋体" w:hAnsi="宋体" w:cs="宋体" w:eastAsia="宋体" w:hint="default"/>
                <w:sz w:val="18"/>
                <w:szCs w:val="18"/>
              </w:rPr>
              <w:t>北京厚持投资管理有限责任公司</w:t>
            </w:r>
          </w:p>
        </w:tc>
        <w:tc>
          <w:tcPr>
            <w:tcW w:w="1444" w:type="dxa"/>
            <w:tcBorders>
              <w:top w:val="nil" w:sz="6" w:space="0" w:color="auto"/>
              <w:left w:val="nil" w:sz="6" w:space="0" w:color="auto"/>
              <w:bottom w:val="nil" w:sz="6" w:space="0" w:color="auto"/>
              <w:right w:val="nil" w:sz="6" w:space="0" w:color="auto"/>
            </w:tcBorders>
          </w:tcPr>
          <w:p>
            <w:pPr>
              <w:pStyle w:val="TableParagraph"/>
              <w:spacing w:line="232" w:lineRule="exact"/>
              <w:ind w:right="125"/>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4" w:type="dxa"/>
            <w:tcBorders>
              <w:top w:val="nil" w:sz="6" w:space="0" w:color="auto"/>
              <w:left w:val="nil" w:sz="6" w:space="0" w:color="auto"/>
              <w:bottom w:val="nil" w:sz="6" w:space="0" w:color="auto"/>
              <w:right w:val="nil" w:sz="6" w:space="0" w:color="auto"/>
            </w:tcBorders>
          </w:tcPr>
          <w:p>
            <w:pPr>
              <w:pStyle w:val="TableParagraph"/>
              <w:spacing w:line="232" w:lineRule="exact"/>
              <w:ind w:right="59"/>
              <w:jc w:val="right"/>
              <w:rPr>
                <w:rFonts w:ascii="宋体" w:hAnsi="宋体" w:cs="宋体" w:eastAsia="宋体" w:hint="default"/>
                <w:sz w:val="18"/>
                <w:szCs w:val="18"/>
              </w:rPr>
            </w:pPr>
            <w:r>
              <w:rPr>
                <w:rFonts w:ascii="宋体"/>
                <w:spacing w:val="-1"/>
                <w:sz w:val="18"/>
              </w:rPr>
              <w:t>6,142,234.35</w:t>
            </w:r>
          </w:p>
        </w:tc>
        <w:tc>
          <w:tcPr>
            <w:tcW w:w="1292"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2,757,097.86</w:t>
            </w:r>
          </w:p>
        </w:tc>
      </w:tr>
      <w:tr>
        <w:trPr>
          <w:trHeight w:val="269"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33"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66" w:type="dxa"/>
            <w:tcBorders>
              <w:top w:val="nil" w:sz="6" w:space="0" w:color="auto"/>
              <w:left w:val="nil" w:sz="6" w:space="0" w:color="auto"/>
              <w:bottom w:val="nil" w:sz="6" w:space="0" w:color="auto"/>
              <w:right w:val="nil" w:sz="6" w:space="0" w:color="auto"/>
            </w:tcBorders>
          </w:tcPr>
          <w:p>
            <w:pPr>
              <w:pStyle w:val="TableParagraph"/>
              <w:spacing w:line="233" w:lineRule="exact"/>
              <w:ind w:left="55"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1444" w:type="dxa"/>
            <w:tcBorders>
              <w:top w:val="nil" w:sz="6" w:space="0" w:color="auto"/>
              <w:left w:val="nil" w:sz="6" w:space="0" w:color="auto"/>
              <w:bottom w:val="nil" w:sz="6" w:space="0" w:color="auto"/>
              <w:right w:val="nil" w:sz="6" w:space="0" w:color="auto"/>
            </w:tcBorders>
          </w:tcPr>
          <w:p>
            <w:pPr>
              <w:pStyle w:val="TableParagraph"/>
              <w:spacing w:line="233" w:lineRule="exact"/>
              <w:ind w:right="125"/>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4" w:type="dxa"/>
            <w:tcBorders>
              <w:top w:val="nil" w:sz="6" w:space="0" w:color="auto"/>
              <w:left w:val="nil" w:sz="6" w:space="0" w:color="auto"/>
              <w:bottom w:val="nil" w:sz="6" w:space="0" w:color="auto"/>
              <w:right w:val="nil" w:sz="6" w:space="0" w:color="auto"/>
            </w:tcBorders>
          </w:tcPr>
          <w:p>
            <w:pPr>
              <w:pStyle w:val="TableParagraph"/>
              <w:spacing w:line="233" w:lineRule="exact"/>
              <w:ind w:right="59"/>
              <w:jc w:val="right"/>
              <w:rPr>
                <w:rFonts w:ascii="宋体" w:hAnsi="宋体" w:cs="宋体" w:eastAsia="宋体" w:hint="default"/>
                <w:sz w:val="18"/>
                <w:szCs w:val="18"/>
              </w:rPr>
            </w:pPr>
            <w:r>
              <w:rPr>
                <w:rFonts w:ascii="宋体"/>
                <w:spacing w:val="-1"/>
                <w:sz w:val="18"/>
              </w:rPr>
              <w:t>5,751,851.76</w:t>
            </w:r>
          </w:p>
        </w:tc>
        <w:tc>
          <w:tcPr>
            <w:tcW w:w="1292"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7,770,879.76</w:t>
            </w:r>
          </w:p>
        </w:tc>
      </w:tr>
      <w:tr>
        <w:trPr>
          <w:trHeight w:val="473"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66" w:type="dxa"/>
            <w:tcBorders>
              <w:top w:val="nil" w:sz="6" w:space="0" w:color="auto"/>
              <w:left w:val="nil" w:sz="6" w:space="0" w:color="auto"/>
              <w:bottom w:val="nil" w:sz="6" w:space="0" w:color="auto"/>
              <w:right w:val="nil" w:sz="6" w:space="0" w:color="auto"/>
            </w:tcBorders>
          </w:tcPr>
          <w:p>
            <w:pPr>
              <w:pStyle w:val="TableParagraph"/>
              <w:spacing w:line="220" w:lineRule="exact" w:before="14"/>
              <w:ind w:left="55" w:right="58"/>
              <w:jc w:val="left"/>
              <w:rPr>
                <w:rFonts w:ascii="宋体" w:hAnsi="宋体" w:cs="宋体" w:eastAsia="宋体" w:hint="default"/>
                <w:sz w:val="18"/>
                <w:szCs w:val="18"/>
              </w:rPr>
            </w:pPr>
            <w:r>
              <w:rPr>
                <w:rFonts w:ascii="宋体" w:hAnsi="宋体" w:cs="宋体" w:eastAsia="宋体" w:hint="default"/>
                <w:spacing w:val="8"/>
                <w:sz w:val="18"/>
                <w:szCs w:val="18"/>
              </w:rPr>
              <w:t>北京清控人居环境研究院有限公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5"/>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9"/>
              <w:jc w:val="right"/>
              <w:rPr>
                <w:rFonts w:ascii="宋体" w:hAnsi="宋体" w:cs="宋体" w:eastAsia="宋体" w:hint="default"/>
                <w:sz w:val="18"/>
                <w:szCs w:val="18"/>
              </w:rPr>
            </w:pPr>
            <w:r>
              <w:rPr>
                <w:rFonts w:ascii="宋体"/>
                <w:spacing w:val="-1"/>
                <w:sz w:val="18"/>
              </w:rPr>
              <w:t>4,322,335.08</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5"/>
              <w:jc w:val="right"/>
              <w:rPr>
                <w:rFonts w:ascii="宋体" w:hAnsi="宋体" w:cs="宋体" w:eastAsia="宋体" w:hint="default"/>
                <w:sz w:val="18"/>
                <w:szCs w:val="18"/>
              </w:rPr>
            </w:pPr>
            <w:r>
              <w:rPr>
                <w:rFonts w:ascii="宋体"/>
                <w:spacing w:val="-1"/>
                <w:sz w:val="18"/>
              </w:rPr>
              <w:t>6,303,825.00</w:t>
            </w:r>
          </w:p>
        </w:tc>
      </w:tr>
      <w:tr>
        <w:trPr>
          <w:trHeight w:val="269"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16"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66" w:type="dxa"/>
            <w:tcBorders>
              <w:top w:val="nil" w:sz="6" w:space="0" w:color="auto"/>
              <w:left w:val="nil" w:sz="6" w:space="0" w:color="auto"/>
              <w:bottom w:val="nil" w:sz="6" w:space="0" w:color="auto"/>
              <w:right w:val="nil" w:sz="6" w:space="0" w:color="auto"/>
            </w:tcBorders>
          </w:tcPr>
          <w:p>
            <w:pPr>
              <w:pStyle w:val="TableParagraph"/>
              <w:spacing w:line="216" w:lineRule="exact"/>
              <w:ind w:left="55" w:right="0"/>
              <w:jc w:val="left"/>
              <w:rPr>
                <w:rFonts w:ascii="宋体" w:hAnsi="宋体" w:cs="宋体" w:eastAsia="宋体" w:hint="default"/>
                <w:sz w:val="18"/>
                <w:szCs w:val="18"/>
              </w:rPr>
            </w:pPr>
            <w:r>
              <w:rPr>
                <w:rFonts w:ascii="宋体" w:hAnsi="宋体" w:cs="宋体" w:eastAsia="宋体" w:hint="default"/>
                <w:sz w:val="18"/>
                <w:szCs w:val="18"/>
              </w:rPr>
              <w:t>同方药业集团有限公司</w:t>
            </w:r>
          </w:p>
        </w:tc>
        <w:tc>
          <w:tcPr>
            <w:tcW w:w="1444" w:type="dxa"/>
            <w:tcBorders>
              <w:top w:val="nil" w:sz="6" w:space="0" w:color="auto"/>
              <w:left w:val="nil" w:sz="6" w:space="0" w:color="auto"/>
              <w:bottom w:val="nil" w:sz="6" w:space="0" w:color="auto"/>
              <w:right w:val="nil" w:sz="6" w:space="0" w:color="auto"/>
            </w:tcBorders>
          </w:tcPr>
          <w:p>
            <w:pPr>
              <w:pStyle w:val="TableParagraph"/>
              <w:spacing w:line="216" w:lineRule="exact"/>
              <w:ind w:right="125"/>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4" w:type="dxa"/>
            <w:tcBorders>
              <w:top w:val="nil" w:sz="6" w:space="0" w:color="auto"/>
              <w:left w:val="nil" w:sz="6" w:space="0" w:color="auto"/>
              <w:bottom w:val="nil" w:sz="6" w:space="0" w:color="auto"/>
              <w:right w:val="nil" w:sz="6" w:space="0" w:color="auto"/>
            </w:tcBorders>
          </w:tcPr>
          <w:p>
            <w:pPr>
              <w:pStyle w:val="TableParagraph"/>
              <w:spacing w:line="216" w:lineRule="exact"/>
              <w:ind w:right="59"/>
              <w:jc w:val="right"/>
              <w:rPr>
                <w:rFonts w:ascii="宋体" w:hAnsi="宋体" w:cs="宋体" w:eastAsia="宋体" w:hint="default"/>
                <w:sz w:val="18"/>
                <w:szCs w:val="18"/>
              </w:rPr>
            </w:pPr>
            <w:r>
              <w:rPr>
                <w:rFonts w:ascii="宋体"/>
                <w:spacing w:val="-1"/>
                <w:sz w:val="18"/>
              </w:rPr>
              <w:t>2,567,503.18</w:t>
            </w:r>
          </w:p>
        </w:tc>
        <w:tc>
          <w:tcPr>
            <w:tcW w:w="1292" w:type="dxa"/>
            <w:tcBorders>
              <w:top w:val="nil" w:sz="6" w:space="0" w:color="auto"/>
              <w:left w:val="nil" w:sz="6" w:space="0" w:color="auto"/>
              <w:bottom w:val="nil" w:sz="6" w:space="0" w:color="auto"/>
              <w:right w:val="nil" w:sz="6" w:space="0" w:color="auto"/>
            </w:tcBorders>
          </w:tcPr>
          <w:p>
            <w:pPr>
              <w:pStyle w:val="TableParagraph"/>
              <w:spacing w:line="216" w:lineRule="exact"/>
              <w:ind w:right="55"/>
              <w:jc w:val="right"/>
              <w:rPr>
                <w:rFonts w:ascii="宋体" w:hAnsi="宋体" w:cs="宋体" w:eastAsia="宋体" w:hint="default"/>
                <w:sz w:val="18"/>
                <w:szCs w:val="18"/>
              </w:rPr>
            </w:pPr>
            <w:r>
              <w:rPr>
                <w:rFonts w:ascii="宋体"/>
                <w:spacing w:val="-1"/>
                <w:sz w:val="18"/>
              </w:rPr>
              <w:t>2,800,912.56</w:t>
            </w:r>
          </w:p>
        </w:tc>
      </w:tr>
      <w:tr>
        <w:trPr>
          <w:trHeight w:val="286"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33"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66" w:type="dxa"/>
            <w:tcBorders>
              <w:top w:val="nil" w:sz="6" w:space="0" w:color="auto"/>
              <w:left w:val="nil" w:sz="6" w:space="0" w:color="auto"/>
              <w:bottom w:val="nil" w:sz="6" w:space="0" w:color="auto"/>
              <w:right w:val="nil" w:sz="6" w:space="0" w:color="auto"/>
            </w:tcBorders>
          </w:tcPr>
          <w:p>
            <w:pPr>
              <w:pStyle w:val="TableParagraph"/>
              <w:spacing w:line="233" w:lineRule="exact"/>
              <w:ind w:left="55" w:right="0"/>
              <w:jc w:val="left"/>
              <w:rPr>
                <w:rFonts w:ascii="宋体" w:hAnsi="宋体" w:cs="宋体" w:eastAsia="宋体" w:hint="default"/>
                <w:sz w:val="18"/>
                <w:szCs w:val="18"/>
              </w:rPr>
            </w:pPr>
            <w:r>
              <w:rPr>
                <w:rFonts w:ascii="宋体" w:hAnsi="宋体" w:cs="宋体" w:eastAsia="宋体" w:hint="default"/>
                <w:sz w:val="18"/>
                <w:szCs w:val="18"/>
              </w:rPr>
              <w:t>深圳华控赛格股份有限公司</w:t>
            </w:r>
          </w:p>
        </w:tc>
        <w:tc>
          <w:tcPr>
            <w:tcW w:w="1444" w:type="dxa"/>
            <w:tcBorders>
              <w:top w:val="nil" w:sz="6" w:space="0" w:color="auto"/>
              <w:left w:val="nil" w:sz="6" w:space="0" w:color="auto"/>
              <w:bottom w:val="nil" w:sz="6" w:space="0" w:color="auto"/>
              <w:right w:val="nil" w:sz="6" w:space="0" w:color="auto"/>
            </w:tcBorders>
          </w:tcPr>
          <w:p>
            <w:pPr>
              <w:pStyle w:val="TableParagraph"/>
              <w:spacing w:line="233" w:lineRule="exact"/>
              <w:ind w:right="125"/>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4" w:type="dxa"/>
            <w:tcBorders>
              <w:top w:val="nil" w:sz="6" w:space="0" w:color="auto"/>
              <w:left w:val="nil" w:sz="6" w:space="0" w:color="auto"/>
              <w:bottom w:val="nil" w:sz="6" w:space="0" w:color="auto"/>
              <w:right w:val="nil" w:sz="6" w:space="0" w:color="auto"/>
            </w:tcBorders>
          </w:tcPr>
          <w:p>
            <w:pPr>
              <w:pStyle w:val="TableParagraph"/>
              <w:spacing w:line="233" w:lineRule="exact"/>
              <w:ind w:right="59"/>
              <w:jc w:val="right"/>
              <w:rPr>
                <w:rFonts w:ascii="宋体" w:hAnsi="宋体" w:cs="宋体" w:eastAsia="宋体" w:hint="default"/>
                <w:sz w:val="18"/>
                <w:szCs w:val="18"/>
              </w:rPr>
            </w:pPr>
            <w:r>
              <w:rPr>
                <w:rFonts w:ascii="宋体"/>
                <w:spacing w:val="-1"/>
                <w:sz w:val="18"/>
              </w:rPr>
              <w:t>2,214,900.47</w:t>
            </w:r>
          </w:p>
        </w:tc>
        <w:tc>
          <w:tcPr>
            <w:tcW w:w="1292" w:type="dxa"/>
            <w:tcBorders>
              <w:top w:val="nil" w:sz="6" w:space="0" w:color="auto"/>
              <w:left w:val="nil" w:sz="6" w:space="0" w:color="auto"/>
              <w:bottom w:val="nil" w:sz="6" w:space="0" w:color="auto"/>
              <w:right w:val="nil" w:sz="6" w:space="0" w:color="auto"/>
            </w:tcBorders>
          </w:tcPr>
          <w:p>
            <w:pPr>
              <w:pStyle w:val="TableParagraph"/>
              <w:spacing w:line="233" w:lineRule="exact"/>
              <w:ind w:right="54"/>
              <w:jc w:val="right"/>
              <w:rPr>
                <w:rFonts w:ascii="宋体" w:hAnsi="宋体" w:cs="宋体" w:eastAsia="宋体" w:hint="default"/>
                <w:sz w:val="18"/>
                <w:szCs w:val="18"/>
              </w:rPr>
            </w:pPr>
            <w:r>
              <w:rPr>
                <w:rFonts w:ascii="宋体"/>
                <w:sz w:val="18"/>
              </w:rPr>
              <w:t>0.00</w:t>
            </w:r>
          </w:p>
        </w:tc>
      </w:tr>
      <w:tr>
        <w:trPr>
          <w:trHeight w:val="284"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33"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66" w:type="dxa"/>
            <w:tcBorders>
              <w:top w:val="nil" w:sz="6" w:space="0" w:color="auto"/>
              <w:left w:val="nil" w:sz="6" w:space="0" w:color="auto"/>
              <w:bottom w:val="nil" w:sz="6" w:space="0" w:color="auto"/>
              <w:right w:val="nil" w:sz="6" w:space="0" w:color="auto"/>
            </w:tcBorders>
          </w:tcPr>
          <w:p>
            <w:pPr>
              <w:pStyle w:val="TableParagraph"/>
              <w:spacing w:line="233" w:lineRule="exact"/>
              <w:ind w:left="55"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1444" w:type="dxa"/>
            <w:tcBorders>
              <w:top w:val="nil" w:sz="6" w:space="0" w:color="auto"/>
              <w:left w:val="nil" w:sz="6" w:space="0" w:color="auto"/>
              <w:bottom w:val="nil" w:sz="6" w:space="0" w:color="auto"/>
              <w:right w:val="nil" w:sz="6" w:space="0" w:color="auto"/>
            </w:tcBorders>
          </w:tcPr>
          <w:p>
            <w:pPr>
              <w:pStyle w:val="TableParagraph"/>
              <w:spacing w:line="233" w:lineRule="exact"/>
              <w:ind w:right="125"/>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4" w:type="dxa"/>
            <w:tcBorders>
              <w:top w:val="nil" w:sz="6" w:space="0" w:color="auto"/>
              <w:left w:val="nil" w:sz="6" w:space="0" w:color="auto"/>
              <w:bottom w:val="nil" w:sz="6" w:space="0" w:color="auto"/>
              <w:right w:val="nil" w:sz="6" w:space="0" w:color="auto"/>
            </w:tcBorders>
          </w:tcPr>
          <w:p>
            <w:pPr>
              <w:pStyle w:val="TableParagraph"/>
              <w:spacing w:line="233" w:lineRule="exact"/>
              <w:ind w:right="59"/>
              <w:jc w:val="right"/>
              <w:rPr>
                <w:rFonts w:ascii="宋体" w:hAnsi="宋体" w:cs="宋体" w:eastAsia="宋体" w:hint="default"/>
                <w:sz w:val="18"/>
                <w:szCs w:val="18"/>
              </w:rPr>
            </w:pPr>
            <w:r>
              <w:rPr>
                <w:rFonts w:ascii="宋体"/>
                <w:spacing w:val="-1"/>
                <w:sz w:val="18"/>
              </w:rPr>
              <w:t>1,472,554.50</w:t>
            </w:r>
          </w:p>
        </w:tc>
        <w:tc>
          <w:tcPr>
            <w:tcW w:w="1292"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1,984,147.37</w:t>
            </w:r>
          </w:p>
        </w:tc>
      </w:tr>
      <w:tr>
        <w:trPr>
          <w:trHeight w:val="285"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32"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66" w:type="dxa"/>
            <w:tcBorders>
              <w:top w:val="nil" w:sz="6" w:space="0" w:color="auto"/>
              <w:left w:val="nil" w:sz="6" w:space="0" w:color="auto"/>
              <w:bottom w:val="nil" w:sz="6" w:space="0" w:color="auto"/>
              <w:right w:val="nil" w:sz="6" w:space="0" w:color="auto"/>
            </w:tcBorders>
          </w:tcPr>
          <w:p>
            <w:pPr>
              <w:pStyle w:val="TableParagraph"/>
              <w:spacing w:line="232" w:lineRule="exact"/>
              <w:ind w:left="55" w:right="0"/>
              <w:jc w:val="left"/>
              <w:rPr>
                <w:rFonts w:ascii="宋体" w:hAnsi="宋体" w:cs="宋体" w:eastAsia="宋体" w:hint="default"/>
                <w:sz w:val="18"/>
                <w:szCs w:val="18"/>
              </w:rPr>
            </w:pPr>
            <w:r>
              <w:rPr>
                <w:rFonts w:ascii="宋体" w:hAnsi="宋体" w:cs="宋体" w:eastAsia="宋体" w:hint="default"/>
                <w:sz w:val="18"/>
                <w:szCs w:val="18"/>
              </w:rPr>
              <w:t>同方全球人寿保险有限公司</w:t>
            </w:r>
          </w:p>
        </w:tc>
        <w:tc>
          <w:tcPr>
            <w:tcW w:w="1444" w:type="dxa"/>
            <w:tcBorders>
              <w:top w:val="nil" w:sz="6" w:space="0" w:color="auto"/>
              <w:left w:val="nil" w:sz="6" w:space="0" w:color="auto"/>
              <w:bottom w:val="nil" w:sz="6" w:space="0" w:color="auto"/>
              <w:right w:val="nil" w:sz="6" w:space="0" w:color="auto"/>
            </w:tcBorders>
          </w:tcPr>
          <w:p>
            <w:pPr>
              <w:pStyle w:val="TableParagraph"/>
              <w:spacing w:line="232" w:lineRule="exact"/>
              <w:ind w:right="125"/>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4" w:type="dxa"/>
            <w:tcBorders>
              <w:top w:val="nil" w:sz="6" w:space="0" w:color="auto"/>
              <w:left w:val="nil" w:sz="6" w:space="0" w:color="auto"/>
              <w:bottom w:val="nil" w:sz="6" w:space="0" w:color="auto"/>
              <w:right w:val="nil" w:sz="6" w:space="0" w:color="auto"/>
            </w:tcBorders>
          </w:tcPr>
          <w:p>
            <w:pPr>
              <w:pStyle w:val="TableParagraph"/>
              <w:spacing w:line="232" w:lineRule="exact"/>
              <w:ind w:right="59"/>
              <w:jc w:val="right"/>
              <w:rPr>
                <w:rFonts w:ascii="宋体" w:hAnsi="宋体" w:cs="宋体" w:eastAsia="宋体" w:hint="default"/>
                <w:sz w:val="18"/>
                <w:szCs w:val="18"/>
              </w:rPr>
            </w:pPr>
            <w:r>
              <w:rPr>
                <w:rFonts w:ascii="宋体"/>
                <w:spacing w:val="-1"/>
                <w:sz w:val="18"/>
              </w:rPr>
              <w:t>1,456,294.38</w:t>
            </w:r>
          </w:p>
        </w:tc>
        <w:tc>
          <w:tcPr>
            <w:tcW w:w="1292"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1,365,918.08</w:t>
            </w:r>
          </w:p>
        </w:tc>
      </w:tr>
      <w:tr>
        <w:trPr>
          <w:trHeight w:val="286"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33"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66" w:type="dxa"/>
            <w:tcBorders>
              <w:top w:val="nil" w:sz="6" w:space="0" w:color="auto"/>
              <w:left w:val="nil" w:sz="6" w:space="0" w:color="auto"/>
              <w:bottom w:val="nil" w:sz="6" w:space="0" w:color="auto"/>
              <w:right w:val="nil" w:sz="6" w:space="0" w:color="auto"/>
            </w:tcBorders>
          </w:tcPr>
          <w:p>
            <w:pPr>
              <w:pStyle w:val="TableParagraph"/>
              <w:spacing w:line="233" w:lineRule="exact"/>
              <w:ind w:left="55" w:right="0"/>
              <w:jc w:val="left"/>
              <w:rPr>
                <w:rFonts w:ascii="宋体" w:hAnsi="宋体" w:cs="宋体" w:eastAsia="宋体" w:hint="default"/>
                <w:sz w:val="18"/>
                <w:szCs w:val="18"/>
              </w:rPr>
            </w:pPr>
            <w:r>
              <w:rPr>
                <w:rFonts w:ascii="宋体" w:hAnsi="宋体" w:cs="宋体" w:eastAsia="宋体" w:hint="default"/>
                <w:sz w:val="18"/>
                <w:szCs w:val="18"/>
              </w:rPr>
              <w:t>北京同方时讯电子股份有限公司</w:t>
            </w:r>
          </w:p>
        </w:tc>
        <w:tc>
          <w:tcPr>
            <w:tcW w:w="1444" w:type="dxa"/>
            <w:tcBorders>
              <w:top w:val="nil" w:sz="6" w:space="0" w:color="auto"/>
              <w:left w:val="nil" w:sz="6" w:space="0" w:color="auto"/>
              <w:bottom w:val="nil" w:sz="6" w:space="0" w:color="auto"/>
              <w:right w:val="nil" w:sz="6" w:space="0" w:color="auto"/>
            </w:tcBorders>
          </w:tcPr>
          <w:p>
            <w:pPr>
              <w:pStyle w:val="TableParagraph"/>
              <w:spacing w:line="233" w:lineRule="exact"/>
              <w:ind w:right="125"/>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4" w:type="dxa"/>
            <w:tcBorders>
              <w:top w:val="nil" w:sz="6" w:space="0" w:color="auto"/>
              <w:left w:val="nil" w:sz="6" w:space="0" w:color="auto"/>
              <w:bottom w:val="nil" w:sz="6" w:space="0" w:color="auto"/>
              <w:right w:val="nil" w:sz="6" w:space="0" w:color="auto"/>
            </w:tcBorders>
          </w:tcPr>
          <w:p>
            <w:pPr>
              <w:pStyle w:val="TableParagraph"/>
              <w:spacing w:line="233" w:lineRule="exact"/>
              <w:ind w:right="59"/>
              <w:jc w:val="right"/>
              <w:rPr>
                <w:rFonts w:ascii="宋体" w:hAnsi="宋体" w:cs="宋体" w:eastAsia="宋体" w:hint="default"/>
                <w:sz w:val="18"/>
                <w:szCs w:val="18"/>
              </w:rPr>
            </w:pPr>
            <w:r>
              <w:rPr>
                <w:rFonts w:ascii="宋体"/>
                <w:spacing w:val="-1"/>
                <w:sz w:val="18"/>
              </w:rPr>
              <w:t>1,039,787.65</w:t>
            </w:r>
          </w:p>
        </w:tc>
        <w:tc>
          <w:tcPr>
            <w:tcW w:w="1292"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2,684,544.44</w:t>
            </w:r>
          </w:p>
        </w:tc>
      </w:tr>
      <w:tr>
        <w:trPr>
          <w:trHeight w:val="269"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33"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66" w:type="dxa"/>
            <w:tcBorders>
              <w:top w:val="nil" w:sz="6" w:space="0" w:color="auto"/>
              <w:left w:val="nil" w:sz="6" w:space="0" w:color="auto"/>
              <w:bottom w:val="nil" w:sz="6" w:space="0" w:color="auto"/>
              <w:right w:val="nil" w:sz="6" w:space="0" w:color="auto"/>
            </w:tcBorders>
          </w:tcPr>
          <w:p>
            <w:pPr>
              <w:pStyle w:val="TableParagraph"/>
              <w:spacing w:line="233" w:lineRule="exact"/>
              <w:ind w:left="55" w:right="0"/>
              <w:jc w:val="left"/>
              <w:rPr>
                <w:rFonts w:ascii="宋体" w:hAnsi="宋体" w:cs="宋体" w:eastAsia="宋体" w:hint="default"/>
                <w:sz w:val="18"/>
                <w:szCs w:val="18"/>
              </w:rPr>
            </w:pPr>
            <w:r>
              <w:rPr>
                <w:rFonts w:ascii="宋体" w:hAnsi="宋体" w:cs="宋体" w:eastAsia="宋体" w:hint="default"/>
                <w:sz w:val="18"/>
                <w:szCs w:val="18"/>
              </w:rPr>
              <w:t>北京朗视仪器有限公司</w:t>
            </w:r>
          </w:p>
        </w:tc>
        <w:tc>
          <w:tcPr>
            <w:tcW w:w="1444" w:type="dxa"/>
            <w:tcBorders>
              <w:top w:val="nil" w:sz="6" w:space="0" w:color="auto"/>
              <w:left w:val="nil" w:sz="6" w:space="0" w:color="auto"/>
              <w:bottom w:val="nil" w:sz="6" w:space="0" w:color="auto"/>
              <w:right w:val="nil" w:sz="6" w:space="0" w:color="auto"/>
            </w:tcBorders>
          </w:tcPr>
          <w:p>
            <w:pPr>
              <w:pStyle w:val="TableParagraph"/>
              <w:spacing w:line="233" w:lineRule="exact"/>
              <w:ind w:right="125"/>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4" w:type="dxa"/>
            <w:tcBorders>
              <w:top w:val="nil" w:sz="6" w:space="0" w:color="auto"/>
              <w:left w:val="nil" w:sz="6" w:space="0" w:color="auto"/>
              <w:bottom w:val="nil" w:sz="6" w:space="0" w:color="auto"/>
              <w:right w:val="nil" w:sz="6" w:space="0" w:color="auto"/>
            </w:tcBorders>
          </w:tcPr>
          <w:p>
            <w:pPr>
              <w:pStyle w:val="TableParagraph"/>
              <w:spacing w:line="233" w:lineRule="exact"/>
              <w:ind w:right="59"/>
              <w:jc w:val="right"/>
              <w:rPr>
                <w:rFonts w:ascii="宋体" w:hAnsi="宋体" w:cs="宋体" w:eastAsia="宋体" w:hint="default"/>
                <w:sz w:val="18"/>
                <w:szCs w:val="18"/>
              </w:rPr>
            </w:pPr>
            <w:r>
              <w:rPr>
                <w:rFonts w:ascii="宋体"/>
                <w:spacing w:val="-1"/>
                <w:sz w:val="18"/>
              </w:rPr>
              <w:t>1,027,463.32</w:t>
            </w:r>
          </w:p>
        </w:tc>
        <w:tc>
          <w:tcPr>
            <w:tcW w:w="1292" w:type="dxa"/>
            <w:tcBorders>
              <w:top w:val="nil" w:sz="6" w:space="0" w:color="auto"/>
              <w:left w:val="nil" w:sz="6" w:space="0" w:color="auto"/>
              <w:bottom w:val="nil" w:sz="6" w:space="0" w:color="auto"/>
              <w:right w:val="nil" w:sz="6" w:space="0" w:color="auto"/>
            </w:tcBorders>
          </w:tcPr>
          <w:p>
            <w:pPr>
              <w:pStyle w:val="TableParagraph"/>
              <w:spacing w:line="233" w:lineRule="exact"/>
              <w:ind w:right="54"/>
              <w:jc w:val="right"/>
              <w:rPr>
                <w:rFonts w:ascii="宋体" w:hAnsi="宋体" w:cs="宋体" w:eastAsia="宋体" w:hint="default"/>
                <w:sz w:val="18"/>
                <w:szCs w:val="18"/>
              </w:rPr>
            </w:pPr>
            <w:r>
              <w:rPr>
                <w:rFonts w:ascii="宋体"/>
                <w:sz w:val="18"/>
              </w:rPr>
              <w:t>0.00</w:t>
            </w:r>
          </w:p>
        </w:tc>
      </w:tr>
      <w:tr>
        <w:trPr>
          <w:trHeight w:val="456"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20" w:lineRule="exact" w:before="14"/>
              <w:ind w:left="57" w:right="53"/>
              <w:jc w:val="left"/>
              <w:rPr>
                <w:rFonts w:ascii="宋体" w:hAnsi="宋体" w:cs="宋体" w:eastAsia="宋体" w:hint="default"/>
                <w:sz w:val="18"/>
                <w:szCs w:val="18"/>
              </w:rPr>
            </w:pPr>
            <w:r>
              <w:rPr>
                <w:rFonts w:ascii="宋体" w:hAnsi="宋体" w:cs="宋体" w:eastAsia="宋体" w:hint="default"/>
                <w:spacing w:val="5"/>
                <w:sz w:val="18"/>
                <w:szCs w:val="18"/>
              </w:rPr>
              <w:t>北京同方光盘股份有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w:t>
            </w:r>
          </w:p>
        </w:tc>
        <w:tc>
          <w:tcPr>
            <w:tcW w:w="2766" w:type="dxa"/>
            <w:tcBorders>
              <w:top w:val="nil" w:sz="6" w:space="0" w:color="auto"/>
              <w:left w:val="nil" w:sz="6" w:space="0" w:color="auto"/>
              <w:bottom w:val="nil" w:sz="6" w:space="0" w:color="auto"/>
              <w:right w:val="nil" w:sz="6" w:space="0" w:color="auto"/>
            </w:tcBorders>
          </w:tcPr>
          <w:p>
            <w:pPr>
              <w:pStyle w:val="TableParagraph"/>
              <w:spacing w:line="220" w:lineRule="exact" w:before="14"/>
              <w:ind w:left="55" w:right="56"/>
              <w:jc w:val="left"/>
              <w:rPr>
                <w:rFonts w:ascii="宋体" w:hAnsi="宋体" w:cs="宋体" w:eastAsia="宋体" w:hint="default"/>
                <w:sz w:val="18"/>
                <w:szCs w:val="18"/>
              </w:rPr>
            </w:pPr>
            <w:r>
              <w:rPr>
                <w:rFonts w:ascii="宋体" w:hAnsi="宋体" w:cs="宋体" w:eastAsia="宋体" w:hint="default"/>
                <w:spacing w:val="-4"/>
                <w:sz w:val="18"/>
                <w:szCs w:val="18"/>
              </w:rPr>
              <w:t>《中国学术期刊（光盘版）》电子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杂志社有限公司</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5"/>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9"/>
              <w:jc w:val="right"/>
              <w:rPr>
                <w:rFonts w:ascii="宋体" w:hAnsi="宋体" w:cs="宋体" w:eastAsia="宋体" w:hint="default"/>
                <w:sz w:val="18"/>
                <w:szCs w:val="18"/>
              </w:rPr>
            </w:pPr>
            <w:r>
              <w:rPr>
                <w:rFonts w:ascii="宋体"/>
                <w:spacing w:val="-1"/>
                <w:sz w:val="18"/>
              </w:rPr>
              <w:t>710,967.20</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5"/>
              <w:jc w:val="right"/>
              <w:rPr>
                <w:rFonts w:ascii="宋体" w:hAnsi="宋体" w:cs="宋体" w:eastAsia="宋体" w:hint="default"/>
                <w:sz w:val="18"/>
                <w:szCs w:val="18"/>
              </w:rPr>
            </w:pPr>
            <w:r>
              <w:rPr>
                <w:rFonts w:ascii="宋体"/>
                <w:spacing w:val="-1"/>
                <w:sz w:val="18"/>
              </w:rPr>
              <w:t>402,389.93</w:t>
            </w:r>
          </w:p>
        </w:tc>
      </w:tr>
      <w:tr>
        <w:trPr>
          <w:trHeight w:val="456"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66" w:type="dxa"/>
            <w:tcBorders>
              <w:top w:val="nil" w:sz="6" w:space="0" w:color="auto"/>
              <w:left w:val="nil" w:sz="6" w:space="0" w:color="auto"/>
              <w:bottom w:val="nil" w:sz="6" w:space="0" w:color="auto"/>
              <w:right w:val="nil" w:sz="6" w:space="0" w:color="auto"/>
            </w:tcBorders>
          </w:tcPr>
          <w:p>
            <w:pPr>
              <w:pStyle w:val="TableParagraph"/>
              <w:spacing w:line="192" w:lineRule="exact"/>
              <w:ind w:left="55" w:right="0"/>
              <w:jc w:val="left"/>
              <w:rPr>
                <w:rFonts w:ascii="宋体" w:hAnsi="宋体" w:cs="宋体" w:eastAsia="宋体" w:hint="default"/>
                <w:sz w:val="18"/>
                <w:szCs w:val="18"/>
              </w:rPr>
            </w:pPr>
            <w:r>
              <w:rPr>
                <w:rFonts w:ascii="宋体" w:hAnsi="宋体" w:cs="宋体" w:eastAsia="宋体" w:hint="default"/>
                <w:spacing w:val="-4"/>
                <w:sz w:val="18"/>
                <w:szCs w:val="18"/>
              </w:rPr>
              <w:t>沐华清诚（北京）教育科技发展有</w:t>
            </w:r>
          </w:p>
          <w:p>
            <w:pPr>
              <w:pStyle w:val="TableParagraph"/>
              <w:spacing w:line="228" w:lineRule="exact"/>
              <w:ind w:left="5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5"/>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9"/>
              <w:jc w:val="right"/>
              <w:rPr>
                <w:rFonts w:ascii="宋体" w:hAnsi="宋体" w:cs="宋体" w:eastAsia="宋体" w:hint="default"/>
                <w:sz w:val="18"/>
                <w:szCs w:val="18"/>
              </w:rPr>
            </w:pPr>
            <w:r>
              <w:rPr>
                <w:rFonts w:ascii="宋体"/>
                <w:spacing w:val="-1"/>
                <w:sz w:val="18"/>
              </w:rPr>
              <w:t>636,905.86</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4"/>
              <w:jc w:val="right"/>
              <w:rPr>
                <w:rFonts w:ascii="宋体" w:hAnsi="宋体" w:cs="宋体" w:eastAsia="宋体" w:hint="default"/>
                <w:sz w:val="18"/>
                <w:szCs w:val="18"/>
              </w:rPr>
            </w:pPr>
            <w:r>
              <w:rPr>
                <w:rFonts w:ascii="宋体"/>
                <w:sz w:val="18"/>
              </w:rPr>
              <w:t>0.00</w:t>
            </w:r>
          </w:p>
        </w:tc>
      </w:tr>
      <w:tr>
        <w:trPr>
          <w:trHeight w:val="269"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16"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66" w:type="dxa"/>
            <w:tcBorders>
              <w:top w:val="nil" w:sz="6" w:space="0" w:color="auto"/>
              <w:left w:val="nil" w:sz="6" w:space="0" w:color="auto"/>
              <w:bottom w:val="nil" w:sz="6" w:space="0" w:color="auto"/>
              <w:right w:val="nil" w:sz="6" w:space="0" w:color="auto"/>
            </w:tcBorders>
          </w:tcPr>
          <w:p>
            <w:pPr>
              <w:pStyle w:val="TableParagraph"/>
              <w:spacing w:line="216" w:lineRule="exact"/>
              <w:ind w:left="55"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1444" w:type="dxa"/>
            <w:tcBorders>
              <w:top w:val="nil" w:sz="6" w:space="0" w:color="auto"/>
              <w:left w:val="nil" w:sz="6" w:space="0" w:color="auto"/>
              <w:bottom w:val="nil" w:sz="6" w:space="0" w:color="auto"/>
              <w:right w:val="nil" w:sz="6" w:space="0" w:color="auto"/>
            </w:tcBorders>
          </w:tcPr>
          <w:p>
            <w:pPr>
              <w:pStyle w:val="TableParagraph"/>
              <w:spacing w:line="216" w:lineRule="exact"/>
              <w:ind w:right="125"/>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4" w:type="dxa"/>
            <w:tcBorders>
              <w:top w:val="nil" w:sz="6" w:space="0" w:color="auto"/>
              <w:left w:val="nil" w:sz="6" w:space="0" w:color="auto"/>
              <w:bottom w:val="nil" w:sz="6" w:space="0" w:color="auto"/>
              <w:right w:val="nil" w:sz="6" w:space="0" w:color="auto"/>
            </w:tcBorders>
          </w:tcPr>
          <w:p>
            <w:pPr>
              <w:pStyle w:val="TableParagraph"/>
              <w:spacing w:line="216" w:lineRule="exact"/>
              <w:ind w:right="59"/>
              <w:jc w:val="right"/>
              <w:rPr>
                <w:rFonts w:ascii="宋体" w:hAnsi="宋体" w:cs="宋体" w:eastAsia="宋体" w:hint="default"/>
                <w:sz w:val="18"/>
                <w:szCs w:val="18"/>
              </w:rPr>
            </w:pPr>
            <w:r>
              <w:rPr>
                <w:rFonts w:ascii="宋体"/>
                <w:spacing w:val="-1"/>
                <w:sz w:val="18"/>
              </w:rPr>
              <w:t>610,373.69</w:t>
            </w:r>
          </w:p>
        </w:tc>
        <w:tc>
          <w:tcPr>
            <w:tcW w:w="1292" w:type="dxa"/>
            <w:tcBorders>
              <w:top w:val="nil" w:sz="6" w:space="0" w:color="auto"/>
              <w:left w:val="nil" w:sz="6" w:space="0" w:color="auto"/>
              <w:bottom w:val="nil" w:sz="6" w:space="0" w:color="auto"/>
              <w:right w:val="nil" w:sz="6" w:space="0" w:color="auto"/>
            </w:tcBorders>
          </w:tcPr>
          <w:p>
            <w:pPr>
              <w:pStyle w:val="TableParagraph"/>
              <w:spacing w:line="216" w:lineRule="exact"/>
              <w:ind w:right="55"/>
              <w:jc w:val="right"/>
              <w:rPr>
                <w:rFonts w:ascii="宋体" w:hAnsi="宋体" w:cs="宋体" w:eastAsia="宋体" w:hint="default"/>
                <w:sz w:val="18"/>
                <w:szCs w:val="18"/>
              </w:rPr>
            </w:pPr>
            <w:r>
              <w:rPr>
                <w:rFonts w:ascii="宋体"/>
                <w:spacing w:val="-1"/>
                <w:sz w:val="18"/>
              </w:rPr>
              <w:t>702,985.14</w:t>
            </w:r>
          </w:p>
        </w:tc>
      </w:tr>
      <w:tr>
        <w:trPr>
          <w:trHeight w:val="286"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33"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66" w:type="dxa"/>
            <w:tcBorders>
              <w:top w:val="nil" w:sz="6" w:space="0" w:color="auto"/>
              <w:left w:val="nil" w:sz="6" w:space="0" w:color="auto"/>
              <w:bottom w:val="nil" w:sz="6" w:space="0" w:color="auto"/>
              <w:right w:val="nil" w:sz="6" w:space="0" w:color="auto"/>
            </w:tcBorders>
          </w:tcPr>
          <w:p>
            <w:pPr>
              <w:pStyle w:val="TableParagraph"/>
              <w:spacing w:line="233" w:lineRule="exact"/>
              <w:ind w:left="55" w:right="0"/>
              <w:jc w:val="left"/>
              <w:rPr>
                <w:rFonts w:ascii="宋体" w:hAnsi="宋体" w:cs="宋体" w:eastAsia="宋体" w:hint="default"/>
                <w:sz w:val="18"/>
                <w:szCs w:val="18"/>
              </w:rPr>
            </w:pPr>
            <w:r>
              <w:rPr>
                <w:rFonts w:ascii="宋体" w:hAnsi="宋体" w:cs="宋体" w:eastAsia="宋体" w:hint="default"/>
                <w:sz w:val="18"/>
                <w:szCs w:val="18"/>
              </w:rPr>
              <w:t>云南云电同方科技有限公司</w:t>
            </w:r>
          </w:p>
        </w:tc>
        <w:tc>
          <w:tcPr>
            <w:tcW w:w="1444" w:type="dxa"/>
            <w:tcBorders>
              <w:top w:val="nil" w:sz="6" w:space="0" w:color="auto"/>
              <w:left w:val="nil" w:sz="6" w:space="0" w:color="auto"/>
              <w:bottom w:val="nil" w:sz="6" w:space="0" w:color="auto"/>
              <w:right w:val="nil" w:sz="6" w:space="0" w:color="auto"/>
            </w:tcBorders>
          </w:tcPr>
          <w:p>
            <w:pPr>
              <w:pStyle w:val="TableParagraph"/>
              <w:spacing w:line="233" w:lineRule="exact"/>
              <w:ind w:right="125"/>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4" w:type="dxa"/>
            <w:tcBorders>
              <w:top w:val="nil" w:sz="6" w:space="0" w:color="auto"/>
              <w:left w:val="nil" w:sz="6" w:space="0" w:color="auto"/>
              <w:bottom w:val="nil" w:sz="6" w:space="0" w:color="auto"/>
              <w:right w:val="nil" w:sz="6" w:space="0" w:color="auto"/>
            </w:tcBorders>
          </w:tcPr>
          <w:p>
            <w:pPr>
              <w:pStyle w:val="TableParagraph"/>
              <w:spacing w:line="233" w:lineRule="exact"/>
              <w:ind w:right="59"/>
              <w:jc w:val="right"/>
              <w:rPr>
                <w:rFonts w:ascii="宋体" w:hAnsi="宋体" w:cs="宋体" w:eastAsia="宋体" w:hint="default"/>
                <w:sz w:val="18"/>
                <w:szCs w:val="18"/>
              </w:rPr>
            </w:pPr>
            <w:r>
              <w:rPr>
                <w:rFonts w:ascii="宋体"/>
                <w:spacing w:val="-1"/>
                <w:sz w:val="18"/>
              </w:rPr>
              <w:t>261,768.24</w:t>
            </w:r>
          </w:p>
        </w:tc>
        <w:tc>
          <w:tcPr>
            <w:tcW w:w="1292"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180,158.13</w:t>
            </w:r>
          </w:p>
        </w:tc>
      </w:tr>
      <w:tr>
        <w:trPr>
          <w:trHeight w:val="269"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33"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66" w:type="dxa"/>
            <w:tcBorders>
              <w:top w:val="nil" w:sz="6" w:space="0" w:color="auto"/>
              <w:left w:val="nil" w:sz="6" w:space="0" w:color="auto"/>
              <w:bottom w:val="nil" w:sz="6" w:space="0" w:color="auto"/>
              <w:right w:val="nil" w:sz="6" w:space="0" w:color="auto"/>
            </w:tcBorders>
          </w:tcPr>
          <w:p>
            <w:pPr>
              <w:pStyle w:val="TableParagraph"/>
              <w:spacing w:line="233" w:lineRule="exact"/>
              <w:ind w:left="55" w:right="0"/>
              <w:jc w:val="left"/>
              <w:rPr>
                <w:rFonts w:ascii="宋体" w:hAnsi="宋体" w:cs="宋体" w:eastAsia="宋体" w:hint="default"/>
                <w:sz w:val="18"/>
                <w:szCs w:val="18"/>
              </w:rPr>
            </w:pPr>
            <w:r>
              <w:rPr>
                <w:rFonts w:ascii="宋体" w:hAnsi="宋体" w:cs="宋体" w:eastAsia="宋体" w:hint="default"/>
                <w:sz w:val="18"/>
                <w:szCs w:val="18"/>
              </w:rPr>
              <w:t>同方鼎欣科技股份有限公司</w:t>
            </w:r>
          </w:p>
        </w:tc>
        <w:tc>
          <w:tcPr>
            <w:tcW w:w="1444" w:type="dxa"/>
            <w:tcBorders>
              <w:top w:val="nil" w:sz="6" w:space="0" w:color="auto"/>
              <w:left w:val="nil" w:sz="6" w:space="0" w:color="auto"/>
              <w:bottom w:val="nil" w:sz="6" w:space="0" w:color="auto"/>
              <w:right w:val="nil" w:sz="6" w:space="0" w:color="auto"/>
            </w:tcBorders>
          </w:tcPr>
          <w:p>
            <w:pPr>
              <w:pStyle w:val="TableParagraph"/>
              <w:spacing w:line="233" w:lineRule="exact"/>
              <w:ind w:right="125"/>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4" w:type="dxa"/>
            <w:tcBorders>
              <w:top w:val="nil" w:sz="6" w:space="0" w:color="auto"/>
              <w:left w:val="nil" w:sz="6" w:space="0" w:color="auto"/>
              <w:bottom w:val="nil" w:sz="6" w:space="0" w:color="auto"/>
              <w:right w:val="nil" w:sz="6" w:space="0" w:color="auto"/>
            </w:tcBorders>
          </w:tcPr>
          <w:p>
            <w:pPr>
              <w:pStyle w:val="TableParagraph"/>
              <w:spacing w:line="233" w:lineRule="exact"/>
              <w:ind w:right="56"/>
              <w:jc w:val="right"/>
              <w:rPr>
                <w:rFonts w:ascii="宋体" w:hAnsi="宋体" w:cs="宋体" w:eastAsia="宋体" w:hint="default"/>
                <w:sz w:val="18"/>
                <w:szCs w:val="18"/>
              </w:rPr>
            </w:pPr>
            <w:r>
              <w:rPr>
                <w:rFonts w:ascii="宋体"/>
                <w:spacing w:val="-1"/>
                <w:sz w:val="18"/>
              </w:rPr>
              <w:t>95,160.54</w:t>
            </w:r>
          </w:p>
        </w:tc>
        <w:tc>
          <w:tcPr>
            <w:tcW w:w="1292"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162,689.62</w:t>
            </w:r>
          </w:p>
        </w:tc>
      </w:tr>
      <w:tr>
        <w:trPr>
          <w:trHeight w:val="459" w:hRule="exact"/>
        </w:trPr>
        <w:tc>
          <w:tcPr>
            <w:tcW w:w="1787" w:type="dxa"/>
            <w:tcBorders>
              <w:top w:val="nil" w:sz="6" w:space="0" w:color="auto"/>
              <w:left w:val="nil" w:sz="6" w:space="0" w:color="auto"/>
              <w:bottom w:val="single" w:sz="4" w:space="0" w:color="000000"/>
              <w:right w:val="nil" w:sz="6" w:space="0" w:color="auto"/>
            </w:tcBorders>
          </w:tcPr>
          <w:p>
            <w:pPr>
              <w:pStyle w:val="TableParagraph"/>
              <w:spacing w:line="220" w:lineRule="exact" w:before="14"/>
              <w:ind w:left="57" w:right="53"/>
              <w:jc w:val="left"/>
              <w:rPr>
                <w:rFonts w:ascii="宋体" w:hAnsi="宋体" w:cs="宋体" w:eastAsia="宋体" w:hint="default"/>
                <w:sz w:val="18"/>
                <w:szCs w:val="18"/>
              </w:rPr>
            </w:pPr>
            <w:r>
              <w:rPr>
                <w:rFonts w:ascii="宋体" w:hAnsi="宋体" w:cs="宋体" w:eastAsia="宋体" w:hint="default"/>
                <w:spacing w:val="5"/>
                <w:sz w:val="18"/>
                <w:szCs w:val="18"/>
              </w:rPr>
              <w:t>北京同方光盘股份有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限公司</w:t>
            </w:r>
          </w:p>
        </w:tc>
        <w:tc>
          <w:tcPr>
            <w:tcW w:w="2766" w:type="dxa"/>
            <w:tcBorders>
              <w:top w:val="nil" w:sz="6" w:space="0" w:color="auto"/>
              <w:left w:val="nil" w:sz="6" w:space="0" w:color="auto"/>
              <w:bottom w:val="single" w:sz="4" w:space="0" w:color="000000"/>
              <w:right w:val="nil" w:sz="6" w:space="0" w:color="auto"/>
            </w:tcBorders>
          </w:tcPr>
          <w:p>
            <w:pPr>
              <w:pStyle w:val="TableParagraph"/>
              <w:spacing w:line="220" w:lineRule="exact" w:before="14"/>
              <w:ind w:left="55" w:right="56"/>
              <w:jc w:val="left"/>
              <w:rPr>
                <w:rFonts w:ascii="宋体" w:hAnsi="宋体" w:cs="宋体" w:eastAsia="宋体" w:hint="default"/>
                <w:sz w:val="18"/>
                <w:szCs w:val="18"/>
              </w:rPr>
            </w:pPr>
            <w:r>
              <w:rPr>
                <w:rFonts w:ascii="宋体" w:hAnsi="宋体" w:cs="宋体" w:eastAsia="宋体" w:hint="default"/>
                <w:spacing w:val="-4"/>
                <w:sz w:val="18"/>
                <w:szCs w:val="18"/>
              </w:rPr>
              <w:t>清控三联创业投资（北京）有限公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1444"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125"/>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4"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58"/>
              <w:jc w:val="right"/>
              <w:rPr>
                <w:rFonts w:ascii="宋体" w:hAnsi="宋体" w:cs="宋体" w:eastAsia="宋体" w:hint="default"/>
                <w:sz w:val="18"/>
                <w:szCs w:val="18"/>
              </w:rPr>
            </w:pPr>
            <w:r>
              <w:rPr>
                <w:rFonts w:ascii="宋体"/>
                <w:sz w:val="18"/>
              </w:rPr>
              <w:t>0.00</w:t>
            </w:r>
          </w:p>
        </w:tc>
        <w:tc>
          <w:tcPr>
            <w:tcW w:w="1292" w:type="dxa"/>
            <w:tcBorders>
              <w:top w:val="nil" w:sz="6" w:space="0" w:color="auto"/>
              <w:left w:val="nil" w:sz="6" w:space="0" w:color="auto"/>
              <w:bottom w:val="single" w:sz="4" w:space="0" w:color="000000"/>
              <w:right w:val="nil" w:sz="6" w:space="0" w:color="auto"/>
            </w:tcBorders>
          </w:tcPr>
          <w:p>
            <w:pPr>
              <w:pStyle w:val="TableParagraph"/>
              <w:spacing w:line="240" w:lineRule="auto" w:before="91"/>
              <w:ind w:right="52"/>
              <w:jc w:val="right"/>
              <w:rPr>
                <w:rFonts w:ascii="宋体" w:hAnsi="宋体" w:cs="宋体" w:eastAsia="宋体" w:hint="default"/>
                <w:sz w:val="18"/>
                <w:szCs w:val="18"/>
              </w:rPr>
            </w:pPr>
            <w:r>
              <w:rPr>
                <w:rFonts w:ascii="宋体"/>
                <w:spacing w:val="-1"/>
                <w:sz w:val="18"/>
              </w:rPr>
              <w:t>65,178.57</w:t>
            </w:r>
          </w:p>
        </w:tc>
      </w:tr>
      <w:tr>
        <w:trPr>
          <w:trHeight w:val="307" w:hRule="exact"/>
        </w:trPr>
        <w:tc>
          <w:tcPr>
            <w:tcW w:w="1787" w:type="dxa"/>
            <w:tcBorders>
              <w:top w:val="single" w:sz="4" w:space="0" w:color="000000"/>
              <w:left w:val="nil" w:sz="6" w:space="0" w:color="auto"/>
              <w:bottom w:val="single" w:sz="12" w:space="0" w:color="000000"/>
              <w:right w:val="nil" w:sz="6" w:space="0" w:color="auto"/>
            </w:tcBorders>
          </w:tcPr>
          <w:p>
            <w:pPr>
              <w:pStyle w:val="TableParagraph"/>
              <w:spacing w:line="238" w:lineRule="exact"/>
              <w:ind w:left="5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76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444"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52"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364" w:type="dxa"/>
            <w:tcBorders>
              <w:top w:val="single" w:sz="4" w:space="0" w:color="000000"/>
              <w:left w:val="nil" w:sz="6" w:space="0" w:color="auto"/>
              <w:bottom w:val="single" w:sz="12" w:space="0" w:color="000000"/>
              <w:right w:val="nil" w:sz="6" w:space="0" w:color="auto"/>
            </w:tcBorders>
          </w:tcPr>
          <w:p>
            <w:pPr>
              <w:pStyle w:val="TableParagraph"/>
              <w:spacing w:line="234" w:lineRule="exact"/>
              <w:ind w:right="57"/>
              <w:jc w:val="right"/>
              <w:rPr>
                <w:rFonts w:ascii="宋体" w:hAnsi="宋体" w:cs="宋体" w:eastAsia="宋体" w:hint="default"/>
                <w:sz w:val="18"/>
                <w:szCs w:val="18"/>
              </w:rPr>
            </w:pPr>
            <w:r>
              <w:rPr>
                <w:rFonts w:ascii="宋体"/>
                <w:b/>
                <w:w w:val="95"/>
                <w:sz w:val="18"/>
              </w:rPr>
              <w:t>41,804,530.24</w:t>
            </w:r>
            <w:r>
              <w:rPr>
                <w:rFonts w:ascii="宋体"/>
                <w:sz w:val="18"/>
              </w:rPr>
            </w:r>
          </w:p>
        </w:tc>
        <w:tc>
          <w:tcPr>
            <w:tcW w:w="1292" w:type="dxa"/>
            <w:tcBorders>
              <w:top w:val="single" w:sz="4" w:space="0" w:color="000000"/>
              <w:left w:val="nil" w:sz="6" w:space="0" w:color="auto"/>
              <w:bottom w:val="single" w:sz="12" w:space="0" w:color="000000"/>
              <w:right w:val="nil" w:sz="6" w:space="0" w:color="auto"/>
            </w:tcBorders>
          </w:tcPr>
          <w:p>
            <w:pPr>
              <w:pStyle w:val="TableParagraph"/>
              <w:spacing w:line="234" w:lineRule="exact"/>
              <w:ind w:right="53"/>
              <w:jc w:val="right"/>
              <w:rPr>
                <w:rFonts w:ascii="宋体" w:hAnsi="宋体" w:cs="宋体" w:eastAsia="宋体" w:hint="default"/>
                <w:sz w:val="18"/>
                <w:szCs w:val="18"/>
              </w:rPr>
            </w:pPr>
            <w:r>
              <w:rPr>
                <w:rFonts w:ascii="宋体"/>
                <w:b/>
                <w:w w:val="95"/>
                <w:sz w:val="18"/>
              </w:rPr>
              <w:t>40,450,315.86</w:t>
            </w:r>
            <w:r>
              <w:rPr>
                <w:rFonts w:ascii="宋体"/>
                <w:sz w:val="18"/>
              </w:rPr>
            </w:r>
          </w:p>
        </w:tc>
      </w:tr>
    </w:tbl>
    <w:p>
      <w:pPr>
        <w:spacing w:before="21"/>
        <w:ind w:left="675" w:right="3346"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2"/>
          <w:sz w:val="22"/>
          <w:szCs w:val="22"/>
        </w:rPr>
        <w:t> </w:t>
      </w:r>
      <w:r>
        <w:rPr>
          <w:rFonts w:ascii="宋体" w:hAnsi="宋体" w:cs="宋体" w:eastAsia="宋体" w:hint="default"/>
          <w:sz w:val="22"/>
          <w:szCs w:val="22"/>
        </w:rPr>
        <w:t>承租情况</w:t>
      </w:r>
    </w:p>
    <w:p>
      <w:pPr>
        <w:spacing w:line="240" w:lineRule="auto" w:before="11"/>
        <w:rPr>
          <w:rFonts w:ascii="宋体" w:hAnsi="宋体" w:cs="宋体" w:eastAsia="宋体" w:hint="default"/>
          <w:sz w:val="10"/>
          <w:szCs w:val="10"/>
        </w:rPr>
      </w:pPr>
    </w:p>
    <w:tbl>
      <w:tblPr>
        <w:tblW w:w="0" w:type="auto"/>
        <w:jc w:val="left"/>
        <w:tblInd w:w="164" w:type="dxa"/>
        <w:tblLayout w:type="fixed"/>
        <w:tblCellMar>
          <w:top w:w="0" w:type="dxa"/>
          <w:left w:w="0" w:type="dxa"/>
          <w:bottom w:w="0" w:type="dxa"/>
          <w:right w:w="0" w:type="dxa"/>
        </w:tblCellMar>
        <w:tblLook w:val="01E0"/>
      </w:tblPr>
      <w:tblGrid>
        <w:gridCol w:w="2283"/>
        <w:gridCol w:w="2628"/>
        <w:gridCol w:w="1605"/>
        <w:gridCol w:w="1087"/>
        <w:gridCol w:w="1022"/>
      </w:tblGrid>
      <w:tr>
        <w:trPr>
          <w:trHeight w:val="461" w:hRule="exact"/>
        </w:trPr>
        <w:tc>
          <w:tcPr>
            <w:tcW w:w="2283" w:type="dxa"/>
            <w:tcBorders>
              <w:top w:val="single" w:sz="12" w:space="0" w:color="000000"/>
              <w:left w:val="nil" w:sz="6" w:space="0" w:color="auto"/>
              <w:bottom w:val="single" w:sz="4" w:space="0" w:color="000000"/>
              <w:right w:val="nil" w:sz="6" w:space="0" w:color="auto"/>
            </w:tcBorders>
          </w:tcPr>
          <w:p>
            <w:pPr>
              <w:pStyle w:val="TableParagraph"/>
              <w:spacing w:line="240" w:lineRule="auto" w:before="78"/>
              <w:ind w:left="57"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2628" w:type="dxa"/>
            <w:tcBorders>
              <w:top w:val="single" w:sz="12" w:space="0" w:color="000000"/>
              <w:left w:val="nil" w:sz="6" w:space="0" w:color="auto"/>
              <w:bottom w:val="single" w:sz="4" w:space="0" w:color="000000"/>
              <w:right w:val="nil" w:sz="6" w:space="0" w:color="auto"/>
            </w:tcBorders>
          </w:tcPr>
          <w:p>
            <w:pPr>
              <w:pStyle w:val="TableParagraph"/>
              <w:spacing w:line="240" w:lineRule="auto" w:before="78"/>
              <w:ind w:left="977" w:right="0"/>
              <w:jc w:val="left"/>
              <w:rPr>
                <w:rFonts w:ascii="宋体" w:hAnsi="宋体" w:cs="宋体" w:eastAsia="宋体" w:hint="default"/>
                <w:sz w:val="18"/>
                <w:szCs w:val="18"/>
              </w:rPr>
            </w:pPr>
            <w:r>
              <w:rPr>
                <w:rFonts w:ascii="宋体" w:hAnsi="宋体" w:cs="宋体" w:eastAsia="宋体" w:hint="default"/>
                <w:b/>
                <w:bCs/>
                <w:sz w:val="18"/>
                <w:szCs w:val="18"/>
              </w:rPr>
              <w:t>承租方名称</w:t>
            </w:r>
            <w:r>
              <w:rPr>
                <w:rFonts w:ascii="宋体" w:hAnsi="宋体" w:cs="宋体" w:eastAsia="宋体" w:hint="default"/>
                <w:sz w:val="18"/>
                <w:szCs w:val="18"/>
              </w:rPr>
            </w:r>
          </w:p>
        </w:tc>
        <w:tc>
          <w:tcPr>
            <w:tcW w:w="1605" w:type="dxa"/>
            <w:tcBorders>
              <w:top w:val="single" w:sz="12" w:space="0" w:color="000000"/>
              <w:left w:val="nil" w:sz="6" w:space="0" w:color="auto"/>
              <w:bottom w:val="single" w:sz="4" w:space="0" w:color="000000"/>
              <w:right w:val="nil" w:sz="6" w:space="0" w:color="auto"/>
            </w:tcBorders>
          </w:tcPr>
          <w:p>
            <w:pPr>
              <w:pStyle w:val="TableParagraph"/>
              <w:spacing w:line="240" w:lineRule="auto" w:before="78"/>
              <w:ind w:left="104" w:right="0"/>
              <w:jc w:val="center"/>
              <w:rPr>
                <w:rFonts w:ascii="宋体" w:hAnsi="宋体" w:cs="宋体" w:eastAsia="宋体" w:hint="default"/>
                <w:sz w:val="18"/>
                <w:szCs w:val="18"/>
              </w:rPr>
            </w:pPr>
            <w:r>
              <w:rPr>
                <w:rFonts w:ascii="宋体" w:hAnsi="宋体" w:cs="宋体" w:eastAsia="宋体" w:hint="default"/>
                <w:b/>
                <w:bCs/>
                <w:sz w:val="18"/>
                <w:szCs w:val="18"/>
              </w:rPr>
              <w:t>租赁资产种类</w:t>
            </w:r>
            <w:r>
              <w:rPr>
                <w:rFonts w:ascii="宋体" w:hAnsi="宋体" w:cs="宋体" w:eastAsia="宋体" w:hint="default"/>
                <w:sz w:val="18"/>
                <w:szCs w:val="18"/>
              </w:rPr>
            </w:r>
          </w:p>
        </w:tc>
        <w:tc>
          <w:tcPr>
            <w:tcW w:w="1087" w:type="dxa"/>
            <w:tcBorders>
              <w:top w:val="single" w:sz="12" w:space="0" w:color="000000"/>
              <w:left w:val="nil" w:sz="6" w:space="0" w:color="auto"/>
              <w:bottom w:val="single" w:sz="4" w:space="0" w:color="000000"/>
              <w:right w:val="nil" w:sz="6" w:space="0" w:color="auto"/>
            </w:tcBorders>
          </w:tcPr>
          <w:p>
            <w:pPr>
              <w:pStyle w:val="TableParagraph"/>
              <w:spacing w:line="220" w:lineRule="exact" w:before="2"/>
              <w:ind w:left="304" w:right="59" w:hanging="181"/>
              <w:jc w:val="left"/>
              <w:rPr>
                <w:rFonts w:ascii="宋体" w:hAnsi="宋体" w:cs="宋体" w:eastAsia="宋体" w:hint="default"/>
                <w:sz w:val="18"/>
                <w:szCs w:val="18"/>
              </w:rPr>
            </w:pPr>
            <w:r>
              <w:rPr>
                <w:rFonts w:ascii="宋体" w:hAnsi="宋体" w:cs="宋体" w:eastAsia="宋体" w:hint="default"/>
                <w:b/>
                <w:bCs/>
                <w:sz w:val="18"/>
                <w:szCs w:val="18"/>
              </w:rPr>
              <w:t>本年确认的</w:t>
            </w:r>
            <w:r>
              <w:rPr>
                <w:rFonts w:ascii="宋体" w:hAnsi="宋体" w:cs="宋体" w:eastAsia="宋体" w:hint="default"/>
                <w:b/>
                <w:bCs/>
                <w:w w:val="99"/>
                <w:sz w:val="18"/>
                <w:szCs w:val="18"/>
              </w:rPr>
              <w:t> </w:t>
            </w:r>
            <w:r>
              <w:rPr>
                <w:rFonts w:ascii="宋体" w:hAnsi="宋体" w:cs="宋体" w:eastAsia="宋体" w:hint="default"/>
                <w:b/>
                <w:bCs/>
                <w:sz w:val="18"/>
                <w:szCs w:val="18"/>
              </w:rPr>
              <w:t>租赁费</w:t>
            </w:r>
            <w:r>
              <w:rPr>
                <w:rFonts w:ascii="宋体" w:hAnsi="宋体" w:cs="宋体" w:eastAsia="宋体" w:hint="default"/>
                <w:sz w:val="18"/>
                <w:szCs w:val="18"/>
              </w:rPr>
            </w:r>
          </w:p>
        </w:tc>
        <w:tc>
          <w:tcPr>
            <w:tcW w:w="1022" w:type="dxa"/>
            <w:tcBorders>
              <w:top w:val="single" w:sz="12" w:space="0" w:color="000000"/>
              <w:left w:val="nil" w:sz="6" w:space="0" w:color="auto"/>
              <w:bottom w:val="single" w:sz="4" w:space="0" w:color="000000"/>
              <w:right w:val="nil" w:sz="6" w:space="0" w:color="auto"/>
            </w:tcBorders>
          </w:tcPr>
          <w:p>
            <w:pPr>
              <w:pStyle w:val="TableParagraph"/>
              <w:spacing w:line="220" w:lineRule="exact" w:before="2"/>
              <w:ind w:left="239" w:right="58" w:hanging="180"/>
              <w:jc w:val="left"/>
              <w:rPr>
                <w:rFonts w:ascii="宋体" w:hAnsi="宋体" w:cs="宋体" w:eastAsia="宋体" w:hint="default"/>
                <w:sz w:val="18"/>
                <w:szCs w:val="18"/>
              </w:rPr>
            </w:pPr>
            <w:r>
              <w:rPr>
                <w:rFonts w:ascii="宋体" w:hAnsi="宋体" w:cs="宋体" w:eastAsia="宋体" w:hint="default"/>
                <w:b/>
                <w:bCs/>
                <w:sz w:val="18"/>
                <w:szCs w:val="18"/>
              </w:rPr>
              <w:t>上年确认的</w:t>
            </w:r>
            <w:r>
              <w:rPr>
                <w:rFonts w:ascii="宋体" w:hAnsi="宋体" w:cs="宋体" w:eastAsia="宋体" w:hint="default"/>
                <w:b/>
                <w:bCs/>
                <w:w w:val="99"/>
                <w:sz w:val="18"/>
                <w:szCs w:val="18"/>
              </w:rPr>
              <w:t> </w:t>
            </w:r>
            <w:r>
              <w:rPr>
                <w:rFonts w:ascii="宋体" w:hAnsi="宋体" w:cs="宋体" w:eastAsia="宋体" w:hint="default"/>
                <w:b/>
                <w:bCs/>
                <w:sz w:val="18"/>
                <w:szCs w:val="18"/>
              </w:rPr>
              <w:t>租赁费</w:t>
            </w:r>
            <w:r>
              <w:rPr>
                <w:rFonts w:ascii="宋体" w:hAnsi="宋体" w:cs="宋体" w:eastAsia="宋体" w:hint="default"/>
                <w:sz w:val="18"/>
                <w:szCs w:val="18"/>
              </w:rPr>
            </w:r>
          </w:p>
        </w:tc>
      </w:tr>
      <w:tr>
        <w:trPr>
          <w:trHeight w:val="292" w:hRule="exact"/>
        </w:trPr>
        <w:tc>
          <w:tcPr>
            <w:tcW w:w="2283" w:type="dxa"/>
            <w:tcBorders>
              <w:top w:val="single" w:sz="4" w:space="0" w:color="000000"/>
              <w:left w:val="nil" w:sz="6" w:space="0" w:color="auto"/>
              <w:bottom w:val="nil" w:sz="6" w:space="0" w:color="auto"/>
              <w:right w:val="nil" w:sz="6" w:space="0" w:color="auto"/>
            </w:tcBorders>
          </w:tcPr>
          <w:p>
            <w:pPr>
              <w:pStyle w:val="TableParagraph"/>
              <w:spacing w:line="234" w:lineRule="exact"/>
              <w:ind w:left="57"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628" w:type="dxa"/>
            <w:tcBorders>
              <w:top w:val="single" w:sz="4" w:space="0" w:color="000000"/>
              <w:left w:val="nil" w:sz="6" w:space="0" w:color="auto"/>
              <w:bottom w:val="nil" w:sz="6" w:space="0" w:color="auto"/>
              <w:right w:val="nil" w:sz="6" w:space="0" w:color="auto"/>
            </w:tcBorders>
          </w:tcPr>
          <w:p>
            <w:pPr>
              <w:pStyle w:val="TableParagraph"/>
              <w:spacing w:line="234" w:lineRule="exact"/>
              <w:ind w:left="245"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1605" w:type="dxa"/>
            <w:tcBorders>
              <w:top w:val="single" w:sz="4" w:space="0" w:color="000000"/>
              <w:left w:val="nil" w:sz="6" w:space="0" w:color="auto"/>
              <w:bottom w:val="nil" w:sz="6" w:space="0" w:color="auto"/>
              <w:right w:val="nil" w:sz="6" w:space="0" w:color="auto"/>
            </w:tcBorders>
          </w:tcPr>
          <w:p>
            <w:pPr>
              <w:pStyle w:val="TableParagraph"/>
              <w:spacing w:line="234" w:lineRule="exact"/>
              <w:ind w:left="102"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087" w:type="dxa"/>
            <w:tcBorders>
              <w:top w:val="single" w:sz="4" w:space="0" w:color="000000"/>
              <w:left w:val="nil" w:sz="6" w:space="0" w:color="auto"/>
              <w:bottom w:val="nil" w:sz="6" w:space="0" w:color="auto"/>
              <w:right w:val="nil" w:sz="6" w:space="0" w:color="auto"/>
            </w:tcBorders>
          </w:tcPr>
          <w:p>
            <w:pPr>
              <w:pStyle w:val="TableParagraph"/>
              <w:spacing w:line="234" w:lineRule="exact"/>
              <w:ind w:right="56"/>
              <w:jc w:val="right"/>
              <w:rPr>
                <w:rFonts w:ascii="宋体" w:hAnsi="宋体" w:cs="宋体" w:eastAsia="宋体" w:hint="default"/>
                <w:sz w:val="18"/>
                <w:szCs w:val="18"/>
              </w:rPr>
            </w:pPr>
            <w:r>
              <w:rPr>
                <w:rFonts w:ascii="宋体"/>
                <w:spacing w:val="-1"/>
                <w:sz w:val="18"/>
              </w:rPr>
              <w:t>112,618.53</w:t>
            </w:r>
          </w:p>
        </w:tc>
        <w:tc>
          <w:tcPr>
            <w:tcW w:w="1022" w:type="dxa"/>
            <w:tcBorders>
              <w:top w:val="single" w:sz="4" w:space="0" w:color="000000"/>
              <w:left w:val="nil" w:sz="6" w:space="0" w:color="auto"/>
              <w:bottom w:val="nil" w:sz="6" w:space="0" w:color="auto"/>
              <w:right w:val="nil" w:sz="6" w:space="0" w:color="auto"/>
            </w:tcBorders>
          </w:tcPr>
          <w:p>
            <w:pPr>
              <w:pStyle w:val="TableParagraph"/>
              <w:spacing w:line="234" w:lineRule="exact"/>
              <w:ind w:right="57"/>
              <w:jc w:val="right"/>
              <w:rPr>
                <w:rFonts w:ascii="宋体" w:hAnsi="宋体" w:cs="宋体" w:eastAsia="宋体" w:hint="default"/>
                <w:sz w:val="18"/>
                <w:szCs w:val="18"/>
              </w:rPr>
            </w:pPr>
            <w:r>
              <w:rPr>
                <w:rFonts w:ascii="宋体"/>
                <w:spacing w:val="-1"/>
                <w:sz w:val="18"/>
              </w:rPr>
              <w:t>159,329.06</w:t>
            </w:r>
          </w:p>
        </w:tc>
      </w:tr>
      <w:tr>
        <w:trPr>
          <w:trHeight w:val="289" w:hRule="exact"/>
        </w:trPr>
        <w:tc>
          <w:tcPr>
            <w:tcW w:w="2283" w:type="dxa"/>
            <w:tcBorders>
              <w:top w:val="nil" w:sz="6" w:space="0" w:color="auto"/>
              <w:left w:val="nil" w:sz="6" w:space="0" w:color="auto"/>
              <w:bottom w:val="single" w:sz="4" w:space="0" w:color="000000"/>
              <w:right w:val="nil" w:sz="6" w:space="0" w:color="auto"/>
            </w:tcBorders>
          </w:tcPr>
          <w:p>
            <w:pPr>
              <w:pStyle w:val="TableParagraph"/>
              <w:spacing w:line="233" w:lineRule="exact"/>
              <w:ind w:left="57" w:right="0"/>
              <w:jc w:val="left"/>
              <w:rPr>
                <w:rFonts w:ascii="宋体" w:hAnsi="宋体" w:cs="宋体" w:eastAsia="宋体" w:hint="default"/>
                <w:sz w:val="18"/>
                <w:szCs w:val="18"/>
              </w:rPr>
            </w:pPr>
            <w:r>
              <w:rPr>
                <w:rFonts w:ascii="宋体" w:hAnsi="宋体" w:cs="宋体" w:eastAsia="宋体" w:hint="default"/>
                <w:sz w:val="18"/>
                <w:szCs w:val="18"/>
              </w:rPr>
              <w:t>清华大学出版社有限公司</w:t>
            </w:r>
          </w:p>
        </w:tc>
        <w:tc>
          <w:tcPr>
            <w:tcW w:w="2628" w:type="dxa"/>
            <w:tcBorders>
              <w:top w:val="nil" w:sz="6" w:space="0" w:color="auto"/>
              <w:left w:val="nil" w:sz="6" w:space="0" w:color="auto"/>
              <w:bottom w:val="single" w:sz="4" w:space="0" w:color="000000"/>
              <w:right w:val="nil" w:sz="6" w:space="0" w:color="auto"/>
            </w:tcBorders>
          </w:tcPr>
          <w:p>
            <w:pPr>
              <w:pStyle w:val="TableParagraph"/>
              <w:spacing w:line="233" w:lineRule="exact"/>
              <w:ind w:left="245"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1605" w:type="dxa"/>
            <w:tcBorders>
              <w:top w:val="nil" w:sz="6" w:space="0" w:color="auto"/>
              <w:left w:val="nil" w:sz="6" w:space="0" w:color="auto"/>
              <w:bottom w:val="single" w:sz="4" w:space="0" w:color="000000"/>
              <w:right w:val="nil" w:sz="6" w:space="0" w:color="auto"/>
            </w:tcBorders>
          </w:tcPr>
          <w:p>
            <w:pPr>
              <w:pStyle w:val="TableParagraph"/>
              <w:spacing w:line="233" w:lineRule="exact"/>
              <w:ind w:left="102"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087" w:type="dxa"/>
            <w:tcBorders>
              <w:top w:val="nil" w:sz="6" w:space="0" w:color="auto"/>
              <w:left w:val="nil" w:sz="6" w:space="0" w:color="auto"/>
              <w:bottom w:val="single" w:sz="4" w:space="0" w:color="000000"/>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z w:val="18"/>
              </w:rPr>
              <w:t>0.00</w:t>
            </w:r>
          </w:p>
        </w:tc>
        <w:tc>
          <w:tcPr>
            <w:tcW w:w="1022" w:type="dxa"/>
            <w:tcBorders>
              <w:top w:val="nil" w:sz="6" w:space="0" w:color="auto"/>
              <w:left w:val="nil" w:sz="6" w:space="0" w:color="auto"/>
              <w:bottom w:val="single" w:sz="4" w:space="0" w:color="000000"/>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11,428.57</w:t>
            </w:r>
          </w:p>
        </w:tc>
      </w:tr>
      <w:tr>
        <w:trPr>
          <w:trHeight w:val="305" w:hRule="exact"/>
        </w:trPr>
        <w:tc>
          <w:tcPr>
            <w:tcW w:w="2283" w:type="dxa"/>
            <w:tcBorders>
              <w:top w:val="single" w:sz="4" w:space="0" w:color="000000"/>
              <w:left w:val="nil" w:sz="6" w:space="0" w:color="auto"/>
              <w:bottom w:val="single" w:sz="12" w:space="0" w:color="000000"/>
              <w:right w:val="nil" w:sz="6" w:space="0" w:color="auto"/>
            </w:tcBorders>
          </w:tcPr>
          <w:p>
            <w:pPr>
              <w:pStyle w:val="TableParagraph"/>
              <w:spacing w:line="238" w:lineRule="exact"/>
              <w:ind w:left="5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28" w:type="dxa"/>
            <w:tcBorders>
              <w:top w:val="single" w:sz="4" w:space="0" w:color="000000"/>
              <w:left w:val="nil" w:sz="6" w:space="0" w:color="auto"/>
              <w:bottom w:val="single" w:sz="12" w:space="0" w:color="000000"/>
              <w:right w:val="nil" w:sz="6" w:space="0" w:color="auto"/>
            </w:tcBorders>
          </w:tcPr>
          <w:p>
            <w:pPr>
              <w:pStyle w:val="TableParagraph"/>
              <w:spacing w:line="240" w:lineRule="auto" w:before="29"/>
              <w:ind w:left="230"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605" w:type="dxa"/>
            <w:tcBorders>
              <w:top w:val="single" w:sz="4" w:space="0" w:color="000000"/>
              <w:left w:val="nil" w:sz="6" w:space="0" w:color="auto"/>
              <w:bottom w:val="single" w:sz="12" w:space="0" w:color="000000"/>
              <w:right w:val="nil" w:sz="6" w:space="0" w:color="auto"/>
            </w:tcBorders>
          </w:tcPr>
          <w:p>
            <w:pPr>
              <w:pStyle w:val="TableParagraph"/>
              <w:spacing w:line="240" w:lineRule="auto" w:before="29"/>
              <w:ind w:left="102"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087" w:type="dxa"/>
            <w:tcBorders>
              <w:top w:val="single" w:sz="4" w:space="0" w:color="000000"/>
              <w:left w:val="nil" w:sz="6" w:space="0" w:color="auto"/>
              <w:bottom w:val="single" w:sz="12" w:space="0" w:color="000000"/>
              <w:right w:val="nil" w:sz="6" w:space="0" w:color="auto"/>
            </w:tcBorders>
          </w:tcPr>
          <w:p>
            <w:pPr>
              <w:pStyle w:val="TableParagraph"/>
              <w:spacing w:line="234" w:lineRule="exact"/>
              <w:ind w:right="56"/>
              <w:jc w:val="right"/>
              <w:rPr>
                <w:rFonts w:ascii="宋体" w:hAnsi="宋体" w:cs="宋体" w:eastAsia="宋体" w:hint="default"/>
                <w:sz w:val="18"/>
                <w:szCs w:val="18"/>
              </w:rPr>
            </w:pPr>
            <w:r>
              <w:rPr>
                <w:rFonts w:ascii="宋体"/>
                <w:b/>
                <w:w w:val="95"/>
                <w:sz w:val="18"/>
              </w:rPr>
              <w:t>112,618.53</w:t>
            </w:r>
            <w:r>
              <w:rPr>
                <w:rFonts w:ascii="宋体"/>
                <w:sz w:val="18"/>
              </w:rPr>
            </w:r>
          </w:p>
        </w:tc>
        <w:tc>
          <w:tcPr>
            <w:tcW w:w="1022" w:type="dxa"/>
            <w:tcBorders>
              <w:top w:val="single" w:sz="4" w:space="0" w:color="000000"/>
              <w:left w:val="nil" w:sz="6" w:space="0" w:color="auto"/>
              <w:bottom w:val="single" w:sz="12" w:space="0" w:color="000000"/>
              <w:right w:val="nil" w:sz="6" w:space="0" w:color="auto"/>
            </w:tcBorders>
          </w:tcPr>
          <w:p>
            <w:pPr>
              <w:pStyle w:val="TableParagraph"/>
              <w:spacing w:line="234" w:lineRule="exact"/>
              <w:ind w:right="55"/>
              <w:jc w:val="right"/>
              <w:rPr>
                <w:rFonts w:ascii="宋体" w:hAnsi="宋体" w:cs="宋体" w:eastAsia="宋体" w:hint="default"/>
                <w:sz w:val="18"/>
                <w:szCs w:val="18"/>
              </w:rPr>
            </w:pPr>
            <w:r>
              <w:rPr>
                <w:rFonts w:ascii="宋体"/>
                <w:b/>
                <w:w w:val="95"/>
                <w:sz w:val="18"/>
              </w:rPr>
              <w:t>170,757.63</w:t>
            </w:r>
            <w:r>
              <w:rPr>
                <w:rFonts w:ascii="宋体"/>
                <w:sz w:val="18"/>
              </w:rPr>
            </w:r>
          </w:p>
        </w:tc>
      </w:tr>
    </w:tbl>
    <w:p>
      <w:pPr>
        <w:spacing w:after="0" w:line="234" w:lineRule="exact"/>
        <w:jc w:val="right"/>
        <w:rPr>
          <w:rFonts w:ascii="宋体" w:hAnsi="宋体" w:cs="宋体" w:eastAsia="宋体" w:hint="default"/>
          <w:sz w:val="18"/>
          <w:szCs w:val="18"/>
        </w:rPr>
        <w:sectPr>
          <w:pgSz w:w="11910" w:h="16840"/>
          <w:pgMar w:header="0" w:footer="1034" w:top="1320" w:bottom="1220" w:left="1480" w:right="1480"/>
        </w:sectPr>
      </w:pPr>
    </w:p>
    <w:p>
      <w:pPr>
        <w:spacing w:before="6"/>
        <w:ind w:left="615" w:right="12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17"/>
          <w:sz w:val="22"/>
          <w:szCs w:val="22"/>
        </w:rPr>
        <w:t> </w:t>
      </w:r>
      <w:r>
        <w:rPr>
          <w:rFonts w:ascii="宋体" w:hAnsi="宋体" w:cs="宋体" w:eastAsia="宋体" w:hint="default"/>
          <w:sz w:val="22"/>
          <w:szCs w:val="22"/>
        </w:rPr>
        <w:t>关联担保情况</w:t>
      </w:r>
    </w:p>
    <w:p>
      <w:pPr>
        <w:spacing w:before="111"/>
        <w:ind w:left="615" w:right="127"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7"/>
          <w:sz w:val="22"/>
          <w:szCs w:val="22"/>
        </w:rPr>
        <w:t> </w:t>
      </w:r>
      <w:r>
        <w:rPr>
          <w:rFonts w:ascii="宋体" w:hAnsi="宋体" w:cs="宋体" w:eastAsia="宋体" w:hint="default"/>
          <w:sz w:val="22"/>
          <w:szCs w:val="22"/>
        </w:rPr>
        <w:t>公司法人实体为控股子公司提供担保</w:t>
      </w:r>
    </w:p>
    <w:p>
      <w:pPr>
        <w:spacing w:line="297" w:lineRule="auto" w:before="129"/>
        <w:ind w:left="162" w:right="127" w:firstLine="439"/>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宋体" w:hAnsi="宋体" w:cs="宋体" w:eastAsia="宋体" w:hint="default"/>
          <w:sz w:val="22"/>
          <w:szCs w:val="22"/>
        </w:rPr>
        <w:t>2018</w:t>
      </w:r>
      <w:r>
        <w:rPr>
          <w:rFonts w:ascii="宋体" w:hAnsi="宋体" w:cs="宋体" w:eastAsia="宋体" w:hint="default"/>
          <w:spacing w:val="-50"/>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12</w:t>
      </w:r>
      <w:r>
        <w:rPr>
          <w:rFonts w:ascii="宋体" w:hAnsi="宋体" w:cs="宋体" w:eastAsia="宋体" w:hint="default"/>
          <w:spacing w:val="-50"/>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31</w:t>
      </w:r>
      <w:r>
        <w:rPr>
          <w:rFonts w:ascii="宋体" w:hAnsi="宋体" w:cs="宋体" w:eastAsia="宋体" w:hint="default"/>
          <w:spacing w:val="-50"/>
          <w:sz w:val="22"/>
          <w:szCs w:val="22"/>
        </w:rPr>
        <w:t> </w:t>
      </w:r>
      <w:r>
        <w:rPr>
          <w:rFonts w:ascii="宋体" w:hAnsi="宋体" w:cs="宋体" w:eastAsia="宋体" w:hint="default"/>
          <w:sz w:val="22"/>
          <w:szCs w:val="22"/>
        </w:rPr>
        <w:t>日公司以保证方式为下列子公司的银行借款、信用证、银行承</w:t>
      </w:r>
      <w:r>
        <w:rPr>
          <w:rFonts w:ascii="宋体" w:hAnsi="宋体" w:cs="宋体" w:eastAsia="宋体" w:hint="default"/>
          <w:w w:val="100"/>
          <w:sz w:val="22"/>
          <w:szCs w:val="22"/>
        </w:rPr>
        <w:t> </w:t>
      </w:r>
      <w:r>
        <w:rPr>
          <w:rFonts w:ascii="宋体" w:hAnsi="宋体" w:cs="宋体" w:eastAsia="宋体" w:hint="default"/>
          <w:sz w:val="22"/>
          <w:szCs w:val="22"/>
        </w:rPr>
        <w:t>兑汇票、保函和应付债券提供连带责任担保：</w:t>
      </w:r>
    </w:p>
    <w:p>
      <w:pPr>
        <w:tabs>
          <w:tab w:pos="1181" w:val="left" w:leader="none"/>
        </w:tabs>
        <w:spacing w:before="74"/>
        <w:ind w:left="728" w:right="12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tab/>
      </w:r>
      <w:r>
        <w:rPr>
          <w:rFonts w:ascii="宋体" w:hAnsi="宋体" w:cs="宋体" w:eastAsia="宋体" w:hint="default"/>
          <w:sz w:val="22"/>
          <w:szCs w:val="22"/>
        </w:rPr>
        <w:t>借款担保</w:t>
      </w:r>
    </w:p>
    <w:p>
      <w:pPr>
        <w:spacing w:before="113"/>
        <w:ind w:left="750" w:right="127"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a</w:t>
      </w:r>
      <w:r>
        <w:rPr>
          <w:rFonts w:ascii="宋体" w:hAnsi="宋体" w:cs="宋体" w:eastAsia="宋体" w:hint="default"/>
          <w:sz w:val="22"/>
          <w:szCs w:val="22"/>
        </w:rPr>
        <w:t>）</w:t>
      </w:r>
      <w:r>
        <w:rPr>
          <w:rFonts w:ascii="宋体" w:hAnsi="宋体" w:cs="宋体" w:eastAsia="宋体" w:hint="default"/>
          <w:spacing w:val="-19"/>
          <w:sz w:val="22"/>
          <w:szCs w:val="22"/>
        </w:rPr>
        <w:t> </w:t>
      </w:r>
      <w:r>
        <w:rPr>
          <w:rFonts w:ascii="宋体" w:hAnsi="宋体" w:cs="宋体" w:eastAsia="宋体" w:hint="default"/>
          <w:sz w:val="22"/>
          <w:szCs w:val="22"/>
        </w:rPr>
        <w:t>一般借款（流动资金借款、长期借款）担保</w:t>
      </w:r>
    </w:p>
    <w:p>
      <w:pPr>
        <w:spacing w:line="240" w:lineRule="auto" w:before="11"/>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2232"/>
        <w:gridCol w:w="1380"/>
        <w:gridCol w:w="1490"/>
        <w:gridCol w:w="1731"/>
        <w:gridCol w:w="1746"/>
      </w:tblGrid>
      <w:tr>
        <w:trPr>
          <w:trHeight w:val="305" w:hRule="exact"/>
        </w:trPr>
        <w:tc>
          <w:tcPr>
            <w:tcW w:w="2232"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14" w:right="0"/>
              <w:jc w:val="center"/>
              <w:rPr>
                <w:rFonts w:ascii="宋体" w:hAnsi="宋体" w:cs="宋体" w:eastAsia="宋体" w:hint="default"/>
                <w:sz w:val="16"/>
                <w:szCs w:val="16"/>
              </w:rPr>
            </w:pPr>
            <w:r>
              <w:rPr>
                <w:rFonts w:ascii="宋体" w:hAnsi="宋体" w:cs="宋体" w:eastAsia="宋体" w:hint="default"/>
                <w:b/>
                <w:bCs/>
                <w:sz w:val="16"/>
                <w:szCs w:val="16"/>
              </w:rPr>
              <w:t>被担保方</w:t>
            </w:r>
            <w:r>
              <w:rPr>
                <w:rFonts w:ascii="宋体" w:hAnsi="宋体" w:cs="宋体" w:eastAsia="宋体" w:hint="default"/>
                <w:sz w:val="16"/>
                <w:szCs w:val="16"/>
              </w:rPr>
            </w:r>
          </w:p>
        </w:tc>
        <w:tc>
          <w:tcPr>
            <w:tcW w:w="1380"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367" w:right="0"/>
              <w:jc w:val="left"/>
              <w:rPr>
                <w:rFonts w:ascii="宋体" w:hAnsi="宋体" w:cs="宋体" w:eastAsia="宋体" w:hint="default"/>
                <w:sz w:val="16"/>
                <w:szCs w:val="16"/>
              </w:rPr>
            </w:pPr>
            <w:r>
              <w:rPr>
                <w:rFonts w:ascii="宋体" w:hAnsi="宋体" w:cs="宋体" w:eastAsia="宋体" w:hint="default"/>
                <w:b/>
                <w:bCs/>
                <w:sz w:val="16"/>
                <w:szCs w:val="16"/>
              </w:rPr>
              <w:t>贷款银行</w:t>
            </w:r>
            <w:r>
              <w:rPr>
                <w:rFonts w:ascii="宋体" w:hAnsi="宋体" w:cs="宋体" w:eastAsia="宋体" w:hint="default"/>
                <w:sz w:val="16"/>
                <w:szCs w:val="16"/>
              </w:rPr>
            </w:r>
          </w:p>
        </w:tc>
        <w:tc>
          <w:tcPr>
            <w:tcW w:w="1490"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420" w:right="0"/>
              <w:jc w:val="left"/>
              <w:rPr>
                <w:rFonts w:ascii="宋体" w:hAnsi="宋体" w:cs="宋体" w:eastAsia="宋体" w:hint="default"/>
                <w:sz w:val="16"/>
                <w:szCs w:val="16"/>
              </w:rPr>
            </w:pPr>
            <w:r>
              <w:rPr>
                <w:rFonts w:ascii="宋体" w:hAnsi="宋体" w:cs="宋体" w:eastAsia="宋体" w:hint="default"/>
                <w:b/>
                <w:bCs/>
                <w:sz w:val="16"/>
                <w:szCs w:val="16"/>
              </w:rPr>
              <w:t>贷款金额</w:t>
            </w:r>
            <w:r>
              <w:rPr>
                <w:rFonts w:ascii="宋体" w:hAnsi="宋体" w:cs="宋体" w:eastAsia="宋体" w:hint="default"/>
                <w:sz w:val="16"/>
                <w:szCs w:val="16"/>
              </w:rPr>
            </w:r>
          </w:p>
        </w:tc>
        <w:tc>
          <w:tcPr>
            <w:tcW w:w="1731"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4" w:right="0"/>
              <w:jc w:val="center"/>
              <w:rPr>
                <w:rFonts w:ascii="宋体" w:hAnsi="宋体" w:cs="宋体" w:eastAsia="宋体" w:hint="default"/>
                <w:sz w:val="16"/>
                <w:szCs w:val="16"/>
              </w:rPr>
            </w:pPr>
            <w:r>
              <w:rPr>
                <w:rFonts w:ascii="宋体" w:hAnsi="宋体" w:cs="宋体" w:eastAsia="宋体" w:hint="default"/>
                <w:b/>
                <w:bCs/>
                <w:sz w:val="16"/>
                <w:szCs w:val="16"/>
              </w:rPr>
              <w:t>贷款期限</w:t>
            </w:r>
            <w:r>
              <w:rPr>
                <w:rFonts w:ascii="宋体" w:hAnsi="宋体" w:cs="宋体" w:eastAsia="宋体" w:hint="default"/>
                <w:sz w:val="16"/>
                <w:szCs w:val="16"/>
              </w:rPr>
            </w:r>
          </w:p>
        </w:tc>
        <w:tc>
          <w:tcPr>
            <w:tcW w:w="1746"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3" w:right="0"/>
              <w:jc w:val="center"/>
              <w:rPr>
                <w:rFonts w:ascii="宋体" w:hAnsi="宋体" w:cs="宋体" w:eastAsia="宋体" w:hint="default"/>
                <w:sz w:val="16"/>
                <w:szCs w:val="16"/>
              </w:rPr>
            </w:pPr>
            <w:r>
              <w:rPr>
                <w:rFonts w:ascii="宋体" w:hAnsi="宋体" w:cs="宋体" w:eastAsia="宋体" w:hint="default"/>
                <w:b/>
                <w:bCs/>
                <w:sz w:val="16"/>
                <w:szCs w:val="16"/>
              </w:rPr>
              <w:t>保证期间</w:t>
            </w:r>
            <w:r>
              <w:rPr>
                <w:rFonts w:ascii="宋体" w:hAnsi="宋体" w:cs="宋体" w:eastAsia="宋体" w:hint="default"/>
                <w:sz w:val="16"/>
                <w:szCs w:val="16"/>
              </w:rPr>
            </w:r>
          </w:p>
        </w:tc>
      </w:tr>
      <w:tr>
        <w:trPr>
          <w:trHeight w:val="251" w:hRule="exact"/>
        </w:trPr>
        <w:tc>
          <w:tcPr>
            <w:tcW w:w="2232" w:type="dxa"/>
            <w:tcBorders>
              <w:top w:val="single" w:sz="4" w:space="0" w:color="000000"/>
              <w:left w:val="nil" w:sz="6" w:space="0" w:color="auto"/>
              <w:bottom w:val="nil" w:sz="6" w:space="0" w:color="auto"/>
              <w:right w:val="nil" w:sz="6" w:space="0" w:color="auto"/>
            </w:tcBorders>
          </w:tcPr>
          <w:p>
            <w:pPr/>
          </w:p>
        </w:tc>
        <w:tc>
          <w:tcPr>
            <w:tcW w:w="1380" w:type="dxa"/>
            <w:tcBorders>
              <w:top w:val="single" w:sz="4" w:space="0" w:color="000000"/>
              <w:left w:val="nil" w:sz="6" w:space="0" w:color="auto"/>
              <w:bottom w:val="nil" w:sz="6" w:space="0" w:color="auto"/>
              <w:right w:val="nil" w:sz="6" w:space="0" w:color="auto"/>
            </w:tcBorders>
          </w:tcPr>
          <w:p>
            <w:pPr/>
          </w:p>
        </w:tc>
        <w:tc>
          <w:tcPr>
            <w:tcW w:w="149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16"/>
                <w:szCs w:val="16"/>
              </w:rPr>
            </w:pPr>
            <w:r>
              <w:rPr>
                <w:rFonts w:ascii="宋体" w:hAnsi="宋体" w:cs="宋体" w:eastAsia="宋体" w:hint="default"/>
                <w:sz w:val="16"/>
                <w:szCs w:val="16"/>
              </w:rPr>
              <w:t>144,000.00</w:t>
            </w:r>
            <w:r>
              <w:rPr>
                <w:rFonts w:ascii="宋体" w:hAnsi="宋体" w:cs="宋体" w:eastAsia="宋体" w:hint="default"/>
                <w:spacing w:val="-47"/>
                <w:sz w:val="16"/>
                <w:szCs w:val="16"/>
              </w:rPr>
              <w:t> </w:t>
            </w:r>
            <w:r>
              <w:rPr>
                <w:rFonts w:ascii="宋体" w:hAnsi="宋体" w:cs="宋体" w:eastAsia="宋体" w:hint="default"/>
                <w:sz w:val="16"/>
                <w:szCs w:val="16"/>
              </w:rPr>
              <w:t>万港币</w:t>
            </w:r>
          </w:p>
        </w:tc>
        <w:tc>
          <w:tcPr>
            <w:tcW w:w="1731" w:type="dxa"/>
            <w:tcBorders>
              <w:top w:val="single" w:sz="4" w:space="0" w:color="000000"/>
              <w:left w:val="nil" w:sz="6" w:space="0" w:color="auto"/>
              <w:bottom w:val="nil" w:sz="6" w:space="0" w:color="auto"/>
              <w:right w:val="nil" w:sz="6" w:space="0" w:color="auto"/>
            </w:tcBorders>
          </w:tcPr>
          <w:p>
            <w:pPr/>
          </w:p>
        </w:tc>
        <w:tc>
          <w:tcPr>
            <w:tcW w:w="1746" w:type="dxa"/>
            <w:tcBorders>
              <w:top w:val="single" w:sz="4" w:space="0" w:color="000000"/>
              <w:left w:val="nil" w:sz="6" w:space="0" w:color="auto"/>
              <w:bottom w:val="nil" w:sz="6" w:space="0" w:color="auto"/>
              <w:right w:val="nil" w:sz="6" w:space="0" w:color="auto"/>
            </w:tcBorders>
          </w:tcPr>
          <w:p>
            <w:pPr/>
          </w:p>
        </w:tc>
      </w:tr>
      <w:tr>
        <w:trPr>
          <w:trHeight w:val="473"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185" w:lineRule="exact"/>
              <w:ind w:left="43" w:right="0"/>
              <w:jc w:val="left"/>
              <w:rPr>
                <w:rFonts w:ascii="宋体" w:hAnsi="宋体" w:cs="宋体" w:eastAsia="宋体" w:hint="default"/>
                <w:sz w:val="16"/>
                <w:szCs w:val="16"/>
              </w:rPr>
            </w:pPr>
            <w:r>
              <w:rPr>
                <w:rFonts w:ascii="宋体"/>
                <w:sz w:val="16"/>
              </w:rPr>
              <w:t>ResuccessInvestmentsLimited</w:t>
            </w:r>
          </w:p>
        </w:tc>
        <w:tc>
          <w:tcPr>
            <w:tcW w:w="1380" w:type="dxa"/>
            <w:tcBorders>
              <w:top w:val="nil" w:sz="6" w:space="0" w:color="auto"/>
              <w:left w:val="nil" w:sz="6" w:space="0" w:color="auto"/>
              <w:bottom w:val="nil" w:sz="6" w:space="0" w:color="auto"/>
              <w:right w:val="nil" w:sz="6" w:space="0" w:color="auto"/>
            </w:tcBorders>
          </w:tcPr>
          <w:p>
            <w:pPr>
              <w:pStyle w:val="TableParagraph"/>
              <w:spacing w:line="185" w:lineRule="exact"/>
              <w:ind w:left="26" w:right="0"/>
              <w:jc w:val="left"/>
              <w:rPr>
                <w:rFonts w:ascii="宋体" w:hAnsi="宋体" w:cs="宋体" w:eastAsia="宋体" w:hint="default"/>
                <w:sz w:val="16"/>
                <w:szCs w:val="16"/>
              </w:rPr>
            </w:pPr>
            <w:r>
              <w:rPr>
                <w:rFonts w:ascii="宋体" w:hAnsi="宋体" w:cs="宋体" w:eastAsia="宋体" w:hint="default"/>
                <w:sz w:val="16"/>
                <w:szCs w:val="16"/>
              </w:rPr>
              <w:t>建设银行澳门分行</w:t>
            </w:r>
          </w:p>
        </w:tc>
        <w:tc>
          <w:tcPr>
            <w:tcW w:w="1490" w:type="dxa"/>
            <w:tcBorders>
              <w:top w:val="nil" w:sz="6" w:space="0" w:color="auto"/>
              <w:left w:val="nil" w:sz="6" w:space="0" w:color="auto"/>
              <w:bottom w:val="nil" w:sz="6" w:space="0" w:color="auto"/>
              <w:right w:val="nil" w:sz="6" w:space="0" w:color="auto"/>
            </w:tcBorders>
          </w:tcPr>
          <w:p>
            <w:pPr>
              <w:pStyle w:val="TableParagraph"/>
              <w:spacing w:line="208" w:lineRule="exact" w:before="13"/>
              <w:ind w:right="25"/>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4"/>
                <w:sz w:val="16"/>
                <w:szCs w:val="16"/>
              </w:rPr>
              <w:t> </w:t>
            </w:r>
            <w:r>
              <w:rPr>
                <w:rFonts w:ascii="宋体" w:hAnsi="宋体" w:cs="宋体" w:eastAsia="宋体" w:hint="default"/>
                <w:sz w:val="16"/>
                <w:szCs w:val="16"/>
              </w:rPr>
              <w:t>126,172.80</w:t>
            </w:r>
            <w:r>
              <w:rPr>
                <w:rFonts w:ascii="宋体" w:hAnsi="宋体" w:cs="宋体" w:eastAsia="宋体" w:hint="default"/>
                <w:spacing w:val="-42"/>
                <w:sz w:val="16"/>
                <w:szCs w:val="16"/>
              </w:rPr>
              <w:t> </w:t>
            </w:r>
            <w:r>
              <w:rPr>
                <w:rFonts w:ascii="宋体" w:hAnsi="宋体" w:cs="宋体" w:eastAsia="宋体" w:hint="default"/>
                <w:sz w:val="16"/>
                <w:szCs w:val="16"/>
              </w:rPr>
              <w:t>万人</w:t>
            </w:r>
          </w:p>
          <w:p>
            <w:pPr>
              <w:pStyle w:val="TableParagraph"/>
              <w:spacing w:line="208" w:lineRule="exact"/>
              <w:ind w:right="25"/>
              <w:jc w:val="right"/>
              <w:rPr>
                <w:rFonts w:ascii="宋体" w:hAnsi="宋体" w:cs="宋体" w:eastAsia="宋体" w:hint="default"/>
                <w:sz w:val="16"/>
                <w:szCs w:val="16"/>
              </w:rPr>
            </w:pPr>
            <w:r>
              <w:rPr>
                <w:rFonts w:ascii="宋体" w:hAnsi="宋体" w:cs="宋体" w:eastAsia="宋体" w:hint="default"/>
                <w:sz w:val="16"/>
                <w:szCs w:val="16"/>
              </w:rPr>
              <w:t>民币</w:t>
            </w:r>
          </w:p>
        </w:tc>
        <w:tc>
          <w:tcPr>
            <w:tcW w:w="1731" w:type="dxa"/>
            <w:tcBorders>
              <w:top w:val="nil" w:sz="6" w:space="0" w:color="auto"/>
              <w:left w:val="nil" w:sz="6" w:space="0" w:color="auto"/>
              <w:bottom w:val="nil" w:sz="6" w:space="0" w:color="auto"/>
              <w:right w:val="nil" w:sz="6" w:space="0" w:color="auto"/>
            </w:tcBorders>
          </w:tcPr>
          <w:p>
            <w:pPr>
              <w:pStyle w:val="TableParagraph"/>
              <w:spacing w:line="185" w:lineRule="exact"/>
              <w:ind w:right="0"/>
              <w:jc w:val="center"/>
              <w:rPr>
                <w:rFonts w:ascii="宋体" w:hAnsi="宋体" w:cs="宋体" w:eastAsia="宋体" w:hint="default"/>
                <w:sz w:val="16"/>
                <w:szCs w:val="16"/>
              </w:rPr>
            </w:pPr>
            <w:r>
              <w:rPr>
                <w:rFonts w:ascii="宋体"/>
                <w:spacing w:val="-2"/>
                <w:sz w:val="16"/>
              </w:rPr>
              <w:t>2017.09.13-2022.09.13</w:t>
            </w:r>
          </w:p>
        </w:tc>
        <w:tc>
          <w:tcPr>
            <w:tcW w:w="1746" w:type="dxa"/>
            <w:tcBorders>
              <w:top w:val="nil" w:sz="6" w:space="0" w:color="auto"/>
              <w:left w:val="nil" w:sz="6" w:space="0" w:color="auto"/>
              <w:bottom w:val="nil" w:sz="6" w:space="0" w:color="auto"/>
              <w:right w:val="nil" w:sz="6" w:space="0" w:color="auto"/>
            </w:tcBorders>
          </w:tcPr>
          <w:p>
            <w:pPr>
              <w:pStyle w:val="TableParagraph"/>
              <w:spacing w:line="185" w:lineRule="exact"/>
              <w:ind w:right="17"/>
              <w:jc w:val="center"/>
              <w:rPr>
                <w:rFonts w:ascii="宋体" w:hAnsi="宋体" w:cs="宋体" w:eastAsia="宋体" w:hint="default"/>
                <w:sz w:val="16"/>
                <w:szCs w:val="16"/>
              </w:rPr>
            </w:pPr>
            <w:r>
              <w:rPr>
                <w:rFonts w:ascii="宋体"/>
                <w:spacing w:val="-2"/>
                <w:sz w:val="16"/>
              </w:rPr>
              <w:t>2017.09.13-2024.09.13</w:t>
            </w:r>
          </w:p>
        </w:tc>
      </w:tr>
      <w:tr>
        <w:trPr>
          <w:trHeight w:val="227" w:hRule="exact"/>
        </w:trPr>
        <w:tc>
          <w:tcPr>
            <w:tcW w:w="2232"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04" w:lineRule="exact"/>
              <w:ind w:right="25"/>
              <w:jc w:val="right"/>
              <w:rPr>
                <w:rFonts w:ascii="宋体" w:hAnsi="宋体" w:cs="宋体" w:eastAsia="宋体" w:hint="default"/>
                <w:sz w:val="16"/>
                <w:szCs w:val="16"/>
              </w:rPr>
            </w:pPr>
            <w:r>
              <w:rPr>
                <w:rFonts w:ascii="宋体" w:hAnsi="宋体" w:cs="宋体" w:eastAsia="宋体" w:hint="default"/>
                <w:sz w:val="16"/>
                <w:szCs w:val="16"/>
              </w:rPr>
              <w:t>62,230.68</w:t>
            </w:r>
            <w:r>
              <w:rPr>
                <w:rFonts w:ascii="宋体" w:hAnsi="宋体" w:cs="宋体" w:eastAsia="宋体" w:hint="default"/>
                <w:spacing w:val="-44"/>
                <w:sz w:val="16"/>
                <w:szCs w:val="16"/>
              </w:rPr>
              <w:t> </w:t>
            </w:r>
            <w:r>
              <w:rPr>
                <w:rFonts w:ascii="宋体" w:hAnsi="宋体" w:cs="宋体" w:eastAsia="宋体" w:hint="default"/>
                <w:sz w:val="16"/>
                <w:szCs w:val="16"/>
              </w:rPr>
              <w:t>万港币</w:t>
            </w:r>
          </w:p>
        </w:tc>
        <w:tc>
          <w:tcPr>
            <w:tcW w:w="1731"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
        </w:tc>
      </w:tr>
      <w:tr>
        <w:trPr>
          <w:trHeight w:val="472"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183" w:lineRule="exact"/>
              <w:ind w:left="43" w:right="0"/>
              <w:jc w:val="left"/>
              <w:rPr>
                <w:rFonts w:ascii="宋体" w:hAnsi="宋体" w:cs="宋体" w:eastAsia="宋体" w:hint="default"/>
                <w:sz w:val="16"/>
                <w:szCs w:val="16"/>
              </w:rPr>
            </w:pPr>
            <w:r>
              <w:rPr>
                <w:rFonts w:ascii="宋体"/>
                <w:sz w:val="16"/>
              </w:rPr>
              <w:t>ResuccessInvestmentsLimited</w:t>
            </w:r>
          </w:p>
        </w:tc>
        <w:tc>
          <w:tcPr>
            <w:tcW w:w="1380" w:type="dxa"/>
            <w:tcBorders>
              <w:top w:val="nil" w:sz="6" w:space="0" w:color="auto"/>
              <w:left w:val="nil" w:sz="6" w:space="0" w:color="auto"/>
              <w:bottom w:val="nil" w:sz="6" w:space="0" w:color="auto"/>
              <w:right w:val="nil" w:sz="6" w:space="0" w:color="auto"/>
            </w:tcBorders>
          </w:tcPr>
          <w:p>
            <w:pPr>
              <w:pStyle w:val="TableParagraph"/>
              <w:spacing w:line="183" w:lineRule="exact"/>
              <w:ind w:left="26" w:right="0"/>
              <w:jc w:val="left"/>
              <w:rPr>
                <w:rFonts w:ascii="宋体" w:hAnsi="宋体" w:cs="宋体" w:eastAsia="宋体" w:hint="default"/>
                <w:sz w:val="16"/>
                <w:szCs w:val="16"/>
              </w:rPr>
            </w:pPr>
            <w:r>
              <w:rPr>
                <w:rFonts w:ascii="宋体" w:hAnsi="宋体" w:cs="宋体" w:eastAsia="宋体" w:hint="default"/>
                <w:sz w:val="16"/>
                <w:szCs w:val="16"/>
              </w:rPr>
              <w:t>中国银行澳门分行</w:t>
            </w:r>
          </w:p>
        </w:tc>
        <w:tc>
          <w:tcPr>
            <w:tcW w:w="1490" w:type="dxa"/>
            <w:tcBorders>
              <w:top w:val="nil" w:sz="6" w:space="0" w:color="auto"/>
              <w:left w:val="nil" w:sz="6" w:space="0" w:color="auto"/>
              <w:bottom w:val="nil" w:sz="6" w:space="0" w:color="auto"/>
              <w:right w:val="nil" w:sz="6" w:space="0" w:color="auto"/>
            </w:tcBorders>
          </w:tcPr>
          <w:p>
            <w:pPr>
              <w:pStyle w:val="TableParagraph"/>
              <w:spacing w:line="208" w:lineRule="exact" w:before="12"/>
              <w:ind w:right="23"/>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5"/>
                <w:sz w:val="16"/>
                <w:szCs w:val="16"/>
              </w:rPr>
              <w:t> </w:t>
            </w:r>
            <w:r>
              <w:rPr>
                <w:rFonts w:ascii="宋体" w:hAnsi="宋体" w:cs="宋体" w:eastAsia="宋体" w:hint="default"/>
                <w:sz w:val="16"/>
                <w:szCs w:val="16"/>
              </w:rPr>
              <w:t>54,526.52</w:t>
            </w:r>
            <w:r>
              <w:rPr>
                <w:rFonts w:ascii="宋体" w:hAnsi="宋体" w:cs="宋体" w:eastAsia="宋体" w:hint="default"/>
                <w:spacing w:val="-46"/>
                <w:sz w:val="16"/>
                <w:szCs w:val="16"/>
              </w:rPr>
              <w:t> </w:t>
            </w:r>
            <w:r>
              <w:rPr>
                <w:rFonts w:ascii="宋体" w:hAnsi="宋体" w:cs="宋体" w:eastAsia="宋体" w:hint="default"/>
                <w:sz w:val="16"/>
                <w:szCs w:val="16"/>
              </w:rPr>
              <w:t>万人民</w:t>
            </w:r>
          </w:p>
          <w:p>
            <w:pPr>
              <w:pStyle w:val="TableParagraph"/>
              <w:spacing w:line="208" w:lineRule="exact"/>
              <w:ind w:right="28"/>
              <w:jc w:val="right"/>
              <w:rPr>
                <w:rFonts w:ascii="宋体" w:hAnsi="宋体" w:cs="宋体" w:eastAsia="宋体" w:hint="default"/>
                <w:sz w:val="16"/>
                <w:szCs w:val="16"/>
              </w:rPr>
            </w:pPr>
            <w:r>
              <w:rPr>
                <w:rFonts w:ascii="宋体" w:hAnsi="宋体" w:cs="宋体" w:eastAsia="宋体" w:hint="default"/>
                <w:w w:val="100"/>
                <w:sz w:val="16"/>
                <w:szCs w:val="16"/>
              </w:rPr>
              <w:t>币</w:t>
            </w:r>
          </w:p>
        </w:tc>
        <w:tc>
          <w:tcPr>
            <w:tcW w:w="1731" w:type="dxa"/>
            <w:tcBorders>
              <w:top w:val="nil" w:sz="6" w:space="0" w:color="auto"/>
              <w:left w:val="nil" w:sz="6" w:space="0" w:color="auto"/>
              <w:bottom w:val="nil" w:sz="6" w:space="0" w:color="auto"/>
              <w:right w:val="nil" w:sz="6" w:space="0" w:color="auto"/>
            </w:tcBorders>
          </w:tcPr>
          <w:p>
            <w:pPr>
              <w:pStyle w:val="TableParagraph"/>
              <w:spacing w:line="183" w:lineRule="exact"/>
              <w:ind w:right="0"/>
              <w:jc w:val="center"/>
              <w:rPr>
                <w:rFonts w:ascii="宋体" w:hAnsi="宋体" w:cs="宋体" w:eastAsia="宋体" w:hint="default"/>
                <w:sz w:val="16"/>
                <w:szCs w:val="16"/>
              </w:rPr>
            </w:pPr>
            <w:r>
              <w:rPr>
                <w:rFonts w:ascii="宋体"/>
                <w:spacing w:val="-2"/>
                <w:sz w:val="16"/>
              </w:rPr>
              <w:t>2014.07.17-2019.07.16</w:t>
            </w:r>
          </w:p>
        </w:tc>
        <w:tc>
          <w:tcPr>
            <w:tcW w:w="1746" w:type="dxa"/>
            <w:tcBorders>
              <w:top w:val="nil" w:sz="6" w:space="0" w:color="auto"/>
              <w:left w:val="nil" w:sz="6" w:space="0" w:color="auto"/>
              <w:bottom w:val="nil" w:sz="6" w:space="0" w:color="auto"/>
              <w:right w:val="nil" w:sz="6" w:space="0" w:color="auto"/>
            </w:tcBorders>
          </w:tcPr>
          <w:p>
            <w:pPr>
              <w:pStyle w:val="TableParagraph"/>
              <w:spacing w:line="183" w:lineRule="exact"/>
              <w:ind w:right="17"/>
              <w:jc w:val="center"/>
              <w:rPr>
                <w:rFonts w:ascii="宋体" w:hAnsi="宋体" w:cs="宋体" w:eastAsia="宋体" w:hint="default"/>
                <w:sz w:val="16"/>
                <w:szCs w:val="16"/>
              </w:rPr>
            </w:pPr>
            <w:r>
              <w:rPr>
                <w:rFonts w:ascii="宋体"/>
                <w:spacing w:val="-2"/>
                <w:sz w:val="16"/>
              </w:rPr>
              <w:t>2014.07.17-2021.07.16</w:t>
            </w:r>
          </w:p>
        </w:tc>
      </w:tr>
      <w:tr>
        <w:trPr>
          <w:trHeight w:val="227" w:hRule="exact"/>
        </w:trPr>
        <w:tc>
          <w:tcPr>
            <w:tcW w:w="2232"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04" w:lineRule="exact"/>
              <w:ind w:right="25"/>
              <w:jc w:val="right"/>
              <w:rPr>
                <w:rFonts w:ascii="宋体" w:hAnsi="宋体" w:cs="宋体" w:eastAsia="宋体" w:hint="default"/>
                <w:sz w:val="16"/>
                <w:szCs w:val="16"/>
              </w:rPr>
            </w:pPr>
            <w:r>
              <w:rPr>
                <w:rFonts w:ascii="宋体" w:hAnsi="宋体" w:cs="宋体" w:eastAsia="宋体" w:hint="default"/>
                <w:sz w:val="16"/>
                <w:szCs w:val="16"/>
              </w:rPr>
              <w:t>2,600.00</w:t>
            </w:r>
            <w:r>
              <w:rPr>
                <w:rFonts w:ascii="宋体" w:hAnsi="宋体" w:cs="宋体" w:eastAsia="宋体" w:hint="default"/>
                <w:spacing w:val="-46"/>
                <w:sz w:val="16"/>
                <w:szCs w:val="16"/>
              </w:rPr>
              <w:t> </w:t>
            </w:r>
            <w:r>
              <w:rPr>
                <w:rFonts w:ascii="宋体" w:hAnsi="宋体" w:cs="宋体" w:eastAsia="宋体" w:hint="default"/>
                <w:sz w:val="16"/>
                <w:szCs w:val="16"/>
              </w:rPr>
              <w:t>万美元</w:t>
            </w:r>
          </w:p>
        </w:tc>
        <w:tc>
          <w:tcPr>
            <w:tcW w:w="1731"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
        </w:tc>
      </w:tr>
      <w:tr>
        <w:trPr>
          <w:trHeight w:val="473"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183" w:lineRule="exact"/>
              <w:ind w:left="43" w:right="0"/>
              <w:jc w:val="left"/>
              <w:rPr>
                <w:rFonts w:ascii="宋体" w:hAnsi="宋体" w:cs="宋体" w:eastAsia="宋体" w:hint="default"/>
                <w:sz w:val="16"/>
                <w:szCs w:val="16"/>
              </w:rPr>
            </w:pPr>
            <w:r>
              <w:rPr>
                <w:rFonts w:ascii="宋体"/>
                <w:sz w:val="16"/>
              </w:rPr>
              <w:t>TongFangGlobalLimited</w:t>
            </w:r>
          </w:p>
        </w:tc>
        <w:tc>
          <w:tcPr>
            <w:tcW w:w="1380" w:type="dxa"/>
            <w:tcBorders>
              <w:top w:val="nil" w:sz="6" w:space="0" w:color="auto"/>
              <w:left w:val="nil" w:sz="6" w:space="0" w:color="auto"/>
              <w:bottom w:val="nil" w:sz="6" w:space="0" w:color="auto"/>
              <w:right w:val="nil" w:sz="6" w:space="0" w:color="auto"/>
            </w:tcBorders>
          </w:tcPr>
          <w:p>
            <w:pPr>
              <w:pStyle w:val="TableParagraph"/>
              <w:spacing w:line="183" w:lineRule="exact"/>
              <w:ind w:left="26" w:right="0"/>
              <w:jc w:val="left"/>
              <w:rPr>
                <w:rFonts w:ascii="宋体" w:hAnsi="宋体" w:cs="宋体" w:eastAsia="宋体" w:hint="default"/>
                <w:sz w:val="16"/>
                <w:szCs w:val="16"/>
              </w:rPr>
            </w:pPr>
            <w:r>
              <w:rPr>
                <w:rFonts w:ascii="宋体" w:hAnsi="宋体" w:cs="宋体" w:eastAsia="宋体" w:hint="default"/>
                <w:sz w:val="16"/>
                <w:szCs w:val="16"/>
              </w:rPr>
              <w:t>香港星展银行</w:t>
            </w:r>
          </w:p>
        </w:tc>
        <w:tc>
          <w:tcPr>
            <w:tcW w:w="1490" w:type="dxa"/>
            <w:tcBorders>
              <w:top w:val="nil" w:sz="6" w:space="0" w:color="auto"/>
              <w:left w:val="nil" w:sz="6" w:space="0" w:color="auto"/>
              <w:bottom w:val="nil" w:sz="6" w:space="0" w:color="auto"/>
              <w:right w:val="nil" w:sz="6" w:space="0" w:color="auto"/>
            </w:tcBorders>
          </w:tcPr>
          <w:p>
            <w:pPr>
              <w:pStyle w:val="TableParagraph"/>
              <w:spacing w:line="209" w:lineRule="exact" w:before="12"/>
              <w:ind w:right="23"/>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5"/>
                <w:sz w:val="16"/>
                <w:szCs w:val="16"/>
              </w:rPr>
              <w:t> </w:t>
            </w:r>
            <w:r>
              <w:rPr>
                <w:rFonts w:ascii="宋体" w:hAnsi="宋体" w:cs="宋体" w:eastAsia="宋体" w:hint="default"/>
                <w:sz w:val="16"/>
                <w:szCs w:val="16"/>
              </w:rPr>
              <w:t>17,844.32</w:t>
            </w:r>
            <w:r>
              <w:rPr>
                <w:rFonts w:ascii="宋体" w:hAnsi="宋体" w:cs="宋体" w:eastAsia="宋体" w:hint="default"/>
                <w:spacing w:val="-46"/>
                <w:sz w:val="16"/>
                <w:szCs w:val="16"/>
              </w:rPr>
              <w:t> </w:t>
            </w:r>
            <w:r>
              <w:rPr>
                <w:rFonts w:ascii="宋体" w:hAnsi="宋体" w:cs="宋体" w:eastAsia="宋体" w:hint="default"/>
                <w:sz w:val="16"/>
                <w:szCs w:val="16"/>
              </w:rPr>
              <w:t>万人民</w:t>
            </w:r>
          </w:p>
          <w:p>
            <w:pPr>
              <w:pStyle w:val="TableParagraph"/>
              <w:spacing w:line="209" w:lineRule="exact"/>
              <w:ind w:right="28"/>
              <w:jc w:val="right"/>
              <w:rPr>
                <w:rFonts w:ascii="宋体" w:hAnsi="宋体" w:cs="宋体" w:eastAsia="宋体" w:hint="default"/>
                <w:sz w:val="16"/>
                <w:szCs w:val="16"/>
              </w:rPr>
            </w:pPr>
            <w:r>
              <w:rPr>
                <w:rFonts w:ascii="宋体" w:hAnsi="宋体" w:cs="宋体" w:eastAsia="宋体" w:hint="default"/>
                <w:w w:val="100"/>
                <w:sz w:val="16"/>
                <w:szCs w:val="16"/>
              </w:rPr>
              <w:t>币</w:t>
            </w:r>
          </w:p>
        </w:tc>
        <w:tc>
          <w:tcPr>
            <w:tcW w:w="1731" w:type="dxa"/>
            <w:tcBorders>
              <w:top w:val="nil" w:sz="6" w:space="0" w:color="auto"/>
              <w:left w:val="nil" w:sz="6" w:space="0" w:color="auto"/>
              <w:bottom w:val="nil" w:sz="6" w:space="0" w:color="auto"/>
              <w:right w:val="nil" w:sz="6" w:space="0" w:color="auto"/>
            </w:tcBorders>
          </w:tcPr>
          <w:p>
            <w:pPr>
              <w:pStyle w:val="TableParagraph"/>
              <w:spacing w:line="183" w:lineRule="exact"/>
              <w:ind w:right="0"/>
              <w:jc w:val="center"/>
              <w:rPr>
                <w:rFonts w:ascii="宋体" w:hAnsi="宋体" w:cs="宋体" w:eastAsia="宋体" w:hint="default"/>
                <w:sz w:val="16"/>
                <w:szCs w:val="16"/>
              </w:rPr>
            </w:pPr>
            <w:r>
              <w:rPr>
                <w:rFonts w:ascii="宋体"/>
                <w:spacing w:val="-2"/>
                <w:sz w:val="16"/>
              </w:rPr>
              <w:t>2018.06.28-2019.08.03</w:t>
            </w:r>
          </w:p>
        </w:tc>
        <w:tc>
          <w:tcPr>
            <w:tcW w:w="1746" w:type="dxa"/>
            <w:tcBorders>
              <w:top w:val="nil" w:sz="6" w:space="0" w:color="auto"/>
              <w:left w:val="nil" w:sz="6" w:space="0" w:color="auto"/>
              <w:bottom w:val="nil" w:sz="6" w:space="0" w:color="auto"/>
              <w:right w:val="nil" w:sz="6" w:space="0" w:color="auto"/>
            </w:tcBorders>
          </w:tcPr>
          <w:p>
            <w:pPr>
              <w:pStyle w:val="TableParagraph"/>
              <w:spacing w:line="183" w:lineRule="exact"/>
              <w:ind w:right="17"/>
              <w:jc w:val="center"/>
              <w:rPr>
                <w:rFonts w:ascii="宋体" w:hAnsi="宋体" w:cs="宋体" w:eastAsia="宋体" w:hint="default"/>
                <w:sz w:val="16"/>
                <w:szCs w:val="16"/>
              </w:rPr>
            </w:pPr>
            <w:r>
              <w:rPr>
                <w:rFonts w:ascii="宋体"/>
                <w:spacing w:val="-2"/>
                <w:sz w:val="16"/>
              </w:rPr>
              <w:t>2018.06.28-2021.08.03</w:t>
            </w:r>
          </w:p>
        </w:tc>
      </w:tr>
      <w:tr>
        <w:trPr>
          <w:trHeight w:val="227" w:hRule="exact"/>
        </w:trPr>
        <w:tc>
          <w:tcPr>
            <w:tcW w:w="2232"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03" w:lineRule="exact"/>
              <w:ind w:right="25"/>
              <w:jc w:val="right"/>
              <w:rPr>
                <w:rFonts w:ascii="宋体" w:hAnsi="宋体" w:cs="宋体" w:eastAsia="宋体" w:hint="default"/>
                <w:sz w:val="16"/>
                <w:szCs w:val="16"/>
              </w:rPr>
            </w:pPr>
            <w:r>
              <w:rPr>
                <w:rFonts w:ascii="宋体" w:hAnsi="宋体" w:cs="宋体" w:eastAsia="宋体" w:hint="default"/>
                <w:sz w:val="16"/>
                <w:szCs w:val="16"/>
              </w:rPr>
              <w:t>3,500.00</w:t>
            </w:r>
            <w:r>
              <w:rPr>
                <w:rFonts w:ascii="宋体" w:hAnsi="宋体" w:cs="宋体" w:eastAsia="宋体" w:hint="default"/>
                <w:spacing w:val="-46"/>
                <w:sz w:val="16"/>
                <w:szCs w:val="16"/>
              </w:rPr>
              <w:t> </w:t>
            </w:r>
            <w:r>
              <w:rPr>
                <w:rFonts w:ascii="宋体" w:hAnsi="宋体" w:cs="宋体" w:eastAsia="宋体" w:hint="default"/>
                <w:sz w:val="16"/>
                <w:szCs w:val="16"/>
              </w:rPr>
              <w:t>万美元</w:t>
            </w:r>
          </w:p>
        </w:tc>
        <w:tc>
          <w:tcPr>
            <w:tcW w:w="1731"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
        </w:tc>
      </w:tr>
      <w:tr>
        <w:trPr>
          <w:trHeight w:val="472"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185" w:lineRule="exact"/>
              <w:ind w:left="43" w:right="0"/>
              <w:jc w:val="left"/>
              <w:rPr>
                <w:rFonts w:ascii="宋体" w:hAnsi="宋体" w:cs="宋体" w:eastAsia="宋体" w:hint="default"/>
                <w:sz w:val="16"/>
                <w:szCs w:val="16"/>
              </w:rPr>
            </w:pPr>
            <w:r>
              <w:rPr>
                <w:rFonts w:ascii="宋体"/>
                <w:sz w:val="16"/>
              </w:rPr>
              <w:t>TongFangGlobalLimited</w:t>
            </w:r>
          </w:p>
        </w:tc>
        <w:tc>
          <w:tcPr>
            <w:tcW w:w="1380" w:type="dxa"/>
            <w:tcBorders>
              <w:top w:val="nil" w:sz="6" w:space="0" w:color="auto"/>
              <w:left w:val="nil" w:sz="6" w:space="0" w:color="auto"/>
              <w:bottom w:val="nil" w:sz="6" w:space="0" w:color="auto"/>
              <w:right w:val="nil" w:sz="6" w:space="0" w:color="auto"/>
            </w:tcBorders>
          </w:tcPr>
          <w:p>
            <w:pPr>
              <w:pStyle w:val="TableParagraph"/>
              <w:spacing w:line="185" w:lineRule="exact"/>
              <w:ind w:left="26" w:right="0"/>
              <w:jc w:val="left"/>
              <w:rPr>
                <w:rFonts w:ascii="宋体" w:hAnsi="宋体" w:cs="宋体" w:eastAsia="宋体" w:hint="default"/>
                <w:sz w:val="16"/>
                <w:szCs w:val="16"/>
              </w:rPr>
            </w:pPr>
            <w:r>
              <w:rPr>
                <w:rFonts w:ascii="宋体" w:hAnsi="宋体" w:cs="宋体" w:eastAsia="宋体" w:hint="default"/>
                <w:sz w:val="16"/>
                <w:szCs w:val="16"/>
              </w:rPr>
              <w:t>新加坡华侨银行</w:t>
            </w:r>
          </w:p>
        </w:tc>
        <w:tc>
          <w:tcPr>
            <w:tcW w:w="1490" w:type="dxa"/>
            <w:tcBorders>
              <w:top w:val="nil" w:sz="6" w:space="0" w:color="auto"/>
              <w:left w:val="nil" w:sz="6" w:space="0" w:color="auto"/>
              <w:bottom w:val="nil" w:sz="6" w:space="0" w:color="auto"/>
              <w:right w:val="nil" w:sz="6" w:space="0" w:color="auto"/>
            </w:tcBorders>
          </w:tcPr>
          <w:p>
            <w:pPr>
              <w:pStyle w:val="TableParagraph"/>
              <w:spacing w:line="208" w:lineRule="exact" w:before="13"/>
              <w:ind w:right="23"/>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5"/>
                <w:sz w:val="16"/>
                <w:szCs w:val="16"/>
              </w:rPr>
              <w:t> </w:t>
            </w:r>
            <w:r>
              <w:rPr>
                <w:rFonts w:ascii="宋体" w:hAnsi="宋体" w:cs="宋体" w:eastAsia="宋体" w:hint="default"/>
                <w:sz w:val="16"/>
                <w:szCs w:val="16"/>
              </w:rPr>
              <w:t>24,021.20</w:t>
            </w:r>
            <w:r>
              <w:rPr>
                <w:rFonts w:ascii="宋体" w:hAnsi="宋体" w:cs="宋体" w:eastAsia="宋体" w:hint="default"/>
                <w:spacing w:val="-46"/>
                <w:sz w:val="16"/>
                <w:szCs w:val="16"/>
              </w:rPr>
              <w:t> </w:t>
            </w:r>
            <w:r>
              <w:rPr>
                <w:rFonts w:ascii="宋体" w:hAnsi="宋体" w:cs="宋体" w:eastAsia="宋体" w:hint="default"/>
                <w:sz w:val="16"/>
                <w:szCs w:val="16"/>
              </w:rPr>
              <w:t>万人民</w:t>
            </w:r>
          </w:p>
          <w:p>
            <w:pPr>
              <w:pStyle w:val="TableParagraph"/>
              <w:spacing w:line="208" w:lineRule="exact"/>
              <w:ind w:right="28"/>
              <w:jc w:val="right"/>
              <w:rPr>
                <w:rFonts w:ascii="宋体" w:hAnsi="宋体" w:cs="宋体" w:eastAsia="宋体" w:hint="default"/>
                <w:sz w:val="16"/>
                <w:szCs w:val="16"/>
              </w:rPr>
            </w:pPr>
            <w:r>
              <w:rPr>
                <w:rFonts w:ascii="宋体" w:hAnsi="宋体" w:cs="宋体" w:eastAsia="宋体" w:hint="default"/>
                <w:w w:val="100"/>
                <w:sz w:val="16"/>
                <w:szCs w:val="16"/>
              </w:rPr>
              <w:t>币</w:t>
            </w:r>
          </w:p>
        </w:tc>
        <w:tc>
          <w:tcPr>
            <w:tcW w:w="1731" w:type="dxa"/>
            <w:tcBorders>
              <w:top w:val="nil" w:sz="6" w:space="0" w:color="auto"/>
              <w:left w:val="nil" w:sz="6" w:space="0" w:color="auto"/>
              <w:bottom w:val="nil" w:sz="6" w:space="0" w:color="auto"/>
              <w:right w:val="nil" w:sz="6" w:space="0" w:color="auto"/>
            </w:tcBorders>
          </w:tcPr>
          <w:p>
            <w:pPr>
              <w:pStyle w:val="TableParagraph"/>
              <w:spacing w:line="185" w:lineRule="exact"/>
              <w:ind w:right="0"/>
              <w:jc w:val="center"/>
              <w:rPr>
                <w:rFonts w:ascii="宋体" w:hAnsi="宋体" w:cs="宋体" w:eastAsia="宋体" w:hint="default"/>
                <w:sz w:val="16"/>
                <w:szCs w:val="16"/>
              </w:rPr>
            </w:pPr>
            <w:r>
              <w:rPr>
                <w:rFonts w:ascii="宋体"/>
                <w:spacing w:val="-2"/>
                <w:sz w:val="16"/>
              </w:rPr>
              <w:t>2018.03.07-2019.04.09</w:t>
            </w:r>
          </w:p>
        </w:tc>
        <w:tc>
          <w:tcPr>
            <w:tcW w:w="1746" w:type="dxa"/>
            <w:tcBorders>
              <w:top w:val="nil" w:sz="6" w:space="0" w:color="auto"/>
              <w:left w:val="nil" w:sz="6" w:space="0" w:color="auto"/>
              <w:bottom w:val="nil" w:sz="6" w:space="0" w:color="auto"/>
              <w:right w:val="nil" w:sz="6" w:space="0" w:color="auto"/>
            </w:tcBorders>
          </w:tcPr>
          <w:p>
            <w:pPr>
              <w:pStyle w:val="TableParagraph"/>
              <w:spacing w:line="185" w:lineRule="exact"/>
              <w:ind w:right="17"/>
              <w:jc w:val="center"/>
              <w:rPr>
                <w:rFonts w:ascii="宋体" w:hAnsi="宋体" w:cs="宋体" w:eastAsia="宋体" w:hint="default"/>
                <w:sz w:val="16"/>
                <w:szCs w:val="16"/>
              </w:rPr>
            </w:pPr>
            <w:r>
              <w:rPr>
                <w:rFonts w:ascii="宋体"/>
                <w:spacing w:val="-2"/>
                <w:sz w:val="16"/>
              </w:rPr>
              <w:t>2018.03.07-2021.04.09</w:t>
            </w:r>
          </w:p>
        </w:tc>
      </w:tr>
      <w:tr>
        <w:trPr>
          <w:trHeight w:val="227" w:hRule="exact"/>
        </w:trPr>
        <w:tc>
          <w:tcPr>
            <w:tcW w:w="2232"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03" w:lineRule="exact"/>
              <w:ind w:right="25"/>
              <w:jc w:val="right"/>
              <w:rPr>
                <w:rFonts w:ascii="宋体" w:hAnsi="宋体" w:cs="宋体" w:eastAsia="宋体" w:hint="default"/>
                <w:sz w:val="16"/>
                <w:szCs w:val="16"/>
              </w:rPr>
            </w:pPr>
            <w:r>
              <w:rPr>
                <w:rFonts w:ascii="宋体" w:hAnsi="宋体" w:cs="宋体" w:eastAsia="宋体" w:hint="default"/>
                <w:sz w:val="16"/>
                <w:szCs w:val="16"/>
              </w:rPr>
              <w:t>2,500.00</w:t>
            </w:r>
            <w:r>
              <w:rPr>
                <w:rFonts w:ascii="宋体" w:hAnsi="宋体" w:cs="宋体" w:eastAsia="宋体" w:hint="default"/>
                <w:spacing w:val="-46"/>
                <w:sz w:val="16"/>
                <w:szCs w:val="16"/>
              </w:rPr>
              <w:t> </w:t>
            </w:r>
            <w:r>
              <w:rPr>
                <w:rFonts w:ascii="宋体" w:hAnsi="宋体" w:cs="宋体" w:eastAsia="宋体" w:hint="default"/>
                <w:sz w:val="16"/>
                <w:szCs w:val="16"/>
              </w:rPr>
              <w:t>万美元</w:t>
            </w:r>
          </w:p>
        </w:tc>
        <w:tc>
          <w:tcPr>
            <w:tcW w:w="1731"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
        </w:tc>
      </w:tr>
      <w:tr>
        <w:trPr>
          <w:trHeight w:val="454"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185" w:lineRule="exact"/>
              <w:ind w:left="43" w:right="0"/>
              <w:jc w:val="left"/>
              <w:rPr>
                <w:rFonts w:ascii="宋体" w:hAnsi="宋体" w:cs="宋体" w:eastAsia="宋体" w:hint="default"/>
                <w:sz w:val="16"/>
                <w:szCs w:val="16"/>
              </w:rPr>
            </w:pPr>
            <w:r>
              <w:rPr>
                <w:rFonts w:ascii="宋体"/>
                <w:sz w:val="16"/>
              </w:rPr>
              <w:t>TongfangHongKongLimited</w:t>
            </w:r>
          </w:p>
        </w:tc>
        <w:tc>
          <w:tcPr>
            <w:tcW w:w="1380" w:type="dxa"/>
            <w:tcBorders>
              <w:top w:val="nil" w:sz="6" w:space="0" w:color="auto"/>
              <w:left w:val="nil" w:sz="6" w:space="0" w:color="auto"/>
              <w:bottom w:val="nil" w:sz="6" w:space="0" w:color="auto"/>
              <w:right w:val="nil" w:sz="6" w:space="0" w:color="auto"/>
            </w:tcBorders>
          </w:tcPr>
          <w:p>
            <w:pPr>
              <w:pStyle w:val="TableParagraph"/>
              <w:spacing w:line="185" w:lineRule="exact"/>
              <w:ind w:left="26" w:right="0"/>
              <w:jc w:val="left"/>
              <w:rPr>
                <w:rFonts w:ascii="宋体" w:hAnsi="宋体" w:cs="宋体" w:eastAsia="宋体" w:hint="default"/>
                <w:sz w:val="16"/>
                <w:szCs w:val="16"/>
              </w:rPr>
            </w:pPr>
            <w:r>
              <w:rPr>
                <w:rFonts w:ascii="宋体" w:hAnsi="宋体" w:cs="宋体" w:eastAsia="宋体" w:hint="default"/>
                <w:sz w:val="16"/>
                <w:szCs w:val="16"/>
              </w:rPr>
              <w:t>新加坡星展银行</w:t>
            </w:r>
          </w:p>
        </w:tc>
        <w:tc>
          <w:tcPr>
            <w:tcW w:w="1490" w:type="dxa"/>
            <w:tcBorders>
              <w:top w:val="nil" w:sz="6" w:space="0" w:color="auto"/>
              <w:left w:val="nil" w:sz="6" w:space="0" w:color="auto"/>
              <w:bottom w:val="nil" w:sz="6" w:space="0" w:color="auto"/>
              <w:right w:val="nil" w:sz="6" w:space="0" w:color="auto"/>
            </w:tcBorders>
          </w:tcPr>
          <w:p>
            <w:pPr>
              <w:pStyle w:val="TableParagraph"/>
              <w:spacing w:line="208" w:lineRule="exact" w:before="13"/>
              <w:ind w:right="23"/>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5"/>
                <w:sz w:val="16"/>
                <w:szCs w:val="16"/>
              </w:rPr>
              <w:t> </w:t>
            </w:r>
            <w:r>
              <w:rPr>
                <w:rFonts w:ascii="宋体" w:hAnsi="宋体" w:cs="宋体" w:eastAsia="宋体" w:hint="default"/>
                <w:sz w:val="16"/>
                <w:szCs w:val="16"/>
              </w:rPr>
              <w:t>17,158.00</w:t>
            </w:r>
            <w:r>
              <w:rPr>
                <w:rFonts w:ascii="宋体" w:hAnsi="宋体" w:cs="宋体" w:eastAsia="宋体" w:hint="default"/>
                <w:spacing w:val="-46"/>
                <w:sz w:val="16"/>
                <w:szCs w:val="16"/>
              </w:rPr>
              <w:t> </w:t>
            </w:r>
            <w:r>
              <w:rPr>
                <w:rFonts w:ascii="宋体" w:hAnsi="宋体" w:cs="宋体" w:eastAsia="宋体" w:hint="default"/>
                <w:sz w:val="16"/>
                <w:szCs w:val="16"/>
              </w:rPr>
              <w:t>万人民</w:t>
            </w:r>
          </w:p>
          <w:p>
            <w:pPr>
              <w:pStyle w:val="TableParagraph"/>
              <w:spacing w:line="208" w:lineRule="exact"/>
              <w:ind w:right="28"/>
              <w:jc w:val="right"/>
              <w:rPr>
                <w:rFonts w:ascii="宋体" w:hAnsi="宋体" w:cs="宋体" w:eastAsia="宋体" w:hint="default"/>
                <w:sz w:val="16"/>
                <w:szCs w:val="16"/>
              </w:rPr>
            </w:pPr>
            <w:r>
              <w:rPr>
                <w:rFonts w:ascii="宋体" w:hAnsi="宋体" w:cs="宋体" w:eastAsia="宋体" w:hint="default"/>
                <w:w w:val="100"/>
                <w:sz w:val="16"/>
                <w:szCs w:val="16"/>
              </w:rPr>
              <w:t>币</w:t>
            </w:r>
          </w:p>
        </w:tc>
        <w:tc>
          <w:tcPr>
            <w:tcW w:w="1731" w:type="dxa"/>
            <w:tcBorders>
              <w:top w:val="nil" w:sz="6" w:space="0" w:color="auto"/>
              <w:left w:val="nil" w:sz="6" w:space="0" w:color="auto"/>
              <w:bottom w:val="nil" w:sz="6" w:space="0" w:color="auto"/>
              <w:right w:val="nil" w:sz="6" w:space="0" w:color="auto"/>
            </w:tcBorders>
          </w:tcPr>
          <w:p>
            <w:pPr>
              <w:pStyle w:val="TableParagraph"/>
              <w:spacing w:line="185" w:lineRule="exact"/>
              <w:ind w:right="0"/>
              <w:jc w:val="center"/>
              <w:rPr>
                <w:rFonts w:ascii="宋体" w:hAnsi="宋体" w:cs="宋体" w:eastAsia="宋体" w:hint="default"/>
                <w:sz w:val="16"/>
                <w:szCs w:val="16"/>
              </w:rPr>
            </w:pPr>
            <w:r>
              <w:rPr>
                <w:rFonts w:ascii="宋体"/>
                <w:spacing w:val="-2"/>
                <w:sz w:val="16"/>
              </w:rPr>
              <w:t>2018.06.14-2019.08.12</w:t>
            </w:r>
          </w:p>
        </w:tc>
        <w:tc>
          <w:tcPr>
            <w:tcW w:w="1746" w:type="dxa"/>
            <w:tcBorders>
              <w:top w:val="nil" w:sz="6" w:space="0" w:color="auto"/>
              <w:left w:val="nil" w:sz="6" w:space="0" w:color="auto"/>
              <w:bottom w:val="nil" w:sz="6" w:space="0" w:color="auto"/>
              <w:right w:val="nil" w:sz="6" w:space="0" w:color="auto"/>
            </w:tcBorders>
          </w:tcPr>
          <w:p>
            <w:pPr>
              <w:pStyle w:val="TableParagraph"/>
              <w:spacing w:line="185" w:lineRule="exact"/>
              <w:ind w:right="17"/>
              <w:jc w:val="center"/>
              <w:rPr>
                <w:rFonts w:ascii="宋体" w:hAnsi="宋体" w:cs="宋体" w:eastAsia="宋体" w:hint="default"/>
                <w:sz w:val="16"/>
                <w:szCs w:val="16"/>
              </w:rPr>
            </w:pPr>
            <w:r>
              <w:rPr>
                <w:rFonts w:ascii="宋体"/>
                <w:spacing w:val="-2"/>
                <w:sz w:val="16"/>
              </w:rPr>
              <w:t>2018.06.14-2021.08.12</w:t>
            </w:r>
          </w:p>
        </w:tc>
      </w:tr>
      <w:tr>
        <w:trPr>
          <w:trHeight w:val="434"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3" w:right="0"/>
              <w:jc w:val="left"/>
              <w:rPr>
                <w:rFonts w:ascii="宋体" w:hAnsi="宋体" w:cs="宋体" w:eastAsia="宋体" w:hint="default"/>
                <w:sz w:val="16"/>
                <w:szCs w:val="16"/>
              </w:rPr>
            </w:pPr>
            <w:r>
              <w:rPr>
                <w:rFonts w:ascii="宋体" w:hAnsi="宋体" w:cs="宋体" w:eastAsia="宋体" w:hint="default"/>
                <w:sz w:val="16"/>
                <w:szCs w:val="16"/>
              </w:rPr>
              <w:t>北京同方软件股份有限公司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183" w:lineRule="exact"/>
              <w:ind w:left="26" w:right="0"/>
              <w:jc w:val="left"/>
              <w:rPr>
                <w:rFonts w:ascii="宋体" w:hAnsi="宋体" w:cs="宋体" w:eastAsia="宋体" w:hint="default"/>
                <w:sz w:val="16"/>
                <w:szCs w:val="16"/>
              </w:rPr>
            </w:pPr>
            <w:r>
              <w:rPr>
                <w:rFonts w:ascii="宋体" w:hAnsi="宋体" w:cs="宋体" w:eastAsia="宋体" w:hint="default"/>
                <w:spacing w:val="3"/>
                <w:sz w:val="16"/>
                <w:szCs w:val="16"/>
              </w:rPr>
              <w:t>北京银行清华园支</w:t>
            </w:r>
          </w:p>
          <w:p>
            <w:pPr>
              <w:pStyle w:val="TableParagraph"/>
              <w:spacing w:line="208" w:lineRule="exact"/>
              <w:ind w:left="26" w:right="0"/>
              <w:jc w:val="left"/>
              <w:rPr>
                <w:rFonts w:ascii="宋体" w:hAnsi="宋体" w:cs="宋体" w:eastAsia="宋体" w:hint="default"/>
                <w:sz w:val="16"/>
                <w:szCs w:val="16"/>
              </w:rPr>
            </w:pPr>
            <w:r>
              <w:rPr>
                <w:rFonts w:ascii="宋体" w:hAnsi="宋体" w:cs="宋体" w:eastAsia="宋体" w:hint="default"/>
                <w:w w:val="100"/>
                <w:sz w:val="16"/>
                <w:szCs w:val="16"/>
              </w:rPr>
              <w:t>行</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5"/>
              <w:jc w:val="right"/>
              <w:rPr>
                <w:rFonts w:ascii="宋体" w:hAnsi="宋体" w:cs="宋体" w:eastAsia="宋体" w:hint="default"/>
                <w:sz w:val="16"/>
                <w:szCs w:val="16"/>
              </w:rPr>
            </w:pPr>
            <w:r>
              <w:rPr>
                <w:rFonts w:ascii="宋体" w:hAnsi="宋体" w:cs="宋体" w:eastAsia="宋体" w:hint="default"/>
                <w:sz w:val="16"/>
                <w:szCs w:val="16"/>
              </w:rPr>
              <w:t>8,816.43</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center"/>
              <w:rPr>
                <w:rFonts w:ascii="宋体" w:hAnsi="宋体" w:cs="宋体" w:eastAsia="宋体" w:hint="default"/>
                <w:sz w:val="16"/>
                <w:szCs w:val="16"/>
              </w:rPr>
            </w:pPr>
            <w:r>
              <w:rPr>
                <w:rFonts w:ascii="宋体"/>
                <w:spacing w:val="-2"/>
                <w:sz w:val="16"/>
              </w:rPr>
              <w:t>2018.04.25-2019.11.08</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7"/>
              <w:jc w:val="center"/>
              <w:rPr>
                <w:rFonts w:ascii="宋体" w:hAnsi="宋体" w:cs="宋体" w:eastAsia="宋体" w:hint="default"/>
                <w:sz w:val="16"/>
                <w:szCs w:val="16"/>
              </w:rPr>
            </w:pPr>
            <w:r>
              <w:rPr>
                <w:rFonts w:ascii="宋体"/>
                <w:spacing w:val="-2"/>
                <w:sz w:val="16"/>
              </w:rPr>
              <w:t>2018.04.25-2021.11.08</w:t>
            </w:r>
          </w:p>
        </w:tc>
      </w:tr>
      <w:tr>
        <w:trPr>
          <w:trHeight w:val="227" w:hRule="exact"/>
        </w:trPr>
        <w:tc>
          <w:tcPr>
            <w:tcW w:w="2232"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04" w:lineRule="exact"/>
              <w:ind w:right="25"/>
              <w:jc w:val="right"/>
              <w:rPr>
                <w:rFonts w:ascii="宋体" w:hAnsi="宋体" w:cs="宋体" w:eastAsia="宋体" w:hint="default"/>
                <w:sz w:val="16"/>
                <w:szCs w:val="16"/>
              </w:rPr>
            </w:pPr>
            <w:r>
              <w:rPr>
                <w:rFonts w:ascii="宋体" w:hAnsi="宋体" w:cs="宋体" w:eastAsia="宋体" w:hint="default"/>
                <w:sz w:val="16"/>
                <w:szCs w:val="16"/>
              </w:rPr>
              <w:t>1,000.00</w:t>
            </w:r>
            <w:r>
              <w:rPr>
                <w:rFonts w:ascii="宋体" w:hAnsi="宋体" w:cs="宋体" w:eastAsia="宋体" w:hint="default"/>
                <w:spacing w:val="-46"/>
                <w:sz w:val="16"/>
                <w:szCs w:val="16"/>
              </w:rPr>
              <w:t> </w:t>
            </w:r>
            <w:r>
              <w:rPr>
                <w:rFonts w:ascii="宋体" w:hAnsi="宋体" w:cs="宋体" w:eastAsia="宋体" w:hint="default"/>
                <w:sz w:val="16"/>
                <w:szCs w:val="16"/>
              </w:rPr>
              <w:t>万美元</w:t>
            </w:r>
          </w:p>
        </w:tc>
        <w:tc>
          <w:tcPr>
            <w:tcW w:w="1731"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
        </w:tc>
      </w:tr>
      <w:tr>
        <w:trPr>
          <w:trHeight w:val="472"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183" w:lineRule="exact"/>
              <w:ind w:left="43" w:right="0"/>
              <w:jc w:val="left"/>
              <w:rPr>
                <w:rFonts w:ascii="宋体" w:hAnsi="宋体" w:cs="宋体" w:eastAsia="宋体" w:hint="default"/>
                <w:sz w:val="16"/>
                <w:szCs w:val="16"/>
              </w:rPr>
            </w:pPr>
            <w:r>
              <w:rPr>
                <w:rFonts w:ascii="宋体" w:hAnsi="宋体" w:cs="宋体" w:eastAsia="宋体" w:hint="default"/>
                <w:sz w:val="16"/>
                <w:szCs w:val="16"/>
              </w:rPr>
              <w:t>鹤山同方照明科技有限公司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183" w:lineRule="exact"/>
              <w:ind w:left="26" w:right="0"/>
              <w:jc w:val="left"/>
              <w:rPr>
                <w:rFonts w:ascii="宋体" w:hAnsi="宋体" w:cs="宋体" w:eastAsia="宋体" w:hint="default"/>
                <w:sz w:val="16"/>
                <w:szCs w:val="16"/>
              </w:rPr>
            </w:pPr>
            <w:r>
              <w:rPr>
                <w:rFonts w:ascii="宋体" w:hAnsi="宋体" w:cs="宋体" w:eastAsia="宋体" w:hint="default"/>
                <w:sz w:val="16"/>
                <w:szCs w:val="16"/>
              </w:rPr>
              <w:t>建设银行鹤山支行</w:t>
            </w:r>
          </w:p>
        </w:tc>
        <w:tc>
          <w:tcPr>
            <w:tcW w:w="1490" w:type="dxa"/>
            <w:tcBorders>
              <w:top w:val="nil" w:sz="6" w:space="0" w:color="auto"/>
              <w:left w:val="nil" w:sz="6" w:space="0" w:color="auto"/>
              <w:bottom w:val="nil" w:sz="6" w:space="0" w:color="auto"/>
              <w:right w:val="nil" w:sz="6" w:space="0" w:color="auto"/>
            </w:tcBorders>
          </w:tcPr>
          <w:p>
            <w:pPr>
              <w:pStyle w:val="TableParagraph"/>
              <w:spacing w:line="208" w:lineRule="exact" w:before="12"/>
              <w:ind w:right="25"/>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2"/>
                <w:sz w:val="16"/>
                <w:szCs w:val="16"/>
              </w:rPr>
              <w:t> </w:t>
            </w:r>
            <w:r>
              <w:rPr>
                <w:rFonts w:ascii="宋体" w:hAnsi="宋体" w:cs="宋体" w:eastAsia="宋体" w:hint="default"/>
                <w:sz w:val="16"/>
                <w:szCs w:val="16"/>
              </w:rPr>
              <w:t>6,863.20</w:t>
            </w:r>
            <w:r>
              <w:rPr>
                <w:rFonts w:ascii="宋体" w:hAnsi="宋体" w:cs="宋体" w:eastAsia="宋体" w:hint="default"/>
                <w:spacing w:val="-42"/>
                <w:sz w:val="16"/>
                <w:szCs w:val="16"/>
              </w:rPr>
              <w:t> </w:t>
            </w:r>
            <w:r>
              <w:rPr>
                <w:rFonts w:ascii="宋体" w:hAnsi="宋体" w:cs="宋体" w:eastAsia="宋体" w:hint="default"/>
                <w:sz w:val="16"/>
                <w:szCs w:val="16"/>
              </w:rPr>
              <w:t>万人民</w:t>
            </w:r>
          </w:p>
          <w:p>
            <w:pPr>
              <w:pStyle w:val="TableParagraph"/>
              <w:spacing w:line="208" w:lineRule="exact"/>
              <w:ind w:right="28"/>
              <w:jc w:val="right"/>
              <w:rPr>
                <w:rFonts w:ascii="宋体" w:hAnsi="宋体" w:cs="宋体" w:eastAsia="宋体" w:hint="default"/>
                <w:sz w:val="16"/>
                <w:szCs w:val="16"/>
              </w:rPr>
            </w:pPr>
            <w:r>
              <w:rPr>
                <w:rFonts w:ascii="宋体" w:hAnsi="宋体" w:cs="宋体" w:eastAsia="宋体" w:hint="default"/>
                <w:w w:val="100"/>
                <w:sz w:val="16"/>
                <w:szCs w:val="16"/>
              </w:rPr>
              <w:t>币</w:t>
            </w:r>
          </w:p>
        </w:tc>
        <w:tc>
          <w:tcPr>
            <w:tcW w:w="1731" w:type="dxa"/>
            <w:tcBorders>
              <w:top w:val="nil" w:sz="6" w:space="0" w:color="auto"/>
              <w:left w:val="nil" w:sz="6" w:space="0" w:color="auto"/>
              <w:bottom w:val="nil" w:sz="6" w:space="0" w:color="auto"/>
              <w:right w:val="nil" w:sz="6" w:space="0" w:color="auto"/>
            </w:tcBorders>
          </w:tcPr>
          <w:p>
            <w:pPr>
              <w:pStyle w:val="TableParagraph"/>
              <w:spacing w:line="183" w:lineRule="exact"/>
              <w:ind w:right="0"/>
              <w:jc w:val="center"/>
              <w:rPr>
                <w:rFonts w:ascii="宋体" w:hAnsi="宋体" w:cs="宋体" w:eastAsia="宋体" w:hint="default"/>
                <w:sz w:val="16"/>
                <w:szCs w:val="16"/>
              </w:rPr>
            </w:pPr>
            <w:r>
              <w:rPr>
                <w:rFonts w:ascii="宋体"/>
                <w:spacing w:val="-2"/>
                <w:sz w:val="16"/>
              </w:rPr>
              <w:t>2018.03.30-2019.03.29</w:t>
            </w:r>
          </w:p>
        </w:tc>
        <w:tc>
          <w:tcPr>
            <w:tcW w:w="1746" w:type="dxa"/>
            <w:tcBorders>
              <w:top w:val="nil" w:sz="6" w:space="0" w:color="auto"/>
              <w:left w:val="nil" w:sz="6" w:space="0" w:color="auto"/>
              <w:bottom w:val="nil" w:sz="6" w:space="0" w:color="auto"/>
              <w:right w:val="nil" w:sz="6" w:space="0" w:color="auto"/>
            </w:tcBorders>
          </w:tcPr>
          <w:p>
            <w:pPr>
              <w:pStyle w:val="TableParagraph"/>
              <w:spacing w:line="183" w:lineRule="exact"/>
              <w:ind w:right="17"/>
              <w:jc w:val="center"/>
              <w:rPr>
                <w:rFonts w:ascii="宋体" w:hAnsi="宋体" w:cs="宋体" w:eastAsia="宋体" w:hint="default"/>
                <w:sz w:val="16"/>
                <w:szCs w:val="16"/>
              </w:rPr>
            </w:pPr>
            <w:r>
              <w:rPr>
                <w:rFonts w:ascii="宋体"/>
                <w:spacing w:val="-2"/>
                <w:sz w:val="16"/>
              </w:rPr>
              <w:t>2018.03.30-2021.03.29</w:t>
            </w:r>
          </w:p>
        </w:tc>
      </w:tr>
      <w:tr>
        <w:trPr>
          <w:trHeight w:val="246"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04" w:lineRule="exact"/>
              <w:ind w:left="43" w:right="0"/>
              <w:jc w:val="left"/>
              <w:rPr>
                <w:rFonts w:ascii="宋体" w:hAnsi="宋体" w:cs="宋体" w:eastAsia="宋体" w:hint="default"/>
                <w:sz w:val="16"/>
                <w:szCs w:val="16"/>
              </w:rPr>
            </w:pPr>
            <w:r>
              <w:rPr>
                <w:rFonts w:ascii="宋体" w:hAnsi="宋体" w:cs="宋体" w:eastAsia="宋体" w:hint="default"/>
                <w:sz w:val="16"/>
                <w:szCs w:val="16"/>
              </w:rPr>
              <w:t>鹤山同方照明科技有限公司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204" w:lineRule="exact"/>
              <w:ind w:left="26" w:right="0"/>
              <w:jc w:val="left"/>
              <w:rPr>
                <w:rFonts w:ascii="宋体" w:hAnsi="宋体" w:cs="宋体" w:eastAsia="宋体" w:hint="default"/>
                <w:sz w:val="16"/>
                <w:szCs w:val="16"/>
              </w:rPr>
            </w:pPr>
            <w:r>
              <w:rPr>
                <w:rFonts w:ascii="宋体" w:hAnsi="宋体" w:cs="宋体" w:eastAsia="宋体" w:hint="default"/>
                <w:sz w:val="16"/>
                <w:szCs w:val="16"/>
              </w:rPr>
              <w:t>建设银行鹤山支行</w:t>
            </w:r>
          </w:p>
        </w:tc>
        <w:tc>
          <w:tcPr>
            <w:tcW w:w="1490" w:type="dxa"/>
            <w:tcBorders>
              <w:top w:val="nil" w:sz="6" w:space="0" w:color="auto"/>
              <w:left w:val="nil" w:sz="6" w:space="0" w:color="auto"/>
              <w:bottom w:val="nil" w:sz="6" w:space="0" w:color="auto"/>
              <w:right w:val="nil" w:sz="6" w:space="0" w:color="auto"/>
            </w:tcBorders>
          </w:tcPr>
          <w:p>
            <w:pPr>
              <w:pStyle w:val="TableParagraph"/>
              <w:spacing w:line="204" w:lineRule="exact"/>
              <w:ind w:right="25"/>
              <w:jc w:val="right"/>
              <w:rPr>
                <w:rFonts w:ascii="宋体" w:hAnsi="宋体" w:cs="宋体" w:eastAsia="宋体" w:hint="default"/>
                <w:sz w:val="16"/>
                <w:szCs w:val="16"/>
              </w:rPr>
            </w:pPr>
            <w:r>
              <w:rPr>
                <w:rFonts w:ascii="宋体" w:hAnsi="宋体" w:cs="宋体" w:eastAsia="宋体" w:hint="default"/>
                <w:sz w:val="16"/>
                <w:szCs w:val="16"/>
              </w:rPr>
              <w:t>2,000.00</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731" w:type="dxa"/>
            <w:tcBorders>
              <w:top w:val="nil" w:sz="6" w:space="0" w:color="auto"/>
              <w:left w:val="nil" w:sz="6" w:space="0" w:color="auto"/>
              <w:bottom w:val="nil" w:sz="6" w:space="0" w:color="auto"/>
              <w:right w:val="nil" w:sz="6" w:space="0" w:color="auto"/>
            </w:tcBorders>
          </w:tcPr>
          <w:p>
            <w:pPr>
              <w:pStyle w:val="TableParagraph"/>
              <w:spacing w:line="204" w:lineRule="exact"/>
              <w:ind w:left="4" w:right="0"/>
              <w:jc w:val="center"/>
              <w:rPr>
                <w:rFonts w:ascii="宋体" w:hAnsi="宋体" w:cs="宋体" w:eastAsia="宋体" w:hint="default"/>
                <w:sz w:val="16"/>
                <w:szCs w:val="16"/>
              </w:rPr>
            </w:pPr>
            <w:r>
              <w:rPr>
                <w:rFonts w:ascii="宋体"/>
                <w:spacing w:val="-2"/>
                <w:sz w:val="16"/>
              </w:rPr>
              <w:t>2018.03.02-2019.03.01</w:t>
            </w:r>
          </w:p>
        </w:tc>
        <w:tc>
          <w:tcPr>
            <w:tcW w:w="1746" w:type="dxa"/>
            <w:tcBorders>
              <w:top w:val="nil" w:sz="6" w:space="0" w:color="auto"/>
              <w:left w:val="nil" w:sz="6" w:space="0" w:color="auto"/>
              <w:bottom w:val="nil" w:sz="6" w:space="0" w:color="auto"/>
              <w:right w:val="nil" w:sz="6" w:space="0" w:color="auto"/>
            </w:tcBorders>
          </w:tcPr>
          <w:p>
            <w:pPr>
              <w:pStyle w:val="TableParagraph"/>
              <w:spacing w:line="204" w:lineRule="exact"/>
              <w:ind w:right="17"/>
              <w:jc w:val="center"/>
              <w:rPr>
                <w:rFonts w:ascii="宋体" w:hAnsi="宋体" w:cs="宋体" w:eastAsia="宋体" w:hint="default"/>
                <w:sz w:val="16"/>
                <w:szCs w:val="16"/>
              </w:rPr>
            </w:pPr>
            <w:r>
              <w:rPr>
                <w:rFonts w:ascii="宋体"/>
                <w:spacing w:val="-2"/>
                <w:sz w:val="16"/>
              </w:rPr>
              <w:t>2018.03.02-2021.03.01</w:t>
            </w:r>
          </w:p>
        </w:tc>
      </w:tr>
      <w:tr>
        <w:trPr>
          <w:trHeight w:val="435"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43" w:right="0"/>
              <w:jc w:val="left"/>
              <w:rPr>
                <w:rFonts w:ascii="宋体" w:hAnsi="宋体" w:cs="宋体" w:eastAsia="宋体" w:hint="default"/>
                <w:sz w:val="16"/>
                <w:szCs w:val="16"/>
              </w:rPr>
            </w:pPr>
            <w:r>
              <w:rPr>
                <w:rFonts w:ascii="宋体" w:hAnsi="宋体" w:cs="宋体" w:eastAsia="宋体" w:hint="default"/>
                <w:sz w:val="16"/>
                <w:szCs w:val="16"/>
              </w:rPr>
              <w:t>淮安同方水务有限公司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208" w:lineRule="exact" w:before="14"/>
              <w:ind w:left="26" w:right="24"/>
              <w:jc w:val="left"/>
              <w:rPr>
                <w:rFonts w:ascii="宋体" w:hAnsi="宋体" w:cs="宋体" w:eastAsia="宋体" w:hint="default"/>
                <w:sz w:val="16"/>
                <w:szCs w:val="16"/>
              </w:rPr>
            </w:pPr>
            <w:r>
              <w:rPr>
                <w:rFonts w:ascii="宋体" w:hAnsi="宋体" w:cs="宋体" w:eastAsia="宋体" w:hint="default"/>
                <w:spacing w:val="3"/>
                <w:sz w:val="16"/>
                <w:szCs w:val="16"/>
              </w:rPr>
              <w:t>农业银行淮安农开</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z w:val="16"/>
                <w:szCs w:val="16"/>
              </w:rPr>
              <w:t>发分理处</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5"/>
              <w:jc w:val="right"/>
              <w:rPr>
                <w:rFonts w:ascii="宋体" w:hAnsi="宋体" w:cs="宋体" w:eastAsia="宋体" w:hint="default"/>
                <w:sz w:val="16"/>
                <w:szCs w:val="16"/>
              </w:rPr>
            </w:pPr>
            <w:r>
              <w:rPr>
                <w:rFonts w:ascii="宋体" w:hAnsi="宋体" w:cs="宋体" w:eastAsia="宋体" w:hint="default"/>
                <w:sz w:val="16"/>
                <w:szCs w:val="16"/>
              </w:rPr>
              <w:t>8,975.00</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4" w:right="0"/>
              <w:jc w:val="center"/>
              <w:rPr>
                <w:rFonts w:ascii="宋体" w:hAnsi="宋体" w:cs="宋体" w:eastAsia="宋体" w:hint="default"/>
                <w:sz w:val="16"/>
                <w:szCs w:val="16"/>
              </w:rPr>
            </w:pPr>
            <w:r>
              <w:rPr>
                <w:rFonts w:ascii="宋体"/>
                <w:spacing w:val="-2"/>
                <w:sz w:val="16"/>
              </w:rPr>
              <w:t>2015.04.28-2023.04.28</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18" w:right="0"/>
              <w:jc w:val="center"/>
              <w:rPr>
                <w:rFonts w:ascii="宋体" w:hAnsi="宋体" w:cs="宋体" w:eastAsia="宋体" w:hint="default"/>
                <w:sz w:val="16"/>
                <w:szCs w:val="16"/>
              </w:rPr>
            </w:pPr>
            <w:r>
              <w:rPr>
                <w:rFonts w:ascii="宋体"/>
                <w:spacing w:val="-2"/>
                <w:sz w:val="16"/>
              </w:rPr>
              <w:t>2015.04.28-2025.04.28</w:t>
            </w:r>
          </w:p>
        </w:tc>
      </w:tr>
      <w:tr>
        <w:trPr>
          <w:trHeight w:val="415"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183" w:lineRule="exact"/>
              <w:ind w:left="43" w:right="0"/>
              <w:jc w:val="left"/>
              <w:rPr>
                <w:rFonts w:ascii="宋体" w:hAnsi="宋体" w:cs="宋体" w:eastAsia="宋体" w:hint="default"/>
                <w:sz w:val="16"/>
                <w:szCs w:val="16"/>
              </w:rPr>
            </w:pPr>
            <w:r>
              <w:rPr>
                <w:rFonts w:ascii="宋体" w:hAnsi="宋体" w:cs="宋体" w:eastAsia="宋体" w:hint="default"/>
                <w:spacing w:val="4"/>
                <w:sz w:val="16"/>
                <w:szCs w:val="16"/>
              </w:rPr>
              <w:t>淮安同方盐化工业污水处理有</w:t>
            </w:r>
          </w:p>
          <w:p>
            <w:pPr>
              <w:pStyle w:val="TableParagraph"/>
              <w:spacing w:line="209" w:lineRule="exact"/>
              <w:ind w:left="43"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183" w:lineRule="exact"/>
              <w:ind w:left="26" w:right="0"/>
              <w:jc w:val="left"/>
              <w:rPr>
                <w:rFonts w:ascii="宋体" w:hAnsi="宋体" w:cs="宋体" w:eastAsia="宋体" w:hint="default"/>
                <w:sz w:val="16"/>
                <w:szCs w:val="16"/>
              </w:rPr>
            </w:pPr>
            <w:r>
              <w:rPr>
                <w:rFonts w:ascii="宋体" w:hAnsi="宋体" w:cs="宋体" w:eastAsia="宋体" w:hint="default"/>
                <w:spacing w:val="3"/>
                <w:sz w:val="16"/>
                <w:szCs w:val="16"/>
              </w:rPr>
              <w:t>工商银行淮安城南</w:t>
            </w:r>
          </w:p>
          <w:p>
            <w:pPr>
              <w:pStyle w:val="TableParagraph"/>
              <w:spacing w:line="209" w:lineRule="exact"/>
              <w:ind w:left="26" w:right="0"/>
              <w:jc w:val="left"/>
              <w:rPr>
                <w:rFonts w:ascii="宋体" w:hAnsi="宋体" w:cs="宋体" w:eastAsia="宋体" w:hint="default"/>
                <w:sz w:val="16"/>
                <w:szCs w:val="16"/>
              </w:rPr>
            </w:pPr>
            <w:r>
              <w:rPr>
                <w:rFonts w:ascii="宋体" w:hAnsi="宋体" w:cs="宋体" w:eastAsia="宋体" w:hint="default"/>
                <w:sz w:val="16"/>
                <w:szCs w:val="16"/>
              </w:rPr>
              <w:t>支行</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5"/>
              <w:jc w:val="right"/>
              <w:rPr>
                <w:rFonts w:ascii="宋体" w:hAnsi="宋体" w:cs="宋体" w:eastAsia="宋体" w:hint="default"/>
                <w:sz w:val="16"/>
                <w:szCs w:val="16"/>
              </w:rPr>
            </w:pPr>
            <w:r>
              <w:rPr>
                <w:rFonts w:ascii="宋体" w:hAnsi="宋体" w:cs="宋体" w:eastAsia="宋体" w:hint="default"/>
                <w:sz w:val="16"/>
                <w:szCs w:val="16"/>
              </w:rPr>
              <w:t>2,800.00</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 w:right="0"/>
              <w:jc w:val="center"/>
              <w:rPr>
                <w:rFonts w:ascii="宋体" w:hAnsi="宋体" w:cs="宋体" w:eastAsia="宋体" w:hint="default"/>
                <w:sz w:val="16"/>
                <w:szCs w:val="16"/>
              </w:rPr>
            </w:pPr>
            <w:r>
              <w:rPr>
                <w:rFonts w:ascii="宋体"/>
                <w:spacing w:val="-2"/>
                <w:sz w:val="16"/>
              </w:rPr>
              <w:t>2018.10.30-2026.10.30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8" w:right="0"/>
              <w:jc w:val="center"/>
              <w:rPr>
                <w:rFonts w:ascii="宋体" w:hAnsi="宋体" w:cs="宋体" w:eastAsia="宋体" w:hint="default"/>
                <w:sz w:val="16"/>
                <w:szCs w:val="16"/>
              </w:rPr>
            </w:pPr>
            <w:r>
              <w:rPr>
                <w:rFonts w:ascii="宋体"/>
                <w:spacing w:val="-2"/>
                <w:sz w:val="16"/>
              </w:rPr>
              <w:t>2018.10.30-2028.10.30</w:t>
            </w:r>
          </w:p>
        </w:tc>
      </w:tr>
      <w:tr>
        <w:trPr>
          <w:trHeight w:val="414"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3" w:right="0"/>
              <w:jc w:val="left"/>
              <w:rPr>
                <w:rFonts w:ascii="宋体" w:hAnsi="宋体" w:cs="宋体" w:eastAsia="宋体" w:hint="default"/>
                <w:sz w:val="16"/>
                <w:szCs w:val="16"/>
              </w:rPr>
            </w:pPr>
            <w:r>
              <w:rPr>
                <w:rFonts w:ascii="宋体" w:hAnsi="宋体" w:cs="宋体" w:eastAsia="宋体" w:hint="default"/>
                <w:sz w:val="16"/>
                <w:szCs w:val="16"/>
              </w:rPr>
              <w:t>金湖同方水务有限公司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182" w:lineRule="exact"/>
              <w:ind w:left="26" w:right="0"/>
              <w:jc w:val="left"/>
              <w:rPr>
                <w:rFonts w:ascii="宋体" w:hAnsi="宋体" w:cs="宋体" w:eastAsia="宋体" w:hint="default"/>
                <w:sz w:val="16"/>
                <w:szCs w:val="16"/>
              </w:rPr>
            </w:pPr>
            <w:r>
              <w:rPr>
                <w:rFonts w:ascii="宋体" w:hAnsi="宋体" w:cs="宋体" w:eastAsia="宋体" w:hint="default"/>
                <w:spacing w:val="3"/>
                <w:sz w:val="16"/>
                <w:szCs w:val="16"/>
              </w:rPr>
              <w:t>工商银行淮安城南</w:t>
            </w:r>
          </w:p>
          <w:p>
            <w:pPr>
              <w:pStyle w:val="TableParagraph"/>
              <w:spacing w:line="208" w:lineRule="exact"/>
              <w:ind w:left="26" w:right="0"/>
              <w:jc w:val="left"/>
              <w:rPr>
                <w:rFonts w:ascii="宋体" w:hAnsi="宋体" w:cs="宋体" w:eastAsia="宋体" w:hint="default"/>
                <w:sz w:val="16"/>
                <w:szCs w:val="16"/>
              </w:rPr>
            </w:pPr>
            <w:r>
              <w:rPr>
                <w:rFonts w:ascii="宋体" w:hAnsi="宋体" w:cs="宋体" w:eastAsia="宋体" w:hint="default"/>
                <w:sz w:val="16"/>
                <w:szCs w:val="16"/>
              </w:rPr>
              <w:t>支行</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5"/>
              <w:jc w:val="right"/>
              <w:rPr>
                <w:rFonts w:ascii="宋体" w:hAnsi="宋体" w:cs="宋体" w:eastAsia="宋体" w:hint="default"/>
                <w:sz w:val="16"/>
                <w:szCs w:val="16"/>
              </w:rPr>
            </w:pPr>
            <w:r>
              <w:rPr>
                <w:rFonts w:ascii="宋体" w:hAnsi="宋体" w:cs="宋体" w:eastAsia="宋体" w:hint="default"/>
                <w:sz w:val="16"/>
                <w:szCs w:val="16"/>
              </w:rPr>
              <w:t>1,090.00</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4" w:right="0"/>
              <w:jc w:val="center"/>
              <w:rPr>
                <w:rFonts w:ascii="宋体" w:hAnsi="宋体" w:cs="宋体" w:eastAsia="宋体" w:hint="default"/>
                <w:sz w:val="16"/>
                <w:szCs w:val="16"/>
              </w:rPr>
            </w:pPr>
            <w:r>
              <w:rPr>
                <w:rFonts w:ascii="宋体"/>
                <w:spacing w:val="-2"/>
                <w:sz w:val="16"/>
              </w:rPr>
              <w:t>2018.10.30-2024.10.26</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8" w:right="0"/>
              <w:jc w:val="center"/>
              <w:rPr>
                <w:rFonts w:ascii="宋体" w:hAnsi="宋体" w:cs="宋体" w:eastAsia="宋体" w:hint="default"/>
                <w:sz w:val="16"/>
                <w:szCs w:val="16"/>
              </w:rPr>
            </w:pPr>
            <w:r>
              <w:rPr>
                <w:rFonts w:ascii="宋体"/>
                <w:spacing w:val="-2"/>
                <w:sz w:val="16"/>
              </w:rPr>
              <w:t>2018.10.30-2026.10.26</w:t>
            </w:r>
          </w:p>
        </w:tc>
      </w:tr>
      <w:tr>
        <w:trPr>
          <w:trHeight w:val="415"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3" w:right="0"/>
              <w:jc w:val="left"/>
              <w:rPr>
                <w:rFonts w:ascii="宋体" w:hAnsi="宋体" w:cs="宋体" w:eastAsia="宋体" w:hint="default"/>
                <w:sz w:val="16"/>
                <w:szCs w:val="16"/>
              </w:rPr>
            </w:pPr>
            <w:r>
              <w:rPr>
                <w:rFonts w:ascii="宋体" w:hAnsi="宋体" w:cs="宋体" w:eastAsia="宋体" w:hint="default"/>
                <w:sz w:val="16"/>
                <w:szCs w:val="16"/>
              </w:rPr>
              <w:t>涟水同方水务有限公司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183" w:lineRule="exact"/>
              <w:ind w:left="26" w:right="0"/>
              <w:jc w:val="left"/>
              <w:rPr>
                <w:rFonts w:ascii="宋体" w:hAnsi="宋体" w:cs="宋体" w:eastAsia="宋体" w:hint="default"/>
                <w:sz w:val="16"/>
                <w:szCs w:val="16"/>
              </w:rPr>
            </w:pPr>
            <w:r>
              <w:rPr>
                <w:rFonts w:ascii="宋体" w:hAnsi="宋体" w:cs="宋体" w:eastAsia="宋体" w:hint="default"/>
                <w:spacing w:val="3"/>
                <w:sz w:val="16"/>
                <w:szCs w:val="16"/>
              </w:rPr>
              <w:t>工商银行淮安城南</w:t>
            </w:r>
          </w:p>
          <w:p>
            <w:pPr>
              <w:pStyle w:val="TableParagraph"/>
              <w:spacing w:line="208" w:lineRule="exact"/>
              <w:ind w:left="26" w:right="0"/>
              <w:jc w:val="left"/>
              <w:rPr>
                <w:rFonts w:ascii="宋体" w:hAnsi="宋体" w:cs="宋体" w:eastAsia="宋体" w:hint="default"/>
                <w:sz w:val="16"/>
                <w:szCs w:val="16"/>
              </w:rPr>
            </w:pPr>
            <w:r>
              <w:rPr>
                <w:rFonts w:ascii="宋体" w:hAnsi="宋体" w:cs="宋体" w:eastAsia="宋体" w:hint="default"/>
                <w:sz w:val="16"/>
                <w:szCs w:val="16"/>
              </w:rPr>
              <w:t>支行</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5"/>
              <w:jc w:val="right"/>
              <w:rPr>
                <w:rFonts w:ascii="宋体" w:hAnsi="宋体" w:cs="宋体" w:eastAsia="宋体" w:hint="default"/>
                <w:sz w:val="16"/>
                <w:szCs w:val="16"/>
              </w:rPr>
            </w:pPr>
            <w:r>
              <w:rPr>
                <w:rFonts w:ascii="宋体" w:hAnsi="宋体" w:cs="宋体" w:eastAsia="宋体" w:hint="default"/>
                <w:sz w:val="16"/>
                <w:szCs w:val="16"/>
              </w:rPr>
              <w:t>6,100.00</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 w:right="0"/>
              <w:jc w:val="center"/>
              <w:rPr>
                <w:rFonts w:ascii="宋体" w:hAnsi="宋体" w:cs="宋体" w:eastAsia="宋体" w:hint="default"/>
                <w:sz w:val="16"/>
                <w:szCs w:val="16"/>
              </w:rPr>
            </w:pPr>
            <w:r>
              <w:rPr>
                <w:rFonts w:ascii="宋体"/>
                <w:spacing w:val="-2"/>
                <w:sz w:val="16"/>
              </w:rPr>
              <w:t>2018.10.22-2027.10.14</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8" w:right="0"/>
              <w:jc w:val="center"/>
              <w:rPr>
                <w:rFonts w:ascii="宋体" w:hAnsi="宋体" w:cs="宋体" w:eastAsia="宋体" w:hint="default"/>
                <w:sz w:val="16"/>
                <w:szCs w:val="16"/>
              </w:rPr>
            </w:pPr>
            <w:r>
              <w:rPr>
                <w:rFonts w:ascii="宋体"/>
                <w:spacing w:val="-2"/>
                <w:sz w:val="16"/>
              </w:rPr>
              <w:t>2018.10.22-2029.10.14</w:t>
            </w:r>
          </w:p>
        </w:tc>
      </w:tr>
      <w:tr>
        <w:trPr>
          <w:trHeight w:val="434"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3" w:right="0"/>
              <w:jc w:val="left"/>
              <w:rPr>
                <w:rFonts w:ascii="宋体" w:hAnsi="宋体" w:cs="宋体" w:eastAsia="宋体" w:hint="default"/>
                <w:sz w:val="16"/>
                <w:szCs w:val="16"/>
              </w:rPr>
            </w:pPr>
            <w:r>
              <w:rPr>
                <w:rFonts w:ascii="宋体" w:hAnsi="宋体" w:cs="宋体" w:eastAsia="宋体" w:hint="default"/>
                <w:sz w:val="16"/>
                <w:szCs w:val="16"/>
              </w:rPr>
              <w:t>惠州市同方水务有限公司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183" w:lineRule="exact"/>
              <w:ind w:left="26" w:right="0"/>
              <w:jc w:val="left"/>
              <w:rPr>
                <w:rFonts w:ascii="宋体" w:hAnsi="宋体" w:cs="宋体" w:eastAsia="宋体" w:hint="default"/>
                <w:sz w:val="16"/>
                <w:szCs w:val="16"/>
              </w:rPr>
            </w:pPr>
            <w:r>
              <w:rPr>
                <w:rFonts w:ascii="宋体" w:hAnsi="宋体" w:cs="宋体" w:eastAsia="宋体" w:hint="default"/>
                <w:spacing w:val="3"/>
                <w:sz w:val="16"/>
                <w:szCs w:val="16"/>
              </w:rPr>
              <w:t>建行北京清华园支</w:t>
            </w:r>
          </w:p>
          <w:p>
            <w:pPr>
              <w:pStyle w:val="TableParagraph"/>
              <w:spacing w:line="208" w:lineRule="exact"/>
              <w:ind w:left="26" w:right="0"/>
              <w:jc w:val="left"/>
              <w:rPr>
                <w:rFonts w:ascii="宋体" w:hAnsi="宋体" w:cs="宋体" w:eastAsia="宋体" w:hint="default"/>
                <w:sz w:val="16"/>
                <w:szCs w:val="16"/>
              </w:rPr>
            </w:pPr>
            <w:r>
              <w:rPr>
                <w:rFonts w:ascii="宋体" w:hAnsi="宋体" w:cs="宋体" w:eastAsia="宋体" w:hint="default"/>
                <w:w w:val="100"/>
                <w:sz w:val="16"/>
                <w:szCs w:val="16"/>
              </w:rPr>
              <w:t>行</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5"/>
              <w:jc w:val="right"/>
              <w:rPr>
                <w:rFonts w:ascii="宋体" w:hAnsi="宋体" w:cs="宋体" w:eastAsia="宋体" w:hint="default"/>
                <w:sz w:val="16"/>
                <w:szCs w:val="16"/>
              </w:rPr>
            </w:pPr>
            <w:r>
              <w:rPr>
                <w:rFonts w:ascii="宋体" w:hAnsi="宋体" w:cs="宋体" w:eastAsia="宋体" w:hint="default"/>
                <w:sz w:val="16"/>
                <w:szCs w:val="16"/>
              </w:rPr>
              <w:t>1,505.00</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 w:right="0"/>
              <w:jc w:val="center"/>
              <w:rPr>
                <w:rFonts w:ascii="宋体" w:hAnsi="宋体" w:cs="宋体" w:eastAsia="宋体" w:hint="default"/>
                <w:sz w:val="16"/>
                <w:szCs w:val="16"/>
              </w:rPr>
            </w:pPr>
            <w:r>
              <w:rPr>
                <w:rFonts w:ascii="宋体"/>
                <w:spacing w:val="-2"/>
                <w:sz w:val="16"/>
              </w:rPr>
              <w:t>2009.11.10-2020.09.18</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8" w:right="0"/>
              <w:jc w:val="center"/>
              <w:rPr>
                <w:rFonts w:ascii="宋体" w:hAnsi="宋体" w:cs="宋体" w:eastAsia="宋体" w:hint="default"/>
                <w:sz w:val="16"/>
                <w:szCs w:val="16"/>
              </w:rPr>
            </w:pPr>
            <w:r>
              <w:rPr>
                <w:rFonts w:ascii="宋体"/>
                <w:spacing w:val="-2"/>
                <w:sz w:val="16"/>
              </w:rPr>
              <w:t>2009.11.10-2022.09.18</w:t>
            </w:r>
          </w:p>
        </w:tc>
      </w:tr>
      <w:tr>
        <w:trPr>
          <w:trHeight w:val="265"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04" w:lineRule="exact"/>
              <w:ind w:left="43" w:right="0"/>
              <w:jc w:val="left"/>
              <w:rPr>
                <w:rFonts w:ascii="宋体" w:hAnsi="宋体" w:cs="宋体" w:eastAsia="宋体" w:hint="default"/>
                <w:sz w:val="16"/>
                <w:szCs w:val="16"/>
              </w:rPr>
            </w:pPr>
            <w:r>
              <w:rPr>
                <w:rFonts w:ascii="宋体" w:hAnsi="宋体" w:cs="宋体" w:eastAsia="宋体" w:hint="default"/>
                <w:sz w:val="16"/>
                <w:szCs w:val="16"/>
              </w:rPr>
              <w:t>山东同方鲁颖电子有限公司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204" w:lineRule="exact"/>
              <w:ind w:left="26" w:right="0"/>
              <w:jc w:val="left"/>
              <w:rPr>
                <w:rFonts w:ascii="宋体" w:hAnsi="宋体" w:cs="宋体" w:eastAsia="宋体" w:hint="default"/>
                <w:sz w:val="16"/>
                <w:szCs w:val="16"/>
              </w:rPr>
            </w:pPr>
            <w:r>
              <w:rPr>
                <w:rFonts w:ascii="宋体" w:hAnsi="宋体" w:cs="宋体" w:eastAsia="宋体" w:hint="default"/>
                <w:sz w:val="16"/>
                <w:szCs w:val="16"/>
              </w:rPr>
              <w:t>工商银行沂南支行</w:t>
            </w:r>
          </w:p>
        </w:tc>
        <w:tc>
          <w:tcPr>
            <w:tcW w:w="1490" w:type="dxa"/>
            <w:tcBorders>
              <w:top w:val="nil" w:sz="6" w:space="0" w:color="auto"/>
              <w:left w:val="nil" w:sz="6" w:space="0" w:color="auto"/>
              <w:bottom w:val="nil" w:sz="6" w:space="0" w:color="auto"/>
              <w:right w:val="nil" w:sz="6" w:space="0" w:color="auto"/>
            </w:tcBorders>
          </w:tcPr>
          <w:p>
            <w:pPr>
              <w:pStyle w:val="TableParagraph"/>
              <w:spacing w:line="204" w:lineRule="exact"/>
              <w:ind w:right="25"/>
              <w:jc w:val="right"/>
              <w:rPr>
                <w:rFonts w:ascii="宋体" w:hAnsi="宋体" w:cs="宋体" w:eastAsia="宋体" w:hint="default"/>
                <w:sz w:val="16"/>
                <w:szCs w:val="16"/>
              </w:rPr>
            </w:pPr>
            <w:r>
              <w:rPr>
                <w:rFonts w:ascii="宋体" w:hAnsi="宋体" w:cs="宋体" w:eastAsia="宋体" w:hint="default"/>
                <w:sz w:val="16"/>
                <w:szCs w:val="16"/>
              </w:rPr>
              <w:t>2,500.00</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731" w:type="dxa"/>
            <w:tcBorders>
              <w:top w:val="nil" w:sz="6" w:space="0" w:color="auto"/>
              <w:left w:val="nil" w:sz="6" w:space="0" w:color="auto"/>
              <w:bottom w:val="nil" w:sz="6" w:space="0" w:color="auto"/>
              <w:right w:val="nil" w:sz="6" w:space="0" w:color="auto"/>
            </w:tcBorders>
          </w:tcPr>
          <w:p>
            <w:pPr>
              <w:pStyle w:val="TableParagraph"/>
              <w:spacing w:line="204" w:lineRule="exact"/>
              <w:ind w:left="4" w:right="0"/>
              <w:jc w:val="center"/>
              <w:rPr>
                <w:rFonts w:ascii="宋体" w:hAnsi="宋体" w:cs="宋体" w:eastAsia="宋体" w:hint="default"/>
                <w:sz w:val="16"/>
                <w:szCs w:val="16"/>
              </w:rPr>
            </w:pPr>
            <w:r>
              <w:rPr>
                <w:rFonts w:ascii="宋体"/>
                <w:spacing w:val="-2"/>
                <w:sz w:val="16"/>
              </w:rPr>
              <w:t>2018.04.24-2019.06.20</w:t>
            </w:r>
          </w:p>
        </w:tc>
        <w:tc>
          <w:tcPr>
            <w:tcW w:w="1746" w:type="dxa"/>
            <w:tcBorders>
              <w:top w:val="nil" w:sz="6" w:space="0" w:color="auto"/>
              <w:left w:val="nil" w:sz="6" w:space="0" w:color="auto"/>
              <w:bottom w:val="nil" w:sz="6" w:space="0" w:color="auto"/>
              <w:right w:val="nil" w:sz="6" w:space="0" w:color="auto"/>
            </w:tcBorders>
          </w:tcPr>
          <w:p>
            <w:pPr>
              <w:pStyle w:val="TableParagraph"/>
              <w:spacing w:line="204" w:lineRule="exact"/>
              <w:ind w:left="18" w:right="0"/>
              <w:jc w:val="center"/>
              <w:rPr>
                <w:rFonts w:ascii="宋体" w:hAnsi="宋体" w:cs="宋体" w:eastAsia="宋体" w:hint="default"/>
                <w:sz w:val="16"/>
                <w:szCs w:val="16"/>
              </w:rPr>
            </w:pPr>
            <w:r>
              <w:rPr>
                <w:rFonts w:ascii="宋体"/>
                <w:spacing w:val="-2"/>
                <w:sz w:val="16"/>
              </w:rPr>
              <w:t>2018.04.24-2021.06.20</w:t>
            </w:r>
          </w:p>
        </w:tc>
      </w:tr>
      <w:tr>
        <w:trPr>
          <w:trHeight w:val="283"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3" w:right="0"/>
              <w:jc w:val="left"/>
              <w:rPr>
                <w:rFonts w:ascii="宋体" w:hAnsi="宋体" w:cs="宋体" w:eastAsia="宋体" w:hint="default"/>
                <w:sz w:val="16"/>
                <w:szCs w:val="16"/>
              </w:rPr>
            </w:pPr>
            <w:r>
              <w:rPr>
                <w:rFonts w:ascii="宋体" w:hAnsi="宋体" w:cs="宋体" w:eastAsia="宋体" w:hint="default"/>
                <w:sz w:val="16"/>
                <w:szCs w:val="16"/>
              </w:rPr>
              <w:t>山东同方鲁颖电子有限公司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 w:right="0"/>
              <w:jc w:val="left"/>
              <w:rPr>
                <w:rFonts w:ascii="宋体" w:hAnsi="宋体" w:cs="宋体" w:eastAsia="宋体" w:hint="default"/>
                <w:sz w:val="16"/>
                <w:szCs w:val="16"/>
              </w:rPr>
            </w:pPr>
            <w:r>
              <w:rPr>
                <w:rFonts w:ascii="宋体" w:hAnsi="宋体" w:cs="宋体" w:eastAsia="宋体" w:hint="default"/>
                <w:sz w:val="16"/>
                <w:szCs w:val="16"/>
              </w:rPr>
              <w:t>中国银行沂南支行</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16"/>
                <w:szCs w:val="16"/>
              </w:rPr>
            </w:pPr>
            <w:r>
              <w:rPr>
                <w:rFonts w:ascii="宋体" w:hAnsi="宋体" w:cs="宋体" w:eastAsia="宋体" w:hint="default"/>
                <w:sz w:val="16"/>
                <w:szCs w:val="16"/>
              </w:rPr>
              <w:t>1,200.00</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 w:right="0"/>
              <w:jc w:val="center"/>
              <w:rPr>
                <w:rFonts w:ascii="宋体" w:hAnsi="宋体" w:cs="宋体" w:eastAsia="宋体" w:hint="default"/>
                <w:sz w:val="16"/>
                <w:szCs w:val="16"/>
              </w:rPr>
            </w:pPr>
            <w:r>
              <w:rPr>
                <w:rFonts w:ascii="宋体"/>
                <w:spacing w:val="-2"/>
                <w:sz w:val="16"/>
              </w:rPr>
              <w:t>2018.06.21-2019.06.21</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center"/>
              <w:rPr>
                <w:rFonts w:ascii="宋体" w:hAnsi="宋体" w:cs="宋体" w:eastAsia="宋体" w:hint="default"/>
                <w:sz w:val="16"/>
                <w:szCs w:val="16"/>
              </w:rPr>
            </w:pPr>
            <w:r>
              <w:rPr>
                <w:rFonts w:ascii="宋体"/>
                <w:spacing w:val="-2"/>
                <w:sz w:val="16"/>
              </w:rPr>
              <w:t>2018.06.21-2021.06.21</w:t>
            </w:r>
          </w:p>
        </w:tc>
      </w:tr>
      <w:tr>
        <w:trPr>
          <w:trHeight w:val="284"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3" w:right="0"/>
              <w:jc w:val="left"/>
              <w:rPr>
                <w:rFonts w:ascii="宋体" w:hAnsi="宋体" w:cs="宋体" w:eastAsia="宋体" w:hint="default"/>
                <w:sz w:val="16"/>
                <w:szCs w:val="16"/>
              </w:rPr>
            </w:pPr>
            <w:r>
              <w:rPr>
                <w:rFonts w:ascii="宋体" w:hAnsi="宋体" w:cs="宋体" w:eastAsia="宋体" w:hint="default"/>
                <w:sz w:val="16"/>
                <w:szCs w:val="16"/>
              </w:rPr>
              <w:t>沈阳同方多媒体科技有限公司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 w:right="0"/>
              <w:jc w:val="left"/>
              <w:rPr>
                <w:rFonts w:ascii="宋体" w:hAnsi="宋体" w:cs="宋体" w:eastAsia="宋体" w:hint="default"/>
                <w:sz w:val="16"/>
                <w:szCs w:val="16"/>
              </w:rPr>
            </w:pPr>
            <w:r>
              <w:rPr>
                <w:rFonts w:ascii="宋体" w:hAnsi="宋体" w:cs="宋体" w:eastAsia="宋体" w:hint="default"/>
                <w:sz w:val="16"/>
                <w:szCs w:val="16"/>
              </w:rPr>
              <w:t>汇丰银行沈阳分行</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16"/>
                <w:szCs w:val="16"/>
              </w:rPr>
            </w:pPr>
            <w:r>
              <w:rPr>
                <w:rFonts w:ascii="宋体" w:hAnsi="宋体" w:cs="宋体" w:eastAsia="宋体" w:hint="default"/>
                <w:sz w:val="16"/>
                <w:szCs w:val="16"/>
              </w:rPr>
              <w:t>3,000.00</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 w:right="0"/>
              <w:jc w:val="center"/>
              <w:rPr>
                <w:rFonts w:ascii="宋体" w:hAnsi="宋体" w:cs="宋体" w:eastAsia="宋体" w:hint="default"/>
                <w:sz w:val="16"/>
                <w:szCs w:val="16"/>
              </w:rPr>
            </w:pPr>
            <w:r>
              <w:rPr>
                <w:rFonts w:ascii="宋体"/>
                <w:spacing w:val="-2"/>
                <w:sz w:val="16"/>
              </w:rPr>
              <w:t>2018.12.26-2019.05.25</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center"/>
              <w:rPr>
                <w:rFonts w:ascii="宋体" w:hAnsi="宋体" w:cs="宋体" w:eastAsia="宋体" w:hint="default"/>
                <w:sz w:val="16"/>
                <w:szCs w:val="16"/>
              </w:rPr>
            </w:pPr>
            <w:r>
              <w:rPr>
                <w:rFonts w:ascii="宋体"/>
                <w:spacing w:val="-2"/>
                <w:sz w:val="16"/>
              </w:rPr>
              <w:t>2018.12.26-2021.05.25</w:t>
            </w:r>
          </w:p>
        </w:tc>
      </w:tr>
      <w:tr>
        <w:trPr>
          <w:trHeight w:val="284"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3" w:right="0"/>
              <w:jc w:val="left"/>
              <w:rPr>
                <w:rFonts w:ascii="宋体" w:hAnsi="宋体" w:cs="宋体" w:eastAsia="宋体" w:hint="default"/>
                <w:sz w:val="16"/>
                <w:szCs w:val="16"/>
              </w:rPr>
            </w:pPr>
            <w:r>
              <w:rPr>
                <w:rFonts w:ascii="宋体" w:hAnsi="宋体" w:cs="宋体" w:eastAsia="宋体" w:hint="default"/>
                <w:sz w:val="16"/>
                <w:szCs w:val="16"/>
              </w:rPr>
              <w:t>沈阳同方多媒体科技有限公司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 w:right="0"/>
              <w:jc w:val="left"/>
              <w:rPr>
                <w:rFonts w:ascii="宋体" w:hAnsi="宋体" w:cs="宋体" w:eastAsia="宋体" w:hint="default"/>
                <w:sz w:val="16"/>
                <w:szCs w:val="16"/>
              </w:rPr>
            </w:pPr>
            <w:r>
              <w:rPr>
                <w:rFonts w:ascii="宋体" w:hAnsi="宋体" w:cs="宋体" w:eastAsia="宋体" w:hint="default"/>
                <w:sz w:val="16"/>
                <w:szCs w:val="16"/>
              </w:rPr>
              <w:t>建设银行城内支行</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
              <w:jc w:val="right"/>
              <w:rPr>
                <w:rFonts w:ascii="宋体" w:hAnsi="宋体" w:cs="宋体" w:eastAsia="宋体" w:hint="default"/>
                <w:sz w:val="16"/>
                <w:szCs w:val="16"/>
              </w:rPr>
            </w:pPr>
            <w:r>
              <w:rPr>
                <w:rFonts w:ascii="宋体" w:hAnsi="宋体" w:cs="宋体" w:eastAsia="宋体" w:hint="default"/>
                <w:sz w:val="16"/>
                <w:szCs w:val="16"/>
              </w:rPr>
              <w:t>27,871.25</w:t>
            </w:r>
            <w:r>
              <w:rPr>
                <w:rFonts w:ascii="宋体" w:hAnsi="宋体" w:cs="宋体" w:eastAsia="宋体" w:hint="default"/>
                <w:spacing w:val="-47"/>
                <w:sz w:val="16"/>
                <w:szCs w:val="16"/>
              </w:rPr>
              <w:t> </w:t>
            </w:r>
            <w:r>
              <w:rPr>
                <w:rFonts w:ascii="宋体" w:hAnsi="宋体" w:cs="宋体" w:eastAsia="宋体" w:hint="default"/>
                <w:sz w:val="16"/>
                <w:szCs w:val="16"/>
              </w:rPr>
              <w:t>万人民币</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 w:right="0"/>
              <w:jc w:val="center"/>
              <w:rPr>
                <w:rFonts w:ascii="宋体" w:hAnsi="宋体" w:cs="宋体" w:eastAsia="宋体" w:hint="default"/>
                <w:sz w:val="16"/>
                <w:szCs w:val="16"/>
              </w:rPr>
            </w:pPr>
            <w:r>
              <w:rPr>
                <w:rFonts w:ascii="宋体"/>
                <w:spacing w:val="-2"/>
                <w:sz w:val="16"/>
              </w:rPr>
              <w:t>2018.08.02-2019.12.23</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 w:right="0"/>
              <w:jc w:val="center"/>
              <w:rPr>
                <w:rFonts w:ascii="宋体" w:hAnsi="宋体" w:cs="宋体" w:eastAsia="宋体" w:hint="default"/>
                <w:sz w:val="16"/>
                <w:szCs w:val="16"/>
              </w:rPr>
            </w:pPr>
            <w:r>
              <w:rPr>
                <w:rFonts w:ascii="宋体"/>
                <w:spacing w:val="-2"/>
                <w:sz w:val="16"/>
              </w:rPr>
              <w:t>2018.08.02-2022.12.23</w:t>
            </w:r>
          </w:p>
        </w:tc>
      </w:tr>
      <w:tr>
        <w:trPr>
          <w:trHeight w:val="264"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3" w:right="0"/>
              <w:jc w:val="left"/>
              <w:rPr>
                <w:rFonts w:ascii="宋体" w:hAnsi="宋体" w:cs="宋体" w:eastAsia="宋体" w:hint="default"/>
                <w:sz w:val="16"/>
                <w:szCs w:val="16"/>
              </w:rPr>
            </w:pPr>
            <w:r>
              <w:rPr>
                <w:rFonts w:ascii="宋体" w:hAnsi="宋体" w:cs="宋体" w:eastAsia="宋体" w:hint="default"/>
                <w:sz w:val="16"/>
                <w:szCs w:val="16"/>
              </w:rPr>
              <w:t>同方电子科技有限公司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 w:right="0"/>
              <w:jc w:val="left"/>
              <w:rPr>
                <w:rFonts w:ascii="宋体" w:hAnsi="宋体" w:cs="宋体" w:eastAsia="宋体" w:hint="default"/>
                <w:sz w:val="16"/>
                <w:szCs w:val="16"/>
              </w:rPr>
            </w:pPr>
            <w:r>
              <w:rPr>
                <w:rFonts w:ascii="宋体" w:hAnsi="宋体" w:cs="宋体" w:eastAsia="宋体" w:hint="default"/>
                <w:sz w:val="16"/>
                <w:szCs w:val="16"/>
              </w:rPr>
              <w:t>工商银行浔中支行</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5"/>
              <w:jc w:val="right"/>
              <w:rPr>
                <w:rFonts w:ascii="宋体" w:hAnsi="宋体" w:cs="宋体" w:eastAsia="宋体" w:hint="default"/>
                <w:sz w:val="16"/>
                <w:szCs w:val="16"/>
              </w:rPr>
            </w:pPr>
            <w:r>
              <w:rPr>
                <w:rFonts w:ascii="宋体" w:hAnsi="宋体" w:cs="宋体" w:eastAsia="宋体" w:hint="default"/>
                <w:sz w:val="16"/>
                <w:szCs w:val="16"/>
              </w:rPr>
              <w:t>2,850.00</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 w:right="0"/>
              <w:jc w:val="center"/>
              <w:rPr>
                <w:rFonts w:ascii="宋体" w:hAnsi="宋体" w:cs="宋体" w:eastAsia="宋体" w:hint="default"/>
                <w:sz w:val="16"/>
                <w:szCs w:val="16"/>
              </w:rPr>
            </w:pPr>
            <w:r>
              <w:rPr>
                <w:rFonts w:ascii="宋体"/>
                <w:spacing w:val="-2"/>
                <w:sz w:val="16"/>
              </w:rPr>
              <w:t>2018.03.09-2019.01.30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3" w:right="0"/>
              <w:jc w:val="center"/>
              <w:rPr>
                <w:rFonts w:ascii="宋体" w:hAnsi="宋体" w:cs="宋体" w:eastAsia="宋体" w:hint="default"/>
                <w:sz w:val="16"/>
                <w:szCs w:val="16"/>
              </w:rPr>
            </w:pPr>
            <w:r>
              <w:rPr>
                <w:rFonts w:ascii="宋体"/>
                <w:spacing w:val="-2"/>
                <w:sz w:val="16"/>
              </w:rPr>
              <w:t>2018.03.09-2021.01.30</w:t>
            </w:r>
          </w:p>
        </w:tc>
      </w:tr>
      <w:tr>
        <w:trPr>
          <w:trHeight w:val="454"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43" w:right="0"/>
              <w:jc w:val="left"/>
              <w:rPr>
                <w:rFonts w:ascii="宋体" w:hAnsi="宋体" w:cs="宋体" w:eastAsia="宋体" w:hint="default"/>
                <w:sz w:val="16"/>
                <w:szCs w:val="16"/>
              </w:rPr>
            </w:pPr>
            <w:r>
              <w:rPr>
                <w:rFonts w:ascii="宋体" w:hAnsi="宋体" w:cs="宋体" w:eastAsia="宋体" w:hint="default"/>
                <w:sz w:val="16"/>
                <w:szCs w:val="16"/>
              </w:rPr>
              <w:t>同方工业有限公司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ind w:left="26" w:right="24"/>
              <w:jc w:val="left"/>
              <w:rPr>
                <w:rFonts w:ascii="宋体" w:hAnsi="宋体" w:cs="宋体" w:eastAsia="宋体" w:hint="default"/>
                <w:sz w:val="16"/>
                <w:szCs w:val="16"/>
              </w:rPr>
            </w:pPr>
            <w:r>
              <w:rPr>
                <w:rFonts w:ascii="宋体" w:hAnsi="宋体" w:cs="宋体" w:eastAsia="宋体" w:hint="default"/>
                <w:spacing w:val="3"/>
                <w:sz w:val="16"/>
                <w:szCs w:val="16"/>
              </w:rPr>
              <w:t>北京银行清华园支</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z w:val="16"/>
                <w:szCs w:val="16"/>
              </w:rPr>
              <w:t>行</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5"/>
              <w:jc w:val="right"/>
              <w:rPr>
                <w:rFonts w:ascii="宋体" w:hAnsi="宋体" w:cs="宋体" w:eastAsia="宋体" w:hint="default"/>
                <w:sz w:val="16"/>
                <w:szCs w:val="16"/>
              </w:rPr>
            </w:pPr>
            <w:r>
              <w:rPr>
                <w:rFonts w:ascii="宋体" w:hAnsi="宋体" w:cs="宋体" w:eastAsia="宋体" w:hint="default"/>
                <w:sz w:val="16"/>
                <w:szCs w:val="16"/>
              </w:rPr>
              <w:t>4,000.00</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4" w:right="0"/>
              <w:jc w:val="center"/>
              <w:rPr>
                <w:rFonts w:ascii="宋体" w:hAnsi="宋体" w:cs="宋体" w:eastAsia="宋体" w:hint="default"/>
                <w:sz w:val="16"/>
                <w:szCs w:val="16"/>
              </w:rPr>
            </w:pPr>
            <w:r>
              <w:rPr>
                <w:rFonts w:ascii="宋体"/>
                <w:spacing w:val="-2"/>
                <w:sz w:val="16"/>
              </w:rPr>
              <w:t>2018.05.02-2019.05.01</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3" w:right="0"/>
              <w:jc w:val="center"/>
              <w:rPr>
                <w:rFonts w:ascii="宋体" w:hAnsi="宋体" w:cs="宋体" w:eastAsia="宋体" w:hint="default"/>
                <w:sz w:val="16"/>
                <w:szCs w:val="16"/>
              </w:rPr>
            </w:pPr>
            <w:r>
              <w:rPr>
                <w:rFonts w:ascii="宋体"/>
                <w:spacing w:val="-2"/>
                <w:sz w:val="16"/>
              </w:rPr>
              <w:t>2018.05.02-2021.05.01</w:t>
            </w:r>
          </w:p>
        </w:tc>
      </w:tr>
      <w:tr>
        <w:trPr>
          <w:trHeight w:val="227" w:hRule="exact"/>
        </w:trPr>
        <w:tc>
          <w:tcPr>
            <w:tcW w:w="2232" w:type="dxa"/>
            <w:tcBorders>
              <w:top w:val="nil" w:sz="6" w:space="0" w:color="auto"/>
              <w:left w:val="nil" w:sz="6" w:space="0" w:color="auto"/>
              <w:bottom w:val="nil" w:sz="6" w:space="0" w:color="auto"/>
              <w:right w:val="nil" w:sz="6" w:space="0" w:color="auto"/>
            </w:tcBorders>
          </w:tcPr>
          <w:p>
            <w:pPr/>
          </w:p>
        </w:tc>
        <w:tc>
          <w:tcPr>
            <w:tcW w:w="1380" w:type="dxa"/>
            <w:vMerge w:val="restart"/>
            <w:tcBorders>
              <w:top w:val="nil" w:sz="6" w:space="0" w:color="auto"/>
              <w:left w:val="nil" w:sz="6" w:space="0" w:color="auto"/>
              <w:right w:val="nil" w:sz="6" w:space="0" w:color="auto"/>
            </w:tcBorders>
          </w:tcPr>
          <w:p>
            <w:pPr>
              <w:pStyle w:val="TableParagraph"/>
              <w:spacing w:line="237" w:lineRule="auto"/>
              <w:ind w:left="26" w:right="24"/>
              <w:jc w:val="both"/>
              <w:rPr>
                <w:rFonts w:ascii="宋体" w:hAnsi="宋体" w:cs="宋体" w:eastAsia="宋体" w:hint="default"/>
                <w:sz w:val="16"/>
                <w:szCs w:val="16"/>
              </w:rPr>
            </w:pPr>
            <w:r>
              <w:rPr>
                <w:rFonts w:ascii="宋体" w:hAnsi="宋体" w:cs="宋体" w:eastAsia="宋体" w:hint="default"/>
                <w:spacing w:val="3"/>
                <w:sz w:val="16"/>
                <w:szCs w:val="16"/>
              </w:rPr>
              <w:t>浙商银行苏州高新</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pacing w:val="3"/>
                <w:sz w:val="16"/>
                <w:szCs w:val="16"/>
              </w:rPr>
              <w:t>技术产业开发区支</w:t>
            </w:r>
            <w:r>
              <w:rPr>
                <w:rFonts w:ascii="宋体" w:hAnsi="宋体" w:cs="宋体" w:eastAsia="宋体" w:hint="default"/>
                <w:spacing w:val="-61"/>
                <w:sz w:val="16"/>
                <w:szCs w:val="16"/>
              </w:rPr>
              <w:t> </w:t>
            </w:r>
            <w:r>
              <w:rPr>
                <w:rFonts w:ascii="宋体" w:hAnsi="宋体" w:cs="宋体" w:eastAsia="宋体" w:hint="default"/>
                <w:spacing w:val="-61"/>
                <w:sz w:val="16"/>
                <w:szCs w:val="16"/>
              </w:rPr>
            </w:r>
            <w:r>
              <w:rPr>
                <w:rFonts w:ascii="宋体" w:hAnsi="宋体" w:cs="宋体" w:eastAsia="宋体" w:hint="default"/>
                <w:sz w:val="16"/>
                <w:szCs w:val="16"/>
              </w:rPr>
              <w:t>行</w:t>
            </w:r>
          </w:p>
        </w:tc>
        <w:tc>
          <w:tcPr>
            <w:tcW w:w="1490" w:type="dxa"/>
            <w:tcBorders>
              <w:top w:val="nil" w:sz="6" w:space="0" w:color="auto"/>
              <w:left w:val="nil" w:sz="6" w:space="0" w:color="auto"/>
              <w:bottom w:val="nil" w:sz="6" w:space="0" w:color="auto"/>
              <w:right w:val="nil" w:sz="6" w:space="0" w:color="auto"/>
            </w:tcBorders>
          </w:tcPr>
          <w:p>
            <w:pPr>
              <w:pStyle w:val="TableParagraph"/>
              <w:spacing w:line="203" w:lineRule="exact"/>
              <w:ind w:right="25"/>
              <w:jc w:val="right"/>
              <w:rPr>
                <w:rFonts w:ascii="宋体" w:hAnsi="宋体" w:cs="宋体" w:eastAsia="宋体" w:hint="default"/>
                <w:sz w:val="16"/>
                <w:szCs w:val="16"/>
              </w:rPr>
            </w:pPr>
            <w:r>
              <w:rPr>
                <w:rFonts w:ascii="宋体" w:hAnsi="宋体" w:cs="宋体" w:eastAsia="宋体" w:hint="default"/>
                <w:sz w:val="16"/>
                <w:szCs w:val="16"/>
              </w:rPr>
              <w:t>289.85</w:t>
            </w:r>
            <w:r>
              <w:rPr>
                <w:rFonts w:ascii="宋体" w:hAnsi="宋体" w:cs="宋体" w:eastAsia="宋体" w:hint="default"/>
                <w:spacing w:val="-42"/>
                <w:sz w:val="16"/>
                <w:szCs w:val="16"/>
              </w:rPr>
              <w:t> </w:t>
            </w:r>
            <w:r>
              <w:rPr>
                <w:rFonts w:ascii="宋体" w:hAnsi="宋体" w:cs="宋体" w:eastAsia="宋体" w:hint="default"/>
                <w:sz w:val="16"/>
                <w:szCs w:val="16"/>
              </w:rPr>
              <w:t>万美元</w:t>
            </w:r>
          </w:p>
        </w:tc>
        <w:tc>
          <w:tcPr>
            <w:tcW w:w="1731" w:type="dxa"/>
            <w:tcBorders>
              <w:top w:val="nil" w:sz="6" w:space="0" w:color="auto"/>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
        </w:tc>
      </w:tr>
      <w:tr>
        <w:trPr>
          <w:trHeight w:val="454"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185" w:lineRule="exact"/>
              <w:ind w:left="43" w:right="0"/>
              <w:jc w:val="left"/>
              <w:rPr>
                <w:rFonts w:ascii="宋体" w:hAnsi="宋体" w:cs="宋体" w:eastAsia="宋体" w:hint="default"/>
                <w:sz w:val="16"/>
                <w:szCs w:val="16"/>
              </w:rPr>
            </w:pPr>
            <w:r>
              <w:rPr>
                <w:rFonts w:ascii="宋体" w:hAnsi="宋体" w:cs="宋体" w:eastAsia="宋体" w:hint="default"/>
                <w:sz w:val="16"/>
                <w:szCs w:val="16"/>
              </w:rPr>
              <w:t>同方计算机（苏州）有限公司</w:t>
            </w:r>
          </w:p>
        </w:tc>
        <w:tc>
          <w:tcPr>
            <w:tcW w:w="1380" w:type="dxa"/>
            <w:vMerge/>
            <w:tcBorders>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08" w:lineRule="exact" w:before="13"/>
              <w:ind w:right="25"/>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2"/>
                <w:sz w:val="16"/>
                <w:szCs w:val="16"/>
              </w:rPr>
              <w:t> </w:t>
            </w:r>
            <w:r>
              <w:rPr>
                <w:rFonts w:ascii="宋体" w:hAnsi="宋体" w:cs="宋体" w:eastAsia="宋体" w:hint="default"/>
                <w:sz w:val="16"/>
                <w:szCs w:val="16"/>
              </w:rPr>
              <w:t>1,989.27</w:t>
            </w:r>
            <w:r>
              <w:rPr>
                <w:rFonts w:ascii="宋体" w:hAnsi="宋体" w:cs="宋体" w:eastAsia="宋体" w:hint="default"/>
                <w:spacing w:val="-42"/>
                <w:sz w:val="16"/>
                <w:szCs w:val="16"/>
              </w:rPr>
              <w:t> </w:t>
            </w:r>
            <w:r>
              <w:rPr>
                <w:rFonts w:ascii="宋体" w:hAnsi="宋体" w:cs="宋体" w:eastAsia="宋体" w:hint="default"/>
                <w:sz w:val="16"/>
                <w:szCs w:val="16"/>
              </w:rPr>
              <w:t>万人民</w:t>
            </w:r>
          </w:p>
          <w:p>
            <w:pPr>
              <w:pStyle w:val="TableParagraph"/>
              <w:spacing w:line="208" w:lineRule="exact"/>
              <w:ind w:right="28"/>
              <w:jc w:val="right"/>
              <w:rPr>
                <w:rFonts w:ascii="宋体" w:hAnsi="宋体" w:cs="宋体" w:eastAsia="宋体" w:hint="default"/>
                <w:sz w:val="16"/>
                <w:szCs w:val="16"/>
              </w:rPr>
            </w:pPr>
            <w:r>
              <w:rPr>
                <w:rFonts w:ascii="宋体" w:hAnsi="宋体" w:cs="宋体" w:eastAsia="宋体" w:hint="default"/>
                <w:w w:val="100"/>
                <w:sz w:val="16"/>
                <w:szCs w:val="16"/>
              </w:rPr>
              <w:t>币</w:t>
            </w:r>
          </w:p>
        </w:tc>
        <w:tc>
          <w:tcPr>
            <w:tcW w:w="1731" w:type="dxa"/>
            <w:tcBorders>
              <w:top w:val="nil" w:sz="6" w:space="0" w:color="auto"/>
              <w:left w:val="nil" w:sz="6" w:space="0" w:color="auto"/>
              <w:bottom w:val="nil" w:sz="6" w:space="0" w:color="auto"/>
              <w:right w:val="nil" w:sz="6" w:space="0" w:color="auto"/>
            </w:tcBorders>
          </w:tcPr>
          <w:p>
            <w:pPr>
              <w:pStyle w:val="TableParagraph"/>
              <w:spacing w:line="185" w:lineRule="exact"/>
              <w:ind w:left="4" w:right="0"/>
              <w:jc w:val="center"/>
              <w:rPr>
                <w:rFonts w:ascii="宋体" w:hAnsi="宋体" w:cs="宋体" w:eastAsia="宋体" w:hint="default"/>
                <w:sz w:val="16"/>
                <w:szCs w:val="16"/>
              </w:rPr>
            </w:pPr>
            <w:r>
              <w:rPr>
                <w:rFonts w:ascii="宋体"/>
                <w:spacing w:val="-2"/>
                <w:sz w:val="16"/>
              </w:rPr>
              <w:t>2018.12.01-2019.11.30</w:t>
            </w:r>
          </w:p>
        </w:tc>
        <w:tc>
          <w:tcPr>
            <w:tcW w:w="1746" w:type="dxa"/>
            <w:tcBorders>
              <w:top w:val="nil" w:sz="6" w:space="0" w:color="auto"/>
              <w:left w:val="nil" w:sz="6" w:space="0" w:color="auto"/>
              <w:bottom w:val="nil" w:sz="6" w:space="0" w:color="auto"/>
              <w:right w:val="nil" w:sz="6" w:space="0" w:color="auto"/>
            </w:tcBorders>
          </w:tcPr>
          <w:p>
            <w:pPr>
              <w:pStyle w:val="TableParagraph"/>
              <w:spacing w:line="185" w:lineRule="exact"/>
              <w:ind w:left="13" w:right="0"/>
              <w:jc w:val="center"/>
              <w:rPr>
                <w:rFonts w:ascii="宋体" w:hAnsi="宋体" w:cs="宋体" w:eastAsia="宋体" w:hint="default"/>
                <w:sz w:val="16"/>
                <w:szCs w:val="16"/>
              </w:rPr>
            </w:pPr>
            <w:r>
              <w:rPr>
                <w:rFonts w:ascii="宋体"/>
                <w:spacing w:val="-2"/>
                <w:sz w:val="16"/>
              </w:rPr>
              <w:t>2018.12.01-2021.11.30</w:t>
            </w:r>
          </w:p>
        </w:tc>
      </w:tr>
      <w:tr>
        <w:trPr>
          <w:trHeight w:val="415"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3" w:right="0"/>
              <w:jc w:val="left"/>
              <w:rPr>
                <w:rFonts w:ascii="宋体" w:hAnsi="宋体" w:cs="宋体" w:eastAsia="宋体" w:hint="default"/>
                <w:sz w:val="16"/>
                <w:szCs w:val="16"/>
              </w:rPr>
            </w:pPr>
            <w:r>
              <w:rPr>
                <w:rFonts w:ascii="宋体" w:hAnsi="宋体" w:cs="宋体" w:eastAsia="宋体" w:hint="default"/>
                <w:sz w:val="16"/>
                <w:szCs w:val="16"/>
              </w:rPr>
              <w:t>同方计算机有限公司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183" w:lineRule="exact"/>
              <w:ind w:left="26" w:right="0"/>
              <w:jc w:val="left"/>
              <w:rPr>
                <w:rFonts w:ascii="宋体" w:hAnsi="宋体" w:cs="宋体" w:eastAsia="宋体" w:hint="default"/>
                <w:sz w:val="16"/>
                <w:szCs w:val="16"/>
              </w:rPr>
            </w:pPr>
            <w:r>
              <w:rPr>
                <w:rFonts w:ascii="宋体" w:hAnsi="宋体" w:cs="宋体" w:eastAsia="宋体" w:hint="default"/>
                <w:spacing w:val="3"/>
                <w:sz w:val="16"/>
                <w:szCs w:val="16"/>
              </w:rPr>
              <w:t>招商银行无锡分行</w:t>
            </w:r>
          </w:p>
          <w:p>
            <w:pPr>
              <w:pStyle w:val="TableParagraph"/>
              <w:spacing w:line="208" w:lineRule="exact"/>
              <w:ind w:left="26" w:right="0"/>
              <w:jc w:val="left"/>
              <w:rPr>
                <w:rFonts w:ascii="宋体" w:hAnsi="宋体" w:cs="宋体" w:eastAsia="宋体" w:hint="default"/>
                <w:sz w:val="16"/>
                <w:szCs w:val="16"/>
              </w:rPr>
            </w:pPr>
            <w:r>
              <w:rPr>
                <w:rFonts w:ascii="宋体" w:hAnsi="宋体" w:cs="宋体" w:eastAsia="宋体" w:hint="default"/>
                <w:sz w:val="16"/>
                <w:szCs w:val="16"/>
              </w:rPr>
              <w:t>营业部</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5"/>
              <w:jc w:val="right"/>
              <w:rPr>
                <w:rFonts w:ascii="宋体" w:hAnsi="宋体" w:cs="宋体" w:eastAsia="宋体" w:hint="default"/>
                <w:sz w:val="16"/>
                <w:szCs w:val="16"/>
              </w:rPr>
            </w:pPr>
            <w:r>
              <w:rPr>
                <w:rFonts w:ascii="宋体" w:hAnsi="宋体" w:cs="宋体" w:eastAsia="宋体" w:hint="default"/>
                <w:sz w:val="16"/>
                <w:szCs w:val="16"/>
              </w:rPr>
              <w:t>4,623.75</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 w:right="0"/>
              <w:jc w:val="center"/>
              <w:rPr>
                <w:rFonts w:ascii="宋体" w:hAnsi="宋体" w:cs="宋体" w:eastAsia="宋体" w:hint="default"/>
                <w:sz w:val="16"/>
                <w:szCs w:val="16"/>
              </w:rPr>
            </w:pPr>
            <w:r>
              <w:rPr>
                <w:rFonts w:ascii="宋体"/>
                <w:spacing w:val="-2"/>
                <w:sz w:val="16"/>
              </w:rPr>
              <w:t>2018.05.24-2019.03.27</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8" w:right="0"/>
              <w:jc w:val="center"/>
              <w:rPr>
                <w:rFonts w:ascii="宋体" w:hAnsi="宋体" w:cs="宋体" w:eastAsia="宋体" w:hint="default"/>
                <w:sz w:val="16"/>
                <w:szCs w:val="16"/>
              </w:rPr>
            </w:pPr>
            <w:r>
              <w:rPr>
                <w:rFonts w:ascii="宋体"/>
                <w:spacing w:val="-2"/>
                <w:sz w:val="16"/>
              </w:rPr>
              <w:t>2018.05.24-2021.03.27</w:t>
            </w:r>
          </w:p>
        </w:tc>
      </w:tr>
      <w:tr>
        <w:trPr>
          <w:trHeight w:val="414"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3" w:right="0"/>
              <w:jc w:val="left"/>
              <w:rPr>
                <w:rFonts w:ascii="宋体" w:hAnsi="宋体" w:cs="宋体" w:eastAsia="宋体" w:hint="default"/>
                <w:sz w:val="16"/>
                <w:szCs w:val="16"/>
              </w:rPr>
            </w:pPr>
            <w:r>
              <w:rPr>
                <w:rFonts w:ascii="宋体" w:hAnsi="宋体" w:cs="宋体" w:eastAsia="宋体" w:hint="default"/>
                <w:sz w:val="16"/>
                <w:szCs w:val="16"/>
              </w:rPr>
              <w:t>同方计算机有限公司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183" w:lineRule="exact"/>
              <w:ind w:left="26" w:right="0"/>
              <w:jc w:val="left"/>
              <w:rPr>
                <w:rFonts w:ascii="宋体" w:hAnsi="宋体" w:cs="宋体" w:eastAsia="宋体" w:hint="default"/>
                <w:sz w:val="16"/>
                <w:szCs w:val="16"/>
              </w:rPr>
            </w:pPr>
            <w:r>
              <w:rPr>
                <w:rFonts w:ascii="宋体" w:hAnsi="宋体" w:cs="宋体" w:eastAsia="宋体" w:hint="default"/>
                <w:spacing w:val="3"/>
                <w:sz w:val="16"/>
                <w:szCs w:val="16"/>
              </w:rPr>
              <w:t>中国银行无锡分行</w:t>
            </w:r>
          </w:p>
          <w:p>
            <w:pPr>
              <w:pStyle w:val="TableParagraph"/>
              <w:spacing w:line="208" w:lineRule="exact"/>
              <w:ind w:left="26" w:right="0"/>
              <w:jc w:val="left"/>
              <w:rPr>
                <w:rFonts w:ascii="宋体" w:hAnsi="宋体" w:cs="宋体" w:eastAsia="宋体" w:hint="default"/>
                <w:sz w:val="16"/>
                <w:szCs w:val="16"/>
              </w:rPr>
            </w:pPr>
            <w:r>
              <w:rPr>
                <w:rFonts w:ascii="宋体" w:hAnsi="宋体" w:cs="宋体" w:eastAsia="宋体" w:hint="default"/>
                <w:sz w:val="16"/>
                <w:szCs w:val="16"/>
              </w:rPr>
              <w:t>锡山支行营业部</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5"/>
              <w:jc w:val="right"/>
              <w:rPr>
                <w:rFonts w:ascii="宋体" w:hAnsi="宋体" w:cs="宋体" w:eastAsia="宋体" w:hint="default"/>
                <w:sz w:val="16"/>
                <w:szCs w:val="16"/>
              </w:rPr>
            </w:pPr>
            <w:r>
              <w:rPr>
                <w:rFonts w:ascii="宋体" w:hAnsi="宋体" w:cs="宋体" w:eastAsia="宋体" w:hint="default"/>
                <w:sz w:val="16"/>
                <w:szCs w:val="16"/>
              </w:rPr>
              <w:t>19,931.80</w:t>
            </w:r>
            <w:r>
              <w:rPr>
                <w:rFonts w:ascii="宋体" w:hAnsi="宋体" w:cs="宋体" w:eastAsia="宋体" w:hint="default"/>
                <w:spacing w:val="-47"/>
                <w:sz w:val="16"/>
                <w:szCs w:val="16"/>
              </w:rPr>
              <w:t> </w:t>
            </w:r>
            <w:r>
              <w:rPr>
                <w:rFonts w:ascii="宋体" w:hAnsi="宋体" w:cs="宋体" w:eastAsia="宋体" w:hint="default"/>
                <w:sz w:val="16"/>
                <w:szCs w:val="16"/>
              </w:rPr>
              <w:t>万人民币</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 w:right="0"/>
              <w:jc w:val="center"/>
              <w:rPr>
                <w:rFonts w:ascii="宋体" w:hAnsi="宋体" w:cs="宋体" w:eastAsia="宋体" w:hint="default"/>
                <w:sz w:val="16"/>
                <w:szCs w:val="16"/>
              </w:rPr>
            </w:pPr>
            <w:r>
              <w:rPr>
                <w:rFonts w:ascii="宋体"/>
                <w:spacing w:val="-2"/>
                <w:sz w:val="16"/>
              </w:rPr>
              <w:t>2018.04.23-2019.12.10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8" w:right="0"/>
              <w:jc w:val="center"/>
              <w:rPr>
                <w:rFonts w:ascii="宋体" w:hAnsi="宋体" w:cs="宋体" w:eastAsia="宋体" w:hint="default"/>
                <w:sz w:val="16"/>
                <w:szCs w:val="16"/>
              </w:rPr>
            </w:pPr>
            <w:r>
              <w:rPr>
                <w:rFonts w:ascii="宋体"/>
                <w:spacing w:val="-2"/>
                <w:sz w:val="16"/>
              </w:rPr>
              <w:t>2018.04.23-2021.12.10</w:t>
            </w:r>
          </w:p>
        </w:tc>
      </w:tr>
      <w:tr>
        <w:trPr>
          <w:trHeight w:val="415" w:hRule="exact"/>
        </w:trPr>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3" w:right="0"/>
              <w:jc w:val="left"/>
              <w:rPr>
                <w:rFonts w:ascii="宋体" w:hAnsi="宋体" w:cs="宋体" w:eastAsia="宋体" w:hint="default"/>
                <w:sz w:val="16"/>
                <w:szCs w:val="16"/>
              </w:rPr>
            </w:pPr>
            <w:r>
              <w:rPr>
                <w:rFonts w:ascii="宋体" w:hAnsi="宋体" w:cs="宋体" w:eastAsia="宋体" w:hint="default"/>
                <w:sz w:val="16"/>
                <w:szCs w:val="16"/>
              </w:rPr>
              <w:t>同方节能装备有限公司</w:t>
            </w:r>
          </w:p>
        </w:tc>
        <w:tc>
          <w:tcPr>
            <w:tcW w:w="1380" w:type="dxa"/>
            <w:tcBorders>
              <w:top w:val="nil" w:sz="6" w:space="0" w:color="auto"/>
              <w:left w:val="nil" w:sz="6" w:space="0" w:color="auto"/>
              <w:bottom w:val="nil" w:sz="6" w:space="0" w:color="auto"/>
              <w:right w:val="nil" w:sz="6" w:space="0" w:color="auto"/>
            </w:tcBorders>
          </w:tcPr>
          <w:p>
            <w:pPr>
              <w:pStyle w:val="TableParagraph"/>
              <w:spacing w:line="183" w:lineRule="exact"/>
              <w:ind w:left="26" w:right="0"/>
              <w:jc w:val="left"/>
              <w:rPr>
                <w:rFonts w:ascii="宋体" w:hAnsi="宋体" w:cs="宋体" w:eastAsia="宋体" w:hint="default"/>
                <w:sz w:val="16"/>
                <w:szCs w:val="16"/>
              </w:rPr>
            </w:pPr>
            <w:r>
              <w:rPr>
                <w:rFonts w:ascii="宋体" w:hAnsi="宋体" w:cs="宋体" w:eastAsia="宋体" w:hint="default"/>
                <w:spacing w:val="3"/>
                <w:sz w:val="16"/>
                <w:szCs w:val="16"/>
              </w:rPr>
              <w:t>北京银行清华园支</w:t>
            </w:r>
          </w:p>
          <w:p>
            <w:pPr>
              <w:pStyle w:val="TableParagraph"/>
              <w:spacing w:line="209" w:lineRule="exact"/>
              <w:ind w:left="26" w:right="0"/>
              <w:jc w:val="left"/>
              <w:rPr>
                <w:rFonts w:ascii="宋体" w:hAnsi="宋体" w:cs="宋体" w:eastAsia="宋体" w:hint="default"/>
                <w:sz w:val="16"/>
                <w:szCs w:val="16"/>
              </w:rPr>
            </w:pPr>
            <w:r>
              <w:rPr>
                <w:rFonts w:ascii="宋体" w:hAnsi="宋体" w:cs="宋体" w:eastAsia="宋体" w:hint="default"/>
                <w:w w:val="100"/>
                <w:sz w:val="16"/>
                <w:szCs w:val="16"/>
              </w:rPr>
              <w:t>行</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5"/>
              <w:jc w:val="right"/>
              <w:rPr>
                <w:rFonts w:ascii="宋体" w:hAnsi="宋体" w:cs="宋体" w:eastAsia="宋体" w:hint="default"/>
                <w:sz w:val="16"/>
                <w:szCs w:val="16"/>
              </w:rPr>
            </w:pPr>
            <w:r>
              <w:rPr>
                <w:rFonts w:ascii="宋体" w:hAnsi="宋体" w:cs="宋体" w:eastAsia="宋体" w:hint="default"/>
                <w:sz w:val="16"/>
                <w:szCs w:val="16"/>
              </w:rPr>
              <w:t>1,960.00</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 w:right="0"/>
              <w:jc w:val="center"/>
              <w:rPr>
                <w:rFonts w:ascii="宋体" w:hAnsi="宋体" w:cs="宋体" w:eastAsia="宋体" w:hint="default"/>
                <w:sz w:val="16"/>
                <w:szCs w:val="16"/>
              </w:rPr>
            </w:pPr>
            <w:r>
              <w:rPr>
                <w:rFonts w:ascii="宋体"/>
                <w:spacing w:val="-2"/>
                <w:sz w:val="16"/>
              </w:rPr>
              <w:t>2018.01.18-2019.07.05</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8" w:right="0"/>
              <w:jc w:val="center"/>
              <w:rPr>
                <w:rFonts w:ascii="宋体" w:hAnsi="宋体" w:cs="宋体" w:eastAsia="宋体" w:hint="default"/>
                <w:sz w:val="16"/>
                <w:szCs w:val="16"/>
              </w:rPr>
            </w:pPr>
            <w:r>
              <w:rPr>
                <w:rFonts w:ascii="宋体"/>
                <w:spacing w:val="-2"/>
                <w:sz w:val="16"/>
              </w:rPr>
              <w:t>2018.01.18-2021.07.05</w:t>
            </w:r>
          </w:p>
        </w:tc>
      </w:tr>
      <w:tr>
        <w:trPr>
          <w:trHeight w:val="432" w:hRule="exact"/>
        </w:trPr>
        <w:tc>
          <w:tcPr>
            <w:tcW w:w="2232" w:type="dxa"/>
            <w:tcBorders>
              <w:top w:val="nil" w:sz="6" w:space="0" w:color="auto"/>
              <w:left w:val="nil" w:sz="6" w:space="0" w:color="auto"/>
              <w:bottom w:val="single" w:sz="12" w:space="0" w:color="000000"/>
              <w:right w:val="nil" w:sz="6" w:space="0" w:color="auto"/>
            </w:tcBorders>
          </w:tcPr>
          <w:p>
            <w:pPr>
              <w:pStyle w:val="TableParagraph"/>
              <w:spacing w:line="240" w:lineRule="auto" w:before="79"/>
              <w:ind w:left="43" w:right="0"/>
              <w:jc w:val="left"/>
              <w:rPr>
                <w:rFonts w:ascii="宋体" w:hAnsi="宋体" w:cs="宋体" w:eastAsia="宋体" w:hint="default"/>
                <w:sz w:val="16"/>
                <w:szCs w:val="16"/>
              </w:rPr>
            </w:pPr>
            <w:r>
              <w:rPr>
                <w:rFonts w:ascii="宋体" w:hAnsi="宋体" w:cs="宋体" w:eastAsia="宋体" w:hint="default"/>
                <w:spacing w:val="-7"/>
                <w:sz w:val="16"/>
                <w:szCs w:val="16"/>
              </w:rPr>
              <w:t>同方金融控股（深圳）有限公司</w:t>
            </w:r>
          </w:p>
        </w:tc>
        <w:tc>
          <w:tcPr>
            <w:tcW w:w="1380" w:type="dxa"/>
            <w:tcBorders>
              <w:top w:val="nil" w:sz="6" w:space="0" w:color="auto"/>
              <w:left w:val="nil" w:sz="6" w:space="0" w:color="auto"/>
              <w:bottom w:val="single" w:sz="12" w:space="0" w:color="000000"/>
              <w:right w:val="nil" w:sz="6" w:space="0" w:color="auto"/>
            </w:tcBorders>
          </w:tcPr>
          <w:p>
            <w:pPr>
              <w:pStyle w:val="TableParagraph"/>
              <w:spacing w:line="183" w:lineRule="exact"/>
              <w:ind w:left="26" w:right="0"/>
              <w:jc w:val="left"/>
              <w:rPr>
                <w:rFonts w:ascii="宋体" w:hAnsi="宋体" w:cs="宋体" w:eastAsia="宋体" w:hint="default"/>
                <w:sz w:val="16"/>
                <w:szCs w:val="16"/>
              </w:rPr>
            </w:pPr>
            <w:r>
              <w:rPr>
                <w:rFonts w:ascii="宋体" w:hAnsi="宋体" w:cs="宋体" w:eastAsia="宋体" w:hint="default"/>
                <w:spacing w:val="3"/>
                <w:sz w:val="16"/>
                <w:szCs w:val="16"/>
              </w:rPr>
              <w:t>厦门国际信托有限</w:t>
            </w:r>
          </w:p>
          <w:p>
            <w:pPr>
              <w:pStyle w:val="TableParagraph"/>
              <w:spacing w:line="209" w:lineRule="exact"/>
              <w:ind w:left="26"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1490" w:type="dxa"/>
            <w:tcBorders>
              <w:top w:val="nil" w:sz="6" w:space="0" w:color="auto"/>
              <w:left w:val="nil" w:sz="6" w:space="0" w:color="auto"/>
              <w:bottom w:val="single" w:sz="12" w:space="0" w:color="000000"/>
              <w:right w:val="nil" w:sz="6" w:space="0" w:color="auto"/>
            </w:tcBorders>
          </w:tcPr>
          <w:p>
            <w:pPr>
              <w:pStyle w:val="TableParagraph"/>
              <w:spacing w:line="183" w:lineRule="exact"/>
              <w:ind w:right="25"/>
              <w:jc w:val="right"/>
              <w:rPr>
                <w:rFonts w:ascii="宋体" w:hAnsi="宋体" w:cs="宋体" w:eastAsia="宋体" w:hint="default"/>
                <w:sz w:val="16"/>
                <w:szCs w:val="16"/>
              </w:rPr>
            </w:pPr>
            <w:r>
              <w:rPr>
                <w:rFonts w:ascii="宋体" w:hAnsi="宋体" w:cs="宋体" w:eastAsia="宋体" w:hint="default"/>
                <w:sz w:val="16"/>
                <w:szCs w:val="16"/>
              </w:rPr>
              <w:t>100,000.00</w:t>
            </w:r>
            <w:r>
              <w:rPr>
                <w:rFonts w:ascii="宋体" w:hAnsi="宋体" w:cs="宋体" w:eastAsia="宋体" w:hint="default"/>
                <w:spacing w:val="-47"/>
                <w:sz w:val="16"/>
                <w:szCs w:val="16"/>
              </w:rPr>
              <w:t> </w:t>
            </w:r>
            <w:r>
              <w:rPr>
                <w:rFonts w:ascii="宋体" w:hAnsi="宋体" w:cs="宋体" w:eastAsia="宋体" w:hint="default"/>
                <w:sz w:val="16"/>
                <w:szCs w:val="16"/>
              </w:rPr>
              <w:t>万人民</w:t>
            </w:r>
          </w:p>
          <w:p>
            <w:pPr>
              <w:pStyle w:val="TableParagraph"/>
              <w:spacing w:line="209" w:lineRule="exact"/>
              <w:ind w:right="28"/>
              <w:jc w:val="right"/>
              <w:rPr>
                <w:rFonts w:ascii="宋体" w:hAnsi="宋体" w:cs="宋体" w:eastAsia="宋体" w:hint="default"/>
                <w:sz w:val="16"/>
                <w:szCs w:val="16"/>
              </w:rPr>
            </w:pPr>
            <w:r>
              <w:rPr>
                <w:rFonts w:ascii="宋体" w:hAnsi="宋体" w:cs="宋体" w:eastAsia="宋体" w:hint="default"/>
                <w:w w:val="100"/>
                <w:sz w:val="16"/>
                <w:szCs w:val="16"/>
              </w:rPr>
              <w:t>币</w:t>
            </w:r>
          </w:p>
        </w:tc>
        <w:tc>
          <w:tcPr>
            <w:tcW w:w="1731" w:type="dxa"/>
            <w:tcBorders>
              <w:top w:val="nil" w:sz="6" w:space="0" w:color="auto"/>
              <w:left w:val="nil" w:sz="6" w:space="0" w:color="auto"/>
              <w:bottom w:val="single" w:sz="12" w:space="0" w:color="000000"/>
              <w:right w:val="nil" w:sz="6" w:space="0" w:color="auto"/>
            </w:tcBorders>
          </w:tcPr>
          <w:p>
            <w:pPr>
              <w:pStyle w:val="TableParagraph"/>
              <w:spacing w:line="240" w:lineRule="auto" w:before="79"/>
              <w:ind w:left="4" w:right="0"/>
              <w:jc w:val="center"/>
              <w:rPr>
                <w:rFonts w:ascii="宋体" w:hAnsi="宋体" w:cs="宋体" w:eastAsia="宋体" w:hint="default"/>
                <w:sz w:val="16"/>
                <w:szCs w:val="16"/>
              </w:rPr>
            </w:pPr>
            <w:r>
              <w:rPr>
                <w:rFonts w:ascii="宋体"/>
                <w:spacing w:val="-2"/>
                <w:sz w:val="16"/>
              </w:rPr>
              <w:t>2017.12.27-2020.12.25</w:t>
            </w:r>
          </w:p>
        </w:tc>
        <w:tc>
          <w:tcPr>
            <w:tcW w:w="1746" w:type="dxa"/>
            <w:tcBorders>
              <w:top w:val="nil" w:sz="6" w:space="0" w:color="auto"/>
              <w:left w:val="nil" w:sz="6" w:space="0" w:color="auto"/>
              <w:bottom w:val="single" w:sz="12" w:space="0" w:color="000000"/>
              <w:right w:val="nil" w:sz="6" w:space="0" w:color="auto"/>
            </w:tcBorders>
          </w:tcPr>
          <w:p>
            <w:pPr>
              <w:pStyle w:val="TableParagraph"/>
              <w:spacing w:line="240" w:lineRule="auto" w:before="79"/>
              <w:ind w:left="18" w:right="0"/>
              <w:jc w:val="center"/>
              <w:rPr>
                <w:rFonts w:ascii="宋体" w:hAnsi="宋体" w:cs="宋体" w:eastAsia="宋体" w:hint="default"/>
                <w:sz w:val="16"/>
                <w:szCs w:val="16"/>
              </w:rPr>
            </w:pPr>
            <w:r>
              <w:rPr>
                <w:rFonts w:ascii="宋体"/>
                <w:spacing w:val="-2"/>
                <w:sz w:val="16"/>
              </w:rPr>
              <w:t>2017.12.27-2022.12.25</w:t>
            </w:r>
          </w:p>
        </w:tc>
      </w:tr>
    </w:tbl>
    <w:p>
      <w:pPr>
        <w:spacing w:after="0" w:line="240" w:lineRule="auto"/>
        <w:jc w:val="center"/>
        <w:rPr>
          <w:rFonts w:ascii="宋体" w:hAnsi="宋体" w:cs="宋体" w:eastAsia="宋体" w:hint="default"/>
          <w:sz w:val="16"/>
          <w:szCs w:val="16"/>
        </w:rPr>
        <w:sectPr>
          <w:footerReference w:type="default" r:id="rId48"/>
          <w:pgSz w:w="11910" w:h="16840"/>
          <w:pgMar w:footer="1054" w:header="0" w:top="1420" w:bottom="1240" w:left="1540" w:right="1560"/>
        </w:sectPr>
      </w:pPr>
    </w:p>
    <w:p>
      <w:pPr>
        <w:spacing w:line="240" w:lineRule="auto" w:before="6"/>
        <w:rPr>
          <w:rFonts w:ascii="宋体" w:hAnsi="宋体" w:cs="宋体" w:eastAsia="宋体" w:hint="default"/>
          <w:sz w:val="6"/>
          <w:szCs w:val="6"/>
        </w:rPr>
      </w:pPr>
    </w:p>
    <w:tbl>
      <w:tblPr>
        <w:tblW w:w="0" w:type="auto"/>
        <w:jc w:val="left"/>
        <w:tblInd w:w="198" w:type="dxa"/>
        <w:tblLayout w:type="fixed"/>
        <w:tblCellMar>
          <w:top w:w="0" w:type="dxa"/>
          <w:left w:w="0" w:type="dxa"/>
          <w:bottom w:w="0" w:type="dxa"/>
          <w:right w:w="0" w:type="dxa"/>
        </w:tblCellMar>
        <w:tblLook w:val="01E0"/>
      </w:tblPr>
      <w:tblGrid>
        <w:gridCol w:w="2112"/>
        <w:gridCol w:w="1517"/>
        <w:gridCol w:w="1473"/>
        <w:gridCol w:w="1740"/>
        <w:gridCol w:w="1737"/>
      </w:tblGrid>
      <w:tr>
        <w:trPr>
          <w:trHeight w:val="305" w:hRule="exact"/>
        </w:trPr>
        <w:tc>
          <w:tcPr>
            <w:tcW w:w="2112"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801" w:right="0"/>
              <w:jc w:val="left"/>
              <w:rPr>
                <w:rFonts w:ascii="宋体" w:hAnsi="宋体" w:cs="宋体" w:eastAsia="宋体" w:hint="default"/>
                <w:sz w:val="16"/>
                <w:szCs w:val="16"/>
              </w:rPr>
            </w:pPr>
            <w:r>
              <w:rPr>
                <w:rFonts w:ascii="宋体" w:hAnsi="宋体" w:cs="宋体" w:eastAsia="宋体" w:hint="default"/>
                <w:b/>
                <w:bCs/>
                <w:sz w:val="16"/>
                <w:szCs w:val="16"/>
              </w:rPr>
              <w:t>被担保方</w:t>
            </w:r>
            <w:r>
              <w:rPr>
                <w:rFonts w:ascii="宋体" w:hAnsi="宋体" w:cs="宋体" w:eastAsia="宋体" w:hint="default"/>
                <w:sz w:val="16"/>
                <w:szCs w:val="16"/>
              </w:rPr>
            </w:r>
          </w:p>
        </w:tc>
        <w:tc>
          <w:tcPr>
            <w:tcW w:w="1517"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487" w:right="0"/>
              <w:jc w:val="left"/>
              <w:rPr>
                <w:rFonts w:ascii="宋体" w:hAnsi="宋体" w:cs="宋体" w:eastAsia="宋体" w:hint="default"/>
                <w:sz w:val="16"/>
                <w:szCs w:val="16"/>
              </w:rPr>
            </w:pPr>
            <w:r>
              <w:rPr>
                <w:rFonts w:ascii="宋体" w:hAnsi="宋体" w:cs="宋体" w:eastAsia="宋体" w:hint="default"/>
                <w:b/>
                <w:bCs/>
                <w:sz w:val="16"/>
                <w:szCs w:val="16"/>
              </w:rPr>
              <w:t>贷款银行</w:t>
            </w:r>
            <w:r>
              <w:rPr>
                <w:rFonts w:ascii="宋体" w:hAnsi="宋体" w:cs="宋体" w:eastAsia="宋体" w:hint="default"/>
                <w:sz w:val="16"/>
                <w:szCs w:val="16"/>
              </w:rPr>
            </w:r>
          </w:p>
        </w:tc>
        <w:tc>
          <w:tcPr>
            <w:tcW w:w="1473"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right="20"/>
              <w:jc w:val="center"/>
              <w:rPr>
                <w:rFonts w:ascii="宋体" w:hAnsi="宋体" w:cs="宋体" w:eastAsia="宋体" w:hint="default"/>
                <w:sz w:val="16"/>
                <w:szCs w:val="16"/>
              </w:rPr>
            </w:pPr>
            <w:r>
              <w:rPr>
                <w:rFonts w:ascii="宋体" w:hAnsi="宋体" w:cs="宋体" w:eastAsia="宋体" w:hint="default"/>
                <w:b/>
                <w:bCs/>
                <w:sz w:val="16"/>
                <w:szCs w:val="16"/>
              </w:rPr>
              <w:t>贷款金额</w:t>
            </w:r>
            <w:r>
              <w:rPr>
                <w:rFonts w:ascii="宋体" w:hAnsi="宋体" w:cs="宋体" w:eastAsia="宋体" w:hint="default"/>
                <w:sz w:val="16"/>
                <w:szCs w:val="16"/>
              </w:rPr>
            </w:r>
          </w:p>
        </w:tc>
        <w:tc>
          <w:tcPr>
            <w:tcW w:w="1740"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right="2"/>
              <w:jc w:val="center"/>
              <w:rPr>
                <w:rFonts w:ascii="宋体" w:hAnsi="宋体" w:cs="宋体" w:eastAsia="宋体" w:hint="default"/>
                <w:sz w:val="16"/>
                <w:szCs w:val="16"/>
              </w:rPr>
            </w:pPr>
            <w:r>
              <w:rPr>
                <w:rFonts w:ascii="宋体" w:hAnsi="宋体" w:cs="宋体" w:eastAsia="宋体" w:hint="default"/>
                <w:b/>
                <w:bCs/>
                <w:sz w:val="16"/>
                <w:szCs w:val="16"/>
              </w:rPr>
              <w:t>贷款期限</w:t>
            </w:r>
            <w:r>
              <w:rPr>
                <w:rFonts w:ascii="宋体" w:hAnsi="宋体" w:cs="宋体" w:eastAsia="宋体" w:hint="default"/>
                <w:sz w:val="16"/>
                <w:szCs w:val="16"/>
              </w:rPr>
            </w:r>
          </w:p>
        </w:tc>
        <w:tc>
          <w:tcPr>
            <w:tcW w:w="1737"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right="2"/>
              <w:jc w:val="center"/>
              <w:rPr>
                <w:rFonts w:ascii="宋体" w:hAnsi="宋体" w:cs="宋体" w:eastAsia="宋体" w:hint="default"/>
                <w:sz w:val="16"/>
                <w:szCs w:val="16"/>
              </w:rPr>
            </w:pPr>
            <w:r>
              <w:rPr>
                <w:rFonts w:ascii="宋体" w:hAnsi="宋体" w:cs="宋体" w:eastAsia="宋体" w:hint="default"/>
                <w:b/>
                <w:bCs/>
                <w:sz w:val="16"/>
                <w:szCs w:val="16"/>
              </w:rPr>
              <w:t>保证期间</w:t>
            </w:r>
            <w:r>
              <w:rPr>
                <w:rFonts w:ascii="宋体" w:hAnsi="宋体" w:cs="宋体" w:eastAsia="宋体" w:hint="default"/>
                <w:sz w:val="16"/>
                <w:szCs w:val="16"/>
              </w:rPr>
            </w:r>
          </w:p>
        </w:tc>
      </w:tr>
      <w:tr>
        <w:trPr>
          <w:trHeight w:val="419" w:hRule="exact"/>
        </w:trPr>
        <w:tc>
          <w:tcPr>
            <w:tcW w:w="2112"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43" w:right="0"/>
              <w:jc w:val="left"/>
              <w:rPr>
                <w:rFonts w:ascii="宋体" w:hAnsi="宋体" w:cs="宋体" w:eastAsia="宋体" w:hint="default"/>
                <w:sz w:val="16"/>
                <w:szCs w:val="16"/>
              </w:rPr>
            </w:pPr>
            <w:r>
              <w:rPr>
                <w:rFonts w:ascii="宋体" w:hAnsi="宋体" w:cs="宋体" w:eastAsia="宋体" w:hint="default"/>
                <w:sz w:val="16"/>
                <w:szCs w:val="16"/>
              </w:rPr>
              <w:t>同方人工环境有限公司</w:t>
            </w:r>
          </w:p>
        </w:tc>
        <w:tc>
          <w:tcPr>
            <w:tcW w:w="1517" w:type="dxa"/>
            <w:tcBorders>
              <w:top w:val="single" w:sz="4" w:space="0" w:color="000000"/>
              <w:left w:val="nil" w:sz="6" w:space="0" w:color="auto"/>
              <w:bottom w:val="nil" w:sz="6" w:space="0" w:color="auto"/>
              <w:right w:val="nil" w:sz="6" w:space="0" w:color="auto"/>
            </w:tcBorders>
          </w:tcPr>
          <w:p>
            <w:pPr>
              <w:pStyle w:val="TableParagraph"/>
              <w:spacing w:line="182" w:lineRule="exact"/>
              <w:ind w:left="146" w:right="0"/>
              <w:jc w:val="left"/>
              <w:rPr>
                <w:rFonts w:ascii="宋体" w:hAnsi="宋体" w:cs="宋体" w:eastAsia="宋体" w:hint="default"/>
                <w:sz w:val="16"/>
                <w:szCs w:val="16"/>
              </w:rPr>
            </w:pPr>
            <w:r>
              <w:rPr>
                <w:rFonts w:ascii="宋体" w:hAnsi="宋体" w:cs="宋体" w:eastAsia="宋体" w:hint="default"/>
                <w:spacing w:val="3"/>
                <w:sz w:val="16"/>
                <w:szCs w:val="16"/>
              </w:rPr>
              <w:t>工商银行北京亚运</w:t>
            </w:r>
          </w:p>
          <w:p>
            <w:pPr>
              <w:pStyle w:val="TableParagraph"/>
              <w:spacing w:line="208" w:lineRule="exact"/>
              <w:ind w:left="146" w:right="0"/>
              <w:jc w:val="left"/>
              <w:rPr>
                <w:rFonts w:ascii="宋体" w:hAnsi="宋体" w:cs="宋体" w:eastAsia="宋体" w:hint="default"/>
                <w:sz w:val="16"/>
                <w:szCs w:val="16"/>
              </w:rPr>
            </w:pPr>
            <w:r>
              <w:rPr>
                <w:rFonts w:ascii="宋体" w:hAnsi="宋体" w:cs="宋体" w:eastAsia="宋体" w:hint="default"/>
                <w:sz w:val="16"/>
                <w:szCs w:val="16"/>
              </w:rPr>
              <w:t>村支行</w:t>
            </w:r>
          </w:p>
        </w:tc>
        <w:tc>
          <w:tcPr>
            <w:tcW w:w="147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95" w:right="0"/>
              <w:jc w:val="center"/>
              <w:rPr>
                <w:rFonts w:ascii="宋体" w:hAnsi="宋体" w:cs="宋体" w:eastAsia="宋体" w:hint="default"/>
                <w:sz w:val="16"/>
                <w:szCs w:val="16"/>
              </w:rPr>
            </w:pPr>
            <w:r>
              <w:rPr>
                <w:rFonts w:ascii="宋体" w:hAnsi="宋体" w:cs="宋体" w:eastAsia="宋体" w:hint="default"/>
                <w:sz w:val="16"/>
                <w:szCs w:val="16"/>
              </w:rPr>
              <w:t>1,500.00</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740"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
              <w:jc w:val="center"/>
              <w:rPr>
                <w:rFonts w:ascii="宋体" w:hAnsi="宋体" w:cs="宋体" w:eastAsia="宋体" w:hint="default"/>
                <w:sz w:val="16"/>
                <w:szCs w:val="16"/>
              </w:rPr>
            </w:pPr>
            <w:r>
              <w:rPr>
                <w:rFonts w:ascii="宋体"/>
                <w:sz w:val="16"/>
              </w:rPr>
              <w:t>2018.10.16-2019.10.16</w:t>
            </w:r>
          </w:p>
        </w:tc>
        <w:tc>
          <w:tcPr>
            <w:tcW w:w="173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5" w:right="0"/>
              <w:jc w:val="center"/>
              <w:rPr>
                <w:rFonts w:ascii="宋体" w:hAnsi="宋体" w:cs="宋体" w:eastAsia="宋体" w:hint="default"/>
                <w:sz w:val="16"/>
                <w:szCs w:val="16"/>
              </w:rPr>
            </w:pPr>
            <w:r>
              <w:rPr>
                <w:rFonts w:ascii="宋体"/>
                <w:spacing w:val="-2"/>
                <w:sz w:val="16"/>
              </w:rPr>
              <w:t>2018.10.16-2021.10.16</w:t>
            </w:r>
          </w:p>
        </w:tc>
      </w:tr>
      <w:tr>
        <w:trPr>
          <w:trHeight w:val="434"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3" w:right="0"/>
              <w:jc w:val="left"/>
              <w:rPr>
                <w:rFonts w:ascii="宋体" w:hAnsi="宋体" w:cs="宋体" w:eastAsia="宋体" w:hint="default"/>
                <w:sz w:val="16"/>
                <w:szCs w:val="16"/>
              </w:rPr>
            </w:pPr>
            <w:r>
              <w:rPr>
                <w:rFonts w:ascii="宋体" w:hAnsi="宋体" w:cs="宋体" w:eastAsia="宋体" w:hint="default"/>
                <w:sz w:val="16"/>
                <w:szCs w:val="16"/>
              </w:rPr>
              <w:t>同方人工环境有限公司</w:t>
            </w:r>
          </w:p>
        </w:tc>
        <w:tc>
          <w:tcPr>
            <w:tcW w:w="1517" w:type="dxa"/>
            <w:tcBorders>
              <w:top w:val="nil" w:sz="6" w:space="0" w:color="auto"/>
              <w:left w:val="nil" w:sz="6" w:space="0" w:color="auto"/>
              <w:bottom w:val="nil" w:sz="6" w:space="0" w:color="auto"/>
              <w:right w:val="nil" w:sz="6" w:space="0" w:color="auto"/>
            </w:tcBorders>
          </w:tcPr>
          <w:p>
            <w:pPr>
              <w:pStyle w:val="TableParagraph"/>
              <w:spacing w:line="183" w:lineRule="exact"/>
              <w:ind w:left="146" w:right="0"/>
              <w:jc w:val="left"/>
              <w:rPr>
                <w:rFonts w:ascii="宋体" w:hAnsi="宋体" w:cs="宋体" w:eastAsia="宋体" w:hint="default"/>
                <w:sz w:val="16"/>
                <w:szCs w:val="16"/>
              </w:rPr>
            </w:pPr>
            <w:r>
              <w:rPr>
                <w:rFonts w:ascii="宋体" w:hAnsi="宋体" w:cs="宋体" w:eastAsia="宋体" w:hint="default"/>
                <w:spacing w:val="3"/>
                <w:sz w:val="16"/>
                <w:szCs w:val="16"/>
              </w:rPr>
              <w:t>北京银行清华园支</w:t>
            </w:r>
          </w:p>
          <w:p>
            <w:pPr>
              <w:pStyle w:val="TableParagraph"/>
              <w:spacing w:line="208" w:lineRule="exact"/>
              <w:ind w:left="146" w:right="0"/>
              <w:jc w:val="left"/>
              <w:rPr>
                <w:rFonts w:ascii="宋体" w:hAnsi="宋体" w:cs="宋体" w:eastAsia="宋体" w:hint="default"/>
                <w:sz w:val="16"/>
                <w:szCs w:val="16"/>
              </w:rPr>
            </w:pPr>
            <w:r>
              <w:rPr>
                <w:rFonts w:ascii="宋体" w:hAnsi="宋体" w:cs="宋体" w:eastAsia="宋体" w:hint="default"/>
                <w:w w:val="100"/>
                <w:sz w:val="16"/>
                <w:szCs w:val="16"/>
              </w:rPr>
              <w:t>行</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95" w:right="0"/>
              <w:jc w:val="center"/>
              <w:rPr>
                <w:rFonts w:ascii="宋体" w:hAnsi="宋体" w:cs="宋体" w:eastAsia="宋体" w:hint="default"/>
                <w:sz w:val="16"/>
                <w:szCs w:val="16"/>
              </w:rPr>
            </w:pPr>
            <w:r>
              <w:rPr>
                <w:rFonts w:ascii="宋体" w:hAnsi="宋体" w:cs="宋体" w:eastAsia="宋体" w:hint="default"/>
                <w:sz w:val="16"/>
                <w:szCs w:val="16"/>
              </w:rPr>
              <w:t>1,500.00</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
              <w:jc w:val="center"/>
              <w:rPr>
                <w:rFonts w:ascii="宋体" w:hAnsi="宋体" w:cs="宋体" w:eastAsia="宋体" w:hint="default"/>
                <w:sz w:val="16"/>
                <w:szCs w:val="16"/>
              </w:rPr>
            </w:pPr>
            <w:r>
              <w:rPr>
                <w:rFonts w:ascii="宋体"/>
                <w:sz w:val="16"/>
              </w:rPr>
              <w:t>2018.11.15-2019.11.15</w:t>
            </w: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 w:right="0"/>
              <w:jc w:val="center"/>
              <w:rPr>
                <w:rFonts w:ascii="宋体" w:hAnsi="宋体" w:cs="宋体" w:eastAsia="宋体" w:hint="default"/>
                <w:sz w:val="16"/>
                <w:szCs w:val="16"/>
              </w:rPr>
            </w:pPr>
            <w:r>
              <w:rPr>
                <w:rFonts w:ascii="宋体"/>
                <w:spacing w:val="-2"/>
                <w:sz w:val="16"/>
              </w:rPr>
              <w:t>2018.11.15-2021.11.15</w:t>
            </w:r>
          </w:p>
        </w:tc>
      </w:tr>
      <w:tr>
        <w:trPr>
          <w:trHeight w:val="270" w:hRule="exact"/>
        </w:trPr>
        <w:tc>
          <w:tcPr>
            <w:tcW w:w="2112" w:type="dxa"/>
            <w:tcBorders>
              <w:top w:val="nil" w:sz="6" w:space="0" w:color="auto"/>
              <w:left w:val="nil" w:sz="6" w:space="0" w:color="auto"/>
              <w:bottom w:val="single" w:sz="4" w:space="0" w:color="000000"/>
              <w:right w:val="nil" w:sz="6" w:space="0" w:color="auto"/>
            </w:tcBorders>
          </w:tcPr>
          <w:p>
            <w:pPr>
              <w:pStyle w:val="TableParagraph"/>
              <w:spacing w:line="204" w:lineRule="exact"/>
              <w:ind w:left="43" w:right="0"/>
              <w:jc w:val="left"/>
              <w:rPr>
                <w:rFonts w:ascii="宋体" w:hAnsi="宋体" w:cs="宋体" w:eastAsia="宋体" w:hint="default"/>
                <w:sz w:val="16"/>
                <w:szCs w:val="16"/>
              </w:rPr>
            </w:pPr>
            <w:r>
              <w:rPr>
                <w:rFonts w:ascii="宋体" w:hAnsi="宋体" w:cs="宋体" w:eastAsia="宋体" w:hint="default"/>
                <w:sz w:val="16"/>
                <w:szCs w:val="16"/>
              </w:rPr>
              <w:t>同方威视技术股份有限公司</w:t>
            </w:r>
          </w:p>
        </w:tc>
        <w:tc>
          <w:tcPr>
            <w:tcW w:w="1517" w:type="dxa"/>
            <w:tcBorders>
              <w:top w:val="nil" w:sz="6" w:space="0" w:color="auto"/>
              <w:left w:val="nil" w:sz="6" w:space="0" w:color="auto"/>
              <w:bottom w:val="single" w:sz="4" w:space="0" w:color="000000"/>
              <w:right w:val="nil" w:sz="6" w:space="0" w:color="auto"/>
            </w:tcBorders>
          </w:tcPr>
          <w:p>
            <w:pPr>
              <w:pStyle w:val="TableParagraph"/>
              <w:spacing w:line="204" w:lineRule="exact"/>
              <w:ind w:left="146" w:right="0"/>
              <w:jc w:val="left"/>
              <w:rPr>
                <w:rFonts w:ascii="宋体" w:hAnsi="宋体" w:cs="宋体" w:eastAsia="宋体" w:hint="default"/>
                <w:sz w:val="16"/>
                <w:szCs w:val="16"/>
              </w:rPr>
            </w:pPr>
            <w:r>
              <w:rPr>
                <w:rFonts w:ascii="宋体" w:hAnsi="宋体" w:cs="宋体" w:eastAsia="宋体" w:hint="default"/>
                <w:sz w:val="16"/>
                <w:szCs w:val="16"/>
              </w:rPr>
              <w:t>中国进出口银行</w:t>
            </w:r>
          </w:p>
        </w:tc>
        <w:tc>
          <w:tcPr>
            <w:tcW w:w="1473" w:type="dxa"/>
            <w:tcBorders>
              <w:top w:val="nil" w:sz="6" w:space="0" w:color="auto"/>
              <w:left w:val="nil" w:sz="6" w:space="0" w:color="auto"/>
              <w:bottom w:val="single" w:sz="4" w:space="0" w:color="000000"/>
              <w:right w:val="nil" w:sz="6" w:space="0" w:color="auto"/>
            </w:tcBorders>
          </w:tcPr>
          <w:p>
            <w:pPr>
              <w:pStyle w:val="TableParagraph"/>
              <w:spacing w:line="204" w:lineRule="exact"/>
              <w:ind w:left="16" w:right="0"/>
              <w:jc w:val="center"/>
              <w:rPr>
                <w:rFonts w:ascii="宋体" w:hAnsi="宋体" w:cs="宋体" w:eastAsia="宋体" w:hint="default"/>
                <w:sz w:val="16"/>
                <w:szCs w:val="16"/>
              </w:rPr>
            </w:pPr>
            <w:r>
              <w:rPr>
                <w:rFonts w:ascii="宋体" w:hAnsi="宋体" w:cs="宋体" w:eastAsia="宋体" w:hint="default"/>
                <w:sz w:val="16"/>
                <w:szCs w:val="16"/>
              </w:rPr>
              <w:t>60,000.00</w:t>
            </w:r>
            <w:r>
              <w:rPr>
                <w:rFonts w:ascii="宋体" w:hAnsi="宋体" w:cs="宋体" w:eastAsia="宋体" w:hint="default"/>
                <w:spacing w:val="-47"/>
                <w:sz w:val="16"/>
                <w:szCs w:val="16"/>
              </w:rPr>
              <w:t> </w:t>
            </w:r>
            <w:r>
              <w:rPr>
                <w:rFonts w:ascii="宋体" w:hAnsi="宋体" w:cs="宋体" w:eastAsia="宋体" w:hint="default"/>
                <w:sz w:val="16"/>
                <w:szCs w:val="16"/>
              </w:rPr>
              <w:t>万人民币</w:t>
            </w:r>
          </w:p>
        </w:tc>
        <w:tc>
          <w:tcPr>
            <w:tcW w:w="1740" w:type="dxa"/>
            <w:tcBorders>
              <w:top w:val="nil" w:sz="6" w:space="0" w:color="auto"/>
              <w:left w:val="nil" w:sz="6" w:space="0" w:color="auto"/>
              <w:bottom w:val="single" w:sz="4" w:space="0" w:color="000000"/>
              <w:right w:val="nil" w:sz="6" w:space="0" w:color="auto"/>
            </w:tcBorders>
          </w:tcPr>
          <w:p>
            <w:pPr>
              <w:pStyle w:val="TableParagraph"/>
              <w:spacing w:line="204" w:lineRule="exact"/>
              <w:ind w:right="1"/>
              <w:jc w:val="center"/>
              <w:rPr>
                <w:rFonts w:ascii="宋体" w:hAnsi="宋体" w:cs="宋体" w:eastAsia="宋体" w:hint="default"/>
                <w:sz w:val="16"/>
                <w:szCs w:val="16"/>
              </w:rPr>
            </w:pPr>
            <w:r>
              <w:rPr>
                <w:rFonts w:ascii="宋体"/>
                <w:sz w:val="16"/>
              </w:rPr>
              <w:t>2018.09.29-2020.12.07</w:t>
            </w:r>
          </w:p>
        </w:tc>
        <w:tc>
          <w:tcPr>
            <w:tcW w:w="1737" w:type="dxa"/>
            <w:tcBorders>
              <w:top w:val="nil" w:sz="6" w:space="0" w:color="auto"/>
              <w:left w:val="nil" w:sz="6" w:space="0" w:color="auto"/>
              <w:bottom w:val="single" w:sz="4" w:space="0" w:color="000000"/>
              <w:right w:val="nil" w:sz="6" w:space="0" w:color="auto"/>
            </w:tcBorders>
          </w:tcPr>
          <w:p>
            <w:pPr>
              <w:pStyle w:val="TableParagraph"/>
              <w:spacing w:line="204" w:lineRule="exact"/>
              <w:ind w:left="5" w:right="0"/>
              <w:jc w:val="center"/>
              <w:rPr>
                <w:rFonts w:ascii="宋体" w:hAnsi="宋体" w:cs="宋体" w:eastAsia="宋体" w:hint="default"/>
                <w:sz w:val="16"/>
                <w:szCs w:val="16"/>
              </w:rPr>
            </w:pPr>
            <w:r>
              <w:rPr>
                <w:rFonts w:ascii="宋体"/>
                <w:spacing w:val="-2"/>
                <w:sz w:val="16"/>
              </w:rPr>
              <w:t>2018.09.29-2022.12.07</w:t>
            </w:r>
          </w:p>
        </w:tc>
      </w:tr>
      <w:tr>
        <w:trPr>
          <w:trHeight w:val="437" w:hRule="exact"/>
        </w:trPr>
        <w:tc>
          <w:tcPr>
            <w:tcW w:w="2112" w:type="dxa"/>
            <w:tcBorders>
              <w:top w:val="single" w:sz="4" w:space="0" w:color="000000"/>
              <w:left w:val="nil" w:sz="6" w:space="0" w:color="auto"/>
              <w:bottom w:val="single" w:sz="12" w:space="0" w:color="000000"/>
              <w:right w:val="nil" w:sz="6" w:space="0" w:color="auto"/>
            </w:tcBorders>
          </w:tcPr>
          <w:p>
            <w:pPr>
              <w:pStyle w:val="TableParagraph"/>
              <w:spacing w:line="240" w:lineRule="auto" w:before="77"/>
              <w:ind w:left="43"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517" w:type="dxa"/>
            <w:tcBorders>
              <w:top w:val="single" w:sz="4" w:space="0" w:color="000000"/>
              <w:left w:val="nil" w:sz="6" w:space="0" w:color="auto"/>
              <w:bottom w:val="single" w:sz="12" w:space="0" w:color="000000"/>
              <w:right w:val="nil" w:sz="6" w:space="0" w:color="auto"/>
            </w:tcBorders>
          </w:tcPr>
          <w:p>
            <w:pPr/>
          </w:p>
        </w:tc>
        <w:tc>
          <w:tcPr>
            <w:tcW w:w="1473" w:type="dxa"/>
            <w:tcBorders>
              <w:top w:val="single" w:sz="4" w:space="0" w:color="000000"/>
              <w:left w:val="nil" w:sz="6" w:space="0" w:color="auto"/>
              <w:bottom w:val="single" w:sz="12" w:space="0" w:color="000000"/>
              <w:right w:val="nil" w:sz="6" w:space="0" w:color="auto"/>
            </w:tcBorders>
          </w:tcPr>
          <w:p>
            <w:pPr>
              <w:pStyle w:val="TableParagraph"/>
              <w:spacing w:line="183" w:lineRule="exact"/>
              <w:ind w:right="25"/>
              <w:jc w:val="right"/>
              <w:rPr>
                <w:rFonts w:ascii="宋体" w:hAnsi="宋体" w:cs="宋体" w:eastAsia="宋体" w:hint="default"/>
                <w:sz w:val="16"/>
                <w:szCs w:val="16"/>
              </w:rPr>
            </w:pPr>
            <w:r>
              <w:rPr>
                <w:rFonts w:ascii="宋体" w:hAnsi="宋体" w:cs="宋体" w:eastAsia="宋体" w:hint="default"/>
                <w:b/>
                <w:bCs/>
                <w:sz w:val="16"/>
                <w:szCs w:val="16"/>
              </w:rPr>
              <w:t>约</w:t>
            </w:r>
            <w:r>
              <w:rPr>
                <w:rFonts w:ascii="宋体" w:hAnsi="宋体" w:cs="宋体" w:eastAsia="宋体" w:hint="default"/>
                <w:b/>
                <w:bCs/>
                <w:spacing w:val="-45"/>
                <w:sz w:val="16"/>
                <w:szCs w:val="16"/>
              </w:rPr>
              <w:t> </w:t>
            </w:r>
            <w:r>
              <w:rPr>
                <w:rFonts w:ascii="宋体" w:hAnsi="宋体" w:cs="宋体" w:eastAsia="宋体" w:hint="default"/>
                <w:b/>
                <w:bCs/>
                <w:sz w:val="16"/>
                <w:szCs w:val="16"/>
              </w:rPr>
              <w:t>510,798.54</w:t>
            </w:r>
            <w:r>
              <w:rPr>
                <w:rFonts w:ascii="宋体" w:hAnsi="宋体" w:cs="宋体" w:eastAsia="宋体" w:hint="default"/>
                <w:b/>
                <w:bCs/>
                <w:spacing w:val="-43"/>
                <w:sz w:val="16"/>
                <w:szCs w:val="16"/>
              </w:rPr>
              <w:t> </w:t>
            </w:r>
            <w:r>
              <w:rPr>
                <w:rFonts w:ascii="宋体" w:hAnsi="宋体" w:cs="宋体" w:eastAsia="宋体" w:hint="default"/>
                <w:b/>
                <w:bCs/>
                <w:sz w:val="16"/>
                <w:szCs w:val="16"/>
              </w:rPr>
              <w:t>万人</w:t>
            </w:r>
            <w:r>
              <w:rPr>
                <w:rFonts w:ascii="宋体" w:hAnsi="宋体" w:cs="宋体" w:eastAsia="宋体" w:hint="default"/>
                <w:sz w:val="16"/>
                <w:szCs w:val="16"/>
              </w:rPr>
            </w:r>
          </w:p>
          <w:p>
            <w:pPr>
              <w:pStyle w:val="TableParagraph"/>
              <w:spacing w:line="209" w:lineRule="exact"/>
              <w:ind w:right="29"/>
              <w:jc w:val="right"/>
              <w:rPr>
                <w:rFonts w:ascii="宋体" w:hAnsi="宋体" w:cs="宋体" w:eastAsia="宋体" w:hint="default"/>
                <w:sz w:val="16"/>
                <w:szCs w:val="16"/>
              </w:rPr>
            </w:pPr>
            <w:r>
              <w:rPr>
                <w:rFonts w:ascii="宋体" w:hAnsi="宋体" w:cs="宋体" w:eastAsia="宋体" w:hint="default"/>
                <w:b/>
                <w:bCs/>
                <w:sz w:val="16"/>
                <w:szCs w:val="16"/>
              </w:rPr>
              <w:t>民币</w:t>
            </w:r>
            <w:r>
              <w:rPr>
                <w:rFonts w:ascii="宋体" w:hAnsi="宋体" w:cs="宋体" w:eastAsia="宋体" w:hint="default"/>
                <w:sz w:val="16"/>
                <w:szCs w:val="16"/>
              </w:rPr>
            </w:r>
          </w:p>
        </w:tc>
        <w:tc>
          <w:tcPr>
            <w:tcW w:w="1740" w:type="dxa"/>
            <w:tcBorders>
              <w:top w:val="single" w:sz="4" w:space="0" w:color="000000"/>
              <w:left w:val="nil" w:sz="6" w:space="0" w:color="auto"/>
              <w:bottom w:val="single" w:sz="12" w:space="0" w:color="000000"/>
              <w:right w:val="nil" w:sz="6" w:space="0" w:color="auto"/>
            </w:tcBorders>
          </w:tcPr>
          <w:p>
            <w:pPr/>
          </w:p>
        </w:tc>
        <w:tc>
          <w:tcPr>
            <w:tcW w:w="1737" w:type="dxa"/>
            <w:tcBorders>
              <w:top w:val="single" w:sz="4" w:space="0" w:color="000000"/>
              <w:left w:val="nil" w:sz="6" w:space="0" w:color="auto"/>
              <w:bottom w:val="single" w:sz="12" w:space="0" w:color="000000"/>
              <w:right w:val="nil" w:sz="6" w:space="0" w:color="auto"/>
            </w:tcBorders>
          </w:tcPr>
          <w:p>
            <w:pPr/>
          </w:p>
        </w:tc>
      </w:tr>
    </w:tbl>
    <w:p>
      <w:pPr>
        <w:spacing w:before="21"/>
        <w:ind w:left="830" w:right="4889"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b</w:t>
      </w:r>
      <w:r>
        <w:rPr>
          <w:rFonts w:ascii="宋体" w:hAnsi="宋体" w:cs="宋体" w:eastAsia="宋体" w:hint="default"/>
          <w:sz w:val="22"/>
          <w:szCs w:val="22"/>
        </w:rPr>
        <w:t>）</w:t>
      </w:r>
      <w:r>
        <w:rPr>
          <w:rFonts w:ascii="宋体" w:hAnsi="宋体" w:cs="宋体" w:eastAsia="宋体" w:hint="default"/>
          <w:spacing w:val="-28"/>
          <w:sz w:val="22"/>
          <w:szCs w:val="22"/>
        </w:rPr>
        <w:t> </w:t>
      </w:r>
      <w:r>
        <w:rPr>
          <w:rFonts w:ascii="宋体" w:hAnsi="宋体" w:cs="宋体" w:eastAsia="宋体" w:hint="default"/>
          <w:sz w:val="22"/>
          <w:szCs w:val="22"/>
        </w:rPr>
        <w:t>贸易融资借款担保</w:t>
      </w:r>
    </w:p>
    <w:p>
      <w:pPr>
        <w:spacing w:line="240" w:lineRule="auto" w:before="11"/>
        <w:rPr>
          <w:rFonts w:ascii="宋体" w:hAnsi="宋体" w:cs="宋体" w:eastAsia="宋体" w:hint="default"/>
          <w:sz w:val="6"/>
          <w:szCs w:val="6"/>
        </w:rPr>
      </w:pPr>
    </w:p>
    <w:p>
      <w:pPr>
        <w:spacing w:line="28" w:lineRule="exact"/>
        <w:ind w:left="182"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1.4pt;height:1.45pt;mso-position-horizontal-relative:char;mso-position-vertical-relative:line" coordorigin="0,0" coordsize="8628,29">
            <v:group style="position:absolute;left:14;top:14;width:2230;height:2" coordorigin="14,14" coordsize="2230,2">
              <v:shape style="position:absolute;left:14;top:14;width:2230;height:2" coordorigin="14,14" coordsize="2230,0" path="m14,14l2244,14e" filled="false" stroked="true" strokeweight="1.44pt" strokecolor="#000000">
                <v:path arrowok="t"/>
              </v:shape>
            </v:group>
            <v:group style="position:absolute;left:2245;top:14;width:29;height:2" coordorigin="2245,14" coordsize="29,2">
              <v:shape style="position:absolute;left:2245;top:14;width:29;height:2" coordorigin="2245,14" coordsize="29,0" path="m2245,14l2273,14e" filled="false" stroked="true" strokeweight="1.44pt" strokecolor="#000000">
                <v:path arrowok="t"/>
              </v:shape>
            </v:group>
            <v:group style="position:absolute;left:2273;top:14;width:1616;height:2" coordorigin="2273,14" coordsize="1616,2">
              <v:shape style="position:absolute;left:2273;top:14;width:1616;height:2" coordorigin="2273,14" coordsize="1616,0" path="m2273,14l3889,14e" filled="false" stroked="true" strokeweight="1.44pt" strokecolor="#000000">
                <v:path arrowok="t"/>
              </v:shape>
            </v:group>
            <v:group style="position:absolute;left:3889;top:14;width:29;height:2" coordorigin="3889,14" coordsize="29,2">
              <v:shape style="position:absolute;left:3889;top:14;width:29;height:2" coordorigin="3889,14" coordsize="29,0" path="m3889,14l3917,14e" filled="false" stroked="true" strokeweight="1.44pt" strokecolor="#000000">
                <v:path arrowok="t"/>
              </v:shape>
            </v:group>
            <v:group style="position:absolute;left:3917;top:14;width:1770;height:2" coordorigin="3917,14" coordsize="1770,2">
              <v:shape style="position:absolute;left:3917;top:14;width:1770;height:2" coordorigin="3917,14" coordsize="1770,0" path="m3917,14l5687,14e" filled="false" stroked="true" strokeweight="1.44pt" strokecolor="#000000">
                <v:path arrowok="t"/>
              </v:shape>
            </v:group>
            <v:group style="position:absolute;left:5687;top:14;width:29;height:2" coordorigin="5687,14" coordsize="29,2">
              <v:shape style="position:absolute;left:5687;top:14;width:29;height:2" coordorigin="5687,14" coordsize="29,0" path="m5687,14l5715,14e" filled="false" stroked="true" strokeweight="1.44pt" strokecolor="#000000">
                <v:path arrowok="t"/>
              </v:shape>
            </v:group>
            <v:group style="position:absolute;left:5715;top:14;width:1779;height:2" coordorigin="5715,14" coordsize="1779,2">
              <v:shape style="position:absolute;left:5715;top:14;width:1779;height:2" coordorigin="5715,14" coordsize="1779,0" path="m5715,14l7494,14e" filled="false" stroked="true" strokeweight="1.44pt" strokecolor="#000000">
                <v:path arrowok="t"/>
              </v:shape>
            </v:group>
            <v:group style="position:absolute;left:7494;top:14;width:29;height:2" coordorigin="7494,14" coordsize="29,2">
              <v:shape style="position:absolute;left:7494;top:14;width:29;height:2" coordorigin="7494,14" coordsize="29,0" path="m7494,14l7523,14e" filled="false" stroked="true" strokeweight="1.44pt" strokecolor="#000000">
                <v:path arrowok="t"/>
              </v:shape>
            </v:group>
            <v:group style="position:absolute;left:7523;top:14;width:1090;height:2" coordorigin="7523,14" coordsize="1090,2">
              <v:shape style="position:absolute;left:7523;top:14;width:1090;height:2" coordorigin="7523,14" coordsize="1090,0" path="m7523,14l8613,14e" filled="false" stroked="true" strokeweight="1.44pt" strokecolor="#000000">
                <v:path arrowok="t"/>
              </v:shape>
            </v:group>
          </v:group>
        </w:pict>
      </w:r>
      <w:r>
        <w:rPr>
          <w:rFonts w:ascii="宋体" w:hAnsi="宋体" w:cs="宋体" w:eastAsia="宋体" w:hint="default"/>
          <w:position w:val="0"/>
          <w:sz w:val="2"/>
          <w:szCs w:val="2"/>
        </w:rPr>
      </w:r>
    </w:p>
    <w:p>
      <w:pPr>
        <w:tabs>
          <w:tab w:pos="2928" w:val="left" w:leader="none"/>
          <w:tab w:pos="4649" w:val="left" w:leader="none"/>
          <w:tab w:pos="6449" w:val="left" w:leader="none"/>
          <w:tab w:pos="7753" w:val="left" w:leader="none"/>
        </w:tabs>
        <w:spacing w:before="15"/>
        <w:ind w:left="988" w:right="206" w:firstLine="0"/>
        <w:jc w:val="left"/>
        <w:rPr>
          <w:rFonts w:ascii="宋体" w:hAnsi="宋体" w:cs="宋体" w:eastAsia="宋体" w:hint="default"/>
          <w:sz w:val="16"/>
          <w:szCs w:val="16"/>
        </w:rPr>
      </w:pPr>
      <w:r>
        <w:rPr>
          <w:rFonts w:ascii="宋体" w:hAnsi="宋体" w:cs="宋体" w:eastAsia="宋体" w:hint="default"/>
          <w:b/>
          <w:bCs/>
          <w:sz w:val="16"/>
          <w:szCs w:val="16"/>
        </w:rPr>
        <w:t>被担保方</w:t>
        <w:tab/>
        <w:t>贷款银行</w:t>
        <w:tab/>
        <w:t>贷款金额</w:t>
        <w:tab/>
        <w:t>贷款期限</w:t>
        <w:tab/>
        <w:t>贸易融资类别</w:t>
      </w:r>
      <w:r>
        <w:rPr>
          <w:rFonts w:ascii="宋体" w:hAnsi="宋体" w:cs="宋体" w:eastAsia="宋体" w:hint="default"/>
          <w:sz w:val="16"/>
          <w:szCs w:val="16"/>
        </w:rPr>
      </w:r>
    </w:p>
    <w:p>
      <w:pPr>
        <w:spacing w:line="240" w:lineRule="auto" w:before="9"/>
        <w:rPr>
          <w:rFonts w:ascii="宋体" w:hAnsi="宋体" w:cs="宋体" w:eastAsia="宋体" w:hint="default"/>
          <w:b/>
          <w:bCs/>
          <w:sz w:val="4"/>
          <w:szCs w:val="4"/>
        </w:rPr>
      </w:pPr>
    </w:p>
    <w:p>
      <w:pPr>
        <w:spacing w:line="20" w:lineRule="exact"/>
        <w:ind w:left="191" w:right="0" w:firstLine="0"/>
        <w:rPr>
          <w:rFonts w:ascii="宋体" w:hAnsi="宋体" w:cs="宋体" w:eastAsia="宋体" w:hint="default"/>
          <w:sz w:val="2"/>
          <w:szCs w:val="2"/>
        </w:rPr>
      </w:pPr>
      <w:r>
        <w:rPr>
          <w:rFonts w:ascii="宋体" w:hAnsi="宋体" w:cs="宋体" w:eastAsia="宋体" w:hint="default"/>
          <w:sz w:val="2"/>
          <w:szCs w:val="2"/>
        </w:rPr>
        <w:pict>
          <v:group style="width:430.4pt;height:.5pt;mso-position-horizontal-relative:char;mso-position-vertical-relative:line" coordorigin="0,0" coordsize="8608,10">
            <v:group style="position:absolute;left:5;top:5;width:2230;height:2" coordorigin="5,5" coordsize="2230,2">
              <v:shape style="position:absolute;left:5;top:5;width:2230;height:2" coordorigin="5,5" coordsize="2230,0" path="m5,5l2235,5e" filled="false" stroked="true" strokeweight=".48pt" strokecolor="#000000">
                <v:path arrowok="t"/>
              </v:shape>
            </v:group>
            <v:group style="position:absolute;left:2235;top:5;width:10;height:2" coordorigin="2235,5" coordsize="10,2">
              <v:shape style="position:absolute;left:2235;top:5;width:10;height:2" coordorigin="2235,5" coordsize="10,0" path="m2235,5l2245,5e" filled="false" stroked="true" strokeweight=".48pt" strokecolor="#000000">
                <v:path arrowok="t"/>
              </v:shape>
            </v:group>
            <v:group style="position:absolute;left:2245;top:5;width:1635;height:2" coordorigin="2245,5" coordsize="1635,2">
              <v:shape style="position:absolute;left:2245;top:5;width:1635;height:2" coordorigin="2245,5" coordsize="1635,0" path="m2245,5l3879,5e" filled="false" stroked="true" strokeweight=".48pt" strokecolor="#000000">
                <v:path arrowok="t"/>
              </v:shape>
            </v:group>
            <v:group style="position:absolute;left:3879;top:5;width:10;height:2" coordorigin="3879,5" coordsize="10,2">
              <v:shape style="position:absolute;left:3879;top:5;width:10;height:2" coordorigin="3879,5" coordsize="10,0" path="m3879,5l3889,5e" filled="false" stroked="true" strokeweight=".48pt" strokecolor="#000000">
                <v:path arrowok="t"/>
              </v:shape>
            </v:group>
            <v:group style="position:absolute;left:3889;top:5;width:1789;height:2" coordorigin="3889,5" coordsize="1789,2">
              <v:shape style="position:absolute;left:3889;top:5;width:1789;height:2" coordorigin="3889,5" coordsize="1789,0" path="m3889,5l5677,5e" filled="false" stroked="true" strokeweight=".48pt" strokecolor="#000000">
                <v:path arrowok="t"/>
              </v:shape>
            </v:group>
            <v:group style="position:absolute;left:5677;top:5;width:10;height:2" coordorigin="5677,5" coordsize="10,2">
              <v:shape style="position:absolute;left:5677;top:5;width:10;height:2" coordorigin="5677,5" coordsize="10,0" path="m5677,5l5687,5e" filled="false" stroked="true" strokeweight=".48pt" strokecolor="#000000">
                <v:path arrowok="t"/>
              </v:shape>
            </v:group>
            <v:group style="position:absolute;left:5687;top:5;width:1799;height:2" coordorigin="5687,5" coordsize="1799,2">
              <v:shape style="position:absolute;left:5687;top:5;width:1799;height:2" coordorigin="5687,5" coordsize="1799,0" path="m5687,5l7485,5e" filled="false" stroked="true" strokeweight=".48pt" strokecolor="#000000">
                <v:path arrowok="t"/>
              </v:shape>
            </v:group>
            <v:group style="position:absolute;left:7485;top:5;width:10;height:2" coordorigin="7485,5" coordsize="10,2">
              <v:shape style="position:absolute;left:7485;top:5;width:10;height:2" coordorigin="7485,5" coordsize="10,0" path="m7485,5l7494,5e" filled="false" stroked="true" strokeweight=".48pt" strokecolor="#000000">
                <v:path arrowok="t"/>
              </v:shape>
            </v:group>
            <v:group style="position:absolute;left:7494;top:5;width:1109;height:2" coordorigin="7494,5" coordsize="1109,2">
              <v:shape style="position:absolute;left:7494;top:5;width:1109;height:2" coordorigin="7494,5" coordsize="1109,0" path="m7494,5l8603,5e" filled="false" stroked="true" strokeweight=".48pt" strokecolor="#000000">
                <v:path arrowok="t"/>
              </v:shape>
            </v:group>
          </v:group>
        </w:pict>
      </w:r>
      <w:r>
        <w:rPr>
          <w:rFonts w:ascii="宋体" w:hAnsi="宋体" w:cs="宋体" w:eastAsia="宋体" w:hint="default"/>
          <w:sz w:val="2"/>
          <w:szCs w:val="2"/>
        </w:rPr>
      </w:r>
    </w:p>
    <w:p>
      <w:pPr>
        <w:spacing w:line="190" w:lineRule="exact" w:before="2"/>
        <w:ind w:left="4815" w:right="206" w:firstLine="0"/>
        <w:jc w:val="left"/>
        <w:rPr>
          <w:rFonts w:ascii="宋体" w:hAnsi="宋体" w:cs="宋体" w:eastAsia="宋体" w:hint="default"/>
          <w:sz w:val="16"/>
          <w:szCs w:val="16"/>
        </w:rPr>
      </w:pPr>
      <w:r>
        <w:rPr>
          <w:rFonts w:ascii="宋体" w:hAnsi="宋体" w:cs="宋体" w:eastAsia="宋体" w:hint="default"/>
          <w:sz w:val="16"/>
          <w:szCs w:val="16"/>
        </w:rPr>
        <w:t>358.90</w:t>
      </w:r>
      <w:r>
        <w:rPr>
          <w:rFonts w:ascii="宋体" w:hAnsi="宋体" w:cs="宋体" w:eastAsia="宋体" w:hint="default"/>
          <w:spacing w:val="-46"/>
          <w:sz w:val="16"/>
          <w:szCs w:val="16"/>
        </w:rPr>
        <w:t> </w:t>
      </w:r>
      <w:r>
        <w:rPr>
          <w:rFonts w:ascii="宋体" w:hAnsi="宋体" w:cs="宋体" w:eastAsia="宋体" w:hint="default"/>
          <w:sz w:val="16"/>
          <w:szCs w:val="16"/>
        </w:rPr>
        <w:t>万美元</w:t>
      </w:r>
    </w:p>
    <w:p>
      <w:pPr>
        <w:spacing w:after="0" w:line="190" w:lineRule="exact"/>
        <w:jc w:val="left"/>
        <w:rPr>
          <w:rFonts w:ascii="宋体" w:hAnsi="宋体" w:cs="宋体" w:eastAsia="宋体" w:hint="default"/>
          <w:sz w:val="16"/>
          <w:szCs w:val="16"/>
        </w:rPr>
        <w:sectPr>
          <w:footerReference w:type="default" r:id="rId49"/>
          <w:pgSz w:w="11910" w:h="16840"/>
          <w:pgMar w:footer="1034" w:header="0" w:top="1320" w:bottom="1220" w:left="1460" w:right="1480"/>
          <w:pgNumType w:start="171"/>
        </w:sectPr>
      </w:pPr>
    </w:p>
    <w:p>
      <w:pPr>
        <w:spacing w:line="161" w:lineRule="exact" w:before="0"/>
        <w:ind w:left="254" w:right="0" w:firstLine="0"/>
        <w:jc w:val="both"/>
        <w:rPr>
          <w:rFonts w:ascii="宋体" w:hAnsi="宋体" w:cs="宋体" w:eastAsia="宋体" w:hint="default"/>
          <w:sz w:val="16"/>
          <w:szCs w:val="16"/>
        </w:rPr>
      </w:pPr>
      <w:r>
        <w:rPr>
          <w:rFonts w:ascii="宋体" w:hAnsi="宋体" w:cs="宋体" w:eastAsia="宋体" w:hint="default"/>
          <w:sz w:val="16"/>
          <w:szCs w:val="16"/>
        </w:rPr>
        <w:t>TongFang Global Limited   </w:t>
      </w:r>
      <w:r>
        <w:rPr>
          <w:rFonts w:ascii="宋体" w:hAnsi="宋体" w:cs="宋体" w:eastAsia="宋体" w:hint="default"/>
          <w:spacing w:val="54"/>
          <w:sz w:val="16"/>
          <w:szCs w:val="16"/>
        </w:rPr>
        <w:t> </w:t>
      </w:r>
      <w:r>
        <w:rPr>
          <w:rFonts w:ascii="宋体" w:hAnsi="宋体" w:cs="宋体" w:eastAsia="宋体" w:hint="default"/>
          <w:sz w:val="16"/>
          <w:szCs w:val="16"/>
        </w:rPr>
        <w:t>香港汇丰银行</w:t>
      </w:r>
    </w:p>
    <w:p>
      <w:pPr>
        <w:spacing w:line="240" w:lineRule="auto" w:before="0"/>
        <w:rPr>
          <w:rFonts w:ascii="宋体" w:hAnsi="宋体" w:cs="宋体" w:eastAsia="宋体" w:hint="default"/>
          <w:sz w:val="16"/>
          <w:szCs w:val="16"/>
        </w:rPr>
      </w:pPr>
    </w:p>
    <w:p>
      <w:pPr>
        <w:spacing w:line="240" w:lineRule="auto" w:before="6"/>
        <w:rPr>
          <w:rFonts w:ascii="宋体" w:hAnsi="宋体" w:cs="宋体" w:eastAsia="宋体" w:hint="default"/>
          <w:sz w:val="11"/>
          <w:szCs w:val="11"/>
        </w:rPr>
      </w:pPr>
    </w:p>
    <w:p>
      <w:pPr>
        <w:spacing w:line="650" w:lineRule="auto" w:before="0"/>
        <w:ind w:left="254" w:right="249" w:firstLine="0"/>
        <w:jc w:val="both"/>
        <w:rPr>
          <w:rFonts w:ascii="宋体" w:hAnsi="宋体" w:cs="宋体" w:eastAsia="宋体" w:hint="default"/>
          <w:sz w:val="16"/>
          <w:szCs w:val="16"/>
        </w:rPr>
      </w:pPr>
      <w:r>
        <w:rPr>
          <w:rFonts w:ascii="宋体" w:hAnsi="宋体" w:cs="宋体" w:eastAsia="宋体" w:hint="default"/>
          <w:sz w:val="16"/>
          <w:szCs w:val="16"/>
        </w:rPr>
        <w:t>沈阳同方多媒体科技有限公司</w:t>
      </w:r>
      <w:r>
        <w:rPr>
          <w:rFonts w:ascii="宋体" w:hAnsi="宋体" w:cs="宋体" w:eastAsia="宋体" w:hint="default"/>
          <w:spacing w:val="67"/>
          <w:sz w:val="16"/>
          <w:szCs w:val="16"/>
        </w:rPr>
        <w:t> </w:t>
      </w:r>
      <w:r>
        <w:rPr>
          <w:rFonts w:ascii="宋体" w:hAnsi="宋体" w:cs="宋体" w:eastAsia="宋体" w:hint="default"/>
          <w:sz w:val="16"/>
          <w:szCs w:val="16"/>
        </w:rPr>
        <w:t>汇丰银行沈阳分行</w:t>
      </w:r>
      <w:r>
        <w:rPr>
          <w:rFonts w:ascii="宋体" w:hAnsi="宋体" w:cs="宋体" w:eastAsia="宋体" w:hint="default"/>
          <w:w w:val="100"/>
          <w:sz w:val="16"/>
          <w:szCs w:val="16"/>
        </w:rPr>
        <w:t> </w:t>
      </w:r>
      <w:r>
        <w:rPr>
          <w:rFonts w:ascii="宋体" w:hAnsi="宋体" w:cs="宋体" w:eastAsia="宋体" w:hint="default"/>
          <w:sz w:val="16"/>
          <w:szCs w:val="16"/>
        </w:rPr>
        <w:t>沈阳同方多媒体科技有限公司</w:t>
      </w:r>
      <w:r>
        <w:rPr>
          <w:rFonts w:ascii="宋体" w:hAnsi="宋体" w:cs="宋体" w:eastAsia="宋体" w:hint="default"/>
          <w:spacing w:val="67"/>
          <w:sz w:val="16"/>
          <w:szCs w:val="16"/>
        </w:rPr>
        <w:t> </w:t>
      </w:r>
      <w:r>
        <w:rPr>
          <w:rFonts w:ascii="宋体" w:hAnsi="宋体" w:cs="宋体" w:eastAsia="宋体" w:hint="default"/>
          <w:sz w:val="16"/>
          <w:szCs w:val="16"/>
        </w:rPr>
        <w:t>民生银行沈阳分行</w:t>
      </w:r>
      <w:r>
        <w:rPr>
          <w:rFonts w:ascii="宋体" w:hAnsi="宋体" w:cs="宋体" w:eastAsia="宋体" w:hint="default"/>
          <w:w w:val="100"/>
          <w:sz w:val="16"/>
          <w:szCs w:val="16"/>
        </w:rPr>
        <w:t> </w:t>
      </w:r>
      <w:r>
        <w:rPr>
          <w:rFonts w:ascii="宋体" w:hAnsi="宋体" w:cs="宋体" w:eastAsia="宋体" w:hint="default"/>
          <w:sz w:val="16"/>
          <w:szCs w:val="16"/>
        </w:rPr>
        <w:t>沈阳同方多媒体科技有限公司</w:t>
      </w:r>
      <w:r>
        <w:rPr>
          <w:rFonts w:ascii="宋体" w:hAnsi="宋体" w:cs="宋体" w:eastAsia="宋体" w:hint="default"/>
          <w:spacing w:val="67"/>
          <w:sz w:val="16"/>
          <w:szCs w:val="16"/>
        </w:rPr>
        <w:t> </w:t>
      </w:r>
      <w:r>
        <w:rPr>
          <w:rFonts w:ascii="宋体" w:hAnsi="宋体" w:cs="宋体" w:eastAsia="宋体" w:hint="default"/>
          <w:sz w:val="16"/>
          <w:szCs w:val="16"/>
        </w:rPr>
        <w:t>民生银行沈阳分行</w:t>
      </w:r>
      <w:r>
        <w:rPr>
          <w:rFonts w:ascii="宋体" w:hAnsi="宋体" w:cs="宋体" w:eastAsia="宋体" w:hint="default"/>
          <w:w w:val="100"/>
          <w:sz w:val="16"/>
          <w:szCs w:val="16"/>
        </w:rPr>
        <w:t> </w:t>
      </w:r>
      <w:r>
        <w:rPr>
          <w:rFonts w:ascii="宋体" w:hAnsi="宋体" w:cs="宋体" w:eastAsia="宋体" w:hint="default"/>
          <w:sz w:val="16"/>
          <w:szCs w:val="16"/>
        </w:rPr>
        <w:t>沈阳同方多媒体科技有限公司</w:t>
      </w:r>
      <w:r>
        <w:rPr>
          <w:rFonts w:ascii="宋体" w:hAnsi="宋体" w:cs="宋体" w:eastAsia="宋体" w:hint="default"/>
          <w:spacing w:val="67"/>
          <w:sz w:val="16"/>
          <w:szCs w:val="16"/>
        </w:rPr>
        <w:t> </w:t>
      </w:r>
      <w:r>
        <w:rPr>
          <w:rFonts w:ascii="宋体" w:hAnsi="宋体" w:cs="宋体" w:eastAsia="宋体" w:hint="default"/>
          <w:sz w:val="16"/>
          <w:szCs w:val="16"/>
        </w:rPr>
        <w:t>兴业银行沈阳分行</w:t>
      </w:r>
      <w:r>
        <w:rPr>
          <w:rFonts w:ascii="宋体" w:hAnsi="宋体" w:cs="宋体" w:eastAsia="宋体" w:hint="default"/>
          <w:w w:val="100"/>
          <w:sz w:val="16"/>
          <w:szCs w:val="16"/>
        </w:rPr>
        <w:t> </w:t>
      </w:r>
      <w:r>
        <w:rPr>
          <w:rFonts w:ascii="宋体" w:hAnsi="宋体" w:cs="宋体" w:eastAsia="宋体" w:hint="default"/>
          <w:sz w:val="16"/>
          <w:szCs w:val="16"/>
        </w:rPr>
        <w:t>沈阳同方多媒体科技有限公司</w:t>
      </w:r>
      <w:r>
        <w:rPr>
          <w:rFonts w:ascii="宋体" w:hAnsi="宋体" w:cs="宋体" w:eastAsia="宋体" w:hint="default"/>
          <w:spacing w:val="67"/>
          <w:sz w:val="16"/>
          <w:szCs w:val="16"/>
        </w:rPr>
        <w:t> </w:t>
      </w:r>
      <w:r>
        <w:rPr>
          <w:rFonts w:ascii="宋体" w:hAnsi="宋体" w:cs="宋体" w:eastAsia="宋体" w:hint="default"/>
          <w:sz w:val="16"/>
          <w:szCs w:val="16"/>
        </w:rPr>
        <w:t>建设银行城内支行</w:t>
      </w:r>
      <w:r>
        <w:rPr>
          <w:rFonts w:ascii="宋体" w:hAnsi="宋体" w:cs="宋体" w:eastAsia="宋体" w:hint="default"/>
          <w:w w:val="100"/>
          <w:sz w:val="16"/>
          <w:szCs w:val="16"/>
        </w:rPr>
        <w:t> </w:t>
      </w:r>
      <w:r>
        <w:rPr>
          <w:rFonts w:ascii="宋体" w:hAnsi="宋体" w:cs="宋体" w:eastAsia="宋体" w:hint="default"/>
          <w:sz w:val="16"/>
          <w:szCs w:val="16"/>
        </w:rPr>
        <w:t>沈阳同方多媒体科技有限公司</w:t>
      </w:r>
      <w:r>
        <w:rPr>
          <w:rFonts w:ascii="宋体" w:hAnsi="宋体" w:cs="宋体" w:eastAsia="宋体" w:hint="default"/>
          <w:spacing w:val="67"/>
          <w:sz w:val="16"/>
          <w:szCs w:val="16"/>
        </w:rPr>
        <w:t> </w:t>
      </w:r>
      <w:r>
        <w:rPr>
          <w:rFonts w:ascii="宋体" w:hAnsi="宋体" w:cs="宋体" w:eastAsia="宋体" w:hint="default"/>
          <w:sz w:val="16"/>
          <w:szCs w:val="16"/>
        </w:rPr>
        <w:t>建设银行城内支行</w:t>
      </w:r>
      <w:r>
        <w:rPr>
          <w:rFonts w:ascii="宋体" w:hAnsi="宋体" w:cs="宋体" w:eastAsia="宋体" w:hint="default"/>
          <w:w w:val="100"/>
          <w:sz w:val="16"/>
          <w:szCs w:val="16"/>
        </w:rPr>
        <w:t> </w:t>
      </w:r>
      <w:r>
        <w:rPr>
          <w:rFonts w:ascii="宋体" w:hAnsi="宋体" w:cs="宋体" w:eastAsia="宋体" w:hint="default"/>
          <w:sz w:val="16"/>
          <w:szCs w:val="16"/>
        </w:rPr>
        <w:t>沈阳同方多媒体科技有限公司</w:t>
      </w:r>
      <w:r>
        <w:rPr>
          <w:rFonts w:ascii="宋体" w:hAnsi="宋体" w:cs="宋体" w:eastAsia="宋体" w:hint="default"/>
          <w:spacing w:val="67"/>
          <w:sz w:val="16"/>
          <w:szCs w:val="16"/>
        </w:rPr>
        <w:t> </w:t>
      </w:r>
      <w:r>
        <w:rPr>
          <w:rFonts w:ascii="宋体" w:hAnsi="宋体" w:cs="宋体" w:eastAsia="宋体" w:hint="default"/>
          <w:sz w:val="16"/>
          <w:szCs w:val="16"/>
        </w:rPr>
        <w:t>中信银行沈阳分行</w:t>
      </w:r>
      <w:r>
        <w:rPr>
          <w:rFonts w:ascii="宋体" w:hAnsi="宋体" w:cs="宋体" w:eastAsia="宋体" w:hint="default"/>
          <w:w w:val="100"/>
          <w:sz w:val="16"/>
          <w:szCs w:val="16"/>
        </w:rPr>
        <w:t> </w:t>
      </w:r>
      <w:r>
        <w:rPr>
          <w:rFonts w:ascii="宋体" w:hAnsi="宋体" w:cs="宋体" w:eastAsia="宋体" w:hint="default"/>
          <w:sz w:val="16"/>
          <w:szCs w:val="16"/>
        </w:rPr>
        <w:t>沈阳同方多媒体科技有限公司</w:t>
      </w:r>
      <w:r>
        <w:rPr>
          <w:rFonts w:ascii="宋体" w:hAnsi="宋体" w:cs="宋体" w:eastAsia="宋体" w:hint="default"/>
          <w:spacing w:val="67"/>
          <w:sz w:val="16"/>
          <w:szCs w:val="16"/>
        </w:rPr>
        <w:t> </w:t>
      </w:r>
      <w:r>
        <w:rPr>
          <w:rFonts w:ascii="宋体" w:hAnsi="宋体" w:cs="宋体" w:eastAsia="宋体" w:hint="default"/>
          <w:sz w:val="16"/>
          <w:szCs w:val="16"/>
        </w:rPr>
        <w:t>中信银行沈阳分行</w:t>
      </w:r>
    </w:p>
    <w:p>
      <w:pPr>
        <w:spacing w:before="84"/>
        <w:ind w:left="254" w:right="0" w:firstLine="0"/>
        <w:jc w:val="both"/>
        <w:rPr>
          <w:rFonts w:ascii="宋体" w:hAnsi="宋体" w:cs="宋体" w:eastAsia="宋体" w:hint="default"/>
          <w:sz w:val="16"/>
          <w:szCs w:val="16"/>
        </w:rPr>
      </w:pPr>
      <w:r>
        <w:rPr>
          <w:rFonts w:ascii="宋体" w:hAnsi="宋体" w:cs="宋体" w:eastAsia="宋体" w:hint="default"/>
          <w:sz w:val="16"/>
          <w:szCs w:val="16"/>
        </w:rPr>
        <w:t>同方威视技术股份有限公司  </w:t>
      </w:r>
      <w:r>
        <w:rPr>
          <w:rFonts w:ascii="宋体" w:hAnsi="宋体" w:cs="宋体" w:eastAsia="宋体" w:hint="default"/>
          <w:spacing w:val="70"/>
          <w:sz w:val="16"/>
          <w:szCs w:val="16"/>
        </w:rPr>
        <w:t> </w:t>
      </w:r>
      <w:r>
        <w:rPr>
          <w:rFonts w:ascii="宋体" w:hAnsi="宋体" w:cs="宋体" w:eastAsia="宋体" w:hint="default"/>
          <w:sz w:val="16"/>
          <w:szCs w:val="16"/>
        </w:rPr>
        <w:t>中国进出口银行</w:t>
      </w:r>
    </w:p>
    <w:p>
      <w:pPr>
        <w:spacing w:line="240" w:lineRule="auto" w:before="9"/>
        <w:rPr>
          <w:rFonts w:ascii="宋体" w:hAnsi="宋体" w:cs="宋体" w:eastAsia="宋体" w:hint="default"/>
          <w:sz w:val="13"/>
          <w:szCs w:val="13"/>
        </w:rPr>
      </w:pPr>
    </w:p>
    <w:p>
      <w:pPr>
        <w:spacing w:line="152" w:lineRule="exact" w:before="0"/>
        <w:ind w:left="254" w:right="0" w:firstLine="0"/>
        <w:jc w:val="both"/>
        <w:rPr>
          <w:rFonts w:ascii="宋体" w:hAnsi="宋体" w:cs="宋体" w:eastAsia="宋体" w:hint="default"/>
          <w:sz w:val="16"/>
          <w:szCs w:val="16"/>
        </w:rPr>
      </w:pPr>
      <w:r>
        <w:rPr>
          <w:rFonts w:ascii="宋体" w:hAnsi="宋体" w:cs="宋体" w:eastAsia="宋体" w:hint="default"/>
          <w:position w:val="-9"/>
          <w:sz w:val="16"/>
          <w:szCs w:val="16"/>
        </w:rPr>
        <w:t>同方计算机有限公司         </w:t>
      </w:r>
      <w:r>
        <w:rPr>
          <w:rFonts w:ascii="宋体" w:hAnsi="宋体" w:cs="宋体" w:eastAsia="宋体" w:hint="default"/>
          <w:spacing w:val="3"/>
          <w:position w:val="-9"/>
          <w:sz w:val="16"/>
          <w:szCs w:val="16"/>
        </w:rPr>
        <w:t> </w:t>
      </w:r>
      <w:r>
        <w:rPr>
          <w:rFonts w:ascii="宋体" w:hAnsi="宋体" w:cs="宋体" w:eastAsia="宋体" w:hint="default"/>
          <w:spacing w:val="8"/>
          <w:sz w:val="16"/>
          <w:szCs w:val="16"/>
        </w:rPr>
        <w:t>中国银行无锡分行锡</w:t>
      </w:r>
    </w:p>
    <w:p>
      <w:pPr>
        <w:spacing w:before="93"/>
        <w:ind w:left="0" w:right="0" w:firstLine="0"/>
        <w:jc w:val="right"/>
        <w:rPr>
          <w:rFonts w:ascii="宋体" w:hAnsi="宋体" w:cs="宋体" w:eastAsia="宋体" w:hint="default"/>
          <w:sz w:val="16"/>
          <w:szCs w:val="16"/>
        </w:rPr>
      </w:pPr>
      <w:r>
        <w:rPr/>
        <w:br w:type="column"/>
      </w:r>
      <w:r>
        <w:rPr>
          <w:rFonts w:ascii="宋体" w:hAnsi="宋体" w:cs="宋体" w:eastAsia="宋体" w:hint="default"/>
          <w:sz w:val="16"/>
          <w:szCs w:val="16"/>
        </w:rPr>
        <w:t>约</w:t>
      </w:r>
      <w:r>
        <w:rPr>
          <w:rFonts w:ascii="宋体" w:hAnsi="宋体" w:cs="宋体" w:eastAsia="宋体" w:hint="default"/>
          <w:spacing w:val="-45"/>
          <w:sz w:val="16"/>
          <w:szCs w:val="16"/>
        </w:rPr>
        <w:t> </w:t>
      </w:r>
      <w:r>
        <w:rPr>
          <w:rFonts w:ascii="宋体" w:hAnsi="宋体" w:cs="宋体" w:eastAsia="宋体" w:hint="default"/>
          <w:sz w:val="16"/>
          <w:szCs w:val="16"/>
        </w:rPr>
        <w:t>2,463.22</w:t>
      </w:r>
      <w:r>
        <w:rPr>
          <w:rFonts w:ascii="宋体" w:hAnsi="宋体" w:cs="宋体" w:eastAsia="宋体" w:hint="default"/>
          <w:spacing w:val="-41"/>
          <w:sz w:val="16"/>
          <w:szCs w:val="16"/>
        </w:rPr>
        <w:t> </w:t>
      </w:r>
      <w:r>
        <w:rPr>
          <w:rFonts w:ascii="宋体" w:hAnsi="宋体" w:cs="宋体" w:eastAsia="宋体" w:hint="default"/>
          <w:sz w:val="16"/>
          <w:szCs w:val="16"/>
        </w:rPr>
        <w:t>万人民币</w:t>
      </w:r>
    </w:p>
    <w:p>
      <w:pPr>
        <w:spacing w:line="324" w:lineRule="auto" w:before="76"/>
        <w:ind w:left="236" w:right="0" w:firstLine="521"/>
        <w:jc w:val="right"/>
        <w:rPr>
          <w:rFonts w:ascii="宋体" w:hAnsi="宋体" w:cs="宋体" w:eastAsia="宋体" w:hint="default"/>
          <w:sz w:val="16"/>
          <w:szCs w:val="16"/>
        </w:rPr>
      </w:pPr>
      <w:r>
        <w:rPr>
          <w:rFonts w:ascii="宋体" w:hAnsi="宋体" w:cs="宋体" w:eastAsia="宋体" w:hint="default"/>
          <w:sz w:val="16"/>
          <w:szCs w:val="16"/>
        </w:rPr>
        <w:t>212.66</w:t>
      </w:r>
      <w:r>
        <w:rPr>
          <w:rFonts w:ascii="宋体" w:hAnsi="宋体" w:cs="宋体" w:eastAsia="宋体" w:hint="default"/>
          <w:spacing w:val="-46"/>
          <w:sz w:val="16"/>
          <w:szCs w:val="16"/>
        </w:rPr>
        <w:t> </w:t>
      </w:r>
      <w:r>
        <w:rPr>
          <w:rFonts w:ascii="宋体" w:hAnsi="宋体" w:cs="宋体" w:eastAsia="宋体" w:hint="default"/>
          <w:sz w:val="16"/>
          <w:szCs w:val="16"/>
        </w:rPr>
        <w:t>万美元</w:t>
      </w:r>
      <w:r>
        <w:rPr>
          <w:rFonts w:ascii="宋体" w:hAnsi="宋体" w:cs="宋体" w:eastAsia="宋体" w:hint="default"/>
          <w:w w:val="100"/>
          <w:sz w:val="16"/>
          <w:szCs w:val="16"/>
        </w:rPr>
        <w:t> </w:t>
      </w:r>
      <w:r>
        <w:rPr>
          <w:rFonts w:ascii="宋体" w:hAnsi="宋体" w:cs="宋体" w:eastAsia="宋体" w:hint="default"/>
          <w:sz w:val="16"/>
          <w:szCs w:val="16"/>
        </w:rPr>
        <w:t>约</w:t>
      </w:r>
      <w:r>
        <w:rPr>
          <w:rFonts w:ascii="宋体" w:hAnsi="宋体" w:cs="宋体" w:eastAsia="宋体" w:hint="default"/>
          <w:spacing w:val="-45"/>
          <w:sz w:val="16"/>
          <w:szCs w:val="16"/>
        </w:rPr>
        <w:t> </w:t>
      </w:r>
      <w:r>
        <w:rPr>
          <w:rFonts w:ascii="宋体" w:hAnsi="宋体" w:cs="宋体" w:eastAsia="宋体" w:hint="default"/>
          <w:sz w:val="16"/>
          <w:szCs w:val="16"/>
        </w:rPr>
        <w:t>1,459.52</w:t>
      </w:r>
      <w:r>
        <w:rPr>
          <w:rFonts w:ascii="宋体" w:hAnsi="宋体" w:cs="宋体" w:eastAsia="宋体" w:hint="default"/>
          <w:spacing w:val="-41"/>
          <w:sz w:val="16"/>
          <w:szCs w:val="16"/>
        </w:rPr>
        <w:t> </w:t>
      </w:r>
      <w:r>
        <w:rPr>
          <w:rFonts w:ascii="宋体" w:hAnsi="宋体" w:cs="宋体" w:eastAsia="宋体" w:hint="default"/>
          <w:sz w:val="16"/>
          <w:szCs w:val="16"/>
        </w:rPr>
        <w:t>万人民币</w:t>
      </w:r>
      <w:r>
        <w:rPr>
          <w:rFonts w:ascii="宋体" w:hAnsi="宋体" w:cs="宋体" w:eastAsia="宋体" w:hint="default"/>
          <w:w w:val="100"/>
          <w:sz w:val="16"/>
          <w:szCs w:val="16"/>
        </w:rPr>
        <w:t> </w:t>
      </w:r>
      <w:r>
        <w:rPr>
          <w:rFonts w:ascii="宋体" w:hAnsi="宋体" w:cs="宋体" w:eastAsia="宋体" w:hint="default"/>
          <w:sz w:val="16"/>
          <w:szCs w:val="16"/>
        </w:rPr>
        <w:t>2,698.07</w:t>
      </w:r>
      <w:r>
        <w:rPr>
          <w:rFonts w:ascii="宋体" w:hAnsi="宋体" w:cs="宋体" w:eastAsia="宋体" w:hint="default"/>
          <w:spacing w:val="-46"/>
          <w:sz w:val="16"/>
          <w:szCs w:val="16"/>
        </w:rPr>
        <w:t> </w:t>
      </w:r>
      <w:r>
        <w:rPr>
          <w:rFonts w:ascii="宋体" w:hAnsi="宋体" w:cs="宋体" w:eastAsia="宋体" w:hint="default"/>
          <w:sz w:val="16"/>
          <w:szCs w:val="16"/>
        </w:rPr>
        <w:t>万美元</w:t>
      </w:r>
    </w:p>
    <w:p>
      <w:pPr>
        <w:spacing w:before="21"/>
        <w:ind w:left="0" w:right="0" w:firstLine="0"/>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6"/>
          <w:sz w:val="16"/>
          <w:szCs w:val="16"/>
        </w:rPr>
        <w:t> </w:t>
      </w:r>
      <w:r>
        <w:rPr>
          <w:rFonts w:ascii="宋体" w:hAnsi="宋体" w:cs="宋体" w:eastAsia="宋体" w:hint="default"/>
          <w:sz w:val="16"/>
          <w:szCs w:val="16"/>
        </w:rPr>
        <w:t>18,517.37</w:t>
      </w:r>
      <w:r>
        <w:rPr>
          <w:rFonts w:ascii="宋体" w:hAnsi="宋体" w:cs="宋体" w:eastAsia="宋体" w:hint="default"/>
          <w:spacing w:val="-42"/>
          <w:sz w:val="16"/>
          <w:szCs w:val="16"/>
        </w:rPr>
        <w:t> </w:t>
      </w:r>
      <w:r>
        <w:rPr>
          <w:rFonts w:ascii="宋体" w:hAnsi="宋体" w:cs="宋体" w:eastAsia="宋体" w:hint="default"/>
          <w:sz w:val="16"/>
          <w:szCs w:val="16"/>
        </w:rPr>
        <w:t>万人民币</w:t>
      </w:r>
    </w:p>
    <w:p>
      <w:pPr>
        <w:spacing w:before="74"/>
        <w:ind w:left="0" w:right="0" w:firstLine="0"/>
        <w:jc w:val="right"/>
        <w:rPr>
          <w:rFonts w:ascii="宋体" w:hAnsi="宋体" w:cs="宋体" w:eastAsia="宋体" w:hint="default"/>
          <w:sz w:val="16"/>
          <w:szCs w:val="16"/>
        </w:rPr>
      </w:pPr>
      <w:r>
        <w:rPr>
          <w:rFonts w:ascii="宋体" w:hAnsi="宋体" w:cs="宋体" w:eastAsia="宋体" w:hint="default"/>
          <w:sz w:val="16"/>
          <w:szCs w:val="16"/>
        </w:rPr>
        <w:t>1,245.17</w:t>
      </w:r>
      <w:r>
        <w:rPr>
          <w:rFonts w:ascii="宋体" w:hAnsi="宋体" w:cs="宋体" w:eastAsia="宋体" w:hint="default"/>
          <w:spacing w:val="-46"/>
          <w:sz w:val="16"/>
          <w:szCs w:val="16"/>
        </w:rPr>
        <w:t> </w:t>
      </w:r>
      <w:r>
        <w:rPr>
          <w:rFonts w:ascii="宋体" w:hAnsi="宋体" w:cs="宋体" w:eastAsia="宋体" w:hint="default"/>
          <w:sz w:val="16"/>
          <w:szCs w:val="16"/>
        </w:rPr>
        <w:t>万美元</w:t>
      </w:r>
    </w:p>
    <w:p>
      <w:pPr>
        <w:spacing w:before="74"/>
        <w:ind w:left="0" w:right="0" w:firstLine="0"/>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5"/>
          <w:sz w:val="16"/>
          <w:szCs w:val="16"/>
        </w:rPr>
        <w:t> </w:t>
      </w:r>
      <w:r>
        <w:rPr>
          <w:rFonts w:ascii="宋体" w:hAnsi="宋体" w:cs="宋体" w:eastAsia="宋体" w:hint="default"/>
          <w:sz w:val="16"/>
          <w:szCs w:val="16"/>
        </w:rPr>
        <w:t>8,545.82</w:t>
      </w:r>
      <w:r>
        <w:rPr>
          <w:rFonts w:ascii="宋体" w:hAnsi="宋体" w:cs="宋体" w:eastAsia="宋体" w:hint="default"/>
          <w:spacing w:val="-41"/>
          <w:sz w:val="16"/>
          <w:szCs w:val="16"/>
        </w:rPr>
        <w:t> </w:t>
      </w:r>
      <w:r>
        <w:rPr>
          <w:rFonts w:ascii="宋体" w:hAnsi="宋体" w:cs="宋体" w:eastAsia="宋体" w:hint="default"/>
          <w:sz w:val="16"/>
          <w:szCs w:val="16"/>
        </w:rPr>
        <w:t>万人民币</w:t>
      </w:r>
    </w:p>
    <w:p>
      <w:pPr>
        <w:spacing w:before="76"/>
        <w:ind w:left="0" w:right="0" w:firstLine="0"/>
        <w:jc w:val="right"/>
        <w:rPr>
          <w:rFonts w:ascii="宋体" w:hAnsi="宋体" w:cs="宋体" w:eastAsia="宋体" w:hint="default"/>
          <w:sz w:val="16"/>
          <w:szCs w:val="16"/>
        </w:rPr>
      </w:pPr>
      <w:r>
        <w:rPr>
          <w:rFonts w:ascii="宋体" w:hAnsi="宋体" w:cs="宋体" w:eastAsia="宋体" w:hint="default"/>
          <w:sz w:val="16"/>
          <w:szCs w:val="16"/>
        </w:rPr>
        <w:t>1,186.11</w:t>
      </w:r>
      <w:r>
        <w:rPr>
          <w:rFonts w:ascii="宋体" w:hAnsi="宋体" w:cs="宋体" w:eastAsia="宋体" w:hint="default"/>
          <w:spacing w:val="-46"/>
          <w:sz w:val="16"/>
          <w:szCs w:val="16"/>
        </w:rPr>
        <w:t> </w:t>
      </w:r>
      <w:r>
        <w:rPr>
          <w:rFonts w:ascii="宋体" w:hAnsi="宋体" w:cs="宋体" w:eastAsia="宋体" w:hint="default"/>
          <w:sz w:val="16"/>
          <w:szCs w:val="16"/>
        </w:rPr>
        <w:t>万美元</w:t>
      </w:r>
    </w:p>
    <w:p>
      <w:pPr>
        <w:spacing w:before="74"/>
        <w:ind w:left="0" w:right="0" w:firstLine="0"/>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5"/>
          <w:sz w:val="16"/>
          <w:szCs w:val="16"/>
        </w:rPr>
        <w:t> </w:t>
      </w:r>
      <w:r>
        <w:rPr>
          <w:rFonts w:ascii="宋体" w:hAnsi="宋体" w:cs="宋体" w:eastAsia="宋体" w:hint="default"/>
          <w:sz w:val="16"/>
          <w:szCs w:val="16"/>
        </w:rPr>
        <w:t>8,140.49</w:t>
      </w:r>
      <w:r>
        <w:rPr>
          <w:rFonts w:ascii="宋体" w:hAnsi="宋体" w:cs="宋体" w:eastAsia="宋体" w:hint="default"/>
          <w:spacing w:val="-41"/>
          <w:sz w:val="16"/>
          <w:szCs w:val="16"/>
        </w:rPr>
        <w:t> </w:t>
      </w:r>
      <w:r>
        <w:rPr>
          <w:rFonts w:ascii="宋体" w:hAnsi="宋体" w:cs="宋体" w:eastAsia="宋体" w:hint="default"/>
          <w:sz w:val="16"/>
          <w:szCs w:val="16"/>
        </w:rPr>
        <w:t>万人民币</w:t>
      </w:r>
    </w:p>
    <w:p>
      <w:pPr>
        <w:spacing w:before="74"/>
        <w:ind w:left="0" w:right="0" w:firstLine="0"/>
        <w:jc w:val="right"/>
        <w:rPr>
          <w:rFonts w:ascii="宋体" w:hAnsi="宋体" w:cs="宋体" w:eastAsia="宋体" w:hint="default"/>
          <w:sz w:val="16"/>
          <w:szCs w:val="16"/>
        </w:rPr>
      </w:pPr>
      <w:r>
        <w:rPr>
          <w:rFonts w:ascii="宋体" w:hAnsi="宋体" w:cs="宋体" w:eastAsia="宋体" w:hint="default"/>
          <w:sz w:val="16"/>
          <w:szCs w:val="16"/>
        </w:rPr>
        <w:t>1,683.57</w:t>
      </w:r>
      <w:r>
        <w:rPr>
          <w:rFonts w:ascii="宋体" w:hAnsi="宋体" w:cs="宋体" w:eastAsia="宋体" w:hint="default"/>
          <w:spacing w:val="-46"/>
          <w:sz w:val="16"/>
          <w:szCs w:val="16"/>
        </w:rPr>
        <w:t> </w:t>
      </w:r>
      <w:r>
        <w:rPr>
          <w:rFonts w:ascii="宋体" w:hAnsi="宋体" w:cs="宋体" w:eastAsia="宋体" w:hint="default"/>
          <w:sz w:val="16"/>
          <w:szCs w:val="16"/>
        </w:rPr>
        <w:t>万美元</w:t>
      </w:r>
    </w:p>
    <w:p>
      <w:pPr>
        <w:spacing w:before="76"/>
        <w:ind w:left="0" w:right="0" w:firstLine="0"/>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6"/>
          <w:sz w:val="16"/>
          <w:szCs w:val="16"/>
        </w:rPr>
        <w:t> </w:t>
      </w:r>
      <w:r>
        <w:rPr>
          <w:rFonts w:ascii="宋体" w:hAnsi="宋体" w:cs="宋体" w:eastAsia="宋体" w:hint="default"/>
          <w:sz w:val="16"/>
          <w:szCs w:val="16"/>
        </w:rPr>
        <w:t>11,554.67</w:t>
      </w:r>
      <w:r>
        <w:rPr>
          <w:rFonts w:ascii="宋体" w:hAnsi="宋体" w:cs="宋体" w:eastAsia="宋体" w:hint="default"/>
          <w:spacing w:val="-42"/>
          <w:sz w:val="16"/>
          <w:szCs w:val="16"/>
        </w:rPr>
        <w:t> </w:t>
      </w:r>
      <w:r>
        <w:rPr>
          <w:rFonts w:ascii="宋体" w:hAnsi="宋体" w:cs="宋体" w:eastAsia="宋体" w:hint="default"/>
          <w:sz w:val="16"/>
          <w:szCs w:val="16"/>
        </w:rPr>
        <w:t>万人民币</w:t>
      </w:r>
    </w:p>
    <w:p>
      <w:pPr>
        <w:spacing w:before="74"/>
        <w:ind w:left="0" w:right="0" w:firstLine="0"/>
        <w:jc w:val="right"/>
        <w:rPr>
          <w:rFonts w:ascii="宋体" w:hAnsi="宋体" w:cs="宋体" w:eastAsia="宋体" w:hint="default"/>
          <w:sz w:val="16"/>
          <w:szCs w:val="16"/>
        </w:rPr>
      </w:pPr>
      <w:r>
        <w:rPr>
          <w:rFonts w:ascii="宋体" w:hAnsi="宋体" w:cs="宋体" w:eastAsia="宋体" w:hint="default"/>
          <w:sz w:val="16"/>
          <w:szCs w:val="16"/>
        </w:rPr>
        <w:t>3,612.64</w:t>
      </w:r>
      <w:r>
        <w:rPr>
          <w:rFonts w:ascii="宋体" w:hAnsi="宋体" w:cs="宋体" w:eastAsia="宋体" w:hint="default"/>
          <w:spacing w:val="-46"/>
          <w:sz w:val="16"/>
          <w:szCs w:val="16"/>
        </w:rPr>
        <w:t> </w:t>
      </w:r>
      <w:r>
        <w:rPr>
          <w:rFonts w:ascii="宋体" w:hAnsi="宋体" w:cs="宋体" w:eastAsia="宋体" w:hint="default"/>
          <w:sz w:val="16"/>
          <w:szCs w:val="16"/>
        </w:rPr>
        <w:t>万美元</w:t>
      </w:r>
    </w:p>
    <w:p>
      <w:pPr>
        <w:spacing w:before="74"/>
        <w:ind w:left="0" w:right="0" w:firstLine="0"/>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4"/>
          <w:sz w:val="16"/>
          <w:szCs w:val="16"/>
        </w:rPr>
        <w:t> </w:t>
      </w:r>
      <w:r>
        <w:rPr>
          <w:rFonts w:ascii="宋体" w:hAnsi="宋体" w:cs="宋体" w:eastAsia="宋体" w:hint="default"/>
          <w:sz w:val="16"/>
          <w:szCs w:val="16"/>
        </w:rPr>
        <w:t>24,794.26</w:t>
      </w:r>
      <w:r>
        <w:rPr>
          <w:rFonts w:ascii="宋体" w:hAnsi="宋体" w:cs="宋体" w:eastAsia="宋体" w:hint="default"/>
          <w:spacing w:val="-42"/>
          <w:sz w:val="16"/>
          <w:szCs w:val="16"/>
        </w:rPr>
        <w:t> </w:t>
      </w:r>
      <w:r>
        <w:rPr>
          <w:rFonts w:ascii="宋体" w:hAnsi="宋体" w:cs="宋体" w:eastAsia="宋体" w:hint="default"/>
          <w:sz w:val="16"/>
          <w:szCs w:val="16"/>
        </w:rPr>
        <w:t>万人民币</w:t>
      </w:r>
    </w:p>
    <w:p>
      <w:pPr>
        <w:spacing w:line="324" w:lineRule="auto" w:before="76"/>
        <w:ind w:left="236" w:right="0" w:firstLine="521"/>
        <w:jc w:val="right"/>
        <w:rPr>
          <w:rFonts w:ascii="宋体" w:hAnsi="宋体" w:cs="宋体" w:eastAsia="宋体" w:hint="default"/>
          <w:sz w:val="16"/>
          <w:szCs w:val="16"/>
        </w:rPr>
      </w:pPr>
      <w:r>
        <w:rPr>
          <w:rFonts w:ascii="宋体" w:hAnsi="宋体" w:cs="宋体" w:eastAsia="宋体" w:hint="default"/>
          <w:sz w:val="16"/>
          <w:szCs w:val="16"/>
        </w:rPr>
        <w:t>927.32</w:t>
      </w:r>
      <w:r>
        <w:rPr>
          <w:rFonts w:ascii="宋体" w:hAnsi="宋体" w:cs="宋体" w:eastAsia="宋体" w:hint="default"/>
          <w:spacing w:val="-46"/>
          <w:sz w:val="16"/>
          <w:szCs w:val="16"/>
        </w:rPr>
        <w:t> </w:t>
      </w:r>
      <w:r>
        <w:rPr>
          <w:rFonts w:ascii="宋体" w:hAnsi="宋体" w:cs="宋体" w:eastAsia="宋体" w:hint="default"/>
          <w:sz w:val="16"/>
          <w:szCs w:val="16"/>
        </w:rPr>
        <w:t>万美元</w:t>
      </w:r>
      <w:r>
        <w:rPr>
          <w:rFonts w:ascii="宋体" w:hAnsi="宋体" w:cs="宋体" w:eastAsia="宋体" w:hint="default"/>
          <w:w w:val="100"/>
          <w:sz w:val="16"/>
          <w:szCs w:val="16"/>
        </w:rPr>
        <w:t> </w:t>
      </w:r>
      <w:r>
        <w:rPr>
          <w:rFonts w:ascii="宋体" w:hAnsi="宋体" w:cs="宋体" w:eastAsia="宋体" w:hint="default"/>
          <w:sz w:val="16"/>
          <w:szCs w:val="16"/>
        </w:rPr>
        <w:t>约</w:t>
      </w:r>
      <w:r>
        <w:rPr>
          <w:rFonts w:ascii="宋体" w:hAnsi="宋体" w:cs="宋体" w:eastAsia="宋体" w:hint="default"/>
          <w:spacing w:val="-45"/>
          <w:sz w:val="16"/>
          <w:szCs w:val="16"/>
        </w:rPr>
        <w:t> </w:t>
      </w:r>
      <w:r>
        <w:rPr>
          <w:rFonts w:ascii="宋体" w:hAnsi="宋体" w:cs="宋体" w:eastAsia="宋体" w:hint="default"/>
          <w:sz w:val="16"/>
          <w:szCs w:val="16"/>
        </w:rPr>
        <w:t>6,364.41</w:t>
      </w:r>
      <w:r>
        <w:rPr>
          <w:rFonts w:ascii="宋体" w:hAnsi="宋体" w:cs="宋体" w:eastAsia="宋体" w:hint="default"/>
          <w:spacing w:val="-41"/>
          <w:sz w:val="16"/>
          <w:szCs w:val="16"/>
        </w:rPr>
        <w:t> </w:t>
      </w:r>
      <w:r>
        <w:rPr>
          <w:rFonts w:ascii="宋体" w:hAnsi="宋体" w:cs="宋体" w:eastAsia="宋体" w:hint="default"/>
          <w:sz w:val="16"/>
          <w:szCs w:val="16"/>
        </w:rPr>
        <w:t>万人民币</w:t>
      </w:r>
    </w:p>
    <w:p>
      <w:pPr>
        <w:spacing w:line="326" w:lineRule="auto" w:before="18"/>
        <w:ind w:left="236" w:right="0" w:firstLine="521"/>
        <w:jc w:val="right"/>
        <w:rPr>
          <w:rFonts w:ascii="宋体" w:hAnsi="宋体" w:cs="宋体" w:eastAsia="宋体" w:hint="default"/>
          <w:sz w:val="16"/>
          <w:szCs w:val="16"/>
        </w:rPr>
      </w:pPr>
      <w:r>
        <w:rPr>
          <w:rFonts w:ascii="宋体" w:hAnsi="宋体" w:cs="宋体" w:eastAsia="宋体" w:hint="default"/>
          <w:sz w:val="16"/>
          <w:szCs w:val="16"/>
        </w:rPr>
        <w:t>390.83</w:t>
      </w:r>
      <w:r>
        <w:rPr>
          <w:rFonts w:ascii="宋体" w:hAnsi="宋体" w:cs="宋体" w:eastAsia="宋体" w:hint="default"/>
          <w:spacing w:val="-46"/>
          <w:sz w:val="16"/>
          <w:szCs w:val="16"/>
        </w:rPr>
        <w:t> </w:t>
      </w:r>
      <w:r>
        <w:rPr>
          <w:rFonts w:ascii="宋体" w:hAnsi="宋体" w:cs="宋体" w:eastAsia="宋体" w:hint="default"/>
          <w:sz w:val="16"/>
          <w:szCs w:val="16"/>
        </w:rPr>
        <w:t>万美元</w:t>
      </w:r>
      <w:r>
        <w:rPr>
          <w:rFonts w:ascii="宋体" w:hAnsi="宋体" w:cs="宋体" w:eastAsia="宋体" w:hint="default"/>
          <w:w w:val="100"/>
          <w:sz w:val="16"/>
          <w:szCs w:val="16"/>
        </w:rPr>
        <w:t> </w:t>
      </w:r>
      <w:r>
        <w:rPr>
          <w:rFonts w:ascii="宋体" w:hAnsi="宋体" w:cs="宋体" w:eastAsia="宋体" w:hint="default"/>
          <w:sz w:val="16"/>
          <w:szCs w:val="16"/>
        </w:rPr>
        <w:t>约</w:t>
      </w:r>
      <w:r>
        <w:rPr>
          <w:rFonts w:ascii="宋体" w:hAnsi="宋体" w:cs="宋体" w:eastAsia="宋体" w:hint="default"/>
          <w:spacing w:val="-45"/>
          <w:sz w:val="16"/>
          <w:szCs w:val="16"/>
        </w:rPr>
        <w:t> </w:t>
      </w:r>
      <w:r>
        <w:rPr>
          <w:rFonts w:ascii="宋体" w:hAnsi="宋体" w:cs="宋体" w:eastAsia="宋体" w:hint="default"/>
          <w:sz w:val="16"/>
          <w:szCs w:val="16"/>
        </w:rPr>
        <w:t>2,682.38</w:t>
      </w:r>
      <w:r>
        <w:rPr>
          <w:rFonts w:ascii="宋体" w:hAnsi="宋体" w:cs="宋体" w:eastAsia="宋体" w:hint="default"/>
          <w:spacing w:val="-41"/>
          <w:sz w:val="16"/>
          <w:szCs w:val="16"/>
        </w:rPr>
        <w:t> </w:t>
      </w:r>
      <w:r>
        <w:rPr>
          <w:rFonts w:ascii="宋体" w:hAnsi="宋体" w:cs="宋体" w:eastAsia="宋体" w:hint="default"/>
          <w:sz w:val="16"/>
          <w:szCs w:val="16"/>
        </w:rPr>
        <w:t>万人民币</w:t>
      </w:r>
      <w:r>
        <w:rPr>
          <w:rFonts w:ascii="宋体" w:hAnsi="宋体" w:cs="宋体" w:eastAsia="宋体" w:hint="default"/>
          <w:w w:val="100"/>
          <w:sz w:val="16"/>
          <w:szCs w:val="16"/>
        </w:rPr>
        <w:t> </w:t>
      </w:r>
      <w:r>
        <w:rPr>
          <w:rFonts w:ascii="宋体" w:hAnsi="宋体" w:cs="宋体" w:eastAsia="宋体" w:hint="default"/>
          <w:sz w:val="16"/>
          <w:szCs w:val="16"/>
        </w:rPr>
        <w:t>2,313.48</w:t>
      </w:r>
      <w:r>
        <w:rPr>
          <w:rFonts w:ascii="宋体" w:hAnsi="宋体" w:cs="宋体" w:eastAsia="宋体" w:hint="default"/>
          <w:spacing w:val="-46"/>
          <w:sz w:val="16"/>
          <w:szCs w:val="16"/>
        </w:rPr>
        <w:t> </w:t>
      </w:r>
      <w:r>
        <w:rPr>
          <w:rFonts w:ascii="宋体" w:hAnsi="宋体" w:cs="宋体" w:eastAsia="宋体" w:hint="default"/>
          <w:sz w:val="16"/>
          <w:szCs w:val="16"/>
        </w:rPr>
        <w:t>万美元</w:t>
      </w:r>
    </w:p>
    <w:p>
      <w:pPr>
        <w:spacing w:before="16"/>
        <w:ind w:left="0" w:right="0" w:firstLine="0"/>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6"/>
          <w:sz w:val="16"/>
          <w:szCs w:val="16"/>
        </w:rPr>
        <w:t> </w:t>
      </w:r>
      <w:r>
        <w:rPr>
          <w:rFonts w:ascii="宋体" w:hAnsi="宋体" w:cs="宋体" w:eastAsia="宋体" w:hint="default"/>
          <w:sz w:val="16"/>
          <w:szCs w:val="16"/>
        </w:rPr>
        <w:t>15,877.86</w:t>
      </w:r>
      <w:r>
        <w:rPr>
          <w:rFonts w:ascii="宋体" w:hAnsi="宋体" w:cs="宋体" w:eastAsia="宋体" w:hint="default"/>
          <w:spacing w:val="-42"/>
          <w:sz w:val="16"/>
          <w:szCs w:val="16"/>
        </w:rPr>
        <w:t> </w:t>
      </w:r>
      <w:r>
        <w:rPr>
          <w:rFonts w:ascii="宋体" w:hAnsi="宋体" w:cs="宋体" w:eastAsia="宋体" w:hint="default"/>
          <w:sz w:val="16"/>
          <w:szCs w:val="16"/>
        </w:rPr>
        <w:t>万人民币</w:t>
      </w:r>
    </w:p>
    <w:p>
      <w:pPr>
        <w:spacing w:line="161" w:lineRule="exact" w:before="0"/>
        <w:ind w:left="75" w:right="0" w:firstLine="0"/>
        <w:jc w:val="left"/>
        <w:rPr>
          <w:rFonts w:ascii="宋体" w:hAnsi="宋体" w:cs="宋体" w:eastAsia="宋体" w:hint="default"/>
          <w:sz w:val="16"/>
          <w:szCs w:val="16"/>
        </w:rPr>
      </w:pPr>
      <w:r>
        <w:rPr/>
        <w:br w:type="column"/>
      </w:r>
      <w:r>
        <w:rPr>
          <w:rFonts w:ascii="宋体" w:hAnsi="宋体" w:cs="宋体" w:eastAsia="宋体" w:hint="default"/>
          <w:sz w:val="16"/>
          <w:szCs w:val="16"/>
        </w:rPr>
        <w:t>2018.09.24-2019.01.30</w:t>
      </w:r>
      <w:r>
        <w:rPr>
          <w:rFonts w:ascii="宋体" w:hAnsi="宋体" w:cs="宋体" w:eastAsia="宋体" w:hint="default"/>
          <w:spacing w:val="28"/>
          <w:sz w:val="16"/>
          <w:szCs w:val="16"/>
        </w:rPr>
        <w:t> </w:t>
      </w:r>
      <w:r>
        <w:rPr>
          <w:rFonts w:ascii="宋体" w:hAnsi="宋体" w:cs="宋体" w:eastAsia="宋体" w:hint="default"/>
          <w:sz w:val="16"/>
          <w:szCs w:val="16"/>
        </w:rPr>
        <w:t>押汇贷款</w:t>
      </w:r>
    </w:p>
    <w:p>
      <w:pPr>
        <w:spacing w:line="240" w:lineRule="auto" w:before="0"/>
        <w:rPr>
          <w:rFonts w:ascii="宋体" w:hAnsi="宋体" w:cs="宋体" w:eastAsia="宋体" w:hint="default"/>
          <w:sz w:val="16"/>
          <w:szCs w:val="16"/>
        </w:rPr>
      </w:pPr>
    </w:p>
    <w:p>
      <w:pPr>
        <w:spacing w:line="240" w:lineRule="auto" w:before="6"/>
        <w:rPr>
          <w:rFonts w:ascii="宋体" w:hAnsi="宋体" w:cs="宋体" w:eastAsia="宋体" w:hint="default"/>
          <w:sz w:val="11"/>
          <w:szCs w:val="11"/>
        </w:rPr>
      </w:pPr>
    </w:p>
    <w:p>
      <w:pPr>
        <w:spacing w:before="0"/>
        <w:ind w:left="75" w:right="0" w:firstLine="0"/>
        <w:jc w:val="left"/>
        <w:rPr>
          <w:rFonts w:ascii="宋体" w:hAnsi="宋体" w:cs="宋体" w:eastAsia="宋体" w:hint="default"/>
          <w:sz w:val="16"/>
          <w:szCs w:val="16"/>
        </w:rPr>
      </w:pPr>
      <w:r>
        <w:rPr>
          <w:rFonts w:ascii="宋体" w:hAnsi="宋体" w:cs="宋体" w:eastAsia="宋体" w:hint="default"/>
          <w:sz w:val="16"/>
          <w:szCs w:val="16"/>
        </w:rPr>
        <w:t>2018.08.29-2019.03.08</w:t>
      </w:r>
      <w:r>
        <w:rPr>
          <w:rFonts w:ascii="宋体" w:hAnsi="宋体" w:cs="宋体" w:eastAsia="宋体" w:hint="default"/>
          <w:spacing w:val="28"/>
          <w:sz w:val="16"/>
          <w:szCs w:val="16"/>
        </w:rPr>
        <w:t> </w:t>
      </w:r>
      <w:r>
        <w:rPr>
          <w:rFonts w:ascii="宋体" w:hAnsi="宋体" w:cs="宋体" w:eastAsia="宋体" w:hint="default"/>
          <w:sz w:val="16"/>
          <w:szCs w:val="16"/>
        </w:rPr>
        <w:t>押汇贷款</w:t>
      </w:r>
    </w:p>
    <w:p>
      <w:pPr>
        <w:spacing w:line="240" w:lineRule="auto" w:before="0"/>
        <w:rPr>
          <w:rFonts w:ascii="宋体" w:hAnsi="宋体" w:cs="宋体" w:eastAsia="宋体" w:hint="default"/>
          <w:sz w:val="16"/>
          <w:szCs w:val="16"/>
        </w:rPr>
      </w:pPr>
    </w:p>
    <w:p>
      <w:pPr>
        <w:spacing w:line="240" w:lineRule="auto" w:before="7"/>
        <w:rPr>
          <w:rFonts w:ascii="宋体" w:hAnsi="宋体" w:cs="宋体" w:eastAsia="宋体" w:hint="default"/>
          <w:sz w:val="11"/>
          <w:szCs w:val="11"/>
        </w:rPr>
      </w:pPr>
    </w:p>
    <w:p>
      <w:pPr>
        <w:spacing w:before="0"/>
        <w:ind w:left="75" w:right="0" w:firstLine="0"/>
        <w:jc w:val="left"/>
        <w:rPr>
          <w:rFonts w:ascii="宋体" w:hAnsi="宋体" w:cs="宋体" w:eastAsia="宋体" w:hint="default"/>
          <w:sz w:val="16"/>
          <w:szCs w:val="16"/>
        </w:rPr>
      </w:pPr>
      <w:r>
        <w:rPr>
          <w:rFonts w:ascii="宋体" w:hAnsi="宋体" w:cs="宋体" w:eastAsia="宋体" w:hint="default"/>
          <w:sz w:val="16"/>
          <w:szCs w:val="16"/>
        </w:rPr>
        <w:t>2018.08.08-2019.06.26</w:t>
      </w:r>
      <w:r>
        <w:rPr>
          <w:rFonts w:ascii="宋体" w:hAnsi="宋体" w:cs="宋体" w:eastAsia="宋体" w:hint="default"/>
          <w:spacing w:val="28"/>
          <w:sz w:val="16"/>
          <w:szCs w:val="16"/>
        </w:rPr>
        <w:t> </w:t>
      </w:r>
      <w:r>
        <w:rPr>
          <w:rFonts w:ascii="宋体" w:hAnsi="宋体" w:cs="宋体" w:eastAsia="宋体" w:hint="default"/>
          <w:sz w:val="16"/>
          <w:szCs w:val="16"/>
        </w:rPr>
        <w:t>发票融资</w:t>
      </w:r>
    </w:p>
    <w:p>
      <w:pPr>
        <w:spacing w:line="240" w:lineRule="auto" w:before="0"/>
        <w:rPr>
          <w:rFonts w:ascii="宋体" w:hAnsi="宋体" w:cs="宋体" w:eastAsia="宋体" w:hint="default"/>
          <w:sz w:val="16"/>
          <w:szCs w:val="16"/>
        </w:rPr>
      </w:pPr>
    </w:p>
    <w:p>
      <w:pPr>
        <w:spacing w:line="240" w:lineRule="auto" w:before="4"/>
        <w:rPr>
          <w:rFonts w:ascii="宋体" w:hAnsi="宋体" w:cs="宋体" w:eastAsia="宋体" w:hint="default"/>
          <w:sz w:val="11"/>
          <w:szCs w:val="11"/>
        </w:rPr>
      </w:pPr>
    </w:p>
    <w:p>
      <w:pPr>
        <w:spacing w:before="0"/>
        <w:ind w:left="75" w:right="0" w:firstLine="0"/>
        <w:jc w:val="left"/>
        <w:rPr>
          <w:rFonts w:ascii="宋体" w:hAnsi="宋体" w:cs="宋体" w:eastAsia="宋体" w:hint="default"/>
          <w:sz w:val="16"/>
          <w:szCs w:val="16"/>
        </w:rPr>
      </w:pPr>
      <w:r>
        <w:rPr>
          <w:rFonts w:ascii="宋体" w:hAnsi="宋体" w:cs="宋体" w:eastAsia="宋体" w:hint="default"/>
          <w:sz w:val="16"/>
          <w:szCs w:val="16"/>
        </w:rPr>
        <w:t>2018.07.12-2019.03.25</w:t>
      </w:r>
      <w:r>
        <w:rPr>
          <w:rFonts w:ascii="宋体" w:hAnsi="宋体" w:cs="宋体" w:eastAsia="宋体" w:hint="default"/>
          <w:spacing w:val="28"/>
          <w:sz w:val="16"/>
          <w:szCs w:val="16"/>
        </w:rPr>
        <w:t> </w:t>
      </w:r>
      <w:r>
        <w:rPr>
          <w:rFonts w:ascii="宋体" w:hAnsi="宋体" w:cs="宋体" w:eastAsia="宋体" w:hint="default"/>
          <w:sz w:val="16"/>
          <w:szCs w:val="16"/>
        </w:rPr>
        <w:t>海外代付</w:t>
      </w:r>
    </w:p>
    <w:p>
      <w:pPr>
        <w:spacing w:line="240" w:lineRule="auto" w:before="0"/>
        <w:rPr>
          <w:rFonts w:ascii="宋体" w:hAnsi="宋体" w:cs="宋体" w:eastAsia="宋体" w:hint="default"/>
          <w:sz w:val="16"/>
          <w:szCs w:val="16"/>
        </w:rPr>
      </w:pPr>
    </w:p>
    <w:p>
      <w:pPr>
        <w:spacing w:line="240" w:lineRule="auto" w:before="6"/>
        <w:rPr>
          <w:rFonts w:ascii="宋体" w:hAnsi="宋体" w:cs="宋体" w:eastAsia="宋体" w:hint="default"/>
          <w:sz w:val="11"/>
          <w:szCs w:val="11"/>
        </w:rPr>
      </w:pPr>
    </w:p>
    <w:p>
      <w:pPr>
        <w:spacing w:before="0"/>
        <w:ind w:left="75" w:right="0" w:firstLine="0"/>
        <w:jc w:val="left"/>
        <w:rPr>
          <w:rFonts w:ascii="宋体" w:hAnsi="宋体" w:cs="宋体" w:eastAsia="宋体" w:hint="default"/>
          <w:sz w:val="16"/>
          <w:szCs w:val="16"/>
        </w:rPr>
      </w:pPr>
      <w:r>
        <w:rPr>
          <w:rFonts w:ascii="宋体" w:hAnsi="宋体" w:cs="宋体" w:eastAsia="宋体" w:hint="default"/>
          <w:sz w:val="16"/>
          <w:szCs w:val="16"/>
        </w:rPr>
        <w:t>2018.08.21-2019.05.19</w:t>
      </w:r>
      <w:r>
        <w:rPr>
          <w:rFonts w:ascii="宋体" w:hAnsi="宋体" w:cs="宋体" w:eastAsia="宋体" w:hint="default"/>
          <w:spacing w:val="28"/>
          <w:sz w:val="16"/>
          <w:szCs w:val="16"/>
        </w:rPr>
        <w:t> </w:t>
      </w:r>
      <w:r>
        <w:rPr>
          <w:rFonts w:ascii="宋体" w:hAnsi="宋体" w:cs="宋体" w:eastAsia="宋体" w:hint="default"/>
          <w:sz w:val="16"/>
          <w:szCs w:val="16"/>
        </w:rPr>
        <w:t>押汇贷款</w:t>
      </w:r>
    </w:p>
    <w:p>
      <w:pPr>
        <w:spacing w:line="240" w:lineRule="auto" w:before="1"/>
        <w:rPr>
          <w:rFonts w:ascii="宋体" w:hAnsi="宋体" w:cs="宋体" w:eastAsia="宋体" w:hint="default"/>
          <w:sz w:val="19"/>
          <w:szCs w:val="19"/>
        </w:rPr>
      </w:pPr>
    </w:p>
    <w:p>
      <w:pPr>
        <w:spacing w:line="266" w:lineRule="exact" w:before="0"/>
        <w:ind w:left="75" w:right="0" w:firstLine="0"/>
        <w:jc w:val="left"/>
        <w:rPr>
          <w:rFonts w:ascii="宋体" w:hAnsi="宋体" w:cs="宋体" w:eastAsia="宋体" w:hint="default"/>
          <w:sz w:val="16"/>
          <w:szCs w:val="16"/>
        </w:rPr>
      </w:pPr>
      <w:r>
        <w:rPr>
          <w:rFonts w:ascii="宋体" w:hAnsi="宋体" w:cs="宋体" w:eastAsia="宋体" w:hint="default"/>
          <w:sz w:val="16"/>
          <w:szCs w:val="16"/>
        </w:rPr>
        <w:t>2018.07.10-2019.01.31</w:t>
      </w:r>
      <w:r>
        <w:rPr>
          <w:rFonts w:ascii="宋体" w:hAnsi="宋体" w:cs="宋体" w:eastAsia="宋体" w:hint="default"/>
          <w:spacing w:val="39"/>
          <w:sz w:val="16"/>
          <w:szCs w:val="16"/>
        </w:rPr>
        <w:t> </w:t>
      </w:r>
      <w:r>
        <w:rPr>
          <w:rFonts w:ascii="宋体" w:hAnsi="宋体" w:cs="宋体" w:eastAsia="宋体" w:hint="default"/>
          <w:spacing w:val="5"/>
          <w:position w:val="11"/>
          <w:sz w:val="16"/>
          <w:szCs w:val="16"/>
        </w:rPr>
        <w:t>出口应收风险</w:t>
      </w:r>
      <w:r>
        <w:rPr>
          <w:rFonts w:ascii="宋体" w:hAnsi="宋体" w:cs="宋体" w:eastAsia="宋体" w:hint="default"/>
          <w:spacing w:val="5"/>
          <w:sz w:val="16"/>
          <w:szCs w:val="16"/>
        </w:rPr>
      </w:r>
    </w:p>
    <w:p>
      <w:pPr>
        <w:spacing w:line="156" w:lineRule="exact" w:before="0"/>
        <w:ind w:left="1878" w:right="0" w:firstLine="0"/>
        <w:jc w:val="left"/>
        <w:rPr>
          <w:rFonts w:ascii="宋体" w:hAnsi="宋体" w:cs="宋体" w:eastAsia="宋体" w:hint="default"/>
          <w:sz w:val="16"/>
          <w:szCs w:val="16"/>
        </w:rPr>
      </w:pPr>
      <w:r>
        <w:rPr>
          <w:rFonts w:ascii="宋体" w:hAnsi="宋体" w:cs="宋体" w:eastAsia="宋体" w:hint="default"/>
          <w:sz w:val="16"/>
          <w:szCs w:val="16"/>
        </w:rPr>
        <w:t>参与</w:t>
      </w:r>
    </w:p>
    <w:p>
      <w:pPr>
        <w:spacing w:line="240" w:lineRule="auto" w:before="5"/>
        <w:rPr>
          <w:rFonts w:ascii="宋体" w:hAnsi="宋体" w:cs="宋体" w:eastAsia="宋体" w:hint="default"/>
          <w:sz w:val="19"/>
          <w:szCs w:val="19"/>
        </w:rPr>
      </w:pPr>
    </w:p>
    <w:p>
      <w:pPr>
        <w:spacing w:before="0"/>
        <w:ind w:left="75" w:right="0" w:firstLine="0"/>
        <w:jc w:val="left"/>
        <w:rPr>
          <w:rFonts w:ascii="宋体" w:hAnsi="宋体" w:cs="宋体" w:eastAsia="宋体" w:hint="default"/>
          <w:sz w:val="16"/>
          <w:szCs w:val="16"/>
        </w:rPr>
      </w:pPr>
      <w:r>
        <w:rPr>
          <w:rFonts w:ascii="宋体" w:hAnsi="宋体" w:cs="宋体" w:eastAsia="宋体" w:hint="default"/>
          <w:sz w:val="16"/>
          <w:szCs w:val="16"/>
        </w:rPr>
        <w:t>2018.04.09-2019.07.12</w:t>
      </w:r>
      <w:r>
        <w:rPr>
          <w:rFonts w:ascii="宋体" w:hAnsi="宋体" w:cs="宋体" w:eastAsia="宋体" w:hint="default"/>
          <w:spacing w:val="28"/>
          <w:sz w:val="16"/>
          <w:szCs w:val="16"/>
        </w:rPr>
        <w:t> </w:t>
      </w:r>
      <w:r>
        <w:rPr>
          <w:rFonts w:ascii="宋体" w:hAnsi="宋体" w:cs="宋体" w:eastAsia="宋体" w:hint="default"/>
          <w:sz w:val="16"/>
          <w:szCs w:val="16"/>
        </w:rPr>
        <w:t>海外代付</w:t>
      </w:r>
    </w:p>
    <w:p>
      <w:pPr>
        <w:spacing w:line="240" w:lineRule="auto" w:before="0"/>
        <w:rPr>
          <w:rFonts w:ascii="宋体" w:hAnsi="宋体" w:cs="宋体" w:eastAsia="宋体" w:hint="default"/>
          <w:sz w:val="16"/>
          <w:szCs w:val="16"/>
        </w:rPr>
      </w:pPr>
    </w:p>
    <w:p>
      <w:pPr>
        <w:spacing w:line="240" w:lineRule="auto" w:before="6"/>
        <w:rPr>
          <w:rFonts w:ascii="宋体" w:hAnsi="宋体" w:cs="宋体" w:eastAsia="宋体" w:hint="default"/>
          <w:sz w:val="11"/>
          <w:szCs w:val="11"/>
        </w:rPr>
      </w:pPr>
    </w:p>
    <w:p>
      <w:pPr>
        <w:spacing w:before="0"/>
        <w:ind w:left="75" w:right="0" w:firstLine="0"/>
        <w:jc w:val="left"/>
        <w:rPr>
          <w:rFonts w:ascii="宋体" w:hAnsi="宋体" w:cs="宋体" w:eastAsia="宋体" w:hint="default"/>
          <w:sz w:val="16"/>
          <w:szCs w:val="16"/>
        </w:rPr>
      </w:pPr>
      <w:r>
        <w:rPr>
          <w:rFonts w:ascii="宋体" w:hAnsi="宋体" w:cs="宋体" w:eastAsia="宋体" w:hint="default"/>
          <w:sz w:val="16"/>
          <w:szCs w:val="16"/>
        </w:rPr>
        <w:t>2018.09.26-2019.05.07</w:t>
      </w:r>
      <w:r>
        <w:rPr>
          <w:rFonts w:ascii="宋体" w:hAnsi="宋体" w:cs="宋体" w:eastAsia="宋体" w:hint="default"/>
          <w:spacing w:val="28"/>
          <w:sz w:val="16"/>
          <w:szCs w:val="16"/>
        </w:rPr>
        <w:t> </w:t>
      </w:r>
      <w:r>
        <w:rPr>
          <w:rFonts w:ascii="宋体" w:hAnsi="宋体" w:cs="宋体" w:eastAsia="宋体" w:hint="default"/>
          <w:sz w:val="16"/>
          <w:szCs w:val="16"/>
        </w:rPr>
        <w:t>押汇贷款</w:t>
      </w:r>
    </w:p>
    <w:p>
      <w:pPr>
        <w:spacing w:line="240" w:lineRule="auto" w:before="0"/>
        <w:rPr>
          <w:rFonts w:ascii="宋体" w:hAnsi="宋体" w:cs="宋体" w:eastAsia="宋体" w:hint="default"/>
          <w:sz w:val="16"/>
          <w:szCs w:val="16"/>
        </w:rPr>
      </w:pPr>
    </w:p>
    <w:p>
      <w:pPr>
        <w:spacing w:line="240" w:lineRule="auto" w:before="6"/>
        <w:rPr>
          <w:rFonts w:ascii="宋体" w:hAnsi="宋体" w:cs="宋体" w:eastAsia="宋体" w:hint="default"/>
          <w:sz w:val="11"/>
          <w:szCs w:val="11"/>
        </w:rPr>
      </w:pPr>
    </w:p>
    <w:p>
      <w:pPr>
        <w:spacing w:before="0"/>
        <w:ind w:left="75" w:right="0" w:firstLine="0"/>
        <w:jc w:val="left"/>
        <w:rPr>
          <w:rFonts w:ascii="宋体" w:hAnsi="宋体" w:cs="宋体" w:eastAsia="宋体" w:hint="default"/>
          <w:sz w:val="16"/>
          <w:szCs w:val="16"/>
        </w:rPr>
      </w:pPr>
      <w:r>
        <w:rPr>
          <w:rFonts w:ascii="宋体" w:hAnsi="宋体" w:cs="宋体" w:eastAsia="宋体" w:hint="default"/>
          <w:sz w:val="16"/>
          <w:szCs w:val="16"/>
        </w:rPr>
        <w:t>2018.10.24-2019.04.26</w:t>
      </w:r>
      <w:r>
        <w:rPr>
          <w:rFonts w:ascii="宋体" w:hAnsi="宋体" w:cs="宋体" w:eastAsia="宋体" w:hint="default"/>
          <w:spacing w:val="28"/>
          <w:sz w:val="16"/>
          <w:szCs w:val="16"/>
        </w:rPr>
        <w:t> </w:t>
      </w:r>
      <w:r>
        <w:rPr>
          <w:rFonts w:ascii="宋体" w:hAnsi="宋体" w:cs="宋体" w:eastAsia="宋体" w:hint="default"/>
          <w:sz w:val="16"/>
          <w:szCs w:val="16"/>
        </w:rPr>
        <w:t>海外代付</w:t>
      </w:r>
    </w:p>
    <w:p>
      <w:pPr>
        <w:spacing w:line="240" w:lineRule="auto" w:before="0"/>
        <w:rPr>
          <w:rFonts w:ascii="宋体" w:hAnsi="宋体" w:cs="宋体" w:eastAsia="宋体" w:hint="default"/>
          <w:sz w:val="16"/>
          <w:szCs w:val="16"/>
        </w:rPr>
      </w:pPr>
    </w:p>
    <w:p>
      <w:pPr>
        <w:spacing w:line="240" w:lineRule="auto" w:before="4"/>
        <w:rPr>
          <w:rFonts w:ascii="宋体" w:hAnsi="宋体" w:cs="宋体" w:eastAsia="宋体" w:hint="default"/>
          <w:sz w:val="11"/>
          <w:szCs w:val="11"/>
        </w:rPr>
      </w:pPr>
    </w:p>
    <w:p>
      <w:pPr>
        <w:spacing w:before="0"/>
        <w:ind w:left="75" w:right="0" w:firstLine="0"/>
        <w:jc w:val="left"/>
        <w:rPr>
          <w:rFonts w:ascii="宋体" w:hAnsi="宋体" w:cs="宋体" w:eastAsia="宋体" w:hint="default"/>
          <w:sz w:val="16"/>
          <w:szCs w:val="16"/>
        </w:rPr>
      </w:pPr>
      <w:r>
        <w:rPr>
          <w:rFonts w:ascii="宋体" w:hAnsi="宋体" w:cs="宋体" w:eastAsia="宋体" w:hint="default"/>
          <w:sz w:val="16"/>
          <w:szCs w:val="16"/>
        </w:rPr>
        <w:t>2017.12.22-2022.05.30</w:t>
      </w:r>
      <w:r>
        <w:rPr>
          <w:rFonts w:ascii="宋体" w:hAnsi="宋体" w:cs="宋体" w:eastAsia="宋体" w:hint="default"/>
          <w:spacing w:val="26"/>
          <w:sz w:val="16"/>
          <w:szCs w:val="16"/>
        </w:rPr>
        <w:t> </w:t>
      </w:r>
      <w:r>
        <w:rPr>
          <w:rFonts w:ascii="宋体" w:hAnsi="宋体" w:cs="宋体" w:eastAsia="宋体" w:hint="default"/>
          <w:sz w:val="16"/>
          <w:szCs w:val="16"/>
        </w:rPr>
        <w:t>出口融信通</w:t>
      </w:r>
    </w:p>
    <w:p>
      <w:pPr>
        <w:spacing w:after="0"/>
        <w:jc w:val="left"/>
        <w:rPr>
          <w:rFonts w:ascii="宋体" w:hAnsi="宋体" w:cs="宋体" w:eastAsia="宋体" w:hint="default"/>
          <w:sz w:val="16"/>
          <w:szCs w:val="16"/>
        </w:rPr>
        <w:sectPr>
          <w:type w:val="continuous"/>
          <w:pgSz w:w="11910" w:h="16840"/>
          <w:pgMar w:top="1000" w:bottom="280" w:left="1460" w:right="1480"/>
          <w:cols w:num="3" w:equalWidth="0">
            <w:col w:w="4017" w:space="40"/>
            <w:col w:w="1759" w:space="40"/>
            <w:col w:w="3114"/>
          </w:cols>
        </w:sectPr>
      </w:pPr>
    </w:p>
    <w:p>
      <w:pPr>
        <w:tabs>
          <w:tab w:pos="4492" w:val="left" w:leader="none"/>
        </w:tabs>
        <w:spacing w:line="261" w:lineRule="exact" w:before="0"/>
        <w:ind w:left="2484" w:right="206" w:firstLine="0"/>
        <w:jc w:val="left"/>
        <w:rPr>
          <w:rFonts w:ascii="宋体" w:hAnsi="宋体" w:cs="宋体" w:eastAsia="宋体" w:hint="default"/>
          <w:sz w:val="16"/>
          <w:szCs w:val="16"/>
        </w:rPr>
      </w:pPr>
      <w:r>
        <w:rPr>
          <w:rFonts w:ascii="宋体" w:hAnsi="宋体" w:cs="宋体" w:eastAsia="宋体" w:hint="default"/>
          <w:spacing w:val="-1"/>
          <w:position w:val="-9"/>
          <w:sz w:val="16"/>
          <w:szCs w:val="16"/>
        </w:rPr>
        <w:t>山支行营业部</w:t>
        <w:tab/>
      </w:r>
      <w:r>
        <w:rPr>
          <w:rFonts w:ascii="宋体" w:hAnsi="宋体" w:cs="宋体" w:eastAsia="宋体" w:hint="default"/>
          <w:spacing w:val="-2"/>
          <w:sz w:val="16"/>
          <w:szCs w:val="16"/>
        </w:rPr>
        <w:t>5,986.37</w:t>
      </w:r>
      <w:r>
        <w:rPr>
          <w:rFonts w:ascii="宋体" w:hAnsi="宋体" w:cs="宋体" w:eastAsia="宋体" w:hint="default"/>
          <w:sz w:val="16"/>
          <w:szCs w:val="16"/>
        </w:rPr>
        <w:t> </w:t>
      </w:r>
      <w:r>
        <w:rPr>
          <w:rFonts w:ascii="宋体" w:hAnsi="宋体" w:cs="宋体" w:eastAsia="宋体" w:hint="default"/>
          <w:spacing w:val="-1"/>
          <w:sz w:val="16"/>
          <w:szCs w:val="16"/>
        </w:rPr>
        <w:t>万人民币</w:t>
      </w:r>
      <w:r>
        <w:rPr>
          <w:rFonts w:ascii="宋体" w:hAnsi="宋体" w:cs="宋体" w:eastAsia="宋体" w:hint="default"/>
          <w:sz w:val="16"/>
          <w:szCs w:val="16"/>
        </w:rPr>
        <w:t>  </w:t>
      </w:r>
      <w:r>
        <w:rPr>
          <w:rFonts w:ascii="宋体" w:hAnsi="宋体" w:cs="宋体" w:eastAsia="宋体" w:hint="default"/>
          <w:spacing w:val="-2"/>
          <w:sz w:val="16"/>
          <w:szCs w:val="16"/>
        </w:rPr>
        <w:t>2018.08.03-2019.06.21</w:t>
      </w:r>
      <w:r>
        <w:rPr>
          <w:rFonts w:ascii="宋体" w:hAnsi="宋体" w:cs="宋体" w:eastAsia="宋体" w:hint="default"/>
          <w:spacing w:val="1"/>
          <w:sz w:val="16"/>
          <w:szCs w:val="16"/>
        </w:rPr>
        <w:t> </w:t>
      </w:r>
      <w:r>
        <w:rPr>
          <w:rFonts w:ascii="宋体" w:hAnsi="宋体" w:cs="宋体" w:eastAsia="宋体" w:hint="default"/>
          <w:sz w:val="16"/>
          <w:szCs w:val="16"/>
        </w:rPr>
        <w:t>押汇贷款</w:t>
      </w:r>
    </w:p>
    <w:p>
      <w:pPr>
        <w:spacing w:line="240" w:lineRule="auto" w:before="3"/>
        <w:rPr>
          <w:rFonts w:ascii="宋体" w:hAnsi="宋体" w:cs="宋体" w:eastAsia="宋体" w:hint="default"/>
          <w:sz w:val="2"/>
          <w:szCs w:val="2"/>
        </w:rPr>
      </w:pPr>
    </w:p>
    <w:p>
      <w:pPr>
        <w:spacing w:line="20" w:lineRule="exact"/>
        <w:ind w:left="191" w:right="0" w:firstLine="0"/>
        <w:rPr>
          <w:rFonts w:ascii="宋体" w:hAnsi="宋体" w:cs="宋体" w:eastAsia="宋体" w:hint="default"/>
          <w:sz w:val="2"/>
          <w:szCs w:val="2"/>
        </w:rPr>
      </w:pPr>
      <w:r>
        <w:rPr>
          <w:rFonts w:ascii="宋体" w:hAnsi="宋体" w:cs="宋体" w:eastAsia="宋体" w:hint="default"/>
          <w:sz w:val="2"/>
          <w:szCs w:val="2"/>
        </w:rPr>
        <w:pict>
          <v:group style="width:430.4pt;height:.5pt;mso-position-horizontal-relative:char;mso-position-vertical-relative:line" coordorigin="0,0" coordsize="8608,10">
            <v:group style="position:absolute;left:5;top:5;width:2230;height:2" coordorigin="5,5" coordsize="2230,2">
              <v:shape style="position:absolute;left:5;top:5;width:2230;height:2" coordorigin="5,5" coordsize="2230,0" path="m5,5l2235,5e" filled="false" stroked="true" strokeweight=".48001pt" strokecolor="#000000">
                <v:path arrowok="t"/>
              </v:shape>
            </v:group>
            <v:group style="position:absolute;left:2235;top:5;width:10;height:2" coordorigin="2235,5" coordsize="10,2">
              <v:shape style="position:absolute;left:2235;top:5;width:10;height:2" coordorigin="2235,5" coordsize="10,0" path="m2235,5l2245,5e" filled="false" stroked="true" strokeweight=".48001pt" strokecolor="#000000">
                <v:path arrowok="t"/>
              </v:shape>
            </v:group>
            <v:group style="position:absolute;left:2245;top:5;width:1635;height:2" coordorigin="2245,5" coordsize="1635,2">
              <v:shape style="position:absolute;left:2245;top:5;width:1635;height:2" coordorigin="2245,5" coordsize="1635,0" path="m2245,5l3879,5e" filled="false" stroked="true" strokeweight=".48001pt" strokecolor="#000000">
                <v:path arrowok="t"/>
              </v:shape>
            </v:group>
            <v:group style="position:absolute;left:3879;top:5;width:10;height:2" coordorigin="3879,5" coordsize="10,2">
              <v:shape style="position:absolute;left:3879;top:5;width:10;height:2" coordorigin="3879,5" coordsize="10,0" path="m3879,5l3889,5e" filled="false" stroked="true" strokeweight=".48001pt" strokecolor="#000000">
                <v:path arrowok="t"/>
              </v:shape>
            </v:group>
            <v:group style="position:absolute;left:3889;top:5;width:1789;height:2" coordorigin="3889,5" coordsize="1789,2">
              <v:shape style="position:absolute;left:3889;top:5;width:1789;height:2" coordorigin="3889,5" coordsize="1789,0" path="m3889,5l5677,5e" filled="false" stroked="true" strokeweight=".48001pt" strokecolor="#000000">
                <v:path arrowok="t"/>
              </v:shape>
            </v:group>
            <v:group style="position:absolute;left:5677;top:5;width:10;height:2" coordorigin="5677,5" coordsize="10,2">
              <v:shape style="position:absolute;left:5677;top:5;width:10;height:2" coordorigin="5677,5" coordsize="10,0" path="m5677,5l5687,5e" filled="false" stroked="true" strokeweight=".48001pt" strokecolor="#000000">
                <v:path arrowok="t"/>
              </v:shape>
            </v:group>
            <v:group style="position:absolute;left:5687;top:5;width:1799;height:2" coordorigin="5687,5" coordsize="1799,2">
              <v:shape style="position:absolute;left:5687;top:5;width:1799;height:2" coordorigin="5687,5" coordsize="1799,0" path="m5687,5l7485,5e" filled="false" stroked="true" strokeweight=".48001pt" strokecolor="#000000">
                <v:path arrowok="t"/>
              </v:shape>
            </v:group>
            <v:group style="position:absolute;left:7485;top:5;width:10;height:2" coordorigin="7485,5" coordsize="10,2">
              <v:shape style="position:absolute;left:7485;top:5;width:10;height:2" coordorigin="7485,5" coordsize="10,0" path="m7485,5l7494,5e" filled="false" stroked="true" strokeweight=".48001pt" strokecolor="#000000">
                <v:path arrowok="t"/>
              </v:shape>
            </v:group>
            <v:group style="position:absolute;left:7494;top:5;width:1109;height:2" coordorigin="7494,5" coordsize="1109,2">
              <v:shape style="position:absolute;left:7494;top:5;width:1109;height:2" coordorigin="7494,5" coordsize="1109,0" path="m7494,5l8603,5e" filled="false" stroked="true" strokeweight=".48001pt" strokecolor="#000000">
                <v:path arrowok="t"/>
              </v:shape>
            </v:group>
          </v:group>
        </w:pict>
      </w:r>
      <w:r>
        <w:rPr>
          <w:rFonts w:ascii="宋体" w:hAnsi="宋体" w:cs="宋体" w:eastAsia="宋体" w:hint="default"/>
          <w:sz w:val="2"/>
          <w:szCs w:val="2"/>
        </w:rPr>
      </w:r>
    </w:p>
    <w:p>
      <w:pPr>
        <w:tabs>
          <w:tab w:pos="4128" w:val="left" w:leader="none"/>
        </w:tabs>
        <w:spacing w:before="7"/>
        <w:ind w:left="254" w:right="206" w:firstLine="0"/>
        <w:jc w:val="left"/>
        <w:rPr>
          <w:rFonts w:ascii="宋体" w:hAnsi="宋体" w:cs="宋体" w:eastAsia="宋体" w:hint="default"/>
          <w:sz w:val="16"/>
          <w:szCs w:val="16"/>
        </w:rPr>
      </w:pPr>
      <w:r>
        <w:rPr>
          <w:rFonts w:ascii="宋体" w:hAnsi="宋体" w:cs="宋体" w:eastAsia="宋体" w:hint="default"/>
          <w:b/>
          <w:bCs/>
          <w:position w:val="1"/>
          <w:sz w:val="18"/>
          <w:szCs w:val="18"/>
        </w:rPr>
        <w:t>合计</w:t>
        <w:tab/>
      </w:r>
      <w:r>
        <w:rPr>
          <w:rFonts w:ascii="宋体" w:hAnsi="宋体" w:cs="宋体" w:eastAsia="宋体" w:hint="default"/>
          <w:b/>
          <w:bCs/>
          <w:sz w:val="16"/>
          <w:szCs w:val="16"/>
        </w:rPr>
        <w:t>约</w:t>
      </w:r>
      <w:r>
        <w:rPr>
          <w:rFonts w:ascii="宋体" w:hAnsi="宋体" w:cs="宋体" w:eastAsia="宋体" w:hint="default"/>
          <w:b/>
          <w:bCs/>
          <w:spacing w:val="-48"/>
          <w:sz w:val="16"/>
          <w:szCs w:val="16"/>
        </w:rPr>
        <w:t> </w:t>
      </w:r>
      <w:r>
        <w:rPr>
          <w:rFonts w:ascii="宋体" w:hAnsi="宋体" w:cs="宋体" w:eastAsia="宋体" w:hint="default"/>
          <w:b/>
          <w:bCs/>
          <w:sz w:val="16"/>
          <w:szCs w:val="16"/>
        </w:rPr>
        <w:t>106,386.37</w:t>
      </w:r>
      <w:r>
        <w:rPr>
          <w:rFonts w:ascii="宋体" w:hAnsi="宋体" w:cs="宋体" w:eastAsia="宋体" w:hint="default"/>
          <w:b/>
          <w:bCs/>
          <w:spacing w:val="-45"/>
          <w:sz w:val="16"/>
          <w:szCs w:val="16"/>
        </w:rPr>
        <w:t> </w:t>
      </w:r>
      <w:r>
        <w:rPr>
          <w:rFonts w:ascii="宋体" w:hAnsi="宋体" w:cs="宋体" w:eastAsia="宋体" w:hint="default"/>
          <w:b/>
          <w:bCs/>
          <w:sz w:val="16"/>
          <w:szCs w:val="16"/>
        </w:rPr>
        <w:t>万人民币</w:t>
      </w:r>
      <w:r>
        <w:rPr>
          <w:rFonts w:ascii="宋体" w:hAnsi="宋体" w:cs="宋体" w:eastAsia="宋体" w:hint="default"/>
          <w:sz w:val="16"/>
          <w:szCs w:val="16"/>
        </w:rPr>
      </w:r>
    </w:p>
    <w:p>
      <w:pPr>
        <w:spacing w:line="240" w:lineRule="auto" w:before="0"/>
        <w:rPr>
          <w:rFonts w:ascii="宋体" w:hAnsi="宋体" w:cs="宋体" w:eastAsia="宋体" w:hint="default"/>
          <w:b/>
          <w:bCs/>
          <w:sz w:val="2"/>
          <w:szCs w:val="2"/>
        </w:rPr>
      </w:pPr>
    </w:p>
    <w:p>
      <w:pPr>
        <w:spacing w:line="28" w:lineRule="exact"/>
        <w:ind w:left="167"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2.1pt;height:1.45pt;mso-position-horizontal-relative:char;mso-position-vertical-relative:line" coordorigin="0,0" coordsize="8642,29">
            <v:group style="position:absolute;left:14;top:14;width:2245;height:2" coordorigin="14,14" coordsize="2245,2">
              <v:shape style="position:absolute;left:14;top:14;width:2245;height:2" coordorigin="14,14" coordsize="2245,0" path="m14,14l2259,14e" filled="false" stroked="true" strokeweight="1.44pt" strokecolor="#000000">
                <v:path arrowok="t"/>
              </v:shape>
            </v:group>
            <v:group style="position:absolute;left:2245;top:14;width:29;height:2" coordorigin="2245,14" coordsize="29,2">
              <v:shape style="position:absolute;left:2245;top:14;width:29;height:2" coordorigin="2245,14" coordsize="29,0" path="m2245,14l2273,14e" filled="false" stroked="true" strokeweight="1.44pt" strokecolor="#000000">
                <v:path arrowok="t"/>
              </v:shape>
            </v:group>
            <v:group style="position:absolute;left:2273;top:14;width:1630;height:2" coordorigin="2273,14" coordsize="1630,2">
              <v:shape style="position:absolute;left:2273;top:14;width:1630;height:2" coordorigin="2273,14" coordsize="1630,0" path="m2273,14l3903,14e" filled="false" stroked="true" strokeweight="1.44pt" strokecolor="#000000">
                <v:path arrowok="t"/>
              </v:shape>
            </v:group>
            <v:group style="position:absolute;left:3889;top:14;width:29;height:2" coordorigin="3889,14" coordsize="29,2">
              <v:shape style="position:absolute;left:3889;top:14;width:29;height:2" coordorigin="3889,14" coordsize="29,0" path="m3889,14l3917,14e" filled="false" stroked="true" strokeweight="1.44pt" strokecolor="#000000">
                <v:path arrowok="t"/>
              </v:shape>
            </v:group>
            <v:group style="position:absolute;left:3917;top:14;width:1784;height:2" coordorigin="3917,14" coordsize="1784,2">
              <v:shape style="position:absolute;left:3917;top:14;width:1784;height:2" coordorigin="3917,14" coordsize="1784,0" path="m3917,14l5701,14e" filled="false" stroked="true" strokeweight="1.44pt" strokecolor="#000000">
                <v:path arrowok="t"/>
              </v:shape>
            </v:group>
            <v:group style="position:absolute;left:5687;top:14;width:29;height:2" coordorigin="5687,14" coordsize="29,2">
              <v:shape style="position:absolute;left:5687;top:14;width:29;height:2" coordorigin="5687,14" coordsize="29,0" path="m5687,14l5715,14e" filled="false" stroked="true" strokeweight="1.44pt" strokecolor="#000000">
                <v:path arrowok="t"/>
              </v:shape>
            </v:group>
            <v:group style="position:absolute;left:5715;top:14;width:1794;height:2" coordorigin="5715,14" coordsize="1794,2">
              <v:shape style="position:absolute;left:5715;top:14;width:1794;height:2" coordorigin="5715,14" coordsize="1794,0" path="m5715,14l7509,14e" filled="false" stroked="true" strokeweight="1.44pt" strokecolor="#000000">
                <v:path arrowok="t"/>
              </v:shape>
            </v:group>
            <v:group style="position:absolute;left:7494;top:14;width:29;height:2" coordorigin="7494,14" coordsize="29,2">
              <v:shape style="position:absolute;left:7494;top:14;width:29;height:2" coordorigin="7494,14" coordsize="29,0" path="m7494,14l7523,14e" filled="false" stroked="true" strokeweight="1.44pt" strokecolor="#000000">
                <v:path arrowok="t"/>
              </v:shape>
            </v:group>
            <v:group style="position:absolute;left:7523;top:14;width:1104;height:2" coordorigin="7523,14" coordsize="1104,2">
              <v:shape style="position:absolute;left:7523;top:14;width:1104;height:2" coordorigin="7523,14" coordsize="1104,0" path="m7523,14l8627,14e" filled="false" stroked="true" strokeweight="1.44pt" strokecolor="#000000">
                <v:path arrowok="t"/>
              </v:shape>
            </v:group>
          </v:group>
        </w:pict>
      </w:r>
      <w:r>
        <w:rPr>
          <w:rFonts w:ascii="宋体" w:hAnsi="宋体" w:cs="宋体" w:eastAsia="宋体" w:hint="default"/>
          <w:position w:val="0"/>
          <w:sz w:val="2"/>
          <w:szCs w:val="2"/>
        </w:rPr>
      </w:r>
    </w:p>
    <w:p>
      <w:pPr>
        <w:tabs>
          <w:tab w:pos="1194" w:val="left" w:leader="none"/>
        </w:tabs>
        <w:spacing w:before="21"/>
        <w:ind w:left="808" w:right="4889"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tab/>
      </w:r>
      <w:r>
        <w:rPr>
          <w:rFonts w:ascii="宋体" w:hAnsi="宋体" w:cs="宋体" w:eastAsia="宋体" w:hint="default"/>
          <w:sz w:val="22"/>
          <w:szCs w:val="22"/>
        </w:rPr>
        <w:t>信用证担保</w:t>
      </w:r>
    </w:p>
    <w:p>
      <w:pPr>
        <w:spacing w:line="240" w:lineRule="auto" w:before="5"/>
        <w:rPr>
          <w:rFonts w:ascii="宋体" w:hAnsi="宋体" w:cs="宋体" w:eastAsia="宋体" w:hint="default"/>
          <w:sz w:val="11"/>
          <w:szCs w:val="11"/>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3.9pt;height:1.45pt;mso-position-horizontal-relative:char;mso-position-vertical-relative:line" coordorigin="0,0" coordsize="8678,29">
            <v:group style="position:absolute;left:14;top:14;width:2516;height:2" coordorigin="14,14" coordsize="2516,2">
              <v:shape style="position:absolute;left:14;top:14;width:2516;height:2" coordorigin="14,14" coordsize="2516,0" path="m14,14l2530,14e" filled="false" stroked="true" strokeweight="1.44pt" strokecolor="#000000">
                <v:path arrowok="t"/>
              </v:shape>
            </v:group>
            <v:group style="position:absolute;left:2530;top:14;width:29;height:2" coordorigin="2530,14" coordsize="29,2">
              <v:shape style="position:absolute;left:2530;top:14;width:29;height:2" coordorigin="2530,14" coordsize="29,0" path="m2530,14l2559,14e" filled="false" stroked="true" strokeweight="1.44pt" strokecolor="#000000">
                <v:path arrowok="t"/>
              </v:shape>
            </v:group>
            <v:group style="position:absolute;left:2559;top:14;width:2660;height:2" coordorigin="2559,14" coordsize="2660,2">
              <v:shape style="position:absolute;left:2559;top:14;width:2660;height:2" coordorigin="2559,14" coordsize="2660,0" path="m2559,14l5219,14e" filled="false" stroked="true" strokeweight="1.44pt" strokecolor="#000000">
                <v:path arrowok="t"/>
              </v:shape>
            </v:group>
            <v:group style="position:absolute;left:5219;top:14;width:29;height:2" coordorigin="5219,14" coordsize="29,2">
              <v:shape style="position:absolute;left:5219;top:14;width:29;height:2" coordorigin="5219,14" coordsize="29,0" path="m5219,14l5247,14e" filled="false" stroked="true" strokeweight="1.44pt" strokecolor="#000000">
                <v:path arrowok="t"/>
              </v:shape>
            </v:group>
            <v:group style="position:absolute;left:5247;top:14;width:1609;height:2" coordorigin="5247,14" coordsize="1609,2">
              <v:shape style="position:absolute;left:5247;top:14;width:1609;height:2" coordorigin="5247,14" coordsize="1609,0" path="m5247,14l6856,14e" filled="false" stroked="true" strokeweight="1.44pt" strokecolor="#000000">
                <v:path arrowok="t"/>
              </v:shape>
            </v:group>
            <v:group style="position:absolute;left:6856;top:14;width:29;height:2" coordorigin="6856,14" coordsize="29,2">
              <v:shape style="position:absolute;left:6856;top:14;width:29;height:2" coordorigin="6856,14" coordsize="29,0" path="m6856,14l6885,14e" filled="false" stroked="true" strokeweight="1.44pt" strokecolor="#000000">
                <v:path arrowok="t"/>
              </v:shape>
            </v:group>
            <v:group style="position:absolute;left:6885;top:14;width:1779;height:2" coordorigin="6885,14" coordsize="1779,2">
              <v:shape style="position:absolute;left:6885;top:14;width:1779;height:2" coordorigin="6885,14" coordsize="1779,0" path="m6885,14l8663,14e" filled="false" stroked="true" strokeweight="1.44pt" strokecolor="#000000">
                <v:path arrowok="t"/>
              </v:shape>
            </v:group>
          </v:group>
        </w:pict>
      </w:r>
      <w:r>
        <w:rPr>
          <w:rFonts w:ascii="宋体" w:hAnsi="宋体" w:cs="宋体" w:eastAsia="宋体" w:hint="default"/>
          <w:position w:val="0"/>
          <w:sz w:val="2"/>
          <w:szCs w:val="2"/>
        </w:rPr>
      </w:r>
    </w:p>
    <w:p>
      <w:pPr>
        <w:tabs>
          <w:tab w:pos="3672" w:val="left" w:leader="none"/>
          <w:tab w:pos="5755" w:val="left" w:leader="none"/>
          <w:tab w:pos="7474" w:val="left" w:leader="none"/>
        </w:tabs>
        <w:spacing w:before="15"/>
        <w:ind w:left="1070" w:right="206" w:firstLine="0"/>
        <w:jc w:val="left"/>
        <w:rPr>
          <w:rFonts w:ascii="宋体" w:hAnsi="宋体" w:cs="宋体" w:eastAsia="宋体" w:hint="default"/>
          <w:sz w:val="16"/>
          <w:szCs w:val="16"/>
        </w:rPr>
      </w:pPr>
      <w:r>
        <w:rPr>
          <w:rFonts w:ascii="宋体" w:hAnsi="宋体" w:cs="宋体" w:eastAsia="宋体" w:hint="default"/>
          <w:b/>
          <w:bCs/>
          <w:sz w:val="16"/>
          <w:szCs w:val="16"/>
        </w:rPr>
        <w:t>被担保方</w:t>
        <w:tab/>
        <w:t>贷款银行</w:t>
        <w:tab/>
        <w:t>信用证金额</w:t>
        <w:tab/>
        <w:t>信用证期限</w:t>
      </w:r>
      <w:r>
        <w:rPr>
          <w:rFonts w:ascii="宋体" w:hAnsi="宋体" w:cs="宋体" w:eastAsia="宋体" w:hint="default"/>
          <w:sz w:val="16"/>
          <w:szCs w:val="16"/>
        </w:rPr>
      </w:r>
    </w:p>
    <w:p>
      <w:pPr>
        <w:spacing w:line="240" w:lineRule="auto" w:before="9"/>
        <w:rPr>
          <w:rFonts w:ascii="宋体" w:hAnsi="宋体" w:cs="宋体" w:eastAsia="宋体" w:hint="default"/>
          <w:b/>
          <w:bCs/>
          <w:sz w:val="4"/>
          <w:szCs w:val="4"/>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32.95pt;height:.5pt;mso-position-horizontal-relative:char;mso-position-vertical-relative:line" coordorigin="0,0" coordsize="8659,10">
            <v:group style="position:absolute;left:5;top:5;width:2516;height:2" coordorigin="5,5" coordsize="2516,2">
              <v:shape style="position:absolute;left:5;top:5;width:2516;height:2" coordorigin="5,5" coordsize="2516,0" path="m5,5l2520,5e" filled="false" stroked="true" strokeweight=".47998pt" strokecolor="#000000">
                <v:path arrowok="t"/>
              </v:shape>
            </v:group>
            <v:group style="position:absolute;left:2521;top:5;width:10;height:2" coordorigin="2521,5" coordsize="10,2">
              <v:shape style="position:absolute;left:2521;top:5;width:10;height:2" coordorigin="2521,5" coordsize="10,0" path="m2521,5l2530,5e" filled="false" stroked="true" strokeweight=".47998pt" strokecolor="#000000">
                <v:path arrowok="t"/>
              </v:shape>
            </v:group>
            <v:group style="position:absolute;left:2530;top:5;width:2679;height:2" coordorigin="2530,5" coordsize="2679,2">
              <v:shape style="position:absolute;left:2530;top:5;width:2679;height:2" coordorigin="2530,5" coordsize="2679,0" path="m2530,5l5209,5e" filled="false" stroked="true" strokeweight=".47998pt" strokecolor="#000000">
                <v:path arrowok="t"/>
              </v:shape>
            </v:group>
            <v:group style="position:absolute;left:5209;top:5;width:10;height:2" coordorigin="5209,5" coordsize="10,2">
              <v:shape style="position:absolute;left:5209;top:5;width:10;height:2" coordorigin="5209,5" coordsize="10,0" path="m5209,5l5219,5e" filled="false" stroked="true" strokeweight=".47998pt" strokecolor="#000000">
                <v:path arrowok="t"/>
              </v:shape>
            </v:group>
            <v:group style="position:absolute;left:5219;top:5;width:1628;height:2" coordorigin="5219,5" coordsize="1628,2">
              <v:shape style="position:absolute;left:5219;top:5;width:1628;height:2" coordorigin="5219,5" coordsize="1628,0" path="m5219,5l6846,5e" filled="false" stroked="true" strokeweight=".47998pt" strokecolor="#000000">
                <v:path arrowok="t"/>
              </v:shape>
            </v:group>
            <v:group style="position:absolute;left:6846;top:5;width:10;height:2" coordorigin="6846,5" coordsize="10,2">
              <v:shape style="position:absolute;left:6846;top:5;width:10;height:2" coordorigin="6846,5" coordsize="10,0" path="m6846,5l6856,5e" filled="false" stroked="true" strokeweight=".47998pt" strokecolor="#000000">
                <v:path arrowok="t"/>
              </v:shape>
            </v:group>
            <v:group style="position:absolute;left:6856;top:5;width:1798;height:2" coordorigin="6856,5" coordsize="1798,2">
              <v:shape style="position:absolute;left:6856;top:5;width:1798;height:2" coordorigin="6856,5" coordsize="1798,0" path="m6856,5l8654,5e" filled="false" stroked="true" strokeweight=".47998pt" strokecolor="#000000">
                <v:path arrowok="t"/>
              </v:shape>
            </v:group>
          </v:group>
        </w:pict>
      </w:r>
      <w:r>
        <w:rPr>
          <w:rFonts w:ascii="宋体" w:hAnsi="宋体" w:cs="宋体" w:eastAsia="宋体" w:hint="default"/>
          <w:sz w:val="2"/>
          <w:szCs w:val="2"/>
        </w:rPr>
      </w:r>
    </w:p>
    <w:p>
      <w:pPr>
        <w:tabs>
          <w:tab w:pos="1087" w:val="left" w:leader="none"/>
        </w:tabs>
        <w:spacing w:line="192" w:lineRule="exact" w:before="0"/>
        <w:ind w:left="0" w:right="329" w:firstLine="0"/>
        <w:jc w:val="right"/>
        <w:rPr>
          <w:rFonts w:ascii="宋体" w:hAnsi="宋体" w:cs="宋体" w:eastAsia="宋体" w:hint="default"/>
          <w:sz w:val="16"/>
          <w:szCs w:val="16"/>
        </w:rPr>
      </w:pPr>
      <w:r>
        <w:rPr>
          <w:rFonts w:ascii="宋体" w:hAnsi="宋体" w:cs="宋体" w:eastAsia="宋体" w:hint="default"/>
          <w:spacing w:val="-1"/>
          <w:position w:val="4"/>
          <w:sz w:val="16"/>
          <w:szCs w:val="16"/>
        </w:rPr>
        <w:t>2.58</w:t>
      </w:r>
      <w:r>
        <w:rPr>
          <w:rFonts w:ascii="宋体" w:hAnsi="宋体" w:cs="宋体" w:eastAsia="宋体" w:hint="default"/>
          <w:spacing w:val="-34"/>
          <w:position w:val="4"/>
          <w:sz w:val="16"/>
          <w:szCs w:val="16"/>
        </w:rPr>
        <w:t> </w:t>
      </w:r>
      <w:r>
        <w:rPr>
          <w:rFonts w:ascii="宋体" w:hAnsi="宋体" w:cs="宋体" w:eastAsia="宋体" w:hint="default"/>
          <w:spacing w:val="-1"/>
          <w:position w:val="4"/>
          <w:sz w:val="16"/>
          <w:szCs w:val="16"/>
        </w:rPr>
        <w:t>万美元</w:t>
        <w:tab/>
      </w:r>
      <w:r>
        <w:rPr>
          <w:rFonts w:ascii="宋体" w:hAnsi="宋体" w:cs="宋体" w:eastAsia="宋体" w:hint="default"/>
          <w:spacing w:val="-2"/>
          <w:sz w:val="16"/>
          <w:szCs w:val="16"/>
        </w:rPr>
        <w:t>2018.12.27-2019.03.</w:t>
      </w:r>
    </w:p>
    <w:p>
      <w:pPr>
        <w:spacing w:after="0" w:line="192" w:lineRule="exact"/>
        <w:jc w:val="right"/>
        <w:rPr>
          <w:rFonts w:ascii="宋体" w:hAnsi="宋体" w:cs="宋体" w:eastAsia="宋体" w:hint="default"/>
          <w:sz w:val="16"/>
          <w:szCs w:val="16"/>
        </w:rPr>
        <w:sectPr>
          <w:type w:val="continuous"/>
          <w:pgSz w:w="11910" w:h="16840"/>
          <w:pgMar w:top="1000" w:bottom="280" w:left="1460" w:right="1480"/>
        </w:sectPr>
      </w:pPr>
    </w:p>
    <w:p>
      <w:pPr>
        <w:tabs>
          <w:tab w:pos="2757" w:val="left" w:leader="none"/>
        </w:tabs>
        <w:spacing w:line="161" w:lineRule="exact" w:before="0"/>
        <w:ind w:left="350" w:right="-10" w:firstLine="0"/>
        <w:jc w:val="left"/>
        <w:rPr>
          <w:rFonts w:ascii="宋体" w:hAnsi="宋体" w:cs="宋体" w:eastAsia="宋体" w:hint="default"/>
          <w:sz w:val="16"/>
          <w:szCs w:val="16"/>
        </w:rPr>
      </w:pPr>
      <w:r>
        <w:rPr>
          <w:rFonts w:ascii="宋体" w:hAnsi="宋体" w:cs="宋体" w:eastAsia="宋体" w:hint="default"/>
          <w:spacing w:val="-1"/>
          <w:sz w:val="16"/>
          <w:szCs w:val="16"/>
        </w:rPr>
        <w:t>沈阳同方多媒体科技有限公司</w:t>
        <w:tab/>
        <w:t>民生银行沈阳分行</w:t>
      </w:r>
    </w:p>
    <w:p>
      <w:pPr>
        <w:tabs>
          <w:tab w:pos="2719" w:val="right" w:leader="none"/>
        </w:tabs>
        <w:spacing w:before="55"/>
        <w:ind w:left="350" w:right="0" w:firstLine="0"/>
        <w:jc w:val="left"/>
        <w:rPr>
          <w:rFonts w:ascii="宋体" w:hAnsi="宋体" w:cs="宋体" w:eastAsia="宋体" w:hint="default"/>
          <w:sz w:val="16"/>
          <w:szCs w:val="16"/>
        </w:rPr>
      </w:pPr>
      <w:r>
        <w:rPr/>
        <w:br w:type="column"/>
      </w:r>
      <w:r>
        <w:rPr>
          <w:rFonts w:ascii="宋体" w:hAnsi="宋体" w:cs="宋体" w:eastAsia="宋体" w:hint="default"/>
          <w:sz w:val="16"/>
          <w:szCs w:val="16"/>
        </w:rPr>
        <w:t>约</w:t>
      </w:r>
      <w:r>
        <w:rPr>
          <w:rFonts w:ascii="宋体" w:hAnsi="宋体" w:cs="宋体" w:eastAsia="宋体" w:hint="default"/>
          <w:spacing w:val="-40"/>
          <w:sz w:val="16"/>
          <w:szCs w:val="16"/>
        </w:rPr>
        <w:t> </w:t>
      </w:r>
      <w:r>
        <w:rPr>
          <w:rFonts w:ascii="宋体" w:hAnsi="宋体" w:cs="宋体" w:eastAsia="宋体" w:hint="default"/>
          <w:sz w:val="16"/>
          <w:szCs w:val="16"/>
        </w:rPr>
        <w:t>17.68</w:t>
      </w:r>
      <w:r>
        <w:rPr>
          <w:rFonts w:ascii="宋体" w:hAnsi="宋体" w:cs="宋体" w:eastAsia="宋体" w:hint="default"/>
          <w:spacing w:val="-41"/>
          <w:sz w:val="16"/>
          <w:szCs w:val="16"/>
        </w:rPr>
        <w:t> </w:t>
      </w:r>
      <w:r>
        <w:rPr>
          <w:rFonts w:ascii="宋体" w:hAnsi="宋体" w:cs="宋体" w:eastAsia="宋体" w:hint="default"/>
          <w:sz w:val="16"/>
          <w:szCs w:val="16"/>
        </w:rPr>
        <w:t>万人民币</w:t>
      </w:r>
      <w:r>
        <w:rPr>
          <w:rFonts w:ascii="宋体" w:hAnsi="宋体" w:cs="宋体" w:eastAsia="宋体" w:hint="default"/>
          <w:position w:val="4"/>
          <w:sz w:val="16"/>
          <w:szCs w:val="16"/>
        </w:rPr>
        <w:tab/>
        <w:t>27</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1910" w:h="16840"/>
          <w:pgMar w:top="1000" w:bottom="280" w:left="1460" w:right="1480"/>
          <w:cols w:num="2" w:equalWidth="0">
            <w:col w:w="4040" w:space="1200"/>
            <w:col w:w="3730"/>
          </w:cols>
        </w:sectPr>
      </w:pPr>
    </w:p>
    <w:p>
      <w:pPr>
        <w:tabs>
          <w:tab w:pos="1087" w:val="left" w:leader="none"/>
        </w:tabs>
        <w:spacing w:line="192" w:lineRule="exact" w:before="72"/>
        <w:ind w:left="0" w:right="329" w:firstLine="0"/>
        <w:jc w:val="right"/>
        <w:rPr>
          <w:rFonts w:ascii="宋体" w:hAnsi="宋体" w:cs="宋体" w:eastAsia="宋体" w:hint="default"/>
          <w:sz w:val="16"/>
          <w:szCs w:val="16"/>
        </w:rPr>
      </w:pPr>
      <w:r>
        <w:rPr>
          <w:rFonts w:ascii="宋体" w:hAnsi="宋体" w:cs="宋体" w:eastAsia="宋体" w:hint="default"/>
          <w:spacing w:val="-1"/>
          <w:position w:val="4"/>
          <w:sz w:val="16"/>
          <w:szCs w:val="16"/>
        </w:rPr>
        <w:t>5.14</w:t>
      </w:r>
      <w:r>
        <w:rPr>
          <w:rFonts w:ascii="宋体" w:hAnsi="宋体" w:cs="宋体" w:eastAsia="宋体" w:hint="default"/>
          <w:spacing w:val="-34"/>
          <w:position w:val="4"/>
          <w:sz w:val="16"/>
          <w:szCs w:val="16"/>
        </w:rPr>
        <w:t> </w:t>
      </w:r>
      <w:r>
        <w:rPr>
          <w:rFonts w:ascii="宋体" w:hAnsi="宋体" w:cs="宋体" w:eastAsia="宋体" w:hint="default"/>
          <w:spacing w:val="-1"/>
          <w:position w:val="4"/>
          <w:sz w:val="16"/>
          <w:szCs w:val="16"/>
        </w:rPr>
        <w:t>万美元</w:t>
        <w:tab/>
      </w:r>
      <w:r>
        <w:rPr>
          <w:rFonts w:ascii="宋体" w:hAnsi="宋体" w:cs="宋体" w:eastAsia="宋体" w:hint="default"/>
          <w:spacing w:val="-2"/>
          <w:sz w:val="16"/>
          <w:szCs w:val="16"/>
        </w:rPr>
        <w:t>2018.11.01-2019.01.</w:t>
      </w:r>
    </w:p>
    <w:p>
      <w:pPr>
        <w:spacing w:after="0" w:line="192" w:lineRule="exact"/>
        <w:jc w:val="right"/>
        <w:rPr>
          <w:rFonts w:ascii="宋体" w:hAnsi="宋体" w:cs="宋体" w:eastAsia="宋体" w:hint="default"/>
          <w:sz w:val="16"/>
          <w:szCs w:val="16"/>
        </w:rPr>
        <w:sectPr>
          <w:type w:val="continuous"/>
          <w:pgSz w:w="11910" w:h="16840"/>
          <w:pgMar w:top="1000" w:bottom="280" w:left="1460" w:right="1480"/>
        </w:sectPr>
      </w:pPr>
    </w:p>
    <w:p>
      <w:pPr>
        <w:tabs>
          <w:tab w:pos="2757" w:val="left" w:leader="none"/>
        </w:tabs>
        <w:spacing w:line="161" w:lineRule="exact" w:before="0"/>
        <w:ind w:left="350" w:right="-10" w:firstLine="0"/>
        <w:jc w:val="left"/>
        <w:rPr>
          <w:rFonts w:ascii="宋体" w:hAnsi="宋体" w:cs="宋体" w:eastAsia="宋体" w:hint="default"/>
          <w:sz w:val="16"/>
          <w:szCs w:val="16"/>
        </w:rPr>
      </w:pPr>
      <w:r>
        <w:rPr>
          <w:rFonts w:ascii="宋体" w:hAnsi="宋体" w:cs="宋体" w:eastAsia="宋体" w:hint="default"/>
          <w:spacing w:val="-1"/>
          <w:sz w:val="16"/>
          <w:szCs w:val="16"/>
        </w:rPr>
        <w:t>沈阳同方多媒体科技有限公司</w:t>
        <w:tab/>
        <w:t>中信银行沈阳分行</w:t>
      </w:r>
    </w:p>
    <w:p>
      <w:pPr>
        <w:tabs>
          <w:tab w:pos="2719" w:val="right" w:leader="none"/>
        </w:tabs>
        <w:spacing w:before="53"/>
        <w:ind w:left="350" w:right="0" w:firstLine="0"/>
        <w:jc w:val="left"/>
        <w:rPr>
          <w:rFonts w:ascii="宋体" w:hAnsi="宋体" w:cs="宋体" w:eastAsia="宋体" w:hint="default"/>
          <w:sz w:val="16"/>
          <w:szCs w:val="16"/>
        </w:rPr>
      </w:pPr>
      <w:r>
        <w:rPr/>
        <w:br w:type="column"/>
      </w:r>
      <w:r>
        <w:rPr>
          <w:rFonts w:ascii="宋体" w:hAnsi="宋体" w:cs="宋体" w:eastAsia="宋体" w:hint="default"/>
          <w:sz w:val="16"/>
          <w:szCs w:val="16"/>
        </w:rPr>
        <w:t>约</w:t>
      </w:r>
      <w:r>
        <w:rPr>
          <w:rFonts w:ascii="宋体" w:hAnsi="宋体" w:cs="宋体" w:eastAsia="宋体" w:hint="default"/>
          <w:spacing w:val="-40"/>
          <w:sz w:val="16"/>
          <w:szCs w:val="16"/>
        </w:rPr>
        <w:t> </w:t>
      </w:r>
      <w:r>
        <w:rPr>
          <w:rFonts w:ascii="宋体" w:hAnsi="宋体" w:cs="宋体" w:eastAsia="宋体" w:hint="default"/>
          <w:sz w:val="16"/>
          <w:szCs w:val="16"/>
        </w:rPr>
        <w:t>35.25</w:t>
      </w:r>
      <w:r>
        <w:rPr>
          <w:rFonts w:ascii="宋体" w:hAnsi="宋体" w:cs="宋体" w:eastAsia="宋体" w:hint="default"/>
          <w:spacing w:val="-41"/>
          <w:sz w:val="16"/>
          <w:szCs w:val="16"/>
        </w:rPr>
        <w:t> </w:t>
      </w:r>
      <w:r>
        <w:rPr>
          <w:rFonts w:ascii="宋体" w:hAnsi="宋体" w:cs="宋体" w:eastAsia="宋体" w:hint="default"/>
          <w:sz w:val="16"/>
          <w:szCs w:val="16"/>
        </w:rPr>
        <w:t>万人民币</w:t>
      </w:r>
      <w:r>
        <w:rPr>
          <w:rFonts w:ascii="宋体" w:hAnsi="宋体" w:cs="宋体" w:eastAsia="宋体" w:hint="default"/>
          <w:position w:val="4"/>
          <w:sz w:val="16"/>
          <w:szCs w:val="16"/>
        </w:rPr>
        <w:tab/>
        <w:t>30</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1910" w:h="16840"/>
          <w:pgMar w:top="1000" w:bottom="280" w:left="1460" w:right="1480"/>
          <w:cols w:num="2" w:equalWidth="0">
            <w:col w:w="4040" w:space="1200"/>
            <w:col w:w="3730"/>
          </w:cols>
        </w:sectPr>
      </w:pPr>
    </w:p>
    <w:p>
      <w:pPr>
        <w:tabs>
          <w:tab w:pos="5582" w:val="left" w:leader="none"/>
        </w:tabs>
        <w:spacing w:before="86"/>
        <w:ind w:left="242" w:right="206" w:firstLine="0"/>
        <w:jc w:val="left"/>
        <w:rPr>
          <w:rFonts w:ascii="宋体" w:hAnsi="宋体" w:cs="宋体" w:eastAsia="宋体" w:hint="default"/>
          <w:sz w:val="16"/>
          <w:szCs w:val="16"/>
        </w:rPr>
      </w:pPr>
      <w:r>
        <w:rPr/>
        <w:pict>
          <v:group style="position:absolute;margin-left:79.463982pt;margin-top:3.203714pt;width:432.95pt;height:.5pt;mso-position-horizontal-relative:page;mso-position-vertical-relative:paragraph;z-index:5344" coordorigin="1589,64" coordsize="8659,10">
            <v:group style="position:absolute;left:1594;top:69;width:2516;height:2" coordorigin="1594,69" coordsize="2516,2">
              <v:shape style="position:absolute;left:1594;top:69;width:2516;height:2" coordorigin="1594,69" coordsize="2516,0" path="m1594,69l4110,69e" filled="false" stroked="true" strokeweight=".48004pt" strokecolor="#000000">
                <v:path arrowok="t"/>
              </v:shape>
            </v:group>
            <v:group style="position:absolute;left:4110;top:69;width:10;height:2" coordorigin="4110,69" coordsize="10,2">
              <v:shape style="position:absolute;left:4110;top:69;width:10;height:2" coordorigin="4110,69" coordsize="10,0" path="m4110,69l4119,69e" filled="false" stroked="true" strokeweight=".48004pt" strokecolor="#000000">
                <v:path arrowok="t"/>
              </v:shape>
            </v:group>
            <v:group style="position:absolute;left:4119;top:69;width:2679;height:2" coordorigin="4119,69" coordsize="2679,2">
              <v:shape style="position:absolute;left:4119;top:69;width:2679;height:2" coordorigin="4119,69" coordsize="2679,0" path="m4119,69l6798,69e" filled="false" stroked="true" strokeweight=".48004pt" strokecolor="#000000">
                <v:path arrowok="t"/>
              </v:shape>
            </v:group>
            <v:group style="position:absolute;left:6798;top:69;width:10;height:2" coordorigin="6798,69" coordsize="10,2">
              <v:shape style="position:absolute;left:6798;top:69;width:10;height:2" coordorigin="6798,69" coordsize="10,0" path="m6798,69l6808,69e" filled="false" stroked="true" strokeweight=".48004pt" strokecolor="#000000">
                <v:path arrowok="t"/>
              </v:shape>
            </v:group>
            <v:group style="position:absolute;left:6808;top:69;width:1628;height:2" coordorigin="6808,69" coordsize="1628,2">
              <v:shape style="position:absolute;left:6808;top:69;width:1628;height:2" coordorigin="6808,69" coordsize="1628,0" path="m6808,69l8435,69e" filled="false" stroked="true" strokeweight=".48004pt" strokecolor="#000000">
                <v:path arrowok="t"/>
              </v:shape>
            </v:group>
            <v:group style="position:absolute;left:8436;top:69;width:10;height:2" coordorigin="8436,69" coordsize="10,2">
              <v:shape style="position:absolute;left:8436;top:69;width:10;height:2" coordorigin="8436,69" coordsize="10,0" path="m8436,69l8445,69e" filled="false" stroked="true" strokeweight=".48004pt" strokecolor="#000000">
                <v:path arrowok="t"/>
              </v:shape>
            </v:group>
            <v:group style="position:absolute;left:8445;top:69;width:1798;height:2" coordorigin="8445,69" coordsize="1798,2">
              <v:shape style="position:absolute;left:8445;top:69;width:1798;height:2" coordorigin="8445,69" coordsize="1798,0" path="m8445,69l10243,69e" filled="false" stroked="true" strokeweight=".48004pt" strokecolor="#000000">
                <v:path arrowok="t"/>
              </v:shape>
            </v:group>
            <w10:wrap type="none"/>
          </v:group>
        </w:pict>
      </w:r>
      <w:r>
        <w:rPr/>
        <w:pict>
          <v:group style="position:absolute;margin-left:78.264pt;margin-top:17.963755pt;width:434.6pt;height:1.45pt;mso-position-horizontal-relative:page;mso-position-vertical-relative:paragraph;z-index:5368" coordorigin="1565,359" coordsize="8692,29">
            <v:group style="position:absolute;left:1580;top:374;width:2530;height:2" coordorigin="1580,374" coordsize="2530,2">
              <v:shape style="position:absolute;left:1580;top:374;width:2530;height:2" coordorigin="1580,374" coordsize="2530,0" path="m1580,374l4110,374e" filled="false" stroked="true" strokeweight="1.44pt" strokecolor="#000000">
                <v:path arrowok="t"/>
              </v:shape>
            </v:group>
            <v:group style="position:absolute;left:4095;top:374;width:29;height:2" coordorigin="4095,374" coordsize="29,2">
              <v:shape style="position:absolute;left:4095;top:374;width:29;height:2" coordorigin="4095,374" coordsize="29,0" path="m4095,374l4124,374e" filled="false" stroked="true" strokeweight="1.44pt" strokecolor="#000000">
                <v:path arrowok="t"/>
              </v:shape>
            </v:group>
            <v:group style="position:absolute;left:4124;top:374;width:2674;height:2" coordorigin="4124,374" coordsize="2674,2">
              <v:shape style="position:absolute;left:4124;top:374;width:2674;height:2" coordorigin="4124,374" coordsize="2674,0" path="m4124,374l6798,374e" filled="false" stroked="true" strokeweight="1.44pt" strokecolor="#000000">
                <v:path arrowok="t"/>
              </v:shape>
            </v:group>
            <v:group style="position:absolute;left:6784;top:374;width:29;height:2" coordorigin="6784,374" coordsize="29,2">
              <v:shape style="position:absolute;left:6784;top:374;width:29;height:2" coordorigin="6784,374" coordsize="29,0" path="m6784,374l6813,374e" filled="false" stroked="true" strokeweight="1.44pt" strokecolor="#000000">
                <v:path arrowok="t"/>
              </v:shape>
            </v:group>
            <v:group style="position:absolute;left:6813;top:374;width:1623;height:2" coordorigin="6813,374" coordsize="1623,2">
              <v:shape style="position:absolute;left:6813;top:374;width:1623;height:2" coordorigin="6813,374" coordsize="1623,0" path="m6813,374l8435,374e" filled="false" stroked="true" strokeweight="1.44pt" strokecolor="#000000">
                <v:path arrowok="t"/>
              </v:shape>
            </v:group>
            <v:group style="position:absolute;left:8421;top:374;width:29;height:2" coordorigin="8421,374" coordsize="29,2">
              <v:shape style="position:absolute;left:8421;top:374;width:29;height:2" coordorigin="8421,374" coordsize="29,0" path="m8421,374l8450,374e" filled="false" stroked="true" strokeweight="1.44pt" strokecolor="#000000">
                <v:path arrowok="t"/>
              </v:shape>
            </v:group>
            <v:group style="position:absolute;left:8450;top:374;width:1793;height:2" coordorigin="8450,374" coordsize="1793,2">
              <v:shape style="position:absolute;left:8450;top:374;width:1793;height:2" coordorigin="8450,374" coordsize="1793,0" path="m8450,374l10243,374e" filled="false" stroked="true" strokeweight="1.44pt" strokecolor="#000000">
                <v:path arrowok="t"/>
              </v:shape>
            </v:group>
            <w10:wrap type="none"/>
          </v:group>
        </w:pict>
      </w:r>
      <w:r>
        <w:rPr>
          <w:rFonts w:ascii="宋体" w:hAnsi="宋体" w:cs="宋体" w:eastAsia="宋体" w:hint="default"/>
          <w:b/>
          <w:bCs/>
          <w:sz w:val="16"/>
          <w:szCs w:val="16"/>
        </w:rPr>
        <w:t>合计</w:t>
        <w:tab/>
        <w:t>约</w:t>
      </w:r>
      <w:r>
        <w:rPr>
          <w:rFonts w:ascii="宋体" w:hAnsi="宋体" w:cs="宋体" w:eastAsia="宋体" w:hint="default"/>
          <w:b/>
          <w:bCs/>
          <w:spacing w:val="-43"/>
          <w:sz w:val="16"/>
          <w:szCs w:val="16"/>
        </w:rPr>
        <w:t> </w:t>
      </w:r>
      <w:r>
        <w:rPr>
          <w:rFonts w:ascii="宋体" w:hAnsi="宋体" w:cs="宋体" w:eastAsia="宋体" w:hint="default"/>
          <w:b/>
          <w:bCs/>
          <w:sz w:val="16"/>
          <w:szCs w:val="16"/>
        </w:rPr>
        <w:t>52.93</w:t>
      </w:r>
      <w:r>
        <w:rPr>
          <w:rFonts w:ascii="宋体" w:hAnsi="宋体" w:cs="宋体" w:eastAsia="宋体" w:hint="default"/>
          <w:b/>
          <w:bCs/>
          <w:spacing w:val="-42"/>
          <w:sz w:val="16"/>
          <w:szCs w:val="16"/>
        </w:rPr>
        <w:t> </w:t>
      </w:r>
      <w:r>
        <w:rPr>
          <w:rFonts w:ascii="宋体" w:hAnsi="宋体" w:cs="宋体" w:eastAsia="宋体" w:hint="default"/>
          <w:b/>
          <w:bCs/>
          <w:sz w:val="16"/>
          <w:szCs w:val="16"/>
        </w:rPr>
        <w:t>万人民币</w:t>
      </w:r>
      <w:r>
        <w:rPr>
          <w:rFonts w:ascii="宋体" w:hAnsi="宋体" w:cs="宋体" w:eastAsia="宋体" w:hint="default"/>
          <w:sz w:val="16"/>
          <w:szCs w:val="16"/>
        </w:rPr>
      </w:r>
    </w:p>
    <w:p>
      <w:pPr>
        <w:tabs>
          <w:tab w:pos="1194" w:val="left" w:leader="none"/>
        </w:tabs>
        <w:spacing w:before="174"/>
        <w:ind w:left="808" w:right="4889"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tab/>
      </w:r>
      <w:r>
        <w:rPr>
          <w:rFonts w:ascii="宋体" w:hAnsi="宋体" w:cs="宋体" w:eastAsia="宋体" w:hint="default"/>
          <w:sz w:val="22"/>
          <w:szCs w:val="22"/>
        </w:rPr>
        <w:t>银行承兑汇票担保</w:t>
      </w:r>
    </w:p>
    <w:p>
      <w:pPr>
        <w:spacing w:line="240" w:lineRule="auto" w:before="5"/>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406"/>
        <w:gridCol w:w="2369"/>
        <w:gridCol w:w="2052"/>
        <w:gridCol w:w="1898"/>
      </w:tblGrid>
      <w:tr>
        <w:trPr>
          <w:trHeight w:val="307" w:hRule="exact"/>
        </w:trPr>
        <w:tc>
          <w:tcPr>
            <w:tcW w:w="2406"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103" w:right="0"/>
              <w:jc w:val="center"/>
              <w:rPr>
                <w:rFonts w:ascii="宋体" w:hAnsi="宋体" w:cs="宋体" w:eastAsia="宋体" w:hint="default"/>
                <w:sz w:val="16"/>
                <w:szCs w:val="16"/>
              </w:rPr>
            </w:pPr>
            <w:r>
              <w:rPr>
                <w:rFonts w:ascii="宋体" w:hAnsi="宋体" w:cs="宋体" w:eastAsia="宋体" w:hint="default"/>
                <w:b/>
                <w:bCs/>
                <w:sz w:val="16"/>
                <w:szCs w:val="16"/>
              </w:rPr>
              <w:t>被担保方</w:t>
            </w:r>
            <w:r>
              <w:rPr>
                <w:rFonts w:ascii="宋体" w:hAnsi="宋体" w:cs="宋体" w:eastAsia="宋体" w:hint="default"/>
                <w:sz w:val="16"/>
                <w:szCs w:val="16"/>
              </w:rPr>
            </w:r>
          </w:p>
        </w:tc>
        <w:tc>
          <w:tcPr>
            <w:tcW w:w="2369"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1129" w:right="0"/>
              <w:jc w:val="left"/>
              <w:rPr>
                <w:rFonts w:ascii="宋体" w:hAnsi="宋体" w:cs="宋体" w:eastAsia="宋体" w:hint="default"/>
                <w:sz w:val="16"/>
                <w:szCs w:val="16"/>
              </w:rPr>
            </w:pPr>
            <w:r>
              <w:rPr>
                <w:rFonts w:ascii="宋体" w:hAnsi="宋体" w:cs="宋体" w:eastAsia="宋体" w:hint="default"/>
                <w:b/>
                <w:bCs/>
                <w:sz w:val="16"/>
                <w:szCs w:val="16"/>
              </w:rPr>
              <w:t>贷款银行</w:t>
            </w:r>
            <w:r>
              <w:rPr>
                <w:rFonts w:ascii="宋体" w:hAnsi="宋体" w:cs="宋体" w:eastAsia="宋体" w:hint="default"/>
                <w:sz w:val="16"/>
                <w:szCs w:val="16"/>
              </w:rPr>
            </w:r>
          </w:p>
        </w:tc>
        <w:tc>
          <w:tcPr>
            <w:tcW w:w="2052"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right="167"/>
              <w:jc w:val="right"/>
              <w:rPr>
                <w:rFonts w:ascii="宋体" w:hAnsi="宋体" w:cs="宋体" w:eastAsia="宋体" w:hint="default"/>
                <w:sz w:val="16"/>
                <w:szCs w:val="16"/>
              </w:rPr>
            </w:pPr>
            <w:r>
              <w:rPr>
                <w:rFonts w:ascii="宋体" w:hAnsi="宋体" w:cs="宋体" w:eastAsia="宋体" w:hint="default"/>
                <w:b/>
                <w:bCs/>
                <w:sz w:val="16"/>
                <w:szCs w:val="16"/>
              </w:rPr>
              <w:t>银行承兑汇票金额</w:t>
            </w:r>
            <w:r>
              <w:rPr>
                <w:rFonts w:ascii="宋体" w:hAnsi="宋体" w:cs="宋体" w:eastAsia="宋体" w:hint="default"/>
                <w:sz w:val="16"/>
                <w:szCs w:val="16"/>
              </w:rPr>
            </w:r>
          </w:p>
        </w:tc>
        <w:tc>
          <w:tcPr>
            <w:tcW w:w="1898"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right="1"/>
              <w:jc w:val="center"/>
              <w:rPr>
                <w:rFonts w:ascii="宋体" w:hAnsi="宋体" w:cs="宋体" w:eastAsia="宋体" w:hint="default"/>
                <w:sz w:val="16"/>
                <w:szCs w:val="16"/>
              </w:rPr>
            </w:pPr>
            <w:r>
              <w:rPr>
                <w:rFonts w:ascii="宋体" w:hAnsi="宋体" w:cs="宋体" w:eastAsia="宋体" w:hint="default"/>
                <w:b/>
                <w:bCs/>
                <w:sz w:val="16"/>
                <w:szCs w:val="16"/>
              </w:rPr>
              <w:t>承兑票据期限</w:t>
            </w:r>
            <w:r>
              <w:rPr>
                <w:rFonts w:ascii="宋体" w:hAnsi="宋体" w:cs="宋体" w:eastAsia="宋体" w:hint="default"/>
                <w:sz w:val="16"/>
                <w:szCs w:val="16"/>
              </w:rPr>
            </w:r>
          </w:p>
        </w:tc>
      </w:tr>
      <w:tr>
        <w:trPr>
          <w:trHeight w:val="289" w:hRule="exact"/>
        </w:trPr>
        <w:tc>
          <w:tcPr>
            <w:tcW w:w="240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沈阳同方多媒体科技有限公司</w:t>
            </w:r>
          </w:p>
        </w:tc>
        <w:tc>
          <w:tcPr>
            <w:tcW w:w="236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215" w:right="0"/>
              <w:jc w:val="left"/>
              <w:rPr>
                <w:rFonts w:ascii="宋体" w:hAnsi="宋体" w:cs="宋体" w:eastAsia="宋体" w:hint="default"/>
                <w:sz w:val="16"/>
                <w:szCs w:val="16"/>
              </w:rPr>
            </w:pPr>
            <w:r>
              <w:rPr>
                <w:rFonts w:ascii="宋体" w:hAnsi="宋体" w:cs="宋体" w:eastAsia="宋体" w:hint="default"/>
                <w:sz w:val="16"/>
                <w:szCs w:val="16"/>
              </w:rPr>
              <w:t>民生银行联合路支行</w:t>
            </w:r>
          </w:p>
        </w:tc>
        <w:tc>
          <w:tcPr>
            <w:tcW w:w="205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hAnsi="宋体" w:cs="宋体" w:eastAsia="宋体" w:hint="default"/>
                <w:sz w:val="16"/>
                <w:szCs w:val="16"/>
              </w:rPr>
              <w:t>2,555.62</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89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center"/>
              <w:rPr>
                <w:rFonts w:ascii="宋体" w:hAnsi="宋体" w:cs="宋体" w:eastAsia="宋体" w:hint="default"/>
                <w:sz w:val="16"/>
                <w:szCs w:val="16"/>
              </w:rPr>
            </w:pPr>
            <w:r>
              <w:rPr>
                <w:rFonts w:ascii="宋体"/>
                <w:sz w:val="16"/>
              </w:rPr>
              <w:t>2018.07.27-2019.06.27</w:t>
            </w:r>
          </w:p>
        </w:tc>
      </w:tr>
      <w:tr>
        <w:trPr>
          <w:trHeight w:val="284"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6"/>
                <w:szCs w:val="16"/>
              </w:rPr>
            </w:pPr>
            <w:r>
              <w:rPr>
                <w:rFonts w:ascii="宋体" w:hAnsi="宋体" w:cs="宋体" w:eastAsia="宋体" w:hint="default"/>
                <w:sz w:val="16"/>
                <w:szCs w:val="16"/>
              </w:rPr>
              <w:t>沈阳同方多媒体科技有限公司</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5" w:right="0"/>
              <w:jc w:val="left"/>
              <w:rPr>
                <w:rFonts w:ascii="宋体" w:hAnsi="宋体" w:cs="宋体" w:eastAsia="宋体" w:hint="default"/>
                <w:sz w:val="16"/>
                <w:szCs w:val="16"/>
              </w:rPr>
            </w:pPr>
            <w:r>
              <w:rPr>
                <w:rFonts w:ascii="宋体" w:hAnsi="宋体" w:cs="宋体" w:eastAsia="宋体" w:hint="default"/>
                <w:sz w:val="16"/>
                <w:szCs w:val="16"/>
              </w:rPr>
              <w:t>光大银行沈阳分行</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hAnsi="宋体" w:cs="宋体" w:eastAsia="宋体" w:hint="default"/>
                <w:sz w:val="16"/>
                <w:szCs w:val="16"/>
              </w:rPr>
              <w:t>732.29</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宋体" w:hAnsi="宋体" w:cs="宋体" w:eastAsia="宋体" w:hint="default"/>
                <w:sz w:val="16"/>
                <w:szCs w:val="16"/>
              </w:rPr>
            </w:pPr>
            <w:r>
              <w:rPr>
                <w:rFonts w:ascii="宋体"/>
                <w:sz w:val="16"/>
              </w:rPr>
              <w:t>2018.10.10-2019.01.10</w:t>
            </w:r>
          </w:p>
        </w:tc>
      </w:tr>
      <w:tr>
        <w:trPr>
          <w:trHeight w:val="284"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sz w:val="16"/>
                <w:szCs w:val="16"/>
              </w:rPr>
              <w:t>沈阳同方多媒体科技有限公司</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15" w:right="0"/>
              <w:jc w:val="left"/>
              <w:rPr>
                <w:rFonts w:ascii="宋体" w:hAnsi="宋体" w:cs="宋体" w:eastAsia="宋体" w:hint="default"/>
                <w:sz w:val="16"/>
                <w:szCs w:val="16"/>
              </w:rPr>
            </w:pPr>
            <w:r>
              <w:rPr>
                <w:rFonts w:ascii="宋体" w:hAnsi="宋体" w:cs="宋体" w:eastAsia="宋体" w:hint="default"/>
                <w:sz w:val="16"/>
                <w:szCs w:val="16"/>
              </w:rPr>
              <w:t>汇丰银行沈阳分行</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hAnsi="宋体" w:cs="宋体" w:eastAsia="宋体" w:hint="default"/>
                <w:sz w:val="16"/>
                <w:szCs w:val="16"/>
              </w:rPr>
              <w:t>4,566.08</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center"/>
              <w:rPr>
                <w:rFonts w:ascii="宋体" w:hAnsi="宋体" w:cs="宋体" w:eastAsia="宋体" w:hint="default"/>
                <w:sz w:val="16"/>
                <w:szCs w:val="16"/>
              </w:rPr>
            </w:pPr>
            <w:r>
              <w:rPr>
                <w:rFonts w:ascii="宋体"/>
                <w:sz w:val="16"/>
              </w:rPr>
              <w:t>2018.10.30-2019.05.28</w:t>
            </w:r>
          </w:p>
        </w:tc>
      </w:tr>
      <w:tr>
        <w:trPr>
          <w:trHeight w:val="286"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6"/>
                <w:szCs w:val="16"/>
              </w:rPr>
            </w:pPr>
            <w:r>
              <w:rPr>
                <w:rFonts w:ascii="宋体" w:hAnsi="宋体" w:cs="宋体" w:eastAsia="宋体" w:hint="default"/>
                <w:sz w:val="16"/>
                <w:szCs w:val="16"/>
              </w:rPr>
              <w:t>沈阳同方多媒体科技有限公司</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5" w:right="0"/>
              <w:jc w:val="left"/>
              <w:rPr>
                <w:rFonts w:ascii="宋体" w:hAnsi="宋体" w:cs="宋体" w:eastAsia="宋体" w:hint="default"/>
                <w:sz w:val="16"/>
                <w:szCs w:val="16"/>
              </w:rPr>
            </w:pPr>
            <w:r>
              <w:rPr>
                <w:rFonts w:ascii="宋体" w:hAnsi="宋体" w:cs="宋体" w:eastAsia="宋体" w:hint="default"/>
                <w:sz w:val="16"/>
                <w:szCs w:val="16"/>
              </w:rPr>
              <w:t>兴业银行沈阳分行</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hAnsi="宋体" w:cs="宋体" w:eastAsia="宋体" w:hint="default"/>
                <w:sz w:val="16"/>
                <w:szCs w:val="16"/>
              </w:rPr>
              <w:t>3,741.19</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宋体" w:hAnsi="宋体" w:cs="宋体" w:eastAsia="宋体" w:hint="default"/>
                <w:sz w:val="16"/>
                <w:szCs w:val="16"/>
              </w:rPr>
            </w:pPr>
            <w:r>
              <w:rPr>
                <w:rFonts w:ascii="宋体"/>
                <w:sz w:val="16"/>
              </w:rPr>
              <w:t>2018.08.30-2019.03.28</w:t>
            </w:r>
          </w:p>
        </w:tc>
      </w:tr>
      <w:tr>
        <w:trPr>
          <w:trHeight w:val="286" w:hRule="exact"/>
        </w:trPr>
        <w:tc>
          <w:tcPr>
            <w:tcW w:w="240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6"/>
                <w:szCs w:val="16"/>
              </w:rPr>
            </w:pPr>
            <w:r>
              <w:rPr>
                <w:rFonts w:ascii="宋体" w:hAnsi="宋体" w:cs="宋体" w:eastAsia="宋体" w:hint="default"/>
                <w:sz w:val="16"/>
                <w:szCs w:val="16"/>
              </w:rPr>
              <w:t>同方人工环境有限公司</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5" w:right="0"/>
              <w:jc w:val="left"/>
              <w:rPr>
                <w:rFonts w:ascii="宋体" w:hAnsi="宋体" w:cs="宋体" w:eastAsia="宋体" w:hint="default"/>
                <w:sz w:val="16"/>
                <w:szCs w:val="16"/>
              </w:rPr>
            </w:pPr>
            <w:r>
              <w:rPr>
                <w:rFonts w:ascii="宋体" w:hAnsi="宋体" w:cs="宋体" w:eastAsia="宋体" w:hint="default"/>
                <w:sz w:val="16"/>
                <w:szCs w:val="16"/>
              </w:rPr>
              <w:t>北京银行清华园支行</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hAnsi="宋体" w:cs="宋体" w:eastAsia="宋体" w:hint="default"/>
                <w:sz w:val="16"/>
                <w:szCs w:val="16"/>
              </w:rPr>
              <w:t>461.77</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宋体" w:hAnsi="宋体" w:cs="宋体" w:eastAsia="宋体" w:hint="default"/>
                <w:sz w:val="16"/>
                <w:szCs w:val="16"/>
              </w:rPr>
            </w:pPr>
            <w:r>
              <w:rPr>
                <w:rFonts w:ascii="宋体"/>
                <w:sz w:val="16"/>
              </w:rPr>
              <w:t>2018.09.19-2019.04.30</w:t>
            </w:r>
          </w:p>
        </w:tc>
      </w:tr>
      <w:tr>
        <w:trPr>
          <w:trHeight w:val="301" w:hRule="exact"/>
        </w:trPr>
        <w:tc>
          <w:tcPr>
            <w:tcW w:w="2406"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left="108" w:right="0"/>
              <w:jc w:val="left"/>
              <w:rPr>
                <w:rFonts w:ascii="宋体" w:hAnsi="宋体" w:cs="宋体" w:eastAsia="宋体" w:hint="default"/>
                <w:sz w:val="16"/>
                <w:szCs w:val="16"/>
              </w:rPr>
            </w:pPr>
            <w:r>
              <w:rPr>
                <w:rFonts w:ascii="宋体" w:hAnsi="宋体" w:cs="宋体" w:eastAsia="宋体" w:hint="default"/>
                <w:sz w:val="16"/>
                <w:szCs w:val="16"/>
              </w:rPr>
              <w:t>同方人工环境有限公司</w:t>
            </w:r>
          </w:p>
        </w:tc>
        <w:tc>
          <w:tcPr>
            <w:tcW w:w="2369"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left="215" w:right="0"/>
              <w:jc w:val="left"/>
              <w:rPr>
                <w:rFonts w:ascii="宋体" w:hAnsi="宋体" w:cs="宋体" w:eastAsia="宋体" w:hint="default"/>
                <w:sz w:val="16"/>
                <w:szCs w:val="16"/>
              </w:rPr>
            </w:pPr>
            <w:r>
              <w:rPr>
                <w:rFonts w:ascii="宋体" w:hAnsi="宋体" w:cs="宋体" w:eastAsia="宋体" w:hint="default"/>
                <w:sz w:val="16"/>
                <w:szCs w:val="16"/>
              </w:rPr>
              <w:t>交通银行林萃路支行</w:t>
            </w:r>
          </w:p>
        </w:tc>
        <w:tc>
          <w:tcPr>
            <w:tcW w:w="2052"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hAnsi="宋体" w:cs="宋体" w:eastAsia="宋体" w:hint="default"/>
                <w:sz w:val="16"/>
                <w:szCs w:val="16"/>
              </w:rPr>
              <w:t>1,809.21</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898"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0"/>
              <w:jc w:val="center"/>
              <w:rPr>
                <w:rFonts w:ascii="宋体" w:hAnsi="宋体" w:cs="宋体" w:eastAsia="宋体" w:hint="default"/>
                <w:sz w:val="16"/>
                <w:szCs w:val="16"/>
              </w:rPr>
            </w:pPr>
            <w:r>
              <w:rPr>
                <w:rFonts w:ascii="宋体"/>
                <w:sz w:val="16"/>
              </w:rPr>
              <w:t>2018.10.19-2019.02.09</w:t>
            </w:r>
          </w:p>
        </w:tc>
      </w:tr>
    </w:tbl>
    <w:p>
      <w:pPr>
        <w:spacing w:after="0" w:line="240" w:lineRule="auto"/>
        <w:jc w:val="center"/>
        <w:rPr>
          <w:rFonts w:ascii="宋体" w:hAnsi="宋体" w:cs="宋体" w:eastAsia="宋体" w:hint="default"/>
          <w:sz w:val="16"/>
          <w:szCs w:val="16"/>
        </w:rPr>
        <w:sectPr>
          <w:type w:val="continuous"/>
          <w:pgSz w:w="11910" w:h="16840"/>
          <w:pgMar w:top="1000" w:bottom="280" w:left="1460" w:right="1480"/>
        </w:sectPr>
      </w:pPr>
    </w:p>
    <w:p>
      <w:pPr>
        <w:spacing w:line="240" w:lineRule="auto" w:before="6"/>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2500"/>
        <w:gridCol w:w="2712"/>
        <w:gridCol w:w="1630"/>
        <w:gridCol w:w="1898"/>
      </w:tblGrid>
      <w:tr>
        <w:trPr>
          <w:trHeight w:val="305" w:hRule="exact"/>
        </w:trPr>
        <w:tc>
          <w:tcPr>
            <w:tcW w:w="2500"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39" w:right="0"/>
              <w:jc w:val="center"/>
              <w:rPr>
                <w:rFonts w:ascii="宋体" w:hAnsi="宋体" w:cs="宋体" w:eastAsia="宋体" w:hint="default"/>
                <w:sz w:val="16"/>
                <w:szCs w:val="16"/>
              </w:rPr>
            </w:pPr>
            <w:r>
              <w:rPr>
                <w:rFonts w:ascii="宋体" w:hAnsi="宋体" w:cs="宋体" w:eastAsia="宋体" w:hint="default"/>
                <w:b/>
                <w:bCs/>
                <w:sz w:val="16"/>
                <w:szCs w:val="16"/>
              </w:rPr>
              <w:t>被担保方</w:t>
            </w:r>
            <w:r>
              <w:rPr>
                <w:rFonts w:ascii="宋体" w:hAnsi="宋体" w:cs="宋体" w:eastAsia="宋体" w:hint="default"/>
                <w:sz w:val="16"/>
                <w:szCs w:val="16"/>
              </w:rPr>
            </w:r>
          </w:p>
        </w:tc>
        <w:tc>
          <w:tcPr>
            <w:tcW w:w="2712"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31" w:right="0"/>
              <w:jc w:val="center"/>
              <w:rPr>
                <w:rFonts w:ascii="宋体" w:hAnsi="宋体" w:cs="宋体" w:eastAsia="宋体" w:hint="default"/>
                <w:sz w:val="16"/>
                <w:szCs w:val="16"/>
              </w:rPr>
            </w:pPr>
            <w:r>
              <w:rPr>
                <w:rFonts w:ascii="宋体" w:hAnsi="宋体" w:cs="宋体" w:eastAsia="宋体" w:hint="default"/>
                <w:b/>
                <w:bCs/>
                <w:sz w:val="16"/>
                <w:szCs w:val="16"/>
              </w:rPr>
              <w:t>贷款银行</w:t>
            </w:r>
            <w:r>
              <w:rPr>
                <w:rFonts w:ascii="宋体" w:hAnsi="宋体" w:cs="宋体" w:eastAsia="宋体" w:hint="default"/>
                <w:sz w:val="16"/>
                <w:szCs w:val="16"/>
              </w:rPr>
            </w:r>
          </w:p>
        </w:tc>
        <w:tc>
          <w:tcPr>
            <w:tcW w:w="1630"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right="167"/>
              <w:jc w:val="right"/>
              <w:rPr>
                <w:rFonts w:ascii="宋体" w:hAnsi="宋体" w:cs="宋体" w:eastAsia="宋体" w:hint="default"/>
                <w:sz w:val="16"/>
                <w:szCs w:val="16"/>
              </w:rPr>
            </w:pPr>
            <w:r>
              <w:rPr>
                <w:rFonts w:ascii="宋体" w:hAnsi="宋体" w:cs="宋体" w:eastAsia="宋体" w:hint="default"/>
                <w:b/>
                <w:bCs/>
                <w:sz w:val="16"/>
                <w:szCs w:val="16"/>
              </w:rPr>
              <w:t>银行承兑汇票金额</w:t>
            </w:r>
            <w:r>
              <w:rPr>
                <w:rFonts w:ascii="宋体" w:hAnsi="宋体" w:cs="宋体" w:eastAsia="宋体" w:hint="default"/>
                <w:sz w:val="16"/>
                <w:szCs w:val="16"/>
              </w:rPr>
            </w:r>
          </w:p>
        </w:tc>
        <w:tc>
          <w:tcPr>
            <w:tcW w:w="1898"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right="1"/>
              <w:jc w:val="center"/>
              <w:rPr>
                <w:rFonts w:ascii="宋体" w:hAnsi="宋体" w:cs="宋体" w:eastAsia="宋体" w:hint="default"/>
                <w:sz w:val="16"/>
                <w:szCs w:val="16"/>
              </w:rPr>
            </w:pPr>
            <w:r>
              <w:rPr>
                <w:rFonts w:ascii="宋体" w:hAnsi="宋体" w:cs="宋体" w:eastAsia="宋体" w:hint="default"/>
                <w:b/>
                <w:bCs/>
                <w:sz w:val="16"/>
                <w:szCs w:val="16"/>
              </w:rPr>
              <w:t>承兑票据期限</w:t>
            </w:r>
            <w:r>
              <w:rPr>
                <w:rFonts w:ascii="宋体" w:hAnsi="宋体" w:cs="宋体" w:eastAsia="宋体" w:hint="default"/>
                <w:sz w:val="16"/>
                <w:szCs w:val="16"/>
              </w:rPr>
            </w:r>
          </w:p>
        </w:tc>
      </w:tr>
      <w:tr>
        <w:trPr>
          <w:trHeight w:val="289" w:hRule="exact"/>
        </w:trPr>
        <w:tc>
          <w:tcPr>
            <w:tcW w:w="250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无锡同方人工环境有限公司</w:t>
            </w:r>
          </w:p>
        </w:tc>
        <w:tc>
          <w:tcPr>
            <w:tcW w:w="271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35" w:right="0"/>
              <w:jc w:val="left"/>
              <w:rPr>
                <w:rFonts w:ascii="宋体" w:hAnsi="宋体" w:cs="宋体" w:eastAsia="宋体" w:hint="default"/>
                <w:sz w:val="16"/>
                <w:szCs w:val="16"/>
              </w:rPr>
            </w:pPr>
            <w:r>
              <w:rPr>
                <w:rFonts w:ascii="宋体" w:hAnsi="宋体" w:cs="宋体" w:eastAsia="宋体" w:hint="default"/>
                <w:sz w:val="16"/>
                <w:szCs w:val="16"/>
              </w:rPr>
              <w:t>北京银行清华园支行</w:t>
            </w:r>
          </w:p>
        </w:tc>
        <w:tc>
          <w:tcPr>
            <w:tcW w:w="163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hAnsi="宋体" w:cs="宋体" w:eastAsia="宋体" w:hint="default"/>
                <w:sz w:val="16"/>
                <w:szCs w:val="16"/>
              </w:rPr>
              <w:t>3,603.27</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89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center"/>
              <w:rPr>
                <w:rFonts w:ascii="宋体" w:hAnsi="宋体" w:cs="宋体" w:eastAsia="宋体" w:hint="default"/>
                <w:sz w:val="16"/>
                <w:szCs w:val="16"/>
              </w:rPr>
            </w:pPr>
            <w:r>
              <w:rPr>
                <w:rFonts w:ascii="宋体"/>
                <w:sz w:val="16"/>
              </w:rPr>
              <w:t>2018.09.27-2019.05.09</w:t>
            </w:r>
          </w:p>
        </w:tc>
      </w:tr>
      <w:tr>
        <w:trPr>
          <w:trHeight w:val="286"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2" w:right="0"/>
              <w:jc w:val="left"/>
              <w:rPr>
                <w:rFonts w:ascii="宋体" w:hAnsi="宋体" w:cs="宋体" w:eastAsia="宋体" w:hint="default"/>
                <w:sz w:val="16"/>
                <w:szCs w:val="16"/>
              </w:rPr>
            </w:pPr>
            <w:r>
              <w:rPr>
                <w:rFonts w:ascii="宋体" w:hAnsi="宋体" w:cs="宋体" w:eastAsia="宋体" w:hint="default"/>
                <w:sz w:val="16"/>
                <w:szCs w:val="16"/>
              </w:rPr>
              <w:t>同方节能装备有限公司</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5" w:right="0"/>
              <w:jc w:val="left"/>
              <w:rPr>
                <w:rFonts w:ascii="宋体" w:hAnsi="宋体" w:cs="宋体" w:eastAsia="宋体" w:hint="default"/>
                <w:sz w:val="16"/>
                <w:szCs w:val="16"/>
              </w:rPr>
            </w:pPr>
            <w:r>
              <w:rPr>
                <w:rFonts w:ascii="宋体" w:hAnsi="宋体" w:cs="宋体" w:eastAsia="宋体" w:hint="default"/>
                <w:sz w:val="16"/>
                <w:szCs w:val="16"/>
              </w:rPr>
              <w:t>北京银行清华园支行</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hAnsi="宋体" w:cs="宋体" w:eastAsia="宋体" w:hint="default"/>
                <w:sz w:val="16"/>
                <w:szCs w:val="16"/>
              </w:rPr>
              <w:t>1,540.00</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宋体" w:hAnsi="宋体" w:cs="宋体" w:eastAsia="宋体" w:hint="default"/>
                <w:sz w:val="16"/>
                <w:szCs w:val="16"/>
              </w:rPr>
            </w:pPr>
            <w:r>
              <w:rPr>
                <w:rFonts w:ascii="宋体"/>
                <w:sz w:val="16"/>
              </w:rPr>
              <w:t>2018.09.12-2019.03.14</w:t>
            </w:r>
          </w:p>
        </w:tc>
      </w:tr>
      <w:tr>
        <w:trPr>
          <w:trHeight w:val="286"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2" w:right="0"/>
              <w:jc w:val="left"/>
              <w:rPr>
                <w:rFonts w:ascii="宋体" w:hAnsi="宋体" w:cs="宋体" w:eastAsia="宋体" w:hint="default"/>
                <w:sz w:val="16"/>
                <w:szCs w:val="16"/>
              </w:rPr>
            </w:pPr>
            <w:r>
              <w:rPr>
                <w:rFonts w:ascii="宋体" w:hAnsi="宋体" w:cs="宋体" w:eastAsia="宋体" w:hint="default"/>
                <w:sz w:val="16"/>
                <w:szCs w:val="16"/>
              </w:rPr>
              <w:t>北京珠穆朗玛移动通信有限公司</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5" w:right="0"/>
              <w:jc w:val="left"/>
              <w:rPr>
                <w:rFonts w:ascii="宋体" w:hAnsi="宋体" w:cs="宋体" w:eastAsia="宋体" w:hint="default"/>
                <w:sz w:val="16"/>
                <w:szCs w:val="16"/>
              </w:rPr>
            </w:pPr>
            <w:r>
              <w:rPr>
                <w:rFonts w:ascii="宋体" w:hAnsi="宋体" w:cs="宋体" w:eastAsia="宋体" w:hint="default"/>
                <w:sz w:val="16"/>
                <w:szCs w:val="16"/>
              </w:rPr>
              <w:t>广发银行潘家园支行</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hAnsi="宋体" w:cs="宋体" w:eastAsia="宋体" w:hint="default"/>
                <w:sz w:val="16"/>
                <w:szCs w:val="16"/>
              </w:rPr>
              <w:t>3,492.89</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宋体" w:hAnsi="宋体" w:cs="宋体" w:eastAsia="宋体" w:hint="default"/>
                <w:sz w:val="16"/>
                <w:szCs w:val="16"/>
              </w:rPr>
            </w:pPr>
            <w:r>
              <w:rPr>
                <w:rFonts w:ascii="宋体"/>
                <w:sz w:val="16"/>
              </w:rPr>
              <w:t>2018.12.17-2019.03.01</w:t>
            </w:r>
          </w:p>
        </w:tc>
      </w:tr>
      <w:tr>
        <w:trPr>
          <w:trHeight w:val="284" w:hRule="exact"/>
        </w:trPr>
        <w:tc>
          <w:tcPr>
            <w:tcW w:w="250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2" w:right="0"/>
              <w:jc w:val="left"/>
              <w:rPr>
                <w:rFonts w:ascii="宋体" w:hAnsi="宋体" w:cs="宋体" w:eastAsia="宋体" w:hint="default"/>
                <w:sz w:val="16"/>
                <w:szCs w:val="16"/>
              </w:rPr>
            </w:pPr>
            <w:r>
              <w:rPr>
                <w:rFonts w:ascii="宋体" w:hAnsi="宋体" w:cs="宋体" w:eastAsia="宋体" w:hint="default"/>
                <w:sz w:val="16"/>
                <w:szCs w:val="16"/>
              </w:rPr>
              <w:t>同方江新造船有限公司</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35" w:right="0"/>
              <w:jc w:val="left"/>
              <w:rPr>
                <w:rFonts w:ascii="宋体" w:hAnsi="宋体" w:cs="宋体" w:eastAsia="宋体" w:hint="default"/>
                <w:sz w:val="16"/>
                <w:szCs w:val="16"/>
              </w:rPr>
            </w:pPr>
            <w:r>
              <w:rPr>
                <w:rFonts w:ascii="宋体" w:hAnsi="宋体" w:cs="宋体" w:eastAsia="宋体" w:hint="default"/>
                <w:sz w:val="16"/>
                <w:szCs w:val="16"/>
              </w:rPr>
              <w:t>九江银行湖口支行</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hAnsi="宋体" w:cs="宋体" w:eastAsia="宋体" w:hint="default"/>
                <w:sz w:val="16"/>
                <w:szCs w:val="16"/>
              </w:rPr>
              <w:t>100.17</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宋体" w:hAnsi="宋体" w:cs="宋体" w:eastAsia="宋体" w:hint="default"/>
                <w:sz w:val="16"/>
                <w:szCs w:val="16"/>
              </w:rPr>
            </w:pPr>
            <w:r>
              <w:rPr>
                <w:rFonts w:ascii="宋体"/>
                <w:sz w:val="16"/>
              </w:rPr>
              <w:t>2018.08.09-2019.02.09</w:t>
            </w:r>
          </w:p>
        </w:tc>
      </w:tr>
      <w:tr>
        <w:trPr>
          <w:trHeight w:val="291" w:hRule="exact"/>
        </w:trPr>
        <w:tc>
          <w:tcPr>
            <w:tcW w:w="2500"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同方计算机有限公司</w:t>
            </w:r>
          </w:p>
        </w:tc>
        <w:tc>
          <w:tcPr>
            <w:tcW w:w="2712"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left="135" w:right="0"/>
              <w:jc w:val="left"/>
              <w:rPr>
                <w:rFonts w:ascii="宋体" w:hAnsi="宋体" w:cs="宋体" w:eastAsia="宋体" w:hint="default"/>
                <w:sz w:val="16"/>
                <w:szCs w:val="16"/>
              </w:rPr>
            </w:pPr>
            <w:r>
              <w:rPr>
                <w:rFonts w:ascii="宋体" w:hAnsi="宋体" w:cs="宋体" w:eastAsia="宋体" w:hint="default"/>
                <w:sz w:val="16"/>
                <w:szCs w:val="16"/>
              </w:rPr>
              <w:t>中国银行无锡分行锡山支行营业部</w:t>
            </w:r>
          </w:p>
        </w:tc>
        <w:tc>
          <w:tcPr>
            <w:tcW w:w="1630"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hAnsi="宋体" w:cs="宋体" w:eastAsia="宋体" w:hint="default"/>
                <w:sz w:val="16"/>
                <w:szCs w:val="16"/>
              </w:rPr>
              <w:t>3,918.19</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898"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center"/>
              <w:rPr>
                <w:rFonts w:ascii="宋体" w:hAnsi="宋体" w:cs="宋体" w:eastAsia="宋体" w:hint="default"/>
                <w:sz w:val="16"/>
                <w:szCs w:val="16"/>
              </w:rPr>
            </w:pPr>
            <w:r>
              <w:rPr>
                <w:rFonts w:ascii="宋体"/>
                <w:sz w:val="16"/>
              </w:rPr>
              <w:t>2018.12.06-2019.12.17</w:t>
            </w:r>
          </w:p>
        </w:tc>
      </w:tr>
      <w:tr>
        <w:trPr>
          <w:trHeight w:val="305" w:hRule="exact"/>
        </w:trPr>
        <w:tc>
          <w:tcPr>
            <w:tcW w:w="2500"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2712" w:type="dxa"/>
            <w:tcBorders>
              <w:top w:val="single" w:sz="4" w:space="0" w:color="000000"/>
              <w:left w:val="nil" w:sz="6" w:space="0" w:color="auto"/>
              <w:bottom w:val="single" w:sz="12" w:space="0" w:color="000000"/>
              <w:right w:val="nil" w:sz="6" w:space="0" w:color="auto"/>
            </w:tcBorders>
          </w:tcPr>
          <w:p>
            <w:pPr/>
          </w:p>
        </w:tc>
        <w:tc>
          <w:tcPr>
            <w:tcW w:w="1630"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hAnsi="宋体" w:cs="宋体" w:eastAsia="宋体" w:hint="default"/>
                <w:b/>
                <w:bCs/>
                <w:sz w:val="16"/>
                <w:szCs w:val="16"/>
              </w:rPr>
              <w:t>26,520.68</w:t>
            </w:r>
            <w:r>
              <w:rPr>
                <w:rFonts w:ascii="宋体" w:hAnsi="宋体" w:cs="宋体" w:eastAsia="宋体" w:hint="default"/>
                <w:b/>
                <w:bCs/>
                <w:spacing w:val="-46"/>
                <w:sz w:val="16"/>
                <w:szCs w:val="16"/>
              </w:rPr>
              <w:t> </w:t>
            </w:r>
            <w:r>
              <w:rPr>
                <w:rFonts w:ascii="宋体" w:hAnsi="宋体" w:cs="宋体" w:eastAsia="宋体" w:hint="default"/>
                <w:b/>
                <w:bCs/>
                <w:sz w:val="16"/>
                <w:szCs w:val="16"/>
              </w:rPr>
              <w:t>万人民币</w:t>
            </w:r>
            <w:r>
              <w:rPr>
                <w:rFonts w:ascii="宋体" w:hAnsi="宋体" w:cs="宋体" w:eastAsia="宋体" w:hint="default"/>
                <w:sz w:val="16"/>
                <w:szCs w:val="16"/>
              </w:rPr>
            </w:r>
          </w:p>
        </w:tc>
        <w:tc>
          <w:tcPr>
            <w:tcW w:w="1898" w:type="dxa"/>
            <w:tcBorders>
              <w:top w:val="single" w:sz="4" w:space="0" w:color="000000"/>
              <w:left w:val="nil" w:sz="6" w:space="0" w:color="auto"/>
              <w:bottom w:val="single" w:sz="12" w:space="0" w:color="000000"/>
              <w:right w:val="nil" w:sz="6" w:space="0" w:color="auto"/>
            </w:tcBorders>
          </w:tcPr>
          <w:p>
            <w:pPr/>
          </w:p>
        </w:tc>
      </w:tr>
    </w:tbl>
    <w:p>
      <w:pPr>
        <w:tabs>
          <w:tab w:pos="1194" w:val="left" w:leader="none"/>
        </w:tabs>
        <w:spacing w:before="21"/>
        <w:ind w:left="808"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tab/>
      </w:r>
      <w:r>
        <w:rPr>
          <w:rFonts w:ascii="宋体" w:hAnsi="宋体" w:cs="宋体" w:eastAsia="宋体" w:hint="default"/>
          <w:sz w:val="22"/>
          <w:szCs w:val="22"/>
        </w:rPr>
        <w:t>保函担保</w:t>
      </w:r>
    </w:p>
    <w:p>
      <w:pPr>
        <w:spacing w:line="240" w:lineRule="auto" w:before="8"/>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327"/>
        <w:gridCol w:w="2565"/>
        <w:gridCol w:w="1951"/>
        <w:gridCol w:w="1898"/>
      </w:tblGrid>
      <w:tr>
        <w:trPr>
          <w:trHeight w:val="305" w:hRule="exact"/>
        </w:trPr>
        <w:tc>
          <w:tcPr>
            <w:tcW w:w="2327"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24" w:right="0"/>
              <w:jc w:val="center"/>
              <w:rPr>
                <w:rFonts w:ascii="宋体" w:hAnsi="宋体" w:cs="宋体" w:eastAsia="宋体" w:hint="default"/>
                <w:sz w:val="16"/>
                <w:szCs w:val="16"/>
              </w:rPr>
            </w:pPr>
            <w:r>
              <w:rPr>
                <w:rFonts w:ascii="宋体" w:hAnsi="宋体" w:cs="宋体" w:eastAsia="宋体" w:hint="default"/>
                <w:b/>
                <w:bCs/>
                <w:sz w:val="16"/>
                <w:szCs w:val="16"/>
              </w:rPr>
              <w:t>被担保方</w:t>
            </w:r>
            <w:r>
              <w:rPr>
                <w:rFonts w:ascii="宋体" w:hAnsi="宋体" w:cs="宋体" w:eastAsia="宋体" w:hint="default"/>
                <w:sz w:val="16"/>
                <w:szCs w:val="16"/>
              </w:rPr>
            </w:r>
          </w:p>
        </w:tc>
        <w:tc>
          <w:tcPr>
            <w:tcW w:w="2565"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right="63"/>
              <w:jc w:val="center"/>
              <w:rPr>
                <w:rFonts w:ascii="宋体" w:hAnsi="宋体" w:cs="宋体" w:eastAsia="宋体" w:hint="default"/>
                <w:sz w:val="16"/>
                <w:szCs w:val="16"/>
              </w:rPr>
            </w:pPr>
            <w:r>
              <w:rPr>
                <w:rFonts w:ascii="宋体" w:hAnsi="宋体" w:cs="宋体" w:eastAsia="宋体" w:hint="default"/>
                <w:b/>
                <w:bCs/>
                <w:sz w:val="16"/>
                <w:szCs w:val="16"/>
              </w:rPr>
              <w:t>贷款银行</w:t>
            </w:r>
            <w:r>
              <w:rPr>
                <w:rFonts w:ascii="宋体" w:hAnsi="宋体" w:cs="宋体" w:eastAsia="宋体" w:hint="default"/>
                <w:sz w:val="16"/>
                <w:szCs w:val="16"/>
              </w:rPr>
            </w:r>
          </w:p>
        </w:tc>
        <w:tc>
          <w:tcPr>
            <w:tcW w:w="1951"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612" w:right="0"/>
              <w:jc w:val="left"/>
              <w:rPr>
                <w:rFonts w:ascii="宋体" w:hAnsi="宋体" w:cs="宋体" w:eastAsia="宋体" w:hint="default"/>
                <w:sz w:val="16"/>
                <w:szCs w:val="16"/>
              </w:rPr>
            </w:pPr>
            <w:r>
              <w:rPr>
                <w:rFonts w:ascii="宋体" w:hAnsi="宋体" w:cs="宋体" w:eastAsia="宋体" w:hint="default"/>
                <w:b/>
                <w:bCs/>
                <w:sz w:val="16"/>
                <w:szCs w:val="16"/>
              </w:rPr>
              <w:t>保函金额</w:t>
            </w:r>
            <w:r>
              <w:rPr>
                <w:rFonts w:ascii="宋体" w:hAnsi="宋体" w:cs="宋体" w:eastAsia="宋体" w:hint="default"/>
                <w:sz w:val="16"/>
                <w:szCs w:val="16"/>
              </w:rPr>
            </w:r>
          </w:p>
        </w:tc>
        <w:tc>
          <w:tcPr>
            <w:tcW w:w="1898"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right="1"/>
              <w:jc w:val="center"/>
              <w:rPr>
                <w:rFonts w:ascii="宋体" w:hAnsi="宋体" w:cs="宋体" w:eastAsia="宋体" w:hint="default"/>
                <w:sz w:val="16"/>
                <w:szCs w:val="16"/>
              </w:rPr>
            </w:pPr>
            <w:r>
              <w:rPr>
                <w:rFonts w:ascii="宋体" w:hAnsi="宋体" w:cs="宋体" w:eastAsia="宋体" w:hint="default"/>
                <w:b/>
                <w:bCs/>
                <w:sz w:val="16"/>
                <w:szCs w:val="16"/>
              </w:rPr>
              <w:t>保函期限</w:t>
            </w:r>
            <w:r>
              <w:rPr>
                <w:rFonts w:ascii="宋体" w:hAnsi="宋体" w:cs="宋体" w:eastAsia="宋体" w:hint="default"/>
                <w:sz w:val="16"/>
                <w:szCs w:val="16"/>
              </w:rPr>
            </w:r>
          </w:p>
        </w:tc>
      </w:tr>
      <w:tr>
        <w:trPr>
          <w:trHeight w:val="288" w:hRule="exact"/>
        </w:trPr>
        <w:tc>
          <w:tcPr>
            <w:tcW w:w="232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北京同方软件股份有限公司</w:t>
            </w:r>
          </w:p>
        </w:tc>
        <w:tc>
          <w:tcPr>
            <w:tcW w:w="256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21" w:right="0"/>
              <w:jc w:val="left"/>
              <w:rPr>
                <w:rFonts w:ascii="宋体" w:hAnsi="宋体" w:cs="宋体" w:eastAsia="宋体" w:hint="default"/>
                <w:sz w:val="16"/>
                <w:szCs w:val="16"/>
              </w:rPr>
            </w:pPr>
            <w:r>
              <w:rPr>
                <w:rFonts w:ascii="宋体" w:hAnsi="宋体" w:cs="宋体" w:eastAsia="宋体" w:hint="default"/>
                <w:sz w:val="16"/>
                <w:szCs w:val="16"/>
              </w:rPr>
              <w:t>北京银行清华园支行</w:t>
            </w:r>
          </w:p>
        </w:tc>
        <w:tc>
          <w:tcPr>
            <w:tcW w:w="195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hAnsi="宋体" w:cs="宋体" w:eastAsia="宋体" w:hint="default"/>
                <w:sz w:val="16"/>
                <w:szCs w:val="16"/>
              </w:rPr>
              <w:t>11.50</w:t>
            </w:r>
            <w:r>
              <w:rPr>
                <w:rFonts w:ascii="宋体" w:hAnsi="宋体" w:cs="宋体" w:eastAsia="宋体" w:hint="default"/>
                <w:spacing w:val="-42"/>
                <w:sz w:val="16"/>
                <w:szCs w:val="16"/>
              </w:rPr>
              <w:t> </w:t>
            </w:r>
            <w:r>
              <w:rPr>
                <w:rFonts w:ascii="宋体" w:hAnsi="宋体" w:cs="宋体" w:eastAsia="宋体" w:hint="default"/>
                <w:sz w:val="16"/>
                <w:szCs w:val="16"/>
              </w:rPr>
              <w:t>万人民币</w:t>
            </w:r>
          </w:p>
        </w:tc>
        <w:tc>
          <w:tcPr>
            <w:tcW w:w="189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center"/>
              <w:rPr>
                <w:rFonts w:ascii="宋体" w:hAnsi="宋体" w:cs="宋体" w:eastAsia="宋体" w:hint="default"/>
                <w:sz w:val="16"/>
                <w:szCs w:val="16"/>
              </w:rPr>
            </w:pPr>
            <w:r>
              <w:rPr>
                <w:rFonts w:ascii="宋体"/>
                <w:sz w:val="16"/>
              </w:rPr>
              <w:t>2018.08.30-2019.08.03</w:t>
            </w:r>
          </w:p>
        </w:tc>
      </w:tr>
      <w:tr>
        <w:trPr>
          <w:trHeight w:val="284" w:hRule="exact"/>
        </w:trPr>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滁州同方水务有限公司</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1" w:right="0"/>
              <w:jc w:val="left"/>
              <w:rPr>
                <w:rFonts w:ascii="宋体" w:hAnsi="宋体" w:cs="宋体" w:eastAsia="宋体" w:hint="default"/>
                <w:sz w:val="16"/>
                <w:szCs w:val="16"/>
              </w:rPr>
            </w:pPr>
            <w:r>
              <w:rPr>
                <w:rFonts w:ascii="宋体" w:hAnsi="宋体" w:cs="宋体" w:eastAsia="宋体" w:hint="default"/>
                <w:sz w:val="16"/>
                <w:szCs w:val="16"/>
              </w:rPr>
              <w:t>中国银行北京分行</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hAnsi="宋体" w:cs="宋体" w:eastAsia="宋体" w:hint="default"/>
                <w:sz w:val="16"/>
                <w:szCs w:val="16"/>
              </w:rPr>
              <w:t>860.00</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center"/>
              <w:rPr>
                <w:rFonts w:ascii="宋体" w:hAnsi="宋体" w:cs="宋体" w:eastAsia="宋体" w:hint="default"/>
                <w:sz w:val="16"/>
                <w:szCs w:val="16"/>
              </w:rPr>
            </w:pPr>
            <w:r>
              <w:rPr>
                <w:rFonts w:ascii="宋体"/>
                <w:sz w:val="16"/>
              </w:rPr>
              <w:t>2018.06.29-2023.05.31</w:t>
            </w:r>
          </w:p>
        </w:tc>
      </w:tr>
      <w:tr>
        <w:trPr>
          <w:trHeight w:val="284" w:hRule="exact"/>
        </w:trPr>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2" w:right="0"/>
              <w:jc w:val="left"/>
              <w:rPr>
                <w:rFonts w:ascii="宋体" w:hAnsi="宋体" w:cs="宋体" w:eastAsia="宋体" w:hint="default"/>
                <w:sz w:val="16"/>
                <w:szCs w:val="16"/>
              </w:rPr>
            </w:pPr>
            <w:r>
              <w:rPr>
                <w:rFonts w:ascii="宋体" w:hAnsi="宋体" w:cs="宋体" w:eastAsia="宋体" w:hint="default"/>
                <w:sz w:val="16"/>
                <w:szCs w:val="16"/>
              </w:rPr>
              <w:t>淮安同方水务有限公司</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1" w:right="0"/>
              <w:jc w:val="left"/>
              <w:rPr>
                <w:rFonts w:ascii="宋体" w:hAnsi="宋体" w:cs="宋体" w:eastAsia="宋体" w:hint="default"/>
                <w:sz w:val="16"/>
                <w:szCs w:val="16"/>
              </w:rPr>
            </w:pPr>
            <w:r>
              <w:rPr>
                <w:rFonts w:ascii="宋体" w:hAnsi="宋体" w:cs="宋体" w:eastAsia="宋体" w:hint="default"/>
                <w:sz w:val="16"/>
                <w:szCs w:val="16"/>
              </w:rPr>
              <w:t>中国银行北京分行</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hAnsi="宋体" w:cs="宋体" w:eastAsia="宋体" w:hint="default"/>
                <w:sz w:val="16"/>
                <w:szCs w:val="16"/>
              </w:rPr>
              <w:t>700.00</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宋体" w:hAnsi="宋体" w:cs="宋体" w:eastAsia="宋体" w:hint="default"/>
                <w:sz w:val="16"/>
                <w:szCs w:val="16"/>
              </w:rPr>
            </w:pPr>
            <w:r>
              <w:rPr>
                <w:rFonts w:ascii="宋体"/>
                <w:sz w:val="16"/>
              </w:rPr>
              <w:t>2017.03.15-2022.12.31</w:t>
            </w:r>
          </w:p>
        </w:tc>
      </w:tr>
      <w:tr>
        <w:trPr>
          <w:trHeight w:val="283" w:hRule="exact"/>
        </w:trPr>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沈阳同方多媒体科技有限公司</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1" w:right="0"/>
              <w:jc w:val="left"/>
              <w:rPr>
                <w:rFonts w:ascii="宋体" w:hAnsi="宋体" w:cs="宋体" w:eastAsia="宋体" w:hint="default"/>
                <w:sz w:val="16"/>
                <w:szCs w:val="16"/>
              </w:rPr>
            </w:pPr>
            <w:r>
              <w:rPr>
                <w:rFonts w:ascii="宋体" w:hAnsi="宋体" w:cs="宋体" w:eastAsia="宋体" w:hint="default"/>
                <w:sz w:val="16"/>
                <w:szCs w:val="16"/>
              </w:rPr>
              <w:t>光大银行沈阳分行</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hAnsi="宋体" w:cs="宋体" w:eastAsia="宋体" w:hint="default"/>
                <w:sz w:val="16"/>
                <w:szCs w:val="16"/>
              </w:rPr>
              <w:t>500.00</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center"/>
              <w:rPr>
                <w:rFonts w:ascii="宋体" w:hAnsi="宋体" w:cs="宋体" w:eastAsia="宋体" w:hint="default"/>
                <w:sz w:val="16"/>
                <w:szCs w:val="16"/>
              </w:rPr>
            </w:pPr>
            <w:r>
              <w:rPr>
                <w:rFonts w:ascii="宋体"/>
                <w:sz w:val="16"/>
              </w:rPr>
              <w:t>2018.09.26-2019.03.26</w:t>
            </w:r>
          </w:p>
        </w:tc>
      </w:tr>
      <w:tr>
        <w:trPr>
          <w:trHeight w:val="285" w:hRule="exact"/>
        </w:trPr>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2" w:right="0"/>
              <w:jc w:val="left"/>
              <w:rPr>
                <w:rFonts w:ascii="宋体" w:hAnsi="宋体" w:cs="宋体" w:eastAsia="宋体" w:hint="default"/>
                <w:sz w:val="16"/>
                <w:szCs w:val="16"/>
              </w:rPr>
            </w:pPr>
            <w:r>
              <w:rPr>
                <w:rFonts w:ascii="宋体" w:hAnsi="宋体" w:cs="宋体" w:eastAsia="宋体" w:hint="default"/>
                <w:sz w:val="16"/>
                <w:szCs w:val="16"/>
              </w:rPr>
              <w:t>同方计算机（苏州）有限公司</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1" w:right="0"/>
              <w:jc w:val="left"/>
              <w:rPr>
                <w:rFonts w:ascii="宋体" w:hAnsi="宋体" w:cs="宋体" w:eastAsia="宋体" w:hint="default"/>
                <w:sz w:val="16"/>
                <w:szCs w:val="16"/>
              </w:rPr>
            </w:pPr>
            <w:r>
              <w:rPr>
                <w:rFonts w:ascii="宋体" w:hAnsi="宋体" w:cs="宋体" w:eastAsia="宋体" w:hint="default"/>
                <w:sz w:val="16"/>
                <w:szCs w:val="16"/>
              </w:rPr>
              <w:t>建设银行苏州工业园区支行</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hAnsi="宋体" w:cs="宋体" w:eastAsia="宋体" w:hint="default"/>
                <w:sz w:val="16"/>
                <w:szCs w:val="16"/>
              </w:rPr>
              <w:t>1,600.00</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宋体" w:hAnsi="宋体" w:cs="宋体" w:eastAsia="宋体" w:hint="default"/>
                <w:sz w:val="16"/>
                <w:szCs w:val="16"/>
              </w:rPr>
            </w:pPr>
            <w:r>
              <w:rPr>
                <w:rFonts w:ascii="宋体"/>
                <w:sz w:val="16"/>
              </w:rPr>
              <w:t>2018.10.09-2019.09.30</w:t>
            </w:r>
          </w:p>
        </w:tc>
      </w:tr>
      <w:tr>
        <w:trPr>
          <w:trHeight w:val="284" w:hRule="exact"/>
        </w:trPr>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2" w:right="0"/>
              <w:jc w:val="left"/>
              <w:rPr>
                <w:rFonts w:ascii="宋体" w:hAnsi="宋体" w:cs="宋体" w:eastAsia="宋体" w:hint="default"/>
                <w:sz w:val="16"/>
                <w:szCs w:val="16"/>
              </w:rPr>
            </w:pPr>
            <w:r>
              <w:rPr>
                <w:rFonts w:ascii="宋体" w:hAnsi="宋体" w:cs="宋体" w:eastAsia="宋体" w:hint="default"/>
                <w:sz w:val="16"/>
                <w:szCs w:val="16"/>
              </w:rPr>
              <w:t>同方江新造船有限公司</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21" w:right="0"/>
              <w:jc w:val="left"/>
              <w:rPr>
                <w:rFonts w:ascii="宋体" w:hAnsi="宋体" w:cs="宋体" w:eastAsia="宋体" w:hint="default"/>
                <w:sz w:val="16"/>
                <w:szCs w:val="16"/>
              </w:rPr>
            </w:pPr>
            <w:r>
              <w:rPr>
                <w:rFonts w:ascii="宋体" w:hAnsi="宋体" w:cs="宋体" w:eastAsia="宋体" w:hint="default"/>
                <w:sz w:val="16"/>
                <w:szCs w:val="16"/>
              </w:rPr>
              <w:t>九江银行湖口支行</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hAnsi="宋体" w:cs="宋体" w:eastAsia="宋体" w:hint="default"/>
                <w:sz w:val="16"/>
                <w:szCs w:val="16"/>
              </w:rPr>
              <w:t>3,183.18</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宋体" w:hAnsi="宋体" w:cs="宋体" w:eastAsia="宋体" w:hint="default"/>
                <w:sz w:val="16"/>
                <w:szCs w:val="16"/>
              </w:rPr>
            </w:pPr>
            <w:r>
              <w:rPr>
                <w:rFonts w:ascii="宋体"/>
                <w:sz w:val="16"/>
              </w:rPr>
              <w:t>2017.09.19-2019.12.11</w:t>
            </w:r>
          </w:p>
        </w:tc>
      </w:tr>
      <w:tr>
        <w:trPr>
          <w:trHeight w:val="283" w:hRule="exact"/>
        </w:trPr>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同方节能装备有限公司</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1" w:right="0"/>
              <w:jc w:val="left"/>
              <w:rPr>
                <w:rFonts w:ascii="宋体" w:hAnsi="宋体" w:cs="宋体" w:eastAsia="宋体" w:hint="default"/>
                <w:sz w:val="16"/>
                <w:szCs w:val="16"/>
              </w:rPr>
            </w:pPr>
            <w:r>
              <w:rPr>
                <w:rFonts w:ascii="宋体" w:hAnsi="宋体" w:cs="宋体" w:eastAsia="宋体" w:hint="default"/>
                <w:sz w:val="16"/>
                <w:szCs w:val="16"/>
              </w:rPr>
              <w:t>北京银行清华园支行</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hAnsi="宋体" w:cs="宋体" w:eastAsia="宋体" w:hint="default"/>
                <w:sz w:val="16"/>
                <w:szCs w:val="16"/>
              </w:rPr>
              <w:t>140.86</w:t>
            </w:r>
            <w:r>
              <w:rPr>
                <w:rFonts w:ascii="宋体" w:hAnsi="宋体" w:cs="宋体" w:eastAsia="宋体" w:hint="default"/>
                <w:spacing w:val="-45"/>
                <w:sz w:val="16"/>
                <w:szCs w:val="16"/>
              </w:rPr>
              <w:t> </w:t>
            </w:r>
            <w:r>
              <w:rPr>
                <w:rFonts w:ascii="宋体" w:hAnsi="宋体" w:cs="宋体" w:eastAsia="宋体" w:hint="default"/>
                <w:sz w:val="16"/>
                <w:szCs w:val="16"/>
              </w:rPr>
              <w:t>万人民币</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center"/>
              <w:rPr>
                <w:rFonts w:ascii="宋体" w:hAnsi="宋体" w:cs="宋体" w:eastAsia="宋体" w:hint="default"/>
                <w:sz w:val="16"/>
                <w:szCs w:val="16"/>
              </w:rPr>
            </w:pPr>
            <w:r>
              <w:rPr>
                <w:rFonts w:ascii="宋体"/>
                <w:sz w:val="16"/>
              </w:rPr>
              <w:t>2018.08.28-2019.05.31</w:t>
            </w:r>
          </w:p>
        </w:tc>
      </w:tr>
      <w:tr>
        <w:trPr>
          <w:trHeight w:val="284" w:hRule="exact"/>
        </w:trPr>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同方人工环境有限公司</w:t>
            </w: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21" w:right="0"/>
              <w:jc w:val="left"/>
              <w:rPr>
                <w:rFonts w:ascii="宋体" w:hAnsi="宋体" w:cs="宋体" w:eastAsia="宋体" w:hint="default"/>
                <w:sz w:val="16"/>
                <w:szCs w:val="16"/>
              </w:rPr>
            </w:pPr>
            <w:r>
              <w:rPr>
                <w:rFonts w:ascii="宋体" w:hAnsi="宋体" w:cs="宋体" w:eastAsia="宋体" w:hint="default"/>
                <w:sz w:val="16"/>
                <w:szCs w:val="16"/>
              </w:rPr>
              <w:t>交通银行林萃路支行</w:t>
            </w: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hAnsi="宋体" w:cs="宋体" w:eastAsia="宋体" w:hint="default"/>
                <w:sz w:val="16"/>
                <w:szCs w:val="16"/>
              </w:rPr>
              <w:t>8.53</w:t>
            </w:r>
            <w:r>
              <w:rPr>
                <w:rFonts w:ascii="宋体" w:hAnsi="宋体" w:cs="宋体" w:eastAsia="宋体" w:hint="default"/>
                <w:spacing w:val="-41"/>
                <w:sz w:val="16"/>
                <w:szCs w:val="16"/>
              </w:rPr>
              <w:t> </w:t>
            </w:r>
            <w:r>
              <w:rPr>
                <w:rFonts w:ascii="宋体" w:hAnsi="宋体" w:cs="宋体" w:eastAsia="宋体" w:hint="default"/>
                <w:sz w:val="16"/>
                <w:szCs w:val="16"/>
              </w:rPr>
              <w:t>万人民币</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center"/>
              <w:rPr>
                <w:rFonts w:ascii="宋体" w:hAnsi="宋体" w:cs="宋体" w:eastAsia="宋体" w:hint="default"/>
                <w:sz w:val="16"/>
                <w:szCs w:val="16"/>
              </w:rPr>
            </w:pPr>
            <w:r>
              <w:rPr>
                <w:rFonts w:ascii="宋体"/>
                <w:sz w:val="16"/>
              </w:rPr>
              <w:t>2018.04.19-2019.11.23</w:t>
            </w:r>
          </w:p>
        </w:tc>
      </w:tr>
      <w:tr>
        <w:trPr>
          <w:trHeight w:val="214" w:hRule="exact"/>
        </w:trPr>
        <w:tc>
          <w:tcPr>
            <w:tcW w:w="2327" w:type="dxa"/>
            <w:tcBorders>
              <w:top w:val="nil" w:sz="6" w:space="0" w:color="auto"/>
              <w:left w:val="nil" w:sz="6" w:space="0" w:color="auto"/>
              <w:bottom w:val="nil" w:sz="6" w:space="0" w:color="auto"/>
              <w:right w:val="nil" w:sz="6" w:space="0" w:color="auto"/>
            </w:tcBorders>
          </w:tcPr>
          <w:p>
            <w:pPr/>
          </w:p>
        </w:tc>
        <w:tc>
          <w:tcPr>
            <w:tcW w:w="2565"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宋体" w:hAnsi="宋体" w:cs="宋体" w:eastAsia="宋体" w:hint="default"/>
                <w:sz w:val="16"/>
                <w:szCs w:val="16"/>
              </w:rPr>
            </w:pPr>
            <w:r>
              <w:rPr>
                <w:rFonts w:ascii="宋体" w:hAnsi="宋体" w:cs="宋体" w:eastAsia="宋体" w:hint="default"/>
                <w:sz w:val="16"/>
                <w:szCs w:val="16"/>
              </w:rPr>
              <w:t>496.98</w:t>
            </w:r>
            <w:r>
              <w:rPr>
                <w:rFonts w:ascii="宋体" w:hAnsi="宋体" w:cs="宋体" w:eastAsia="宋体" w:hint="default"/>
                <w:spacing w:val="-43"/>
                <w:sz w:val="16"/>
                <w:szCs w:val="16"/>
              </w:rPr>
              <w:t> </w:t>
            </w:r>
            <w:r>
              <w:rPr>
                <w:rFonts w:ascii="宋体" w:hAnsi="宋体" w:cs="宋体" w:eastAsia="宋体" w:hint="default"/>
                <w:sz w:val="16"/>
                <w:szCs w:val="16"/>
              </w:rPr>
              <w:t>万港币</w:t>
            </w:r>
          </w:p>
        </w:tc>
        <w:tc>
          <w:tcPr>
            <w:tcW w:w="1898" w:type="dxa"/>
            <w:tcBorders>
              <w:top w:val="nil" w:sz="6" w:space="0" w:color="auto"/>
              <w:left w:val="nil" w:sz="6" w:space="0" w:color="auto"/>
              <w:bottom w:val="nil" w:sz="6" w:space="0" w:color="auto"/>
              <w:right w:val="nil" w:sz="6" w:space="0" w:color="auto"/>
            </w:tcBorders>
          </w:tcPr>
          <w:p>
            <w:pPr/>
          </w:p>
        </w:tc>
      </w:tr>
      <w:tr>
        <w:trPr>
          <w:trHeight w:val="148" w:hRule="exact"/>
        </w:trPr>
        <w:tc>
          <w:tcPr>
            <w:tcW w:w="2327" w:type="dxa"/>
            <w:tcBorders>
              <w:top w:val="nil" w:sz="6" w:space="0" w:color="auto"/>
              <w:left w:val="nil" w:sz="6" w:space="0" w:color="auto"/>
              <w:bottom w:val="nil" w:sz="6" w:space="0" w:color="auto"/>
              <w:right w:val="nil" w:sz="6" w:space="0" w:color="auto"/>
            </w:tcBorders>
          </w:tcPr>
          <w:p>
            <w:pPr>
              <w:pStyle w:val="TableParagraph"/>
              <w:spacing w:line="177" w:lineRule="exact"/>
              <w:ind w:left="122" w:right="0"/>
              <w:jc w:val="left"/>
              <w:rPr>
                <w:rFonts w:ascii="宋体" w:hAnsi="宋体" w:cs="宋体" w:eastAsia="宋体" w:hint="default"/>
                <w:sz w:val="16"/>
                <w:szCs w:val="16"/>
              </w:rPr>
            </w:pPr>
            <w:r>
              <w:rPr>
                <w:rFonts w:ascii="宋体" w:hAnsi="宋体" w:cs="宋体" w:eastAsia="宋体" w:hint="default"/>
                <w:sz w:val="16"/>
                <w:szCs w:val="16"/>
              </w:rPr>
              <w:t>同方威视技术股份有限公司</w:t>
            </w:r>
          </w:p>
        </w:tc>
        <w:tc>
          <w:tcPr>
            <w:tcW w:w="2565" w:type="dxa"/>
            <w:tcBorders>
              <w:top w:val="nil" w:sz="6" w:space="0" w:color="auto"/>
              <w:left w:val="nil" w:sz="6" w:space="0" w:color="auto"/>
              <w:bottom w:val="nil" w:sz="6" w:space="0" w:color="auto"/>
              <w:right w:val="nil" w:sz="6" w:space="0" w:color="auto"/>
            </w:tcBorders>
          </w:tcPr>
          <w:p>
            <w:pPr>
              <w:pStyle w:val="TableParagraph"/>
              <w:spacing w:line="177" w:lineRule="exact"/>
              <w:ind w:left="121" w:right="0"/>
              <w:jc w:val="left"/>
              <w:rPr>
                <w:rFonts w:ascii="宋体" w:hAnsi="宋体" w:cs="宋体" w:eastAsia="宋体" w:hint="default"/>
                <w:sz w:val="16"/>
                <w:szCs w:val="16"/>
              </w:rPr>
            </w:pPr>
            <w:r>
              <w:rPr>
                <w:rFonts w:ascii="宋体" w:hAnsi="宋体" w:cs="宋体" w:eastAsia="宋体" w:hint="default"/>
                <w:sz w:val="16"/>
                <w:szCs w:val="16"/>
              </w:rPr>
              <w:t>中国银行北京分行</w:t>
            </w:r>
          </w:p>
        </w:tc>
        <w:tc>
          <w:tcPr>
            <w:tcW w:w="1951"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151" w:lineRule="exact"/>
              <w:ind w:right="3"/>
              <w:jc w:val="center"/>
              <w:rPr>
                <w:rFonts w:ascii="宋体" w:hAnsi="宋体" w:cs="宋体" w:eastAsia="宋体" w:hint="default"/>
                <w:sz w:val="16"/>
                <w:szCs w:val="16"/>
              </w:rPr>
            </w:pPr>
            <w:r>
              <w:rPr>
                <w:rFonts w:ascii="宋体" w:hAnsi="宋体" w:cs="宋体" w:eastAsia="宋体" w:hint="default"/>
                <w:sz w:val="16"/>
                <w:szCs w:val="16"/>
              </w:rPr>
              <w:t>2012.06.08--</w:t>
            </w:r>
            <w:r>
              <w:rPr>
                <w:rFonts w:ascii="宋体" w:hAnsi="宋体" w:cs="宋体" w:eastAsia="宋体" w:hint="default"/>
                <w:sz w:val="16"/>
                <w:szCs w:val="16"/>
              </w:rPr>
              <w:t>敞口</w:t>
            </w:r>
          </w:p>
        </w:tc>
      </w:tr>
      <w:tr>
        <w:trPr>
          <w:trHeight w:val="206" w:hRule="exact"/>
        </w:trPr>
        <w:tc>
          <w:tcPr>
            <w:tcW w:w="2327" w:type="dxa"/>
            <w:tcBorders>
              <w:top w:val="nil" w:sz="6" w:space="0" w:color="auto"/>
              <w:left w:val="nil" w:sz="6" w:space="0" w:color="auto"/>
              <w:bottom w:val="nil" w:sz="6" w:space="0" w:color="auto"/>
              <w:right w:val="nil" w:sz="6" w:space="0" w:color="auto"/>
            </w:tcBorders>
          </w:tcPr>
          <w:p>
            <w:pPr/>
          </w:p>
        </w:tc>
        <w:tc>
          <w:tcPr>
            <w:tcW w:w="2565"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144" w:lineRule="exact"/>
              <w:ind w:right="105"/>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宋体" w:hAnsi="宋体" w:cs="宋体" w:eastAsia="宋体" w:hint="default"/>
                <w:sz w:val="16"/>
                <w:szCs w:val="16"/>
              </w:rPr>
              <w:t>435.45</w:t>
            </w:r>
            <w:r>
              <w:rPr>
                <w:rFonts w:ascii="宋体" w:hAnsi="宋体" w:cs="宋体" w:eastAsia="宋体" w:hint="default"/>
                <w:spacing w:val="-42"/>
                <w:sz w:val="16"/>
                <w:szCs w:val="16"/>
              </w:rPr>
              <w:t> </w:t>
            </w:r>
            <w:r>
              <w:rPr>
                <w:rFonts w:ascii="宋体" w:hAnsi="宋体" w:cs="宋体" w:eastAsia="宋体" w:hint="default"/>
                <w:sz w:val="16"/>
                <w:szCs w:val="16"/>
              </w:rPr>
              <w:t>万人民币</w:t>
            </w:r>
          </w:p>
        </w:tc>
        <w:tc>
          <w:tcPr>
            <w:tcW w:w="1898" w:type="dxa"/>
            <w:tcBorders>
              <w:top w:val="nil" w:sz="6" w:space="0" w:color="auto"/>
              <w:left w:val="nil" w:sz="6" w:space="0" w:color="auto"/>
              <w:bottom w:val="nil" w:sz="6" w:space="0" w:color="auto"/>
              <w:right w:val="nil" w:sz="6" w:space="0" w:color="auto"/>
            </w:tcBorders>
          </w:tcPr>
          <w:p>
            <w:pPr/>
          </w:p>
        </w:tc>
      </w:tr>
      <w:tr>
        <w:trPr>
          <w:trHeight w:val="212" w:hRule="exact"/>
        </w:trPr>
        <w:tc>
          <w:tcPr>
            <w:tcW w:w="2327" w:type="dxa"/>
            <w:tcBorders>
              <w:top w:val="nil" w:sz="6" w:space="0" w:color="auto"/>
              <w:left w:val="nil" w:sz="6" w:space="0" w:color="auto"/>
              <w:bottom w:val="nil" w:sz="6" w:space="0" w:color="auto"/>
              <w:right w:val="nil" w:sz="6" w:space="0" w:color="auto"/>
            </w:tcBorders>
          </w:tcPr>
          <w:p>
            <w:pPr/>
          </w:p>
        </w:tc>
        <w:tc>
          <w:tcPr>
            <w:tcW w:w="2565"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hAnsi="宋体" w:cs="宋体" w:eastAsia="宋体" w:hint="default"/>
                <w:sz w:val="16"/>
                <w:szCs w:val="16"/>
              </w:rPr>
              <w:t>58.33</w:t>
            </w:r>
            <w:r>
              <w:rPr>
                <w:rFonts w:ascii="宋体" w:hAnsi="宋体" w:cs="宋体" w:eastAsia="宋体" w:hint="default"/>
                <w:spacing w:val="-43"/>
                <w:sz w:val="16"/>
                <w:szCs w:val="16"/>
              </w:rPr>
              <w:t> </w:t>
            </w:r>
            <w:r>
              <w:rPr>
                <w:rFonts w:ascii="宋体" w:hAnsi="宋体" w:cs="宋体" w:eastAsia="宋体" w:hint="default"/>
                <w:sz w:val="16"/>
                <w:szCs w:val="16"/>
              </w:rPr>
              <w:t>万欧元</w:t>
            </w:r>
          </w:p>
        </w:tc>
        <w:tc>
          <w:tcPr>
            <w:tcW w:w="1898" w:type="dxa"/>
            <w:tcBorders>
              <w:top w:val="nil" w:sz="6" w:space="0" w:color="auto"/>
              <w:left w:val="nil" w:sz="6" w:space="0" w:color="auto"/>
              <w:bottom w:val="nil" w:sz="6" w:space="0" w:color="auto"/>
              <w:right w:val="nil" w:sz="6" w:space="0" w:color="auto"/>
            </w:tcBorders>
          </w:tcPr>
          <w:p>
            <w:pPr/>
          </w:p>
        </w:tc>
      </w:tr>
      <w:tr>
        <w:trPr>
          <w:trHeight w:val="149" w:hRule="exact"/>
        </w:trPr>
        <w:tc>
          <w:tcPr>
            <w:tcW w:w="2327" w:type="dxa"/>
            <w:tcBorders>
              <w:top w:val="nil" w:sz="6" w:space="0" w:color="auto"/>
              <w:left w:val="nil" w:sz="6" w:space="0" w:color="auto"/>
              <w:bottom w:val="nil" w:sz="6" w:space="0" w:color="auto"/>
              <w:right w:val="nil" w:sz="6" w:space="0" w:color="auto"/>
            </w:tcBorders>
          </w:tcPr>
          <w:p>
            <w:pPr>
              <w:pStyle w:val="TableParagraph"/>
              <w:spacing w:line="177" w:lineRule="exact"/>
              <w:ind w:left="122" w:right="0"/>
              <w:jc w:val="left"/>
              <w:rPr>
                <w:rFonts w:ascii="宋体" w:hAnsi="宋体" w:cs="宋体" w:eastAsia="宋体" w:hint="default"/>
                <w:sz w:val="16"/>
                <w:szCs w:val="16"/>
              </w:rPr>
            </w:pPr>
            <w:r>
              <w:rPr>
                <w:rFonts w:ascii="宋体" w:hAnsi="宋体" w:cs="宋体" w:eastAsia="宋体" w:hint="default"/>
                <w:sz w:val="16"/>
                <w:szCs w:val="16"/>
              </w:rPr>
              <w:t>同方威视技术股份有限公司</w:t>
            </w:r>
          </w:p>
        </w:tc>
        <w:tc>
          <w:tcPr>
            <w:tcW w:w="2565" w:type="dxa"/>
            <w:tcBorders>
              <w:top w:val="nil" w:sz="6" w:space="0" w:color="auto"/>
              <w:left w:val="nil" w:sz="6" w:space="0" w:color="auto"/>
              <w:bottom w:val="nil" w:sz="6" w:space="0" w:color="auto"/>
              <w:right w:val="nil" w:sz="6" w:space="0" w:color="auto"/>
            </w:tcBorders>
          </w:tcPr>
          <w:p>
            <w:pPr>
              <w:pStyle w:val="TableParagraph"/>
              <w:spacing w:line="177" w:lineRule="exact"/>
              <w:ind w:left="121" w:right="0"/>
              <w:jc w:val="left"/>
              <w:rPr>
                <w:rFonts w:ascii="宋体" w:hAnsi="宋体" w:cs="宋体" w:eastAsia="宋体" w:hint="default"/>
                <w:sz w:val="16"/>
                <w:szCs w:val="16"/>
              </w:rPr>
            </w:pPr>
            <w:r>
              <w:rPr>
                <w:rFonts w:ascii="宋体" w:hAnsi="宋体" w:cs="宋体" w:eastAsia="宋体" w:hint="default"/>
                <w:sz w:val="16"/>
                <w:szCs w:val="16"/>
              </w:rPr>
              <w:t>中国银行北京分行</w:t>
            </w:r>
          </w:p>
        </w:tc>
        <w:tc>
          <w:tcPr>
            <w:tcW w:w="1951"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151" w:lineRule="exact"/>
              <w:ind w:right="0"/>
              <w:jc w:val="center"/>
              <w:rPr>
                <w:rFonts w:ascii="宋体" w:hAnsi="宋体" w:cs="宋体" w:eastAsia="宋体" w:hint="default"/>
                <w:sz w:val="16"/>
                <w:szCs w:val="16"/>
              </w:rPr>
            </w:pPr>
            <w:r>
              <w:rPr>
                <w:rFonts w:ascii="宋体"/>
                <w:sz w:val="16"/>
              </w:rPr>
              <w:t>2009.06.19-2019.12.31</w:t>
            </w:r>
          </w:p>
        </w:tc>
      </w:tr>
      <w:tr>
        <w:trPr>
          <w:trHeight w:val="207" w:hRule="exact"/>
        </w:trPr>
        <w:tc>
          <w:tcPr>
            <w:tcW w:w="2327" w:type="dxa"/>
            <w:tcBorders>
              <w:top w:val="nil" w:sz="6" w:space="0" w:color="auto"/>
              <w:left w:val="nil" w:sz="6" w:space="0" w:color="auto"/>
              <w:bottom w:val="nil" w:sz="6" w:space="0" w:color="auto"/>
              <w:right w:val="nil" w:sz="6" w:space="0" w:color="auto"/>
            </w:tcBorders>
          </w:tcPr>
          <w:p>
            <w:pPr/>
          </w:p>
        </w:tc>
        <w:tc>
          <w:tcPr>
            <w:tcW w:w="2565"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146" w:lineRule="exact"/>
              <w:ind w:right="105"/>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宋体" w:hAnsi="宋体" w:cs="宋体" w:eastAsia="宋体" w:hint="default"/>
                <w:sz w:val="16"/>
                <w:szCs w:val="16"/>
              </w:rPr>
              <w:t>457.72</w:t>
            </w:r>
            <w:r>
              <w:rPr>
                <w:rFonts w:ascii="宋体" w:hAnsi="宋体" w:cs="宋体" w:eastAsia="宋体" w:hint="default"/>
                <w:spacing w:val="-42"/>
                <w:sz w:val="16"/>
                <w:szCs w:val="16"/>
              </w:rPr>
              <w:t> </w:t>
            </w:r>
            <w:r>
              <w:rPr>
                <w:rFonts w:ascii="宋体" w:hAnsi="宋体" w:cs="宋体" w:eastAsia="宋体" w:hint="default"/>
                <w:sz w:val="16"/>
                <w:szCs w:val="16"/>
              </w:rPr>
              <w:t>万人民币</w:t>
            </w:r>
          </w:p>
        </w:tc>
        <w:tc>
          <w:tcPr>
            <w:tcW w:w="1898" w:type="dxa"/>
            <w:tcBorders>
              <w:top w:val="nil" w:sz="6" w:space="0" w:color="auto"/>
              <w:left w:val="nil" w:sz="6" w:space="0" w:color="auto"/>
              <w:bottom w:val="nil" w:sz="6" w:space="0" w:color="auto"/>
              <w:right w:val="nil" w:sz="6" w:space="0" w:color="auto"/>
            </w:tcBorders>
          </w:tcPr>
          <w:p>
            <w:pPr/>
          </w:p>
        </w:tc>
      </w:tr>
      <w:tr>
        <w:trPr>
          <w:trHeight w:val="212" w:hRule="exact"/>
        </w:trPr>
        <w:tc>
          <w:tcPr>
            <w:tcW w:w="2327" w:type="dxa"/>
            <w:tcBorders>
              <w:top w:val="nil" w:sz="6" w:space="0" w:color="auto"/>
              <w:left w:val="nil" w:sz="6" w:space="0" w:color="auto"/>
              <w:bottom w:val="nil" w:sz="6" w:space="0" w:color="auto"/>
              <w:right w:val="nil" w:sz="6" w:space="0" w:color="auto"/>
            </w:tcBorders>
          </w:tcPr>
          <w:p>
            <w:pPr/>
          </w:p>
        </w:tc>
        <w:tc>
          <w:tcPr>
            <w:tcW w:w="2565"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hAnsi="宋体" w:cs="宋体" w:eastAsia="宋体" w:hint="default"/>
                <w:sz w:val="16"/>
                <w:szCs w:val="16"/>
              </w:rPr>
              <w:t>20.00</w:t>
            </w:r>
            <w:r>
              <w:rPr>
                <w:rFonts w:ascii="宋体" w:hAnsi="宋体" w:cs="宋体" w:eastAsia="宋体" w:hint="default"/>
                <w:spacing w:val="-42"/>
                <w:sz w:val="16"/>
                <w:szCs w:val="16"/>
              </w:rPr>
              <w:t> </w:t>
            </w:r>
            <w:r>
              <w:rPr>
                <w:rFonts w:ascii="宋体" w:hAnsi="宋体" w:cs="宋体" w:eastAsia="宋体" w:hint="default"/>
                <w:sz w:val="16"/>
                <w:szCs w:val="16"/>
              </w:rPr>
              <w:t>万以色列新谢克尔</w:t>
            </w:r>
          </w:p>
        </w:tc>
        <w:tc>
          <w:tcPr>
            <w:tcW w:w="1898" w:type="dxa"/>
            <w:tcBorders>
              <w:top w:val="nil" w:sz="6" w:space="0" w:color="auto"/>
              <w:left w:val="nil" w:sz="6" w:space="0" w:color="auto"/>
              <w:bottom w:val="nil" w:sz="6" w:space="0" w:color="auto"/>
              <w:right w:val="nil" w:sz="6" w:space="0" w:color="auto"/>
            </w:tcBorders>
          </w:tcPr>
          <w:p>
            <w:pPr/>
          </w:p>
        </w:tc>
      </w:tr>
      <w:tr>
        <w:trPr>
          <w:trHeight w:val="148" w:hRule="exact"/>
        </w:trPr>
        <w:tc>
          <w:tcPr>
            <w:tcW w:w="2327" w:type="dxa"/>
            <w:tcBorders>
              <w:top w:val="nil" w:sz="6" w:space="0" w:color="auto"/>
              <w:left w:val="nil" w:sz="6" w:space="0" w:color="auto"/>
              <w:bottom w:val="nil" w:sz="6" w:space="0" w:color="auto"/>
              <w:right w:val="nil" w:sz="6" w:space="0" w:color="auto"/>
            </w:tcBorders>
          </w:tcPr>
          <w:p>
            <w:pPr>
              <w:pStyle w:val="TableParagraph"/>
              <w:spacing w:line="177" w:lineRule="exact"/>
              <w:ind w:left="122" w:right="0"/>
              <w:jc w:val="left"/>
              <w:rPr>
                <w:rFonts w:ascii="宋体" w:hAnsi="宋体" w:cs="宋体" w:eastAsia="宋体" w:hint="default"/>
                <w:sz w:val="16"/>
                <w:szCs w:val="16"/>
              </w:rPr>
            </w:pPr>
            <w:r>
              <w:rPr>
                <w:rFonts w:ascii="宋体" w:hAnsi="宋体" w:cs="宋体" w:eastAsia="宋体" w:hint="default"/>
                <w:sz w:val="16"/>
                <w:szCs w:val="16"/>
              </w:rPr>
              <w:t>同方威视技术股份有限公司</w:t>
            </w:r>
          </w:p>
        </w:tc>
        <w:tc>
          <w:tcPr>
            <w:tcW w:w="2565" w:type="dxa"/>
            <w:tcBorders>
              <w:top w:val="nil" w:sz="6" w:space="0" w:color="auto"/>
              <w:left w:val="nil" w:sz="6" w:space="0" w:color="auto"/>
              <w:bottom w:val="nil" w:sz="6" w:space="0" w:color="auto"/>
              <w:right w:val="nil" w:sz="6" w:space="0" w:color="auto"/>
            </w:tcBorders>
          </w:tcPr>
          <w:p>
            <w:pPr>
              <w:pStyle w:val="TableParagraph"/>
              <w:spacing w:line="177" w:lineRule="exact"/>
              <w:ind w:left="121" w:right="0"/>
              <w:jc w:val="left"/>
              <w:rPr>
                <w:rFonts w:ascii="宋体" w:hAnsi="宋体" w:cs="宋体" w:eastAsia="宋体" w:hint="default"/>
                <w:sz w:val="16"/>
                <w:szCs w:val="16"/>
              </w:rPr>
            </w:pPr>
            <w:r>
              <w:rPr>
                <w:rFonts w:ascii="宋体" w:hAnsi="宋体" w:cs="宋体" w:eastAsia="宋体" w:hint="default"/>
                <w:sz w:val="16"/>
                <w:szCs w:val="16"/>
              </w:rPr>
              <w:t>中国银行北京分行</w:t>
            </w:r>
          </w:p>
        </w:tc>
        <w:tc>
          <w:tcPr>
            <w:tcW w:w="1951"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151" w:lineRule="exact"/>
              <w:ind w:right="0"/>
              <w:jc w:val="center"/>
              <w:rPr>
                <w:rFonts w:ascii="宋体" w:hAnsi="宋体" w:cs="宋体" w:eastAsia="宋体" w:hint="default"/>
                <w:sz w:val="16"/>
                <w:szCs w:val="16"/>
              </w:rPr>
            </w:pPr>
            <w:r>
              <w:rPr>
                <w:rFonts w:ascii="宋体"/>
                <w:sz w:val="16"/>
              </w:rPr>
              <w:t>2011.02.25-2019.12.31</w:t>
            </w:r>
          </w:p>
        </w:tc>
      </w:tr>
      <w:tr>
        <w:trPr>
          <w:trHeight w:val="213" w:hRule="exact"/>
        </w:trPr>
        <w:tc>
          <w:tcPr>
            <w:tcW w:w="2327" w:type="dxa"/>
            <w:tcBorders>
              <w:top w:val="nil" w:sz="6" w:space="0" w:color="auto"/>
              <w:left w:val="nil" w:sz="6" w:space="0" w:color="auto"/>
              <w:bottom w:val="single" w:sz="4" w:space="0" w:color="000000"/>
              <w:right w:val="nil" w:sz="6" w:space="0" w:color="auto"/>
            </w:tcBorders>
          </w:tcPr>
          <w:p>
            <w:pPr/>
          </w:p>
        </w:tc>
        <w:tc>
          <w:tcPr>
            <w:tcW w:w="2565" w:type="dxa"/>
            <w:tcBorders>
              <w:top w:val="nil" w:sz="6" w:space="0" w:color="auto"/>
              <w:left w:val="nil" w:sz="6" w:space="0" w:color="auto"/>
              <w:bottom w:val="single" w:sz="4" w:space="0" w:color="000000"/>
              <w:right w:val="nil" w:sz="6" w:space="0" w:color="auto"/>
            </w:tcBorders>
          </w:tcPr>
          <w:p>
            <w:pPr/>
          </w:p>
        </w:tc>
        <w:tc>
          <w:tcPr>
            <w:tcW w:w="1951" w:type="dxa"/>
            <w:tcBorders>
              <w:top w:val="nil" w:sz="6" w:space="0" w:color="auto"/>
              <w:left w:val="nil" w:sz="6" w:space="0" w:color="auto"/>
              <w:bottom w:val="single" w:sz="4" w:space="0" w:color="000000"/>
              <w:right w:val="nil" w:sz="6" w:space="0" w:color="auto"/>
            </w:tcBorders>
          </w:tcPr>
          <w:p>
            <w:pPr>
              <w:pStyle w:val="TableParagraph"/>
              <w:spacing w:line="144" w:lineRule="exact"/>
              <w:ind w:right="105"/>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2"/>
                <w:sz w:val="16"/>
                <w:szCs w:val="16"/>
              </w:rPr>
              <w:t> </w:t>
            </w:r>
            <w:r>
              <w:rPr>
                <w:rFonts w:ascii="宋体" w:hAnsi="宋体" w:cs="宋体" w:eastAsia="宋体" w:hint="default"/>
                <w:sz w:val="16"/>
                <w:szCs w:val="16"/>
              </w:rPr>
              <w:t>38.06</w:t>
            </w:r>
            <w:r>
              <w:rPr>
                <w:rFonts w:ascii="宋体" w:hAnsi="宋体" w:cs="宋体" w:eastAsia="宋体" w:hint="default"/>
                <w:spacing w:val="-43"/>
                <w:sz w:val="16"/>
                <w:szCs w:val="16"/>
              </w:rPr>
              <w:t> </w:t>
            </w:r>
            <w:r>
              <w:rPr>
                <w:rFonts w:ascii="宋体" w:hAnsi="宋体" w:cs="宋体" w:eastAsia="宋体" w:hint="default"/>
                <w:sz w:val="16"/>
                <w:szCs w:val="16"/>
              </w:rPr>
              <w:t>万人民币</w:t>
            </w:r>
          </w:p>
        </w:tc>
        <w:tc>
          <w:tcPr>
            <w:tcW w:w="1898" w:type="dxa"/>
            <w:tcBorders>
              <w:top w:val="nil" w:sz="6" w:space="0" w:color="auto"/>
              <w:left w:val="nil" w:sz="6" w:space="0" w:color="auto"/>
              <w:bottom w:val="single" w:sz="4" w:space="0" w:color="000000"/>
              <w:right w:val="nil" w:sz="6" w:space="0" w:color="auto"/>
            </w:tcBorders>
          </w:tcPr>
          <w:p>
            <w:pPr/>
          </w:p>
        </w:tc>
      </w:tr>
      <w:tr>
        <w:trPr>
          <w:trHeight w:val="305" w:hRule="exact"/>
        </w:trPr>
        <w:tc>
          <w:tcPr>
            <w:tcW w:w="2327"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2565" w:type="dxa"/>
            <w:tcBorders>
              <w:top w:val="single" w:sz="4" w:space="0" w:color="000000"/>
              <w:left w:val="nil" w:sz="6" w:space="0" w:color="auto"/>
              <w:bottom w:val="single" w:sz="12" w:space="0" w:color="000000"/>
              <w:right w:val="nil" w:sz="6" w:space="0" w:color="auto"/>
            </w:tcBorders>
          </w:tcPr>
          <w:p>
            <w:pPr/>
          </w:p>
        </w:tc>
        <w:tc>
          <w:tcPr>
            <w:tcW w:w="1951"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105"/>
              <w:jc w:val="right"/>
              <w:rPr>
                <w:rFonts w:ascii="宋体" w:hAnsi="宋体" w:cs="宋体" w:eastAsia="宋体" w:hint="default"/>
                <w:sz w:val="16"/>
                <w:szCs w:val="16"/>
              </w:rPr>
            </w:pPr>
            <w:r>
              <w:rPr>
                <w:rFonts w:ascii="宋体" w:hAnsi="宋体" w:cs="宋体" w:eastAsia="宋体" w:hint="default"/>
                <w:b/>
                <w:bCs/>
                <w:sz w:val="16"/>
                <w:szCs w:val="16"/>
              </w:rPr>
              <w:t>约</w:t>
            </w:r>
            <w:r>
              <w:rPr>
                <w:rFonts w:ascii="宋体" w:hAnsi="宋体" w:cs="宋体" w:eastAsia="宋体" w:hint="default"/>
                <w:b/>
                <w:bCs/>
                <w:spacing w:val="-44"/>
                <w:sz w:val="16"/>
                <w:szCs w:val="16"/>
              </w:rPr>
              <w:t> </w:t>
            </w:r>
            <w:r>
              <w:rPr>
                <w:rFonts w:ascii="宋体" w:hAnsi="宋体" w:cs="宋体" w:eastAsia="宋体" w:hint="default"/>
                <w:b/>
                <w:bCs/>
                <w:sz w:val="16"/>
                <w:szCs w:val="16"/>
              </w:rPr>
              <w:t>7,935.30</w:t>
            </w:r>
            <w:r>
              <w:rPr>
                <w:rFonts w:ascii="宋体" w:hAnsi="宋体" w:cs="宋体" w:eastAsia="宋体" w:hint="default"/>
                <w:b/>
                <w:bCs/>
                <w:spacing w:val="-42"/>
                <w:sz w:val="16"/>
                <w:szCs w:val="16"/>
              </w:rPr>
              <w:t> </w:t>
            </w:r>
            <w:r>
              <w:rPr>
                <w:rFonts w:ascii="宋体" w:hAnsi="宋体" w:cs="宋体" w:eastAsia="宋体" w:hint="default"/>
                <w:b/>
                <w:bCs/>
                <w:sz w:val="16"/>
                <w:szCs w:val="16"/>
              </w:rPr>
              <w:t>万人民币</w:t>
            </w:r>
            <w:r>
              <w:rPr>
                <w:rFonts w:ascii="宋体" w:hAnsi="宋体" w:cs="宋体" w:eastAsia="宋体" w:hint="default"/>
                <w:sz w:val="16"/>
                <w:szCs w:val="16"/>
              </w:rPr>
            </w:r>
          </w:p>
        </w:tc>
        <w:tc>
          <w:tcPr>
            <w:tcW w:w="1898" w:type="dxa"/>
            <w:tcBorders>
              <w:top w:val="single" w:sz="4" w:space="0" w:color="000000"/>
              <w:left w:val="nil" w:sz="6" w:space="0" w:color="auto"/>
              <w:bottom w:val="single" w:sz="12" w:space="0" w:color="000000"/>
              <w:right w:val="nil" w:sz="6" w:space="0" w:color="auto"/>
            </w:tcBorders>
          </w:tcPr>
          <w:p>
            <w:pPr/>
          </w:p>
        </w:tc>
      </w:tr>
    </w:tbl>
    <w:p>
      <w:pPr>
        <w:tabs>
          <w:tab w:pos="1194" w:val="left" w:leader="none"/>
        </w:tabs>
        <w:spacing w:before="81"/>
        <w:ind w:left="808"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w:t>
        <w:tab/>
      </w:r>
      <w:r>
        <w:rPr>
          <w:rFonts w:ascii="宋体" w:hAnsi="宋体" w:cs="宋体" w:eastAsia="宋体" w:hint="default"/>
          <w:sz w:val="22"/>
          <w:szCs w:val="22"/>
        </w:rPr>
        <w:t>债券担保</w:t>
      </w:r>
    </w:p>
    <w:p>
      <w:pPr>
        <w:spacing w:before="171"/>
        <w:ind w:left="681"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6"/>
          <w:sz w:val="22"/>
          <w:szCs w:val="22"/>
        </w:rPr>
        <w:t> </w:t>
      </w:r>
      <w:r>
        <w:rPr>
          <w:rFonts w:ascii="宋体" w:hAnsi="宋体" w:cs="宋体" w:eastAsia="宋体" w:hint="default"/>
          <w:sz w:val="22"/>
          <w:szCs w:val="22"/>
        </w:rPr>
        <w:t>2018</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日，公司以保证方式为</w:t>
      </w:r>
      <w:r>
        <w:rPr>
          <w:rFonts w:ascii="宋体" w:hAnsi="宋体" w:cs="宋体" w:eastAsia="宋体" w:hint="default"/>
          <w:spacing w:val="-56"/>
          <w:sz w:val="22"/>
          <w:szCs w:val="22"/>
        </w:rPr>
        <w:t> </w:t>
      </w:r>
      <w:r>
        <w:rPr>
          <w:rFonts w:ascii="宋体" w:hAnsi="宋体" w:cs="宋体" w:eastAsia="宋体" w:hint="default"/>
          <w:sz w:val="22"/>
          <w:szCs w:val="22"/>
        </w:rPr>
        <w:t>Tongfang</w:t>
      </w:r>
      <w:r>
        <w:rPr>
          <w:rFonts w:ascii="宋体" w:hAnsi="宋体" w:cs="宋体" w:eastAsia="宋体" w:hint="default"/>
          <w:spacing w:val="-25"/>
          <w:sz w:val="22"/>
          <w:szCs w:val="22"/>
        </w:rPr>
        <w:t> </w:t>
      </w:r>
      <w:r>
        <w:rPr>
          <w:rFonts w:ascii="宋体" w:hAnsi="宋体" w:cs="宋体" w:eastAsia="宋体" w:hint="default"/>
          <w:sz w:val="22"/>
          <w:szCs w:val="22"/>
        </w:rPr>
        <w:t>Aqua</w:t>
      </w:r>
      <w:r>
        <w:rPr>
          <w:rFonts w:ascii="宋体" w:hAnsi="宋体" w:cs="宋体" w:eastAsia="宋体" w:hint="default"/>
          <w:spacing w:val="-25"/>
          <w:sz w:val="22"/>
          <w:szCs w:val="22"/>
        </w:rPr>
        <w:t> </w:t>
      </w:r>
      <w:r>
        <w:rPr>
          <w:rFonts w:ascii="宋体" w:hAnsi="宋体" w:cs="宋体" w:eastAsia="宋体" w:hint="default"/>
          <w:sz w:val="22"/>
          <w:szCs w:val="22"/>
        </w:rPr>
        <w:t>2017</w:t>
      </w:r>
      <w:r>
        <w:rPr>
          <w:rFonts w:ascii="宋体" w:hAnsi="宋体" w:cs="宋体" w:eastAsia="宋体" w:hint="default"/>
          <w:spacing w:val="-25"/>
          <w:sz w:val="22"/>
          <w:szCs w:val="22"/>
        </w:rPr>
        <w:t> </w:t>
      </w:r>
      <w:r>
        <w:rPr>
          <w:rFonts w:ascii="宋体" w:hAnsi="宋体" w:cs="宋体" w:eastAsia="宋体" w:hint="default"/>
          <w:sz w:val="22"/>
          <w:szCs w:val="22"/>
        </w:rPr>
        <w:t>Limited</w:t>
      </w:r>
      <w:r>
        <w:rPr>
          <w:rFonts w:ascii="宋体" w:hAnsi="宋体" w:cs="宋体" w:eastAsia="宋体" w:hint="default"/>
          <w:spacing w:val="-55"/>
          <w:sz w:val="22"/>
          <w:szCs w:val="22"/>
        </w:rPr>
        <w:t> </w:t>
      </w:r>
      <w:r>
        <w:rPr>
          <w:rFonts w:ascii="宋体" w:hAnsi="宋体" w:cs="宋体" w:eastAsia="宋体" w:hint="default"/>
          <w:sz w:val="22"/>
          <w:szCs w:val="22"/>
        </w:rPr>
        <w:t>的下列债</w:t>
      </w:r>
    </w:p>
    <w:p>
      <w:pPr>
        <w:spacing w:before="69"/>
        <w:ind w:left="242" w:right="0" w:firstLine="0"/>
        <w:jc w:val="both"/>
        <w:rPr>
          <w:rFonts w:ascii="宋体" w:hAnsi="宋体" w:cs="宋体" w:eastAsia="宋体" w:hint="default"/>
          <w:sz w:val="22"/>
          <w:szCs w:val="22"/>
        </w:rPr>
      </w:pPr>
      <w:r>
        <w:rPr>
          <w:rFonts w:ascii="宋体" w:hAnsi="宋体" w:cs="宋体" w:eastAsia="宋体" w:hint="default"/>
          <w:sz w:val="22"/>
          <w:szCs w:val="22"/>
        </w:rPr>
        <w:t>券提供连带责任担保：本公司境外全资子公司</w:t>
      </w:r>
      <w:r>
        <w:rPr>
          <w:rFonts w:ascii="宋体" w:hAnsi="宋体" w:cs="宋体" w:eastAsia="宋体" w:hint="default"/>
          <w:spacing w:val="-55"/>
          <w:sz w:val="22"/>
          <w:szCs w:val="22"/>
        </w:rPr>
        <w:t> </w:t>
      </w:r>
      <w:r>
        <w:rPr>
          <w:rFonts w:ascii="宋体" w:hAnsi="宋体" w:cs="宋体" w:eastAsia="宋体" w:hint="default"/>
          <w:sz w:val="22"/>
          <w:szCs w:val="22"/>
        </w:rPr>
        <w:t>Tongfang</w:t>
      </w:r>
      <w:r>
        <w:rPr>
          <w:rFonts w:ascii="宋体" w:hAnsi="宋体" w:cs="宋体" w:eastAsia="宋体" w:hint="default"/>
          <w:spacing w:val="-8"/>
          <w:sz w:val="22"/>
          <w:szCs w:val="22"/>
        </w:rPr>
        <w:t> </w:t>
      </w:r>
      <w:r>
        <w:rPr>
          <w:rFonts w:ascii="宋体" w:hAnsi="宋体" w:cs="宋体" w:eastAsia="宋体" w:hint="default"/>
          <w:sz w:val="22"/>
          <w:szCs w:val="22"/>
        </w:rPr>
        <w:t>Aqua</w:t>
      </w:r>
      <w:r>
        <w:rPr>
          <w:rFonts w:ascii="宋体" w:hAnsi="宋体" w:cs="宋体" w:eastAsia="宋体" w:hint="default"/>
          <w:spacing w:val="-8"/>
          <w:sz w:val="22"/>
          <w:szCs w:val="22"/>
        </w:rPr>
        <w:t> </w:t>
      </w:r>
      <w:r>
        <w:rPr>
          <w:rFonts w:ascii="宋体" w:hAnsi="宋体" w:cs="宋体" w:eastAsia="宋体" w:hint="default"/>
          <w:sz w:val="22"/>
          <w:szCs w:val="22"/>
        </w:rPr>
        <w:t>2017</w:t>
      </w:r>
      <w:r>
        <w:rPr>
          <w:rFonts w:ascii="宋体" w:hAnsi="宋体" w:cs="宋体" w:eastAsia="宋体" w:hint="default"/>
          <w:spacing w:val="-8"/>
          <w:sz w:val="22"/>
          <w:szCs w:val="22"/>
        </w:rPr>
        <w:t> </w:t>
      </w:r>
      <w:r>
        <w:rPr>
          <w:rFonts w:ascii="宋体" w:hAnsi="宋体" w:cs="宋体" w:eastAsia="宋体" w:hint="default"/>
          <w:sz w:val="22"/>
          <w:szCs w:val="22"/>
        </w:rPr>
        <w:t>Limited</w:t>
      </w:r>
      <w:r>
        <w:rPr>
          <w:rFonts w:ascii="宋体" w:hAnsi="宋体" w:cs="宋体" w:eastAsia="宋体" w:hint="default"/>
          <w:spacing w:val="-56"/>
          <w:sz w:val="22"/>
          <w:szCs w:val="22"/>
        </w:rPr>
        <w:t> </w:t>
      </w:r>
      <w:r>
        <w:rPr>
          <w:rFonts w:ascii="宋体" w:hAnsi="宋体" w:cs="宋体" w:eastAsia="宋体" w:hint="default"/>
          <w:sz w:val="22"/>
          <w:szCs w:val="22"/>
        </w:rPr>
        <w:t>于</w:t>
      </w:r>
      <w:r>
        <w:rPr>
          <w:rFonts w:ascii="宋体" w:hAnsi="宋体" w:cs="宋体" w:eastAsia="宋体" w:hint="default"/>
          <w:spacing w:val="-56"/>
          <w:sz w:val="22"/>
          <w:szCs w:val="22"/>
        </w:rPr>
        <w:t> </w:t>
      </w:r>
      <w:r>
        <w:rPr>
          <w:rFonts w:ascii="宋体" w:hAnsi="宋体" w:cs="宋体" w:eastAsia="宋体" w:hint="default"/>
          <w:sz w:val="22"/>
          <w:szCs w:val="22"/>
        </w:rPr>
        <w:t>2018</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3</w:t>
      </w:r>
    </w:p>
    <w:p>
      <w:pPr>
        <w:spacing w:line="297" w:lineRule="auto" w:before="67"/>
        <w:ind w:left="242" w:right="233" w:firstLine="0"/>
        <w:jc w:val="both"/>
        <w:rPr>
          <w:rFonts w:ascii="宋体" w:hAnsi="宋体" w:cs="宋体" w:eastAsia="宋体" w:hint="default"/>
          <w:sz w:val="22"/>
          <w:szCs w:val="22"/>
        </w:rPr>
      </w:pP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宋体" w:hAnsi="宋体" w:cs="宋体" w:eastAsia="宋体" w:hint="default"/>
          <w:sz w:val="22"/>
          <w:szCs w:val="22"/>
        </w:rPr>
        <w:t>29</w:t>
      </w:r>
      <w:r>
        <w:rPr>
          <w:rFonts w:ascii="宋体" w:hAnsi="宋体" w:cs="宋体" w:eastAsia="宋体" w:hint="default"/>
          <w:spacing w:val="-51"/>
          <w:sz w:val="22"/>
          <w:szCs w:val="22"/>
        </w:rPr>
        <w:t> </w:t>
      </w:r>
      <w:r>
        <w:rPr>
          <w:rFonts w:ascii="宋体" w:hAnsi="宋体" w:cs="宋体" w:eastAsia="宋体" w:hint="default"/>
          <w:sz w:val="22"/>
          <w:szCs w:val="22"/>
        </w:rPr>
        <w:t>日完成</w:t>
      </w:r>
      <w:r>
        <w:rPr>
          <w:rFonts w:ascii="宋体" w:hAnsi="宋体" w:cs="宋体" w:eastAsia="宋体" w:hint="default"/>
          <w:spacing w:val="-51"/>
          <w:sz w:val="22"/>
          <w:szCs w:val="22"/>
        </w:rPr>
        <w:t> </w:t>
      </w:r>
      <w:r>
        <w:rPr>
          <w:rFonts w:ascii="宋体" w:hAnsi="宋体" w:cs="宋体" w:eastAsia="宋体" w:hint="default"/>
          <w:sz w:val="22"/>
          <w:szCs w:val="22"/>
        </w:rPr>
        <w:t>30,000.00</w:t>
      </w:r>
      <w:r>
        <w:rPr>
          <w:rFonts w:ascii="宋体" w:hAnsi="宋体" w:cs="宋体" w:eastAsia="宋体" w:hint="default"/>
          <w:spacing w:val="-53"/>
          <w:sz w:val="22"/>
          <w:szCs w:val="22"/>
        </w:rPr>
        <w:t> </w:t>
      </w:r>
      <w:r>
        <w:rPr>
          <w:rFonts w:ascii="宋体" w:hAnsi="宋体" w:cs="宋体" w:eastAsia="宋体" w:hint="default"/>
          <w:spacing w:val="-5"/>
          <w:sz w:val="22"/>
          <w:szCs w:val="22"/>
        </w:rPr>
        <w:t>万美元（折合人民币</w:t>
      </w:r>
      <w:r>
        <w:rPr>
          <w:rFonts w:ascii="宋体" w:hAnsi="宋体" w:cs="宋体" w:eastAsia="宋体" w:hint="default"/>
          <w:spacing w:val="-51"/>
          <w:sz w:val="22"/>
          <w:szCs w:val="22"/>
        </w:rPr>
        <w:t> </w:t>
      </w:r>
      <w:r>
        <w:rPr>
          <w:rFonts w:ascii="宋体" w:hAnsi="宋体" w:cs="宋体" w:eastAsia="宋体" w:hint="default"/>
          <w:sz w:val="22"/>
          <w:szCs w:val="22"/>
        </w:rPr>
        <w:t>205,896.00</w:t>
      </w:r>
      <w:r>
        <w:rPr>
          <w:rFonts w:ascii="宋体" w:hAnsi="宋体" w:cs="宋体" w:eastAsia="宋体" w:hint="default"/>
          <w:spacing w:val="-51"/>
          <w:sz w:val="22"/>
          <w:szCs w:val="22"/>
        </w:rPr>
        <w:t> </w:t>
      </w:r>
      <w:r>
        <w:rPr>
          <w:rFonts w:ascii="宋体" w:hAnsi="宋体" w:cs="宋体" w:eastAsia="宋体" w:hint="default"/>
          <w:spacing w:val="-4"/>
          <w:sz w:val="22"/>
          <w:szCs w:val="22"/>
        </w:rPr>
        <w:t>万元）境外高级定息无抵押美元</w:t>
      </w:r>
      <w:r>
        <w:rPr>
          <w:rFonts w:ascii="宋体" w:hAnsi="宋体" w:cs="宋体" w:eastAsia="宋体" w:hint="default"/>
          <w:w w:val="100"/>
          <w:sz w:val="22"/>
          <w:szCs w:val="22"/>
        </w:rPr>
        <w:t> </w:t>
      </w:r>
      <w:r>
        <w:rPr>
          <w:rFonts w:ascii="宋体" w:hAnsi="宋体" w:cs="宋体" w:eastAsia="宋体" w:hint="default"/>
          <w:spacing w:val="-2"/>
          <w:sz w:val="22"/>
          <w:szCs w:val="22"/>
        </w:rPr>
        <w:t>债券发行，债券期限为</w:t>
      </w:r>
      <w:r>
        <w:rPr>
          <w:rFonts w:ascii="宋体" w:hAnsi="宋体" w:cs="宋体" w:eastAsia="宋体" w:hint="default"/>
          <w:spacing w:val="-23"/>
          <w:sz w:val="22"/>
          <w:szCs w:val="22"/>
        </w:rPr>
        <w:t> </w:t>
      </w:r>
      <w:r>
        <w:rPr>
          <w:rFonts w:ascii="宋体" w:hAnsi="宋体" w:cs="宋体" w:eastAsia="宋体" w:hint="default"/>
          <w:spacing w:val="-1"/>
          <w:sz w:val="22"/>
          <w:szCs w:val="22"/>
        </w:rPr>
        <w:t>2018.03.29-2021.03.29</w:t>
      </w:r>
      <w:r>
        <w:rPr>
          <w:rFonts w:ascii="宋体" w:hAnsi="宋体" w:cs="宋体" w:eastAsia="宋体" w:hint="default"/>
          <w:spacing w:val="-1"/>
          <w:sz w:val="22"/>
          <w:szCs w:val="22"/>
        </w:rPr>
        <w:t>。本公司以保证方式为此笔债券提供连带</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责任担保。</w:t>
      </w:r>
    </w:p>
    <w:p>
      <w:pPr>
        <w:spacing w:before="134"/>
        <w:ind w:left="695"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9"/>
          <w:sz w:val="22"/>
          <w:szCs w:val="22"/>
        </w:rPr>
        <w:t> </w:t>
      </w:r>
      <w:r>
        <w:rPr>
          <w:rFonts w:ascii="宋体" w:hAnsi="宋体" w:cs="宋体" w:eastAsia="宋体" w:hint="default"/>
          <w:sz w:val="22"/>
          <w:szCs w:val="22"/>
        </w:rPr>
        <w:t>控股子公司之间提供担保</w:t>
      </w:r>
    </w:p>
    <w:p>
      <w:pPr>
        <w:spacing w:line="288" w:lineRule="auto" w:before="129"/>
        <w:ind w:left="242" w:right="235" w:firstLine="547"/>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宋体" w:hAnsi="宋体" w:cs="宋体" w:eastAsia="宋体" w:hint="default"/>
          <w:sz w:val="22"/>
          <w:szCs w:val="22"/>
        </w:rPr>
        <w:t>2018</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pacing w:val="-9"/>
          <w:sz w:val="22"/>
          <w:szCs w:val="22"/>
        </w:rPr>
        <w:t>日，公司持股</w:t>
      </w:r>
      <w:r>
        <w:rPr>
          <w:rFonts w:ascii="宋体" w:hAnsi="宋体" w:cs="宋体" w:eastAsia="宋体" w:hint="default"/>
          <w:spacing w:val="-55"/>
          <w:sz w:val="22"/>
          <w:szCs w:val="22"/>
        </w:rPr>
        <w:t> </w:t>
      </w:r>
      <w:r>
        <w:rPr>
          <w:rFonts w:ascii="宋体" w:hAnsi="宋体" w:cs="宋体" w:eastAsia="宋体" w:hint="default"/>
          <w:sz w:val="22"/>
          <w:szCs w:val="22"/>
        </w:rPr>
        <w:t>71.25%</w:t>
      </w:r>
      <w:r>
        <w:rPr>
          <w:rFonts w:ascii="宋体" w:hAnsi="宋体" w:cs="宋体" w:eastAsia="宋体" w:hint="default"/>
          <w:sz w:val="22"/>
          <w:szCs w:val="22"/>
        </w:rPr>
        <w:t>的同方威视技术股份有限公司以保证</w:t>
      </w:r>
      <w:r>
        <w:rPr>
          <w:rFonts w:ascii="宋体" w:hAnsi="宋体" w:cs="宋体" w:eastAsia="宋体" w:hint="default"/>
          <w:w w:val="100"/>
          <w:sz w:val="22"/>
          <w:szCs w:val="22"/>
        </w:rPr>
        <w:t> </w:t>
      </w:r>
      <w:r>
        <w:rPr>
          <w:rFonts w:ascii="宋体" w:hAnsi="宋体" w:cs="宋体" w:eastAsia="宋体" w:hint="default"/>
          <w:sz w:val="22"/>
          <w:szCs w:val="22"/>
        </w:rPr>
        <w:t>方式为其下属持股</w:t>
      </w:r>
      <w:r>
        <w:rPr>
          <w:rFonts w:ascii="宋体" w:hAnsi="宋体" w:cs="宋体" w:eastAsia="宋体" w:hint="default"/>
          <w:spacing w:val="-37"/>
          <w:sz w:val="22"/>
          <w:szCs w:val="22"/>
        </w:rPr>
        <w:t> </w:t>
      </w:r>
      <w:r>
        <w:rPr>
          <w:rFonts w:ascii="宋体" w:hAnsi="宋体" w:cs="宋体" w:eastAsia="宋体" w:hint="default"/>
          <w:sz w:val="22"/>
          <w:szCs w:val="22"/>
        </w:rPr>
        <w:t>99.99%</w:t>
      </w:r>
      <w:r>
        <w:rPr>
          <w:rFonts w:ascii="宋体" w:hAnsi="宋体" w:cs="宋体" w:eastAsia="宋体" w:hint="default"/>
          <w:sz w:val="22"/>
          <w:szCs w:val="22"/>
        </w:rPr>
        <w:t>的子公司</w:t>
      </w:r>
      <w:r>
        <w:rPr>
          <w:rFonts w:ascii="宋体" w:hAnsi="宋体" w:cs="宋体" w:eastAsia="宋体" w:hint="default"/>
          <w:spacing w:val="-37"/>
          <w:sz w:val="22"/>
          <w:szCs w:val="22"/>
        </w:rPr>
        <w:t> </w:t>
      </w:r>
      <w:r>
        <w:rPr>
          <w:rFonts w:ascii="宋体" w:hAnsi="宋体" w:cs="宋体" w:eastAsia="宋体" w:hint="default"/>
          <w:sz w:val="22"/>
          <w:szCs w:val="22"/>
        </w:rPr>
        <w:t>Nuctech</w:t>
      </w:r>
      <w:r>
        <w:rPr>
          <w:rFonts w:ascii="宋体" w:hAnsi="宋体" w:cs="宋体" w:eastAsia="宋体" w:hint="default"/>
          <w:spacing w:val="-1"/>
          <w:sz w:val="22"/>
          <w:szCs w:val="22"/>
        </w:rPr>
        <w:t> </w:t>
      </w:r>
      <w:r>
        <w:rPr>
          <w:rFonts w:ascii="宋体" w:hAnsi="宋体" w:cs="宋体" w:eastAsia="宋体" w:hint="default"/>
          <w:sz w:val="22"/>
          <w:szCs w:val="22"/>
        </w:rPr>
        <w:t>Warsaw</w:t>
      </w:r>
      <w:r>
        <w:rPr>
          <w:rFonts w:ascii="宋体" w:hAnsi="宋体" w:cs="宋体" w:eastAsia="宋体" w:hint="default"/>
          <w:spacing w:val="-1"/>
          <w:sz w:val="22"/>
          <w:szCs w:val="22"/>
        </w:rPr>
        <w:t> </w:t>
      </w:r>
      <w:r>
        <w:rPr>
          <w:rFonts w:ascii="宋体" w:hAnsi="宋体" w:cs="宋体" w:eastAsia="宋体" w:hint="default"/>
          <w:sz w:val="22"/>
          <w:szCs w:val="22"/>
        </w:rPr>
        <w:t>Co.,</w:t>
      </w:r>
      <w:r>
        <w:rPr>
          <w:rFonts w:ascii="宋体" w:hAnsi="宋体" w:cs="宋体" w:eastAsia="宋体" w:hint="default"/>
          <w:spacing w:val="-1"/>
          <w:sz w:val="22"/>
          <w:szCs w:val="22"/>
        </w:rPr>
        <w:t> </w:t>
      </w:r>
      <w:r>
        <w:rPr>
          <w:rFonts w:ascii="宋体" w:hAnsi="宋体" w:cs="宋体" w:eastAsia="宋体" w:hint="default"/>
          <w:sz w:val="22"/>
          <w:szCs w:val="22"/>
        </w:rPr>
        <w:t>Limited</w:t>
      </w:r>
      <w:r>
        <w:rPr>
          <w:rFonts w:ascii="宋体" w:hAnsi="宋体" w:cs="宋体" w:eastAsia="宋体" w:hint="default"/>
          <w:spacing w:val="-4"/>
          <w:sz w:val="22"/>
          <w:szCs w:val="22"/>
        </w:rPr>
        <w:t> </w:t>
      </w:r>
      <w:r>
        <w:rPr>
          <w:rFonts w:ascii="宋体" w:hAnsi="宋体" w:cs="宋体" w:eastAsia="宋体" w:hint="default"/>
          <w:sz w:val="22"/>
          <w:szCs w:val="22"/>
        </w:rPr>
        <w:t>Sp.</w:t>
      </w:r>
      <w:r>
        <w:rPr>
          <w:rFonts w:ascii="宋体" w:hAnsi="宋体" w:cs="宋体" w:eastAsia="宋体" w:hint="default"/>
          <w:spacing w:val="-1"/>
          <w:sz w:val="22"/>
          <w:szCs w:val="22"/>
        </w:rPr>
        <w:t> </w:t>
      </w:r>
      <w:r>
        <w:rPr>
          <w:rFonts w:ascii="宋体" w:hAnsi="宋体" w:cs="宋体" w:eastAsia="宋体" w:hint="default"/>
          <w:sz w:val="22"/>
          <w:szCs w:val="22"/>
        </w:rPr>
        <w:t>z</w:t>
      </w:r>
      <w:r>
        <w:rPr>
          <w:rFonts w:ascii="宋体" w:hAnsi="宋体" w:cs="宋体" w:eastAsia="宋体" w:hint="default"/>
          <w:spacing w:val="-6"/>
          <w:sz w:val="22"/>
          <w:szCs w:val="22"/>
        </w:rPr>
        <w:t> </w:t>
      </w:r>
      <w:r>
        <w:rPr>
          <w:rFonts w:ascii="宋体" w:hAnsi="宋体" w:cs="宋体" w:eastAsia="宋体" w:hint="default"/>
          <w:sz w:val="22"/>
          <w:szCs w:val="22"/>
        </w:rPr>
        <w:t>o.o.</w:t>
      </w:r>
      <w:r>
        <w:rPr>
          <w:rFonts w:ascii="宋体" w:hAnsi="宋体" w:cs="宋体" w:eastAsia="宋体" w:hint="default"/>
          <w:sz w:val="22"/>
          <w:szCs w:val="22"/>
        </w:rPr>
        <w:t>的下列银</w:t>
      </w:r>
      <w:r>
        <w:rPr>
          <w:rFonts w:ascii="宋体" w:hAnsi="宋体" w:cs="宋体" w:eastAsia="宋体" w:hint="default"/>
          <w:w w:val="100"/>
          <w:sz w:val="22"/>
          <w:szCs w:val="22"/>
        </w:rPr>
        <w:t> </w:t>
      </w:r>
      <w:r>
        <w:rPr>
          <w:rFonts w:ascii="宋体" w:hAnsi="宋体" w:cs="宋体" w:eastAsia="宋体" w:hint="default"/>
          <w:sz w:val="22"/>
          <w:szCs w:val="22"/>
        </w:rPr>
        <w:t>行借款提供连带责任担保：</w:t>
      </w:r>
    </w:p>
    <w:p>
      <w:pPr>
        <w:spacing w:line="240" w:lineRule="auto" w:before="6"/>
        <w:rPr>
          <w:rFonts w:ascii="宋体" w:hAnsi="宋体" w:cs="宋体" w:eastAsia="宋体" w:hint="default"/>
          <w:sz w:val="9"/>
          <w:szCs w:val="9"/>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2180;height:2" coordorigin="14,14" coordsize="2180,2">
              <v:shape style="position:absolute;left:14;top:14;width:2180;height:2" coordorigin="14,14" coordsize="2180,0" path="m14,14l2194,14e" filled="false" stroked="true" strokeweight="1.44pt" strokecolor="#000000">
                <v:path arrowok="t"/>
              </v:shape>
            </v:group>
            <v:group style="position:absolute;left:2194;top:14;width:29;height:2" coordorigin="2194,14" coordsize="29,2">
              <v:shape style="position:absolute;left:2194;top:14;width:29;height:2" coordorigin="2194,14" coordsize="29,0" path="m2194,14l2223,14e" filled="false" stroked="true" strokeweight="1.44pt" strokecolor="#000000">
                <v:path arrowok="t"/>
              </v:shape>
            </v:group>
            <v:group style="position:absolute;left:2223;top:14;width:2153;height:2" coordorigin="2223,14" coordsize="2153,2">
              <v:shape style="position:absolute;left:2223;top:14;width:2153;height:2" coordorigin="2223,14" coordsize="2153,0" path="m2223,14l4376,14e" filled="false" stroked="true" strokeweight="1.44pt" strokecolor="#000000">
                <v:path arrowok="t"/>
              </v:shape>
            </v:group>
            <v:group style="position:absolute;left:4376;top:14;width:30;height:2" coordorigin="4376,14" coordsize="30,2">
              <v:shape style="position:absolute;left:4376;top:14;width:30;height:2" coordorigin="4376,14" coordsize="30,0" path="m4376,14l4405,14e" filled="false" stroked="true" strokeweight="1.44pt" strokecolor="#000000">
                <v:path arrowok="t"/>
              </v:shape>
            </v:group>
            <v:group style="position:absolute;left:4405;top:14;width:2153;height:2" coordorigin="4405,14" coordsize="2153,2">
              <v:shape style="position:absolute;left:4405;top:14;width:2153;height:2" coordorigin="4405,14" coordsize="2153,0" path="m4405,14l6558,14e" filled="false" stroked="true" strokeweight="1.44pt" strokecolor="#000000">
                <v:path arrowok="t"/>
              </v:shape>
            </v:group>
            <v:group style="position:absolute;left:6558;top:14;width:29;height:2" coordorigin="6558,14" coordsize="29,2">
              <v:shape style="position:absolute;left:6558;top:14;width:29;height:2" coordorigin="6558,14" coordsize="29,0" path="m6558,14l6587,14e" filled="false" stroked="true" strokeweight="1.44pt" strokecolor="#000000">
                <v:path arrowok="t"/>
              </v:shape>
            </v:group>
            <v:group style="position:absolute;left:6587;top:14;width:2154;height:2" coordorigin="6587,14" coordsize="2154,2">
              <v:shape style="position:absolute;left:6587;top:14;width:2154;height:2" coordorigin="6587,14" coordsize="2154,0" path="m6587,14l8740,14e" filled="false" stroked="true" strokeweight="1.44pt" strokecolor="#000000">
                <v:path arrowok="t"/>
              </v:shape>
            </v:group>
          </v:group>
        </w:pict>
      </w:r>
      <w:r>
        <w:rPr>
          <w:rFonts w:ascii="宋体" w:hAnsi="宋体" w:cs="宋体" w:eastAsia="宋体" w:hint="default"/>
          <w:position w:val="0"/>
          <w:sz w:val="2"/>
          <w:szCs w:val="2"/>
        </w:rPr>
      </w:r>
    </w:p>
    <w:p>
      <w:pPr>
        <w:tabs>
          <w:tab w:pos="3043" w:val="left" w:leader="none"/>
          <w:tab w:pos="5225" w:val="left" w:leader="none"/>
          <w:tab w:pos="7407" w:val="left" w:leader="none"/>
        </w:tabs>
        <w:spacing w:before="12"/>
        <w:ind w:left="861" w:right="0" w:firstLine="0"/>
        <w:jc w:val="left"/>
        <w:rPr>
          <w:rFonts w:ascii="宋体" w:hAnsi="宋体" w:cs="宋体" w:eastAsia="宋体" w:hint="default"/>
          <w:sz w:val="18"/>
          <w:szCs w:val="18"/>
        </w:rPr>
      </w:pPr>
      <w:r>
        <w:rPr>
          <w:rFonts w:ascii="宋体" w:hAnsi="宋体" w:cs="宋体" w:eastAsia="宋体" w:hint="default"/>
          <w:b/>
          <w:bCs/>
          <w:w w:val="95"/>
          <w:sz w:val="18"/>
          <w:szCs w:val="18"/>
        </w:rPr>
        <w:t>贷款银行</w:t>
        <w:tab/>
        <w:t>贷款金额</w:t>
        <w:tab/>
        <w:t>贷款期限</w:t>
        <w:tab/>
      </w:r>
      <w:r>
        <w:rPr>
          <w:rFonts w:ascii="宋体" w:hAnsi="宋体" w:cs="宋体" w:eastAsia="宋体" w:hint="default"/>
          <w:b/>
          <w:bCs/>
          <w:sz w:val="18"/>
          <w:szCs w:val="18"/>
        </w:rPr>
        <w:t>保证期间</w:t>
      </w:r>
      <w:r>
        <w:rPr>
          <w:rFonts w:ascii="宋体" w:hAnsi="宋体" w:cs="宋体" w:eastAsia="宋体" w:hint="default"/>
          <w:sz w:val="18"/>
          <w:szCs w:val="18"/>
        </w:rPr>
      </w:r>
    </w:p>
    <w:p>
      <w:pPr>
        <w:spacing w:line="240" w:lineRule="auto" w:before="3"/>
        <w:rPr>
          <w:rFonts w:ascii="宋体" w:hAnsi="宋体" w:cs="宋体" w:eastAsia="宋体" w:hint="default"/>
          <w:b/>
          <w:bCs/>
          <w:sz w:val="5"/>
          <w:szCs w:val="5"/>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36.75pt;height:.5pt;mso-position-horizontal-relative:char;mso-position-vertical-relative:line" coordorigin="0,0" coordsize="8735,10">
            <v:group style="position:absolute;left:5;top:5;width:2180;height:2" coordorigin="5,5" coordsize="2180,2">
              <v:shape style="position:absolute;left:5;top:5;width:2180;height:2" coordorigin="5,5" coordsize="2180,0" path="m5,5l2184,5e" filled="false" stroked="true" strokeweight=".47998pt" strokecolor="#000000">
                <v:path arrowok="t"/>
              </v:shape>
            </v:group>
            <v:group style="position:absolute;left:2185;top:5;width:10;height:2" coordorigin="2185,5" coordsize="10,2">
              <v:shape style="position:absolute;left:2185;top:5;width:10;height:2" coordorigin="2185,5" coordsize="10,0" path="m2185,5l2194,5e" filled="false" stroked="true" strokeweight=".47998pt" strokecolor="#000000">
                <v:path arrowok="t"/>
              </v:shape>
            </v:group>
            <v:group style="position:absolute;left:2194;top:5;width:2172;height:2" coordorigin="2194,5" coordsize="2172,2">
              <v:shape style="position:absolute;left:2194;top:5;width:2172;height:2" coordorigin="2194,5" coordsize="2172,0" path="m2194,5l4366,5e" filled="false" stroked="true" strokeweight=".47998pt" strokecolor="#000000">
                <v:path arrowok="t"/>
              </v:shape>
            </v:group>
            <v:group style="position:absolute;left:4366;top:5;width:10;height:2" coordorigin="4366,5" coordsize="10,2">
              <v:shape style="position:absolute;left:4366;top:5;width:10;height:2" coordorigin="4366,5" coordsize="10,0" path="m4366,5l4376,5e" filled="false" stroked="true" strokeweight=".47998pt" strokecolor="#000000">
                <v:path arrowok="t"/>
              </v:shape>
            </v:group>
            <v:group style="position:absolute;left:4376;top:5;width:2173;height:2" coordorigin="4376,5" coordsize="2173,2">
              <v:shape style="position:absolute;left:4376;top:5;width:2173;height:2" coordorigin="4376,5" coordsize="2173,0" path="m4376,5l6548,5e" filled="false" stroked="true" strokeweight=".47998pt" strokecolor="#000000">
                <v:path arrowok="t"/>
              </v:shape>
            </v:group>
            <v:group style="position:absolute;left:6548;top:5;width:10;height:2" coordorigin="6548,5" coordsize="10,2">
              <v:shape style="position:absolute;left:6548;top:5;width:10;height:2" coordorigin="6548,5" coordsize="10,0" path="m6548,5l6558,5e" filled="false" stroked="true" strokeweight=".47998pt" strokecolor="#000000">
                <v:path arrowok="t"/>
              </v:shape>
            </v:group>
            <v:group style="position:absolute;left:6558;top:5;width:2173;height:2" coordorigin="6558,5" coordsize="2173,2">
              <v:shape style="position:absolute;left:6558;top:5;width:2173;height:2" coordorigin="6558,5" coordsize="2173,0" path="m6558,5l8730,5e" filled="false" stroked="true" strokeweight=".47998pt" strokecolor="#000000">
                <v:path arrowok="t"/>
              </v:shape>
            </v:group>
          </v:group>
        </w:pict>
      </w:r>
      <w:r>
        <w:rPr>
          <w:rFonts w:ascii="宋体" w:hAnsi="宋体" w:cs="宋体" w:eastAsia="宋体" w:hint="default"/>
          <w:sz w:val="2"/>
          <w:szCs w:val="2"/>
        </w:rPr>
      </w:r>
    </w:p>
    <w:p>
      <w:pPr>
        <w:spacing w:line="185" w:lineRule="exact" w:before="0"/>
        <w:ind w:left="3261" w:right="0" w:firstLine="0"/>
        <w:jc w:val="left"/>
        <w:rPr>
          <w:rFonts w:ascii="宋体" w:hAnsi="宋体" w:cs="宋体" w:eastAsia="宋体" w:hint="default"/>
          <w:sz w:val="18"/>
          <w:szCs w:val="18"/>
        </w:rPr>
      </w:pPr>
      <w:r>
        <w:rPr>
          <w:rFonts w:ascii="宋体" w:hAnsi="宋体" w:cs="宋体" w:eastAsia="宋体" w:hint="default"/>
          <w:sz w:val="18"/>
          <w:szCs w:val="18"/>
        </w:rPr>
        <w:t>500.00</w:t>
      </w:r>
      <w:r>
        <w:rPr>
          <w:rFonts w:ascii="宋体" w:hAnsi="宋体" w:cs="宋体" w:eastAsia="宋体" w:hint="default"/>
          <w:spacing w:val="-44"/>
          <w:sz w:val="18"/>
          <w:szCs w:val="18"/>
        </w:rPr>
        <w:t> </w:t>
      </w:r>
      <w:r>
        <w:rPr>
          <w:rFonts w:ascii="宋体" w:hAnsi="宋体" w:cs="宋体" w:eastAsia="宋体" w:hint="default"/>
          <w:sz w:val="18"/>
          <w:szCs w:val="18"/>
        </w:rPr>
        <w:t>万欧元</w:t>
      </w:r>
    </w:p>
    <w:p>
      <w:pPr>
        <w:spacing w:after="0" w:line="185" w:lineRule="exact"/>
        <w:jc w:val="left"/>
        <w:rPr>
          <w:rFonts w:ascii="宋体" w:hAnsi="宋体" w:cs="宋体" w:eastAsia="宋体" w:hint="default"/>
          <w:sz w:val="18"/>
          <w:szCs w:val="18"/>
        </w:rPr>
        <w:sectPr>
          <w:pgSz w:w="11910" w:h="16840"/>
          <w:pgMar w:header="0" w:footer="1034" w:top="1320" w:bottom="1240" w:left="1460" w:right="1460"/>
        </w:sectPr>
      </w:pPr>
    </w:p>
    <w:p>
      <w:pPr>
        <w:spacing w:line="180" w:lineRule="exact" w:before="0"/>
        <w:ind w:left="242" w:right="-20" w:firstLine="0"/>
        <w:jc w:val="left"/>
        <w:rPr>
          <w:rFonts w:ascii="宋体" w:hAnsi="宋体" w:cs="宋体" w:eastAsia="宋体" w:hint="default"/>
          <w:sz w:val="18"/>
          <w:szCs w:val="18"/>
        </w:rPr>
      </w:pPr>
      <w:r>
        <w:rPr>
          <w:rFonts w:ascii="宋体" w:hAnsi="宋体" w:cs="宋体" w:eastAsia="宋体" w:hint="default"/>
          <w:sz w:val="18"/>
          <w:szCs w:val="18"/>
        </w:rPr>
        <w:t>工商银行华沙分行</w:t>
      </w:r>
    </w:p>
    <w:p>
      <w:pPr>
        <w:spacing w:line="240" w:lineRule="auto" w:before="0"/>
        <w:rPr>
          <w:rFonts w:ascii="宋体" w:hAnsi="宋体" w:cs="宋体" w:eastAsia="宋体" w:hint="default"/>
          <w:sz w:val="26"/>
          <w:szCs w:val="26"/>
        </w:rPr>
      </w:pPr>
    </w:p>
    <w:p>
      <w:pPr>
        <w:spacing w:before="0"/>
        <w:ind w:left="242" w:right="-20" w:firstLine="0"/>
        <w:jc w:val="left"/>
        <w:rPr>
          <w:rFonts w:ascii="宋体" w:hAnsi="宋体" w:cs="宋体" w:eastAsia="宋体" w:hint="default"/>
          <w:sz w:val="18"/>
          <w:szCs w:val="18"/>
        </w:rPr>
      </w:pPr>
      <w:r>
        <w:rPr>
          <w:rFonts w:ascii="宋体" w:hAnsi="宋体" w:cs="宋体" w:eastAsia="宋体" w:hint="default"/>
          <w:sz w:val="18"/>
          <w:szCs w:val="18"/>
        </w:rPr>
        <w:t>建设银行华沙分行</w:t>
      </w:r>
    </w:p>
    <w:p>
      <w:pPr>
        <w:spacing w:before="86"/>
        <w:ind w:left="242" w:right="-17" w:firstLine="0"/>
        <w:jc w:val="left"/>
        <w:rPr>
          <w:rFonts w:ascii="宋体" w:hAnsi="宋体" w:cs="宋体" w:eastAsia="宋体" w:hint="default"/>
          <w:sz w:val="18"/>
          <w:szCs w:val="18"/>
        </w:rPr>
      </w:pPr>
      <w:r>
        <w:rPr/>
        <w:br w:type="column"/>
      </w: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宋体" w:hAnsi="宋体" w:cs="宋体" w:eastAsia="宋体" w:hint="default"/>
          <w:sz w:val="18"/>
          <w:szCs w:val="18"/>
        </w:rPr>
        <w:t>3,923.08</w:t>
      </w:r>
      <w:r>
        <w:rPr>
          <w:rFonts w:ascii="宋体" w:hAnsi="宋体" w:cs="宋体" w:eastAsia="宋体" w:hint="default"/>
          <w:spacing w:val="-44"/>
          <w:sz w:val="18"/>
          <w:szCs w:val="18"/>
        </w:rPr>
        <w:t> </w:t>
      </w:r>
      <w:r>
        <w:rPr>
          <w:rFonts w:ascii="宋体" w:hAnsi="宋体" w:cs="宋体" w:eastAsia="宋体" w:hint="default"/>
          <w:sz w:val="18"/>
          <w:szCs w:val="18"/>
        </w:rPr>
        <w:t>万人民币</w:t>
      </w:r>
    </w:p>
    <w:p>
      <w:pPr>
        <w:spacing w:line="297" w:lineRule="auto" w:before="50"/>
        <w:ind w:left="242" w:right="-18" w:firstLine="585"/>
        <w:jc w:val="left"/>
        <w:rPr>
          <w:rFonts w:ascii="宋体" w:hAnsi="宋体" w:cs="宋体" w:eastAsia="宋体" w:hint="default"/>
          <w:sz w:val="18"/>
          <w:szCs w:val="18"/>
        </w:rPr>
      </w:pPr>
      <w:r>
        <w:rPr>
          <w:rFonts w:ascii="宋体" w:hAnsi="宋体" w:cs="宋体" w:eastAsia="宋体" w:hint="default"/>
          <w:sz w:val="18"/>
          <w:szCs w:val="18"/>
        </w:rPr>
        <w:t>700.00</w:t>
      </w:r>
      <w:r>
        <w:rPr>
          <w:rFonts w:ascii="宋体" w:hAnsi="宋体" w:cs="宋体" w:eastAsia="宋体" w:hint="default"/>
          <w:spacing w:val="-44"/>
          <w:sz w:val="18"/>
          <w:szCs w:val="18"/>
        </w:rPr>
        <w:t> </w:t>
      </w:r>
      <w:r>
        <w:rPr>
          <w:rFonts w:ascii="宋体" w:hAnsi="宋体" w:cs="宋体" w:eastAsia="宋体" w:hint="default"/>
          <w:sz w:val="18"/>
          <w:szCs w:val="18"/>
        </w:rPr>
        <w:t>万欧元 约</w:t>
      </w:r>
      <w:r>
        <w:rPr>
          <w:rFonts w:ascii="宋体" w:hAnsi="宋体" w:cs="宋体" w:eastAsia="宋体" w:hint="default"/>
          <w:spacing w:val="-46"/>
          <w:sz w:val="18"/>
          <w:szCs w:val="18"/>
        </w:rPr>
        <w:t> </w:t>
      </w:r>
      <w:r>
        <w:rPr>
          <w:rFonts w:ascii="宋体" w:hAnsi="宋体" w:cs="宋体" w:eastAsia="宋体" w:hint="default"/>
          <w:sz w:val="18"/>
          <w:szCs w:val="18"/>
        </w:rPr>
        <w:t>5,492.31</w:t>
      </w:r>
      <w:r>
        <w:rPr>
          <w:rFonts w:ascii="宋体" w:hAnsi="宋体" w:cs="宋体" w:eastAsia="宋体" w:hint="default"/>
          <w:spacing w:val="-44"/>
          <w:sz w:val="18"/>
          <w:szCs w:val="18"/>
        </w:rPr>
        <w:t> </w:t>
      </w:r>
      <w:r>
        <w:rPr>
          <w:rFonts w:ascii="宋体" w:hAnsi="宋体" w:cs="宋体" w:eastAsia="宋体" w:hint="default"/>
          <w:sz w:val="18"/>
          <w:szCs w:val="18"/>
        </w:rPr>
        <w:t>万人民币</w:t>
      </w:r>
    </w:p>
    <w:p>
      <w:pPr>
        <w:tabs>
          <w:tab w:pos="2391" w:val="left" w:leader="none"/>
        </w:tabs>
        <w:spacing w:line="180" w:lineRule="exact" w:before="0"/>
        <w:ind w:left="209" w:right="0" w:firstLine="0"/>
        <w:jc w:val="left"/>
        <w:rPr>
          <w:rFonts w:ascii="宋体" w:hAnsi="宋体" w:cs="宋体" w:eastAsia="宋体" w:hint="default"/>
          <w:sz w:val="18"/>
          <w:szCs w:val="18"/>
        </w:rPr>
      </w:pPr>
      <w:r>
        <w:rPr>
          <w:spacing w:val="-1"/>
        </w:rPr>
        <w:br w:type="column"/>
      </w:r>
      <w:r>
        <w:rPr>
          <w:rFonts w:ascii="宋体"/>
          <w:spacing w:val="-1"/>
          <w:sz w:val="18"/>
        </w:rPr>
        <w:t>2018.06.22-2019.06.21</w:t>
        <w:tab/>
        <w:t>2018.06.22-2021.06.21</w:t>
      </w:r>
    </w:p>
    <w:p>
      <w:pPr>
        <w:spacing w:line="240" w:lineRule="auto" w:before="0"/>
        <w:rPr>
          <w:rFonts w:ascii="宋体" w:hAnsi="宋体" w:cs="宋体" w:eastAsia="宋体" w:hint="default"/>
          <w:sz w:val="26"/>
          <w:szCs w:val="26"/>
        </w:rPr>
      </w:pPr>
    </w:p>
    <w:p>
      <w:pPr>
        <w:tabs>
          <w:tab w:pos="2391" w:val="left" w:leader="none"/>
        </w:tabs>
        <w:spacing w:before="0"/>
        <w:ind w:left="209" w:right="0" w:firstLine="0"/>
        <w:jc w:val="left"/>
        <w:rPr>
          <w:rFonts w:ascii="宋体" w:hAnsi="宋体" w:cs="宋体" w:eastAsia="宋体" w:hint="default"/>
          <w:sz w:val="18"/>
          <w:szCs w:val="18"/>
        </w:rPr>
      </w:pPr>
      <w:r>
        <w:rPr>
          <w:rFonts w:ascii="宋体"/>
          <w:spacing w:val="-1"/>
          <w:sz w:val="18"/>
        </w:rPr>
        <w:t>2018.04.27-2020.10.05</w:t>
        <w:tab/>
        <w:t>2018.04.27-2022.10.05</w:t>
      </w:r>
    </w:p>
    <w:p>
      <w:pPr>
        <w:spacing w:after="0"/>
        <w:jc w:val="left"/>
        <w:rPr>
          <w:rFonts w:ascii="宋体" w:hAnsi="宋体" w:cs="宋体" w:eastAsia="宋体" w:hint="default"/>
          <w:sz w:val="18"/>
          <w:szCs w:val="18"/>
        </w:rPr>
        <w:sectPr>
          <w:type w:val="continuous"/>
          <w:pgSz w:w="11910" w:h="16840"/>
          <w:pgMar w:top="1000" w:bottom="280" w:left="1460" w:right="1460"/>
          <w:cols w:num="3" w:equalWidth="0">
            <w:col w:w="1683" w:space="752"/>
            <w:col w:w="1956" w:space="40"/>
            <w:col w:w="4559"/>
          </w:cols>
        </w:sect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36.75pt;height:.5pt;mso-position-horizontal-relative:char;mso-position-vertical-relative:line" coordorigin="0,0" coordsize="8735,10">
            <v:group style="position:absolute;left:5;top:5;width:2180;height:2" coordorigin="5,5" coordsize="2180,2">
              <v:shape style="position:absolute;left:5;top:5;width:2180;height:2" coordorigin="5,5" coordsize="2180,0" path="m5,5l2184,5e" filled="false" stroked="true" strokeweight=".47998pt" strokecolor="#000000">
                <v:path arrowok="t"/>
              </v:shape>
            </v:group>
            <v:group style="position:absolute;left:2185;top:5;width:10;height:2" coordorigin="2185,5" coordsize="10,2">
              <v:shape style="position:absolute;left:2185;top:5;width:10;height:2" coordorigin="2185,5" coordsize="10,0" path="m2185,5l2194,5e" filled="false" stroked="true" strokeweight=".47998pt" strokecolor="#000000">
                <v:path arrowok="t"/>
              </v:shape>
            </v:group>
            <v:group style="position:absolute;left:2194;top:5;width:2172;height:2" coordorigin="2194,5" coordsize="2172,2">
              <v:shape style="position:absolute;left:2194;top:5;width:2172;height:2" coordorigin="2194,5" coordsize="2172,0" path="m2194,5l4366,5e" filled="false" stroked="true" strokeweight=".47998pt" strokecolor="#000000">
                <v:path arrowok="t"/>
              </v:shape>
            </v:group>
            <v:group style="position:absolute;left:4366;top:5;width:10;height:2" coordorigin="4366,5" coordsize="10,2">
              <v:shape style="position:absolute;left:4366;top:5;width:10;height:2" coordorigin="4366,5" coordsize="10,0" path="m4366,5l4376,5e" filled="false" stroked="true" strokeweight=".47998pt" strokecolor="#000000">
                <v:path arrowok="t"/>
              </v:shape>
            </v:group>
            <v:group style="position:absolute;left:4376;top:5;width:2173;height:2" coordorigin="4376,5" coordsize="2173,2">
              <v:shape style="position:absolute;left:4376;top:5;width:2173;height:2" coordorigin="4376,5" coordsize="2173,0" path="m4376,5l6548,5e" filled="false" stroked="true" strokeweight=".47998pt" strokecolor="#000000">
                <v:path arrowok="t"/>
              </v:shape>
            </v:group>
            <v:group style="position:absolute;left:6548;top:5;width:10;height:2" coordorigin="6548,5" coordsize="10,2">
              <v:shape style="position:absolute;left:6548;top:5;width:10;height:2" coordorigin="6548,5" coordsize="10,0" path="m6548,5l6558,5e" filled="false" stroked="true" strokeweight=".47998pt" strokecolor="#000000">
                <v:path arrowok="t"/>
              </v:shape>
            </v:group>
            <v:group style="position:absolute;left:6558;top:5;width:2173;height:2" coordorigin="6558,5" coordsize="2173,2">
              <v:shape style="position:absolute;left:6558;top:5;width:2173;height:2" coordorigin="6558,5" coordsize="2173,0" path="m6558,5l8730,5e" filled="false" stroked="true" strokeweight=".47998pt" strokecolor="#000000">
                <v:path arrowok="t"/>
              </v:shape>
            </v:group>
          </v:group>
        </w:pict>
      </w:r>
      <w:r>
        <w:rPr>
          <w:rFonts w:ascii="宋体" w:hAnsi="宋体" w:cs="宋体" w:eastAsia="宋体" w:hint="default"/>
          <w:sz w:val="2"/>
          <w:szCs w:val="2"/>
        </w:rPr>
      </w:r>
    </w:p>
    <w:p>
      <w:pPr>
        <w:tabs>
          <w:tab w:pos="2666" w:val="left" w:leader="none"/>
        </w:tabs>
        <w:spacing w:before="11"/>
        <w:ind w:left="242" w:right="0" w:firstLine="0"/>
        <w:jc w:val="left"/>
        <w:rPr>
          <w:rFonts w:ascii="宋体" w:hAnsi="宋体" w:cs="宋体" w:eastAsia="宋体" w:hint="default"/>
          <w:sz w:val="18"/>
          <w:szCs w:val="18"/>
        </w:rPr>
      </w:pPr>
      <w:r>
        <w:rPr>
          <w:rFonts w:ascii="宋体" w:hAnsi="宋体" w:cs="宋体" w:eastAsia="宋体" w:hint="default"/>
          <w:b/>
          <w:bCs/>
          <w:sz w:val="18"/>
          <w:szCs w:val="18"/>
        </w:rPr>
        <w:t>合计</w:t>
        <w:tab/>
        <w:t>约</w:t>
      </w:r>
      <w:r>
        <w:rPr>
          <w:rFonts w:ascii="宋体" w:hAnsi="宋体" w:cs="宋体" w:eastAsia="宋体" w:hint="default"/>
          <w:b/>
          <w:bCs/>
          <w:spacing w:val="-48"/>
          <w:sz w:val="18"/>
          <w:szCs w:val="18"/>
        </w:rPr>
        <w:t> </w:t>
      </w:r>
      <w:r>
        <w:rPr>
          <w:rFonts w:ascii="宋体" w:hAnsi="宋体" w:cs="宋体" w:eastAsia="宋体" w:hint="default"/>
          <w:b/>
          <w:bCs/>
          <w:sz w:val="18"/>
          <w:szCs w:val="18"/>
        </w:rPr>
        <w:t>9,415.39</w:t>
      </w:r>
      <w:r>
        <w:rPr>
          <w:rFonts w:ascii="宋体" w:hAnsi="宋体" w:cs="宋体" w:eastAsia="宋体" w:hint="default"/>
          <w:b/>
          <w:bCs/>
          <w:spacing w:val="-46"/>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p>
      <w:pPr>
        <w:spacing w:line="240" w:lineRule="auto" w:before="11"/>
        <w:rPr>
          <w:rFonts w:ascii="宋体" w:hAnsi="宋体" w:cs="宋体" w:eastAsia="宋体" w:hint="default"/>
          <w:b/>
          <w:bCs/>
          <w:sz w:val="4"/>
          <w:szCs w:val="4"/>
        </w:rPr>
      </w:pPr>
    </w:p>
    <w:p>
      <w:pPr>
        <w:spacing w:line="28" w:lineRule="exact"/>
        <w:ind w:left="10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8.45pt;height:1.45pt;mso-position-horizontal-relative:char;mso-position-vertical-relative:line" coordorigin="0,0" coordsize="8769,29">
            <v:group style="position:absolute;left:14;top:14;width:2194;height:2" coordorigin="14,14" coordsize="2194,2">
              <v:shape style="position:absolute;left:14;top:14;width:2194;height:2" coordorigin="14,14" coordsize="2194,0" path="m14,14l2208,14e" filled="false" stroked="true" strokeweight="1.44pt" strokecolor="#000000">
                <v:path arrowok="t"/>
              </v:shape>
            </v:group>
            <v:group style="position:absolute;left:2194;top:14;width:29;height:2" coordorigin="2194,14" coordsize="29,2">
              <v:shape style="position:absolute;left:2194;top:14;width:29;height:2" coordorigin="2194,14" coordsize="29,0" path="m2194,14l2223,14e" filled="false" stroked="true" strokeweight="1.44pt" strokecolor="#000000">
                <v:path arrowok="t"/>
              </v:shape>
            </v:group>
            <v:group style="position:absolute;left:2223;top:14;width:2168;height:2" coordorigin="2223,14" coordsize="2168,2">
              <v:shape style="position:absolute;left:2223;top:14;width:2168;height:2" coordorigin="2223,14" coordsize="2168,0" path="m2223,14l4390,14e" filled="false" stroked="true" strokeweight="1.44pt" strokecolor="#000000">
                <v:path arrowok="t"/>
              </v:shape>
            </v:group>
            <v:group style="position:absolute;left:4376;top:14;width:29;height:2" coordorigin="4376,14" coordsize="29,2">
              <v:shape style="position:absolute;left:4376;top:14;width:29;height:2" coordorigin="4376,14" coordsize="29,0" path="m4376,14l4405,14e" filled="false" stroked="true" strokeweight="1.44pt" strokecolor="#000000">
                <v:path arrowok="t"/>
              </v:shape>
            </v:group>
            <v:group style="position:absolute;left:4405;top:14;width:2168;height:2" coordorigin="4405,14" coordsize="2168,2">
              <v:shape style="position:absolute;left:4405;top:14;width:2168;height:2" coordorigin="4405,14" coordsize="2168,0" path="m4405,14l6572,14e" filled="false" stroked="true" strokeweight="1.44pt" strokecolor="#000000">
                <v:path arrowok="t"/>
              </v:shape>
            </v:group>
            <v:group style="position:absolute;left:6558;top:14;width:29;height:2" coordorigin="6558,14" coordsize="29,2">
              <v:shape style="position:absolute;left:6558;top:14;width:29;height:2" coordorigin="6558,14" coordsize="29,0" path="m6558,14l6587,14e" filled="false" stroked="true" strokeweight="1.44pt" strokecolor="#000000">
                <v:path arrowok="t"/>
              </v:shape>
            </v:group>
            <v:group style="position:absolute;left:6587;top:14;width:2168;height:2" coordorigin="6587,14" coordsize="2168,2">
              <v:shape style="position:absolute;left:6587;top:14;width:2168;height:2" coordorigin="6587,14" coordsize="2168,0" path="m6587,14l8754,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type w:val="continuous"/>
          <w:pgSz w:w="11910" w:h="16840"/>
          <w:pgMar w:top="1000" w:bottom="280" w:left="1460" w:right="1460"/>
        </w:sectPr>
      </w:pPr>
    </w:p>
    <w:p>
      <w:pPr>
        <w:spacing w:line="288" w:lineRule="auto" w:before="6"/>
        <w:ind w:left="242" w:right="215" w:firstLine="561"/>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宋体" w:hAnsi="宋体" w:cs="宋体" w:eastAsia="宋体" w:hint="default"/>
          <w:sz w:val="22"/>
          <w:szCs w:val="22"/>
        </w:rPr>
        <w:t>2018</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pacing w:val="-9"/>
          <w:sz w:val="22"/>
          <w:szCs w:val="22"/>
        </w:rPr>
        <w:t>日，公司持股</w:t>
      </w:r>
      <w:r>
        <w:rPr>
          <w:rFonts w:ascii="宋体" w:hAnsi="宋体" w:cs="宋体" w:eastAsia="宋体" w:hint="default"/>
          <w:spacing w:val="-55"/>
          <w:sz w:val="22"/>
          <w:szCs w:val="22"/>
        </w:rPr>
        <w:t> </w:t>
      </w:r>
      <w:r>
        <w:rPr>
          <w:rFonts w:ascii="宋体" w:hAnsi="宋体" w:cs="宋体" w:eastAsia="宋体" w:hint="default"/>
          <w:sz w:val="22"/>
          <w:szCs w:val="22"/>
        </w:rPr>
        <w:t>71.25%</w:t>
      </w:r>
      <w:r>
        <w:rPr>
          <w:rFonts w:ascii="宋体" w:hAnsi="宋体" w:cs="宋体" w:eastAsia="宋体" w:hint="default"/>
          <w:sz w:val="22"/>
          <w:szCs w:val="22"/>
        </w:rPr>
        <w:t>的同方威视技术股份有限公司以保证</w:t>
      </w:r>
      <w:r>
        <w:rPr>
          <w:rFonts w:ascii="宋体" w:hAnsi="宋体" w:cs="宋体" w:eastAsia="宋体" w:hint="default"/>
          <w:w w:val="100"/>
          <w:sz w:val="22"/>
          <w:szCs w:val="22"/>
        </w:rPr>
        <w:t> </w:t>
      </w:r>
      <w:r>
        <w:rPr>
          <w:rFonts w:ascii="宋体" w:hAnsi="宋体" w:cs="宋体" w:eastAsia="宋体" w:hint="default"/>
          <w:spacing w:val="-1"/>
          <w:sz w:val="22"/>
          <w:szCs w:val="22"/>
        </w:rPr>
        <w:t>方式为其下属持股</w:t>
      </w:r>
      <w:r>
        <w:rPr>
          <w:rFonts w:ascii="宋体" w:hAnsi="宋体" w:cs="宋体" w:eastAsia="宋体" w:hint="default"/>
          <w:spacing w:val="-49"/>
          <w:sz w:val="22"/>
          <w:szCs w:val="22"/>
        </w:rPr>
        <w:t> </w:t>
      </w:r>
      <w:r>
        <w:rPr>
          <w:rFonts w:ascii="宋体" w:hAnsi="宋体" w:cs="宋体" w:eastAsia="宋体" w:hint="default"/>
          <w:spacing w:val="-1"/>
          <w:sz w:val="22"/>
          <w:szCs w:val="22"/>
        </w:rPr>
        <w:t>100.00%</w:t>
      </w:r>
      <w:r>
        <w:rPr>
          <w:rFonts w:ascii="宋体" w:hAnsi="宋体" w:cs="宋体" w:eastAsia="宋体" w:hint="default"/>
          <w:spacing w:val="-1"/>
          <w:sz w:val="22"/>
          <w:szCs w:val="22"/>
        </w:rPr>
        <w:t>的子公司北京固鸿科技有限公司的下列银行借款提供连带责任</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担保：</w:t>
      </w:r>
    </w:p>
    <w:p>
      <w:pPr>
        <w:spacing w:line="240" w:lineRule="auto" w:before="6"/>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2333"/>
        <w:gridCol w:w="2062"/>
        <w:gridCol w:w="2162"/>
        <w:gridCol w:w="2183"/>
      </w:tblGrid>
      <w:tr>
        <w:trPr>
          <w:trHeight w:val="365" w:hRule="exact"/>
        </w:trPr>
        <w:tc>
          <w:tcPr>
            <w:tcW w:w="2333" w:type="dxa"/>
            <w:tcBorders>
              <w:top w:val="single" w:sz="12" w:space="0" w:color="000000"/>
              <w:left w:val="nil" w:sz="6" w:space="0" w:color="auto"/>
              <w:bottom w:val="single" w:sz="4" w:space="0" w:color="000000"/>
              <w:right w:val="nil" w:sz="6" w:space="0" w:color="auto"/>
            </w:tcBorders>
          </w:tcPr>
          <w:p>
            <w:pPr>
              <w:pStyle w:val="TableParagraph"/>
              <w:spacing w:line="240" w:lineRule="auto" w:before="25"/>
              <w:ind w:left="741"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062" w:type="dxa"/>
            <w:tcBorders>
              <w:top w:val="single" w:sz="12" w:space="0" w:color="000000"/>
              <w:left w:val="nil" w:sz="6" w:space="0" w:color="auto"/>
              <w:bottom w:val="single" w:sz="4" w:space="0" w:color="000000"/>
              <w:right w:val="nil" w:sz="6" w:space="0" w:color="auto"/>
            </w:tcBorders>
          </w:tcPr>
          <w:p>
            <w:pPr>
              <w:pStyle w:val="TableParagraph"/>
              <w:spacing w:line="240" w:lineRule="auto" w:before="25"/>
              <w:ind w:left="590"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162" w:type="dxa"/>
            <w:tcBorders>
              <w:top w:val="single" w:sz="12" w:space="0" w:color="000000"/>
              <w:left w:val="nil" w:sz="6" w:space="0" w:color="auto"/>
              <w:bottom w:val="single" w:sz="4" w:space="0" w:color="000000"/>
              <w:right w:val="nil" w:sz="6" w:space="0" w:color="auto"/>
            </w:tcBorders>
          </w:tcPr>
          <w:p>
            <w:pPr>
              <w:pStyle w:val="TableParagraph"/>
              <w:spacing w:line="240" w:lineRule="auto" w:before="25"/>
              <w:ind w:right="16"/>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183" w:type="dxa"/>
            <w:tcBorders>
              <w:top w:val="single" w:sz="12" w:space="0" w:color="000000"/>
              <w:left w:val="nil" w:sz="6" w:space="0" w:color="auto"/>
              <w:bottom w:val="single" w:sz="4" w:space="0" w:color="000000"/>
              <w:right w:val="nil" w:sz="6" w:space="0" w:color="auto"/>
            </w:tcBorders>
          </w:tcPr>
          <w:p>
            <w:pPr>
              <w:pStyle w:val="TableParagraph"/>
              <w:spacing w:line="240" w:lineRule="auto" w:before="25"/>
              <w:ind w:left="1" w:right="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310" w:hRule="exact"/>
        </w:trPr>
        <w:tc>
          <w:tcPr>
            <w:tcW w:w="2333"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sz w:val="18"/>
                <w:szCs w:val="18"/>
              </w:rPr>
              <w:t>北京银行清华园支行</w:t>
            </w:r>
          </w:p>
        </w:tc>
        <w:tc>
          <w:tcPr>
            <w:tcW w:w="2062"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124"/>
              <w:jc w:val="righ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45"/>
                <w:sz w:val="18"/>
                <w:szCs w:val="18"/>
              </w:rPr>
              <w:t> </w:t>
            </w:r>
            <w:r>
              <w:rPr>
                <w:rFonts w:ascii="宋体" w:hAnsi="宋体" w:cs="宋体" w:eastAsia="宋体" w:hint="default"/>
                <w:sz w:val="18"/>
                <w:szCs w:val="18"/>
              </w:rPr>
              <w:t>万人民币</w:t>
            </w:r>
          </w:p>
        </w:tc>
        <w:tc>
          <w:tcPr>
            <w:tcW w:w="2162"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18"/>
              <w:jc w:val="center"/>
              <w:rPr>
                <w:rFonts w:ascii="宋体" w:hAnsi="宋体" w:cs="宋体" w:eastAsia="宋体" w:hint="default"/>
                <w:sz w:val="18"/>
                <w:szCs w:val="18"/>
              </w:rPr>
            </w:pPr>
            <w:r>
              <w:rPr>
                <w:rFonts w:ascii="宋体"/>
                <w:sz w:val="18"/>
              </w:rPr>
              <w:t>2018.02.28-2019.02.27</w:t>
            </w:r>
          </w:p>
        </w:tc>
        <w:tc>
          <w:tcPr>
            <w:tcW w:w="2183"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2018.02.28-2021.02.27</w:t>
            </w:r>
          </w:p>
        </w:tc>
      </w:tr>
      <w:tr>
        <w:trPr>
          <w:trHeight w:val="322" w:hRule="exact"/>
        </w:trPr>
        <w:tc>
          <w:tcPr>
            <w:tcW w:w="2333" w:type="dxa"/>
            <w:tcBorders>
              <w:top w:val="single" w:sz="4" w:space="0" w:color="000000"/>
              <w:left w:val="nil" w:sz="6" w:space="0" w:color="auto"/>
              <w:bottom w:val="single" w:sz="12" w:space="0" w:color="000000"/>
              <w:right w:val="nil" w:sz="6" w:space="0" w:color="auto"/>
            </w:tcBorders>
          </w:tcPr>
          <w:p>
            <w:pPr>
              <w:pStyle w:val="TableParagraph"/>
              <w:spacing w:line="240" w:lineRule="auto" w:before="3"/>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62" w:type="dxa"/>
            <w:tcBorders>
              <w:top w:val="single" w:sz="4" w:space="0" w:color="000000"/>
              <w:left w:val="nil" w:sz="6" w:space="0" w:color="auto"/>
              <w:bottom w:val="single" w:sz="12" w:space="0" w:color="000000"/>
              <w:right w:val="nil" w:sz="6" w:space="0" w:color="auto"/>
            </w:tcBorders>
          </w:tcPr>
          <w:p>
            <w:pPr>
              <w:pStyle w:val="TableParagraph"/>
              <w:spacing w:line="240" w:lineRule="auto" w:before="3"/>
              <w:ind w:right="125"/>
              <w:jc w:val="right"/>
              <w:rPr>
                <w:rFonts w:ascii="宋体" w:hAnsi="宋体" w:cs="宋体" w:eastAsia="宋体" w:hint="default"/>
                <w:sz w:val="18"/>
                <w:szCs w:val="18"/>
              </w:rPr>
            </w:pPr>
            <w:r>
              <w:rPr>
                <w:rFonts w:ascii="宋体" w:hAnsi="宋体" w:cs="宋体" w:eastAsia="宋体" w:hint="default"/>
                <w:b/>
                <w:bCs/>
                <w:sz w:val="18"/>
                <w:szCs w:val="18"/>
              </w:rPr>
              <w:t>10.00</w:t>
            </w:r>
            <w:r>
              <w:rPr>
                <w:rFonts w:ascii="宋体" w:hAnsi="宋体" w:cs="宋体" w:eastAsia="宋体" w:hint="default"/>
                <w:b/>
                <w:bCs/>
                <w:spacing w:val="-47"/>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2162" w:type="dxa"/>
            <w:tcBorders>
              <w:top w:val="single" w:sz="4" w:space="0" w:color="000000"/>
              <w:left w:val="nil" w:sz="6" w:space="0" w:color="auto"/>
              <w:bottom w:val="single" w:sz="12" w:space="0" w:color="000000"/>
              <w:right w:val="nil" w:sz="6" w:space="0" w:color="auto"/>
            </w:tcBorders>
          </w:tcPr>
          <w:p>
            <w:pPr/>
          </w:p>
        </w:tc>
        <w:tc>
          <w:tcPr>
            <w:tcW w:w="2183" w:type="dxa"/>
            <w:tcBorders>
              <w:top w:val="single" w:sz="4" w:space="0" w:color="000000"/>
              <w:left w:val="nil" w:sz="6" w:space="0" w:color="auto"/>
              <w:bottom w:val="single" w:sz="12" w:space="0" w:color="000000"/>
              <w:right w:val="nil" w:sz="6" w:space="0" w:color="auto"/>
            </w:tcBorders>
          </w:tcPr>
          <w:p>
            <w:pPr/>
          </w:p>
        </w:tc>
      </w:tr>
    </w:tbl>
    <w:p>
      <w:pPr>
        <w:spacing w:line="288" w:lineRule="auto" w:before="21"/>
        <w:ind w:left="242" w:right="215" w:firstLine="561"/>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宋体" w:hAnsi="宋体" w:cs="宋体" w:eastAsia="宋体" w:hint="default"/>
          <w:sz w:val="22"/>
          <w:szCs w:val="22"/>
        </w:rPr>
        <w:t>2018</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pacing w:val="-9"/>
          <w:sz w:val="22"/>
          <w:szCs w:val="22"/>
        </w:rPr>
        <w:t>日，公司持股</w:t>
      </w:r>
      <w:r>
        <w:rPr>
          <w:rFonts w:ascii="宋体" w:hAnsi="宋体" w:cs="宋体" w:eastAsia="宋体" w:hint="default"/>
          <w:spacing w:val="-55"/>
          <w:sz w:val="22"/>
          <w:szCs w:val="22"/>
        </w:rPr>
        <w:t> </w:t>
      </w:r>
      <w:r>
        <w:rPr>
          <w:rFonts w:ascii="宋体" w:hAnsi="宋体" w:cs="宋体" w:eastAsia="宋体" w:hint="default"/>
          <w:sz w:val="22"/>
          <w:szCs w:val="22"/>
        </w:rPr>
        <w:t>71.25%</w:t>
      </w:r>
      <w:r>
        <w:rPr>
          <w:rFonts w:ascii="宋体" w:hAnsi="宋体" w:cs="宋体" w:eastAsia="宋体" w:hint="default"/>
          <w:sz w:val="22"/>
          <w:szCs w:val="22"/>
        </w:rPr>
        <w:t>的同方威视技术股份有限公司以保证</w:t>
      </w:r>
      <w:r>
        <w:rPr>
          <w:rFonts w:ascii="宋体" w:hAnsi="宋体" w:cs="宋体" w:eastAsia="宋体" w:hint="default"/>
          <w:w w:val="100"/>
          <w:sz w:val="22"/>
          <w:szCs w:val="22"/>
        </w:rPr>
        <w:t> </w:t>
      </w:r>
      <w:r>
        <w:rPr>
          <w:rFonts w:ascii="宋体" w:hAnsi="宋体" w:cs="宋体" w:eastAsia="宋体" w:hint="default"/>
          <w:spacing w:val="-1"/>
          <w:sz w:val="22"/>
          <w:szCs w:val="22"/>
        </w:rPr>
        <w:t>方式为其下属持股</w:t>
      </w:r>
      <w:r>
        <w:rPr>
          <w:rFonts w:ascii="宋体" w:hAnsi="宋体" w:cs="宋体" w:eastAsia="宋体" w:hint="default"/>
          <w:spacing w:val="-49"/>
          <w:sz w:val="22"/>
          <w:szCs w:val="22"/>
        </w:rPr>
        <w:t> </w:t>
      </w:r>
      <w:r>
        <w:rPr>
          <w:rFonts w:ascii="宋体" w:hAnsi="宋体" w:cs="宋体" w:eastAsia="宋体" w:hint="default"/>
          <w:spacing w:val="-1"/>
          <w:sz w:val="22"/>
          <w:szCs w:val="22"/>
        </w:rPr>
        <w:t>100.00%</w:t>
      </w:r>
      <w:r>
        <w:rPr>
          <w:rFonts w:ascii="宋体" w:hAnsi="宋体" w:cs="宋体" w:eastAsia="宋体" w:hint="default"/>
          <w:spacing w:val="-1"/>
          <w:sz w:val="22"/>
          <w:szCs w:val="22"/>
        </w:rPr>
        <w:t>的子公司同方威视科技江苏有限公司的下列银行借款提供连带</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责任担保</w:t>
      </w:r>
    </w:p>
    <w:p>
      <w:pPr>
        <w:spacing w:line="240" w:lineRule="auto" w:before="6"/>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2123"/>
        <w:gridCol w:w="2272"/>
        <w:gridCol w:w="2162"/>
        <w:gridCol w:w="2183"/>
      </w:tblGrid>
      <w:tr>
        <w:trPr>
          <w:trHeight w:val="302" w:hRule="exact"/>
        </w:trPr>
        <w:tc>
          <w:tcPr>
            <w:tcW w:w="212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741"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27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800"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162"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16"/>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18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288" w:hRule="exact"/>
        </w:trPr>
        <w:tc>
          <w:tcPr>
            <w:tcW w:w="2123" w:type="dxa"/>
            <w:tcBorders>
              <w:top w:val="single" w:sz="4" w:space="0" w:color="000000"/>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华夏银行金坛支行</w:t>
            </w:r>
          </w:p>
        </w:tc>
        <w:tc>
          <w:tcPr>
            <w:tcW w:w="2272" w:type="dxa"/>
            <w:tcBorders>
              <w:top w:val="single" w:sz="4" w:space="0" w:color="000000"/>
              <w:left w:val="nil" w:sz="6" w:space="0" w:color="auto"/>
              <w:bottom w:val="nil" w:sz="6" w:space="0" w:color="auto"/>
              <w:right w:val="nil" w:sz="6" w:space="0" w:color="auto"/>
            </w:tcBorders>
          </w:tcPr>
          <w:p>
            <w:pPr>
              <w:pStyle w:val="TableParagraph"/>
              <w:spacing w:line="232" w:lineRule="exact"/>
              <w:ind w:right="124"/>
              <w:jc w:val="right"/>
              <w:rPr>
                <w:rFonts w:ascii="宋体" w:hAnsi="宋体" w:cs="宋体" w:eastAsia="宋体" w:hint="default"/>
                <w:sz w:val="18"/>
                <w:szCs w:val="18"/>
              </w:rPr>
            </w:pPr>
            <w:r>
              <w:rPr>
                <w:rFonts w:ascii="宋体" w:hAnsi="宋体" w:cs="宋体" w:eastAsia="宋体" w:hint="default"/>
                <w:sz w:val="18"/>
                <w:szCs w:val="18"/>
              </w:rPr>
              <w:t>24,990.00</w:t>
            </w:r>
            <w:r>
              <w:rPr>
                <w:rFonts w:ascii="宋体" w:hAnsi="宋体" w:cs="宋体" w:eastAsia="宋体" w:hint="default"/>
                <w:spacing w:val="-47"/>
                <w:sz w:val="18"/>
                <w:szCs w:val="18"/>
              </w:rPr>
              <w:t> </w:t>
            </w:r>
            <w:r>
              <w:rPr>
                <w:rFonts w:ascii="宋体" w:hAnsi="宋体" w:cs="宋体" w:eastAsia="宋体" w:hint="default"/>
                <w:sz w:val="18"/>
                <w:szCs w:val="18"/>
              </w:rPr>
              <w:t>万人民币</w:t>
            </w:r>
          </w:p>
        </w:tc>
        <w:tc>
          <w:tcPr>
            <w:tcW w:w="2162" w:type="dxa"/>
            <w:tcBorders>
              <w:top w:val="single" w:sz="4" w:space="0" w:color="000000"/>
              <w:left w:val="nil" w:sz="6" w:space="0" w:color="auto"/>
              <w:bottom w:val="nil" w:sz="6" w:space="0" w:color="auto"/>
              <w:right w:val="nil" w:sz="6" w:space="0" w:color="auto"/>
            </w:tcBorders>
          </w:tcPr>
          <w:p>
            <w:pPr>
              <w:pStyle w:val="TableParagraph"/>
              <w:spacing w:line="232" w:lineRule="exact"/>
              <w:ind w:right="18"/>
              <w:jc w:val="center"/>
              <w:rPr>
                <w:rFonts w:ascii="宋体" w:hAnsi="宋体" w:cs="宋体" w:eastAsia="宋体" w:hint="default"/>
                <w:sz w:val="18"/>
                <w:szCs w:val="18"/>
              </w:rPr>
            </w:pPr>
            <w:r>
              <w:rPr>
                <w:rFonts w:ascii="宋体"/>
                <w:sz w:val="18"/>
              </w:rPr>
              <w:t>2018.04.13-2021.12.13</w:t>
            </w:r>
          </w:p>
        </w:tc>
        <w:tc>
          <w:tcPr>
            <w:tcW w:w="2183" w:type="dxa"/>
            <w:tcBorders>
              <w:top w:val="single" w:sz="4" w:space="0" w:color="000000"/>
              <w:left w:val="nil" w:sz="6" w:space="0" w:color="auto"/>
              <w:bottom w:val="nil" w:sz="6" w:space="0" w:color="auto"/>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sz w:val="18"/>
              </w:rPr>
              <w:t>2018.04.13-2023.12.13</w:t>
            </w:r>
          </w:p>
        </w:tc>
      </w:tr>
      <w:tr>
        <w:trPr>
          <w:trHeight w:val="291" w:hRule="exact"/>
        </w:trPr>
        <w:tc>
          <w:tcPr>
            <w:tcW w:w="2123" w:type="dxa"/>
            <w:tcBorders>
              <w:top w:val="nil" w:sz="6" w:space="0" w:color="auto"/>
              <w:left w:val="nil" w:sz="6" w:space="0" w:color="auto"/>
              <w:bottom w:val="single" w:sz="4"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中国银行金坛支行</w:t>
            </w:r>
          </w:p>
        </w:tc>
        <w:tc>
          <w:tcPr>
            <w:tcW w:w="2272" w:type="dxa"/>
            <w:tcBorders>
              <w:top w:val="nil" w:sz="6" w:space="0" w:color="auto"/>
              <w:left w:val="nil" w:sz="6" w:space="0" w:color="auto"/>
              <w:bottom w:val="single" w:sz="4" w:space="0" w:color="000000"/>
              <w:right w:val="nil" w:sz="6" w:space="0" w:color="auto"/>
            </w:tcBorders>
          </w:tcPr>
          <w:p>
            <w:pPr>
              <w:pStyle w:val="TableParagraph"/>
              <w:spacing w:line="232" w:lineRule="exact"/>
              <w:ind w:right="124"/>
              <w:jc w:val="right"/>
              <w:rPr>
                <w:rFonts w:ascii="宋体" w:hAnsi="宋体" w:cs="宋体" w:eastAsia="宋体" w:hint="default"/>
                <w:sz w:val="18"/>
                <w:szCs w:val="18"/>
              </w:rPr>
            </w:pPr>
            <w:r>
              <w:rPr>
                <w:rFonts w:ascii="宋体" w:hAnsi="宋体" w:cs="宋体" w:eastAsia="宋体" w:hint="default"/>
                <w:sz w:val="18"/>
                <w:szCs w:val="18"/>
              </w:rPr>
              <w:t>7,600.00</w:t>
            </w:r>
            <w:r>
              <w:rPr>
                <w:rFonts w:ascii="宋体" w:hAnsi="宋体" w:cs="宋体" w:eastAsia="宋体" w:hint="default"/>
                <w:spacing w:val="-45"/>
                <w:sz w:val="18"/>
                <w:szCs w:val="18"/>
              </w:rPr>
              <w:t> </w:t>
            </w:r>
            <w:r>
              <w:rPr>
                <w:rFonts w:ascii="宋体" w:hAnsi="宋体" w:cs="宋体" w:eastAsia="宋体" w:hint="default"/>
                <w:sz w:val="18"/>
                <w:szCs w:val="18"/>
              </w:rPr>
              <w:t>万人民币</w:t>
            </w:r>
          </w:p>
        </w:tc>
        <w:tc>
          <w:tcPr>
            <w:tcW w:w="2162" w:type="dxa"/>
            <w:tcBorders>
              <w:top w:val="nil" w:sz="6" w:space="0" w:color="auto"/>
              <w:left w:val="nil" w:sz="6" w:space="0" w:color="auto"/>
              <w:bottom w:val="single" w:sz="4" w:space="0" w:color="000000"/>
              <w:right w:val="nil" w:sz="6" w:space="0" w:color="auto"/>
            </w:tcBorders>
          </w:tcPr>
          <w:p>
            <w:pPr>
              <w:pStyle w:val="TableParagraph"/>
              <w:spacing w:line="232" w:lineRule="exact"/>
              <w:ind w:right="18"/>
              <w:jc w:val="center"/>
              <w:rPr>
                <w:rFonts w:ascii="宋体" w:hAnsi="宋体" w:cs="宋体" w:eastAsia="宋体" w:hint="default"/>
                <w:sz w:val="18"/>
                <w:szCs w:val="18"/>
              </w:rPr>
            </w:pPr>
            <w:r>
              <w:rPr>
                <w:rFonts w:ascii="宋体"/>
                <w:sz w:val="18"/>
              </w:rPr>
              <w:t>2018.03.16-2019.05.16</w:t>
            </w:r>
          </w:p>
        </w:tc>
        <w:tc>
          <w:tcPr>
            <w:tcW w:w="2183" w:type="dxa"/>
            <w:tcBorders>
              <w:top w:val="nil" w:sz="6" w:space="0" w:color="auto"/>
              <w:left w:val="nil" w:sz="6" w:space="0" w:color="auto"/>
              <w:bottom w:val="single" w:sz="4" w:space="0" w:color="000000"/>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sz w:val="18"/>
              </w:rPr>
              <w:t>2018.03.16-2021.05.16</w:t>
            </w:r>
          </w:p>
        </w:tc>
      </w:tr>
      <w:tr>
        <w:trPr>
          <w:trHeight w:val="305" w:hRule="exact"/>
        </w:trPr>
        <w:tc>
          <w:tcPr>
            <w:tcW w:w="212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72"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25"/>
              <w:jc w:val="right"/>
              <w:rPr>
                <w:rFonts w:ascii="宋体" w:hAnsi="宋体" w:cs="宋体" w:eastAsia="宋体" w:hint="default"/>
                <w:sz w:val="18"/>
                <w:szCs w:val="18"/>
              </w:rPr>
            </w:pPr>
            <w:r>
              <w:rPr>
                <w:rFonts w:ascii="宋体" w:hAnsi="宋体" w:cs="宋体" w:eastAsia="宋体" w:hint="default"/>
                <w:b/>
                <w:bCs/>
                <w:sz w:val="18"/>
                <w:szCs w:val="18"/>
              </w:rPr>
              <w:t>32,590.00</w:t>
            </w:r>
            <w:r>
              <w:rPr>
                <w:rFonts w:ascii="宋体" w:hAnsi="宋体" w:cs="宋体" w:eastAsia="宋体" w:hint="default"/>
                <w:b/>
                <w:bCs/>
                <w:spacing w:val="-48"/>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2162" w:type="dxa"/>
            <w:tcBorders>
              <w:top w:val="single" w:sz="4" w:space="0" w:color="000000"/>
              <w:left w:val="nil" w:sz="6" w:space="0" w:color="auto"/>
              <w:bottom w:val="single" w:sz="12" w:space="0" w:color="000000"/>
              <w:right w:val="nil" w:sz="6" w:space="0" w:color="auto"/>
            </w:tcBorders>
          </w:tcPr>
          <w:p>
            <w:pPr/>
          </w:p>
        </w:tc>
        <w:tc>
          <w:tcPr>
            <w:tcW w:w="2183" w:type="dxa"/>
            <w:tcBorders>
              <w:top w:val="single" w:sz="4" w:space="0" w:color="000000"/>
              <w:left w:val="nil" w:sz="6" w:space="0" w:color="auto"/>
              <w:bottom w:val="single" w:sz="12" w:space="0" w:color="000000"/>
              <w:right w:val="nil" w:sz="6" w:space="0" w:color="auto"/>
            </w:tcBorders>
          </w:tcPr>
          <w:p>
            <w:pPr/>
          </w:p>
        </w:tc>
      </w:tr>
    </w:tbl>
    <w:p>
      <w:pPr>
        <w:spacing w:line="288" w:lineRule="auto" w:before="21"/>
        <w:ind w:left="242" w:right="215" w:firstLine="561"/>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宋体" w:hAnsi="宋体" w:cs="宋体" w:eastAsia="宋体" w:hint="default"/>
          <w:sz w:val="22"/>
          <w:szCs w:val="22"/>
        </w:rPr>
        <w:t>2018</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pacing w:val="-9"/>
          <w:sz w:val="22"/>
          <w:szCs w:val="22"/>
        </w:rPr>
        <w:t>日，公司持股</w:t>
      </w:r>
      <w:r>
        <w:rPr>
          <w:rFonts w:ascii="宋体" w:hAnsi="宋体" w:cs="宋体" w:eastAsia="宋体" w:hint="default"/>
          <w:spacing w:val="-55"/>
          <w:sz w:val="22"/>
          <w:szCs w:val="22"/>
        </w:rPr>
        <w:t> </w:t>
      </w:r>
      <w:r>
        <w:rPr>
          <w:rFonts w:ascii="宋体" w:hAnsi="宋体" w:cs="宋体" w:eastAsia="宋体" w:hint="default"/>
          <w:sz w:val="22"/>
          <w:szCs w:val="22"/>
        </w:rPr>
        <w:t>71.25%</w:t>
      </w:r>
      <w:r>
        <w:rPr>
          <w:rFonts w:ascii="宋体" w:hAnsi="宋体" w:cs="宋体" w:eastAsia="宋体" w:hint="default"/>
          <w:sz w:val="22"/>
          <w:szCs w:val="22"/>
        </w:rPr>
        <w:t>的同方威视技术股份有限公司以保证</w:t>
      </w:r>
      <w:r>
        <w:rPr>
          <w:rFonts w:ascii="宋体" w:hAnsi="宋体" w:cs="宋体" w:eastAsia="宋体" w:hint="default"/>
          <w:w w:val="100"/>
          <w:sz w:val="22"/>
          <w:szCs w:val="22"/>
        </w:rPr>
        <w:t> </w:t>
      </w:r>
      <w:r>
        <w:rPr>
          <w:rFonts w:ascii="宋体" w:hAnsi="宋体" w:cs="宋体" w:eastAsia="宋体" w:hint="default"/>
          <w:spacing w:val="-1"/>
          <w:sz w:val="22"/>
          <w:szCs w:val="22"/>
        </w:rPr>
        <w:t>方式为其下属持股</w:t>
      </w:r>
      <w:r>
        <w:rPr>
          <w:rFonts w:ascii="宋体" w:hAnsi="宋体" w:cs="宋体" w:eastAsia="宋体" w:hint="default"/>
          <w:spacing w:val="-49"/>
          <w:sz w:val="22"/>
          <w:szCs w:val="22"/>
        </w:rPr>
        <w:t> </w:t>
      </w:r>
      <w:r>
        <w:rPr>
          <w:rFonts w:ascii="宋体" w:hAnsi="宋体" w:cs="宋体" w:eastAsia="宋体" w:hint="default"/>
          <w:spacing w:val="-1"/>
          <w:sz w:val="22"/>
          <w:szCs w:val="22"/>
        </w:rPr>
        <w:t>100.00%</w:t>
      </w:r>
      <w:r>
        <w:rPr>
          <w:rFonts w:ascii="宋体" w:hAnsi="宋体" w:cs="宋体" w:eastAsia="宋体" w:hint="default"/>
          <w:spacing w:val="-1"/>
          <w:sz w:val="22"/>
          <w:szCs w:val="22"/>
        </w:rPr>
        <w:t>的子公司同方威视科技江苏有限公司的下列银行承兑汇票提供</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连带责任担保：</w:t>
      </w:r>
    </w:p>
    <w:p>
      <w:pPr>
        <w:spacing w:line="240" w:lineRule="auto" w:before="6"/>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2062"/>
        <w:gridCol w:w="2356"/>
        <w:gridCol w:w="2139"/>
        <w:gridCol w:w="2183"/>
      </w:tblGrid>
      <w:tr>
        <w:trPr>
          <w:trHeight w:val="305" w:hRule="exact"/>
        </w:trPr>
        <w:tc>
          <w:tcPr>
            <w:tcW w:w="206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741"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35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99" w:right="0"/>
              <w:jc w:val="left"/>
              <w:rPr>
                <w:rFonts w:ascii="宋体" w:hAnsi="宋体" w:cs="宋体" w:eastAsia="宋体" w:hint="default"/>
                <w:sz w:val="18"/>
                <w:szCs w:val="18"/>
              </w:rPr>
            </w:pPr>
            <w:r>
              <w:rPr>
                <w:rFonts w:ascii="宋体" w:hAnsi="宋体" w:cs="宋体" w:eastAsia="宋体" w:hint="default"/>
                <w:b/>
                <w:bCs/>
                <w:sz w:val="18"/>
                <w:szCs w:val="18"/>
              </w:rPr>
              <w:t>银行承兑汇票金额</w:t>
            </w:r>
            <w:r>
              <w:rPr>
                <w:rFonts w:ascii="宋体" w:hAnsi="宋体" w:cs="宋体" w:eastAsia="宋体" w:hint="default"/>
                <w:sz w:val="18"/>
                <w:szCs w:val="18"/>
              </w:rPr>
            </w:r>
          </w:p>
        </w:tc>
        <w:tc>
          <w:tcPr>
            <w:tcW w:w="2139"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41"/>
              <w:jc w:val="center"/>
              <w:rPr>
                <w:rFonts w:ascii="宋体" w:hAnsi="宋体" w:cs="宋体" w:eastAsia="宋体" w:hint="default"/>
                <w:sz w:val="18"/>
                <w:szCs w:val="18"/>
              </w:rPr>
            </w:pPr>
            <w:r>
              <w:rPr>
                <w:rFonts w:ascii="宋体" w:hAnsi="宋体" w:cs="宋体" w:eastAsia="宋体" w:hint="default"/>
                <w:b/>
                <w:bCs/>
                <w:sz w:val="18"/>
                <w:szCs w:val="18"/>
              </w:rPr>
              <w:t>承兑票据期限</w:t>
            </w:r>
            <w:r>
              <w:rPr>
                <w:rFonts w:ascii="宋体" w:hAnsi="宋体" w:cs="宋体" w:eastAsia="宋体" w:hint="default"/>
                <w:sz w:val="18"/>
                <w:szCs w:val="18"/>
              </w:rPr>
            </w:r>
          </w:p>
        </w:tc>
        <w:tc>
          <w:tcPr>
            <w:tcW w:w="218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293" w:hRule="exact"/>
        </w:trPr>
        <w:tc>
          <w:tcPr>
            <w:tcW w:w="2062"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中国银行金坛支行</w:t>
            </w:r>
          </w:p>
        </w:tc>
        <w:tc>
          <w:tcPr>
            <w:tcW w:w="2356"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45"/>
              <w:jc w:val="right"/>
              <w:rPr>
                <w:rFonts w:ascii="宋体" w:hAnsi="宋体" w:cs="宋体" w:eastAsia="宋体" w:hint="default"/>
                <w:sz w:val="18"/>
                <w:szCs w:val="18"/>
              </w:rPr>
            </w:pPr>
            <w:r>
              <w:rPr>
                <w:rFonts w:ascii="宋体" w:hAnsi="宋体" w:cs="宋体" w:eastAsia="宋体" w:hint="default"/>
                <w:sz w:val="18"/>
                <w:szCs w:val="18"/>
              </w:rPr>
              <w:t>1,006.25</w:t>
            </w:r>
            <w:r>
              <w:rPr>
                <w:rFonts w:ascii="宋体" w:hAnsi="宋体" w:cs="宋体" w:eastAsia="宋体" w:hint="default"/>
                <w:spacing w:val="-45"/>
                <w:sz w:val="18"/>
                <w:szCs w:val="18"/>
              </w:rPr>
              <w:t> </w:t>
            </w:r>
            <w:r>
              <w:rPr>
                <w:rFonts w:ascii="宋体" w:hAnsi="宋体" w:cs="宋体" w:eastAsia="宋体" w:hint="default"/>
                <w:sz w:val="18"/>
                <w:szCs w:val="18"/>
              </w:rPr>
              <w:t>万人民币</w:t>
            </w:r>
          </w:p>
        </w:tc>
        <w:tc>
          <w:tcPr>
            <w:tcW w:w="2139"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40"/>
              <w:jc w:val="center"/>
              <w:rPr>
                <w:rFonts w:ascii="宋体" w:hAnsi="宋体" w:cs="宋体" w:eastAsia="宋体" w:hint="default"/>
                <w:sz w:val="18"/>
                <w:szCs w:val="18"/>
              </w:rPr>
            </w:pPr>
            <w:r>
              <w:rPr>
                <w:rFonts w:ascii="宋体"/>
                <w:sz w:val="18"/>
              </w:rPr>
              <w:t>2018.10.16-2019.3.26</w:t>
            </w:r>
          </w:p>
        </w:tc>
        <w:tc>
          <w:tcPr>
            <w:tcW w:w="2183"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sz w:val="18"/>
              </w:rPr>
              <w:t>2018.10.16-2021.3.26</w:t>
            </w:r>
          </w:p>
        </w:tc>
      </w:tr>
      <w:tr>
        <w:trPr>
          <w:trHeight w:val="305" w:hRule="exact"/>
        </w:trPr>
        <w:tc>
          <w:tcPr>
            <w:tcW w:w="2062"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56"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48"/>
              <w:jc w:val="right"/>
              <w:rPr>
                <w:rFonts w:ascii="宋体" w:hAnsi="宋体" w:cs="宋体" w:eastAsia="宋体" w:hint="default"/>
                <w:sz w:val="18"/>
                <w:szCs w:val="18"/>
              </w:rPr>
            </w:pPr>
            <w:r>
              <w:rPr>
                <w:rFonts w:ascii="宋体" w:hAnsi="宋体" w:cs="宋体" w:eastAsia="宋体" w:hint="default"/>
                <w:b/>
                <w:bCs/>
                <w:sz w:val="18"/>
                <w:szCs w:val="18"/>
              </w:rPr>
              <w:t>1,006.25</w:t>
            </w:r>
            <w:r>
              <w:rPr>
                <w:rFonts w:ascii="宋体" w:hAnsi="宋体" w:cs="宋体" w:eastAsia="宋体" w:hint="default"/>
                <w:b/>
                <w:bCs/>
                <w:spacing w:val="-49"/>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2139" w:type="dxa"/>
            <w:tcBorders>
              <w:top w:val="single" w:sz="4" w:space="0" w:color="000000"/>
              <w:left w:val="nil" w:sz="6" w:space="0" w:color="auto"/>
              <w:bottom w:val="single" w:sz="12" w:space="0" w:color="000000"/>
              <w:right w:val="nil" w:sz="6" w:space="0" w:color="auto"/>
            </w:tcBorders>
          </w:tcPr>
          <w:p>
            <w:pPr/>
          </w:p>
        </w:tc>
        <w:tc>
          <w:tcPr>
            <w:tcW w:w="2183" w:type="dxa"/>
            <w:tcBorders>
              <w:top w:val="single" w:sz="4" w:space="0" w:color="000000"/>
              <w:left w:val="nil" w:sz="6" w:space="0" w:color="auto"/>
              <w:bottom w:val="single" w:sz="12" w:space="0" w:color="000000"/>
              <w:right w:val="nil" w:sz="6" w:space="0" w:color="auto"/>
            </w:tcBorders>
          </w:tcPr>
          <w:p>
            <w:pPr/>
          </w:p>
        </w:tc>
      </w:tr>
    </w:tbl>
    <w:p>
      <w:pPr>
        <w:spacing w:line="290" w:lineRule="auto" w:before="21"/>
        <w:ind w:left="242" w:right="215" w:firstLine="561"/>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宋体" w:hAnsi="宋体" w:cs="宋体" w:eastAsia="宋体" w:hint="default"/>
          <w:sz w:val="22"/>
          <w:szCs w:val="22"/>
        </w:rPr>
        <w:t>2018</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pacing w:val="-9"/>
          <w:sz w:val="22"/>
          <w:szCs w:val="22"/>
        </w:rPr>
        <w:t>日，公司持股</w:t>
      </w:r>
      <w:r>
        <w:rPr>
          <w:rFonts w:ascii="宋体" w:hAnsi="宋体" w:cs="宋体" w:eastAsia="宋体" w:hint="default"/>
          <w:spacing w:val="-55"/>
          <w:sz w:val="22"/>
          <w:szCs w:val="22"/>
        </w:rPr>
        <w:t> </w:t>
      </w:r>
      <w:r>
        <w:rPr>
          <w:rFonts w:ascii="宋体" w:hAnsi="宋体" w:cs="宋体" w:eastAsia="宋体" w:hint="default"/>
          <w:sz w:val="22"/>
          <w:szCs w:val="22"/>
        </w:rPr>
        <w:t>71.25%</w:t>
      </w:r>
      <w:r>
        <w:rPr>
          <w:rFonts w:ascii="宋体" w:hAnsi="宋体" w:cs="宋体" w:eastAsia="宋体" w:hint="default"/>
          <w:sz w:val="22"/>
          <w:szCs w:val="22"/>
        </w:rPr>
        <w:t>的同方威视技术股份有限公司以保证</w:t>
      </w:r>
      <w:r>
        <w:rPr>
          <w:rFonts w:ascii="宋体" w:hAnsi="宋体" w:cs="宋体" w:eastAsia="宋体" w:hint="default"/>
          <w:w w:val="100"/>
          <w:sz w:val="22"/>
          <w:szCs w:val="22"/>
        </w:rPr>
        <w:t> </w:t>
      </w:r>
      <w:r>
        <w:rPr>
          <w:rFonts w:ascii="宋体" w:hAnsi="宋体" w:cs="宋体" w:eastAsia="宋体" w:hint="default"/>
          <w:spacing w:val="-1"/>
          <w:sz w:val="22"/>
          <w:szCs w:val="22"/>
        </w:rPr>
        <w:t>方式为其下属持股</w:t>
      </w:r>
      <w:r>
        <w:rPr>
          <w:rFonts w:ascii="宋体" w:hAnsi="宋体" w:cs="宋体" w:eastAsia="宋体" w:hint="default"/>
          <w:spacing w:val="-49"/>
          <w:sz w:val="22"/>
          <w:szCs w:val="22"/>
        </w:rPr>
        <w:t> </w:t>
      </w:r>
      <w:r>
        <w:rPr>
          <w:rFonts w:ascii="宋体" w:hAnsi="宋体" w:cs="宋体" w:eastAsia="宋体" w:hint="default"/>
          <w:spacing w:val="-1"/>
          <w:sz w:val="22"/>
          <w:szCs w:val="22"/>
        </w:rPr>
        <w:t>100.00%</w:t>
      </w:r>
      <w:r>
        <w:rPr>
          <w:rFonts w:ascii="宋体" w:hAnsi="宋体" w:cs="宋体" w:eastAsia="宋体" w:hint="default"/>
          <w:spacing w:val="-1"/>
          <w:sz w:val="22"/>
          <w:szCs w:val="22"/>
        </w:rPr>
        <w:t>的子公司北京固鸿科技有限公司的下列银行保函提供连带责任</w:t>
      </w:r>
      <w:r>
        <w:rPr>
          <w:rFonts w:ascii="宋体" w:hAnsi="宋体" w:cs="宋体" w:eastAsia="宋体" w:hint="default"/>
          <w:spacing w:val="-100"/>
          <w:sz w:val="22"/>
          <w:szCs w:val="22"/>
        </w:rPr>
        <w:t> </w:t>
      </w:r>
      <w:r>
        <w:rPr>
          <w:rFonts w:ascii="宋体" w:hAnsi="宋体" w:cs="宋体" w:eastAsia="宋体" w:hint="default"/>
          <w:spacing w:val="-100"/>
          <w:sz w:val="22"/>
          <w:szCs w:val="22"/>
        </w:rPr>
      </w:r>
      <w:r>
        <w:rPr>
          <w:rFonts w:ascii="宋体" w:hAnsi="宋体" w:cs="宋体" w:eastAsia="宋体" w:hint="default"/>
          <w:sz w:val="22"/>
          <w:szCs w:val="22"/>
        </w:rPr>
        <w:t>担保：</w:t>
      </w:r>
    </w:p>
    <w:p>
      <w:pPr>
        <w:spacing w:line="240" w:lineRule="auto" w:before="2"/>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2333"/>
        <w:gridCol w:w="2062"/>
        <w:gridCol w:w="2162"/>
        <w:gridCol w:w="2183"/>
      </w:tblGrid>
      <w:tr>
        <w:trPr>
          <w:trHeight w:val="305" w:hRule="exact"/>
        </w:trPr>
        <w:tc>
          <w:tcPr>
            <w:tcW w:w="233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741"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06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90" w:right="0"/>
              <w:jc w:val="left"/>
              <w:rPr>
                <w:rFonts w:ascii="宋体" w:hAnsi="宋体" w:cs="宋体" w:eastAsia="宋体" w:hint="default"/>
                <w:sz w:val="18"/>
                <w:szCs w:val="18"/>
              </w:rPr>
            </w:pPr>
            <w:r>
              <w:rPr>
                <w:rFonts w:ascii="宋体" w:hAnsi="宋体" w:cs="宋体" w:eastAsia="宋体" w:hint="default"/>
                <w:b/>
                <w:bCs/>
                <w:sz w:val="18"/>
                <w:szCs w:val="18"/>
              </w:rPr>
              <w:t>保函金额</w:t>
            </w:r>
            <w:r>
              <w:rPr>
                <w:rFonts w:ascii="宋体" w:hAnsi="宋体" w:cs="宋体" w:eastAsia="宋体" w:hint="default"/>
                <w:sz w:val="18"/>
                <w:szCs w:val="18"/>
              </w:rPr>
            </w:r>
          </w:p>
        </w:tc>
        <w:tc>
          <w:tcPr>
            <w:tcW w:w="2162"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16"/>
              <w:jc w:val="center"/>
              <w:rPr>
                <w:rFonts w:ascii="宋体" w:hAnsi="宋体" w:cs="宋体" w:eastAsia="宋体" w:hint="default"/>
                <w:sz w:val="18"/>
                <w:szCs w:val="18"/>
              </w:rPr>
            </w:pPr>
            <w:r>
              <w:rPr>
                <w:rFonts w:ascii="宋体" w:hAnsi="宋体" w:cs="宋体" w:eastAsia="宋体" w:hint="default"/>
                <w:b/>
                <w:bCs/>
                <w:sz w:val="18"/>
                <w:szCs w:val="18"/>
              </w:rPr>
              <w:t>保函期限</w:t>
            </w:r>
            <w:r>
              <w:rPr>
                <w:rFonts w:ascii="宋体" w:hAnsi="宋体" w:cs="宋体" w:eastAsia="宋体" w:hint="default"/>
                <w:sz w:val="18"/>
                <w:szCs w:val="18"/>
              </w:rPr>
            </w:r>
          </w:p>
        </w:tc>
        <w:tc>
          <w:tcPr>
            <w:tcW w:w="218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293" w:hRule="exact"/>
        </w:trPr>
        <w:tc>
          <w:tcPr>
            <w:tcW w:w="2333"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北京银行清华园支行</w:t>
            </w:r>
          </w:p>
        </w:tc>
        <w:tc>
          <w:tcPr>
            <w:tcW w:w="2062"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629" w:right="0"/>
              <w:jc w:val="left"/>
              <w:rPr>
                <w:rFonts w:ascii="宋体" w:hAnsi="宋体" w:cs="宋体" w:eastAsia="宋体" w:hint="default"/>
                <w:sz w:val="18"/>
                <w:szCs w:val="18"/>
              </w:rPr>
            </w:pPr>
            <w:r>
              <w:rPr>
                <w:rFonts w:ascii="宋体" w:hAnsi="宋体" w:cs="宋体" w:eastAsia="宋体" w:hint="default"/>
                <w:sz w:val="18"/>
                <w:szCs w:val="18"/>
              </w:rPr>
              <w:t>145.60</w:t>
            </w:r>
            <w:r>
              <w:rPr>
                <w:rFonts w:ascii="宋体" w:hAnsi="宋体" w:cs="宋体" w:eastAsia="宋体" w:hint="default"/>
                <w:spacing w:val="-44"/>
                <w:sz w:val="18"/>
                <w:szCs w:val="18"/>
              </w:rPr>
              <w:t> </w:t>
            </w:r>
            <w:r>
              <w:rPr>
                <w:rFonts w:ascii="宋体" w:hAnsi="宋体" w:cs="宋体" w:eastAsia="宋体" w:hint="default"/>
                <w:sz w:val="18"/>
                <w:szCs w:val="18"/>
              </w:rPr>
              <w:t>万人民币</w:t>
            </w:r>
          </w:p>
        </w:tc>
        <w:tc>
          <w:tcPr>
            <w:tcW w:w="2162"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8"/>
              <w:jc w:val="center"/>
              <w:rPr>
                <w:rFonts w:ascii="宋体" w:hAnsi="宋体" w:cs="宋体" w:eastAsia="宋体" w:hint="default"/>
                <w:sz w:val="18"/>
                <w:szCs w:val="18"/>
              </w:rPr>
            </w:pPr>
            <w:r>
              <w:rPr>
                <w:rFonts w:ascii="宋体"/>
                <w:sz w:val="18"/>
              </w:rPr>
              <w:t>2018.04.12-2019.10.30</w:t>
            </w:r>
          </w:p>
        </w:tc>
        <w:tc>
          <w:tcPr>
            <w:tcW w:w="2183"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sz w:val="18"/>
              </w:rPr>
              <w:t>2018.04.12-2021.10.30</w:t>
            </w:r>
          </w:p>
        </w:tc>
      </w:tr>
      <w:tr>
        <w:trPr>
          <w:trHeight w:val="305" w:hRule="exact"/>
        </w:trPr>
        <w:tc>
          <w:tcPr>
            <w:tcW w:w="233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62"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621" w:right="0"/>
              <w:jc w:val="left"/>
              <w:rPr>
                <w:rFonts w:ascii="宋体" w:hAnsi="宋体" w:cs="宋体" w:eastAsia="宋体" w:hint="default"/>
                <w:sz w:val="18"/>
                <w:szCs w:val="18"/>
              </w:rPr>
            </w:pPr>
            <w:r>
              <w:rPr>
                <w:rFonts w:ascii="宋体" w:hAnsi="宋体" w:cs="宋体" w:eastAsia="宋体" w:hint="default"/>
                <w:b/>
                <w:bCs/>
                <w:sz w:val="18"/>
                <w:szCs w:val="18"/>
              </w:rPr>
              <w:t>145.60</w:t>
            </w:r>
            <w:r>
              <w:rPr>
                <w:rFonts w:ascii="宋体" w:hAnsi="宋体" w:cs="宋体" w:eastAsia="宋体" w:hint="default"/>
                <w:b/>
                <w:bCs/>
                <w:spacing w:val="-47"/>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2162" w:type="dxa"/>
            <w:tcBorders>
              <w:top w:val="single" w:sz="4" w:space="0" w:color="000000"/>
              <w:left w:val="nil" w:sz="6" w:space="0" w:color="auto"/>
              <w:bottom w:val="single" w:sz="12" w:space="0" w:color="000000"/>
              <w:right w:val="nil" w:sz="6" w:space="0" w:color="auto"/>
            </w:tcBorders>
          </w:tcPr>
          <w:p>
            <w:pPr/>
          </w:p>
        </w:tc>
        <w:tc>
          <w:tcPr>
            <w:tcW w:w="2183" w:type="dxa"/>
            <w:tcBorders>
              <w:top w:val="single" w:sz="4" w:space="0" w:color="000000"/>
              <w:left w:val="nil" w:sz="6" w:space="0" w:color="auto"/>
              <w:bottom w:val="single" w:sz="12" w:space="0" w:color="000000"/>
              <w:right w:val="nil" w:sz="6" w:space="0" w:color="auto"/>
            </w:tcBorders>
          </w:tcPr>
          <w:p>
            <w:pPr/>
          </w:p>
        </w:tc>
      </w:tr>
    </w:tbl>
    <w:p>
      <w:pPr>
        <w:spacing w:line="290" w:lineRule="auto" w:before="21"/>
        <w:ind w:left="242" w:right="215" w:firstLine="561"/>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6)</w:t>
      </w:r>
      <w:r>
        <w:rPr>
          <w:rFonts w:ascii="Times New Roman" w:hAnsi="Times New Roman" w:cs="Times New Roman" w:eastAsia="Times New Roman" w:hint="default"/>
          <w:b/>
          <w:bCs/>
          <w:spacing w:val="51"/>
          <w:sz w:val="22"/>
          <w:szCs w:val="22"/>
        </w:rPr>
        <w:t> </w:t>
      </w:r>
      <w:r>
        <w:rPr>
          <w:rFonts w:ascii="宋体" w:hAnsi="宋体" w:cs="宋体" w:eastAsia="宋体" w:hint="default"/>
          <w:sz w:val="22"/>
          <w:szCs w:val="22"/>
        </w:rPr>
        <w:t>截至</w:t>
      </w:r>
      <w:r>
        <w:rPr>
          <w:rFonts w:ascii="宋体" w:hAnsi="宋体" w:cs="宋体" w:eastAsia="宋体" w:hint="default"/>
          <w:spacing w:val="-47"/>
          <w:sz w:val="22"/>
          <w:szCs w:val="22"/>
        </w:rPr>
        <w:t> </w:t>
      </w:r>
      <w:r>
        <w:rPr>
          <w:rFonts w:ascii="宋体" w:hAnsi="宋体" w:cs="宋体" w:eastAsia="宋体" w:hint="default"/>
          <w:sz w:val="22"/>
          <w:szCs w:val="22"/>
        </w:rPr>
        <w:t>2018</w:t>
      </w:r>
      <w:r>
        <w:rPr>
          <w:rFonts w:ascii="宋体" w:hAnsi="宋体" w:cs="宋体" w:eastAsia="宋体" w:hint="default"/>
          <w:spacing w:val="-48"/>
          <w:sz w:val="22"/>
          <w:szCs w:val="22"/>
        </w:rPr>
        <w:t> </w:t>
      </w:r>
      <w:r>
        <w:rPr>
          <w:rFonts w:ascii="宋体" w:hAnsi="宋体" w:cs="宋体" w:eastAsia="宋体" w:hint="default"/>
          <w:sz w:val="22"/>
          <w:szCs w:val="22"/>
        </w:rPr>
        <w:t>年</w:t>
      </w:r>
      <w:r>
        <w:rPr>
          <w:rFonts w:ascii="宋体" w:hAnsi="宋体" w:cs="宋体" w:eastAsia="宋体" w:hint="default"/>
          <w:spacing w:val="-47"/>
          <w:sz w:val="22"/>
          <w:szCs w:val="22"/>
        </w:rPr>
        <w:t> </w:t>
      </w:r>
      <w:r>
        <w:rPr>
          <w:rFonts w:ascii="宋体" w:hAnsi="宋体" w:cs="宋体" w:eastAsia="宋体" w:hint="default"/>
          <w:sz w:val="22"/>
          <w:szCs w:val="22"/>
        </w:rPr>
        <w:t>12</w:t>
      </w:r>
      <w:r>
        <w:rPr>
          <w:rFonts w:ascii="宋体" w:hAnsi="宋体" w:cs="宋体" w:eastAsia="宋体" w:hint="default"/>
          <w:spacing w:val="-47"/>
          <w:sz w:val="22"/>
          <w:szCs w:val="22"/>
        </w:rPr>
        <w:t> </w:t>
      </w:r>
      <w:r>
        <w:rPr>
          <w:rFonts w:ascii="宋体" w:hAnsi="宋体" w:cs="宋体" w:eastAsia="宋体" w:hint="default"/>
          <w:sz w:val="22"/>
          <w:szCs w:val="22"/>
        </w:rPr>
        <w:t>月</w:t>
      </w:r>
      <w:r>
        <w:rPr>
          <w:rFonts w:ascii="宋体" w:hAnsi="宋体" w:cs="宋体" w:eastAsia="宋体" w:hint="default"/>
          <w:spacing w:val="-47"/>
          <w:sz w:val="22"/>
          <w:szCs w:val="22"/>
        </w:rPr>
        <w:t> </w:t>
      </w:r>
      <w:r>
        <w:rPr>
          <w:rFonts w:ascii="宋体" w:hAnsi="宋体" w:cs="宋体" w:eastAsia="宋体" w:hint="default"/>
          <w:sz w:val="22"/>
          <w:szCs w:val="22"/>
        </w:rPr>
        <w:t>31</w:t>
      </w:r>
      <w:r>
        <w:rPr>
          <w:rFonts w:ascii="宋体" w:hAnsi="宋体" w:cs="宋体" w:eastAsia="宋体" w:hint="default"/>
          <w:spacing w:val="-47"/>
          <w:sz w:val="22"/>
          <w:szCs w:val="22"/>
        </w:rPr>
        <w:t> </w:t>
      </w:r>
      <w:r>
        <w:rPr>
          <w:rFonts w:ascii="宋体" w:hAnsi="宋体" w:cs="宋体" w:eastAsia="宋体" w:hint="default"/>
          <w:sz w:val="22"/>
          <w:szCs w:val="22"/>
        </w:rPr>
        <w:t>日，公司持股</w:t>
      </w:r>
      <w:r>
        <w:rPr>
          <w:rFonts w:ascii="宋体" w:hAnsi="宋体" w:cs="宋体" w:eastAsia="宋体" w:hint="default"/>
          <w:spacing w:val="-46"/>
          <w:sz w:val="22"/>
          <w:szCs w:val="22"/>
        </w:rPr>
        <w:t> </w:t>
      </w:r>
      <w:r>
        <w:rPr>
          <w:rFonts w:ascii="宋体" w:hAnsi="宋体" w:cs="宋体" w:eastAsia="宋体" w:hint="default"/>
          <w:sz w:val="22"/>
          <w:szCs w:val="22"/>
        </w:rPr>
        <w:t>100.00%</w:t>
      </w:r>
      <w:r>
        <w:rPr>
          <w:rFonts w:ascii="宋体" w:hAnsi="宋体" w:cs="宋体" w:eastAsia="宋体" w:hint="default"/>
          <w:sz w:val="22"/>
          <w:szCs w:val="22"/>
        </w:rPr>
        <w:t>的同方人工环境有限公司以保证方</w:t>
      </w:r>
      <w:r>
        <w:rPr>
          <w:rFonts w:ascii="宋体" w:hAnsi="宋体" w:cs="宋体" w:eastAsia="宋体" w:hint="default"/>
          <w:w w:val="100"/>
          <w:sz w:val="22"/>
          <w:szCs w:val="22"/>
        </w:rPr>
        <w:t> </w:t>
      </w:r>
      <w:r>
        <w:rPr>
          <w:rFonts w:ascii="宋体" w:hAnsi="宋体" w:cs="宋体" w:eastAsia="宋体" w:hint="default"/>
          <w:sz w:val="22"/>
          <w:szCs w:val="22"/>
        </w:rPr>
        <w:t>式为其下属持股</w:t>
      </w:r>
      <w:r>
        <w:rPr>
          <w:rFonts w:ascii="宋体" w:hAnsi="宋体" w:cs="宋体" w:eastAsia="宋体" w:hint="default"/>
          <w:spacing w:val="31"/>
          <w:sz w:val="22"/>
          <w:szCs w:val="22"/>
        </w:rPr>
        <w:t> </w:t>
      </w:r>
      <w:r>
        <w:rPr>
          <w:rFonts w:ascii="宋体" w:hAnsi="宋体" w:cs="宋体" w:eastAsia="宋体" w:hint="default"/>
          <w:sz w:val="22"/>
          <w:szCs w:val="22"/>
        </w:rPr>
        <w:t>86.67%</w:t>
      </w:r>
      <w:r>
        <w:rPr>
          <w:rFonts w:ascii="宋体" w:hAnsi="宋体" w:cs="宋体" w:eastAsia="宋体" w:hint="default"/>
          <w:sz w:val="22"/>
          <w:szCs w:val="22"/>
        </w:rPr>
        <w:t>的子公司无锡同方人工环境有限公司的下列银行承兑汇票提供连</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带责任担保：</w:t>
      </w:r>
    </w:p>
    <w:p>
      <w:pPr>
        <w:spacing w:line="240" w:lineRule="auto" w:before="2"/>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2242"/>
        <w:gridCol w:w="2153"/>
        <w:gridCol w:w="2144"/>
        <w:gridCol w:w="2201"/>
      </w:tblGrid>
      <w:tr>
        <w:trPr>
          <w:trHeight w:val="305" w:hRule="exact"/>
        </w:trPr>
        <w:tc>
          <w:tcPr>
            <w:tcW w:w="224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741"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15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19" w:right="0"/>
              <w:jc w:val="left"/>
              <w:rPr>
                <w:rFonts w:ascii="宋体" w:hAnsi="宋体" w:cs="宋体" w:eastAsia="宋体" w:hint="default"/>
                <w:sz w:val="18"/>
                <w:szCs w:val="18"/>
              </w:rPr>
            </w:pPr>
            <w:r>
              <w:rPr>
                <w:rFonts w:ascii="宋体" w:hAnsi="宋体" w:cs="宋体" w:eastAsia="宋体" w:hint="default"/>
                <w:b/>
                <w:bCs/>
                <w:sz w:val="18"/>
                <w:szCs w:val="18"/>
              </w:rPr>
              <w:t>银行承兑汇票金额</w:t>
            </w:r>
            <w:r>
              <w:rPr>
                <w:rFonts w:ascii="宋体" w:hAnsi="宋体" w:cs="宋体" w:eastAsia="宋体" w:hint="default"/>
                <w:sz w:val="18"/>
                <w:szCs w:val="18"/>
              </w:rPr>
            </w:r>
          </w:p>
        </w:tc>
        <w:tc>
          <w:tcPr>
            <w:tcW w:w="2144"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承兑票据期限</w:t>
            </w:r>
            <w:r>
              <w:rPr>
                <w:rFonts w:ascii="宋体" w:hAnsi="宋体" w:cs="宋体" w:eastAsia="宋体" w:hint="default"/>
                <w:sz w:val="18"/>
                <w:szCs w:val="18"/>
              </w:rPr>
            </w:r>
          </w:p>
        </w:tc>
        <w:tc>
          <w:tcPr>
            <w:tcW w:w="220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295" w:hRule="exact"/>
        </w:trPr>
        <w:tc>
          <w:tcPr>
            <w:tcW w:w="2242"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光大银行无锡南长支行</w:t>
            </w:r>
          </w:p>
        </w:tc>
        <w:tc>
          <w:tcPr>
            <w:tcW w:w="2153"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24"/>
              <w:jc w:val="right"/>
              <w:rPr>
                <w:rFonts w:ascii="宋体" w:hAnsi="宋体" w:cs="宋体" w:eastAsia="宋体" w:hint="default"/>
                <w:sz w:val="18"/>
                <w:szCs w:val="18"/>
              </w:rPr>
            </w:pPr>
            <w:r>
              <w:rPr>
                <w:rFonts w:ascii="宋体" w:hAnsi="宋体" w:cs="宋体" w:eastAsia="宋体" w:hint="default"/>
                <w:sz w:val="18"/>
                <w:szCs w:val="18"/>
              </w:rPr>
              <w:t>4,601.95</w:t>
            </w:r>
            <w:r>
              <w:rPr>
                <w:rFonts w:ascii="宋体" w:hAnsi="宋体" w:cs="宋体" w:eastAsia="宋体" w:hint="default"/>
                <w:spacing w:val="-45"/>
                <w:sz w:val="18"/>
                <w:szCs w:val="18"/>
              </w:rPr>
              <w:t> </w:t>
            </w:r>
            <w:r>
              <w:rPr>
                <w:rFonts w:ascii="宋体" w:hAnsi="宋体" w:cs="宋体" w:eastAsia="宋体" w:hint="default"/>
                <w:sz w:val="18"/>
                <w:szCs w:val="18"/>
              </w:rPr>
              <w:t>万人民币</w:t>
            </w:r>
          </w:p>
        </w:tc>
        <w:tc>
          <w:tcPr>
            <w:tcW w:w="2144"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sz w:val="18"/>
              </w:rPr>
              <w:t>2018.07.05-2019.05.12</w:t>
            </w:r>
          </w:p>
        </w:tc>
        <w:tc>
          <w:tcPr>
            <w:tcW w:w="2201"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9" w:right="0"/>
              <w:jc w:val="center"/>
              <w:rPr>
                <w:rFonts w:ascii="宋体" w:hAnsi="宋体" w:cs="宋体" w:eastAsia="宋体" w:hint="default"/>
                <w:sz w:val="18"/>
                <w:szCs w:val="18"/>
              </w:rPr>
            </w:pPr>
            <w:r>
              <w:rPr>
                <w:rFonts w:ascii="宋体"/>
                <w:sz w:val="18"/>
              </w:rPr>
              <w:t>2018.04.27-2021.</w:t>
            </w:r>
            <w:r>
              <w:rPr>
                <w:rFonts w:ascii="宋体"/>
                <w:spacing w:val="-22"/>
                <w:sz w:val="18"/>
              </w:rPr>
              <w:t> </w:t>
            </w:r>
            <w:r>
              <w:rPr>
                <w:rFonts w:ascii="宋体"/>
                <w:sz w:val="18"/>
              </w:rPr>
              <w:t>05.12</w:t>
            </w:r>
          </w:p>
        </w:tc>
      </w:tr>
      <w:tr>
        <w:trPr>
          <w:trHeight w:val="305" w:hRule="exact"/>
        </w:trPr>
        <w:tc>
          <w:tcPr>
            <w:tcW w:w="2242" w:type="dxa"/>
            <w:tcBorders>
              <w:top w:val="single" w:sz="4" w:space="0" w:color="000000"/>
              <w:left w:val="nil" w:sz="6" w:space="0" w:color="auto"/>
              <w:bottom w:val="single" w:sz="12" w:space="0" w:color="000000"/>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53" w:type="dxa"/>
            <w:tcBorders>
              <w:top w:val="single" w:sz="4" w:space="0" w:color="000000"/>
              <w:left w:val="nil" w:sz="6" w:space="0" w:color="auto"/>
              <w:bottom w:val="single" w:sz="12" w:space="0" w:color="000000"/>
              <w:right w:val="nil" w:sz="6" w:space="0" w:color="auto"/>
            </w:tcBorders>
          </w:tcPr>
          <w:p>
            <w:pPr>
              <w:pStyle w:val="TableParagraph"/>
              <w:spacing w:line="229" w:lineRule="exact"/>
              <w:ind w:right="125"/>
              <w:jc w:val="right"/>
              <w:rPr>
                <w:rFonts w:ascii="宋体" w:hAnsi="宋体" w:cs="宋体" w:eastAsia="宋体" w:hint="default"/>
                <w:sz w:val="18"/>
                <w:szCs w:val="18"/>
              </w:rPr>
            </w:pPr>
            <w:r>
              <w:rPr>
                <w:rFonts w:ascii="宋体" w:hAnsi="宋体" w:cs="宋体" w:eastAsia="宋体" w:hint="default"/>
                <w:b/>
                <w:bCs/>
                <w:sz w:val="18"/>
                <w:szCs w:val="18"/>
              </w:rPr>
              <w:t>4,601.95</w:t>
            </w:r>
            <w:r>
              <w:rPr>
                <w:rFonts w:ascii="宋体" w:hAnsi="宋体" w:cs="宋体" w:eastAsia="宋体" w:hint="default"/>
                <w:b/>
                <w:bCs/>
                <w:spacing w:val="-49"/>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2144" w:type="dxa"/>
            <w:tcBorders>
              <w:top w:val="single" w:sz="4" w:space="0" w:color="000000"/>
              <w:left w:val="nil" w:sz="6" w:space="0" w:color="auto"/>
              <w:bottom w:val="single" w:sz="12" w:space="0" w:color="000000"/>
              <w:right w:val="nil" w:sz="6" w:space="0" w:color="auto"/>
            </w:tcBorders>
          </w:tcPr>
          <w:p>
            <w:pPr/>
          </w:p>
        </w:tc>
        <w:tc>
          <w:tcPr>
            <w:tcW w:w="2201" w:type="dxa"/>
            <w:tcBorders>
              <w:top w:val="single" w:sz="4" w:space="0" w:color="000000"/>
              <w:left w:val="nil" w:sz="6" w:space="0" w:color="auto"/>
              <w:bottom w:val="single" w:sz="12" w:space="0" w:color="000000"/>
              <w:right w:val="nil" w:sz="6" w:space="0" w:color="auto"/>
            </w:tcBorders>
          </w:tcPr>
          <w:p>
            <w:pPr/>
          </w:p>
        </w:tc>
      </w:tr>
    </w:tbl>
    <w:p>
      <w:pPr>
        <w:spacing w:before="81"/>
        <w:ind w:left="695" w:right="206"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7"/>
          <w:sz w:val="22"/>
          <w:szCs w:val="22"/>
        </w:rPr>
        <w:t> </w:t>
      </w:r>
      <w:r>
        <w:rPr>
          <w:rFonts w:ascii="宋体" w:hAnsi="宋体" w:cs="宋体" w:eastAsia="宋体" w:hint="default"/>
          <w:sz w:val="22"/>
          <w:szCs w:val="22"/>
        </w:rPr>
        <w:t>公司法人实体为其他关联方提供担保</w:t>
      </w:r>
    </w:p>
    <w:p>
      <w:pPr>
        <w:spacing w:line="295" w:lineRule="auto" w:before="128"/>
        <w:ind w:left="242" w:right="215" w:firstLine="561"/>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54"/>
          <w:sz w:val="22"/>
          <w:szCs w:val="22"/>
        </w:rPr>
        <w:t> </w:t>
      </w: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宋体" w:hAnsi="宋体" w:cs="宋体" w:eastAsia="宋体" w:hint="default"/>
          <w:sz w:val="22"/>
          <w:szCs w:val="22"/>
        </w:rPr>
        <w:t>2018</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z w:val="22"/>
          <w:szCs w:val="22"/>
        </w:rPr>
        <w:t>日，公司以保证方式为深圳市华融泰资产管理有限公司的</w:t>
      </w:r>
      <w:r>
        <w:rPr>
          <w:rFonts w:ascii="宋体" w:hAnsi="宋体" w:cs="宋体" w:eastAsia="宋体" w:hint="default"/>
          <w:w w:val="100"/>
          <w:sz w:val="22"/>
          <w:szCs w:val="22"/>
        </w:rPr>
        <w:t> </w:t>
      </w:r>
      <w:r>
        <w:rPr>
          <w:rFonts w:ascii="宋体" w:hAnsi="宋体" w:cs="宋体" w:eastAsia="宋体" w:hint="default"/>
          <w:spacing w:val="-3"/>
          <w:sz w:val="22"/>
          <w:szCs w:val="22"/>
        </w:rPr>
        <w:t>下列银行借款提供连带责任担保：本公司联营企业深圳市华融泰资产管理有限公司向华夏</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银行深圳泰然支行借款</w:t>
      </w:r>
      <w:r>
        <w:rPr>
          <w:rFonts w:ascii="宋体" w:hAnsi="宋体" w:cs="宋体" w:eastAsia="宋体" w:hint="default"/>
          <w:spacing w:val="-63"/>
          <w:sz w:val="22"/>
          <w:szCs w:val="22"/>
        </w:rPr>
        <w:t> </w:t>
      </w:r>
      <w:r>
        <w:rPr>
          <w:rFonts w:ascii="宋体" w:hAnsi="宋体" w:cs="宋体" w:eastAsia="宋体" w:hint="default"/>
          <w:sz w:val="22"/>
          <w:szCs w:val="22"/>
        </w:rPr>
        <w:t>10,000.00</w:t>
      </w:r>
      <w:r>
        <w:rPr>
          <w:rFonts w:ascii="宋体" w:hAnsi="宋体" w:cs="宋体" w:eastAsia="宋体" w:hint="default"/>
          <w:spacing w:val="-64"/>
          <w:sz w:val="22"/>
          <w:szCs w:val="22"/>
        </w:rPr>
        <w:t> </w:t>
      </w:r>
      <w:r>
        <w:rPr>
          <w:rFonts w:ascii="宋体" w:hAnsi="宋体" w:cs="宋体" w:eastAsia="宋体" w:hint="default"/>
          <w:sz w:val="22"/>
          <w:szCs w:val="22"/>
        </w:rPr>
        <w:t>万元，借款期限为</w:t>
      </w:r>
      <w:r>
        <w:rPr>
          <w:rFonts w:ascii="宋体" w:hAnsi="宋体" w:cs="宋体" w:eastAsia="宋体" w:hint="default"/>
          <w:spacing w:val="-62"/>
          <w:sz w:val="22"/>
          <w:szCs w:val="22"/>
        </w:rPr>
        <w:t> </w:t>
      </w:r>
      <w:r>
        <w:rPr>
          <w:rFonts w:ascii="宋体" w:hAnsi="宋体" w:cs="宋体" w:eastAsia="宋体" w:hint="default"/>
          <w:sz w:val="22"/>
          <w:szCs w:val="22"/>
        </w:rPr>
        <w:t>2018.02.06-2019.02.06</w:t>
      </w:r>
      <w:r>
        <w:rPr>
          <w:rFonts w:ascii="宋体" w:hAnsi="宋体" w:cs="宋体" w:eastAsia="宋体" w:hint="default"/>
          <w:sz w:val="22"/>
          <w:szCs w:val="22"/>
        </w:rPr>
        <w:t>。本公司以</w:t>
      </w:r>
      <w:r>
        <w:rPr>
          <w:rFonts w:ascii="宋体" w:hAnsi="宋体" w:cs="宋体" w:eastAsia="宋体" w:hint="default"/>
          <w:w w:val="100"/>
          <w:sz w:val="22"/>
          <w:szCs w:val="22"/>
        </w:rPr>
        <w:t> </w:t>
      </w:r>
      <w:r>
        <w:rPr>
          <w:rFonts w:ascii="宋体" w:hAnsi="宋体" w:cs="宋体" w:eastAsia="宋体" w:hint="default"/>
          <w:spacing w:val="-2"/>
          <w:sz w:val="22"/>
          <w:szCs w:val="22"/>
        </w:rPr>
        <w:t>保证方式为此笔借款提供连带责任担保，保证期间为</w:t>
      </w:r>
      <w:r>
        <w:rPr>
          <w:rFonts w:ascii="宋体" w:hAnsi="宋体" w:cs="宋体" w:eastAsia="宋体" w:hint="default"/>
          <w:spacing w:val="-16"/>
          <w:sz w:val="22"/>
          <w:szCs w:val="22"/>
        </w:rPr>
        <w:t> </w:t>
      </w:r>
      <w:r>
        <w:rPr>
          <w:rFonts w:ascii="宋体" w:hAnsi="宋体" w:cs="宋体" w:eastAsia="宋体" w:hint="default"/>
          <w:spacing w:val="-1"/>
          <w:sz w:val="22"/>
          <w:szCs w:val="22"/>
        </w:rPr>
        <w:t>2018.02.06-2021.02.06</w:t>
      </w:r>
      <w:r>
        <w:rPr>
          <w:rFonts w:ascii="宋体" w:hAnsi="宋体" w:cs="宋体" w:eastAsia="宋体" w:hint="default"/>
          <w:spacing w:val="-1"/>
          <w:sz w:val="22"/>
          <w:szCs w:val="22"/>
        </w:rPr>
        <w:t>。深圳市华</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pacing w:val="2"/>
          <w:sz w:val="22"/>
          <w:szCs w:val="22"/>
        </w:rPr>
        <w:t>融泰资产管理有限公司另一方股东深圳市奥融信投资发展有限公司按照其持股比例提供</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反担保。</w:t>
      </w:r>
    </w:p>
    <w:p>
      <w:pPr>
        <w:spacing w:after="0" w:line="295" w:lineRule="auto"/>
        <w:jc w:val="both"/>
        <w:rPr>
          <w:rFonts w:ascii="宋体" w:hAnsi="宋体" w:cs="宋体" w:eastAsia="宋体" w:hint="default"/>
          <w:sz w:val="22"/>
          <w:szCs w:val="22"/>
        </w:rPr>
        <w:sectPr>
          <w:pgSz w:w="11910" w:h="16840"/>
          <w:pgMar w:header="0" w:footer="1034" w:top="1360" w:bottom="1240" w:left="1460" w:right="1480"/>
        </w:sectPr>
      </w:pPr>
    </w:p>
    <w:p>
      <w:pPr>
        <w:spacing w:line="295" w:lineRule="auto" w:before="6"/>
        <w:ind w:left="942" w:right="935" w:firstLine="561"/>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宋体" w:hAnsi="宋体" w:cs="宋体" w:eastAsia="宋体" w:hint="default"/>
          <w:sz w:val="22"/>
          <w:szCs w:val="22"/>
        </w:rPr>
        <w:t>2018</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z w:val="22"/>
          <w:szCs w:val="22"/>
        </w:rPr>
        <w:t>日，公司以保证方式为深圳市华融泰资产管理有限公司的</w:t>
      </w:r>
      <w:r>
        <w:rPr>
          <w:rFonts w:ascii="宋体" w:hAnsi="宋体" w:cs="宋体" w:eastAsia="宋体" w:hint="default"/>
          <w:w w:val="100"/>
          <w:sz w:val="22"/>
          <w:szCs w:val="22"/>
        </w:rPr>
        <w:t> </w:t>
      </w:r>
      <w:r>
        <w:rPr>
          <w:rFonts w:ascii="宋体" w:hAnsi="宋体" w:cs="宋体" w:eastAsia="宋体" w:hint="default"/>
          <w:spacing w:val="-3"/>
          <w:sz w:val="22"/>
          <w:szCs w:val="22"/>
        </w:rPr>
        <w:t>下列银行借款提供连带责任担保：本公司联营企业深圳市华融泰资产管理有限公司向广东</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华兴银行深圳分行借款</w:t>
      </w:r>
      <w:r>
        <w:rPr>
          <w:rFonts w:ascii="宋体" w:hAnsi="宋体" w:cs="宋体" w:eastAsia="宋体" w:hint="default"/>
          <w:spacing w:val="-63"/>
          <w:sz w:val="22"/>
          <w:szCs w:val="22"/>
        </w:rPr>
        <w:t> </w:t>
      </w:r>
      <w:r>
        <w:rPr>
          <w:rFonts w:ascii="宋体" w:hAnsi="宋体" w:cs="宋体" w:eastAsia="宋体" w:hint="default"/>
          <w:sz w:val="22"/>
          <w:szCs w:val="22"/>
        </w:rPr>
        <w:t>10,000.00</w:t>
      </w:r>
      <w:r>
        <w:rPr>
          <w:rFonts w:ascii="宋体" w:hAnsi="宋体" w:cs="宋体" w:eastAsia="宋体" w:hint="default"/>
          <w:spacing w:val="-64"/>
          <w:sz w:val="22"/>
          <w:szCs w:val="22"/>
        </w:rPr>
        <w:t> </w:t>
      </w:r>
      <w:r>
        <w:rPr>
          <w:rFonts w:ascii="宋体" w:hAnsi="宋体" w:cs="宋体" w:eastAsia="宋体" w:hint="default"/>
          <w:sz w:val="22"/>
          <w:szCs w:val="22"/>
        </w:rPr>
        <w:t>万元，借款期限为</w:t>
      </w:r>
      <w:r>
        <w:rPr>
          <w:rFonts w:ascii="宋体" w:hAnsi="宋体" w:cs="宋体" w:eastAsia="宋体" w:hint="default"/>
          <w:spacing w:val="-62"/>
          <w:sz w:val="22"/>
          <w:szCs w:val="22"/>
        </w:rPr>
        <w:t> </w:t>
      </w:r>
      <w:r>
        <w:rPr>
          <w:rFonts w:ascii="宋体" w:hAnsi="宋体" w:cs="宋体" w:eastAsia="宋体" w:hint="default"/>
          <w:sz w:val="22"/>
          <w:szCs w:val="22"/>
        </w:rPr>
        <w:t>2018.02.27-2019.02.26</w:t>
      </w:r>
      <w:r>
        <w:rPr>
          <w:rFonts w:ascii="宋体" w:hAnsi="宋体" w:cs="宋体" w:eastAsia="宋体" w:hint="default"/>
          <w:sz w:val="22"/>
          <w:szCs w:val="22"/>
        </w:rPr>
        <w:t>。本公司以</w:t>
      </w:r>
      <w:r>
        <w:rPr>
          <w:rFonts w:ascii="宋体" w:hAnsi="宋体" w:cs="宋体" w:eastAsia="宋体" w:hint="default"/>
          <w:w w:val="100"/>
          <w:sz w:val="22"/>
          <w:szCs w:val="22"/>
        </w:rPr>
        <w:t> </w:t>
      </w:r>
      <w:r>
        <w:rPr>
          <w:rFonts w:ascii="宋体" w:hAnsi="宋体" w:cs="宋体" w:eastAsia="宋体" w:hint="default"/>
          <w:spacing w:val="-2"/>
          <w:sz w:val="22"/>
          <w:szCs w:val="22"/>
        </w:rPr>
        <w:t>保证方式为此笔借款提供连带责任担保，保证期间为</w:t>
      </w:r>
      <w:r>
        <w:rPr>
          <w:rFonts w:ascii="宋体" w:hAnsi="宋体" w:cs="宋体" w:eastAsia="宋体" w:hint="default"/>
          <w:spacing w:val="-16"/>
          <w:sz w:val="22"/>
          <w:szCs w:val="22"/>
        </w:rPr>
        <w:t> </w:t>
      </w:r>
      <w:r>
        <w:rPr>
          <w:rFonts w:ascii="宋体" w:hAnsi="宋体" w:cs="宋体" w:eastAsia="宋体" w:hint="default"/>
          <w:spacing w:val="-1"/>
          <w:sz w:val="22"/>
          <w:szCs w:val="22"/>
        </w:rPr>
        <w:t>2018.02.27-2021.02.26</w:t>
      </w:r>
      <w:r>
        <w:rPr>
          <w:rFonts w:ascii="宋体" w:hAnsi="宋体" w:cs="宋体" w:eastAsia="宋体" w:hint="default"/>
          <w:spacing w:val="-1"/>
          <w:sz w:val="22"/>
          <w:szCs w:val="22"/>
        </w:rPr>
        <w:t>。深圳市华</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pacing w:val="2"/>
          <w:sz w:val="22"/>
          <w:szCs w:val="22"/>
        </w:rPr>
        <w:t>融泰资产管理有限公司另一方股东深圳市奥融信投资发展有限公司按照其持股比例提供</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反担保。</w:t>
      </w:r>
    </w:p>
    <w:p>
      <w:pPr>
        <w:spacing w:before="76"/>
        <w:ind w:left="1395" w:right="0" w:firstLine="0"/>
        <w:jc w:val="left"/>
        <w:rPr>
          <w:rFonts w:ascii="宋体" w:hAnsi="宋体" w:cs="宋体" w:eastAsia="宋体" w:hint="default"/>
          <w:sz w:val="22"/>
          <w:szCs w:val="22"/>
        </w:rPr>
      </w:pPr>
      <w:r>
        <w:rPr>
          <w:rFonts w:ascii="宋体" w:hAnsi="宋体" w:cs="宋体" w:eastAsia="宋体" w:hint="default"/>
          <w:b/>
          <w:bCs/>
          <w:sz w:val="22"/>
          <w:szCs w:val="22"/>
        </w:rPr>
        <w:t>(4)</w:t>
      </w:r>
      <w:r>
        <w:rPr>
          <w:rFonts w:ascii="宋体" w:hAnsi="宋体" w:cs="宋体" w:eastAsia="宋体" w:hint="default"/>
          <w:b/>
          <w:bCs/>
          <w:spacing w:val="9"/>
          <w:sz w:val="22"/>
          <w:szCs w:val="22"/>
        </w:rPr>
        <w:t> </w:t>
      </w:r>
      <w:r>
        <w:rPr>
          <w:rFonts w:ascii="宋体" w:hAnsi="宋体" w:cs="宋体" w:eastAsia="宋体" w:hint="default"/>
          <w:sz w:val="22"/>
          <w:szCs w:val="22"/>
        </w:rPr>
        <w:t>控股子公司为其他关联方提供担保</w:t>
      </w:r>
    </w:p>
    <w:p>
      <w:pPr>
        <w:spacing w:line="297" w:lineRule="auto" w:before="129"/>
        <w:ind w:left="942" w:right="931" w:firstLine="405"/>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8"/>
          <w:sz w:val="22"/>
          <w:szCs w:val="22"/>
        </w:rPr>
        <w:t> </w:t>
      </w:r>
      <w:r>
        <w:rPr>
          <w:rFonts w:ascii="宋体" w:hAnsi="宋体" w:cs="宋体" w:eastAsia="宋体" w:hint="default"/>
          <w:sz w:val="22"/>
          <w:szCs w:val="22"/>
        </w:rPr>
        <w:t>2018</w:t>
      </w:r>
      <w:r>
        <w:rPr>
          <w:rFonts w:ascii="宋体" w:hAnsi="宋体" w:cs="宋体" w:eastAsia="宋体" w:hint="default"/>
          <w:spacing w:val="-52"/>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宋体" w:hAnsi="宋体" w:cs="宋体" w:eastAsia="宋体" w:hint="default"/>
          <w:sz w:val="22"/>
          <w:szCs w:val="22"/>
        </w:rPr>
        <w:t>12</w:t>
      </w:r>
      <w:r>
        <w:rPr>
          <w:rFonts w:ascii="宋体" w:hAnsi="宋体" w:cs="宋体" w:eastAsia="宋体" w:hint="default"/>
          <w:spacing w:val="-51"/>
          <w:sz w:val="22"/>
          <w:szCs w:val="22"/>
        </w:rPr>
        <w:t> </w:t>
      </w:r>
      <w:r>
        <w:rPr>
          <w:rFonts w:ascii="宋体" w:hAnsi="宋体" w:cs="宋体" w:eastAsia="宋体" w:hint="default"/>
          <w:sz w:val="22"/>
          <w:szCs w:val="22"/>
        </w:rPr>
        <w:t>月</w:t>
      </w:r>
      <w:r>
        <w:rPr>
          <w:rFonts w:ascii="宋体" w:hAnsi="宋体" w:cs="宋体" w:eastAsia="宋体" w:hint="default"/>
          <w:spacing w:val="-48"/>
          <w:sz w:val="22"/>
          <w:szCs w:val="22"/>
        </w:rPr>
        <w:t> </w:t>
      </w:r>
      <w:r>
        <w:rPr>
          <w:rFonts w:ascii="宋体" w:hAnsi="宋体" w:cs="宋体" w:eastAsia="宋体" w:hint="default"/>
          <w:sz w:val="22"/>
          <w:szCs w:val="22"/>
        </w:rPr>
        <w:t>31</w:t>
      </w:r>
      <w:r>
        <w:rPr>
          <w:rFonts w:ascii="宋体" w:hAnsi="宋体" w:cs="宋体" w:eastAsia="宋体" w:hint="default"/>
          <w:spacing w:val="-48"/>
          <w:sz w:val="22"/>
          <w:szCs w:val="22"/>
        </w:rPr>
        <w:t> </w:t>
      </w:r>
      <w:r>
        <w:rPr>
          <w:rFonts w:ascii="宋体" w:hAnsi="宋体" w:cs="宋体" w:eastAsia="宋体" w:hint="default"/>
          <w:spacing w:val="-7"/>
          <w:sz w:val="22"/>
          <w:szCs w:val="22"/>
        </w:rPr>
        <w:t>日，公司持股</w:t>
      </w:r>
      <w:r>
        <w:rPr>
          <w:rFonts w:ascii="宋体" w:hAnsi="宋体" w:cs="宋体" w:eastAsia="宋体" w:hint="default"/>
          <w:spacing w:val="-48"/>
          <w:sz w:val="22"/>
          <w:szCs w:val="22"/>
        </w:rPr>
        <w:t> </w:t>
      </w:r>
      <w:r>
        <w:rPr>
          <w:rFonts w:ascii="宋体" w:hAnsi="宋体" w:cs="宋体" w:eastAsia="宋体" w:hint="default"/>
          <w:spacing w:val="-4"/>
          <w:sz w:val="22"/>
          <w:szCs w:val="22"/>
        </w:rPr>
        <w:t>100.00%</w:t>
      </w:r>
      <w:r>
        <w:rPr>
          <w:rFonts w:ascii="宋体" w:hAnsi="宋体" w:cs="宋体" w:eastAsia="宋体" w:hint="default"/>
          <w:spacing w:val="-4"/>
          <w:sz w:val="22"/>
          <w:szCs w:val="22"/>
        </w:rPr>
        <w:t>的同方金融控股（深圳）有限公司为深圳</w:t>
      </w:r>
      <w:r>
        <w:rPr>
          <w:rFonts w:ascii="宋体" w:hAnsi="宋体" w:cs="宋体" w:eastAsia="宋体" w:hint="default"/>
          <w:w w:val="100"/>
          <w:sz w:val="22"/>
          <w:szCs w:val="22"/>
        </w:rPr>
        <w:t> </w:t>
      </w:r>
      <w:r>
        <w:rPr>
          <w:rFonts w:ascii="宋体" w:hAnsi="宋体" w:cs="宋体" w:eastAsia="宋体" w:hint="default"/>
          <w:spacing w:val="-3"/>
          <w:sz w:val="22"/>
          <w:szCs w:val="22"/>
        </w:rPr>
        <w:t>市华融泰资产管理有限公司的下列借款提供连带责任担保：同方金融控股（深圳）有限公</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pacing w:val="-2"/>
          <w:sz w:val="22"/>
          <w:szCs w:val="22"/>
        </w:rPr>
        <w:t>司联营企业深圳市华融泰资产管理有限公司向重庆国际信托股份有限公司借款</w:t>
      </w:r>
      <w:r>
        <w:rPr>
          <w:rFonts w:ascii="宋体" w:hAnsi="宋体" w:cs="宋体" w:eastAsia="宋体" w:hint="default"/>
          <w:spacing w:val="-29"/>
          <w:sz w:val="22"/>
          <w:szCs w:val="22"/>
        </w:rPr>
        <w:t> </w:t>
      </w:r>
      <w:r>
        <w:rPr>
          <w:rFonts w:ascii="宋体" w:hAnsi="宋体" w:cs="宋体" w:eastAsia="宋体" w:hint="default"/>
          <w:sz w:val="22"/>
          <w:szCs w:val="22"/>
        </w:rPr>
        <w:t>29,997.00</w:t>
      </w:r>
      <w:r>
        <w:rPr>
          <w:rFonts w:ascii="宋体" w:hAnsi="宋体" w:cs="宋体" w:eastAsia="宋体" w:hint="default"/>
          <w:spacing w:val="-92"/>
          <w:sz w:val="22"/>
          <w:szCs w:val="22"/>
        </w:rPr>
        <w:t> </w:t>
      </w:r>
      <w:r>
        <w:rPr>
          <w:rFonts w:ascii="宋体" w:hAnsi="宋体" w:cs="宋体" w:eastAsia="宋体" w:hint="default"/>
          <w:spacing w:val="-2"/>
          <w:sz w:val="22"/>
          <w:szCs w:val="22"/>
        </w:rPr>
        <w:t>万元，借款期限为</w:t>
      </w:r>
      <w:r>
        <w:rPr>
          <w:rFonts w:ascii="宋体" w:hAnsi="宋体" w:cs="宋体" w:eastAsia="宋体" w:hint="default"/>
          <w:spacing w:val="-24"/>
          <w:sz w:val="22"/>
          <w:szCs w:val="22"/>
        </w:rPr>
        <w:t> </w:t>
      </w:r>
      <w:r>
        <w:rPr>
          <w:rFonts w:ascii="宋体" w:hAnsi="宋体" w:cs="宋体" w:eastAsia="宋体" w:hint="default"/>
          <w:spacing w:val="-1"/>
          <w:sz w:val="22"/>
          <w:szCs w:val="22"/>
        </w:rPr>
        <w:t>2017.10.29-2019.04.29</w:t>
      </w:r>
      <w:r>
        <w:rPr>
          <w:rFonts w:ascii="宋体" w:hAnsi="宋体" w:cs="宋体" w:eastAsia="宋体" w:hint="default"/>
          <w:spacing w:val="-1"/>
          <w:sz w:val="22"/>
          <w:szCs w:val="22"/>
        </w:rPr>
        <w:t>。同方金融控股（深圳）有限公司以保证方式</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2"/>
          <w:sz w:val="22"/>
          <w:szCs w:val="22"/>
        </w:rPr>
        <w:t>为此笔借款提供连带责任担保，保证期间为</w:t>
      </w:r>
      <w:r>
        <w:rPr>
          <w:rFonts w:ascii="宋体" w:hAnsi="宋体" w:cs="宋体" w:eastAsia="宋体" w:hint="default"/>
          <w:spacing w:val="-18"/>
          <w:sz w:val="22"/>
          <w:szCs w:val="22"/>
        </w:rPr>
        <w:t> </w:t>
      </w:r>
      <w:r>
        <w:rPr>
          <w:rFonts w:ascii="宋体" w:hAnsi="宋体" w:cs="宋体" w:eastAsia="宋体" w:hint="default"/>
          <w:spacing w:val="-1"/>
          <w:sz w:val="22"/>
          <w:szCs w:val="22"/>
        </w:rPr>
        <w:t>2017.10.29-2021.04.29</w:t>
      </w:r>
      <w:r>
        <w:rPr>
          <w:rFonts w:ascii="宋体" w:hAnsi="宋体" w:cs="宋体" w:eastAsia="宋体" w:hint="default"/>
          <w:spacing w:val="-1"/>
          <w:sz w:val="22"/>
          <w:szCs w:val="22"/>
        </w:rPr>
        <w:t>。深圳市华融泰资产</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sz w:val="22"/>
          <w:szCs w:val="22"/>
        </w:rPr>
        <w:t>管理有限公司另一方股东深圳市奥融信投资发展有限公司按照其持股比例提供反担保。</w:t>
      </w:r>
    </w:p>
    <w:p>
      <w:pPr>
        <w:spacing w:before="77"/>
        <w:ind w:left="13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18"/>
          <w:sz w:val="22"/>
          <w:szCs w:val="22"/>
        </w:rPr>
        <w:t> </w:t>
      </w:r>
      <w:r>
        <w:rPr>
          <w:rFonts w:ascii="宋体" w:hAnsi="宋体" w:cs="宋体" w:eastAsia="宋体" w:hint="default"/>
          <w:sz w:val="22"/>
          <w:szCs w:val="22"/>
        </w:rPr>
        <w:t>关联方资金拆借</w:t>
      </w:r>
    </w:p>
    <w:p>
      <w:pPr>
        <w:spacing w:line="348" w:lineRule="auto" w:before="110"/>
        <w:ind w:left="1395" w:right="6761"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9"/>
          <w:sz w:val="22"/>
          <w:szCs w:val="22"/>
        </w:rPr>
        <w:t> </w:t>
      </w:r>
      <w:r>
        <w:rPr>
          <w:rFonts w:ascii="宋体" w:hAnsi="宋体" w:cs="宋体" w:eastAsia="宋体" w:hint="default"/>
          <w:sz w:val="22"/>
          <w:szCs w:val="22"/>
        </w:rPr>
        <w:t>本期资金拆入情况</w:t>
      </w:r>
      <w:r>
        <w:rPr>
          <w:rFonts w:ascii="宋体" w:hAnsi="宋体" w:cs="宋体" w:eastAsia="宋体" w:hint="default"/>
          <w:w w:val="100"/>
          <w:sz w:val="22"/>
          <w:szCs w:val="22"/>
        </w:rPr>
        <w:t> </w:t>
      </w:r>
      <w:r>
        <w:rPr>
          <w:rFonts w:ascii="宋体" w:hAnsi="宋体" w:cs="宋体" w:eastAsia="宋体" w:hint="default"/>
          <w:sz w:val="22"/>
          <w:szCs w:val="22"/>
        </w:rPr>
        <w:t>无</w:t>
      </w:r>
    </w:p>
    <w:p>
      <w:pPr>
        <w:spacing w:before="28"/>
        <w:ind w:left="1395"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10"/>
          <w:sz w:val="22"/>
          <w:szCs w:val="22"/>
        </w:rPr>
        <w:t> </w:t>
      </w:r>
      <w:r>
        <w:rPr>
          <w:rFonts w:ascii="宋体" w:hAnsi="宋体" w:cs="宋体" w:eastAsia="宋体" w:hint="default"/>
          <w:sz w:val="22"/>
          <w:szCs w:val="22"/>
        </w:rPr>
        <w:t>本期资金拆出情况</w:t>
      </w:r>
    </w:p>
    <w:p>
      <w:pPr>
        <w:spacing w:line="240" w:lineRule="auto" w:before="11"/>
        <w:rPr>
          <w:rFonts w:ascii="宋体" w:hAnsi="宋体" w:cs="宋体" w:eastAsia="宋体" w:hint="default"/>
          <w:sz w:val="12"/>
          <w:szCs w:val="12"/>
        </w:rPr>
      </w:pPr>
    </w:p>
    <w:tbl>
      <w:tblPr>
        <w:tblW w:w="0" w:type="auto"/>
        <w:jc w:val="left"/>
        <w:tblInd w:w="430" w:type="dxa"/>
        <w:tblLayout w:type="fixed"/>
        <w:tblCellMar>
          <w:top w:w="0" w:type="dxa"/>
          <w:left w:w="0" w:type="dxa"/>
          <w:bottom w:w="0" w:type="dxa"/>
          <w:right w:w="0" w:type="dxa"/>
        </w:tblCellMar>
        <w:tblLook w:val="01E0"/>
      </w:tblPr>
      <w:tblGrid>
        <w:gridCol w:w="1805"/>
        <w:gridCol w:w="1634"/>
        <w:gridCol w:w="1452"/>
        <w:gridCol w:w="1444"/>
        <w:gridCol w:w="1509"/>
        <w:gridCol w:w="1689"/>
      </w:tblGrid>
      <w:tr>
        <w:trPr>
          <w:trHeight w:val="322" w:hRule="exact"/>
        </w:trPr>
        <w:tc>
          <w:tcPr>
            <w:tcW w:w="1805" w:type="dxa"/>
            <w:tcBorders>
              <w:top w:val="single" w:sz="12" w:space="0" w:color="000000"/>
              <w:left w:val="nil" w:sz="6" w:space="0" w:color="auto"/>
              <w:bottom w:val="single" w:sz="8" w:space="0" w:color="000000"/>
              <w:right w:val="nil" w:sz="6" w:space="0" w:color="auto"/>
            </w:tcBorders>
          </w:tcPr>
          <w:p>
            <w:pPr>
              <w:pStyle w:val="TableParagraph"/>
              <w:spacing w:line="240" w:lineRule="auto" w:before="3"/>
              <w:ind w:left="106" w:right="0"/>
              <w:jc w:val="left"/>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1634" w:type="dxa"/>
            <w:tcBorders>
              <w:top w:val="single" w:sz="12" w:space="0" w:color="000000"/>
              <w:left w:val="nil" w:sz="6" w:space="0" w:color="auto"/>
              <w:bottom w:val="single" w:sz="8" w:space="0" w:color="000000"/>
              <w:right w:val="nil" w:sz="6" w:space="0" w:color="auto"/>
            </w:tcBorders>
          </w:tcPr>
          <w:p>
            <w:pPr>
              <w:pStyle w:val="TableParagraph"/>
              <w:spacing w:line="240" w:lineRule="auto" w:before="3"/>
              <w:ind w:left="38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52" w:type="dxa"/>
            <w:tcBorders>
              <w:top w:val="single" w:sz="12" w:space="0" w:color="000000"/>
              <w:left w:val="nil" w:sz="6" w:space="0" w:color="auto"/>
              <w:bottom w:val="single" w:sz="8" w:space="0" w:color="000000"/>
              <w:right w:val="nil" w:sz="6" w:space="0" w:color="auto"/>
            </w:tcBorders>
          </w:tcPr>
          <w:p>
            <w:pPr>
              <w:pStyle w:val="TableParagraph"/>
              <w:spacing w:line="240" w:lineRule="auto" w:before="3"/>
              <w:ind w:left="334" w:right="0"/>
              <w:jc w:val="left"/>
              <w:rPr>
                <w:rFonts w:ascii="宋体" w:hAnsi="宋体" w:cs="宋体" w:eastAsia="宋体" w:hint="default"/>
                <w:sz w:val="18"/>
                <w:szCs w:val="18"/>
              </w:rPr>
            </w:pPr>
            <w:r>
              <w:rPr>
                <w:rFonts w:ascii="宋体" w:hAnsi="宋体" w:cs="宋体" w:eastAsia="宋体" w:hint="default"/>
                <w:b/>
                <w:bCs/>
                <w:sz w:val="18"/>
                <w:szCs w:val="18"/>
              </w:rPr>
              <w:t>本期拆出</w:t>
            </w:r>
            <w:r>
              <w:rPr>
                <w:rFonts w:ascii="宋体" w:hAnsi="宋体" w:cs="宋体" w:eastAsia="宋体" w:hint="default"/>
                <w:sz w:val="18"/>
                <w:szCs w:val="18"/>
              </w:rPr>
            </w:r>
          </w:p>
        </w:tc>
        <w:tc>
          <w:tcPr>
            <w:tcW w:w="1444" w:type="dxa"/>
            <w:tcBorders>
              <w:top w:val="single" w:sz="12" w:space="0" w:color="000000"/>
              <w:left w:val="nil" w:sz="6" w:space="0" w:color="auto"/>
              <w:bottom w:val="single" w:sz="8" w:space="0" w:color="000000"/>
              <w:right w:val="nil" w:sz="6" w:space="0" w:color="auto"/>
            </w:tcBorders>
          </w:tcPr>
          <w:p>
            <w:pPr>
              <w:pStyle w:val="TableParagraph"/>
              <w:spacing w:line="240" w:lineRule="auto" w:before="3"/>
              <w:ind w:left="135" w:right="0"/>
              <w:jc w:val="left"/>
              <w:rPr>
                <w:rFonts w:ascii="宋体" w:hAnsi="宋体" w:cs="宋体" w:eastAsia="宋体" w:hint="default"/>
                <w:sz w:val="18"/>
                <w:szCs w:val="18"/>
              </w:rPr>
            </w:pPr>
            <w:r>
              <w:rPr>
                <w:rFonts w:ascii="宋体" w:hAnsi="宋体" w:cs="宋体" w:eastAsia="宋体" w:hint="default"/>
                <w:b/>
                <w:bCs/>
                <w:sz w:val="18"/>
                <w:szCs w:val="18"/>
              </w:rPr>
              <w:t>本期计提利息</w:t>
            </w:r>
            <w:r>
              <w:rPr>
                <w:rFonts w:ascii="宋体" w:hAnsi="宋体" w:cs="宋体" w:eastAsia="宋体" w:hint="default"/>
                <w:sz w:val="18"/>
                <w:szCs w:val="18"/>
              </w:rPr>
            </w:r>
          </w:p>
        </w:tc>
        <w:tc>
          <w:tcPr>
            <w:tcW w:w="1509" w:type="dxa"/>
            <w:tcBorders>
              <w:top w:val="single" w:sz="12" w:space="0" w:color="000000"/>
              <w:left w:val="nil" w:sz="6" w:space="0" w:color="auto"/>
              <w:bottom w:val="single" w:sz="8" w:space="0" w:color="000000"/>
              <w:right w:val="nil" w:sz="6" w:space="0" w:color="auto"/>
            </w:tcBorders>
          </w:tcPr>
          <w:p>
            <w:pPr>
              <w:pStyle w:val="TableParagraph"/>
              <w:spacing w:line="240" w:lineRule="auto" w:before="3"/>
              <w:ind w:left="347" w:right="0"/>
              <w:jc w:val="left"/>
              <w:rPr>
                <w:rFonts w:ascii="宋体" w:hAnsi="宋体" w:cs="宋体" w:eastAsia="宋体" w:hint="default"/>
                <w:sz w:val="18"/>
                <w:szCs w:val="18"/>
              </w:rPr>
            </w:pPr>
            <w:r>
              <w:rPr>
                <w:rFonts w:ascii="宋体" w:hAnsi="宋体" w:cs="宋体" w:eastAsia="宋体" w:hint="default"/>
                <w:b/>
                <w:bCs/>
                <w:sz w:val="18"/>
                <w:szCs w:val="18"/>
              </w:rPr>
              <w:t>本期收回</w:t>
            </w:r>
            <w:r>
              <w:rPr>
                <w:rFonts w:ascii="宋体" w:hAnsi="宋体" w:cs="宋体" w:eastAsia="宋体" w:hint="default"/>
                <w:sz w:val="18"/>
                <w:szCs w:val="18"/>
              </w:rPr>
            </w:r>
          </w:p>
        </w:tc>
        <w:tc>
          <w:tcPr>
            <w:tcW w:w="1689" w:type="dxa"/>
            <w:tcBorders>
              <w:top w:val="single" w:sz="12" w:space="0" w:color="000000"/>
              <w:left w:val="nil" w:sz="6" w:space="0" w:color="auto"/>
              <w:bottom w:val="single" w:sz="8" w:space="0" w:color="000000"/>
              <w:right w:val="nil" w:sz="6" w:space="0" w:color="auto"/>
            </w:tcBorders>
          </w:tcPr>
          <w:p>
            <w:pPr>
              <w:pStyle w:val="TableParagraph"/>
              <w:spacing w:line="240" w:lineRule="auto" w:before="3"/>
              <w:ind w:left="44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55" w:hRule="exact"/>
        </w:trPr>
        <w:tc>
          <w:tcPr>
            <w:tcW w:w="1805" w:type="dxa"/>
            <w:tcBorders>
              <w:top w:val="single" w:sz="8" w:space="0" w:color="000000"/>
              <w:left w:val="nil" w:sz="6" w:space="0" w:color="auto"/>
              <w:bottom w:val="nil" w:sz="6" w:space="0" w:color="auto"/>
              <w:right w:val="nil" w:sz="6" w:space="0" w:color="auto"/>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同方国信投资控</w:t>
            </w:r>
          </w:p>
          <w:p>
            <w:pPr>
              <w:pStyle w:val="TableParagraph"/>
              <w:spacing w:line="273" w:lineRule="exact"/>
              <w:ind w:left="106" w:right="0"/>
              <w:jc w:val="left"/>
              <w:rPr>
                <w:rFonts w:ascii="宋体" w:hAnsi="宋体" w:cs="宋体" w:eastAsia="宋体" w:hint="default"/>
                <w:sz w:val="21"/>
                <w:szCs w:val="21"/>
              </w:rPr>
            </w:pPr>
            <w:r>
              <w:rPr>
                <w:rFonts w:ascii="宋体" w:hAnsi="宋体" w:cs="宋体" w:eastAsia="宋体" w:hint="default"/>
                <w:sz w:val="21"/>
                <w:szCs w:val="21"/>
              </w:rPr>
              <w:t>股有限公司</w:t>
            </w:r>
          </w:p>
        </w:tc>
        <w:tc>
          <w:tcPr>
            <w:tcW w:w="1634" w:type="dxa"/>
            <w:tcBorders>
              <w:top w:val="single" w:sz="8" w:space="0" w:color="000000"/>
              <w:left w:val="nil" w:sz="6" w:space="0" w:color="auto"/>
              <w:bottom w:val="nil" w:sz="6" w:space="0" w:color="auto"/>
              <w:right w:val="nil" w:sz="6" w:space="0" w:color="auto"/>
            </w:tcBorders>
          </w:tcPr>
          <w:p>
            <w:pPr>
              <w:pStyle w:val="TableParagraph"/>
              <w:spacing w:line="240" w:lineRule="auto" w:before="125"/>
              <w:ind w:right="137"/>
              <w:jc w:val="right"/>
              <w:rPr>
                <w:rFonts w:ascii="宋体" w:hAnsi="宋体" w:cs="宋体" w:eastAsia="宋体" w:hint="default"/>
                <w:sz w:val="18"/>
                <w:szCs w:val="18"/>
              </w:rPr>
            </w:pPr>
            <w:r>
              <w:rPr>
                <w:rFonts w:ascii="宋体"/>
                <w:spacing w:val="-1"/>
                <w:sz w:val="18"/>
              </w:rPr>
              <w:t>400,000,000.00</w:t>
            </w:r>
          </w:p>
        </w:tc>
        <w:tc>
          <w:tcPr>
            <w:tcW w:w="1452" w:type="dxa"/>
            <w:tcBorders>
              <w:top w:val="single" w:sz="8" w:space="0" w:color="000000"/>
              <w:left w:val="nil" w:sz="6" w:space="0" w:color="auto"/>
              <w:bottom w:val="nil" w:sz="6" w:space="0" w:color="auto"/>
              <w:right w:val="nil" w:sz="6" w:space="0" w:color="auto"/>
            </w:tcBorders>
          </w:tcPr>
          <w:p>
            <w:pPr>
              <w:pStyle w:val="TableParagraph"/>
              <w:spacing w:line="240" w:lineRule="auto" w:before="125"/>
              <w:ind w:right="135"/>
              <w:jc w:val="right"/>
              <w:rPr>
                <w:rFonts w:ascii="宋体" w:hAnsi="宋体" w:cs="宋体" w:eastAsia="宋体" w:hint="default"/>
                <w:sz w:val="18"/>
                <w:szCs w:val="18"/>
              </w:rPr>
            </w:pPr>
            <w:r>
              <w:rPr>
                <w:rFonts w:ascii="宋体"/>
                <w:sz w:val="18"/>
              </w:rPr>
              <w:t>0.00</w:t>
            </w:r>
          </w:p>
        </w:tc>
        <w:tc>
          <w:tcPr>
            <w:tcW w:w="1444" w:type="dxa"/>
            <w:tcBorders>
              <w:top w:val="single" w:sz="8" w:space="0" w:color="000000"/>
              <w:left w:val="nil" w:sz="6" w:space="0" w:color="auto"/>
              <w:bottom w:val="nil" w:sz="6" w:space="0" w:color="auto"/>
              <w:right w:val="nil" w:sz="6" w:space="0" w:color="auto"/>
            </w:tcBorders>
          </w:tcPr>
          <w:p>
            <w:pPr>
              <w:pStyle w:val="TableParagraph"/>
              <w:spacing w:line="240" w:lineRule="auto" w:before="125"/>
              <w:ind w:left="147" w:right="0"/>
              <w:jc w:val="left"/>
              <w:rPr>
                <w:rFonts w:ascii="宋体" w:hAnsi="宋体" w:cs="宋体" w:eastAsia="宋体" w:hint="default"/>
                <w:sz w:val="18"/>
                <w:szCs w:val="18"/>
              </w:rPr>
            </w:pPr>
            <w:r>
              <w:rPr>
                <w:rFonts w:ascii="宋体"/>
                <w:sz w:val="18"/>
              </w:rPr>
              <w:t>30,631,536.10</w:t>
            </w:r>
          </w:p>
        </w:tc>
        <w:tc>
          <w:tcPr>
            <w:tcW w:w="1509" w:type="dxa"/>
            <w:tcBorders>
              <w:top w:val="single" w:sz="8" w:space="0" w:color="000000"/>
              <w:left w:val="nil" w:sz="6" w:space="0" w:color="auto"/>
              <w:bottom w:val="nil" w:sz="6" w:space="0" w:color="auto"/>
              <w:right w:val="nil" w:sz="6" w:space="0" w:color="auto"/>
            </w:tcBorders>
          </w:tcPr>
          <w:p>
            <w:pPr>
              <w:pStyle w:val="TableParagraph"/>
              <w:spacing w:line="240" w:lineRule="auto" w:before="125"/>
              <w:ind w:right="210"/>
              <w:jc w:val="right"/>
              <w:rPr>
                <w:rFonts w:ascii="宋体" w:hAnsi="宋体" w:cs="宋体" w:eastAsia="宋体" w:hint="default"/>
                <w:sz w:val="18"/>
                <w:szCs w:val="18"/>
              </w:rPr>
            </w:pPr>
            <w:r>
              <w:rPr>
                <w:rFonts w:ascii="宋体"/>
                <w:spacing w:val="-1"/>
                <w:sz w:val="18"/>
              </w:rPr>
              <w:t>22,261,351.34</w:t>
            </w:r>
          </w:p>
        </w:tc>
        <w:tc>
          <w:tcPr>
            <w:tcW w:w="1689" w:type="dxa"/>
            <w:tcBorders>
              <w:top w:val="single" w:sz="8" w:space="0" w:color="000000"/>
              <w:left w:val="nil" w:sz="6" w:space="0" w:color="auto"/>
              <w:bottom w:val="nil" w:sz="6" w:space="0" w:color="auto"/>
              <w:right w:val="nil" w:sz="6" w:space="0" w:color="auto"/>
            </w:tcBorders>
          </w:tcPr>
          <w:p>
            <w:pPr>
              <w:pStyle w:val="TableParagraph"/>
              <w:spacing w:line="240" w:lineRule="auto" w:before="125"/>
              <w:ind w:left="178" w:right="0"/>
              <w:jc w:val="left"/>
              <w:rPr>
                <w:rFonts w:ascii="宋体" w:hAnsi="宋体" w:cs="宋体" w:eastAsia="宋体" w:hint="default"/>
                <w:sz w:val="18"/>
                <w:szCs w:val="18"/>
              </w:rPr>
            </w:pPr>
            <w:r>
              <w:rPr>
                <w:rFonts w:ascii="宋体"/>
                <w:sz w:val="18"/>
              </w:rPr>
              <w:t>408,370,184.76</w:t>
            </w:r>
          </w:p>
        </w:tc>
      </w:tr>
      <w:tr>
        <w:trPr>
          <w:trHeight w:val="818" w:hRule="exact"/>
        </w:trPr>
        <w:tc>
          <w:tcPr>
            <w:tcW w:w="1805" w:type="dxa"/>
            <w:tcBorders>
              <w:top w:val="nil" w:sz="6" w:space="0" w:color="auto"/>
              <w:left w:val="nil" w:sz="6" w:space="0" w:color="auto"/>
              <w:bottom w:val="nil" w:sz="6" w:space="0" w:color="auto"/>
              <w:right w:val="nil" w:sz="6" w:space="0" w:color="auto"/>
            </w:tcBorders>
          </w:tcPr>
          <w:p>
            <w:pPr>
              <w:pStyle w:val="TableParagraph"/>
              <w:spacing w:line="241" w:lineRule="exact"/>
              <w:ind w:left="106" w:right="0"/>
              <w:jc w:val="left"/>
              <w:rPr>
                <w:rFonts w:ascii="宋体" w:hAnsi="宋体" w:cs="宋体" w:eastAsia="宋体" w:hint="default"/>
                <w:sz w:val="21"/>
                <w:szCs w:val="21"/>
              </w:rPr>
            </w:pPr>
            <w:r>
              <w:rPr>
                <w:rFonts w:ascii="宋体" w:hAnsi="宋体" w:cs="宋体" w:eastAsia="宋体" w:hint="default"/>
                <w:sz w:val="21"/>
                <w:szCs w:val="21"/>
              </w:rPr>
              <w:t>易程（苏州）新</w:t>
            </w:r>
          </w:p>
          <w:p>
            <w:pPr>
              <w:pStyle w:val="TableParagraph"/>
              <w:spacing w:line="240" w:lineRule="auto"/>
              <w:ind w:left="106" w:right="223"/>
              <w:jc w:val="left"/>
              <w:rPr>
                <w:rFonts w:ascii="宋体" w:hAnsi="宋体" w:cs="宋体" w:eastAsia="宋体" w:hint="default"/>
                <w:sz w:val="21"/>
                <w:szCs w:val="21"/>
              </w:rPr>
            </w:pPr>
            <w:r>
              <w:rPr>
                <w:rFonts w:ascii="宋体" w:hAnsi="宋体" w:cs="宋体" w:eastAsia="宋体" w:hint="default"/>
                <w:spacing w:val="-1"/>
                <w:sz w:val="21"/>
                <w:szCs w:val="21"/>
              </w:rPr>
              <w:t>技术股份有限公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司</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37"/>
              <w:jc w:val="right"/>
              <w:rPr>
                <w:rFonts w:ascii="宋体" w:hAnsi="宋体" w:cs="宋体" w:eastAsia="宋体" w:hint="default"/>
                <w:sz w:val="18"/>
                <w:szCs w:val="18"/>
              </w:rPr>
            </w:pPr>
            <w:r>
              <w:rPr>
                <w:rFonts w:ascii="宋体"/>
                <w:sz w:val="18"/>
              </w:rPr>
              <w:t>0.00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33"/>
              <w:jc w:val="right"/>
              <w:rPr>
                <w:rFonts w:ascii="宋体" w:hAnsi="宋体" w:cs="宋体" w:eastAsia="宋体" w:hint="default"/>
                <w:sz w:val="18"/>
                <w:szCs w:val="18"/>
              </w:rPr>
            </w:pPr>
            <w:r>
              <w:rPr>
                <w:rFonts w:ascii="宋体"/>
                <w:spacing w:val="-1"/>
                <w:sz w:val="18"/>
              </w:rPr>
              <w:t>30,000,000.00</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24"/>
              <w:jc w:val="right"/>
              <w:rPr>
                <w:rFonts w:ascii="宋体" w:hAnsi="宋体" w:cs="宋体" w:eastAsia="宋体" w:hint="default"/>
                <w:sz w:val="18"/>
                <w:szCs w:val="18"/>
              </w:rPr>
            </w:pPr>
            <w:r>
              <w:rPr>
                <w:rFonts w:ascii="宋体"/>
                <w:sz w:val="18"/>
              </w:rPr>
              <w:t>0.00</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78"/>
              <w:jc w:val="right"/>
              <w:rPr>
                <w:rFonts w:ascii="宋体" w:hAnsi="宋体" w:cs="宋体" w:eastAsia="宋体" w:hint="default"/>
                <w:sz w:val="18"/>
                <w:szCs w:val="18"/>
              </w:rPr>
            </w:pPr>
            <w:r>
              <w:rPr>
                <w:rFonts w:ascii="宋体"/>
                <w:sz w:val="18"/>
              </w:rPr>
              <w:t>0.00</w:t>
            </w:r>
          </w:p>
        </w:tc>
        <w:tc>
          <w:tcPr>
            <w:tcW w:w="168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30,000,000.00</w:t>
            </w:r>
          </w:p>
        </w:tc>
      </w:tr>
      <w:tr>
        <w:trPr>
          <w:trHeight w:val="555" w:hRule="exact"/>
        </w:trPr>
        <w:tc>
          <w:tcPr>
            <w:tcW w:w="1805" w:type="dxa"/>
            <w:tcBorders>
              <w:top w:val="nil" w:sz="6" w:space="0" w:color="auto"/>
              <w:left w:val="nil" w:sz="6" w:space="0" w:color="auto"/>
              <w:bottom w:val="single" w:sz="8" w:space="0" w:color="000000"/>
              <w:right w:val="nil" w:sz="6" w:space="0" w:color="auto"/>
            </w:tcBorders>
          </w:tcPr>
          <w:p>
            <w:pPr>
              <w:pStyle w:val="TableParagraph"/>
              <w:spacing w:line="239" w:lineRule="exact"/>
              <w:ind w:left="106" w:right="0"/>
              <w:jc w:val="left"/>
              <w:rPr>
                <w:rFonts w:ascii="宋体" w:hAnsi="宋体" w:cs="宋体" w:eastAsia="宋体" w:hint="default"/>
                <w:sz w:val="21"/>
                <w:szCs w:val="21"/>
              </w:rPr>
            </w:pPr>
            <w:r>
              <w:rPr>
                <w:rFonts w:ascii="宋体" w:hAnsi="宋体" w:cs="宋体" w:eastAsia="宋体" w:hint="default"/>
                <w:sz w:val="21"/>
                <w:szCs w:val="21"/>
              </w:rPr>
              <w:t>同方鼎欣科技股</w:t>
            </w:r>
          </w:p>
          <w:p>
            <w:pPr>
              <w:pStyle w:val="TableParagraph"/>
              <w:spacing w:line="273" w:lineRule="exact"/>
              <w:ind w:left="106"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634" w:type="dxa"/>
            <w:tcBorders>
              <w:top w:val="nil" w:sz="6" w:space="0" w:color="auto"/>
              <w:left w:val="nil" w:sz="6" w:space="0" w:color="auto"/>
              <w:bottom w:val="single" w:sz="8" w:space="0" w:color="000000"/>
              <w:right w:val="nil" w:sz="6" w:space="0" w:color="auto"/>
            </w:tcBorders>
          </w:tcPr>
          <w:p>
            <w:pPr>
              <w:pStyle w:val="TableParagraph"/>
              <w:spacing w:line="240" w:lineRule="auto" w:before="126"/>
              <w:ind w:right="135"/>
              <w:jc w:val="right"/>
              <w:rPr>
                <w:rFonts w:ascii="宋体" w:hAnsi="宋体" w:cs="宋体" w:eastAsia="宋体" w:hint="default"/>
                <w:sz w:val="18"/>
                <w:szCs w:val="18"/>
              </w:rPr>
            </w:pPr>
            <w:r>
              <w:rPr>
                <w:rFonts w:ascii="宋体"/>
                <w:sz w:val="18"/>
              </w:rPr>
              <w:t>0.00</w:t>
            </w:r>
          </w:p>
        </w:tc>
        <w:tc>
          <w:tcPr>
            <w:tcW w:w="1452" w:type="dxa"/>
            <w:tcBorders>
              <w:top w:val="nil" w:sz="6" w:space="0" w:color="auto"/>
              <w:left w:val="nil" w:sz="6" w:space="0" w:color="auto"/>
              <w:bottom w:val="single" w:sz="8" w:space="0" w:color="000000"/>
              <w:right w:val="nil" w:sz="6" w:space="0" w:color="auto"/>
            </w:tcBorders>
          </w:tcPr>
          <w:p>
            <w:pPr>
              <w:pStyle w:val="TableParagraph"/>
              <w:spacing w:line="240" w:lineRule="auto" w:before="126"/>
              <w:ind w:right="133"/>
              <w:jc w:val="right"/>
              <w:rPr>
                <w:rFonts w:ascii="宋体" w:hAnsi="宋体" w:cs="宋体" w:eastAsia="宋体" w:hint="default"/>
                <w:sz w:val="18"/>
                <w:szCs w:val="18"/>
              </w:rPr>
            </w:pPr>
            <w:r>
              <w:rPr>
                <w:rFonts w:ascii="宋体"/>
                <w:spacing w:val="-1"/>
                <w:sz w:val="18"/>
              </w:rPr>
              <w:t>30,000,000.00</w:t>
            </w:r>
          </w:p>
        </w:tc>
        <w:tc>
          <w:tcPr>
            <w:tcW w:w="1444" w:type="dxa"/>
            <w:tcBorders>
              <w:top w:val="nil" w:sz="6" w:space="0" w:color="auto"/>
              <w:left w:val="nil" w:sz="6" w:space="0" w:color="auto"/>
              <w:bottom w:val="single" w:sz="8" w:space="0" w:color="000000"/>
              <w:right w:val="nil" w:sz="6" w:space="0" w:color="auto"/>
            </w:tcBorders>
          </w:tcPr>
          <w:p>
            <w:pPr>
              <w:pStyle w:val="TableParagraph"/>
              <w:spacing w:line="240" w:lineRule="auto" w:before="126"/>
              <w:ind w:right="122"/>
              <w:jc w:val="right"/>
              <w:rPr>
                <w:rFonts w:ascii="宋体" w:hAnsi="宋体" w:cs="宋体" w:eastAsia="宋体" w:hint="default"/>
                <w:sz w:val="18"/>
                <w:szCs w:val="18"/>
              </w:rPr>
            </w:pPr>
            <w:r>
              <w:rPr>
                <w:rFonts w:ascii="宋体"/>
                <w:spacing w:val="-1"/>
                <w:sz w:val="18"/>
              </w:rPr>
              <w:t>717,500.00</w:t>
            </w:r>
          </w:p>
        </w:tc>
        <w:tc>
          <w:tcPr>
            <w:tcW w:w="1509" w:type="dxa"/>
            <w:tcBorders>
              <w:top w:val="nil" w:sz="6" w:space="0" w:color="auto"/>
              <w:left w:val="nil" w:sz="6" w:space="0" w:color="auto"/>
              <w:bottom w:val="single" w:sz="8" w:space="0" w:color="000000"/>
              <w:right w:val="nil" w:sz="6" w:space="0" w:color="auto"/>
            </w:tcBorders>
          </w:tcPr>
          <w:p>
            <w:pPr>
              <w:pStyle w:val="TableParagraph"/>
              <w:spacing w:line="240" w:lineRule="auto" w:before="126"/>
              <w:ind w:right="176"/>
              <w:jc w:val="right"/>
              <w:rPr>
                <w:rFonts w:ascii="宋体" w:hAnsi="宋体" w:cs="宋体" w:eastAsia="宋体" w:hint="default"/>
                <w:sz w:val="18"/>
                <w:szCs w:val="18"/>
              </w:rPr>
            </w:pPr>
            <w:r>
              <w:rPr>
                <w:rFonts w:ascii="宋体"/>
                <w:spacing w:val="-1"/>
                <w:sz w:val="18"/>
              </w:rPr>
              <w:t>717,500.00</w:t>
            </w:r>
          </w:p>
        </w:tc>
        <w:tc>
          <w:tcPr>
            <w:tcW w:w="1689" w:type="dxa"/>
            <w:tcBorders>
              <w:top w:val="nil" w:sz="6" w:space="0" w:color="auto"/>
              <w:left w:val="nil" w:sz="6" w:space="0" w:color="auto"/>
              <w:bottom w:val="single" w:sz="8" w:space="0" w:color="000000"/>
              <w:right w:val="nil" w:sz="6" w:space="0" w:color="auto"/>
            </w:tcBorders>
          </w:tcPr>
          <w:p>
            <w:pPr>
              <w:pStyle w:val="TableParagraph"/>
              <w:spacing w:line="240" w:lineRule="auto" w:before="126"/>
              <w:ind w:right="105"/>
              <w:jc w:val="right"/>
              <w:rPr>
                <w:rFonts w:ascii="宋体" w:hAnsi="宋体" w:cs="宋体" w:eastAsia="宋体" w:hint="default"/>
                <w:sz w:val="18"/>
                <w:szCs w:val="18"/>
              </w:rPr>
            </w:pPr>
            <w:r>
              <w:rPr>
                <w:rFonts w:ascii="宋体"/>
                <w:spacing w:val="-1"/>
                <w:sz w:val="18"/>
              </w:rPr>
              <w:t>30,000,000.00</w:t>
            </w:r>
          </w:p>
        </w:tc>
      </w:tr>
      <w:tr>
        <w:trPr>
          <w:trHeight w:val="324" w:hRule="exact"/>
        </w:trPr>
        <w:tc>
          <w:tcPr>
            <w:tcW w:w="1805" w:type="dxa"/>
            <w:tcBorders>
              <w:top w:val="single" w:sz="8" w:space="0" w:color="000000"/>
              <w:left w:val="nil" w:sz="6" w:space="0" w:color="auto"/>
              <w:bottom w:val="single" w:sz="12" w:space="0" w:color="000000"/>
              <w:right w:val="nil" w:sz="6" w:space="0" w:color="auto"/>
            </w:tcBorders>
          </w:tcPr>
          <w:p>
            <w:pPr>
              <w:pStyle w:val="TableParagraph"/>
              <w:spacing w:line="240" w:lineRule="auto" w:before="3"/>
              <w:ind w:left="10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4" w:type="dxa"/>
            <w:tcBorders>
              <w:top w:val="single" w:sz="8" w:space="0" w:color="000000"/>
              <w:left w:val="nil" w:sz="6" w:space="0" w:color="auto"/>
              <w:bottom w:val="single" w:sz="12" w:space="0" w:color="000000"/>
              <w:right w:val="nil" w:sz="6" w:space="0" w:color="auto"/>
            </w:tcBorders>
          </w:tcPr>
          <w:p>
            <w:pPr>
              <w:pStyle w:val="TableParagraph"/>
              <w:spacing w:line="240" w:lineRule="auto" w:before="3"/>
              <w:ind w:right="137"/>
              <w:jc w:val="right"/>
              <w:rPr>
                <w:rFonts w:ascii="宋体" w:hAnsi="宋体" w:cs="宋体" w:eastAsia="宋体" w:hint="default"/>
                <w:sz w:val="18"/>
                <w:szCs w:val="18"/>
              </w:rPr>
            </w:pPr>
            <w:r>
              <w:rPr>
                <w:rFonts w:ascii="宋体"/>
                <w:b/>
                <w:w w:val="95"/>
                <w:sz w:val="18"/>
              </w:rPr>
              <w:t>400,000,000.00</w:t>
            </w:r>
            <w:r>
              <w:rPr>
                <w:rFonts w:ascii="宋体"/>
                <w:sz w:val="18"/>
              </w:rPr>
            </w:r>
          </w:p>
        </w:tc>
        <w:tc>
          <w:tcPr>
            <w:tcW w:w="1452" w:type="dxa"/>
            <w:tcBorders>
              <w:top w:val="single" w:sz="8" w:space="0" w:color="000000"/>
              <w:left w:val="nil" w:sz="6" w:space="0" w:color="auto"/>
              <w:bottom w:val="single" w:sz="12" w:space="0" w:color="000000"/>
              <w:right w:val="nil" w:sz="6" w:space="0" w:color="auto"/>
            </w:tcBorders>
          </w:tcPr>
          <w:p>
            <w:pPr>
              <w:pStyle w:val="TableParagraph"/>
              <w:spacing w:line="240" w:lineRule="auto" w:before="3"/>
              <w:ind w:right="133"/>
              <w:jc w:val="right"/>
              <w:rPr>
                <w:rFonts w:ascii="宋体" w:hAnsi="宋体" w:cs="宋体" w:eastAsia="宋体" w:hint="default"/>
                <w:sz w:val="18"/>
                <w:szCs w:val="18"/>
              </w:rPr>
            </w:pPr>
            <w:r>
              <w:rPr>
                <w:rFonts w:ascii="宋体"/>
                <w:b/>
                <w:w w:val="95"/>
                <w:sz w:val="18"/>
              </w:rPr>
              <w:t>60,000,000.00</w:t>
            </w:r>
            <w:r>
              <w:rPr>
                <w:rFonts w:ascii="宋体"/>
                <w:sz w:val="18"/>
              </w:rPr>
            </w:r>
          </w:p>
        </w:tc>
        <w:tc>
          <w:tcPr>
            <w:tcW w:w="1444" w:type="dxa"/>
            <w:tcBorders>
              <w:top w:val="single" w:sz="8" w:space="0" w:color="000000"/>
              <w:left w:val="nil" w:sz="6" w:space="0" w:color="auto"/>
              <w:bottom w:val="single" w:sz="12" w:space="0" w:color="000000"/>
              <w:right w:val="nil" w:sz="6" w:space="0" w:color="auto"/>
            </w:tcBorders>
          </w:tcPr>
          <w:p>
            <w:pPr>
              <w:pStyle w:val="TableParagraph"/>
              <w:spacing w:line="240" w:lineRule="auto" w:before="3"/>
              <w:ind w:left="140" w:right="0"/>
              <w:jc w:val="left"/>
              <w:rPr>
                <w:rFonts w:ascii="宋体" w:hAnsi="宋体" w:cs="宋体" w:eastAsia="宋体" w:hint="default"/>
                <w:sz w:val="18"/>
                <w:szCs w:val="18"/>
              </w:rPr>
            </w:pPr>
            <w:r>
              <w:rPr>
                <w:rFonts w:ascii="宋体"/>
                <w:b/>
                <w:sz w:val="18"/>
              </w:rPr>
              <w:t>31,349,036.10</w:t>
            </w:r>
            <w:r>
              <w:rPr>
                <w:rFonts w:ascii="宋体"/>
                <w:sz w:val="18"/>
              </w:rPr>
            </w:r>
          </w:p>
        </w:tc>
        <w:tc>
          <w:tcPr>
            <w:tcW w:w="1509" w:type="dxa"/>
            <w:tcBorders>
              <w:top w:val="single" w:sz="8" w:space="0" w:color="000000"/>
              <w:left w:val="nil" w:sz="6" w:space="0" w:color="auto"/>
              <w:bottom w:val="single" w:sz="12" w:space="0" w:color="000000"/>
              <w:right w:val="nil" w:sz="6" w:space="0" w:color="auto"/>
            </w:tcBorders>
          </w:tcPr>
          <w:p>
            <w:pPr>
              <w:pStyle w:val="TableParagraph"/>
              <w:spacing w:line="240" w:lineRule="auto" w:before="3"/>
              <w:ind w:right="177"/>
              <w:jc w:val="right"/>
              <w:rPr>
                <w:rFonts w:ascii="宋体" w:hAnsi="宋体" w:cs="宋体" w:eastAsia="宋体" w:hint="default"/>
                <w:sz w:val="18"/>
                <w:szCs w:val="18"/>
              </w:rPr>
            </w:pPr>
            <w:r>
              <w:rPr>
                <w:rFonts w:ascii="宋体"/>
                <w:b/>
                <w:w w:val="95"/>
                <w:sz w:val="18"/>
              </w:rPr>
              <w:t>22,978,851.34</w:t>
            </w:r>
            <w:r>
              <w:rPr>
                <w:rFonts w:ascii="宋体"/>
                <w:sz w:val="18"/>
              </w:rPr>
            </w:r>
          </w:p>
        </w:tc>
        <w:tc>
          <w:tcPr>
            <w:tcW w:w="1689" w:type="dxa"/>
            <w:tcBorders>
              <w:top w:val="single" w:sz="8" w:space="0" w:color="000000"/>
              <w:left w:val="nil" w:sz="6" w:space="0" w:color="auto"/>
              <w:bottom w:val="single" w:sz="12" w:space="0" w:color="000000"/>
              <w:right w:val="nil" w:sz="6" w:space="0" w:color="auto"/>
            </w:tcBorders>
          </w:tcPr>
          <w:p>
            <w:pPr>
              <w:pStyle w:val="TableParagraph"/>
              <w:spacing w:line="240" w:lineRule="auto" w:before="3"/>
              <w:ind w:right="106"/>
              <w:jc w:val="right"/>
              <w:rPr>
                <w:rFonts w:ascii="宋体" w:hAnsi="宋体" w:cs="宋体" w:eastAsia="宋体" w:hint="default"/>
                <w:sz w:val="18"/>
                <w:szCs w:val="18"/>
              </w:rPr>
            </w:pPr>
            <w:r>
              <w:rPr>
                <w:rFonts w:ascii="宋体"/>
                <w:b/>
                <w:w w:val="95"/>
                <w:sz w:val="18"/>
              </w:rPr>
              <w:t>468,370,184.76</w:t>
            </w:r>
            <w:r>
              <w:rPr>
                <w:rFonts w:ascii="宋体"/>
                <w:sz w:val="18"/>
              </w:rPr>
            </w:r>
          </w:p>
        </w:tc>
      </w:tr>
    </w:tbl>
    <w:p>
      <w:pPr>
        <w:spacing w:before="81"/>
        <w:ind w:left="13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6.  </w:t>
      </w:r>
      <w:r>
        <w:rPr>
          <w:rFonts w:ascii="Times New Roman" w:hAnsi="Times New Roman" w:cs="Times New Roman" w:eastAsia="Times New Roman" w:hint="default"/>
          <w:b/>
          <w:bCs/>
          <w:spacing w:val="18"/>
          <w:sz w:val="22"/>
          <w:szCs w:val="22"/>
        </w:rPr>
        <w:t> </w:t>
      </w:r>
      <w:r>
        <w:rPr>
          <w:rFonts w:ascii="宋体" w:hAnsi="宋体" w:cs="宋体" w:eastAsia="宋体" w:hint="default"/>
          <w:sz w:val="22"/>
          <w:szCs w:val="22"/>
        </w:rPr>
        <w:t>支付许可授权费</w:t>
      </w:r>
    </w:p>
    <w:p>
      <w:pPr>
        <w:spacing w:line="297" w:lineRule="auto" w:before="110"/>
        <w:ind w:left="942" w:right="933" w:firstLine="439"/>
        <w:jc w:val="both"/>
        <w:rPr>
          <w:rFonts w:ascii="宋体" w:hAnsi="宋体" w:cs="宋体" w:eastAsia="宋体" w:hint="default"/>
          <w:sz w:val="22"/>
          <w:szCs w:val="22"/>
        </w:rPr>
      </w:pPr>
      <w:r>
        <w:rPr>
          <w:rFonts w:ascii="宋体" w:hAnsi="宋体" w:cs="宋体" w:eastAsia="宋体" w:hint="default"/>
          <w:spacing w:val="8"/>
          <w:sz w:val="22"/>
          <w:szCs w:val="22"/>
        </w:rPr>
        <w:t>本公司及下属子公司 </w:t>
      </w:r>
      <w:r>
        <w:rPr>
          <w:rFonts w:ascii="宋体" w:hAnsi="宋体" w:cs="宋体" w:eastAsia="宋体" w:hint="default"/>
          <w:sz w:val="22"/>
          <w:szCs w:val="22"/>
        </w:rPr>
        <w:t>2018</w:t>
      </w:r>
      <w:r>
        <w:rPr>
          <w:rFonts w:ascii="宋体" w:hAnsi="宋体" w:cs="宋体" w:eastAsia="宋体" w:hint="default"/>
          <w:spacing w:val="78"/>
          <w:sz w:val="22"/>
          <w:szCs w:val="22"/>
        </w:rPr>
        <w:t> </w:t>
      </w:r>
      <w:r>
        <w:rPr>
          <w:rFonts w:ascii="宋体" w:hAnsi="宋体" w:cs="宋体" w:eastAsia="宋体" w:hint="default"/>
          <w:spacing w:val="8"/>
          <w:sz w:val="22"/>
          <w:szCs w:val="22"/>
        </w:rPr>
        <w:t>年度应计提清华大学专利等技术成果实施许可使用费</w:t>
      </w:r>
      <w:r>
        <w:rPr>
          <w:rFonts w:ascii="宋体" w:hAnsi="宋体" w:cs="宋体" w:eastAsia="宋体" w:hint="default"/>
          <w:w w:val="100"/>
          <w:sz w:val="22"/>
          <w:szCs w:val="22"/>
        </w:rPr>
        <w:t> </w:t>
      </w:r>
      <w:r>
        <w:rPr>
          <w:rFonts w:ascii="宋体" w:hAnsi="宋体" w:cs="宋体" w:eastAsia="宋体" w:hint="default"/>
          <w:sz w:val="22"/>
          <w:szCs w:val="22"/>
        </w:rPr>
        <w:t>84,618,601.09</w:t>
      </w:r>
      <w:r>
        <w:rPr>
          <w:rFonts w:ascii="宋体" w:hAnsi="宋体" w:cs="宋体" w:eastAsia="宋体" w:hint="default"/>
          <w:spacing w:val="-38"/>
          <w:sz w:val="22"/>
          <w:szCs w:val="22"/>
        </w:rPr>
        <w:t> </w:t>
      </w:r>
      <w:r>
        <w:rPr>
          <w:rFonts w:ascii="宋体" w:hAnsi="宋体" w:cs="宋体" w:eastAsia="宋体" w:hint="default"/>
          <w:sz w:val="22"/>
          <w:szCs w:val="22"/>
        </w:rPr>
        <w:t>元，实际支付</w:t>
      </w:r>
      <w:r>
        <w:rPr>
          <w:rFonts w:ascii="宋体" w:hAnsi="宋体" w:cs="宋体" w:eastAsia="宋体" w:hint="default"/>
          <w:spacing w:val="-37"/>
          <w:sz w:val="22"/>
          <w:szCs w:val="22"/>
        </w:rPr>
        <w:t> </w:t>
      </w:r>
      <w:r>
        <w:rPr>
          <w:rFonts w:ascii="宋体" w:hAnsi="宋体" w:cs="宋体" w:eastAsia="宋体" w:hint="default"/>
          <w:sz w:val="22"/>
          <w:szCs w:val="22"/>
        </w:rPr>
        <w:t>80,924,389.77</w:t>
      </w:r>
      <w:r>
        <w:rPr>
          <w:rFonts w:ascii="宋体" w:hAnsi="宋体" w:cs="宋体" w:eastAsia="宋体" w:hint="default"/>
          <w:spacing w:val="-38"/>
          <w:sz w:val="22"/>
          <w:szCs w:val="22"/>
        </w:rPr>
        <w:t> </w:t>
      </w:r>
      <w:r>
        <w:rPr>
          <w:rFonts w:ascii="宋体" w:hAnsi="宋体" w:cs="宋体" w:eastAsia="宋体" w:hint="default"/>
          <w:sz w:val="22"/>
          <w:szCs w:val="22"/>
        </w:rPr>
        <w:t>元。本公司</w:t>
      </w:r>
      <w:r>
        <w:rPr>
          <w:rFonts w:ascii="宋体" w:hAnsi="宋体" w:cs="宋体" w:eastAsia="宋体" w:hint="default"/>
          <w:spacing w:val="-38"/>
          <w:sz w:val="22"/>
          <w:szCs w:val="22"/>
        </w:rPr>
        <w:t> </w:t>
      </w:r>
      <w:r>
        <w:rPr>
          <w:rFonts w:ascii="宋体" w:hAnsi="宋体" w:cs="宋体" w:eastAsia="宋体" w:hint="default"/>
          <w:sz w:val="22"/>
          <w:szCs w:val="22"/>
        </w:rPr>
        <w:t>2017</w:t>
      </w:r>
      <w:r>
        <w:rPr>
          <w:rFonts w:ascii="宋体" w:hAnsi="宋体" w:cs="宋体" w:eastAsia="宋体" w:hint="default"/>
          <w:spacing w:val="-38"/>
          <w:sz w:val="22"/>
          <w:szCs w:val="22"/>
        </w:rPr>
        <w:t> </w:t>
      </w:r>
      <w:r>
        <w:rPr>
          <w:rFonts w:ascii="宋体" w:hAnsi="宋体" w:cs="宋体" w:eastAsia="宋体" w:hint="default"/>
          <w:sz w:val="22"/>
          <w:szCs w:val="22"/>
        </w:rPr>
        <w:t>年度应计提清华大学专利</w:t>
      </w:r>
      <w:r>
        <w:rPr>
          <w:rFonts w:ascii="宋体" w:hAnsi="宋体" w:cs="宋体" w:eastAsia="宋体" w:hint="default"/>
          <w:w w:val="100"/>
          <w:sz w:val="22"/>
          <w:szCs w:val="22"/>
        </w:rPr>
        <w:t> </w:t>
      </w:r>
      <w:r>
        <w:rPr>
          <w:rFonts w:ascii="宋体" w:hAnsi="宋体" w:cs="宋体" w:eastAsia="宋体" w:hint="default"/>
          <w:sz w:val="22"/>
          <w:szCs w:val="22"/>
        </w:rPr>
        <w:t>等技术成果实施许可使用费</w:t>
      </w:r>
      <w:r>
        <w:rPr>
          <w:rFonts w:ascii="宋体" w:hAnsi="宋体" w:cs="宋体" w:eastAsia="宋体" w:hint="default"/>
          <w:spacing w:val="-54"/>
          <w:sz w:val="22"/>
          <w:szCs w:val="22"/>
        </w:rPr>
        <w:t> </w:t>
      </w:r>
      <w:r>
        <w:rPr>
          <w:rFonts w:ascii="宋体" w:hAnsi="宋体" w:cs="宋体" w:eastAsia="宋体" w:hint="default"/>
          <w:sz w:val="22"/>
          <w:szCs w:val="22"/>
        </w:rPr>
        <w:t>88,315,533.97</w:t>
      </w:r>
      <w:r>
        <w:rPr>
          <w:rFonts w:ascii="宋体" w:hAnsi="宋体" w:cs="宋体" w:eastAsia="宋体" w:hint="default"/>
          <w:spacing w:val="-54"/>
          <w:sz w:val="22"/>
          <w:szCs w:val="22"/>
        </w:rPr>
        <w:t> </w:t>
      </w:r>
      <w:r>
        <w:rPr>
          <w:rFonts w:ascii="宋体" w:hAnsi="宋体" w:cs="宋体" w:eastAsia="宋体" w:hint="default"/>
          <w:spacing w:val="-7"/>
          <w:sz w:val="22"/>
          <w:szCs w:val="22"/>
        </w:rPr>
        <w:t>元，实际支付</w:t>
      </w:r>
      <w:r>
        <w:rPr>
          <w:rFonts w:ascii="宋体" w:hAnsi="宋体" w:cs="宋体" w:eastAsia="宋体" w:hint="default"/>
          <w:spacing w:val="-54"/>
          <w:sz w:val="22"/>
          <w:szCs w:val="22"/>
        </w:rPr>
        <w:t> </w:t>
      </w:r>
      <w:r>
        <w:rPr>
          <w:rFonts w:ascii="宋体" w:hAnsi="宋体" w:cs="宋体" w:eastAsia="宋体" w:hint="default"/>
          <w:sz w:val="22"/>
          <w:szCs w:val="22"/>
        </w:rPr>
        <w:t>34,817,924.66</w:t>
      </w:r>
      <w:r>
        <w:rPr>
          <w:rFonts w:ascii="宋体" w:hAnsi="宋体" w:cs="宋体" w:eastAsia="宋体" w:hint="default"/>
          <w:spacing w:val="-56"/>
          <w:sz w:val="22"/>
          <w:szCs w:val="22"/>
        </w:rPr>
        <w:t> </w:t>
      </w:r>
      <w:r>
        <w:rPr>
          <w:rFonts w:ascii="宋体" w:hAnsi="宋体" w:cs="宋体" w:eastAsia="宋体" w:hint="default"/>
          <w:spacing w:val="-6"/>
          <w:sz w:val="22"/>
          <w:szCs w:val="22"/>
        </w:rPr>
        <w:t>元（含以前年度</w:t>
      </w:r>
      <w:r>
        <w:rPr>
          <w:rFonts w:ascii="宋体" w:hAnsi="宋体" w:cs="宋体" w:eastAsia="宋体" w:hint="default"/>
          <w:w w:val="100"/>
          <w:sz w:val="22"/>
          <w:szCs w:val="22"/>
        </w:rPr>
        <w:t> </w:t>
      </w:r>
      <w:r>
        <w:rPr>
          <w:rFonts w:ascii="宋体" w:hAnsi="宋体" w:cs="宋体" w:eastAsia="宋体" w:hint="default"/>
          <w:sz w:val="22"/>
          <w:szCs w:val="22"/>
        </w:rPr>
        <w:t>已计提尚未支付的金额）。</w:t>
      </w:r>
    </w:p>
    <w:p>
      <w:pPr>
        <w:spacing w:before="77"/>
        <w:ind w:left="13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7.  </w:t>
      </w:r>
      <w:r>
        <w:rPr>
          <w:rFonts w:ascii="Times New Roman" w:hAnsi="Times New Roman" w:cs="Times New Roman" w:eastAsia="Times New Roman" w:hint="default"/>
          <w:b/>
          <w:bCs/>
          <w:spacing w:val="18"/>
          <w:sz w:val="22"/>
          <w:szCs w:val="22"/>
        </w:rPr>
        <w:t> </w:t>
      </w:r>
      <w:r>
        <w:rPr>
          <w:rFonts w:ascii="宋体" w:hAnsi="宋体" w:cs="宋体" w:eastAsia="宋体" w:hint="default"/>
          <w:sz w:val="22"/>
          <w:szCs w:val="22"/>
        </w:rPr>
        <w:t>联合研发</w:t>
      </w:r>
    </w:p>
    <w:p>
      <w:pPr>
        <w:spacing w:line="240" w:lineRule="auto" w:before="6"/>
        <w:rPr>
          <w:rFonts w:ascii="宋体" w:hAnsi="宋体" w:cs="宋体" w:eastAsia="宋体" w:hint="default"/>
          <w:sz w:val="11"/>
          <w:szCs w:val="11"/>
        </w:rPr>
      </w:pPr>
    </w:p>
    <w:tbl>
      <w:tblPr>
        <w:tblW w:w="0" w:type="auto"/>
        <w:jc w:val="left"/>
        <w:tblInd w:w="834" w:type="dxa"/>
        <w:tblLayout w:type="fixed"/>
        <w:tblCellMar>
          <w:top w:w="0" w:type="dxa"/>
          <w:left w:w="0" w:type="dxa"/>
          <w:bottom w:w="0" w:type="dxa"/>
          <w:right w:w="0" w:type="dxa"/>
        </w:tblCellMar>
        <w:tblLook w:val="01E0"/>
      </w:tblPr>
      <w:tblGrid>
        <w:gridCol w:w="2611"/>
        <w:gridCol w:w="3838"/>
        <w:gridCol w:w="2276"/>
      </w:tblGrid>
      <w:tr>
        <w:trPr>
          <w:trHeight w:val="305" w:hRule="exact"/>
        </w:trPr>
        <w:tc>
          <w:tcPr>
            <w:tcW w:w="261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383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67"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27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93"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5" w:hRule="exact"/>
        </w:trPr>
        <w:tc>
          <w:tcPr>
            <w:tcW w:w="2611"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3838"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491"/>
              <w:jc w:val="right"/>
              <w:rPr>
                <w:rFonts w:ascii="宋体" w:hAnsi="宋体" w:cs="宋体" w:eastAsia="宋体" w:hint="default"/>
                <w:sz w:val="18"/>
                <w:szCs w:val="18"/>
              </w:rPr>
            </w:pPr>
            <w:r>
              <w:rPr>
                <w:rFonts w:ascii="宋体"/>
                <w:spacing w:val="-1"/>
                <w:sz w:val="18"/>
              </w:rPr>
              <w:t>21,130,111.82</w:t>
            </w:r>
          </w:p>
        </w:tc>
        <w:tc>
          <w:tcPr>
            <w:tcW w:w="2276"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45,388,349.59</w:t>
            </w:r>
          </w:p>
        </w:tc>
      </w:tr>
      <w:tr>
        <w:trPr>
          <w:trHeight w:val="307" w:hRule="exact"/>
        </w:trPr>
        <w:tc>
          <w:tcPr>
            <w:tcW w:w="2611"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38"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491"/>
              <w:jc w:val="right"/>
              <w:rPr>
                <w:rFonts w:ascii="宋体" w:hAnsi="宋体" w:cs="宋体" w:eastAsia="宋体" w:hint="default"/>
                <w:sz w:val="18"/>
                <w:szCs w:val="18"/>
              </w:rPr>
            </w:pPr>
            <w:r>
              <w:rPr>
                <w:rFonts w:ascii="宋体"/>
                <w:b/>
                <w:w w:val="95"/>
                <w:sz w:val="18"/>
              </w:rPr>
              <w:t>21,130,111.82</w:t>
            </w:r>
            <w:r>
              <w:rPr>
                <w:rFonts w:ascii="宋体"/>
                <w:sz w:val="18"/>
              </w:rPr>
            </w:r>
          </w:p>
        </w:tc>
        <w:tc>
          <w:tcPr>
            <w:tcW w:w="2276"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b/>
                <w:w w:val="95"/>
                <w:sz w:val="18"/>
              </w:rPr>
              <w:t>45,388,349.59</w:t>
            </w:r>
            <w:r>
              <w:rPr>
                <w:rFonts w:ascii="宋体"/>
                <w:sz w:val="18"/>
              </w:rPr>
            </w:r>
          </w:p>
        </w:tc>
      </w:tr>
    </w:tbl>
    <w:p>
      <w:pPr>
        <w:spacing w:before="21"/>
        <w:ind w:left="13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8.  </w:t>
      </w:r>
      <w:r>
        <w:rPr>
          <w:rFonts w:ascii="Times New Roman" w:hAnsi="Times New Roman" w:cs="Times New Roman" w:eastAsia="Times New Roman" w:hint="default"/>
          <w:b/>
          <w:bCs/>
          <w:spacing w:val="18"/>
          <w:sz w:val="22"/>
          <w:szCs w:val="22"/>
        </w:rPr>
        <w:t> </w:t>
      </w:r>
      <w:r>
        <w:rPr>
          <w:rFonts w:ascii="宋体" w:hAnsi="宋体" w:cs="宋体" w:eastAsia="宋体" w:hint="default"/>
          <w:sz w:val="22"/>
          <w:szCs w:val="22"/>
        </w:rPr>
        <w:t>金融服务</w:t>
      </w:r>
    </w:p>
    <w:p>
      <w:pPr>
        <w:spacing w:line="240" w:lineRule="auto" w:before="5"/>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561"/>
        <w:gridCol w:w="1602"/>
        <w:gridCol w:w="1546"/>
        <w:gridCol w:w="1431"/>
        <w:gridCol w:w="1431"/>
        <w:gridCol w:w="1434"/>
        <w:gridCol w:w="1157"/>
      </w:tblGrid>
      <w:tr>
        <w:trPr>
          <w:trHeight w:val="319" w:hRule="exact"/>
        </w:trPr>
        <w:tc>
          <w:tcPr>
            <w:tcW w:w="1561"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left="108"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602" w:type="dxa"/>
            <w:tcBorders>
              <w:top w:val="single" w:sz="12" w:space="0" w:color="000000"/>
              <w:left w:val="nil" w:sz="6" w:space="0" w:color="auto"/>
              <w:bottom w:val="single" w:sz="4" w:space="0" w:color="000000"/>
              <w:right w:val="nil" w:sz="6" w:space="0" w:color="auto"/>
            </w:tcBorders>
          </w:tcPr>
          <w:p>
            <w:pPr>
              <w:pStyle w:val="TableParagraph"/>
              <w:spacing w:line="240" w:lineRule="auto" w:before="67"/>
              <w:ind w:left="107" w:right="0"/>
              <w:jc w:val="left"/>
              <w:rPr>
                <w:rFonts w:ascii="宋体" w:hAnsi="宋体" w:cs="宋体" w:eastAsia="宋体" w:hint="default"/>
                <w:sz w:val="16"/>
                <w:szCs w:val="16"/>
              </w:rPr>
            </w:pPr>
            <w:r>
              <w:rPr>
                <w:rFonts w:ascii="宋体" w:hAnsi="宋体" w:cs="宋体" w:eastAsia="宋体" w:hint="default"/>
                <w:b/>
                <w:bCs/>
                <w:sz w:val="16"/>
                <w:szCs w:val="16"/>
              </w:rPr>
              <w:t>关联方名称</w:t>
            </w:r>
            <w:r>
              <w:rPr>
                <w:rFonts w:ascii="宋体" w:hAnsi="宋体" w:cs="宋体" w:eastAsia="宋体" w:hint="default"/>
                <w:sz w:val="16"/>
                <w:szCs w:val="16"/>
              </w:rPr>
            </w:r>
          </w:p>
        </w:tc>
        <w:tc>
          <w:tcPr>
            <w:tcW w:w="1546"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left="390"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1431"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right="73"/>
              <w:jc w:val="center"/>
              <w:rPr>
                <w:rFonts w:ascii="宋体" w:hAnsi="宋体" w:cs="宋体" w:eastAsia="宋体" w:hint="default"/>
                <w:sz w:val="16"/>
                <w:szCs w:val="16"/>
              </w:rPr>
            </w:pPr>
            <w:r>
              <w:rPr>
                <w:rFonts w:ascii="宋体" w:hAnsi="宋体" w:cs="宋体" w:eastAsia="宋体" w:hint="default"/>
                <w:b/>
                <w:bCs/>
                <w:sz w:val="16"/>
                <w:szCs w:val="16"/>
              </w:rPr>
              <w:t>本期增加</w:t>
            </w:r>
            <w:r>
              <w:rPr>
                <w:rFonts w:ascii="宋体" w:hAnsi="宋体" w:cs="宋体" w:eastAsia="宋体" w:hint="default"/>
                <w:sz w:val="16"/>
                <w:szCs w:val="16"/>
              </w:rPr>
            </w:r>
          </w:p>
        </w:tc>
        <w:tc>
          <w:tcPr>
            <w:tcW w:w="1431"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right="73"/>
              <w:jc w:val="center"/>
              <w:rPr>
                <w:rFonts w:ascii="宋体" w:hAnsi="宋体" w:cs="宋体" w:eastAsia="宋体" w:hint="default"/>
                <w:sz w:val="16"/>
                <w:szCs w:val="16"/>
              </w:rPr>
            </w:pPr>
            <w:r>
              <w:rPr>
                <w:rFonts w:ascii="宋体" w:hAnsi="宋体" w:cs="宋体" w:eastAsia="宋体" w:hint="default"/>
                <w:b/>
                <w:bCs/>
                <w:sz w:val="16"/>
                <w:szCs w:val="16"/>
              </w:rPr>
              <w:t>本期减少</w:t>
            </w:r>
            <w:r>
              <w:rPr>
                <w:rFonts w:ascii="宋体" w:hAnsi="宋体" w:cs="宋体" w:eastAsia="宋体" w:hint="default"/>
                <w:sz w:val="16"/>
                <w:szCs w:val="16"/>
              </w:rPr>
            </w:r>
          </w:p>
        </w:tc>
        <w:tc>
          <w:tcPr>
            <w:tcW w:w="1434"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left="356" w:right="0"/>
              <w:jc w:val="left"/>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tc>
        <w:tc>
          <w:tcPr>
            <w:tcW w:w="1157"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right="42"/>
              <w:jc w:val="center"/>
              <w:rPr>
                <w:rFonts w:ascii="宋体" w:hAnsi="宋体" w:cs="宋体" w:eastAsia="宋体" w:hint="default"/>
                <w:sz w:val="16"/>
                <w:szCs w:val="16"/>
              </w:rPr>
            </w:pPr>
            <w:r>
              <w:rPr>
                <w:rFonts w:ascii="宋体" w:hAnsi="宋体" w:cs="宋体" w:eastAsia="宋体" w:hint="default"/>
                <w:b/>
                <w:bCs/>
                <w:sz w:val="16"/>
                <w:szCs w:val="16"/>
              </w:rPr>
              <w:t>信托收益</w:t>
            </w:r>
            <w:r>
              <w:rPr>
                <w:rFonts w:ascii="宋体" w:hAnsi="宋体" w:cs="宋体" w:eastAsia="宋体" w:hint="default"/>
                <w:sz w:val="16"/>
                <w:szCs w:val="16"/>
              </w:rPr>
            </w:r>
          </w:p>
        </w:tc>
      </w:tr>
      <w:tr>
        <w:trPr>
          <w:trHeight w:val="443" w:hRule="exact"/>
        </w:trPr>
        <w:tc>
          <w:tcPr>
            <w:tcW w:w="1561" w:type="dxa"/>
            <w:tcBorders>
              <w:top w:val="single" w:sz="4" w:space="0" w:color="000000"/>
              <w:left w:val="nil" w:sz="6" w:space="0" w:color="auto"/>
              <w:bottom w:val="nil" w:sz="6" w:space="0" w:color="auto"/>
              <w:right w:val="nil" w:sz="6" w:space="0" w:color="auto"/>
            </w:tcBorders>
          </w:tcPr>
          <w:p>
            <w:pPr>
              <w:pStyle w:val="TableParagraph"/>
              <w:spacing w:line="183" w:lineRule="exact"/>
              <w:ind w:left="108" w:right="0"/>
              <w:jc w:val="left"/>
              <w:rPr>
                <w:rFonts w:ascii="宋体" w:hAnsi="宋体" w:cs="宋体" w:eastAsia="宋体" w:hint="default"/>
                <w:sz w:val="16"/>
                <w:szCs w:val="16"/>
              </w:rPr>
            </w:pPr>
            <w:r>
              <w:rPr>
                <w:rFonts w:ascii="宋体" w:hAnsi="宋体" w:cs="宋体" w:eastAsia="宋体" w:hint="default"/>
                <w:spacing w:val="6"/>
                <w:sz w:val="16"/>
                <w:szCs w:val="16"/>
              </w:rPr>
              <w:t>购买集合资金信托</w:t>
            </w:r>
          </w:p>
          <w:p>
            <w:pPr>
              <w:pStyle w:val="TableParagraph"/>
              <w:spacing w:line="209" w:lineRule="exact"/>
              <w:ind w:left="108" w:right="0"/>
              <w:jc w:val="left"/>
              <w:rPr>
                <w:rFonts w:ascii="宋体" w:hAnsi="宋体" w:cs="宋体" w:eastAsia="宋体" w:hint="default"/>
                <w:sz w:val="16"/>
                <w:szCs w:val="16"/>
              </w:rPr>
            </w:pPr>
            <w:r>
              <w:rPr>
                <w:rFonts w:ascii="宋体" w:hAnsi="宋体" w:cs="宋体" w:eastAsia="宋体" w:hint="default"/>
                <w:sz w:val="16"/>
                <w:szCs w:val="16"/>
              </w:rPr>
              <w:t>计划</w:t>
            </w:r>
          </w:p>
        </w:tc>
        <w:tc>
          <w:tcPr>
            <w:tcW w:w="1602" w:type="dxa"/>
            <w:tcBorders>
              <w:top w:val="single" w:sz="4" w:space="0" w:color="000000"/>
              <w:left w:val="nil" w:sz="6" w:space="0" w:color="auto"/>
              <w:bottom w:val="nil" w:sz="6" w:space="0" w:color="auto"/>
              <w:right w:val="nil" w:sz="6" w:space="0" w:color="auto"/>
            </w:tcBorders>
          </w:tcPr>
          <w:p>
            <w:pPr>
              <w:pStyle w:val="TableParagraph"/>
              <w:spacing w:line="183" w:lineRule="exact"/>
              <w:ind w:left="107" w:right="0"/>
              <w:jc w:val="left"/>
              <w:rPr>
                <w:rFonts w:ascii="宋体" w:hAnsi="宋体" w:cs="宋体" w:eastAsia="宋体" w:hint="default"/>
                <w:sz w:val="16"/>
                <w:szCs w:val="16"/>
              </w:rPr>
            </w:pPr>
            <w:r>
              <w:rPr>
                <w:rFonts w:ascii="宋体" w:hAnsi="宋体" w:cs="宋体" w:eastAsia="宋体" w:hint="default"/>
                <w:sz w:val="16"/>
                <w:szCs w:val="16"/>
              </w:rPr>
              <w:t>重庆国际信托有限</w:t>
            </w:r>
          </w:p>
          <w:p>
            <w:pPr>
              <w:pStyle w:val="TableParagraph"/>
              <w:spacing w:line="209" w:lineRule="exact"/>
              <w:ind w:left="107"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154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75"/>
              <w:jc w:val="right"/>
              <w:rPr>
                <w:rFonts w:ascii="宋体" w:hAnsi="宋体" w:cs="宋体" w:eastAsia="宋体" w:hint="default"/>
                <w:sz w:val="16"/>
                <w:szCs w:val="16"/>
              </w:rPr>
            </w:pPr>
            <w:r>
              <w:rPr>
                <w:rFonts w:ascii="宋体"/>
                <w:spacing w:val="-2"/>
                <w:sz w:val="16"/>
              </w:rPr>
              <w:t>1,900,000,000.00</w:t>
            </w:r>
          </w:p>
        </w:tc>
        <w:tc>
          <w:tcPr>
            <w:tcW w:w="1431"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center"/>
              <w:rPr>
                <w:rFonts w:ascii="宋体" w:hAnsi="宋体" w:cs="宋体" w:eastAsia="宋体" w:hint="default"/>
                <w:sz w:val="16"/>
                <w:szCs w:val="16"/>
              </w:rPr>
            </w:pPr>
            <w:r>
              <w:rPr>
                <w:rFonts w:ascii="宋体"/>
                <w:sz w:val="16"/>
              </w:rPr>
              <w:t>1,990,000,000.00</w:t>
            </w:r>
          </w:p>
        </w:tc>
        <w:tc>
          <w:tcPr>
            <w:tcW w:w="1431"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center"/>
              <w:rPr>
                <w:rFonts w:ascii="宋体" w:hAnsi="宋体" w:cs="宋体" w:eastAsia="宋体" w:hint="default"/>
                <w:sz w:val="16"/>
                <w:szCs w:val="16"/>
              </w:rPr>
            </w:pPr>
            <w:r>
              <w:rPr>
                <w:rFonts w:ascii="宋体"/>
                <w:sz w:val="16"/>
              </w:rPr>
              <w:t>1,900,000,000.00</w:t>
            </w:r>
          </w:p>
        </w:tc>
        <w:tc>
          <w:tcPr>
            <w:tcW w:w="143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76"/>
              <w:jc w:val="right"/>
              <w:rPr>
                <w:rFonts w:ascii="宋体" w:hAnsi="宋体" w:cs="宋体" w:eastAsia="宋体" w:hint="default"/>
                <w:sz w:val="16"/>
                <w:szCs w:val="16"/>
              </w:rPr>
            </w:pPr>
            <w:r>
              <w:rPr>
                <w:rFonts w:ascii="宋体"/>
                <w:spacing w:val="-2"/>
                <w:sz w:val="16"/>
              </w:rPr>
              <w:t>1,990,000,000.00</w:t>
            </w:r>
          </w:p>
        </w:tc>
        <w:tc>
          <w:tcPr>
            <w:tcW w:w="115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40" w:right="0"/>
              <w:jc w:val="center"/>
              <w:rPr>
                <w:rFonts w:ascii="宋体" w:hAnsi="宋体" w:cs="宋体" w:eastAsia="宋体" w:hint="default"/>
                <w:sz w:val="16"/>
                <w:szCs w:val="16"/>
              </w:rPr>
            </w:pPr>
            <w:r>
              <w:rPr>
                <w:rFonts w:ascii="宋体"/>
                <w:sz w:val="16"/>
              </w:rPr>
              <w:t>97,000,000.00</w:t>
            </w:r>
          </w:p>
        </w:tc>
      </w:tr>
      <w:tr>
        <w:trPr>
          <w:trHeight w:val="206" w:hRule="exact"/>
        </w:trPr>
        <w:tc>
          <w:tcPr>
            <w:tcW w:w="1561"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6"/>
                <w:szCs w:val="16"/>
              </w:rPr>
            </w:pPr>
            <w:r>
              <w:rPr>
                <w:rFonts w:ascii="宋体" w:hAnsi="宋体" w:cs="宋体" w:eastAsia="宋体" w:hint="default"/>
                <w:sz w:val="16"/>
                <w:szCs w:val="16"/>
              </w:rPr>
              <w:t>金融机构存款</w:t>
            </w:r>
          </w:p>
        </w:tc>
        <w:tc>
          <w:tcPr>
            <w:tcW w:w="1602"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6"/>
                <w:szCs w:val="16"/>
              </w:rPr>
            </w:pPr>
            <w:r>
              <w:rPr>
                <w:rFonts w:ascii="宋体" w:hAnsi="宋体" w:cs="宋体" w:eastAsia="宋体" w:hint="default"/>
                <w:sz w:val="16"/>
                <w:szCs w:val="16"/>
              </w:rPr>
              <w:t>重庆三峡银行股份</w:t>
            </w:r>
          </w:p>
        </w:tc>
        <w:tc>
          <w:tcPr>
            <w:tcW w:w="1546" w:type="dxa"/>
            <w:tcBorders>
              <w:top w:val="nil" w:sz="6" w:space="0" w:color="auto"/>
              <w:left w:val="nil" w:sz="6" w:space="0" w:color="auto"/>
              <w:bottom w:val="nil" w:sz="6" w:space="0" w:color="auto"/>
              <w:right w:val="nil" w:sz="6" w:space="0" w:color="auto"/>
            </w:tcBorders>
          </w:tcPr>
          <w:p>
            <w:pPr>
              <w:pStyle w:val="TableParagraph"/>
              <w:spacing w:line="206" w:lineRule="exact"/>
              <w:ind w:right="73"/>
              <w:jc w:val="right"/>
              <w:rPr>
                <w:rFonts w:ascii="宋体" w:hAnsi="宋体" w:cs="宋体" w:eastAsia="宋体" w:hint="default"/>
                <w:sz w:val="16"/>
                <w:szCs w:val="16"/>
              </w:rPr>
            </w:pPr>
            <w:r>
              <w:rPr>
                <w:rFonts w:ascii="宋体"/>
                <w:spacing w:val="-2"/>
                <w:sz w:val="16"/>
              </w:rPr>
              <w:t>200,331,517.95</w:t>
            </w:r>
          </w:p>
        </w:tc>
        <w:tc>
          <w:tcPr>
            <w:tcW w:w="1431" w:type="dxa"/>
            <w:tcBorders>
              <w:top w:val="nil" w:sz="6" w:space="0" w:color="auto"/>
              <w:left w:val="nil" w:sz="6" w:space="0" w:color="auto"/>
              <w:bottom w:val="nil" w:sz="6" w:space="0" w:color="auto"/>
              <w:right w:val="nil" w:sz="6" w:space="0" w:color="auto"/>
            </w:tcBorders>
          </w:tcPr>
          <w:p>
            <w:pPr>
              <w:pStyle w:val="TableParagraph"/>
              <w:spacing w:line="206" w:lineRule="exact"/>
              <w:ind w:right="0"/>
              <w:jc w:val="center"/>
              <w:rPr>
                <w:rFonts w:ascii="宋体" w:hAnsi="宋体" w:cs="宋体" w:eastAsia="宋体" w:hint="default"/>
                <w:sz w:val="16"/>
                <w:szCs w:val="16"/>
              </w:rPr>
            </w:pPr>
            <w:r>
              <w:rPr>
                <w:rFonts w:ascii="宋体"/>
                <w:sz w:val="16"/>
              </w:rPr>
              <w:t>1,997,198,212.30</w:t>
            </w:r>
          </w:p>
        </w:tc>
        <w:tc>
          <w:tcPr>
            <w:tcW w:w="1431" w:type="dxa"/>
            <w:tcBorders>
              <w:top w:val="nil" w:sz="6" w:space="0" w:color="auto"/>
              <w:left w:val="nil" w:sz="6" w:space="0" w:color="auto"/>
              <w:bottom w:val="nil" w:sz="6" w:space="0" w:color="auto"/>
              <w:right w:val="nil" w:sz="6" w:space="0" w:color="auto"/>
            </w:tcBorders>
          </w:tcPr>
          <w:p>
            <w:pPr>
              <w:pStyle w:val="TableParagraph"/>
              <w:spacing w:line="206" w:lineRule="exact"/>
              <w:ind w:right="0"/>
              <w:jc w:val="center"/>
              <w:rPr>
                <w:rFonts w:ascii="宋体" w:hAnsi="宋体" w:cs="宋体" w:eastAsia="宋体" w:hint="default"/>
                <w:sz w:val="16"/>
                <w:szCs w:val="16"/>
              </w:rPr>
            </w:pPr>
            <w:r>
              <w:rPr>
                <w:rFonts w:ascii="宋体"/>
                <w:sz w:val="16"/>
              </w:rPr>
              <w:t>2,197,001,365.00</w:t>
            </w:r>
          </w:p>
        </w:tc>
        <w:tc>
          <w:tcPr>
            <w:tcW w:w="1434" w:type="dxa"/>
            <w:tcBorders>
              <w:top w:val="nil" w:sz="6" w:space="0" w:color="auto"/>
              <w:left w:val="nil" w:sz="6" w:space="0" w:color="auto"/>
              <w:bottom w:val="nil" w:sz="6" w:space="0" w:color="auto"/>
              <w:right w:val="nil" w:sz="6" w:space="0" w:color="auto"/>
            </w:tcBorders>
          </w:tcPr>
          <w:p>
            <w:pPr>
              <w:pStyle w:val="TableParagraph"/>
              <w:spacing w:line="206" w:lineRule="exact"/>
              <w:ind w:right="76"/>
              <w:jc w:val="right"/>
              <w:rPr>
                <w:rFonts w:ascii="宋体" w:hAnsi="宋体" w:cs="宋体" w:eastAsia="宋体" w:hint="default"/>
                <w:sz w:val="16"/>
                <w:szCs w:val="16"/>
              </w:rPr>
            </w:pPr>
            <w:r>
              <w:rPr>
                <w:rFonts w:ascii="宋体"/>
                <w:spacing w:val="-2"/>
                <w:sz w:val="16"/>
              </w:rPr>
              <w:t>528,365.25</w:t>
            </w:r>
          </w:p>
        </w:tc>
        <w:tc>
          <w:tcPr>
            <w:tcW w:w="1157" w:type="dxa"/>
            <w:tcBorders>
              <w:top w:val="nil" w:sz="6" w:space="0" w:color="auto"/>
              <w:left w:val="nil" w:sz="6" w:space="0" w:color="auto"/>
              <w:bottom w:val="nil" w:sz="6" w:space="0" w:color="auto"/>
              <w:right w:val="nil" w:sz="6" w:space="0" w:color="auto"/>
            </w:tcBorders>
          </w:tcPr>
          <w:p>
            <w:pPr>
              <w:pStyle w:val="TableParagraph"/>
              <w:spacing w:line="206" w:lineRule="exact"/>
              <w:ind w:right="15"/>
              <w:jc w:val="center"/>
              <w:rPr>
                <w:rFonts w:ascii="宋体" w:hAnsi="宋体" w:cs="宋体" w:eastAsia="宋体" w:hint="default"/>
                <w:sz w:val="16"/>
                <w:szCs w:val="16"/>
              </w:rPr>
            </w:pPr>
            <w:r>
              <w:rPr>
                <w:rFonts w:ascii="宋体" w:hAnsi="宋体" w:cs="宋体" w:eastAsia="宋体" w:hint="default"/>
                <w:w w:val="100"/>
                <w:sz w:val="16"/>
                <w:szCs w:val="16"/>
              </w:rPr>
              <w:t>—</w:t>
            </w:r>
          </w:p>
        </w:tc>
      </w:tr>
    </w:tbl>
    <w:p>
      <w:pPr>
        <w:spacing w:after="0" w:line="206" w:lineRule="exact"/>
        <w:jc w:val="center"/>
        <w:rPr>
          <w:rFonts w:ascii="宋体" w:hAnsi="宋体" w:cs="宋体" w:eastAsia="宋体" w:hint="default"/>
          <w:sz w:val="16"/>
          <w:szCs w:val="16"/>
        </w:rPr>
        <w:sectPr>
          <w:pgSz w:w="11910" w:h="16840"/>
          <w:pgMar w:header="0" w:footer="1034" w:top="1360" w:bottom="1240" w:left="760" w:right="760"/>
        </w:sectPr>
      </w:pPr>
    </w:p>
    <w:p>
      <w:pPr>
        <w:spacing w:line="240" w:lineRule="auto" w:before="6"/>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063"/>
        <w:gridCol w:w="1858"/>
        <w:gridCol w:w="1795"/>
        <w:gridCol w:w="1431"/>
        <w:gridCol w:w="1431"/>
        <w:gridCol w:w="1518"/>
        <w:gridCol w:w="1080"/>
      </w:tblGrid>
      <w:tr>
        <w:trPr>
          <w:trHeight w:val="317" w:hRule="exact"/>
        </w:trPr>
        <w:tc>
          <w:tcPr>
            <w:tcW w:w="1063" w:type="dxa"/>
            <w:tcBorders>
              <w:top w:val="single" w:sz="12" w:space="0" w:color="000000"/>
              <w:left w:val="nil" w:sz="6" w:space="0" w:color="auto"/>
              <w:bottom w:val="single" w:sz="4" w:space="0" w:color="000000"/>
              <w:right w:val="nil" w:sz="6" w:space="0" w:color="auto"/>
            </w:tcBorders>
          </w:tcPr>
          <w:p>
            <w:pPr>
              <w:pStyle w:val="TableParagraph"/>
              <w:spacing w:line="240" w:lineRule="auto" w:before="19"/>
              <w:ind w:left="122"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858" w:type="dxa"/>
            <w:tcBorders>
              <w:top w:val="single" w:sz="12" w:space="0" w:color="000000"/>
              <w:left w:val="nil" w:sz="6" w:space="0" w:color="auto"/>
              <w:bottom w:val="single" w:sz="4" w:space="0" w:color="000000"/>
              <w:right w:val="nil" w:sz="6" w:space="0" w:color="auto"/>
            </w:tcBorders>
          </w:tcPr>
          <w:p>
            <w:pPr>
              <w:pStyle w:val="TableParagraph"/>
              <w:spacing w:line="240" w:lineRule="auto" w:before="65"/>
              <w:ind w:right="432"/>
              <w:jc w:val="right"/>
              <w:rPr>
                <w:rFonts w:ascii="宋体" w:hAnsi="宋体" w:cs="宋体" w:eastAsia="宋体" w:hint="default"/>
                <w:sz w:val="16"/>
                <w:szCs w:val="16"/>
              </w:rPr>
            </w:pPr>
            <w:r>
              <w:rPr>
                <w:rFonts w:ascii="宋体" w:hAnsi="宋体" w:cs="宋体" w:eastAsia="宋体" w:hint="default"/>
                <w:b/>
                <w:bCs/>
                <w:sz w:val="16"/>
                <w:szCs w:val="16"/>
              </w:rPr>
              <w:t>关联方名称</w:t>
            </w:r>
            <w:r>
              <w:rPr>
                <w:rFonts w:ascii="宋体" w:hAnsi="宋体" w:cs="宋体" w:eastAsia="宋体" w:hint="default"/>
                <w:sz w:val="16"/>
                <w:szCs w:val="16"/>
              </w:rPr>
            </w:r>
          </w:p>
        </w:tc>
        <w:tc>
          <w:tcPr>
            <w:tcW w:w="1795" w:type="dxa"/>
            <w:tcBorders>
              <w:top w:val="single" w:sz="12" w:space="0" w:color="000000"/>
              <w:left w:val="nil" w:sz="6" w:space="0" w:color="auto"/>
              <w:bottom w:val="single" w:sz="4" w:space="0" w:color="000000"/>
              <w:right w:val="nil" w:sz="6" w:space="0" w:color="auto"/>
            </w:tcBorders>
          </w:tcPr>
          <w:p>
            <w:pPr>
              <w:pStyle w:val="TableParagraph"/>
              <w:spacing w:line="240" w:lineRule="auto" w:before="19"/>
              <w:ind w:left="645"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1431" w:type="dxa"/>
            <w:tcBorders>
              <w:top w:val="single" w:sz="12" w:space="0" w:color="000000"/>
              <w:left w:val="nil" w:sz="6" w:space="0" w:color="auto"/>
              <w:bottom w:val="single" w:sz="4" w:space="0" w:color="000000"/>
              <w:right w:val="nil" w:sz="6" w:space="0" w:color="auto"/>
            </w:tcBorders>
          </w:tcPr>
          <w:p>
            <w:pPr>
              <w:pStyle w:val="TableParagraph"/>
              <w:spacing w:line="240" w:lineRule="auto" w:before="19"/>
              <w:ind w:right="59"/>
              <w:jc w:val="center"/>
              <w:rPr>
                <w:rFonts w:ascii="宋体" w:hAnsi="宋体" w:cs="宋体" w:eastAsia="宋体" w:hint="default"/>
                <w:sz w:val="16"/>
                <w:szCs w:val="16"/>
              </w:rPr>
            </w:pPr>
            <w:r>
              <w:rPr>
                <w:rFonts w:ascii="宋体" w:hAnsi="宋体" w:cs="宋体" w:eastAsia="宋体" w:hint="default"/>
                <w:b/>
                <w:bCs/>
                <w:sz w:val="16"/>
                <w:szCs w:val="16"/>
              </w:rPr>
              <w:t>本期增加</w:t>
            </w:r>
            <w:r>
              <w:rPr>
                <w:rFonts w:ascii="宋体" w:hAnsi="宋体" w:cs="宋体" w:eastAsia="宋体" w:hint="default"/>
                <w:sz w:val="16"/>
                <w:szCs w:val="16"/>
              </w:rPr>
            </w:r>
          </w:p>
        </w:tc>
        <w:tc>
          <w:tcPr>
            <w:tcW w:w="1431" w:type="dxa"/>
            <w:tcBorders>
              <w:top w:val="single" w:sz="12" w:space="0" w:color="000000"/>
              <w:left w:val="nil" w:sz="6" w:space="0" w:color="auto"/>
              <w:bottom w:val="single" w:sz="4" w:space="0" w:color="000000"/>
              <w:right w:val="nil" w:sz="6" w:space="0" w:color="auto"/>
            </w:tcBorders>
          </w:tcPr>
          <w:p>
            <w:pPr>
              <w:pStyle w:val="TableParagraph"/>
              <w:spacing w:line="240" w:lineRule="auto" w:before="19"/>
              <w:ind w:right="59"/>
              <w:jc w:val="center"/>
              <w:rPr>
                <w:rFonts w:ascii="宋体" w:hAnsi="宋体" w:cs="宋体" w:eastAsia="宋体" w:hint="default"/>
                <w:sz w:val="16"/>
                <w:szCs w:val="16"/>
              </w:rPr>
            </w:pPr>
            <w:r>
              <w:rPr>
                <w:rFonts w:ascii="宋体" w:hAnsi="宋体" w:cs="宋体" w:eastAsia="宋体" w:hint="default"/>
                <w:b/>
                <w:bCs/>
                <w:sz w:val="16"/>
                <w:szCs w:val="16"/>
              </w:rPr>
              <w:t>本期减少</w:t>
            </w:r>
            <w:r>
              <w:rPr>
                <w:rFonts w:ascii="宋体" w:hAnsi="宋体" w:cs="宋体" w:eastAsia="宋体" w:hint="default"/>
                <w:sz w:val="16"/>
                <w:szCs w:val="16"/>
              </w:rPr>
            </w:r>
          </w:p>
        </w:tc>
        <w:tc>
          <w:tcPr>
            <w:tcW w:w="1518" w:type="dxa"/>
            <w:tcBorders>
              <w:top w:val="single" w:sz="12" w:space="0" w:color="000000"/>
              <w:left w:val="nil" w:sz="6" w:space="0" w:color="auto"/>
              <w:bottom w:val="single" w:sz="4" w:space="0" w:color="000000"/>
              <w:right w:val="nil" w:sz="6" w:space="0" w:color="auto"/>
            </w:tcBorders>
          </w:tcPr>
          <w:p>
            <w:pPr>
              <w:pStyle w:val="TableParagraph"/>
              <w:spacing w:line="240" w:lineRule="auto" w:before="19"/>
              <w:ind w:right="146"/>
              <w:jc w:val="center"/>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tc>
        <w:tc>
          <w:tcPr>
            <w:tcW w:w="1080" w:type="dxa"/>
            <w:tcBorders>
              <w:top w:val="single" w:sz="12" w:space="0" w:color="000000"/>
              <w:left w:val="nil" w:sz="6" w:space="0" w:color="auto"/>
              <w:bottom w:val="single" w:sz="4" w:space="0" w:color="000000"/>
              <w:right w:val="nil" w:sz="6" w:space="0" w:color="auto"/>
            </w:tcBorders>
          </w:tcPr>
          <w:p>
            <w:pPr>
              <w:pStyle w:val="TableParagraph"/>
              <w:spacing w:line="240" w:lineRule="auto" w:before="19"/>
              <w:ind w:right="119"/>
              <w:jc w:val="center"/>
              <w:rPr>
                <w:rFonts w:ascii="宋体" w:hAnsi="宋体" w:cs="宋体" w:eastAsia="宋体" w:hint="default"/>
                <w:sz w:val="16"/>
                <w:szCs w:val="16"/>
              </w:rPr>
            </w:pPr>
            <w:r>
              <w:rPr>
                <w:rFonts w:ascii="宋体" w:hAnsi="宋体" w:cs="宋体" w:eastAsia="宋体" w:hint="default"/>
                <w:b/>
                <w:bCs/>
                <w:sz w:val="16"/>
                <w:szCs w:val="16"/>
              </w:rPr>
              <w:t>信托收益</w:t>
            </w:r>
            <w:r>
              <w:rPr>
                <w:rFonts w:ascii="宋体" w:hAnsi="宋体" w:cs="宋体" w:eastAsia="宋体" w:hint="default"/>
                <w:sz w:val="16"/>
                <w:szCs w:val="16"/>
              </w:rPr>
            </w:r>
          </w:p>
        </w:tc>
      </w:tr>
      <w:tr>
        <w:trPr>
          <w:trHeight w:val="310" w:hRule="exact"/>
        </w:trPr>
        <w:tc>
          <w:tcPr>
            <w:tcW w:w="1063" w:type="dxa"/>
            <w:tcBorders>
              <w:top w:val="single" w:sz="4" w:space="0" w:color="000000"/>
              <w:left w:val="nil" w:sz="6" w:space="0" w:color="auto"/>
              <w:bottom w:val="single" w:sz="4" w:space="0" w:color="000000"/>
              <w:right w:val="nil" w:sz="6" w:space="0" w:color="auto"/>
            </w:tcBorders>
          </w:tcPr>
          <w:p>
            <w:pPr/>
          </w:p>
        </w:tc>
        <w:tc>
          <w:tcPr>
            <w:tcW w:w="1858" w:type="dxa"/>
            <w:tcBorders>
              <w:top w:val="single" w:sz="4" w:space="0" w:color="000000"/>
              <w:left w:val="nil" w:sz="6" w:space="0" w:color="auto"/>
              <w:bottom w:val="single" w:sz="4" w:space="0" w:color="000000"/>
              <w:right w:val="nil" w:sz="6" w:space="0" w:color="auto"/>
            </w:tcBorders>
          </w:tcPr>
          <w:p>
            <w:pPr>
              <w:pStyle w:val="TableParagraph"/>
              <w:spacing w:line="186" w:lineRule="exact"/>
              <w:ind w:left="619"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1795" w:type="dxa"/>
            <w:tcBorders>
              <w:top w:val="single" w:sz="4" w:space="0" w:color="000000"/>
              <w:left w:val="nil" w:sz="6" w:space="0" w:color="auto"/>
              <w:bottom w:val="single" w:sz="4" w:space="0" w:color="000000"/>
              <w:right w:val="nil" w:sz="6" w:space="0" w:color="auto"/>
            </w:tcBorders>
          </w:tcPr>
          <w:p>
            <w:pPr/>
          </w:p>
        </w:tc>
        <w:tc>
          <w:tcPr>
            <w:tcW w:w="1431" w:type="dxa"/>
            <w:tcBorders>
              <w:top w:val="single" w:sz="4" w:space="0" w:color="000000"/>
              <w:left w:val="nil" w:sz="6" w:space="0" w:color="auto"/>
              <w:bottom w:val="single" w:sz="4" w:space="0" w:color="000000"/>
              <w:right w:val="nil" w:sz="6" w:space="0" w:color="auto"/>
            </w:tcBorders>
          </w:tcPr>
          <w:p>
            <w:pPr/>
          </w:p>
        </w:tc>
        <w:tc>
          <w:tcPr>
            <w:tcW w:w="1431" w:type="dxa"/>
            <w:tcBorders>
              <w:top w:val="single" w:sz="4" w:space="0" w:color="000000"/>
              <w:left w:val="nil" w:sz="6" w:space="0" w:color="auto"/>
              <w:bottom w:val="single" w:sz="4" w:space="0" w:color="000000"/>
              <w:right w:val="nil" w:sz="6" w:space="0" w:color="auto"/>
            </w:tcBorders>
          </w:tcPr>
          <w:p>
            <w:pPr/>
          </w:p>
        </w:tc>
        <w:tc>
          <w:tcPr>
            <w:tcW w:w="1518" w:type="dxa"/>
            <w:tcBorders>
              <w:top w:val="single" w:sz="4" w:space="0" w:color="000000"/>
              <w:left w:val="nil" w:sz="6" w:space="0" w:color="auto"/>
              <w:bottom w:val="single" w:sz="4" w:space="0" w:color="000000"/>
              <w:right w:val="nil" w:sz="6" w:space="0" w:color="auto"/>
            </w:tcBorders>
          </w:tcPr>
          <w:p>
            <w:pPr/>
          </w:p>
        </w:tc>
        <w:tc>
          <w:tcPr>
            <w:tcW w:w="1080" w:type="dxa"/>
            <w:tcBorders>
              <w:top w:val="single" w:sz="4" w:space="0" w:color="000000"/>
              <w:left w:val="nil" w:sz="6" w:space="0" w:color="auto"/>
              <w:bottom w:val="single" w:sz="4" w:space="0" w:color="000000"/>
              <w:right w:val="nil" w:sz="6" w:space="0" w:color="auto"/>
            </w:tcBorders>
          </w:tcPr>
          <w:p>
            <w:pPr/>
          </w:p>
        </w:tc>
      </w:tr>
      <w:tr>
        <w:trPr>
          <w:trHeight w:val="319" w:hRule="exact"/>
        </w:trPr>
        <w:tc>
          <w:tcPr>
            <w:tcW w:w="1063" w:type="dxa"/>
            <w:tcBorders>
              <w:top w:val="single" w:sz="4" w:space="0" w:color="000000"/>
              <w:left w:val="nil" w:sz="6" w:space="0" w:color="auto"/>
              <w:bottom w:val="single" w:sz="12" w:space="0" w:color="000000"/>
              <w:right w:val="nil" w:sz="6" w:space="0" w:color="auto"/>
            </w:tcBorders>
          </w:tcPr>
          <w:p>
            <w:pPr>
              <w:pStyle w:val="TableParagraph"/>
              <w:spacing w:line="240" w:lineRule="auto" w:before="19"/>
              <w:ind w:left="122"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858" w:type="dxa"/>
            <w:tcBorders>
              <w:top w:val="single" w:sz="4" w:space="0" w:color="000000"/>
              <w:left w:val="nil" w:sz="6" w:space="0" w:color="auto"/>
              <w:bottom w:val="single" w:sz="12" w:space="0" w:color="000000"/>
              <w:right w:val="nil" w:sz="6" w:space="0" w:color="auto"/>
            </w:tcBorders>
          </w:tcPr>
          <w:p>
            <w:pPr>
              <w:pStyle w:val="TableParagraph"/>
              <w:spacing w:line="240" w:lineRule="auto" w:before="19"/>
              <w:ind w:right="504"/>
              <w:jc w:val="right"/>
              <w:rPr>
                <w:rFonts w:ascii="宋体" w:hAnsi="宋体" w:cs="宋体" w:eastAsia="宋体" w:hint="default"/>
                <w:sz w:val="16"/>
                <w:szCs w:val="16"/>
              </w:rPr>
            </w:pPr>
            <w:r>
              <w:rPr>
                <w:rFonts w:ascii="宋体" w:hAnsi="宋体" w:cs="宋体" w:eastAsia="宋体" w:hint="default"/>
                <w:w w:val="100"/>
                <w:sz w:val="16"/>
                <w:szCs w:val="16"/>
              </w:rPr>
              <w:t>—</w:t>
            </w:r>
          </w:p>
        </w:tc>
        <w:tc>
          <w:tcPr>
            <w:tcW w:w="1795" w:type="dxa"/>
            <w:tcBorders>
              <w:top w:val="single" w:sz="4" w:space="0" w:color="000000"/>
              <w:left w:val="nil" w:sz="6" w:space="0" w:color="auto"/>
              <w:bottom w:val="single" w:sz="12" w:space="0" w:color="000000"/>
              <w:right w:val="nil" w:sz="6" w:space="0" w:color="auto"/>
            </w:tcBorders>
          </w:tcPr>
          <w:p>
            <w:pPr>
              <w:pStyle w:val="TableParagraph"/>
              <w:spacing w:line="240" w:lineRule="auto" w:before="19"/>
              <w:ind w:left="434" w:right="0"/>
              <w:jc w:val="left"/>
              <w:rPr>
                <w:rFonts w:ascii="宋体" w:hAnsi="宋体" w:cs="宋体" w:eastAsia="宋体" w:hint="default"/>
                <w:sz w:val="16"/>
                <w:szCs w:val="16"/>
              </w:rPr>
            </w:pPr>
            <w:r>
              <w:rPr>
                <w:rFonts w:ascii="宋体"/>
                <w:b/>
                <w:sz w:val="16"/>
              </w:rPr>
              <w:t>2,100,331,517.95</w:t>
            </w:r>
            <w:r>
              <w:rPr>
                <w:rFonts w:ascii="宋体"/>
                <w:sz w:val="16"/>
              </w:rPr>
            </w:r>
          </w:p>
        </w:tc>
        <w:tc>
          <w:tcPr>
            <w:tcW w:w="1431" w:type="dxa"/>
            <w:tcBorders>
              <w:top w:val="single" w:sz="4" w:space="0" w:color="000000"/>
              <w:left w:val="nil" w:sz="6" w:space="0" w:color="auto"/>
              <w:bottom w:val="single" w:sz="12" w:space="0" w:color="000000"/>
              <w:right w:val="nil" w:sz="6" w:space="0" w:color="auto"/>
            </w:tcBorders>
          </w:tcPr>
          <w:p>
            <w:pPr>
              <w:pStyle w:val="TableParagraph"/>
              <w:spacing w:line="240" w:lineRule="auto" w:before="19"/>
              <w:ind w:right="0"/>
              <w:jc w:val="center"/>
              <w:rPr>
                <w:rFonts w:ascii="宋体" w:hAnsi="宋体" w:cs="宋体" w:eastAsia="宋体" w:hint="default"/>
                <w:sz w:val="16"/>
                <w:szCs w:val="16"/>
              </w:rPr>
            </w:pPr>
            <w:r>
              <w:rPr>
                <w:rFonts w:ascii="宋体"/>
                <w:b/>
                <w:sz w:val="16"/>
              </w:rPr>
              <w:t>3,987,198,212.30</w:t>
            </w:r>
            <w:r>
              <w:rPr>
                <w:rFonts w:ascii="宋体"/>
                <w:sz w:val="16"/>
              </w:rPr>
            </w:r>
          </w:p>
        </w:tc>
        <w:tc>
          <w:tcPr>
            <w:tcW w:w="1431" w:type="dxa"/>
            <w:tcBorders>
              <w:top w:val="single" w:sz="4" w:space="0" w:color="000000"/>
              <w:left w:val="nil" w:sz="6" w:space="0" w:color="auto"/>
              <w:bottom w:val="single" w:sz="12" w:space="0" w:color="000000"/>
              <w:right w:val="nil" w:sz="6" w:space="0" w:color="auto"/>
            </w:tcBorders>
          </w:tcPr>
          <w:p>
            <w:pPr>
              <w:pStyle w:val="TableParagraph"/>
              <w:spacing w:line="240" w:lineRule="auto" w:before="19"/>
              <w:ind w:right="0"/>
              <w:jc w:val="center"/>
              <w:rPr>
                <w:rFonts w:ascii="宋体" w:hAnsi="宋体" w:cs="宋体" w:eastAsia="宋体" w:hint="default"/>
                <w:sz w:val="16"/>
                <w:szCs w:val="16"/>
              </w:rPr>
            </w:pPr>
            <w:r>
              <w:rPr>
                <w:rFonts w:ascii="宋体"/>
                <w:b/>
                <w:sz w:val="16"/>
              </w:rPr>
              <w:t>4,097,001,365.00</w:t>
            </w:r>
            <w:r>
              <w:rPr>
                <w:rFonts w:ascii="宋体"/>
                <w:sz w:val="16"/>
              </w:rPr>
            </w:r>
          </w:p>
        </w:tc>
        <w:tc>
          <w:tcPr>
            <w:tcW w:w="1518" w:type="dxa"/>
            <w:tcBorders>
              <w:top w:val="single" w:sz="4" w:space="0" w:color="000000"/>
              <w:left w:val="nil" w:sz="6" w:space="0" w:color="auto"/>
              <w:bottom w:val="single" w:sz="12" w:space="0" w:color="000000"/>
              <w:right w:val="nil" w:sz="6" w:space="0" w:color="auto"/>
            </w:tcBorders>
          </w:tcPr>
          <w:p>
            <w:pPr>
              <w:pStyle w:val="TableParagraph"/>
              <w:spacing w:line="240" w:lineRule="auto" w:before="19"/>
              <w:ind w:right="85"/>
              <w:jc w:val="center"/>
              <w:rPr>
                <w:rFonts w:ascii="宋体" w:hAnsi="宋体" w:cs="宋体" w:eastAsia="宋体" w:hint="default"/>
                <w:sz w:val="16"/>
                <w:szCs w:val="16"/>
              </w:rPr>
            </w:pPr>
            <w:r>
              <w:rPr>
                <w:rFonts w:ascii="宋体"/>
                <w:b/>
                <w:sz w:val="16"/>
              </w:rPr>
              <w:t>1,990,528,365.25</w:t>
            </w:r>
            <w:r>
              <w:rPr>
                <w:rFonts w:ascii="宋体"/>
                <w:sz w:val="16"/>
              </w:rPr>
            </w:r>
          </w:p>
        </w:tc>
        <w:tc>
          <w:tcPr>
            <w:tcW w:w="1080" w:type="dxa"/>
            <w:tcBorders>
              <w:top w:val="single" w:sz="4" w:space="0" w:color="000000"/>
              <w:left w:val="nil" w:sz="6" w:space="0" w:color="auto"/>
              <w:bottom w:val="single" w:sz="12" w:space="0" w:color="000000"/>
              <w:right w:val="nil" w:sz="6" w:space="0" w:color="auto"/>
            </w:tcBorders>
          </w:tcPr>
          <w:p>
            <w:pPr>
              <w:pStyle w:val="TableParagraph"/>
              <w:spacing w:line="240" w:lineRule="auto" w:before="19"/>
              <w:ind w:right="92"/>
              <w:jc w:val="center"/>
              <w:rPr>
                <w:rFonts w:ascii="宋体" w:hAnsi="宋体" w:cs="宋体" w:eastAsia="宋体" w:hint="default"/>
                <w:sz w:val="16"/>
                <w:szCs w:val="16"/>
              </w:rPr>
            </w:pPr>
            <w:r>
              <w:rPr>
                <w:rFonts w:ascii="宋体" w:hAnsi="宋体" w:cs="宋体" w:eastAsia="宋体" w:hint="default"/>
                <w:w w:val="100"/>
                <w:sz w:val="16"/>
                <w:szCs w:val="16"/>
              </w:rPr>
              <w:t>—</w:t>
            </w:r>
          </w:p>
        </w:tc>
      </w:tr>
    </w:tbl>
    <w:p>
      <w:pPr>
        <w:spacing w:before="21"/>
        <w:ind w:left="13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9.  </w:t>
      </w:r>
      <w:r>
        <w:rPr>
          <w:rFonts w:ascii="Times New Roman" w:hAnsi="Times New Roman" w:cs="Times New Roman" w:eastAsia="Times New Roman" w:hint="default"/>
          <w:b/>
          <w:bCs/>
          <w:spacing w:val="18"/>
          <w:sz w:val="22"/>
          <w:szCs w:val="22"/>
        </w:rPr>
        <w:t> </w:t>
      </w:r>
      <w:r>
        <w:rPr>
          <w:rFonts w:ascii="宋体" w:hAnsi="宋体" w:cs="宋体" w:eastAsia="宋体" w:hint="default"/>
          <w:sz w:val="22"/>
          <w:szCs w:val="22"/>
        </w:rPr>
        <w:t>对外捐赠</w:t>
      </w:r>
    </w:p>
    <w:p>
      <w:pPr>
        <w:spacing w:line="240" w:lineRule="auto" w:before="7"/>
        <w:rPr>
          <w:rFonts w:ascii="宋体" w:hAnsi="宋体" w:cs="宋体" w:eastAsia="宋体" w:hint="default"/>
          <w:sz w:val="9"/>
          <w:szCs w:val="9"/>
        </w:rPr>
      </w:pPr>
    </w:p>
    <w:tbl>
      <w:tblPr>
        <w:tblW w:w="0" w:type="auto"/>
        <w:jc w:val="left"/>
        <w:tblInd w:w="834" w:type="dxa"/>
        <w:tblLayout w:type="fixed"/>
        <w:tblCellMar>
          <w:top w:w="0" w:type="dxa"/>
          <w:left w:w="0" w:type="dxa"/>
          <w:bottom w:w="0" w:type="dxa"/>
          <w:right w:w="0" w:type="dxa"/>
        </w:tblCellMar>
        <w:tblLook w:val="01E0"/>
      </w:tblPr>
      <w:tblGrid>
        <w:gridCol w:w="3533"/>
        <w:gridCol w:w="2885"/>
        <w:gridCol w:w="2307"/>
      </w:tblGrid>
      <w:tr>
        <w:trPr>
          <w:trHeight w:val="307" w:hRule="exact"/>
        </w:trPr>
        <w:tc>
          <w:tcPr>
            <w:tcW w:w="353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288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90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07"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50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89" w:hRule="exact"/>
        </w:trPr>
        <w:tc>
          <w:tcPr>
            <w:tcW w:w="3533"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885" w:type="dxa"/>
            <w:tcBorders>
              <w:top w:val="single" w:sz="4" w:space="0" w:color="000000"/>
              <w:left w:val="nil" w:sz="6" w:space="0" w:color="auto"/>
              <w:bottom w:val="nil" w:sz="6" w:space="0" w:color="auto"/>
              <w:right w:val="nil" w:sz="6" w:space="0" w:color="auto"/>
            </w:tcBorders>
          </w:tcPr>
          <w:p>
            <w:pPr>
              <w:pStyle w:val="TableParagraph"/>
              <w:spacing w:line="232" w:lineRule="exact"/>
              <w:ind w:right="501"/>
              <w:jc w:val="right"/>
              <w:rPr>
                <w:rFonts w:ascii="宋体" w:hAnsi="宋体" w:cs="宋体" w:eastAsia="宋体" w:hint="default"/>
                <w:sz w:val="18"/>
                <w:szCs w:val="18"/>
              </w:rPr>
            </w:pPr>
            <w:r>
              <w:rPr>
                <w:rFonts w:ascii="宋体"/>
                <w:spacing w:val="-1"/>
                <w:sz w:val="18"/>
              </w:rPr>
              <w:t>800,000.00</w:t>
            </w:r>
          </w:p>
        </w:tc>
        <w:tc>
          <w:tcPr>
            <w:tcW w:w="2307" w:type="dxa"/>
            <w:tcBorders>
              <w:top w:val="single" w:sz="4" w:space="0" w:color="000000"/>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pacing w:val="-1"/>
                <w:sz w:val="18"/>
              </w:rPr>
              <w:t>406,868.68</w:t>
            </w:r>
          </w:p>
        </w:tc>
      </w:tr>
      <w:tr>
        <w:trPr>
          <w:trHeight w:val="286" w:hRule="exact"/>
        </w:trPr>
        <w:tc>
          <w:tcPr>
            <w:tcW w:w="3533"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北京清华长庚医院</w:t>
            </w:r>
          </w:p>
        </w:tc>
        <w:tc>
          <w:tcPr>
            <w:tcW w:w="2885" w:type="dxa"/>
            <w:tcBorders>
              <w:top w:val="nil" w:sz="6" w:space="0" w:color="auto"/>
              <w:left w:val="nil" w:sz="6" w:space="0" w:color="auto"/>
              <w:bottom w:val="nil" w:sz="6" w:space="0" w:color="auto"/>
              <w:right w:val="nil" w:sz="6" w:space="0" w:color="auto"/>
            </w:tcBorders>
          </w:tcPr>
          <w:p>
            <w:pPr>
              <w:pStyle w:val="TableParagraph"/>
              <w:spacing w:line="233" w:lineRule="exact"/>
              <w:ind w:right="500"/>
              <w:jc w:val="right"/>
              <w:rPr>
                <w:rFonts w:ascii="宋体" w:hAnsi="宋体" w:cs="宋体" w:eastAsia="宋体" w:hint="default"/>
                <w:sz w:val="18"/>
                <w:szCs w:val="18"/>
              </w:rPr>
            </w:pPr>
            <w:r>
              <w:rPr>
                <w:rFonts w:ascii="宋体"/>
                <w:sz w:val="18"/>
              </w:rPr>
              <w:t>0.00</w:t>
            </w:r>
          </w:p>
        </w:tc>
        <w:tc>
          <w:tcPr>
            <w:tcW w:w="2307"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2,500,000.00</w:t>
            </w:r>
          </w:p>
        </w:tc>
      </w:tr>
      <w:tr>
        <w:trPr>
          <w:trHeight w:val="289" w:hRule="exact"/>
        </w:trPr>
        <w:tc>
          <w:tcPr>
            <w:tcW w:w="3533"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深圳市华融泰资产管理有限公司</w:t>
            </w:r>
          </w:p>
        </w:tc>
        <w:tc>
          <w:tcPr>
            <w:tcW w:w="2885" w:type="dxa"/>
            <w:tcBorders>
              <w:top w:val="nil" w:sz="6" w:space="0" w:color="auto"/>
              <w:left w:val="nil" w:sz="6" w:space="0" w:color="auto"/>
              <w:bottom w:val="single" w:sz="4" w:space="0" w:color="000000"/>
              <w:right w:val="nil" w:sz="6" w:space="0" w:color="auto"/>
            </w:tcBorders>
          </w:tcPr>
          <w:p>
            <w:pPr>
              <w:pStyle w:val="TableParagraph"/>
              <w:spacing w:line="233" w:lineRule="exact"/>
              <w:ind w:right="500"/>
              <w:jc w:val="right"/>
              <w:rPr>
                <w:rFonts w:ascii="宋体" w:hAnsi="宋体" w:cs="宋体" w:eastAsia="宋体" w:hint="default"/>
                <w:sz w:val="18"/>
                <w:szCs w:val="18"/>
              </w:rPr>
            </w:pPr>
            <w:r>
              <w:rPr>
                <w:rFonts w:ascii="宋体"/>
                <w:sz w:val="18"/>
              </w:rPr>
              <w:t>0.00</w:t>
            </w:r>
          </w:p>
        </w:tc>
        <w:tc>
          <w:tcPr>
            <w:tcW w:w="2307" w:type="dxa"/>
            <w:tcBorders>
              <w:top w:val="nil" w:sz="6" w:space="0" w:color="auto"/>
              <w:left w:val="nil" w:sz="6" w:space="0" w:color="auto"/>
              <w:bottom w:val="single" w:sz="4" w:space="0" w:color="000000"/>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2,049.00</w:t>
            </w:r>
          </w:p>
        </w:tc>
      </w:tr>
      <w:tr>
        <w:trPr>
          <w:trHeight w:val="305" w:hRule="exact"/>
        </w:trPr>
        <w:tc>
          <w:tcPr>
            <w:tcW w:w="3533" w:type="dxa"/>
            <w:tcBorders>
              <w:top w:val="single" w:sz="4" w:space="0" w:color="000000"/>
              <w:left w:val="nil" w:sz="6" w:space="0" w:color="auto"/>
              <w:bottom w:val="single" w:sz="12"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85" w:type="dxa"/>
            <w:tcBorders>
              <w:top w:val="single" w:sz="4" w:space="0" w:color="000000"/>
              <w:left w:val="nil" w:sz="6" w:space="0" w:color="auto"/>
              <w:bottom w:val="single" w:sz="12" w:space="0" w:color="000000"/>
              <w:right w:val="nil" w:sz="6" w:space="0" w:color="auto"/>
            </w:tcBorders>
          </w:tcPr>
          <w:p>
            <w:pPr>
              <w:pStyle w:val="TableParagraph"/>
              <w:spacing w:line="234" w:lineRule="exact"/>
              <w:ind w:right="501"/>
              <w:jc w:val="right"/>
              <w:rPr>
                <w:rFonts w:ascii="宋体" w:hAnsi="宋体" w:cs="宋体" w:eastAsia="宋体" w:hint="default"/>
                <w:sz w:val="18"/>
                <w:szCs w:val="18"/>
              </w:rPr>
            </w:pPr>
            <w:r>
              <w:rPr>
                <w:rFonts w:ascii="宋体"/>
                <w:b/>
                <w:w w:val="95"/>
                <w:sz w:val="18"/>
              </w:rPr>
              <w:t>800,000.00</w:t>
            </w:r>
            <w:r>
              <w:rPr>
                <w:rFonts w:ascii="宋体"/>
                <w:sz w:val="18"/>
              </w:rPr>
            </w:r>
          </w:p>
        </w:tc>
        <w:tc>
          <w:tcPr>
            <w:tcW w:w="2307" w:type="dxa"/>
            <w:tcBorders>
              <w:top w:val="single" w:sz="4" w:space="0" w:color="000000"/>
              <w:left w:val="nil" w:sz="6" w:space="0" w:color="auto"/>
              <w:bottom w:val="single" w:sz="12" w:space="0" w:color="000000"/>
              <w:right w:val="nil" w:sz="6" w:space="0" w:color="auto"/>
            </w:tcBorders>
          </w:tcPr>
          <w:p>
            <w:pPr>
              <w:pStyle w:val="TableParagraph"/>
              <w:spacing w:line="234" w:lineRule="exact"/>
              <w:ind w:right="108"/>
              <w:jc w:val="right"/>
              <w:rPr>
                <w:rFonts w:ascii="宋体" w:hAnsi="宋体" w:cs="宋体" w:eastAsia="宋体" w:hint="default"/>
                <w:sz w:val="18"/>
                <w:szCs w:val="18"/>
              </w:rPr>
            </w:pPr>
            <w:r>
              <w:rPr>
                <w:rFonts w:ascii="宋体"/>
                <w:b/>
                <w:w w:val="95"/>
                <w:sz w:val="18"/>
              </w:rPr>
              <w:t>2,908,917.68</w:t>
            </w:r>
            <w:r>
              <w:rPr>
                <w:rFonts w:ascii="宋体"/>
                <w:sz w:val="18"/>
              </w:rPr>
            </w:r>
          </w:p>
        </w:tc>
      </w:tr>
    </w:tbl>
    <w:p>
      <w:pPr>
        <w:spacing w:before="81"/>
        <w:ind w:left="13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10.</w:t>
      </w:r>
      <w:r>
        <w:rPr>
          <w:rFonts w:ascii="Times New Roman" w:hAnsi="Times New Roman" w:cs="Times New Roman" w:eastAsia="Times New Roman" w:hint="default"/>
          <w:b/>
          <w:bCs/>
          <w:spacing w:val="15"/>
          <w:sz w:val="22"/>
          <w:szCs w:val="22"/>
        </w:rPr>
        <w:t> </w:t>
      </w:r>
      <w:r>
        <w:rPr>
          <w:rFonts w:ascii="宋体" w:hAnsi="宋体" w:cs="宋体" w:eastAsia="宋体" w:hint="default"/>
          <w:sz w:val="22"/>
          <w:szCs w:val="22"/>
        </w:rPr>
        <w:t>关键管理人员薪酬</w:t>
      </w:r>
    </w:p>
    <w:p>
      <w:pPr>
        <w:spacing w:line="240" w:lineRule="auto" w:before="1"/>
        <w:rPr>
          <w:rFonts w:ascii="宋体" w:hAnsi="宋体" w:cs="宋体" w:eastAsia="宋体" w:hint="default"/>
          <w:sz w:val="6"/>
          <w:szCs w:val="6"/>
        </w:rPr>
      </w:pPr>
    </w:p>
    <w:tbl>
      <w:tblPr>
        <w:tblW w:w="0" w:type="auto"/>
        <w:jc w:val="left"/>
        <w:tblInd w:w="834" w:type="dxa"/>
        <w:tblLayout w:type="fixed"/>
        <w:tblCellMar>
          <w:top w:w="0" w:type="dxa"/>
          <w:left w:w="0" w:type="dxa"/>
          <w:bottom w:w="0" w:type="dxa"/>
          <w:right w:w="0" w:type="dxa"/>
        </w:tblCellMar>
        <w:tblLook w:val="01E0"/>
      </w:tblPr>
      <w:tblGrid>
        <w:gridCol w:w="2633"/>
        <w:gridCol w:w="3781"/>
        <w:gridCol w:w="2311"/>
      </w:tblGrid>
      <w:tr>
        <w:trPr>
          <w:trHeight w:val="305" w:hRule="exact"/>
        </w:trPr>
        <w:tc>
          <w:tcPr>
            <w:tcW w:w="263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78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802"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31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0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07" w:hRule="exact"/>
        </w:trPr>
        <w:tc>
          <w:tcPr>
            <w:tcW w:w="263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781"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2148" w:right="0"/>
              <w:jc w:val="left"/>
              <w:rPr>
                <w:rFonts w:ascii="宋体" w:hAnsi="宋体" w:cs="宋体" w:eastAsia="宋体" w:hint="default"/>
                <w:sz w:val="18"/>
                <w:szCs w:val="18"/>
              </w:rPr>
            </w:pPr>
            <w:r>
              <w:rPr>
                <w:rFonts w:ascii="宋体" w:hAnsi="宋体" w:cs="宋体" w:eastAsia="宋体" w:hint="default"/>
                <w:sz w:val="18"/>
                <w:szCs w:val="18"/>
              </w:rPr>
              <w:t>1,740.44</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2311"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75" w:right="0"/>
              <w:jc w:val="left"/>
              <w:rPr>
                <w:rFonts w:ascii="宋体" w:hAnsi="宋体" w:cs="宋体" w:eastAsia="宋体" w:hint="default"/>
                <w:sz w:val="18"/>
                <w:szCs w:val="18"/>
              </w:rPr>
            </w:pPr>
            <w:r>
              <w:rPr>
                <w:rFonts w:ascii="宋体" w:hAnsi="宋体" w:cs="宋体" w:eastAsia="宋体" w:hint="default"/>
                <w:sz w:val="18"/>
                <w:szCs w:val="18"/>
              </w:rPr>
              <w:t>1,459.98</w:t>
            </w:r>
            <w:r>
              <w:rPr>
                <w:rFonts w:ascii="宋体" w:hAnsi="宋体" w:cs="宋体" w:eastAsia="宋体" w:hint="default"/>
                <w:spacing w:val="-45"/>
                <w:sz w:val="18"/>
                <w:szCs w:val="18"/>
              </w:rPr>
              <w:t> </w:t>
            </w:r>
            <w:r>
              <w:rPr>
                <w:rFonts w:ascii="宋体" w:hAnsi="宋体" w:cs="宋体" w:eastAsia="宋体" w:hint="default"/>
                <w:sz w:val="18"/>
                <w:szCs w:val="18"/>
              </w:rPr>
              <w:t>万元</w:t>
            </w:r>
          </w:p>
        </w:tc>
      </w:tr>
    </w:tbl>
    <w:p>
      <w:pPr>
        <w:spacing w:before="22"/>
        <w:ind w:left="1282" w:right="0" w:firstLine="0"/>
        <w:jc w:val="left"/>
        <w:rPr>
          <w:rFonts w:ascii="宋体" w:hAnsi="宋体" w:cs="宋体" w:eastAsia="宋体" w:hint="default"/>
          <w:sz w:val="22"/>
          <w:szCs w:val="22"/>
        </w:rPr>
      </w:pPr>
      <w:r>
        <w:rPr>
          <w:rFonts w:ascii="宋体" w:hAnsi="宋体" w:cs="宋体" w:eastAsia="宋体" w:hint="default"/>
          <w:b/>
          <w:bCs/>
          <w:sz w:val="22"/>
          <w:szCs w:val="22"/>
        </w:rPr>
        <w:t>(</w:t>
      </w:r>
      <w:r>
        <w:rPr>
          <w:rFonts w:ascii="宋体" w:hAnsi="宋体" w:cs="宋体" w:eastAsia="宋体" w:hint="default"/>
          <w:b/>
          <w:bCs/>
          <w:sz w:val="22"/>
          <w:szCs w:val="22"/>
        </w:rPr>
        <w:t>三</w:t>
      </w:r>
      <w:r>
        <w:rPr>
          <w:rFonts w:ascii="宋体" w:hAnsi="宋体" w:cs="宋体" w:eastAsia="宋体" w:hint="default"/>
          <w:b/>
          <w:bCs/>
          <w:sz w:val="22"/>
          <w:szCs w:val="22"/>
        </w:rPr>
        <w:t>)</w:t>
      </w:r>
      <w:r>
        <w:rPr>
          <w:rFonts w:ascii="宋体" w:hAnsi="宋体" w:cs="宋体" w:eastAsia="宋体" w:hint="default"/>
          <w:b/>
          <w:bCs/>
          <w:sz w:val="22"/>
          <w:szCs w:val="22"/>
        </w:rPr>
        <w:t>关联方往来余额</w:t>
      </w:r>
      <w:r>
        <w:rPr>
          <w:rFonts w:ascii="宋体" w:hAnsi="宋体" w:cs="宋体" w:eastAsia="宋体" w:hint="default"/>
          <w:sz w:val="22"/>
          <w:szCs w:val="22"/>
        </w:rPr>
      </w:r>
    </w:p>
    <w:p>
      <w:pPr>
        <w:spacing w:before="57"/>
        <w:ind w:left="13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8"/>
          <w:sz w:val="22"/>
          <w:szCs w:val="22"/>
        </w:rPr>
        <w:t> </w:t>
      </w:r>
      <w:r>
        <w:rPr>
          <w:rFonts w:ascii="宋体" w:hAnsi="宋体" w:cs="宋体" w:eastAsia="宋体" w:hint="default"/>
          <w:sz w:val="22"/>
          <w:szCs w:val="22"/>
        </w:rPr>
        <w:t>应收项目</w:t>
      </w:r>
    </w:p>
    <w:p>
      <w:pPr>
        <w:spacing w:line="240" w:lineRule="auto" w:before="1"/>
        <w:rPr>
          <w:rFonts w:ascii="宋体" w:hAnsi="宋体" w:cs="宋体" w:eastAsia="宋体" w:hint="default"/>
          <w:sz w:val="6"/>
          <w:szCs w:val="6"/>
        </w:rPr>
      </w:pPr>
    </w:p>
    <w:tbl>
      <w:tblPr>
        <w:tblW w:w="0" w:type="auto"/>
        <w:jc w:val="left"/>
        <w:tblInd w:w="819" w:type="dxa"/>
        <w:tblLayout w:type="fixed"/>
        <w:tblCellMar>
          <w:top w:w="0" w:type="dxa"/>
          <w:left w:w="0" w:type="dxa"/>
          <w:bottom w:w="0" w:type="dxa"/>
          <w:right w:w="0" w:type="dxa"/>
        </w:tblCellMar>
        <w:tblLook w:val="01E0"/>
      </w:tblPr>
      <w:tblGrid>
        <w:gridCol w:w="1103"/>
        <w:gridCol w:w="4523"/>
        <w:gridCol w:w="1655"/>
        <w:gridCol w:w="1459"/>
      </w:tblGrid>
      <w:tr>
        <w:trPr>
          <w:trHeight w:val="305" w:hRule="exact"/>
        </w:trPr>
        <w:tc>
          <w:tcPr>
            <w:tcW w:w="110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452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58"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65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44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459"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3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1" w:hRule="exact"/>
        </w:trPr>
        <w:tc>
          <w:tcPr>
            <w:tcW w:w="1103" w:type="dxa"/>
            <w:tcBorders>
              <w:top w:val="single" w:sz="4" w:space="0" w:color="000000"/>
              <w:left w:val="nil" w:sz="6" w:space="0" w:color="auto"/>
              <w:bottom w:val="nil" w:sz="6" w:space="0" w:color="auto"/>
              <w:right w:val="nil" w:sz="6" w:space="0" w:color="auto"/>
            </w:tcBorders>
          </w:tcPr>
          <w:p>
            <w:pPr/>
          </w:p>
        </w:tc>
        <w:tc>
          <w:tcPr>
            <w:tcW w:w="4523" w:type="dxa"/>
            <w:tcBorders>
              <w:top w:val="single" w:sz="4" w:space="0" w:color="000000"/>
              <w:left w:val="nil" w:sz="6" w:space="0" w:color="auto"/>
              <w:bottom w:val="nil" w:sz="6" w:space="0" w:color="auto"/>
              <w:right w:val="nil" w:sz="6" w:space="0" w:color="auto"/>
            </w:tcBorders>
          </w:tcPr>
          <w:p>
            <w:pPr>
              <w:pStyle w:val="TableParagraph"/>
              <w:spacing w:line="234" w:lineRule="exact"/>
              <w:ind w:left="258" w:right="0"/>
              <w:jc w:val="left"/>
              <w:rPr>
                <w:rFonts w:ascii="宋体" w:hAnsi="宋体" w:cs="宋体" w:eastAsia="宋体" w:hint="default"/>
                <w:sz w:val="18"/>
                <w:szCs w:val="18"/>
              </w:rPr>
            </w:pPr>
            <w:r>
              <w:rPr>
                <w:rFonts w:ascii="宋体" w:hAnsi="宋体" w:cs="宋体" w:eastAsia="宋体" w:hint="default"/>
                <w:b/>
                <w:bCs/>
                <w:sz w:val="18"/>
                <w:szCs w:val="18"/>
              </w:rPr>
              <w:t>清华大学及其下属单位：</w:t>
            </w:r>
            <w:r>
              <w:rPr>
                <w:rFonts w:ascii="宋体" w:hAnsi="宋体" w:cs="宋体" w:eastAsia="宋体" w:hint="default"/>
                <w:sz w:val="18"/>
                <w:szCs w:val="18"/>
              </w:rPr>
            </w:r>
          </w:p>
        </w:tc>
        <w:tc>
          <w:tcPr>
            <w:tcW w:w="1655" w:type="dxa"/>
            <w:tcBorders>
              <w:top w:val="single" w:sz="4" w:space="0" w:color="000000"/>
              <w:left w:val="nil" w:sz="6" w:space="0" w:color="auto"/>
              <w:bottom w:val="nil" w:sz="6" w:space="0" w:color="auto"/>
              <w:right w:val="nil" w:sz="6" w:space="0" w:color="auto"/>
            </w:tcBorders>
          </w:tcPr>
          <w:p>
            <w:pPr/>
          </w:p>
        </w:tc>
        <w:tc>
          <w:tcPr>
            <w:tcW w:w="1459" w:type="dxa"/>
            <w:tcBorders>
              <w:top w:val="single" w:sz="4" w:space="0" w:color="000000"/>
              <w:left w:val="nil" w:sz="6" w:space="0" w:color="auto"/>
              <w:bottom w:val="nil" w:sz="6" w:space="0" w:color="auto"/>
              <w:right w:val="nil" w:sz="6" w:space="0" w:color="auto"/>
            </w:tcBorders>
          </w:tcPr>
          <w:p>
            <w:pP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2" w:lineRule="exact"/>
              <w:ind w:left="258"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655" w:type="dxa"/>
            <w:tcBorders>
              <w:top w:val="nil" w:sz="6" w:space="0" w:color="auto"/>
              <w:left w:val="nil" w:sz="6" w:space="0" w:color="auto"/>
              <w:bottom w:val="nil" w:sz="6" w:space="0" w:color="auto"/>
              <w:right w:val="nil" w:sz="6" w:space="0" w:color="auto"/>
            </w:tcBorders>
          </w:tcPr>
          <w:p>
            <w:pPr>
              <w:pStyle w:val="TableParagraph"/>
              <w:spacing w:line="232" w:lineRule="exact"/>
              <w:ind w:right="178"/>
              <w:jc w:val="right"/>
              <w:rPr>
                <w:rFonts w:ascii="宋体" w:hAnsi="宋体" w:cs="宋体" w:eastAsia="宋体" w:hint="default"/>
                <w:sz w:val="18"/>
                <w:szCs w:val="18"/>
              </w:rPr>
            </w:pPr>
            <w:r>
              <w:rPr>
                <w:rFonts w:ascii="宋体"/>
                <w:spacing w:val="-1"/>
                <w:sz w:val="18"/>
              </w:rPr>
              <w:t>8,675,034.71</w:t>
            </w:r>
          </w:p>
        </w:tc>
        <w:tc>
          <w:tcPr>
            <w:tcW w:w="1459"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10,457,434.07</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深圳清华大学研究院</w:t>
            </w:r>
          </w:p>
        </w:tc>
        <w:tc>
          <w:tcPr>
            <w:tcW w:w="1655" w:type="dxa"/>
            <w:tcBorders>
              <w:top w:val="nil" w:sz="6" w:space="0" w:color="auto"/>
              <w:left w:val="nil" w:sz="6" w:space="0" w:color="auto"/>
              <w:bottom w:val="nil" w:sz="6" w:space="0" w:color="auto"/>
              <w:right w:val="nil" w:sz="6" w:space="0" w:color="auto"/>
            </w:tcBorders>
          </w:tcPr>
          <w:p>
            <w:pPr>
              <w:pStyle w:val="TableParagraph"/>
              <w:spacing w:line="233" w:lineRule="exact"/>
              <w:ind w:right="178"/>
              <w:jc w:val="right"/>
              <w:rPr>
                <w:rFonts w:ascii="宋体" w:hAnsi="宋体" w:cs="宋体" w:eastAsia="宋体" w:hint="default"/>
                <w:sz w:val="18"/>
                <w:szCs w:val="18"/>
              </w:rPr>
            </w:pPr>
            <w:r>
              <w:rPr>
                <w:rFonts w:ascii="宋体"/>
                <w:spacing w:val="-1"/>
                <w:sz w:val="18"/>
              </w:rPr>
              <w:t>999,774.90</w:t>
            </w:r>
          </w:p>
        </w:tc>
        <w:tc>
          <w:tcPr>
            <w:tcW w:w="1459"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1,025,128.20</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北京清华长庚医院</w:t>
            </w:r>
          </w:p>
        </w:tc>
        <w:tc>
          <w:tcPr>
            <w:tcW w:w="1655" w:type="dxa"/>
            <w:tcBorders>
              <w:top w:val="nil" w:sz="6" w:space="0" w:color="auto"/>
              <w:left w:val="nil" w:sz="6" w:space="0" w:color="auto"/>
              <w:bottom w:val="nil" w:sz="6" w:space="0" w:color="auto"/>
              <w:right w:val="nil" w:sz="6" w:space="0" w:color="auto"/>
            </w:tcBorders>
          </w:tcPr>
          <w:p>
            <w:pPr>
              <w:pStyle w:val="TableParagraph"/>
              <w:spacing w:line="233" w:lineRule="exact"/>
              <w:ind w:right="175"/>
              <w:jc w:val="right"/>
              <w:rPr>
                <w:rFonts w:ascii="宋体" w:hAnsi="宋体" w:cs="宋体" w:eastAsia="宋体" w:hint="default"/>
                <w:sz w:val="18"/>
                <w:szCs w:val="18"/>
              </w:rPr>
            </w:pPr>
            <w:r>
              <w:rPr>
                <w:rFonts w:ascii="宋体"/>
                <w:spacing w:val="-1"/>
                <w:sz w:val="18"/>
              </w:rPr>
              <w:t>11,000.00</w:t>
            </w:r>
          </w:p>
        </w:tc>
        <w:tc>
          <w:tcPr>
            <w:tcW w:w="1459"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2,900.00</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
        </w:tc>
        <w:tc>
          <w:tcPr>
            <w:tcW w:w="4523"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b/>
                <w:bCs/>
                <w:sz w:val="18"/>
                <w:szCs w:val="18"/>
              </w:rPr>
              <w:t>控股股东及受同一控股股东控制的其他企业：</w:t>
            </w:r>
            <w:r>
              <w:rPr>
                <w:rFonts w:ascii="宋体" w:hAnsi="宋体" w:cs="宋体" w:eastAsia="宋体" w:hint="default"/>
                <w:sz w:val="18"/>
                <w:szCs w:val="18"/>
              </w:rPr>
            </w:r>
          </w:p>
        </w:tc>
        <w:tc>
          <w:tcPr>
            <w:tcW w:w="1655"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2" w:lineRule="exact"/>
              <w:ind w:left="258" w:right="0"/>
              <w:jc w:val="left"/>
              <w:rPr>
                <w:rFonts w:ascii="宋体" w:hAnsi="宋体" w:cs="宋体" w:eastAsia="宋体" w:hint="default"/>
                <w:sz w:val="18"/>
                <w:szCs w:val="18"/>
              </w:rPr>
            </w:pPr>
            <w:r>
              <w:rPr>
                <w:rFonts w:ascii="宋体" w:hAnsi="宋体" w:cs="宋体" w:eastAsia="宋体" w:hint="default"/>
                <w:sz w:val="18"/>
                <w:szCs w:val="18"/>
              </w:rPr>
              <w:t>苏州紫光创新教育发展有限公司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32" w:lineRule="exact"/>
              <w:ind w:right="178"/>
              <w:jc w:val="right"/>
              <w:rPr>
                <w:rFonts w:ascii="宋体" w:hAnsi="宋体" w:cs="宋体" w:eastAsia="宋体" w:hint="default"/>
                <w:sz w:val="18"/>
                <w:szCs w:val="18"/>
              </w:rPr>
            </w:pPr>
            <w:r>
              <w:rPr>
                <w:rFonts w:ascii="宋体"/>
                <w:spacing w:val="-1"/>
                <w:sz w:val="18"/>
              </w:rPr>
              <w:t>408,341.22</w:t>
            </w:r>
          </w:p>
        </w:tc>
        <w:tc>
          <w:tcPr>
            <w:tcW w:w="1459"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1,596,234.12</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《中国学术期刊（光盘版）》电子杂志社有限公司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33" w:lineRule="exact"/>
              <w:ind w:right="178"/>
              <w:jc w:val="right"/>
              <w:rPr>
                <w:rFonts w:ascii="宋体" w:hAnsi="宋体" w:cs="宋体" w:eastAsia="宋体" w:hint="default"/>
                <w:sz w:val="18"/>
                <w:szCs w:val="18"/>
              </w:rPr>
            </w:pPr>
            <w:r>
              <w:rPr>
                <w:rFonts w:ascii="宋体"/>
                <w:spacing w:val="-1"/>
                <w:sz w:val="18"/>
              </w:rPr>
              <w:t>212,550.00</w:t>
            </w:r>
          </w:p>
        </w:tc>
        <w:tc>
          <w:tcPr>
            <w:tcW w:w="1459"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185,150.93</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绍兴乔波冰雪世界体育发展有限公司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33" w:lineRule="exact"/>
              <w:ind w:right="178"/>
              <w:jc w:val="right"/>
              <w:rPr>
                <w:rFonts w:ascii="宋体" w:hAnsi="宋体" w:cs="宋体" w:eastAsia="宋体" w:hint="default"/>
                <w:sz w:val="18"/>
                <w:szCs w:val="18"/>
              </w:rPr>
            </w:pPr>
            <w:r>
              <w:rPr>
                <w:rFonts w:ascii="宋体"/>
                <w:spacing w:val="-1"/>
                <w:sz w:val="18"/>
              </w:rPr>
              <w:t>180,400.00</w:t>
            </w:r>
          </w:p>
        </w:tc>
        <w:tc>
          <w:tcPr>
            <w:tcW w:w="1459"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180,400.00</w:t>
            </w:r>
          </w:p>
        </w:tc>
      </w:tr>
      <w:tr>
        <w:trPr>
          <w:trHeight w:val="285"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清华同方光盘电子出版社</w:t>
            </w:r>
          </w:p>
        </w:tc>
        <w:tc>
          <w:tcPr>
            <w:tcW w:w="1655" w:type="dxa"/>
            <w:tcBorders>
              <w:top w:val="nil" w:sz="6" w:space="0" w:color="auto"/>
              <w:left w:val="nil" w:sz="6" w:space="0" w:color="auto"/>
              <w:bottom w:val="nil" w:sz="6" w:space="0" w:color="auto"/>
              <w:right w:val="nil" w:sz="6" w:space="0" w:color="auto"/>
            </w:tcBorders>
          </w:tcPr>
          <w:p>
            <w:pPr>
              <w:pStyle w:val="TableParagraph"/>
              <w:spacing w:line="233" w:lineRule="exact"/>
              <w:ind w:right="175"/>
              <w:jc w:val="right"/>
              <w:rPr>
                <w:rFonts w:ascii="宋体" w:hAnsi="宋体" w:cs="宋体" w:eastAsia="宋体" w:hint="default"/>
                <w:sz w:val="18"/>
                <w:szCs w:val="18"/>
              </w:rPr>
            </w:pPr>
            <w:r>
              <w:rPr>
                <w:rFonts w:ascii="宋体"/>
                <w:spacing w:val="-1"/>
                <w:sz w:val="18"/>
              </w:rPr>
              <w:t>48,891.27</w:t>
            </w:r>
          </w:p>
        </w:tc>
        <w:tc>
          <w:tcPr>
            <w:tcW w:w="1459"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48,891.27</w:t>
            </w:r>
          </w:p>
        </w:tc>
      </w:tr>
      <w:tr>
        <w:trPr>
          <w:trHeight w:val="285"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2" w:lineRule="exact"/>
              <w:ind w:left="258" w:right="0"/>
              <w:jc w:val="left"/>
              <w:rPr>
                <w:rFonts w:ascii="宋体" w:hAnsi="宋体" w:cs="宋体" w:eastAsia="宋体" w:hint="default"/>
                <w:sz w:val="18"/>
                <w:szCs w:val="18"/>
              </w:rPr>
            </w:pPr>
            <w:r>
              <w:rPr>
                <w:rFonts w:ascii="宋体" w:hAnsi="宋体" w:cs="宋体" w:eastAsia="宋体" w:hint="default"/>
                <w:sz w:val="18"/>
                <w:szCs w:val="18"/>
              </w:rPr>
              <w:t>北京乔波冰雪世界体育发展有限公司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32" w:lineRule="exact"/>
              <w:ind w:right="175"/>
              <w:jc w:val="right"/>
              <w:rPr>
                <w:rFonts w:ascii="宋体" w:hAnsi="宋体" w:cs="宋体" w:eastAsia="宋体" w:hint="default"/>
                <w:sz w:val="18"/>
                <w:szCs w:val="18"/>
              </w:rPr>
            </w:pPr>
            <w:r>
              <w:rPr>
                <w:rFonts w:ascii="宋体"/>
                <w:spacing w:val="-1"/>
                <w:sz w:val="18"/>
              </w:rPr>
              <w:t>12,880.00</w:t>
            </w:r>
          </w:p>
        </w:tc>
        <w:tc>
          <w:tcPr>
            <w:tcW w:w="1459"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pacing w:val="-1"/>
                <w:sz w:val="18"/>
              </w:rPr>
              <w:t>12,880.00</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清华大学出版社有限公司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33" w:lineRule="exact"/>
              <w:ind w:right="175"/>
              <w:jc w:val="right"/>
              <w:rPr>
                <w:rFonts w:ascii="宋体" w:hAnsi="宋体" w:cs="宋体" w:eastAsia="宋体" w:hint="default"/>
                <w:sz w:val="18"/>
                <w:szCs w:val="18"/>
              </w:rPr>
            </w:pPr>
            <w:r>
              <w:rPr>
                <w:rFonts w:ascii="宋体"/>
                <w:spacing w:val="-1"/>
                <w:sz w:val="18"/>
              </w:rPr>
              <w:t>11,689.40</w:t>
            </w:r>
          </w:p>
        </w:tc>
        <w:tc>
          <w:tcPr>
            <w:tcW w:w="1459"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11,689.40</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诚志科技园（江西）发展有限公司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33" w:lineRule="exact"/>
              <w:ind w:right="175"/>
              <w:jc w:val="right"/>
              <w:rPr>
                <w:rFonts w:ascii="宋体" w:hAnsi="宋体" w:cs="宋体" w:eastAsia="宋体" w:hint="default"/>
                <w:sz w:val="18"/>
                <w:szCs w:val="18"/>
              </w:rPr>
            </w:pPr>
            <w:r>
              <w:rPr>
                <w:rFonts w:ascii="宋体"/>
                <w:spacing w:val="-1"/>
                <w:sz w:val="18"/>
              </w:rPr>
              <w:t>10,000.00</w:t>
            </w:r>
          </w:p>
        </w:tc>
        <w:tc>
          <w:tcPr>
            <w:tcW w:w="1459"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10,000.00</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清华大学建筑设计研究院有限公司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33" w:lineRule="exact"/>
              <w:ind w:right="177"/>
              <w:jc w:val="right"/>
              <w:rPr>
                <w:rFonts w:ascii="宋体" w:hAnsi="宋体" w:cs="宋体" w:eastAsia="宋体" w:hint="default"/>
                <w:sz w:val="18"/>
                <w:szCs w:val="18"/>
              </w:rPr>
            </w:pPr>
            <w:r>
              <w:rPr>
                <w:rFonts w:ascii="宋体"/>
                <w:spacing w:val="-1"/>
                <w:sz w:val="18"/>
              </w:rPr>
              <w:t>7,454.00</w:t>
            </w:r>
          </w:p>
        </w:tc>
        <w:tc>
          <w:tcPr>
            <w:tcW w:w="1459"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5,518.00</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2" w:lineRule="exact"/>
              <w:ind w:left="258" w:right="0"/>
              <w:jc w:val="left"/>
              <w:rPr>
                <w:rFonts w:ascii="宋体" w:hAnsi="宋体" w:cs="宋体" w:eastAsia="宋体" w:hint="default"/>
                <w:sz w:val="18"/>
                <w:szCs w:val="18"/>
              </w:rPr>
            </w:pPr>
            <w:r>
              <w:rPr>
                <w:rFonts w:ascii="宋体" w:hAnsi="宋体" w:cs="宋体" w:eastAsia="宋体" w:hint="default"/>
                <w:sz w:val="18"/>
                <w:szCs w:val="18"/>
              </w:rPr>
              <w:t>北京国环清华环境工程设计研究院有限公司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32" w:lineRule="exact"/>
              <w:ind w:right="177"/>
              <w:jc w:val="right"/>
              <w:rPr>
                <w:rFonts w:ascii="宋体" w:hAnsi="宋体" w:cs="宋体" w:eastAsia="宋体" w:hint="default"/>
                <w:sz w:val="18"/>
                <w:szCs w:val="18"/>
              </w:rPr>
            </w:pPr>
            <w:r>
              <w:rPr>
                <w:rFonts w:ascii="宋体"/>
                <w:spacing w:val="-1"/>
                <w:sz w:val="18"/>
              </w:rPr>
              <w:t>198.00</w:t>
            </w:r>
          </w:p>
        </w:tc>
        <w:tc>
          <w:tcPr>
            <w:tcW w:w="1459"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198.00</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北京清尚建筑装饰工程有限公司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33" w:lineRule="exact"/>
              <w:ind w:right="177"/>
              <w:jc w:val="right"/>
              <w:rPr>
                <w:rFonts w:ascii="宋体" w:hAnsi="宋体" w:cs="宋体" w:eastAsia="宋体" w:hint="default"/>
                <w:sz w:val="18"/>
                <w:szCs w:val="18"/>
              </w:rPr>
            </w:pPr>
            <w:r>
              <w:rPr>
                <w:rFonts w:ascii="宋体"/>
                <w:spacing w:val="-1"/>
                <w:sz w:val="18"/>
              </w:rPr>
              <w:t>140.80</w:t>
            </w:r>
          </w:p>
        </w:tc>
        <w:tc>
          <w:tcPr>
            <w:tcW w:w="1459"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140.80</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北京清控人居光电研究院有限公司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33" w:lineRule="exact"/>
              <w:ind w:right="177"/>
              <w:jc w:val="right"/>
              <w:rPr>
                <w:rFonts w:ascii="宋体" w:hAnsi="宋体" w:cs="宋体" w:eastAsia="宋体" w:hint="default"/>
                <w:sz w:val="18"/>
                <w:szCs w:val="18"/>
              </w:rPr>
            </w:pPr>
            <w:r>
              <w:rPr>
                <w:rFonts w:ascii="宋体"/>
                <w:sz w:val="18"/>
              </w:rPr>
              <w:t>0.00</w:t>
            </w:r>
          </w:p>
        </w:tc>
        <w:tc>
          <w:tcPr>
            <w:tcW w:w="1459"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22,611.45</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
        </w:tc>
        <w:tc>
          <w:tcPr>
            <w:tcW w:w="4523"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1655"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2" w:lineRule="exact"/>
              <w:ind w:left="258"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32" w:lineRule="exact"/>
              <w:ind w:right="176"/>
              <w:jc w:val="right"/>
              <w:rPr>
                <w:rFonts w:ascii="宋体" w:hAnsi="宋体" w:cs="宋体" w:eastAsia="宋体" w:hint="default"/>
                <w:sz w:val="18"/>
                <w:szCs w:val="18"/>
              </w:rPr>
            </w:pPr>
            <w:r>
              <w:rPr>
                <w:rFonts w:ascii="宋体"/>
                <w:spacing w:val="-1"/>
                <w:sz w:val="18"/>
              </w:rPr>
              <w:t>30,205,068.00</w:t>
            </w:r>
          </w:p>
        </w:tc>
        <w:tc>
          <w:tcPr>
            <w:tcW w:w="1459"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30,205,068.00</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中检科威（北京）科技有限公司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33" w:lineRule="exact"/>
              <w:ind w:right="176"/>
              <w:jc w:val="right"/>
              <w:rPr>
                <w:rFonts w:ascii="宋体" w:hAnsi="宋体" w:cs="宋体" w:eastAsia="宋体" w:hint="default"/>
                <w:sz w:val="18"/>
                <w:szCs w:val="18"/>
              </w:rPr>
            </w:pPr>
            <w:r>
              <w:rPr>
                <w:rFonts w:ascii="宋体"/>
                <w:spacing w:val="-1"/>
                <w:sz w:val="18"/>
              </w:rPr>
              <w:t>29,818,510.00</w:t>
            </w:r>
          </w:p>
        </w:tc>
        <w:tc>
          <w:tcPr>
            <w:tcW w:w="1459"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17,922,877.65</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陕西省广电同方数字电视有限责任公司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33" w:lineRule="exact"/>
              <w:ind w:right="178"/>
              <w:jc w:val="right"/>
              <w:rPr>
                <w:rFonts w:ascii="宋体" w:hAnsi="宋体" w:cs="宋体" w:eastAsia="宋体" w:hint="default"/>
                <w:sz w:val="18"/>
                <w:szCs w:val="18"/>
              </w:rPr>
            </w:pPr>
            <w:r>
              <w:rPr>
                <w:rFonts w:ascii="宋体"/>
                <w:spacing w:val="-1"/>
                <w:sz w:val="18"/>
              </w:rPr>
              <w:t>8,903,815.05</w:t>
            </w:r>
          </w:p>
        </w:tc>
        <w:tc>
          <w:tcPr>
            <w:tcW w:w="1459"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10,234,120.01</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33" w:lineRule="exact"/>
              <w:ind w:right="178"/>
              <w:jc w:val="right"/>
              <w:rPr>
                <w:rFonts w:ascii="宋体" w:hAnsi="宋体" w:cs="宋体" w:eastAsia="宋体" w:hint="default"/>
                <w:sz w:val="18"/>
                <w:szCs w:val="18"/>
              </w:rPr>
            </w:pPr>
            <w:r>
              <w:rPr>
                <w:rFonts w:ascii="宋体"/>
                <w:spacing w:val="-1"/>
                <w:sz w:val="18"/>
              </w:rPr>
              <w:t>6,904,929.95</w:t>
            </w:r>
          </w:p>
        </w:tc>
        <w:tc>
          <w:tcPr>
            <w:tcW w:w="1459"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6,904,929.95</w:t>
            </w:r>
          </w:p>
        </w:tc>
      </w:tr>
      <w:tr>
        <w:trPr>
          <w:trHeight w:val="285"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2" w:lineRule="exact"/>
              <w:ind w:left="258" w:right="0"/>
              <w:jc w:val="left"/>
              <w:rPr>
                <w:rFonts w:ascii="宋体" w:hAnsi="宋体" w:cs="宋体" w:eastAsia="宋体" w:hint="default"/>
                <w:sz w:val="18"/>
                <w:szCs w:val="18"/>
              </w:rPr>
            </w:pPr>
            <w:r>
              <w:rPr>
                <w:rFonts w:ascii="宋体" w:hAnsi="宋体" w:cs="宋体" w:eastAsia="宋体" w:hint="default"/>
                <w:sz w:val="18"/>
                <w:szCs w:val="18"/>
              </w:rPr>
              <w:t>山西左云晋能新能源发电有限公司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32" w:lineRule="exact"/>
              <w:ind w:right="178"/>
              <w:jc w:val="right"/>
              <w:rPr>
                <w:rFonts w:ascii="宋体" w:hAnsi="宋体" w:cs="宋体" w:eastAsia="宋体" w:hint="default"/>
                <w:sz w:val="18"/>
                <w:szCs w:val="18"/>
              </w:rPr>
            </w:pPr>
            <w:r>
              <w:rPr>
                <w:rFonts w:ascii="宋体"/>
                <w:spacing w:val="-1"/>
                <w:sz w:val="18"/>
              </w:rPr>
              <w:t>4,830,896.00</w:t>
            </w:r>
          </w:p>
        </w:tc>
        <w:tc>
          <w:tcPr>
            <w:tcW w:w="1459"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5,480,896.00</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洛阳同方数字电视有限公司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33" w:lineRule="exact"/>
              <w:ind w:right="178"/>
              <w:jc w:val="right"/>
              <w:rPr>
                <w:rFonts w:ascii="宋体" w:hAnsi="宋体" w:cs="宋体" w:eastAsia="宋体" w:hint="default"/>
                <w:sz w:val="18"/>
                <w:szCs w:val="18"/>
              </w:rPr>
            </w:pPr>
            <w:r>
              <w:rPr>
                <w:rFonts w:ascii="宋体"/>
                <w:spacing w:val="-1"/>
                <w:sz w:val="18"/>
              </w:rPr>
              <w:t>2,341,880.53</w:t>
            </w:r>
          </w:p>
        </w:tc>
        <w:tc>
          <w:tcPr>
            <w:tcW w:w="1459"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2,322,880.53</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江西清华泰豪三波电机有限公司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33" w:lineRule="exact"/>
              <w:ind w:right="178"/>
              <w:jc w:val="right"/>
              <w:rPr>
                <w:rFonts w:ascii="宋体" w:hAnsi="宋体" w:cs="宋体" w:eastAsia="宋体" w:hint="default"/>
                <w:sz w:val="18"/>
                <w:szCs w:val="18"/>
              </w:rPr>
            </w:pPr>
            <w:r>
              <w:rPr>
                <w:rFonts w:ascii="宋体"/>
                <w:spacing w:val="-1"/>
                <w:sz w:val="18"/>
              </w:rPr>
              <w:t>1,124,516.73</w:t>
            </w:r>
          </w:p>
        </w:tc>
        <w:tc>
          <w:tcPr>
            <w:tcW w:w="1459"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963,116.73</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易程（苏州）软件股份有限公司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33" w:lineRule="exact"/>
              <w:ind w:right="178"/>
              <w:jc w:val="right"/>
              <w:rPr>
                <w:rFonts w:ascii="宋体" w:hAnsi="宋体" w:cs="宋体" w:eastAsia="宋体" w:hint="default"/>
                <w:sz w:val="18"/>
                <w:szCs w:val="18"/>
              </w:rPr>
            </w:pPr>
            <w:r>
              <w:rPr>
                <w:rFonts w:ascii="宋体"/>
                <w:spacing w:val="-1"/>
                <w:sz w:val="18"/>
              </w:rPr>
              <w:t>1,008,000.00</w:t>
            </w:r>
          </w:p>
        </w:tc>
        <w:tc>
          <w:tcPr>
            <w:tcW w:w="1459"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1,008,000.00</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2" w:lineRule="exact"/>
              <w:ind w:left="258" w:right="0"/>
              <w:jc w:val="left"/>
              <w:rPr>
                <w:rFonts w:ascii="宋体" w:hAnsi="宋体" w:cs="宋体" w:eastAsia="宋体" w:hint="default"/>
                <w:sz w:val="18"/>
                <w:szCs w:val="18"/>
              </w:rPr>
            </w:pPr>
            <w:r>
              <w:rPr>
                <w:rFonts w:ascii="宋体" w:hAnsi="宋体" w:cs="宋体" w:eastAsia="宋体" w:hint="default"/>
                <w:sz w:val="18"/>
                <w:szCs w:val="18"/>
              </w:rPr>
              <w:t>张家口电广文化传媒有限公司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32" w:lineRule="exact"/>
              <w:ind w:right="178"/>
              <w:jc w:val="right"/>
              <w:rPr>
                <w:rFonts w:ascii="宋体" w:hAnsi="宋体" w:cs="宋体" w:eastAsia="宋体" w:hint="default"/>
                <w:sz w:val="18"/>
                <w:szCs w:val="18"/>
              </w:rPr>
            </w:pPr>
            <w:r>
              <w:rPr>
                <w:rFonts w:ascii="宋体"/>
                <w:spacing w:val="-1"/>
                <w:sz w:val="18"/>
              </w:rPr>
              <w:t>934,256.40</w:t>
            </w:r>
          </w:p>
        </w:tc>
        <w:tc>
          <w:tcPr>
            <w:tcW w:w="1459"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1,346,656.40</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易程（苏州）新技术股份有限公司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33" w:lineRule="exact"/>
              <w:ind w:right="178"/>
              <w:jc w:val="right"/>
              <w:rPr>
                <w:rFonts w:ascii="宋体" w:hAnsi="宋体" w:cs="宋体" w:eastAsia="宋体" w:hint="default"/>
                <w:sz w:val="18"/>
                <w:szCs w:val="18"/>
              </w:rPr>
            </w:pPr>
            <w:r>
              <w:rPr>
                <w:rFonts w:ascii="宋体"/>
                <w:spacing w:val="-1"/>
                <w:sz w:val="18"/>
              </w:rPr>
              <w:t>402,781.50</w:t>
            </w:r>
          </w:p>
        </w:tc>
        <w:tc>
          <w:tcPr>
            <w:tcW w:w="1459"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402,781.50</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重庆康乐制药有限公司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33" w:lineRule="exact"/>
              <w:ind w:right="178"/>
              <w:jc w:val="right"/>
              <w:rPr>
                <w:rFonts w:ascii="宋体" w:hAnsi="宋体" w:cs="宋体" w:eastAsia="宋体" w:hint="default"/>
                <w:sz w:val="18"/>
                <w:szCs w:val="18"/>
              </w:rPr>
            </w:pPr>
            <w:r>
              <w:rPr>
                <w:rFonts w:ascii="宋体"/>
                <w:spacing w:val="-1"/>
                <w:sz w:val="18"/>
              </w:rPr>
              <w:t>369,799.00</w:t>
            </w:r>
          </w:p>
        </w:tc>
        <w:tc>
          <w:tcPr>
            <w:tcW w:w="1459"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119,799.00</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达州广电同方无线数字电视有限公司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33" w:lineRule="exact"/>
              <w:ind w:right="178"/>
              <w:jc w:val="right"/>
              <w:rPr>
                <w:rFonts w:ascii="宋体" w:hAnsi="宋体" w:cs="宋体" w:eastAsia="宋体" w:hint="default"/>
                <w:sz w:val="18"/>
                <w:szCs w:val="18"/>
              </w:rPr>
            </w:pPr>
            <w:r>
              <w:rPr>
                <w:rFonts w:ascii="宋体"/>
                <w:spacing w:val="-1"/>
                <w:sz w:val="18"/>
              </w:rPr>
              <w:t>323,350.00</w:t>
            </w:r>
          </w:p>
        </w:tc>
        <w:tc>
          <w:tcPr>
            <w:tcW w:w="1459"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323,350.00</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nil" w:sz="6" w:space="0" w:color="auto"/>
              <w:right w:val="nil" w:sz="6" w:space="0" w:color="auto"/>
            </w:tcBorders>
          </w:tcPr>
          <w:p>
            <w:pPr>
              <w:pStyle w:val="TableParagraph"/>
              <w:spacing w:line="232" w:lineRule="exact"/>
              <w:ind w:left="258"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32" w:lineRule="exact"/>
              <w:ind w:right="178"/>
              <w:jc w:val="right"/>
              <w:rPr>
                <w:rFonts w:ascii="宋体" w:hAnsi="宋体" w:cs="宋体" w:eastAsia="宋体" w:hint="default"/>
                <w:sz w:val="18"/>
                <w:szCs w:val="18"/>
              </w:rPr>
            </w:pPr>
            <w:r>
              <w:rPr>
                <w:rFonts w:ascii="宋体"/>
                <w:spacing w:val="-1"/>
                <w:sz w:val="18"/>
              </w:rPr>
              <w:t>235,000.00</w:t>
            </w:r>
          </w:p>
        </w:tc>
        <w:tc>
          <w:tcPr>
            <w:tcW w:w="1459"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235,000.00</w:t>
            </w:r>
          </w:p>
        </w:tc>
      </w:tr>
      <w:tr>
        <w:trPr>
          <w:trHeight w:val="301" w:hRule="exact"/>
        </w:trPr>
        <w:tc>
          <w:tcPr>
            <w:tcW w:w="1103" w:type="dxa"/>
            <w:tcBorders>
              <w:top w:val="nil" w:sz="6" w:space="0" w:color="auto"/>
              <w:left w:val="nil" w:sz="6" w:space="0" w:color="auto"/>
              <w:bottom w:val="single" w:sz="12" w:space="0" w:color="000000"/>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23" w:type="dxa"/>
            <w:tcBorders>
              <w:top w:val="nil" w:sz="6" w:space="0" w:color="auto"/>
              <w:left w:val="nil" w:sz="6" w:space="0" w:color="auto"/>
              <w:bottom w:val="single" w:sz="12" w:space="0" w:color="000000"/>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运城市蓝星同方数字电视有限公司</w:t>
            </w:r>
          </w:p>
        </w:tc>
        <w:tc>
          <w:tcPr>
            <w:tcW w:w="1655" w:type="dxa"/>
            <w:tcBorders>
              <w:top w:val="nil" w:sz="6" w:space="0" w:color="auto"/>
              <w:left w:val="nil" w:sz="6" w:space="0" w:color="auto"/>
              <w:bottom w:val="single" w:sz="12" w:space="0" w:color="000000"/>
              <w:right w:val="nil" w:sz="6" w:space="0" w:color="auto"/>
            </w:tcBorders>
          </w:tcPr>
          <w:p>
            <w:pPr>
              <w:pStyle w:val="TableParagraph"/>
              <w:spacing w:line="233" w:lineRule="exact"/>
              <w:ind w:right="178"/>
              <w:jc w:val="right"/>
              <w:rPr>
                <w:rFonts w:ascii="宋体" w:hAnsi="宋体" w:cs="宋体" w:eastAsia="宋体" w:hint="default"/>
                <w:sz w:val="18"/>
                <w:szCs w:val="18"/>
              </w:rPr>
            </w:pPr>
            <w:r>
              <w:rPr>
                <w:rFonts w:ascii="宋体"/>
                <w:spacing w:val="-1"/>
                <w:sz w:val="18"/>
              </w:rPr>
              <w:t>204,750.00</w:t>
            </w:r>
          </w:p>
        </w:tc>
        <w:tc>
          <w:tcPr>
            <w:tcW w:w="1459" w:type="dxa"/>
            <w:tcBorders>
              <w:top w:val="nil" w:sz="6" w:space="0" w:color="auto"/>
              <w:left w:val="nil" w:sz="6" w:space="0" w:color="auto"/>
              <w:bottom w:val="single" w:sz="12" w:space="0" w:color="000000"/>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sz w:val="18"/>
              </w:rPr>
              <w:t>0.00</w:t>
            </w:r>
          </w:p>
        </w:tc>
      </w:tr>
    </w:tbl>
    <w:p>
      <w:pPr>
        <w:spacing w:after="0" w:line="233" w:lineRule="exact"/>
        <w:jc w:val="right"/>
        <w:rPr>
          <w:rFonts w:ascii="宋体" w:hAnsi="宋体" w:cs="宋体" w:eastAsia="宋体" w:hint="default"/>
          <w:sz w:val="18"/>
          <w:szCs w:val="18"/>
        </w:rPr>
        <w:sectPr>
          <w:pgSz w:w="11910" w:h="16840"/>
          <w:pgMar w:header="0" w:footer="1034" w:top="1320" w:bottom="1240" w:left="760" w:right="760"/>
        </w:sectPr>
      </w:pPr>
    </w:p>
    <w:p>
      <w:pPr>
        <w:spacing w:line="240" w:lineRule="auto" w:before="4"/>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192"/>
        <w:gridCol w:w="4434"/>
        <w:gridCol w:w="1699"/>
        <w:gridCol w:w="1415"/>
      </w:tblGrid>
      <w:tr>
        <w:trPr>
          <w:trHeight w:val="305" w:hRule="exact"/>
        </w:trPr>
        <w:tc>
          <w:tcPr>
            <w:tcW w:w="119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443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699"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44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41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8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2" w:hRule="exact"/>
        </w:trPr>
        <w:tc>
          <w:tcPr>
            <w:tcW w:w="1192" w:type="dxa"/>
            <w:tcBorders>
              <w:top w:val="single" w:sz="4" w:space="0" w:color="000000"/>
              <w:left w:val="nil" w:sz="6" w:space="0" w:color="auto"/>
              <w:bottom w:val="nil" w:sz="6" w:space="0" w:color="auto"/>
              <w:right w:val="nil" w:sz="6" w:space="0" w:color="auto"/>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434" w:type="dxa"/>
            <w:tcBorders>
              <w:top w:val="single" w:sz="4" w:space="0" w:color="000000"/>
              <w:left w:val="nil" w:sz="6" w:space="0" w:color="auto"/>
              <w:bottom w:val="nil" w:sz="6" w:space="0" w:color="auto"/>
              <w:right w:val="nil" w:sz="6" w:space="0" w:color="auto"/>
            </w:tcBorders>
          </w:tcPr>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日照广电同方数字电视有限公司</w:t>
            </w:r>
          </w:p>
        </w:tc>
        <w:tc>
          <w:tcPr>
            <w:tcW w:w="1699" w:type="dxa"/>
            <w:tcBorders>
              <w:top w:val="single" w:sz="4" w:space="0" w:color="000000"/>
              <w:left w:val="nil" w:sz="6" w:space="0" w:color="auto"/>
              <w:bottom w:val="nil" w:sz="6" w:space="0" w:color="auto"/>
              <w:right w:val="nil" w:sz="6" w:space="0" w:color="auto"/>
            </w:tcBorders>
          </w:tcPr>
          <w:p>
            <w:pPr>
              <w:pStyle w:val="TableParagraph"/>
              <w:spacing w:line="235" w:lineRule="exact"/>
              <w:ind w:right="222"/>
              <w:jc w:val="right"/>
              <w:rPr>
                <w:rFonts w:ascii="宋体" w:hAnsi="宋体" w:cs="宋体" w:eastAsia="宋体" w:hint="default"/>
                <w:sz w:val="18"/>
                <w:szCs w:val="18"/>
              </w:rPr>
            </w:pPr>
            <w:r>
              <w:rPr>
                <w:rFonts w:ascii="宋体"/>
                <w:spacing w:val="-1"/>
                <w:sz w:val="18"/>
              </w:rPr>
              <w:t>200,000.00</w:t>
            </w:r>
          </w:p>
        </w:tc>
        <w:tc>
          <w:tcPr>
            <w:tcW w:w="1415" w:type="dxa"/>
            <w:tcBorders>
              <w:top w:val="single" w:sz="4" w:space="0" w:color="000000"/>
              <w:left w:val="nil" w:sz="6" w:space="0" w:color="auto"/>
              <w:bottom w:val="nil" w:sz="6" w:space="0" w:color="auto"/>
              <w:right w:val="nil" w:sz="6" w:space="0" w:color="auto"/>
            </w:tcBorders>
          </w:tcPr>
          <w:p>
            <w:pPr>
              <w:pStyle w:val="TableParagraph"/>
              <w:spacing w:line="235" w:lineRule="exact"/>
              <w:ind w:right="107"/>
              <w:jc w:val="right"/>
              <w:rPr>
                <w:rFonts w:ascii="宋体" w:hAnsi="宋体" w:cs="宋体" w:eastAsia="宋体" w:hint="default"/>
                <w:sz w:val="18"/>
                <w:szCs w:val="18"/>
              </w:rPr>
            </w:pPr>
            <w:r>
              <w:rPr>
                <w:rFonts w:ascii="宋体"/>
                <w:spacing w:val="-1"/>
                <w:sz w:val="18"/>
              </w:rPr>
              <w:t>97,000.00</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广州同方瑞风节能科技股份有限公司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pacing w:val="-1"/>
                <w:sz w:val="18"/>
              </w:rPr>
              <w:t>180,241.00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218,902.00</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2" w:lineRule="exact"/>
              <w:ind w:left="169" w:right="0"/>
              <w:jc w:val="left"/>
              <w:rPr>
                <w:rFonts w:ascii="宋体" w:hAnsi="宋体" w:cs="宋体" w:eastAsia="宋体" w:hint="default"/>
                <w:sz w:val="18"/>
                <w:szCs w:val="18"/>
              </w:rPr>
            </w:pPr>
            <w:r>
              <w:rPr>
                <w:rFonts w:ascii="宋体" w:hAnsi="宋体" w:cs="宋体" w:eastAsia="宋体" w:hint="default"/>
                <w:sz w:val="18"/>
                <w:szCs w:val="18"/>
              </w:rPr>
              <w:t>许昌广电同方数字电视有限公司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2" w:lineRule="exact"/>
              <w:ind w:right="222"/>
              <w:jc w:val="right"/>
              <w:rPr>
                <w:rFonts w:ascii="宋体" w:hAnsi="宋体" w:cs="宋体" w:eastAsia="宋体" w:hint="default"/>
                <w:sz w:val="18"/>
                <w:szCs w:val="18"/>
              </w:rPr>
            </w:pPr>
            <w:r>
              <w:rPr>
                <w:rFonts w:ascii="宋体"/>
                <w:spacing w:val="-1"/>
                <w:sz w:val="18"/>
              </w:rPr>
              <w:t>175,658.00</w:t>
            </w:r>
          </w:p>
        </w:tc>
        <w:tc>
          <w:tcPr>
            <w:tcW w:w="141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pacing w:val="-1"/>
                <w:sz w:val="18"/>
              </w:rPr>
              <w:t>23,730.00</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北京中录同方文化传播有限公司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0"/>
              <w:jc w:val="right"/>
              <w:rPr>
                <w:rFonts w:ascii="宋体" w:hAnsi="宋体" w:cs="宋体" w:eastAsia="宋体" w:hint="default"/>
                <w:sz w:val="18"/>
                <w:szCs w:val="18"/>
              </w:rPr>
            </w:pPr>
            <w:r>
              <w:rPr>
                <w:rFonts w:ascii="宋体"/>
                <w:spacing w:val="-1"/>
                <w:sz w:val="18"/>
              </w:rPr>
              <w:t>90,107.50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90,107.50</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0"/>
              <w:jc w:val="right"/>
              <w:rPr>
                <w:rFonts w:ascii="宋体" w:hAnsi="宋体" w:cs="宋体" w:eastAsia="宋体" w:hint="default"/>
                <w:sz w:val="18"/>
                <w:szCs w:val="18"/>
              </w:rPr>
            </w:pPr>
            <w:r>
              <w:rPr>
                <w:rFonts w:ascii="宋体"/>
                <w:spacing w:val="-1"/>
                <w:sz w:val="18"/>
              </w:rPr>
              <w:t>36,268.00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36,268.00</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泉州广电同方数字电视有限公司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0"/>
              <w:jc w:val="right"/>
              <w:rPr>
                <w:rFonts w:ascii="宋体" w:hAnsi="宋体" w:cs="宋体" w:eastAsia="宋体" w:hint="default"/>
                <w:sz w:val="18"/>
                <w:szCs w:val="18"/>
              </w:rPr>
            </w:pPr>
            <w:r>
              <w:rPr>
                <w:rFonts w:ascii="宋体"/>
                <w:spacing w:val="-1"/>
                <w:sz w:val="18"/>
              </w:rPr>
              <w:t>20,500.00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sz w:val="18"/>
              </w:rPr>
              <w:t>0.00</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2" w:lineRule="exact"/>
              <w:ind w:left="169" w:right="0"/>
              <w:jc w:val="left"/>
              <w:rPr>
                <w:rFonts w:ascii="宋体" w:hAnsi="宋体" w:cs="宋体" w:eastAsia="宋体" w:hint="default"/>
                <w:sz w:val="18"/>
                <w:szCs w:val="18"/>
              </w:rPr>
            </w:pPr>
            <w:r>
              <w:rPr>
                <w:rFonts w:ascii="宋体" w:hAnsi="宋体" w:cs="宋体" w:eastAsia="宋体" w:hint="default"/>
                <w:sz w:val="18"/>
                <w:szCs w:val="18"/>
              </w:rPr>
              <w:t>开封广电同方数字电视有限公司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2" w:lineRule="exact"/>
              <w:ind w:right="222"/>
              <w:jc w:val="right"/>
              <w:rPr>
                <w:rFonts w:ascii="宋体" w:hAnsi="宋体" w:cs="宋体" w:eastAsia="宋体" w:hint="default"/>
                <w:sz w:val="18"/>
                <w:szCs w:val="18"/>
              </w:rPr>
            </w:pPr>
            <w:r>
              <w:rPr>
                <w:rFonts w:ascii="宋体"/>
                <w:spacing w:val="-1"/>
                <w:sz w:val="18"/>
              </w:rPr>
              <w:t>4,400.00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2" w:lineRule="exact"/>
              <w:ind w:right="109"/>
              <w:jc w:val="right"/>
              <w:rPr>
                <w:rFonts w:ascii="宋体" w:hAnsi="宋体" w:cs="宋体" w:eastAsia="宋体" w:hint="default"/>
                <w:sz w:val="18"/>
                <w:szCs w:val="18"/>
              </w:rPr>
            </w:pPr>
            <w:r>
              <w:rPr>
                <w:rFonts w:ascii="宋体"/>
                <w:sz w:val="18"/>
              </w:rPr>
              <w:t>0.00</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pacing w:val="-1"/>
                <w:sz w:val="18"/>
              </w:rPr>
              <w:t>110.00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110.00</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北京朗视仪器有限公司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z w:val="18"/>
              </w:rPr>
              <w:t>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1,800,000.00</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北京清控人居环境研究院有限公司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z w:val="18"/>
              </w:rPr>
              <w:t>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615,302.34</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2" w:lineRule="exact"/>
              <w:ind w:left="169" w:right="0"/>
              <w:jc w:val="left"/>
              <w:rPr>
                <w:rFonts w:ascii="宋体" w:hAnsi="宋体" w:cs="宋体" w:eastAsia="宋体" w:hint="default"/>
                <w:sz w:val="18"/>
                <w:szCs w:val="18"/>
              </w:rPr>
            </w:pPr>
            <w:r>
              <w:rPr>
                <w:rFonts w:ascii="宋体" w:hAnsi="宋体" w:cs="宋体" w:eastAsia="宋体" w:hint="default"/>
                <w:sz w:val="18"/>
                <w:szCs w:val="18"/>
              </w:rPr>
              <w:t>易程（苏州）电子科技股份有限公司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2" w:lineRule="exact"/>
              <w:ind w:right="222"/>
              <w:jc w:val="right"/>
              <w:rPr>
                <w:rFonts w:ascii="宋体" w:hAnsi="宋体" w:cs="宋体" w:eastAsia="宋体" w:hint="default"/>
                <w:sz w:val="18"/>
                <w:szCs w:val="18"/>
              </w:rPr>
            </w:pPr>
            <w:r>
              <w:rPr>
                <w:rFonts w:ascii="宋体"/>
                <w:sz w:val="18"/>
              </w:rPr>
              <w:t>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219,740.00</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商丘同方恒泰数字电视有限公司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z w:val="18"/>
              </w:rPr>
              <w:t>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197,600.00</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天门广电同方数字电视有限公司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z w:val="18"/>
              </w:rPr>
              <w:t>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40,000.00</w:t>
            </w:r>
          </w:p>
        </w:tc>
      </w:tr>
      <w:tr>
        <w:trPr>
          <w:trHeight w:val="285" w:hRule="exact"/>
        </w:trPr>
        <w:tc>
          <w:tcPr>
            <w:tcW w:w="1192" w:type="dxa"/>
            <w:tcBorders>
              <w:top w:val="nil" w:sz="6" w:space="0" w:color="auto"/>
              <w:left w:val="nil" w:sz="6" w:space="0" w:color="auto"/>
              <w:bottom w:val="nil" w:sz="6" w:space="0" w:color="auto"/>
              <w:right w:val="nil" w:sz="6" w:space="0" w:color="auto"/>
            </w:tcBorders>
          </w:tcPr>
          <w:p>
            <w:pP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清华大学及其下属单位：</w:t>
            </w:r>
            <w:r>
              <w:rPr>
                <w:rFonts w:ascii="宋体" w:hAnsi="宋体" w:cs="宋体" w:eastAsia="宋体" w:hint="default"/>
                <w:sz w:val="18"/>
                <w:szCs w:val="18"/>
              </w:rPr>
            </w:r>
          </w:p>
        </w:tc>
        <w:tc>
          <w:tcPr>
            <w:tcW w:w="1699"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2" w:lineRule="exact"/>
              <w:ind w:left="169"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699" w:type="dxa"/>
            <w:tcBorders>
              <w:top w:val="nil" w:sz="6" w:space="0" w:color="auto"/>
              <w:left w:val="nil" w:sz="6" w:space="0" w:color="auto"/>
              <w:bottom w:val="nil" w:sz="6" w:space="0" w:color="auto"/>
              <w:right w:val="nil" w:sz="6" w:space="0" w:color="auto"/>
            </w:tcBorders>
          </w:tcPr>
          <w:p>
            <w:pPr>
              <w:pStyle w:val="TableParagraph"/>
              <w:spacing w:line="232" w:lineRule="exact"/>
              <w:ind w:right="222"/>
              <w:jc w:val="right"/>
              <w:rPr>
                <w:rFonts w:ascii="宋体" w:hAnsi="宋体" w:cs="宋体" w:eastAsia="宋体" w:hint="default"/>
                <w:sz w:val="18"/>
                <w:szCs w:val="18"/>
              </w:rPr>
            </w:pPr>
            <w:r>
              <w:rPr>
                <w:rFonts w:ascii="宋体"/>
                <w:spacing w:val="-1"/>
                <w:sz w:val="18"/>
              </w:rPr>
              <w:t>7,040.00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249,185.53</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控股股东及受同一控股股东控制的其他企业：</w:t>
            </w:r>
            <w:r>
              <w:rPr>
                <w:rFonts w:ascii="宋体" w:hAnsi="宋体" w:cs="宋体" w:eastAsia="宋体" w:hint="default"/>
                <w:sz w:val="18"/>
                <w:szCs w:val="18"/>
              </w:rPr>
            </w:r>
          </w:p>
        </w:tc>
        <w:tc>
          <w:tcPr>
            <w:tcW w:w="1699"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清华同方光盘电子出版社</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0"/>
              <w:jc w:val="right"/>
              <w:rPr>
                <w:rFonts w:ascii="宋体" w:hAnsi="宋体" w:cs="宋体" w:eastAsia="宋体" w:hint="default"/>
                <w:sz w:val="18"/>
                <w:szCs w:val="18"/>
              </w:rPr>
            </w:pPr>
            <w:r>
              <w:rPr>
                <w:rFonts w:ascii="宋体"/>
                <w:spacing w:val="-1"/>
                <w:sz w:val="18"/>
              </w:rPr>
              <w:t>57,320.23</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57,320.23</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北京诚志永昌化工有限公司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0"/>
              <w:jc w:val="right"/>
              <w:rPr>
                <w:rFonts w:ascii="宋体" w:hAnsi="宋体" w:cs="宋体" w:eastAsia="宋体" w:hint="default"/>
                <w:sz w:val="18"/>
                <w:szCs w:val="18"/>
              </w:rPr>
            </w:pPr>
            <w:r>
              <w:rPr>
                <w:rFonts w:ascii="宋体"/>
                <w:spacing w:val="-1"/>
                <w:sz w:val="18"/>
              </w:rPr>
              <w:t>25,015.28</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25,015.28</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2" w:lineRule="exact"/>
              <w:ind w:left="169" w:right="0"/>
              <w:jc w:val="left"/>
              <w:rPr>
                <w:rFonts w:ascii="宋体" w:hAnsi="宋体" w:cs="宋体" w:eastAsia="宋体" w:hint="default"/>
                <w:sz w:val="18"/>
                <w:szCs w:val="18"/>
              </w:rPr>
            </w:pPr>
            <w:r>
              <w:rPr>
                <w:rFonts w:ascii="宋体" w:hAnsi="宋体" w:cs="宋体" w:eastAsia="宋体" w:hint="default"/>
                <w:sz w:val="18"/>
                <w:szCs w:val="18"/>
              </w:rPr>
              <w:t>北京华清物业管理有限责任公司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2" w:lineRule="exact"/>
              <w:ind w:right="222"/>
              <w:jc w:val="right"/>
              <w:rPr>
                <w:rFonts w:ascii="宋体" w:hAnsi="宋体" w:cs="宋体" w:eastAsia="宋体" w:hint="default"/>
                <w:sz w:val="18"/>
                <w:szCs w:val="18"/>
              </w:rPr>
            </w:pPr>
            <w:r>
              <w:rPr>
                <w:rFonts w:ascii="宋体"/>
                <w:spacing w:val="-1"/>
                <w:sz w:val="18"/>
              </w:rPr>
              <w:t>3,236.59</w:t>
            </w:r>
          </w:p>
        </w:tc>
        <w:tc>
          <w:tcPr>
            <w:tcW w:w="1415"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3,236.59</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1699"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同方鼎欣科技股份有限公司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0"/>
              <w:jc w:val="right"/>
              <w:rPr>
                <w:rFonts w:ascii="宋体" w:hAnsi="宋体" w:cs="宋体" w:eastAsia="宋体" w:hint="default"/>
                <w:sz w:val="18"/>
                <w:szCs w:val="18"/>
              </w:rPr>
            </w:pPr>
            <w:r>
              <w:rPr>
                <w:rFonts w:ascii="宋体"/>
                <w:spacing w:val="-1"/>
                <w:sz w:val="18"/>
              </w:rPr>
              <w:t>30,000,000.00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19,869.92</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易程（苏州）新技术股份有限公司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0"/>
              <w:jc w:val="right"/>
              <w:rPr>
                <w:rFonts w:ascii="宋体" w:hAnsi="宋体" w:cs="宋体" w:eastAsia="宋体" w:hint="default"/>
                <w:sz w:val="18"/>
                <w:szCs w:val="18"/>
              </w:rPr>
            </w:pPr>
            <w:r>
              <w:rPr>
                <w:rFonts w:ascii="宋体"/>
                <w:spacing w:val="-1"/>
                <w:sz w:val="18"/>
              </w:rPr>
              <w:t>30,000,000.00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sz w:val="18"/>
              </w:rPr>
              <w:t>0.00</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2" w:lineRule="exact"/>
              <w:ind w:left="169"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2" w:lineRule="exact"/>
              <w:ind w:right="222"/>
              <w:jc w:val="right"/>
              <w:rPr>
                <w:rFonts w:ascii="宋体" w:hAnsi="宋体" w:cs="宋体" w:eastAsia="宋体" w:hint="default"/>
                <w:sz w:val="18"/>
                <w:szCs w:val="18"/>
              </w:rPr>
            </w:pPr>
            <w:r>
              <w:rPr>
                <w:rFonts w:ascii="宋体"/>
                <w:spacing w:val="-1"/>
                <w:sz w:val="18"/>
              </w:rPr>
              <w:t>3,250,000.00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3,250,000.00</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pacing w:val="-1"/>
                <w:sz w:val="18"/>
              </w:rPr>
              <w:t>2,108,656.15</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2,108,656.15</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pacing w:val="-1"/>
                <w:sz w:val="18"/>
              </w:rPr>
              <w:t>883,774.23</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454,175.81</w:t>
            </w:r>
          </w:p>
        </w:tc>
      </w:tr>
      <w:tr>
        <w:trPr>
          <w:trHeight w:val="285"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pacing w:val="-1"/>
                <w:sz w:val="18"/>
              </w:rPr>
              <w:t>846,661.64</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846,661.64</w:t>
            </w:r>
          </w:p>
        </w:tc>
      </w:tr>
      <w:tr>
        <w:trPr>
          <w:trHeight w:val="285"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2" w:lineRule="exact"/>
              <w:ind w:left="169" w:right="0"/>
              <w:jc w:val="left"/>
              <w:rPr>
                <w:rFonts w:ascii="宋体" w:hAnsi="宋体" w:cs="宋体" w:eastAsia="宋体" w:hint="default"/>
                <w:sz w:val="18"/>
                <w:szCs w:val="18"/>
              </w:rPr>
            </w:pPr>
            <w:r>
              <w:rPr>
                <w:rFonts w:ascii="宋体" w:hAnsi="宋体" w:cs="宋体" w:eastAsia="宋体" w:hint="default"/>
                <w:sz w:val="18"/>
                <w:szCs w:val="18"/>
              </w:rPr>
              <w:t>同方全球人寿保险有限公司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2" w:lineRule="exact"/>
              <w:ind w:right="222"/>
              <w:jc w:val="right"/>
              <w:rPr>
                <w:rFonts w:ascii="宋体" w:hAnsi="宋体" w:cs="宋体" w:eastAsia="宋体" w:hint="default"/>
                <w:sz w:val="18"/>
                <w:szCs w:val="18"/>
              </w:rPr>
            </w:pPr>
            <w:r>
              <w:rPr>
                <w:rFonts w:ascii="宋体"/>
                <w:spacing w:val="-1"/>
                <w:sz w:val="18"/>
              </w:rPr>
              <w:t>100,000.00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pacing w:val="-1"/>
                <w:sz w:val="18"/>
              </w:rPr>
              <w:t>72,800.00</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陕西省广电同方数字电视有限责任公司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0"/>
              <w:jc w:val="right"/>
              <w:rPr>
                <w:rFonts w:ascii="宋体" w:hAnsi="宋体" w:cs="宋体" w:eastAsia="宋体" w:hint="default"/>
                <w:sz w:val="18"/>
                <w:szCs w:val="18"/>
              </w:rPr>
            </w:pPr>
            <w:r>
              <w:rPr>
                <w:rFonts w:ascii="宋体"/>
                <w:spacing w:val="-1"/>
                <w:sz w:val="18"/>
              </w:rPr>
              <w:t>25,038.49</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sz w:val="18"/>
              </w:rPr>
              <w:t>0.00</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商丘同方恒泰数字电视有限公司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0"/>
              <w:jc w:val="right"/>
              <w:rPr>
                <w:rFonts w:ascii="宋体" w:hAnsi="宋体" w:cs="宋体" w:eastAsia="宋体" w:hint="default"/>
                <w:sz w:val="18"/>
                <w:szCs w:val="18"/>
              </w:rPr>
            </w:pPr>
            <w:r>
              <w:rPr>
                <w:rFonts w:ascii="宋体"/>
                <w:spacing w:val="-1"/>
                <w:sz w:val="18"/>
              </w:rPr>
              <w:t>23,409.00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sz w:val="18"/>
              </w:rPr>
              <w:t>0.00</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濮阳广电同方数字电视有限公司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0"/>
              <w:jc w:val="right"/>
              <w:rPr>
                <w:rFonts w:ascii="宋体" w:hAnsi="宋体" w:cs="宋体" w:eastAsia="宋体" w:hint="default"/>
                <w:sz w:val="18"/>
                <w:szCs w:val="18"/>
              </w:rPr>
            </w:pPr>
            <w:r>
              <w:rPr>
                <w:rFonts w:ascii="宋体"/>
                <w:spacing w:val="-1"/>
                <w:sz w:val="18"/>
              </w:rPr>
              <w:t>12,385.00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sz w:val="18"/>
              </w:rPr>
              <w:t>0.00</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2" w:lineRule="exact"/>
              <w:ind w:left="169" w:right="0"/>
              <w:jc w:val="left"/>
              <w:rPr>
                <w:rFonts w:ascii="宋体" w:hAnsi="宋体" w:cs="宋体" w:eastAsia="宋体" w:hint="default"/>
                <w:sz w:val="18"/>
                <w:szCs w:val="18"/>
              </w:rPr>
            </w:pPr>
            <w:r>
              <w:rPr>
                <w:rFonts w:ascii="宋体" w:hAnsi="宋体" w:cs="宋体" w:eastAsia="宋体" w:hint="default"/>
                <w:sz w:val="18"/>
                <w:szCs w:val="18"/>
              </w:rPr>
              <w:t>迁安市华控环境投资有限责任公司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2" w:lineRule="exact"/>
              <w:ind w:right="222"/>
              <w:jc w:val="right"/>
              <w:rPr>
                <w:rFonts w:ascii="宋体" w:hAnsi="宋体" w:cs="宋体" w:eastAsia="宋体" w:hint="default"/>
                <w:sz w:val="18"/>
                <w:szCs w:val="18"/>
              </w:rPr>
            </w:pPr>
            <w:r>
              <w:rPr>
                <w:rFonts w:ascii="宋体"/>
                <w:spacing w:val="-1"/>
                <w:sz w:val="18"/>
              </w:rPr>
              <w:t>3,008.00</w:t>
            </w:r>
          </w:p>
        </w:tc>
        <w:tc>
          <w:tcPr>
            <w:tcW w:w="1415" w:type="dxa"/>
            <w:tcBorders>
              <w:top w:val="nil" w:sz="6" w:space="0" w:color="auto"/>
              <w:left w:val="nil" w:sz="6" w:space="0" w:color="auto"/>
              <w:bottom w:val="nil" w:sz="6" w:space="0" w:color="auto"/>
              <w:right w:val="nil" w:sz="6" w:space="0" w:color="auto"/>
            </w:tcBorders>
          </w:tcPr>
          <w:p>
            <w:pPr>
              <w:pStyle w:val="TableParagraph"/>
              <w:spacing w:line="232" w:lineRule="exact"/>
              <w:ind w:right="109"/>
              <w:jc w:val="right"/>
              <w:rPr>
                <w:rFonts w:ascii="宋体" w:hAnsi="宋体" w:cs="宋体" w:eastAsia="宋体" w:hint="default"/>
                <w:sz w:val="18"/>
                <w:szCs w:val="18"/>
              </w:rPr>
            </w:pPr>
            <w:r>
              <w:rPr>
                <w:rFonts w:ascii="宋体"/>
                <w:sz w:val="18"/>
              </w:rPr>
              <w:t>0.00</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北京海视安数据科技有限公司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z w:val="18"/>
              </w:rPr>
              <w:t>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4,900,000.00</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sz w:val="18"/>
              </w:rPr>
              <w:t>Tongfang Kontafarma Holdings</w:t>
            </w:r>
            <w:r>
              <w:rPr>
                <w:rFonts w:ascii="宋体"/>
                <w:spacing w:val="-13"/>
                <w:sz w:val="18"/>
              </w:rPr>
              <w:t> </w:t>
            </w:r>
            <w:r>
              <w:rPr>
                <w:rFonts w:ascii="宋体"/>
                <w:sz w:val="18"/>
              </w:rPr>
              <w:t>Limited</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z w:val="18"/>
              </w:rPr>
              <w:t>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2,321,234.04</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南阳广电同方数字电视有限责任公司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z w:val="18"/>
              </w:rPr>
              <w:t>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48,939.00</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2" w:lineRule="exact"/>
              <w:ind w:left="169" w:right="0"/>
              <w:jc w:val="left"/>
              <w:rPr>
                <w:rFonts w:ascii="宋体" w:hAnsi="宋体" w:cs="宋体" w:eastAsia="宋体" w:hint="default"/>
                <w:sz w:val="18"/>
                <w:szCs w:val="18"/>
              </w:rPr>
            </w:pPr>
            <w:r>
              <w:rPr>
                <w:rFonts w:ascii="宋体" w:hAnsi="宋体" w:cs="宋体" w:eastAsia="宋体" w:hint="default"/>
                <w:sz w:val="18"/>
                <w:szCs w:val="18"/>
              </w:rPr>
              <w:t>北京清控人居环境研究院有限公司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2" w:lineRule="exact"/>
              <w:ind w:right="222"/>
              <w:jc w:val="right"/>
              <w:rPr>
                <w:rFonts w:ascii="宋体" w:hAnsi="宋体" w:cs="宋体" w:eastAsia="宋体" w:hint="default"/>
                <w:sz w:val="18"/>
                <w:szCs w:val="18"/>
              </w:rPr>
            </w:pPr>
            <w:r>
              <w:rPr>
                <w:rFonts w:ascii="宋体"/>
                <w:sz w:val="18"/>
              </w:rPr>
              <w:t>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2,797.80</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天门广电同方数字电视有限公司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z w:val="18"/>
              </w:rPr>
              <w:t>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1,745.00</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清华大学及其下属单位：</w:t>
            </w:r>
            <w:r>
              <w:rPr>
                <w:rFonts w:ascii="宋体" w:hAnsi="宋体" w:cs="宋体" w:eastAsia="宋体" w:hint="default"/>
                <w:sz w:val="18"/>
                <w:szCs w:val="18"/>
              </w:rPr>
            </w:r>
          </w:p>
        </w:tc>
        <w:tc>
          <w:tcPr>
            <w:tcW w:w="1699"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
        </w:tc>
      </w:tr>
      <w:tr>
        <w:trPr>
          <w:trHeight w:val="285"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pacing w:val="-1"/>
                <w:sz w:val="18"/>
              </w:rPr>
              <w:t>104,220.22</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75,820.22</w:t>
            </w:r>
          </w:p>
        </w:tc>
      </w:tr>
      <w:tr>
        <w:trPr>
          <w:trHeight w:val="285"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2" w:lineRule="exact"/>
              <w:ind w:left="169" w:right="0"/>
              <w:jc w:val="left"/>
              <w:rPr>
                <w:rFonts w:ascii="宋体" w:hAnsi="宋体" w:cs="宋体" w:eastAsia="宋体" w:hint="default"/>
                <w:sz w:val="18"/>
                <w:szCs w:val="18"/>
              </w:rPr>
            </w:pPr>
            <w:r>
              <w:rPr>
                <w:rFonts w:ascii="宋体" w:hAnsi="宋体" w:cs="宋体" w:eastAsia="宋体" w:hint="default"/>
                <w:sz w:val="18"/>
                <w:szCs w:val="18"/>
              </w:rPr>
              <w:t>北京通力华清科技有限责任公司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2" w:lineRule="exact"/>
              <w:ind w:right="222"/>
              <w:jc w:val="right"/>
              <w:rPr>
                <w:rFonts w:ascii="宋体" w:hAnsi="宋体" w:cs="宋体" w:eastAsia="宋体" w:hint="default"/>
                <w:sz w:val="18"/>
                <w:szCs w:val="18"/>
              </w:rPr>
            </w:pPr>
            <w:r>
              <w:rPr>
                <w:rFonts w:ascii="宋体"/>
                <w:spacing w:val="-1"/>
                <w:sz w:val="18"/>
              </w:rPr>
              <w:t>1,887,982.67</w:t>
            </w:r>
          </w:p>
        </w:tc>
        <w:tc>
          <w:tcPr>
            <w:tcW w:w="1415"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3,531,470.08</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河北华控弘屹科技有限公司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pacing w:val="-1"/>
                <w:sz w:val="18"/>
              </w:rPr>
              <w:t>300,000.00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300,000.00</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北京华控通力科技有限公司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pacing w:val="-1"/>
                <w:sz w:val="18"/>
              </w:rPr>
              <w:t>4,200.00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sz w:val="18"/>
              </w:rPr>
              <w:t>0.00</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控股股东及受同一控股股东控制的其他企业：</w:t>
            </w:r>
            <w:r>
              <w:rPr>
                <w:rFonts w:ascii="宋体" w:hAnsi="宋体" w:cs="宋体" w:eastAsia="宋体" w:hint="default"/>
                <w:sz w:val="18"/>
                <w:szCs w:val="18"/>
              </w:rPr>
            </w:r>
          </w:p>
        </w:tc>
        <w:tc>
          <w:tcPr>
            <w:tcW w:w="1699"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2" w:lineRule="exact"/>
              <w:ind w:left="169" w:right="0"/>
              <w:jc w:val="left"/>
              <w:rPr>
                <w:rFonts w:ascii="宋体" w:hAnsi="宋体" w:cs="宋体" w:eastAsia="宋体" w:hint="default"/>
                <w:sz w:val="18"/>
                <w:szCs w:val="18"/>
              </w:rPr>
            </w:pPr>
            <w:r>
              <w:rPr>
                <w:rFonts w:ascii="宋体" w:hAnsi="宋体" w:cs="宋体" w:eastAsia="宋体" w:hint="default"/>
                <w:sz w:val="18"/>
                <w:szCs w:val="18"/>
              </w:rPr>
              <w:t>《中国学术期刊（光盘版）》电子杂志社有限公司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2" w:lineRule="exact"/>
              <w:ind w:right="220"/>
              <w:jc w:val="right"/>
              <w:rPr>
                <w:rFonts w:ascii="宋体" w:hAnsi="宋体" w:cs="宋体" w:eastAsia="宋体" w:hint="default"/>
                <w:sz w:val="18"/>
                <w:szCs w:val="18"/>
              </w:rPr>
            </w:pPr>
            <w:r>
              <w:rPr>
                <w:rFonts w:ascii="宋体"/>
                <w:spacing w:val="-1"/>
                <w:sz w:val="18"/>
              </w:rPr>
              <w:t>18,113,604.66</w:t>
            </w:r>
          </w:p>
        </w:tc>
        <w:tc>
          <w:tcPr>
            <w:tcW w:w="1415"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7,693,704.48</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北京华业阳光新能源有限公司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pacing w:val="-1"/>
                <w:sz w:val="18"/>
              </w:rPr>
              <w:t>1,040,012.00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1,040,012.00</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紫光软件系统有限公司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pacing w:val="-1"/>
                <w:sz w:val="18"/>
              </w:rPr>
              <w:t>5,000.00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5,000.00</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434"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紫光华山科技服务有限公司</w:t>
            </w:r>
          </w:p>
        </w:tc>
        <w:tc>
          <w:tcPr>
            <w:tcW w:w="1699"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z w:val="18"/>
              </w:rPr>
              <w:t>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546,000.00</w:t>
            </w:r>
          </w:p>
        </w:tc>
      </w:tr>
      <w:tr>
        <w:trPr>
          <w:trHeight w:val="300" w:hRule="exact"/>
        </w:trPr>
        <w:tc>
          <w:tcPr>
            <w:tcW w:w="1192" w:type="dxa"/>
            <w:tcBorders>
              <w:top w:val="nil" w:sz="6" w:space="0" w:color="auto"/>
              <w:left w:val="nil" w:sz="6" w:space="0" w:color="auto"/>
              <w:bottom w:val="single" w:sz="12" w:space="0" w:color="000000"/>
              <w:right w:val="nil" w:sz="6" w:space="0" w:color="auto"/>
            </w:tcBorders>
          </w:tcPr>
          <w:p>
            <w:pPr/>
          </w:p>
        </w:tc>
        <w:tc>
          <w:tcPr>
            <w:tcW w:w="4434" w:type="dxa"/>
            <w:tcBorders>
              <w:top w:val="nil" w:sz="6" w:space="0" w:color="auto"/>
              <w:left w:val="nil" w:sz="6" w:space="0" w:color="auto"/>
              <w:bottom w:val="single" w:sz="12" w:space="0" w:color="000000"/>
              <w:right w:val="nil" w:sz="6" w:space="0" w:color="auto"/>
            </w:tcBorders>
          </w:tcPr>
          <w:p>
            <w:pPr>
              <w:pStyle w:val="TableParagraph"/>
              <w:spacing w:line="232"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1699" w:type="dxa"/>
            <w:tcBorders>
              <w:top w:val="nil" w:sz="6" w:space="0" w:color="auto"/>
              <w:left w:val="nil" w:sz="6" w:space="0" w:color="auto"/>
              <w:bottom w:val="single" w:sz="12" w:space="0" w:color="000000"/>
              <w:right w:val="nil" w:sz="6" w:space="0" w:color="auto"/>
            </w:tcBorders>
          </w:tcPr>
          <w:p>
            <w:pPr/>
          </w:p>
        </w:tc>
        <w:tc>
          <w:tcPr>
            <w:tcW w:w="1415" w:type="dxa"/>
            <w:tcBorders>
              <w:top w:val="nil" w:sz="6" w:space="0" w:color="auto"/>
              <w:left w:val="nil" w:sz="6" w:space="0" w:color="auto"/>
              <w:bottom w:val="single" w:sz="12" w:space="0" w:color="000000"/>
              <w:right w:val="nil" w:sz="6" w:space="0" w:color="auto"/>
            </w:tcBorders>
          </w:tcPr>
          <w:p>
            <w:pPr/>
          </w:p>
        </w:tc>
      </w:tr>
    </w:tbl>
    <w:p>
      <w:pPr>
        <w:spacing w:after="0"/>
        <w:sectPr>
          <w:pgSz w:w="11910" w:h="16840"/>
          <w:pgMar w:header="0" w:footer="1034" w:top="1320" w:bottom="1220" w:left="1460" w:right="1480"/>
        </w:sectPr>
      </w:pPr>
    </w:p>
    <w:p>
      <w:pPr>
        <w:spacing w:line="240" w:lineRule="auto" w:before="4"/>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103"/>
        <w:gridCol w:w="3938"/>
        <w:gridCol w:w="2285"/>
        <w:gridCol w:w="1415"/>
      </w:tblGrid>
      <w:tr>
        <w:trPr>
          <w:trHeight w:val="305" w:hRule="exact"/>
        </w:trPr>
        <w:tc>
          <w:tcPr>
            <w:tcW w:w="110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93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58"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28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2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41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8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2" w:hRule="exact"/>
        </w:trPr>
        <w:tc>
          <w:tcPr>
            <w:tcW w:w="1103" w:type="dxa"/>
            <w:tcBorders>
              <w:top w:val="single" w:sz="4" w:space="0" w:color="000000"/>
              <w:left w:val="nil" w:sz="6" w:space="0" w:color="auto"/>
              <w:bottom w:val="nil" w:sz="6" w:space="0" w:color="auto"/>
              <w:right w:val="nil" w:sz="6" w:space="0" w:color="auto"/>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938" w:type="dxa"/>
            <w:tcBorders>
              <w:top w:val="single" w:sz="4" w:space="0" w:color="000000"/>
              <w:left w:val="nil" w:sz="6" w:space="0" w:color="auto"/>
              <w:bottom w:val="nil" w:sz="6" w:space="0" w:color="auto"/>
              <w:right w:val="nil" w:sz="6" w:space="0" w:color="auto"/>
            </w:tcBorders>
          </w:tcPr>
          <w:p>
            <w:pPr>
              <w:pStyle w:val="TableParagraph"/>
              <w:spacing w:line="235" w:lineRule="exact"/>
              <w:ind w:left="25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285" w:type="dxa"/>
            <w:tcBorders>
              <w:top w:val="single" w:sz="4" w:space="0" w:color="000000"/>
              <w:left w:val="nil" w:sz="6" w:space="0" w:color="auto"/>
              <w:bottom w:val="nil" w:sz="6" w:space="0" w:color="auto"/>
              <w:right w:val="nil" w:sz="6" w:space="0" w:color="auto"/>
            </w:tcBorders>
          </w:tcPr>
          <w:p>
            <w:pPr>
              <w:pStyle w:val="TableParagraph"/>
              <w:spacing w:line="235" w:lineRule="exact"/>
              <w:ind w:right="222"/>
              <w:jc w:val="right"/>
              <w:rPr>
                <w:rFonts w:ascii="宋体" w:hAnsi="宋体" w:cs="宋体" w:eastAsia="宋体" w:hint="default"/>
                <w:sz w:val="18"/>
                <w:szCs w:val="18"/>
              </w:rPr>
            </w:pPr>
            <w:r>
              <w:rPr>
                <w:rFonts w:ascii="宋体"/>
                <w:spacing w:val="-1"/>
                <w:sz w:val="18"/>
              </w:rPr>
              <w:t>2,454,000.00</w:t>
            </w:r>
          </w:p>
        </w:tc>
        <w:tc>
          <w:tcPr>
            <w:tcW w:w="1415" w:type="dxa"/>
            <w:tcBorders>
              <w:top w:val="single" w:sz="4" w:space="0" w:color="000000"/>
              <w:left w:val="nil" w:sz="6" w:space="0" w:color="auto"/>
              <w:bottom w:val="nil" w:sz="6" w:space="0" w:color="auto"/>
              <w:right w:val="nil" w:sz="6" w:space="0" w:color="auto"/>
            </w:tcBorders>
          </w:tcPr>
          <w:p>
            <w:pPr>
              <w:pStyle w:val="TableParagraph"/>
              <w:spacing w:line="235" w:lineRule="exact"/>
              <w:ind w:right="110"/>
              <w:jc w:val="right"/>
              <w:rPr>
                <w:rFonts w:ascii="宋体" w:hAnsi="宋体" w:cs="宋体" w:eastAsia="宋体" w:hint="default"/>
                <w:sz w:val="18"/>
                <w:szCs w:val="18"/>
              </w:rPr>
            </w:pPr>
            <w:r>
              <w:rPr>
                <w:rFonts w:ascii="宋体"/>
                <w:spacing w:val="-1"/>
                <w:sz w:val="18"/>
              </w:rPr>
              <w:t>2,454,000.00</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938"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新鸿电子有限公司</w:t>
            </w:r>
          </w:p>
        </w:tc>
        <w:tc>
          <w:tcPr>
            <w:tcW w:w="2285"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pacing w:val="-1"/>
                <w:sz w:val="18"/>
              </w:rPr>
              <w:t>2,322,800.00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350,000.00</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938" w:type="dxa"/>
            <w:tcBorders>
              <w:top w:val="nil" w:sz="6" w:space="0" w:color="auto"/>
              <w:left w:val="nil" w:sz="6" w:space="0" w:color="auto"/>
              <w:bottom w:val="nil" w:sz="6" w:space="0" w:color="auto"/>
              <w:right w:val="nil" w:sz="6" w:space="0" w:color="auto"/>
            </w:tcBorders>
          </w:tcPr>
          <w:p>
            <w:pPr>
              <w:pStyle w:val="TableParagraph"/>
              <w:spacing w:line="232" w:lineRule="exact"/>
              <w:ind w:left="258"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285" w:type="dxa"/>
            <w:tcBorders>
              <w:top w:val="nil" w:sz="6" w:space="0" w:color="auto"/>
              <w:left w:val="nil" w:sz="6" w:space="0" w:color="auto"/>
              <w:bottom w:val="nil" w:sz="6" w:space="0" w:color="auto"/>
              <w:right w:val="nil" w:sz="6" w:space="0" w:color="auto"/>
            </w:tcBorders>
          </w:tcPr>
          <w:p>
            <w:pPr>
              <w:pStyle w:val="TableParagraph"/>
              <w:spacing w:line="232" w:lineRule="exact"/>
              <w:ind w:right="222"/>
              <w:jc w:val="right"/>
              <w:rPr>
                <w:rFonts w:ascii="宋体" w:hAnsi="宋体" w:cs="宋体" w:eastAsia="宋体" w:hint="default"/>
                <w:sz w:val="18"/>
                <w:szCs w:val="18"/>
              </w:rPr>
            </w:pPr>
            <w:r>
              <w:rPr>
                <w:rFonts w:ascii="宋体"/>
                <w:spacing w:val="-1"/>
                <w:sz w:val="18"/>
              </w:rPr>
              <w:t>2,210,219.17</w:t>
            </w:r>
          </w:p>
        </w:tc>
        <w:tc>
          <w:tcPr>
            <w:tcW w:w="1415"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2,210,219.17</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938"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北京同方时讯电子股份有限公司</w:t>
            </w:r>
          </w:p>
        </w:tc>
        <w:tc>
          <w:tcPr>
            <w:tcW w:w="2285"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pacing w:val="-1"/>
                <w:sz w:val="18"/>
              </w:rPr>
              <w:t>1,389,029.94</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1,389,029.94</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938"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广州同方瑞风节能科技股份有限公司</w:t>
            </w:r>
          </w:p>
        </w:tc>
        <w:tc>
          <w:tcPr>
            <w:tcW w:w="2285"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pacing w:val="-1"/>
                <w:sz w:val="18"/>
              </w:rPr>
              <w:t>199,388.00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208,288.00</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938"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广州同艺照明有限公司</w:t>
            </w:r>
          </w:p>
        </w:tc>
        <w:tc>
          <w:tcPr>
            <w:tcW w:w="2285"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pacing w:val="-1"/>
                <w:sz w:val="18"/>
              </w:rPr>
              <w:t>128,000.00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128,000.00</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938" w:type="dxa"/>
            <w:tcBorders>
              <w:top w:val="nil" w:sz="6" w:space="0" w:color="auto"/>
              <w:left w:val="nil" w:sz="6" w:space="0" w:color="auto"/>
              <w:bottom w:val="nil" w:sz="6" w:space="0" w:color="auto"/>
              <w:right w:val="nil" w:sz="6" w:space="0" w:color="auto"/>
            </w:tcBorders>
          </w:tcPr>
          <w:p>
            <w:pPr>
              <w:pStyle w:val="TableParagraph"/>
              <w:spacing w:line="232" w:lineRule="exact"/>
              <w:ind w:left="258" w:right="0"/>
              <w:jc w:val="left"/>
              <w:rPr>
                <w:rFonts w:ascii="宋体" w:hAnsi="宋体" w:cs="宋体" w:eastAsia="宋体" w:hint="default"/>
                <w:sz w:val="18"/>
                <w:szCs w:val="18"/>
              </w:rPr>
            </w:pPr>
            <w:r>
              <w:rPr>
                <w:rFonts w:ascii="宋体" w:hAnsi="宋体" w:cs="宋体" w:eastAsia="宋体" w:hint="default"/>
                <w:sz w:val="18"/>
                <w:szCs w:val="18"/>
              </w:rPr>
              <w:t>深圳同方信息技术有限公司</w:t>
            </w:r>
          </w:p>
        </w:tc>
        <w:tc>
          <w:tcPr>
            <w:tcW w:w="2285" w:type="dxa"/>
            <w:tcBorders>
              <w:top w:val="nil" w:sz="6" w:space="0" w:color="auto"/>
              <w:left w:val="nil" w:sz="6" w:space="0" w:color="auto"/>
              <w:bottom w:val="nil" w:sz="6" w:space="0" w:color="auto"/>
              <w:right w:val="nil" w:sz="6" w:space="0" w:color="auto"/>
            </w:tcBorders>
          </w:tcPr>
          <w:p>
            <w:pPr>
              <w:pStyle w:val="TableParagraph"/>
              <w:spacing w:line="232" w:lineRule="exact"/>
              <w:ind w:right="220"/>
              <w:jc w:val="right"/>
              <w:rPr>
                <w:rFonts w:ascii="宋体" w:hAnsi="宋体" w:cs="宋体" w:eastAsia="宋体" w:hint="default"/>
                <w:sz w:val="18"/>
                <w:szCs w:val="18"/>
              </w:rPr>
            </w:pPr>
            <w:r>
              <w:rPr>
                <w:rFonts w:ascii="宋体"/>
                <w:spacing w:val="-1"/>
                <w:sz w:val="18"/>
              </w:rPr>
              <w:t>45,000.00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pacing w:val="-1"/>
                <w:sz w:val="18"/>
              </w:rPr>
              <w:t>45,000.00</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938"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2285" w:type="dxa"/>
            <w:tcBorders>
              <w:top w:val="nil" w:sz="6" w:space="0" w:color="auto"/>
              <w:left w:val="nil" w:sz="6" w:space="0" w:color="auto"/>
              <w:bottom w:val="nil" w:sz="6" w:space="0" w:color="auto"/>
              <w:right w:val="nil" w:sz="6" w:space="0" w:color="auto"/>
            </w:tcBorders>
          </w:tcPr>
          <w:p>
            <w:pPr>
              <w:pStyle w:val="TableParagraph"/>
              <w:spacing w:line="233" w:lineRule="exact"/>
              <w:ind w:right="220"/>
              <w:jc w:val="right"/>
              <w:rPr>
                <w:rFonts w:ascii="宋体" w:hAnsi="宋体" w:cs="宋体" w:eastAsia="宋体" w:hint="default"/>
                <w:sz w:val="18"/>
                <w:szCs w:val="18"/>
              </w:rPr>
            </w:pPr>
            <w:r>
              <w:rPr>
                <w:rFonts w:ascii="宋体"/>
                <w:spacing w:val="-1"/>
                <w:sz w:val="18"/>
              </w:rPr>
              <w:t>44,433.35</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44,433.35</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938"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北京文录激光科技有限公司</w:t>
            </w:r>
          </w:p>
        </w:tc>
        <w:tc>
          <w:tcPr>
            <w:tcW w:w="2285" w:type="dxa"/>
            <w:tcBorders>
              <w:top w:val="nil" w:sz="6" w:space="0" w:color="auto"/>
              <w:left w:val="nil" w:sz="6" w:space="0" w:color="auto"/>
              <w:bottom w:val="nil" w:sz="6" w:space="0" w:color="auto"/>
              <w:right w:val="nil" w:sz="6" w:space="0" w:color="auto"/>
            </w:tcBorders>
          </w:tcPr>
          <w:p>
            <w:pPr>
              <w:pStyle w:val="TableParagraph"/>
              <w:spacing w:line="233" w:lineRule="exact"/>
              <w:ind w:right="220"/>
              <w:jc w:val="right"/>
              <w:rPr>
                <w:rFonts w:ascii="宋体" w:hAnsi="宋体" w:cs="宋体" w:eastAsia="宋体" w:hint="default"/>
                <w:sz w:val="18"/>
                <w:szCs w:val="18"/>
              </w:rPr>
            </w:pPr>
            <w:r>
              <w:rPr>
                <w:rFonts w:ascii="宋体"/>
                <w:spacing w:val="-1"/>
                <w:sz w:val="18"/>
              </w:rPr>
              <w:t>28,000.00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28,000.00</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938"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泰豪科技（深圳）电力技术有限公司</w:t>
            </w:r>
          </w:p>
        </w:tc>
        <w:tc>
          <w:tcPr>
            <w:tcW w:w="2285" w:type="dxa"/>
            <w:tcBorders>
              <w:top w:val="nil" w:sz="6" w:space="0" w:color="auto"/>
              <w:left w:val="nil" w:sz="6" w:space="0" w:color="auto"/>
              <w:bottom w:val="nil" w:sz="6" w:space="0" w:color="auto"/>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z w:val="18"/>
              </w:rPr>
              <w:t>0.00</w:t>
            </w:r>
          </w:p>
        </w:tc>
        <w:tc>
          <w:tcPr>
            <w:tcW w:w="1415"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191,550.00</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
        </w:tc>
        <w:tc>
          <w:tcPr>
            <w:tcW w:w="3938" w:type="dxa"/>
            <w:tcBorders>
              <w:top w:val="nil" w:sz="6" w:space="0" w:color="auto"/>
              <w:left w:val="nil" w:sz="6" w:space="0" w:color="auto"/>
              <w:bottom w:val="nil" w:sz="6" w:space="0" w:color="auto"/>
              <w:right w:val="nil" w:sz="6" w:space="0" w:color="auto"/>
            </w:tcBorders>
          </w:tcPr>
          <w:p>
            <w:pPr>
              <w:pStyle w:val="TableParagraph"/>
              <w:spacing w:line="232" w:lineRule="exact"/>
              <w:ind w:left="258"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2285" w:type="dxa"/>
            <w:tcBorders>
              <w:top w:val="nil" w:sz="6" w:space="0" w:color="auto"/>
              <w:left w:val="nil" w:sz="6" w:space="0" w:color="auto"/>
              <w:bottom w:val="nil" w:sz="6" w:space="0" w:color="auto"/>
              <w:right w:val="nil" w:sz="6" w:space="0" w:color="auto"/>
            </w:tcBorders>
          </w:tcPr>
          <w:p>
            <w:pPr/>
          </w:p>
        </w:tc>
        <w:tc>
          <w:tcPr>
            <w:tcW w:w="1415" w:type="dxa"/>
            <w:tcBorders>
              <w:top w:val="nil" w:sz="6" w:space="0" w:color="auto"/>
              <w:left w:val="nil" w:sz="6" w:space="0" w:color="auto"/>
              <w:bottom w:val="nil" w:sz="6" w:space="0" w:color="auto"/>
              <w:right w:val="nil" w:sz="6" w:space="0" w:color="auto"/>
            </w:tcBorders>
          </w:tcPr>
          <w:p>
            <w:pPr/>
          </w:p>
        </w:tc>
      </w:tr>
      <w:tr>
        <w:trPr>
          <w:trHeight w:val="301" w:hRule="exact"/>
        </w:trPr>
        <w:tc>
          <w:tcPr>
            <w:tcW w:w="1103" w:type="dxa"/>
            <w:tcBorders>
              <w:top w:val="nil" w:sz="6" w:space="0" w:color="auto"/>
              <w:left w:val="nil" w:sz="6" w:space="0" w:color="auto"/>
              <w:bottom w:val="single" w:sz="12" w:space="0" w:color="000000"/>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938" w:type="dxa"/>
            <w:tcBorders>
              <w:top w:val="nil" w:sz="6" w:space="0" w:color="auto"/>
              <w:left w:val="nil" w:sz="6" w:space="0" w:color="auto"/>
              <w:bottom w:val="single" w:sz="12" w:space="0" w:color="000000"/>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同方国信投资控股有限公司</w:t>
            </w:r>
          </w:p>
        </w:tc>
        <w:tc>
          <w:tcPr>
            <w:tcW w:w="2285" w:type="dxa"/>
            <w:tcBorders>
              <w:top w:val="nil" w:sz="6" w:space="0" w:color="auto"/>
              <w:left w:val="nil" w:sz="6" w:space="0" w:color="auto"/>
              <w:bottom w:val="single" w:sz="12" w:space="0" w:color="000000"/>
              <w:right w:val="nil" w:sz="6" w:space="0" w:color="auto"/>
            </w:tcBorders>
          </w:tcPr>
          <w:p>
            <w:pPr>
              <w:pStyle w:val="TableParagraph"/>
              <w:spacing w:line="233" w:lineRule="exact"/>
              <w:ind w:right="222"/>
              <w:jc w:val="right"/>
              <w:rPr>
                <w:rFonts w:ascii="宋体" w:hAnsi="宋体" w:cs="宋体" w:eastAsia="宋体" w:hint="default"/>
                <w:sz w:val="18"/>
                <w:szCs w:val="18"/>
              </w:rPr>
            </w:pPr>
            <w:r>
              <w:rPr>
                <w:rFonts w:ascii="宋体"/>
                <w:spacing w:val="-1"/>
                <w:sz w:val="18"/>
              </w:rPr>
              <w:t>338,775,000.00</w:t>
            </w:r>
          </w:p>
        </w:tc>
        <w:tc>
          <w:tcPr>
            <w:tcW w:w="1415" w:type="dxa"/>
            <w:tcBorders>
              <w:top w:val="nil" w:sz="6" w:space="0" w:color="auto"/>
              <w:left w:val="nil" w:sz="6" w:space="0" w:color="auto"/>
              <w:bottom w:val="single" w:sz="12" w:space="0" w:color="000000"/>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sz w:val="18"/>
              </w:rPr>
              <w:t>0.00</w:t>
            </w:r>
          </w:p>
        </w:tc>
      </w:tr>
    </w:tbl>
    <w:p>
      <w:pPr>
        <w:spacing w:before="82"/>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18"/>
          <w:sz w:val="22"/>
          <w:szCs w:val="22"/>
        </w:rPr>
        <w:t> </w:t>
      </w:r>
      <w:r>
        <w:rPr>
          <w:rFonts w:ascii="宋体" w:hAnsi="宋体" w:cs="宋体" w:eastAsia="宋体" w:hint="default"/>
          <w:sz w:val="22"/>
          <w:szCs w:val="22"/>
        </w:rPr>
        <w:t>应付项目</w:t>
      </w:r>
    </w:p>
    <w:p>
      <w:pPr>
        <w:spacing w:line="240" w:lineRule="auto" w:before="5"/>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099"/>
        <w:gridCol w:w="4483"/>
        <w:gridCol w:w="1674"/>
        <w:gridCol w:w="1516"/>
      </w:tblGrid>
      <w:tr>
        <w:trPr>
          <w:trHeight w:val="307" w:hRule="exact"/>
        </w:trPr>
        <w:tc>
          <w:tcPr>
            <w:tcW w:w="1099"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448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54"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67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52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516"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7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9" w:hRule="exact"/>
        </w:trPr>
        <w:tc>
          <w:tcPr>
            <w:tcW w:w="1099" w:type="dxa"/>
            <w:tcBorders>
              <w:top w:val="single" w:sz="4" w:space="0" w:color="000000"/>
              <w:left w:val="nil" w:sz="6" w:space="0" w:color="auto"/>
              <w:bottom w:val="nil" w:sz="6" w:space="0" w:color="auto"/>
              <w:right w:val="nil" w:sz="6" w:space="0" w:color="auto"/>
            </w:tcBorders>
          </w:tcPr>
          <w:p>
            <w:pPr/>
          </w:p>
        </w:tc>
        <w:tc>
          <w:tcPr>
            <w:tcW w:w="4483" w:type="dxa"/>
            <w:tcBorders>
              <w:top w:val="single" w:sz="4" w:space="0" w:color="000000"/>
              <w:left w:val="nil" w:sz="6" w:space="0" w:color="auto"/>
              <w:bottom w:val="nil" w:sz="6" w:space="0" w:color="auto"/>
              <w:right w:val="nil" w:sz="6" w:space="0" w:color="auto"/>
            </w:tcBorders>
          </w:tcPr>
          <w:p>
            <w:pPr>
              <w:pStyle w:val="TableParagraph"/>
              <w:spacing w:line="232" w:lineRule="exact"/>
              <w:ind w:left="254" w:right="0"/>
              <w:jc w:val="left"/>
              <w:rPr>
                <w:rFonts w:ascii="宋体" w:hAnsi="宋体" w:cs="宋体" w:eastAsia="宋体" w:hint="default"/>
                <w:sz w:val="18"/>
                <w:szCs w:val="18"/>
              </w:rPr>
            </w:pPr>
            <w:r>
              <w:rPr>
                <w:rFonts w:ascii="宋体" w:hAnsi="宋体" w:cs="宋体" w:eastAsia="宋体" w:hint="default"/>
                <w:b/>
                <w:bCs/>
                <w:sz w:val="18"/>
                <w:szCs w:val="18"/>
              </w:rPr>
              <w:t>清华大学及其下属单位：</w:t>
            </w:r>
            <w:r>
              <w:rPr>
                <w:rFonts w:ascii="宋体" w:hAnsi="宋体" w:cs="宋体" w:eastAsia="宋体" w:hint="default"/>
                <w:sz w:val="18"/>
                <w:szCs w:val="18"/>
              </w:rPr>
            </w:r>
          </w:p>
        </w:tc>
        <w:tc>
          <w:tcPr>
            <w:tcW w:w="1674" w:type="dxa"/>
            <w:tcBorders>
              <w:top w:val="single" w:sz="4" w:space="0" w:color="000000"/>
              <w:left w:val="nil" w:sz="6" w:space="0" w:color="auto"/>
              <w:bottom w:val="nil" w:sz="6" w:space="0" w:color="auto"/>
              <w:right w:val="nil" w:sz="6" w:space="0" w:color="auto"/>
            </w:tcBorders>
          </w:tcPr>
          <w:p>
            <w:pPr/>
          </w:p>
        </w:tc>
        <w:tc>
          <w:tcPr>
            <w:tcW w:w="1516" w:type="dxa"/>
            <w:tcBorders>
              <w:top w:val="single" w:sz="4" w:space="0" w:color="000000"/>
              <w:left w:val="nil" w:sz="6" w:space="0" w:color="auto"/>
              <w:bottom w:val="nil" w:sz="6" w:space="0" w:color="auto"/>
              <w:right w:val="nil" w:sz="6" w:space="0" w:color="auto"/>
            </w:tcBorders>
          </w:tcPr>
          <w:p>
            <w:pP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43"/>
              <w:jc w:val="right"/>
              <w:rPr>
                <w:rFonts w:ascii="宋体" w:hAnsi="宋体" w:cs="宋体" w:eastAsia="宋体" w:hint="default"/>
                <w:sz w:val="18"/>
                <w:szCs w:val="18"/>
              </w:rPr>
            </w:pPr>
            <w:r>
              <w:rPr>
                <w:rFonts w:ascii="宋体"/>
                <w:spacing w:val="-1"/>
                <w:sz w:val="18"/>
              </w:rPr>
              <w:t>213,735,852.04</w:t>
            </w:r>
          </w:p>
        </w:tc>
        <w:tc>
          <w:tcPr>
            <w:tcW w:w="151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194,677,429.99</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北京华控通力科技有限公司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40"/>
              <w:jc w:val="right"/>
              <w:rPr>
                <w:rFonts w:ascii="宋体" w:hAnsi="宋体" w:cs="宋体" w:eastAsia="宋体" w:hint="default"/>
                <w:sz w:val="18"/>
                <w:szCs w:val="18"/>
              </w:rPr>
            </w:pPr>
            <w:r>
              <w:rPr>
                <w:rFonts w:ascii="宋体"/>
                <w:spacing w:val="-1"/>
                <w:sz w:val="18"/>
              </w:rPr>
              <w:t>53,469.07</w:t>
            </w:r>
          </w:p>
        </w:tc>
        <w:tc>
          <w:tcPr>
            <w:tcW w:w="1516" w:type="dxa"/>
            <w:tcBorders>
              <w:top w:val="nil" w:sz="6" w:space="0" w:color="auto"/>
              <w:left w:val="nil" w:sz="6" w:space="0" w:color="auto"/>
              <w:bottom w:val="nil" w:sz="6" w:space="0" w:color="auto"/>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sz w:val="18"/>
              </w:rPr>
              <w:t>0.00</w:t>
            </w:r>
          </w:p>
        </w:tc>
      </w:tr>
      <w:tr>
        <w:trPr>
          <w:trHeight w:val="284" w:hRule="exact"/>
        </w:trPr>
        <w:tc>
          <w:tcPr>
            <w:tcW w:w="1099" w:type="dxa"/>
            <w:tcBorders>
              <w:top w:val="nil" w:sz="6" w:space="0" w:color="auto"/>
              <w:left w:val="nil" w:sz="6" w:space="0" w:color="auto"/>
              <w:bottom w:val="nil" w:sz="6" w:space="0" w:color="auto"/>
              <w:right w:val="nil" w:sz="6" w:space="0" w:color="auto"/>
            </w:tcBorders>
          </w:tcPr>
          <w:p>
            <w:pPr/>
          </w:p>
        </w:tc>
        <w:tc>
          <w:tcPr>
            <w:tcW w:w="4483"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b/>
                <w:bCs/>
                <w:sz w:val="18"/>
                <w:szCs w:val="18"/>
              </w:rPr>
              <w:t>控股股东及受同一控股股东控制的其他企业：</w:t>
            </w:r>
            <w:r>
              <w:rPr>
                <w:rFonts w:ascii="宋体" w:hAnsi="宋体" w:cs="宋体" w:eastAsia="宋体" w:hint="default"/>
                <w:sz w:val="18"/>
                <w:szCs w:val="18"/>
              </w:rPr>
            </w:r>
          </w:p>
        </w:tc>
        <w:tc>
          <w:tcPr>
            <w:tcW w:w="1674"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284"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2" w:lineRule="exact"/>
              <w:ind w:left="254" w:right="0"/>
              <w:jc w:val="left"/>
              <w:rPr>
                <w:rFonts w:ascii="宋体" w:hAnsi="宋体" w:cs="宋体" w:eastAsia="宋体" w:hint="default"/>
                <w:sz w:val="18"/>
                <w:szCs w:val="18"/>
              </w:rPr>
            </w:pPr>
            <w:r>
              <w:rPr>
                <w:rFonts w:ascii="宋体" w:hAnsi="宋体" w:cs="宋体" w:eastAsia="宋体" w:hint="default"/>
                <w:sz w:val="18"/>
                <w:szCs w:val="18"/>
              </w:rPr>
              <w:t>北京华环电子设备有限公司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2" w:lineRule="exact"/>
              <w:ind w:right="143"/>
              <w:jc w:val="right"/>
              <w:rPr>
                <w:rFonts w:ascii="宋体" w:hAnsi="宋体" w:cs="宋体" w:eastAsia="宋体" w:hint="default"/>
                <w:sz w:val="18"/>
                <w:szCs w:val="18"/>
              </w:rPr>
            </w:pPr>
            <w:r>
              <w:rPr>
                <w:rFonts w:ascii="宋体"/>
                <w:spacing w:val="-1"/>
                <w:sz w:val="18"/>
              </w:rPr>
              <w:t>2,203,331.60</w:t>
            </w:r>
          </w:p>
        </w:tc>
        <w:tc>
          <w:tcPr>
            <w:tcW w:w="1516"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1,503,527.67</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紫光股份有限公司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43"/>
              <w:jc w:val="right"/>
              <w:rPr>
                <w:rFonts w:ascii="宋体" w:hAnsi="宋体" w:cs="宋体" w:eastAsia="宋体" w:hint="default"/>
                <w:sz w:val="18"/>
                <w:szCs w:val="18"/>
              </w:rPr>
            </w:pPr>
            <w:r>
              <w:rPr>
                <w:rFonts w:ascii="宋体"/>
                <w:spacing w:val="-1"/>
                <w:sz w:val="18"/>
              </w:rPr>
              <w:t>556,250.00</w:t>
            </w:r>
          </w:p>
        </w:tc>
        <w:tc>
          <w:tcPr>
            <w:tcW w:w="151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556,250.00</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清华大学建筑设计研究院有限公司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43"/>
              <w:jc w:val="right"/>
              <w:rPr>
                <w:rFonts w:ascii="宋体" w:hAnsi="宋体" w:cs="宋体" w:eastAsia="宋体" w:hint="default"/>
                <w:sz w:val="18"/>
                <w:szCs w:val="18"/>
              </w:rPr>
            </w:pPr>
            <w:r>
              <w:rPr>
                <w:rFonts w:ascii="宋体"/>
                <w:spacing w:val="-1"/>
                <w:sz w:val="18"/>
              </w:rPr>
              <w:t>550,000.00</w:t>
            </w:r>
          </w:p>
        </w:tc>
        <w:tc>
          <w:tcPr>
            <w:tcW w:w="151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550,000.00</w:t>
            </w:r>
          </w:p>
        </w:tc>
      </w:tr>
      <w:tr>
        <w:trPr>
          <w:trHeight w:val="284"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《中国学术期刊（光盘版）》电子杂志社有限公司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42"/>
              <w:jc w:val="right"/>
              <w:rPr>
                <w:rFonts w:ascii="宋体" w:hAnsi="宋体" w:cs="宋体" w:eastAsia="宋体" w:hint="default"/>
                <w:sz w:val="18"/>
                <w:szCs w:val="18"/>
              </w:rPr>
            </w:pPr>
            <w:r>
              <w:rPr>
                <w:rFonts w:ascii="宋体"/>
                <w:sz w:val="18"/>
              </w:rPr>
              <w:t>0.00</w:t>
            </w:r>
          </w:p>
        </w:tc>
        <w:tc>
          <w:tcPr>
            <w:tcW w:w="151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1,238,876.60</w:t>
            </w:r>
          </w:p>
        </w:tc>
      </w:tr>
      <w:tr>
        <w:trPr>
          <w:trHeight w:val="284"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2" w:lineRule="exact"/>
              <w:ind w:left="254" w:right="0"/>
              <w:jc w:val="left"/>
              <w:rPr>
                <w:rFonts w:ascii="宋体" w:hAnsi="宋体" w:cs="宋体" w:eastAsia="宋体" w:hint="default"/>
                <w:sz w:val="18"/>
                <w:szCs w:val="18"/>
              </w:rPr>
            </w:pPr>
            <w:r>
              <w:rPr>
                <w:rFonts w:ascii="宋体" w:hAnsi="宋体" w:cs="宋体" w:eastAsia="宋体" w:hint="default"/>
                <w:sz w:val="18"/>
                <w:szCs w:val="18"/>
              </w:rPr>
              <w:t>紫光华山科技服务有限公司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2" w:lineRule="exact"/>
              <w:ind w:right="142"/>
              <w:jc w:val="right"/>
              <w:rPr>
                <w:rFonts w:ascii="宋体" w:hAnsi="宋体" w:cs="宋体" w:eastAsia="宋体" w:hint="default"/>
                <w:sz w:val="18"/>
                <w:szCs w:val="18"/>
              </w:rPr>
            </w:pPr>
            <w:r>
              <w:rPr>
                <w:rFonts w:ascii="宋体"/>
                <w:sz w:val="18"/>
              </w:rPr>
              <w:t>0.00</w:t>
            </w:r>
          </w:p>
        </w:tc>
        <w:tc>
          <w:tcPr>
            <w:tcW w:w="1516"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515,094.34</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北京国环清华环境工程设计研究院有限公司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42"/>
              <w:jc w:val="right"/>
              <w:rPr>
                <w:rFonts w:ascii="宋体" w:hAnsi="宋体" w:cs="宋体" w:eastAsia="宋体" w:hint="default"/>
                <w:sz w:val="18"/>
                <w:szCs w:val="18"/>
              </w:rPr>
            </w:pPr>
            <w:r>
              <w:rPr>
                <w:rFonts w:ascii="宋体"/>
                <w:sz w:val="18"/>
              </w:rPr>
              <w:t>0.00</w:t>
            </w:r>
          </w:p>
        </w:tc>
        <w:tc>
          <w:tcPr>
            <w:tcW w:w="151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450,000.00</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北京清华同衡规划设计研究院有限公司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42"/>
              <w:jc w:val="right"/>
              <w:rPr>
                <w:rFonts w:ascii="宋体" w:hAnsi="宋体" w:cs="宋体" w:eastAsia="宋体" w:hint="default"/>
                <w:sz w:val="18"/>
                <w:szCs w:val="18"/>
              </w:rPr>
            </w:pPr>
            <w:r>
              <w:rPr>
                <w:rFonts w:ascii="宋体"/>
                <w:sz w:val="18"/>
              </w:rPr>
              <w:t>0.00</w:t>
            </w:r>
          </w:p>
        </w:tc>
        <w:tc>
          <w:tcPr>
            <w:tcW w:w="151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112,000.00</w:t>
            </w:r>
          </w:p>
        </w:tc>
      </w:tr>
      <w:tr>
        <w:trPr>
          <w:trHeight w:val="284"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紫光数码（苏州）集团有限公司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42"/>
              <w:jc w:val="right"/>
              <w:rPr>
                <w:rFonts w:ascii="宋体" w:hAnsi="宋体" w:cs="宋体" w:eastAsia="宋体" w:hint="default"/>
                <w:sz w:val="18"/>
                <w:szCs w:val="18"/>
              </w:rPr>
            </w:pPr>
            <w:r>
              <w:rPr>
                <w:rFonts w:ascii="宋体"/>
                <w:sz w:val="18"/>
              </w:rPr>
              <w:t>0.00</w:t>
            </w:r>
          </w:p>
        </w:tc>
        <w:tc>
          <w:tcPr>
            <w:tcW w:w="1516"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56,372.56</w:t>
            </w:r>
          </w:p>
        </w:tc>
      </w:tr>
      <w:tr>
        <w:trPr>
          <w:trHeight w:val="284"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2" w:lineRule="exact"/>
              <w:ind w:left="254" w:right="0"/>
              <w:jc w:val="left"/>
              <w:rPr>
                <w:rFonts w:ascii="宋体" w:hAnsi="宋体" w:cs="宋体" w:eastAsia="宋体" w:hint="default"/>
                <w:sz w:val="18"/>
                <w:szCs w:val="18"/>
              </w:rPr>
            </w:pPr>
            <w:r>
              <w:rPr>
                <w:rFonts w:ascii="宋体" w:hAnsi="宋体" w:cs="宋体" w:eastAsia="宋体" w:hint="default"/>
                <w:sz w:val="18"/>
                <w:szCs w:val="18"/>
              </w:rPr>
              <w:t>紫光同芯微电子有限公司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2" w:lineRule="exact"/>
              <w:ind w:right="142"/>
              <w:jc w:val="right"/>
              <w:rPr>
                <w:rFonts w:ascii="宋体" w:hAnsi="宋体" w:cs="宋体" w:eastAsia="宋体" w:hint="default"/>
                <w:sz w:val="18"/>
                <w:szCs w:val="18"/>
              </w:rPr>
            </w:pPr>
            <w:r>
              <w:rPr>
                <w:rFonts w:ascii="宋体"/>
                <w:sz w:val="18"/>
              </w:rPr>
              <w:t>0.00</w:t>
            </w:r>
          </w:p>
        </w:tc>
        <w:tc>
          <w:tcPr>
            <w:tcW w:w="151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pacing w:val="-1"/>
                <w:sz w:val="18"/>
              </w:rPr>
              <w:t>47,171.62</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
        </w:tc>
        <w:tc>
          <w:tcPr>
            <w:tcW w:w="4483"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1674"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深圳华控赛格股份有限公司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41"/>
              <w:jc w:val="right"/>
              <w:rPr>
                <w:rFonts w:ascii="宋体" w:hAnsi="宋体" w:cs="宋体" w:eastAsia="宋体" w:hint="default"/>
                <w:sz w:val="18"/>
                <w:szCs w:val="18"/>
              </w:rPr>
            </w:pPr>
            <w:r>
              <w:rPr>
                <w:rFonts w:ascii="宋体"/>
                <w:spacing w:val="-1"/>
                <w:sz w:val="18"/>
              </w:rPr>
              <w:t>25,582,202.62</w:t>
            </w:r>
          </w:p>
        </w:tc>
        <w:tc>
          <w:tcPr>
            <w:tcW w:w="1516"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61,550,761.88</w:t>
            </w:r>
          </w:p>
        </w:tc>
      </w:tr>
      <w:tr>
        <w:trPr>
          <w:trHeight w:val="284"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北京中环世纪工程设计有限责任公司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41"/>
              <w:jc w:val="right"/>
              <w:rPr>
                <w:rFonts w:ascii="宋体" w:hAnsi="宋体" w:cs="宋体" w:eastAsia="宋体" w:hint="default"/>
                <w:sz w:val="18"/>
                <w:szCs w:val="18"/>
              </w:rPr>
            </w:pPr>
            <w:r>
              <w:rPr>
                <w:rFonts w:ascii="宋体"/>
                <w:spacing w:val="-1"/>
                <w:sz w:val="18"/>
              </w:rPr>
              <w:t>14,338,498.23</w:t>
            </w:r>
          </w:p>
        </w:tc>
        <w:tc>
          <w:tcPr>
            <w:tcW w:w="1516"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14,588,039.20</w:t>
            </w:r>
          </w:p>
        </w:tc>
      </w:tr>
      <w:tr>
        <w:trPr>
          <w:trHeight w:val="284"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2" w:lineRule="exact"/>
              <w:ind w:left="254"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2" w:lineRule="exact"/>
              <w:ind w:right="143"/>
              <w:jc w:val="right"/>
              <w:rPr>
                <w:rFonts w:ascii="宋体" w:hAnsi="宋体" w:cs="宋体" w:eastAsia="宋体" w:hint="default"/>
                <w:sz w:val="18"/>
                <w:szCs w:val="18"/>
              </w:rPr>
            </w:pPr>
            <w:r>
              <w:rPr>
                <w:rFonts w:ascii="宋体"/>
                <w:spacing w:val="-1"/>
                <w:sz w:val="18"/>
              </w:rPr>
              <w:t>7,061,604.60</w:t>
            </w:r>
          </w:p>
        </w:tc>
        <w:tc>
          <w:tcPr>
            <w:tcW w:w="1516"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7,061,604.60</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北京清控人居环境研究院有限公司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43"/>
              <w:jc w:val="right"/>
              <w:rPr>
                <w:rFonts w:ascii="宋体" w:hAnsi="宋体" w:cs="宋体" w:eastAsia="宋体" w:hint="default"/>
                <w:sz w:val="18"/>
                <w:szCs w:val="18"/>
              </w:rPr>
            </w:pPr>
            <w:r>
              <w:rPr>
                <w:rFonts w:ascii="宋体"/>
                <w:spacing w:val="-1"/>
                <w:sz w:val="18"/>
              </w:rPr>
              <w:t>2,048,198.50</w:t>
            </w:r>
          </w:p>
        </w:tc>
        <w:tc>
          <w:tcPr>
            <w:tcW w:w="151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2,334,838.50</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北京同方时讯电子股份有限公司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43"/>
              <w:jc w:val="right"/>
              <w:rPr>
                <w:rFonts w:ascii="宋体" w:hAnsi="宋体" w:cs="宋体" w:eastAsia="宋体" w:hint="default"/>
                <w:sz w:val="18"/>
                <w:szCs w:val="18"/>
              </w:rPr>
            </w:pPr>
            <w:r>
              <w:rPr>
                <w:rFonts w:ascii="宋体"/>
                <w:spacing w:val="-1"/>
                <w:sz w:val="18"/>
              </w:rPr>
              <w:t>2,045,200.00</w:t>
            </w:r>
          </w:p>
        </w:tc>
        <w:tc>
          <w:tcPr>
            <w:tcW w:w="151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1,928,250.00</w:t>
            </w:r>
          </w:p>
        </w:tc>
      </w:tr>
      <w:tr>
        <w:trPr>
          <w:trHeight w:val="284"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广州同方瑞风节能科技股份有限公司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43"/>
              <w:jc w:val="right"/>
              <w:rPr>
                <w:rFonts w:ascii="宋体" w:hAnsi="宋体" w:cs="宋体" w:eastAsia="宋体" w:hint="default"/>
                <w:sz w:val="18"/>
                <w:szCs w:val="18"/>
              </w:rPr>
            </w:pPr>
            <w:r>
              <w:rPr>
                <w:rFonts w:ascii="宋体"/>
                <w:spacing w:val="-1"/>
                <w:sz w:val="18"/>
              </w:rPr>
              <w:t>1,046,725.00</w:t>
            </w:r>
          </w:p>
        </w:tc>
        <w:tc>
          <w:tcPr>
            <w:tcW w:w="151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1,992,401.00</w:t>
            </w:r>
          </w:p>
        </w:tc>
      </w:tr>
      <w:tr>
        <w:trPr>
          <w:trHeight w:val="284"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2" w:lineRule="exact"/>
              <w:ind w:left="254" w:right="0"/>
              <w:jc w:val="left"/>
              <w:rPr>
                <w:rFonts w:ascii="宋体" w:hAnsi="宋体" w:cs="宋体" w:eastAsia="宋体" w:hint="default"/>
                <w:sz w:val="18"/>
                <w:szCs w:val="18"/>
              </w:rPr>
            </w:pPr>
            <w:r>
              <w:rPr>
                <w:rFonts w:ascii="宋体" w:hAnsi="宋体" w:cs="宋体" w:eastAsia="宋体" w:hint="default"/>
                <w:sz w:val="18"/>
                <w:szCs w:val="18"/>
              </w:rPr>
              <w:t>北京厚持投资管理有限责任公司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2" w:lineRule="exact"/>
              <w:ind w:right="143"/>
              <w:jc w:val="right"/>
              <w:rPr>
                <w:rFonts w:ascii="宋体" w:hAnsi="宋体" w:cs="宋体" w:eastAsia="宋体" w:hint="default"/>
                <w:sz w:val="18"/>
                <w:szCs w:val="18"/>
              </w:rPr>
            </w:pPr>
            <w:r>
              <w:rPr>
                <w:rFonts w:ascii="宋体"/>
                <w:spacing w:val="-1"/>
                <w:sz w:val="18"/>
              </w:rPr>
              <w:t>1,000,000.00</w:t>
            </w:r>
          </w:p>
        </w:tc>
        <w:tc>
          <w:tcPr>
            <w:tcW w:w="1516"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1,000,000.00</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江西清华泰豪三波电机有限公司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43"/>
              <w:jc w:val="right"/>
              <w:rPr>
                <w:rFonts w:ascii="宋体" w:hAnsi="宋体" w:cs="宋体" w:eastAsia="宋体" w:hint="default"/>
                <w:sz w:val="18"/>
                <w:szCs w:val="18"/>
              </w:rPr>
            </w:pPr>
            <w:r>
              <w:rPr>
                <w:rFonts w:ascii="宋体"/>
                <w:spacing w:val="-1"/>
                <w:sz w:val="18"/>
              </w:rPr>
              <w:t>853,200.00</w:t>
            </w:r>
          </w:p>
        </w:tc>
        <w:tc>
          <w:tcPr>
            <w:tcW w:w="151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1,098,900.00</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苏州博远容天信息科技股份有限公司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43"/>
              <w:jc w:val="right"/>
              <w:rPr>
                <w:rFonts w:ascii="宋体" w:hAnsi="宋体" w:cs="宋体" w:eastAsia="宋体" w:hint="default"/>
                <w:sz w:val="18"/>
                <w:szCs w:val="18"/>
              </w:rPr>
            </w:pPr>
            <w:r>
              <w:rPr>
                <w:rFonts w:ascii="宋体"/>
                <w:spacing w:val="-1"/>
                <w:sz w:val="18"/>
              </w:rPr>
              <w:t>520,210.00</w:t>
            </w:r>
          </w:p>
        </w:tc>
        <w:tc>
          <w:tcPr>
            <w:tcW w:w="151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835,210.00</w:t>
            </w:r>
          </w:p>
        </w:tc>
      </w:tr>
      <w:tr>
        <w:trPr>
          <w:trHeight w:val="285"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广州同艺照明有限公司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43"/>
              <w:jc w:val="right"/>
              <w:rPr>
                <w:rFonts w:ascii="宋体" w:hAnsi="宋体" w:cs="宋体" w:eastAsia="宋体" w:hint="default"/>
                <w:sz w:val="18"/>
                <w:szCs w:val="18"/>
              </w:rPr>
            </w:pPr>
            <w:r>
              <w:rPr>
                <w:rFonts w:ascii="宋体"/>
                <w:spacing w:val="-1"/>
                <w:sz w:val="18"/>
              </w:rPr>
              <w:t>184,480.00</w:t>
            </w:r>
          </w:p>
        </w:tc>
        <w:tc>
          <w:tcPr>
            <w:tcW w:w="151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184,480.00</w:t>
            </w:r>
          </w:p>
        </w:tc>
      </w:tr>
      <w:tr>
        <w:trPr>
          <w:trHeight w:val="284"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2" w:lineRule="exact"/>
              <w:ind w:left="254" w:right="0"/>
              <w:jc w:val="left"/>
              <w:rPr>
                <w:rFonts w:ascii="宋体" w:hAnsi="宋体" w:cs="宋体" w:eastAsia="宋体" w:hint="default"/>
                <w:sz w:val="18"/>
                <w:szCs w:val="18"/>
              </w:rPr>
            </w:pPr>
            <w:r>
              <w:rPr>
                <w:rFonts w:ascii="宋体" w:hAnsi="宋体" w:cs="宋体" w:eastAsia="宋体" w:hint="default"/>
                <w:sz w:val="18"/>
                <w:szCs w:val="18"/>
              </w:rPr>
              <w:t>同方佰宜科技（北京）有限公司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2" w:lineRule="exact"/>
              <w:ind w:right="143"/>
              <w:jc w:val="right"/>
              <w:rPr>
                <w:rFonts w:ascii="宋体" w:hAnsi="宋体" w:cs="宋体" w:eastAsia="宋体" w:hint="default"/>
                <w:sz w:val="18"/>
                <w:szCs w:val="18"/>
              </w:rPr>
            </w:pPr>
            <w:r>
              <w:rPr>
                <w:rFonts w:ascii="宋体"/>
                <w:spacing w:val="-1"/>
                <w:sz w:val="18"/>
              </w:rPr>
              <w:t>108,440.00</w:t>
            </w:r>
          </w:p>
        </w:tc>
        <w:tc>
          <w:tcPr>
            <w:tcW w:w="1516"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546,000.00</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北京恩赛威节能技术服务有限责任公司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40"/>
              <w:jc w:val="right"/>
              <w:rPr>
                <w:rFonts w:ascii="宋体" w:hAnsi="宋体" w:cs="宋体" w:eastAsia="宋体" w:hint="default"/>
                <w:sz w:val="18"/>
                <w:szCs w:val="18"/>
              </w:rPr>
            </w:pPr>
            <w:r>
              <w:rPr>
                <w:rFonts w:ascii="宋体"/>
                <w:spacing w:val="-1"/>
                <w:sz w:val="18"/>
              </w:rPr>
              <w:t>80,000.00</w:t>
            </w:r>
          </w:p>
        </w:tc>
        <w:tc>
          <w:tcPr>
            <w:tcW w:w="1516"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80,000.00</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40"/>
              <w:jc w:val="right"/>
              <w:rPr>
                <w:rFonts w:ascii="宋体" w:hAnsi="宋体" w:cs="宋体" w:eastAsia="宋体" w:hint="default"/>
                <w:sz w:val="18"/>
                <w:szCs w:val="18"/>
              </w:rPr>
            </w:pPr>
            <w:r>
              <w:rPr>
                <w:rFonts w:ascii="宋体"/>
                <w:spacing w:val="-1"/>
                <w:sz w:val="18"/>
              </w:rPr>
              <w:t>36,684.00</w:t>
            </w:r>
          </w:p>
        </w:tc>
        <w:tc>
          <w:tcPr>
            <w:tcW w:w="1516"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36,684.00</w:t>
            </w:r>
          </w:p>
        </w:tc>
      </w:tr>
      <w:tr>
        <w:trPr>
          <w:trHeight w:val="284"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40"/>
              <w:jc w:val="right"/>
              <w:rPr>
                <w:rFonts w:ascii="宋体" w:hAnsi="宋体" w:cs="宋体" w:eastAsia="宋体" w:hint="default"/>
                <w:sz w:val="18"/>
                <w:szCs w:val="18"/>
              </w:rPr>
            </w:pPr>
            <w:r>
              <w:rPr>
                <w:rFonts w:ascii="宋体"/>
                <w:spacing w:val="-1"/>
                <w:sz w:val="18"/>
              </w:rPr>
              <w:t>21,000.00</w:t>
            </w:r>
          </w:p>
        </w:tc>
        <w:tc>
          <w:tcPr>
            <w:tcW w:w="1516"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21,000.00</w:t>
            </w:r>
          </w:p>
        </w:tc>
      </w:tr>
      <w:tr>
        <w:trPr>
          <w:trHeight w:val="284"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2" w:lineRule="exact"/>
              <w:ind w:left="254"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2" w:lineRule="exact"/>
              <w:ind w:right="140"/>
              <w:jc w:val="right"/>
              <w:rPr>
                <w:rFonts w:ascii="宋体" w:hAnsi="宋体" w:cs="宋体" w:eastAsia="宋体" w:hint="default"/>
                <w:sz w:val="18"/>
                <w:szCs w:val="18"/>
              </w:rPr>
            </w:pPr>
            <w:r>
              <w:rPr>
                <w:rFonts w:ascii="宋体"/>
                <w:spacing w:val="-1"/>
                <w:sz w:val="18"/>
              </w:rPr>
              <w:t>20,506.81</w:t>
            </w:r>
          </w:p>
        </w:tc>
        <w:tc>
          <w:tcPr>
            <w:tcW w:w="151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pacing w:val="-1"/>
                <w:sz w:val="18"/>
              </w:rPr>
              <w:t>20,506.81</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40"/>
              <w:jc w:val="right"/>
              <w:rPr>
                <w:rFonts w:ascii="宋体" w:hAnsi="宋体" w:cs="宋体" w:eastAsia="宋体" w:hint="default"/>
                <w:sz w:val="18"/>
                <w:szCs w:val="18"/>
              </w:rPr>
            </w:pPr>
            <w:r>
              <w:rPr>
                <w:rFonts w:ascii="宋体"/>
                <w:spacing w:val="-1"/>
                <w:sz w:val="18"/>
              </w:rPr>
              <w:t>11,000.00</w:t>
            </w:r>
          </w:p>
        </w:tc>
        <w:tc>
          <w:tcPr>
            <w:tcW w:w="1516"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11,000.00</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北京同方艾威康科技有限公司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42"/>
              <w:jc w:val="right"/>
              <w:rPr>
                <w:rFonts w:ascii="宋体" w:hAnsi="宋体" w:cs="宋体" w:eastAsia="宋体" w:hint="default"/>
                <w:sz w:val="18"/>
                <w:szCs w:val="18"/>
              </w:rPr>
            </w:pPr>
            <w:r>
              <w:rPr>
                <w:rFonts w:ascii="宋体"/>
                <w:sz w:val="18"/>
              </w:rPr>
              <w:t>0.00</w:t>
            </w:r>
          </w:p>
        </w:tc>
        <w:tc>
          <w:tcPr>
            <w:tcW w:w="151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362,764.05</w:t>
            </w:r>
          </w:p>
        </w:tc>
      </w:tr>
      <w:tr>
        <w:trPr>
          <w:trHeight w:val="299" w:hRule="exact"/>
        </w:trPr>
        <w:tc>
          <w:tcPr>
            <w:tcW w:w="1099" w:type="dxa"/>
            <w:tcBorders>
              <w:top w:val="nil" w:sz="6" w:space="0" w:color="auto"/>
              <w:left w:val="nil" w:sz="6" w:space="0" w:color="auto"/>
              <w:bottom w:val="single" w:sz="12" w:space="0" w:color="000000"/>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83" w:type="dxa"/>
            <w:tcBorders>
              <w:top w:val="nil" w:sz="6" w:space="0" w:color="auto"/>
              <w:left w:val="nil" w:sz="6" w:space="0" w:color="auto"/>
              <w:bottom w:val="single" w:sz="12" w:space="0" w:color="000000"/>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北京海视安数据科技有限公司</w:t>
            </w:r>
          </w:p>
        </w:tc>
        <w:tc>
          <w:tcPr>
            <w:tcW w:w="1674" w:type="dxa"/>
            <w:tcBorders>
              <w:top w:val="nil" w:sz="6" w:space="0" w:color="auto"/>
              <w:left w:val="nil" w:sz="6" w:space="0" w:color="auto"/>
              <w:bottom w:val="single" w:sz="12" w:space="0" w:color="000000"/>
              <w:right w:val="nil" w:sz="6" w:space="0" w:color="auto"/>
            </w:tcBorders>
          </w:tcPr>
          <w:p>
            <w:pPr>
              <w:pStyle w:val="TableParagraph"/>
              <w:spacing w:line="233" w:lineRule="exact"/>
              <w:ind w:right="142"/>
              <w:jc w:val="right"/>
              <w:rPr>
                <w:rFonts w:ascii="宋体" w:hAnsi="宋体" w:cs="宋体" w:eastAsia="宋体" w:hint="default"/>
                <w:sz w:val="18"/>
                <w:szCs w:val="18"/>
              </w:rPr>
            </w:pPr>
            <w:r>
              <w:rPr>
                <w:rFonts w:ascii="宋体"/>
                <w:sz w:val="18"/>
              </w:rPr>
              <w:t>0.00</w:t>
            </w:r>
          </w:p>
        </w:tc>
        <w:tc>
          <w:tcPr>
            <w:tcW w:w="1516" w:type="dxa"/>
            <w:tcBorders>
              <w:top w:val="nil" w:sz="6" w:space="0" w:color="auto"/>
              <w:left w:val="nil" w:sz="6" w:space="0" w:color="auto"/>
              <w:bottom w:val="single" w:sz="12" w:space="0" w:color="000000"/>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56,295.29</w:t>
            </w:r>
          </w:p>
        </w:tc>
      </w:tr>
    </w:tbl>
    <w:p>
      <w:pPr>
        <w:spacing w:after="0" w:line="233" w:lineRule="exact"/>
        <w:jc w:val="right"/>
        <w:rPr>
          <w:rFonts w:ascii="宋体" w:hAnsi="宋体" w:cs="宋体" w:eastAsia="宋体" w:hint="default"/>
          <w:sz w:val="18"/>
          <w:szCs w:val="18"/>
        </w:rPr>
        <w:sectPr>
          <w:pgSz w:w="11910" w:h="16840"/>
          <w:pgMar w:header="0" w:footer="1034" w:top="1320" w:bottom="1220" w:left="1460" w:right="1440"/>
        </w:sectPr>
      </w:pPr>
    </w:p>
    <w:p>
      <w:pPr>
        <w:spacing w:line="240" w:lineRule="auto" w:before="4"/>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188"/>
        <w:gridCol w:w="4439"/>
        <w:gridCol w:w="1718"/>
        <w:gridCol w:w="1426"/>
      </w:tblGrid>
      <w:tr>
        <w:trPr>
          <w:trHeight w:val="305" w:hRule="exact"/>
        </w:trPr>
        <w:tc>
          <w:tcPr>
            <w:tcW w:w="118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4439"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71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48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426"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8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2" w:hRule="exact"/>
        </w:trPr>
        <w:tc>
          <w:tcPr>
            <w:tcW w:w="1188" w:type="dxa"/>
            <w:tcBorders>
              <w:top w:val="single" w:sz="4" w:space="0" w:color="000000"/>
              <w:left w:val="nil" w:sz="6" w:space="0" w:color="auto"/>
              <w:bottom w:val="nil" w:sz="6" w:space="0" w:color="auto"/>
              <w:right w:val="nil" w:sz="6" w:space="0" w:color="auto"/>
            </w:tcBorders>
          </w:tcPr>
          <w:p>
            <w:pPr/>
          </w:p>
        </w:tc>
        <w:tc>
          <w:tcPr>
            <w:tcW w:w="4439" w:type="dxa"/>
            <w:tcBorders>
              <w:top w:val="single" w:sz="4" w:space="0" w:color="000000"/>
              <w:left w:val="nil" w:sz="6" w:space="0" w:color="auto"/>
              <w:bottom w:val="nil" w:sz="6" w:space="0" w:color="auto"/>
              <w:right w:val="nil" w:sz="6" w:space="0" w:color="auto"/>
            </w:tcBorders>
          </w:tcPr>
          <w:p>
            <w:pPr>
              <w:pStyle w:val="TableParagraph"/>
              <w:spacing w:line="235"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清华大学及其下属单位：</w:t>
            </w:r>
            <w:r>
              <w:rPr>
                <w:rFonts w:ascii="宋体" w:hAnsi="宋体" w:cs="宋体" w:eastAsia="宋体" w:hint="default"/>
                <w:sz w:val="18"/>
                <w:szCs w:val="18"/>
              </w:rPr>
            </w:r>
          </w:p>
        </w:tc>
        <w:tc>
          <w:tcPr>
            <w:tcW w:w="1718" w:type="dxa"/>
            <w:tcBorders>
              <w:top w:val="single" w:sz="4" w:space="0" w:color="000000"/>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nil" w:sz="6" w:space="0" w:color="auto"/>
              <w:right w:val="nil" w:sz="6" w:space="0" w:color="auto"/>
            </w:tcBorders>
          </w:tcPr>
          <w:p>
            <w:pPr/>
          </w:p>
        </w:tc>
      </w:tr>
      <w:tr>
        <w:trPr>
          <w:trHeight w:val="284"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1"/>
              <w:jc w:val="right"/>
              <w:rPr>
                <w:rFonts w:ascii="宋体" w:hAnsi="宋体" w:cs="宋体" w:eastAsia="宋体" w:hint="default"/>
                <w:sz w:val="18"/>
                <w:szCs w:val="18"/>
              </w:rPr>
            </w:pPr>
            <w:r>
              <w:rPr>
                <w:rFonts w:ascii="宋体"/>
                <w:spacing w:val="-1"/>
                <w:sz w:val="18"/>
              </w:rPr>
              <w:t>29,540,635.25</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5,086,751.82</w:t>
            </w:r>
          </w:p>
        </w:tc>
      </w:tr>
      <w:tr>
        <w:trPr>
          <w:trHeight w:val="284" w:hRule="exact"/>
        </w:trPr>
        <w:tc>
          <w:tcPr>
            <w:tcW w:w="1188" w:type="dxa"/>
            <w:tcBorders>
              <w:top w:val="nil" w:sz="6" w:space="0" w:color="auto"/>
              <w:left w:val="nil" w:sz="6" w:space="0" w:color="auto"/>
              <w:bottom w:val="nil" w:sz="6" w:space="0" w:color="auto"/>
              <w:right w:val="nil" w:sz="6" w:space="0" w:color="auto"/>
            </w:tcBorders>
          </w:tcPr>
          <w:p>
            <w:pPr/>
          </w:p>
        </w:tc>
        <w:tc>
          <w:tcPr>
            <w:tcW w:w="4439" w:type="dxa"/>
            <w:tcBorders>
              <w:top w:val="nil" w:sz="6" w:space="0" w:color="auto"/>
              <w:left w:val="nil" w:sz="6" w:space="0" w:color="auto"/>
              <w:bottom w:val="nil" w:sz="6" w:space="0" w:color="auto"/>
              <w:right w:val="nil" w:sz="6" w:space="0" w:color="auto"/>
            </w:tcBorders>
          </w:tcPr>
          <w:p>
            <w:pPr>
              <w:pStyle w:val="TableParagraph"/>
              <w:spacing w:line="232"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控股股东及受同一控股股东控制的其他企业：</w:t>
            </w:r>
            <w:r>
              <w:rPr>
                <w:rFonts w:ascii="宋体" w:hAnsi="宋体" w:cs="宋体" w:eastAsia="宋体" w:hint="default"/>
                <w:sz w:val="18"/>
                <w:szCs w:val="18"/>
              </w:rPr>
            </w:r>
          </w:p>
        </w:tc>
        <w:tc>
          <w:tcPr>
            <w:tcW w:w="171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r>
      <w:tr>
        <w:trPr>
          <w:trHeight w:val="286"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《中国学术期刊（光盘版）》电子杂志社有限公司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3"/>
              <w:jc w:val="right"/>
              <w:rPr>
                <w:rFonts w:ascii="宋体" w:hAnsi="宋体" w:cs="宋体" w:eastAsia="宋体" w:hint="default"/>
                <w:sz w:val="18"/>
                <w:szCs w:val="18"/>
              </w:rPr>
            </w:pPr>
            <w:r>
              <w:rPr>
                <w:rFonts w:ascii="宋体"/>
                <w:spacing w:val="-1"/>
                <w:sz w:val="18"/>
              </w:rPr>
              <w:t>1,173,772.62</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sz w:val="18"/>
              </w:rPr>
              <w:t>0.00</w:t>
            </w:r>
          </w:p>
        </w:tc>
      </w:tr>
      <w:tr>
        <w:trPr>
          <w:trHeight w:val="286"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紫光国芯微电子股份有限公司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3"/>
              <w:jc w:val="right"/>
              <w:rPr>
                <w:rFonts w:ascii="宋体" w:hAnsi="宋体" w:cs="宋体" w:eastAsia="宋体" w:hint="default"/>
                <w:sz w:val="18"/>
                <w:szCs w:val="18"/>
              </w:rPr>
            </w:pPr>
            <w:r>
              <w:rPr>
                <w:rFonts w:ascii="宋体"/>
                <w:spacing w:val="-1"/>
                <w:sz w:val="18"/>
              </w:rPr>
              <w:t>757,653.69</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50.00</w:t>
            </w:r>
          </w:p>
        </w:tc>
      </w:tr>
      <w:tr>
        <w:trPr>
          <w:trHeight w:val="284"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紫光同芯微电子有限公司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3"/>
              <w:jc w:val="right"/>
              <w:rPr>
                <w:rFonts w:ascii="宋体" w:hAnsi="宋体" w:cs="宋体" w:eastAsia="宋体" w:hint="default"/>
                <w:sz w:val="18"/>
                <w:szCs w:val="18"/>
              </w:rPr>
            </w:pPr>
            <w:r>
              <w:rPr>
                <w:rFonts w:ascii="宋体"/>
                <w:spacing w:val="-1"/>
                <w:sz w:val="18"/>
              </w:rPr>
              <w:t>647,369.37</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1,500.00</w:t>
            </w:r>
          </w:p>
        </w:tc>
      </w:tr>
      <w:tr>
        <w:trPr>
          <w:trHeight w:val="284"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2" w:lineRule="exact"/>
              <w:ind w:left="165" w:right="0"/>
              <w:jc w:val="left"/>
              <w:rPr>
                <w:rFonts w:ascii="宋体" w:hAnsi="宋体" w:cs="宋体" w:eastAsia="宋体" w:hint="default"/>
                <w:sz w:val="18"/>
                <w:szCs w:val="18"/>
              </w:rPr>
            </w:pPr>
            <w:r>
              <w:rPr>
                <w:rFonts w:ascii="宋体" w:hAnsi="宋体" w:cs="宋体" w:eastAsia="宋体" w:hint="default"/>
                <w:sz w:val="18"/>
                <w:szCs w:val="18"/>
              </w:rPr>
              <w:t>安徽泽众安全科技有限公司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2" w:lineRule="exact"/>
              <w:ind w:right="233"/>
              <w:jc w:val="right"/>
              <w:rPr>
                <w:rFonts w:ascii="宋体" w:hAnsi="宋体" w:cs="宋体" w:eastAsia="宋体" w:hint="default"/>
                <w:sz w:val="18"/>
                <w:szCs w:val="18"/>
              </w:rPr>
            </w:pPr>
            <w:r>
              <w:rPr>
                <w:rFonts w:ascii="宋体"/>
                <w:spacing w:val="-1"/>
                <w:sz w:val="18"/>
              </w:rPr>
              <w:t>500,000.00</w:t>
            </w:r>
          </w:p>
        </w:tc>
        <w:tc>
          <w:tcPr>
            <w:tcW w:w="1426" w:type="dxa"/>
            <w:tcBorders>
              <w:top w:val="nil" w:sz="6" w:space="0" w:color="auto"/>
              <w:left w:val="nil" w:sz="6" w:space="0" w:color="auto"/>
              <w:bottom w:val="nil" w:sz="6" w:space="0" w:color="auto"/>
              <w:right w:val="nil" w:sz="6" w:space="0" w:color="auto"/>
            </w:tcBorders>
          </w:tcPr>
          <w:p>
            <w:pPr>
              <w:pStyle w:val="TableParagraph"/>
              <w:spacing w:line="232" w:lineRule="exact"/>
              <w:ind w:right="109"/>
              <w:jc w:val="right"/>
              <w:rPr>
                <w:rFonts w:ascii="宋体" w:hAnsi="宋体" w:cs="宋体" w:eastAsia="宋体" w:hint="default"/>
                <w:sz w:val="18"/>
                <w:szCs w:val="18"/>
              </w:rPr>
            </w:pPr>
            <w:r>
              <w:rPr>
                <w:rFonts w:ascii="宋体"/>
                <w:sz w:val="18"/>
              </w:rPr>
              <w:t>0.00</w:t>
            </w:r>
          </w:p>
        </w:tc>
      </w:tr>
      <w:tr>
        <w:trPr>
          <w:trHeight w:val="286"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清华同方光盘电子出版社</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3"/>
              <w:jc w:val="right"/>
              <w:rPr>
                <w:rFonts w:ascii="宋体" w:hAnsi="宋体" w:cs="宋体" w:eastAsia="宋体" w:hint="default"/>
                <w:sz w:val="18"/>
                <w:szCs w:val="18"/>
              </w:rPr>
            </w:pPr>
            <w:r>
              <w:rPr>
                <w:rFonts w:ascii="宋体"/>
                <w:spacing w:val="-1"/>
                <w:sz w:val="18"/>
              </w:rPr>
              <w:t>261,355.38</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261,355.38</w:t>
            </w:r>
          </w:p>
        </w:tc>
      </w:tr>
      <w:tr>
        <w:trPr>
          <w:trHeight w:val="286"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沐华清诚（北京）教育科技发展有限公司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1"/>
              <w:jc w:val="right"/>
              <w:rPr>
                <w:rFonts w:ascii="宋体" w:hAnsi="宋体" w:cs="宋体" w:eastAsia="宋体" w:hint="default"/>
                <w:sz w:val="18"/>
                <w:szCs w:val="18"/>
              </w:rPr>
            </w:pPr>
            <w:r>
              <w:rPr>
                <w:rFonts w:ascii="宋体"/>
                <w:spacing w:val="-1"/>
                <w:sz w:val="18"/>
              </w:rPr>
              <w:t>89,279.68</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sz w:val="18"/>
              </w:rPr>
              <w:t>0.00</w:t>
            </w:r>
          </w:p>
        </w:tc>
      </w:tr>
      <w:tr>
        <w:trPr>
          <w:trHeight w:val="284"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北京清尚建筑装饰工程有限公司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1"/>
              <w:jc w:val="right"/>
              <w:rPr>
                <w:rFonts w:ascii="宋体" w:hAnsi="宋体" w:cs="宋体" w:eastAsia="宋体" w:hint="default"/>
                <w:sz w:val="18"/>
                <w:szCs w:val="18"/>
              </w:rPr>
            </w:pPr>
            <w:r>
              <w:rPr>
                <w:rFonts w:ascii="宋体"/>
                <w:spacing w:val="-1"/>
                <w:sz w:val="18"/>
              </w:rPr>
              <w:t>37,000.00</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37,000.00</w:t>
            </w:r>
          </w:p>
        </w:tc>
      </w:tr>
      <w:tr>
        <w:trPr>
          <w:trHeight w:val="284"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2" w:lineRule="exact"/>
              <w:ind w:left="165" w:right="0"/>
              <w:jc w:val="left"/>
              <w:rPr>
                <w:rFonts w:ascii="宋体" w:hAnsi="宋体" w:cs="宋体" w:eastAsia="宋体" w:hint="default"/>
                <w:sz w:val="18"/>
                <w:szCs w:val="18"/>
              </w:rPr>
            </w:pPr>
            <w:r>
              <w:rPr>
                <w:rFonts w:ascii="宋体" w:hAnsi="宋体" w:cs="宋体" w:eastAsia="宋体" w:hint="default"/>
                <w:sz w:val="18"/>
                <w:szCs w:val="18"/>
              </w:rPr>
              <w:t>诚志重科技有限公司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2" w:lineRule="exact"/>
              <w:ind w:right="231"/>
              <w:jc w:val="right"/>
              <w:rPr>
                <w:rFonts w:ascii="宋体" w:hAnsi="宋体" w:cs="宋体" w:eastAsia="宋体" w:hint="default"/>
                <w:sz w:val="18"/>
                <w:szCs w:val="18"/>
              </w:rPr>
            </w:pPr>
            <w:r>
              <w:rPr>
                <w:rFonts w:ascii="宋体"/>
                <w:spacing w:val="-1"/>
                <w:sz w:val="18"/>
              </w:rPr>
              <w:t>35,137.85</w:t>
            </w:r>
          </w:p>
        </w:tc>
        <w:tc>
          <w:tcPr>
            <w:tcW w:w="1426" w:type="dxa"/>
            <w:tcBorders>
              <w:top w:val="nil" w:sz="6" w:space="0" w:color="auto"/>
              <w:left w:val="nil" w:sz="6" w:space="0" w:color="auto"/>
              <w:bottom w:val="nil" w:sz="6" w:space="0" w:color="auto"/>
              <w:right w:val="nil" w:sz="6" w:space="0" w:color="auto"/>
            </w:tcBorders>
          </w:tcPr>
          <w:p>
            <w:pPr>
              <w:pStyle w:val="TableParagraph"/>
              <w:spacing w:line="232" w:lineRule="exact"/>
              <w:ind w:right="109"/>
              <w:jc w:val="right"/>
              <w:rPr>
                <w:rFonts w:ascii="宋体" w:hAnsi="宋体" w:cs="宋体" w:eastAsia="宋体" w:hint="default"/>
                <w:sz w:val="18"/>
                <w:szCs w:val="18"/>
              </w:rPr>
            </w:pPr>
            <w:r>
              <w:rPr>
                <w:rFonts w:ascii="宋体"/>
                <w:sz w:val="18"/>
              </w:rPr>
              <w:t>0.00</w:t>
            </w:r>
          </w:p>
        </w:tc>
      </w:tr>
      <w:tr>
        <w:trPr>
          <w:trHeight w:val="286"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北京华清物业管理有限责任公司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1"/>
              <w:jc w:val="right"/>
              <w:rPr>
                <w:rFonts w:ascii="宋体" w:hAnsi="宋体" w:cs="宋体" w:eastAsia="宋体" w:hint="default"/>
                <w:sz w:val="18"/>
                <w:szCs w:val="18"/>
              </w:rPr>
            </w:pPr>
            <w:r>
              <w:rPr>
                <w:rFonts w:ascii="宋体"/>
                <w:spacing w:val="-1"/>
                <w:sz w:val="18"/>
              </w:rPr>
              <w:t>14,400.00</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14,400.00</w:t>
            </w:r>
          </w:p>
        </w:tc>
      </w:tr>
      <w:tr>
        <w:trPr>
          <w:trHeight w:val="286"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北京清华同衡规划设计研究院有限公司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3"/>
              <w:jc w:val="right"/>
              <w:rPr>
                <w:rFonts w:ascii="宋体" w:hAnsi="宋体" w:cs="宋体" w:eastAsia="宋体" w:hint="default"/>
                <w:sz w:val="18"/>
                <w:szCs w:val="18"/>
              </w:rPr>
            </w:pPr>
            <w:r>
              <w:rPr>
                <w:rFonts w:ascii="宋体"/>
                <w:spacing w:val="-1"/>
                <w:sz w:val="18"/>
              </w:rPr>
              <w:t>9,312.08</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9,312.08</w:t>
            </w:r>
          </w:p>
        </w:tc>
      </w:tr>
      <w:tr>
        <w:trPr>
          <w:trHeight w:val="285"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紫光软件系统有限公司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4"/>
              <w:jc w:val="right"/>
              <w:rPr>
                <w:rFonts w:ascii="宋体" w:hAnsi="宋体" w:cs="宋体" w:eastAsia="宋体" w:hint="default"/>
                <w:sz w:val="18"/>
                <w:szCs w:val="18"/>
              </w:rPr>
            </w:pPr>
            <w:r>
              <w:rPr>
                <w:rFonts w:ascii="宋体"/>
                <w:sz w:val="18"/>
              </w:rPr>
              <w:t>0.00</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50,000.00</w:t>
            </w:r>
          </w:p>
        </w:tc>
      </w:tr>
      <w:tr>
        <w:trPr>
          <w:trHeight w:val="284" w:hRule="exact"/>
        </w:trPr>
        <w:tc>
          <w:tcPr>
            <w:tcW w:w="1188" w:type="dxa"/>
            <w:tcBorders>
              <w:top w:val="nil" w:sz="6" w:space="0" w:color="auto"/>
              <w:left w:val="nil" w:sz="6" w:space="0" w:color="auto"/>
              <w:bottom w:val="nil" w:sz="6" w:space="0" w:color="auto"/>
              <w:right w:val="nil" w:sz="6" w:space="0" w:color="auto"/>
            </w:tcBorders>
          </w:tcPr>
          <w:p>
            <w:pPr/>
          </w:p>
        </w:tc>
        <w:tc>
          <w:tcPr>
            <w:tcW w:w="4439" w:type="dxa"/>
            <w:tcBorders>
              <w:top w:val="nil" w:sz="6" w:space="0" w:color="auto"/>
              <w:left w:val="nil" w:sz="6" w:space="0" w:color="auto"/>
              <w:bottom w:val="nil" w:sz="6" w:space="0" w:color="auto"/>
              <w:right w:val="nil" w:sz="6" w:space="0" w:color="auto"/>
            </w:tcBorders>
          </w:tcPr>
          <w:p>
            <w:pPr>
              <w:pStyle w:val="TableParagraph"/>
              <w:spacing w:line="232"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171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r>
      <w:tr>
        <w:trPr>
          <w:trHeight w:val="286"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广州同艺照明有限公司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3"/>
              <w:jc w:val="right"/>
              <w:rPr>
                <w:rFonts w:ascii="宋体" w:hAnsi="宋体" w:cs="宋体" w:eastAsia="宋体" w:hint="default"/>
                <w:sz w:val="18"/>
                <w:szCs w:val="18"/>
              </w:rPr>
            </w:pPr>
            <w:r>
              <w:rPr>
                <w:rFonts w:ascii="宋体"/>
                <w:spacing w:val="-1"/>
                <w:sz w:val="18"/>
              </w:rPr>
              <w:t>1,560,000.00</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1,560,000.00</w:t>
            </w:r>
          </w:p>
        </w:tc>
      </w:tr>
      <w:tr>
        <w:trPr>
          <w:trHeight w:val="286"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北京清控人居环境研究院有限公司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3"/>
              <w:jc w:val="right"/>
              <w:rPr>
                <w:rFonts w:ascii="宋体" w:hAnsi="宋体" w:cs="宋体" w:eastAsia="宋体" w:hint="default"/>
                <w:sz w:val="18"/>
                <w:szCs w:val="18"/>
              </w:rPr>
            </w:pPr>
            <w:r>
              <w:rPr>
                <w:rFonts w:ascii="宋体"/>
                <w:spacing w:val="-1"/>
                <w:sz w:val="18"/>
              </w:rPr>
              <w:t>996,480.00</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1,095,329.65</w:t>
            </w:r>
          </w:p>
        </w:tc>
      </w:tr>
      <w:tr>
        <w:trPr>
          <w:trHeight w:val="284"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同方药业集团有限公司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3"/>
              <w:jc w:val="right"/>
              <w:rPr>
                <w:rFonts w:ascii="宋体" w:hAnsi="宋体" w:cs="宋体" w:eastAsia="宋体" w:hint="default"/>
                <w:sz w:val="18"/>
                <w:szCs w:val="18"/>
              </w:rPr>
            </w:pPr>
            <w:r>
              <w:rPr>
                <w:rFonts w:ascii="宋体"/>
                <w:spacing w:val="-1"/>
                <w:sz w:val="18"/>
              </w:rPr>
              <w:t>704,642.90</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1,030.00</w:t>
            </w:r>
          </w:p>
        </w:tc>
      </w:tr>
      <w:tr>
        <w:trPr>
          <w:trHeight w:val="284"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2" w:lineRule="exact"/>
              <w:ind w:left="165"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2" w:lineRule="exact"/>
              <w:ind w:right="233"/>
              <w:jc w:val="right"/>
              <w:rPr>
                <w:rFonts w:ascii="宋体" w:hAnsi="宋体" w:cs="宋体" w:eastAsia="宋体" w:hint="default"/>
                <w:sz w:val="18"/>
                <w:szCs w:val="18"/>
              </w:rPr>
            </w:pPr>
            <w:r>
              <w:rPr>
                <w:rFonts w:ascii="宋体"/>
                <w:spacing w:val="-1"/>
                <w:sz w:val="18"/>
              </w:rPr>
              <w:t>500,000.00</w:t>
            </w:r>
          </w:p>
        </w:tc>
        <w:tc>
          <w:tcPr>
            <w:tcW w:w="1426"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500,000.00</w:t>
            </w:r>
          </w:p>
        </w:tc>
      </w:tr>
      <w:tr>
        <w:trPr>
          <w:trHeight w:val="286"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同方全球人寿保险有限公司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3"/>
              <w:jc w:val="right"/>
              <w:rPr>
                <w:rFonts w:ascii="宋体" w:hAnsi="宋体" w:cs="宋体" w:eastAsia="宋体" w:hint="default"/>
                <w:sz w:val="18"/>
                <w:szCs w:val="18"/>
              </w:rPr>
            </w:pPr>
            <w:r>
              <w:rPr>
                <w:rFonts w:ascii="宋体"/>
                <w:spacing w:val="-1"/>
                <w:sz w:val="18"/>
              </w:rPr>
              <w:t>445,068.93</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444,654.42</w:t>
            </w:r>
          </w:p>
        </w:tc>
      </w:tr>
      <w:tr>
        <w:trPr>
          <w:trHeight w:val="286"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苏州博远容天信息科技股份有限公司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3"/>
              <w:jc w:val="right"/>
              <w:rPr>
                <w:rFonts w:ascii="宋体" w:hAnsi="宋体" w:cs="宋体" w:eastAsia="宋体" w:hint="default"/>
                <w:sz w:val="18"/>
                <w:szCs w:val="18"/>
              </w:rPr>
            </w:pPr>
            <w:r>
              <w:rPr>
                <w:rFonts w:ascii="宋体"/>
                <w:spacing w:val="-1"/>
                <w:sz w:val="18"/>
              </w:rPr>
              <w:t>300,000.00</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sz w:val="18"/>
              </w:rPr>
              <w:t>0.00</w:t>
            </w:r>
          </w:p>
        </w:tc>
      </w:tr>
      <w:tr>
        <w:trPr>
          <w:trHeight w:val="284"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重庆康乐制药有限公司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3"/>
              <w:jc w:val="right"/>
              <w:rPr>
                <w:rFonts w:ascii="宋体" w:hAnsi="宋体" w:cs="宋体" w:eastAsia="宋体" w:hint="default"/>
                <w:sz w:val="18"/>
                <w:szCs w:val="18"/>
              </w:rPr>
            </w:pPr>
            <w:r>
              <w:rPr>
                <w:rFonts w:ascii="宋体"/>
                <w:spacing w:val="-1"/>
                <w:sz w:val="18"/>
              </w:rPr>
              <w:t>300,000.00</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sz w:val="18"/>
              </w:rPr>
              <w:t>0.00</w:t>
            </w:r>
          </w:p>
        </w:tc>
      </w:tr>
      <w:tr>
        <w:trPr>
          <w:trHeight w:val="284"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2" w:lineRule="exact"/>
              <w:ind w:left="165" w:right="0"/>
              <w:jc w:val="left"/>
              <w:rPr>
                <w:rFonts w:ascii="宋体" w:hAnsi="宋体" w:cs="宋体" w:eastAsia="宋体" w:hint="default"/>
                <w:sz w:val="18"/>
                <w:szCs w:val="18"/>
              </w:rPr>
            </w:pPr>
            <w:r>
              <w:rPr>
                <w:rFonts w:ascii="宋体" w:hAnsi="宋体" w:cs="宋体" w:eastAsia="宋体" w:hint="default"/>
                <w:sz w:val="18"/>
                <w:szCs w:val="18"/>
              </w:rPr>
              <w:t>深圳华控赛格股份有限公司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2" w:lineRule="exact"/>
              <w:ind w:right="233"/>
              <w:jc w:val="right"/>
              <w:rPr>
                <w:rFonts w:ascii="宋体" w:hAnsi="宋体" w:cs="宋体" w:eastAsia="宋体" w:hint="default"/>
                <w:sz w:val="18"/>
                <w:szCs w:val="18"/>
              </w:rPr>
            </w:pPr>
            <w:r>
              <w:rPr>
                <w:rFonts w:ascii="宋体"/>
                <w:spacing w:val="-1"/>
                <w:sz w:val="18"/>
              </w:rPr>
              <w:t>226,241.51</w:t>
            </w:r>
          </w:p>
        </w:tc>
        <w:tc>
          <w:tcPr>
            <w:tcW w:w="1426" w:type="dxa"/>
            <w:tcBorders>
              <w:top w:val="nil" w:sz="6" w:space="0" w:color="auto"/>
              <w:left w:val="nil" w:sz="6" w:space="0" w:color="auto"/>
              <w:bottom w:val="nil" w:sz="6" w:space="0" w:color="auto"/>
              <w:right w:val="nil" w:sz="6" w:space="0" w:color="auto"/>
            </w:tcBorders>
          </w:tcPr>
          <w:p>
            <w:pPr>
              <w:pStyle w:val="TableParagraph"/>
              <w:spacing w:line="232" w:lineRule="exact"/>
              <w:ind w:right="109"/>
              <w:jc w:val="right"/>
              <w:rPr>
                <w:rFonts w:ascii="宋体" w:hAnsi="宋体" w:cs="宋体" w:eastAsia="宋体" w:hint="default"/>
                <w:sz w:val="18"/>
                <w:szCs w:val="18"/>
              </w:rPr>
            </w:pPr>
            <w:r>
              <w:rPr>
                <w:rFonts w:ascii="宋体"/>
                <w:sz w:val="18"/>
              </w:rPr>
              <w:t>0.00</w:t>
            </w:r>
          </w:p>
        </w:tc>
      </w:tr>
      <w:tr>
        <w:trPr>
          <w:trHeight w:val="286"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北京同方时讯电子股份有限公司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3"/>
              <w:jc w:val="right"/>
              <w:rPr>
                <w:rFonts w:ascii="宋体" w:hAnsi="宋体" w:cs="宋体" w:eastAsia="宋体" w:hint="default"/>
                <w:sz w:val="18"/>
                <w:szCs w:val="18"/>
              </w:rPr>
            </w:pPr>
            <w:r>
              <w:rPr>
                <w:rFonts w:ascii="宋体"/>
                <w:spacing w:val="-1"/>
                <w:sz w:val="18"/>
              </w:rPr>
              <w:t>200,000.00</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200,000.00</w:t>
            </w:r>
          </w:p>
        </w:tc>
      </w:tr>
      <w:tr>
        <w:trPr>
          <w:trHeight w:val="286"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sz w:val="18"/>
              </w:rPr>
              <w:t>Tongfang Kontafarma Holdings</w:t>
            </w:r>
            <w:r>
              <w:rPr>
                <w:rFonts w:ascii="宋体"/>
                <w:spacing w:val="-13"/>
                <w:sz w:val="18"/>
              </w:rPr>
              <w:t> </w:t>
            </w:r>
            <w:r>
              <w:rPr>
                <w:rFonts w:ascii="宋体"/>
                <w:sz w:val="18"/>
              </w:rPr>
              <w:t>Limited</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3"/>
              <w:jc w:val="right"/>
              <w:rPr>
                <w:rFonts w:ascii="宋体" w:hAnsi="宋体" w:cs="宋体" w:eastAsia="宋体" w:hint="default"/>
                <w:sz w:val="18"/>
                <w:szCs w:val="18"/>
              </w:rPr>
            </w:pPr>
            <w:r>
              <w:rPr>
                <w:rFonts w:ascii="宋体"/>
                <w:spacing w:val="-1"/>
                <w:sz w:val="18"/>
              </w:rPr>
              <w:t>151,483.45</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166,181.08</w:t>
            </w:r>
          </w:p>
        </w:tc>
      </w:tr>
      <w:tr>
        <w:trPr>
          <w:trHeight w:val="285"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3"/>
              <w:jc w:val="right"/>
              <w:rPr>
                <w:rFonts w:ascii="宋体" w:hAnsi="宋体" w:cs="宋体" w:eastAsia="宋体" w:hint="default"/>
                <w:sz w:val="18"/>
                <w:szCs w:val="18"/>
              </w:rPr>
            </w:pPr>
            <w:r>
              <w:rPr>
                <w:rFonts w:ascii="宋体"/>
                <w:spacing w:val="-1"/>
                <w:sz w:val="18"/>
              </w:rPr>
              <w:t>146,041.75</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146,041.75</w:t>
            </w:r>
          </w:p>
        </w:tc>
      </w:tr>
      <w:tr>
        <w:trPr>
          <w:trHeight w:val="285"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2" w:lineRule="exact"/>
              <w:ind w:left="165" w:right="0"/>
              <w:jc w:val="left"/>
              <w:rPr>
                <w:rFonts w:ascii="宋体" w:hAnsi="宋体" w:cs="宋体" w:eastAsia="宋体" w:hint="default"/>
                <w:sz w:val="18"/>
                <w:szCs w:val="18"/>
              </w:rPr>
            </w:pPr>
            <w:r>
              <w:rPr>
                <w:rFonts w:ascii="宋体" w:hAnsi="宋体" w:cs="宋体" w:eastAsia="宋体" w:hint="default"/>
                <w:sz w:val="18"/>
                <w:szCs w:val="18"/>
              </w:rPr>
              <w:t>云南云电同方科技有限公司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2" w:lineRule="exact"/>
              <w:ind w:right="231"/>
              <w:jc w:val="right"/>
              <w:rPr>
                <w:rFonts w:ascii="宋体" w:hAnsi="宋体" w:cs="宋体" w:eastAsia="宋体" w:hint="default"/>
                <w:sz w:val="18"/>
                <w:szCs w:val="18"/>
              </w:rPr>
            </w:pPr>
            <w:r>
              <w:rPr>
                <w:rFonts w:ascii="宋体"/>
                <w:spacing w:val="-1"/>
                <w:sz w:val="18"/>
              </w:rPr>
              <w:t>78,076.48</w:t>
            </w:r>
          </w:p>
        </w:tc>
        <w:tc>
          <w:tcPr>
            <w:tcW w:w="142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pacing w:val="-1"/>
                <w:sz w:val="18"/>
              </w:rPr>
              <w:t>72,417.67</w:t>
            </w:r>
          </w:p>
        </w:tc>
      </w:tr>
      <w:tr>
        <w:trPr>
          <w:trHeight w:val="286"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1"/>
              <w:jc w:val="right"/>
              <w:rPr>
                <w:rFonts w:ascii="宋体" w:hAnsi="宋体" w:cs="宋体" w:eastAsia="宋体" w:hint="default"/>
                <w:sz w:val="18"/>
                <w:szCs w:val="18"/>
              </w:rPr>
            </w:pPr>
            <w:r>
              <w:rPr>
                <w:rFonts w:ascii="宋体"/>
                <w:spacing w:val="-1"/>
                <w:sz w:val="18"/>
              </w:rPr>
              <w:t>56,590.44</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57,648.75</w:t>
            </w:r>
          </w:p>
        </w:tc>
      </w:tr>
      <w:tr>
        <w:trPr>
          <w:trHeight w:val="286"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1"/>
              <w:jc w:val="right"/>
              <w:rPr>
                <w:rFonts w:ascii="宋体" w:hAnsi="宋体" w:cs="宋体" w:eastAsia="宋体" w:hint="default"/>
                <w:sz w:val="18"/>
                <w:szCs w:val="18"/>
              </w:rPr>
            </w:pPr>
            <w:r>
              <w:rPr>
                <w:rFonts w:ascii="宋体"/>
                <w:spacing w:val="-1"/>
                <w:sz w:val="18"/>
              </w:rPr>
              <w:t>45,572.00</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45,572.00</w:t>
            </w:r>
          </w:p>
        </w:tc>
      </w:tr>
      <w:tr>
        <w:trPr>
          <w:trHeight w:val="284"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苏州易通程达物业管理有限公司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1"/>
              <w:jc w:val="right"/>
              <w:rPr>
                <w:rFonts w:ascii="宋体" w:hAnsi="宋体" w:cs="宋体" w:eastAsia="宋体" w:hint="default"/>
                <w:sz w:val="18"/>
                <w:szCs w:val="18"/>
              </w:rPr>
            </w:pPr>
            <w:r>
              <w:rPr>
                <w:rFonts w:ascii="宋体"/>
                <w:spacing w:val="-1"/>
                <w:sz w:val="18"/>
              </w:rPr>
              <w:t>20,611.41</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19,286.89</w:t>
            </w:r>
          </w:p>
        </w:tc>
      </w:tr>
      <w:tr>
        <w:trPr>
          <w:trHeight w:val="284"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2" w:lineRule="exact"/>
              <w:ind w:left="165"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2" w:lineRule="exact"/>
              <w:ind w:right="231"/>
              <w:jc w:val="right"/>
              <w:rPr>
                <w:rFonts w:ascii="宋体" w:hAnsi="宋体" w:cs="宋体" w:eastAsia="宋体" w:hint="default"/>
                <w:sz w:val="18"/>
                <w:szCs w:val="18"/>
              </w:rPr>
            </w:pPr>
            <w:r>
              <w:rPr>
                <w:rFonts w:ascii="宋体"/>
                <w:spacing w:val="-1"/>
                <w:sz w:val="18"/>
              </w:rPr>
              <w:t>14,814.00</w:t>
            </w:r>
          </w:p>
        </w:tc>
        <w:tc>
          <w:tcPr>
            <w:tcW w:w="1426"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pacing w:val="-1"/>
                <w:sz w:val="18"/>
              </w:rPr>
              <w:t>14,814.00</w:t>
            </w:r>
          </w:p>
        </w:tc>
      </w:tr>
      <w:tr>
        <w:trPr>
          <w:trHeight w:val="286"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北京厚持投资管理有限责任公司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3"/>
              <w:jc w:val="right"/>
              <w:rPr>
                <w:rFonts w:ascii="宋体" w:hAnsi="宋体" w:cs="宋体" w:eastAsia="宋体" w:hint="default"/>
                <w:sz w:val="18"/>
                <w:szCs w:val="18"/>
              </w:rPr>
            </w:pPr>
            <w:r>
              <w:rPr>
                <w:rFonts w:ascii="宋体"/>
                <w:spacing w:val="-1"/>
                <w:sz w:val="18"/>
              </w:rPr>
              <w:t>8,850.00</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212,601.48</w:t>
            </w:r>
          </w:p>
        </w:tc>
      </w:tr>
      <w:tr>
        <w:trPr>
          <w:trHeight w:val="286"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北京朗视仪器有限公司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3"/>
              <w:jc w:val="right"/>
              <w:rPr>
                <w:rFonts w:ascii="宋体" w:hAnsi="宋体" w:cs="宋体" w:eastAsia="宋体" w:hint="default"/>
                <w:sz w:val="18"/>
                <w:szCs w:val="18"/>
              </w:rPr>
            </w:pPr>
            <w:r>
              <w:rPr>
                <w:rFonts w:ascii="宋体"/>
                <w:spacing w:val="-1"/>
                <w:sz w:val="18"/>
              </w:rPr>
              <w:t>8,120.10</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sz w:val="18"/>
              </w:rPr>
              <w:t>0.00</w:t>
            </w:r>
          </w:p>
        </w:tc>
      </w:tr>
      <w:tr>
        <w:trPr>
          <w:trHeight w:val="284"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天门广电同方数字电视有限公司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3"/>
              <w:jc w:val="right"/>
              <w:rPr>
                <w:rFonts w:ascii="宋体" w:hAnsi="宋体" w:cs="宋体" w:eastAsia="宋体" w:hint="default"/>
                <w:sz w:val="18"/>
                <w:szCs w:val="18"/>
              </w:rPr>
            </w:pPr>
            <w:r>
              <w:rPr>
                <w:rFonts w:ascii="宋体"/>
                <w:spacing w:val="-1"/>
                <w:sz w:val="18"/>
              </w:rPr>
              <w:t>6,442.00</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7,815.00</w:t>
            </w:r>
          </w:p>
        </w:tc>
      </w:tr>
      <w:tr>
        <w:trPr>
          <w:trHeight w:val="284"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2" w:lineRule="exact"/>
              <w:ind w:left="165" w:right="0"/>
              <w:jc w:val="left"/>
              <w:rPr>
                <w:rFonts w:ascii="宋体" w:hAnsi="宋体" w:cs="宋体" w:eastAsia="宋体" w:hint="default"/>
                <w:sz w:val="18"/>
                <w:szCs w:val="18"/>
              </w:rPr>
            </w:pPr>
            <w:r>
              <w:rPr>
                <w:rFonts w:ascii="宋体" w:hAnsi="宋体" w:cs="宋体" w:eastAsia="宋体" w:hint="default"/>
                <w:sz w:val="18"/>
                <w:szCs w:val="18"/>
              </w:rPr>
              <w:t>南阳广电同方数字电视有限责任公司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2" w:lineRule="exact"/>
              <w:ind w:right="233"/>
              <w:jc w:val="right"/>
              <w:rPr>
                <w:rFonts w:ascii="宋体" w:hAnsi="宋体" w:cs="宋体" w:eastAsia="宋体" w:hint="default"/>
                <w:sz w:val="18"/>
                <w:szCs w:val="18"/>
              </w:rPr>
            </w:pPr>
            <w:r>
              <w:rPr>
                <w:rFonts w:ascii="宋体"/>
                <w:spacing w:val="-1"/>
                <w:sz w:val="18"/>
              </w:rPr>
              <w:t>5,022.00</w:t>
            </w:r>
          </w:p>
        </w:tc>
        <w:tc>
          <w:tcPr>
            <w:tcW w:w="1426" w:type="dxa"/>
            <w:tcBorders>
              <w:top w:val="nil" w:sz="6" w:space="0" w:color="auto"/>
              <w:left w:val="nil" w:sz="6" w:space="0" w:color="auto"/>
              <w:bottom w:val="nil" w:sz="6" w:space="0" w:color="auto"/>
              <w:right w:val="nil" w:sz="6" w:space="0" w:color="auto"/>
            </w:tcBorders>
          </w:tcPr>
          <w:p>
            <w:pPr>
              <w:pStyle w:val="TableParagraph"/>
              <w:spacing w:line="232" w:lineRule="exact"/>
              <w:ind w:right="109"/>
              <w:jc w:val="right"/>
              <w:rPr>
                <w:rFonts w:ascii="宋体" w:hAnsi="宋体" w:cs="宋体" w:eastAsia="宋体" w:hint="default"/>
                <w:sz w:val="18"/>
                <w:szCs w:val="18"/>
              </w:rPr>
            </w:pPr>
            <w:r>
              <w:rPr>
                <w:rFonts w:ascii="宋体"/>
                <w:sz w:val="18"/>
              </w:rPr>
              <w:t>0.00</w:t>
            </w:r>
          </w:p>
        </w:tc>
      </w:tr>
      <w:tr>
        <w:trPr>
          <w:trHeight w:val="286"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泉州广电同方数字电视有限公司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3"/>
              <w:jc w:val="right"/>
              <w:rPr>
                <w:rFonts w:ascii="宋体" w:hAnsi="宋体" w:cs="宋体" w:eastAsia="宋体" w:hint="default"/>
                <w:sz w:val="18"/>
                <w:szCs w:val="18"/>
              </w:rPr>
            </w:pPr>
            <w:r>
              <w:rPr>
                <w:rFonts w:ascii="宋体"/>
                <w:spacing w:val="-1"/>
                <w:sz w:val="18"/>
              </w:rPr>
              <w:t>3,248.00</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2,894.00</w:t>
            </w:r>
          </w:p>
        </w:tc>
      </w:tr>
      <w:tr>
        <w:trPr>
          <w:trHeight w:val="286"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0"/>
              <w:jc w:val="right"/>
              <w:rPr>
                <w:rFonts w:ascii="宋体" w:hAnsi="宋体" w:cs="宋体" w:eastAsia="宋体" w:hint="default"/>
                <w:sz w:val="18"/>
                <w:szCs w:val="18"/>
              </w:rPr>
            </w:pPr>
            <w:r>
              <w:rPr>
                <w:rFonts w:ascii="宋体"/>
                <w:sz w:val="18"/>
              </w:rPr>
              <w:t>39.96</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39.96</w:t>
            </w:r>
          </w:p>
        </w:tc>
      </w:tr>
      <w:tr>
        <w:trPr>
          <w:trHeight w:val="285"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北京同方博宇工程技术有限公司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0"/>
              <w:jc w:val="right"/>
              <w:rPr>
                <w:rFonts w:ascii="宋体" w:hAnsi="宋体" w:cs="宋体" w:eastAsia="宋体" w:hint="default"/>
                <w:sz w:val="18"/>
                <w:szCs w:val="18"/>
              </w:rPr>
            </w:pPr>
            <w:r>
              <w:rPr>
                <w:rFonts w:ascii="宋体"/>
                <w:sz w:val="18"/>
              </w:rPr>
              <w:t>30.00</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z w:val="18"/>
              </w:rPr>
              <w:t>30.00</w:t>
            </w:r>
          </w:p>
        </w:tc>
      </w:tr>
      <w:tr>
        <w:trPr>
          <w:trHeight w:val="285"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2" w:lineRule="exact"/>
              <w:ind w:left="165" w:right="0"/>
              <w:jc w:val="left"/>
              <w:rPr>
                <w:rFonts w:ascii="宋体" w:hAnsi="宋体" w:cs="宋体" w:eastAsia="宋体" w:hint="default"/>
                <w:sz w:val="18"/>
                <w:szCs w:val="18"/>
              </w:rPr>
            </w:pPr>
            <w:r>
              <w:rPr>
                <w:rFonts w:ascii="宋体" w:hAnsi="宋体" w:cs="宋体" w:eastAsia="宋体" w:hint="default"/>
                <w:sz w:val="18"/>
                <w:szCs w:val="18"/>
              </w:rPr>
              <w:t>北京辰安科技股份有限公司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2" w:lineRule="exact"/>
              <w:ind w:right="234"/>
              <w:jc w:val="right"/>
              <w:rPr>
                <w:rFonts w:ascii="宋体" w:hAnsi="宋体" w:cs="宋体" w:eastAsia="宋体" w:hint="default"/>
                <w:sz w:val="18"/>
                <w:szCs w:val="18"/>
              </w:rPr>
            </w:pPr>
            <w:r>
              <w:rPr>
                <w:rFonts w:ascii="宋体"/>
                <w:sz w:val="18"/>
              </w:rPr>
              <w:t>0.00</w:t>
            </w:r>
          </w:p>
        </w:tc>
        <w:tc>
          <w:tcPr>
            <w:tcW w:w="1426"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139,230.50</w:t>
            </w:r>
          </w:p>
        </w:tc>
      </w:tr>
      <w:tr>
        <w:trPr>
          <w:trHeight w:val="286"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陕西省广电同方数字电视有限责任公司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4"/>
              <w:jc w:val="right"/>
              <w:rPr>
                <w:rFonts w:ascii="宋体" w:hAnsi="宋体" w:cs="宋体" w:eastAsia="宋体" w:hint="default"/>
                <w:sz w:val="18"/>
                <w:szCs w:val="18"/>
              </w:rPr>
            </w:pPr>
            <w:r>
              <w:rPr>
                <w:rFonts w:ascii="宋体"/>
                <w:sz w:val="18"/>
              </w:rPr>
              <w:t>0.00</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13,331.42</w:t>
            </w:r>
          </w:p>
        </w:tc>
      </w:tr>
      <w:tr>
        <w:trPr>
          <w:trHeight w:val="286"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濮阳广电同方数字电视有限公司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4"/>
              <w:jc w:val="right"/>
              <w:rPr>
                <w:rFonts w:ascii="宋体" w:hAnsi="宋体" w:cs="宋体" w:eastAsia="宋体" w:hint="default"/>
                <w:sz w:val="18"/>
                <w:szCs w:val="18"/>
              </w:rPr>
            </w:pPr>
            <w:r>
              <w:rPr>
                <w:rFonts w:ascii="宋体"/>
                <w:sz w:val="18"/>
              </w:rPr>
              <w:t>0.00</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9,575.00</w:t>
            </w:r>
          </w:p>
        </w:tc>
      </w:tr>
      <w:tr>
        <w:trPr>
          <w:trHeight w:val="284"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运城市蓝星同方数字电视有限公司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4"/>
              <w:jc w:val="right"/>
              <w:rPr>
                <w:rFonts w:ascii="宋体" w:hAnsi="宋体" w:cs="宋体" w:eastAsia="宋体" w:hint="default"/>
                <w:sz w:val="18"/>
                <w:szCs w:val="18"/>
              </w:rPr>
            </w:pPr>
            <w:r>
              <w:rPr>
                <w:rFonts w:ascii="宋体"/>
                <w:sz w:val="18"/>
              </w:rPr>
              <w:t>0.00</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1,400.35</w:t>
            </w:r>
          </w:p>
        </w:tc>
      </w:tr>
      <w:tr>
        <w:trPr>
          <w:trHeight w:val="284"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2" w:lineRule="exact"/>
              <w:ind w:left="165" w:right="0"/>
              <w:jc w:val="left"/>
              <w:rPr>
                <w:rFonts w:ascii="宋体" w:hAnsi="宋体" w:cs="宋体" w:eastAsia="宋体" w:hint="default"/>
                <w:sz w:val="18"/>
                <w:szCs w:val="18"/>
              </w:rPr>
            </w:pPr>
            <w:r>
              <w:rPr>
                <w:rFonts w:ascii="宋体" w:hAnsi="宋体" w:cs="宋体" w:eastAsia="宋体" w:hint="default"/>
                <w:sz w:val="18"/>
                <w:szCs w:val="18"/>
              </w:rPr>
              <w:t>日照广电同方数字电视有限公司</w:t>
            </w:r>
          </w:p>
        </w:tc>
        <w:tc>
          <w:tcPr>
            <w:tcW w:w="1718" w:type="dxa"/>
            <w:tcBorders>
              <w:top w:val="nil" w:sz="6" w:space="0" w:color="auto"/>
              <w:left w:val="nil" w:sz="6" w:space="0" w:color="auto"/>
              <w:bottom w:val="nil" w:sz="6" w:space="0" w:color="auto"/>
              <w:right w:val="nil" w:sz="6" w:space="0" w:color="auto"/>
            </w:tcBorders>
          </w:tcPr>
          <w:p>
            <w:pPr>
              <w:pStyle w:val="TableParagraph"/>
              <w:spacing w:line="232" w:lineRule="exact"/>
              <w:ind w:right="234"/>
              <w:jc w:val="right"/>
              <w:rPr>
                <w:rFonts w:ascii="宋体" w:hAnsi="宋体" w:cs="宋体" w:eastAsia="宋体" w:hint="default"/>
                <w:sz w:val="18"/>
                <w:szCs w:val="18"/>
              </w:rPr>
            </w:pPr>
            <w:r>
              <w:rPr>
                <w:rFonts w:ascii="宋体"/>
                <w:sz w:val="18"/>
              </w:rPr>
              <w:t>0.00</w:t>
            </w:r>
          </w:p>
        </w:tc>
        <w:tc>
          <w:tcPr>
            <w:tcW w:w="1426"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528.00</w:t>
            </w:r>
          </w:p>
        </w:tc>
      </w:tr>
      <w:tr>
        <w:trPr>
          <w:trHeight w:val="286" w:hRule="exact"/>
        </w:trPr>
        <w:tc>
          <w:tcPr>
            <w:tcW w:w="1188" w:type="dxa"/>
            <w:tcBorders>
              <w:top w:val="nil" w:sz="6" w:space="0" w:color="auto"/>
              <w:left w:val="nil" w:sz="6" w:space="0" w:color="auto"/>
              <w:bottom w:val="nil" w:sz="6" w:space="0" w:color="auto"/>
              <w:right w:val="nil" w:sz="6" w:space="0" w:color="auto"/>
            </w:tcBorders>
          </w:tcPr>
          <w:p>
            <w:pP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清华大学及其下属单位：</w:t>
            </w:r>
            <w:r>
              <w:rPr>
                <w:rFonts w:ascii="宋体" w:hAnsi="宋体" w:cs="宋体" w:eastAsia="宋体" w:hint="default"/>
                <w:sz w:val="18"/>
                <w:szCs w:val="18"/>
              </w:rPr>
            </w:r>
          </w:p>
        </w:tc>
        <w:tc>
          <w:tcPr>
            <w:tcW w:w="1718"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r>
      <w:tr>
        <w:trPr>
          <w:trHeight w:val="286"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3"/>
              <w:jc w:val="right"/>
              <w:rPr>
                <w:rFonts w:ascii="宋体" w:hAnsi="宋体" w:cs="宋体" w:eastAsia="宋体" w:hint="default"/>
                <w:sz w:val="18"/>
                <w:szCs w:val="18"/>
              </w:rPr>
            </w:pPr>
            <w:r>
              <w:rPr>
                <w:rFonts w:ascii="宋体"/>
                <w:spacing w:val="-1"/>
                <w:sz w:val="18"/>
              </w:rPr>
              <w:t>1,313,384.57</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663,319.47</w:t>
            </w:r>
          </w:p>
        </w:tc>
      </w:tr>
      <w:tr>
        <w:trPr>
          <w:trHeight w:val="284" w:hRule="exact"/>
        </w:trPr>
        <w:tc>
          <w:tcPr>
            <w:tcW w:w="118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439" w:type="dxa"/>
            <w:tcBorders>
              <w:top w:val="nil" w:sz="6" w:space="0" w:color="auto"/>
              <w:left w:val="nil" w:sz="6" w:space="0" w:color="auto"/>
              <w:bottom w:val="nil" w:sz="6" w:space="0" w:color="auto"/>
              <w:right w:val="nil" w:sz="6" w:space="0" w:color="auto"/>
            </w:tcBorders>
          </w:tcPr>
          <w:p>
            <w:pPr>
              <w:pStyle w:val="TableParagraph"/>
              <w:spacing w:line="233" w:lineRule="exact"/>
              <w:ind w:left="165" w:right="0"/>
              <w:jc w:val="left"/>
              <w:rPr>
                <w:rFonts w:ascii="宋体" w:hAnsi="宋体" w:cs="宋体" w:eastAsia="宋体" w:hint="default"/>
                <w:sz w:val="18"/>
                <w:szCs w:val="18"/>
              </w:rPr>
            </w:pPr>
            <w:r>
              <w:rPr>
                <w:rFonts w:ascii="宋体" w:hAnsi="宋体" w:cs="宋体" w:eastAsia="宋体" w:hint="default"/>
                <w:sz w:val="18"/>
                <w:szCs w:val="18"/>
              </w:rPr>
              <w:t>清华大学图书馆</w:t>
            </w:r>
          </w:p>
        </w:tc>
        <w:tc>
          <w:tcPr>
            <w:tcW w:w="1718" w:type="dxa"/>
            <w:tcBorders>
              <w:top w:val="nil" w:sz="6" w:space="0" w:color="auto"/>
              <w:left w:val="nil" w:sz="6" w:space="0" w:color="auto"/>
              <w:bottom w:val="nil" w:sz="6" w:space="0" w:color="auto"/>
              <w:right w:val="nil" w:sz="6" w:space="0" w:color="auto"/>
            </w:tcBorders>
          </w:tcPr>
          <w:p>
            <w:pPr>
              <w:pStyle w:val="TableParagraph"/>
              <w:spacing w:line="233" w:lineRule="exact"/>
              <w:ind w:right="231"/>
              <w:jc w:val="right"/>
              <w:rPr>
                <w:rFonts w:ascii="宋体" w:hAnsi="宋体" w:cs="宋体" w:eastAsia="宋体" w:hint="default"/>
                <w:sz w:val="18"/>
                <w:szCs w:val="18"/>
              </w:rPr>
            </w:pPr>
            <w:r>
              <w:rPr>
                <w:rFonts w:ascii="宋体"/>
                <w:spacing w:val="-1"/>
                <w:sz w:val="18"/>
              </w:rPr>
              <w:t>21,389.44</w:t>
            </w:r>
          </w:p>
        </w:tc>
        <w:tc>
          <w:tcPr>
            <w:tcW w:w="1426"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21,389.40</w:t>
            </w:r>
          </w:p>
        </w:tc>
      </w:tr>
      <w:tr>
        <w:trPr>
          <w:trHeight w:val="300" w:hRule="exact"/>
        </w:trPr>
        <w:tc>
          <w:tcPr>
            <w:tcW w:w="1188" w:type="dxa"/>
            <w:tcBorders>
              <w:top w:val="nil" w:sz="6" w:space="0" w:color="auto"/>
              <w:left w:val="nil" w:sz="6" w:space="0" w:color="auto"/>
              <w:bottom w:val="single" w:sz="12"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439" w:type="dxa"/>
            <w:tcBorders>
              <w:top w:val="nil" w:sz="6" w:space="0" w:color="auto"/>
              <w:left w:val="nil" w:sz="6" w:space="0" w:color="auto"/>
              <w:bottom w:val="single" w:sz="12" w:space="0" w:color="000000"/>
              <w:right w:val="nil" w:sz="6" w:space="0" w:color="auto"/>
            </w:tcBorders>
          </w:tcPr>
          <w:p>
            <w:pPr>
              <w:pStyle w:val="TableParagraph"/>
              <w:spacing w:line="232" w:lineRule="exact"/>
              <w:ind w:left="165" w:right="0"/>
              <w:jc w:val="left"/>
              <w:rPr>
                <w:rFonts w:ascii="宋体" w:hAnsi="宋体" w:cs="宋体" w:eastAsia="宋体" w:hint="default"/>
                <w:sz w:val="18"/>
                <w:szCs w:val="18"/>
              </w:rPr>
            </w:pPr>
            <w:r>
              <w:rPr>
                <w:rFonts w:ascii="宋体" w:hAnsi="宋体" w:cs="宋体" w:eastAsia="宋体" w:hint="default"/>
                <w:sz w:val="18"/>
                <w:szCs w:val="18"/>
              </w:rPr>
              <w:t>北京清华工业开发研究院</w:t>
            </w:r>
          </w:p>
        </w:tc>
        <w:tc>
          <w:tcPr>
            <w:tcW w:w="1718" w:type="dxa"/>
            <w:tcBorders>
              <w:top w:val="nil" w:sz="6" w:space="0" w:color="auto"/>
              <w:left w:val="nil" w:sz="6" w:space="0" w:color="auto"/>
              <w:bottom w:val="single" w:sz="12" w:space="0" w:color="000000"/>
              <w:right w:val="nil" w:sz="6" w:space="0" w:color="auto"/>
            </w:tcBorders>
          </w:tcPr>
          <w:p>
            <w:pPr>
              <w:pStyle w:val="TableParagraph"/>
              <w:spacing w:line="232" w:lineRule="exact"/>
              <w:ind w:right="233"/>
              <w:jc w:val="right"/>
              <w:rPr>
                <w:rFonts w:ascii="宋体" w:hAnsi="宋体" w:cs="宋体" w:eastAsia="宋体" w:hint="default"/>
                <w:sz w:val="18"/>
                <w:szCs w:val="18"/>
              </w:rPr>
            </w:pPr>
            <w:r>
              <w:rPr>
                <w:rFonts w:ascii="宋体"/>
                <w:spacing w:val="-1"/>
                <w:sz w:val="18"/>
              </w:rPr>
              <w:t>2,432.40</w:t>
            </w:r>
          </w:p>
        </w:tc>
        <w:tc>
          <w:tcPr>
            <w:tcW w:w="1426" w:type="dxa"/>
            <w:tcBorders>
              <w:top w:val="nil" w:sz="6" w:space="0" w:color="auto"/>
              <w:left w:val="nil" w:sz="6" w:space="0" w:color="auto"/>
              <w:bottom w:val="single" w:sz="12" w:space="0" w:color="000000"/>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2,432.40</w:t>
            </w:r>
          </w:p>
        </w:tc>
      </w:tr>
    </w:tbl>
    <w:p>
      <w:pPr>
        <w:spacing w:after="0" w:line="232" w:lineRule="exact"/>
        <w:jc w:val="right"/>
        <w:rPr>
          <w:rFonts w:ascii="宋体" w:hAnsi="宋体" w:cs="宋体" w:eastAsia="宋体" w:hint="default"/>
          <w:sz w:val="18"/>
          <w:szCs w:val="18"/>
        </w:rPr>
        <w:sectPr>
          <w:pgSz w:w="11910" w:h="16840"/>
          <w:pgMar w:header="0" w:footer="1034" w:top="1320" w:bottom="1220" w:left="1460" w:right="1440"/>
        </w:sectPr>
      </w:pPr>
    </w:p>
    <w:p>
      <w:pPr>
        <w:spacing w:line="240" w:lineRule="auto" w:before="4"/>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099"/>
        <w:gridCol w:w="4528"/>
        <w:gridCol w:w="1674"/>
        <w:gridCol w:w="1470"/>
      </w:tblGrid>
      <w:tr>
        <w:trPr>
          <w:trHeight w:val="305" w:hRule="exact"/>
        </w:trPr>
        <w:tc>
          <w:tcPr>
            <w:tcW w:w="1099"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452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54"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67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48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470"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3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2" w:hRule="exact"/>
        </w:trPr>
        <w:tc>
          <w:tcPr>
            <w:tcW w:w="1099" w:type="dxa"/>
            <w:tcBorders>
              <w:top w:val="single" w:sz="4" w:space="0" w:color="000000"/>
              <w:left w:val="nil" w:sz="6" w:space="0" w:color="auto"/>
              <w:bottom w:val="nil" w:sz="6" w:space="0" w:color="auto"/>
              <w:right w:val="nil" w:sz="6" w:space="0" w:color="auto"/>
            </w:tcBorders>
          </w:tcPr>
          <w:p>
            <w:pPr/>
          </w:p>
        </w:tc>
        <w:tc>
          <w:tcPr>
            <w:tcW w:w="4528" w:type="dxa"/>
            <w:tcBorders>
              <w:top w:val="single" w:sz="4" w:space="0" w:color="000000"/>
              <w:left w:val="nil" w:sz="6" w:space="0" w:color="auto"/>
              <w:bottom w:val="nil" w:sz="6" w:space="0" w:color="auto"/>
              <w:right w:val="nil" w:sz="6" w:space="0" w:color="auto"/>
            </w:tcBorders>
          </w:tcPr>
          <w:p>
            <w:pPr>
              <w:pStyle w:val="TableParagraph"/>
              <w:spacing w:line="235" w:lineRule="exact"/>
              <w:ind w:left="254" w:right="0"/>
              <w:jc w:val="left"/>
              <w:rPr>
                <w:rFonts w:ascii="宋体" w:hAnsi="宋体" w:cs="宋体" w:eastAsia="宋体" w:hint="default"/>
                <w:sz w:val="18"/>
                <w:szCs w:val="18"/>
              </w:rPr>
            </w:pPr>
            <w:r>
              <w:rPr>
                <w:rFonts w:ascii="宋体" w:hAnsi="宋体" w:cs="宋体" w:eastAsia="宋体" w:hint="default"/>
                <w:b/>
                <w:bCs/>
                <w:sz w:val="18"/>
                <w:szCs w:val="18"/>
              </w:rPr>
              <w:t>控股股东及受同一控股股东控制的其他企业：</w:t>
            </w:r>
            <w:r>
              <w:rPr>
                <w:rFonts w:ascii="宋体" w:hAnsi="宋体" w:cs="宋体" w:eastAsia="宋体" w:hint="default"/>
                <w:sz w:val="18"/>
                <w:szCs w:val="18"/>
              </w:rPr>
            </w:r>
          </w:p>
        </w:tc>
        <w:tc>
          <w:tcPr>
            <w:tcW w:w="1674" w:type="dxa"/>
            <w:tcBorders>
              <w:top w:val="single" w:sz="4" w:space="0" w:color="000000"/>
              <w:left w:val="nil" w:sz="6" w:space="0" w:color="auto"/>
              <w:bottom w:val="nil" w:sz="6" w:space="0" w:color="auto"/>
              <w:right w:val="nil" w:sz="6" w:space="0" w:color="auto"/>
            </w:tcBorders>
          </w:tcPr>
          <w:p>
            <w:pPr/>
          </w:p>
        </w:tc>
        <w:tc>
          <w:tcPr>
            <w:tcW w:w="1470" w:type="dxa"/>
            <w:tcBorders>
              <w:top w:val="single" w:sz="4" w:space="0" w:color="000000"/>
              <w:left w:val="nil" w:sz="6" w:space="0" w:color="auto"/>
              <w:bottom w:val="nil" w:sz="6" w:space="0" w:color="auto"/>
              <w:right w:val="nil" w:sz="6" w:space="0" w:color="auto"/>
            </w:tcBorders>
          </w:tcPr>
          <w:p>
            <w:pPr/>
          </w:p>
        </w:tc>
      </w:tr>
      <w:tr>
        <w:trPr>
          <w:trHeight w:val="284"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88"/>
              <w:jc w:val="right"/>
              <w:rPr>
                <w:rFonts w:ascii="宋体" w:hAnsi="宋体" w:cs="宋体" w:eastAsia="宋体" w:hint="default"/>
                <w:sz w:val="18"/>
                <w:szCs w:val="18"/>
              </w:rPr>
            </w:pPr>
            <w:r>
              <w:rPr>
                <w:rFonts w:ascii="宋体"/>
                <w:spacing w:val="-1"/>
                <w:sz w:val="18"/>
              </w:rPr>
              <w:t>9,820.00</w:t>
            </w:r>
          </w:p>
        </w:tc>
        <w:tc>
          <w:tcPr>
            <w:tcW w:w="1470"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9,820.00</w:t>
            </w:r>
          </w:p>
        </w:tc>
      </w:tr>
      <w:tr>
        <w:trPr>
          <w:trHeight w:val="284"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2" w:lineRule="exact"/>
              <w:ind w:left="254" w:right="0"/>
              <w:jc w:val="left"/>
              <w:rPr>
                <w:rFonts w:ascii="宋体" w:hAnsi="宋体" w:cs="宋体" w:eastAsia="宋体" w:hint="default"/>
                <w:sz w:val="18"/>
                <w:szCs w:val="18"/>
              </w:rPr>
            </w:pPr>
            <w:r>
              <w:rPr>
                <w:rFonts w:ascii="宋体" w:hAnsi="宋体" w:cs="宋体" w:eastAsia="宋体" w:hint="default"/>
                <w:sz w:val="18"/>
                <w:szCs w:val="18"/>
              </w:rPr>
              <w:t>紫光数码（苏州）集团有限公司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2" w:lineRule="exact"/>
              <w:ind w:right="186"/>
              <w:jc w:val="right"/>
              <w:rPr>
                <w:rFonts w:ascii="宋体" w:hAnsi="宋体" w:cs="宋体" w:eastAsia="宋体" w:hint="default"/>
                <w:sz w:val="18"/>
                <w:szCs w:val="18"/>
              </w:rPr>
            </w:pPr>
            <w:r>
              <w:rPr>
                <w:rFonts w:ascii="宋体"/>
                <w:spacing w:val="-1"/>
                <w:sz w:val="18"/>
              </w:rPr>
              <w:t>1,055,940.00</w:t>
            </w:r>
          </w:p>
        </w:tc>
        <w:tc>
          <w:tcPr>
            <w:tcW w:w="1470"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3,412,470.00</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北京清华同衡规划设计研究院有限公司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88"/>
              <w:jc w:val="right"/>
              <w:rPr>
                <w:rFonts w:ascii="宋体" w:hAnsi="宋体" w:cs="宋体" w:eastAsia="宋体" w:hint="default"/>
                <w:sz w:val="18"/>
                <w:szCs w:val="18"/>
              </w:rPr>
            </w:pPr>
            <w:r>
              <w:rPr>
                <w:rFonts w:ascii="宋体"/>
                <w:spacing w:val="-1"/>
                <w:sz w:val="18"/>
              </w:rPr>
              <w:t>245,754.76</w:t>
            </w:r>
          </w:p>
        </w:tc>
        <w:tc>
          <w:tcPr>
            <w:tcW w:w="1470"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137,735.85</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《中国学术期刊（光盘版）》电子杂志社有限公司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88"/>
              <w:jc w:val="right"/>
              <w:rPr>
                <w:rFonts w:ascii="宋体" w:hAnsi="宋体" w:cs="宋体" w:eastAsia="宋体" w:hint="default"/>
                <w:sz w:val="18"/>
                <w:szCs w:val="18"/>
              </w:rPr>
            </w:pPr>
            <w:r>
              <w:rPr>
                <w:rFonts w:ascii="宋体"/>
                <w:spacing w:val="-1"/>
                <w:sz w:val="18"/>
              </w:rPr>
              <w:t>184,152.01</w:t>
            </w:r>
          </w:p>
        </w:tc>
        <w:tc>
          <w:tcPr>
            <w:tcW w:w="1470"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172,765.46</w:t>
            </w:r>
          </w:p>
        </w:tc>
      </w:tr>
      <w:tr>
        <w:trPr>
          <w:trHeight w:val="284"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北京卓识教育咨询有限责任公司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88"/>
              <w:jc w:val="right"/>
              <w:rPr>
                <w:rFonts w:ascii="宋体" w:hAnsi="宋体" w:cs="宋体" w:eastAsia="宋体" w:hint="default"/>
                <w:sz w:val="18"/>
                <w:szCs w:val="18"/>
              </w:rPr>
            </w:pPr>
            <w:r>
              <w:rPr>
                <w:rFonts w:ascii="宋体"/>
                <w:spacing w:val="-1"/>
                <w:sz w:val="18"/>
              </w:rPr>
              <w:t>7,110.20</w:t>
            </w:r>
          </w:p>
        </w:tc>
        <w:tc>
          <w:tcPr>
            <w:tcW w:w="1470"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7,110.20</w:t>
            </w:r>
          </w:p>
        </w:tc>
      </w:tr>
      <w:tr>
        <w:trPr>
          <w:trHeight w:val="284"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2" w:lineRule="exact"/>
              <w:ind w:left="254" w:right="0"/>
              <w:jc w:val="left"/>
              <w:rPr>
                <w:rFonts w:ascii="宋体" w:hAnsi="宋体" w:cs="宋体" w:eastAsia="宋体" w:hint="default"/>
                <w:sz w:val="18"/>
                <w:szCs w:val="18"/>
              </w:rPr>
            </w:pPr>
            <w:r>
              <w:rPr>
                <w:rFonts w:ascii="宋体" w:hAnsi="宋体" w:cs="宋体" w:eastAsia="宋体" w:hint="default"/>
                <w:sz w:val="18"/>
                <w:szCs w:val="18"/>
              </w:rPr>
              <w:t>博奥生物集团有限公司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2" w:lineRule="exact"/>
              <w:ind w:right="188"/>
              <w:jc w:val="right"/>
              <w:rPr>
                <w:rFonts w:ascii="宋体" w:hAnsi="宋体" w:cs="宋体" w:eastAsia="宋体" w:hint="default"/>
                <w:sz w:val="18"/>
                <w:szCs w:val="18"/>
              </w:rPr>
            </w:pPr>
            <w:r>
              <w:rPr>
                <w:rFonts w:ascii="宋体"/>
                <w:spacing w:val="-1"/>
                <w:sz w:val="18"/>
              </w:rPr>
              <w:t>3,200.00</w:t>
            </w:r>
          </w:p>
        </w:tc>
        <w:tc>
          <w:tcPr>
            <w:tcW w:w="1470"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3,200.00</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北京清能创新科技有限公司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88"/>
              <w:jc w:val="right"/>
              <w:rPr>
                <w:rFonts w:ascii="宋体" w:hAnsi="宋体" w:cs="宋体" w:eastAsia="宋体" w:hint="default"/>
                <w:sz w:val="18"/>
                <w:szCs w:val="18"/>
              </w:rPr>
            </w:pPr>
            <w:r>
              <w:rPr>
                <w:rFonts w:ascii="宋体"/>
                <w:spacing w:val="-1"/>
                <w:sz w:val="18"/>
              </w:rPr>
              <w:t>757.50</w:t>
            </w:r>
          </w:p>
        </w:tc>
        <w:tc>
          <w:tcPr>
            <w:tcW w:w="1470"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757.50</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启迪创业投资管理（北京）有限公司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88"/>
              <w:jc w:val="right"/>
              <w:rPr>
                <w:rFonts w:ascii="宋体" w:hAnsi="宋体" w:cs="宋体" w:eastAsia="宋体" w:hint="default"/>
                <w:sz w:val="18"/>
                <w:szCs w:val="18"/>
              </w:rPr>
            </w:pPr>
            <w:r>
              <w:rPr>
                <w:rFonts w:ascii="宋体"/>
                <w:spacing w:val="-1"/>
                <w:sz w:val="18"/>
              </w:rPr>
              <w:t>200.00</w:t>
            </w:r>
          </w:p>
        </w:tc>
        <w:tc>
          <w:tcPr>
            <w:tcW w:w="1470"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200.00</w:t>
            </w:r>
          </w:p>
        </w:tc>
      </w:tr>
      <w:tr>
        <w:trPr>
          <w:trHeight w:val="284"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紫光供应链管理有限公司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88"/>
              <w:jc w:val="right"/>
              <w:rPr>
                <w:rFonts w:ascii="宋体" w:hAnsi="宋体" w:cs="宋体" w:eastAsia="宋体" w:hint="default"/>
                <w:sz w:val="18"/>
                <w:szCs w:val="18"/>
              </w:rPr>
            </w:pPr>
            <w:r>
              <w:rPr>
                <w:rFonts w:ascii="宋体"/>
                <w:sz w:val="18"/>
              </w:rPr>
              <w:t>0.00</w:t>
            </w:r>
          </w:p>
        </w:tc>
        <w:tc>
          <w:tcPr>
            <w:tcW w:w="1470"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3,284,000.00</w:t>
            </w:r>
          </w:p>
        </w:tc>
      </w:tr>
      <w:tr>
        <w:trPr>
          <w:trHeight w:val="284" w:hRule="exact"/>
        </w:trPr>
        <w:tc>
          <w:tcPr>
            <w:tcW w:w="1099" w:type="dxa"/>
            <w:tcBorders>
              <w:top w:val="nil" w:sz="6" w:space="0" w:color="auto"/>
              <w:left w:val="nil" w:sz="6" w:space="0" w:color="auto"/>
              <w:bottom w:val="nil" w:sz="6" w:space="0" w:color="auto"/>
              <w:right w:val="nil" w:sz="6" w:space="0" w:color="auto"/>
            </w:tcBorders>
          </w:tcPr>
          <w:p>
            <w:pPr/>
          </w:p>
        </w:tc>
        <w:tc>
          <w:tcPr>
            <w:tcW w:w="4528" w:type="dxa"/>
            <w:tcBorders>
              <w:top w:val="nil" w:sz="6" w:space="0" w:color="auto"/>
              <w:left w:val="nil" w:sz="6" w:space="0" w:color="auto"/>
              <w:bottom w:val="nil" w:sz="6" w:space="0" w:color="auto"/>
              <w:right w:val="nil" w:sz="6" w:space="0" w:color="auto"/>
            </w:tcBorders>
          </w:tcPr>
          <w:p>
            <w:pPr>
              <w:pStyle w:val="TableParagraph"/>
              <w:spacing w:line="232" w:lineRule="exact"/>
              <w:ind w:left="254"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1674"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同方药业集团有限公司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88"/>
              <w:jc w:val="right"/>
              <w:rPr>
                <w:rFonts w:ascii="宋体" w:hAnsi="宋体" w:cs="宋体" w:eastAsia="宋体" w:hint="default"/>
                <w:sz w:val="18"/>
                <w:szCs w:val="18"/>
              </w:rPr>
            </w:pPr>
            <w:r>
              <w:rPr>
                <w:rFonts w:ascii="宋体"/>
                <w:spacing w:val="-1"/>
                <w:sz w:val="18"/>
              </w:rPr>
              <w:t>302,053.38</w:t>
            </w:r>
          </w:p>
        </w:tc>
        <w:tc>
          <w:tcPr>
            <w:tcW w:w="1470"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388,279.34</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深圳华控赛格股份有限公司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88"/>
              <w:jc w:val="right"/>
              <w:rPr>
                <w:rFonts w:ascii="宋体" w:hAnsi="宋体" w:cs="宋体" w:eastAsia="宋体" w:hint="default"/>
                <w:sz w:val="18"/>
                <w:szCs w:val="18"/>
              </w:rPr>
            </w:pPr>
            <w:r>
              <w:rPr>
                <w:rFonts w:ascii="宋体"/>
                <w:spacing w:val="-1"/>
                <w:sz w:val="18"/>
              </w:rPr>
              <w:t>296,317.70</w:t>
            </w:r>
          </w:p>
        </w:tc>
        <w:tc>
          <w:tcPr>
            <w:tcW w:w="1470" w:type="dxa"/>
            <w:tcBorders>
              <w:top w:val="nil" w:sz="6" w:space="0" w:color="auto"/>
              <w:left w:val="nil" w:sz="6" w:space="0" w:color="auto"/>
              <w:bottom w:val="nil" w:sz="6" w:space="0" w:color="auto"/>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sz w:val="18"/>
              </w:rPr>
              <w:t>0.00</w:t>
            </w:r>
          </w:p>
        </w:tc>
      </w:tr>
      <w:tr>
        <w:trPr>
          <w:trHeight w:val="285"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上海魁马科技有限公司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88"/>
              <w:jc w:val="right"/>
              <w:rPr>
                <w:rFonts w:ascii="宋体" w:hAnsi="宋体" w:cs="宋体" w:eastAsia="宋体" w:hint="default"/>
                <w:sz w:val="18"/>
                <w:szCs w:val="18"/>
              </w:rPr>
            </w:pPr>
            <w:r>
              <w:rPr>
                <w:rFonts w:ascii="宋体"/>
                <w:spacing w:val="-1"/>
                <w:sz w:val="18"/>
              </w:rPr>
              <w:t>106,210.00</w:t>
            </w:r>
          </w:p>
        </w:tc>
        <w:tc>
          <w:tcPr>
            <w:tcW w:w="1470" w:type="dxa"/>
            <w:tcBorders>
              <w:top w:val="nil" w:sz="6" w:space="0" w:color="auto"/>
              <w:left w:val="nil" w:sz="6" w:space="0" w:color="auto"/>
              <w:bottom w:val="nil" w:sz="6" w:space="0" w:color="auto"/>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sz w:val="18"/>
              </w:rPr>
              <w:t>0.00</w:t>
            </w:r>
          </w:p>
        </w:tc>
      </w:tr>
      <w:tr>
        <w:trPr>
          <w:trHeight w:val="284"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2" w:lineRule="exact"/>
              <w:ind w:left="254" w:right="0"/>
              <w:jc w:val="left"/>
              <w:rPr>
                <w:rFonts w:ascii="宋体" w:hAnsi="宋体" w:cs="宋体" w:eastAsia="宋体" w:hint="default"/>
                <w:sz w:val="18"/>
                <w:szCs w:val="18"/>
              </w:rPr>
            </w:pPr>
            <w:r>
              <w:rPr>
                <w:rFonts w:ascii="宋体" w:hAnsi="宋体" w:cs="宋体" w:eastAsia="宋体" w:hint="default"/>
                <w:sz w:val="18"/>
                <w:szCs w:val="18"/>
              </w:rPr>
              <w:t>陕西省广电同方数字电视有限责任公司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2" w:lineRule="exact"/>
              <w:ind w:right="186"/>
              <w:jc w:val="right"/>
              <w:rPr>
                <w:rFonts w:ascii="宋体" w:hAnsi="宋体" w:cs="宋体" w:eastAsia="宋体" w:hint="default"/>
                <w:sz w:val="18"/>
                <w:szCs w:val="18"/>
              </w:rPr>
            </w:pPr>
            <w:r>
              <w:rPr>
                <w:rFonts w:ascii="宋体"/>
                <w:spacing w:val="-1"/>
                <w:sz w:val="18"/>
              </w:rPr>
              <w:t>76,100.00</w:t>
            </w:r>
          </w:p>
        </w:tc>
        <w:tc>
          <w:tcPr>
            <w:tcW w:w="1470"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pacing w:val="-1"/>
                <w:sz w:val="18"/>
              </w:rPr>
              <w:t>76,100.00</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86"/>
              <w:jc w:val="right"/>
              <w:rPr>
                <w:rFonts w:ascii="宋体" w:hAnsi="宋体" w:cs="宋体" w:eastAsia="宋体" w:hint="default"/>
                <w:sz w:val="18"/>
                <w:szCs w:val="18"/>
              </w:rPr>
            </w:pPr>
            <w:r>
              <w:rPr>
                <w:rFonts w:ascii="宋体"/>
                <w:spacing w:val="-1"/>
                <w:sz w:val="18"/>
              </w:rPr>
              <w:t>72,300.00</w:t>
            </w:r>
          </w:p>
        </w:tc>
        <w:tc>
          <w:tcPr>
            <w:tcW w:w="1470"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72,300.00</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北京中录同方文化传播有限公司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86"/>
              <w:jc w:val="right"/>
              <w:rPr>
                <w:rFonts w:ascii="宋体" w:hAnsi="宋体" w:cs="宋体" w:eastAsia="宋体" w:hint="default"/>
                <w:sz w:val="18"/>
                <w:szCs w:val="18"/>
              </w:rPr>
            </w:pPr>
            <w:r>
              <w:rPr>
                <w:rFonts w:ascii="宋体"/>
                <w:spacing w:val="-1"/>
                <w:sz w:val="18"/>
              </w:rPr>
              <w:t>67,781.00</w:t>
            </w:r>
          </w:p>
        </w:tc>
        <w:tc>
          <w:tcPr>
            <w:tcW w:w="1470" w:type="dxa"/>
            <w:tcBorders>
              <w:top w:val="nil" w:sz="6" w:space="0" w:color="auto"/>
              <w:left w:val="nil" w:sz="6" w:space="0" w:color="auto"/>
              <w:bottom w:val="nil" w:sz="6" w:space="0" w:color="auto"/>
              <w:right w:val="nil" w:sz="6" w:space="0" w:color="auto"/>
            </w:tcBorders>
          </w:tcPr>
          <w:p>
            <w:pPr>
              <w:pStyle w:val="TableParagraph"/>
              <w:spacing w:line="233" w:lineRule="exact"/>
              <w:ind w:right="109"/>
              <w:jc w:val="right"/>
              <w:rPr>
                <w:rFonts w:ascii="宋体" w:hAnsi="宋体" w:cs="宋体" w:eastAsia="宋体" w:hint="default"/>
                <w:sz w:val="18"/>
                <w:szCs w:val="18"/>
              </w:rPr>
            </w:pPr>
            <w:r>
              <w:rPr>
                <w:rFonts w:ascii="宋体"/>
                <w:sz w:val="18"/>
              </w:rPr>
              <w:t>0.00</w:t>
            </w:r>
          </w:p>
        </w:tc>
      </w:tr>
      <w:tr>
        <w:trPr>
          <w:trHeight w:val="284"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86"/>
              <w:jc w:val="right"/>
              <w:rPr>
                <w:rFonts w:ascii="宋体" w:hAnsi="宋体" w:cs="宋体" w:eastAsia="宋体" w:hint="default"/>
                <w:sz w:val="18"/>
                <w:szCs w:val="18"/>
              </w:rPr>
            </w:pPr>
            <w:r>
              <w:rPr>
                <w:rFonts w:ascii="宋体"/>
                <w:spacing w:val="-1"/>
                <w:sz w:val="18"/>
              </w:rPr>
              <w:t>64,400.00</w:t>
            </w:r>
          </w:p>
        </w:tc>
        <w:tc>
          <w:tcPr>
            <w:tcW w:w="1470"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64,400.00</w:t>
            </w:r>
          </w:p>
        </w:tc>
      </w:tr>
      <w:tr>
        <w:trPr>
          <w:trHeight w:val="284"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2" w:lineRule="exact"/>
              <w:ind w:left="254" w:right="0"/>
              <w:jc w:val="left"/>
              <w:rPr>
                <w:rFonts w:ascii="宋体" w:hAnsi="宋体" w:cs="宋体" w:eastAsia="宋体" w:hint="default"/>
                <w:sz w:val="18"/>
                <w:szCs w:val="18"/>
              </w:rPr>
            </w:pPr>
            <w:r>
              <w:rPr>
                <w:rFonts w:ascii="宋体" w:hAnsi="宋体" w:cs="宋体" w:eastAsia="宋体" w:hint="default"/>
                <w:sz w:val="18"/>
                <w:szCs w:val="18"/>
              </w:rPr>
              <w:t>北京清控人居环境研究院有限公司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2" w:lineRule="exact"/>
              <w:ind w:right="186"/>
              <w:jc w:val="right"/>
              <w:rPr>
                <w:rFonts w:ascii="宋体" w:hAnsi="宋体" w:cs="宋体" w:eastAsia="宋体" w:hint="default"/>
                <w:sz w:val="18"/>
                <w:szCs w:val="18"/>
              </w:rPr>
            </w:pPr>
            <w:r>
              <w:rPr>
                <w:rFonts w:ascii="宋体"/>
                <w:spacing w:val="-1"/>
                <w:sz w:val="18"/>
              </w:rPr>
              <w:t>58,047.23</w:t>
            </w:r>
          </w:p>
        </w:tc>
        <w:tc>
          <w:tcPr>
            <w:tcW w:w="1470" w:type="dxa"/>
            <w:tcBorders>
              <w:top w:val="nil" w:sz="6" w:space="0" w:color="auto"/>
              <w:left w:val="nil" w:sz="6" w:space="0" w:color="auto"/>
              <w:bottom w:val="nil" w:sz="6" w:space="0" w:color="auto"/>
              <w:right w:val="nil" w:sz="6" w:space="0" w:color="auto"/>
            </w:tcBorders>
          </w:tcPr>
          <w:p>
            <w:pPr>
              <w:pStyle w:val="TableParagraph"/>
              <w:spacing w:line="232" w:lineRule="exact"/>
              <w:ind w:right="109"/>
              <w:jc w:val="right"/>
              <w:rPr>
                <w:rFonts w:ascii="宋体" w:hAnsi="宋体" w:cs="宋体" w:eastAsia="宋体" w:hint="default"/>
                <w:sz w:val="18"/>
                <w:szCs w:val="18"/>
              </w:rPr>
            </w:pPr>
            <w:r>
              <w:rPr>
                <w:rFonts w:ascii="宋体"/>
                <w:sz w:val="18"/>
              </w:rPr>
              <w:t>0.00</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86"/>
              <w:jc w:val="right"/>
              <w:rPr>
                <w:rFonts w:ascii="宋体" w:hAnsi="宋体" w:cs="宋体" w:eastAsia="宋体" w:hint="default"/>
                <w:sz w:val="18"/>
                <w:szCs w:val="18"/>
              </w:rPr>
            </w:pPr>
            <w:r>
              <w:rPr>
                <w:rFonts w:ascii="宋体"/>
                <w:spacing w:val="-1"/>
                <w:sz w:val="18"/>
              </w:rPr>
              <w:t>53,280.00</w:t>
            </w:r>
          </w:p>
        </w:tc>
        <w:tc>
          <w:tcPr>
            <w:tcW w:w="1470"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53,280.00</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中检科威（北京）科技有限公司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86"/>
              <w:jc w:val="right"/>
              <w:rPr>
                <w:rFonts w:ascii="宋体" w:hAnsi="宋体" w:cs="宋体" w:eastAsia="宋体" w:hint="default"/>
                <w:sz w:val="18"/>
                <w:szCs w:val="18"/>
              </w:rPr>
            </w:pPr>
            <w:r>
              <w:rPr>
                <w:rFonts w:ascii="宋体"/>
                <w:spacing w:val="-1"/>
                <w:sz w:val="18"/>
              </w:rPr>
              <w:t>52,992.00</w:t>
            </w:r>
          </w:p>
        </w:tc>
        <w:tc>
          <w:tcPr>
            <w:tcW w:w="1470"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2,221,299.72</w:t>
            </w:r>
          </w:p>
        </w:tc>
      </w:tr>
      <w:tr>
        <w:trPr>
          <w:trHeight w:val="284"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88"/>
              <w:jc w:val="right"/>
              <w:rPr>
                <w:rFonts w:ascii="宋体" w:hAnsi="宋体" w:cs="宋体" w:eastAsia="宋体" w:hint="default"/>
                <w:sz w:val="18"/>
                <w:szCs w:val="18"/>
              </w:rPr>
            </w:pPr>
            <w:r>
              <w:rPr>
                <w:rFonts w:ascii="宋体"/>
                <w:spacing w:val="-1"/>
                <w:sz w:val="18"/>
              </w:rPr>
              <w:t>3,758.30</w:t>
            </w:r>
          </w:p>
        </w:tc>
        <w:tc>
          <w:tcPr>
            <w:tcW w:w="1470"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3,758.30</w:t>
            </w:r>
          </w:p>
        </w:tc>
      </w:tr>
      <w:tr>
        <w:trPr>
          <w:trHeight w:val="284"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2" w:lineRule="exact"/>
              <w:ind w:left="254" w:right="0"/>
              <w:jc w:val="left"/>
              <w:rPr>
                <w:rFonts w:ascii="宋体" w:hAnsi="宋体" w:cs="宋体" w:eastAsia="宋体" w:hint="default"/>
                <w:sz w:val="18"/>
                <w:szCs w:val="18"/>
              </w:rPr>
            </w:pPr>
            <w:r>
              <w:rPr>
                <w:rFonts w:ascii="宋体" w:hAnsi="宋体" w:cs="宋体" w:eastAsia="宋体" w:hint="default"/>
                <w:sz w:val="18"/>
                <w:szCs w:val="18"/>
              </w:rPr>
              <w:t>北京同方时讯电子股份有限公司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2" w:lineRule="exact"/>
              <w:ind w:right="188"/>
              <w:jc w:val="right"/>
              <w:rPr>
                <w:rFonts w:ascii="宋体" w:hAnsi="宋体" w:cs="宋体" w:eastAsia="宋体" w:hint="default"/>
                <w:sz w:val="18"/>
                <w:szCs w:val="18"/>
              </w:rPr>
            </w:pPr>
            <w:r>
              <w:rPr>
                <w:rFonts w:ascii="宋体"/>
                <w:spacing w:val="-1"/>
                <w:sz w:val="18"/>
              </w:rPr>
              <w:t>895.00</w:t>
            </w:r>
          </w:p>
        </w:tc>
        <w:tc>
          <w:tcPr>
            <w:tcW w:w="1470"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895.00</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许昌广电同方数字电视有限公司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88"/>
              <w:jc w:val="right"/>
              <w:rPr>
                <w:rFonts w:ascii="宋体" w:hAnsi="宋体" w:cs="宋体" w:eastAsia="宋体" w:hint="default"/>
                <w:sz w:val="18"/>
                <w:szCs w:val="18"/>
              </w:rPr>
            </w:pPr>
            <w:r>
              <w:rPr>
                <w:rFonts w:ascii="宋体"/>
                <w:sz w:val="18"/>
              </w:rPr>
              <w:t>0.00</w:t>
            </w:r>
          </w:p>
        </w:tc>
        <w:tc>
          <w:tcPr>
            <w:tcW w:w="1470"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655,070.00</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开封广电同方数字电视有限公司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88"/>
              <w:jc w:val="right"/>
              <w:rPr>
                <w:rFonts w:ascii="宋体" w:hAnsi="宋体" w:cs="宋体" w:eastAsia="宋体" w:hint="default"/>
                <w:sz w:val="18"/>
                <w:szCs w:val="18"/>
              </w:rPr>
            </w:pPr>
            <w:r>
              <w:rPr>
                <w:rFonts w:ascii="宋体"/>
                <w:sz w:val="18"/>
              </w:rPr>
              <w:t>0.00</w:t>
            </w:r>
          </w:p>
        </w:tc>
        <w:tc>
          <w:tcPr>
            <w:tcW w:w="1470"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289,531.63</w:t>
            </w:r>
          </w:p>
        </w:tc>
      </w:tr>
      <w:tr>
        <w:trPr>
          <w:trHeight w:val="285"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广州同方瑞风节能科技股份有限公司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88"/>
              <w:jc w:val="right"/>
              <w:rPr>
                <w:rFonts w:ascii="宋体" w:hAnsi="宋体" w:cs="宋体" w:eastAsia="宋体" w:hint="default"/>
                <w:sz w:val="18"/>
                <w:szCs w:val="18"/>
              </w:rPr>
            </w:pPr>
            <w:r>
              <w:rPr>
                <w:rFonts w:ascii="宋体"/>
                <w:sz w:val="18"/>
              </w:rPr>
              <w:t>0.00</w:t>
            </w:r>
          </w:p>
        </w:tc>
        <w:tc>
          <w:tcPr>
            <w:tcW w:w="1470" w:type="dxa"/>
            <w:tcBorders>
              <w:top w:val="nil" w:sz="6" w:space="0" w:color="auto"/>
              <w:left w:val="nil" w:sz="6" w:space="0" w:color="auto"/>
              <w:bottom w:val="nil" w:sz="6" w:space="0" w:color="auto"/>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264,206.50</w:t>
            </w:r>
          </w:p>
        </w:tc>
      </w:tr>
      <w:tr>
        <w:trPr>
          <w:trHeight w:val="285"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2" w:lineRule="exact"/>
              <w:ind w:left="254" w:right="0"/>
              <w:jc w:val="left"/>
              <w:rPr>
                <w:rFonts w:ascii="宋体" w:hAnsi="宋体" w:cs="宋体" w:eastAsia="宋体" w:hint="default"/>
                <w:sz w:val="18"/>
                <w:szCs w:val="18"/>
              </w:rPr>
            </w:pPr>
            <w:r>
              <w:rPr>
                <w:rFonts w:ascii="宋体" w:hAnsi="宋体" w:cs="宋体" w:eastAsia="宋体" w:hint="default"/>
                <w:sz w:val="18"/>
                <w:szCs w:val="18"/>
              </w:rPr>
              <w:t>濮阳广电同方数字电视有限公司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2" w:lineRule="exact"/>
              <w:ind w:right="188"/>
              <w:jc w:val="right"/>
              <w:rPr>
                <w:rFonts w:ascii="宋体" w:hAnsi="宋体" w:cs="宋体" w:eastAsia="宋体" w:hint="default"/>
                <w:sz w:val="18"/>
                <w:szCs w:val="18"/>
              </w:rPr>
            </w:pPr>
            <w:r>
              <w:rPr>
                <w:rFonts w:ascii="宋体"/>
                <w:sz w:val="18"/>
              </w:rPr>
              <w:t>0.00</w:t>
            </w:r>
          </w:p>
        </w:tc>
        <w:tc>
          <w:tcPr>
            <w:tcW w:w="1470" w:type="dxa"/>
            <w:tcBorders>
              <w:top w:val="nil" w:sz="6" w:space="0" w:color="auto"/>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103,000.00</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北京厚持投资管理有限责任公司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88"/>
              <w:jc w:val="right"/>
              <w:rPr>
                <w:rFonts w:ascii="宋体" w:hAnsi="宋体" w:cs="宋体" w:eastAsia="宋体" w:hint="default"/>
                <w:sz w:val="18"/>
                <w:szCs w:val="18"/>
              </w:rPr>
            </w:pPr>
            <w:r>
              <w:rPr>
                <w:rFonts w:ascii="宋体"/>
                <w:sz w:val="18"/>
              </w:rPr>
              <w:t>0.00</w:t>
            </w:r>
          </w:p>
        </w:tc>
        <w:tc>
          <w:tcPr>
            <w:tcW w:w="1470"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51,033.62</w:t>
            </w:r>
          </w:p>
        </w:tc>
      </w:tr>
      <w:tr>
        <w:trPr>
          <w:trHeight w:val="28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8"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sz w:val="18"/>
                <w:szCs w:val="18"/>
              </w:rPr>
              <w:t>天门广电同方数字电视有限公司</w:t>
            </w:r>
          </w:p>
        </w:tc>
        <w:tc>
          <w:tcPr>
            <w:tcW w:w="1674" w:type="dxa"/>
            <w:tcBorders>
              <w:top w:val="nil" w:sz="6" w:space="0" w:color="auto"/>
              <w:left w:val="nil" w:sz="6" w:space="0" w:color="auto"/>
              <w:bottom w:val="nil" w:sz="6" w:space="0" w:color="auto"/>
              <w:right w:val="nil" w:sz="6" w:space="0" w:color="auto"/>
            </w:tcBorders>
          </w:tcPr>
          <w:p>
            <w:pPr>
              <w:pStyle w:val="TableParagraph"/>
              <w:spacing w:line="233" w:lineRule="exact"/>
              <w:ind w:right="188"/>
              <w:jc w:val="right"/>
              <w:rPr>
                <w:rFonts w:ascii="宋体" w:hAnsi="宋体" w:cs="宋体" w:eastAsia="宋体" w:hint="default"/>
                <w:sz w:val="18"/>
                <w:szCs w:val="18"/>
              </w:rPr>
            </w:pPr>
            <w:r>
              <w:rPr>
                <w:rFonts w:ascii="宋体"/>
                <w:sz w:val="18"/>
              </w:rPr>
              <w:t>0.00</w:t>
            </w:r>
          </w:p>
        </w:tc>
        <w:tc>
          <w:tcPr>
            <w:tcW w:w="1470"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17,094.02</w:t>
            </w:r>
          </w:p>
        </w:tc>
      </w:tr>
      <w:tr>
        <w:trPr>
          <w:trHeight w:val="284" w:hRule="exact"/>
        </w:trPr>
        <w:tc>
          <w:tcPr>
            <w:tcW w:w="1099" w:type="dxa"/>
            <w:tcBorders>
              <w:top w:val="nil" w:sz="6" w:space="0" w:color="auto"/>
              <w:left w:val="nil" w:sz="6" w:space="0" w:color="auto"/>
              <w:bottom w:val="nil" w:sz="6" w:space="0" w:color="auto"/>
              <w:right w:val="nil" w:sz="6" w:space="0" w:color="auto"/>
            </w:tcBorders>
          </w:tcPr>
          <w:p>
            <w:pPr/>
          </w:p>
        </w:tc>
        <w:tc>
          <w:tcPr>
            <w:tcW w:w="4528" w:type="dxa"/>
            <w:tcBorders>
              <w:top w:val="nil" w:sz="6" w:space="0" w:color="auto"/>
              <w:left w:val="nil" w:sz="6" w:space="0" w:color="auto"/>
              <w:bottom w:val="nil" w:sz="6" w:space="0" w:color="auto"/>
              <w:right w:val="nil" w:sz="6" w:space="0" w:color="auto"/>
            </w:tcBorders>
          </w:tcPr>
          <w:p>
            <w:pPr>
              <w:pStyle w:val="TableParagraph"/>
              <w:spacing w:line="233" w:lineRule="exact"/>
              <w:ind w:left="254"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1674"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r>
      <w:tr>
        <w:trPr>
          <w:trHeight w:val="300" w:hRule="exact"/>
        </w:trPr>
        <w:tc>
          <w:tcPr>
            <w:tcW w:w="1099" w:type="dxa"/>
            <w:tcBorders>
              <w:top w:val="nil" w:sz="6" w:space="0" w:color="auto"/>
              <w:left w:val="nil" w:sz="6" w:space="0" w:color="auto"/>
              <w:bottom w:val="single" w:sz="12"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4528" w:type="dxa"/>
            <w:tcBorders>
              <w:top w:val="nil" w:sz="6" w:space="0" w:color="auto"/>
              <w:left w:val="nil" w:sz="6" w:space="0" w:color="auto"/>
              <w:bottom w:val="single" w:sz="12" w:space="0" w:color="000000"/>
              <w:right w:val="nil" w:sz="6" w:space="0" w:color="auto"/>
            </w:tcBorders>
          </w:tcPr>
          <w:p>
            <w:pPr>
              <w:pStyle w:val="TableParagraph"/>
              <w:spacing w:line="232" w:lineRule="exact"/>
              <w:ind w:left="254"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1674" w:type="dxa"/>
            <w:tcBorders>
              <w:top w:val="nil" w:sz="6" w:space="0" w:color="auto"/>
              <w:left w:val="nil" w:sz="6" w:space="0" w:color="auto"/>
              <w:bottom w:val="single" w:sz="12" w:space="0" w:color="000000"/>
              <w:right w:val="nil" w:sz="6" w:space="0" w:color="auto"/>
            </w:tcBorders>
          </w:tcPr>
          <w:p>
            <w:pPr>
              <w:pStyle w:val="TableParagraph"/>
              <w:spacing w:line="232" w:lineRule="exact"/>
              <w:ind w:right="186"/>
              <w:jc w:val="right"/>
              <w:rPr>
                <w:rFonts w:ascii="宋体" w:hAnsi="宋体" w:cs="宋体" w:eastAsia="宋体" w:hint="default"/>
                <w:sz w:val="18"/>
                <w:szCs w:val="18"/>
              </w:rPr>
            </w:pPr>
            <w:r>
              <w:rPr>
                <w:rFonts w:ascii="宋体"/>
                <w:spacing w:val="-1"/>
                <w:sz w:val="18"/>
              </w:rPr>
              <w:t>10,216,800.00</w:t>
            </w:r>
          </w:p>
        </w:tc>
        <w:tc>
          <w:tcPr>
            <w:tcW w:w="1470" w:type="dxa"/>
            <w:tcBorders>
              <w:top w:val="nil" w:sz="6" w:space="0" w:color="auto"/>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10,216,800.00</w:t>
            </w:r>
          </w:p>
        </w:tc>
      </w:tr>
    </w:tbl>
    <w:p>
      <w:pPr>
        <w:spacing w:before="26"/>
        <w:ind w:left="242" w:right="0" w:firstLine="0"/>
        <w:jc w:val="left"/>
        <w:rPr>
          <w:rFonts w:ascii="宋体" w:hAnsi="宋体" w:cs="宋体" w:eastAsia="宋体" w:hint="default"/>
          <w:sz w:val="21"/>
          <w:szCs w:val="21"/>
        </w:rPr>
      </w:pPr>
      <w:r>
        <w:rPr>
          <w:rFonts w:ascii="宋体" w:hAnsi="宋体" w:cs="宋体" w:eastAsia="宋体" w:hint="default"/>
          <w:b/>
          <w:bCs/>
          <w:sz w:val="21"/>
          <w:szCs w:val="21"/>
        </w:rPr>
        <w:t>十一、或有事项</w:t>
      </w:r>
      <w:r>
        <w:rPr>
          <w:rFonts w:ascii="宋体" w:hAnsi="宋体" w:cs="宋体" w:eastAsia="宋体" w:hint="default"/>
          <w:sz w:val="21"/>
          <w:szCs w:val="21"/>
        </w:rPr>
      </w:r>
    </w:p>
    <w:p>
      <w:pPr>
        <w:spacing w:before="52"/>
        <w:ind w:left="640"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宋体" w:hAnsi="宋体" w:cs="宋体" w:eastAsia="宋体" w:hint="default"/>
          <w:sz w:val="22"/>
          <w:szCs w:val="22"/>
        </w:rPr>
        <w:t>2018</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z w:val="22"/>
          <w:szCs w:val="22"/>
        </w:rPr>
        <w:t>日，本公司无需要披露的重大或有事项。</w:t>
      </w:r>
    </w:p>
    <w:p>
      <w:pPr>
        <w:spacing w:before="134"/>
        <w:ind w:left="242" w:right="0" w:firstLine="0"/>
        <w:jc w:val="left"/>
        <w:rPr>
          <w:rFonts w:ascii="宋体" w:hAnsi="宋体" w:cs="宋体" w:eastAsia="宋体" w:hint="default"/>
          <w:sz w:val="21"/>
          <w:szCs w:val="21"/>
        </w:rPr>
      </w:pPr>
      <w:r>
        <w:rPr>
          <w:rFonts w:ascii="宋体" w:hAnsi="宋体" w:cs="宋体" w:eastAsia="宋体" w:hint="default"/>
          <w:b/>
          <w:bCs/>
          <w:sz w:val="21"/>
          <w:szCs w:val="21"/>
        </w:rPr>
        <w:t>十二、承诺事项</w:t>
      </w:r>
      <w:r>
        <w:rPr>
          <w:rFonts w:ascii="宋体" w:hAnsi="宋体" w:cs="宋体" w:eastAsia="宋体" w:hint="default"/>
          <w:sz w:val="21"/>
          <w:szCs w:val="21"/>
        </w:rPr>
      </w:r>
    </w:p>
    <w:p>
      <w:pPr>
        <w:spacing w:before="54"/>
        <w:ind w:left="640"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宋体" w:hAnsi="宋体" w:cs="宋体" w:eastAsia="宋体" w:hint="default"/>
          <w:sz w:val="22"/>
          <w:szCs w:val="22"/>
        </w:rPr>
        <w:t>2018</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5"/>
          <w:sz w:val="22"/>
          <w:szCs w:val="22"/>
        </w:rPr>
        <w:t> </w:t>
      </w:r>
      <w:r>
        <w:rPr>
          <w:rFonts w:ascii="宋体" w:hAnsi="宋体" w:cs="宋体" w:eastAsia="宋体" w:hint="default"/>
          <w:sz w:val="22"/>
          <w:szCs w:val="22"/>
        </w:rPr>
        <w:t>日，本公司无需要披露的重大承诺事项。</w:t>
      </w:r>
    </w:p>
    <w:p>
      <w:pPr>
        <w:spacing w:before="131"/>
        <w:ind w:left="242" w:right="0" w:firstLine="0"/>
        <w:jc w:val="left"/>
        <w:rPr>
          <w:rFonts w:ascii="宋体" w:hAnsi="宋体" w:cs="宋体" w:eastAsia="宋体" w:hint="default"/>
          <w:sz w:val="21"/>
          <w:szCs w:val="21"/>
        </w:rPr>
      </w:pPr>
      <w:r>
        <w:rPr>
          <w:rFonts w:ascii="宋体" w:hAnsi="宋体" w:cs="宋体" w:eastAsia="宋体" w:hint="default"/>
          <w:b/>
          <w:bCs/>
          <w:sz w:val="21"/>
          <w:szCs w:val="21"/>
        </w:rPr>
        <w:t>十三、资产负债表日后事项</w:t>
      </w:r>
      <w:r>
        <w:rPr>
          <w:rFonts w:ascii="宋体" w:hAnsi="宋体" w:cs="宋体" w:eastAsia="宋体" w:hint="default"/>
          <w:sz w:val="21"/>
          <w:szCs w:val="21"/>
        </w:rPr>
      </w:r>
    </w:p>
    <w:p>
      <w:pPr>
        <w:spacing w:before="54"/>
        <w:ind w:left="669" w:right="0" w:firstLine="0"/>
        <w:jc w:val="left"/>
        <w:rPr>
          <w:rFonts w:ascii="宋体" w:hAnsi="宋体" w:cs="宋体" w:eastAsia="宋体" w:hint="default"/>
          <w:sz w:val="22"/>
          <w:szCs w:val="22"/>
        </w:rPr>
      </w:pPr>
      <w:r>
        <w:rPr>
          <w:rFonts w:ascii="宋体" w:hAnsi="宋体" w:cs="宋体" w:eastAsia="宋体" w:hint="default"/>
          <w:sz w:val="22"/>
          <w:szCs w:val="22"/>
        </w:rPr>
        <w:t>截</w:t>
      </w:r>
      <w:r>
        <w:rPr>
          <w:rFonts w:ascii="宋体" w:hAnsi="宋体" w:cs="宋体" w:eastAsia="宋体" w:hint="default"/>
          <w:spacing w:val="-72"/>
          <w:sz w:val="22"/>
          <w:szCs w:val="22"/>
        </w:rPr>
        <w:t> </w:t>
      </w:r>
      <w:r>
        <w:rPr>
          <w:rFonts w:ascii="宋体" w:hAnsi="宋体" w:cs="宋体" w:eastAsia="宋体" w:hint="default"/>
          <w:sz w:val="22"/>
          <w:szCs w:val="22"/>
        </w:rPr>
        <w:t>止</w:t>
      </w:r>
      <w:r>
        <w:rPr>
          <w:rFonts w:ascii="宋体" w:hAnsi="宋体" w:cs="宋体" w:eastAsia="宋体" w:hint="default"/>
          <w:spacing w:val="-72"/>
          <w:sz w:val="22"/>
          <w:szCs w:val="22"/>
        </w:rPr>
        <w:t> </w:t>
      </w:r>
      <w:r>
        <w:rPr>
          <w:rFonts w:ascii="宋体" w:hAnsi="宋体" w:cs="宋体" w:eastAsia="宋体" w:hint="default"/>
          <w:sz w:val="22"/>
          <w:szCs w:val="22"/>
        </w:rPr>
        <w:t>财</w:t>
      </w:r>
      <w:r>
        <w:rPr>
          <w:rFonts w:ascii="宋体" w:hAnsi="宋体" w:cs="宋体" w:eastAsia="宋体" w:hint="default"/>
          <w:spacing w:val="-72"/>
          <w:sz w:val="22"/>
          <w:szCs w:val="22"/>
        </w:rPr>
        <w:t> </w:t>
      </w:r>
      <w:r>
        <w:rPr>
          <w:rFonts w:ascii="宋体" w:hAnsi="宋体" w:cs="宋体" w:eastAsia="宋体" w:hint="default"/>
          <w:sz w:val="22"/>
          <w:szCs w:val="22"/>
        </w:rPr>
        <w:t>务</w:t>
      </w:r>
      <w:r>
        <w:rPr>
          <w:rFonts w:ascii="宋体" w:hAnsi="宋体" w:cs="宋体" w:eastAsia="宋体" w:hint="default"/>
          <w:spacing w:val="-70"/>
          <w:sz w:val="22"/>
          <w:szCs w:val="22"/>
        </w:rPr>
        <w:t> </w:t>
      </w:r>
      <w:r>
        <w:rPr>
          <w:rFonts w:ascii="宋体" w:hAnsi="宋体" w:cs="宋体" w:eastAsia="宋体" w:hint="default"/>
          <w:sz w:val="22"/>
          <w:szCs w:val="22"/>
        </w:rPr>
        <w:t>报</w:t>
      </w:r>
      <w:r>
        <w:rPr>
          <w:rFonts w:ascii="宋体" w:hAnsi="宋体" w:cs="宋体" w:eastAsia="宋体" w:hint="default"/>
          <w:spacing w:val="-72"/>
          <w:sz w:val="22"/>
          <w:szCs w:val="22"/>
        </w:rPr>
        <w:t> </w:t>
      </w:r>
      <w:r>
        <w:rPr>
          <w:rFonts w:ascii="宋体" w:hAnsi="宋体" w:cs="宋体" w:eastAsia="宋体" w:hint="default"/>
          <w:sz w:val="22"/>
          <w:szCs w:val="22"/>
        </w:rPr>
        <w:t>告</w:t>
      </w:r>
      <w:r>
        <w:rPr>
          <w:rFonts w:ascii="宋体" w:hAnsi="宋体" w:cs="宋体" w:eastAsia="宋体" w:hint="default"/>
          <w:spacing w:val="-72"/>
          <w:sz w:val="22"/>
          <w:szCs w:val="22"/>
        </w:rPr>
        <w:t> </w:t>
      </w:r>
      <w:r>
        <w:rPr>
          <w:rFonts w:ascii="宋体" w:hAnsi="宋体" w:cs="宋体" w:eastAsia="宋体" w:hint="default"/>
          <w:sz w:val="22"/>
          <w:szCs w:val="22"/>
        </w:rPr>
        <w:t>报</w:t>
      </w:r>
      <w:r>
        <w:rPr>
          <w:rFonts w:ascii="宋体" w:hAnsi="宋体" w:cs="宋体" w:eastAsia="宋体" w:hint="default"/>
          <w:spacing w:val="-70"/>
          <w:sz w:val="22"/>
          <w:szCs w:val="22"/>
        </w:rPr>
        <w:t> </w:t>
      </w:r>
      <w:r>
        <w:rPr>
          <w:rFonts w:ascii="宋体" w:hAnsi="宋体" w:cs="宋体" w:eastAsia="宋体" w:hint="default"/>
          <w:sz w:val="22"/>
          <w:szCs w:val="22"/>
        </w:rPr>
        <w:t>出</w:t>
      </w:r>
      <w:r>
        <w:rPr>
          <w:rFonts w:ascii="宋体" w:hAnsi="宋体" w:cs="宋体" w:eastAsia="宋体" w:hint="default"/>
          <w:spacing w:val="-72"/>
          <w:sz w:val="22"/>
          <w:szCs w:val="22"/>
        </w:rPr>
        <w:t> </w:t>
      </w:r>
      <w:r>
        <w:rPr>
          <w:rFonts w:ascii="宋体" w:hAnsi="宋体" w:cs="宋体" w:eastAsia="宋体" w:hint="default"/>
          <w:sz w:val="22"/>
          <w:szCs w:val="22"/>
        </w:rPr>
        <w:t>日</w:t>
      </w:r>
      <w:r>
        <w:rPr>
          <w:rFonts w:ascii="宋体" w:hAnsi="宋体" w:cs="宋体" w:eastAsia="宋体" w:hint="default"/>
          <w:spacing w:val="-70"/>
          <w:sz w:val="22"/>
          <w:szCs w:val="22"/>
        </w:rPr>
        <w:t> </w:t>
      </w:r>
      <w:r>
        <w:rPr>
          <w:rFonts w:ascii="宋体" w:hAnsi="宋体" w:cs="宋体" w:eastAsia="宋体" w:hint="default"/>
          <w:sz w:val="22"/>
          <w:szCs w:val="22"/>
        </w:rPr>
        <w:t>，</w:t>
      </w:r>
      <w:r>
        <w:rPr>
          <w:rFonts w:ascii="宋体" w:hAnsi="宋体" w:cs="宋体" w:eastAsia="宋体" w:hint="default"/>
          <w:spacing w:val="-72"/>
          <w:sz w:val="22"/>
          <w:szCs w:val="22"/>
        </w:rPr>
        <w:t> </w:t>
      </w:r>
      <w:r>
        <w:rPr>
          <w:rFonts w:ascii="宋体" w:hAnsi="宋体" w:cs="宋体" w:eastAsia="宋体" w:hint="default"/>
          <w:sz w:val="22"/>
          <w:szCs w:val="22"/>
        </w:rPr>
        <w:t>本</w:t>
      </w:r>
      <w:r>
        <w:rPr>
          <w:rFonts w:ascii="宋体" w:hAnsi="宋体" w:cs="宋体" w:eastAsia="宋体" w:hint="default"/>
          <w:spacing w:val="-72"/>
          <w:sz w:val="22"/>
          <w:szCs w:val="22"/>
        </w:rPr>
        <w:t> </w:t>
      </w:r>
      <w:r>
        <w:rPr>
          <w:rFonts w:ascii="宋体" w:hAnsi="宋体" w:cs="宋体" w:eastAsia="宋体" w:hint="default"/>
          <w:sz w:val="22"/>
          <w:szCs w:val="22"/>
        </w:rPr>
        <w:t>公</w:t>
      </w:r>
      <w:r>
        <w:rPr>
          <w:rFonts w:ascii="宋体" w:hAnsi="宋体" w:cs="宋体" w:eastAsia="宋体" w:hint="default"/>
          <w:spacing w:val="-72"/>
          <w:sz w:val="22"/>
          <w:szCs w:val="22"/>
        </w:rPr>
        <w:t> </w:t>
      </w:r>
      <w:r>
        <w:rPr>
          <w:rFonts w:ascii="宋体" w:hAnsi="宋体" w:cs="宋体" w:eastAsia="宋体" w:hint="default"/>
          <w:sz w:val="22"/>
          <w:szCs w:val="22"/>
        </w:rPr>
        <w:t>司</w:t>
      </w:r>
      <w:r>
        <w:rPr>
          <w:rFonts w:ascii="宋体" w:hAnsi="宋体" w:cs="宋体" w:eastAsia="宋体" w:hint="default"/>
          <w:spacing w:val="-70"/>
          <w:sz w:val="22"/>
          <w:szCs w:val="22"/>
        </w:rPr>
        <w:t> </w:t>
      </w:r>
      <w:r>
        <w:rPr>
          <w:rFonts w:ascii="宋体" w:hAnsi="宋体" w:cs="宋体" w:eastAsia="宋体" w:hint="default"/>
          <w:sz w:val="22"/>
          <w:szCs w:val="22"/>
        </w:rPr>
        <w:t>无</w:t>
      </w:r>
      <w:r>
        <w:rPr>
          <w:rFonts w:ascii="宋体" w:hAnsi="宋体" w:cs="宋体" w:eastAsia="宋体" w:hint="default"/>
          <w:spacing w:val="-72"/>
          <w:sz w:val="22"/>
          <w:szCs w:val="22"/>
        </w:rPr>
        <w:t> </w:t>
      </w:r>
      <w:r>
        <w:rPr>
          <w:rFonts w:ascii="宋体" w:hAnsi="宋体" w:cs="宋体" w:eastAsia="宋体" w:hint="default"/>
          <w:sz w:val="22"/>
          <w:szCs w:val="22"/>
        </w:rPr>
        <w:t>需</w:t>
      </w:r>
      <w:r>
        <w:rPr>
          <w:rFonts w:ascii="宋体" w:hAnsi="宋体" w:cs="宋体" w:eastAsia="宋体" w:hint="default"/>
          <w:spacing w:val="-72"/>
          <w:sz w:val="22"/>
          <w:szCs w:val="22"/>
        </w:rPr>
        <w:t> </w:t>
      </w:r>
      <w:r>
        <w:rPr>
          <w:rFonts w:ascii="宋体" w:hAnsi="宋体" w:cs="宋体" w:eastAsia="宋体" w:hint="default"/>
          <w:sz w:val="22"/>
          <w:szCs w:val="22"/>
        </w:rPr>
        <w:t>要</w:t>
      </w:r>
      <w:r>
        <w:rPr>
          <w:rFonts w:ascii="宋体" w:hAnsi="宋体" w:cs="宋体" w:eastAsia="宋体" w:hint="default"/>
          <w:spacing w:val="-70"/>
          <w:sz w:val="22"/>
          <w:szCs w:val="22"/>
        </w:rPr>
        <w:t> </w:t>
      </w:r>
      <w:r>
        <w:rPr>
          <w:rFonts w:ascii="宋体" w:hAnsi="宋体" w:cs="宋体" w:eastAsia="宋体" w:hint="default"/>
          <w:sz w:val="22"/>
          <w:szCs w:val="22"/>
        </w:rPr>
        <w:t>披</w:t>
      </w:r>
      <w:r>
        <w:rPr>
          <w:rFonts w:ascii="宋体" w:hAnsi="宋体" w:cs="宋体" w:eastAsia="宋体" w:hint="default"/>
          <w:spacing w:val="-72"/>
          <w:sz w:val="22"/>
          <w:szCs w:val="22"/>
        </w:rPr>
        <w:t> </w:t>
      </w:r>
      <w:r>
        <w:rPr>
          <w:rFonts w:ascii="宋体" w:hAnsi="宋体" w:cs="宋体" w:eastAsia="宋体" w:hint="default"/>
          <w:sz w:val="22"/>
          <w:szCs w:val="22"/>
        </w:rPr>
        <w:t>露</w:t>
      </w:r>
      <w:r>
        <w:rPr>
          <w:rFonts w:ascii="宋体" w:hAnsi="宋体" w:cs="宋体" w:eastAsia="宋体" w:hint="default"/>
          <w:spacing w:val="-70"/>
          <w:sz w:val="22"/>
          <w:szCs w:val="22"/>
        </w:rPr>
        <w:t> </w:t>
      </w:r>
      <w:r>
        <w:rPr>
          <w:rFonts w:ascii="宋体" w:hAnsi="宋体" w:cs="宋体" w:eastAsia="宋体" w:hint="default"/>
          <w:sz w:val="22"/>
          <w:szCs w:val="22"/>
        </w:rPr>
        <w:t>的</w:t>
      </w:r>
      <w:r>
        <w:rPr>
          <w:rFonts w:ascii="宋体" w:hAnsi="宋体" w:cs="宋体" w:eastAsia="宋体" w:hint="default"/>
          <w:spacing w:val="-72"/>
          <w:sz w:val="22"/>
          <w:szCs w:val="22"/>
        </w:rPr>
        <w:t> </w:t>
      </w:r>
      <w:r>
        <w:rPr>
          <w:rFonts w:ascii="宋体" w:hAnsi="宋体" w:cs="宋体" w:eastAsia="宋体" w:hint="default"/>
          <w:sz w:val="22"/>
          <w:szCs w:val="22"/>
        </w:rPr>
        <w:t>重</w:t>
      </w:r>
      <w:r>
        <w:rPr>
          <w:rFonts w:ascii="宋体" w:hAnsi="宋体" w:cs="宋体" w:eastAsia="宋体" w:hint="default"/>
          <w:spacing w:val="-72"/>
          <w:sz w:val="22"/>
          <w:szCs w:val="22"/>
        </w:rPr>
        <w:t> </w:t>
      </w:r>
      <w:r>
        <w:rPr>
          <w:rFonts w:ascii="宋体" w:hAnsi="宋体" w:cs="宋体" w:eastAsia="宋体" w:hint="default"/>
          <w:sz w:val="22"/>
          <w:szCs w:val="22"/>
        </w:rPr>
        <w:t>大</w:t>
      </w:r>
      <w:r>
        <w:rPr>
          <w:rFonts w:ascii="宋体" w:hAnsi="宋体" w:cs="宋体" w:eastAsia="宋体" w:hint="default"/>
          <w:spacing w:val="-72"/>
          <w:sz w:val="22"/>
          <w:szCs w:val="22"/>
        </w:rPr>
        <w:t> </w:t>
      </w:r>
      <w:r>
        <w:rPr>
          <w:rFonts w:ascii="宋体" w:hAnsi="宋体" w:cs="宋体" w:eastAsia="宋体" w:hint="default"/>
          <w:sz w:val="22"/>
          <w:szCs w:val="22"/>
        </w:rPr>
        <w:t>资</w:t>
      </w:r>
      <w:r>
        <w:rPr>
          <w:rFonts w:ascii="宋体" w:hAnsi="宋体" w:cs="宋体" w:eastAsia="宋体" w:hint="default"/>
          <w:spacing w:val="-70"/>
          <w:sz w:val="22"/>
          <w:szCs w:val="22"/>
        </w:rPr>
        <w:t> </w:t>
      </w:r>
      <w:r>
        <w:rPr>
          <w:rFonts w:ascii="宋体" w:hAnsi="宋体" w:cs="宋体" w:eastAsia="宋体" w:hint="default"/>
          <w:sz w:val="22"/>
          <w:szCs w:val="22"/>
        </w:rPr>
        <w:t>产</w:t>
      </w:r>
      <w:r>
        <w:rPr>
          <w:rFonts w:ascii="宋体" w:hAnsi="宋体" w:cs="宋体" w:eastAsia="宋体" w:hint="default"/>
          <w:spacing w:val="-72"/>
          <w:sz w:val="22"/>
          <w:szCs w:val="22"/>
        </w:rPr>
        <w:t> </w:t>
      </w:r>
      <w:r>
        <w:rPr>
          <w:rFonts w:ascii="宋体" w:hAnsi="宋体" w:cs="宋体" w:eastAsia="宋体" w:hint="default"/>
          <w:sz w:val="22"/>
          <w:szCs w:val="22"/>
        </w:rPr>
        <w:t>负</w:t>
      </w:r>
      <w:r>
        <w:rPr>
          <w:rFonts w:ascii="宋体" w:hAnsi="宋体" w:cs="宋体" w:eastAsia="宋体" w:hint="default"/>
          <w:spacing w:val="-72"/>
          <w:sz w:val="22"/>
          <w:szCs w:val="22"/>
        </w:rPr>
        <w:t> </w:t>
      </w:r>
      <w:r>
        <w:rPr>
          <w:rFonts w:ascii="宋体" w:hAnsi="宋体" w:cs="宋体" w:eastAsia="宋体" w:hint="default"/>
          <w:sz w:val="22"/>
          <w:szCs w:val="22"/>
        </w:rPr>
        <w:t>债</w:t>
      </w:r>
      <w:r>
        <w:rPr>
          <w:rFonts w:ascii="宋体" w:hAnsi="宋体" w:cs="宋体" w:eastAsia="宋体" w:hint="default"/>
          <w:spacing w:val="-70"/>
          <w:sz w:val="22"/>
          <w:szCs w:val="22"/>
        </w:rPr>
        <w:t> </w:t>
      </w:r>
      <w:r>
        <w:rPr>
          <w:rFonts w:ascii="宋体" w:hAnsi="宋体" w:cs="宋体" w:eastAsia="宋体" w:hint="default"/>
          <w:sz w:val="22"/>
          <w:szCs w:val="22"/>
        </w:rPr>
        <w:t>表</w:t>
      </w:r>
      <w:r>
        <w:rPr>
          <w:rFonts w:ascii="宋体" w:hAnsi="宋体" w:cs="宋体" w:eastAsia="宋体" w:hint="default"/>
          <w:spacing w:val="-72"/>
          <w:sz w:val="22"/>
          <w:szCs w:val="22"/>
        </w:rPr>
        <w:t> </w:t>
      </w:r>
      <w:r>
        <w:rPr>
          <w:rFonts w:ascii="宋体" w:hAnsi="宋体" w:cs="宋体" w:eastAsia="宋体" w:hint="default"/>
          <w:sz w:val="22"/>
          <w:szCs w:val="22"/>
        </w:rPr>
        <w:t>日</w:t>
      </w:r>
      <w:r>
        <w:rPr>
          <w:rFonts w:ascii="宋体" w:hAnsi="宋体" w:cs="宋体" w:eastAsia="宋体" w:hint="default"/>
          <w:spacing w:val="-70"/>
          <w:sz w:val="22"/>
          <w:szCs w:val="22"/>
        </w:rPr>
        <w:t> </w:t>
      </w:r>
      <w:r>
        <w:rPr>
          <w:rFonts w:ascii="宋体" w:hAnsi="宋体" w:cs="宋体" w:eastAsia="宋体" w:hint="default"/>
          <w:sz w:val="22"/>
          <w:szCs w:val="22"/>
        </w:rPr>
        <w:t>后</w:t>
      </w:r>
      <w:r>
        <w:rPr>
          <w:rFonts w:ascii="宋体" w:hAnsi="宋体" w:cs="宋体" w:eastAsia="宋体" w:hint="default"/>
          <w:spacing w:val="-72"/>
          <w:sz w:val="22"/>
          <w:szCs w:val="22"/>
        </w:rPr>
        <w:t> </w:t>
      </w:r>
      <w:r>
        <w:rPr>
          <w:rFonts w:ascii="宋体" w:hAnsi="宋体" w:cs="宋体" w:eastAsia="宋体" w:hint="default"/>
          <w:sz w:val="22"/>
          <w:szCs w:val="22"/>
        </w:rPr>
        <w:t>事</w:t>
      </w:r>
      <w:r>
        <w:rPr>
          <w:rFonts w:ascii="宋体" w:hAnsi="宋体" w:cs="宋体" w:eastAsia="宋体" w:hint="default"/>
          <w:spacing w:val="-72"/>
          <w:sz w:val="22"/>
          <w:szCs w:val="22"/>
        </w:rPr>
        <w:t> </w:t>
      </w:r>
      <w:r>
        <w:rPr>
          <w:rFonts w:ascii="宋体" w:hAnsi="宋体" w:cs="宋体" w:eastAsia="宋体" w:hint="default"/>
          <w:sz w:val="22"/>
          <w:szCs w:val="22"/>
        </w:rPr>
        <w:t>项</w:t>
      </w:r>
      <w:r>
        <w:rPr>
          <w:rFonts w:ascii="宋体" w:hAnsi="宋体" w:cs="宋体" w:eastAsia="宋体" w:hint="default"/>
          <w:spacing w:val="-72"/>
          <w:sz w:val="22"/>
          <w:szCs w:val="22"/>
        </w:rPr>
        <w:t> </w:t>
      </w:r>
      <w:r>
        <w:rPr>
          <w:rFonts w:ascii="宋体" w:hAnsi="宋体" w:cs="宋体" w:eastAsia="宋体" w:hint="default"/>
          <w:sz w:val="22"/>
          <w:szCs w:val="22"/>
        </w:rPr>
        <w:t>。</w:t>
      </w:r>
    </w:p>
    <w:p>
      <w:pPr>
        <w:spacing w:before="132"/>
        <w:ind w:left="242" w:right="0" w:firstLine="0"/>
        <w:jc w:val="left"/>
        <w:rPr>
          <w:rFonts w:ascii="宋体" w:hAnsi="宋体" w:cs="宋体" w:eastAsia="宋体" w:hint="default"/>
          <w:sz w:val="21"/>
          <w:szCs w:val="21"/>
        </w:rPr>
      </w:pPr>
      <w:r>
        <w:rPr>
          <w:rFonts w:ascii="宋体" w:hAnsi="宋体" w:cs="宋体" w:eastAsia="宋体" w:hint="default"/>
          <w:b/>
          <w:bCs/>
          <w:sz w:val="21"/>
          <w:szCs w:val="21"/>
        </w:rPr>
        <w:t>十四、其他重要事项</w:t>
      </w:r>
      <w:r>
        <w:rPr>
          <w:rFonts w:ascii="宋体" w:hAnsi="宋体" w:cs="宋体" w:eastAsia="宋体" w:hint="default"/>
          <w:sz w:val="21"/>
          <w:szCs w:val="21"/>
        </w:rPr>
      </w:r>
    </w:p>
    <w:p>
      <w:pPr>
        <w:spacing w:before="54"/>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4"/>
          <w:sz w:val="22"/>
          <w:szCs w:val="22"/>
        </w:rPr>
        <w:t> </w:t>
      </w:r>
      <w:r>
        <w:rPr>
          <w:rFonts w:ascii="宋体" w:hAnsi="宋体" w:cs="宋体" w:eastAsia="宋体" w:hint="default"/>
          <w:spacing w:val="27"/>
          <w:sz w:val="22"/>
          <w:szCs w:val="22"/>
        </w:rPr>
        <w:t>分部信息</w:t>
      </w:r>
      <w:r>
        <w:rPr>
          <w:rFonts w:ascii="宋体" w:hAnsi="宋体" w:cs="宋体" w:eastAsia="宋体" w:hint="default"/>
          <w:spacing w:val="-72"/>
          <w:sz w:val="22"/>
          <w:szCs w:val="22"/>
        </w:rPr>
        <w:t> </w:t>
      </w:r>
      <w:r>
        <w:rPr>
          <w:rFonts w:ascii="宋体" w:hAnsi="宋体" w:cs="宋体" w:eastAsia="宋体" w:hint="default"/>
          <w:sz w:val="22"/>
          <w:szCs w:val="22"/>
        </w:rPr>
      </w:r>
    </w:p>
    <w:p>
      <w:pPr>
        <w:spacing w:line="345" w:lineRule="auto" w:before="41"/>
        <w:ind w:left="681" w:right="0" w:firstLine="14"/>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9"/>
          <w:sz w:val="22"/>
          <w:szCs w:val="22"/>
        </w:rPr>
        <w:t> </w:t>
      </w:r>
      <w:r>
        <w:rPr>
          <w:rFonts w:ascii="宋体" w:hAnsi="宋体" w:cs="宋体" w:eastAsia="宋体" w:hint="default"/>
          <w:sz w:val="22"/>
          <w:szCs w:val="22"/>
        </w:rPr>
        <w:t>报告分部的确定依据与会计政策</w:t>
      </w:r>
      <w:r>
        <w:rPr>
          <w:rFonts w:ascii="宋体" w:hAnsi="宋体" w:cs="宋体" w:eastAsia="宋体" w:hint="default"/>
          <w:w w:val="100"/>
          <w:sz w:val="22"/>
          <w:szCs w:val="22"/>
        </w:rPr>
        <w:t> </w:t>
      </w:r>
      <w:r>
        <w:rPr>
          <w:rFonts w:ascii="宋体" w:hAnsi="宋体" w:cs="宋体" w:eastAsia="宋体" w:hint="default"/>
          <w:spacing w:val="-3"/>
          <w:sz w:val="22"/>
          <w:szCs w:val="22"/>
        </w:rPr>
        <w:t>本公司以内部组织结构、管理要求、内部报告制度为依据确定经营分部。经营分部是</w:t>
      </w:r>
    </w:p>
    <w:p>
      <w:pPr>
        <w:spacing w:line="261" w:lineRule="exact" w:before="0"/>
        <w:ind w:left="242" w:right="0" w:firstLine="0"/>
        <w:jc w:val="left"/>
        <w:rPr>
          <w:rFonts w:ascii="宋体" w:hAnsi="宋体" w:cs="宋体" w:eastAsia="宋体" w:hint="default"/>
          <w:sz w:val="22"/>
          <w:szCs w:val="22"/>
        </w:rPr>
      </w:pPr>
      <w:r>
        <w:rPr>
          <w:rFonts w:ascii="宋体" w:hAnsi="宋体" w:cs="宋体" w:eastAsia="宋体" w:hint="default"/>
          <w:sz w:val="22"/>
          <w:szCs w:val="22"/>
        </w:rPr>
        <w:t>公司内部同时满足下列条件的组成部分：</w:t>
      </w:r>
    </w:p>
    <w:p>
      <w:pPr>
        <w:tabs>
          <w:tab w:pos="1093" w:val="left" w:leader="none"/>
        </w:tabs>
        <w:spacing w:before="127"/>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tab/>
      </w:r>
      <w:r>
        <w:rPr>
          <w:rFonts w:ascii="宋体" w:hAnsi="宋体" w:cs="宋体" w:eastAsia="宋体" w:hint="default"/>
          <w:sz w:val="22"/>
          <w:szCs w:val="22"/>
        </w:rPr>
        <w:t>该组成部分能够在日常活动中产生收入、发生费用；</w:t>
      </w:r>
    </w:p>
    <w:p>
      <w:pPr>
        <w:spacing w:after="0"/>
        <w:jc w:val="left"/>
        <w:rPr>
          <w:rFonts w:ascii="宋体" w:hAnsi="宋体" w:cs="宋体" w:eastAsia="宋体" w:hint="default"/>
          <w:sz w:val="22"/>
          <w:szCs w:val="22"/>
        </w:rPr>
        <w:sectPr>
          <w:pgSz w:w="11910" w:h="16840"/>
          <w:pgMar w:header="0" w:footer="1034" w:top="1320" w:bottom="1220" w:left="1460" w:right="1440"/>
        </w:sectPr>
      </w:pPr>
    </w:p>
    <w:p>
      <w:pPr>
        <w:tabs>
          <w:tab w:pos="993" w:val="left" w:leader="none"/>
        </w:tabs>
        <w:spacing w:line="280" w:lineRule="auto" w:before="6"/>
        <w:ind w:left="142" w:right="222" w:firstLine="46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tab/>
      </w:r>
      <w:r>
        <w:rPr>
          <w:rFonts w:ascii="宋体" w:hAnsi="宋体" w:cs="宋体" w:eastAsia="宋体" w:hint="default"/>
          <w:spacing w:val="-3"/>
          <w:sz w:val="22"/>
          <w:szCs w:val="22"/>
        </w:rPr>
        <w:t>公司管理层能够定期评价该组成部分的经营成果，以决定向其配置资源、评价其</w:t>
      </w:r>
      <w:r>
        <w:rPr>
          <w:rFonts w:ascii="宋体" w:hAnsi="宋体" w:cs="宋体" w:eastAsia="宋体" w:hint="default"/>
          <w:w w:val="100"/>
          <w:sz w:val="22"/>
          <w:szCs w:val="22"/>
        </w:rPr>
        <w:t> </w:t>
      </w:r>
      <w:r>
        <w:rPr>
          <w:rFonts w:ascii="宋体" w:hAnsi="宋体" w:cs="宋体" w:eastAsia="宋体" w:hint="default"/>
          <w:sz w:val="22"/>
          <w:szCs w:val="22"/>
        </w:rPr>
        <w:t>业绩；</w:t>
      </w:r>
    </w:p>
    <w:p>
      <w:pPr>
        <w:tabs>
          <w:tab w:pos="993" w:val="left" w:leader="none"/>
        </w:tabs>
        <w:spacing w:line="328" w:lineRule="auto" w:before="92"/>
        <w:ind w:left="581" w:right="109" w:firstLine="2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tab/>
      </w:r>
      <w:r>
        <w:rPr>
          <w:rFonts w:ascii="宋体" w:hAnsi="宋体" w:cs="宋体" w:eastAsia="宋体" w:hint="default"/>
          <w:sz w:val="22"/>
          <w:szCs w:val="22"/>
        </w:rPr>
        <w:t>公司能够取得该组成部分的财务状况、经营成果和现金流量等有关会计信息。</w:t>
      </w:r>
      <w:r>
        <w:rPr>
          <w:rFonts w:ascii="宋体" w:hAnsi="宋体" w:cs="宋体" w:eastAsia="宋体" w:hint="default"/>
          <w:w w:val="100"/>
          <w:sz w:val="22"/>
          <w:szCs w:val="22"/>
        </w:rPr>
        <w:t> </w:t>
      </w:r>
      <w:r>
        <w:rPr>
          <w:rFonts w:ascii="宋体" w:hAnsi="宋体" w:cs="宋体" w:eastAsia="宋体" w:hint="default"/>
          <w:sz w:val="22"/>
          <w:szCs w:val="22"/>
        </w:rPr>
        <w:t>如果两个或多个经营分部存在相似经济特征且同时在以下方面具有相同或相似性的，</w:t>
      </w:r>
    </w:p>
    <w:p>
      <w:pPr>
        <w:spacing w:line="274" w:lineRule="exact" w:before="0"/>
        <w:ind w:left="142" w:right="222" w:firstLine="0"/>
        <w:jc w:val="left"/>
        <w:rPr>
          <w:rFonts w:ascii="宋体" w:hAnsi="宋体" w:cs="宋体" w:eastAsia="宋体" w:hint="default"/>
          <w:sz w:val="22"/>
          <w:szCs w:val="22"/>
        </w:rPr>
      </w:pPr>
      <w:r>
        <w:rPr>
          <w:rFonts w:ascii="宋体" w:hAnsi="宋体" w:cs="宋体" w:eastAsia="宋体" w:hint="default"/>
          <w:sz w:val="22"/>
          <w:szCs w:val="22"/>
        </w:rPr>
        <w:t>可以合并为一个经营分部：</w:t>
      </w:r>
    </w:p>
    <w:p>
      <w:pPr>
        <w:tabs>
          <w:tab w:pos="993" w:val="left" w:leader="none"/>
        </w:tabs>
        <w:spacing w:before="129"/>
        <w:ind w:left="595" w:right="222"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tab/>
      </w:r>
      <w:r>
        <w:rPr>
          <w:rFonts w:ascii="宋体" w:hAnsi="宋体" w:cs="宋体" w:eastAsia="宋体" w:hint="default"/>
          <w:sz w:val="22"/>
          <w:szCs w:val="22"/>
        </w:rPr>
        <w:t>各单项产品或劳务的性质；</w:t>
      </w:r>
    </w:p>
    <w:p>
      <w:pPr>
        <w:tabs>
          <w:tab w:pos="993" w:val="left" w:leader="none"/>
        </w:tabs>
        <w:spacing w:before="110"/>
        <w:ind w:left="595" w:right="222"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tab/>
      </w:r>
      <w:r>
        <w:rPr>
          <w:rFonts w:ascii="宋体" w:hAnsi="宋体" w:cs="宋体" w:eastAsia="宋体" w:hint="default"/>
          <w:sz w:val="22"/>
          <w:szCs w:val="22"/>
        </w:rPr>
        <w:t>生产过程的性质；</w:t>
      </w:r>
    </w:p>
    <w:p>
      <w:pPr>
        <w:tabs>
          <w:tab w:pos="993" w:val="left" w:leader="none"/>
        </w:tabs>
        <w:spacing w:before="113"/>
        <w:ind w:left="595" w:right="222"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tab/>
      </w:r>
      <w:r>
        <w:rPr>
          <w:rFonts w:ascii="宋体" w:hAnsi="宋体" w:cs="宋体" w:eastAsia="宋体" w:hint="default"/>
          <w:sz w:val="22"/>
          <w:szCs w:val="22"/>
        </w:rPr>
        <w:t>产品或劳务的客户类型；</w:t>
      </w:r>
    </w:p>
    <w:p>
      <w:pPr>
        <w:tabs>
          <w:tab w:pos="993" w:val="left" w:leader="none"/>
        </w:tabs>
        <w:spacing w:before="113"/>
        <w:ind w:left="595" w:right="222"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tab/>
      </w:r>
      <w:r>
        <w:rPr>
          <w:rFonts w:ascii="宋体" w:hAnsi="宋体" w:cs="宋体" w:eastAsia="宋体" w:hint="default"/>
          <w:sz w:val="22"/>
          <w:szCs w:val="22"/>
        </w:rPr>
        <w:t>销售产品或提供劳务的方式；</w:t>
      </w:r>
    </w:p>
    <w:p>
      <w:pPr>
        <w:tabs>
          <w:tab w:pos="993" w:val="left" w:leader="none"/>
        </w:tabs>
        <w:spacing w:line="328" w:lineRule="auto" w:before="110"/>
        <w:ind w:left="581" w:right="217"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w:t>
        <w:tab/>
      </w:r>
      <w:r>
        <w:rPr>
          <w:rFonts w:ascii="宋体" w:hAnsi="宋体" w:cs="宋体" w:eastAsia="宋体" w:hint="default"/>
          <w:sz w:val="22"/>
          <w:szCs w:val="22"/>
        </w:rPr>
        <w:t>生产产品及提供劳务受法律、行政法规的影响。</w:t>
      </w:r>
      <w:r>
        <w:rPr>
          <w:rFonts w:ascii="宋体" w:hAnsi="宋体" w:cs="宋体" w:eastAsia="宋体" w:hint="default"/>
          <w:w w:val="100"/>
          <w:sz w:val="22"/>
          <w:szCs w:val="22"/>
        </w:rPr>
        <w:t> </w:t>
      </w:r>
      <w:r>
        <w:rPr>
          <w:rFonts w:ascii="宋体" w:hAnsi="宋体" w:cs="宋体" w:eastAsia="宋体" w:hint="default"/>
          <w:spacing w:val="-3"/>
          <w:sz w:val="22"/>
          <w:szCs w:val="22"/>
        </w:rPr>
        <w:t>本公司以经营分部基础，考虑重要性原则，兼顾不同会计期间分部信息的可比性和一</w:t>
      </w:r>
    </w:p>
    <w:p>
      <w:pPr>
        <w:spacing w:line="274" w:lineRule="exact" w:before="0"/>
        <w:ind w:left="142" w:right="109" w:firstLine="0"/>
        <w:jc w:val="left"/>
        <w:rPr>
          <w:rFonts w:ascii="宋体" w:hAnsi="宋体" w:cs="宋体" w:eastAsia="宋体" w:hint="default"/>
          <w:sz w:val="22"/>
          <w:szCs w:val="22"/>
        </w:rPr>
      </w:pPr>
      <w:r>
        <w:rPr>
          <w:rFonts w:ascii="宋体" w:hAnsi="宋体" w:cs="宋体" w:eastAsia="宋体" w:hint="default"/>
          <w:w w:val="100"/>
          <w:sz w:val="22"/>
          <w:szCs w:val="22"/>
        </w:rPr>
        <w:t>致性</w:t>
      </w:r>
      <w:r>
        <w:rPr>
          <w:rFonts w:ascii="宋体" w:hAnsi="宋体" w:cs="宋体" w:eastAsia="宋体" w:hint="default"/>
          <w:spacing w:val="-99"/>
          <w:w w:val="100"/>
          <w:sz w:val="22"/>
          <w:szCs w:val="22"/>
        </w:rPr>
        <w:t>，</w:t>
      </w:r>
      <w:r>
        <w:rPr>
          <w:rFonts w:ascii="宋体" w:hAnsi="宋体" w:cs="宋体" w:eastAsia="宋体" w:hint="default"/>
          <w:w w:val="100"/>
          <w:sz w:val="22"/>
          <w:szCs w:val="22"/>
        </w:rPr>
        <w:t>将</w:t>
      </w:r>
      <w:r>
        <w:rPr>
          <w:rFonts w:ascii="宋体" w:hAnsi="宋体" w:cs="宋体" w:eastAsia="宋体" w:hint="default"/>
          <w:spacing w:val="-3"/>
          <w:w w:val="100"/>
          <w:sz w:val="22"/>
          <w:szCs w:val="22"/>
        </w:rPr>
        <w:t>报</w:t>
      </w:r>
      <w:r>
        <w:rPr>
          <w:rFonts w:ascii="宋体" w:hAnsi="宋体" w:cs="宋体" w:eastAsia="宋体" w:hint="default"/>
          <w:w w:val="100"/>
          <w:sz w:val="22"/>
          <w:szCs w:val="22"/>
        </w:rPr>
        <w:t>告分</w:t>
      </w:r>
      <w:r>
        <w:rPr>
          <w:rFonts w:ascii="宋体" w:hAnsi="宋体" w:cs="宋体" w:eastAsia="宋体" w:hint="default"/>
          <w:spacing w:val="-3"/>
          <w:w w:val="100"/>
          <w:sz w:val="22"/>
          <w:szCs w:val="22"/>
        </w:rPr>
        <w:t>部</w:t>
      </w:r>
      <w:r>
        <w:rPr>
          <w:rFonts w:ascii="宋体" w:hAnsi="宋体" w:cs="宋体" w:eastAsia="宋体" w:hint="default"/>
          <w:w w:val="100"/>
          <w:sz w:val="22"/>
          <w:szCs w:val="22"/>
        </w:rPr>
        <w:t>最终</w:t>
      </w:r>
      <w:r>
        <w:rPr>
          <w:rFonts w:ascii="宋体" w:hAnsi="宋体" w:cs="宋体" w:eastAsia="宋体" w:hint="default"/>
          <w:spacing w:val="-3"/>
          <w:w w:val="100"/>
          <w:sz w:val="22"/>
          <w:szCs w:val="22"/>
        </w:rPr>
        <w:t>确</w:t>
      </w:r>
      <w:r>
        <w:rPr>
          <w:rFonts w:ascii="宋体" w:hAnsi="宋体" w:cs="宋体" w:eastAsia="宋体" w:hint="default"/>
          <w:w w:val="100"/>
          <w:sz w:val="22"/>
          <w:szCs w:val="22"/>
        </w:rPr>
        <w:t>定为“</w:t>
      </w:r>
      <w:r>
        <w:rPr>
          <w:rFonts w:ascii="宋体" w:hAnsi="宋体" w:cs="宋体" w:eastAsia="宋体" w:hint="default"/>
          <w:spacing w:val="-3"/>
          <w:w w:val="100"/>
          <w:sz w:val="22"/>
          <w:szCs w:val="22"/>
        </w:rPr>
        <w:t>公</w:t>
      </w:r>
      <w:r>
        <w:rPr>
          <w:rFonts w:ascii="宋体" w:hAnsi="宋体" w:cs="宋体" w:eastAsia="宋体" w:hint="default"/>
          <w:w w:val="100"/>
          <w:sz w:val="22"/>
          <w:szCs w:val="22"/>
        </w:rPr>
        <w:t>共安</w:t>
      </w:r>
      <w:r>
        <w:rPr>
          <w:rFonts w:ascii="宋体" w:hAnsi="宋体" w:cs="宋体" w:eastAsia="宋体" w:hint="default"/>
          <w:spacing w:val="-3"/>
          <w:w w:val="100"/>
          <w:sz w:val="22"/>
          <w:szCs w:val="22"/>
        </w:rPr>
        <w:t>全</w:t>
      </w:r>
      <w:r>
        <w:rPr>
          <w:rFonts w:ascii="宋体" w:hAnsi="宋体" w:cs="宋体" w:eastAsia="宋体" w:hint="default"/>
          <w:w w:val="100"/>
          <w:sz w:val="22"/>
          <w:szCs w:val="22"/>
        </w:rPr>
        <w:t>”</w:t>
      </w:r>
      <w:r>
        <w:rPr>
          <w:rFonts w:ascii="宋体" w:hAnsi="宋体" w:cs="宋体" w:eastAsia="宋体" w:hint="default"/>
          <w:spacing w:val="-99"/>
          <w:w w:val="100"/>
          <w:sz w:val="22"/>
          <w:szCs w:val="22"/>
        </w:rPr>
        <w:t>、</w:t>
      </w:r>
      <w:r>
        <w:rPr>
          <w:rFonts w:ascii="宋体" w:hAnsi="宋体" w:cs="宋体" w:eastAsia="宋体" w:hint="default"/>
          <w:w w:val="100"/>
          <w:sz w:val="22"/>
          <w:szCs w:val="22"/>
        </w:rPr>
        <w:t>“</w:t>
      </w:r>
      <w:r>
        <w:rPr>
          <w:rFonts w:ascii="宋体" w:hAnsi="宋体" w:cs="宋体" w:eastAsia="宋体" w:hint="default"/>
          <w:spacing w:val="-3"/>
          <w:w w:val="100"/>
          <w:sz w:val="22"/>
          <w:szCs w:val="22"/>
        </w:rPr>
        <w:t>互</w:t>
      </w:r>
      <w:r>
        <w:rPr>
          <w:rFonts w:ascii="宋体" w:hAnsi="宋体" w:cs="宋体" w:eastAsia="宋体" w:hint="default"/>
          <w:w w:val="100"/>
          <w:sz w:val="22"/>
          <w:szCs w:val="22"/>
        </w:rPr>
        <w:t>联网服</w:t>
      </w:r>
      <w:r>
        <w:rPr>
          <w:rFonts w:ascii="宋体" w:hAnsi="宋体" w:cs="宋体" w:eastAsia="宋体" w:hint="default"/>
          <w:spacing w:val="-3"/>
          <w:w w:val="100"/>
          <w:sz w:val="22"/>
          <w:szCs w:val="22"/>
        </w:rPr>
        <w:t>务</w:t>
      </w:r>
      <w:r>
        <w:rPr>
          <w:rFonts w:ascii="宋体" w:hAnsi="宋体" w:cs="宋体" w:eastAsia="宋体" w:hint="default"/>
          <w:w w:val="100"/>
          <w:sz w:val="22"/>
          <w:szCs w:val="22"/>
        </w:rPr>
        <w:t>与终</w:t>
      </w:r>
      <w:r>
        <w:rPr>
          <w:rFonts w:ascii="宋体" w:hAnsi="宋体" w:cs="宋体" w:eastAsia="宋体" w:hint="default"/>
          <w:spacing w:val="-3"/>
          <w:w w:val="100"/>
          <w:sz w:val="22"/>
          <w:szCs w:val="22"/>
        </w:rPr>
        <w:t>端</w:t>
      </w:r>
      <w:r>
        <w:rPr>
          <w:rFonts w:ascii="宋体" w:hAnsi="宋体" w:cs="宋体" w:eastAsia="宋体" w:hint="default"/>
          <w:w w:val="100"/>
          <w:sz w:val="22"/>
          <w:szCs w:val="22"/>
        </w:rPr>
        <w:t>”</w:t>
      </w:r>
      <w:r>
        <w:rPr>
          <w:rFonts w:ascii="宋体" w:hAnsi="宋体" w:cs="宋体" w:eastAsia="宋体" w:hint="default"/>
          <w:spacing w:val="-99"/>
          <w:w w:val="100"/>
          <w:sz w:val="22"/>
          <w:szCs w:val="22"/>
        </w:rPr>
        <w:t>、</w:t>
      </w:r>
      <w:r>
        <w:rPr>
          <w:rFonts w:ascii="宋体" w:hAnsi="宋体" w:cs="宋体" w:eastAsia="宋体" w:hint="default"/>
          <w:w w:val="100"/>
          <w:sz w:val="22"/>
          <w:szCs w:val="22"/>
        </w:rPr>
        <w:t>“</w:t>
      </w:r>
      <w:r>
        <w:rPr>
          <w:rFonts w:ascii="宋体" w:hAnsi="宋体" w:cs="宋体" w:eastAsia="宋体" w:hint="default"/>
          <w:spacing w:val="-3"/>
          <w:w w:val="100"/>
          <w:sz w:val="22"/>
          <w:szCs w:val="22"/>
        </w:rPr>
        <w:t>云</w:t>
      </w:r>
      <w:r>
        <w:rPr>
          <w:rFonts w:ascii="宋体" w:hAnsi="宋体" w:cs="宋体" w:eastAsia="宋体" w:hint="default"/>
          <w:w w:val="100"/>
          <w:sz w:val="22"/>
          <w:szCs w:val="22"/>
        </w:rPr>
        <w:t>计算和</w:t>
      </w:r>
      <w:r>
        <w:rPr>
          <w:rFonts w:ascii="宋体" w:hAnsi="宋体" w:cs="宋体" w:eastAsia="宋体" w:hint="default"/>
          <w:spacing w:val="-3"/>
          <w:w w:val="100"/>
          <w:sz w:val="22"/>
          <w:szCs w:val="22"/>
        </w:rPr>
        <w:t>大</w:t>
      </w:r>
      <w:r>
        <w:rPr>
          <w:rFonts w:ascii="宋体" w:hAnsi="宋体" w:cs="宋体" w:eastAsia="宋体" w:hint="default"/>
          <w:w w:val="100"/>
          <w:sz w:val="22"/>
          <w:szCs w:val="22"/>
        </w:rPr>
        <w:t>数据”</w:t>
      </w:r>
    </w:p>
    <w:p>
      <w:pPr>
        <w:spacing w:line="348" w:lineRule="auto" w:before="69"/>
        <w:ind w:left="542" w:right="222" w:hanging="401"/>
        <w:jc w:val="left"/>
        <w:rPr>
          <w:rFonts w:ascii="宋体" w:hAnsi="宋体" w:cs="宋体" w:eastAsia="宋体" w:hint="default"/>
          <w:sz w:val="22"/>
          <w:szCs w:val="22"/>
        </w:rPr>
      </w:pPr>
      <w:r>
        <w:rPr>
          <w:rFonts w:ascii="宋体" w:hAnsi="宋体" w:cs="宋体" w:eastAsia="宋体" w:hint="default"/>
          <w:sz w:val="22"/>
          <w:szCs w:val="22"/>
        </w:rPr>
        <w:t>（原“智慧城市”）、“节能环保”、“科技园区”、“总部与投资”。</w:t>
      </w:r>
      <w:r>
        <w:rPr>
          <w:rFonts w:ascii="宋体" w:hAnsi="宋体" w:cs="宋体" w:eastAsia="宋体" w:hint="default"/>
          <w:w w:val="100"/>
          <w:sz w:val="22"/>
          <w:szCs w:val="22"/>
        </w:rPr>
        <w:t> </w:t>
      </w:r>
      <w:r>
        <w:rPr>
          <w:rFonts w:ascii="宋体" w:hAnsi="宋体" w:cs="宋体" w:eastAsia="宋体" w:hint="default"/>
          <w:spacing w:val="-21"/>
          <w:sz w:val="22"/>
          <w:szCs w:val="22"/>
        </w:rPr>
        <w:t>本公司提供分部信息所采用的会计政策，与编制合并财务报表时所采用的会计政策一致。</w:t>
      </w:r>
    </w:p>
    <w:tbl>
      <w:tblPr>
        <w:tblW w:w="0" w:type="auto"/>
        <w:jc w:val="left"/>
        <w:tblInd w:w="113" w:type="dxa"/>
        <w:tblLayout w:type="fixed"/>
        <w:tblCellMar>
          <w:top w:w="0" w:type="dxa"/>
          <w:left w:w="0" w:type="dxa"/>
          <w:bottom w:w="0" w:type="dxa"/>
          <w:right w:w="0" w:type="dxa"/>
        </w:tblCellMar>
        <w:tblLook w:val="01E0"/>
      </w:tblPr>
      <w:tblGrid>
        <w:gridCol w:w="1354"/>
        <w:gridCol w:w="1526"/>
        <w:gridCol w:w="1473"/>
        <w:gridCol w:w="1471"/>
        <w:gridCol w:w="1313"/>
        <w:gridCol w:w="163"/>
        <w:gridCol w:w="1265"/>
      </w:tblGrid>
      <w:tr>
        <w:trPr>
          <w:trHeight w:val="431" w:hRule="exact"/>
        </w:trPr>
        <w:tc>
          <w:tcPr>
            <w:tcW w:w="8565"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28"/>
              <w:ind w:left="482"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7"/>
                <w:sz w:val="22"/>
                <w:szCs w:val="22"/>
              </w:rPr>
              <w:t> </w:t>
            </w:r>
            <w:r>
              <w:rPr>
                <w:rFonts w:ascii="宋体" w:hAnsi="宋体" w:cs="宋体" w:eastAsia="宋体" w:hint="default"/>
                <w:sz w:val="22"/>
                <w:szCs w:val="22"/>
              </w:rPr>
              <w:t>本年度报告分部的财务信息</w:t>
            </w:r>
          </w:p>
        </w:tc>
      </w:tr>
      <w:tr>
        <w:trPr>
          <w:trHeight w:val="274" w:hRule="exact"/>
        </w:trPr>
        <w:tc>
          <w:tcPr>
            <w:tcW w:w="1354" w:type="dxa"/>
            <w:tcBorders>
              <w:top w:val="single" w:sz="12" w:space="0" w:color="000000"/>
              <w:left w:val="nil" w:sz="6" w:space="0" w:color="auto"/>
              <w:bottom w:val="nil" w:sz="6" w:space="0" w:color="auto"/>
              <w:right w:val="nil" w:sz="6" w:space="0" w:color="auto"/>
            </w:tcBorders>
          </w:tcPr>
          <w:p>
            <w:pPr/>
          </w:p>
        </w:tc>
        <w:tc>
          <w:tcPr>
            <w:tcW w:w="2998" w:type="dxa"/>
            <w:gridSpan w:val="2"/>
            <w:tcBorders>
              <w:top w:val="single" w:sz="12" w:space="0" w:color="000000"/>
              <w:left w:val="nil" w:sz="6" w:space="0" w:color="auto"/>
              <w:bottom w:val="single" w:sz="4" w:space="0" w:color="000000"/>
              <w:right w:val="nil" w:sz="6" w:space="0" w:color="auto"/>
            </w:tcBorders>
          </w:tcPr>
          <w:p>
            <w:pPr>
              <w:pStyle w:val="TableParagraph"/>
              <w:spacing w:line="213" w:lineRule="exact"/>
              <w:ind w:left="694"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784" w:type="dxa"/>
            <w:gridSpan w:val="2"/>
            <w:tcBorders>
              <w:top w:val="single" w:sz="12" w:space="0" w:color="000000"/>
              <w:left w:val="nil" w:sz="6" w:space="0" w:color="auto"/>
              <w:bottom w:val="single" w:sz="4" w:space="0" w:color="000000"/>
              <w:right w:val="nil" w:sz="6" w:space="0" w:color="auto"/>
            </w:tcBorders>
          </w:tcPr>
          <w:p>
            <w:pPr>
              <w:pStyle w:val="TableParagraph"/>
              <w:spacing w:line="213" w:lineRule="exact"/>
              <w:ind w:left="1663"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428" w:type="dxa"/>
            <w:gridSpan w:val="2"/>
            <w:tcBorders>
              <w:top w:val="single" w:sz="12" w:space="0" w:color="000000"/>
              <w:left w:val="nil" w:sz="6" w:space="0" w:color="auto"/>
              <w:bottom w:val="single" w:sz="4" w:space="0" w:color="000000"/>
              <w:right w:val="nil" w:sz="6" w:space="0" w:color="auto"/>
            </w:tcBorders>
          </w:tcPr>
          <w:p>
            <w:pPr/>
          </w:p>
        </w:tc>
      </w:tr>
      <w:tr>
        <w:trPr>
          <w:trHeight w:val="286" w:hRule="exact"/>
        </w:trPr>
        <w:tc>
          <w:tcPr>
            <w:tcW w:w="1354" w:type="dxa"/>
            <w:tcBorders>
              <w:top w:val="nil" w:sz="6" w:space="0" w:color="auto"/>
              <w:left w:val="nil" w:sz="6" w:space="0" w:color="auto"/>
              <w:bottom w:val="single" w:sz="4" w:space="0" w:color="000000"/>
              <w:right w:val="nil" w:sz="6" w:space="0" w:color="auto"/>
            </w:tcBorders>
          </w:tcPr>
          <w:p>
            <w:pPr>
              <w:pStyle w:val="TableParagraph"/>
              <w:spacing w:line="95" w:lineRule="exact"/>
              <w:ind w:left="314" w:right="0"/>
              <w:jc w:val="left"/>
              <w:rPr>
                <w:rFonts w:ascii="宋体" w:hAnsi="宋体" w:cs="宋体" w:eastAsia="宋体" w:hint="default"/>
                <w:sz w:val="18"/>
                <w:szCs w:val="18"/>
              </w:rPr>
            </w:pPr>
            <w:r>
              <w:rPr>
                <w:rFonts w:ascii="宋体" w:hAnsi="宋体" w:cs="宋体" w:eastAsia="宋体" w:hint="default"/>
                <w:b/>
                <w:bCs/>
                <w:sz w:val="18"/>
                <w:szCs w:val="18"/>
              </w:rPr>
              <w:t>报告分部</w:t>
            </w:r>
            <w:r>
              <w:rPr>
                <w:rFonts w:ascii="宋体" w:hAnsi="宋体" w:cs="宋体" w:eastAsia="宋体" w:hint="default"/>
                <w:sz w:val="18"/>
                <w:szCs w:val="18"/>
              </w:rPr>
            </w:r>
          </w:p>
        </w:tc>
        <w:tc>
          <w:tcPr>
            <w:tcW w:w="2998" w:type="dxa"/>
            <w:gridSpan w:val="2"/>
            <w:tcBorders>
              <w:top w:val="single" w:sz="4" w:space="0" w:color="000000"/>
              <w:left w:val="nil" w:sz="6" w:space="0" w:color="auto"/>
              <w:bottom w:val="single" w:sz="4" w:space="0" w:color="000000"/>
              <w:right w:val="nil" w:sz="6" w:space="0" w:color="auto"/>
            </w:tcBorders>
          </w:tcPr>
          <w:p>
            <w:pPr>
              <w:pStyle w:val="TableParagraph"/>
              <w:tabs>
                <w:tab w:pos="1800" w:val="left" w:leader="none"/>
              </w:tabs>
              <w:spacing w:line="222" w:lineRule="exact"/>
              <w:ind w:left="357" w:right="0"/>
              <w:jc w:val="left"/>
              <w:rPr>
                <w:rFonts w:ascii="宋体" w:hAnsi="宋体" w:cs="宋体" w:eastAsia="宋体" w:hint="default"/>
                <w:sz w:val="18"/>
                <w:szCs w:val="18"/>
              </w:rPr>
            </w:pPr>
            <w:r>
              <w:rPr>
                <w:rFonts w:ascii="宋体" w:hAnsi="宋体" w:cs="宋体" w:eastAsia="宋体" w:hint="default"/>
                <w:b/>
                <w:bCs/>
                <w:w w:val="95"/>
                <w:sz w:val="18"/>
                <w:szCs w:val="18"/>
              </w:rPr>
              <w:t>资产总额</w:t>
              <w:tab/>
            </w:r>
            <w:r>
              <w:rPr>
                <w:rFonts w:ascii="宋体" w:hAnsi="宋体" w:cs="宋体" w:eastAsia="宋体" w:hint="default"/>
                <w:b/>
                <w:bCs/>
                <w:sz w:val="18"/>
                <w:szCs w:val="18"/>
              </w:rPr>
              <w:t>负债总额</w:t>
            </w:r>
            <w:r>
              <w:rPr>
                <w:rFonts w:ascii="宋体" w:hAnsi="宋体" w:cs="宋体" w:eastAsia="宋体" w:hint="default"/>
                <w:sz w:val="18"/>
                <w:szCs w:val="18"/>
              </w:rPr>
            </w:r>
          </w:p>
        </w:tc>
        <w:tc>
          <w:tcPr>
            <w:tcW w:w="2784" w:type="dxa"/>
            <w:gridSpan w:val="2"/>
            <w:tcBorders>
              <w:top w:val="single" w:sz="4" w:space="0" w:color="000000"/>
              <w:left w:val="nil" w:sz="6" w:space="0" w:color="auto"/>
              <w:bottom w:val="single" w:sz="4" w:space="0" w:color="000000"/>
              <w:right w:val="nil" w:sz="6" w:space="0" w:color="auto"/>
            </w:tcBorders>
          </w:tcPr>
          <w:p>
            <w:pPr>
              <w:pStyle w:val="TableParagraph"/>
              <w:tabs>
                <w:tab w:pos="1507" w:val="left" w:leader="none"/>
              </w:tabs>
              <w:spacing w:line="222" w:lineRule="exact"/>
              <w:ind w:left="64" w:right="0"/>
              <w:jc w:val="left"/>
              <w:rPr>
                <w:rFonts w:ascii="宋体" w:hAnsi="宋体" w:cs="宋体" w:eastAsia="宋体" w:hint="default"/>
                <w:sz w:val="18"/>
                <w:szCs w:val="18"/>
              </w:rPr>
            </w:pPr>
            <w:r>
              <w:rPr>
                <w:rFonts w:ascii="宋体" w:hAnsi="宋体" w:cs="宋体" w:eastAsia="宋体" w:hint="default"/>
                <w:b/>
                <w:bCs/>
                <w:w w:val="95"/>
                <w:sz w:val="18"/>
                <w:szCs w:val="18"/>
              </w:rPr>
              <w:t>主营业务收入</w:t>
              <w:tab/>
            </w: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428" w:type="dxa"/>
            <w:gridSpan w:val="2"/>
            <w:tcBorders>
              <w:top w:val="single" w:sz="4" w:space="0" w:color="000000"/>
              <w:left w:val="nil" w:sz="6" w:space="0" w:color="auto"/>
              <w:bottom w:val="single" w:sz="4" w:space="0" w:color="000000"/>
              <w:right w:val="nil" w:sz="6" w:space="0" w:color="auto"/>
            </w:tcBorders>
          </w:tcPr>
          <w:p>
            <w:pPr>
              <w:pStyle w:val="TableParagraph"/>
              <w:spacing w:line="222" w:lineRule="exact"/>
              <w:ind w:left="345" w:right="0"/>
              <w:jc w:val="left"/>
              <w:rPr>
                <w:rFonts w:ascii="宋体" w:hAnsi="宋体" w:cs="宋体" w:eastAsia="宋体" w:hint="default"/>
                <w:sz w:val="18"/>
                <w:szCs w:val="18"/>
              </w:rPr>
            </w:pPr>
            <w:r>
              <w:rPr>
                <w:rFonts w:ascii="宋体" w:hAnsi="宋体" w:cs="宋体" w:eastAsia="宋体" w:hint="default"/>
                <w:b/>
                <w:bCs/>
                <w:sz w:val="18"/>
                <w:szCs w:val="18"/>
              </w:rPr>
              <w:t>利润总额</w:t>
            </w:r>
            <w:r>
              <w:rPr>
                <w:rFonts w:ascii="宋体" w:hAnsi="宋体" w:cs="宋体" w:eastAsia="宋体" w:hint="default"/>
                <w:sz w:val="18"/>
                <w:szCs w:val="18"/>
              </w:rPr>
            </w:r>
          </w:p>
        </w:tc>
      </w:tr>
      <w:tr>
        <w:trPr>
          <w:trHeight w:val="535" w:hRule="exact"/>
        </w:trPr>
        <w:tc>
          <w:tcPr>
            <w:tcW w:w="8565" w:type="dxa"/>
            <w:gridSpan w:val="7"/>
            <w:tcBorders>
              <w:top w:val="nil" w:sz="6" w:space="0" w:color="auto"/>
              <w:left w:val="nil" w:sz="6" w:space="0" w:color="auto"/>
              <w:bottom w:val="nil" w:sz="6" w:space="0" w:color="auto"/>
              <w:right w:val="nil" w:sz="6" w:space="0" w:color="auto"/>
            </w:tcBorders>
          </w:tcPr>
          <w:p>
            <w:pPr>
              <w:pStyle w:val="TableParagraph"/>
              <w:tabs>
                <w:tab w:pos="1415" w:val="left" w:leader="none"/>
              </w:tabs>
              <w:spacing w:line="225" w:lineRule="exact"/>
              <w:ind w:left="28" w:right="0"/>
              <w:jc w:val="left"/>
              <w:rPr>
                <w:rFonts w:ascii="宋体" w:hAnsi="宋体" w:cs="宋体" w:eastAsia="宋体" w:hint="default"/>
                <w:sz w:val="18"/>
                <w:szCs w:val="18"/>
              </w:rPr>
            </w:pPr>
            <w:r>
              <w:rPr>
                <w:rFonts w:ascii="宋体" w:hAnsi="宋体" w:cs="宋体" w:eastAsia="宋体" w:hint="default"/>
                <w:sz w:val="18"/>
                <w:szCs w:val="18"/>
              </w:rPr>
              <w:t>公共安全</w:t>
              <w:tab/>
            </w:r>
            <w:r>
              <w:rPr>
                <w:rFonts w:ascii="宋体" w:hAnsi="宋体" w:cs="宋体" w:eastAsia="宋体" w:hint="default"/>
                <w:position w:val="2"/>
                <w:sz w:val="18"/>
                <w:szCs w:val="18"/>
              </w:rPr>
              <w:t>13,461,092,455. 8,743,121,772.5 6,375,152,697.6 4,070,109,371.1</w:t>
            </w:r>
            <w:r>
              <w:rPr>
                <w:rFonts w:ascii="宋体" w:hAnsi="宋体" w:cs="宋体" w:eastAsia="宋体" w:hint="default"/>
                <w:spacing w:val="72"/>
                <w:position w:val="2"/>
                <w:sz w:val="18"/>
                <w:szCs w:val="18"/>
              </w:rPr>
              <w:t> </w:t>
            </w:r>
            <w:r>
              <w:rPr>
                <w:rFonts w:ascii="宋体" w:hAnsi="宋体" w:cs="宋体" w:eastAsia="宋体" w:hint="default"/>
                <w:sz w:val="18"/>
                <w:szCs w:val="18"/>
              </w:rPr>
              <w:t>667,461,161.79</w:t>
            </w:r>
          </w:p>
          <w:p>
            <w:pPr>
              <w:pStyle w:val="TableParagraph"/>
              <w:spacing w:line="240" w:lineRule="auto" w:before="19"/>
              <w:ind w:left="28" w:right="0"/>
              <w:jc w:val="left"/>
              <w:rPr>
                <w:rFonts w:ascii="宋体" w:hAnsi="宋体" w:cs="宋体" w:eastAsia="宋体" w:hint="default"/>
                <w:sz w:val="18"/>
                <w:szCs w:val="18"/>
              </w:rPr>
            </w:pPr>
            <w:r>
              <w:rPr>
                <w:rFonts w:ascii="宋体" w:hAnsi="宋体" w:cs="宋体" w:eastAsia="宋体" w:hint="default"/>
                <w:spacing w:val="5"/>
                <w:sz w:val="18"/>
                <w:szCs w:val="18"/>
              </w:rPr>
              <w:t>互联网服务与终 </w:t>
            </w:r>
            <w:r>
              <w:rPr>
                <w:rFonts w:ascii="宋体" w:hAnsi="宋体" w:cs="宋体" w:eastAsia="宋体" w:hint="default"/>
                <w:sz w:val="18"/>
                <w:szCs w:val="18"/>
              </w:rPr>
              <w:t>10,480,484,590. 6,469,070,450.7 11,304,365,671. 9,755,834,694.3</w:t>
            </w:r>
            <w:r>
              <w:rPr>
                <w:rFonts w:ascii="宋体" w:hAnsi="宋体" w:cs="宋体" w:eastAsia="宋体" w:hint="default"/>
                <w:spacing w:val="-21"/>
                <w:sz w:val="18"/>
                <w:szCs w:val="18"/>
              </w:rPr>
              <w:t> </w:t>
            </w:r>
            <w:r>
              <w:rPr>
                <w:rFonts w:ascii="宋体" w:hAnsi="宋体" w:cs="宋体" w:eastAsia="宋体" w:hint="default"/>
                <w:sz w:val="18"/>
                <w:szCs w:val="18"/>
              </w:rPr>
              <w:t>-1,821,607,891.</w:t>
            </w:r>
          </w:p>
        </w:tc>
      </w:tr>
      <w:tr>
        <w:trPr>
          <w:trHeight w:val="298" w:hRule="exact"/>
        </w:trPr>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18"/>
                <w:szCs w:val="18"/>
              </w:rPr>
            </w:pPr>
            <w:r>
              <w:rPr>
                <w:rFonts w:ascii="宋体" w:hAnsi="宋体" w:cs="宋体" w:eastAsia="宋体" w:hint="default"/>
                <w:sz w:val="18"/>
                <w:szCs w:val="18"/>
              </w:rPr>
              <w:t>云计算和大数据</w:t>
            </w:r>
          </w:p>
        </w:tc>
        <w:tc>
          <w:tcPr>
            <w:tcW w:w="5783" w:type="dxa"/>
            <w:gridSpan w:val="4"/>
            <w:tcBorders>
              <w:top w:val="nil" w:sz="6" w:space="0" w:color="auto"/>
              <w:left w:val="nil" w:sz="6" w:space="0" w:color="auto"/>
              <w:bottom w:val="nil" w:sz="6" w:space="0" w:color="auto"/>
              <w:right w:val="nil" w:sz="6" w:space="0" w:color="auto"/>
            </w:tcBorders>
          </w:tcPr>
          <w:p>
            <w:pPr>
              <w:pStyle w:val="TableParagraph"/>
              <w:spacing w:line="227" w:lineRule="exact"/>
              <w:ind w:left="62" w:right="0"/>
              <w:jc w:val="left"/>
              <w:rPr>
                <w:rFonts w:ascii="宋体" w:hAnsi="宋体" w:cs="宋体" w:eastAsia="宋体" w:hint="default"/>
                <w:sz w:val="18"/>
                <w:szCs w:val="18"/>
              </w:rPr>
            </w:pPr>
            <w:r>
              <w:rPr>
                <w:rFonts w:ascii="宋体"/>
                <w:sz w:val="18"/>
              </w:rPr>
              <w:t>3,410,496,727.3 3,181,792,647.0 1,897,766,180.3</w:t>
            </w:r>
            <w:r>
              <w:rPr>
                <w:rFonts w:ascii="宋体"/>
                <w:spacing w:val="-13"/>
                <w:sz w:val="18"/>
              </w:rPr>
              <w:t> </w:t>
            </w:r>
            <w:r>
              <w:rPr>
                <w:rFonts w:ascii="宋体"/>
                <w:sz w:val="18"/>
              </w:rPr>
              <w:t>1,906,811,692.0</w:t>
            </w:r>
          </w:p>
        </w:tc>
        <w:tc>
          <w:tcPr>
            <w:tcW w:w="14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50" w:right="0"/>
              <w:jc w:val="left"/>
              <w:rPr>
                <w:rFonts w:ascii="宋体" w:hAnsi="宋体" w:cs="宋体" w:eastAsia="宋体" w:hint="default"/>
                <w:sz w:val="18"/>
                <w:szCs w:val="18"/>
              </w:rPr>
            </w:pPr>
            <w:r>
              <w:rPr>
                <w:rFonts w:ascii="宋体"/>
                <w:sz w:val="18"/>
              </w:rPr>
              <w:t>-692,207,192.93</w:t>
            </w:r>
          </w:p>
        </w:tc>
      </w:tr>
      <w:tr>
        <w:trPr>
          <w:trHeight w:val="283" w:hRule="exact"/>
        </w:trPr>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18"/>
                <w:szCs w:val="18"/>
              </w:rPr>
            </w:pPr>
            <w:r>
              <w:rPr>
                <w:rFonts w:ascii="宋体" w:hAnsi="宋体" w:cs="宋体" w:eastAsia="宋体" w:hint="default"/>
                <w:sz w:val="18"/>
                <w:szCs w:val="18"/>
              </w:rPr>
              <w:t>节能环保</w:t>
            </w:r>
          </w:p>
        </w:tc>
        <w:tc>
          <w:tcPr>
            <w:tcW w:w="5783" w:type="dxa"/>
            <w:gridSpan w:val="4"/>
            <w:tcBorders>
              <w:top w:val="nil" w:sz="6" w:space="0" w:color="auto"/>
              <w:left w:val="nil" w:sz="6" w:space="0" w:color="auto"/>
              <w:bottom w:val="nil" w:sz="6" w:space="0" w:color="auto"/>
              <w:right w:val="nil" w:sz="6" w:space="0" w:color="auto"/>
            </w:tcBorders>
          </w:tcPr>
          <w:p>
            <w:pPr>
              <w:pStyle w:val="TableParagraph"/>
              <w:spacing w:line="215" w:lineRule="exact"/>
              <w:ind w:left="62" w:right="0"/>
              <w:jc w:val="left"/>
              <w:rPr>
                <w:rFonts w:ascii="宋体" w:hAnsi="宋体" w:cs="宋体" w:eastAsia="宋体" w:hint="default"/>
                <w:sz w:val="18"/>
                <w:szCs w:val="18"/>
              </w:rPr>
            </w:pPr>
            <w:r>
              <w:rPr>
                <w:rFonts w:ascii="宋体"/>
                <w:sz w:val="18"/>
              </w:rPr>
              <w:t>12,648,392,584. 6,497,224,481.9 4,821,977,377.8</w:t>
            </w:r>
            <w:r>
              <w:rPr>
                <w:rFonts w:ascii="宋体"/>
                <w:spacing w:val="-13"/>
                <w:sz w:val="18"/>
              </w:rPr>
              <w:t> </w:t>
            </w:r>
            <w:r>
              <w:rPr>
                <w:rFonts w:ascii="宋体"/>
                <w:sz w:val="18"/>
              </w:rPr>
              <w:t>3,708,116,733.6</w:t>
            </w:r>
          </w:p>
        </w:tc>
        <w:tc>
          <w:tcPr>
            <w:tcW w:w="14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39" w:right="0"/>
              <w:jc w:val="left"/>
              <w:rPr>
                <w:rFonts w:ascii="宋体" w:hAnsi="宋体" w:cs="宋体" w:eastAsia="宋体" w:hint="default"/>
                <w:sz w:val="18"/>
                <w:szCs w:val="18"/>
              </w:rPr>
            </w:pPr>
            <w:r>
              <w:rPr>
                <w:rFonts w:ascii="宋体"/>
                <w:sz w:val="18"/>
              </w:rPr>
              <w:t>425,792,544.41</w:t>
            </w:r>
          </w:p>
        </w:tc>
      </w:tr>
      <w:tr>
        <w:trPr>
          <w:trHeight w:val="285" w:hRule="exact"/>
        </w:trPr>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18"/>
                <w:szCs w:val="18"/>
              </w:rPr>
            </w:pPr>
            <w:r>
              <w:rPr>
                <w:rFonts w:ascii="宋体" w:hAnsi="宋体" w:cs="宋体" w:eastAsia="宋体" w:hint="default"/>
                <w:sz w:val="18"/>
                <w:szCs w:val="18"/>
              </w:rPr>
              <w:t>科技园区</w:t>
            </w:r>
          </w:p>
        </w:tc>
        <w:tc>
          <w:tcPr>
            <w:tcW w:w="5783" w:type="dxa"/>
            <w:gridSpan w:val="4"/>
            <w:tcBorders>
              <w:top w:val="nil" w:sz="6" w:space="0" w:color="auto"/>
              <w:left w:val="nil" w:sz="6" w:space="0" w:color="auto"/>
              <w:bottom w:val="nil" w:sz="6" w:space="0" w:color="auto"/>
              <w:right w:val="nil" w:sz="6" w:space="0" w:color="auto"/>
            </w:tcBorders>
          </w:tcPr>
          <w:p>
            <w:pPr>
              <w:pStyle w:val="TableParagraph"/>
              <w:spacing w:line="242" w:lineRule="exact"/>
              <w:ind w:left="62" w:right="0"/>
              <w:jc w:val="left"/>
              <w:rPr>
                <w:rFonts w:ascii="宋体" w:hAnsi="宋体" w:cs="宋体" w:eastAsia="宋体" w:hint="default"/>
                <w:sz w:val="18"/>
                <w:szCs w:val="18"/>
              </w:rPr>
            </w:pPr>
            <w:r>
              <w:rPr>
                <w:rFonts w:ascii="宋体"/>
                <w:position w:val="3"/>
                <w:sz w:val="18"/>
              </w:rPr>
              <w:t>3,322,675,906.9  </w:t>
            </w:r>
            <w:r>
              <w:rPr>
                <w:rFonts w:ascii="宋体"/>
                <w:sz w:val="18"/>
              </w:rPr>
              <w:t>629,226,064.19  433,135,404.25</w:t>
            </w:r>
            <w:r>
              <w:rPr>
                <w:rFonts w:ascii="宋体"/>
                <w:spacing w:val="75"/>
                <w:sz w:val="18"/>
              </w:rPr>
              <w:t> </w:t>
            </w:r>
            <w:r>
              <w:rPr>
                <w:rFonts w:ascii="宋体"/>
                <w:sz w:val="18"/>
              </w:rPr>
              <w:t>268,647,030.63</w:t>
            </w:r>
          </w:p>
        </w:tc>
        <w:tc>
          <w:tcPr>
            <w:tcW w:w="14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230" w:right="0"/>
              <w:jc w:val="left"/>
              <w:rPr>
                <w:rFonts w:ascii="宋体" w:hAnsi="宋体" w:cs="宋体" w:eastAsia="宋体" w:hint="default"/>
                <w:sz w:val="18"/>
                <w:szCs w:val="18"/>
              </w:rPr>
            </w:pPr>
            <w:r>
              <w:rPr>
                <w:rFonts w:ascii="宋体"/>
                <w:sz w:val="18"/>
              </w:rPr>
              <w:t>97,434,135.74</w:t>
            </w:r>
          </w:p>
        </w:tc>
      </w:tr>
      <w:tr>
        <w:trPr>
          <w:trHeight w:val="303" w:hRule="exact"/>
        </w:trPr>
        <w:tc>
          <w:tcPr>
            <w:tcW w:w="135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总部与投资</w:t>
            </w:r>
          </w:p>
        </w:tc>
        <w:tc>
          <w:tcPr>
            <w:tcW w:w="5783" w:type="dxa"/>
            <w:gridSpan w:val="4"/>
            <w:tcBorders>
              <w:top w:val="nil" w:sz="6" w:space="0" w:color="auto"/>
              <w:left w:val="nil" w:sz="6" w:space="0" w:color="auto"/>
              <w:bottom w:val="single" w:sz="4" w:space="0" w:color="000000"/>
              <w:right w:val="nil" w:sz="6" w:space="0" w:color="auto"/>
            </w:tcBorders>
          </w:tcPr>
          <w:p>
            <w:pPr>
              <w:pStyle w:val="TableParagraph"/>
              <w:tabs>
                <w:tab w:pos="3128" w:val="left" w:leader="none"/>
                <w:tab w:pos="4659" w:val="left" w:leader="none"/>
              </w:tabs>
              <w:spacing w:line="244" w:lineRule="exact"/>
              <w:ind w:left="62" w:right="0"/>
              <w:jc w:val="left"/>
              <w:rPr>
                <w:rFonts w:ascii="宋体" w:hAnsi="宋体" w:cs="宋体" w:eastAsia="宋体" w:hint="default"/>
                <w:sz w:val="18"/>
                <w:szCs w:val="18"/>
              </w:rPr>
            </w:pPr>
            <w:r>
              <w:rPr>
                <w:rFonts w:ascii="宋体"/>
                <w:spacing w:val="-1"/>
                <w:sz w:val="18"/>
              </w:rPr>
              <w:t>20,552,562,389.</w:t>
            </w:r>
            <w:r>
              <w:rPr>
                <w:rFonts w:ascii="宋体"/>
                <w:spacing w:val="23"/>
                <w:sz w:val="18"/>
              </w:rPr>
              <w:t> </w:t>
            </w:r>
            <w:r>
              <w:rPr>
                <w:rFonts w:ascii="宋体"/>
                <w:spacing w:val="-1"/>
                <w:sz w:val="18"/>
              </w:rPr>
              <w:t>18,883,081,624.</w:t>
              <w:tab/>
            </w:r>
            <w:r>
              <w:rPr>
                <w:rFonts w:ascii="宋体"/>
                <w:spacing w:val="-1"/>
                <w:position w:val="-2"/>
                <w:sz w:val="18"/>
              </w:rPr>
              <w:t>10,033,062.05</w:t>
              <w:tab/>
              <w:t>3,520,825.62</w:t>
            </w:r>
            <w:r>
              <w:rPr>
                <w:rFonts w:ascii="宋体"/>
                <w:spacing w:val="-1"/>
                <w:sz w:val="18"/>
              </w:rPr>
            </w:r>
          </w:p>
        </w:tc>
        <w:tc>
          <w:tcPr>
            <w:tcW w:w="1428" w:type="dxa"/>
            <w:gridSpan w:val="2"/>
            <w:tcBorders>
              <w:top w:val="nil" w:sz="6" w:space="0" w:color="auto"/>
              <w:left w:val="nil" w:sz="6" w:space="0" w:color="auto"/>
              <w:bottom w:val="single" w:sz="4" w:space="0" w:color="000000"/>
              <w:right w:val="nil" w:sz="6" w:space="0" w:color="auto"/>
            </w:tcBorders>
          </w:tcPr>
          <w:p>
            <w:pPr>
              <w:pStyle w:val="TableParagraph"/>
              <w:spacing w:line="214" w:lineRule="exact"/>
              <w:ind w:left="50" w:right="0"/>
              <w:jc w:val="left"/>
              <w:rPr>
                <w:rFonts w:ascii="宋体" w:hAnsi="宋体" w:cs="宋体" w:eastAsia="宋体" w:hint="default"/>
                <w:sz w:val="18"/>
                <w:szCs w:val="18"/>
              </w:rPr>
            </w:pPr>
            <w:r>
              <w:rPr>
                <w:rFonts w:ascii="宋体"/>
                <w:sz w:val="18"/>
              </w:rPr>
              <w:t>-2,121,978,755.</w:t>
            </w:r>
          </w:p>
        </w:tc>
      </w:tr>
      <w:tr>
        <w:trPr>
          <w:trHeight w:val="283" w:hRule="exact"/>
        </w:trPr>
        <w:tc>
          <w:tcPr>
            <w:tcW w:w="1354" w:type="dxa"/>
            <w:tcBorders>
              <w:top w:val="single" w:sz="4" w:space="0" w:color="000000"/>
              <w:left w:val="nil" w:sz="6" w:space="0" w:color="auto"/>
              <w:bottom w:val="single" w:sz="4" w:space="0" w:color="000000"/>
              <w:right w:val="nil" w:sz="6" w:space="0" w:color="auto"/>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5783" w:type="dxa"/>
            <w:gridSpan w:val="4"/>
            <w:tcBorders>
              <w:top w:val="single" w:sz="4" w:space="0" w:color="000000"/>
              <w:left w:val="nil" w:sz="6" w:space="0" w:color="auto"/>
              <w:bottom w:val="single" w:sz="4" w:space="0" w:color="000000"/>
              <w:right w:val="nil" w:sz="6" w:space="0" w:color="auto"/>
            </w:tcBorders>
          </w:tcPr>
          <w:p>
            <w:pPr>
              <w:pStyle w:val="TableParagraph"/>
              <w:spacing w:line="201" w:lineRule="exact"/>
              <w:ind w:left="52" w:right="0"/>
              <w:jc w:val="left"/>
              <w:rPr>
                <w:rFonts w:ascii="宋体" w:hAnsi="宋体" w:cs="宋体" w:eastAsia="宋体" w:hint="default"/>
                <w:sz w:val="18"/>
                <w:szCs w:val="18"/>
              </w:rPr>
            </w:pPr>
            <w:r>
              <w:rPr>
                <w:rFonts w:ascii="宋体"/>
                <w:b/>
                <w:sz w:val="18"/>
              </w:rPr>
              <w:t>63,875,704,653. 44,403,517,040. 24,842,430,393.</w:t>
            </w:r>
            <w:r>
              <w:rPr>
                <w:rFonts w:ascii="宋体"/>
                <w:b/>
                <w:spacing w:val="-38"/>
                <w:sz w:val="18"/>
              </w:rPr>
              <w:t> </w:t>
            </w:r>
            <w:r>
              <w:rPr>
                <w:rFonts w:ascii="宋体"/>
                <w:b/>
                <w:sz w:val="18"/>
              </w:rPr>
              <w:t>19,713,040,347.</w:t>
            </w:r>
            <w:r>
              <w:rPr>
                <w:rFonts w:ascii="宋体"/>
                <w:sz w:val="18"/>
              </w:rPr>
            </w:r>
          </w:p>
        </w:tc>
        <w:tc>
          <w:tcPr>
            <w:tcW w:w="1428" w:type="dxa"/>
            <w:gridSpan w:val="2"/>
            <w:tcBorders>
              <w:top w:val="single" w:sz="4" w:space="0" w:color="000000"/>
              <w:left w:val="nil" w:sz="6" w:space="0" w:color="auto"/>
              <w:bottom w:val="single" w:sz="4" w:space="0" w:color="000000"/>
              <w:right w:val="nil" w:sz="6" w:space="0" w:color="auto"/>
            </w:tcBorders>
          </w:tcPr>
          <w:p>
            <w:pPr>
              <w:pStyle w:val="TableParagraph"/>
              <w:spacing w:line="201" w:lineRule="exact"/>
              <w:ind w:left="41" w:right="0"/>
              <w:jc w:val="left"/>
              <w:rPr>
                <w:rFonts w:ascii="宋体" w:hAnsi="宋体" w:cs="宋体" w:eastAsia="宋体" w:hint="default"/>
                <w:sz w:val="18"/>
                <w:szCs w:val="18"/>
              </w:rPr>
            </w:pPr>
            <w:r>
              <w:rPr>
                <w:rFonts w:ascii="宋体"/>
                <w:b/>
                <w:sz w:val="18"/>
              </w:rPr>
              <w:t>-3,445,105,998.</w:t>
            </w:r>
            <w:r>
              <w:rPr>
                <w:rFonts w:ascii="宋体"/>
                <w:sz w:val="18"/>
              </w:rPr>
            </w:r>
          </w:p>
        </w:tc>
      </w:tr>
      <w:tr>
        <w:trPr>
          <w:trHeight w:val="283" w:hRule="exact"/>
        </w:trPr>
        <w:tc>
          <w:tcPr>
            <w:tcW w:w="1354" w:type="dxa"/>
            <w:tcBorders>
              <w:top w:val="single" w:sz="4" w:space="0" w:color="000000"/>
              <w:left w:val="nil" w:sz="6" w:space="0" w:color="auto"/>
              <w:bottom w:val="single" w:sz="4" w:space="0" w:color="000000"/>
              <w:right w:val="nil" w:sz="6" w:space="0" w:color="auto"/>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业务板块间抵销</w:t>
            </w:r>
          </w:p>
        </w:tc>
        <w:tc>
          <w:tcPr>
            <w:tcW w:w="5783" w:type="dxa"/>
            <w:gridSpan w:val="4"/>
            <w:tcBorders>
              <w:top w:val="single" w:sz="4" w:space="0" w:color="000000"/>
              <w:left w:val="nil" w:sz="6" w:space="0" w:color="auto"/>
              <w:bottom w:val="single" w:sz="4" w:space="0" w:color="000000"/>
              <w:right w:val="nil" w:sz="6" w:space="0" w:color="auto"/>
            </w:tcBorders>
          </w:tcPr>
          <w:p>
            <w:pPr>
              <w:pStyle w:val="TableParagraph"/>
              <w:spacing w:line="222" w:lineRule="exact"/>
              <w:ind w:left="62" w:right="0"/>
              <w:jc w:val="left"/>
              <w:rPr>
                <w:rFonts w:ascii="宋体" w:hAnsi="宋体" w:cs="宋体" w:eastAsia="宋体" w:hint="default"/>
                <w:sz w:val="18"/>
                <w:szCs w:val="18"/>
              </w:rPr>
            </w:pPr>
            <w:r>
              <w:rPr>
                <w:rFonts w:ascii="宋体"/>
                <w:sz w:val="18"/>
              </w:rPr>
              <w:t>-266,064,292.23 -687,359,117.60 -300,238,229.21</w:t>
            </w:r>
            <w:r>
              <w:rPr>
                <w:rFonts w:ascii="宋体"/>
                <w:spacing w:val="-13"/>
                <w:sz w:val="18"/>
              </w:rPr>
              <w:t> </w:t>
            </w:r>
            <w:r>
              <w:rPr>
                <w:rFonts w:ascii="宋体"/>
                <w:sz w:val="18"/>
              </w:rPr>
              <w:t>-262,225,533.27</w:t>
            </w:r>
          </w:p>
        </w:tc>
        <w:tc>
          <w:tcPr>
            <w:tcW w:w="1428" w:type="dxa"/>
            <w:gridSpan w:val="2"/>
            <w:tcBorders>
              <w:top w:val="single" w:sz="4" w:space="0" w:color="000000"/>
              <w:left w:val="nil" w:sz="6" w:space="0" w:color="auto"/>
              <w:bottom w:val="single" w:sz="4" w:space="0" w:color="000000"/>
              <w:right w:val="nil" w:sz="6" w:space="0" w:color="auto"/>
            </w:tcBorders>
          </w:tcPr>
          <w:p>
            <w:pPr>
              <w:pStyle w:val="TableParagraph"/>
              <w:spacing w:line="222" w:lineRule="exact"/>
              <w:ind w:left="319" w:right="0"/>
              <w:jc w:val="left"/>
              <w:rPr>
                <w:rFonts w:ascii="宋体" w:hAnsi="宋体" w:cs="宋体" w:eastAsia="宋体" w:hint="default"/>
                <w:sz w:val="18"/>
                <w:szCs w:val="18"/>
              </w:rPr>
            </w:pPr>
            <w:r>
              <w:rPr>
                <w:rFonts w:ascii="宋体"/>
                <w:sz w:val="18"/>
              </w:rPr>
              <w:t>2,744,215.62</w:t>
            </w:r>
          </w:p>
        </w:tc>
      </w:tr>
      <w:tr>
        <w:trPr>
          <w:trHeight w:val="295" w:hRule="exact"/>
        </w:trPr>
        <w:tc>
          <w:tcPr>
            <w:tcW w:w="1354" w:type="dxa"/>
            <w:tcBorders>
              <w:top w:val="single" w:sz="4" w:space="0" w:color="000000"/>
              <w:left w:val="nil" w:sz="6" w:space="0" w:color="auto"/>
              <w:bottom w:val="single" w:sz="12" w:space="0" w:color="000000"/>
              <w:right w:val="nil" w:sz="6" w:space="0" w:color="auto"/>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5783" w:type="dxa"/>
            <w:gridSpan w:val="4"/>
            <w:tcBorders>
              <w:top w:val="single" w:sz="4" w:space="0" w:color="000000"/>
              <w:left w:val="nil" w:sz="6" w:space="0" w:color="auto"/>
              <w:bottom w:val="single" w:sz="12" w:space="0" w:color="000000"/>
              <w:right w:val="nil" w:sz="6" w:space="0" w:color="auto"/>
            </w:tcBorders>
          </w:tcPr>
          <w:p>
            <w:pPr>
              <w:pStyle w:val="TableParagraph"/>
              <w:spacing w:line="203" w:lineRule="exact"/>
              <w:ind w:left="52" w:right="0"/>
              <w:jc w:val="left"/>
              <w:rPr>
                <w:rFonts w:ascii="宋体" w:hAnsi="宋体" w:cs="宋体" w:eastAsia="宋体" w:hint="default"/>
                <w:sz w:val="18"/>
                <w:szCs w:val="18"/>
              </w:rPr>
            </w:pPr>
            <w:r>
              <w:rPr>
                <w:rFonts w:ascii="宋体"/>
                <w:b/>
                <w:sz w:val="18"/>
              </w:rPr>
              <w:t>63,609,640,361. 43,716,157,923. 24,542,192,164.</w:t>
            </w:r>
            <w:r>
              <w:rPr>
                <w:rFonts w:ascii="宋体"/>
                <w:b/>
                <w:spacing w:val="-38"/>
                <w:sz w:val="18"/>
              </w:rPr>
              <w:t> </w:t>
            </w:r>
            <w:r>
              <w:rPr>
                <w:rFonts w:ascii="宋体"/>
                <w:b/>
                <w:sz w:val="18"/>
              </w:rPr>
              <w:t>19,450,814,814.</w:t>
            </w:r>
            <w:r>
              <w:rPr>
                <w:rFonts w:ascii="宋体"/>
                <w:sz w:val="18"/>
              </w:rPr>
            </w:r>
          </w:p>
        </w:tc>
        <w:tc>
          <w:tcPr>
            <w:tcW w:w="1428" w:type="dxa"/>
            <w:gridSpan w:val="2"/>
            <w:tcBorders>
              <w:top w:val="single" w:sz="4" w:space="0" w:color="000000"/>
              <w:left w:val="nil" w:sz="6" w:space="0" w:color="auto"/>
              <w:bottom w:val="single" w:sz="12" w:space="0" w:color="000000"/>
              <w:right w:val="nil" w:sz="6" w:space="0" w:color="auto"/>
            </w:tcBorders>
          </w:tcPr>
          <w:p>
            <w:pPr>
              <w:pStyle w:val="TableParagraph"/>
              <w:spacing w:line="203" w:lineRule="exact"/>
              <w:ind w:left="41" w:right="0"/>
              <w:jc w:val="left"/>
              <w:rPr>
                <w:rFonts w:ascii="宋体" w:hAnsi="宋体" w:cs="宋体" w:eastAsia="宋体" w:hint="default"/>
                <w:sz w:val="18"/>
                <w:szCs w:val="18"/>
              </w:rPr>
            </w:pPr>
            <w:r>
              <w:rPr>
                <w:rFonts w:ascii="宋体"/>
                <w:b/>
                <w:sz w:val="18"/>
              </w:rPr>
              <w:t>-3,442,361,782.</w:t>
            </w:r>
            <w:r>
              <w:rPr>
                <w:rFonts w:ascii="宋体"/>
                <w:sz w:val="18"/>
              </w:rPr>
            </w:r>
          </w:p>
        </w:tc>
      </w:tr>
      <w:tr>
        <w:trPr>
          <w:trHeight w:val="506" w:hRule="exact"/>
        </w:trPr>
        <w:tc>
          <w:tcPr>
            <w:tcW w:w="1354" w:type="dxa"/>
            <w:tcBorders>
              <w:top w:val="single" w:sz="12" w:space="0" w:color="000000"/>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22"/>
                <w:szCs w:val="22"/>
              </w:rPr>
            </w:pPr>
            <w:r>
              <w:rPr>
                <w:rFonts w:ascii="宋体" w:hAnsi="宋体" w:cs="宋体" w:eastAsia="宋体" w:hint="default"/>
                <w:sz w:val="22"/>
                <w:szCs w:val="22"/>
              </w:rPr>
              <w:t>（续）</w:t>
            </w:r>
          </w:p>
        </w:tc>
        <w:tc>
          <w:tcPr>
            <w:tcW w:w="5783" w:type="dxa"/>
            <w:gridSpan w:val="4"/>
            <w:tcBorders>
              <w:top w:val="single" w:sz="12" w:space="0" w:color="000000"/>
              <w:left w:val="nil" w:sz="6" w:space="0" w:color="auto"/>
              <w:bottom w:val="nil" w:sz="6" w:space="0" w:color="auto"/>
              <w:right w:val="nil" w:sz="6" w:space="0" w:color="auto"/>
            </w:tcBorders>
          </w:tcPr>
          <w:p>
            <w:pPr/>
          </w:p>
        </w:tc>
        <w:tc>
          <w:tcPr>
            <w:tcW w:w="1428" w:type="dxa"/>
            <w:gridSpan w:val="2"/>
            <w:tcBorders>
              <w:top w:val="single" w:sz="12" w:space="0" w:color="000000"/>
              <w:left w:val="nil" w:sz="6" w:space="0" w:color="auto"/>
              <w:bottom w:val="nil" w:sz="6" w:space="0" w:color="auto"/>
              <w:right w:val="nil" w:sz="6" w:space="0" w:color="auto"/>
            </w:tcBorders>
          </w:tcPr>
          <w:p>
            <w:pPr/>
          </w:p>
        </w:tc>
      </w:tr>
      <w:tr>
        <w:trPr>
          <w:trHeight w:val="274" w:hRule="exact"/>
        </w:trPr>
        <w:tc>
          <w:tcPr>
            <w:tcW w:w="1354" w:type="dxa"/>
            <w:tcBorders>
              <w:top w:val="single" w:sz="12" w:space="0" w:color="000000"/>
              <w:left w:val="nil" w:sz="6" w:space="0" w:color="auto"/>
              <w:bottom w:val="nil" w:sz="6" w:space="0" w:color="auto"/>
              <w:right w:val="nil" w:sz="6" w:space="0" w:color="auto"/>
            </w:tcBorders>
          </w:tcPr>
          <w:p>
            <w:pPr/>
          </w:p>
        </w:tc>
        <w:tc>
          <w:tcPr>
            <w:tcW w:w="4470" w:type="dxa"/>
            <w:gridSpan w:val="3"/>
            <w:tcBorders>
              <w:top w:val="single" w:sz="12" w:space="0" w:color="000000"/>
              <w:left w:val="nil" w:sz="6" w:space="0" w:color="auto"/>
              <w:bottom w:val="single" w:sz="4" w:space="0" w:color="000000"/>
              <w:right w:val="nil" w:sz="6" w:space="0" w:color="auto"/>
            </w:tcBorders>
          </w:tcPr>
          <w:p>
            <w:pPr>
              <w:pStyle w:val="TableParagraph"/>
              <w:spacing w:line="213" w:lineRule="exact"/>
              <w:ind w:left="749" w:right="0"/>
              <w:jc w:val="left"/>
              <w:rPr>
                <w:rFonts w:ascii="宋体" w:hAnsi="宋体" w:cs="宋体" w:eastAsia="宋体" w:hint="default"/>
                <w:sz w:val="18"/>
                <w:szCs w:val="18"/>
              </w:rPr>
            </w:pPr>
            <w:r>
              <w:rPr>
                <w:rFonts w:ascii="宋体" w:hAnsi="宋体" w:cs="宋体" w:eastAsia="宋体" w:hint="default"/>
                <w:b/>
                <w:bCs/>
                <w:sz w:val="18"/>
                <w:szCs w:val="18"/>
              </w:rPr>
              <w:t>2017</w:t>
            </w:r>
            <w:r>
              <w:rPr>
                <w:rFonts w:ascii="宋体" w:hAnsi="宋体" w:cs="宋体" w:eastAsia="宋体" w:hint="default"/>
                <w:b/>
                <w:bCs/>
                <w:spacing w:val="-45"/>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宋体" w:hAnsi="宋体" w:cs="宋体" w:eastAsia="宋体" w:hint="default"/>
                <w:b/>
                <w:bCs/>
                <w:sz w:val="18"/>
                <w:szCs w:val="18"/>
              </w:rPr>
              <w:t>12</w:t>
            </w:r>
            <w:r>
              <w:rPr>
                <w:rFonts w:ascii="宋体" w:hAnsi="宋体" w:cs="宋体" w:eastAsia="宋体" w:hint="default"/>
                <w:b/>
                <w:bCs/>
                <w:spacing w:val="-45"/>
                <w:sz w:val="18"/>
                <w:szCs w:val="18"/>
              </w:rPr>
              <w:t> </w:t>
            </w:r>
            <w:r>
              <w:rPr>
                <w:rFonts w:ascii="宋体" w:hAnsi="宋体" w:cs="宋体" w:eastAsia="宋体" w:hint="default"/>
                <w:b/>
                <w:bCs/>
                <w:sz w:val="18"/>
                <w:szCs w:val="18"/>
              </w:rPr>
              <w:t>月</w:t>
            </w:r>
            <w:r>
              <w:rPr>
                <w:rFonts w:ascii="宋体" w:hAnsi="宋体" w:cs="宋体" w:eastAsia="宋体" w:hint="default"/>
                <w:b/>
                <w:bCs/>
                <w:spacing w:val="-49"/>
                <w:sz w:val="18"/>
                <w:szCs w:val="18"/>
              </w:rPr>
              <w:t> </w:t>
            </w:r>
            <w:r>
              <w:rPr>
                <w:rFonts w:ascii="宋体" w:hAnsi="宋体" w:cs="宋体" w:eastAsia="宋体" w:hint="default"/>
                <w:b/>
                <w:bCs/>
                <w:sz w:val="18"/>
                <w:szCs w:val="18"/>
              </w:rPr>
              <w:t>31</w:t>
            </w:r>
            <w:r>
              <w:rPr>
                <w:rFonts w:ascii="宋体" w:hAnsi="宋体" w:cs="宋体" w:eastAsia="宋体" w:hint="default"/>
                <w:b/>
                <w:bCs/>
                <w:spacing w:val="-45"/>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313" w:type="dxa"/>
            <w:tcBorders>
              <w:top w:val="single" w:sz="12" w:space="0" w:color="000000"/>
              <w:left w:val="nil" w:sz="6" w:space="0" w:color="auto"/>
              <w:bottom w:val="single" w:sz="4" w:space="0" w:color="000000"/>
              <w:right w:val="nil" w:sz="6" w:space="0" w:color="auto"/>
            </w:tcBorders>
          </w:tcPr>
          <w:p>
            <w:pPr>
              <w:pStyle w:val="TableParagraph"/>
              <w:spacing w:line="213" w:lineRule="exact"/>
              <w:ind w:left="235" w:right="0"/>
              <w:jc w:val="left"/>
              <w:rPr>
                <w:rFonts w:ascii="宋体" w:hAnsi="宋体" w:cs="宋体" w:eastAsia="宋体" w:hint="default"/>
                <w:sz w:val="18"/>
                <w:szCs w:val="18"/>
              </w:rPr>
            </w:pPr>
            <w:r>
              <w:rPr>
                <w:rFonts w:ascii="宋体" w:hAnsi="宋体" w:cs="宋体" w:eastAsia="宋体" w:hint="default"/>
                <w:b/>
                <w:bCs/>
                <w:sz w:val="18"/>
                <w:szCs w:val="18"/>
              </w:rPr>
              <w:t>2017</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428" w:type="dxa"/>
            <w:gridSpan w:val="2"/>
            <w:tcBorders>
              <w:top w:val="single" w:sz="12" w:space="0" w:color="000000"/>
              <w:left w:val="nil" w:sz="6" w:space="0" w:color="auto"/>
              <w:bottom w:val="single" w:sz="4" w:space="0" w:color="000000"/>
              <w:right w:val="nil" w:sz="6" w:space="0" w:color="auto"/>
            </w:tcBorders>
          </w:tcPr>
          <w:p>
            <w:pPr/>
          </w:p>
        </w:tc>
      </w:tr>
      <w:tr>
        <w:trPr>
          <w:trHeight w:val="286" w:hRule="exact"/>
        </w:trPr>
        <w:tc>
          <w:tcPr>
            <w:tcW w:w="1354" w:type="dxa"/>
            <w:tcBorders>
              <w:top w:val="nil" w:sz="6" w:space="0" w:color="auto"/>
              <w:left w:val="nil" w:sz="6" w:space="0" w:color="auto"/>
              <w:bottom w:val="single" w:sz="4" w:space="0" w:color="000000"/>
              <w:right w:val="nil" w:sz="6" w:space="0" w:color="auto"/>
            </w:tcBorders>
          </w:tcPr>
          <w:p>
            <w:pPr>
              <w:pStyle w:val="TableParagraph"/>
              <w:spacing w:line="95" w:lineRule="exact"/>
              <w:ind w:left="328" w:right="0"/>
              <w:jc w:val="left"/>
              <w:rPr>
                <w:rFonts w:ascii="宋体" w:hAnsi="宋体" w:cs="宋体" w:eastAsia="宋体" w:hint="default"/>
                <w:sz w:val="18"/>
                <w:szCs w:val="18"/>
              </w:rPr>
            </w:pPr>
            <w:r>
              <w:rPr>
                <w:rFonts w:ascii="宋体" w:hAnsi="宋体" w:cs="宋体" w:eastAsia="宋体" w:hint="default"/>
                <w:b/>
                <w:bCs/>
                <w:sz w:val="18"/>
                <w:szCs w:val="18"/>
              </w:rPr>
              <w:t>报告分部</w:t>
            </w:r>
            <w:r>
              <w:rPr>
                <w:rFonts w:ascii="宋体" w:hAnsi="宋体" w:cs="宋体" w:eastAsia="宋体" w:hint="default"/>
                <w:sz w:val="18"/>
                <w:szCs w:val="18"/>
              </w:rPr>
            </w:r>
          </w:p>
        </w:tc>
        <w:tc>
          <w:tcPr>
            <w:tcW w:w="4470" w:type="dxa"/>
            <w:gridSpan w:val="3"/>
            <w:tcBorders>
              <w:top w:val="single" w:sz="4" w:space="0" w:color="000000"/>
              <w:left w:val="nil" w:sz="6" w:space="0" w:color="auto"/>
              <w:bottom w:val="single" w:sz="4" w:space="0" w:color="000000"/>
              <w:right w:val="nil" w:sz="6" w:space="0" w:color="auto"/>
            </w:tcBorders>
          </w:tcPr>
          <w:p>
            <w:pPr>
              <w:pStyle w:val="TableParagraph"/>
              <w:tabs>
                <w:tab w:pos="1872" w:val="left" w:leader="none"/>
                <w:tab w:pos="3164" w:val="left" w:leader="none"/>
              </w:tabs>
              <w:spacing w:line="222" w:lineRule="exact"/>
              <w:ind w:left="398" w:right="0"/>
              <w:jc w:val="left"/>
              <w:rPr>
                <w:rFonts w:ascii="宋体" w:hAnsi="宋体" w:cs="宋体" w:eastAsia="宋体" w:hint="default"/>
                <w:sz w:val="18"/>
                <w:szCs w:val="18"/>
              </w:rPr>
            </w:pPr>
            <w:r>
              <w:rPr>
                <w:rFonts w:ascii="宋体" w:hAnsi="宋体" w:cs="宋体" w:eastAsia="宋体" w:hint="default"/>
                <w:b/>
                <w:bCs/>
                <w:w w:val="95"/>
                <w:sz w:val="18"/>
                <w:szCs w:val="18"/>
              </w:rPr>
              <w:t>资产总额</w:t>
              <w:tab/>
              <w:t>负债总额</w:t>
              <w:tab/>
            </w: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313" w:type="dxa"/>
            <w:tcBorders>
              <w:top w:val="single" w:sz="4" w:space="0" w:color="000000"/>
              <w:left w:val="nil" w:sz="6" w:space="0" w:color="auto"/>
              <w:bottom w:val="single" w:sz="4" w:space="0" w:color="000000"/>
              <w:right w:val="nil" w:sz="6" w:space="0" w:color="auto"/>
            </w:tcBorders>
          </w:tcPr>
          <w:p>
            <w:pPr>
              <w:pStyle w:val="TableParagraph"/>
              <w:spacing w:line="222" w:lineRule="exact"/>
              <w:ind w:left="165"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428" w:type="dxa"/>
            <w:gridSpan w:val="2"/>
            <w:tcBorders>
              <w:top w:val="single" w:sz="4" w:space="0" w:color="000000"/>
              <w:left w:val="nil" w:sz="6" w:space="0" w:color="auto"/>
              <w:bottom w:val="single" w:sz="4" w:space="0" w:color="000000"/>
              <w:right w:val="nil" w:sz="6" w:space="0" w:color="auto"/>
            </w:tcBorders>
          </w:tcPr>
          <w:p>
            <w:pPr>
              <w:pStyle w:val="TableParagraph"/>
              <w:spacing w:line="222" w:lineRule="exact"/>
              <w:ind w:left="420" w:right="0"/>
              <w:jc w:val="left"/>
              <w:rPr>
                <w:rFonts w:ascii="宋体" w:hAnsi="宋体" w:cs="宋体" w:eastAsia="宋体" w:hint="default"/>
                <w:sz w:val="18"/>
                <w:szCs w:val="18"/>
              </w:rPr>
            </w:pPr>
            <w:r>
              <w:rPr>
                <w:rFonts w:ascii="宋体" w:hAnsi="宋体" w:cs="宋体" w:eastAsia="宋体" w:hint="default"/>
                <w:b/>
                <w:bCs/>
                <w:sz w:val="18"/>
                <w:szCs w:val="18"/>
              </w:rPr>
              <w:t>利润总额</w:t>
            </w:r>
            <w:r>
              <w:rPr>
                <w:rFonts w:ascii="宋体" w:hAnsi="宋体" w:cs="宋体" w:eastAsia="宋体" w:hint="default"/>
                <w:sz w:val="18"/>
                <w:szCs w:val="18"/>
              </w:rPr>
            </w:r>
          </w:p>
        </w:tc>
      </w:tr>
      <w:tr>
        <w:trPr>
          <w:trHeight w:val="267" w:hRule="exact"/>
        </w:trPr>
        <w:tc>
          <w:tcPr>
            <w:tcW w:w="1354" w:type="dxa"/>
            <w:tcBorders>
              <w:top w:val="nil" w:sz="6" w:space="0" w:color="auto"/>
              <w:left w:val="nil" w:sz="6" w:space="0" w:color="auto"/>
              <w:bottom w:val="nil" w:sz="6" w:space="0" w:color="auto"/>
              <w:right w:val="nil" w:sz="6" w:space="0" w:color="auto"/>
            </w:tcBorders>
          </w:tcPr>
          <w:p>
            <w:pPr>
              <w:pStyle w:val="TableParagraph"/>
              <w:spacing w:line="220" w:lineRule="exact"/>
              <w:ind w:left="28" w:right="0"/>
              <w:jc w:val="left"/>
              <w:rPr>
                <w:rFonts w:ascii="宋体" w:hAnsi="宋体" w:cs="宋体" w:eastAsia="宋体" w:hint="default"/>
                <w:sz w:val="18"/>
                <w:szCs w:val="18"/>
              </w:rPr>
            </w:pPr>
            <w:r>
              <w:rPr>
                <w:rFonts w:ascii="宋体" w:hAnsi="宋体" w:cs="宋体" w:eastAsia="宋体" w:hint="default"/>
                <w:sz w:val="18"/>
                <w:szCs w:val="18"/>
              </w:rPr>
              <w:t>公共安全</w:t>
            </w:r>
          </w:p>
        </w:tc>
        <w:tc>
          <w:tcPr>
            <w:tcW w:w="1526" w:type="dxa"/>
            <w:tcBorders>
              <w:top w:val="nil" w:sz="6" w:space="0" w:color="auto"/>
              <w:left w:val="nil" w:sz="6" w:space="0" w:color="auto"/>
              <w:bottom w:val="nil" w:sz="6" w:space="0" w:color="auto"/>
              <w:right w:val="nil" w:sz="6" w:space="0" w:color="auto"/>
            </w:tcBorders>
          </w:tcPr>
          <w:p>
            <w:pPr>
              <w:pStyle w:val="TableParagraph"/>
              <w:spacing w:line="201" w:lineRule="exact"/>
              <w:ind w:left="60" w:right="0"/>
              <w:jc w:val="center"/>
              <w:rPr>
                <w:rFonts w:ascii="宋体" w:hAnsi="宋体" w:cs="宋体" w:eastAsia="宋体" w:hint="default"/>
                <w:sz w:val="18"/>
                <w:szCs w:val="18"/>
              </w:rPr>
            </w:pPr>
            <w:r>
              <w:rPr>
                <w:rFonts w:ascii="宋体"/>
                <w:sz w:val="18"/>
              </w:rPr>
              <w:t>11,927,963,158.</w:t>
            </w:r>
          </w:p>
        </w:tc>
        <w:tc>
          <w:tcPr>
            <w:tcW w:w="1473" w:type="dxa"/>
            <w:tcBorders>
              <w:top w:val="nil" w:sz="6" w:space="0" w:color="auto"/>
              <w:left w:val="nil" w:sz="6" w:space="0" w:color="auto"/>
              <w:bottom w:val="nil" w:sz="6" w:space="0" w:color="auto"/>
              <w:right w:val="nil" w:sz="6" w:space="0" w:color="auto"/>
            </w:tcBorders>
          </w:tcPr>
          <w:p>
            <w:pPr>
              <w:pStyle w:val="TableParagraph"/>
              <w:spacing w:line="201" w:lineRule="exact"/>
              <w:ind w:right="53"/>
              <w:jc w:val="right"/>
              <w:rPr>
                <w:rFonts w:ascii="宋体" w:hAnsi="宋体" w:cs="宋体" w:eastAsia="宋体" w:hint="default"/>
                <w:sz w:val="18"/>
                <w:szCs w:val="18"/>
              </w:rPr>
            </w:pPr>
            <w:r>
              <w:rPr>
                <w:rFonts w:ascii="宋体"/>
                <w:spacing w:val="-1"/>
                <w:sz w:val="18"/>
              </w:rPr>
              <w:t>7,796,062,959.3</w:t>
            </w:r>
          </w:p>
        </w:tc>
        <w:tc>
          <w:tcPr>
            <w:tcW w:w="1471" w:type="dxa"/>
            <w:tcBorders>
              <w:top w:val="nil" w:sz="6" w:space="0" w:color="auto"/>
              <w:left w:val="nil" w:sz="6" w:space="0" w:color="auto"/>
              <w:bottom w:val="nil" w:sz="6" w:space="0" w:color="auto"/>
              <w:right w:val="nil" w:sz="6" w:space="0" w:color="auto"/>
            </w:tcBorders>
          </w:tcPr>
          <w:p>
            <w:pPr>
              <w:pStyle w:val="TableParagraph"/>
              <w:spacing w:line="201" w:lineRule="exact"/>
              <w:ind w:left="9" w:right="0"/>
              <w:jc w:val="center"/>
              <w:rPr>
                <w:rFonts w:ascii="宋体" w:hAnsi="宋体" w:cs="宋体" w:eastAsia="宋体" w:hint="default"/>
                <w:sz w:val="18"/>
                <w:szCs w:val="18"/>
              </w:rPr>
            </w:pPr>
            <w:r>
              <w:rPr>
                <w:rFonts w:ascii="宋体"/>
                <w:sz w:val="18"/>
              </w:rPr>
              <w:t>6,074,521,293.2</w:t>
            </w:r>
          </w:p>
        </w:tc>
        <w:tc>
          <w:tcPr>
            <w:tcW w:w="1476" w:type="dxa"/>
            <w:gridSpan w:val="2"/>
            <w:tcBorders>
              <w:top w:val="nil" w:sz="6" w:space="0" w:color="auto"/>
              <w:left w:val="nil" w:sz="6" w:space="0" w:color="auto"/>
              <w:bottom w:val="nil" w:sz="6" w:space="0" w:color="auto"/>
              <w:right w:val="nil" w:sz="6" w:space="0" w:color="auto"/>
            </w:tcBorders>
          </w:tcPr>
          <w:p>
            <w:pPr>
              <w:pStyle w:val="TableParagraph"/>
              <w:spacing w:line="201" w:lineRule="exact"/>
              <w:ind w:left="64" w:right="0"/>
              <w:jc w:val="left"/>
              <w:rPr>
                <w:rFonts w:ascii="宋体" w:hAnsi="宋体" w:cs="宋体" w:eastAsia="宋体" w:hint="default"/>
                <w:sz w:val="18"/>
                <w:szCs w:val="18"/>
              </w:rPr>
            </w:pPr>
            <w:r>
              <w:rPr>
                <w:rFonts w:ascii="宋体"/>
                <w:sz w:val="18"/>
              </w:rPr>
              <w:t>4,028,107,853.8</w:t>
            </w:r>
          </w:p>
        </w:tc>
        <w:tc>
          <w:tcPr>
            <w:tcW w:w="1265" w:type="dxa"/>
            <w:tcBorders>
              <w:top w:val="nil" w:sz="6" w:space="0" w:color="auto"/>
              <w:left w:val="nil" w:sz="6" w:space="0" w:color="auto"/>
              <w:bottom w:val="nil" w:sz="6" w:space="0" w:color="auto"/>
              <w:right w:val="nil" w:sz="6" w:space="0" w:color="auto"/>
            </w:tcBorders>
          </w:tcPr>
          <w:p>
            <w:pPr>
              <w:pStyle w:val="TableParagraph"/>
              <w:spacing w:line="201" w:lineRule="exact"/>
              <w:ind w:right="24"/>
              <w:jc w:val="right"/>
              <w:rPr>
                <w:rFonts w:ascii="宋体" w:hAnsi="宋体" w:cs="宋体" w:eastAsia="宋体" w:hint="default"/>
                <w:sz w:val="18"/>
                <w:szCs w:val="18"/>
              </w:rPr>
            </w:pPr>
            <w:r>
              <w:rPr>
                <w:rFonts w:ascii="宋体"/>
                <w:spacing w:val="-1"/>
                <w:sz w:val="18"/>
              </w:rPr>
              <w:t>561,644,888.3</w:t>
            </w:r>
          </w:p>
        </w:tc>
      </w:tr>
      <w:tr>
        <w:trPr>
          <w:trHeight w:val="269" w:hRule="exact"/>
        </w:trPr>
        <w:tc>
          <w:tcPr>
            <w:tcW w:w="1354" w:type="dxa"/>
            <w:tcBorders>
              <w:top w:val="nil" w:sz="6" w:space="0" w:color="auto"/>
              <w:left w:val="nil" w:sz="6" w:space="0" w:color="auto"/>
              <w:bottom w:val="nil" w:sz="6" w:space="0" w:color="auto"/>
              <w:right w:val="nil" w:sz="6" w:space="0" w:color="auto"/>
            </w:tcBorders>
          </w:tcPr>
          <w:p>
            <w:pPr>
              <w:pStyle w:val="TableParagraph"/>
              <w:spacing w:line="213" w:lineRule="exact"/>
              <w:ind w:left="28" w:right="0"/>
              <w:jc w:val="left"/>
              <w:rPr>
                <w:rFonts w:ascii="宋体" w:hAnsi="宋体" w:cs="宋体" w:eastAsia="宋体" w:hint="default"/>
                <w:sz w:val="18"/>
                <w:szCs w:val="18"/>
              </w:rPr>
            </w:pPr>
            <w:r>
              <w:rPr>
                <w:rFonts w:ascii="宋体" w:hAnsi="宋体" w:cs="宋体" w:eastAsia="宋体" w:hint="default"/>
                <w:spacing w:val="8"/>
                <w:sz w:val="18"/>
                <w:szCs w:val="18"/>
              </w:rPr>
              <w:t>互联网服务与终</w:t>
            </w:r>
          </w:p>
        </w:tc>
        <w:tc>
          <w:tcPr>
            <w:tcW w:w="1526" w:type="dxa"/>
            <w:tcBorders>
              <w:top w:val="nil" w:sz="6" w:space="0" w:color="auto"/>
              <w:left w:val="nil" w:sz="6" w:space="0" w:color="auto"/>
              <w:bottom w:val="nil" w:sz="6" w:space="0" w:color="auto"/>
              <w:right w:val="nil" w:sz="6" w:space="0" w:color="auto"/>
            </w:tcBorders>
          </w:tcPr>
          <w:p>
            <w:pPr>
              <w:pStyle w:val="TableParagraph"/>
              <w:spacing w:line="213" w:lineRule="exact"/>
              <w:ind w:left="60" w:right="0"/>
              <w:jc w:val="center"/>
              <w:rPr>
                <w:rFonts w:ascii="宋体" w:hAnsi="宋体" w:cs="宋体" w:eastAsia="宋体" w:hint="default"/>
                <w:sz w:val="18"/>
                <w:szCs w:val="18"/>
              </w:rPr>
            </w:pPr>
            <w:r>
              <w:rPr>
                <w:rFonts w:ascii="宋体"/>
                <w:sz w:val="18"/>
              </w:rPr>
              <w:t>11,854,616,858.</w:t>
            </w:r>
          </w:p>
        </w:tc>
        <w:tc>
          <w:tcPr>
            <w:tcW w:w="1473" w:type="dxa"/>
            <w:tcBorders>
              <w:top w:val="nil" w:sz="6" w:space="0" w:color="auto"/>
              <w:left w:val="nil" w:sz="6" w:space="0" w:color="auto"/>
              <w:bottom w:val="nil" w:sz="6" w:space="0" w:color="auto"/>
              <w:right w:val="nil" w:sz="6" w:space="0" w:color="auto"/>
            </w:tcBorders>
          </w:tcPr>
          <w:p>
            <w:pPr>
              <w:pStyle w:val="TableParagraph"/>
              <w:spacing w:line="213" w:lineRule="exact"/>
              <w:ind w:right="53"/>
              <w:jc w:val="right"/>
              <w:rPr>
                <w:rFonts w:ascii="宋体" w:hAnsi="宋体" w:cs="宋体" w:eastAsia="宋体" w:hint="default"/>
                <w:sz w:val="18"/>
                <w:szCs w:val="18"/>
              </w:rPr>
            </w:pPr>
            <w:r>
              <w:rPr>
                <w:rFonts w:ascii="宋体"/>
                <w:spacing w:val="-1"/>
                <w:sz w:val="18"/>
              </w:rPr>
              <w:t>5,501,016,678.8</w:t>
            </w:r>
          </w:p>
        </w:tc>
        <w:tc>
          <w:tcPr>
            <w:tcW w:w="1471" w:type="dxa"/>
            <w:tcBorders>
              <w:top w:val="nil" w:sz="6" w:space="0" w:color="auto"/>
              <w:left w:val="nil" w:sz="6" w:space="0" w:color="auto"/>
              <w:bottom w:val="nil" w:sz="6" w:space="0" w:color="auto"/>
              <w:right w:val="nil" w:sz="6" w:space="0" w:color="auto"/>
            </w:tcBorders>
          </w:tcPr>
          <w:p>
            <w:pPr>
              <w:pStyle w:val="TableParagraph"/>
              <w:spacing w:line="213" w:lineRule="exact"/>
              <w:ind w:left="9" w:right="0"/>
              <w:jc w:val="center"/>
              <w:rPr>
                <w:rFonts w:ascii="宋体" w:hAnsi="宋体" w:cs="宋体" w:eastAsia="宋体" w:hint="default"/>
                <w:sz w:val="18"/>
                <w:szCs w:val="18"/>
              </w:rPr>
            </w:pPr>
            <w:r>
              <w:rPr>
                <w:rFonts w:ascii="宋体"/>
                <w:sz w:val="18"/>
              </w:rPr>
              <w:t>13,378,265,165.</w:t>
            </w:r>
          </w:p>
        </w:tc>
        <w:tc>
          <w:tcPr>
            <w:tcW w:w="1476" w:type="dxa"/>
            <w:gridSpan w:val="2"/>
            <w:tcBorders>
              <w:top w:val="nil" w:sz="6" w:space="0" w:color="auto"/>
              <w:left w:val="nil" w:sz="6" w:space="0" w:color="auto"/>
              <w:bottom w:val="nil" w:sz="6" w:space="0" w:color="auto"/>
              <w:right w:val="nil" w:sz="6" w:space="0" w:color="auto"/>
            </w:tcBorders>
          </w:tcPr>
          <w:p>
            <w:pPr>
              <w:pStyle w:val="TableParagraph"/>
              <w:spacing w:line="213" w:lineRule="exact"/>
              <w:ind w:left="64" w:right="0"/>
              <w:jc w:val="left"/>
              <w:rPr>
                <w:rFonts w:ascii="宋体" w:hAnsi="宋体" w:cs="宋体" w:eastAsia="宋体" w:hint="default"/>
                <w:sz w:val="18"/>
                <w:szCs w:val="18"/>
              </w:rPr>
            </w:pPr>
            <w:r>
              <w:rPr>
                <w:rFonts w:ascii="宋体"/>
                <w:sz w:val="18"/>
              </w:rPr>
              <w:t>11,431,616,197.</w:t>
            </w:r>
          </w:p>
        </w:tc>
        <w:tc>
          <w:tcPr>
            <w:tcW w:w="1265" w:type="dxa"/>
            <w:tcBorders>
              <w:top w:val="nil" w:sz="6" w:space="0" w:color="auto"/>
              <w:left w:val="nil" w:sz="6" w:space="0" w:color="auto"/>
              <w:bottom w:val="nil" w:sz="6" w:space="0" w:color="auto"/>
              <w:right w:val="nil" w:sz="6" w:space="0" w:color="auto"/>
            </w:tcBorders>
          </w:tcPr>
          <w:p>
            <w:pPr>
              <w:pStyle w:val="TableParagraph"/>
              <w:spacing w:line="213" w:lineRule="exact"/>
              <w:ind w:right="24"/>
              <w:jc w:val="right"/>
              <w:rPr>
                <w:rFonts w:ascii="宋体" w:hAnsi="宋体" w:cs="宋体" w:eastAsia="宋体" w:hint="default"/>
                <w:sz w:val="18"/>
                <w:szCs w:val="18"/>
              </w:rPr>
            </w:pPr>
            <w:r>
              <w:rPr>
                <w:rFonts w:ascii="宋体"/>
                <w:spacing w:val="-1"/>
                <w:sz w:val="18"/>
              </w:rPr>
              <w:t>-37,917,636.5</w:t>
            </w:r>
          </w:p>
        </w:tc>
      </w:tr>
      <w:tr>
        <w:trPr>
          <w:trHeight w:val="298" w:hRule="exact"/>
        </w:trPr>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18"/>
                <w:szCs w:val="18"/>
              </w:rPr>
            </w:pPr>
            <w:r>
              <w:rPr>
                <w:rFonts w:ascii="宋体" w:hAnsi="宋体" w:cs="宋体" w:eastAsia="宋体" w:hint="default"/>
                <w:sz w:val="18"/>
                <w:szCs w:val="18"/>
              </w:rPr>
              <w:t>云计算和大数据</w:t>
            </w:r>
          </w:p>
        </w:tc>
        <w:tc>
          <w:tcPr>
            <w:tcW w:w="1526" w:type="dxa"/>
            <w:tcBorders>
              <w:top w:val="nil" w:sz="6" w:space="0" w:color="auto"/>
              <w:left w:val="nil" w:sz="6" w:space="0" w:color="auto"/>
              <w:bottom w:val="nil" w:sz="6" w:space="0" w:color="auto"/>
              <w:right w:val="nil" w:sz="6" w:space="0" w:color="auto"/>
            </w:tcBorders>
          </w:tcPr>
          <w:p>
            <w:pPr>
              <w:pStyle w:val="TableParagraph"/>
              <w:spacing w:line="227" w:lineRule="exact"/>
              <w:ind w:left="60" w:right="0"/>
              <w:jc w:val="center"/>
              <w:rPr>
                <w:rFonts w:ascii="宋体" w:hAnsi="宋体" w:cs="宋体" w:eastAsia="宋体" w:hint="default"/>
                <w:sz w:val="18"/>
                <w:szCs w:val="18"/>
              </w:rPr>
            </w:pPr>
            <w:r>
              <w:rPr>
                <w:rFonts w:ascii="宋体"/>
                <w:sz w:val="18"/>
              </w:rPr>
              <w:t>3,774,837,743.7</w:t>
            </w:r>
          </w:p>
        </w:tc>
        <w:tc>
          <w:tcPr>
            <w:tcW w:w="1473" w:type="dxa"/>
            <w:tcBorders>
              <w:top w:val="nil" w:sz="6" w:space="0" w:color="auto"/>
              <w:left w:val="nil" w:sz="6" w:space="0" w:color="auto"/>
              <w:bottom w:val="nil" w:sz="6" w:space="0" w:color="auto"/>
              <w:right w:val="nil" w:sz="6" w:space="0" w:color="auto"/>
            </w:tcBorders>
          </w:tcPr>
          <w:p>
            <w:pPr>
              <w:pStyle w:val="TableParagraph"/>
              <w:spacing w:line="227" w:lineRule="exact"/>
              <w:ind w:right="53"/>
              <w:jc w:val="right"/>
              <w:rPr>
                <w:rFonts w:ascii="宋体" w:hAnsi="宋体" w:cs="宋体" w:eastAsia="宋体" w:hint="default"/>
                <w:sz w:val="18"/>
                <w:szCs w:val="18"/>
              </w:rPr>
            </w:pPr>
            <w:r>
              <w:rPr>
                <w:rFonts w:ascii="宋体"/>
                <w:spacing w:val="-1"/>
                <w:sz w:val="18"/>
              </w:rPr>
              <w:t>2,825,079,567.5</w:t>
            </w:r>
          </w:p>
        </w:tc>
        <w:tc>
          <w:tcPr>
            <w:tcW w:w="1471" w:type="dxa"/>
            <w:tcBorders>
              <w:top w:val="nil" w:sz="6" w:space="0" w:color="auto"/>
              <w:left w:val="nil" w:sz="6" w:space="0" w:color="auto"/>
              <w:bottom w:val="nil" w:sz="6" w:space="0" w:color="auto"/>
              <w:right w:val="nil" w:sz="6" w:space="0" w:color="auto"/>
            </w:tcBorders>
          </w:tcPr>
          <w:p>
            <w:pPr>
              <w:pStyle w:val="TableParagraph"/>
              <w:spacing w:line="227" w:lineRule="exact"/>
              <w:ind w:left="9" w:right="0"/>
              <w:jc w:val="center"/>
              <w:rPr>
                <w:rFonts w:ascii="宋体" w:hAnsi="宋体" w:cs="宋体" w:eastAsia="宋体" w:hint="default"/>
                <w:sz w:val="18"/>
                <w:szCs w:val="18"/>
              </w:rPr>
            </w:pPr>
            <w:r>
              <w:rPr>
                <w:rFonts w:ascii="宋体"/>
                <w:sz w:val="18"/>
              </w:rPr>
              <w:t>1,631,362,013.9</w:t>
            </w:r>
          </w:p>
        </w:tc>
        <w:tc>
          <w:tcPr>
            <w:tcW w:w="1476" w:type="dxa"/>
            <w:gridSpan w:val="2"/>
            <w:tcBorders>
              <w:top w:val="nil" w:sz="6" w:space="0" w:color="auto"/>
              <w:left w:val="nil" w:sz="6" w:space="0" w:color="auto"/>
              <w:bottom w:val="nil" w:sz="6" w:space="0" w:color="auto"/>
              <w:right w:val="nil" w:sz="6" w:space="0" w:color="auto"/>
            </w:tcBorders>
          </w:tcPr>
          <w:p>
            <w:pPr>
              <w:pStyle w:val="TableParagraph"/>
              <w:spacing w:line="227" w:lineRule="exact"/>
              <w:ind w:left="64" w:right="0"/>
              <w:jc w:val="left"/>
              <w:rPr>
                <w:rFonts w:ascii="宋体" w:hAnsi="宋体" w:cs="宋体" w:eastAsia="宋体" w:hint="default"/>
                <w:sz w:val="18"/>
                <w:szCs w:val="18"/>
              </w:rPr>
            </w:pPr>
            <w:r>
              <w:rPr>
                <w:rFonts w:ascii="宋体"/>
                <w:sz w:val="18"/>
              </w:rPr>
              <w:t>1,328,879,392.2</w:t>
            </w:r>
          </w:p>
        </w:tc>
        <w:tc>
          <w:tcPr>
            <w:tcW w:w="1265" w:type="dxa"/>
            <w:tcBorders>
              <w:top w:val="nil" w:sz="6" w:space="0" w:color="auto"/>
              <w:left w:val="nil" w:sz="6" w:space="0" w:color="auto"/>
              <w:bottom w:val="nil" w:sz="6" w:space="0" w:color="auto"/>
              <w:right w:val="nil" w:sz="6" w:space="0" w:color="auto"/>
            </w:tcBorders>
          </w:tcPr>
          <w:p>
            <w:pPr>
              <w:pStyle w:val="TableParagraph"/>
              <w:spacing w:line="227" w:lineRule="exact"/>
              <w:ind w:right="24"/>
              <w:jc w:val="right"/>
              <w:rPr>
                <w:rFonts w:ascii="宋体" w:hAnsi="宋体" w:cs="宋体" w:eastAsia="宋体" w:hint="default"/>
                <w:sz w:val="18"/>
                <w:szCs w:val="18"/>
              </w:rPr>
            </w:pPr>
            <w:r>
              <w:rPr>
                <w:rFonts w:ascii="宋体"/>
                <w:spacing w:val="-1"/>
                <w:sz w:val="18"/>
              </w:rPr>
              <w:t>-57,662,165.6</w:t>
            </w:r>
          </w:p>
        </w:tc>
      </w:tr>
      <w:tr>
        <w:trPr>
          <w:trHeight w:val="284" w:hRule="exact"/>
        </w:trPr>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18"/>
                <w:szCs w:val="18"/>
              </w:rPr>
            </w:pPr>
            <w:r>
              <w:rPr>
                <w:rFonts w:ascii="宋体" w:hAnsi="宋体" w:cs="宋体" w:eastAsia="宋体" w:hint="default"/>
                <w:sz w:val="18"/>
                <w:szCs w:val="18"/>
              </w:rPr>
              <w:t>节能环保</w:t>
            </w:r>
          </w:p>
        </w:tc>
        <w:tc>
          <w:tcPr>
            <w:tcW w:w="1526" w:type="dxa"/>
            <w:tcBorders>
              <w:top w:val="nil" w:sz="6" w:space="0" w:color="auto"/>
              <w:left w:val="nil" w:sz="6" w:space="0" w:color="auto"/>
              <w:bottom w:val="nil" w:sz="6" w:space="0" w:color="auto"/>
              <w:right w:val="nil" w:sz="6" w:space="0" w:color="auto"/>
            </w:tcBorders>
          </w:tcPr>
          <w:p>
            <w:pPr>
              <w:pStyle w:val="TableParagraph"/>
              <w:spacing w:line="215" w:lineRule="exact"/>
              <w:ind w:left="60" w:right="0"/>
              <w:jc w:val="center"/>
              <w:rPr>
                <w:rFonts w:ascii="宋体" w:hAnsi="宋体" w:cs="宋体" w:eastAsia="宋体" w:hint="default"/>
                <w:sz w:val="18"/>
                <w:szCs w:val="18"/>
              </w:rPr>
            </w:pPr>
            <w:r>
              <w:rPr>
                <w:rFonts w:ascii="宋体"/>
                <w:sz w:val="18"/>
              </w:rPr>
              <w:t>10,785,196,802.</w:t>
            </w:r>
          </w:p>
        </w:tc>
        <w:tc>
          <w:tcPr>
            <w:tcW w:w="1473" w:type="dxa"/>
            <w:tcBorders>
              <w:top w:val="nil" w:sz="6" w:space="0" w:color="auto"/>
              <w:left w:val="nil" w:sz="6" w:space="0" w:color="auto"/>
              <w:bottom w:val="nil" w:sz="6" w:space="0" w:color="auto"/>
              <w:right w:val="nil" w:sz="6" w:space="0" w:color="auto"/>
            </w:tcBorders>
          </w:tcPr>
          <w:p>
            <w:pPr>
              <w:pStyle w:val="TableParagraph"/>
              <w:spacing w:line="215" w:lineRule="exact"/>
              <w:ind w:right="53"/>
              <w:jc w:val="right"/>
              <w:rPr>
                <w:rFonts w:ascii="宋体" w:hAnsi="宋体" w:cs="宋体" w:eastAsia="宋体" w:hint="default"/>
                <w:sz w:val="18"/>
                <w:szCs w:val="18"/>
              </w:rPr>
            </w:pPr>
            <w:r>
              <w:rPr>
                <w:rFonts w:ascii="宋体"/>
                <w:spacing w:val="-1"/>
                <w:sz w:val="18"/>
              </w:rPr>
              <w:t>5,425,704,897.2</w:t>
            </w:r>
          </w:p>
        </w:tc>
        <w:tc>
          <w:tcPr>
            <w:tcW w:w="1471" w:type="dxa"/>
            <w:tcBorders>
              <w:top w:val="nil" w:sz="6" w:space="0" w:color="auto"/>
              <w:left w:val="nil" w:sz="6" w:space="0" w:color="auto"/>
              <w:bottom w:val="nil" w:sz="6" w:space="0" w:color="auto"/>
              <w:right w:val="nil" w:sz="6" w:space="0" w:color="auto"/>
            </w:tcBorders>
          </w:tcPr>
          <w:p>
            <w:pPr>
              <w:pStyle w:val="TableParagraph"/>
              <w:spacing w:line="215" w:lineRule="exact"/>
              <w:ind w:left="9" w:right="0"/>
              <w:jc w:val="center"/>
              <w:rPr>
                <w:rFonts w:ascii="宋体" w:hAnsi="宋体" w:cs="宋体" w:eastAsia="宋体" w:hint="default"/>
                <w:sz w:val="18"/>
                <w:szCs w:val="18"/>
              </w:rPr>
            </w:pPr>
            <w:r>
              <w:rPr>
                <w:rFonts w:ascii="宋体"/>
                <w:sz w:val="18"/>
              </w:rPr>
              <w:t>4,371,072,147.3</w:t>
            </w:r>
          </w:p>
        </w:tc>
        <w:tc>
          <w:tcPr>
            <w:tcW w:w="1476" w:type="dxa"/>
            <w:gridSpan w:val="2"/>
            <w:tcBorders>
              <w:top w:val="nil" w:sz="6" w:space="0" w:color="auto"/>
              <w:left w:val="nil" w:sz="6" w:space="0" w:color="auto"/>
              <w:bottom w:val="nil" w:sz="6" w:space="0" w:color="auto"/>
              <w:right w:val="nil" w:sz="6" w:space="0" w:color="auto"/>
            </w:tcBorders>
          </w:tcPr>
          <w:p>
            <w:pPr>
              <w:pStyle w:val="TableParagraph"/>
              <w:spacing w:line="215" w:lineRule="exact"/>
              <w:ind w:left="64" w:right="0"/>
              <w:jc w:val="left"/>
              <w:rPr>
                <w:rFonts w:ascii="宋体" w:hAnsi="宋体" w:cs="宋体" w:eastAsia="宋体" w:hint="default"/>
                <w:sz w:val="18"/>
                <w:szCs w:val="18"/>
              </w:rPr>
            </w:pPr>
            <w:r>
              <w:rPr>
                <w:rFonts w:ascii="宋体"/>
                <w:sz w:val="18"/>
              </w:rPr>
              <w:t>3,327,484,260.9</w:t>
            </w:r>
          </w:p>
        </w:tc>
        <w:tc>
          <w:tcPr>
            <w:tcW w:w="1265" w:type="dxa"/>
            <w:tcBorders>
              <w:top w:val="nil" w:sz="6" w:space="0" w:color="auto"/>
              <w:left w:val="nil" w:sz="6" w:space="0" w:color="auto"/>
              <w:bottom w:val="nil" w:sz="6" w:space="0" w:color="auto"/>
              <w:right w:val="nil" w:sz="6" w:space="0" w:color="auto"/>
            </w:tcBorders>
          </w:tcPr>
          <w:p>
            <w:pPr>
              <w:pStyle w:val="TableParagraph"/>
              <w:spacing w:line="215" w:lineRule="exact"/>
              <w:ind w:right="24"/>
              <w:jc w:val="right"/>
              <w:rPr>
                <w:rFonts w:ascii="宋体" w:hAnsi="宋体" w:cs="宋体" w:eastAsia="宋体" w:hint="default"/>
                <w:sz w:val="18"/>
                <w:szCs w:val="18"/>
              </w:rPr>
            </w:pPr>
            <w:r>
              <w:rPr>
                <w:rFonts w:ascii="宋体"/>
                <w:spacing w:val="-1"/>
                <w:sz w:val="18"/>
              </w:rPr>
              <w:t>391,790,180.8</w:t>
            </w:r>
          </w:p>
        </w:tc>
      </w:tr>
      <w:tr>
        <w:trPr>
          <w:trHeight w:val="283" w:hRule="exact"/>
        </w:trPr>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z w:val="18"/>
                <w:szCs w:val="18"/>
              </w:rPr>
              <w:t>科技园区</w:t>
            </w:r>
          </w:p>
        </w:tc>
        <w:tc>
          <w:tcPr>
            <w:tcW w:w="1526" w:type="dxa"/>
            <w:tcBorders>
              <w:top w:val="nil" w:sz="6" w:space="0" w:color="auto"/>
              <w:left w:val="nil" w:sz="6" w:space="0" w:color="auto"/>
              <w:bottom w:val="nil" w:sz="6" w:space="0" w:color="auto"/>
              <w:right w:val="nil" w:sz="6" w:space="0" w:color="auto"/>
            </w:tcBorders>
          </w:tcPr>
          <w:p>
            <w:pPr>
              <w:pStyle w:val="TableParagraph"/>
              <w:spacing w:line="215" w:lineRule="exact"/>
              <w:ind w:left="60" w:right="0"/>
              <w:jc w:val="center"/>
              <w:rPr>
                <w:rFonts w:ascii="宋体" w:hAnsi="宋体" w:cs="宋体" w:eastAsia="宋体" w:hint="default"/>
                <w:sz w:val="18"/>
                <w:szCs w:val="18"/>
              </w:rPr>
            </w:pPr>
            <w:r>
              <w:rPr>
                <w:rFonts w:ascii="宋体"/>
                <w:sz w:val="18"/>
              </w:rPr>
              <w:t>3,098,492,094.8</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5"/>
              <w:jc w:val="right"/>
              <w:rPr>
                <w:rFonts w:ascii="宋体" w:hAnsi="宋体" w:cs="宋体" w:eastAsia="宋体" w:hint="default"/>
                <w:sz w:val="18"/>
                <w:szCs w:val="18"/>
              </w:rPr>
            </w:pPr>
            <w:r>
              <w:rPr>
                <w:rFonts w:ascii="宋体"/>
                <w:spacing w:val="-1"/>
                <w:sz w:val="18"/>
              </w:rPr>
              <w:t>342,027,255.22</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
              <w:ind w:left="96" w:right="0"/>
              <w:jc w:val="center"/>
              <w:rPr>
                <w:rFonts w:ascii="宋体" w:hAnsi="宋体" w:cs="宋体" w:eastAsia="宋体" w:hint="default"/>
                <w:sz w:val="18"/>
                <w:szCs w:val="18"/>
              </w:rPr>
            </w:pPr>
            <w:r>
              <w:rPr>
                <w:rFonts w:ascii="宋体"/>
                <w:sz w:val="18"/>
              </w:rPr>
              <w:t>798,626,892.12</w:t>
            </w:r>
          </w:p>
        </w:tc>
        <w:tc>
          <w:tcPr>
            <w:tcW w:w="14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53" w:right="0"/>
              <w:jc w:val="left"/>
              <w:rPr>
                <w:rFonts w:ascii="宋体" w:hAnsi="宋体" w:cs="宋体" w:eastAsia="宋体" w:hint="default"/>
                <w:sz w:val="18"/>
                <w:szCs w:val="18"/>
              </w:rPr>
            </w:pPr>
            <w:r>
              <w:rPr>
                <w:rFonts w:ascii="宋体"/>
                <w:sz w:val="18"/>
              </w:rPr>
              <w:t>594,602,121.37</w:t>
            </w:r>
          </w:p>
        </w:tc>
        <w:tc>
          <w:tcPr>
            <w:tcW w:w="1265" w:type="dxa"/>
            <w:tcBorders>
              <w:top w:val="nil" w:sz="6" w:space="0" w:color="auto"/>
              <w:left w:val="nil" w:sz="6" w:space="0" w:color="auto"/>
              <w:bottom w:val="nil" w:sz="6" w:space="0" w:color="auto"/>
              <w:right w:val="nil" w:sz="6" w:space="0" w:color="auto"/>
            </w:tcBorders>
          </w:tcPr>
          <w:p>
            <w:pPr>
              <w:pStyle w:val="TableParagraph"/>
              <w:spacing w:line="215" w:lineRule="exact"/>
              <w:ind w:right="24"/>
              <w:jc w:val="right"/>
              <w:rPr>
                <w:rFonts w:ascii="宋体" w:hAnsi="宋体" w:cs="宋体" w:eastAsia="宋体" w:hint="default"/>
                <w:sz w:val="18"/>
                <w:szCs w:val="18"/>
              </w:rPr>
            </w:pPr>
            <w:r>
              <w:rPr>
                <w:rFonts w:ascii="宋体"/>
                <w:spacing w:val="-1"/>
                <w:sz w:val="18"/>
              </w:rPr>
              <w:t>110,746,708.1</w:t>
            </w:r>
          </w:p>
        </w:tc>
      </w:tr>
      <w:tr>
        <w:trPr>
          <w:trHeight w:val="305" w:hRule="exact"/>
        </w:trPr>
        <w:tc>
          <w:tcPr>
            <w:tcW w:w="1354"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28" w:right="0"/>
              <w:jc w:val="left"/>
              <w:rPr>
                <w:rFonts w:ascii="宋体" w:hAnsi="宋体" w:cs="宋体" w:eastAsia="宋体" w:hint="default"/>
                <w:sz w:val="18"/>
                <w:szCs w:val="18"/>
              </w:rPr>
            </w:pPr>
            <w:r>
              <w:rPr>
                <w:rFonts w:ascii="宋体" w:hAnsi="宋体" w:cs="宋体" w:eastAsia="宋体" w:hint="default"/>
                <w:sz w:val="18"/>
                <w:szCs w:val="18"/>
              </w:rPr>
              <w:t>总部与投资</w:t>
            </w:r>
          </w:p>
        </w:tc>
        <w:tc>
          <w:tcPr>
            <w:tcW w:w="1526" w:type="dxa"/>
            <w:tcBorders>
              <w:top w:val="nil" w:sz="6" w:space="0" w:color="auto"/>
              <w:left w:val="nil" w:sz="6" w:space="0" w:color="auto"/>
              <w:bottom w:val="single" w:sz="4" w:space="0" w:color="000000"/>
              <w:right w:val="nil" w:sz="6" w:space="0" w:color="auto"/>
            </w:tcBorders>
          </w:tcPr>
          <w:p>
            <w:pPr>
              <w:pStyle w:val="TableParagraph"/>
              <w:spacing w:line="215" w:lineRule="exact"/>
              <w:ind w:left="60" w:right="0"/>
              <w:jc w:val="center"/>
              <w:rPr>
                <w:rFonts w:ascii="宋体" w:hAnsi="宋体" w:cs="宋体" w:eastAsia="宋体" w:hint="default"/>
                <w:sz w:val="18"/>
                <w:szCs w:val="18"/>
              </w:rPr>
            </w:pPr>
            <w:r>
              <w:rPr>
                <w:rFonts w:ascii="宋体"/>
                <w:sz w:val="18"/>
              </w:rPr>
              <w:t>23,095,336,518.</w:t>
            </w:r>
          </w:p>
        </w:tc>
        <w:tc>
          <w:tcPr>
            <w:tcW w:w="1473" w:type="dxa"/>
            <w:tcBorders>
              <w:top w:val="nil" w:sz="6" w:space="0" w:color="auto"/>
              <w:left w:val="nil" w:sz="6" w:space="0" w:color="auto"/>
              <w:bottom w:val="single" w:sz="4" w:space="0" w:color="000000"/>
              <w:right w:val="nil" w:sz="6" w:space="0" w:color="auto"/>
            </w:tcBorders>
          </w:tcPr>
          <w:p>
            <w:pPr>
              <w:pStyle w:val="TableParagraph"/>
              <w:spacing w:line="215" w:lineRule="exact"/>
              <w:ind w:right="53"/>
              <w:jc w:val="right"/>
              <w:rPr>
                <w:rFonts w:ascii="宋体" w:hAnsi="宋体" w:cs="宋体" w:eastAsia="宋体" w:hint="default"/>
                <w:sz w:val="18"/>
                <w:szCs w:val="18"/>
              </w:rPr>
            </w:pPr>
            <w:r>
              <w:rPr>
                <w:rFonts w:ascii="宋体"/>
                <w:spacing w:val="-1"/>
                <w:sz w:val="18"/>
              </w:rPr>
              <w:t>17,556,000,644.</w:t>
            </w:r>
          </w:p>
        </w:tc>
        <w:tc>
          <w:tcPr>
            <w:tcW w:w="1471"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189" w:right="0"/>
              <w:jc w:val="center"/>
              <w:rPr>
                <w:rFonts w:ascii="宋体" w:hAnsi="宋体" w:cs="宋体" w:eastAsia="宋体" w:hint="default"/>
                <w:sz w:val="18"/>
                <w:szCs w:val="18"/>
              </w:rPr>
            </w:pPr>
            <w:r>
              <w:rPr>
                <w:rFonts w:ascii="宋体"/>
                <w:sz w:val="18"/>
              </w:rPr>
              <w:t>11,600,956.07</w:t>
            </w:r>
          </w:p>
        </w:tc>
        <w:tc>
          <w:tcPr>
            <w:tcW w:w="147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
              <w:ind w:left="333" w:right="0"/>
              <w:jc w:val="left"/>
              <w:rPr>
                <w:rFonts w:ascii="宋体" w:hAnsi="宋体" w:cs="宋体" w:eastAsia="宋体" w:hint="default"/>
                <w:sz w:val="18"/>
                <w:szCs w:val="18"/>
              </w:rPr>
            </w:pPr>
            <w:r>
              <w:rPr>
                <w:rFonts w:ascii="宋体"/>
                <w:sz w:val="18"/>
              </w:rPr>
              <w:t>5,094,196.97</w:t>
            </w:r>
          </w:p>
        </w:tc>
        <w:tc>
          <w:tcPr>
            <w:tcW w:w="1265" w:type="dxa"/>
            <w:tcBorders>
              <w:top w:val="nil" w:sz="6" w:space="0" w:color="auto"/>
              <w:left w:val="nil" w:sz="6" w:space="0" w:color="auto"/>
              <w:bottom w:val="single" w:sz="4" w:space="0" w:color="000000"/>
              <w:right w:val="nil" w:sz="6" w:space="0" w:color="auto"/>
            </w:tcBorders>
          </w:tcPr>
          <w:p>
            <w:pPr>
              <w:pStyle w:val="TableParagraph"/>
              <w:spacing w:line="215" w:lineRule="exact"/>
              <w:ind w:right="24"/>
              <w:jc w:val="right"/>
              <w:rPr>
                <w:rFonts w:ascii="宋体" w:hAnsi="宋体" w:cs="宋体" w:eastAsia="宋体" w:hint="default"/>
                <w:sz w:val="18"/>
                <w:szCs w:val="18"/>
              </w:rPr>
            </w:pPr>
            <w:r>
              <w:rPr>
                <w:rFonts w:ascii="宋体"/>
                <w:spacing w:val="-1"/>
                <w:sz w:val="18"/>
              </w:rPr>
              <w:t>-252,492,475.</w:t>
            </w:r>
          </w:p>
        </w:tc>
      </w:tr>
      <w:tr>
        <w:trPr>
          <w:trHeight w:val="283" w:hRule="exact"/>
        </w:trPr>
        <w:tc>
          <w:tcPr>
            <w:tcW w:w="1354" w:type="dxa"/>
            <w:tcBorders>
              <w:top w:val="single" w:sz="4" w:space="0" w:color="000000"/>
              <w:left w:val="nil" w:sz="6" w:space="0" w:color="auto"/>
              <w:bottom w:val="single" w:sz="4" w:space="0" w:color="000000"/>
              <w:right w:val="nil" w:sz="6" w:space="0" w:color="auto"/>
            </w:tcBorders>
          </w:tcPr>
          <w:p>
            <w:pPr>
              <w:pStyle w:val="TableParagraph"/>
              <w:spacing w:line="220" w:lineRule="exact"/>
              <w:ind w:left="28"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526" w:type="dxa"/>
            <w:tcBorders>
              <w:top w:val="single" w:sz="4" w:space="0" w:color="000000"/>
              <w:left w:val="nil" w:sz="6" w:space="0" w:color="auto"/>
              <w:bottom w:val="single" w:sz="4" w:space="0" w:color="000000"/>
              <w:right w:val="nil" w:sz="6" w:space="0" w:color="auto"/>
            </w:tcBorders>
          </w:tcPr>
          <w:p>
            <w:pPr>
              <w:pStyle w:val="TableParagraph"/>
              <w:spacing w:line="201" w:lineRule="exact"/>
              <w:ind w:left="50" w:right="0"/>
              <w:jc w:val="center"/>
              <w:rPr>
                <w:rFonts w:ascii="宋体" w:hAnsi="宋体" w:cs="宋体" w:eastAsia="宋体" w:hint="default"/>
                <w:sz w:val="18"/>
                <w:szCs w:val="18"/>
              </w:rPr>
            </w:pPr>
            <w:r>
              <w:rPr>
                <w:rFonts w:ascii="宋体"/>
                <w:b/>
                <w:sz w:val="18"/>
              </w:rPr>
              <w:t>64,536,443,177.</w:t>
            </w:r>
            <w:r>
              <w:rPr>
                <w:rFonts w:ascii="宋体"/>
                <w:sz w:val="18"/>
              </w:rPr>
            </w:r>
          </w:p>
        </w:tc>
        <w:tc>
          <w:tcPr>
            <w:tcW w:w="1473" w:type="dxa"/>
            <w:tcBorders>
              <w:top w:val="single" w:sz="4" w:space="0" w:color="000000"/>
              <w:left w:val="nil" w:sz="6" w:space="0" w:color="auto"/>
              <w:bottom w:val="single" w:sz="4" w:space="0" w:color="000000"/>
              <w:right w:val="nil" w:sz="6" w:space="0" w:color="auto"/>
            </w:tcBorders>
          </w:tcPr>
          <w:p>
            <w:pPr>
              <w:pStyle w:val="TableParagraph"/>
              <w:spacing w:line="201" w:lineRule="exact"/>
              <w:ind w:right="53"/>
              <w:jc w:val="right"/>
              <w:rPr>
                <w:rFonts w:ascii="宋体" w:hAnsi="宋体" w:cs="宋体" w:eastAsia="宋体" w:hint="default"/>
                <w:sz w:val="18"/>
                <w:szCs w:val="18"/>
              </w:rPr>
            </w:pPr>
            <w:r>
              <w:rPr>
                <w:rFonts w:ascii="宋体"/>
                <w:b/>
                <w:w w:val="95"/>
                <w:sz w:val="18"/>
              </w:rPr>
              <w:t>39,445,892,002.</w:t>
            </w:r>
            <w:r>
              <w:rPr>
                <w:rFonts w:ascii="宋体"/>
                <w:sz w:val="18"/>
              </w:rPr>
            </w:r>
          </w:p>
        </w:tc>
        <w:tc>
          <w:tcPr>
            <w:tcW w:w="1471" w:type="dxa"/>
            <w:tcBorders>
              <w:top w:val="single" w:sz="4" w:space="0" w:color="000000"/>
              <w:left w:val="nil" w:sz="6" w:space="0" w:color="auto"/>
              <w:bottom w:val="single" w:sz="4" w:space="0" w:color="000000"/>
              <w:right w:val="nil" w:sz="6" w:space="0" w:color="auto"/>
            </w:tcBorders>
          </w:tcPr>
          <w:p>
            <w:pPr>
              <w:pStyle w:val="TableParagraph"/>
              <w:spacing w:line="201" w:lineRule="exact"/>
              <w:ind w:right="0"/>
              <w:jc w:val="center"/>
              <w:rPr>
                <w:rFonts w:ascii="宋体" w:hAnsi="宋体" w:cs="宋体" w:eastAsia="宋体" w:hint="default"/>
                <w:sz w:val="18"/>
                <w:szCs w:val="18"/>
              </w:rPr>
            </w:pPr>
            <w:r>
              <w:rPr>
                <w:rFonts w:ascii="宋体"/>
                <w:b/>
                <w:sz w:val="18"/>
              </w:rPr>
              <w:t>26,265,448,468.</w:t>
            </w:r>
            <w:r>
              <w:rPr>
                <w:rFonts w:ascii="宋体"/>
                <w:sz w:val="18"/>
              </w:rPr>
            </w:r>
          </w:p>
        </w:tc>
        <w:tc>
          <w:tcPr>
            <w:tcW w:w="1476" w:type="dxa"/>
            <w:gridSpan w:val="2"/>
            <w:tcBorders>
              <w:top w:val="single" w:sz="4" w:space="0" w:color="000000"/>
              <w:left w:val="nil" w:sz="6" w:space="0" w:color="auto"/>
              <w:bottom w:val="single" w:sz="4" w:space="0" w:color="000000"/>
              <w:right w:val="nil" w:sz="6" w:space="0" w:color="auto"/>
            </w:tcBorders>
          </w:tcPr>
          <w:p>
            <w:pPr>
              <w:pStyle w:val="TableParagraph"/>
              <w:spacing w:line="201" w:lineRule="exact"/>
              <w:ind w:left="55" w:right="0"/>
              <w:jc w:val="left"/>
              <w:rPr>
                <w:rFonts w:ascii="宋体" w:hAnsi="宋体" w:cs="宋体" w:eastAsia="宋体" w:hint="default"/>
                <w:sz w:val="18"/>
                <w:szCs w:val="18"/>
              </w:rPr>
            </w:pPr>
            <w:r>
              <w:rPr>
                <w:rFonts w:ascii="宋体"/>
                <w:b/>
                <w:sz w:val="18"/>
              </w:rPr>
              <w:t>20,715,784,023.</w:t>
            </w:r>
            <w:r>
              <w:rPr>
                <w:rFonts w:ascii="宋体"/>
                <w:sz w:val="18"/>
              </w:rPr>
            </w:r>
          </w:p>
        </w:tc>
        <w:tc>
          <w:tcPr>
            <w:tcW w:w="1265" w:type="dxa"/>
            <w:tcBorders>
              <w:top w:val="single" w:sz="4" w:space="0" w:color="000000"/>
              <w:left w:val="nil" w:sz="6" w:space="0" w:color="auto"/>
              <w:bottom w:val="single" w:sz="4" w:space="0" w:color="000000"/>
              <w:right w:val="nil" w:sz="6" w:space="0" w:color="auto"/>
            </w:tcBorders>
          </w:tcPr>
          <w:p>
            <w:pPr>
              <w:pStyle w:val="TableParagraph"/>
              <w:spacing w:line="201" w:lineRule="exact"/>
              <w:ind w:right="24"/>
              <w:jc w:val="right"/>
              <w:rPr>
                <w:rFonts w:ascii="宋体" w:hAnsi="宋体" w:cs="宋体" w:eastAsia="宋体" w:hint="default"/>
                <w:sz w:val="18"/>
                <w:szCs w:val="18"/>
              </w:rPr>
            </w:pPr>
            <w:r>
              <w:rPr>
                <w:rFonts w:ascii="宋体"/>
                <w:b/>
                <w:w w:val="95"/>
                <w:sz w:val="18"/>
              </w:rPr>
              <w:t>716,109,499.9</w:t>
            </w:r>
            <w:r>
              <w:rPr>
                <w:rFonts w:ascii="宋体"/>
                <w:sz w:val="18"/>
              </w:rPr>
            </w:r>
          </w:p>
        </w:tc>
      </w:tr>
      <w:tr>
        <w:trPr>
          <w:trHeight w:val="283" w:hRule="exact"/>
        </w:trPr>
        <w:tc>
          <w:tcPr>
            <w:tcW w:w="1354" w:type="dxa"/>
            <w:tcBorders>
              <w:top w:val="single" w:sz="4" w:space="0" w:color="000000"/>
              <w:left w:val="nil" w:sz="6" w:space="0" w:color="auto"/>
              <w:bottom w:val="single" w:sz="4" w:space="0" w:color="000000"/>
              <w:right w:val="nil" w:sz="6" w:space="0" w:color="auto"/>
            </w:tcBorders>
          </w:tcPr>
          <w:p>
            <w:pPr>
              <w:pStyle w:val="TableParagraph"/>
              <w:spacing w:line="220" w:lineRule="exact"/>
              <w:ind w:left="60" w:right="0"/>
              <w:jc w:val="left"/>
              <w:rPr>
                <w:rFonts w:ascii="宋体" w:hAnsi="宋体" w:cs="宋体" w:eastAsia="宋体" w:hint="default"/>
                <w:sz w:val="18"/>
                <w:szCs w:val="18"/>
              </w:rPr>
            </w:pPr>
            <w:r>
              <w:rPr>
                <w:rFonts w:ascii="宋体" w:hAnsi="宋体" w:cs="宋体" w:eastAsia="宋体" w:hint="default"/>
                <w:sz w:val="18"/>
                <w:szCs w:val="18"/>
              </w:rPr>
              <w:t>业务板块间抵销</w:t>
            </w:r>
          </w:p>
        </w:tc>
        <w:tc>
          <w:tcPr>
            <w:tcW w:w="1526" w:type="dxa"/>
            <w:tcBorders>
              <w:top w:val="single" w:sz="4" w:space="0" w:color="000000"/>
              <w:left w:val="nil" w:sz="6" w:space="0" w:color="auto"/>
              <w:bottom w:val="single" w:sz="4" w:space="0" w:color="000000"/>
              <w:right w:val="nil" w:sz="6" w:space="0" w:color="auto"/>
            </w:tcBorders>
          </w:tcPr>
          <w:p>
            <w:pPr>
              <w:pStyle w:val="TableParagraph"/>
              <w:spacing w:line="220" w:lineRule="exact"/>
              <w:ind w:left="60" w:right="0"/>
              <w:jc w:val="center"/>
              <w:rPr>
                <w:rFonts w:ascii="宋体" w:hAnsi="宋体" w:cs="宋体" w:eastAsia="宋体" w:hint="default"/>
                <w:sz w:val="18"/>
                <w:szCs w:val="18"/>
              </w:rPr>
            </w:pPr>
            <w:r>
              <w:rPr>
                <w:rFonts w:ascii="宋体"/>
                <w:sz w:val="18"/>
              </w:rPr>
              <w:t>-941,397,611.61</w:t>
            </w:r>
          </w:p>
        </w:tc>
        <w:tc>
          <w:tcPr>
            <w:tcW w:w="1473" w:type="dxa"/>
            <w:tcBorders>
              <w:top w:val="single" w:sz="4" w:space="0" w:color="000000"/>
              <w:left w:val="nil" w:sz="6" w:space="0" w:color="auto"/>
              <w:bottom w:val="single" w:sz="4" w:space="0" w:color="000000"/>
              <w:right w:val="nil" w:sz="6" w:space="0" w:color="auto"/>
            </w:tcBorders>
          </w:tcPr>
          <w:p>
            <w:pPr>
              <w:pStyle w:val="TableParagraph"/>
              <w:spacing w:line="220" w:lineRule="exact"/>
              <w:ind w:right="53"/>
              <w:jc w:val="right"/>
              <w:rPr>
                <w:rFonts w:ascii="宋体" w:hAnsi="宋体" w:cs="宋体" w:eastAsia="宋体" w:hint="default"/>
                <w:sz w:val="18"/>
                <w:szCs w:val="18"/>
              </w:rPr>
            </w:pPr>
            <w:r>
              <w:rPr>
                <w:rFonts w:ascii="宋体"/>
                <w:spacing w:val="-1"/>
                <w:sz w:val="18"/>
              </w:rPr>
              <w:t>-618,085,181.10</w:t>
            </w:r>
          </w:p>
        </w:tc>
        <w:tc>
          <w:tcPr>
            <w:tcW w:w="1471" w:type="dxa"/>
            <w:tcBorders>
              <w:top w:val="single" w:sz="4" w:space="0" w:color="000000"/>
              <w:left w:val="nil" w:sz="6" w:space="0" w:color="auto"/>
              <w:bottom w:val="single" w:sz="4" w:space="0" w:color="000000"/>
              <w:right w:val="nil" w:sz="6" w:space="0" w:color="auto"/>
            </w:tcBorders>
          </w:tcPr>
          <w:p>
            <w:pPr>
              <w:pStyle w:val="TableParagraph"/>
              <w:spacing w:line="220" w:lineRule="exact"/>
              <w:ind w:left="9" w:right="0"/>
              <w:jc w:val="center"/>
              <w:rPr>
                <w:rFonts w:ascii="宋体" w:hAnsi="宋体" w:cs="宋体" w:eastAsia="宋体" w:hint="default"/>
                <w:sz w:val="18"/>
                <w:szCs w:val="18"/>
              </w:rPr>
            </w:pPr>
            <w:r>
              <w:rPr>
                <w:rFonts w:ascii="宋体"/>
                <w:sz w:val="18"/>
              </w:rPr>
              <w:t>-353,834,682.07</w:t>
            </w:r>
          </w:p>
        </w:tc>
        <w:tc>
          <w:tcPr>
            <w:tcW w:w="1476" w:type="dxa"/>
            <w:gridSpan w:val="2"/>
            <w:tcBorders>
              <w:top w:val="single" w:sz="4" w:space="0" w:color="000000"/>
              <w:left w:val="nil" w:sz="6" w:space="0" w:color="auto"/>
              <w:bottom w:val="single" w:sz="4" w:space="0" w:color="000000"/>
              <w:right w:val="nil" w:sz="6" w:space="0" w:color="auto"/>
            </w:tcBorders>
          </w:tcPr>
          <w:p>
            <w:pPr>
              <w:pStyle w:val="TableParagraph"/>
              <w:spacing w:line="220" w:lineRule="exact"/>
              <w:ind w:left="64" w:right="0"/>
              <w:jc w:val="left"/>
              <w:rPr>
                <w:rFonts w:ascii="宋体" w:hAnsi="宋体" w:cs="宋体" w:eastAsia="宋体" w:hint="default"/>
                <w:sz w:val="18"/>
                <w:szCs w:val="18"/>
              </w:rPr>
            </w:pPr>
            <w:r>
              <w:rPr>
                <w:rFonts w:ascii="宋体"/>
                <w:sz w:val="18"/>
              </w:rPr>
              <w:t>-289,431,304.09</w:t>
            </w:r>
          </w:p>
        </w:tc>
        <w:tc>
          <w:tcPr>
            <w:tcW w:w="1265" w:type="dxa"/>
            <w:tcBorders>
              <w:top w:val="single" w:sz="4" w:space="0" w:color="000000"/>
              <w:left w:val="nil" w:sz="6" w:space="0" w:color="auto"/>
              <w:bottom w:val="single" w:sz="4" w:space="0" w:color="000000"/>
              <w:right w:val="nil" w:sz="6" w:space="0" w:color="auto"/>
            </w:tcBorders>
          </w:tcPr>
          <w:p>
            <w:pPr>
              <w:pStyle w:val="TableParagraph"/>
              <w:spacing w:line="201" w:lineRule="exact"/>
              <w:ind w:right="24"/>
              <w:jc w:val="right"/>
              <w:rPr>
                <w:rFonts w:ascii="宋体" w:hAnsi="宋体" w:cs="宋体" w:eastAsia="宋体" w:hint="default"/>
                <w:sz w:val="18"/>
                <w:szCs w:val="18"/>
              </w:rPr>
            </w:pPr>
            <w:r>
              <w:rPr>
                <w:rFonts w:ascii="宋体"/>
                <w:spacing w:val="-1"/>
                <w:sz w:val="18"/>
              </w:rPr>
              <w:t>-30,340,534.0</w:t>
            </w:r>
          </w:p>
        </w:tc>
      </w:tr>
      <w:tr>
        <w:trPr>
          <w:trHeight w:val="295" w:hRule="exact"/>
        </w:trPr>
        <w:tc>
          <w:tcPr>
            <w:tcW w:w="1354" w:type="dxa"/>
            <w:tcBorders>
              <w:top w:val="single" w:sz="4" w:space="0" w:color="000000"/>
              <w:left w:val="nil" w:sz="6" w:space="0" w:color="auto"/>
              <w:bottom w:val="single" w:sz="12" w:space="0" w:color="000000"/>
              <w:right w:val="nil" w:sz="6" w:space="0" w:color="auto"/>
            </w:tcBorders>
          </w:tcPr>
          <w:p>
            <w:pPr>
              <w:pStyle w:val="TableParagraph"/>
              <w:spacing w:line="222" w:lineRule="exact"/>
              <w:ind w:left="28"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26" w:type="dxa"/>
            <w:tcBorders>
              <w:top w:val="single" w:sz="4" w:space="0" w:color="000000"/>
              <w:left w:val="nil" w:sz="6" w:space="0" w:color="auto"/>
              <w:bottom w:val="single" w:sz="12" w:space="0" w:color="000000"/>
              <w:right w:val="nil" w:sz="6" w:space="0" w:color="auto"/>
            </w:tcBorders>
          </w:tcPr>
          <w:p>
            <w:pPr>
              <w:pStyle w:val="TableParagraph"/>
              <w:spacing w:line="201" w:lineRule="exact"/>
              <w:ind w:left="50" w:right="0"/>
              <w:jc w:val="center"/>
              <w:rPr>
                <w:rFonts w:ascii="宋体" w:hAnsi="宋体" w:cs="宋体" w:eastAsia="宋体" w:hint="default"/>
                <w:sz w:val="18"/>
                <w:szCs w:val="18"/>
              </w:rPr>
            </w:pPr>
            <w:r>
              <w:rPr>
                <w:rFonts w:ascii="宋体"/>
                <w:b/>
                <w:sz w:val="18"/>
              </w:rPr>
              <w:t>63,595,045,565.</w:t>
            </w:r>
            <w:r>
              <w:rPr>
                <w:rFonts w:ascii="宋体"/>
                <w:sz w:val="18"/>
              </w:rPr>
            </w:r>
          </w:p>
        </w:tc>
        <w:tc>
          <w:tcPr>
            <w:tcW w:w="1473" w:type="dxa"/>
            <w:tcBorders>
              <w:top w:val="single" w:sz="4" w:space="0" w:color="000000"/>
              <w:left w:val="nil" w:sz="6" w:space="0" w:color="auto"/>
              <w:bottom w:val="single" w:sz="12" w:space="0" w:color="000000"/>
              <w:right w:val="nil" w:sz="6" w:space="0" w:color="auto"/>
            </w:tcBorders>
          </w:tcPr>
          <w:p>
            <w:pPr>
              <w:pStyle w:val="TableParagraph"/>
              <w:spacing w:line="201" w:lineRule="exact"/>
              <w:ind w:right="53"/>
              <w:jc w:val="right"/>
              <w:rPr>
                <w:rFonts w:ascii="宋体" w:hAnsi="宋体" w:cs="宋体" w:eastAsia="宋体" w:hint="default"/>
                <w:sz w:val="18"/>
                <w:szCs w:val="18"/>
              </w:rPr>
            </w:pPr>
            <w:r>
              <w:rPr>
                <w:rFonts w:ascii="宋体"/>
                <w:b/>
                <w:w w:val="95"/>
                <w:sz w:val="18"/>
              </w:rPr>
              <w:t>38,827,806,821.</w:t>
            </w:r>
            <w:r>
              <w:rPr>
                <w:rFonts w:ascii="宋体"/>
                <w:sz w:val="18"/>
              </w:rPr>
            </w:r>
          </w:p>
        </w:tc>
        <w:tc>
          <w:tcPr>
            <w:tcW w:w="1471" w:type="dxa"/>
            <w:tcBorders>
              <w:top w:val="single" w:sz="4" w:space="0" w:color="000000"/>
              <w:left w:val="nil" w:sz="6" w:space="0" w:color="auto"/>
              <w:bottom w:val="single" w:sz="12" w:space="0" w:color="000000"/>
              <w:right w:val="nil" w:sz="6" w:space="0" w:color="auto"/>
            </w:tcBorders>
          </w:tcPr>
          <w:p>
            <w:pPr>
              <w:pStyle w:val="TableParagraph"/>
              <w:spacing w:line="201" w:lineRule="exact"/>
              <w:ind w:right="0"/>
              <w:jc w:val="center"/>
              <w:rPr>
                <w:rFonts w:ascii="宋体" w:hAnsi="宋体" w:cs="宋体" w:eastAsia="宋体" w:hint="default"/>
                <w:sz w:val="18"/>
                <w:szCs w:val="18"/>
              </w:rPr>
            </w:pPr>
            <w:r>
              <w:rPr>
                <w:rFonts w:ascii="宋体"/>
                <w:b/>
                <w:sz w:val="18"/>
              </w:rPr>
              <w:t>25,911,613,786.</w:t>
            </w:r>
            <w:r>
              <w:rPr>
                <w:rFonts w:ascii="宋体"/>
                <w:sz w:val="18"/>
              </w:rPr>
            </w:r>
          </w:p>
        </w:tc>
        <w:tc>
          <w:tcPr>
            <w:tcW w:w="1476" w:type="dxa"/>
            <w:gridSpan w:val="2"/>
            <w:tcBorders>
              <w:top w:val="single" w:sz="4" w:space="0" w:color="000000"/>
              <w:left w:val="nil" w:sz="6" w:space="0" w:color="auto"/>
              <w:bottom w:val="single" w:sz="12" w:space="0" w:color="000000"/>
              <w:right w:val="nil" w:sz="6" w:space="0" w:color="auto"/>
            </w:tcBorders>
          </w:tcPr>
          <w:p>
            <w:pPr>
              <w:pStyle w:val="TableParagraph"/>
              <w:spacing w:line="201" w:lineRule="exact"/>
              <w:ind w:left="55" w:right="0"/>
              <w:jc w:val="left"/>
              <w:rPr>
                <w:rFonts w:ascii="宋体" w:hAnsi="宋体" w:cs="宋体" w:eastAsia="宋体" w:hint="default"/>
                <w:sz w:val="18"/>
                <w:szCs w:val="18"/>
              </w:rPr>
            </w:pPr>
            <w:r>
              <w:rPr>
                <w:rFonts w:ascii="宋体"/>
                <w:b/>
                <w:sz w:val="18"/>
              </w:rPr>
              <w:t>20,426,352,719.</w:t>
            </w:r>
            <w:r>
              <w:rPr>
                <w:rFonts w:ascii="宋体"/>
                <w:sz w:val="18"/>
              </w:rPr>
            </w:r>
          </w:p>
        </w:tc>
        <w:tc>
          <w:tcPr>
            <w:tcW w:w="1265" w:type="dxa"/>
            <w:tcBorders>
              <w:top w:val="single" w:sz="4" w:space="0" w:color="000000"/>
              <w:left w:val="nil" w:sz="6" w:space="0" w:color="auto"/>
              <w:bottom w:val="single" w:sz="12" w:space="0" w:color="000000"/>
              <w:right w:val="nil" w:sz="6" w:space="0" w:color="auto"/>
            </w:tcBorders>
          </w:tcPr>
          <w:p>
            <w:pPr>
              <w:pStyle w:val="TableParagraph"/>
              <w:spacing w:line="201" w:lineRule="exact"/>
              <w:ind w:right="24"/>
              <w:jc w:val="right"/>
              <w:rPr>
                <w:rFonts w:ascii="宋体" w:hAnsi="宋体" w:cs="宋体" w:eastAsia="宋体" w:hint="default"/>
                <w:sz w:val="18"/>
                <w:szCs w:val="18"/>
              </w:rPr>
            </w:pPr>
            <w:r>
              <w:rPr>
                <w:rFonts w:ascii="宋体"/>
                <w:b/>
                <w:w w:val="95"/>
                <w:sz w:val="18"/>
              </w:rPr>
              <w:t>685,768,965.8</w:t>
            </w:r>
            <w:r>
              <w:rPr>
                <w:rFonts w:ascii="宋体"/>
                <w:sz w:val="18"/>
              </w:rPr>
            </w:r>
          </w:p>
        </w:tc>
      </w:tr>
    </w:tbl>
    <w:p>
      <w:pPr>
        <w:spacing w:before="62"/>
        <w:ind w:left="595" w:right="222"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16"/>
          <w:sz w:val="22"/>
          <w:szCs w:val="22"/>
        </w:rPr>
        <w:t> </w:t>
      </w:r>
      <w:r>
        <w:rPr>
          <w:rFonts w:ascii="宋体" w:hAnsi="宋体" w:cs="宋体" w:eastAsia="宋体" w:hint="default"/>
          <w:sz w:val="22"/>
          <w:szCs w:val="22"/>
        </w:rPr>
        <w:t>控制权变更</w:t>
      </w:r>
    </w:p>
    <w:p>
      <w:pPr>
        <w:spacing w:before="41"/>
        <w:ind w:left="581" w:right="109" w:firstLine="0"/>
        <w:jc w:val="left"/>
        <w:rPr>
          <w:rFonts w:ascii="宋体" w:hAnsi="宋体" w:cs="宋体" w:eastAsia="宋体" w:hint="default"/>
          <w:sz w:val="22"/>
          <w:szCs w:val="22"/>
        </w:rPr>
      </w:pPr>
      <w:r>
        <w:rPr>
          <w:rFonts w:ascii="宋体" w:hAnsi="宋体" w:cs="宋体" w:eastAsia="宋体" w:hint="default"/>
          <w:sz w:val="22"/>
          <w:szCs w:val="22"/>
        </w:rPr>
        <w:t>根据公司</w:t>
      </w:r>
      <w:r>
        <w:rPr>
          <w:rFonts w:ascii="宋体" w:hAnsi="宋体" w:cs="宋体" w:eastAsia="宋体" w:hint="default"/>
          <w:spacing w:val="-58"/>
          <w:sz w:val="22"/>
          <w:szCs w:val="22"/>
        </w:rPr>
        <w:t> </w:t>
      </w:r>
      <w:r>
        <w:rPr>
          <w:rFonts w:ascii="宋体" w:hAnsi="宋体" w:cs="宋体" w:eastAsia="宋体" w:hint="default"/>
          <w:sz w:val="22"/>
          <w:szCs w:val="22"/>
        </w:rPr>
        <w:t>2019</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4</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4</w:t>
      </w:r>
      <w:r>
        <w:rPr>
          <w:rFonts w:ascii="宋体" w:hAnsi="宋体" w:cs="宋体" w:eastAsia="宋体" w:hint="default"/>
          <w:spacing w:val="-58"/>
          <w:sz w:val="22"/>
          <w:szCs w:val="22"/>
        </w:rPr>
        <w:t> </w:t>
      </w:r>
      <w:r>
        <w:rPr>
          <w:rFonts w:ascii="宋体" w:hAnsi="宋体" w:cs="宋体" w:eastAsia="宋体" w:hint="default"/>
          <w:spacing w:val="-15"/>
          <w:sz w:val="22"/>
          <w:szCs w:val="22"/>
        </w:rPr>
        <w:t>日公告，于</w:t>
      </w:r>
      <w:r>
        <w:rPr>
          <w:rFonts w:ascii="宋体" w:hAnsi="宋体" w:cs="宋体" w:eastAsia="宋体" w:hint="default"/>
          <w:spacing w:val="-55"/>
          <w:sz w:val="22"/>
          <w:szCs w:val="22"/>
        </w:rPr>
        <w:t> </w:t>
      </w:r>
      <w:r>
        <w:rPr>
          <w:rFonts w:ascii="宋体" w:hAnsi="宋体" w:cs="宋体" w:eastAsia="宋体" w:hint="default"/>
          <w:sz w:val="22"/>
          <w:szCs w:val="22"/>
        </w:rPr>
        <w:t>2019</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4</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w:t>
      </w:r>
      <w:r>
        <w:rPr>
          <w:rFonts w:ascii="宋体" w:hAnsi="宋体" w:cs="宋体" w:eastAsia="宋体" w:hint="default"/>
          <w:spacing w:val="-55"/>
          <w:sz w:val="22"/>
          <w:szCs w:val="22"/>
        </w:rPr>
        <w:t> </w:t>
      </w:r>
      <w:r>
        <w:rPr>
          <w:rFonts w:ascii="宋体" w:hAnsi="宋体" w:cs="宋体" w:eastAsia="宋体" w:hint="default"/>
          <w:sz w:val="22"/>
          <w:szCs w:val="22"/>
        </w:rPr>
        <w:t>日收到公司控股股东清华控股有限</w:t>
      </w:r>
    </w:p>
    <w:p>
      <w:pPr>
        <w:spacing w:before="69"/>
        <w:ind w:left="142" w:right="109" w:firstLine="0"/>
        <w:jc w:val="left"/>
        <w:rPr>
          <w:rFonts w:ascii="宋体" w:hAnsi="宋体" w:cs="宋体" w:eastAsia="宋体" w:hint="default"/>
          <w:sz w:val="22"/>
          <w:szCs w:val="22"/>
        </w:rPr>
      </w:pPr>
      <w:r>
        <w:rPr>
          <w:rFonts w:ascii="宋体" w:hAnsi="宋体" w:cs="宋体" w:eastAsia="宋体" w:hint="default"/>
          <w:sz w:val="22"/>
          <w:szCs w:val="22"/>
        </w:rPr>
        <w:t>公司（以下简称“清华控股”）通知，清华控股于</w:t>
      </w:r>
      <w:r>
        <w:rPr>
          <w:rFonts w:ascii="宋体" w:hAnsi="宋体" w:cs="宋体" w:eastAsia="宋体" w:hint="default"/>
          <w:spacing w:val="-50"/>
          <w:sz w:val="22"/>
          <w:szCs w:val="22"/>
        </w:rPr>
        <w:t> </w:t>
      </w:r>
      <w:r>
        <w:rPr>
          <w:rFonts w:ascii="宋体" w:hAnsi="宋体" w:cs="宋体" w:eastAsia="宋体" w:hint="default"/>
          <w:sz w:val="22"/>
          <w:szCs w:val="22"/>
        </w:rPr>
        <w:t>2019</w:t>
      </w:r>
      <w:r>
        <w:rPr>
          <w:rFonts w:ascii="宋体" w:hAnsi="宋体" w:cs="宋体" w:eastAsia="宋体" w:hint="default"/>
          <w:spacing w:val="-50"/>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宋体" w:hAnsi="宋体" w:cs="宋体" w:eastAsia="宋体" w:hint="default"/>
          <w:sz w:val="22"/>
          <w:szCs w:val="22"/>
        </w:rPr>
        <w:t>4</w:t>
      </w:r>
      <w:r>
        <w:rPr>
          <w:rFonts w:ascii="宋体" w:hAnsi="宋体" w:cs="宋体" w:eastAsia="宋体" w:hint="default"/>
          <w:spacing w:val="-50"/>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宋体" w:hAnsi="宋体" w:cs="宋体" w:eastAsia="宋体" w:hint="default"/>
          <w:sz w:val="22"/>
          <w:szCs w:val="22"/>
        </w:rPr>
        <w:t>3</w:t>
      </w:r>
      <w:r>
        <w:rPr>
          <w:rFonts w:ascii="宋体" w:hAnsi="宋体" w:cs="宋体" w:eastAsia="宋体" w:hint="default"/>
          <w:spacing w:val="-50"/>
          <w:sz w:val="22"/>
          <w:szCs w:val="22"/>
        </w:rPr>
        <w:t> </w:t>
      </w:r>
      <w:r>
        <w:rPr>
          <w:rFonts w:ascii="宋体" w:hAnsi="宋体" w:cs="宋体" w:eastAsia="宋体" w:hint="default"/>
          <w:sz w:val="22"/>
          <w:szCs w:val="22"/>
        </w:rPr>
        <w:t>日与中国核工业集团资</w:t>
      </w:r>
    </w:p>
    <w:p>
      <w:pPr>
        <w:spacing w:after="0"/>
        <w:jc w:val="left"/>
        <w:rPr>
          <w:rFonts w:ascii="宋体" w:hAnsi="宋体" w:cs="宋体" w:eastAsia="宋体" w:hint="default"/>
          <w:sz w:val="22"/>
          <w:szCs w:val="22"/>
        </w:rPr>
        <w:sectPr>
          <w:footerReference w:type="default" r:id="rId50"/>
          <w:pgSz w:w="11910" w:h="16840"/>
          <w:pgMar w:footer="1054" w:header="0" w:top="1360" w:bottom="1240" w:left="1560" w:right="1480"/>
        </w:sectPr>
      </w:pPr>
    </w:p>
    <w:p>
      <w:pPr>
        <w:spacing w:line="297" w:lineRule="auto" w:before="6"/>
        <w:ind w:left="822" w:right="790" w:firstLine="0"/>
        <w:jc w:val="both"/>
        <w:rPr>
          <w:rFonts w:ascii="宋体" w:hAnsi="宋体" w:cs="宋体" w:eastAsia="宋体" w:hint="default"/>
          <w:sz w:val="22"/>
          <w:szCs w:val="22"/>
        </w:rPr>
      </w:pPr>
      <w:r>
        <w:rPr>
          <w:rFonts w:ascii="宋体" w:hAnsi="宋体" w:cs="宋体" w:eastAsia="宋体" w:hint="default"/>
          <w:spacing w:val="-3"/>
          <w:sz w:val="22"/>
          <w:szCs w:val="22"/>
        </w:rPr>
        <w:t>本控股有限公司（原名称为“中国核工业建设集团资本控股有限公司”，以下简称“中核</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资本”）签署了《清华控股有限公司与中国核工业集团资本控股有限公司关于同方股份有</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pacing w:val="-3"/>
          <w:sz w:val="22"/>
          <w:szCs w:val="22"/>
        </w:rPr>
        <w:t>限公司之股份转让协议》（以下简称“股份转让协议”），清华控股拟向中核资本转让其</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z w:val="22"/>
          <w:szCs w:val="22"/>
        </w:rPr>
        <w:t>持有的</w:t>
      </w:r>
      <w:r>
        <w:rPr>
          <w:rFonts w:ascii="宋体" w:hAnsi="宋体" w:cs="宋体" w:eastAsia="宋体" w:hint="default"/>
          <w:spacing w:val="-62"/>
          <w:sz w:val="22"/>
          <w:szCs w:val="22"/>
        </w:rPr>
        <w:t> </w:t>
      </w:r>
      <w:r>
        <w:rPr>
          <w:rFonts w:ascii="宋体" w:hAnsi="宋体" w:cs="宋体" w:eastAsia="宋体" w:hint="default"/>
          <w:sz w:val="22"/>
          <w:szCs w:val="22"/>
        </w:rPr>
        <w:t>622,418,780</w:t>
      </w:r>
      <w:r>
        <w:rPr>
          <w:rFonts w:ascii="宋体" w:hAnsi="宋体" w:cs="宋体" w:eastAsia="宋体" w:hint="default"/>
          <w:spacing w:val="-62"/>
          <w:sz w:val="22"/>
          <w:szCs w:val="22"/>
        </w:rPr>
        <w:t> </w:t>
      </w:r>
      <w:r>
        <w:rPr>
          <w:rFonts w:ascii="宋体" w:hAnsi="宋体" w:cs="宋体" w:eastAsia="宋体" w:hint="default"/>
          <w:sz w:val="22"/>
          <w:szCs w:val="22"/>
        </w:rPr>
        <w:t>股公司股票（占公司总股本的</w:t>
      </w:r>
      <w:r>
        <w:rPr>
          <w:rFonts w:ascii="宋体" w:hAnsi="宋体" w:cs="宋体" w:eastAsia="宋体" w:hint="default"/>
          <w:spacing w:val="-62"/>
          <w:sz w:val="22"/>
          <w:szCs w:val="22"/>
        </w:rPr>
        <w:t> </w:t>
      </w:r>
      <w:r>
        <w:rPr>
          <w:rFonts w:ascii="宋体" w:hAnsi="宋体" w:cs="宋体" w:eastAsia="宋体" w:hint="default"/>
          <w:sz w:val="22"/>
          <w:szCs w:val="22"/>
        </w:rPr>
        <w:t>21%</w:t>
      </w:r>
      <w:r>
        <w:rPr>
          <w:rFonts w:ascii="宋体" w:hAnsi="宋体" w:cs="宋体" w:eastAsia="宋体" w:hint="default"/>
          <w:sz w:val="22"/>
          <w:szCs w:val="22"/>
        </w:rPr>
        <w:t>）。若本次转让实施完成，则清华</w:t>
      </w:r>
      <w:r>
        <w:rPr>
          <w:rFonts w:ascii="宋体" w:hAnsi="宋体" w:cs="宋体" w:eastAsia="宋体" w:hint="default"/>
          <w:w w:val="100"/>
          <w:sz w:val="22"/>
          <w:szCs w:val="22"/>
        </w:rPr>
        <w:t> </w:t>
      </w:r>
      <w:r>
        <w:rPr>
          <w:rFonts w:ascii="宋体" w:hAnsi="宋体" w:cs="宋体" w:eastAsia="宋体" w:hint="default"/>
          <w:sz w:val="22"/>
          <w:szCs w:val="22"/>
        </w:rPr>
        <w:t>控股直接持有公司</w:t>
      </w:r>
      <w:r>
        <w:rPr>
          <w:rFonts w:ascii="宋体" w:hAnsi="宋体" w:cs="宋体" w:eastAsia="宋体" w:hint="default"/>
          <w:spacing w:val="-63"/>
          <w:sz w:val="22"/>
          <w:szCs w:val="22"/>
        </w:rPr>
        <w:t> </w:t>
      </w:r>
      <w:r>
        <w:rPr>
          <w:rFonts w:ascii="宋体" w:hAnsi="宋体" w:cs="宋体" w:eastAsia="宋体" w:hint="default"/>
          <w:sz w:val="22"/>
          <w:szCs w:val="22"/>
        </w:rPr>
        <w:t>140,892,217</w:t>
      </w:r>
      <w:r>
        <w:rPr>
          <w:rFonts w:ascii="宋体" w:hAnsi="宋体" w:cs="宋体" w:eastAsia="宋体" w:hint="default"/>
          <w:spacing w:val="-63"/>
          <w:sz w:val="22"/>
          <w:szCs w:val="22"/>
        </w:rPr>
        <w:t> </w:t>
      </w:r>
      <w:r>
        <w:rPr>
          <w:rFonts w:ascii="宋体" w:hAnsi="宋体" w:cs="宋体" w:eastAsia="宋体" w:hint="default"/>
          <w:sz w:val="22"/>
          <w:szCs w:val="22"/>
        </w:rPr>
        <w:t>股（占公司总股本的</w:t>
      </w:r>
      <w:r>
        <w:rPr>
          <w:rFonts w:ascii="宋体" w:hAnsi="宋体" w:cs="宋体" w:eastAsia="宋体" w:hint="default"/>
          <w:spacing w:val="-63"/>
          <w:sz w:val="22"/>
          <w:szCs w:val="22"/>
        </w:rPr>
        <w:t> </w:t>
      </w:r>
      <w:r>
        <w:rPr>
          <w:rFonts w:ascii="宋体" w:hAnsi="宋体" w:cs="宋体" w:eastAsia="宋体" w:hint="default"/>
          <w:sz w:val="22"/>
          <w:szCs w:val="22"/>
        </w:rPr>
        <w:t>4.75%</w:t>
      </w:r>
      <w:r>
        <w:rPr>
          <w:rFonts w:ascii="宋体" w:hAnsi="宋体" w:cs="宋体" w:eastAsia="宋体" w:hint="default"/>
          <w:sz w:val="22"/>
          <w:szCs w:val="22"/>
        </w:rPr>
        <w:t>），其通过其下属控股子公司</w:t>
      </w:r>
      <w:r>
        <w:rPr>
          <w:rFonts w:ascii="宋体" w:hAnsi="宋体" w:cs="宋体" w:eastAsia="宋体" w:hint="default"/>
          <w:w w:val="100"/>
          <w:sz w:val="22"/>
          <w:szCs w:val="22"/>
        </w:rPr>
        <w:t> </w:t>
      </w:r>
      <w:r>
        <w:rPr>
          <w:rFonts w:ascii="宋体" w:hAnsi="宋体" w:cs="宋体" w:eastAsia="宋体" w:hint="default"/>
          <w:spacing w:val="-1"/>
          <w:w w:val="100"/>
          <w:sz w:val="22"/>
          <w:szCs w:val="22"/>
        </w:rPr>
        <w:t>紫光集团有限公司持有公司</w:t>
      </w:r>
      <w:r>
        <w:rPr>
          <w:rFonts w:ascii="宋体" w:hAnsi="宋体" w:cs="宋体" w:eastAsia="宋体" w:hint="default"/>
          <w:spacing w:val="-52"/>
          <w:w w:val="100"/>
          <w:sz w:val="22"/>
          <w:szCs w:val="22"/>
        </w:rPr>
        <w:t> </w:t>
      </w:r>
      <w:r>
        <w:rPr>
          <w:rFonts w:ascii="宋体" w:hAnsi="宋体" w:cs="宋体" w:eastAsia="宋体" w:hint="default"/>
          <w:spacing w:val="-1"/>
          <w:w w:val="100"/>
          <w:sz w:val="22"/>
          <w:szCs w:val="22"/>
        </w:rPr>
        <w:t>69,637,883</w:t>
      </w:r>
      <w:r>
        <w:rPr>
          <w:rFonts w:ascii="宋体" w:hAnsi="宋体" w:cs="宋体" w:eastAsia="宋体" w:hint="default"/>
          <w:spacing w:val="-52"/>
          <w:w w:val="100"/>
          <w:sz w:val="22"/>
          <w:szCs w:val="22"/>
        </w:rPr>
        <w:t> </w:t>
      </w:r>
      <w:r>
        <w:rPr>
          <w:rFonts w:ascii="宋体" w:hAnsi="宋体" w:cs="宋体" w:eastAsia="宋体" w:hint="default"/>
          <w:spacing w:val="-12"/>
          <w:w w:val="100"/>
          <w:sz w:val="22"/>
          <w:szCs w:val="22"/>
        </w:rPr>
        <w:t>股（占公司总股本的</w:t>
      </w:r>
      <w:r>
        <w:rPr>
          <w:rFonts w:ascii="宋体" w:hAnsi="宋体" w:cs="宋体" w:eastAsia="宋体" w:hint="default"/>
          <w:spacing w:val="-54"/>
          <w:w w:val="100"/>
          <w:sz w:val="22"/>
          <w:szCs w:val="22"/>
        </w:rPr>
        <w:t> </w:t>
      </w:r>
      <w:r>
        <w:rPr>
          <w:rFonts w:ascii="宋体" w:hAnsi="宋体" w:cs="宋体" w:eastAsia="宋体" w:hint="default"/>
          <w:spacing w:val="-16"/>
          <w:w w:val="100"/>
          <w:sz w:val="22"/>
          <w:szCs w:val="22"/>
        </w:rPr>
        <w:t>2.35%</w:t>
      </w:r>
      <w:r>
        <w:rPr>
          <w:rFonts w:ascii="宋体" w:hAnsi="宋体" w:cs="宋体" w:eastAsia="宋体" w:hint="default"/>
          <w:spacing w:val="-16"/>
          <w:w w:val="100"/>
          <w:sz w:val="22"/>
          <w:szCs w:val="22"/>
        </w:rPr>
        <w:t>），合计持有公司</w:t>
      </w:r>
      <w:r>
        <w:rPr>
          <w:rFonts w:ascii="宋体" w:hAnsi="宋体" w:cs="宋体" w:eastAsia="宋体" w:hint="default"/>
          <w:spacing w:val="-51"/>
          <w:w w:val="100"/>
          <w:sz w:val="22"/>
          <w:szCs w:val="22"/>
        </w:rPr>
        <w:t> </w:t>
      </w:r>
      <w:r>
        <w:rPr>
          <w:rFonts w:ascii="宋体" w:hAnsi="宋体" w:cs="宋体" w:eastAsia="宋体" w:hint="default"/>
          <w:spacing w:val="-1"/>
          <w:w w:val="100"/>
          <w:sz w:val="22"/>
          <w:szCs w:val="22"/>
        </w:rPr>
        <w:t>7.10%</w:t>
      </w:r>
      <w:r>
        <w:rPr>
          <w:rFonts w:ascii="宋体" w:hAnsi="宋体" w:cs="宋体" w:eastAsia="宋体" w:hint="default"/>
          <w:w w:val="100"/>
          <w:sz w:val="22"/>
          <w:szCs w:val="22"/>
        </w:rPr>
        <w:t> </w:t>
      </w:r>
      <w:r>
        <w:rPr>
          <w:rFonts w:ascii="宋体" w:hAnsi="宋体" w:cs="宋体" w:eastAsia="宋体" w:hint="default"/>
          <w:sz w:val="22"/>
          <w:szCs w:val="22"/>
        </w:rPr>
        <w:t>的股份，中核资本持有公司</w:t>
      </w:r>
      <w:r>
        <w:rPr>
          <w:rFonts w:ascii="宋体" w:hAnsi="宋体" w:cs="宋体" w:eastAsia="宋体" w:hint="default"/>
          <w:spacing w:val="-60"/>
          <w:sz w:val="22"/>
          <w:szCs w:val="22"/>
        </w:rPr>
        <w:t> </w:t>
      </w:r>
      <w:r>
        <w:rPr>
          <w:rFonts w:ascii="宋体" w:hAnsi="宋体" w:cs="宋体" w:eastAsia="宋体" w:hint="default"/>
          <w:sz w:val="22"/>
          <w:szCs w:val="22"/>
        </w:rPr>
        <w:t>622,418,780</w:t>
      </w:r>
      <w:r>
        <w:rPr>
          <w:rFonts w:ascii="宋体" w:hAnsi="宋体" w:cs="宋体" w:eastAsia="宋体" w:hint="default"/>
          <w:spacing w:val="-63"/>
          <w:sz w:val="22"/>
          <w:szCs w:val="22"/>
        </w:rPr>
        <w:t> </w:t>
      </w:r>
      <w:r>
        <w:rPr>
          <w:rFonts w:ascii="宋体" w:hAnsi="宋体" w:cs="宋体" w:eastAsia="宋体" w:hint="default"/>
          <w:sz w:val="22"/>
          <w:szCs w:val="22"/>
        </w:rPr>
        <w:t>股股票（占公司总股本的</w:t>
      </w:r>
      <w:r>
        <w:rPr>
          <w:rFonts w:ascii="宋体" w:hAnsi="宋体" w:cs="宋体" w:eastAsia="宋体" w:hint="default"/>
          <w:spacing w:val="-62"/>
          <w:sz w:val="22"/>
          <w:szCs w:val="22"/>
        </w:rPr>
        <w:t> </w:t>
      </w:r>
      <w:r>
        <w:rPr>
          <w:rFonts w:ascii="宋体" w:hAnsi="宋体" w:cs="宋体" w:eastAsia="宋体" w:hint="default"/>
          <w:sz w:val="22"/>
          <w:szCs w:val="22"/>
        </w:rPr>
        <w:t>21%</w:t>
      </w:r>
      <w:r>
        <w:rPr>
          <w:rFonts w:ascii="宋体" w:hAnsi="宋体" w:cs="宋体" w:eastAsia="宋体" w:hint="default"/>
          <w:sz w:val="22"/>
          <w:szCs w:val="22"/>
        </w:rPr>
        <w:t>），中核资本成为</w:t>
      </w:r>
      <w:r>
        <w:rPr>
          <w:rFonts w:ascii="宋体" w:hAnsi="宋体" w:cs="宋体" w:eastAsia="宋体" w:hint="default"/>
          <w:w w:val="100"/>
          <w:sz w:val="22"/>
          <w:szCs w:val="22"/>
        </w:rPr>
        <w:t> </w:t>
      </w:r>
      <w:r>
        <w:rPr>
          <w:rFonts w:ascii="宋体" w:hAnsi="宋体" w:cs="宋体" w:eastAsia="宋体" w:hint="default"/>
          <w:sz w:val="22"/>
          <w:szCs w:val="22"/>
        </w:rPr>
        <w:t>公司的控股股东，公司实际控制人由教育部变更为国务院国资委。</w:t>
      </w:r>
    </w:p>
    <w:p>
      <w:pPr>
        <w:spacing w:before="141"/>
        <w:ind w:left="822" w:right="0" w:firstLine="0"/>
        <w:jc w:val="both"/>
        <w:rPr>
          <w:rFonts w:ascii="宋体" w:hAnsi="宋体" w:cs="宋体" w:eastAsia="宋体" w:hint="default"/>
          <w:sz w:val="21"/>
          <w:szCs w:val="21"/>
        </w:rPr>
      </w:pPr>
      <w:r>
        <w:rPr>
          <w:rFonts w:ascii="宋体" w:hAnsi="宋体" w:cs="宋体" w:eastAsia="宋体" w:hint="default"/>
          <w:b/>
          <w:bCs/>
          <w:sz w:val="21"/>
          <w:szCs w:val="21"/>
        </w:rPr>
        <w:t>十五、母公司财务报表主要项目注释</w:t>
      </w:r>
      <w:r>
        <w:rPr>
          <w:rFonts w:ascii="宋体" w:hAnsi="宋体" w:cs="宋体" w:eastAsia="宋体" w:hint="default"/>
          <w:sz w:val="21"/>
          <w:szCs w:val="21"/>
        </w:rPr>
      </w:r>
    </w:p>
    <w:p>
      <w:pPr>
        <w:spacing w:before="52"/>
        <w:ind w:left="1277" w:right="6444" w:firstLine="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pacing w:val="3"/>
          <w:sz w:val="22"/>
          <w:szCs w:val="22"/>
        </w:rPr>
        <w:t>应收票据及应收账款</w:t>
      </w:r>
      <w:r>
        <w:rPr>
          <w:rFonts w:ascii="宋体" w:hAnsi="宋体" w:cs="宋体" w:eastAsia="宋体" w:hint="default"/>
          <w:spacing w:val="-72"/>
          <w:sz w:val="22"/>
          <w:szCs w:val="22"/>
        </w:rPr>
        <w:t> </w:t>
      </w:r>
      <w:r>
        <w:rPr>
          <w:rFonts w:ascii="宋体" w:hAnsi="宋体" w:cs="宋体" w:eastAsia="宋体" w:hint="default"/>
          <w:sz w:val="22"/>
          <w:szCs w:val="22"/>
        </w:rPr>
      </w:r>
    </w:p>
    <w:p>
      <w:pPr>
        <w:spacing w:line="240" w:lineRule="auto" w:before="8"/>
        <w:rPr>
          <w:rFonts w:ascii="宋体" w:hAnsi="宋体" w:cs="宋体" w:eastAsia="宋体" w:hint="default"/>
          <w:sz w:val="11"/>
          <w:szCs w:val="11"/>
        </w:rPr>
      </w:pPr>
    </w:p>
    <w:tbl>
      <w:tblPr>
        <w:tblW w:w="0" w:type="auto"/>
        <w:jc w:val="left"/>
        <w:tblInd w:w="714" w:type="dxa"/>
        <w:tblLayout w:type="fixed"/>
        <w:tblCellMar>
          <w:top w:w="0" w:type="dxa"/>
          <w:left w:w="0" w:type="dxa"/>
          <w:bottom w:w="0" w:type="dxa"/>
          <w:right w:w="0" w:type="dxa"/>
        </w:tblCellMar>
        <w:tblLook w:val="01E0"/>
      </w:tblPr>
      <w:tblGrid>
        <w:gridCol w:w="2225"/>
        <w:gridCol w:w="3895"/>
        <w:gridCol w:w="2605"/>
      </w:tblGrid>
      <w:tr>
        <w:trPr>
          <w:trHeight w:val="305" w:hRule="exact"/>
        </w:trPr>
        <w:tc>
          <w:tcPr>
            <w:tcW w:w="222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95"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376"/>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60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6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0" w:hRule="exact"/>
        </w:trPr>
        <w:tc>
          <w:tcPr>
            <w:tcW w:w="2225"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895" w:type="dxa"/>
            <w:tcBorders>
              <w:top w:val="single" w:sz="4" w:space="0" w:color="000000"/>
              <w:left w:val="nil" w:sz="6" w:space="0" w:color="auto"/>
              <w:bottom w:val="nil" w:sz="6" w:space="0" w:color="auto"/>
              <w:right w:val="nil" w:sz="6" w:space="0" w:color="auto"/>
            </w:tcBorders>
          </w:tcPr>
          <w:p>
            <w:pPr>
              <w:pStyle w:val="TableParagraph"/>
              <w:spacing w:line="232" w:lineRule="exact"/>
              <w:ind w:right="662"/>
              <w:jc w:val="right"/>
              <w:rPr>
                <w:rFonts w:ascii="宋体" w:hAnsi="宋体" w:cs="宋体" w:eastAsia="宋体" w:hint="default"/>
                <w:sz w:val="18"/>
                <w:szCs w:val="18"/>
              </w:rPr>
            </w:pPr>
            <w:r>
              <w:rPr>
                <w:rFonts w:ascii="宋体"/>
                <w:spacing w:val="-1"/>
                <w:sz w:val="18"/>
              </w:rPr>
              <w:t>19,176,879.93</w:t>
            </w:r>
          </w:p>
        </w:tc>
        <w:tc>
          <w:tcPr>
            <w:tcW w:w="2605"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22,008,455.78</w:t>
            </w:r>
          </w:p>
        </w:tc>
      </w:tr>
      <w:tr>
        <w:trPr>
          <w:trHeight w:val="291" w:hRule="exact"/>
        </w:trPr>
        <w:tc>
          <w:tcPr>
            <w:tcW w:w="2225"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895" w:type="dxa"/>
            <w:tcBorders>
              <w:top w:val="nil" w:sz="6" w:space="0" w:color="auto"/>
              <w:left w:val="nil" w:sz="6" w:space="0" w:color="auto"/>
              <w:bottom w:val="single" w:sz="4" w:space="0" w:color="000000"/>
              <w:right w:val="nil" w:sz="6" w:space="0" w:color="auto"/>
            </w:tcBorders>
          </w:tcPr>
          <w:p>
            <w:pPr>
              <w:pStyle w:val="TableParagraph"/>
              <w:spacing w:line="233" w:lineRule="exact"/>
              <w:ind w:right="662"/>
              <w:jc w:val="right"/>
              <w:rPr>
                <w:rFonts w:ascii="宋体" w:hAnsi="宋体" w:cs="宋体" w:eastAsia="宋体" w:hint="default"/>
                <w:sz w:val="18"/>
                <w:szCs w:val="18"/>
              </w:rPr>
            </w:pPr>
            <w:r>
              <w:rPr>
                <w:rFonts w:ascii="宋体"/>
                <w:spacing w:val="-1"/>
                <w:sz w:val="18"/>
              </w:rPr>
              <w:t>2,480,583,305.50</w:t>
            </w:r>
          </w:p>
        </w:tc>
        <w:tc>
          <w:tcPr>
            <w:tcW w:w="2605" w:type="dxa"/>
            <w:tcBorders>
              <w:top w:val="nil" w:sz="6" w:space="0" w:color="auto"/>
              <w:left w:val="nil" w:sz="6" w:space="0" w:color="auto"/>
              <w:bottom w:val="single" w:sz="4"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1,529,389,080.51</w:t>
            </w:r>
          </w:p>
        </w:tc>
      </w:tr>
      <w:tr>
        <w:trPr>
          <w:trHeight w:val="305" w:hRule="exact"/>
        </w:trPr>
        <w:tc>
          <w:tcPr>
            <w:tcW w:w="2225"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9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662"/>
              <w:jc w:val="right"/>
              <w:rPr>
                <w:rFonts w:ascii="宋体" w:hAnsi="宋体" w:cs="宋体" w:eastAsia="宋体" w:hint="default"/>
                <w:sz w:val="18"/>
                <w:szCs w:val="18"/>
              </w:rPr>
            </w:pPr>
            <w:r>
              <w:rPr>
                <w:rFonts w:ascii="宋体"/>
                <w:b/>
                <w:w w:val="95"/>
                <w:sz w:val="18"/>
              </w:rPr>
              <w:t>2,499,760,185.43</w:t>
            </w:r>
            <w:r>
              <w:rPr>
                <w:rFonts w:ascii="宋体"/>
                <w:sz w:val="18"/>
              </w:rPr>
            </w:r>
          </w:p>
        </w:tc>
        <w:tc>
          <w:tcPr>
            <w:tcW w:w="260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1,551,397,536.29</w:t>
            </w:r>
            <w:r>
              <w:rPr>
                <w:rFonts w:ascii="宋体"/>
                <w:sz w:val="18"/>
              </w:rPr>
            </w:r>
          </w:p>
        </w:tc>
      </w:tr>
    </w:tbl>
    <w:p>
      <w:pPr>
        <w:spacing w:before="81"/>
        <w:ind w:left="1275" w:right="0" w:firstLine="0"/>
        <w:jc w:val="left"/>
        <w:rPr>
          <w:rFonts w:ascii="宋体" w:hAnsi="宋体" w:cs="宋体" w:eastAsia="宋体" w:hint="default"/>
          <w:sz w:val="22"/>
          <w:szCs w:val="22"/>
        </w:rPr>
      </w:pPr>
      <w:r>
        <w:rPr>
          <w:rFonts w:ascii="宋体" w:hAnsi="宋体" w:cs="宋体" w:eastAsia="宋体" w:hint="default"/>
          <w:b/>
          <w:bCs/>
          <w:sz w:val="22"/>
          <w:szCs w:val="22"/>
        </w:rPr>
        <w:t>1.1</w:t>
      </w:r>
      <w:r>
        <w:rPr>
          <w:rFonts w:ascii="宋体" w:hAnsi="宋体" w:cs="宋体" w:eastAsia="宋体" w:hint="default"/>
          <w:sz w:val="22"/>
          <w:szCs w:val="22"/>
        </w:rPr>
        <w:t>应收票据</w:t>
      </w:r>
    </w:p>
    <w:p>
      <w:pPr>
        <w:spacing w:line="240" w:lineRule="auto" w:before="11"/>
        <w:rPr>
          <w:rFonts w:ascii="宋体" w:hAnsi="宋体" w:cs="宋体" w:eastAsia="宋体" w:hint="default"/>
          <w:sz w:val="12"/>
          <w:szCs w:val="12"/>
        </w:rPr>
      </w:pPr>
    </w:p>
    <w:tbl>
      <w:tblPr>
        <w:tblW w:w="0" w:type="auto"/>
        <w:jc w:val="left"/>
        <w:tblInd w:w="714" w:type="dxa"/>
        <w:tblLayout w:type="fixed"/>
        <w:tblCellMar>
          <w:top w:w="0" w:type="dxa"/>
          <w:left w:w="0" w:type="dxa"/>
          <w:bottom w:w="0" w:type="dxa"/>
          <w:right w:w="0" w:type="dxa"/>
        </w:tblCellMar>
        <w:tblLook w:val="01E0"/>
      </w:tblPr>
      <w:tblGrid>
        <w:gridCol w:w="2405"/>
        <w:gridCol w:w="3715"/>
        <w:gridCol w:w="2605"/>
      </w:tblGrid>
      <w:tr>
        <w:trPr>
          <w:trHeight w:val="305" w:hRule="exact"/>
        </w:trPr>
        <w:tc>
          <w:tcPr>
            <w:tcW w:w="240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1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21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60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6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9" w:hRule="exact"/>
        </w:trPr>
        <w:tc>
          <w:tcPr>
            <w:tcW w:w="2405"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715" w:type="dxa"/>
            <w:tcBorders>
              <w:top w:val="single" w:sz="4" w:space="0" w:color="000000"/>
              <w:left w:val="nil" w:sz="6" w:space="0" w:color="auto"/>
              <w:bottom w:val="nil" w:sz="6" w:space="0" w:color="auto"/>
              <w:right w:val="nil" w:sz="6" w:space="0" w:color="auto"/>
            </w:tcBorders>
          </w:tcPr>
          <w:p>
            <w:pPr>
              <w:pStyle w:val="TableParagraph"/>
              <w:spacing w:line="232" w:lineRule="exact"/>
              <w:ind w:right="662"/>
              <w:jc w:val="right"/>
              <w:rPr>
                <w:rFonts w:ascii="宋体" w:hAnsi="宋体" w:cs="宋体" w:eastAsia="宋体" w:hint="default"/>
                <w:sz w:val="18"/>
                <w:szCs w:val="18"/>
              </w:rPr>
            </w:pPr>
            <w:r>
              <w:rPr>
                <w:rFonts w:ascii="宋体"/>
                <w:spacing w:val="-1"/>
                <w:sz w:val="18"/>
              </w:rPr>
              <w:t>19,176,879.93</w:t>
            </w:r>
          </w:p>
        </w:tc>
        <w:tc>
          <w:tcPr>
            <w:tcW w:w="2605"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14,984,853.41</w:t>
            </w:r>
          </w:p>
        </w:tc>
      </w:tr>
      <w:tr>
        <w:trPr>
          <w:trHeight w:val="291" w:hRule="exact"/>
        </w:trPr>
        <w:tc>
          <w:tcPr>
            <w:tcW w:w="2405"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715" w:type="dxa"/>
            <w:tcBorders>
              <w:top w:val="nil" w:sz="6" w:space="0" w:color="auto"/>
              <w:left w:val="nil" w:sz="6" w:space="0" w:color="auto"/>
              <w:bottom w:val="single" w:sz="4" w:space="0" w:color="000000"/>
              <w:right w:val="nil" w:sz="6" w:space="0" w:color="auto"/>
            </w:tcBorders>
          </w:tcPr>
          <w:p>
            <w:pPr>
              <w:pStyle w:val="TableParagraph"/>
              <w:spacing w:line="233" w:lineRule="exact"/>
              <w:ind w:right="661"/>
              <w:jc w:val="right"/>
              <w:rPr>
                <w:rFonts w:ascii="宋体" w:hAnsi="宋体" w:cs="宋体" w:eastAsia="宋体" w:hint="default"/>
                <w:sz w:val="18"/>
                <w:szCs w:val="18"/>
              </w:rPr>
            </w:pPr>
            <w:r>
              <w:rPr>
                <w:rFonts w:ascii="宋体"/>
                <w:sz w:val="18"/>
              </w:rPr>
              <w:t>0.00</w:t>
            </w:r>
          </w:p>
        </w:tc>
        <w:tc>
          <w:tcPr>
            <w:tcW w:w="2605" w:type="dxa"/>
            <w:tcBorders>
              <w:top w:val="nil" w:sz="6" w:space="0" w:color="auto"/>
              <w:left w:val="nil" w:sz="6" w:space="0" w:color="auto"/>
              <w:bottom w:val="single" w:sz="4"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7,023,602.37</w:t>
            </w:r>
          </w:p>
        </w:tc>
      </w:tr>
      <w:tr>
        <w:trPr>
          <w:trHeight w:val="305" w:hRule="exact"/>
        </w:trPr>
        <w:tc>
          <w:tcPr>
            <w:tcW w:w="2405" w:type="dxa"/>
            <w:tcBorders>
              <w:top w:val="single" w:sz="4" w:space="0" w:color="000000"/>
              <w:left w:val="nil" w:sz="6" w:space="0" w:color="auto"/>
              <w:bottom w:val="single" w:sz="12"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15" w:type="dxa"/>
            <w:tcBorders>
              <w:top w:val="single" w:sz="4" w:space="0" w:color="000000"/>
              <w:left w:val="nil" w:sz="6" w:space="0" w:color="auto"/>
              <w:bottom w:val="single" w:sz="12" w:space="0" w:color="000000"/>
              <w:right w:val="nil" w:sz="6" w:space="0" w:color="auto"/>
            </w:tcBorders>
          </w:tcPr>
          <w:p>
            <w:pPr>
              <w:pStyle w:val="TableParagraph"/>
              <w:spacing w:line="229" w:lineRule="exact"/>
              <w:ind w:right="662"/>
              <w:jc w:val="right"/>
              <w:rPr>
                <w:rFonts w:ascii="宋体" w:hAnsi="宋体" w:cs="宋体" w:eastAsia="宋体" w:hint="default"/>
                <w:sz w:val="18"/>
                <w:szCs w:val="18"/>
              </w:rPr>
            </w:pPr>
            <w:r>
              <w:rPr>
                <w:rFonts w:ascii="宋体"/>
                <w:b/>
                <w:w w:val="95"/>
                <w:sz w:val="18"/>
              </w:rPr>
              <w:t>19,176,879.93</w:t>
            </w:r>
            <w:r>
              <w:rPr>
                <w:rFonts w:ascii="宋体"/>
                <w:sz w:val="18"/>
              </w:rPr>
            </w:r>
          </w:p>
        </w:tc>
        <w:tc>
          <w:tcPr>
            <w:tcW w:w="2605" w:type="dxa"/>
            <w:tcBorders>
              <w:top w:val="single" w:sz="4" w:space="0" w:color="000000"/>
              <w:left w:val="nil" w:sz="6" w:space="0" w:color="auto"/>
              <w:bottom w:val="single" w:sz="12" w:space="0" w:color="000000"/>
              <w:right w:val="nil" w:sz="6" w:space="0" w:color="auto"/>
            </w:tcBorders>
          </w:tcPr>
          <w:p>
            <w:pPr>
              <w:pStyle w:val="TableParagraph"/>
              <w:spacing w:line="229" w:lineRule="exact"/>
              <w:ind w:right="105"/>
              <w:jc w:val="right"/>
              <w:rPr>
                <w:rFonts w:ascii="宋体" w:hAnsi="宋体" w:cs="宋体" w:eastAsia="宋体" w:hint="default"/>
                <w:sz w:val="18"/>
                <w:szCs w:val="18"/>
              </w:rPr>
            </w:pPr>
            <w:r>
              <w:rPr>
                <w:rFonts w:ascii="宋体"/>
                <w:b/>
                <w:w w:val="95"/>
                <w:sz w:val="18"/>
              </w:rPr>
              <w:t>22,008,455.78</w:t>
            </w:r>
            <w:r>
              <w:rPr>
                <w:rFonts w:ascii="宋体"/>
                <w:sz w:val="18"/>
              </w:rPr>
            </w:r>
          </w:p>
        </w:tc>
      </w:tr>
    </w:tbl>
    <w:p>
      <w:pPr>
        <w:spacing w:before="81"/>
        <w:ind w:left="1275" w:right="0" w:firstLine="0"/>
        <w:jc w:val="left"/>
        <w:rPr>
          <w:rFonts w:ascii="宋体" w:hAnsi="宋体" w:cs="宋体" w:eastAsia="宋体" w:hint="default"/>
          <w:sz w:val="22"/>
          <w:szCs w:val="22"/>
        </w:rPr>
      </w:pPr>
      <w:r>
        <w:rPr>
          <w:rFonts w:ascii="宋体" w:hAnsi="宋体" w:cs="宋体" w:eastAsia="宋体" w:hint="default"/>
          <w:b/>
          <w:bCs/>
          <w:spacing w:val="7"/>
          <w:sz w:val="22"/>
          <w:szCs w:val="22"/>
        </w:rPr>
        <w:t>1.2</w:t>
      </w:r>
      <w:r>
        <w:rPr>
          <w:rFonts w:ascii="宋体" w:hAnsi="宋体" w:cs="宋体" w:eastAsia="宋体" w:hint="default"/>
          <w:spacing w:val="7"/>
          <w:sz w:val="22"/>
          <w:szCs w:val="22"/>
        </w:rPr>
        <w:t>应收账款</w:t>
      </w:r>
      <w:r>
        <w:rPr>
          <w:rFonts w:ascii="宋体" w:hAnsi="宋体" w:cs="宋体" w:eastAsia="宋体" w:hint="default"/>
          <w:spacing w:val="-72"/>
          <w:sz w:val="22"/>
          <w:szCs w:val="22"/>
        </w:rPr>
        <w:t> </w:t>
      </w:r>
      <w:r>
        <w:rPr>
          <w:rFonts w:ascii="宋体" w:hAnsi="宋体" w:cs="宋体" w:eastAsia="宋体" w:hint="default"/>
          <w:sz w:val="22"/>
          <w:szCs w:val="22"/>
        </w:rPr>
      </w:r>
    </w:p>
    <w:p>
      <w:pPr>
        <w:spacing w:before="129"/>
        <w:ind w:left="1275" w:right="0" w:firstLine="0"/>
        <w:jc w:val="left"/>
        <w:rPr>
          <w:rFonts w:ascii="宋体" w:hAnsi="宋体" w:cs="宋体" w:eastAsia="宋体" w:hint="default"/>
          <w:sz w:val="22"/>
          <w:szCs w:val="22"/>
        </w:rPr>
      </w:pPr>
      <w:r>
        <w:rPr/>
        <w:pict>
          <v:group style="position:absolute;margin-left:159.139999pt;margin-top:62.157635pt;width:300.45pt;height:.5pt;mso-position-horizontal-relative:page;mso-position-vertical-relative:paragraph;z-index:-1224832" coordorigin="3183,1243" coordsize="6009,10">
            <v:group style="position:absolute;left:3188;top:1248;width:1887;height:2" coordorigin="3188,1248" coordsize="1887,2">
              <v:shape style="position:absolute;left:3188;top:1248;width:1887;height:2" coordorigin="3188,1248" coordsize="1887,0" path="m3188,1248l5074,1248e" filled="false" stroked="true" strokeweight=".48001pt" strokecolor="#000000">
                <v:path arrowok="t"/>
              </v:shape>
            </v:group>
            <v:group style="position:absolute;left:5075;top:1248;width:10;height:2" coordorigin="5075,1248" coordsize="10,2">
              <v:shape style="position:absolute;left:5075;top:1248;width:10;height:2" coordorigin="5075,1248" coordsize="10,0" path="m5075,1248l5084,1248e" filled="false" stroked="true" strokeweight=".48001pt" strokecolor="#000000">
                <v:path arrowok="t"/>
              </v:shape>
            </v:group>
            <v:group style="position:absolute;left:5084;top:1248;width:1515;height:2" coordorigin="5084,1248" coordsize="1515,2">
              <v:shape style="position:absolute;left:5084;top:1248;width:1515;height:2" coordorigin="5084,1248" coordsize="1515,0" path="m5084,1248l6599,1248e" filled="false" stroked="true" strokeweight=".48001pt" strokecolor="#000000">
                <v:path arrowok="t"/>
              </v:shape>
            </v:group>
            <v:group style="position:absolute;left:6599;top:1248;width:10;height:2" coordorigin="6599,1248" coordsize="10,2">
              <v:shape style="position:absolute;left:6599;top:1248;width:10;height:2" coordorigin="6599,1248" coordsize="10,0" path="m6599,1248l6609,1248e" filled="false" stroked="true" strokeweight=".48001pt" strokecolor="#000000">
                <v:path arrowok="t"/>
              </v:shape>
            </v:group>
            <v:group style="position:absolute;left:6609;top:1248;width:1599;height:2" coordorigin="6609,1248" coordsize="1599,2">
              <v:shape style="position:absolute;left:6609;top:1248;width:1599;height:2" coordorigin="6609,1248" coordsize="1599,0" path="m6609,1248l8207,1248e" filled="false" stroked="true" strokeweight=".48001pt" strokecolor="#000000">
                <v:path arrowok="t"/>
              </v:shape>
            </v:group>
            <v:group style="position:absolute;left:8207;top:1248;width:10;height:2" coordorigin="8207,1248" coordsize="10,2">
              <v:shape style="position:absolute;left:8207;top:1248;width:10;height:2" coordorigin="8207,1248" coordsize="10,0" path="m8207,1248l8217,1248e" filled="false" stroked="true" strokeweight=".48001pt" strokecolor="#000000">
                <v:path arrowok="t"/>
              </v:shape>
            </v:group>
            <v:group style="position:absolute;left:8217;top:1248;width:971;height:2" coordorigin="8217,1248" coordsize="971,2">
              <v:shape style="position:absolute;left:8217;top:1248;width:971;height:2" coordorigin="8217,1248" coordsize="971,0" path="m8217,1248l9187,1248e" filled="false" stroked="true" strokeweight=".48001pt" strokecolor="#000000">
                <v:path arrowok="t"/>
              </v:shape>
            </v:group>
            <w10:wrap type="none"/>
          </v:group>
        </w:pict>
      </w:r>
      <w:r>
        <w:rPr>
          <w:rFonts w:ascii="宋体" w:hAnsi="宋体" w:cs="宋体" w:eastAsia="宋体" w:hint="default"/>
          <w:b/>
          <w:bCs/>
          <w:sz w:val="22"/>
          <w:szCs w:val="22"/>
        </w:rPr>
        <w:t>(1)</w:t>
      </w:r>
      <w:r>
        <w:rPr>
          <w:rFonts w:ascii="宋体" w:hAnsi="宋体" w:cs="宋体" w:eastAsia="宋体" w:hint="default"/>
          <w:b/>
          <w:bCs/>
          <w:spacing w:val="11"/>
          <w:sz w:val="22"/>
          <w:szCs w:val="22"/>
        </w:rPr>
        <w:t> </w:t>
      </w:r>
      <w:r>
        <w:rPr>
          <w:rFonts w:ascii="宋体" w:hAnsi="宋体" w:cs="宋体" w:eastAsia="宋体" w:hint="default"/>
          <w:sz w:val="22"/>
          <w:szCs w:val="22"/>
        </w:rPr>
        <w:t>应收账款分类</w:t>
      </w:r>
    </w:p>
    <w:p>
      <w:pPr>
        <w:spacing w:line="240" w:lineRule="auto" w:before="9"/>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196"/>
        <w:gridCol w:w="2222"/>
        <w:gridCol w:w="1251"/>
        <w:gridCol w:w="1656"/>
        <w:gridCol w:w="897"/>
        <w:gridCol w:w="1694"/>
      </w:tblGrid>
      <w:tr>
        <w:trPr>
          <w:trHeight w:val="322" w:hRule="exact"/>
        </w:trPr>
        <w:tc>
          <w:tcPr>
            <w:tcW w:w="2196" w:type="dxa"/>
            <w:tcBorders>
              <w:top w:val="single" w:sz="12" w:space="0" w:color="000000"/>
              <w:left w:val="nil" w:sz="6" w:space="0" w:color="auto"/>
              <w:bottom w:val="nil" w:sz="6" w:space="0" w:color="auto"/>
              <w:right w:val="nil" w:sz="6" w:space="0" w:color="auto"/>
            </w:tcBorders>
          </w:tcPr>
          <w:p>
            <w:pPr/>
          </w:p>
        </w:tc>
        <w:tc>
          <w:tcPr>
            <w:tcW w:w="2222" w:type="dxa"/>
            <w:tcBorders>
              <w:top w:val="single" w:sz="12" w:space="0" w:color="000000"/>
              <w:left w:val="nil" w:sz="6" w:space="0" w:color="auto"/>
              <w:bottom w:val="single" w:sz="4" w:space="0" w:color="000000"/>
              <w:right w:val="nil" w:sz="6" w:space="0" w:color="auto"/>
            </w:tcBorders>
          </w:tcPr>
          <w:p>
            <w:pPr/>
          </w:p>
        </w:tc>
        <w:tc>
          <w:tcPr>
            <w:tcW w:w="1251" w:type="dxa"/>
            <w:tcBorders>
              <w:top w:val="single" w:sz="12" w:space="0" w:color="000000"/>
              <w:left w:val="nil" w:sz="6" w:space="0" w:color="auto"/>
              <w:bottom w:val="single" w:sz="4" w:space="0" w:color="000000"/>
              <w:right w:val="nil" w:sz="6" w:space="0" w:color="auto"/>
            </w:tcBorders>
          </w:tcPr>
          <w:p>
            <w:pPr/>
          </w:p>
        </w:tc>
        <w:tc>
          <w:tcPr>
            <w:tcW w:w="1656" w:type="dxa"/>
            <w:tcBorders>
              <w:top w:val="single" w:sz="12" w:space="0" w:color="000000"/>
              <w:left w:val="nil" w:sz="6" w:space="0" w:color="auto"/>
              <w:bottom w:val="single" w:sz="4" w:space="0" w:color="000000"/>
              <w:right w:val="nil" w:sz="6" w:space="0" w:color="auto"/>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897" w:type="dxa"/>
            <w:tcBorders>
              <w:top w:val="single" w:sz="12" w:space="0" w:color="000000"/>
              <w:left w:val="nil" w:sz="6" w:space="0" w:color="auto"/>
              <w:bottom w:val="single" w:sz="4" w:space="0" w:color="000000"/>
              <w:right w:val="nil" w:sz="6" w:space="0" w:color="auto"/>
            </w:tcBorders>
          </w:tcPr>
          <w:p>
            <w:pPr/>
          </w:p>
        </w:tc>
        <w:tc>
          <w:tcPr>
            <w:tcW w:w="1694" w:type="dxa"/>
            <w:tcBorders>
              <w:top w:val="single" w:sz="12" w:space="0" w:color="000000"/>
              <w:left w:val="nil" w:sz="6" w:space="0" w:color="auto"/>
              <w:bottom w:val="single" w:sz="4" w:space="0" w:color="000000"/>
              <w:right w:val="nil" w:sz="6" w:space="0" w:color="auto"/>
            </w:tcBorders>
          </w:tcPr>
          <w:p>
            <w:pPr/>
          </w:p>
        </w:tc>
      </w:tr>
      <w:tr>
        <w:trPr>
          <w:trHeight w:val="256"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2"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22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34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251" w:type="dxa"/>
            <w:tcBorders>
              <w:top w:val="single" w:sz="4" w:space="0" w:color="000000"/>
              <w:left w:val="nil" w:sz="6" w:space="0" w:color="auto"/>
              <w:bottom w:val="nil" w:sz="6" w:space="0" w:color="auto"/>
              <w:right w:val="nil" w:sz="6" w:space="0" w:color="auto"/>
            </w:tcBorders>
          </w:tcPr>
          <w:p>
            <w:pPr/>
          </w:p>
        </w:tc>
        <w:tc>
          <w:tcPr>
            <w:tcW w:w="165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868"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897" w:type="dxa"/>
            <w:tcBorders>
              <w:top w:val="single" w:sz="4" w:space="0" w:color="000000"/>
              <w:left w:val="nil" w:sz="6" w:space="0" w:color="auto"/>
              <w:bottom w:val="nil" w:sz="6" w:space="0" w:color="auto"/>
              <w:right w:val="nil" w:sz="6" w:space="0" w:color="auto"/>
            </w:tcBorders>
          </w:tcPr>
          <w:p>
            <w:pPr/>
          </w:p>
        </w:tc>
        <w:tc>
          <w:tcPr>
            <w:tcW w:w="1694" w:type="dxa"/>
            <w:tcBorders>
              <w:top w:val="single" w:sz="4" w:space="0" w:color="000000"/>
              <w:left w:val="nil" w:sz="6" w:space="0" w:color="auto"/>
              <w:bottom w:val="nil" w:sz="6" w:space="0" w:color="auto"/>
              <w:right w:val="nil" w:sz="6" w:space="0" w:color="auto"/>
            </w:tcBorders>
          </w:tcPr>
          <w:p>
            <w:pPr/>
          </w:p>
        </w:tc>
      </w:tr>
      <w:tr>
        <w:trPr>
          <w:trHeight w:val="166" w:hRule="exact"/>
        </w:trPr>
        <w:tc>
          <w:tcPr>
            <w:tcW w:w="2196" w:type="dxa"/>
            <w:tcBorders>
              <w:top w:val="nil" w:sz="6" w:space="0" w:color="auto"/>
              <w:left w:val="nil" w:sz="6" w:space="0" w:color="auto"/>
              <w:bottom w:val="nil" w:sz="6" w:space="0" w:color="auto"/>
              <w:right w:val="nil" w:sz="6" w:space="0" w:color="auto"/>
            </w:tcBorders>
          </w:tcPr>
          <w:p>
            <w:pPr/>
          </w:p>
        </w:tc>
        <w:tc>
          <w:tcPr>
            <w:tcW w:w="2222"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c>
          <w:tcPr>
            <w:tcW w:w="1656" w:type="dxa"/>
            <w:tcBorders>
              <w:top w:val="nil" w:sz="6" w:space="0" w:color="auto"/>
              <w:left w:val="nil" w:sz="6" w:space="0" w:color="auto"/>
              <w:bottom w:val="nil" w:sz="6" w:space="0" w:color="auto"/>
              <w:right w:val="nil" w:sz="6" w:space="0" w:color="auto"/>
            </w:tcBorders>
          </w:tcPr>
          <w:p>
            <w:pPr/>
          </w:p>
        </w:tc>
        <w:tc>
          <w:tcPr>
            <w:tcW w:w="897"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Style w:val="TableParagraph"/>
              <w:spacing w:line="173" w:lineRule="exact"/>
              <w:ind w:left="471"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39" w:hRule="exact"/>
        </w:trPr>
        <w:tc>
          <w:tcPr>
            <w:tcW w:w="2196" w:type="dxa"/>
            <w:tcBorders>
              <w:top w:val="nil" w:sz="6" w:space="0" w:color="auto"/>
              <w:left w:val="nil" w:sz="6" w:space="0" w:color="auto"/>
              <w:bottom w:val="single" w:sz="4" w:space="0" w:color="000000"/>
              <w:right w:val="nil" w:sz="6" w:space="0" w:color="auto"/>
            </w:tcBorders>
          </w:tcPr>
          <w:p>
            <w:pPr/>
          </w:p>
        </w:tc>
        <w:tc>
          <w:tcPr>
            <w:tcW w:w="2222" w:type="dxa"/>
            <w:tcBorders>
              <w:top w:val="nil" w:sz="6" w:space="0" w:color="auto"/>
              <w:left w:val="nil" w:sz="6" w:space="0" w:color="auto"/>
              <w:bottom w:val="single" w:sz="4" w:space="0" w:color="000000"/>
              <w:right w:val="nil" w:sz="6" w:space="0" w:color="auto"/>
            </w:tcBorders>
          </w:tcPr>
          <w:p>
            <w:pPr>
              <w:pStyle w:val="TableParagraph"/>
              <w:spacing w:line="173" w:lineRule="exact"/>
              <w:ind w:right="337"/>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51" w:type="dxa"/>
            <w:tcBorders>
              <w:top w:val="nil" w:sz="6" w:space="0" w:color="auto"/>
              <w:left w:val="nil" w:sz="6" w:space="0" w:color="auto"/>
              <w:bottom w:val="single" w:sz="4" w:space="0" w:color="000000"/>
              <w:right w:val="nil" w:sz="6" w:space="0" w:color="auto"/>
            </w:tcBorders>
          </w:tcPr>
          <w:p>
            <w:pPr>
              <w:pStyle w:val="TableParagraph"/>
              <w:spacing w:line="173" w:lineRule="exact"/>
              <w:ind w:left="24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656" w:type="dxa"/>
            <w:tcBorders>
              <w:top w:val="nil" w:sz="6" w:space="0" w:color="auto"/>
              <w:left w:val="nil" w:sz="6" w:space="0" w:color="auto"/>
              <w:bottom w:val="single" w:sz="4" w:space="0" w:color="000000"/>
              <w:right w:val="nil" w:sz="6" w:space="0" w:color="auto"/>
            </w:tcBorders>
          </w:tcPr>
          <w:p>
            <w:pPr>
              <w:pStyle w:val="TableParagraph"/>
              <w:spacing w:line="173" w:lineRule="exact"/>
              <w:ind w:right="17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97" w:type="dxa"/>
            <w:tcBorders>
              <w:top w:val="nil" w:sz="6" w:space="0" w:color="auto"/>
              <w:left w:val="nil" w:sz="6" w:space="0" w:color="auto"/>
              <w:bottom w:val="single" w:sz="4" w:space="0" w:color="000000"/>
              <w:right w:val="nil" w:sz="6" w:space="0" w:color="auto"/>
            </w:tcBorders>
          </w:tcPr>
          <w:p>
            <w:pPr>
              <w:pStyle w:val="TableParagraph"/>
              <w:spacing w:line="173" w:lineRule="exact"/>
              <w:ind w:right="156"/>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宋体" w:hAnsi="宋体" w:cs="宋体" w:eastAsia="宋体" w:hint="default"/>
                <w:sz w:val="18"/>
                <w:szCs w:val="18"/>
              </w:rPr>
            </w:r>
          </w:p>
        </w:tc>
        <w:tc>
          <w:tcPr>
            <w:tcW w:w="1694" w:type="dxa"/>
            <w:tcBorders>
              <w:top w:val="nil" w:sz="6" w:space="0" w:color="auto"/>
              <w:left w:val="nil" w:sz="6" w:space="0" w:color="auto"/>
              <w:bottom w:val="single" w:sz="4" w:space="0" w:color="000000"/>
              <w:right w:val="nil" w:sz="6" w:space="0" w:color="auto"/>
            </w:tcBorders>
          </w:tcPr>
          <w:p>
            <w:pPr/>
          </w:p>
        </w:tc>
      </w:tr>
      <w:tr>
        <w:trPr>
          <w:trHeight w:val="604" w:hRule="exact"/>
        </w:trPr>
        <w:tc>
          <w:tcPr>
            <w:tcW w:w="2196" w:type="dxa"/>
            <w:tcBorders>
              <w:top w:val="single" w:sz="4" w:space="0" w:color="000000"/>
              <w:left w:val="nil" w:sz="6" w:space="0" w:color="auto"/>
              <w:bottom w:val="nil" w:sz="6" w:space="0" w:color="auto"/>
              <w:right w:val="nil" w:sz="6" w:space="0" w:color="auto"/>
            </w:tcBorders>
          </w:tcPr>
          <w:p>
            <w:pPr>
              <w:pStyle w:val="TableParagraph"/>
              <w:spacing w:line="232" w:lineRule="exact" w:before="61"/>
              <w:ind w:left="120" w:right="107"/>
              <w:jc w:val="left"/>
              <w:rPr>
                <w:rFonts w:ascii="宋体" w:hAnsi="宋体" w:cs="宋体" w:eastAsia="宋体" w:hint="default"/>
                <w:sz w:val="18"/>
                <w:szCs w:val="18"/>
              </w:rPr>
            </w:pPr>
            <w:r>
              <w:rPr>
                <w:rFonts w:ascii="宋体" w:hAnsi="宋体" w:cs="宋体" w:eastAsia="宋体" w:hint="default"/>
                <w:spacing w:val="16"/>
                <w:sz w:val="18"/>
                <w:szCs w:val="18"/>
              </w:rPr>
              <w:t>单项金额重大并单项计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提坏账准备的应收账款</w:t>
            </w:r>
          </w:p>
        </w:tc>
        <w:tc>
          <w:tcPr>
            <w:tcW w:w="2222"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left="1416" w:right="0"/>
              <w:jc w:val="left"/>
              <w:rPr>
                <w:rFonts w:ascii="宋体" w:hAnsi="宋体" w:cs="宋体" w:eastAsia="宋体" w:hint="default"/>
                <w:sz w:val="18"/>
                <w:szCs w:val="18"/>
              </w:rPr>
            </w:pPr>
            <w:r>
              <w:rPr>
                <w:rFonts w:ascii="宋体"/>
                <w:sz w:val="18"/>
              </w:rPr>
              <w:t>0.00</w:t>
            </w:r>
          </w:p>
        </w:tc>
        <w:tc>
          <w:tcPr>
            <w:tcW w:w="1251"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167"/>
              <w:jc w:val="right"/>
              <w:rPr>
                <w:rFonts w:ascii="宋体" w:hAnsi="宋体" w:cs="宋体" w:eastAsia="宋体" w:hint="default"/>
                <w:sz w:val="18"/>
                <w:szCs w:val="18"/>
              </w:rPr>
            </w:pPr>
            <w:r>
              <w:rPr>
                <w:rFonts w:ascii="宋体"/>
                <w:sz w:val="18"/>
              </w:rPr>
              <w:t>0.00%</w:t>
            </w:r>
          </w:p>
        </w:tc>
        <w:tc>
          <w:tcPr>
            <w:tcW w:w="1656"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left="1077" w:right="0"/>
              <w:jc w:val="left"/>
              <w:rPr>
                <w:rFonts w:ascii="宋体" w:hAnsi="宋体" w:cs="宋体" w:eastAsia="宋体" w:hint="default"/>
                <w:sz w:val="18"/>
                <w:szCs w:val="18"/>
              </w:rPr>
            </w:pPr>
            <w:r>
              <w:rPr>
                <w:rFonts w:ascii="宋体"/>
                <w:sz w:val="18"/>
              </w:rPr>
              <w:t>0.00</w:t>
            </w:r>
          </w:p>
        </w:tc>
        <w:tc>
          <w:tcPr>
            <w:tcW w:w="897"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132"/>
              <w:jc w:val="right"/>
              <w:rPr>
                <w:rFonts w:ascii="宋体" w:hAnsi="宋体" w:cs="宋体" w:eastAsia="宋体" w:hint="default"/>
                <w:sz w:val="18"/>
                <w:szCs w:val="18"/>
              </w:rPr>
            </w:pPr>
            <w:r>
              <w:rPr>
                <w:rFonts w:ascii="宋体"/>
                <w:sz w:val="18"/>
              </w:rPr>
              <w:t>0.00%</w:t>
            </w:r>
          </w:p>
        </w:tc>
        <w:tc>
          <w:tcPr>
            <w:tcW w:w="1694" w:type="dxa"/>
            <w:tcBorders>
              <w:top w:val="single" w:sz="4" w:space="0" w:color="000000"/>
              <w:left w:val="nil" w:sz="6" w:space="0" w:color="auto"/>
              <w:bottom w:val="nil" w:sz="6" w:space="0" w:color="auto"/>
              <w:right w:val="nil" w:sz="6" w:space="0" w:color="auto"/>
            </w:tcBorders>
          </w:tcPr>
          <w:p>
            <w:pPr>
              <w:pStyle w:val="TableParagraph"/>
              <w:spacing w:line="240" w:lineRule="auto" w:before="152"/>
              <w:ind w:right="105"/>
              <w:jc w:val="right"/>
              <w:rPr>
                <w:rFonts w:ascii="宋体" w:hAnsi="宋体" w:cs="宋体" w:eastAsia="宋体" w:hint="default"/>
                <w:sz w:val="18"/>
                <w:szCs w:val="18"/>
              </w:rPr>
            </w:pPr>
            <w:r>
              <w:rPr>
                <w:rFonts w:ascii="宋体"/>
                <w:sz w:val="18"/>
              </w:rPr>
              <w:t>0.00</w:t>
            </w:r>
          </w:p>
        </w:tc>
      </w:tr>
      <w:tr>
        <w:trPr>
          <w:trHeight w:val="568"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32" w:lineRule="exact" w:before="62"/>
              <w:ind w:left="120" w:right="107"/>
              <w:jc w:val="left"/>
              <w:rPr>
                <w:rFonts w:ascii="宋体" w:hAnsi="宋体" w:cs="宋体" w:eastAsia="宋体" w:hint="default"/>
                <w:sz w:val="18"/>
                <w:szCs w:val="18"/>
              </w:rPr>
            </w:pPr>
            <w:r>
              <w:rPr>
                <w:rFonts w:ascii="宋体" w:hAnsi="宋体" w:cs="宋体" w:eastAsia="宋体" w:hint="default"/>
                <w:spacing w:val="16"/>
                <w:sz w:val="18"/>
                <w:szCs w:val="18"/>
              </w:rPr>
              <w:t>按信用风险特征组合计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提坏账准备的应收账款</w:t>
            </w: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336" w:right="0"/>
              <w:jc w:val="left"/>
              <w:rPr>
                <w:rFonts w:ascii="宋体" w:hAnsi="宋体" w:cs="宋体" w:eastAsia="宋体" w:hint="default"/>
                <w:sz w:val="18"/>
                <w:szCs w:val="18"/>
              </w:rPr>
            </w:pPr>
            <w:r>
              <w:rPr>
                <w:rFonts w:ascii="宋体"/>
                <w:sz w:val="18"/>
              </w:rPr>
              <w:t>2,974,950,020.90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69"/>
              <w:jc w:val="right"/>
              <w:rPr>
                <w:rFonts w:ascii="宋体" w:hAnsi="宋体" w:cs="宋体" w:eastAsia="宋体" w:hint="default"/>
                <w:sz w:val="18"/>
                <w:szCs w:val="18"/>
              </w:rPr>
            </w:pPr>
            <w:r>
              <w:rPr>
                <w:rFonts w:ascii="宋体"/>
                <w:sz w:val="18"/>
              </w:rPr>
              <w:t>100.00%</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77" w:right="0"/>
              <w:jc w:val="left"/>
              <w:rPr>
                <w:rFonts w:ascii="宋体" w:hAnsi="宋体" w:cs="宋体" w:eastAsia="宋体" w:hint="default"/>
                <w:sz w:val="18"/>
                <w:szCs w:val="18"/>
              </w:rPr>
            </w:pPr>
            <w:r>
              <w:rPr>
                <w:rFonts w:ascii="宋体"/>
                <w:sz w:val="18"/>
              </w:rPr>
              <w:t>494,366,715.40</w:t>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32"/>
              <w:jc w:val="right"/>
              <w:rPr>
                <w:rFonts w:ascii="宋体" w:hAnsi="宋体" w:cs="宋体" w:eastAsia="宋体" w:hint="default"/>
                <w:sz w:val="18"/>
                <w:szCs w:val="18"/>
              </w:rPr>
            </w:pPr>
            <w:r>
              <w:rPr>
                <w:rFonts w:ascii="宋体"/>
                <w:spacing w:val="-1"/>
                <w:sz w:val="18"/>
              </w:rPr>
              <w:t>16.62%</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06"/>
              <w:jc w:val="right"/>
              <w:rPr>
                <w:rFonts w:ascii="宋体" w:hAnsi="宋体" w:cs="宋体" w:eastAsia="宋体" w:hint="default"/>
                <w:sz w:val="18"/>
                <w:szCs w:val="18"/>
              </w:rPr>
            </w:pPr>
            <w:r>
              <w:rPr>
                <w:rFonts w:ascii="宋体"/>
                <w:spacing w:val="-1"/>
                <w:sz w:val="18"/>
              </w:rPr>
              <w:t>2,480,583,305.50</w:t>
            </w:r>
          </w:p>
        </w:tc>
      </w:tr>
      <w:tr>
        <w:trPr>
          <w:trHeight w:val="739" w:hRule="exact"/>
        </w:trPr>
        <w:tc>
          <w:tcPr>
            <w:tcW w:w="2196" w:type="dxa"/>
            <w:tcBorders>
              <w:top w:val="nil" w:sz="6" w:space="0" w:color="auto"/>
              <w:left w:val="nil" w:sz="6" w:space="0" w:color="auto"/>
              <w:bottom w:val="single" w:sz="4" w:space="0" w:color="000000"/>
              <w:right w:val="nil" w:sz="6" w:space="0" w:color="auto"/>
            </w:tcBorders>
          </w:tcPr>
          <w:p>
            <w:pPr>
              <w:pStyle w:val="TableParagraph"/>
              <w:spacing w:line="232" w:lineRule="exact" w:before="30"/>
              <w:ind w:left="120" w:right="107"/>
              <w:jc w:val="both"/>
              <w:rPr>
                <w:rFonts w:ascii="宋体" w:hAnsi="宋体" w:cs="宋体" w:eastAsia="宋体" w:hint="default"/>
                <w:sz w:val="18"/>
                <w:szCs w:val="18"/>
              </w:rPr>
            </w:pPr>
            <w:r>
              <w:rPr>
                <w:rFonts w:ascii="宋体" w:hAnsi="宋体" w:cs="宋体" w:eastAsia="宋体" w:hint="default"/>
                <w:spacing w:val="16"/>
                <w:sz w:val="18"/>
                <w:szCs w:val="18"/>
              </w:rPr>
              <w:t>单项金额不重大但单项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6"/>
                <w:sz w:val="18"/>
                <w:szCs w:val="18"/>
              </w:rPr>
              <w:t>计提坏账准备的应收账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款</w:t>
            </w:r>
          </w:p>
        </w:tc>
        <w:tc>
          <w:tcPr>
            <w:tcW w:w="2222"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416" w:right="0"/>
              <w:jc w:val="left"/>
              <w:rPr>
                <w:rFonts w:ascii="宋体" w:hAnsi="宋体" w:cs="宋体" w:eastAsia="宋体" w:hint="default"/>
                <w:sz w:val="18"/>
                <w:szCs w:val="18"/>
              </w:rPr>
            </w:pPr>
            <w:r>
              <w:rPr>
                <w:rFonts w:ascii="宋体"/>
                <w:sz w:val="18"/>
              </w:rPr>
              <w:t>0.00</w:t>
            </w:r>
          </w:p>
        </w:tc>
        <w:tc>
          <w:tcPr>
            <w:tcW w:w="125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67"/>
              <w:jc w:val="right"/>
              <w:rPr>
                <w:rFonts w:ascii="宋体" w:hAnsi="宋体" w:cs="宋体" w:eastAsia="宋体" w:hint="default"/>
                <w:sz w:val="18"/>
                <w:szCs w:val="18"/>
              </w:rPr>
            </w:pPr>
            <w:r>
              <w:rPr>
                <w:rFonts w:ascii="宋体"/>
                <w:sz w:val="18"/>
              </w:rPr>
              <w:t>0.00%</w:t>
            </w:r>
          </w:p>
        </w:tc>
        <w:tc>
          <w:tcPr>
            <w:tcW w:w="165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77" w:right="0"/>
              <w:jc w:val="left"/>
              <w:rPr>
                <w:rFonts w:ascii="宋体" w:hAnsi="宋体" w:cs="宋体" w:eastAsia="宋体" w:hint="default"/>
                <w:sz w:val="18"/>
                <w:szCs w:val="18"/>
              </w:rPr>
            </w:pPr>
            <w:r>
              <w:rPr>
                <w:rFonts w:ascii="宋体"/>
                <w:sz w:val="18"/>
              </w:rPr>
              <w:t>0.00</w:t>
            </w:r>
          </w:p>
        </w:tc>
        <w:tc>
          <w:tcPr>
            <w:tcW w:w="897"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32"/>
              <w:jc w:val="right"/>
              <w:rPr>
                <w:rFonts w:ascii="宋体" w:hAnsi="宋体" w:cs="宋体" w:eastAsia="宋体" w:hint="default"/>
                <w:sz w:val="18"/>
                <w:szCs w:val="18"/>
              </w:rPr>
            </w:pPr>
            <w:r>
              <w:rPr>
                <w:rFonts w:ascii="宋体"/>
                <w:sz w:val="18"/>
              </w:rPr>
              <w:t>0.00%</w:t>
            </w:r>
          </w:p>
        </w:tc>
        <w:tc>
          <w:tcPr>
            <w:tcW w:w="169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z w:val="18"/>
              </w:rPr>
              <w:t>0.00</w:t>
            </w:r>
          </w:p>
        </w:tc>
      </w:tr>
      <w:tr>
        <w:trPr>
          <w:trHeight w:val="322" w:hRule="exact"/>
        </w:trPr>
        <w:tc>
          <w:tcPr>
            <w:tcW w:w="2196"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12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22" w:type="dxa"/>
            <w:tcBorders>
              <w:top w:val="single" w:sz="4" w:space="0" w:color="000000"/>
              <w:left w:val="nil" w:sz="6" w:space="0" w:color="auto"/>
              <w:bottom w:val="single" w:sz="12" w:space="0" w:color="000000"/>
              <w:right w:val="nil" w:sz="6" w:space="0" w:color="auto"/>
            </w:tcBorders>
          </w:tcPr>
          <w:p>
            <w:pPr>
              <w:pStyle w:val="TableParagraph"/>
              <w:spacing w:line="240" w:lineRule="auto" w:before="5"/>
              <w:ind w:left="324" w:right="0"/>
              <w:jc w:val="left"/>
              <w:rPr>
                <w:rFonts w:ascii="宋体" w:hAnsi="宋体" w:cs="宋体" w:eastAsia="宋体" w:hint="default"/>
                <w:sz w:val="18"/>
                <w:szCs w:val="18"/>
              </w:rPr>
            </w:pPr>
            <w:r>
              <w:rPr>
                <w:rFonts w:ascii="宋体"/>
                <w:b/>
                <w:sz w:val="18"/>
              </w:rPr>
              <w:t>2,974,950,020.90</w:t>
            </w:r>
            <w:r>
              <w:rPr>
                <w:rFonts w:ascii="宋体"/>
                <w:sz w:val="18"/>
              </w:rPr>
            </w:r>
          </w:p>
        </w:tc>
        <w:tc>
          <w:tcPr>
            <w:tcW w:w="1251" w:type="dxa"/>
            <w:tcBorders>
              <w:top w:val="single" w:sz="4" w:space="0" w:color="000000"/>
              <w:left w:val="nil" w:sz="6" w:space="0" w:color="auto"/>
              <w:bottom w:val="single" w:sz="12" w:space="0" w:color="000000"/>
              <w:right w:val="nil" w:sz="6" w:space="0" w:color="auto"/>
            </w:tcBorders>
          </w:tcPr>
          <w:p>
            <w:pPr>
              <w:pStyle w:val="TableParagraph"/>
              <w:spacing w:line="240" w:lineRule="auto" w:before="5"/>
              <w:ind w:right="166"/>
              <w:jc w:val="right"/>
              <w:rPr>
                <w:rFonts w:ascii="宋体" w:hAnsi="宋体" w:cs="宋体" w:eastAsia="宋体" w:hint="default"/>
                <w:sz w:val="18"/>
                <w:szCs w:val="18"/>
              </w:rPr>
            </w:pPr>
            <w:r>
              <w:rPr>
                <w:rFonts w:ascii="宋体"/>
                <w:b/>
                <w:sz w:val="18"/>
              </w:rPr>
              <w:t>100.00%</w:t>
            </w:r>
            <w:r>
              <w:rPr>
                <w:rFonts w:ascii="宋体"/>
                <w:sz w:val="18"/>
              </w:rPr>
            </w:r>
          </w:p>
        </w:tc>
        <w:tc>
          <w:tcPr>
            <w:tcW w:w="1656" w:type="dxa"/>
            <w:tcBorders>
              <w:top w:val="single" w:sz="4" w:space="0" w:color="000000"/>
              <w:left w:val="nil" w:sz="6" w:space="0" w:color="auto"/>
              <w:bottom w:val="single" w:sz="12" w:space="0" w:color="000000"/>
              <w:right w:val="nil" w:sz="6" w:space="0" w:color="auto"/>
            </w:tcBorders>
          </w:tcPr>
          <w:p>
            <w:pPr>
              <w:pStyle w:val="TableParagraph"/>
              <w:spacing w:line="240" w:lineRule="auto" w:before="5"/>
              <w:ind w:left="168" w:right="0"/>
              <w:jc w:val="left"/>
              <w:rPr>
                <w:rFonts w:ascii="宋体" w:hAnsi="宋体" w:cs="宋体" w:eastAsia="宋体" w:hint="default"/>
                <w:sz w:val="18"/>
                <w:szCs w:val="18"/>
              </w:rPr>
            </w:pPr>
            <w:r>
              <w:rPr>
                <w:rFonts w:ascii="宋体"/>
                <w:b/>
                <w:sz w:val="18"/>
              </w:rPr>
              <w:t>494,366,715.40</w:t>
            </w:r>
            <w:r>
              <w:rPr>
                <w:rFonts w:ascii="宋体"/>
                <w:sz w:val="18"/>
              </w:rPr>
            </w:r>
          </w:p>
        </w:tc>
        <w:tc>
          <w:tcPr>
            <w:tcW w:w="897" w:type="dxa"/>
            <w:tcBorders>
              <w:top w:val="single" w:sz="4" w:space="0" w:color="000000"/>
              <w:left w:val="nil" w:sz="6" w:space="0" w:color="auto"/>
              <w:bottom w:val="single" w:sz="12" w:space="0" w:color="000000"/>
              <w:right w:val="nil" w:sz="6" w:space="0" w:color="auto"/>
            </w:tcBorders>
          </w:tcPr>
          <w:p>
            <w:pPr>
              <w:pStyle w:val="TableParagraph"/>
              <w:spacing w:line="240" w:lineRule="auto" w:before="5"/>
              <w:ind w:right="131"/>
              <w:jc w:val="right"/>
              <w:rPr>
                <w:rFonts w:ascii="宋体" w:hAnsi="宋体" w:cs="宋体" w:eastAsia="宋体" w:hint="default"/>
                <w:sz w:val="18"/>
                <w:szCs w:val="18"/>
              </w:rPr>
            </w:pPr>
            <w:r>
              <w:rPr>
                <w:rFonts w:ascii="宋体"/>
                <w:b/>
                <w:sz w:val="18"/>
              </w:rPr>
              <w:t>16.62%</w:t>
            </w:r>
            <w:r>
              <w:rPr>
                <w:rFonts w:ascii="宋体"/>
                <w:sz w:val="18"/>
              </w:rPr>
            </w:r>
          </w:p>
        </w:tc>
        <w:tc>
          <w:tcPr>
            <w:tcW w:w="1694" w:type="dxa"/>
            <w:tcBorders>
              <w:top w:val="single" w:sz="4" w:space="0" w:color="000000"/>
              <w:left w:val="nil" w:sz="6" w:space="0" w:color="auto"/>
              <w:bottom w:val="single" w:sz="12" w:space="0" w:color="000000"/>
              <w:right w:val="nil" w:sz="6" w:space="0" w:color="auto"/>
            </w:tcBorders>
          </w:tcPr>
          <w:p>
            <w:pPr>
              <w:pStyle w:val="TableParagraph"/>
              <w:spacing w:line="240" w:lineRule="auto" w:before="5"/>
              <w:ind w:right="106"/>
              <w:jc w:val="right"/>
              <w:rPr>
                <w:rFonts w:ascii="宋体" w:hAnsi="宋体" w:cs="宋体" w:eastAsia="宋体" w:hint="default"/>
                <w:sz w:val="18"/>
                <w:szCs w:val="18"/>
              </w:rPr>
            </w:pPr>
            <w:r>
              <w:rPr>
                <w:rFonts w:ascii="宋体"/>
                <w:b/>
                <w:w w:val="95"/>
                <w:sz w:val="18"/>
              </w:rPr>
              <w:t>2,480,583,305.50</w:t>
            </w:r>
            <w:r>
              <w:rPr>
                <w:rFonts w:ascii="宋体"/>
                <w:sz w:val="18"/>
              </w:rPr>
            </w:r>
          </w:p>
        </w:tc>
      </w:tr>
    </w:tbl>
    <w:p>
      <w:pPr>
        <w:spacing w:after="0" w:line="240" w:lineRule="auto"/>
        <w:jc w:val="right"/>
        <w:rPr>
          <w:rFonts w:ascii="宋体" w:hAnsi="宋体" w:cs="宋体" w:eastAsia="宋体" w:hint="default"/>
          <w:sz w:val="18"/>
          <w:szCs w:val="18"/>
        </w:rPr>
        <w:sectPr>
          <w:footerReference w:type="default" r:id="rId51"/>
          <w:pgSz w:w="11910" w:h="16840"/>
          <w:pgMar w:footer="1054" w:header="0" w:top="1360" w:bottom="1240" w:left="880" w:right="900"/>
          <w:pgNumType w:start="181"/>
        </w:sectPr>
      </w:pPr>
    </w:p>
    <w:p>
      <w:pPr>
        <w:spacing w:before="6"/>
        <w:ind w:left="1106" w:right="0" w:firstLine="0"/>
        <w:jc w:val="left"/>
        <w:rPr>
          <w:rFonts w:ascii="宋体" w:hAnsi="宋体" w:cs="宋体" w:eastAsia="宋体" w:hint="default"/>
          <w:sz w:val="22"/>
          <w:szCs w:val="22"/>
        </w:rPr>
      </w:pPr>
      <w:r>
        <w:rPr/>
        <w:pict>
          <v:group style="position:absolute;margin-left:163.460007pt;margin-top:55.407684pt;width:287.75pt;height:.5pt;mso-position-horizontal-relative:page;mso-position-vertical-relative:paragraph;z-index:-1224736" coordorigin="3269,1108" coordsize="5755,10">
            <v:group style="position:absolute;left:3274;top:1113;width:1715;height:2" coordorigin="3274,1113" coordsize="1715,2">
              <v:shape style="position:absolute;left:3274;top:1113;width:1715;height:2" coordorigin="3274,1113" coordsize="1715,0" path="m3274,1113l4988,1113e" filled="false" stroked="true" strokeweight=".48pt" strokecolor="#000000">
                <v:path arrowok="t"/>
              </v:shape>
            </v:group>
            <v:group style="position:absolute;left:4988;top:1113;width:10;height:2" coordorigin="4988,1113" coordsize="10,2">
              <v:shape style="position:absolute;left:4988;top:1113;width:10;height:2" coordorigin="4988,1113" coordsize="10,0" path="m4988,1113l4998,1113e" filled="false" stroked="true" strokeweight=".48pt" strokecolor="#000000">
                <v:path arrowok="t"/>
              </v:shape>
            </v:group>
            <v:group style="position:absolute;left:4998;top:1113;width:1134;height:2" coordorigin="4998,1113" coordsize="1134,2">
              <v:shape style="position:absolute;left:4998;top:1113;width:1134;height:2" coordorigin="4998,1113" coordsize="1134,0" path="m4998,1113l6131,1113e" filled="false" stroked="true" strokeweight=".48pt" strokecolor="#000000">
                <v:path arrowok="t"/>
              </v:shape>
            </v:group>
            <v:group style="position:absolute;left:6131;top:1113;width:10;height:2" coordorigin="6131,1113" coordsize="10,2">
              <v:shape style="position:absolute;left:6131;top:1113;width:10;height:2" coordorigin="6131,1113" coordsize="10,0" path="m6131,1113l6141,1113e" filled="false" stroked="true" strokeweight=".48pt" strokecolor="#000000">
                <v:path arrowok="t"/>
              </v:shape>
            </v:group>
            <v:group style="position:absolute;left:6141;top:1113;width:1709;height:2" coordorigin="6141,1113" coordsize="1709,2">
              <v:shape style="position:absolute;left:6141;top:1113;width:1709;height:2" coordorigin="6141,1113" coordsize="1709,0" path="m6141,1113l7849,1113e" filled="false" stroked="true" strokeweight=".48pt" strokecolor="#000000">
                <v:path arrowok="t"/>
              </v:shape>
            </v:group>
            <v:group style="position:absolute;left:7849;top:1113;width:10;height:2" coordorigin="7849,1113" coordsize="10,2">
              <v:shape style="position:absolute;left:7849;top:1113;width:10;height:2" coordorigin="7849,1113" coordsize="10,0" path="m7849,1113l7859,1113e" filled="false" stroked="true" strokeweight=".48pt" strokecolor="#000000">
                <v:path arrowok="t"/>
              </v:shape>
            </v:group>
            <v:group style="position:absolute;left:7859;top:1113;width:1160;height:2" coordorigin="7859,1113" coordsize="1160,2">
              <v:shape style="position:absolute;left:7859;top:1113;width:1160;height:2" coordorigin="7859,1113" coordsize="1160,0" path="m7859,1113l9019,1113e" filled="false" stroked="true" strokeweight=".48pt" strokecolor="#000000">
                <v:path arrowok="t"/>
              </v:shape>
            </v:group>
            <w10:wrap type="none"/>
          </v:group>
        </w:pict>
      </w:r>
      <w:r>
        <w:rPr>
          <w:rFonts w:ascii="宋体" w:hAnsi="宋体" w:cs="宋体" w:eastAsia="宋体" w:hint="default"/>
          <w:sz w:val="22"/>
          <w:szCs w:val="22"/>
        </w:rPr>
        <w:t>（续）</w:t>
      </w:r>
    </w:p>
    <w:p>
      <w:pPr>
        <w:spacing w:line="240" w:lineRule="auto" w:before="9"/>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146"/>
        <w:gridCol w:w="1949"/>
        <w:gridCol w:w="1023"/>
        <w:gridCol w:w="1660"/>
        <w:gridCol w:w="1154"/>
        <w:gridCol w:w="1708"/>
      </w:tblGrid>
      <w:tr>
        <w:trPr>
          <w:trHeight w:val="324" w:hRule="exact"/>
        </w:trPr>
        <w:tc>
          <w:tcPr>
            <w:tcW w:w="2146" w:type="dxa"/>
            <w:tcBorders>
              <w:top w:val="single" w:sz="12" w:space="0" w:color="000000"/>
              <w:left w:val="nil" w:sz="6" w:space="0" w:color="auto"/>
              <w:bottom w:val="nil" w:sz="6" w:space="0" w:color="auto"/>
              <w:right w:val="nil" w:sz="6" w:space="0" w:color="auto"/>
            </w:tcBorders>
          </w:tcPr>
          <w:p>
            <w:pPr/>
          </w:p>
        </w:tc>
        <w:tc>
          <w:tcPr>
            <w:tcW w:w="1949" w:type="dxa"/>
            <w:tcBorders>
              <w:top w:val="single" w:sz="12" w:space="0" w:color="000000"/>
              <w:left w:val="nil" w:sz="6" w:space="0" w:color="auto"/>
              <w:bottom w:val="single" w:sz="4" w:space="0" w:color="000000"/>
              <w:right w:val="nil" w:sz="6" w:space="0" w:color="auto"/>
            </w:tcBorders>
          </w:tcPr>
          <w:p>
            <w:pPr/>
          </w:p>
        </w:tc>
        <w:tc>
          <w:tcPr>
            <w:tcW w:w="1023" w:type="dxa"/>
            <w:tcBorders>
              <w:top w:val="single" w:sz="12" w:space="0" w:color="000000"/>
              <w:left w:val="nil" w:sz="6" w:space="0" w:color="auto"/>
              <w:bottom w:val="single" w:sz="4" w:space="0" w:color="000000"/>
              <w:right w:val="nil" w:sz="6" w:space="0" w:color="auto"/>
            </w:tcBorders>
          </w:tcPr>
          <w:p>
            <w:pPr/>
          </w:p>
        </w:tc>
        <w:tc>
          <w:tcPr>
            <w:tcW w:w="1660" w:type="dxa"/>
            <w:tcBorders>
              <w:top w:val="single" w:sz="12" w:space="0" w:color="000000"/>
              <w:left w:val="nil" w:sz="6" w:space="0" w:color="auto"/>
              <w:bottom w:val="single" w:sz="4" w:space="0" w:color="000000"/>
              <w:right w:val="nil" w:sz="6" w:space="0" w:color="auto"/>
            </w:tcBorders>
          </w:tcPr>
          <w:p>
            <w:pPr>
              <w:pStyle w:val="TableParagraph"/>
              <w:spacing w:line="240" w:lineRule="auto" w:before="5"/>
              <w:ind w:left="41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154" w:type="dxa"/>
            <w:tcBorders>
              <w:top w:val="single" w:sz="12" w:space="0" w:color="000000"/>
              <w:left w:val="nil" w:sz="6" w:space="0" w:color="auto"/>
              <w:bottom w:val="single" w:sz="4" w:space="0" w:color="000000"/>
              <w:right w:val="nil" w:sz="6" w:space="0" w:color="auto"/>
            </w:tcBorders>
          </w:tcPr>
          <w:p>
            <w:pPr/>
          </w:p>
        </w:tc>
        <w:tc>
          <w:tcPr>
            <w:tcW w:w="1708" w:type="dxa"/>
            <w:tcBorders>
              <w:top w:val="single" w:sz="12" w:space="0" w:color="000000"/>
              <w:left w:val="nil" w:sz="6" w:space="0" w:color="auto"/>
              <w:bottom w:val="single" w:sz="4" w:space="0" w:color="000000"/>
              <w:right w:val="nil" w:sz="6" w:space="0" w:color="auto"/>
            </w:tcBorders>
          </w:tcPr>
          <w:p>
            <w:pPr/>
          </w:p>
        </w:tc>
      </w:tr>
      <w:tr>
        <w:trPr>
          <w:trHeight w:val="234" w:hRule="exact"/>
        </w:trPr>
        <w:tc>
          <w:tcPr>
            <w:tcW w:w="214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949"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66"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023" w:type="dxa"/>
            <w:tcBorders>
              <w:top w:val="single" w:sz="4" w:space="0" w:color="000000"/>
              <w:left w:val="nil" w:sz="6" w:space="0" w:color="auto"/>
              <w:bottom w:val="nil" w:sz="6" w:space="0" w:color="auto"/>
              <w:right w:val="nil" w:sz="6" w:space="0" w:color="auto"/>
            </w:tcBorders>
          </w:tcPr>
          <w:p>
            <w:pPr/>
          </w:p>
        </w:tc>
        <w:tc>
          <w:tcPr>
            <w:tcW w:w="1660"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964" w:right="-27"/>
              <w:jc w:val="lef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c>
          <w:tcPr>
            <w:tcW w:w="1154" w:type="dxa"/>
            <w:tcBorders>
              <w:top w:val="single" w:sz="4" w:space="0" w:color="000000"/>
              <w:left w:val="nil" w:sz="6" w:space="0" w:color="auto"/>
              <w:bottom w:val="nil" w:sz="6" w:space="0" w:color="auto"/>
              <w:right w:val="nil" w:sz="6" w:space="0" w:color="auto"/>
            </w:tcBorders>
          </w:tcPr>
          <w:p>
            <w:pPr/>
          </w:p>
        </w:tc>
        <w:tc>
          <w:tcPr>
            <w:tcW w:w="1708" w:type="dxa"/>
            <w:tcBorders>
              <w:top w:val="single" w:sz="4" w:space="0" w:color="000000"/>
              <w:left w:val="nil" w:sz="6" w:space="0" w:color="auto"/>
              <w:bottom w:val="nil" w:sz="6" w:space="0" w:color="auto"/>
              <w:right w:val="nil" w:sz="6" w:space="0" w:color="auto"/>
            </w:tcBorders>
          </w:tcPr>
          <w:p>
            <w:pPr/>
          </w:p>
        </w:tc>
      </w:tr>
      <w:tr>
        <w:trPr>
          <w:trHeight w:val="156" w:hRule="exact"/>
        </w:trPr>
        <w:tc>
          <w:tcPr>
            <w:tcW w:w="2146"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
        </w:tc>
        <w:tc>
          <w:tcPr>
            <w:tcW w:w="1660"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168" w:lineRule="exact"/>
              <w:ind w:left="469"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36" w:hRule="exact"/>
        </w:trPr>
        <w:tc>
          <w:tcPr>
            <w:tcW w:w="2146" w:type="dxa"/>
            <w:tcBorders>
              <w:top w:val="nil" w:sz="6" w:space="0" w:color="auto"/>
              <w:left w:val="nil" w:sz="6" w:space="0" w:color="auto"/>
              <w:bottom w:val="single" w:sz="4" w:space="0" w:color="000000"/>
              <w:right w:val="nil" w:sz="6" w:space="0" w:color="auto"/>
            </w:tcBorders>
          </w:tcPr>
          <w:p>
            <w:pPr/>
          </w:p>
        </w:tc>
        <w:tc>
          <w:tcPr>
            <w:tcW w:w="1949" w:type="dxa"/>
            <w:tcBorders>
              <w:top w:val="nil" w:sz="6" w:space="0" w:color="auto"/>
              <w:left w:val="nil" w:sz="6" w:space="0" w:color="auto"/>
              <w:bottom w:val="single" w:sz="4" w:space="0" w:color="000000"/>
              <w:right w:val="nil" w:sz="6" w:space="0" w:color="auto"/>
            </w:tcBorders>
          </w:tcPr>
          <w:p>
            <w:pPr>
              <w:pStyle w:val="TableParagraph"/>
              <w:spacing w:line="168" w:lineRule="exact"/>
              <w:ind w:right="232"/>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23" w:type="dxa"/>
            <w:tcBorders>
              <w:top w:val="nil" w:sz="6" w:space="0" w:color="auto"/>
              <w:left w:val="nil" w:sz="6" w:space="0" w:color="auto"/>
              <w:bottom w:val="single" w:sz="4" w:space="0" w:color="000000"/>
              <w:right w:val="nil" w:sz="6" w:space="0" w:color="auto"/>
            </w:tcBorders>
          </w:tcPr>
          <w:p>
            <w:pPr>
              <w:pStyle w:val="TableParagraph"/>
              <w:spacing w:line="168" w:lineRule="exact"/>
              <w:ind w:left="15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660" w:type="dxa"/>
            <w:tcBorders>
              <w:top w:val="nil" w:sz="6" w:space="0" w:color="auto"/>
              <w:left w:val="nil" w:sz="6" w:space="0" w:color="auto"/>
              <w:bottom w:val="single" w:sz="4" w:space="0" w:color="000000"/>
              <w:right w:val="nil" w:sz="6" w:space="0" w:color="auto"/>
            </w:tcBorders>
          </w:tcPr>
          <w:p>
            <w:pPr>
              <w:pStyle w:val="TableParagraph"/>
              <w:spacing w:line="168" w:lineRule="exact"/>
              <w:ind w:right="17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54" w:type="dxa"/>
            <w:tcBorders>
              <w:top w:val="nil" w:sz="6" w:space="0" w:color="auto"/>
              <w:left w:val="nil" w:sz="6" w:space="0" w:color="auto"/>
              <w:bottom w:val="single" w:sz="4" w:space="0" w:color="000000"/>
              <w:right w:val="nil" w:sz="6" w:space="0" w:color="auto"/>
            </w:tcBorders>
          </w:tcPr>
          <w:p>
            <w:pPr>
              <w:pStyle w:val="TableParagraph"/>
              <w:spacing w:line="168" w:lineRule="exact"/>
              <w:ind w:left="166"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708" w:type="dxa"/>
            <w:tcBorders>
              <w:top w:val="nil" w:sz="6" w:space="0" w:color="auto"/>
              <w:left w:val="nil" w:sz="6" w:space="0" w:color="auto"/>
              <w:bottom w:val="single" w:sz="4" w:space="0" w:color="000000"/>
              <w:right w:val="nil" w:sz="6" w:space="0" w:color="auto"/>
            </w:tcBorders>
          </w:tcPr>
          <w:p>
            <w:pPr/>
          </w:p>
        </w:tc>
      </w:tr>
      <w:tr>
        <w:trPr>
          <w:trHeight w:val="612" w:hRule="exact"/>
        </w:trPr>
        <w:tc>
          <w:tcPr>
            <w:tcW w:w="2146" w:type="dxa"/>
            <w:tcBorders>
              <w:top w:val="single" w:sz="4" w:space="0" w:color="000000"/>
              <w:left w:val="nil" w:sz="6" w:space="0" w:color="auto"/>
              <w:bottom w:val="nil" w:sz="6" w:space="0" w:color="auto"/>
              <w:right w:val="nil" w:sz="6" w:space="0" w:color="auto"/>
            </w:tcBorders>
          </w:tcPr>
          <w:p>
            <w:pPr>
              <w:pStyle w:val="TableParagraph"/>
              <w:spacing w:line="232" w:lineRule="exact" w:before="66"/>
              <w:ind w:left="122" w:right="109"/>
              <w:jc w:val="left"/>
              <w:rPr>
                <w:rFonts w:ascii="宋体" w:hAnsi="宋体" w:cs="宋体" w:eastAsia="宋体" w:hint="default"/>
                <w:sz w:val="18"/>
                <w:szCs w:val="18"/>
              </w:rPr>
            </w:pPr>
            <w:r>
              <w:rPr>
                <w:rFonts w:ascii="宋体" w:hAnsi="宋体" w:cs="宋体" w:eastAsia="宋体" w:hint="default"/>
                <w:spacing w:val="10"/>
                <w:sz w:val="18"/>
                <w:szCs w:val="18"/>
              </w:rPr>
              <w:t>单项金额重大并单项计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提坏账准备的应收账款</w:t>
            </w:r>
          </w:p>
        </w:tc>
        <w:tc>
          <w:tcPr>
            <w:tcW w:w="1949" w:type="dxa"/>
            <w:tcBorders>
              <w:top w:val="single" w:sz="4" w:space="0" w:color="000000"/>
              <w:left w:val="nil" w:sz="6" w:space="0" w:color="auto"/>
              <w:bottom w:val="nil" w:sz="6" w:space="0" w:color="auto"/>
              <w:right w:val="nil" w:sz="6" w:space="0" w:color="auto"/>
            </w:tcBorders>
          </w:tcPr>
          <w:p>
            <w:pPr>
              <w:pStyle w:val="TableParagraph"/>
              <w:spacing w:line="240" w:lineRule="auto" w:before="157"/>
              <w:ind w:left="1246" w:right="0"/>
              <w:jc w:val="left"/>
              <w:rPr>
                <w:rFonts w:ascii="宋体" w:hAnsi="宋体" w:cs="宋体" w:eastAsia="宋体" w:hint="default"/>
                <w:sz w:val="18"/>
                <w:szCs w:val="18"/>
              </w:rPr>
            </w:pPr>
            <w:r>
              <w:rPr>
                <w:rFonts w:ascii="宋体"/>
                <w:sz w:val="18"/>
              </w:rPr>
              <w:t>0.00</w:t>
            </w:r>
          </w:p>
        </w:tc>
        <w:tc>
          <w:tcPr>
            <w:tcW w:w="1023" w:type="dxa"/>
            <w:tcBorders>
              <w:top w:val="single" w:sz="4" w:space="0" w:color="000000"/>
              <w:left w:val="nil" w:sz="6" w:space="0" w:color="auto"/>
              <w:bottom w:val="nil" w:sz="6" w:space="0" w:color="auto"/>
              <w:right w:val="nil" w:sz="6" w:space="0" w:color="auto"/>
            </w:tcBorders>
          </w:tcPr>
          <w:p>
            <w:pPr>
              <w:pStyle w:val="TableParagraph"/>
              <w:spacing w:line="240" w:lineRule="auto" w:before="157"/>
              <w:ind w:right="221"/>
              <w:jc w:val="right"/>
              <w:rPr>
                <w:rFonts w:ascii="宋体" w:hAnsi="宋体" w:cs="宋体" w:eastAsia="宋体" w:hint="default"/>
                <w:sz w:val="18"/>
                <w:szCs w:val="18"/>
              </w:rPr>
            </w:pPr>
            <w:r>
              <w:rPr>
                <w:rFonts w:ascii="宋体"/>
                <w:sz w:val="18"/>
              </w:rPr>
              <w:t>0.00%</w:t>
            </w:r>
          </w:p>
        </w:tc>
        <w:tc>
          <w:tcPr>
            <w:tcW w:w="1660" w:type="dxa"/>
            <w:tcBorders>
              <w:top w:val="single" w:sz="4" w:space="0" w:color="000000"/>
              <w:left w:val="nil" w:sz="6" w:space="0" w:color="auto"/>
              <w:bottom w:val="nil" w:sz="6" w:space="0" w:color="auto"/>
              <w:right w:val="nil" w:sz="6" w:space="0" w:color="auto"/>
            </w:tcBorders>
          </w:tcPr>
          <w:p>
            <w:pPr>
              <w:pStyle w:val="TableParagraph"/>
              <w:spacing w:line="240" w:lineRule="auto" w:before="157"/>
              <w:ind w:right="164"/>
              <w:jc w:val="right"/>
              <w:rPr>
                <w:rFonts w:ascii="宋体" w:hAnsi="宋体" w:cs="宋体" w:eastAsia="宋体" w:hint="default"/>
                <w:sz w:val="18"/>
                <w:szCs w:val="18"/>
              </w:rPr>
            </w:pPr>
            <w:r>
              <w:rPr>
                <w:rFonts w:ascii="宋体"/>
                <w:sz w:val="18"/>
              </w:rPr>
              <w:t>0.00</w:t>
            </w:r>
          </w:p>
        </w:tc>
        <w:tc>
          <w:tcPr>
            <w:tcW w:w="1154" w:type="dxa"/>
            <w:tcBorders>
              <w:top w:val="single" w:sz="4" w:space="0" w:color="000000"/>
              <w:left w:val="nil" w:sz="6" w:space="0" w:color="auto"/>
              <w:bottom w:val="nil" w:sz="6" w:space="0" w:color="auto"/>
              <w:right w:val="nil" w:sz="6" w:space="0" w:color="auto"/>
            </w:tcBorders>
          </w:tcPr>
          <w:p>
            <w:pPr>
              <w:pStyle w:val="TableParagraph"/>
              <w:spacing w:line="240" w:lineRule="auto" w:before="157"/>
              <w:ind w:right="146"/>
              <w:jc w:val="right"/>
              <w:rPr>
                <w:rFonts w:ascii="宋体" w:hAnsi="宋体" w:cs="宋体" w:eastAsia="宋体" w:hint="default"/>
                <w:sz w:val="18"/>
                <w:szCs w:val="18"/>
              </w:rPr>
            </w:pPr>
            <w:r>
              <w:rPr>
                <w:rFonts w:ascii="宋体"/>
                <w:sz w:val="18"/>
              </w:rPr>
              <w:t>0.00%</w:t>
            </w:r>
          </w:p>
        </w:tc>
        <w:tc>
          <w:tcPr>
            <w:tcW w:w="1708" w:type="dxa"/>
            <w:tcBorders>
              <w:top w:val="single" w:sz="4" w:space="0" w:color="000000"/>
              <w:left w:val="nil" w:sz="6" w:space="0" w:color="auto"/>
              <w:bottom w:val="nil" w:sz="6" w:space="0" w:color="auto"/>
              <w:right w:val="nil" w:sz="6" w:space="0" w:color="auto"/>
            </w:tcBorders>
          </w:tcPr>
          <w:p>
            <w:pPr>
              <w:pStyle w:val="TableParagraph"/>
              <w:spacing w:line="240" w:lineRule="auto" w:before="157"/>
              <w:ind w:right="105"/>
              <w:jc w:val="right"/>
              <w:rPr>
                <w:rFonts w:ascii="宋体" w:hAnsi="宋体" w:cs="宋体" w:eastAsia="宋体" w:hint="default"/>
                <w:sz w:val="18"/>
                <w:szCs w:val="18"/>
              </w:rPr>
            </w:pPr>
            <w:r>
              <w:rPr>
                <w:rFonts w:ascii="宋体"/>
                <w:sz w:val="18"/>
              </w:rPr>
              <w:t>0.00</w:t>
            </w:r>
          </w:p>
        </w:tc>
      </w:tr>
      <w:tr>
        <w:trPr>
          <w:trHeight w:val="572" w:hRule="exact"/>
        </w:trPr>
        <w:tc>
          <w:tcPr>
            <w:tcW w:w="2146" w:type="dxa"/>
            <w:tcBorders>
              <w:top w:val="nil" w:sz="6" w:space="0" w:color="auto"/>
              <w:left w:val="nil" w:sz="6" w:space="0" w:color="auto"/>
              <w:bottom w:val="nil" w:sz="6" w:space="0" w:color="auto"/>
              <w:right w:val="nil" w:sz="6" w:space="0" w:color="auto"/>
            </w:tcBorders>
          </w:tcPr>
          <w:p>
            <w:pPr>
              <w:pStyle w:val="TableParagraph"/>
              <w:spacing w:line="232" w:lineRule="exact" w:before="66"/>
              <w:ind w:left="122" w:right="109"/>
              <w:jc w:val="left"/>
              <w:rPr>
                <w:rFonts w:ascii="宋体" w:hAnsi="宋体" w:cs="宋体" w:eastAsia="宋体" w:hint="default"/>
                <w:sz w:val="18"/>
                <w:szCs w:val="18"/>
              </w:rPr>
            </w:pPr>
            <w:r>
              <w:rPr>
                <w:rFonts w:ascii="宋体" w:hAnsi="宋体" w:cs="宋体" w:eastAsia="宋体" w:hint="default"/>
                <w:spacing w:val="10"/>
                <w:sz w:val="18"/>
                <w:szCs w:val="18"/>
              </w:rPr>
              <w:t>按信用风险特征组合计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提坏账准备的应收账款</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65" w:right="0"/>
              <w:jc w:val="left"/>
              <w:rPr>
                <w:rFonts w:ascii="宋体" w:hAnsi="宋体" w:cs="宋体" w:eastAsia="宋体" w:hint="default"/>
                <w:sz w:val="18"/>
                <w:szCs w:val="18"/>
              </w:rPr>
            </w:pPr>
            <w:r>
              <w:rPr>
                <w:rFonts w:ascii="宋体"/>
                <w:sz w:val="18"/>
              </w:rPr>
              <w:t>1,947,107,824.82</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68" w:right="0"/>
              <w:jc w:val="left"/>
              <w:rPr>
                <w:rFonts w:ascii="宋体" w:hAnsi="宋体" w:cs="宋体" w:eastAsia="宋体" w:hint="default"/>
                <w:sz w:val="18"/>
                <w:szCs w:val="18"/>
              </w:rPr>
            </w:pPr>
            <w:r>
              <w:rPr>
                <w:rFonts w:ascii="宋体"/>
                <w:sz w:val="18"/>
              </w:rPr>
              <w:t>100.00%</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232" w:right="0"/>
              <w:jc w:val="left"/>
              <w:rPr>
                <w:rFonts w:ascii="宋体" w:hAnsi="宋体" w:cs="宋体" w:eastAsia="宋体" w:hint="default"/>
                <w:sz w:val="18"/>
                <w:szCs w:val="18"/>
              </w:rPr>
            </w:pPr>
            <w:r>
              <w:rPr>
                <w:rFonts w:ascii="宋体"/>
                <w:sz w:val="18"/>
              </w:rPr>
              <w:t>417,718,744.31</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46"/>
              <w:jc w:val="right"/>
              <w:rPr>
                <w:rFonts w:ascii="宋体" w:hAnsi="宋体" w:cs="宋体" w:eastAsia="宋体" w:hint="default"/>
                <w:sz w:val="18"/>
                <w:szCs w:val="18"/>
              </w:rPr>
            </w:pPr>
            <w:r>
              <w:rPr>
                <w:rFonts w:ascii="宋体"/>
                <w:spacing w:val="-1"/>
                <w:sz w:val="18"/>
              </w:rPr>
              <w:t>21.45%</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06"/>
              <w:jc w:val="right"/>
              <w:rPr>
                <w:rFonts w:ascii="宋体" w:hAnsi="宋体" w:cs="宋体" w:eastAsia="宋体" w:hint="default"/>
                <w:sz w:val="18"/>
                <w:szCs w:val="18"/>
              </w:rPr>
            </w:pPr>
            <w:r>
              <w:rPr>
                <w:rFonts w:ascii="宋体"/>
                <w:spacing w:val="-1"/>
                <w:sz w:val="18"/>
              </w:rPr>
              <w:t>1,529,389,080.51</w:t>
            </w:r>
          </w:p>
        </w:tc>
      </w:tr>
      <w:tr>
        <w:trPr>
          <w:trHeight w:val="743" w:hRule="exact"/>
        </w:trPr>
        <w:tc>
          <w:tcPr>
            <w:tcW w:w="2146" w:type="dxa"/>
            <w:tcBorders>
              <w:top w:val="nil" w:sz="6" w:space="0" w:color="auto"/>
              <w:left w:val="nil" w:sz="6" w:space="0" w:color="auto"/>
              <w:bottom w:val="single" w:sz="4" w:space="0" w:color="000000"/>
              <w:right w:val="nil" w:sz="6" w:space="0" w:color="auto"/>
            </w:tcBorders>
          </w:tcPr>
          <w:p>
            <w:pPr>
              <w:pStyle w:val="TableParagraph"/>
              <w:spacing w:line="232" w:lineRule="exact" w:before="31"/>
              <w:ind w:left="122" w:right="109"/>
              <w:jc w:val="both"/>
              <w:rPr>
                <w:rFonts w:ascii="宋体" w:hAnsi="宋体" w:cs="宋体" w:eastAsia="宋体" w:hint="default"/>
                <w:sz w:val="18"/>
                <w:szCs w:val="18"/>
              </w:rPr>
            </w:pPr>
            <w:r>
              <w:rPr>
                <w:rFonts w:ascii="宋体" w:hAnsi="宋体" w:cs="宋体" w:eastAsia="宋体" w:hint="default"/>
                <w:spacing w:val="10"/>
                <w:sz w:val="18"/>
                <w:szCs w:val="18"/>
              </w:rPr>
              <w:t>单项金额不重大但单项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计提坏账准备的应收账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款</w:t>
            </w:r>
          </w:p>
        </w:tc>
        <w:tc>
          <w:tcPr>
            <w:tcW w:w="194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46" w:right="0"/>
              <w:jc w:val="left"/>
              <w:rPr>
                <w:rFonts w:ascii="宋体" w:hAnsi="宋体" w:cs="宋体" w:eastAsia="宋体" w:hint="default"/>
                <w:sz w:val="18"/>
                <w:szCs w:val="18"/>
              </w:rPr>
            </w:pPr>
            <w:r>
              <w:rPr>
                <w:rFonts w:ascii="宋体"/>
                <w:sz w:val="18"/>
              </w:rPr>
              <w:t>0.00</w:t>
            </w:r>
          </w:p>
        </w:tc>
        <w:tc>
          <w:tcPr>
            <w:tcW w:w="102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1"/>
              <w:jc w:val="right"/>
              <w:rPr>
                <w:rFonts w:ascii="宋体" w:hAnsi="宋体" w:cs="宋体" w:eastAsia="宋体" w:hint="default"/>
                <w:sz w:val="18"/>
                <w:szCs w:val="18"/>
              </w:rPr>
            </w:pPr>
            <w:r>
              <w:rPr>
                <w:rFonts w:ascii="宋体"/>
                <w:sz w:val="18"/>
              </w:rPr>
              <w:t>0.00%</w:t>
            </w:r>
          </w:p>
        </w:tc>
        <w:tc>
          <w:tcPr>
            <w:tcW w:w="166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64"/>
              <w:jc w:val="right"/>
              <w:rPr>
                <w:rFonts w:ascii="宋体" w:hAnsi="宋体" w:cs="宋体" w:eastAsia="宋体" w:hint="default"/>
                <w:sz w:val="18"/>
                <w:szCs w:val="18"/>
              </w:rPr>
            </w:pPr>
            <w:r>
              <w:rPr>
                <w:rFonts w:ascii="宋体"/>
                <w:sz w:val="18"/>
              </w:rPr>
              <w:t>0.00</w:t>
            </w:r>
          </w:p>
        </w:tc>
        <w:tc>
          <w:tcPr>
            <w:tcW w:w="115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6"/>
              <w:jc w:val="right"/>
              <w:rPr>
                <w:rFonts w:ascii="宋体" w:hAnsi="宋体" w:cs="宋体" w:eastAsia="宋体" w:hint="default"/>
                <w:sz w:val="18"/>
                <w:szCs w:val="18"/>
              </w:rPr>
            </w:pPr>
            <w:r>
              <w:rPr>
                <w:rFonts w:ascii="宋体"/>
                <w:sz w:val="18"/>
              </w:rPr>
              <w:t>0.00%</w:t>
            </w:r>
          </w:p>
        </w:tc>
        <w:tc>
          <w:tcPr>
            <w:tcW w:w="170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z w:val="18"/>
              </w:rPr>
              <w:t>0.00</w:t>
            </w:r>
          </w:p>
        </w:tc>
      </w:tr>
      <w:tr>
        <w:trPr>
          <w:trHeight w:val="324" w:hRule="exact"/>
        </w:trPr>
        <w:tc>
          <w:tcPr>
            <w:tcW w:w="2146"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49" w:type="dxa"/>
            <w:tcBorders>
              <w:top w:val="single" w:sz="4" w:space="0" w:color="000000"/>
              <w:left w:val="nil" w:sz="6" w:space="0" w:color="auto"/>
              <w:bottom w:val="single" w:sz="12" w:space="0" w:color="000000"/>
              <w:right w:val="nil" w:sz="6" w:space="0" w:color="auto"/>
            </w:tcBorders>
          </w:tcPr>
          <w:p>
            <w:pPr>
              <w:pStyle w:val="TableParagraph"/>
              <w:spacing w:line="240" w:lineRule="auto" w:before="3"/>
              <w:ind w:left="153" w:right="0"/>
              <w:jc w:val="left"/>
              <w:rPr>
                <w:rFonts w:ascii="宋体" w:hAnsi="宋体" w:cs="宋体" w:eastAsia="宋体" w:hint="default"/>
                <w:sz w:val="18"/>
                <w:szCs w:val="18"/>
              </w:rPr>
            </w:pPr>
            <w:r>
              <w:rPr>
                <w:rFonts w:ascii="宋体"/>
                <w:b/>
                <w:sz w:val="18"/>
              </w:rPr>
              <w:t>1,947,107,824.82</w:t>
            </w:r>
            <w:r>
              <w:rPr>
                <w:rFonts w:ascii="宋体"/>
                <w:sz w:val="18"/>
              </w:rPr>
            </w:r>
          </w:p>
        </w:tc>
        <w:tc>
          <w:tcPr>
            <w:tcW w:w="1023" w:type="dxa"/>
            <w:tcBorders>
              <w:top w:val="single" w:sz="4" w:space="0" w:color="000000"/>
              <w:left w:val="nil" w:sz="6" w:space="0" w:color="auto"/>
              <w:bottom w:val="single" w:sz="12" w:space="0" w:color="000000"/>
              <w:right w:val="nil" w:sz="6" w:space="0" w:color="auto"/>
            </w:tcBorders>
          </w:tcPr>
          <w:p>
            <w:pPr>
              <w:pStyle w:val="TableParagraph"/>
              <w:spacing w:line="240" w:lineRule="auto" w:before="3"/>
              <w:ind w:left="160" w:right="0"/>
              <w:jc w:val="left"/>
              <w:rPr>
                <w:rFonts w:ascii="宋体" w:hAnsi="宋体" w:cs="宋体" w:eastAsia="宋体" w:hint="default"/>
                <w:sz w:val="18"/>
                <w:szCs w:val="18"/>
              </w:rPr>
            </w:pPr>
            <w:r>
              <w:rPr>
                <w:rFonts w:ascii="宋体"/>
                <w:b/>
                <w:sz w:val="18"/>
              </w:rPr>
              <w:t>100.00%</w:t>
            </w:r>
            <w:r>
              <w:rPr>
                <w:rFonts w:ascii="宋体"/>
                <w:sz w:val="18"/>
              </w:rPr>
            </w:r>
          </w:p>
        </w:tc>
        <w:tc>
          <w:tcPr>
            <w:tcW w:w="1660" w:type="dxa"/>
            <w:tcBorders>
              <w:top w:val="single" w:sz="4" w:space="0" w:color="000000"/>
              <w:left w:val="nil" w:sz="6" w:space="0" w:color="auto"/>
              <w:bottom w:val="single" w:sz="12" w:space="0" w:color="000000"/>
              <w:right w:val="nil" w:sz="6" w:space="0" w:color="auto"/>
            </w:tcBorders>
          </w:tcPr>
          <w:p>
            <w:pPr>
              <w:pStyle w:val="TableParagraph"/>
              <w:spacing w:line="240" w:lineRule="auto" w:before="3"/>
              <w:ind w:left="223" w:right="0"/>
              <w:jc w:val="left"/>
              <w:rPr>
                <w:rFonts w:ascii="宋体" w:hAnsi="宋体" w:cs="宋体" w:eastAsia="宋体" w:hint="default"/>
                <w:sz w:val="18"/>
                <w:szCs w:val="18"/>
              </w:rPr>
            </w:pPr>
            <w:r>
              <w:rPr>
                <w:rFonts w:ascii="宋体"/>
                <w:b/>
                <w:sz w:val="18"/>
              </w:rPr>
              <w:t>417,718,744.31</w:t>
            </w:r>
            <w:r>
              <w:rPr>
                <w:rFonts w:ascii="宋体"/>
                <w:sz w:val="18"/>
              </w:rPr>
            </w:r>
          </w:p>
        </w:tc>
        <w:tc>
          <w:tcPr>
            <w:tcW w:w="1154" w:type="dxa"/>
            <w:tcBorders>
              <w:top w:val="single" w:sz="4" w:space="0" w:color="000000"/>
              <w:left w:val="nil" w:sz="6" w:space="0" w:color="auto"/>
              <w:bottom w:val="single" w:sz="12" w:space="0" w:color="000000"/>
              <w:right w:val="nil" w:sz="6" w:space="0" w:color="auto"/>
            </w:tcBorders>
          </w:tcPr>
          <w:p>
            <w:pPr>
              <w:pStyle w:val="TableParagraph"/>
              <w:spacing w:line="240" w:lineRule="auto" w:before="3"/>
              <w:ind w:right="145"/>
              <w:jc w:val="right"/>
              <w:rPr>
                <w:rFonts w:ascii="宋体" w:hAnsi="宋体" w:cs="宋体" w:eastAsia="宋体" w:hint="default"/>
                <w:sz w:val="18"/>
                <w:szCs w:val="18"/>
              </w:rPr>
            </w:pPr>
            <w:r>
              <w:rPr>
                <w:rFonts w:ascii="宋体"/>
                <w:b/>
                <w:sz w:val="18"/>
              </w:rPr>
              <w:t>21.45%</w:t>
            </w:r>
            <w:r>
              <w:rPr>
                <w:rFonts w:ascii="宋体"/>
                <w:sz w:val="18"/>
              </w:rPr>
            </w:r>
          </w:p>
        </w:tc>
        <w:tc>
          <w:tcPr>
            <w:tcW w:w="1708" w:type="dxa"/>
            <w:tcBorders>
              <w:top w:val="single" w:sz="4" w:space="0" w:color="000000"/>
              <w:left w:val="nil" w:sz="6" w:space="0" w:color="auto"/>
              <w:bottom w:val="single" w:sz="12" w:space="0" w:color="000000"/>
              <w:right w:val="nil" w:sz="6" w:space="0" w:color="auto"/>
            </w:tcBorders>
          </w:tcPr>
          <w:p>
            <w:pPr>
              <w:pStyle w:val="TableParagraph"/>
              <w:spacing w:line="240" w:lineRule="auto" w:before="3"/>
              <w:ind w:right="106"/>
              <w:jc w:val="right"/>
              <w:rPr>
                <w:rFonts w:ascii="宋体" w:hAnsi="宋体" w:cs="宋体" w:eastAsia="宋体" w:hint="default"/>
                <w:sz w:val="18"/>
                <w:szCs w:val="18"/>
              </w:rPr>
            </w:pPr>
            <w:r>
              <w:rPr>
                <w:rFonts w:ascii="宋体"/>
                <w:b/>
                <w:w w:val="95"/>
                <w:sz w:val="18"/>
              </w:rPr>
              <w:t>1,529,389,080.51</w:t>
            </w:r>
            <w:r>
              <w:rPr>
                <w:rFonts w:ascii="宋体"/>
                <w:sz w:val="18"/>
              </w:rPr>
            </w:r>
          </w:p>
        </w:tc>
      </w:tr>
    </w:tbl>
    <w:p>
      <w:pPr>
        <w:spacing w:before="21"/>
        <w:ind w:left="113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7"/>
          <w:sz w:val="22"/>
          <w:szCs w:val="22"/>
        </w:rPr>
        <w:t> </w:t>
      </w:r>
      <w:r>
        <w:rPr>
          <w:rFonts w:ascii="宋体" w:hAnsi="宋体" w:cs="宋体" w:eastAsia="宋体" w:hint="default"/>
          <w:sz w:val="22"/>
          <w:szCs w:val="22"/>
        </w:rPr>
        <w:t>组合中，按账龄分析法计提坏账准备的应收账款</w:t>
      </w:r>
    </w:p>
    <w:p>
      <w:pPr>
        <w:spacing w:line="240" w:lineRule="auto" w:before="6"/>
        <w:rPr>
          <w:rFonts w:ascii="宋体" w:hAnsi="宋体" w:cs="宋体" w:eastAsia="宋体" w:hint="default"/>
          <w:sz w:val="11"/>
          <w:szCs w:val="11"/>
        </w:rPr>
      </w:pPr>
    </w:p>
    <w:p>
      <w:pPr>
        <w:spacing w:line="28" w:lineRule="exact"/>
        <w:ind w:left="55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2336;height:2" coordorigin="14,14" coordsize="2336,2">
              <v:shape style="position:absolute;left:14;top:14;width:2336;height:2" coordorigin="14,14" coordsize="2336,0" path="m14,14l2350,14e" filled="false" stroked="true" strokeweight="1.44pt" strokecolor="#000000">
                <v:path arrowok="t"/>
              </v:shape>
            </v:group>
            <v:group style="position:absolute;left:2350;top:14;width:29;height:2" coordorigin="2350,14" coordsize="29,2">
              <v:shape style="position:absolute;left:2350;top:14;width:29;height:2" coordorigin="2350,14" coordsize="29,0" path="m2350,14l2379,14e" filled="false" stroked="true" strokeweight="1.44pt" strokecolor="#000000">
                <v:path arrowok="t"/>
              </v:shape>
            </v:group>
            <v:group style="position:absolute;left:2379;top:14;width:6361;height:2" coordorigin="2379,14" coordsize="6361,2">
              <v:shape style="position:absolute;left:2379;top:14;width:6361;height:2" coordorigin="2379,14" coordsize="6361,0" path="m2379,14l8740,14e" filled="false" stroked="true" strokeweight="1.44pt" strokecolor="#000000">
                <v:path arrowok="t"/>
              </v:shape>
            </v:group>
          </v:group>
        </w:pict>
      </w:r>
      <w:r>
        <w:rPr>
          <w:rFonts w:ascii="宋体" w:hAnsi="宋体" w:cs="宋体" w:eastAsia="宋体" w:hint="default"/>
          <w:position w:val="0"/>
          <w:sz w:val="2"/>
          <w:szCs w:val="2"/>
        </w:rPr>
      </w:r>
    </w:p>
    <w:p>
      <w:pPr>
        <w:spacing w:line="189" w:lineRule="exact" w:before="0"/>
        <w:ind w:left="5721" w:right="3384" w:firstLine="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p>
      <w:pPr>
        <w:spacing w:line="192" w:lineRule="exact" w:before="0"/>
        <w:ind w:left="682" w:right="0" w:firstLine="0"/>
        <w:jc w:val="left"/>
        <w:rPr>
          <w:rFonts w:ascii="宋体" w:hAnsi="宋体" w:cs="宋体" w:eastAsia="宋体" w:hint="default"/>
          <w:sz w:val="18"/>
          <w:szCs w:val="18"/>
        </w:rPr>
      </w:pPr>
      <w:r>
        <w:rPr/>
        <w:pict>
          <v:shape style="position:absolute;margin-left:79.704002pt;margin-top:5.103014pt;width:436.3pt;height:117.5pt;mso-position-horizontal-relative:page;mso-position-vertical-relative:paragraph;z-index:5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36"/>
                    <w:gridCol w:w="2112"/>
                    <w:gridCol w:w="1043"/>
                    <w:gridCol w:w="1227"/>
                    <w:gridCol w:w="2008"/>
                  </w:tblGrid>
                  <w:tr>
                    <w:trPr>
                      <w:trHeight w:val="295" w:hRule="exact"/>
                    </w:trPr>
                    <w:tc>
                      <w:tcPr>
                        <w:tcW w:w="2336" w:type="dxa"/>
                        <w:tcBorders>
                          <w:top w:val="nil" w:sz="6" w:space="0" w:color="auto"/>
                          <w:left w:val="nil" w:sz="6" w:space="0" w:color="auto"/>
                          <w:bottom w:val="single" w:sz="4" w:space="0" w:color="000000"/>
                          <w:right w:val="nil" w:sz="6" w:space="0" w:color="auto"/>
                        </w:tcBorders>
                      </w:tcPr>
                      <w:p>
                        <w:pPr/>
                      </w:p>
                    </w:tc>
                    <w:tc>
                      <w:tcPr>
                        <w:tcW w:w="2112"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472"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043"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552" w:right="0"/>
                          <w:jc w:val="left"/>
                          <w:rPr>
                            <w:rFonts w:ascii="宋体" w:hAnsi="宋体" w:cs="宋体" w:eastAsia="宋体" w:hint="default"/>
                            <w:sz w:val="18"/>
                            <w:szCs w:val="18"/>
                          </w:rPr>
                        </w:pPr>
                        <w:r>
                          <w:rPr>
                            <w:rFonts w:ascii="宋体" w:hAnsi="宋体" w:cs="宋体" w:eastAsia="宋体" w:hint="default"/>
                            <w:b/>
                            <w:bCs/>
                            <w:sz w:val="18"/>
                            <w:szCs w:val="18"/>
                          </w:rPr>
                          <w:t>比重</w:t>
                        </w:r>
                        <w:r>
                          <w:rPr>
                            <w:rFonts w:ascii="宋体" w:hAnsi="宋体" w:cs="宋体" w:eastAsia="宋体" w:hint="default"/>
                            <w:sz w:val="18"/>
                            <w:szCs w:val="18"/>
                          </w:rPr>
                        </w:r>
                      </w:p>
                    </w:tc>
                    <w:tc>
                      <w:tcPr>
                        <w:tcW w:w="1227" w:type="dxa"/>
                        <w:tcBorders>
                          <w:top w:val="single" w:sz="4" w:space="0" w:color="000000"/>
                          <w:left w:val="nil" w:sz="6" w:space="0" w:color="auto"/>
                          <w:bottom w:val="single" w:sz="4" w:space="0" w:color="000000"/>
                          <w:right w:val="nil" w:sz="6" w:space="0" w:color="auto"/>
                        </w:tcBorders>
                      </w:tcPr>
                      <w:p>
                        <w:pPr/>
                      </w:p>
                    </w:tc>
                    <w:tc>
                      <w:tcPr>
                        <w:tcW w:w="2008"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462"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89" w:hRule="exact"/>
                    </w:trPr>
                    <w:tc>
                      <w:tcPr>
                        <w:tcW w:w="2336"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112" w:type="dxa"/>
                        <w:tcBorders>
                          <w:top w:val="single" w:sz="4" w:space="0" w:color="000000"/>
                          <w:left w:val="nil" w:sz="6" w:space="0" w:color="auto"/>
                          <w:bottom w:val="nil" w:sz="6" w:space="0" w:color="auto"/>
                          <w:right w:val="nil" w:sz="6" w:space="0" w:color="auto"/>
                        </w:tcBorders>
                      </w:tcPr>
                      <w:p>
                        <w:pPr>
                          <w:pStyle w:val="TableParagraph"/>
                          <w:spacing w:line="232" w:lineRule="exact"/>
                          <w:ind w:right="550"/>
                          <w:jc w:val="right"/>
                          <w:rPr>
                            <w:rFonts w:ascii="宋体" w:hAnsi="宋体" w:cs="宋体" w:eastAsia="宋体" w:hint="default"/>
                            <w:sz w:val="18"/>
                            <w:szCs w:val="18"/>
                          </w:rPr>
                        </w:pPr>
                        <w:r>
                          <w:rPr>
                            <w:rFonts w:ascii="宋体"/>
                            <w:spacing w:val="-1"/>
                            <w:sz w:val="18"/>
                          </w:rPr>
                          <w:t>740,949,865.23</w:t>
                        </w:r>
                      </w:p>
                    </w:tc>
                    <w:tc>
                      <w:tcPr>
                        <w:tcW w:w="1043" w:type="dxa"/>
                        <w:tcBorders>
                          <w:top w:val="single" w:sz="4" w:space="0" w:color="000000"/>
                          <w:left w:val="nil" w:sz="6" w:space="0" w:color="auto"/>
                          <w:bottom w:val="nil" w:sz="6" w:space="0" w:color="auto"/>
                          <w:right w:val="nil" w:sz="6" w:space="0" w:color="auto"/>
                        </w:tcBorders>
                      </w:tcPr>
                      <w:p>
                        <w:pPr/>
                      </w:p>
                    </w:tc>
                    <w:tc>
                      <w:tcPr>
                        <w:tcW w:w="1227" w:type="dxa"/>
                        <w:tcBorders>
                          <w:top w:val="single" w:sz="4" w:space="0" w:color="000000"/>
                          <w:left w:val="nil" w:sz="6" w:space="0" w:color="auto"/>
                          <w:bottom w:val="nil" w:sz="6" w:space="0" w:color="auto"/>
                          <w:right w:val="nil" w:sz="6" w:space="0" w:color="auto"/>
                        </w:tcBorders>
                      </w:tcPr>
                      <w:p>
                        <w:pPr>
                          <w:pStyle w:val="TableParagraph"/>
                          <w:spacing w:line="232" w:lineRule="exact"/>
                          <w:ind w:right="461"/>
                          <w:jc w:val="right"/>
                          <w:rPr>
                            <w:rFonts w:ascii="宋体" w:hAnsi="宋体" w:cs="宋体" w:eastAsia="宋体" w:hint="default"/>
                            <w:sz w:val="18"/>
                            <w:szCs w:val="18"/>
                          </w:rPr>
                        </w:pPr>
                        <w:r>
                          <w:rPr>
                            <w:rFonts w:ascii="宋体"/>
                            <w:spacing w:val="-1"/>
                            <w:sz w:val="18"/>
                          </w:rPr>
                          <w:t>38.10%</w:t>
                        </w:r>
                      </w:p>
                    </w:tc>
                    <w:tc>
                      <w:tcPr>
                        <w:tcW w:w="2008" w:type="dxa"/>
                        <w:tcBorders>
                          <w:top w:val="single" w:sz="4" w:space="0" w:color="000000"/>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7,409,498.64</w:t>
                        </w:r>
                      </w:p>
                    </w:tc>
                  </w:tr>
                  <w:tr>
                    <w:trPr>
                      <w:trHeight w:val="286"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112" w:type="dxa"/>
                        <w:tcBorders>
                          <w:top w:val="nil" w:sz="6" w:space="0" w:color="auto"/>
                          <w:left w:val="nil" w:sz="6" w:space="0" w:color="auto"/>
                          <w:bottom w:val="nil" w:sz="6" w:space="0" w:color="auto"/>
                          <w:right w:val="nil" w:sz="6" w:space="0" w:color="auto"/>
                        </w:tcBorders>
                      </w:tcPr>
                      <w:p>
                        <w:pPr>
                          <w:pStyle w:val="TableParagraph"/>
                          <w:spacing w:line="233" w:lineRule="exact"/>
                          <w:ind w:right="550"/>
                          <w:jc w:val="right"/>
                          <w:rPr>
                            <w:rFonts w:ascii="宋体" w:hAnsi="宋体" w:cs="宋体" w:eastAsia="宋体" w:hint="default"/>
                            <w:sz w:val="18"/>
                            <w:szCs w:val="18"/>
                          </w:rPr>
                        </w:pPr>
                        <w:r>
                          <w:rPr>
                            <w:rFonts w:ascii="宋体"/>
                            <w:spacing w:val="-1"/>
                            <w:sz w:val="18"/>
                          </w:rPr>
                          <w:t>154,203,840.30</w:t>
                        </w:r>
                      </w:p>
                    </w:tc>
                    <w:tc>
                      <w:tcPr>
                        <w:tcW w:w="1043"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233" w:lineRule="exact"/>
                          <w:ind w:right="461"/>
                          <w:jc w:val="right"/>
                          <w:rPr>
                            <w:rFonts w:ascii="宋体" w:hAnsi="宋体" w:cs="宋体" w:eastAsia="宋体" w:hint="default"/>
                            <w:sz w:val="18"/>
                            <w:szCs w:val="18"/>
                          </w:rPr>
                        </w:pPr>
                        <w:r>
                          <w:rPr>
                            <w:rFonts w:ascii="宋体"/>
                            <w:sz w:val="18"/>
                          </w:rPr>
                          <w:t>7.93%</w:t>
                        </w:r>
                      </w:p>
                    </w:tc>
                    <w:tc>
                      <w:tcPr>
                        <w:tcW w:w="2008"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7,710,192.01</w:t>
                        </w:r>
                      </w:p>
                    </w:tc>
                  </w:tr>
                  <w:tr>
                    <w:trPr>
                      <w:trHeight w:val="284"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112" w:type="dxa"/>
                        <w:tcBorders>
                          <w:top w:val="nil" w:sz="6" w:space="0" w:color="auto"/>
                          <w:left w:val="nil" w:sz="6" w:space="0" w:color="auto"/>
                          <w:bottom w:val="nil" w:sz="6" w:space="0" w:color="auto"/>
                          <w:right w:val="nil" w:sz="6" w:space="0" w:color="auto"/>
                        </w:tcBorders>
                      </w:tcPr>
                      <w:p>
                        <w:pPr>
                          <w:pStyle w:val="TableParagraph"/>
                          <w:spacing w:line="233" w:lineRule="exact"/>
                          <w:ind w:right="550"/>
                          <w:jc w:val="right"/>
                          <w:rPr>
                            <w:rFonts w:ascii="宋体" w:hAnsi="宋体" w:cs="宋体" w:eastAsia="宋体" w:hint="default"/>
                            <w:sz w:val="18"/>
                            <w:szCs w:val="18"/>
                          </w:rPr>
                        </w:pPr>
                        <w:r>
                          <w:rPr>
                            <w:rFonts w:ascii="宋体"/>
                            <w:spacing w:val="-1"/>
                            <w:sz w:val="18"/>
                          </w:rPr>
                          <w:t>558,614,843.02</w:t>
                        </w:r>
                      </w:p>
                    </w:tc>
                    <w:tc>
                      <w:tcPr>
                        <w:tcW w:w="1043"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233" w:lineRule="exact"/>
                          <w:ind w:right="461"/>
                          <w:jc w:val="right"/>
                          <w:rPr>
                            <w:rFonts w:ascii="宋体" w:hAnsi="宋体" w:cs="宋体" w:eastAsia="宋体" w:hint="default"/>
                            <w:sz w:val="18"/>
                            <w:szCs w:val="18"/>
                          </w:rPr>
                        </w:pPr>
                        <w:r>
                          <w:rPr>
                            <w:rFonts w:ascii="宋体"/>
                            <w:spacing w:val="-1"/>
                            <w:sz w:val="18"/>
                          </w:rPr>
                          <w:t>28.72%</w:t>
                        </w:r>
                      </w:p>
                    </w:tc>
                    <w:tc>
                      <w:tcPr>
                        <w:tcW w:w="2008"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83,792,226.45</w:t>
                        </w:r>
                      </w:p>
                    </w:tc>
                  </w:tr>
                  <w:tr>
                    <w:trPr>
                      <w:trHeight w:val="284"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112" w:type="dxa"/>
                        <w:tcBorders>
                          <w:top w:val="nil" w:sz="6" w:space="0" w:color="auto"/>
                          <w:left w:val="nil" w:sz="6" w:space="0" w:color="auto"/>
                          <w:bottom w:val="nil" w:sz="6" w:space="0" w:color="auto"/>
                          <w:right w:val="nil" w:sz="6" w:space="0" w:color="auto"/>
                        </w:tcBorders>
                      </w:tcPr>
                      <w:p>
                        <w:pPr>
                          <w:pStyle w:val="TableParagraph"/>
                          <w:spacing w:line="232" w:lineRule="exact"/>
                          <w:ind w:right="550"/>
                          <w:jc w:val="right"/>
                          <w:rPr>
                            <w:rFonts w:ascii="宋体" w:hAnsi="宋体" w:cs="宋体" w:eastAsia="宋体" w:hint="default"/>
                            <w:sz w:val="18"/>
                            <w:szCs w:val="18"/>
                          </w:rPr>
                        </w:pPr>
                        <w:r>
                          <w:rPr>
                            <w:rFonts w:ascii="宋体"/>
                            <w:spacing w:val="-1"/>
                            <w:sz w:val="18"/>
                          </w:rPr>
                          <w:t>108,976,464.50</w:t>
                        </w:r>
                      </w:p>
                    </w:tc>
                    <w:tc>
                      <w:tcPr>
                        <w:tcW w:w="1043"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232" w:lineRule="exact"/>
                          <w:ind w:right="461"/>
                          <w:jc w:val="right"/>
                          <w:rPr>
                            <w:rFonts w:ascii="宋体" w:hAnsi="宋体" w:cs="宋体" w:eastAsia="宋体" w:hint="default"/>
                            <w:sz w:val="18"/>
                            <w:szCs w:val="18"/>
                          </w:rPr>
                        </w:pPr>
                        <w:r>
                          <w:rPr>
                            <w:rFonts w:ascii="宋体"/>
                            <w:sz w:val="18"/>
                          </w:rPr>
                          <w:t>5.60%</w:t>
                        </w:r>
                      </w:p>
                    </w:tc>
                    <w:tc>
                      <w:tcPr>
                        <w:tcW w:w="2008"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32,692,939.35</w:t>
                        </w:r>
                      </w:p>
                    </w:tc>
                  </w:tr>
                  <w:tr>
                    <w:trPr>
                      <w:trHeight w:val="286" w:hRule="exact"/>
                    </w:trPr>
                    <w:tc>
                      <w:tcPr>
                        <w:tcW w:w="2336"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112" w:type="dxa"/>
                        <w:tcBorders>
                          <w:top w:val="nil" w:sz="6" w:space="0" w:color="auto"/>
                          <w:left w:val="nil" w:sz="6" w:space="0" w:color="auto"/>
                          <w:bottom w:val="nil" w:sz="6" w:space="0" w:color="auto"/>
                          <w:right w:val="nil" w:sz="6" w:space="0" w:color="auto"/>
                        </w:tcBorders>
                      </w:tcPr>
                      <w:p>
                        <w:pPr>
                          <w:pStyle w:val="TableParagraph"/>
                          <w:spacing w:line="233" w:lineRule="exact"/>
                          <w:ind w:right="550"/>
                          <w:jc w:val="right"/>
                          <w:rPr>
                            <w:rFonts w:ascii="宋体" w:hAnsi="宋体" w:cs="宋体" w:eastAsia="宋体" w:hint="default"/>
                            <w:sz w:val="18"/>
                            <w:szCs w:val="18"/>
                          </w:rPr>
                        </w:pPr>
                        <w:r>
                          <w:rPr>
                            <w:rFonts w:ascii="宋体"/>
                            <w:spacing w:val="-1"/>
                            <w:sz w:val="18"/>
                          </w:rPr>
                          <w:t>38,656,851.33</w:t>
                        </w:r>
                      </w:p>
                    </w:tc>
                    <w:tc>
                      <w:tcPr>
                        <w:tcW w:w="1043"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233" w:lineRule="exact"/>
                          <w:ind w:right="461"/>
                          <w:jc w:val="right"/>
                          <w:rPr>
                            <w:rFonts w:ascii="宋体" w:hAnsi="宋体" w:cs="宋体" w:eastAsia="宋体" w:hint="default"/>
                            <w:sz w:val="18"/>
                            <w:szCs w:val="18"/>
                          </w:rPr>
                        </w:pPr>
                        <w:r>
                          <w:rPr>
                            <w:rFonts w:ascii="宋体"/>
                            <w:sz w:val="18"/>
                          </w:rPr>
                          <w:t>1.99%</w:t>
                        </w:r>
                      </w:p>
                    </w:tc>
                    <w:tc>
                      <w:tcPr>
                        <w:tcW w:w="2008"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19,328,425.69</w:t>
                        </w:r>
                      </w:p>
                    </w:tc>
                  </w:tr>
                  <w:tr>
                    <w:trPr>
                      <w:trHeight w:val="291" w:hRule="exact"/>
                    </w:trPr>
                    <w:tc>
                      <w:tcPr>
                        <w:tcW w:w="2336"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112" w:type="dxa"/>
                        <w:tcBorders>
                          <w:top w:val="nil" w:sz="6" w:space="0" w:color="auto"/>
                          <w:left w:val="nil" w:sz="6" w:space="0" w:color="auto"/>
                          <w:bottom w:val="single" w:sz="4" w:space="0" w:color="000000"/>
                          <w:right w:val="nil" w:sz="6" w:space="0" w:color="auto"/>
                        </w:tcBorders>
                      </w:tcPr>
                      <w:p>
                        <w:pPr>
                          <w:pStyle w:val="TableParagraph"/>
                          <w:spacing w:line="233" w:lineRule="exact"/>
                          <w:ind w:right="550"/>
                          <w:jc w:val="right"/>
                          <w:rPr>
                            <w:rFonts w:ascii="宋体" w:hAnsi="宋体" w:cs="宋体" w:eastAsia="宋体" w:hint="default"/>
                            <w:sz w:val="18"/>
                            <w:szCs w:val="18"/>
                          </w:rPr>
                        </w:pPr>
                        <w:r>
                          <w:rPr>
                            <w:rFonts w:ascii="宋体"/>
                            <w:spacing w:val="-1"/>
                            <w:sz w:val="18"/>
                          </w:rPr>
                          <w:t>343,433,433.26</w:t>
                        </w:r>
                      </w:p>
                    </w:tc>
                    <w:tc>
                      <w:tcPr>
                        <w:tcW w:w="1043" w:type="dxa"/>
                        <w:tcBorders>
                          <w:top w:val="nil" w:sz="6" w:space="0" w:color="auto"/>
                          <w:left w:val="nil" w:sz="6" w:space="0" w:color="auto"/>
                          <w:bottom w:val="single" w:sz="4" w:space="0" w:color="000000"/>
                          <w:right w:val="nil" w:sz="6" w:space="0" w:color="auto"/>
                        </w:tcBorders>
                      </w:tcPr>
                      <w:p>
                        <w:pPr/>
                      </w:p>
                    </w:tc>
                    <w:tc>
                      <w:tcPr>
                        <w:tcW w:w="1227" w:type="dxa"/>
                        <w:tcBorders>
                          <w:top w:val="nil" w:sz="6" w:space="0" w:color="auto"/>
                          <w:left w:val="nil" w:sz="6" w:space="0" w:color="auto"/>
                          <w:bottom w:val="single" w:sz="4" w:space="0" w:color="000000"/>
                          <w:right w:val="nil" w:sz="6" w:space="0" w:color="auto"/>
                        </w:tcBorders>
                      </w:tcPr>
                      <w:p>
                        <w:pPr>
                          <w:pStyle w:val="TableParagraph"/>
                          <w:spacing w:line="233" w:lineRule="exact"/>
                          <w:ind w:right="461"/>
                          <w:jc w:val="right"/>
                          <w:rPr>
                            <w:rFonts w:ascii="宋体" w:hAnsi="宋体" w:cs="宋体" w:eastAsia="宋体" w:hint="default"/>
                            <w:sz w:val="18"/>
                            <w:szCs w:val="18"/>
                          </w:rPr>
                        </w:pPr>
                        <w:r>
                          <w:rPr>
                            <w:rFonts w:ascii="宋体"/>
                            <w:spacing w:val="-1"/>
                            <w:sz w:val="18"/>
                          </w:rPr>
                          <w:t>17.66%</w:t>
                        </w:r>
                      </w:p>
                    </w:tc>
                    <w:tc>
                      <w:tcPr>
                        <w:tcW w:w="2008" w:type="dxa"/>
                        <w:tcBorders>
                          <w:top w:val="nil" w:sz="6" w:space="0" w:color="auto"/>
                          <w:left w:val="nil" w:sz="6" w:space="0" w:color="auto"/>
                          <w:bottom w:val="single" w:sz="4" w:space="0" w:color="000000"/>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343,433,433.26</w:t>
                        </w:r>
                      </w:p>
                    </w:tc>
                  </w:tr>
                  <w:tr>
                    <w:trPr>
                      <w:trHeight w:val="305" w:hRule="exact"/>
                    </w:trPr>
                    <w:tc>
                      <w:tcPr>
                        <w:tcW w:w="2336"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12"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550"/>
                          <w:jc w:val="right"/>
                          <w:rPr>
                            <w:rFonts w:ascii="宋体" w:hAnsi="宋体" w:cs="宋体" w:eastAsia="宋体" w:hint="default"/>
                            <w:sz w:val="18"/>
                            <w:szCs w:val="18"/>
                          </w:rPr>
                        </w:pPr>
                        <w:r>
                          <w:rPr>
                            <w:rFonts w:ascii="宋体"/>
                            <w:b/>
                            <w:w w:val="95"/>
                            <w:sz w:val="18"/>
                          </w:rPr>
                          <w:t>1,944,835,297.64</w:t>
                        </w:r>
                        <w:r>
                          <w:rPr>
                            <w:rFonts w:ascii="宋体"/>
                            <w:sz w:val="18"/>
                          </w:rPr>
                        </w:r>
                      </w:p>
                    </w:tc>
                    <w:tc>
                      <w:tcPr>
                        <w:tcW w:w="1043" w:type="dxa"/>
                        <w:tcBorders>
                          <w:top w:val="single" w:sz="4" w:space="0" w:color="000000"/>
                          <w:left w:val="nil" w:sz="6" w:space="0" w:color="auto"/>
                          <w:bottom w:val="single" w:sz="12" w:space="0" w:color="000000"/>
                          <w:right w:val="nil" w:sz="6" w:space="0" w:color="auto"/>
                        </w:tcBorders>
                      </w:tcPr>
                      <w:p>
                        <w:pPr/>
                      </w:p>
                    </w:tc>
                    <w:tc>
                      <w:tcPr>
                        <w:tcW w:w="1227"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460"/>
                          <w:jc w:val="right"/>
                          <w:rPr>
                            <w:rFonts w:ascii="宋体" w:hAnsi="宋体" w:cs="宋体" w:eastAsia="宋体" w:hint="default"/>
                            <w:sz w:val="18"/>
                            <w:szCs w:val="18"/>
                          </w:rPr>
                        </w:pPr>
                        <w:r>
                          <w:rPr>
                            <w:rFonts w:ascii="宋体"/>
                            <w:b/>
                            <w:sz w:val="18"/>
                          </w:rPr>
                          <w:t>100.00%</w:t>
                        </w:r>
                        <w:r>
                          <w:rPr>
                            <w:rFonts w:ascii="宋体"/>
                            <w:sz w:val="18"/>
                          </w:rPr>
                        </w:r>
                      </w:p>
                    </w:tc>
                    <w:tc>
                      <w:tcPr>
                        <w:tcW w:w="2008"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494,366,715.40</w:t>
                        </w:r>
                        <w:r>
                          <w:rPr>
                            <w:rFonts w:ascii="宋体"/>
                            <w:sz w:val="18"/>
                          </w:rPr>
                        </w:r>
                      </w:p>
                    </w:tc>
                  </w:tr>
                </w:tbl>
                <w:p>
                  <w:pPr/>
                </w:p>
              </w:txbxContent>
            </v:textbox>
            <w10:wrap type="none"/>
          </v:shape>
        </w:pict>
      </w:r>
      <w:r>
        <w:rPr>
          <w:rFonts w:ascii="宋体" w:hAnsi="宋体" w:cs="宋体" w:eastAsia="宋体" w:hint="default"/>
          <w:b/>
          <w:bCs/>
          <w:sz w:val="18"/>
          <w:szCs w:val="18"/>
        </w:rPr>
        <w:t>账龄</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spacing w:before="32"/>
        <w:ind w:left="113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5"/>
          <w:sz w:val="22"/>
          <w:szCs w:val="22"/>
        </w:rPr>
        <w:t> </w:t>
      </w:r>
      <w:r>
        <w:rPr>
          <w:rFonts w:ascii="宋体" w:hAnsi="宋体" w:cs="宋体" w:eastAsia="宋体" w:hint="default"/>
          <w:sz w:val="22"/>
          <w:szCs w:val="22"/>
        </w:rPr>
        <w:t>组合中，采用关联方方法计提坏账准备的应收账款</w:t>
      </w:r>
    </w:p>
    <w:p>
      <w:pPr>
        <w:spacing w:line="240" w:lineRule="auto" w:before="8"/>
        <w:rPr>
          <w:rFonts w:ascii="宋体" w:hAnsi="宋体" w:cs="宋体" w:eastAsia="宋体" w:hint="default"/>
          <w:sz w:val="11"/>
          <w:szCs w:val="11"/>
        </w:rPr>
      </w:pPr>
    </w:p>
    <w:p>
      <w:pPr>
        <w:spacing w:line="28" w:lineRule="exact"/>
        <w:ind w:left="55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2960;height:2" coordorigin="14,14" coordsize="2960,2">
              <v:shape style="position:absolute;left:14;top:14;width:2960;height:2" coordorigin="14,14" coordsize="2960,0" path="m14,14l2974,14e" filled="false" stroked="true" strokeweight="1.44pt" strokecolor="#000000">
                <v:path arrowok="t"/>
              </v:shape>
            </v:group>
            <v:group style="position:absolute;left:2974;top:14;width:29;height:2" coordorigin="2974,14" coordsize="29,2">
              <v:shape style="position:absolute;left:2974;top:14;width:29;height:2" coordorigin="2974,14" coordsize="29,0" path="m2974,14l3003,14e" filled="false" stroked="true" strokeweight="1.44pt" strokecolor="#000000">
                <v:path arrowok="t"/>
              </v:shape>
            </v:group>
            <v:group style="position:absolute;left:3003;top:14;width:5737;height:2" coordorigin="3003,14" coordsize="5737,2">
              <v:shape style="position:absolute;left:3003;top:14;width:5737;height:2" coordorigin="3003,14" coordsize="5737,0" path="m3003,14l8740,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0" w:footer="1054" w:top="1360" w:bottom="1240" w:left="1020" w:right="1020"/>
        </w:sectPr>
      </w:pPr>
    </w:p>
    <w:p>
      <w:pPr>
        <w:spacing w:before="153"/>
        <w:ind w:left="682" w:right="0" w:firstLine="0"/>
        <w:jc w:val="left"/>
        <w:rPr>
          <w:rFonts w:ascii="宋体" w:hAnsi="宋体" w:cs="宋体" w:eastAsia="宋体" w:hint="default"/>
          <w:sz w:val="18"/>
          <w:szCs w:val="18"/>
        </w:rPr>
      </w:pPr>
      <w:r>
        <w:rPr>
          <w:rFonts w:ascii="宋体" w:hAnsi="宋体" w:cs="宋体" w:eastAsia="宋体" w:hint="default"/>
          <w:b/>
          <w:bCs/>
          <w:w w:val="95"/>
          <w:sz w:val="18"/>
          <w:szCs w:val="18"/>
        </w:rPr>
        <w:t>组合名称</w:t>
      </w:r>
      <w:r>
        <w:rPr>
          <w:rFonts w:ascii="宋体" w:hAnsi="宋体" w:cs="宋体" w:eastAsia="宋体" w:hint="default"/>
          <w:sz w:val="18"/>
          <w:szCs w:val="18"/>
        </w:rPr>
      </w:r>
    </w:p>
    <w:p>
      <w:pPr>
        <w:spacing w:before="6"/>
        <w:ind w:left="2554" w:right="3070"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年末余额</w:t>
      </w:r>
      <w:r>
        <w:rPr>
          <w:rFonts w:ascii="宋体" w:hAnsi="宋体" w:cs="宋体" w:eastAsia="宋体" w:hint="default"/>
          <w:sz w:val="18"/>
          <w:szCs w:val="18"/>
        </w:rPr>
      </w:r>
    </w:p>
    <w:p>
      <w:pPr>
        <w:spacing w:line="240" w:lineRule="auto" w:before="5"/>
        <w:rPr>
          <w:rFonts w:ascii="宋体" w:hAnsi="宋体" w:cs="宋体" w:eastAsia="宋体" w:hint="default"/>
          <w:b/>
          <w:bCs/>
          <w:sz w:val="3"/>
          <w:szCs w:val="3"/>
        </w:rPr>
      </w:pPr>
    </w:p>
    <w:p>
      <w:pPr>
        <w:spacing w:line="20" w:lineRule="exact"/>
        <w:ind w:left="48" w:right="0" w:firstLine="0"/>
        <w:rPr>
          <w:rFonts w:ascii="宋体" w:hAnsi="宋体" w:cs="宋体" w:eastAsia="宋体" w:hint="default"/>
          <w:sz w:val="2"/>
          <w:szCs w:val="2"/>
        </w:rPr>
      </w:pPr>
      <w:r>
        <w:rPr>
          <w:rFonts w:ascii="宋体" w:hAnsi="宋体" w:cs="宋体" w:eastAsia="宋体" w:hint="default"/>
          <w:sz w:val="2"/>
          <w:szCs w:val="2"/>
        </w:rPr>
        <w:pict>
          <v:group style="width:288.8pt;height:.5pt;mso-position-horizontal-relative:char;mso-position-vertical-relative:line" coordorigin="0,0" coordsize="5776,10">
            <v:group style="position:absolute;left:5;top:5;width:1983;height:2" coordorigin="5,5" coordsize="1983,2">
              <v:shape style="position:absolute;left:5;top:5;width:1983;height:2" coordorigin="5,5" coordsize="1983,0" path="m5,5l1988,5e" filled="false" stroked="true" strokeweight=".48001pt" strokecolor="#000000">
                <v:path arrowok="t"/>
              </v:shape>
            </v:group>
            <v:group style="position:absolute;left:1988;top:5;width:10;height:2" coordorigin="1988,5" coordsize="10,2">
              <v:shape style="position:absolute;left:1988;top:5;width:10;height:2" coordorigin="1988,5" coordsize="10,0" path="m1988,5l1997,5e" filled="false" stroked="true" strokeweight=".48001pt" strokecolor="#000000">
                <v:path arrowok="t"/>
              </v:shape>
            </v:group>
            <v:group style="position:absolute;left:1997;top:5;width:1875;height:2" coordorigin="1997,5" coordsize="1875,2">
              <v:shape style="position:absolute;left:1997;top:5;width:1875;height:2" coordorigin="1997,5" coordsize="1875,0" path="m1997,5l3872,5e" filled="false" stroked="true" strokeweight=".48001pt" strokecolor="#000000">
                <v:path arrowok="t"/>
              </v:shape>
            </v:group>
            <v:group style="position:absolute;left:3872;top:5;width:10;height:2" coordorigin="3872,5" coordsize="10,2">
              <v:shape style="position:absolute;left:3872;top:5;width:10;height:2" coordorigin="3872,5" coordsize="10,0" path="m3872,5l3882,5e" filled="false" stroked="true" strokeweight=".48001pt" strokecolor="#000000">
                <v:path arrowok="t"/>
              </v:shape>
            </v:group>
            <v:group style="position:absolute;left:3882;top:5;width:1889;height:2" coordorigin="3882,5" coordsize="1889,2">
              <v:shape style="position:absolute;left:3882;top:5;width:1889;height:2" coordorigin="3882,5" coordsize="1889,0" path="m3882,5l5771,5e" filled="false" stroked="true" strokeweight=".48001pt" strokecolor="#000000">
                <v:path arrowok="t"/>
              </v:shape>
            </v:group>
          </v:group>
        </w:pict>
      </w:r>
      <w:r>
        <w:rPr>
          <w:rFonts w:ascii="宋体" w:hAnsi="宋体" w:cs="宋体" w:eastAsia="宋体" w:hint="default"/>
          <w:sz w:val="2"/>
          <w:szCs w:val="2"/>
        </w:rPr>
      </w:r>
    </w:p>
    <w:p>
      <w:pPr>
        <w:tabs>
          <w:tab w:pos="2614" w:val="left" w:leader="none"/>
          <w:tab w:pos="4280" w:val="left" w:leader="none"/>
        </w:tabs>
        <w:spacing w:before="0"/>
        <w:ind w:left="682" w:right="0" w:firstLine="0"/>
        <w:jc w:val="left"/>
        <w:rPr>
          <w:rFonts w:ascii="宋体" w:hAnsi="宋体" w:cs="宋体" w:eastAsia="宋体" w:hint="default"/>
          <w:sz w:val="18"/>
          <w:szCs w:val="18"/>
        </w:rPr>
      </w:pPr>
      <w:r>
        <w:rPr>
          <w:rFonts w:ascii="宋体" w:hAnsi="宋体" w:cs="宋体" w:eastAsia="宋体" w:hint="default"/>
          <w:b/>
          <w:bCs/>
          <w:w w:val="95"/>
          <w:sz w:val="18"/>
          <w:szCs w:val="18"/>
        </w:rPr>
        <w:t>应收账款</w:t>
        <w:tab/>
        <w:t>坏账准备</w:t>
        <w:tab/>
      </w: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00" w:bottom="280" w:left="1020" w:right="1020"/>
          <w:cols w:num="2" w:equalWidth="0">
            <w:col w:w="1405" w:space="2076"/>
            <w:col w:w="6389"/>
          </w:cols>
        </w:sectPr>
      </w:pPr>
    </w:p>
    <w:p>
      <w:pPr>
        <w:spacing w:line="240" w:lineRule="auto" w:before="10"/>
        <w:rPr>
          <w:rFonts w:ascii="宋体" w:hAnsi="宋体" w:cs="宋体" w:eastAsia="宋体" w:hint="default"/>
          <w:b/>
          <w:bCs/>
          <w:sz w:val="3"/>
          <w:szCs w:val="3"/>
        </w:rPr>
      </w:pPr>
    </w:p>
    <w:tbl>
      <w:tblPr>
        <w:tblW w:w="0" w:type="auto"/>
        <w:jc w:val="left"/>
        <w:tblInd w:w="574" w:type="dxa"/>
        <w:tblLayout w:type="fixed"/>
        <w:tblCellMar>
          <w:top w:w="0" w:type="dxa"/>
          <w:left w:w="0" w:type="dxa"/>
          <w:bottom w:w="0" w:type="dxa"/>
          <w:right w:w="0" w:type="dxa"/>
        </w:tblCellMar>
        <w:tblLook w:val="01E0"/>
      </w:tblPr>
      <w:tblGrid>
        <w:gridCol w:w="2195"/>
        <w:gridCol w:w="3399"/>
        <w:gridCol w:w="1894"/>
        <w:gridCol w:w="1237"/>
      </w:tblGrid>
      <w:tr>
        <w:trPr>
          <w:trHeight w:val="245" w:hRule="exact"/>
        </w:trPr>
        <w:tc>
          <w:tcPr>
            <w:tcW w:w="2195"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3399" w:type="dxa"/>
            <w:tcBorders>
              <w:top w:val="single" w:sz="4" w:space="0" w:color="000000"/>
              <w:left w:val="nil" w:sz="6" w:space="0" w:color="auto"/>
              <w:bottom w:val="single" w:sz="4" w:space="0" w:color="000000"/>
              <w:right w:val="nil" w:sz="6" w:space="0" w:color="auto"/>
            </w:tcBorders>
          </w:tcPr>
          <w:p>
            <w:pPr>
              <w:pStyle w:val="TableParagraph"/>
              <w:spacing w:line="208" w:lineRule="exact"/>
              <w:ind w:right="757"/>
              <w:jc w:val="right"/>
              <w:rPr>
                <w:rFonts w:ascii="宋体" w:hAnsi="宋体" w:cs="宋体" w:eastAsia="宋体" w:hint="default"/>
                <w:sz w:val="18"/>
                <w:szCs w:val="18"/>
              </w:rPr>
            </w:pPr>
            <w:r>
              <w:rPr>
                <w:rFonts w:ascii="宋体"/>
                <w:spacing w:val="-1"/>
                <w:sz w:val="18"/>
              </w:rPr>
              <w:t>1,030,114,723.26</w:t>
            </w:r>
          </w:p>
        </w:tc>
        <w:tc>
          <w:tcPr>
            <w:tcW w:w="1894" w:type="dxa"/>
            <w:tcBorders>
              <w:top w:val="single" w:sz="4" w:space="0" w:color="000000"/>
              <w:left w:val="nil" w:sz="6" w:space="0" w:color="auto"/>
              <w:bottom w:val="single" w:sz="4" w:space="0" w:color="000000"/>
              <w:right w:val="nil" w:sz="6" w:space="0" w:color="auto"/>
            </w:tcBorders>
          </w:tcPr>
          <w:p>
            <w:pPr>
              <w:pStyle w:val="TableParagraph"/>
              <w:spacing w:line="208" w:lineRule="exact"/>
              <w:ind w:left="762" w:right="0"/>
              <w:jc w:val="left"/>
              <w:rPr>
                <w:rFonts w:ascii="宋体" w:hAnsi="宋体" w:cs="宋体" w:eastAsia="宋体" w:hint="default"/>
                <w:sz w:val="18"/>
                <w:szCs w:val="18"/>
              </w:rPr>
            </w:pPr>
            <w:r>
              <w:rPr>
                <w:rFonts w:ascii="宋体"/>
                <w:sz w:val="18"/>
              </w:rPr>
              <w:t>0.00</w:t>
            </w:r>
          </w:p>
        </w:tc>
        <w:tc>
          <w:tcPr>
            <w:tcW w:w="1237" w:type="dxa"/>
            <w:tcBorders>
              <w:top w:val="single" w:sz="4" w:space="0" w:color="000000"/>
              <w:left w:val="nil" w:sz="6" w:space="0" w:color="auto"/>
              <w:bottom w:val="single" w:sz="4" w:space="0" w:color="000000"/>
              <w:right w:val="nil" w:sz="6" w:space="0" w:color="auto"/>
            </w:tcBorders>
          </w:tcPr>
          <w:p>
            <w:pPr>
              <w:pStyle w:val="TableParagraph"/>
              <w:spacing w:line="208" w:lineRule="exact"/>
              <w:ind w:right="105"/>
              <w:jc w:val="right"/>
              <w:rPr>
                <w:rFonts w:ascii="宋体" w:hAnsi="宋体" w:cs="宋体" w:eastAsia="宋体" w:hint="default"/>
                <w:sz w:val="18"/>
                <w:szCs w:val="18"/>
              </w:rPr>
            </w:pPr>
            <w:r>
              <w:rPr>
                <w:rFonts w:ascii="宋体"/>
                <w:sz w:val="18"/>
              </w:rPr>
              <w:t>0.00</w:t>
            </w:r>
          </w:p>
        </w:tc>
      </w:tr>
      <w:tr>
        <w:trPr>
          <w:trHeight w:val="305" w:hRule="exact"/>
        </w:trPr>
        <w:tc>
          <w:tcPr>
            <w:tcW w:w="2195" w:type="dxa"/>
            <w:tcBorders>
              <w:top w:val="single" w:sz="4" w:space="0" w:color="000000"/>
              <w:left w:val="nil" w:sz="6" w:space="0" w:color="auto"/>
              <w:bottom w:val="single" w:sz="12"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399" w:type="dxa"/>
            <w:tcBorders>
              <w:top w:val="single" w:sz="4" w:space="0" w:color="000000"/>
              <w:left w:val="nil" w:sz="6" w:space="0" w:color="auto"/>
              <w:bottom w:val="single" w:sz="12" w:space="0" w:color="000000"/>
              <w:right w:val="nil" w:sz="6" w:space="0" w:color="auto"/>
            </w:tcBorders>
          </w:tcPr>
          <w:p>
            <w:pPr>
              <w:pStyle w:val="TableParagraph"/>
              <w:spacing w:line="229" w:lineRule="exact"/>
              <w:ind w:right="758"/>
              <w:jc w:val="right"/>
              <w:rPr>
                <w:rFonts w:ascii="宋体" w:hAnsi="宋体" w:cs="宋体" w:eastAsia="宋体" w:hint="default"/>
                <w:sz w:val="18"/>
                <w:szCs w:val="18"/>
              </w:rPr>
            </w:pPr>
            <w:r>
              <w:rPr>
                <w:rFonts w:ascii="宋体"/>
                <w:b/>
                <w:w w:val="95"/>
                <w:sz w:val="18"/>
              </w:rPr>
              <w:t>1,030,114,723.26</w:t>
            </w:r>
            <w:r>
              <w:rPr>
                <w:rFonts w:ascii="宋体"/>
                <w:sz w:val="18"/>
              </w:rPr>
            </w:r>
          </w:p>
        </w:tc>
        <w:tc>
          <w:tcPr>
            <w:tcW w:w="1894" w:type="dxa"/>
            <w:tcBorders>
              <w:top w:val="single" w:sz="4" w:space="0" w:color="000000"/>
              <w:left w:val="nil" w:sz="6" w:space="0" w:color="auto"/>
              <w:bottom w:val="single" w:sz="12" w:space="0" w:color="000000"/>
              <w:right w:val="nil" w:sz="6" w:space="0" w:color="auto"/>
            </w:tcBorders>
          </w:tcPr>
          <w:p>
            <w:pPr>
              <w:pStyle w:val="TableParagraph"/>
              <w:spacing w:line="229" w:lineRule="exact"/>
              <w:ind w:left="759" w:right="0"/>
              <w:jc w:val="left"/>
              <w:rPr>
                <w:rFonts w:ascii="宋体" w:hAnsi="宋体" w:cs="宋体" w:eastAsia="宋体" w:hint="default"/>
                <w:sz w:val="18"/>
                <w:szCs w:val="18"/>
              </w:rPr>
            </w:pPr>
            <w:r>
              <w:rPr>
                <w:rFonts w:ascii="宋体"/>
                <w:b/>
                <w:sz w:val="18"/>
              </w:rPr>
              <w:t>0.00</w:t>
            </w:r>
            <w:r>
              <w:rPr>
                <w:rFonts w:ascii="宋体"/>
                <w:sz w:val="18"/>
              </w:rPr>
            </w:r>
          </w:p>
        </w:tc>
        <w:tc>
          <w:tcPr>
            <w:tcW w:w="1237" w:type="dxa"/>
            <w:tcBorders>
              <w:top w:val="single" w:sz="4" w:space="0" w:color="000000"/>
              <w:left w:val="nil" w:sz="6" w:space="0" w:color="auto"/>
              <w:bottom w:val="single" w:sz="12" w:space="0" w:color="000000"/>
              <w:right w:val="nil" w:sz="6" w:space="0" w:color="auto"/>
            </w:tcBorders>
          </w:tcPr>
          <w:p>
            <w:pPr>
              <w:pStyle w:val="TableParagraph"/>
              <w:spacing w:line="229" w:lineRule="exact"/>
              <w:ind w:right="107"/>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line="297" w:lineRule="auto" w:before="7"/>
        <w:ind w:left="696" w:right="672" w:firstLine="439"/>
        <w:jc w:val="both"/>
        <w:rPr>
          <w:rFonts w:ascii="宋体" w:hAnsi="宋体" w:cs="宋体" w:eastAsia="宋体" w:hint="default"/>
          <w:sz w:val="22"/>
          <w:szCs w:val="22"/>
        </w:rPr>
      </w:pPr>
      <w:r>
        <w:rPr>
          <w:rFonts w:ascii="宋体" w:hAnsi="宋体" w:cs="宋体" w:eastAsia="宋体" w:hint="default"/>
          <w:b/>
          <w:bCs/>
          <w:sz w:val="22"/>
          <w:szCs w:val="22"/>
        </w:rPr>
        <w:t>(2) </w:t>
      </w:r>
      <w:r>
        <w:rPr>
          <w:rFonts w:ascii="宋体" w:hAnsi="宋体" w:cs="宋体" w:eastAsia="宋体" w:hint="default"/>
          <w:spacing w:val="3"/>
          <w:sz w:val="22"/>
          <w:szCs w:val="22"/>
        </w:rPr>
        <w:t>本年按欠款方归集的年末余额前五名应收账款汇总金额为</w:t>
      </w:r>
      <w:r>
        <w:rPr>
          <w:rFonts w:ascii="宋体" w:hAnsi="宋体" w:cs="宋体" w:eastAsia="宋体" w:hint="default"/>
          <w:spacing w:val="35"/>
          <w:sz w:val="22"/>
          <w:szCs w:val="22"/>
        </w:rPr>
        <w:t> </w:t>
      </w:r>
      <w:r>
        <w:rPr>
          <w:rFonts w:ascii="宋体" w:hAnsi="宋体" w:cs="宋体" w:eastAsia="宋体" w:hint="default"/>
          <w:sz w:val="22"/>
          <w:szCs w:val="22"/>
        </w:rPr>
        <w:t>1,117,944,267.31</w:t>
      </w:r>
      <w:r>
        <w:rPr>
          <w:rFonts w:ascii="宋体" w:hAnsi="宋体" w:cs="宋体" w:eastAsia="宋体" w:hint="default"/>
          <w:w w:val="100"/>
          <w:sz w:val="22"/>
          <w:szCs w:val="22"/>
        </w:rPr>
        <w:t> </w:t>
      </w:r>
      <w:r>
        <w:rPr>
          <w:rFonts w:ascii="宋体" w:hAnsi="宋体" w:cs="宋体" w:eastAsia="宋体" w:hint="default"/>
          <w:sz w:val="22"/>
          <w:szCs w:val="22"/>
        </w:rPr>
        <w:t>元，占应收账款年末余额合计数的比例</w:t>
      </w:r>
      <w:r>
        <w:rPr>
          <w:rFonts w:ascii="宋体" w:hAnsi="宋体" w:cs="宋体" w:eastAsia="宋体" w:hint="default"/>
          <w:spacing w:val="19"/>
          <w:sz w:val="22"/>
          <w:szCs w:val="22"/>
        </w:rPr>
        <w:t> </w:t>
      </w:r>
      <w:r>
        <w:rPr>
          <w:rFonts w:ascii="宋体" w:hAnsi="宋体" w:cs="宋体" w:eastAsia="宋体" w:hint="default"/>
          <w:sz w:val="22"/>
          <w:szCs w:val="22"/>
        </w:rPr>
        <w:t>37.58%</w:t>
      </w:r>
      <w:r>
        <w:rPr>
          <w:rFonts w:ascii="宋体" w:hAnsi="宋体" w:cs="宋体" w:eastAsia="宋体" w:hint="default"/>
          <w:sz w:val="22"/>
          <w:szCs w:val="22"/>
        </w:rPr>
        <w:t>，相应计提的坏账准备年末余额汇总金额</w:t>
      </w:r>
      <w:r>
        <w:rPr>
          <w:rFonts w:ascii="宋体" w:hAnsi="宋体" w:cs="宋体" w:eastAsia="宋体" w:hint="default"/>
          <w:w w:val="100"/>
          <w:sz w:val="22"/>
          <w:szCs w:val="22"/>
        </w:rPr>
        <w:t> </w:t>
      </w:r>
      <w:r>
        <w:rPr>
          <w:rFonts w:ascii="宋体" w:hAnsi="宋体" w:cs="宋体" w:eastAsia="宋体" w:hint="default"/>
          <w:sz w:val="22"/>
          <w:szCs w:val="22"/>
        </w:rPr>
        <w:t>为</w:t>
      </w:r>
      <w:r>
        <w:rPr>
          <w:rFonts w:ascii="宋体" w:hAnsi="宋体" w:cs="宋体" w:eastAsia="宋体" w:hint="default"/>
          <w:spacing w:val="-53"/>
          <w:sz w:val="22"/>
          <w:szCs w:val="22"/>
        </w:rPr>
        <w:t> </w:t>
      </w:r>
      <w:r>
        <w:rPr>
          <w:rFonts w:ascii="宋体" w:hAnsi="宋体" w:cs="宋体" w:eastAsia="宋体" w:hint="default"/>
          <w:sz w:val="22"/>
          <w:szCs w:val="22"/>
        </w:rPr>
        <w:t>3,582,764.19</w:t>
      </w:r>
      <w:r>
        <w:rPr>
          <w:rFonts w:ascii="宋体" w:hAnsi="宋体" w:cs="宋体" w:eastAsia="宋体" w:hint="default"/>
          <w:spacing w:val="-56"/>
          <w:sz w:val="22"/>
          <w:szCs w:val="22"/>
        </w:rPr>
        <w:t> </w:t>
      </w:r>
      <w:r>
        <w:rPr>
          <w:rFonts w:ascii="宋体" w:hAnsi="宋体" w:cs="宋体" w:eastAsia="宋体" w:hint="default"/>
          <w:sz w:val="22"/>
          <w:szCs w:val="22"/>
        </w:rPr>
        <w:t>元。</w:t>
      </w:r>
    </w:p>
    <w:p>
      <w:pPr>
        <w:spacing w:before="101"/>
        <w:ind w:left="113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16"/>
          <w:sz w:val="22"/>
          <w:szCs w:val="22"/>
        </w:rPr>
        <w:t> </w:t>
      </w:r>
      <w:r>
        <w:rPr>
          <w:rFonts w:ascii="宋体" w:hAnsi="宋体" w:cs="宋体" w:eastAsia="宋体" w:hint="default"/>
          <w:sz w:val="22"/>
          <w:szCs w:val="22"/>
        </w:rPr>
        <w:t>其他应收款</w:t>
      </w:r>
    </w:p>
    <w:p>
      <w:pPr>
        <w:spacing w:line="240" w:lineRule="auto" w:before="9"/>
        <w:rPr>
          <w:rFonts w:ascii="宋体" w:hAnsi="宋体" w:cs="宋体" w:eastAsia="宋体" w:hint="default"/>
          <w:sz w:val="8"/>
          <w:szCs w:val="8"/>
        </w:rPr>
      </w:pPr>
    </w:p>
    <w:tbl>
      <w:tblPr>
        <w:tblW w:w="0" w:type="auto"/>
        <w:jc w:val="left"/>
        <w:tblInd w:w="574" w:type="dxa"/>
        <w:tblLayout w:type="fixed"/>
        <w:tblCellMar>
          <w:top w:w="0" w:type="dxa"/>
          <w:left w:w="0" w:type="dxa"/>
          <w:bottom w:w="0" w:type="dxa"/>
          <w:right w:w="0" w:type="dxa"/>
        </w:tblCellMar>
        <w:tblLook w:val="01E0"/>
      </w:tblPr>
      <w:tblGrid>
        <w:gridCol w:w="2585"/>
        <w:gridCol w:w="3723"/>
        <w:gridCol w:w="2417"/>
      </w:tblGrid>
      <w:tr>
        <w:trPr>
          <w:trHeight w:val="305" w:hRule="exact"/>
        </w:trPr>
        <w:tc>
          <w:tcPr>
            <w:tcW w:w="258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372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48"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1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9" w:hRule="exact"/>
        </w:trPr>
        <w:tc>
          <w:tcPr>
            <w:tcW w:w="2585"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723" w:type="dxa"/>
            <w:tcBorders>
              <w:top w:val="single" w:sz="4" w:space="0" w:color="000000"/>
              <w:left w:val="nil" w:sz="6" w:space="0" w:color="auto"/>
              <w:bottom w:val="nil" w:sz="6" w:space="0" w:color="auto"/>
              <w:right w:val="nil" w:sz="6" w:space="0" w:color="auto"/>
            </w:tcBorders>
          </w:tcPr>
          <w:p>
            <w:pPr>
              <w:pStyle w:val="TableParagraph"/>
              <w:spacing w:line="232" w:lineRule="exact"/>
              <w:ind w:right="598"/>
              <w:jc w:val="right"/>
              <w:rPr>
                <w:rFonts w:ascii="宋体" w:hAnsi="宋体" w:cs="宋体" w:eastAsia="宋体" w:hint="default"/>
                <w:sz w:val="18"/>
                <w:szCs w:val="18"/>
              </w:rPr>
            </w:pPr>
            <w:r>
              <w:rPr>
                <w:rFonts w:ascii="宋体"/>
                <w:spacing w:val="-1"/>
                <w:sz w:val="18"/>
              </w:rPr>
              <w:t>152,806,748.00</w:t>
            </w:r>
          </w:p>
        </w:tc>
        <w:tc>
          <w:tcPr>
            <w:tcW w:w="2417" w:type="dxa"/>
            <w:tcBorders>
              <w:top w:val="single" w:sz="4" w:space="0" w:color="000000"/>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34,900,135.28</w:t>
            </w:r>
          </w:p>
        </w:tc>
      </w:tr>
      <w:tr>
        <w:trPr>
          <w:trHeight w:val="291" w:hRule="exact"/>
        </w:trPr>
        <w:tc>
          <w:tcPr>
            <w:tcW w:w="2585"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723" w:type="dxa"/>
            <w:tcBorders>
              <w:top w:val="nil" w:sz="6" w:space="0" w:color="auto"/>
              <w:left w:val="nil" w:sz="6" w:space="0" w:color="auto"/>
              <w:bottom w:val="single" w:sz="4" w:space="0" w:color="000000"/>
              <w:right w:val="nil" w:sz="6" w:space="0" w:color="auto"/>
            </w:tcBorders>
          </w:tcPr>
          <w:p>
            <w:pPr>
              <w:pStyle w:val="TableParagraph"/>
              <w:spacing w:line="233" w:lineRule="exact"/>
              <w:ind w:right="598"/>
              <w:jc w:val="right"/>
              <w:rPr>
                <w:rFonts w:ascii="宋体" w:hAnsi="宋体" w:cs="宋体" w:eastAsia="宋体" w:hint="default"/>
                <w:sz w:val="18"/>
                <w:szCs w:val="18"/>
              </w:rPr>
            </w:pPr>
            <w:r>
              <w:rPr>
                <w:rFonts w:ascii="宋体"/>
                <w:spacing w:val="-1"/>
                <w:sz w:val="18"/>
              </w:rPr>
              <w:t>9,683,918,180.12</w:t>
            </w:r>
          </w:p>
        </w:tc>
        <w:tc>
          <w:tcPr>
            <w:tcW w:w="2417" w:type="dxa"/>
            <w:tcBorders>
              <w:top w:val="nil" w:sz="6" w:space="0" w:color="auto"/>
              <w:left w:val="nil" w:sz="6" w:space="0" w:color="auto"/>
              <w:bottom w:val="single" w:sz="4" w:space="0" w:color="000000"/>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8,797,484,657.99</w:t>
            </w:r>
          </w:p>
        </w:tc>
      </w:tr>
      <w:tr>
        <w:trPr>
          <w:trHeight w:val="307" w:hRule="exact"/>
        </w:trPr>
        <w:tc>
          <w:tcPr>
            <w:tcW w:w="2585"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23"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599"/>
              <w:jc w:val="right"/>
              <w:rPr>
                <w:rFonts w:ascii="宋体" w:hAnsi="宋体" w:cs="宋体" w:eastAsia="宋体" w:hint="default"/>
                <w:sz w:val="18"/>
                <w:szCs w:val="18"/>
              </w:rPr>
            </w:pPr>
            <w:r>
              <w:rPr>
                <w:rFonts w:ascii="宋体"/>
                <w:b/>
                <w:w w:val="95"/>
                <w:sz w:val="18"/>
              </w:rPr>
              <w:t>9,836,724,928.12</w:t>
            </w:r>
            <w:r>
              <w:rPr>
                <w:rFonts w:ascii="宋体"/>
                <w:sz w:val="18"/>
              </w:rPr>
            </w:r>
          </w:p>
        </w:tc>
        <w:tc>
          <w:tcPr>
            <w:tcW w:w="2417"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8,832,384,793.27</w:t>
            </w:r>
            <w:r>
              <w:rPr>
                <w:rFonts w:ascii="宋体"/>
                <w:sz w:val="18"/>
              </w:rPr>
            </w:r>
          </w:p>
        </w:tc>
      </w:tr>
    </w:tbl>
    <w:p>
      <w:pPr>
        <w:spacing w:before="46"/>
        <w:ind w:left="1135" w:right="0" w:firstLine="0"/>
        <w:jc w:val="left"/>
        <w:rPr>
          <w:rFonts w:ascii="宋体" w:hAnsi="宋体" w:cs="宋体" w:eastAsia="宋体" w:hint="default"/>
          <w:sz w:val="22"/>
          <w:szCs w:val="22"/>
        </w:rPr>
      </w:pPr>
      <w:r>
        <w:rPr>
          <w:rFonts w:ascii="宋体" w:hAnsi="宋体" w:cs="宋体" w:eastAsia="宋体" w:hint="default"/>
          <w:b/>
          <w:bCs/>
          <w:sz w:val="22"/>
          <w:szCs w:val="22"/>
        </w:rPr>
        <w:t>2.1</w:t>
      </w:r>
      <w:r>
        <w:rPr>
          <w:rFonts w:ascii="宋体" w:hAnsi="宋体" w:cs="宋体" w:eastAsia="宋体" w:hint="default"/>
          <w:sz w:val="22"/>
          <w:szCs w:val="22"/>
        </w:rPr>
        <w:t>应收股利</w:t>
      </w:r>
    </w:p>
    <w:p>
      <w:pPr>
        <w:spacing w:line="240" w:lineRule="auto" w:before="12"/>
        <w:rPr>
          <w:rFonts w:ascii="宋体" w:hAnsi="宋体" w:cs="宋体" w:eastAsia="宋体" w:hint="default"/>
          <w:sz w:val="9"/>
          <w:szCs w:val="9"/>
        </w:rPr>
      </w:pPr>
    </w:p>
    <w:tbl>
      <w:tblPr>
        <w:tblW w:w="0" w:type="auto"/>
        <w:jc w:val="left"/>
        <w:tblInd w:w="574" w:type="dxa"/>
        <w:tblLayout w:type="fixed"/>
        <w:tblCellMar>
          <w:top w:w="0" w:type="dxa"/>
          <w:left w:w="0" w:type="dxa"/>
          <w:bottom w:w="0" w:type="dxa"/>
          <w:right w:w="0" w:type="dxa"/>
        </w:tblCellMar>
        <w:tblLook w:val="01E0"/>
      </w:tblPr>
      <w:tblGrid>
        <w:gridCol w:w="3574"/>
        <w:gridCol w:w="2735"/>
        <w:gridCol w:w="2416"/>
      </w:tblGrid>
      <w:tr>
        <w:trPr>
          <w:trHeight w:val="305" w:hRule="exact"/>
        </w:trPr>
        <w:tc>
          <w:tcPr>
            <w:tcW w:w="357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273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8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1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9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9" w:hRule="exact"/>
        </w:trPr>
        <w:tc>
          <w:tcPr>
            <w:tcW w:w="3574"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2735" w:type="dxa"/>
            <w:tcBorders>
              <w:top w:val="single" w:sz="4" w:space="0" w:color="000000"/>
              <w:left w:val="nil" w:sz="6" w:space="0" w:color="auto"/>
              <w:bottom w:val="nil" w:sz="6" w:space="0" w:color="auto"/>
              <w:right w:val="nil" w:sz="6" w:space="0" w:color="auto"/>
            </w:tcBorders>
          </w:tcPr>
          <w:p>
            <w:pPr>
              <w:pStyle w:val="TableParagraph"/>
              <w:spacing w:line="232" w:lineRule="exact"/>
              <w:ind w:right="598"/>
              <w:jc w:val="right"/>
              <w:rPr>
                <w:rFonts w:ascii="宋体" w:hAnsi="宋体" w:cs="宋体" w:eastAsia="宋体" w:hint="default"/>
                <w:sz w:val="18"/>
                <w:szCs w:val="18"/>
              </w:rPr>
            </w:pPr>
            <w:r>
              <w:rPr>
                <w:rFonts w:ascii="宋体"/>
                <w:spacing w:val="-1"/>
                <w:sz w:val="18"/>
              </w:rPr>
              <w:t>131,806,748.00</w:t>
            </w:r>
          </w:p>
        </w:tc>
        <w:tc>
          <w:tcPr>
            <w:tcW w:w="2416" w:type="dxa"/>
            <w:tcBorders>
              <w:top w:val="single" w:sz="4" w:space="0" w:color="000000"/>
              <w:left w:val="nil" w:sz="6" w:space="0" w:color="auto"/>
              <w:bottom w:val="nil" w:sz="6" w:space="0" w:color="auto"/>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z w:val="18"/>
              </w:rPr>
              <w:t>0.00</w:t>
            </w:r>
          </w:p>
        </w:tc>
      </w:tr>
      <w:tr>
        <w:trPr>
          <w:trHeight w:val="286"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sz w:val="18"/>
              </w:rPr>
              <w:t>Resuccess Investments</w:t>
            </w:r>
            <w:r>
              <w:rPr>
                <w:rFonts w:ascii="宋体"/>
                <w:spacing w:val="-11"/>
                <w:sz w:val="18"/>
              </w:rPr>
              <w:t> </w:t>
            </w:r>
            <w:r>
              <w:rPr>
                <w:rFonts w:ascii="宋体"/>
                <w:sz w:val="18"/>
              </w:rPr>
              <w:t>Limited</w:t>
            </w:r>
          </w:p>
        </w:tc>
        <w:tc>
          <w:tcPr>
            <w:tcW w:w="2735" w:type="dxa"/>
            <w:tcBorders>
              <w:top w:val="nil" w:sz="6" w:space="0" w:color="auto"/>
              <w:left w:val="nil" w:sz="6" w:space="0" w:color="auto"/>
              <w:bottom w:val="nil" w:sz="6" w:space="0" w:color="auto"/>
              <w:right w:val="nil" w:sz="6" w:space="0" w:color="auto"/>
            </w:tcBorders>
          </w:tcPr>
          <w:p>
            <w:pPr>
              <w:pStyle w:val="TableParagraph"/>
              <w:spacing w:line="233" w:lineRule="exact"/>
              <w:ind w:right="598"/>
              <w:jc w:val="right"/>
              <w:rPr>
                <w:rFonts w:ascii="宋体" w:hAnsi="宋体" w:cs="宋体" w:eastAsia="宋体" w:hint="default"/>
                <w:sz w:val="18"/>
                <w:szCs w:val="18"/>
              </w:rPr>
            </w:pPr>
            <w:r>
              <w:rPr>
                <w:rFonts w:ascii="宋体"/>
                <w:spacing w:val="-1"/>
                <w:sz w:val="18"/>
              </w:rPr>
              <w:t>21,000,000.00</w:t>
            </w:r>
          </w:p>
        </w:tc>
        <w:tc>
          <w:tcPr>
            <w:tcW w:w="2416"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21,000,000.00</w:t>
            </w:r>
          </w:p>
        </w:tc>
      </w:tr>
      <w:tr>
        <w:trPr>
          <w:trHeight w:val="286"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淮安同方水务有限公司</w:t>
            </w:r>
          </w:p>
        </w:tc>
        <w:tc>
          <w:tcPr>
            <w:tcW w:w="2735" w:type="dxa"/>
            <w:tcBorders>
              <w:top w:val="nil" w:sz="6" w:space="0" w:color="auto"/>
              <w:left w:val="nil" w:sz="6" w:space="0" w:color="auto"/>
              <w:bottom w:val="nil" w:sz="6" w:space="0" w:color="auto"/>
              <w:right w:val="nil" w:sz="6" w:space="0" w:color="auto"/>
            </w:tcBorders>
          </w:tcPr>
          <w:p>
            <w:pPr>
              <w:pStyle w:val="TableParagraph"/>
              <w:spacing w:line="233" w:lineRule="exact"/>
              <w:ind w:right="597"/>
              <w:jc w:val="right"/>
              <w:rPr>
                <w:rFonts w:ascii="宋体" w:hAnsi="宋体" w:cs="宋体" w:eastAsia="宋体" w:hint="default"/>
                <w:sz w:val="18"/>
                <w:szCs w:val="18"/>
              </w:rPr>
            </w:pPr>
            <w:r>
              <w:rPr>
                <w:rFonts w:ascii="宋体"/>
                <w:sz w:val="18"/>
              </w:rPr>
              <w:t>0.00</w:t>
            </w:r>
          </w:p>
        </w:tc>
        <w:tc>
          <w:tcPr>
            <w:tcW w:w="2416"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13,378,500.00</w:t>
            </w:r>
          </w:p>
        </w:tc>
      </w:tr>
      <w:tr>
        <w:trPr>
          <w:trHeight w:val="284"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同方健康科技（北京）股份有限公司</w:t>
            </w:r>
          </w:p>
        </w:tc>
        <w:tc>
          <w:tcPr>
            <w:tcW w:w="2735" w:type="dxa"/>
            <w:tcBorders>
              <w:top w:val="nil" w:sz="6" w:space="0" w:color="auto"/>
              <w:left w:val="nil" w:sz="6" w:space="0" w:color="auto"/>
              <w:bottom w:val="nil" w:sz="6" w:space="0" w:color="auto"/>
              <w:right w:val="nil" w:sz="6" w:space="0" w:color="auto"/>
            </w:tcBorders>
          </w:tcPr>
          <w:p>
            <w:pPr>
              <w:pStyle w:val="TableParagraph"/>
              <w:spacing w:line="233" w:lineRule="exact"/>
              <w:ind w:right="597"/>
              <w:jc w:val="right"/>
              <w:rPr>
                <w:rFonts w:ascii="宋体" w:hAnsi="宋体" w:cs="宋体" w:eastAsia="宋体" w:hint="default"/>
                <w:sz w:val="18"/>
                <w:szCs w:val="18"/>
              </w:rPr>
            </w:pPr>
            <w:r>
              <w:rPr>
                <w:rFonts w:ascii="宋体"/>
                <w:sz w:val="18"/>
              </w:rPr>
              <w:t>0.00</w:t>
            </w:r>
          </w:p>
        </w:tc>
        <w:tc>
          <w:tcPr>
            <w:tcW w:w="2416" w:type="dxa"/>
            <w:tcBorders>
              <w:top w:val="nil" w:sz="6" w:space="0" w:color="auto"/>
              <w:left w:val="nil" w:sz="6" w:space="0" w:color="auto"/>
              <w:bottom w:val="nil" w:sz="6" w:space="0" w:color="auto"/>
              <w:right w:val="nil" w:sz="6" w:space="0" w:color="auto"/>
            </w:tcBorders>
          </w:tcPr>
          <w:p>
            <w:pPr>
              <w:pStyle w:val="TableParagraph"/>
              <w:spacing w:line="233" w:lineRule="exact"/>
              <w:ind w:right="107"/>
              <w:jc w:val="right"/>
              <w:rPr>
                <w:rFonts w:ascii="宋体" w:hAnsi="宋体" w:cs="宋体" w:eastAsia="宋体" w:hint="default"/>
                <w:sz w:val="18"/>
                <w:szCs w:val="18"/>
              </w:rPr>
            </w:pPr>
            <w:r>
              <w:rPr>
                <w:rFonts w:ascii="宋体"/>
                <w:spacing w:val="-1"/>
                <w:sz w:val="18"/>
              </w:rPr>
              <w:t>516,381.95</w:t>
            </w:r>
          </w:p>
        </w:tc>
      </w:tr>
      <w:tr>
        <w:trPr>
          <w:trHeight w:val="290" w:hRule="exact"/>
        </w:trPr>
        <w:tc>
          <w:tcPr>
            <w:tcW w:w="3574" w:type="dxa"/>
            <w:tcBorders>
              <w:top w:val="nil" w:sz="6" w:space="0" w:color="auto"/>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北京同方信息安全技术股份有限公司</w:t>
            </w:r>
          </w:p>
        </w:tc>
        <w:tc>
          <w:tcPr>
            <w:tcW w:w="2735" w:type="dxa"/>
            <w:tcBorders>
              <w:top w:val="nil" w:sz="6" w:space="0" w:color="auto"/>
              <w:left w:val="nil" w:sz="6" w:space="0" w:color="auto"/>
              <w:bottom w:val="single" w:sz="4" w:space="0" w:color="000000"/>
              <w:right w:val="nil" w:sz="6" w:space="0" w:color="auto"/>
            </w:tcBorders>
          </w:tcPr>
          <w:p>
            <w:pPr>
              <w:pStyle w:val="TableParagraph"/>
              <w:spacing w:line="232" w:lineRule="exact"/>
              <w:ind w:right="597"/>
              <w:jc w:val="right"/>
              <w:rPr>
                <w:rFonts w:ascii="宋体" w:hAnsi="宋体" w:cs="宋体" w:eastAsia="宋体" w:hint="default"/>
                <w:sz w:val="18"/>
                <w:szCs w:val="18"/>
              </w:rPr>
            </w:pPr>
            <w:r>
              <w:rPr>
                <w:rFonts w:ascii="宋体"/>
                <w:sz w:val="18"/>
              </w:rPr>
              <w:t>0.00</w:t>
            </w:r>
          </w:p>
        </w:tc>
        <w:tc>
          <w:tcPr>
            <w:tcW w:w="2416" w:type="dxa"/>
            <w:tcBorders>
              <w:top w:val="nil" w:sz="6" w:space="0" w:color="auto"/>
              <w:left w:val="nil" w:sz="6" w:space="0" w:color="auto"/>
              <w:bottom w:val="single" w:sz="4"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spacing w:val="-1"/>
                <w:sz w:val="18"/>
              </w:rPr>
              <w:t>5,253.33</w:t>
            </w:r>
          </w:p>
        </w:tc>
      </w:tr>
      <w:tr>
        <w:trPr>
          <w:trHeight w:val="307" w:hRule="exact"/>
        </w:trPr>
        <w:tc>
          <w:tcPr>
            <w:tcW w:w="3574"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3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600"/>
              <w:jc w:val="right"/>
              <w:rPr>
                <w:rFonts w:ascii="宋体" w:hAnsi="宋体" w:cs="宋体" w:eastAsia="宋体" w:hint="default"/>
                <w:sz w:val="18"/>
                <w:szCs w:val="18"/>
              </w:rPr>
            </w:pPr>
            <w:r>
              <w:rPr>
                <w:rFonts w:ascii="宋体"/>
                <w:b/>
                <w:w w:val="95"/>
                <w:sz w:val="18"/>
              </w:rPr>
              <w:t>152,806,748.00</w:t>
            </w:r>
            <w:r>
              <w:rPr>
                <w:rFonts w:ascii="宋体"/>
                <w:sz w:val="18"/>
              </w:rPr>
            </w:r>
          </w:p>
        </w:tc>
        <w:tc>
          <w:tcPr>
            <w:tcW w:w="2416"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34,900,135.28</w:t>
            </w:r>
            <w:r>
              <w:rPr>
                <w:rFonts w:ascii="宋体"/>
                <w:sz w:val="18"/>
              </w:rPr>
            </w:r>
          </w:p>
        </w:tc>
      </w:tr>
    </w:tbl>
    <w:p>
      <w:pPr>
        <w:spacing w:after="0" w:line="232" w:lineRule="exact"/>
        <w:jc w:val="right"/>
        <w:rPr>
          <w:rFonts w:ascii="宋体" w:hAnsi="宋体" w:cs="宋体" w:eastAsia="宋体" w:hint="default"/>
          <w:sz w:val="18"/>
          <w:szCs w:val="18"/>
        </w:rPr>
        <w:sectPr>
          <w:type w:val="continuous"/>
          <w:pgSz w:w="11910" w:h="16840"/>
          <w:pgMar w:top="1000" w:bottom="280" w:left="1020" w:right="1020"/>
        </w:sectPr>
      </w:pPr>
    </w:p>
    <w:p>
      <w:pPr>
        <w:spacing w:before="6"/>
        <w:ind w:left="1175" w:right="0" w:firstLine="0"/>
        <w:jc w:val="left"/>
        <w:rPr>
          <w:rFonts w:ascii="宋体" w:hAnsi="宋体" w:cs="宋体" w:eastAsia="宋体" w:hint="default"/>
          <w:sz w:val="22"/>
          <w:szCs w:val="22"/>
        </w:rPr>
      </w:pPr>
      <w:r>
        <w:rPr>
          <w:rFonts w:ascii="宋体" w:hAnsi="宋体" w:cs="宋体" w:eastAsia="宋体" w:hint="default"/>
          <w:b/>
          <w:bCs/>
          <w:sz w:val="22"/>
          <w:szCs w:val="22"/>
        </w:rPr>
        <w:t>2.2</w:t>
      </w:r>
      <w:r>
        <w:rPr>
          <w:rFonts w:ascii="宋体" w:hAnsi="宋体" w:cs="宋体" w:eastAsia="宋体" w:hint="default"/>
          <w:sz w:val="22"/>
          <w:szCs w:val="22"/>
        </w:rPr>
        <w:t>其他应收款</w:t>
      </w:r>
    </w:p>
    <w:p>
      <w:pPr>
        <w:spacing w:before="127"/>
        <w:ind w:left="1175"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5"/>
          <w:sz w:val="22"/>
          <w:szCs w:val="22"/>
        </w:rPr>
        <w:t> </w:t>
      </w:r>
      <w:r>
        <w:rPr>
          <w:rFonts w:ascii="宋体" w:hAnsi="宋体" w:cs="宋体" w:eastAsia="宋体" w:hint="default"/>
          <w:sz w:val="22"/>
          <w:szCs w:val="22"/>
        </w:rPr>
        <w:t>其他应收款分类</w:t>
      </w:r>
    </w:p>
    <w:p>
      <w:pPr>
        <w:spacing w:line="240" w:lineRule="auto" w:before="11"/>
        <w:rPr>
          <w:rFonts w:ascii="宋体" w:hAnsi="宋体" w:cs="宋体" w:eastAsia="宋体" w:hint="default"/>
          <w:sz w:val="12"/>
          <w:szCs w:val="12"/>
        </w:rPr>
      </w:pPr>
    </w:p>
    <w:p>
      <w:pPr>
        <w:spacing w:line="28" w:lineRule="exact"/>
        <w:ind w:left="59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9.2pt;height:1.45pt;mso-position-horizontal-relative:char;mso-position-vertical-relative:line" coordorigin="0,0" coordsize="8784,29">
            <v:group style="position:absolute;left:14;top:14;width:2269;height:2" coordorigin="14,14" coordsize="2269,2">
              <v:shape style="position:absolute;left:14;top:14;width:2269;height:2" coordorigin="14,14" coordsize="2269,0" path="m14,14l2283,14e" filled="false" stroked="true" strokeweight="1.44pt" strokecolor="#000000">
                <v:path arrowok="t"/>
              </v:shape>
            </v:group>
            <v:group style="position:absolute;left:2283;top:14;width:29;height:2" coordorigin="2283,14" coordsize="29,2">
              <v:shape style="position:absolute;left:2283;top:14;width:29;height:2" coordorigin="2283,14" coordsize="29,0" path="m2283,14l2312,14e" filled="false" stroked="true" strokeweight="1.44pt" strokecolor="#000000">
                <v:path arrowok="t"/>
              </v:shape>
            </v:group>
            <v:group style="position:absolute;left:2312;top:14;width:6457;height:2" coordorigin="2312,14" coordsize="6457,2">
              <v:shape style="position:absolute;left:2312;top:14;width:6457;height:2" coordorigin="2312,14" coordsize="6457,0" path="m2312,14l8769,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0" w:footer="1054" w:top="1360" w:bottom="1240" w:left="980" w:right="980"/>
        </w:sectPr>
      </w:pPr>
    </w:p>
    <w:p>
      <w:pPr>
        <w:spacing w:line="240" w:lineRule="auto" w:before="0"/>
        <w:rPr>
          <w:rFonts w:ascii="宋体" w:hAnsi="宋体" w:cs="宋体" w:eastAsia="宋体" w:hint="default"/>
          <w:sz w:val="18"/>
          <w:szCs w:val="18"/>
        </w:rPr>
      </w:pPr>
    </w:p>
    <w:p>
      <w:pPr>
        <w:spacing w:before="148"/>
        <w:ind w:left="717" w:right="0" w:firstLine="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18"/>
          <w:szCs w:val="18"/>
        </w:rPr>
      </w:pPr>
    </w:p>
    <w:p>
      <w:pPr>
        <w:spacing w:before="0"/>
        <w:ind w:left="722" w:right="0" w:firstLine="0"/>
        <w:jc w:val="center"/>
        <w:rPr>
          <w:rFonts w:ascii="宋体" w:hAnsi="宋体" w:cs="宋体" w:eastAsia="宋体" w:hint="default"/>
          <w:sz w:val="18"/>
          <w:szCs w:val="18"/>
        </w:rPr>
      </w:pPr>
      <w:r>
        <w:rPr/>
        <w:pict>
          <v:group style="position:absolute;margin-left:79.463997pt;margin-top:-1.608286pt;width:438.2pt;height:.5pt;mso-position-horizontal-relative:page;mso-position-vertical-relative:paragraph;z-index:5776" coordorigin="1589,-32" coordsize="8764,10">
            <v:group style="position:absolute;left:1594;top:-27;width:2269;height:2" coordorigin="1594,-27" coordsize="2269,2">
              <v:shape style="position:absolute;left:1594;top:-27;width:2269;height:2" coordorigin="1594,-27" coordsize="2269,0" path="m1594,-27l3862,-27e" filled="false" stroked="true" strokeweight=".48pt" strokecolor="#000000">
                <v:path arrowok="t"/>
              </v:shape>
            </v:group>
            <v:group style="position:absolute;left:3863;top:-27;width:10;height:2" coordorigin="3863,-27" coordsize="10,2">
              <v:shape style="position:absolute;left:3863;top:-27;width:10;height:2" coordorigin="3863,-27" coordsize="10,0" path="m3863,-27l3872,-27e" filled="false" stroked="true" strokeweight=".48pt" strokecolor="#000000">
                <v:path arrowok="t"/>
              </v:shape>
            </v:group>
            <v:group style="position:absolute;left:3872;top:-27;width:1659;height:2" coordorigin="3872,-27" coordsize="1659,2">
              <v:shape style="position:absolute;left:3872;top:-27;width:1659;height:2" coordorigin="3872,-27" coordsize="1659,0" path="m3872,-27l5531,-27e" filled="false" stroked="true" strokeweight=".48pt" strokecolor="#000000">
                <v:path arrowok="t"/>
              </v:shape>
            </v:group>
            <v:group style="position:absolute;left:5531;top:-27;width:10;height:2" coordorigin="5531,-27" coordsize="10,2">
              <v:shape style="position:absolute;left:5531;top:-27;width:10;height:2" coordorigin="5531,-27" coordsize="10,0" path="m5531,-27l5540,-27e" filled="false" stroked="true" strokeweight=".48pt" strokecolor="#000000">
                <v:path arrowok="t"/>
              </v:shape>
            </v:group>
            <v:group style="position:absolute;left:5540;top:-27;width:843;height:2" coordorigin="5540,-27" coordsize="843,2">
              <v:shape style="position:absolute;left:5540;top:-27;width:843;height:2" coordorigin="5540,-27" coordsize="843,0" path="m5540,-27l6383,-27e" filled="false" stroked="true" strokeweight=".48pt" strokecolor="#000000">
                <v:path arrowok="t"/>
              </v:shape>
            </v:group>
            <v:group style="position:absolute;left:6383;top:-27;width:10;height:2" coordorigin="6383,-27" coordsize="10,2">
              <v:shape style="position:absolute;left:6383;top:-27;width:10;height:2" coordorigin="6383,-27" coordsize="10,0" path="m6383,-27l6393,-27e" filled="false" stroked="true" strokeweight=".48pt" strokecolor="#000000">
                <v:path arrowok="t"/>
              </v:shape>
            </v:group>
            <v:group style="position:absolute;left:6393;top:-27;width:1476;height:2" coordorigin="6393,-27" coordsize="1476,2">
              <v:shape style="position:absolute;left:6393;top:-27;width:1476;height:2" coordorigin="6393,-27" coordsize="1476,0" path="m6393,-27l7869,-27e" filled="false" stroked="true" strokeweight=".48pt" strokecolor="#000000">
                <v:path arrowok="t"/>
              </v:shape>
            </v:group>
            <v:group style="position:absolute;left:7869;top:-27;width:10;height:2" coordorigin="7869,-27" coordsize="10,2">
              <v:shape style="position:absolute;left:7869;top:-27;width:10;height:2" coordorigin="7869,-27" coordsize="10,0" path="m7869,-27l7878,-27e" filled="false" stroked="true" strokeweight=".48pt" strokecolor="#000000">
                <v:path arrowok="t"/>
              </v:shape>
            </v:group>
            <v:group style="position:absolute;left:7878;top:-27;width:803;height:2" coordorigin="7878,-27" coordsize="803,2">
              <v:shape style="position:absolute;left:7878;top:-27;width:803;height:2" coordorigin="7878,-27" coordsize="803,0" path="m7878,-27l8680,-27e" filled="false" stroked="true" strokeweight=".48pt" strokecolor="#000000">
                <v:path arrowok="t"/>
              </v:shape>
            </v:group>
            <v:group style="position:absolute;left:8680;top:-27;width:10;height:2" coordorigin="8680,-27" coordsize="10,2">
              <v:shape style="position:absolute;left:8680;top:-27;width:10;height:2" coordorigin="8680,-27" coordsize="10,0" path="m8680,-27l8690,-27e" filled="false" stroked="true" strokeweight=".48pt" strokecolor="#000000">
                <v:path arrowok="t"/>
              </v:shape>
            </v:group>
            <v:group style="position:absolute;left:8690;top:-27;width:1659;height:2" coordorigin="8690,-27" coordsize="1659,2">
              <v:shape style="position:absolute;left:8690;top:-27;width:1659;height:2" coordorigin="8690,-27" coordsize="1659,0" path="m8690,-27l10348,-27e" filled="false" stroked="true" strokeweight=".48pt" strokecolor="#000000">
                <v:path arrowok="t"/>
              </v:shape>
            </v:group>
            <w10:wrap type="none"/>
          </v:group>
        </w:pict>
      </w:r>
      <w:r>
        <w:rPr/>
        <w:pict>
          <v:shape style="position:absolute;margin-left:79.704002pt;margin-top:8.537339pt;width:437.75pt;height:92.85pt;mso-position-horizontal-relative:page;mso-position-vertical-relative:paragraph;z-index:5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37"/>
                    <w:gridCol w:w="852"/>
                    <w:gridCol w:w="1555"/>
                    <w:gridCol w:w="743"/>
                    <w:gridCol w:w="1668"/>
                  </w:tblGrid>
                  <w:tr>
                    <w:trPr>
                      <w:trHeight w:val="376" w:hRule="exact"/>
                    </w:trPr>
                    <w:tc>
                      <w:tcPr>
                        <w:tcW w:w="3937" w:type="dxa"/>
                        <w:tcBorders>
                          <w:top w:val="nil" w:sz="6" w:space="0" w:color="auto"/>
                          <w:left w:val="nil" w:sz="6" w:space="0" w:color="auto"/>
                          <w:bottom w:val="nil" w:sz="6" w:space="0" w:color="auto"/>
                          <w:right w:val="nil" w:sz="6" w:space="0" w:color="auto"/>
                        </w:tcBorders>
                      </w:tcPr>
                      <w:p>
                        <w:pPr>
                          <w:pStyle w:val="TableParagraph"/>
                          <w:tabs>
                            <w:tab w:pos="3360" w:val="left" w:leader="none"/>
                          </w:tabs>
                          <w:spacing w:line="298" w:lineRule="exact"/>
                          <w:ind w:right="0"/>
                          <w:jc w:val="center"/>
                          <w:rPr>
                            <w:rFonts w:ascii="宋体" w:hAnsi="宋体" w:cs="宋体" w:eastAsia="宋体" w:hint="default"/>
                            <w:sz w:val="18"/>
                            <w:szCs w:val="18"/>
                          </w:rPr>
                        </w:pPr>
                        <w:r>
                          <w:rPr>
                            <w:rFonts w:ascii="宋体" w:hAnsi="宋体" w:cs="宋体" w:eastAsia="宋体" w:hint="default"/>
                            <w:sz w:val="18"/>
                            <w:szCs w:val="18"/>
                          </w:rPr>
                          <w:t>坏账准备的其他应收款</w:t>
                        </w:r>
                        <w:r>
                          <w:rPr>
                            <w:rFonts w:ascii="宋体" w:hAnsi="宋体" w:cs="宋体" w:eastAsia="宋体" w:hint="default"/>
                            <w:position w:val="12"/>
                            <w:sz w:val="18"/>
                            <w:szCs w:val="18"/>
                          </w:rPr>
                          <w:tab/>
                          <w:t>0.00</w:t>
                        </w:r>
                        <w:r>
                          <w:rPr>
                            <w:rFonts w:ascii="宋体" w:hAnsi="宋体" w:cs="宋体" w:eastAsia="宋体" w:hint="default"/>
                            <w:sz w:val="18"/>
                            <w:szCs w:val="18"/>
                          </w:rPr>
                        </w:r>
                      </w:p>
                    </w:tc>
                    <w:tc>
                      <w:tcPr>
                        <w:tcW w:w="852" w:type="dxa"/>
                        <w:tcBorders>
                          <w:top w:val="nil" w:sz="6" w:space="0" w:color="auto"/>
                          <w:left w:val="nil" w:sz="6" w:space="0" w:color="auto"/>
                          <w:bottom w:val="nil" w:sz="6" w:space="0" w:color="auto"/>
                          <w:right w:val="nil" w:sz="6" w:space="0" w:color="auto"/>
                        </w:tcBorders>
                      </w:tcPr>
                      <w:p>
                        <w:pPr>
                          <w:pStyle w:val="TableParagraph"/>
                          <w:spacing w:line="180" w:lineRule="exact"/>
                          <w:ind w:right="105"/>
                          <w:jc w:val="right"/>
                          <w:rPr>
                            <w:rFonts w:ascii="宋体" w:hAnsi="宋体" w:cs="宋体" w:eastAsia="宋体" w:hint="default"/>
                            <w:sz w:val="18"/>
                            <w:szCs w:val="18"/>
                          </w:rPr>
                        </w:pPr>
                        <w:r>
                          <w:rPr>
                            <w:rFonts w:ascii="宋体"/>
                            <w:sz w:val="18"/>
                          </w:rPr>
                          <w:t>0.00%</w:t>
                        </w:r>
                      </w:p>
                    </w:tc>
                    <w:tc>
                      <w:tcPr>
                        <w:tcW w:w="1555" w:type="dxa"/>
                        <w:tcBorders>
                          <w:top w:val="nil" w:sz="6" w:space="0" w:color="auto"/>
                          <w:left w:val="nil" w:sz="6" w:space="0" w:color="auto"/>
                          <w:bottom w:val="nil" w:sz="6" w:space="0" w:color="auto"/>
                          <w:right w:val="nil" w:sz="6" w:space="0" w:color="auto"/>
                        </w:tcBorders>
                      </w:tcPr>
                      <w:p>
                        <w:pPr>
                          <w:pStyle w:val="TableParagraph"/>
                          <w:spacing w:line="180" w:lineRule="exact"/>
                          <w:ind w:right="176"/>
                          <w:jc w:val="right"/>
                          <w:rPr>
                            <w:rFonts w:ascii="宋体" w:hAnsi="宋体" w:cs="宋体" w:eastAsia="宋体" w:hint="default"/>
                            <w:sz w:val="18"/>
                            <w:szCs w:val="18"/>
                          </w:rPr>
                        </w:pPr>
                        <w:r>
                          <w:rPr>
                            <w:rFonts w:ascii="宋体"/>
                            <w:sz w:val="18"/>
                          </w:rPr>
                          <w:t>0.00</w:t>
                        </w:r>
                      </w:p>
                    </w:tc>
                    <w:tc>
                      <w:tcPr>
                        <w:tcW w:w="743" w:type="dxa"/>
                        <w:tcBorders>
                          <w:top w:val="nil" w:sz="6" w:space="0" w:color="auto"/>
                          <w:left w:val="nil" w:sz="6" w:space="0" w:color="auto"/>
                          <w:bottom w:val="nil" w:sz="6" w:space="0" w:color="auto"/>
                          <w:right w:val="nil" w:sz="6" w:space="0" w:color="auto"/>
                        </w:tcBorders>
                      </w:tcPr>
                      <w:p>
                        <w:pPr>
                          <w:pStyle w:val="TableParagraph"/>
                          <w:spacing w:line="180" w:lineRule="exact"/>
                          <w:ind w:left="70" w:right="0"/>
                          <w:jc w:val="center"/>
                          <w:rPr>
                            <w:rFonts w:ascii="宋体" w:hAnsi="宋体" w:cs="宋体" w:eastAsia="宋体" w:hint="default"/>
                            <w:sz w:val="18"/>
                            <w:szCs w:val="18"/>
                          </w:rPr>
                        </w:pPr>
                        <w:r>
                          <w:rPr>
                            <w:rFonts w:ascii="宋体"/>
                            <w:sz w:val="18"/>
                          </w:rPr>
                          <w:t>0.00%</w:t>
                        </w:r>
                      </w:p>
                    </w:tc>
                    <w:tc>
                      <w:tcPr>
                        <w:tcW w:w="1668" w:type="dxa"/>
                        <w:tcBorders>
                          <w:top w:val="nil" w:sz="6" w:space="0" w:color="auto"/>
                          <w:left w:val="nil" w:sz="6" w:space="0" w:color="auto"/>
                          <w:bottom w:val="nil" w:sz="6" w:space="0" w:color="auto"/>
                          <w:right w:val="nil" w:sz="6" w:space="0" w:color="auto"/>
                        </w:tcBorders>
                      </w:tcPr>
                      <w:p>
                        <w:pPr>
                          <w:pStyle w:val="TableParagraph"/>
                          <w:spacing w:line="180" w:lineRule="exact"/>
                          <w:ind w:right="105"/>
                          <w:jc w:val="right"/>
                          <w:rPr>
                            <w:rFonts w:ascii="宋体" w:hAnsi="宋体" w:cs="宋体" w:eastAsia="宋体" w:hint="default"/>
                            <w:sz w:val="18"/>
                            <w:szCs w:val="18"/>
                          </w:rPr>
                        </w:pPr>
                        <w:r>
                          <w:rPr>
                            <w:rFonts w:ascii="宋体"/>
                            <w:sz w:val="18"/>
                          </w:rPr>
                          <w:t>0.00</w:t>
                        </w:r>
                      </w:p>
                    </w:tc>
                  </w:tr>
                  <w:tr>
                    <w:trPr>
                      <w:trHeight w:val="570" w:hRule="exact"/>
                    </w:trPr>
                    <w:tc>
                      <w:tcPr>
                        <w:tcW w:w="3937" w:type="dxa"/>
                        <w:tcBorders>
                          <w:top w:val="nil" w:sz="6" w:space="0" w:color="auto"/>
                          <w:left w:val="nil" w:sz="6" w:space="0" w:color="auto"/>
                          <w:bottom w:val="nil" w:sz="6" w:space="0" w:color="auto"/>
                          <w:right w:val="nil" w:sz="6" w:space="0" w:color="auto"/>
                        </w:tcBorders>
                      </w:tcPr>
                      <w:p>
                        <w:pPr>
                          <w:pStyle w:val="TableParagraph"/>
                          <w:tabs>
                            <w:tab w:pos="2388" w:val="left" w:leader="none"/>
                          </w:tabs>
                          <w:spacing w:line="120" w:lineRule="auto" w:before="127"/>
                          <w:ind w:left="108" w:right="106"/>
                          <w:jc w:val="left"/>
                          <w:rPr>
                            <w:rFonts w:ascii="宋体" w:hAnsi="宋体" w:cs="宋体" w:eastAsia="宋体" w:hint="default"/>
                            <w:sz w:val="18"/>
                            <w:szCs w:val="18"/>
                          </w:rPr>
                        </w:pPr>
                        <w:r>
                          <w:rPr>
                            <w:rFonts w:ascii="宋体" w:hAnsi="宋体" w:cs="宋体" w:eastAsia="宋体" w:hint="default"/>
                            <w:spacing w:val="7"/>
                            <w:sz w:val="18"/>
                            <w:szCs w:val="18"/>
                          </w:rPr>
                          <w:t>按信用风险特征组合计提 </w:t>
                        </w:r>
                        <w:r>
                          <w:rPr>
                            <w:rFonts w:ascii="宋体" w:hAnsi="宋体" w:cs="宋体" w:eastAsia="宋体" w:hint="default"/>
                            <w:position w:val="-11"/>
                            <w:sz w:val="18"/>
                            <w:szCs w:val="18"/>
                          </w:rPr>
                          <w:t>坏账准备的其他应收款</w:t>
                          <w:tab/>
                        </w:r>
                        <w:r>
                          <w:rPr>
                            <w:rFonts w:ascii="宋体" w:hAnsi="宋体" w:cs="宋体" w:eastAsia="宋体" w:hint="default"/>
                            <w:spacing w:val="-1"/>
                            <w:sz w:val="18"/>
                            <w:szCs w:val="18"/>
                          </w:rPr>
                          <w:t>9,857,522,333.09</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5"/>
                          <w:jc w:val="right"/>
                          <w:rPr>
                            <w:rFonts w:ascii="宋体" w:hAnsi="宋体" w:cs="宋体" w:eastAsia="宋体" w:hint="default"/>
                            <w:sz w:val="18"/>
                            <w:szCs w:val="18"/>
                          </w:rPr>
                        </w:pPr>
                        <w:r>
                          <w:rPr>
                            <w:rFonts w:ascii="宋体"/>
                            <w:sz w:val="18"/>
                          </w:rPr>
                          <w:t>100.00%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77"/>
                          <w:jc w:val="right"/>
                          <w:rPr>
                            <w:rFonts w:ascii="宋体" w:hAnsi="宋体" w:cs="宋体" w:eastAsia="宋体" w:hint="default"/>
                            <w:sz w:val="18"/>
                            <w:szCs w:val="18"/>
                          </w:rPr>
                        </w:pPr>
                        <w:r>
                          <w:rPr>
                            <w:rFonts w:ascii="宋体"/>
                            <w:spacing w:val="-1"/>
                            <w:sz w:val="18"/>
                          </w:rPr>
                          <w:t>173,604,152.97</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70" w:right="0"/>
                          <w:jc w:val="center"/>
                          <w:rPr>
                            <w:rFonts w:ascii="宋体" w:hAnsi="宋体" w:cs="宋体" w:eastAsia="宋体" w:hint="default"/>
                            <w:sz w:val="18"/>
                            <w:szCs w:val="18"/>
                          </w:rPr>
                        </w:pPr>
                        <w:r>
                          <w:rPr>
                            <w:rFonts w:ascii="宋体"/>
                            <w:sz w:val="18"/>
                          </w:rPr>
                          <w:t>1.76%</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6"/>
                          <w:jc w:val="right"/>
                          <w:rPr>
                            <w:rFonts w:ascii="宋体" w:hAnsi="宋体" w:cs="宋体" w:eastAsia="宋体" w:hint="default"/>
                            <w:sz w:val="18"/>
                            <w:szCs w:val="18"/>
                          </w:rPr>
                        </w:pPr>
                        <w:r>
                          <w:rPr>
                            <w:rFonts w:ascii="宋体"/>
                            <w:spacing w:val="-1"/>
                            <w:sz w:val="18"/>
                          </w:rPr>
                          <w:t>9,683,918,180.12</w:t>
                        </w:r>
                      </w:p>
                    </w:tc>
                  </w:tr>
                  <w:tr>
                    <w:trPr>
                      <w:trHeight w:val="577" w:hRule="exact"/>
                    </w:trPr>
                    <w:tc>
                      <w:tcPr>
                        <w:tcW w:w="3937" w:type="dxa"/>
                        <w:tcBorders>
                          <w:top w:val="nil" w:sz="6" w:space="0" w:color="auto"/>
                          <w:left w:val="nil" w:sz="6" w:space="0" w:color="auto"/>
                          <w:bottom w:val="single" w:sz="4" w:space="0" w:color="000000"/>
                          <w:right w:val="nil" w:sz="6" w:space="0" w:color="auto"/>
                        </w:tcBorders>
                      </w:tcPr>
                      <w:p>
                        <w:pPr>
                          <w:pStyle w:val="TableParagraph"/>
                          <w:tabs>
                            <w:tab w:pos="3468" w:val="left" w:leader="none"/>
                          </w:tabs>
                          <w:spacing w:line="115" w:lineRule="auto" w:before="133"/>
                          <w:ind w:left="108" w:right="105"/>
                          <w:jc w:val="left"/>
                          <w:rPr>
                            <w:rFonts w:ascii="宋体" w:hAnsi="宋体" w:cs="宋体" w:eastAsia="宋体" w:hint="default"/>
                            <w:sz w:val="18"/>
                            <w:szCs w:val="18"/>
                          </w:rPr>
                        </w:pPr>
                        <w:r>
                          <w:rPr>
                            <w:rFonts w:ascii="宋体" w:hAnsi="宋体" w:cs="宋体" w:eastAsia="宋体" w:hint="default"/>
                            <w:spacing w:val="7"/>
                            <w:sz w:val="18"/>
                            <w:szCs w:val="18"/>
                          </w:rPr>
                          <w:t>单项金额不重大但单项计 </w:t>
                        </w:r>
                        <w:r>
                          <w:rPr>
                            <w:rFonts w:ascii="宋体" w:hAnsi="宋体" w:cs="宋体" w:eastAsia="宋体" w:hint="default"/>
                            <w:sz w:val="18"/>
                            <w:szCs w:val="18"/>
                          </w:rPr>
                          <w:t>提坏账准备的其他应收款</w:t>
                        </w:r>
                        <w:r>
                          <w:rPr>
                            <w:rFonts w:ascii="宋体" w:hAnsi="宋体" w:cs="宋体" w:eastAsia="宋体" w:hint="default"/>
                            <w:position w:val="12"/>
                            <w:sz w:val="18"/>
                            <w:szCs w:val="18"/>
                          </w:rPr>
                          <w:tab/>
                          <w:t>0.00</w:t>
                        </w:r>
                        <w:r>
                          <w:rPr>
                            <w:rFonts w:ascii="宋体" w:hAnsi="宋体" w:cs="宋体" w:eastAsia="宋体" w:hint="default"/>
                            <w:sz w:val="18"/>
                            <w:szCs w:val="18"/>
                          </w:rPr>
                        </w:r>
                      </w:p>
                    </w:tc>
                    <w:tc>
                      <w:tcPr>
                        <w:tcW w:w="852" w:type="dxa"/>
                        <w:tcBorders>
                          <w:top w:val="nil" w:sz="6" w:space="0" w:color="auto"/>
                          <w:left w:val="nil" w:sz="6" w:space="0" w:color="auto"/>
                          <w:bottom w:val="single" w:sz="4" w:space="0" w:color="000000"/>
                          <w:right w:val="nil" w:sz="6" w:space="0" w:color="auto"/>
                        </w:tcBorders>
                      </w:tcPr>
                      <w:p>
                        <w:pPr>
                          <w:pStyle w:val="TableParagraph"/>
                          <w:spacing w:line="240" w:lineRule="auto" w:before="139"/>
                          <w:ind w:right="105"/>
                          <w:jc w:val="right"/>
                          <w:rPr>
                            <w:rFonts w:ascii="宋体" w:hAnsi="宋体" w:cs="宋体" w:eastAsia="宋体" w:hint="default"/>
                            <w:sz w:val="18"/>
                            <w:szCs w:val="18"/>
                          </w:rPr>
                        </w:pPr>
                        <w:r>
                          <w:rPr>
                            <w:rFonts w:ascii="宋体"/>
                            <w:sz w:val="18"/>
                          </w:rPr>
                          <w:t>0.00%</w:t>
                        </w:r>
                      </w:p>
                    </w:tc>
                    <w:tc>
                      <w:tcPr>
                        <w:tcW w:w="1555" w:type="dxa"/>
                        <w:tcBorders>
                          <w:top w:val="nil" w:sz="6" w:space="0" w:color="auto"/>
                          <w:left w:val="nil" w:sz="6" w:space="0" w:color="auto"/>
                          <w:bottom w:val="single" w:sz="4" w:space="0" w:color="000000"/>
                          <w:right w:val="nil" w:sz="6" w:space="0" w:color="auto"/>
                        </w:tcBorders>
                      </w:tcPr>
                      <w:p>
                        <w:pPr>
                          <w:pStyle w:val="TableParagraph"/>
                          <w:spacing w:line="240" w:lineRule="auto" w:before="139"/>
                          <w:ind w:right="176"/>
                          <w:jc w:val="right"/>
                          <w:rPr>
                            <w:rFonts w:ascii="宋体" w:hAnsi="宋体" w:cs="宋体" w:eastAsia="宋体" w:hint="default"/>
                            <w:sz w:val="18"/>
                            <w:szCs w:val="18"/>
                          </w:rPr>
                        </w:pPr>
                        <w:r>
                          <w:rPr>
                            <w:rFonts w:ascii="宋体"/>
                            <w:sz w:val="18"/>
                          </w:rPr>
                          <w:t>0.00</w:t>
                        </w:r>
                      </w:p>
                    </w:tc>
                    <w:tc>
                      <w:tcPr>
                        <w:tcW w:w="743" w:type="dxa"/>
                        <w:tcBorders>
                          <w:top w:val="nil" w:sz="6" w:space="0" w:color="auto"/>
                          <w:left w:val="nil" w:sz="6" w:space="0" w:color="auto"/>
                          <w:bottom w:val="single" w:sz="4" w:space="0" w:color="000000"/>
                          <w:right w:val="nil" w:sz="6" w:space="0" w:color="auto"/>
                        </w:tcBorders>
                      </w:tcPr>
                      <w:p>
                        <w:pPr>
                          <w:pStyle w:val="TableParagraph"/>
                          <w:spacing w:line="240" w:lineRule="auto" w:before="139"/>
                          <w:ind w:left="70" w:right="0"/>
                          <w:jc w:val="center"/>
                          <w:rPr>
                            <w:rFonts w:ascii="宋体" w:hAnsi="宋体" w:cs="宋体" w:eastAsia="宋体" w:hint="default"/>
                            <w:sz w:val="18"/>
                            <w:szCs w:val="18"/>
                          </w:rPr>
                        </w:pPr>
                        <w:r>
                          <w:rPr>
                            <w:rFonts w:ascii="宋体"/>
                            <w:sz w:val="18"/>
                          </w:rPr>
                          <w:t>0.00%</w:t>
                        </w:r>
                      </w:p>
                    </w:tc>
                    <w:tc>
                      <w:tcPr>
                        <w:tcW w:w="1668" w:type="dxa"/>
                        <w:tcBorders>
                          <w:top w:val="nil" w:sz="6" w:space="0" w:color="auto"/>
                          <w:left w:val="nil" w:sz="6" w:space="0" w:color="auto"/>
                          <w:bottom w:val="single" w:sz="4" w:space="0" w:color="000000"/>
                          <w:right w:val="nil" w:sz="6" w:space="0" w:color="auto"/>
                        </w:tcBorders>
                      </w:tcPr>
                      <w:p>
                        <w:pPr>
                          <w:pStyle w:val="TableParagraph"/>
                          <w:spacing w:line="240" w:lineRule="auto" w:before="139"/>
                          <w:ind w:right="105"/>
                          <w:jc w:val="right"/>
                          <w:rPr>
                            <w:rFonts w:ascii="宋体" w:hAnsi="宋体" w:cs="宋体" w:eastAsia="宋体" w:hint="default"/>
                            <w:sz w:val="18"/>
                            <w:szCs w:val="18"/>
                          </w:rPr>
                        </w:pPr>
                        <w:r>
                          <w:rPr>
                            <w:rFonts w:ascii="宋体"/>
                            <w:sz w:val="18"/>
                          </w:rPr>
                          <w:t>0.00</w:t>
                        </w:r>
                      </w:p>
                    </w:tc>
                  </w:tr>
                  <w:tr>
                    <w:trPr>
                      <w:trHeight w:val="305" w:hRule="exact"/>
                    </w:trPr>
                    <w:tc>
                      <w:tcPr>
                        <w:tcW w:w="3937" w:type="dxa"/>
                        <w:tcBorders>
                          <w:top w:val="single" w:sz="4" w:space="0" w:color="000000"/>
                          <w:left w:val="nil" w:sz="6" w:space="0" w:color="auto"/>
                          <w:bottom w:val="single" w:sz="12" w:space="0" w:color="000000"/>
                          <w:right w:val="nil" w:sz="6" w:space="0" w:color="auto"/>
                        </w:tcBorders>
                      </w:tcPr>
                      <w:p>
                        <w:pPr>
                          <w:pStyle w:val="TableParagraph"/>
                          <w:tabs>
                            <w:tab w:pos="2268" w:val="left" w:leader="none"/>
                          </w:tabs>
                          <w:spacing w:line="229" w:lineRule="exact"/>
                          <w:ind w:right="0"/>
                          <w:jc w:val="center"/>
                          <w:rPr>
                            <w:rFonts w:ascii="宋体" w:hAnsi="宋体" w:cs="宋体" w:eastAsia="宋体" w:hint="default"/>
                            <w:sz w:val="18"/>
                            <w:szCs w:val="18"/>
                          </w:rPr>
                        </w:pPr>
                        <w:r>
                          <w:rPr>
                            <w:rFonts w:ascii="宋体" w:hAnsi="宋体" w:cs="宋体" w:eastAsia="宋体" w:hint="default"/>
                            <w:b/>
                            <w:bCs/>
                            <w:sz w:val="18"/>
                            <w:szCs w:val="18"/>
                          </w:rPr>
                          <w:t>合计</w:t>
                          <w:tab/>
                        </w:r>
                        <w:r>
                          <w:rPr>
                            <w:rFonts w:ascii="宋体" w:hAnsi="宋体" w:cs="宋体" w:eastAsia="宋体" w:hint="default"/>
                            <w:b/>
                            <w:bCs/>
                            <w:sz w:val="18"/>
                            <w:szCs w:val="18"/>
                          </w:rPr>
                          <w:t>9,857,522,333.09</w:t>
                        </w:r>
                        <w:r>
                          <w:rPr>
                            <w:rFonts w:ascii="宋体" w:hAnsi="宋体" w:cs="宋体" w:eastAsia="宋体" w:hint="default"/>
                            <w:sz w:val="18"/>
                            <w:szCs w:val="18"/>
                          </w:rPr>
                        </w:r>
                      </w:p>
                    </w:tc>
                    <w:tc>
                      <w:tcPr>
                        <w:tcW w:w="852" w:type="dxa"/>
                        <w:tcBorders>
                          <w:top w:val="single" w:sz="4" w:space="0" w:color="000000"/>
                          <w:left w:val="nil" w:sz="6" w:space="0" w:color="auto"/>
                          <w:bottom w:val="single" w:sz="12" w:space="0" w:color="000000"/>
                          <w:right w:val="nil" w:sz="6" w:space="0" w:color="auto"/>
                        </w:tcBorders>
                      </w:tcPr>
                      <w:p>
                        <w:pPr>
                          <w:pStyle w:val="TableParagraph"/>
                          <w:spacing w:line="229" w:lineRule="exact"/>
                          <w:ind w:right="103"/>
                          <w:jc w:val="right"/>
                          <w:rPr>
                            <w:rFonts w:ascii="宋体" w:hAnsi="宋体" w:cs="宋体" w:eastAsia="宋体" w:hint="default"/>
                            <w:sz w:val="18"/>
                            <w:szCs w:val="18"/>
                          </w:rPr>
                        </w:pPr>
                        <w:r>
                          <w:rPr>
                            <w:rFonts w:ascii="宋体"/>
                            <w:b/>
                            <w:sz w:val="18"/>
                          </w:rPr>
                          <w:t>100.00%</w:t>
                        </w:r>
                        <w:r>
                          <w:rPr>
                            <w:rFonts w:ascii="宋体"/>
                            <w:sz w:val="18"/>
                          </w:rPr>
                        </w:r>
                      </w:p>
                    </w:tc>
                    <w:tc>
                      <w:tcPr>
                        <w:tcW w:w="1555" w:type="dxa"/>
                        <w:tcBorders>
                          <w:top w:val="single" w:sz="4" w:space="0" w:color="000000"/>
                          <w:left w:val="nil" w:sz="6" w:space="0" w:color="auto"/>
                          <w:bottom w:val="single" w:sz="12" w:space="0" w:color="000000"/>
                          <w:right w:val="nil" w:sz="6" w:space="0" w:color="auto"/>
                        </w:tcBorders>
                      </w:tcPr>
                      <w:p>
                        <w:pPr>
                          <w:pStyle w:val="TableParagraph"/>
                          <w:spacing w:line="229" w:lineRule="exact"/>
                          <w:ind w:right="177"/>
                          <w:jc w:val="right"/>
                          <w:rPr>
                            <w:rFonts w:ascii="宋体" w:hAnsi="宋体" w:cs="宋体" w:eastAsia="宋体" w:hint="default"/>
                            <w:sz w:val="18"/>
                            <w:szCs w:val="18"/>
                          </w:rPr>
                        </w:pPr>
                        <w:r>
                          <w:rPr>
                            <w:rFonts w:ascii="宋体"/>
                            <w:b/>
                            <w:w w:val="95"/>
                            <w:sz w:val="18"/>
                          </w:rPr>
                          <w:t>173,604,152.97</w:t>
                        </w:r>
                        <w:r>
                          <w:rPr>
                            <w:rFonts w:ascii="宋体"/>
                            <w:sz w:val="18"/>
                          </w:rPr>
                        </w:r>
                      </w:p>
                    </w:tc>
                    <w:tc>
                      <w:tcPr>
                        <w:tcW w:w="743" w:type="dxa"/>
                        <w:tcBorders>
                          <w:top w:val="single" w:sz="4" w:space="0" w:color="000000"/>
                          <w:left w:val="nil" w:sz="6" w:space="0" w:color="auto"/>
                          <w:bottom w:val="single" w:sz="12" w:space="0" w:color="000000"/>
                          <w:right w:val="nil" w:sz="6" w:space="0" w:color="auto"/>
                        </w:tcBorders>
                      </w:tcPr>
                      <w:p>
                        <w:pPr>
                          <w:pStyle w:val="TableParagraph"/>
                          <w:spacing w:line="229" w:lineRule="exact"/>
                          <w:ind w:left="70" w:right="0"/>
                          <w:jc w:val="center"/>
                          <w:rPr>
                            <w:rFonts w:ascii="宋体" w:hAnsi="宋体" w:cs="宋体" w:eastAsia="宋体" w:hint="default"/>
                            <w:sz w:val="18"/>
                            <w:szCs w:val="18"/>
                          </w:rPr>
                        </w:pPr>
                        <w:r>
                          <w:rPr>
                            <w:rFonts w:ascii="宋体"/>
                            <w:b/>
                            <w:sz w:val="18"/>
                          </w:rPr>
                          <w:t>1.76%</w:t>
                        </w:r>
                        <w:r>
                          <w:rPr>
                            <w:rFonts w:ascii="宋体"/>
                            <w:sz w:val="18"/>
                          </w:rPr>
                        </w:r>
                      </w:p>
                    </w:tc>
                    <w:tc>
                      <w:tcPr>
                        <w:tcW w:w="1668" w:type="dxa"/>
                        <w:tcBorders>
                          <w:top w:val="single" w:sz="4" w:space="0" w:color="000000"/>
                          <w:left w:val="nil" w:sz="6" w:space="0" w:color="auto"/>
                          <w:bottom w:val="single" w:sz="12" w:space="0" w:color="000000"/>
                          <w:right w:val="nil" w:sz="6" w:space="0" w:color="auto"/>
                        </w:tcBorders>
                      </w:tcPr>
                      <w:p>
                        <w:pPr>
                          <w:pStyle w:val="TableParagraph"/>
                          <w:spacing w:line="229" w:lineRule="exact"/>
                          <w:ind w:right="106"/>
                          <w:jc w:val="right"/>
                          <w:rPr>
                            <w:rFonts w:ascii="宋体" w:hAnsi="宋体" w:cs="宋体" w:eastAsia="宋体" w:hint="default"/>
                            <w:sz w:val="18"/>
                            <w:szCs w:val="18"/>
                          </w:rPr>
                        </w:pPr>
                        <w:r>
                          <w:rPr>
                            <w:rFonts w:ascii="宋体"/>
                            <w:b/>
                            <w:w w:val="95"/>
                            <w:sz w:val="18"/>
                          </w:rPr>
                          <w:t>9,683,918,180.12</w:t>
                        </w:r>
                        <w:r>
                          <w:rPr>
                            <w:rFonts w:ascii="宋体"/>
                            <w:sz w:val="18"/>
                          </w:rPr>
                        </w:r>
                      </w:p>
                    </w:tc>
                  </w:tr>
                </w:tbl>
                <w:p>
                  <w:pPr/>
                </w:p>
              </w:txbxContent>
            </v:textbox>
            <w10:wrap type="none"/>
          </v:shape>
        </w:pict>
      </w:r>
      <w:r>
        <w:rPr>
          <w:rFonts w:ascii="宋体" w:hAnsi="宋体" w:cs="宋体" w:eastAsia="宋体" w:hint="default"/>
          <w:spacing w:val="7"/>
          <w:sz w:val="18"/>
          <w:szCs w:val="18"/>
        </w:rPr>
        <w:t>单项金额重大并单项计提</w:t>
      </w:r>
      <w:r>
        <w:rPr>
          <w:rFonts w:ascii="宋体" w:hAnsi="宋体" w:cs="宋体" w:eastAsia="宋体" w:hint="default"/>
          <w:sz w:val="18"/>
          <w:szCs w:val="18"/>
        </w:rPr>
      </w:r>
    </w:p>
    <w:p>
      <w:pPr>
        <w:spacing w:line="233" w:lineRule="exact" w:before="0"/>
        <w:ind w:left="2941"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年末余额</w:t>
      </w:r>
      <w:r>
        <w:rPr>
          <w:rFonts w:ascii="宋体" w:hAnsi="宋体" w:cs="宋体" w:eastAsia="宋体" w:hint="default"/>
          <w:sz w:val="18"/>
          <w:szCs w:val="18"/>
        </w:rPr>
      </w:r>
    </w:p>
    <w:p>
      <w:pPr>
        <w:tabs>
          <w:tab w:pos="3366" w:val="left" w:leader="none"/>
        </w:tabs>
        <w:spacing w:before="59"/>
        <w:ind w:left="958" w:right="0" w:firstLine="0"/>
        <w:jc w:val="left"/>
        <w:rPr>
          <w:rFonts w:ascii="宋体" w:hAnsi="宋体" w:cs="宋体" w:eastAsia="宋体" w:hint="default"/>
          <w:sz w:val="18"/>
          <w:szCs w:val="18"/>
        </w:rPr>
      </w:pPr>
      <w:r>
        <w:rPr/>
        <w:pict>
          <v:group style="position:absolute;margin-left:192.889999pt;margin-top:2.661736pt;width:324.8pt;height:.5pt;mso-position-horizontal-relative:page;mso-position-vertical-relative:paragraph;z-index:-1224592" coordorigin="3858,53" coordsize="6496,10">
            <v:group style="position:absolute;left:3863;top:58;width:2521;height:2" coordorigin="3863,58" coordsize="2521,2">
              <v:shape style="position:absolute;left:3863;top:58;width:2521;height:2" coordorigin="3863,58" coordsize="2521,0" path="m3863,58l6383,58e" filled="false" stroked="true" strokeweight=".48pt" strokecolor="#000000">
                <v:path arrowok="t"/>
              </v:shape>
            </v:group>
            <v:group style="position:absolute;left:6383;top:58;width:10;height:2" coordorigin="6383,58" coordsize="10,2">
              <v:shape style="position:absolute;left:6383;top:58;width:10;height:2" coordorigin="6383,58" coordsize="10,0" path="m6383,58l6393,58e" filled="false" stroked="true" strokeweight=".48pt" strokecolor="#000000">
                <v:path arrowok="t"/>
              </v:shape>
            </v:group>
            <v:group style="position:absolute;left:6393;top:58;width:2288;height:2" coordorigin="6393,58" coordsize="2288,2">
              <v:shape style="position:absolute;left:6393;top:58;width:2288;height:2" coordorigin="6393,58" coordsize="2288,0" path="m6393,58l8680,58e" filled="false" stroked="true" strokeweight=".48pt" strokecolor="#000000">
                <v:path arrowok="t"/>
              </v:shape>
            </v:group>
            <v:group style="position:absolute;left:8680;top:58;width:10;height:2" coordorigin="8680,58" coordsize="10,2">
              <v:shape style="position:absolute;left:8680;top:58;width:10;height:2" coordorigin="8680,58" coordsize="10,0" path="m8680,58l8690,58e" filled="false" stroked="true" strokeweight=".48pt" strokecolor="#000000">
                <v:path arrowok="t"/>
              </v:shape>
            </v:group>
            <v:group style="position:absolute;left:8690;top:58;width:1659;height:2" coordorigin="8690,58" coordsize="1659,2">
              <v:shape style="position:absolute;left:8690;top:58;width:1659;height:2" coordorigin="8690,58" coordsize="1659,0" path="m8690,58l10348,58e" filled="false" stroked="true" strokeweight=".48pt" strokecolor="#000000">
                <v:path arrowok="t"/>
              </v:shape>
            </v:group>
            <w10:wrap type="none"/>
          </v:group>
        </w:pict>
      </w:r>
      <w:r>
        <w:rPr/>
        <w:pict>
          <v:group style="position:absolute;margin-left:192.889999pt;margin-top:17.421726pt;width:241.4pt;height:.5pt;mso-position-horizontal-relative:page;mso-position-vertical-relative:paragraph;z-index:5752" coordorigin="3858,348" coordsize="4828,10">
            <v:group style="position:absolute;left:3863;top:353;width:1668;height:2" coordorigin="3863,353" coordsize="1668,2">
              <v:shape style="position:absolute;left:3863;top:353;width:1668;height:2" coordorigin="3863,353" coordsize="1668,0" path="m3863,353l5531,353e" filled="false" stroked="true" strokeweight=".48001pt" strokecolor="#000000">
                <v:path arrowok="t"/>
              </v:shape>
            </v:group>
            <v:group style="position:absolute;left:5531;top:353;width:10;height:2" coordorigin="5531,353" coordsize="10,2">
              <v:shape style="position:absolute;left:5531;top:353;width:10;height:2" coordorigin="5531,353" coordsize="10,0" path="m5531,353l5540,353e" filled="false" stroked="true" strokeweight=".48001pt" strokecolor="#000000">
                <v:path arrowok="t"/>
              </v:shape>
            </v:group>
            <v:group style="position:absolute;left:5540;top:353;width:843;height:2" coordorigin="5540,353" coordsize="843,2">
              <v:shape style="position:absolute;left:5540;top:353;width:843;height:2" coordorigin="5540,353" coordsize="843,0" path="m5540,353l6383,353e" filled="false" stroked="true" strokeweight=".48001pt" strokecolor="#000000">
                <v:path arrowok="t"/>
              </v:shape>
            </v:group>
            <v:group style="position:absolute;left:6383;top:353;width:10;height:2" coordorigin="6383,353" coordsize="10,2">
              <v:shape style="position:absolute;left:6383;top:353;width:10;height:2" coordorigin="6383,353" coordsize="10,0" path="m6383,353l6393,353e" filled="false" stroked="true" strokeweight=".48001pt" strokecolor="#000000">
                <v:path arrowok="t"/>
              </v:shape>
            </v:group>
            <v:group style="position:absolute;left:6393;top:353;width:1476;height:2" coordorigin="6393,353" coordsize="1476,2">
              <v:shape style="position:absolute;left:6393;top:353;width:1476;height:2" coordorigin="6393,353" coordsize="1476,0" path="m6393,353l7869,353e" filled="false" stroked="true" strokeweight=".48001pt" strokecolor="#000000">
                <v:path arrowok="t"/>
              </v:shape>
            </v:group>
            <v:group style="position:absolute;left:7869;top:353;width:10;height:2" coordorigin="7869,353" coordsize="10,2">
              <v:shape style="position:absolute;left:7869;top:353;width:10;height:2" coordorigin="7869,353" coordsize="10,0" path="m7869,353l7878,353e" filled="false" stroked="true" strokeweight=".48001pt" strokecolor="#000000">
                <v:path arrowok="t"/>
              </v:shape>
            </v:group>
            <v:group style="position:absolute;left:7878;top:353;width:803;height:2" coordorigin="7878,353" coordsize="803,2">
              <v:shape style="position:absolute;left:7878;top:353;width:803;height:2" coordorigin="7878,353" coordsize="803,0" path="m7878,353l8680,353e" filled="false" stroked="true" strokeweight=".48001pt" strokecolor="#000000">
                <v:path arrowok="t"/>
              </v:shape>
            </v:group>
            <w10:wrap type="none"/>
          </v:group>
        </w:pict>
      </w:r>
      <w:r>
        <w:rPr>
          <w:rFonts w:ascii="宋体" w:hAnsi="宋体" w:cs="宋体" w:eastAsia="宋体" w:hint="default"/>
          <w:b/>
          <w:bCs/>
          <w:w w:val="95"/>
          <w:sz w:val="18"/>
          <w:szCs w:val="18"/>
        </w:rPr>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p>
      <w:pPr>
        <w:tabs>
          <w:tab w:pos="1974" w:val="left" w:leader="none"/>
          <w:tab w:pos="3140" w:val="left" w:leader="none"/>
          <w:tab w:pos="4199" w:val="left" w:leader="none"/>
        </w:tabs>
        <w:spacing w:line="160" w:lineRule="auto" w:before="140"/>
        <w:ind w:left="4379" w:right="0" w:hanging="3666"/>
        <w:jc w:val="left"/>
        <w:rPr>
          <w:rFonts w:ascii="宋体" w:hAnsi="宋体" w:cs="宋体" w:eastAsia="宋体" w:hint="default"/>
          <w:sz w:val="18"/>
          <w:szCs w:val="18"/>
        </w:rPr>
      </w:pPr>
      <w:r>
        <w:rPr>
          <w:rFonts w:ascii="宋体" w:hAnsi="宋体" w:cs="宋体" w:eastAsia="宋体" w:hint="default"/>
          <w:b/>
          <w:bCs/>
          <w:sz w:val="18"/>
          <w:szCs w:val="18"/>
        </w:rPr>
        <w:t>金额</w:t>
        <w:tab/>
        <w:t>比例</w:t>
        <w:tab/>
        <w:t>金额</w:t>
        <w:tab/>
      </w:r>
      <w:r>
        <w:rPr>
          <w:rFonts w:ascii="宋体" w:hAnsi="宋体" w:cs="宋体" w:eastAsia="宋体" w:hint="default"/>
          <w:b/>
          <w:bCs/>
          <w:position w:val="12"/>
          <w:sz w:val="18"/>
          <w:szCs w:val="18"/>
        </w:rPr>
        <w:t>计提比</w:t>
      </w:r>
      <w:r>
        <w:rPr>
          <w:rFonts w:ascii="宋体" w:hAnsi="宋体" w:cs="宋体" w:eastAsia="宋体" w:hint="default"/>
          <w:b/>
          <w:bCs/>
          <w:w w:val="99"/>
          <w:position w:val="12"/>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22"/>
          <w:szCs w:val="22"/>
        </w:rPr>
      </w:pPr>
    </w:p>
    <w:p>
      <w:pPr>
        <w:spacing w:before="0"/>
        <w:ind w:left="570"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00" w:bottom="280" w:left="980" w:right="980"/>
          <w:cols w:num="3" w:equalWidth="0">
            <w:col w:w="2782" w:space="40"/>
            <w:col w:w="4742" w:space="40"/>
            <w:col w:w="2346"/>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p>
      <w:pPr>
        <w:spacing w:before="32"/>
        <w:ind w:left="722" w:right="0" w:firstLine="0"/>
        <w:jc w:val="left"/>
        <w:rPr>
          <w:rFonts w:ascii="宋体" w:hAnsi="宋体" w:cs="宋体" w:eastAsia="宋体" w:hint="default"/>
          <w:sz w:val="22"/>
          <w:szCs w:val="22"/>
        </w:rPr>
      </w:pPr>
      <w:r>
        <w:rPr>
          <w:rFonts w:ascii="宋体" w:hAnsi="宋体" w:cs="宋体" w:eastAsia="宋体" w:hint="default"/>
          <w:sz w:val="22"/>
          <w:szCs w:val="22"/>
        </w:rPr>
        <w:t>（续）</w:t>
      </w:r>
    </w:p>
    <w:p>
      <w:pPr>
        <w:spacing w:line="240" w:lineRule="auto" w:before="11"/>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2665"/>
        <w:gridCol w:w="1884"/>
        <w:gridCol w:w="970"/>
        <w:gridCol w:w="1603"/>
        <w:gridCol w:w="862"/>
        <w:gridCol w:w="1743"/>
      </w:tblGrid>
      <w:tr>
        <w:trPr>
          <w:trHeight w:val="336" w:hRule="exact"/>
        </w:trPr>
        <w:tc>
          <w:tcPr>
            <w:tcW w:w="2665" w:type="dxa"/>
            <w:tcBorders>
              <w:top w:val="single" w:sz="12" w:space="0" w:color="000000"/>
              <w:left w:val="nil" w:sz="6" w:space="0" w:color="auto"/>
              <w:bottom w:val="nil" w:sz="6" w:space="0" w:color="auto"/>
              <w:right w:val="nil" w:sz="6" w:space="0" w:color="auto"/>
            </w:tcBorders>
          </w:tcPr>
          <w:p>
            <w:pPr/>
          </w:p>
        </w:tc>
        <w:tc>
          <w:tcPr>
            <w:tcW w:w="1884" w:type="dxa"/>
            <w:tcBorders>
              <w:top w:val="single" w:sz="12" w:space="0" w:color="000000"/>
              <w:left w:val="nil" w:sz="6" w:space="0" w:color="auto"/>
              <w:bottom w:val="single" w:sz="4" w:space="0" w:color="000000"/>
              <w:right w:val="nil" w:sz="6" w:space="0" w:color="auto"/>
            </w:tcBorders>
          </w:tcPr>
          <w:p>
            <w:pPr/>
          </w:p>
        </w:tc>
        <w:tc>
          <w:tcPr>
            <w:tcW w:w="970" w:type="dxa"/>
            <w:tcBorders>
              <w:top w:val="single" w:sz="12" w:space="0" w:color="000000"/>
              <w:left w:val="nil" w:sz="6" w:space="0" w:color="auto"/>
              <w:bottom w:val="single" w:sz="4" w:space="0" w:color="000000"/>
              <w:right w:val="nil" w:sz="6" w:space="0" w:color="auto"/>
            </w:tcBorders>
          </w:tcPr>
          <w:p>
            <w:pPr/>
          </w:p>
        </w:tc>
        <w:tc>
          <w:tcPr>
            <w:tcW w:w="1603" w:type="dxa"/>
            <w:tcBorders>
              <w:top w:val="single" w:sz="12" w:space="0" w:color="000000"/>
              <w:left w:val="nil" w:sz="6" w:space="0" w:color="auto"/>
              <w:bottom w:val="single" w:sz="4" w:space="0" w:color="000000"/>
              <w:right w:val="nil" w:sz="6" w:space="0" w:color="auto"/>
            </w:tcBorders>
          </w:tcPr>
          <w:p>
            <w:pPr>
              <w:pStyle w:val="TableParagraph"/>
              <w:spacing w:line="240" w:lineRule="auto" w:before="10"/>
              <w:ind w:left="31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862" w:type="dxa"/>
            <w:tcBorders>
              <w:top w:val="single" w:sz="12" w:space="0" w:color="000000"/>
              <w:left w:val="nil" w:sz="6" w:space="0" w:color="auto"/>
              <w:bottom w:val="single" w:sz="4" w:space="0" w:color="000000"/>
              <w:right w:val="nil" w:sz="6" w:space="0" w:color="auto"/>
            </w:tcBorders>
          </w:tcPr>
          <w:p>
            <w:pPr/>
          </w:p>
        </w:tc>
        <w:tc>
          <w:tcPr>
            <w:tcW w:w="1743" w:type="dxa"/>
            <w:tcBorders>
              <w:top w:val="single" w:sz="12" w:space="0" w:color="000000"/>
              <w:left w:val="nil" w:sz="6" w:space="0" w:color="auto"/>
              <w:bottom w:val="single" w:sz="4" w:space="0" w:color="000000"/>
              <w:right w:val="nil" w:sz="6" w:space="0" w:color="auto"/>
            </w:tcBorders>
          </w:tcPr>
          <w:p>
            <w:pPr/>
          </w:p>
        </w:tc>
      </w:tr>
      <w:tr>
        <w:trPr>
          <w:trHeight w:val="315"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4"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884"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102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970" w:type="dxa"/>
            <w:tcBorders>
              <w:top w:val="single" w:sz="4" w:space="0" w:color="000000"/>
              <w:left w:val="nil" w:sz="6" w:space="0" w:color="auto"/>
              <w:bottom w:val="single" w:sz="4" w:space="0" w:color="000000"/>
              <w:right w:val="nil" w:sz="6" w:space="0" w:color="auto"/>
            </w:tcBorders>
          </w:tcPr>
          <w:p>
            <w:pPr/>
          </w:p>
        </w:tc>
        <w:tc>
          <w:tcPr>
            <w:tcW w:w="1603"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right="51"/>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c>
          <w:tcPr>
            <w:tcW w:w="862" w:type="dxa"/>
            <w:tcBorders>
              <w:top w:val="single" w:sz="4" w:space="0" w:color="000000"/>
              <w:left w:val="nil" w:sz="6" w:space="0" w:color="auto"/>
              <w:bottom w:val="single" w:sz="4" w:space="0" w:color="000000"/>
              <w:right w:val="nil" w:sz="6" w:space="0" w:color="auto"/>
            </w:tcBorders>
          </w:tcPr>
          <w:p>
            <w:pPr/>
          </w:p>
        </w:tc>
        <w:tc>
          <w:tcPr>
            <w:tcW w:w="1743" w:type="dxa"/>
            <w:tcBorders>
              <w:top w:val="single" w:sz="4" w:space="0" w:color="000000"/>
              <w:left w:val="nil" w:sz="6" w:space="0" w:color="auto"/>
              <w:bottom w:val="nil" w:sz="6" w:space="0" w:color="auto"/>
              <w:right w:val="nil" w:sz="6" w:space="0" w:color="auto"/>
            </w:tcBorders>
          </w:tcPr>
          <w:p>
            <w:pPr/>
          </w:p>
        </w:tc>
      </w:tr>
      <w:tr>
        <w:trPr>
          <w:trHeight w:val="167" w:hRule="exact"/>
        </w:trPr>
        <w:tc>
          <w:tcPr>
            <w:tcW w:w="2665" w:type="dxa"/>
            <w:tcBorders>
              <w:top w:val="nil" w:sz="6" w:space="0" w:color="auto"/>
              <w:left w:val="nil" w:sz="6" w:space="0" w:color="auto"/>
              <w:bottom w:val="nil" w:sz="6" w:space="0" w:color="auto"/>
              <w:right w:val="nil" w:sz="6" w:space="0" w:color="auto"/>
            </w:tcBorders>
          </w:tcPr>
          <w:p>
            <w:pPr/>
          </w:p>
        </w:tc>
        <w:tc>
          <w:tcPr>
            <w:tcW w:w="1884" w:type="dxa"/>
            <w:tcBorders>
              <w:top w:val="single" w:sz="4" w:space="0" w:color="000000"/>
              <w:left w:val="nil" w:sz="6" w:space="0" w:color="auto"/>
              <w:bottom w:val="nil" w:sz="6" w:space="0" w:color="auto"/>
              <w:right w:val="nil" w:sz="6" w:space="0" w:color="auto"/>
            </w:tcBorders>
          </w:tcPr>
          <w:p>
            <w:pPr/>
          </w:p>
        </w:tc>
        <w:tc>
          <w:tcPr>
            <w:tcW w:w="970" w:type="dxa"/>
            <w:tcBorders>
              <w:top w:val="single" w:sz="4" w:space="0" w:color="000000"/>
              <w:left w:val="nil" w:sz="6" w:space="0" w:color="auto"/>
              <w:bottom w:val="nil" w:sz="6" w:space="0" w:color="auto"/>
              <w:right w:val="nil" w:sz="6" w:space="0" w:color="auto"/>
            </w:tcBorders>
          </w:tcPr>
          <w:p>
            <w:pPr/>
          </w:p>
        </w:tc>
        <w:tc>
          <w:tcPr>
            <w:tcW w:w="1603" w:type="dxa"/>
            <w:tcBorders>
              <w:top w:val="single" w:sz="4" w:space="0" w:color="000000"/>
              <w:left w:val="nil" w:sz="6" w:space="0" w:color="auto"/>
              <w:bottom w:val="nil" w:sz="6" w:space="0" w:color="auto"/>
              <w:right w:val="nil" w:sz="6" w:space="0" w:color="auto"/>
            </w:tcBorders>
          </w:tcPr>
          <w:p>
            <w:pPr/>
          </w:p>
        </w:tc>
        <w:tc>
          <w:tcPr>
            <w:tcW w:w="862" w:type="dxa"/>
            <w:vMerge w:val="restart"/>
            <w:tcBorders>
              <w:top w:val="single" w:sz="4" w:space="0" w:color="000000"/>
              <w:left w:val="nil" w:sz="6" w:space="0" w:color="auto"/>
              <w:right w:val="nil" w:sz="6" w:space="0" w:color="auto"/>
            </w:tcBorders>
          </w:tcPr>
          <w:p>
            <w:pPr>
              <w:pStyle w:val="TableParagraph"/>
              <w:spacing w:line="206" w:lineRule="exact"/>
              <w:ind w:right="35"/>
              <w:jc w:val="center"/>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sz w:val="18"/>
                <w:szCs w:val="18"/>
              </w:rPr>
            </w:r>
          </w:p>
          <w:p>
            <w:pPr>
              <w:pStyle w:val="TableParagraph"/>
              <w:spacing w:line="234" w:lineRule="exact"/>
              <w:ind w:right="31"/>
              <w:jc w:val="center"/>
              <w:rPr>
                <w:rFonts w:ascii="宋体" w:hAnsi="宋体" w:cs="宋体" w:eastAsia="宋体" w:hint="default"/>
                <w:sz w:val="18"/>
                <w:szCs w:val="18"/>
              </w:rPr>
            </w:pPr>
            <w:r>
              <w:rPr>
                <w:rFonts w:ascii="宋体" w:hAnsi="宋体" w:cs="宋体" w:eastAsia="宋体" w:hint="default"/>
                <w:b/>
                <w:bCs/>
                <w:w w:val="99"/>
                <w:sz w:val="18"/>
                <w:szCs w:val="18"/>
              </w:rPr>
              <w:t>例</w:t>
            </w:r>
            <w:r>
              <w:rPr>
                <w:rFonts w:ascii="宋体" w:hAnsi="宋体" w:cs="宋体" w:eastAsia="宋体" w:hint="default"/>
                <w:sz w:val="18"/>
                <w:szCs w:val="18"/>
              </w:rPr>
            </w:r>
          </w:p>
        </w:tc>
        <w:tc>
          <w:tcPr>
            <w:tcW w:w="1743" w:type="dxa"/>
            <w:tcBorders>
              <w:top w:val="nil" w:sz="6" w:space="0" w:color="auto"/>
              <w:left w:val="nil" w:sz="6" w:space="0" w:color="auto"/>
              <w:bottom w:val="nil" w:sz="6" w:space="0" w:color="auto"/>
              <w:right w:val="nil" w:sz="6" w:space="0" w:color="auto"/>
            </w:tcBorders>
          </w:tcPr>
          <w:p>
            <w:pPr>
              <w:pStyle w:val="TableParagraph"/>
              <w:spacing w:line="176" w:lineRule="exact"/>
              <w:ind w:left="508"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321" w:hRule="exact"/>
        </w:trPr>
        <w:tc>
          <w:tcPr>
            <w:tcW w:w="2665" w:type="dxa"/>
            <w:tcBorders>
              <w:top w:val="nil" w:sz="6" w:space="0" w:color="auto"/>
              <w:left w:val="nil" w:sz="6" w:space="0" w:color="auto"/>
              <w:bottom w:val="single" w:sz="4" w:space="0" w:color="000000"/>
              <w:right w:val="nil" w:sz="6" w:space="0" w:color="auto"/>
            </w:tcBorders>
          </w:tcPr>
          <w:p>
            <w:pPr/>
          </w:p>
        </w:tc>
        <w:tc>
          <w:tcPr>
            <w:tcW w:w="1884" w:type="dxa"/>
            <w:tcBorders>
              <w:top w:val="nil" w:sz="6" w:space="0" w:color="auto"/>
              <w:left w:val="nil" w:sz="6" w:space="0" w:color="auto"/>
              <w:bottom w:val="single" w:sz="4" w:space="0" w:color="000000"/>
              <w:right w:val="nil" w:sz="6" w:space="0" w:color="auto"/>
            </w:tcBorders>
          </w:tcPr>
          <w:p>
            <w:pPr>
              <w:pStyle w:val="TableParagraph"/>
              <w:spacing w:line="172" w:lineRule="exact"/>
              <w:ind w:right="134"/>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70" w:type="dxa"/>
            <w:tcBorders>
              <w:top w:val="nil" w:sz="6" w:space="0" w:color="auto"/>
              <w:left w:val="nil" w:sz="6" w:space="0" w:color="auto"/>
              <w:bottom w:val="single" w:sz="4" w:space="0" w:color="000000"/>
              <w:right w:val="nil" w:sz="6" w:space="0" w:color="auto"/>
            </w:tcBorders>
          </w:tcPr>
          <w:p>
            <w:pPr>
              <w:pStyle w:val="TableParagraph"/>
              <w:spacing w:line="172" w:lineRule="exact"/>
              <w:ind w:left="18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603" w:type="dxa"/>
            <w:tcBorders>
              <w:top w:val="nil" w:sz="6" w:space="0" w:color="auto"/>
              <w:left w:val="nil" w:sz="6" w:space="0" w:color="auto"/>
              <w:bottom w:val="single" w:sz="4" w:space="0" w:color="000000"/>
              <w:right w:val="nil" w:sz="6" w:space="0" w:color="auto"/>
            </w:tcBorders>
          </w:tcPr>
          <w:p>
            <w:pPr>
              <w:pStyle w:val="TableParagraph"/>
              <w:spacing w:line="172" w:lineRule="exact"/>
              <w:ind w:right="113"/>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62" w:type="dxa"/>
            <w:vMerge/>
            <w:tcBorders>
              <w:left w:val="nil" w:sz="6" w:space="0" w:color="auto"/>
              <w:bottom w:val="single" w:sz="4" w:space="0" w:color="000000"/>
              <w:right w:val="nil" w:sz="6" w:space="0" w:color="auto"/>
            </w:tcBorders>
          </w:tcPr>
          <w:p>
            <w:pPr/>
          </w:p>
        </w:tc>
        <w:tc>
          <w:tcPr>
            <w:tcW w:w="1743" w:type="dxa"/>
            <w:tcBorders>
              <w:top w:val="nil" w:sz="6" w:space="0" w:color="auto"/>
              <w:left w:val="nil" w:sz="6" w:space="0" w:color="auto"/>
              <w:bottom w:val="single" w:sz="4" w:space="0" w:color="000000"/>
              <w:right w:val="nil" w:sz="6" w:space="0" w:color="auto"/>
            </w:tcBorders>
          </w:tcPr>
          <w:p>
            <w:pPr/>
          </w:p>
        </w:tc>
      </w:tr>
      <w:tr>
        <w:trPr>
          <w:trHeight w:val="637" w:hRule="exact"/>
        </w:trPr>
        <w:tc>
          <w:tcPr>
            <w:tcW w:w="2665" w:type="dxa"/>
            <w:tcBorders>
              <w:top w:val="single" w:sz="4" w:space="0" w:color="000000"/>
              <w:left w:val="nil" w:sz="6" w:space="0" w:color="auto"/>
              <w:bottom w:val="nil" w:sz="6" w:space="0" w:color="auto"/>
              <w:right w:val="nil" w:sz="6" w:space="0" w:color="auto"/>
            </w:tcBorders>
          </w:tcPr>
          <w:p>
            <w:pPr>
              <w:pStyle w:val="TableParagraph"/>
              <w:spacing w:line="232" w:lineRule="exact" w:before="78"/>
              <w:ind w:left="122" w:right="111"/>
              <w:jc w:val="left"/>
              <w:rPr>
                <w:rFonts w:ascii="宋体" w:hAnsi="宋体" w:cs="宋体" w:eastAsia="宋体" w:hint="default"/>
                <w:sz w:val="18"/>
                <w:szCs w:val="18"/>
              </w:rPr>
            </w:pPr>
            <w:r>
              <w:rPr>
                <w:rFonts w:ascii="宋体" w:hAnsi="宋体" w:cs="宋体" w:eastAsia="宋体" w:hint="default"/>
                <w:spacing w:val="6"/>
                <w:sz w:val="18"/>
                <w:szCs w:val="18"/>
              </w:rPr>
              <w:t>单项金额重大并单项计提坏账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准备的其他应收款</w:t>
            </w:r>
          </w:p>
        </w:tc>
        <w:tc>
          <w:tcPr>
            <w:tcW w:w="188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44"/>
              <w:jc w:val="right"/>
              <w:rPr>
                <w:rFonts w:ascii="宋体" w:hAnsi="宋体" w:cs="宋体" w:eastAsia="宋体" w:hint="default"/>
                <w:sz w:val="18"/>
                <w:szCs w:val="18"/>
              </w:rPr>
            </w:pPr>
            <w:r>
              <w:rPr>
                <w:rFonts w:ascii="宋体"/>
                <w:sz w:val="18"/>
              </w:rPr>
              <w:t>0.00</w:t>
            </w:r>
          </w:p>
        </w:tc>
        <w:tc>
          <w:tcPr>
            <w:tcW w:w="970"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89"/>
              <w:jc w:val="right"/>
              <w:rPr>
                <w:rFonts w:ascii="宋体" w:hAnsi="宋体" w:cs="宋体" w:eastAsia="宋体" w:hint="default"/>
                <w:sz w:val="18"/>
                <w:szCs w:val="18"/>
              </w:rPr>
            </w:pPr>
            <w:r>
              <w:rPr>
                <w:rFonts w:ascii="宋体"/>
                <w:sz w:val="18"/>
              </w:rPr>
              <w:t>0.00%</w:t>
            </w:r>
          </w:p>
        </w:tc>
        <w:tc>
          <w:tcPr>
            <w:tcW w:w="160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39"/>
              <w:jc w:val="right"/>
              <w:rPr>
                <w:rFonts w:ascii="宋体" w:hAnsi="宋体" w:cs="宋体" w:eastAsia="宋体" w:hint="default"/>
                <w:sz w:val="18"/>
                <w:szCs w:val="18"/>
              </w:rPr>
            </w:pPr>
            <w:r>
              <w:rPr>
                <w:rFonts w:ascii="宋体"/>
                <w:sz w:val="18"/>
              </w:rPr>
              <w:t>0.00</w:t>
            </w:r>
          </w:p>
        </w:tc>
        <w:tc>
          <w:tcPr>
            <w:tcW w:w="862"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0.00%</w:t>
            </w:r>
          </w:p>
        </w:tc>
        <w:tc>
          <w:tcPr>
            <w:tcW w:w="174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0.00</w:t>
            </w:r>
          </w:p>
        </w:tc>
      </w:tr>
      <w:tr>
        <w:trPr>
          <w:trHeight w:val="635" w:hRule="exact"/>
        </w:trPr>
        <w:tc>
          <w:tcPr>
            <w:tcW w:w="266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22" w:right="111"/>
              <w:jc w:val="left"/>
              <w:rPr>
                <w:rFonts w:ascii="宋体" w:hAnsi="宋体" w:cs="宋体" w:eastAsia="宋体" w:hint="default"/>
                <w:sz w:val="18"/>
                <w:szCs w:val="18"/>
              </w:rPr>
            </w:pPr>
            <w:r>
              <w:rPr>
                <w:rFonts w:ascii="宋体" w:hAnsi="宋体" w:cs="宋体" w:eastAsia="宋体" w:hint="default"/>
                <w:spacing w:val="6"/>
                <w:sz w:val="18"/>
                <w:szCs w:val="18"/>
              </w:rPr>
              <w:t>按信用风险特征组合计提坏账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准备的其他应收款</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96" w:right="0"/>
              <w:jc w:val="left"/>
              <w:rPr>
                <w:rFonts w:ascii="宋体" w:hAnsi="宋体" w:cs="宋体" w:eastAsia="宋体" w:hint="default"/>
                <w:sz w:val="18"/>
                <w:szCs w:val="18"/>
              </w:rPr>
            </w:pPr>
            <w:r>
              <w:rPr>
                <w:rFonts w:ascii="宋体"/>
                <w:sz w:val="18"/>
              </w:rPr>
              <w:t>8,961,522,072.76</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46" w:right="0"/>
              <w:jc w:val="left"/>
              <w:rPr>
                <w:rFonts w:ascii="宋体" w:hAnsi="宋体" w:cs="宋体" w:eastAsia="宋体" w:hint="default"/>
                <w:sz w:val="18"/>
                <w:szCs w:val="18"/>
              </w:rPr>
            </w:pPr>
            <w:r>
              <w:rPr>
                <w:rFonts w:ascii="宋体"/>
                <w:sz w:val="18"/>
              </w:rPr>
              <w:t>100.00%</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sz w:val="18"/>
              </w:rPr>
              <w:t>164,037,414.77</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1.83%</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6"/>
              <w:jc w:val="right"/>
              <w:rPr>
                <w:rFonts w:ascii="宋体" w:hAnsi="宋体" w:cs="宋体" w:eastAsia="宋体" w:hint="default"/>
                <w:sz w:val="18"/>
                <w:szCs w:val="18"/>
              </w:rPr>
            </w:pPr>
            <w:r>
              <w:rPr>
                <w:rFonts w:ascii="宋体"/>
                <w:spacing w:val="-1"/>
                <w:sz w:val="18"/>
              </w:rPr>
              <w:t>8,797,484,657.99</w:t>
            </w:r>
          </w:p>
        </w:tc>
      </w:tr>
      <w:tr>
        <w:trPr>
          <w:trHeight w:val="641" w:hRule="exact"/>
        </w:trPr>
        <w:tc>
          <w:tcPr>
            <w:tcW w:w="266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22" w:right="111"/>
              <w:jc w:val="left"/>
              <w:rPr>
                <w:rFonts w:ascii="宋体" w:hAnsi="宋体" w:cs="宋体" w:eastAsia="宋体" w:hint="default"/>
                <w:sz w:val="18"/>
                <w:szCs w:val="18"/>
              </w:rPr>
            </w:pPr>
            <w:r>
              <w:rPr>
                <w:rFonts w:ascii="宋体" w:hAnsi="宋体" w:cs="宋体" w:eastAsia="宋体" w:hint="default"/>
                <w:spacing w:val="6"/>
                <w:sz w:val="18"/>
                <w:szCs w:val="18"/>
              </w:rPr>
              <w:t>单项金额不重大但单项计提坏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账准备的其他应收款</w:t>
            </w:r>
          </w:p>
        </w:tc>
        <w:tc>
          <w:tcPr>
            <w:tcW w:w="188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44"/>
              <w:jc w:val="right"/>
              <w:rPr>
                <w:rFonts w:ascii="宋体" w:hAnsi="宋体" w:cs="宋体" w:eastAsia="宋体" w:hint="default"/>
                <w:sz w:val="18"/>
                <w:szCs w:val="18"/>
              </w:rPr>
            </w:pPr>
            <w:r>
              <w:rPr>
                <w:rFonts w:ascii="宋体"/>
                <w:sz w:val="18"/>
              </w:rPr>
              <w:t>0.00</w:t>
            </w:r>
          </w:p>
        </w:tc>
        <w:tc>
          <w:tcPr>
            <w:tcW w:w="97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89"/>
              <w:jc w:val="right"/>
              <w:rPr>
                <w:rFonts w:ascii="宋体" w:hAnsi="宋体" w:cs="宋体" w:eastAsia="宋体" w:hint="default"/>
                <w:sz w:val="18"/>
                <w:szCs w:val="18"/>
              </w:rPr>
            </w:pPr>
            <w:r>
              <w:rPr>
                <w:rFonts w:ascii="宋体"/>
                <w:sz w:val="18"/>
              </w:rPr>
              <w:t>0.00%</w:t>
            </w:r>
          </w:p>
        </w:tc>
        <w:tc>
          <w:tcPr>
            <w:tcW w:w="1603"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39"/>
              <w:jc w:val="right"/>
              <w:rPr>
                <w:rFonts w:ascii="宋体" w:hAnsi="宋体" w:cs="宋体" w:eastAsia="宋体" w:hint="default"/>
                <w:sz w:val="18"/>
                <w:szCs w:val="18"/>
              </w:rPr>
            </w:pPr>
            <w:r>
              <w:rPr>
                <w:rFonts w:ascii="宋体"/>
                <w:sz w:val="18"/>
              </w:rPr>
              <w:t>0.00</w:t>
            </w:r>
          </w:p>
        </w:tc>
        <w:tc>
          <w:tcPr>
            <w:tcW w:w="86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0.00%</w:t>
            </w:r>
          </w:p>
        </w:tc>
        <w:tc>
          <w:tcPr>
            <w:tcW w:w="1743"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5"/>
              <w:jc w:val="right"/>
              <w:rPr>
                <w:rFonts w:ascii="宋体" w:hAnsi="宋体" w:cs="宋体" w:eastAsia="宋体" w:hint="default"/>
                <w:sz w:val="18"/>
                <w:szCs w:val="18"/>
              </w:rPr>
            </w:pPr>
            <w:r>
              <w:rPr>
                <w:rFonts w:ascii="宋体"/>
                <w:sz w:val="18"/>
              </w:rPr>
              <w:t>0.00</w:t>
            </w:r>
          </w:p>
        </w:tc>
      </w:tr>
      <w:tr>
        <w:trPr>
          <w:trHeight w:val="339" w:hRule="exact"/>
        </w:trPr>
        <w:tc>
          <w:tcPr>
            <w:tcW w:w="2665" w:type="dxa"/>
            <w:tcBorders>
              <w:top w:val="single" w:sz="4" w:space="0" w:color="000000"/>
              <w:left w:val="nil" w:sz="6" w:space="0" w:color="auto"/>
              <w:bottom w:val="single" w:sz="12" w:space="0" w:color="000000"/>
              <w:right w:val="nil" w:sz="6" w:space="0" w:color="auto"/>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84" w:type="dxa"/>
            <w:tcBorders>
              <w:top w:val="single" w:sz="4" w:space="0" w:color="000000"/>
              <w:left w:val="nil" w:sz="6" w:space="0" w:color="auto"/>
              <w:bottom w:val="single" w:sz="12" w:space="0" w:color="000000"/>
              <w:right w:val="nil" w:sz="6" w:space="0" w:color="auto"/>
            </w:tcBorders>
          </w:tcPr>
          <w:p>
            <w:pPr>
              <w:pStyle w:val="TableParagraph"/>
              <w:spacing w:line="240" w:lineRule="auto" w:before="11"/>
              <w:ind w:left="184" w:right="0"/>
              <w:jc w:val="left"/>
              <w:rPr>
                <w:rFonts w:ascii="宋体" w:hAnsi="宋体" w:cs="宋体" w:eastAsia="宋体" w:hint="default"/>
                <w:sz w:val="18"/>
                <w:szCs w:val="18"/>
              </w:rPr>
            </w:pPr>
            <w:r>
              <w:rPr>
                <w:rFonts w:ascii="宋体"/>
                <w:b/>
                <w:sz w:val="18"/>
              </w:rPr>
              <w:t>8,961,522,072.76</w:t>
            </w:r>
            <w:r>
              <w:rPr>
                <w:rFonts w:ascii="宋体"/>
                <w:sz w:val="18"/>
              </w:rPr>
            </w:r>
          </w:p>
        </w:tc>
        <w:tc>
          <w:tcPr>
            <w:tcW w:w="970" w:type="dxa"/>
            <w:tcBorders>
              <w:top w:val="single" w:sz="4" w:space="0" w:color="000000"/>
              <w:left w:val="nil" w:sz="6" w:space="0" w:color="auto"/>
              <w:bottom w:val="single" w:sz="12" w:space="0" w:color="000000"/>
              <w:right w:val="nil" w:sz="6" w:space="0" w:color="auto"/>
            </w:tcBorders>
          </w:tcPr>
          <w:p>
            <w:pPr>
              <w:pStyle w:val="TableParagraph"/>
              <w:spacing w:line="240" w:lineRule="auto" w:before="11"/>
              <w:ind w:left="139" w:right="0"/>
              <w:jc w:val="left"/>
              <w:rPr>
                <w:rFonts w:ascii="宋体" w:hAnsi="宋体" w:cs="宋体" w:eastAsia="宋体" w:hint="default"/>
                <w:sz w:val="18"/>
                <w:szCs w:val="18"/>
              </w:rPr>
            </w:pPr>
            <w:r>
              <w:rPr>
                <w:rFonts w:ascii="宋体"/>
                <w:b/>
                <w:sz w:val="18"/>
              </w:rPr>
              <w:t>100.00%</w:t>
            </w:r>
            <w:r>
              <w:rPr>
                <w:rFonts w:ascii="宋体"/>
                <w:sz w:val="18"/>
              </w:rPr>
            </w:r>
          </w:p>
        </w:tc>
        <w:tc>
          <w:tcPr>
            <w:tcW w:w="1603" w:type="dxa"/>
            <w:tcBorders>
              <w:top w:val="single" w:sz="4" w:space="0" w:color="000000"/>
              <w:left w:val="nil" w:sz="6" w:space="0" w:color="auto"/>
              <w:bottom w:val="single" w:sz="12" w:space="0" w:color="000000"/>
              <w:right w:val="nil" w:sz="6" w:space="0" w:color="auto"/>
            </w:tcBorders>
          </w:tcPr>
          <w:p>
            <w:pPr>
              <w:pStyle w:val="TableParagraph"/>
              <w:spacing w:line="240" w:lineRule="auto" w:before="11"/>
              <w:ind w:left="191" w:right="0"/>
              <w:jc w:val="left"/>
              <w:rPr>
                <w:rFonts w:ascii="宋体" w:hAnsi="宋体" w:cs="宋体" w:eastAsia="宋体" w:hint="default"/>
                <w:sz w:val="18"/>
                <w:szCs w:val="18"/>
              </w:rPr>
            </w:pPr>
            <w:r>
              <w:rPr>
                <w:rFonts w:ascii="宋体"/>
                <w:b/>
                <w:sz w:val="18"/>
              </w:rPr>
              <w:t>164,037,414.77</w:t>
            </w:r>
            <w:r>
              <w:rPr>
                <w:rFonts w:ascii="宋体"/>
                <w:sz w:val="18"/>
              </w:rPr>
            </w:r>
          </w:p>
        </w:tc>
        <w:tc>
          <w:tcPr>
            <w:tcW w:w="862" w:type="dxa"/>
            <w:tcBorders>
              <w:top w:val="single" w:sz="4" w:space="0" w:color="000000"/>
              <w:left w:val="nil" w:sz="6" w:space="0" w:color="auto"/>
              <w:bottom w:val="single" w:sz="12" w:space="0" w:color="000000"/>
              <w:right w:val="nil" w:sz="6" w:space="0" w:color="auto"/>
            </w:tcBorders>
          </w:tcPr>
          <w:p>
            <w:pPr>
              <w:pStyle w:val="TableParagraph"/>
              <w:spacing w:line="240" w:lineRule="auto" w:before="11"/>
              <w:ind w:right="103"/>
              <w:jc w:val="right"/>
              <w:rPr>
                <w:rFonts w:ascii="宋体" w:hAnsi="宋体" w:cs="宋体" w:eastAsia="宋体" w:hint="default"/>
                <w:sz w:val="18"/>
                <w:szCs w:val="18"/>
              </w:rPr>
            </w:pPr>
            <w:r>
              <w:rPr>
                <w:rFonts w:ascii="宋体"/>
                <w:b/>
                <w:sz w:val="18"/>
              </w:rPr>
              <w:t>1.83%</w:t>
            </w:r>
            <w:r>
              <w:rPr>
                <w:rFonts w:ascii="宋体"/>
                <w:sz w:val="18"/>
              </w:rPr>
            </w:r>
          </w:p>
        </w:tc>
        <w:tc>
          <w:tcPr>
            <w:tcW w:w="1743" w:type="dxa"/>
            <w:tcBorders>
              <w:top w:val="single" w:sz="4" w:space="0" w:color="000000"/>
              <w:left w:val="nil" w:sz="6" w:space="0" w:color="auto"/>
              <w:bottom w:val="single" w:sz="12" w:space="0" w:color="000000"/>
              <w:right w:val="nil" w:sz="6" w:space="0" w:color="auto"/>
            </w:tcBorders>
          </w:tcPr>
          <w:p>
            <w:pPr>
              <w:pStyle w:val="TableParagraph"/>
              <w:spacing w:line="240" w:lineRule="auto" w:before="11"/>
              <w:ind w:right="106"/>
              <w:jc w:val="right"/>
              <w:rPr>
                <w:rFonts w:ascii="宋体" w:hAnsi="宋体" w:cs="宋体" w:eastAsia="宋体" w:hint="default"/>
                <w:sz w:val="18"/>
                <w:szCs w:val="18"/>
              </w:rPr>
            </w:pPr>
            <w:r>
              <w:rPr>
                <w:rFonts w:ascii="宋体"/>
                <w:b/>
                <w:w w:val="95"/>
                <w:sz w:val="18"/>
              </w:rPr>
              <w:t>8,797,484,657.99</w:t>
            </w:r>
            <w:r>
              <w:rPr>
                <w:rFonts w:ascii="宋体"/>
                <w:sz w:val="18"/>
              </w:rPr>
            </w:r>
          </w:p>
        </w:tc>
      </w:tr>
    </w:tbl>
    <w:p>
      <w:pPr>
        <w:spacing w:before="81"/>
        <w:ind w:left="1175"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z w:val="22"/>
          <w:szCs w:val="22"/>
        </w:rPr>
        <w:t>）</w:t>
      </w:r>
      <w:r>
        <w:rPr>
          <w:rFonts w:ascii="宋体" w:hAnsi="宋体" w:cs="宋体" w:eastAsia="宋体" w:hint="default"/>
          <w:b/>
          <w:bCs/>
          <w:spacing w:val="-60"/>
          <w:sz w:val="22"/>
          <w:szCs w:val="22"/>
        </w:rPr>
        <w:t> </w:t>
      </w:r>
      <w:r>
        <w:rPr>
          <w:rFonts w:ascii="宋体" w:hAnsi="宋体" w:cs="宋体" w:eastAsia="宋体" w:hint="default"/>
          <w:sz w:val="22"/>
          <w:szCs w:val="22"/>
        </w:rPr>
        <w:t>组合中，按账龄分析法计提坏账准备的其他应收款</w:t>
      </w:r>
    </w:p>
    <w:p>
      <w:pPr>
        <w:spacing w:line="240" w:lineRule="auto" w:before="9"/>
        <w:rPr>
          <w:rFonts w:ascii="宋体" w:hAnsi="宋体" w:cs="宋体" w:eastAsia="宋体" w:hint="default"/>
          <w:sz w:val="12"/>
          <w:szCs w:val="12"/>
        </w:rPr>
      </w:pPr>
    </w:p>
    <w:p>
      <w:pPr>
        <w:spacing w:line="28" w:lineRule="exact"/>
        <w:ind w:left="59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2338;height:2" coordorigin="14,14" coordsize="2338,2">
              <v:shape style="position:absolute;left:14;top:14;width:2338;height:2" coordorigin="14,14" coordsize="2338,0" path="m14,14l2352,14e" filled="false" stroked="true" strokeweight="1.44pt" strokecolor="#000000">
                <v:path arrowok="t"/>
              </v:shape>
            </v:group>
            <v:group style="position:absolute;left:2353;top:14;width:29;height:2" coordorigin="2353,14" coordsize="29,2">
              <v:shape style="position:absolute;left:2353;top:14;width:29;height:2" coordorigin="2353,14" coordsize="29,0" path="m2353,14l2381,14e" filled="false" stroked="true" strokeweight="1.44pt" strokecolor="#000000">
                <v:path arrowok="t"/>
              </v:shape>
            </v:group>
            <v:group style="position:absolute;left:2381;top:14;width:6359;height:2" coordorigin="2381,14" coordsize="6359,2">
              <v:shape style="position:absolute;left:2381;top:14;width:6359;height:2" coordorigin="2381,14" coordsize="6359,0" path="m2381,14l8740,14e" filled="false" stroked="true" strokeweight="1.44pt" strokecolor="#000000">
                <v:path arrowok="t"/>
              </v:shape>
            </v:group>
          </v:group>
        </w:pict>
      </w:r>
      <w:r>
        <w:rPr>
          <w:rFonts w:ascii="宋体" w:hAnsi="宋体" w:cs="宋体" w:eastAsia="宋体" w:hint="default"/>
          <w:position w:val="0"/>
          <w:sz w:val="2"/>
          <w:szCs w:val="2"/>
        </w:rPr>
      </w:r>
    </w:p>
    <w:p>
      <w:pPr>
        <w:spacing w:line="189" w:lineRule="exact" w:before="0"/>
        <w:ind w:left="5761" w:right="3424" w:firstLine="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p>
      <w:pPr>
        <w:spacing w:line="192" w:lineRule="exact" w:before="0"/>
        <w:ind w:left="722" w:right="0" w:firstLine="0"/>
        <w:jc w:val="left"/>
        <w:rPr>
          <w:rFonts w:ascii="宋体" w:hAnsi="宋体" w:cs="宋体" w:eastAsia="宋体" w:hint="default"/>
          <w:sz w:val="18"/>
          <w:szCs w:val="18"/>
        </w:rPr>
      </w:pPr>
      <w:r>
        <w:rPr/>
        <w:pict>
          <v:shape style="position:absolute;margin-left:79.704002pt;margin-top:5.103044pt;width:436.3pt;height:117.5pt;mso-position-horizontal-relative:page;mso-position-vertical-relative:paragraph;z-index:5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38"/>
                    <w:gridCol w:w="2069"/>
                    <w:gridCol w:w="1061"/>
                    <w:gridCol w:w="1239"/>
                    <w:gridCol w:w="2018"/>
                  </w:tblGrid>
                  <w:tr>
                    <w:trPr>
                      <w:trHeight w:val="295" w:hRule="exact"/>
                    </w:trPr>
                    <w:tc>
                      <w:tcPr>
                        <w:tcW w:w="2338" w:type="dxa"/>
                        <w:tcBorders>
                          <w:top w:val="nil" w:sz="6" w:space="0" w:color="auto"/>
                          <w:left w:val="nil" w:sz="6" w:space="0" w:color="auto"/>
                          <w:bottom w:val="single" w:sz="4" w:space="0" w:color="000000"/>
                          <w:right w:val="nil" w:sz="6" w:space="0" w:color="auto"/>
                        </w:tcBorders>
                      </w:tcPr>
                      <w:p>
                        <w:pPr/>
                      </w:p>
                    </w:tc>
                    <w:tc>
                      <w:tcPr>
                        <w:tcW w:w="2069"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355"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061"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561" w:right="0"/>
                          <w:jc w:val="left"/>
                          <w:rPr>
                            <w:rFonts w:ascii="宋体" w:hAnsi="宋体" w:cs="宋体" w:eastAsia="宋体" w:hint="default"/>
                            <w:sz w:val="18"/>
                            <w:szCs w:val="18"/>
                          </w:rPr>
                        </w:pPr>
                        <w:r>
                          <w:rPr>
                            <w:rFonts w:ascii="宋体" w:hAnsi="宋体" w:cs="宋体" w:eastAsia="宋体" w:hint="default"/>
                            <w:b/>
                            <w:bCs/>
                            <w:sz w:val="18"/>
                            <w:szCs w:val="18"/>
                          </w:rPr>
                          <w:t>比重</w:t>
                        </w:r>
                        <w:r>
                          <w:rPr>
                            <w:rFonts w:ascii="宋体" w:hAnsi="宋体" w:cs="宋体" w:eastAsia="宋体" w:hint="default"/>
                            <w:sz w:val="18"/>
                            <w:szCs w:val="18"/>
                          </w:rPr>
                        </w:r>
                      </w:p>
                    </w:tc>
                    <w:tc>
                      <w:tcPr>
                        <w:tcW w:w="1239" w:type="dxa"/>
                        <w:tcBorders>
                          <w:top w:val="single" w:sz="4" w:space="0" w:color="000000"/>
                          <w:left w:val="nil" w:sz="6" w:space="0" w:color="auto"/>
                          <w:bottom w:val="single" w:sz="4" w:space="0" w:color="000000"/>
                          <w:right w:val="nil" w:sz="6" w:space="0" w:color="auto"/>
                        </w:tcBorders>
                      </w:tcPr>
                      <w:p>
                        <w:pPr/>
                      </w:p>
                    </w:tc>
                    <w:tc>
                      <w:tcPr>
                        <w:tcW w:w="2018"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89" w:hRule="exact"/>
                    </w:trPr>
                    <w:tc>
                      <w:tcPr>
                        <w:tcW w:w="2338"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069" w:type="dxa"/>
                        <w:tcBorders>
                          <w:top w:val="single" w:sz="4" w:space="0" w:color="000000"/>
                          <w:left w:val="nil" w:sz="6" w:space="0" w:color="auto"/>
                          <w:bottom w:val="nil" w:sz="6" w:space="0" w:color="auto"/>
                          <w:right w:val="nil" w:sz="6" w:space="0" w:color="auto"/>
                        </w:tcBorders>
                      </w:tcPr>
                      <w:p>
                        <w:pPr>
                          <w:pStyle w:val="TableParagraph"/>
                          <w:spacing w:line="232" w:lineRule="exact"/>
                          <w:ind w:left="247" w:right="0"/>
                          <w:jc w:val="left"/>
                          <w:rPr>
                            <w:rFonts w:ascii="宋体" w:hAnsi="宋体" w:cs="宋体" w:eastAsia="宋体" w:hint="default"/>
                            <w:sz w:val="18"/>
                            <w:szCs w:val="18"/>
                          </w:rPr>
                        </w:pPr>
                        <w:r>
                          <w:rPr>
                            <w:rFonts w:ascii="宋体"/>
                            <w:sz w:val="18"/>
                          </w:rPr>
                          <w:t>109,060,185.89</w:t>
                        </w:r>
                      </w:p>
                    </w:tc>
                    <w:tc>
                      <w:tcPr>
                        <w:tcW w:w="1061" w:type="dxa"/>
                        <w:tcBorders>
                          <w:top w:val="single" w:sz="4" w:space="0" w:color="000000"/>
                          <w:left w:val="nil" w:sz="6" w:space="0" w:color="auto"/>
                          <w:bottom w:val="nil" w:sz="6" w:space="0" w:color="auto"/>
                          <w:right w:val="nil" w:sz="6" w:space="0" w:color="auto"/>
                        </w:tcBorders>
                      </w:tcPr>
                      <w:p>
                        <w:pPr/>
                      </w:p>
                    </w:tc>
                    <w:tc>
                      <w:tcPr>
                        <w:tcW w:w="1239" w:type="dxa"/>
                        <w:tcBorders>
                          <w:top w:val="single" w:sz="4" w:space="0" w:color="000000"/>
                          <w:left w:val="nil" w:sz="6" w:space="0" w:color="auto"/>
                          <w:bottom w:val="nil" w:sz="6" w:space="0" w:color="auto"/>
                          <w:right w:val="nil" w:sz="6" w:space="0" w:color="auto"/>
                        </w:tcBorders>
                      </w:tcPr>
                      <w:p>
                        <w:pPr>
                          <w:pStyle w:val="TableParagraph"/>
                          <w:spacing w:line="232" w:lineRule="exact"/>
                          <w:ind w:right="465"/>
                          <w:jc w:val="right"/>
                          <w:rPr>
                            <w:rFonts w:ascii="宋体" w:hAnsi="宋体" w:cs="宋体" w:eastAsia="宋体" w:hint="default"/>
                            <w:sz w:val="18"/>
                            <w:szCs w:val="18"/>
                          </w:rPr>
                        </w:pPr>
                        <w:r>
                          <w:rPr>
                            <w:rFonts w:ascii="宋体"/>
                            <w:spacing w:val="-1"/>
                            <w:sz w:val="18"/>
                          </w:rPr>
                          <w:t>30.05%</w:t>
                        </w:r>
                      </w:p>
                    </w:tc>
                    <w:tc>
                      <w:tcPr>
                        <w:tcW w:w="2018" w:type="dxa"/>
                        <w:tcBorders>
                          <w:top w:val="single" w:sz="4" w:space="0" w:color="000000"/>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1,090,601.85</w:t>
                        </w:r>
                      </w:p>
                    </w:tc>
                  </w:tr>
                  <w:tr>
                    <w:trPr>
                      <w:trHeight w:val="286" w:hRule="exact"/>
                    </w:trPr>
                    <w:tc>
                      <w:tcPr>
                        <w:tcW w:w="233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069" w:type="dxa"/>
                        <w:tcBorders>
                          <w:top w:val="nil" w:sz="6" w:space="0" w:color="auto"/>
                          <w:left w:val="nil" w:sz="6" w:space="0" w:color="auto"/>
                          <w:bottom w:val="nil" w:sz="6" w:space="0" w:color="auto"/>
                          <w:right w:val="nil" w:sz="6" w:space="0" w:color="auto"/>
                        </w:tcBorders>
                      </w:tcPr>
                      <w:p>
                        <w:pPr>
                          <w:pStyle w:val="TableParagraph"/>
                          <w:spacing w:line="233" w:lineRule="exact"/>
                          <w:ind w:right="559"/>
                          <w:jc w:val="right"/>
                          <w:rPr>
                            <w:rFonts w:ascii="宋体" w:hAnsi="宋体" w:cs="宋体" w:eastAsia="宋体" w:hint="default"/>
                            <w:sz w:val="18"/>
                            <w:szCs w:val="18"/>
                          </w:rPr>
                        </w:pPr>
                        <w:r>
                          <w:rPr>
                            <w:rFonts w:ascii="宋体"/>
                            <w:spacing w:val="-1"/>
                            <w:sz w:val="18"/>
                          </w:rPr>
                          <w:t>22,218,437.92</w:t>
                        </w:r>
                      </w:p>
                    </w:tc>
                    <w:tc>
                      <w:tcPr>
                        <w:tcW w:w="1061"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Style w:val="TableParagraph"/>
                          <w:spacing w:line="233" w:lineRule="exact"/>
                          <w:ind w:right="465"/>
                          <w:jc w:val="right"/>
                          <w:rPr>
                            <w:rFonts w:ascii="宋体" w:hAnsi="宋体" w:cs="宋体" w:eastAsia="宋体" w:hint="default"/>
                            <w:sz w:val="18"/>
                            <w:szCs w:val="18"/>
                          </w:rPr>
                        </w:pPr>
                        <w:r>
                          <w:rPr>
                            <w:rFonts w:ascii="宋体"/>
                            <w:sz w:val="18"/>
                          </w:rPr>
                          <w:t>6.12%</w:t>
                        </w:r>
                      </w:p>
                    </w:tc>
                    <w:tc>
                      <w:tcPr>
                        <w:tcW w:w="2018"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1,110,921.89</w:t>
                        </w:r>
                      </w:p>
                    </w:tc>
                  </w:tr>
                  <w:tr>
                    <w:trPr>
                      <w:trHeight w:val="284" w:hRule="exact"/>
                    </w:trPr>
                    <w:tc>
                      <w:tcPr>
                        <w:tcW w:w="233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069" w:type="dxa"/>
                        <w:tcBorders>
                          <w:top w:val="nil" w:sz="6" w:space="0" w:color="auto"/>
                          <w:left w:val="nil" w:sz="6" w:space="0" w:color="auto"/>
                          <w:bottom w:val="nil" w:sz="6" w:space="0" w:color="auto"/>
                          <w:right w:val="nil" w:sz="6" w:space="0" w:color="auto"/>
                        </w:tcBorders>
                      </w:tcPr>
                      <w:p>
                        <w:pPr>
                          <w:pStyle w:val="TableParagraph"/>
                          <w:spacing w:line="233" w:lineRule="exact"/>
                          <w:ind w:right="559"/>
                          <w:jc w:val="right"/>
                          <w:rPr>
                            <w:rFonts w:ascii="宋体" w:hAnsi="宋体" w:cs="宋体" w:eastAsia="宋体" w:hint="default"/>
                            <w:sz w:val="18"/>
                            <w:szCs w:val="18"/>
                          </w:rPr>
                        </w:pPr>
                        <w:r>
                          <w:rPr>
                            <w:rFonts w:ascii="宋体"/>
                            <w:spacing w:val="-1"/>
                            <w:sz w:val="18"/>
                          </w:rPr>
                          <w:t>41,475,941.15</w:t>
                        </w:r>
                      </w:p>
                    </w:tc>
                    <w:tc>
                      <w:tcPr>
                        <w:tcW w:w="1061"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Style w:val="TableParagraph"/>
                          <w:spacing w:line="233" w:lineRule="exact"/>
                          <w:ind w:right="465"/>
                          <w:jc w:val="right"/>
                          <w:rPr>
                            <w:rFonts w:ascii="宋体" w:hAnsi="宋体" w:cs="宋体" w:eastAsia="宋体" w:hint="default"/>
                            <w:sz w:val="18"/>
                            <w:szCs w:val="18"/>
                          </w:rPr>
                        </w:pPr>
                        <w:r>
                          <w:rPr>
                            <w:rFonts w:ascii="宋体"/>
                            <w:spacing w:val="-1"/>
                            <w:sz w:val="18"/>
                          </w:rPr>
                          <w:t>11.42%</w:t>
                        </w:r>
                      </w:p>
                    </w:tc>
                    <w:tc>
                      <w:tcPr>
                        <w:tcW w:w="2018"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6,221,391.18</w:t>
                        </w:r>
                      </w:p>
                    </w:tc>
                  </w:tr>
                  <w:tr>
                    <w:trPr>
                      <w:trHeight w:val="284" w:hRule="exact"/>
                    </w:trPr>
                    <w:tc>
                      <w:tcPr>
                        <w:tcW w:w="233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069" w:type="dxa"/>
                        <w:tcBorders>
                          <w:top w:val="nil" w:sz="6" w:space="0" w:color="auto"/>
                          <w:left w:val="nil" w:sz="6" w:space="0" w:color="auto"/>
                          <w:bottom w:val="nil" w:sz="6" w:space="0" w:color="auto"/>
                          <w:right w:val="nil" w:sz="6" w:space="0" w:color="auto"/>
                        </w:tcBorders>
                      </w:tcPr>
                      <w:p>
                        <w:pPr>
                          <w:pStyle w:val="TableParagraph"/>
                          <w:spacing w:line="232" w:lineRule="exact"/>
                          <w:ind w:right="559"/>
                          <w:jc w:val="right"/>
                          <w:rPr>
                            <w:rFonts w:ascii="宋体" w:hAnsi="宋体" w:cs="宋体" w:eastAsia="宋体" w:hint="default"/>
                            <w:sz w:val="18"/>
                            <w:szCs w:val="18"/>
                          </w:rPr>
                        </w:pPr>
                        <w:r>
                          <w:rPr>
                            <w:rFonts w:ascii="宋体"/>
                            <w:spacing w:val="-1"/>
                            <w:sz w:val="18"/>
                          </w:rPr>
                          <w:t>19,406,637.00</w:t>
                        </w:r>
                      </w:p>
                    </w:tc>
                    <w:tc>
                      <w:tcPr>
                        <w:tcW w:w="1061"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Style w:val="TableParagraph"/>
                          <w:spacing w:line="232" w:lineRule="exact"/>
                          <w:ind w:right="465"/>
                          <w:jc w:val="right"/>
                          <w:rPr>
                            <w:rFonts w:ascii="宋体" w:hAnsi="宋体" w:cs="宋体" w:eastAsia="宋体" w:hint="default"/>
                            <w:sz w:val="18"/>
                            <w:szCs w:val="18"/>
                          </w:rPr>
                        </w:pPr>
                        <w:r>
                          <w:rPr>
                            <w:rFonts w:ascii="宋体"/>
                            <w:sz w:val="18"/>
                          </w:rPr>
                          <w:t>5.34%</w:t>
                        </w:r>
                      </w:p>
                    </w:tc>
                    <w:tc>
                      <w:tcPr>
                        <w:tcW w:w="2018"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5,821,991.09</w:t>
                        </w:r>
                      </w:p>
                    </w:tc>
                  </w:tr>
                  <w:tr>
                    <w:trPr>
                      <w:trHeight w:val="286" w:hRule="exact"/>
                    </w:trPr>
                    <w:tc>
                      <w:tcPr>
                        <w:tcW w:w="233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069" w:type="dxa"/>
                        <w:tcBorders>
                          <w:top w:val="nil" w:sz="6" w:space="0" w:color="auto"/>
                          <w:left w:val="nil" w:sz="6" w:space="0" w:color="auto"/>
                          <w:bottom w:val="nil" w:sz="6" w:space="0" w:color="auto"/>
                          <w:right w:val="nil" w:sz="6" w:space="0" w:color="auto"/>
                        </w:tcBorders>
                      </w:tcPr>
                      <w:p>
                        <w:pPr>
                          <w:pStyle w:val="TableParagraph"/>
                          <w:spacing w:line="233" w:lineRule="exact"/>
                          <w:ind w:right="559"/>
                          <w:jc w:val="right"/>
                          <w:rPr>
                            <w:rFonts w:ascii="宋体" w:hAnsi="宋体" w:cs="宋体" w:eastAsia="宋体" w:hint="default"/>
                            <w:sz w:val="18"/>
                            <w:szCs w:val="18"/>
                          </w:rPr>
                        </w:pPr>
                        <w:r>
                          <w:rPr>
                            <w:rFonts w:ascii="宋体"/>
                            <w:spacing w:val="-1"/>
                            <w:sz w:val="18"/>
                          </w:rPr>
                          <w:t>23,140,249.01</w:t>
                        </w:r>
                      </w:p>
                    </w:tc>
                    <w:tc>
                      <w:tcPr>
                        <w:tcW w:w="1061"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Style w:val="TableParagraph"/>
                          <w:spacing w:line="233" w:lineRule="exact"/>
                          <w:ind w:right="465"/>
                          <w:jc w:val="right"/>
                          <w:rPr>
                            <w:rFonts w:ascii="宋体" w:hAnsi="宋体" w:cs="宋体" w:eastAsia="宋体" w:hint="default"/>
                            <w:sz w:val="18"/>
                            <w:szCs w:val="18"/>
                          </w:rPr>
                        </w:pPr>
                        <w:r>
                          <w:rPr>
                            <w:rFonts w:ascii="宋体"/>
                            <w:sz w:val="18"/>
                          </w:rPr>
                          <w:t>6.37%</w:t>
                        </w:r>
                      </w:p>
                    </w:tc>
                    <w:tc>
                      <w:tcPr>
                        <w:tcW w:w="2018"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11,570,124.53</w:t>
                        </w:r>
                      </w:p>
                    </w:tc>
                  </w:tr>
                  <w:tr>
                    <w:trPr>
                      <w:trHeight w:val="291" w:hRule="exact"/>
                    </w:trPr>
                    <w:tc>
                      <w:tcPr>
                        <w:tcW w:w="2338"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069" w:type="dxa"/>
                        <w:tcBorders>
                          <w:top w:val="nil" w:sz="6" w:space="0" w:color="auto"/>
                          <w:left w:val="nil" w:sz="6" w:space="0" w:color="auto"/>
                          <w:bottom w:val="single" w:sz="4" w:space="0" w:color="000000"/>
                          <w:right w:val="nil" w:sz="6" w:space="0" w:color="auto"/>
                        </w:tcBorders>
                      </w:tcPr>
                      <w:p>
                        <w:pPr>
                          <w:pStyle w:val="TableParagraph"/>
                          <w:spacing w:line="233" w:lineRule="exact"/>
                          <w:ind w:left="247" w:right="0"/>
                          <w:jc w:val="left"/>
                          <w:rPr>
                            <w:rFonts w:ascii="宋体" w:hAnsi="宋体" w:cs="宋体" w:eastAsia="宋体" w:hint="default"/>
                            <w:sz w:val="18"/>
                            <w:szCs w:val="18"/>
                          </w:rPr>
                        </w:pPr>
                        <w:r>
                          <w:rPr>
                            <w:rFonts w:ascii="宋体"/>
                            <w:sz w:val="18"/>
                          </w:rPr>
                          <w:t>147,789,122.43</w:t>
                        </w:r>
                      </w:p>
                    </w:tc>
                    <w:tc>
                      <w:tcPr>
                        <w:tcW w:w="1061" w:type="dxa"/>
                        <w:tcBorders>
                          <w:top w:val="nil" w:sz="6" w:space="0" w:color="auto"/>
                          <w:left w:val="nil" w:sz="6" w:space="0" w:color="auto"/>
                          <w:bottom w:val="single" w:sz="4" w:space="0" w:color="000000"/>
                          <w:right w:val="nil" w:sz="6" w:space="0" w:color="auto"/>
                        </w:tcBorders>
                      </w:tcPr>
                      <w:p>
                        <w:pPr/>
                      </w:p>
                    </w:tc>
                    <w:tc>
                      <w:tcPr>
                        <w:tcW w:w="1239" w:type="dxa"/>
                        <w:tcBorders>
                          <w:top w:val="nil" w:sz="6" w:space="0" w:color="auto"/>
                          <w:left w:val="nil" w:sz="6" w:space="0" w:color="auto"/>
                          <w:bottom w:val="single" w:sz="4" w:space="0" w:color="000000"/>
                          <w:right w:val="nil" w:sz="6" w:space="0" w:color="auto"/>
                        </w:tcBorders>
                      </w:tcPr>
                      <w:p>
                        <w:pPr>
                          <w:pStyle w:val="TableParagraph"/>
                          <w:spacing w:line="233" w:lineRule="exact"/>
                          <w:ind w:right="465"/>
                          <w:jc w:val="right"/>
                          <w:rPr>
                            <w:rFonts w:ascii="宋体" w:hAnsi="宋体" w:cs="宋体" w:eastAsia="宋体" w:hint="default"/>
                            <w:sz w:val="18"/>
                            <w:szCs w:val="18"/>
                          </w:rPr>
                        </w:pPr>
                        <w:r>
                          <w:rPr>
                            <w:rFonts w:ascii="宋体"/>
                            <w:spacing w:val="-1"/>
                            <w:sz w:val="18"/>
                          </w:rPr>
                          <w:t>40.70%</w:t>
                        </w:r>
                      </w:p>
                    </w:tc>
                    <w:tc>
                      <w:tcPr>
                        <w:tcW w:w="2018" w:type="dxa"/>
                        <w:tcBorders>
                          <w:top w:val="nil" w:sz="6" w:space="0" w:color="auto"/>
                          <w:left w:val="nil" w:sz="6" w:space="0" w:color="auto"/>
                          <w:bottom w:val="single" w:sz="4" w:space="0" w:color="000000"/>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147,789,122.43</w:t>
                        </w:r>
                      </w:p>
                    </w:tc>
                  </w:tr>
                  <w:tr>
                    <w:trPr>
                      <w:trHeight w:val="305" w:hRule="exact"/>
                    </w:trPr>
                    <w:tc>
                      <w:tcPr>
                        <w:tcW w:w="2338"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69"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237" w:right="0"/>
                          <w:jc w:val="left"/>
                          <w:rPr>
                            <w:rFonts w:ascii="宋体" w:hAnsi="宋体" w:cs="宋体" w:eastAsia="宋体" w:hint="default"/>
                            <w:sz w:val="18"/>
                            <w:szCs w:val="18"/>
                          </w:rPr>
                        </w:pPr>
                        <w:r>
                          <w:rPr>
                            <w:rFonts w:ascii="宋体"/>
                            <w:b/>
                            <w:sz w:val="18"/>
                          </w:rPr>
                          <w:t>363,090,573.40</w:t>
                        </w:r>
                        <w:r>
                          <w:rPr>
                            <w:rFonts w:ascii="宋体"/>
                            <w:sz w:val="18"/>
                          </w:rPr>
                        </w:r>
                      </w:p>
                    </w:tc>
                    <w:tc>
                      <w:tcPr>
                        <w:tcW w:w="1061" w:type="dxa"/>
                        <w:tcBorders>
                          <w:top w:val="single" w:sz="4" w:space="0" w:color="000000"/>
                          <w:left w:val="nil" w:sz="6" w:space="0" w:color="auto"/>
                          <w:bottom w:val="single" w:sz="12" w:space="0" w:color="000000"/>
                          <w:right w:val="nil" w:sz="6" w:space="0" w:color="auto"/>
                        </w:tcBorders>
                      </w:tcPr>
                      <w:p>
                        <w:pPr/>
                      </w:p>
                    </w:tc>
                    <w:tc>
                      <w:tcPr>
                        <w:tcW w:w="1239"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463"/>
                          <w:jc w:val="right"/>
                          <w:rPr>
                            <w:rFonts w:ascii="宋体" w:hAnsi="宋体" w:cs="宋体" w:eastAsia="宋体" w:hint="default"/>
                            <w:sz w:val="18"/>
                            <w:szCs w:val="18"/>
                          </w:rPr>
                        </w:pPr>
                        <w:r>
                          <w:rPr>
                            <w:rFonts w:ascii="宋体"/>
                            <w:b/>
                            <w:sz w:val="18"/>
                          </w:rPr>
                          <w:t>100.00%</w:t>
                        </w:r>
                        <w:r>
                          <w:rPr>
                            <w:rFonts w:ascii="宋体"/>
                            <w:sz w:val="18"/>
                          </w:rPr>
                        </w:r>
                      </w:p>
                    </w:tc>
                    <w:tc>
                      <w:tcPr>
                        <w:tcW w:w="2018"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173,604,152.97</w:t>
                        </w:r>
                        <w:r>
                          <w:rPr>
                            <w:rFonts w:ascii="宋体"/>
                            <w:sz w:val="18"/>
                          </w:rPr>
                        </w:r>
                      </w:p>
                    </w:tc>
                  </w:tr>
                </w:tbl>
                <w:p>
                  <w:pPr/>
                </w:p>
              </w:txbxContent>
            </v:textbox>
            <w10:wrap type="none"/>
          </v:shape>
        </w:pict>
      </w:r>
      <w:r>
        <w:rPr>
          <w:rFonts w:ascii="宋体" w:hAnsi="宋体" w:cs="宋体" w:eastAsia="宋体" w:hint="default"/>
          <w:b/>
          <w:bCs/>
          <w:sz w:val="18"/>
          <w:szCs w:val="18"/>
        </w:rPr>
        <w:t>账龄</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spacing w:before="32"/>
        <w:ind w:left="1175"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z w:val="22"/>
          <w:szCs w:val="22"/>
        </w:rPr>
        <w:t>）</w:t>
      </w:r>
      <w:r>
        <w:rPr>
          <w:rFonts w:ascii="宋体" w:hAnsi="宋体" w:cs="宋体" w:eastAsia="宋体" w:hint="default"/>
          <w:b/>
          <w:bCs/>
          <w:spacing w:val="-63"/>
          <w:sz w:val="22"/>
          <w:szCs w:val="22"/>
        </w:rPr>
        <w:t> </w:t>
      </w:r>
      <w:r>
        <w:rPr>
          <w:rFonts w:ascii="宋体" w:hAnsi="宋体" w:cs="宋体" w:eastAsia="宋体" w:hint="default"/>
          <w:sz w:val="22"/>
          <w:szCs w:val="22"/>
        </w:rPr>
        <w:t>组合中，采用关联方方法计提坏账准备的其他应收款</w:t>
      </w:r>
    </w:p>
    <w:p>
      <w:pPr>
        <w:spacing w:line="240" w:lineRule="auto" w:before="11"/>
        <w:rPr>
          <w:rFonts w:ascii="宋体" w:hAnsi="宋体" w:cs="宋体" w:eastAsia="宋体" w:hint="default"/>
          <w:sz w:val="12"/>
          <w:szCs w:val="12"/>
        </w:rPr>
      </w:pPr>
    </w:p>
    <w:p>
      <w:pPr>
        <w:spacing w:line="28" w:lineRule="exact"/>
        <w:ind w:left="59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2960;height:2" coordorigin="14,14" coordsize="2960,2">
              <v:shape style="position:absolute;left:14;top:14;width:2960;height:2" coordorigin="14,14" coordsize="2960,0" path="m14,14l2974,14e" filled="false" stroked="true" strokeweight="1.44pt" strokecolor="#000000">
                <v:path arrowok="t"/>
              </v:shape>
            </v:group>
            <v:group style="position:absolute;left:2974;top:14;width:29;height:2" coordorigin="2974,14" coordsize="29,2">
              <v:shape style="position:absolute;left:2974;top:14;width:29;height:2" coordorigin="2974,14" coordsize="29,0" path="m2974,14l3003,14e" filled="false" stroked="true" strokeweight="1.44pt" strokecolor="#000000">
                <v:path arrowok="t"/>
              </v:shape>
            </v:group>
            <v:group style="position:absolute;left:3003;top:14;width:5737;height:2" coordorigin="3003,14" coordsize="5737,2">
              <v:shape style="position:absolute;left:3003;top:14;width:5737;height:2" coordorigin="3003,14" coordsize="5737,0" path="m3003,14l8740,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type w:val="continuous"/>
          <w:pgSz w:w="11910" w:h="16840"/>
          <w:pgMar w:top="1000" w:bottom="280" w:left="980" w:right="980"/>
        </w:sectPr>
      </w:pPr>
    </w:p>
    <w:p>
      <w:pPr>
        <w:spacing w:before="153"/>
        <w:ind w:left="722" w:right="0" w:firstLine="0"/>
        <w:jc w:val="left"/>
        <w:rPr>
          <w:rFonts w:ascii="宋体" w:hAnsi="宋体" w:cs="宋体" w:eastAsia="宋体" w:hint="default"/>
          <w:sz w:val="18"/>
          <w:szCs w:val="18"/>
        </w:rPr>
      </w:pPr>
      <w:r>
        <w:rPr>
          <w:rFonts w:ascii="宋体" w:hAnsi="宋体" w:cs="宋体" w:eastAsia="宋体" w:hint="default"/>
          <w:b/>
          <w:bCs/>
          <w:w w:val="95"/>
          <w:sz w:val="18"/>
          <w:szCs w:val="18"/>
        </w:rPr>
        <w:t>组合名称</w:t>
      </w:r>
      <w:r>
        <w:rPr>
          <w:rFonts w:ascii="宋体" w:hAnsi="宋体" w:cs="宋体" w:eastAsia="宋体" w:hint="default"/>
          <w:sz w:val="18"/>
          <w:szCs w:val="18"/>
        </w:rPr>
      </w:r>
    </w:p>
    <w:p>
      <w:pPr>
        <w:spacing w:before="6"/>
        <w:ind w:left="0" w:right="427"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年末余额</w:t>
      </w:r>
      <w:r>
        <w:rPr>
          <w:rFonts w:ascii="宋体" w:hAnsi="宋体" w:cs="宋体" w:eastAsia="宋体" w:hint="default"/>
          <w:sz w:val="18"/>
          <w:szCs w:val="18"/>
        </w:rPr>
      </w:r>
    </w:p>
    <w:p>
      <w:pPr>
        <w:spacing w:line="240" w:lineRule="auto" w:before="5"/>
        <w:rPr>
          <w:rFonts w:ascii="宋体" w:hAnsi="宋体" w:cs="宋体" w:eastAsia="宋体" w:hint="default"/>
          <w:b/>
          <w:bCs/>
          <w:sz w:val="3"/>
          <w:szCs w:val="3"/>
        </w:rPr>
      </w:pPr>
    </w:p>
    <w:p>
      <w:pPr>
        <w:spacing w:line="20" w:lineRule="exact"/>
        <w:ind w:left="177" w:right="0" w:firstLine="0"/>
        <w:rPr>
          <w:rFonts w:ascii="宋体" w:hAnsi="宋体" w:cs="宋体" w:eastAsia="宋体" w:hint="default"/>
          <w:sz w:val="2"/>
          <w:szCs w:val="2"/>
        </w:rPr>
      </w:pPr>
      <w:r>
        <w:rPr>
          <w:rFonts w:ascii="宋体" w:hAnsi="宋体" w:cs="宋体" w:eastAsia="宋体" w:hint="default"/>
          <w:sz w:val="2"/>
          <w:szCs w:val="2"/>
        </w:rPr>
        <w:pict>
          <v:group style="width:288.8pt;height:.5pt;mso-position-horizontal-relative:char;mso-position-vertical-relative:line" coordorigin="0,0" coordsize="5776,10">
            <v:group style="position:absolute;left:5;top:5;width:1983;height:2" coordorigin="5,5" coordsize="1983,2">
              <v:shape style="position:absolute;left:5;top:5;width:1983;height:2" coordorigin="5,5" coordsize="1983,0" path="m5,5l1988,5e" filled="false" stroked="true" strokeweight=".47998pt" strokecolor="#000000">
                <v:path arrowok="t"/>
              </v:shape>
            </v:group>
            <v:group style="position:absolute;left:1988;top:5;width:10;height:2" coordorigin="1988,5" coordsize="10,2">
              <v:shape style="position:absolute;left:1988;top:5;width:10;height:2" coordorigin="1988,5" coordsize="10,0" path="m1988,5l1997,5e" filled="false" stroked="true" strokeweight=".47998pt" strokecolor="#000000">
                <v:path arrowok="t"/>
              </v:shape>
            </v:group>
            <v:group style="position:absolute;left:1997;top:5;width:1875;height:2" coordorigin="1997,5" coordsize="1875,2">
              <v:shape style="position:absolute;left:1997;top:5;width:1875;height:2" coordorigin="1997,5" coordsize="1875,0" path="m1997,5l3872,5e" filled="false" stroked="true" strokeweight=".47998pt" strokecolor="#000000">
                <v:path arrowok="t"/>
              </v:shape>
            </v:group>
            <v:group style="position:absolute;left:3872;top:5;width:10;height:2" coordorigin="3872,5" coordsize="10,2">
              <v:shape style="position:absolute;left:3872;top:5;width:10;height:2" coordorigin="3872,5" coordsize="10,0" path="m3872,5l3882,5e" filled="false" stroked="true" strokeweight=".47998pt" strokecolor="#000000">
                <v:path arrowok="t"/>
              </v:shape>
            </v:group>
            <v:group style="position:absolute;left:3882;top:5;width:1889;height:2" coordorigin="3882,5" coordsize="1889,2">
              <v:shape style="position:absolute;left:3882;top:5;width:1889;height:2" coordorigin="3882,5" coordsize="1889,0" path="m3882,5l5771,5e" filled="false" stroked="true" strokeweight=".47998pt" strokecolor="#000000">
                <v:path arrowok="t"/>
              </v:shape>
            </v:group>
          </v:group>
        </w:pict>
      </w:r>
      <w:r>
        <w:rPr>
          <w:rFonts w:ascii="宋体" w:hAnsi="宋体" w:cs="宋体" w:eastAsia="宋体" w:hint="default"/>
          <w:sz w:val="2"/>
          <w:szCs w:val="2"/>
        </w:rPr>
      </w:r>
    </w:p>
    <w:p>
      <w:pPr>
        <w:tabs>
          <w:tab w:pos="2021" w:val="left" w:leader="none"/>
          <w:tab w:pos="3687" w:val="left" w:leader="none"/>
        </w:tabs>
        <w:spacing w:before="0"/>
        <w:ind w:left="0" w:right="247" w:firstLine="0"/>
        <w:jc w:val="center"/>
        <w:rPr>
          <w:rFonts w:ascii="宋体" w:hAnsi="宋体" w:cs="宋体" w:eastAsia="宋体" w:hint="default"/>
          <w:sz w:val="18"/>
          <w:szCs w:val="18"/>
        </w:rPr>
      </w:pPr>
      <w:r>
        <w:rPr>
          <w:rFonts w:ascii="宋体" w:hAnsi="宋体" w:cs="宋体" w:eastAsia="宋体" w:hint="default"/>
          <w:b/>
          <w:bCs/>
          <w:w w:val="95"/>
          <w:sz w:val="18"/>
          <w:szCs w:val="18"/>
        </w:rPr>
        <w:t>其他应收款</w:t>
        <w:tab/>
        <w:t>坏账准备</w:t>
        <w:tab/>
      </w:r>
      <w:r>
        <w:rPr>
          <w:rFonts w:ascii="宋体" w:hAnsi="宋体" w:cs="宋体" w:eastAsia="宋体" w:hint="default"/>
          <w:b/>
          <w:bCs/>
          <w:sz w:val="18"/>
          <w:szCs w:val="18"/>
        </w:rPr>
        <w:t>计提比例（</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1000" w:bottom="280" w:left="980" w:right="980"/>
          <w:cols w:num="2" w:equalWidth="0">
            <w:col w:w="1445" w:space="1947"/>
            <w:col w:w="6558"/>
          </w:cols>
        </w:sectPr>
      </w:pPr>
    </w:p>
    <w:p>
      <w:pPr>
        <w:spacing w:line="240" w:lineRule="auto" w:before="10"/>
        <w:rPr>
          <w:rFonts w:ascii="宋体" w:hAnsi="宋体" w:cs="宋体" w:eastAsia="宋体" w:hint="default"/>
          <w:b/>
          <w:bCs/>
          <w:sz w:val="3"/>
          <w:szCs w:val="3"/>
        </w:rPr>
      </w:pPr>
    </w:p>
    <w:tbl>
      <w:tblPr>
        <w:tblW w:w="0" w:type="auto"/>
        <w:jc w:val="left"/>
        <w:tblInd w:w="614" w:type="dxa"/>
        <w:tblLayout w:type="fixed"/>
        <w:tblCellMar>
          <w:top w:w="0" w:type="dxa"/>
          <w:left w:w="0" w:type="dxa"/>
          <w:bottom w:w="0" w:type="dxa"/>
          <w:right w:w="0" w:type="dxa"/>
        </w:tblCellMar>
        <w:tblLook w:val="01E0"/>
      </w:tblPr>
      <w:tblGrid>
        <w:gridCol w:w="2195"/>
        <w:gridCol w:w="3399"/>
        <w:gridCol w:w="1894"/>
        <w:gridCol w:w="1237"/>
      </w:tblGrid>
      <w:tr>
        <w:trPr>
          <w:trHeight w:val="295" w:hRule="exact"/>
        </w:trPr>
        <w:tc>
          <w:tcPr>
            <w:tcW w:w="2195"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3399"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757"/>
              <w:jc w:val="right"/>
              <w:rPr>
                <w:rFonts w:ascii="宋体" w:hAnsi="宋体" w:cs="宋体" w:eastAsia="宋体" w:hint="default"/>
                <w:sz w:val="18"/>
                <w:szCs w:val="18"/>
              </w:rPr>
            </w:pPr>
            <w:r>
              <w:rPr>
                <w:rFonts w:ascii="宋体"/>
                <w:spacing w:val="-1"/>
                <w:sz w:val="18"/>
              </w:rPr>
              <w:t>9,494,431,759.69</w:t>
            </w:r>
          </w:p>
        </w:tc>
        <w:tc>
          <w:tcPr>
            <w:tcW w:w="1894"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762" w:right="0"/>
              <w:jc w:val="left"/>
              <w:rPr>
                <w:rFonts w:ascii="宋体" w:hAnsi="宋体" w:cs="宋体" w:eastAsia="宋体" w:hint="default"/>
                <w:sz w:val="18"/>
                <w:szCs w:val="18"/>
              </w:rPr>
            </w:pPr>
            <w:r>
              <w:rPr>
                <w:rFonts w:ascii="宋体"/>
                <w:sz w:val="18"/>
              </w:rPr>
              <w:t>0.00</w:t>
            </w:r>
          </w:p>
        </w:tc>
        <w:tc>
          <w:tcPr>
            <w:tcW w:w="1237"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0.00</w:t>
            </w:r>
          </w:p>
        </w:tc>
      </w:tr>
      <w:tr>
        <w:trPr>
          <w:trHeight w:val="305" w:hRule="exact"/>
        </w:trPr>
        <w:tc>
          <w:tcPr>
            <w:tcW w:w="2195"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399"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758"/>
              <w:jc w:val="right"/>
              <w:rPr>
                <w:rFonts w:ascii="宋体" w:hAnsi="宋体" w:cs="宋体" w:eastAsia="宋体" w:hint="default"/>
                <w:sz w:val="18"/>
                <w:szCs w:val="18"/>
              </w:rPr>
            </w:pPr>
            <w:r>
              <w:rPr>
                <w:rFonts w:ascii="宋体"/>
                <w:b/>
                <w:w w:val="95"/>
                <w:sz w:val="18"/>
              </w:rPr>
              <w:t>9,494,431,759.69</w:t>
            </w:r>
            <w:r>
              <w:rPr>
                <w:rFonts w:ascii="宋体"/>
                <w:sz w:val="18"/>
              </w:rPr>
            </w:r>
          </w:p>
        </w:tc>
        <w:tc>
          <w:tcPr>
            <w:tcW w:w="1894"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759" w:right="0"/>
              <w:jc w:val="left"/>
              <w:rPr>
                <w:rFonts w:ascii="宋体" w:hAnsi="宋体" w:cs="宋体" w:eastAsia="宋体" w:hint="default"/>
                <w:sz w:val="18"/>
                <w:szCs w:val="18"/>
              </w:rPr>
            </w:pPr>
            <w:r>
              <w:rPr>
                <w:rFonts w:ascii="宋体"/>
                <w:b/>
                <w:sz w:val="18"/>
              </w:rPr>
              <w:t>0.00</w:t>
            </w:r>
            <w:r>
              <w:rPr>
                <w:rFonts w:ascii="宋体"/>
                <w:sz w:val="18"/>
              </w:rPr>
            </w:r>
          </w:p>
        </w:tc>
        <w:tc>
          <w:tcPr>
            <w:tcW w:w="1237"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after="0" w:line="232" w:lineRule="exact"/>
        <w:jc w:val="right"/>
        <w:rPr>
          <w:rFonts w:ascii="宋体" w:hAnsi="宋体" w:cs="宋体" w:eastAsia="宋体" w:hint="default"/>
          <w:sz w:val="18"/>
          <w:szCs w:val="18"/>
        </w:rPr>
        <w:sectPr>
          <w:type w:val="continuous"/>
          <w:pgSz w:w="11910" w:h="16840"/>
          <w:pgMar w:top="1000" w:bottom="280" w:left="980" w:right="980"/>
        </w:sectPr>
      </w:pPr>
    </w:p>
    <w:p>
      <w:pPr>
        <w:spacing w:before="6"/>
        <w:ind w:left="675" w:right="3346"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59"/>
          <w:sz w:val="22"/>
          <w:szCs w:val="22"/>
        </w:rPr>
        <w:t> </w:t>
      </w:r>
      <w:r>
        <w:rPr>
          <w:rFonts w:ascii="宋体" w:hAnsi="宋体" w:cs="宋体" w:eastAsia="宋体" w:hint="default"/>
          <w:sz w:val="22"/>
          <w:szCs w:val="22"/>
        </w:rPr>
        <w:t>其他应收款按款项性质分类情况</w:t>
      </w:r>
    </w:p>
    <w:p>
      <w:pPr>
        <w:spacing w:line="240" w:lineRule="auto" w:before="9"/>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503"/>
        <w:gridCol w:w="3715"/>
        <w:gridCol w:w="2507"/>
      </w:tblGrid>
      <w:tr>
        <w:trPr>
          <w:trHeight w:val="307" w:hRule="exact"/>
        </w:trPr>
        <w:tc>
          <w:tcPr>
            <w:tcW w:w="250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715" w:type="dxa"/>
            <w:tcBorders>
              <w:top w:val="single" w:sz="12" w:space="0" w:color="000000"/>
              <w:left w:val="nil" w:sz="6" w:space="0" w:color="auto"/>
              <w:bottom w:val="single" w:sz="4" w:space="0" w:color="000000"/>
              <w:right w:val="nil" w:sz="6" w:space="0" w:color="auto"/>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年末账面余额</w:t>
            </w:r>
            <w:r>
              <w:rPr>
                <w:rFonts w:ascii="宋体" w:hAnsi="宋体" w:cs="宋体" w:eastAsia="宋体" w:hint="default"/>
                <w:sz w:val="18"/>
                <w:szCs w:val="18"/>
              </w:rPr>
            </w:r>
          </w:p>
        </w:tc>
        <w:tc>
          <w:tcPr>
            <w:tcW w:w="2507"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509" w:right="0"/>
              <w:jc w:val="left"/>
              <w:rPr>
                <w:rFonts w:ascii="宋体" w:hAnsi="宋体" w:cs="宋体" w:eastAsia="宋体" w:hint="default"/>
                <w:sz w:val="18"/>
                <w:szCs w:val="18"/>
              </w:rPr>
            </w:pPr>
            <w:r>
              <w:rPr>
                <w:rFonts w:ascii="宋体" w:hAnsi="宋体" w:cs="宋体" w:eastAsia="宋体" w:hint="default"/>
                <w:b/>
                <w:bCs/>
                <w:sz w:val="18"/>
                <w:szCs w:val="18"/>
              </w:rPr>
              <w:t>年初账面余额</w:t>
            </w:r>
            <w:r>
              <w:rPr>
                <w:rFonts w:ascii="宋体" w:hAnsi="宋体" w:cs="宋体" w:eastAsia="宋体" w:hint="default"/>
                <w:sz w:val="18"/>
                <w:szCs w:val="18"/>
              </w:rPr>
            </w:r>
          </w:p>
        </w:tc>
      </w:tr>
      <w:tr>
        <w:trPr>
          <w:trHeight w:val="288" w:hRule="exact"/>
        </w:trPr>
        <w:tc>
          <w:tcPr>
            <w:tcW w:w="2503"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715" w:type="dxa"/>
            <w:tcBorders>
              <w:top w:val="single" w:sz="4" w:space="0" w:color="000000"/>
              <w:left w:val="nil" w:sz="6" w:space="0" w:color="auto"/>
              <w:bottom w:val="nil" w:sz="6" w:space="0" w:color="auto"/>
              <w:right w:val="nil" w:sz="6" w:space="0" w:color="auto"/>
            </w:tcBorders>
          </w:tcPr>
          <w:p>
            <w:pPr>
              <w:pStyle w:val="TableParagraph"/>
              <w:spacing w:line="232" w:lineRule="exact"/>
              <w:ind w:right="508"/>
              <w:jc w:val="right"/>
              <w:rPr>
                <w:rFonts w:ascii="宋体" w:hAnsi="宋体" w:cs="宋体" w:eastAsia="宋体" w:hint="default"/>
                <w:sz w:val="18"/>
                <w:szCs w:val="18"/>
              </w:rPr>
            </w:pPr>
            <w:r>
              <w:rPr>
                <w:rFonts w:ascii="宋体"/>
                <w:spacing w:val="-1"/>
                <w:sz w:val="18"/>
              </w:rPr>
              <w:t>9,619,464,404.17</w:t>
            </w:r>
          </w:p>
        </w:tc>
        <w:tc>
          <w:tcPr>
            <w:tcW w:w="2507"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8,760,889,708.87</w:t>
            </w:r>
          </w:p>
        </w:tc>
      </w:tr>
      <w:tr>
        <w:trPr>
          <w:trHeight w:val="284" w:hRule="exact"/>
        </w:trPr>
        <w:tc>
          <w:tcPr>
            <w:tcW w:w="2503"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715" w:type="dxa"/>
            <w:tcBorders>
              <w:top w:val="nil" w:sz="6" w:space="0" w:color="auto"/>
              <w:left w:val="nil" w:sz="6" w:space="0" w:color="auto"/>
              <w:bottom w:val="nil" w:sz="6" w:space="0" w:color="auto"/>
              <w:right w:val="nil" w:sz="6" w:space="0" w:color="auto"/>
            </w:tcBorders>
          </w:tcPr>
          <w:p>
            <w:pPr>
              <w:pStyle w:val="TableParagraph"/>
              <w:spacing w:line="232" w:lineRule="exact"/>
              <w:ind w:right="508"/>
              <w:jc w:val="right"/>
              <w:rPr>
                <w:rFonts w:ascii="宋体" w:hAnsi="宋体" w:cs="宋体" w:eastAsia="宋体" w:hint="default"/>
                <w:sz w:val="18"/>
                <w:szCs w:val="18"/>
              </w:rPr>
            </w:pPr>
            <w:r>
              <w:rPr>
                <w:rFonts w:ascii="宋体"/>
                <w:spacing w:val="-1"/>
                <w:sz w:val="18"/>
              </w:rPr>
              <w:t>170,616,328.23</w:t>
            </w:r>
          </w:p>
        </w:tc>
        <w:tc>
          <w:tcPr>
            <w:tcW w:w="2507" w:type="dxa"/>
            <w:tcBorders>
              <w:top w:val="nil" w:sz="6" w:space="0" w:color="auto"/>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pacing w:val="-1"/>
                <w:sz w:val="18"/>
              </w:rPr>
              <w:t>158,589,559.06</w:t>
            </w:r>
          </w:p>
        </w:tc>
      </w:tr>
      <w:tr>
        <w:trPr>
          <w:trHeight w:val="286" w:hRule="exact"/>
        </w:trPr>
        <w:tc>
          <w:tcPr>
            <w:tcW w:w="2503"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715" w:type="dxa"/>
            <w:tcBorders>
              <w:top w:val="nil" w:sz="6" w:space="0" w:color="auto"/>
              <w:left w:val="nil" w:sz="6" w:space="0" w:color="auto"/>
              <w:bottom w:val="nil" w:sz="6" w:space="0" w:color="auto"/>
              <w:right w:val="nil" w:sz="6" w:space="0" w:color="auto"/>
            </w:tcBorders>
          </w:tcPr>
          <w:p>
            <w:pPr>
              <w:pStyle w:val="TableParagraph"/>
              <w:spacing w:line="233" w:lineRule="exact"/>
              <w:ind w:right="508"/>
              <w:jc w:val="right"/>
              <w:rPr>
                <w:rFonts w:ascii="宋体" w:hAnsi="宋体" w:cs="宋体" w:eastAsia="宋体" w:hint="default"/>
                <w:sz w:val="18"/>
                <w:szCs w:val="18"/>
              </w:rPr>
            </w:pPr>
            <w:r>
              <w:rPr>
                <w:rFonts w:ascii="宋体"/>
                <w:spacing w:val="-1"/>
                <w:sz w:val="18"/>
              </w:rPr>
              <w:t>34,792,051.84</w:t>
            </w:r>
          </w:p>
        </w:tc>
        <w:tc>
          <w:tcPr>
            <w:tcW w:w="2507"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32,621,119.68</w:t>
            </w:r>
          </w:p>
        </w:tc>
      </w:tr>
      <w:tr>
        <w:trPr>
          <w:trHeight w:val="286" w:hRule="exact"/>
        </w:trPr>
        <w:tc>
          <w:tcPr>
            <w:tcW w:w="2503"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715" w:type="dxa"/>
            <w:tcBorders>
              <w:top w:val="nil" w:sz="6" w:space="0" w:color="auto"/>
              <w:left w:val="nil" w:sz="6" w:space="0" w:color="auto"/>
              <w:bottom w:val="nil" w:sz="6" w:space="0" w:color="auto"/>
              <w:right w:val="nil" w:sz="6" w:space="0" w:color="auto"/>
            </w:tcBorders>
          </w:tcPr>
          <w:p>
            <w:pPr>
              <w:pStyle w:val="TableParagraph"/>
              <w:spacing w:line="233" w:lineRule="exact"/>
              <w:ind w:right="508"/>
              <w:jc w:val="right"/>
              <w:rPr>
                <w:rFonts w:ascii="宋体" w:hAnsi="宋体" w:cs="宋体" w:eastAsia="宋体" w:hint="default"/>
                <w:sz w:val="18"/>
                <w:szCs w:val="18"/>
              </w:rPr>
            </w:pPr>
            <w:r>
              <w:rPr>
                <w:rFonts w:ascii="宋体"/>
                <w:spacing w:val="-1"/>
                <w:sz w:val="18"/>
              </w:rPr>
              <w:t>29,811,452.75</w:t>
            </w:r>
          </w:p>
        </w:tc>
        <w:tc>
          <w:tcPr>
            <w:tcW w:w="2507" w:type="dxa"/>
            <w:tcBorders>
              <w:top w:val="nil" w:sz="6" w:space="0" w:color="auto"/>
              <w:left w:val="nil" w:sz="6" w:space="0" w:color="auto"/>
              <w:bottom w:val="nil" w:sz="6" w:space="0" w:color="auto"/>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6,270,958.87</w:t>
            </w:r>
          </w:p>
        </w:tc>
      </w:tr>
      <w:tr>
        <w:trPr>
          <w:trHeight w:val="291" w:hRule="exact"/>
        </w:trPr>
        <w:tc>
          <w:tcPr>
            <w:tcW w:w="2503"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715" w:type="dxa"/>
            <w:tcBorders>
              <w:top w:val="nil" w:sz="6" w:space="0" w:color="auto"/>
              <w:left w:val="nil" w:sz="6" w:space="0" w:color="auto"/>
              <w:bottom w:val="single" w:sz="4" w:space="0" w:color="000000"/>
              <w:right w:val="nil" w:sz="6" w:space="0" w:color="auto"/>
            </w:tcBorders>
          </w:tcPr>
          <w:p>
            <w:pPr>
              <w:pStyle w:val="TableParagraph"/>
              <w:spacing w:line="233" w:lineRule="exact"/>
              <w:ind w:right="507"/>
              <w:jc w:val="right"/>
              <w:rPr>
                <w:rFonts w:ascii="宋体" w:hAnsi="宋体" w:cs="宋体" w:eastAsia="宋体" w:hint="default"/>
                <w:sz w:val="18"/>
                <w:szCs w:val="18"/>
              </w:rPr>
            </w:pPr>
            <w:r>
              <w:rPr>
                <w:rFonts w:ascii="宋体"/>
                <w:spacing w:val="-1"/>
                <w:sz w:val="18"/>
              </w:rPr>
              <w:t>2,838,096.10</w:t>
            </w:r>
          </w:p>
        </w:tc>
        <w:tc>
          <w:tcPr>
            <w:tcW w:w="2507" w:type="dxa"/>
            <w:tcBorders>
              <w:top w:val="nil" w:sz="6" w:space="0" w:color="auto"/>
              <w:left w:val="nil" w:sz="6" w:space="0" w:color="auto"/>
              <w:bottom w:val="single" w:sz="4"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3,150,726.28</w:t>
            </w:r>
          </w:p>
        </w:tc>
      </w:tr>
      <w:tr>
        <w:trPr>
          <w:trHeight w:val="305" w:hRule="exact"/>
        </w:trPr>
        <w:tc>
          <w:tcPr>
            <w:tcW w:w="250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1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508"/>
              <w:jc w:val="right"/>
              <w:rPr>
                <w:rFonts w:ascii="宋体" w:hAnsi="宋体" w:cs="宋体" w:eastAsia="宋体" w:hint="default"/>
                <w:sz w:val="18"/>
                <w:szCs w:val="18"/>
              </w:rPr>
            </w:pPr>
            <w:r>
              <w:rPr>
                <w:rFonts w:ascii="宋体"/>
                <w:b/>
                <w:w w:val="95"/>
                <w:sz w:val="18"/>
              </w:rPr>
              <w:t>9,857,522,333.09</w:t>
            </w:r>
            <w:r>
              <w:rPr>
                <w:rFonts w:ascii="宋体"/>
                <w:sz w:val="18"/>
              </w:rPr>
            </w:r>
          </w:p>
        </w:tc>
        <w:tc>
          <w:tcPr>
            <w:tcW w:w="2507"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8,961,522,072.76</w:t>
            </w:r>
            <w:r>
              <w:rPr>
                <w:rFonts w:ascii="宋体"/>
                <w:sz w:val="18"/>
              </w:rPr>
            </w:r>
          </w:p>
        </w:tc>
      </w:tr>
    </w:tbl>
    <w:p>
      <w:pPr>
        <w:spacing w:line="297" w:lineRule="auto" w:before="81"/>
        <w:ind w:left="222" w:right="215" w:firstLine="453"/>
        <w:jc w:val="both"/>
        <w:rPr>
          <w:rFonts w:ascii="宋体" w:hAnsi="宋体" w:cs="宋体" w:eastAsia="宋体" w:hint="default"/>
          <w:sz w:val="22"/>
          <w:szCs w:val="22"/>
        </w:rPr>
      </w:pPr>
      <w:r>
        <w:rPr>
          <w:rFonts w:ascii="宋体" w:hAnsi="宋体" w:cs="宋体" w:eastAsia="宋体" w:hint="default"/>
          <w:b/>
          <w:bCs/>
          <w:sz w:val="22"/>
          <w:szCs w:val="22"/>
        </w:rPr>
        <w:t>(3) </w:t>
      </w:r>
      <w:r>
        <w:rPr>
          <w:rFonts w:ascii="宋体" w:hAnsi="宋体" w:cs="宋体" w:eastAsia="宋体" w:hint="default"/>
          <w:sz w:val="22"/>
          <w:szCs w:val="22"/>
        </w:rPr>
        <w:t>本年按欠款方归集的年末余额前五名其他应收款汇总金额为</w:t>
      </w:r>
      <w:r>
        <w:rPr>
          <w:rFonts w:ascii="宋体" w:hAnsi="宋体" w:cs="宋体" w:eastAsia="宋体" w:hint="default"/>
          <w:spacing w:val="-96"/>
          <w:sz w:val="22"/>
          <w:szCs w:val="22"/>
        </w:rPr>
        <w:t> </w:t>
      </w:r>
      <w:r>
        <w:rPr>
          <w:rFonts w:ascii="宋体" w:hAnsi="宋体" w:cs="宋体" w:eastAsia="宋体" w:hint="default"/>
          <w:sz w:val="22"/>
          <w:szCs w:val="22"/>
        </w:rPr>
        <w:t>8,636,075,379.10</w:t>
      </w:r>
      <w:r>
        <w:rPr>
          <w:rFonts w:ascii="宋体" w:hAnsi="宋体" w:cs="宋体" w:eastAsia="宋体" w:hint="default"/>
          <w:w w:val="100"/>
          <w:sz w:val="22"/>
          <w:szCs w:val="22"/>
        </w:rPr>
        <w:t> </w:t>
      </w:r>
      <w:r>
        <w:rPr>
          <w:rFonts w:ascii="宋体" w:hAnsi="宋体" w:cs="宋体" w:eastAsia="宋体" w:hint="default"/>
          <w:sz w:val="22"/>
          <w:szCs w:val="22"/>
        </w:rPr>
        <w:t>元，占其他应收款年末余额合计数的比例</w:t>
      </w:r>
      <w:r>
        <w:rPr>
          <w:rFonts w:ascii="宋体" w:hAnsi="宋体" w:cs="宋体" w:eastAsia="宋体" w:hint="default"/>
          <w:spacing w:val="33"/>
          <w:sz w:val="22"/>
          <w:szCs w:val="22"/>
        </w:rPr>
        <w:t> </w:t>
      </w:r>
      <w:r>
        <w:rPr>
          <w:rFonts w:ascii="宋体" w:hAnsi="宋体" w:cs="宋体" w:eastAsia="宋体" w:hint="default"/>
          <w:sz w:val="22"/>
          <w:szCs w:val="22"/>
        </w:rPr>
        <w:t>87.61%</w:t>
      </w:r>
      <w:r>
        <w:rPr>
          <w:rFonts w:ascii="宋体" w:hAnsi="宋体" w:cs="宋体" w:eastAsia="宋体" w:hint="default"/>
          <w:sz w:val="22"/>
          <w:szCs w:val="22"/>
        </w:rPr>
        <w:t>，相应计提的坏账准备年末余额汇总金</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额为</w:t>
      </w:r>
      <w:r>
        <w:rPr>
          <w:rFonts w:ascii="宋体" w:hAnsi="宋体" w:cs="宋体" w:eastAsia="宋体" w:hint="default"/>
          <w:spacing w:val="-53"/>
          <w:sz w:val="22"/>
          <w:szCs w:val="22"/>
        </w:rPr>
        <w:t> </w:t>
      </w:r>
      <w:r>
        <w:rPr>
          <w:rFonts w:ascii="宋体" w:hAnsi="宋体" w:cs="宋体" w:eastAsia="宋体" w:hint="default"/>
          <w:sz w:val="22"/>
          <w:szCs w:val="22"/>
        </w:rPr>
        <w:t>0.00</w:t>
      </w:r>
      <w:r>
        <w:rPr>
          <w:rFonts w:ascii="宋体" w:hAnsi="宋体" w:cs="宋体" w:eastAsia="宋体" w:hint="default"/>
          <w:spacing w:val="-56"/>
          <w:sz w:val="22"/>
          <w:szCs w:val="22"/>
        </w:rPr>
        <w:t> </w:t>
      </w:r>
      <w:r>
        <w:rPr>
          <w:rFonts w:ascii="宋体" w:hAnsi="宋体" w:cs="宋体" w:eastAsia="宋体" w:hint="default"/>
          <w:sz w:val="22"/>
          <w:szCs w:val="22"/>
        </w:rPr>
        <w:t>元。</w:t>
      </w:r>
    </w:p>
    <w:p>
      <w:pPr>
        <w:spacing w:after="0" w:line="297" w:lineRule="auto"/>
        <w:jc w:val="both"/>
        <w:rPr>
          <w:rFonts w:ascii="宋体" w:hAnsi="宋体" w:cs="宋体" w:eastAsia="宋体" w:hint="default"/>
          <w:sz w:val="22"/>
          <w:szCs w:val="22"/>
        </w:rPr>
        <w:sectPr>
          <w:pgSz w:w="11910" w:h="16840"/>
          <w:pgMar w:header="0" w:footer="1054" w:top="1420" w:bottom="1240" w:left="1480" w:right="14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32"/>
        <w:ind w:left="145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16"/>
          <w:sz w:val="22"/>
          <w:szCs w:val="22"/>
        </w:rPr>
        <w:t> </w:t>
      </w:r>
      <w:r>
        <w:rPr>
          <w:rFonts w:ascii="宋体" w:hAnsi="宋体" w:cs="宋体" w:eastAsia="宋体" w:hint="default"/>
          <w:sz w:val="22"/>
          <w:szCs w:val="22"/>
        </w:rPr>
        <w:t>长期股权投资</w:t>
      </w:r>
    </w:p>
    <w:p>
      <w:pPr>
        <w:spacing w:before="110"/>
        <w:ind w:left="1452" w:right="0"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7"/>
          <w:sz w:val="22"/>
          <w:szCs w:val="22"/>
        </w:rPr>
        <w:t> </w:t>
      </w:r>
      <w:r>
        <w:rPr>
          <w:rFonts w:ascii="宋体" w:hAnsi="宋体" w:cs="宋体" w:eastAsia="宋体" w:hint="default"/>
          <w:sz w:val="22"/>
          <w:szCs w:val="22"/>
        </w:rPr>
        <w:t>长期股权投资分类</w:t>
      </w:r>
    </w:p>
    <w:p>
      <w:pPr>
        <w:spacing w:line="240" w:lineRule="auto" w:before="11"/>
        <w:rPr>
          <w:rFonts w:ascii="宋体" w:hAnsi="宋体" w:cs="宋体" w:eastAsia="宋体" w:hint="default"/>
          <w:sz w:val="12"/>
          <w:szCs w:val="12"/>
        </w:rPr>
      </w:pPr>
    </w:p>
    <w:p>
      <w:pPr>
        <w:spacing w:line="28" w:lineRule="exact"/>
        <w:ind w:left="876" w:right="0" w:firstLine="0"/>
        <w:rPr>
          <w:rFonts w:ascii="宋体" w:hAnsi="宋体" w:cs="宋体" w:eastAsia="宋体" w:hint="default"/>
          <w:sz w:val="2"/>
          <w:szCs w:val="2"/>
        </w:rPr>
      </w:pPr>
      <w:r>
        <w:rPr>
          <w:rFonts w:ascii="宋体" w:hAnsi="宋体" w:cs="宋体" w:eastAsia="宋体" w:hint="default"/>
          <w:position w:val="0"/>
          <w:sz w:val="2"/>
          <w:szCs w:val="2"/>
        </w:rPr>
        <w:pict>
          <v:group style="width:710.15pt;height:1.45pt;mso-position-horizontal-relative:char;mso-position-vertical-relative:line" coordorigin="0,0" coordsize="14203,29">
            <v:group style="position:absolute;left:14;top:14;width:2691;height:2" coordorigin="14,14" coordsize="2691,2">
              <v:shape style="position:absolute;left:14;top:14;width:2691;height:2" coordorigin="14,14" coordsize="2691,0" path="m14,14l2705,14e" filled="false" stroked="true" strokeweight="1.44pt" strokecolor="#000000">
                <v:path arrowok="t"/>
              </v:shape>
            </v:group>
            <v:group style="position:absolute;left:2705;top:14;width:29;height:2" coordorigin="2705,14" coordsize="29,2">
              <v:shape style="position:absolute;left:2705;top:14;width:29;height:2" coordorigin="2705,14" coordsize="29,0" path="m2705,14l2734,14e" filled="false" stroked="true" strokeweight="1.44pt" strokecolor="#000000">
                <v:path arrowok="t"/>
              </v:shape>
            </v:group>
            <v:group style="position:absolute;left:2734;top:14;width:5713;height:2" coordorigin="2734,14" coordsize="5713,2">
              <v:shape style="position:absolute;left:2734;top:14;width:5713;height:2" coordorigin="2734,14" coordsize="5713,0" path="m2734,14l8447,14e" filled="false" stroked="true" strokeweight="1.44pt" strokecolor="#000000">
                <v:path arrowok="t"/>
              </v:shape>
            </v:group>
            <v:group style="position:absolute;left:8447;top:14;width:29;height:2" coordorigin="8447,14" coordsize="29,2">
              <v:shape style="position:absolute;left:8447;top:14;width:29;height:2" coordorigin="8447,14" coordsize="29,0" path="m8447,14l8476,14e" filled="false" stroked="true" strokeweight="1.44pt" strokecolor="#000000">
                <v:path arrowok="t"/>
              </v:shape>
            </v:group>
            <v:group style="position:absolute;left:8476;top:14;width:5713;height:2" coordorigin="8476,14" coordsize="5713,2">
              <v:shape style="position:absolute;left:8476;top:14;width:5713;height:2" coordorigin="8476,14" coordsize="5713,0" path="m8476,14l14188,14e" filled="false" stroked="true" strokeweight="1.44pt" strokecolor="#000000">
                <v:path arrowok="t"/>
              </v:shape>
            </v:group>
          </v:group>
        </w:pict>
      </w:r>
      <w:r>
        <w:rPr>
          <w:rFonts w:ascii="宋体" w:hAnsi="宋体" w:cs="宋体" w:eastAsia="宋体" w:hint="default"/>
          <w:position w:val="0"/>
          <w:sz w:val="2"/>
          <w:szCs w:val="2"/>
        </w:rPr>
      </w:r>
    </w:p>
    <w:p>
      <w:pPr>
        <w:tabs>
          <w:tab w:pos="8390" w:val="left" w:leader="none"/>
        </w:tabs>
        <w:spacing w:line="194" w:lineRule="exact" w:before="0"/>
        <w:ind w:left="2651" w:right="0" w:firstLine="0"/>
        <w:jc w:val="center"/>
        <w:rPr>
          <w:rFonts w:ascii="宋体" w:hAnsi="宋体" w:cs="宋体" w:eastAsia="宋体" w:hint="default"/>
          <w:sz w:val="18"/>
          <w:szCs w:val="18"/>
        </w:rPr>
      </w:pP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157" w:lineRule="exact" w:before="0"/>
        <w:ind w:left="998" w:right="0" w:firstLine="0"/>
        <w:jc w:val="left"/>
        <w:rPr>
          <w:rFonts w:ascii="宋体" w:hAnsi="宋体" w:cs="宋体" w:eastAsia="宋体" w:hint="default"/>
          <w:sz w:val="18"/>
          <w:szCs w:val="18"/>
        </w:rPr>
      </w:pPr>
      <w:r>
        <w:rPr/>
        <w:pict>
          <v:group style="position:absolute;margin-left:199.820007pt;margin-top:4.623043pt;width:574.65pt;height:.5pt;mso-position-horizontal-relative:page;mso-position-vertical-relative:paragraph;z-index:5872" coordorigin="3996,92" coordsize="11493,10">
            <v:group style="position:absolute;left:4001;top:97;width:2019;height:2" coordorigin="4001,97" coordsize="2019,2">
              <v:shape style="position:absolute;left:4001;top:97;width:2019;height:2" coordorigin="4001,97" coordsize="2019,0" path="m4001,97l6020,97e" filled="false" stroked="true" strokeweight=".48pt" strokecolor="#000000">
                <v:path arrowok="t"/>
              </v:shape>
            </v:group>
            <v:group style="position:absolute;left:6020;top:97;width:10;height:2" coordorigin="6020,97" coordsize="10,2">
              <v:shape style="position:absolute;left:6020;top:97;width:10;height:2" coordorigin="6020,97" coordsize="10,0" path="m6020,97l6030,97e" filled="false" stroked="true" strokeweight=".48pt" strokecolor="#000000">
                <v:path arrowok="t"/>
              </v:shape>
            </v:group>
            <v:group style="position:absolute;left:6030;top:97;width:1697;height:2" coordorigin="6030,97" coordsize="1697,2">
              <v:shape style="position:absolute;left:6030;top:97;width:1697;height:2" coordorigin="6030,97" coordsize="1697,0" path="m6030,97l7727,97e" filled="false" stroked="true" strokeweight=".48pt" strokecolor="#000000">
                <v:path arrowok="t"/>
              </v:shape>
            </v:group>
            <v:group style="position:absolute;left:7727;top:97;width:10;height:2" coordorigin="7727,97" coordsize="10,2">
              <v:shape style="position:absolute;left:7727;top:97;width:10;height:2" coordorigin="7727,97" coordsize="10,0" path="m7727,97l7736,97e" filled="false" stroked="true" strokeweight=".48pt" strokecolor="#000000">
                <v:path arrowok="t"/>
              </v:shape>
            </v:group>
            <v:group style="position:absolute;left:7736;top:97;width:2007;height:2" coordorigin="7736,97" coordsize="2007,2">
              <v:shape style="position:absolute;left:7736;top:97;width:2007;height:2" coordorigin="7736,97" coordsize="2007,0" path="m7736,97l9743,97e" filled="false" stroked="true" strokeweight=".48pt" strokecolor="#000000">
                <v:path arrowok="t"/>
              </v:shape>
            </v:group>
            <v:group style="position:absolute;left:9743;top:97;width:10;height:2" coordorigin="9743,97" coordsize="10,2">
              <v:shape style="position:absolute;left:9743;top:97;width:10;height:2" coordorigin="9743,97" coordsize="10,0" path="m9743,97l9753,97e" filled="false" stroked="true" strokeweight=".48pt" strokecolor="#000000">
                <v:path arrowok="t"/>
              </v:shape>
            </v:group>
            <v:group style="position:absolute;left:9753;top:97;width:2009;height:2" coordorigin="9753,97" coordsize="2009,2">
              <v:shape style="position:absolute;left:9753;top:97;width:2009;height:2" coordorigin="9753,97" coordsize="2009,0" path="m9753,97l11761,97e" filled="false" stroked="true" strokeweight=".48pt" strokecolor="#000000">
                <v:path arrowok="t"/>
              </v:shape>
            </v:group>
            <v:group style="position:absolute;left:11761;top:97;width:10;height:2" coordorigin="11761,97" coordsize="10,2">
              <v:shape style="position:absolute;left:11761;top:97;width:10;height:2" coordorigin="11761,97" coordsize="10,0" path="m11761,97l11771,97e" filled="false" stroked="true" strokeweight=".48pt" strokecolor="#000000">
                <v:path arrowok="t"/>
              </v:shape>
            </v:group>
            <v:group style="position:absolute;left:11771;top:97;width:1698;height:2" coordorigin="11771,97" coordsize="1698,2">
              <v:shape style="position:absolute;left:11771;top:97;width:1698;height:2" coordorigin="11771,97" coordsize="1698,0" path="m11771,97l13468,97e" filled="false" stroked="true" strokeweight=".48pt" strokecolor="#000000">
                <v:path arrowok="t"/>
              </v:shape>
            </v:group>
            <v:group style="position:absolute;left:13468;top:97;width:10;height:2" coordorigin="13468,97" coordsize="10,2">
              <v:shape style="position:absolute;left:13468;top:97;width:10;height:2" coordorigin="13468,97" coordsize="10,0" path="m13468,97l13478,97e" filled="false" stroked="true" strokeweight=".48pt" strokecolor="#000000">
                <v:path arrowok="t"/>
              </v:shape>
            </v:group>
            <v:group style="position:absolute;left:13478;top:97;width:2007;height:2" coordorigin="13478,97" coordsize="2007,2">
              <v:shape style="position:absolute;left:13478;top:97;width:2007;height:2" coordorigin="13478,97" coordsize="2007,0" path="m13478,97l15484,97e" filled="false" stroked="true" strokeweight=".48pt" strokecolor="#000000">
                <v:path arrowok="t"/>
              </v:shape>
            </v:group>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tabs>
          <w:tab w:pos="4512" w:val="left" w:leader="none"/>
          <w:tab w:pos="6374" w:val="left" w:leader="none"/>
          <w:tab w:pos="8393" w:val="left" w:leader="none"/>
          <w:tab w:pos="10255" w:val="left" w:leader="none"/>
          <w:tab w:pos="12116" w:val="left" w:leader="none"/>
        </w:tabs>
        <w:spacing w:line="196" w:lineRule="exact" w:before="0"/>
        <w:ind w:left="2651" w:right="0" w:firstLine="0"/>
        <w:jc w:val="center"/>
        <w:rPr>
          <w:rFonts w:ascii="宋体" w:hAnsi="宋体" w:cs="宋体" w:eastAsia="宋体" w:hint="default"/>
          <w:sz w:val="18"/>
          <w:szCs w:val="18"/>
        </w:rPr>
      </w:pPr>
      <w:r>
        <w:rPr>
          <w:rFonts w:ascii="宋体" w:hAnsi="宋体" w:cs="宋体" w:eastAsia="宋体" w:hint="default"/>
          <w:b/>
          <w:bCs/>
          <w:w w:val="95"/>
          <w:sz w:val="18"/>
          <w:szCs w:val="18"/>
        </w:rPr>
        <w:t>账面余额</w:t>
        <w:tab/>
        <w:t>减值准备</w:t>
        <w:tab/>
        <w:t>账面价值</w:t>
        <w:tab/>
        <w:t>账面余额</w:t>
        <w:tab/>
        <w:t>减值准备</w:t>
        <w:tab/>
      </w:r>
      <w:r>
        <w:rPr>
          <w:rFonts w:ascii="宋体" w:hAnsi="宋体" w:cs="宋体" w:eastAsia="宋体" w:hint="default"/>
          <w:b/>
          <w:bCs/>
          <w:sz w:val="18"/>
          <w:szCs w:val="18"/>
        </w:rPr>
        <w:t>账面价值</w:t>
      </w:r>
      <w:r>
        <w:rPr>
          <w:rFonts w:ascii="宋体" w:hAnsi="宋体" w:cs="宋体" w:eastAsia="宋体" w:hint="default"/>
          <w:sz w:val="18"/>
          <w:szCs w:val="18"/>
        </w:rPr>
      </w:r>
    </w:p>
    <w:p>
      <w:pPr>
        <w:spacing w:line="240" w:lineRule="auto" w:before="6"/>
        <w:rPr>
          <w:rFonts w:ascii="宋体" w:hAnsi="宋体" w:cs="宋体" w:eastAsia="宋体" w:hint="default"/>
          <w:b/>
          <w:bCs/>
          <w:sz w:val="4"/>
          <w:szCs w:val="4"/>
        </w:rPr>
      </w:pPr>
    </w:p>
    <w:tbl>
      <w:tblPr>
        <w:tblW w:w="0" w:type="auto"/>
        <w:jc w:val="left"/>
        <w:tblInd w:w="890" w:type="dxa"/>
        <w:tblLayout w:type="fixed"/>
        <w:tblCellMar>
          <w:top w:w="0" w:type="dxa"/>
          <w:left w:w="0" w:type="dxa"/>
          <w:bottom w:w="0" w:type="dxa"/>
          <w:right w:w="0" w:type="dxa"/>
        </w:tblCellMar>
        <w:tblLook w:val="01E0"/>
      </w:tblPr>
      <w:tblGrid>
        <w:gridCol w:w="2483"/>
        <w:gridCol w:w="2336"/>
        <w:gridCol w:w="1725"/>
        <w:gridCol w:w="2018"/>
        <w:gridCol w:w="2045"/>
        <w:gridCol w:w="1680"/>
        <w:gridCol w:w="1887"/>
      </w:tblGrid>
      <w:tr>
        <w:trPr>
          <w:trHeight w:val="290" w:hRule="exact"/>
        </w:trPr>
        <w:tc>
          <w:tcPr>
            <w:tcW w:w="2483"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2336" w:type="dxa"/>
            <w:tcBorders>
              <w:top w:val="single" w:sz="4" w:space="0" w:color="000000"/>
              <w:left w:val="nil" w:sz="6" w:space="0" w:color="auto"/>
              <w:bottom w:val="nil" w:sz="6" w:space="0" w:color="auto"/>
              <w:right w:val="nil" w:sz="6" w:space="0" w:color="auto"/>
            </w:tcBorders>
          </w:tcPr>
          <w:p>
            <w:pPr>
              <w:pStyle w:val="TableParagraph"/>
              <w:spacing w:line="232" w:lineRule="exact"/>
              <w:ind w:right="215"/>
              <w:jc w:val="right"/>
              <w:rPr>
                <w:rFonts w:ascii="宋体" w:hAnsi="宋体" w:cs="宋体" w:eastAsia="宋体" w:hint="default"/>
                <w:sz w:val="18"/>
                <w:szCs w:val="18"/>
              </w:rPr>
            </w:pPr>
            <w:r>
              <w:rPr>
                <w:rFonts w:ascii="宋体"/>
                <w:spacing w:val="-1"/>
                <w:sz w:val="18"/>
              </w:rPr>
              <w:t>14,243,763,853.63</w:t>
            </w:r>
          </w:p>
        </w:tc>
        <w:tc>
          <w:tcPr>
            <w:tcW w:w="1725" w:type="dxa"/>
            <w:tcBorders>
              <w:top w:val="single" w:sz="4" w:space="0" w:color="000000"/>
              <w:left w:val="nil" w:sz="6" w:space="0" w:color="auto"/>
              <w:bottom w:val="nil" w:sz="6" w:space="0" w:color="auto"/>
              <w:right w:val="nil" w:sz="6" w:space="0" w:color="auto"/>
            </w:tcBorders>
          </w:tcPr>
          <w:p>
            <w:pPr>
              <w:pStyle w:val="TableParagraph"/>
              <w:spacing w:line="232" w:lineRule="exact"/>
              <w:ind w:right="236"/>
              <w:jc w:val="right"/>
              <w:rPr>
                <w:rFonts w:ascii="宋体" w:hAnsi="宋体" w:cs="宋体" w:eastAsia="宋体" w:hint="default"/>
                <w:sz w:val="18"/>
                <w:szCs w:val="18"/>
              </w:rPr>
            </w:pPr>
            <w:r>
              <w:rPr>
                <w:rFonts w:ascii="宋体"/>
                <w:spacing w:val="-1"/>
                <w:sz w:val="18"/>
              </w:rPr>
              <w:t>533,683,299.40</w:t>
            </w:r>
          </w:p>
        </w:tc>
        <w:tc>
          <w:tcPr>
            <w:tcW w:w="2018" w:type="dxa"/>
            <w:tcBorders>
              <w:top w:val="single" w:sz="4" w:space="0" w:color="000000"/>
              <w:left w:val="nil" w:sz="6" w:space="0" w:color="auto"/>
              <w:bottom w:val="nil" w:sz="6" w:space="0" w:color="auto"/>
              <w:right w:val="nil" w:sz="6" w:space="0" w:color="auto"/>
            </w:tcBorders>
          </w:tcPr>
          <w:p>
            <w:pPr>
              <w:pStyle w:val="TableParagraph"/>
              <w:spacing w:line="232" w:lineRule="exact"/>
              <w:ind w:left="11" w:right="0"/>
              <w:jc w:val="center"/>
              <w:rPr>
                <w:rFonts w:ascii="宋体" w:hAnsi="宋体" w:cs="宋体" w:eastAsia="宋体" w:hint="default"/>
                <w:sz w:val="18"/>
                <w:szCs w:val="18"/>
              </w:rPr>
            </w:pPr>
            <w:r>
              <w:rPr>
                <w:rFonts w:ascii="宋体"/>
                <w:sz w:val="18"/>
              </w:rPr>
              <w:t>13,710,080,554.23</w:t>
            </w:r>
          </w:p>
        </w:tc>
        <w:tc>
          <w:tcPr>
            <w:tcW w:w="2045" w:type="dxa"/>
            <w:tcBorders>
              <w:top w:val="single" w:sz="4" w:space="0" w:color="000000"/>
              <w:left w:val="nil" w:sz="6" w:space="0" w:color="auto"/>
              <w:bottom w:val="nil" w:sz="6" w:space="0" w:color="auto"/>
              <w:right w:val="nil" w:sz="6" w:space="0" w:color="auto"/>
            </w:tcBorders>
          </w:tcPr>
          <w:p>
            <w:pPr>
              <w:pStyle w:val="TableParagraph"/>
              <w:spacing w:line="232" w:lineRule="exact"/>
              <w:ind w:right="12"/>
              <w:jc w:val="center"/>
              <w:rPr>
                <w:rFonts w:ascii="宋体" w:hAnsi="宋体" w:cs="宋体" w:eastAsia="宋体" w:hint="default"/>
                <w:sz w:val="18"/>
                <w:szCs w:val="18"/>
              </w:rPr>
            </w:pPr>
            <w:r>
              <w:rPr>
                <w:rFonts w:ascii="宋体"/>
                <w:sz w:val="18"/>
              </w:rPr>
              <w:t>13,967,613,853.63</w:t>
            </w:r>
          </w:p>
        </w:tc>
        <w:tc>
          <w:tcPr>
            <w:tcW w:w="1680" w:type="dxa"/>
            <w:tcBorders>
              <w:top w:val="single" w:sz="4" w:space="0" w:color="000000"/>
              <w:left w:val="nil" w:sz="6" w:space="0" w:color="auto"/>
              <w:bottom w:val="nil" w:sz="6" w:space="0" w:color="auto"/>
              <w:right w:val="nil" w:sz="6" w:space="0" w:color="auto"/>
            </w:tcBorders>
          </w:tcPr>
          <w:p>
            <w:pPr>
              <w:pStyle w:val="TableParagraph"/>
              <w:spacing w:line="232" w:lineRule="exact"/>
              <w:ind w:right="235"/>
              <w:jc w:val="right"/>
              <w:rPr>
                <w:rFonts w:ascii="宋体" w:hAnsi="宋体" w:cs="宋体" w:eastAsia="宋体" w:hint="default"/>
                <w:sz w:val="18"/>
                <w:szCs w:val="18"/>
              </w:rPr>
            </w:pPr>
            <w:r>
              <w:rPr>
                <w:rFonts w:ascii="宋体"/>
                <w:spacing w:val="-1"/>
                <w:sz w:val="18"/>
              </w:rPr>
              <w:t>45,757,599.40</w:t>
            </w:r>
          </w:p>
        </w:tc>
        <w:tc>
          <w:tcPr>
            <w:tcW w:w="1887" w:type="dxa"/>
            <w:tcBorders>
              <w:top w:val="single" w:sz="4" w:space="0" w:color="000000"/>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pacing w:val="-1"/>
                <w:sz w:val="18"/>
              </w:rPr>
              <w:t>13,921,856,254.23</w:t>
            </w:r>
          </w:p>
        </w:tc>
      </w:tr>
      <w:tr>
        <w:trPr>
          <w:trHeight w:val="292" w:hRule="exact"/>
        </w:trPr>
        <w:tc>
          <w:tcPr>
            <w:tcW w:w="2483"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2336" w:type="dxa"/>
            <w:tcBorders>
              <w:top w:val="nil" w:sz="6" w:space="0" w:color="auto"/>
              <w:left w:val="nil" w:sz="6" w:space="0" w:color="auto"/>
              <w:bottom w:val="single" w:sz="4" w:space="0" w:color="000000"/>
              <w:right w:val="nil" w:sz="6" w:space="0" w:color="auto"/>
            </w:tcBorders>
          </w:tcPr>
          <w:p>
            <w:pPr>
              <w:pStyle w:val="TableParagraph"/>
              <w:spacing w:line="233" w:lineRule="exact"/>
              <w:ind w:right="215"/>
              <w:jc w:val="right"/>
              <w:rPr>
                <w:rFonts w:ascii="宋体" w:hAnsi="宋体" w:cs="宋体" w:eastAsia="宋体" w:hint="default"/>
                <w:sz w:val="18"/>
                <w:szCs w:val="18"/>
              </w:rPr>
            </w:pPr>
            <w:r>
              <w:rPr>
                <w:rFonts w:ascii="宋体"/>
                <w:spacing w:val="-1"/>
                <w:sz w:val="18"/>
              </w:rPr>
              <w:t>3,294,250,303.94</w:t>
            </w:r>
          </w:p>
        </w:tc>
        <w:tc>
          <w:tcPr>
            <w:tcW w:w="1725" w:type="dxa"/>
            <w:tcBorders>
              <w:top w:val="nil" w:sz="6" w:space="0" w:color="auto"/>
              <w:left w:val="nil" w:sz="6" w:space="0" w:color="auto"/>
              <w:bottom w:val="single" w:sz="4" w:space="0" w:color="000000"/>
              <w:right w:val="nil" w:sz="6" w:space="0" w:color="auto"/>
            </w:tcBorders>
          </w:tcPr>
          <w:p>
            <w:pPr>
              <w:pStyle w:val="TableParagraph"/>
              <w:spacing w:line="233" w:lineRule="exact"/>
              <w:ind w:right="235"/>
              <w:jc w:val="right"/>
              <w:rPr>
                <w:rFonts w:ascii="宋体" w:hAnsi="宋体" w:cs="宋体" w:eastAsia="宋体" w:hint="default"/>
                <w:sz w:val="18"/>
                <w:szCs w:val="18"/>
              </w:rPr>
            </w:pPr>
            <w:r>
              <w:rPr>
                <w:rFonts w:ascii="宋体"/>
                <w:sz w:val="18"/>
              </w:rPr>
              <w:t>0.00</w:t>
            </w:r>
          </w:p>
        </w:tc>
        <w:tc>
          <w:tcPr>
            <w:tcW w:w="2018" w:type="dxa"/>
            <w:tcBorders>
              <w:top w:val="nil" w:sz="6" w:space="0" w:color="auto"/>
              <w:left w:val="nil" w:sz="6" w:space="0" w:color="auto"/>
              <w:bottom w:val="single" w:sz="4" w:space="0" w:color="000000"/>
              <w:right w:val="nil" w:sz="6" w:space="0" w:color="auto"/>
            </w:tcBorders>
          </w:tcPr>
          <w:p>
            <w:pPr>
              <w:pStyle w:val="TableParagraph"/>
              <w:spacing w:line="233" w:lineRule="exact"/>
              <w:ind w:left="102" w:right="0"/>
              <w:jc w:val="center"/>
              <w:rPr>
                <w:rFonts w:ascii="宋体" w:hAnsi="宋体" w:cs="宋体" w:eastAsia="宋体" w:hint="default"/>
                <w:sz w:val="18"/>
                <w:szCs w:val="18"/>
              </w:rPr>
            </w:pPr>
            <w:r>
              <w:rPr>
                <w:rFonts w:ascii="宋体"/>
                <w:sz w:val="18"/>
              </w:rPr>
              <w:t>3,294,250,303.94</w:t>
            </w:r>
          </w:p>
        </w:tc>
        <w:tc>
          <w:tcPr>
            <w:tcW w:w="2045" w:type="dxa"/>
            <w:tcBorders>
              <w:top w:val="nil" w:sz="6" w:space="0" w:color="auto"/>
              <w:left w:val="nil" w:sz="6" w:space="0" w:color="auto"/>
              <w:bottom w:val="single" w:sz="4" w:space="0" w:color="000000"/>
              <w:right w:val="nil" w:sz="6" w:space="0" w:color="auto"/>
            </w:tcBorders>
          </w:tcPr>
          <w:p>
            <w:pPr>
              <w:pStyle w:val="TableParagraph"/>
              <w:spacing w:line="233" w:lineRule="exact"/>
              <w:ind w:left="76" w:right="0"/>
              <w:jc w:val="center"/>
              <w:rPr>
                <w:rFonts w:ascii="宋体" w:hAnsi="宋体" w:cs="宋体" w:eastAsia="宋体" w:hint="default"/>
                <w:sz w:val="18"/>
                <w:szCs w:val="18"/>
              </w:rPr>
            </w:pPr>
            <w:r>
              <w:rPr>
                <w:rFonts w:ascii="宋体"/>
                <w:sz w:val="18"/>
              </w:rPr>
              <w:t>2,938,002,477.34</w:t>
            </w:r>
          </w:p>
        </w:tc>
        <w:tc>
          <w:tcPr>
            <w:tcW w:w="1680" w:type="dxa"/>
            <w:tcBorders>
              <w:top w:val="nil" w:sz="6" w:space="0" w:color="auto"/>
              <w:left w:val="nil" w:sz="6" w:space="0" w:color="auto"/>
              <w:bottom w:val="single" w:sz="4" w:space="0" w:color="000000"/>
              <w:right w:val="nil" w:sz="6" w:space="0" w:color="auto"/>
            </w:tcBorders>
          </w:tcPr>
          <w:p>
            <w:pPr>
              <w:pStyle w:val="TableParagraph"/>
              <w:spacing w:line="233" w:lineRule="exact"/>
              <w:ind w:right="233"/>
              <w:jc w:val="right"/>
              <w:rPr>
                <w:rFonts w:ascii="宋体" w:hAnsi="宋体" w:cs="宋体" w:eastAsia="宋体" w:hint="default"/>
                <w:sz w:val="18"/>
                <w:szCs w:val="18"/>
              </w:rPr>
            </w:pPr>
            <w:r>
              <w:rPr>
                <w:rFonts w:ascii="宋体"/>
                <w:sz w:val="18"/>
              </w:rPr>
              <w:t>0.00</w:t>
            </w:r>
          </w:p>
        </w:tc>
        <w:tc>
          <w:tcPr>
            <w:tcW w:w="1887" w:type="dxa"/>
            <w:tcBorders>
              <w:top w:val="nil" w:sz="6" w:space="0" w:color="auto"/>
              <w:left w:val="nil" w:sz="6" w:space="0" w:color="auto"/>
              <w:bottom w:val="single" w:sz="4" w:space="0" w:color="000000"/>
              <w:right w:val="nil" w:sz="6" w:space="0" w:color="auto"/>
            </w:tcBorders>
          </w:tcPr>
          <w:p>
            <w:pPr>
              <w:pStyle w:val="TableParagraph"/>
              <w:spacing w:line="233" w:lineRule="exact"/>
              <w:ind w:right="106"/>
              <w:jc w:val="right"/>
              <w:rPr>
                <w:rFonts w:ascii="宋体" w:hAnsi="宋体" w:cs="宋体" w:eastAsia="宋体" w:hint="default"/>
                <w:sz w:val="18"/>
                <w:szCs w:val="18"/>
              </w:rPr>
            </w:pPr>
            <w:r>
              <w:rPr>
                <w:rFonts w:ascii="宋体"/>
                <w:spacing w:val="-1"/>
                <w:sz w:val="18"/>
              </w:rPr>
              <w:t>2,938,002,477.34</w:t>
            </w:r>
          </w:p>
        </w:tc>
      </w:tr>
      <w:tr>
        <w:trPr>
          <w:trHeight w:val="307" w:hRule="exact"/>
        </w:trPr>
        <w:tc>
          <w:tcPr>
            <w:tcW w:w="248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36"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16"/>
              <w:jc w:val="right"/>
              <w:rPr>
                <w:rFonts w:ascii="宋体" w:hAnsi="宋体" w:cs="宋体" w:eastAsia="宋体" w:hint="default"/>
                <w:sz w:val="18"/>
                <w:szCs w:val="18"/>
              </w:rPr>
            </w:pPr>
            <w:r>
              <w:rPr>
                <w:rFonts w:ascii="宋体"/>
                <w:b/>
                <w:w w:val="95"/>
                <w:sz w:val="18"/>
              </w:rPr>
              <w:t>17,538,014,157.57</w:t>
            </w:r>
            <w:r>
              <w:rPr>
                <w:rFonts w:ascii="宋体"/>
                <w:sz w:val="18"/>
              </w:rPr>
            </w:r>
          </w:p>
        </w:tc>
        <w:tc>
          <w:tcPr>
            <w:tcW w:w="172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36"/>
              <w:jc w:val="right"/>
              <w:rPr>
                <w:rFonts w:ascii="宋体" w:hAnsi="宋体" w:cs="宋体" w:eastAsia="宋体" w:hint="default"/>
                <w:sz w:val="18"/>
                <w:szCs w:val="18"/>
              </w:rPr>
            </w:pPr>
            <w:r>
              <w:rPr>
                <w:rFonts w:ascii="宋体"/>
                <w:b/>
                <w:w w:val="95"/>
                <w:sz w:val="18"/>
              </w:rPr>
              <w:t>533,683,299.40</w:t>
            </w:r>
            <w:r>
              <w:rPr>
                <w:rFonts w:ascii="宋体"/>
                <w:sz w:val="18"/>
              </w:rPr>
            </w:r>
          </w:p>
        </w:tc>
        <w:tc>
          <w:tcPr>
            <w:tcW w:w="2018"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
              <w:jc w:val="center"/>
              <w:rPr>
                <w:rFonts w:ascii="宋体" w:hAnsi="宋体" w:cs="宋体" w:eastAsia="宋体" w:hint="default"/>
                <w:sz w:val="18"/>
                <w:szCs w:val="18"/>
              </w:rPr>
            </w:pPr>
            <w:r>
              <w:rPr>
                <w:rFonts w:ascii="宋体"/>
                <w:b/>
                <w:sz w:val="18"/>
              </w:rPr>
              <w:t>17,004,330,858.17</w:t>
            </w:r>
            <w:r>
              <w:rPr>
                <w:rFonts w:ascii="宋体"/>
                <w:sz w:val="18"/>
              </w:rPr>
            </w:r>
          </w:p>
        </w:tc>
        <w:tc>
          <w:tcPr>
            <w:tcW w:w="204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4"/>
              <w:jc w:val="center"/>
              <w:rPr>
                <w:rFonts w:ascii="宋体" w:hAnsi="宋体" w:cs="宋体" w:eastAsia="宋体" w:hint="default"/>
                <w:sz w:val="18"/>
                <w:szCs w:val="18"/>
              </w:rPr>
            </w:pPr>
            <w:r>
              <w:rPr>
                <w:rFonts w:ascii="宋体"/>
                <w:b/>
                <w:sz w:val="18"/>
              </w:rPr>
              <w:t>16,905,616,330.97</w:t>
            </w:r>
            <w:r>
              <w:rPr>
                <w:rFonts w:ascii="宋体"/>
                <w:sz w:val="18"/>
              </w:rPr>
            </w:r>
          </w:p>
        </w:tc>
        <w:tc>
          <w:tcPr>
            <w:tcW w:w="1680"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35"/>
              <w:jc w:val="right"/>
              <w:rPr>
                <w:rFonts w:ascii="宋体" w:hAnsi="宋体" w:cs="宋体" w:eastAsia="宋体" w:hint="default"/>
                <w:sz w:val="18"/>
                <w:szCs w:val="18"/>
              </w:rPr>
            </w:pPr>
            <w:r>
              <w:rPr>
                <w:rFonts w:ascii="宋体"/>
                <w:b/>
                <w:w w:val="95"/>
                <w:sz w:val="18"/>
              </w:rPr>
              <w:t>45,757,599.40</w:t>
            </w:r>
            <w:r>
              <w:rPr>
                <w:rFonts w:ascii="宋体"/>
                <w:sz w:val="18"/>
              </w:rPr>
            </w:r>
          </w:p>
        </w:tc>
        <w:tc>
          <w:tcPr>
            <w:tcW w:w="1887"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16,859,858,731.57</w:t>
            </w:r>
            <w:r>
              <w:rPr>
                <w:rFonts w:ascii="宋体"/>
                <w:sz w:val="18"/>
              </w:rPr>
            </w:r>
          </w:p>
        </w:tc>
      </w:tr>
    </w:tbl>
    <w:p>
      <w:pPr>
        <w:spacing w:before="67"/>
        <w:ind w:left="1452" w:right="0" w:firstLine="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56"/>
          <w:sz w:val="22"/>
          <w:szCs w:val="22"/>
        </w:rPr>
        <w:t> </w:t>
      </w:r>
      <w:r>
        <w:rPr>
          <w:rFonts w:ascii="宋体" w:hAnsi="宋体" w:cs="宋体" w:eastAsia="宋体" w:hint="default"/>
          <w:sz w:val="22"/>
          <w:szCs w:val="22"/>
        </w:rPr>
        <w:t>对子公司投资</w:t>
      </w:r>
    </w:p>
    <w:p>
      <w:pPr>
        <w:spacing w:line="240" w:lineRule="auto" w:before="9"/>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4110"/>
        <w:gridCol w:w="2434"/>
        <w:gridCol w:w="2015"/>
        <w:gridCol w:w="1858"/>
        <w:gridCol w:w="1963"/>
        <w:gridCol w:w="1698"/>
        <w:gridCol w:w="1691"/>
      </w:tblGrid>
      <w:tr>
        <w:trPr>
          <w:trHeight w:val="307" w:hRule="exact"/>
        </w:trPr>
        <w:tc>
          <w:tcPr>
            <w:tcW w:w="4110"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411"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243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5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01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58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85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480"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96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58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698" w:type="dxa"/>
            <w:tcBorders>
              <w:top w:val="single" w:sz="12" w:space="0" w:color="000000"/>
              <w:left w:val="nil" w:sz="6" w:space="0" w:color="auto"/>
              <w:bottom w:val="single" w:sz="4" w:space="0" w:color="000000"/>
              <w:right w:val="nil" w:sz="6" w:space="0" w:color="auto"/>
            </w:tcBorders>
          </w:tcPr>
          <w:p>
            <w:pPr>
              <w:pStyle w:val="TableParagraph"/>
              <w:spacing w:line="234" w:lineRule="exact"/>
              <w:ind w:right="131"/>
              <w:jc w:val="right"/>
              <w:rPr>
                <w:rFonts w:ascii="宋体" w:hAnsi="宋体" w:cs="宋体" w:eastAsia="宋体" w:hint="default"/>
                <w:sz w:val="18"/>
                <w:szCs w:val="18"/>
              </w:rPr>
            </w:pPr>
            <w:r>
              <w:rPr>
                <w:rFonts w:ascii="宋体" w:hAnsi="宋体" w:cs="宋体" w:eastAsia="宋体" w:hint="default"/>
                <w:b/>
                <w:bCs/>
                <w:w w:val="95"/>
                <w:sz w:val="18"/>
                <w:szCs w:val="18"/>
              </w:rPr>
              <w:t>本年计提减值准备</w:t>
            </w:r>
            <w:r>
              <w:rPr>
                <w:rFonts w:ascii="宋体" w:hAnsi="宋体" w:cs="宋体" w:eastAsia="宋体" w:hint="default"/>
                <w:sz w:val="18"/>
                <w:szCs w:val="18"/>
              </w:rPr>
            </w:r>
          </w:p>
        </w:tc>
        <w:tc>
          <w:tcPr>
            <w:tcW w:w="1691" w:type="dxa"/>
            <w:tcBorders>
              <w:top w:val="single" w:sz="12" w:space="0" w:color="000000"/>
              <w:left w:val="nil" w:sz="6" w:space="0" w:color="auto"/>
              <w:bottom w:val="single" w:sz="4" w:space="0" w:color="000000"/>
              <w:right w:val="nil" w:sz="6" w:space="0" w:color="auto"/>
            </w:tcBorders>
          </w:tcPr>
          <w:p>
            <w:pPr>
              <w:pStyle w:val="TableParagraph"/>
              <w:spacing w:line="234" w:lineRule="exact"/>
              <w:ind w:right="125"/>
              <w:jc w:val="right"/>
              <w:rPr>
                <w:rFonts w:ascii="宋体" w:hAnsi="宋体" w:cs="宋体" w:eastAsia="宋体" w:hint="default"/>
                <w:sz w:val="18"/>
                <w:szCs w:val="18"/>
              </w:rPr>
            </w:pPr>
            <w:r>
              <w:rPr>
                <w:rFonts w:ascii="宋体" w:hAnsi="宋体" w:cs="宋体" w:eastAsia="宋体" w:hint="default"/>
                <w:b/>
                <w:bCs/>
                <w:w w:val="95"/>
                <w:sz w:val="18"/>
                <w:szCs w:val="18"/>
              </w:rPr>
              <w:t>减值准备年末余额</w:t>
            </w:r>
            <w:r>
              <w:rPr>
                <w:rFonts w:ascii="宋体" w:hAnsi="宋体" w:cs="宋体" w:eastAsia="宋体" w:hint="default"/>
                <w:sz w:val="18"/>
                <w:szCs w:val="18"/>
              </w:rPr>
            </w:r>
          </w:p>
        </w:tc>
      </w:tr>
      <w:tr>
        <w:trPr>
          <w:trHeight w:val="291" w:hRule="exact"/>
        </w:trPr>
        <w:tc>
          <w:tcPr>
            <w:tcW w:w="4110" w:type="dxa"/>
            <w:tcBorders>
              <w:top w:val="single" w:sz="4" w:space="0" w:color="000000"/>
              <w:left w:val="nil" w:sz="6" w:space="0" w:color="auto"/>
              <w:bottom w:val="nil" w:sz="6" w:space="0" w:color="auto"/>
              <w:right w:val="nil" w:sz="6" w:space="0" w:color="auto"/>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同方金融控股（深圳）有限公司</w:t>
            </w:r>
          </w:p>
        </w:tc>
        <w:tc>
          <w:tcPr>
            <w:tcW w:w="2434" w:type="dxa"/>
            <w:tcBorders>
              <w:top w:val="single" w:sz="4" w:space="0" w:color="000000"/>
              <w:left w:val="nil" w:sz="6" w:space="0" w:color="auto"/>
              <w:bottom w:val="nil" w:sz="6" w:space="0" w:color="auto"/>
              <w:right w:val="nil" w:sz="6" w:space="0" w:color="auto"/>
            </w:tcBorders>
          </w:tcPr>
          <w:p>
            <w:pPr>
              <w:pStyle w:val="TableParagraph"/>
              <w:spacing w:line="248" w:lineRule="exact"/>
              <w:ind w:right="112"/>
              <w:jc w:val="right"/>
              <w:rPr>
                <w:rFonts w:ascii="宋体" w:hAnsi="宋体" w:cs="宋体" w:eastAsia="宋体" w:hint="default"/>
                <w:sz w:val="21"/>
                <w:szCs w:val="21"/>
              </w:rPr>
            </w:pPr>
            <w:r>
              <w:rPr>
                <w:rFonts w:ascii="宋体"/>
                <w:spacing w:val="-1"/>
                <w:sz w:val="21"/>
              </w:rPr>
              <w:t>4,540,469,919.11</w:t>
            </w:r>
          </w:p>
        </w:tc>
        <w:tc>
          <w:tcPr>
            <w:tcW w:w="2015" w:type="dxa"/>
            <w:tcBorders>
              <w:top w:val="single" w:sz="4" w:space="0" w:color="000000"/>
              <w:left w:val="nil" w:sz="6" w:space="0" w:color="auto"/>
              <w:bottom w:val="nil" w:sz="6" w:space="0" w:color="auto"/>
              <w:right w:val="nil" w:sz="6" w:space="0" w:color="auto"/>
            </w:tcBorders>
          </w:tcPr>
          <w:p>
            <w:pPr>
              <w:pStyle w:val="TableParagraph"/>
              <w:spacing w:line="248" w:lineRule="exact"/>
              <w:ind w:right="219"/>
              <w:jc w:val="right"/>
              <w:rPr>
                <w:rFonts w:ascii="宋体" w:hAnsi="宋体" w:cs="宋体" w:eastAsia="宋体" w:hint="default"/>
                <w:sz w:val="21"/>
                <w:szCs w:val="21"/>
              </w:rPr>
            </w:pPr>
            <w:r>
              <w:rPr>
                <w:rFonts w:ascii="宋体"/>
                <w:sz w:val="21"/>
              </w:rPr>
              <w:t>0.00</w:t>
            </w:r>
          </w:p>
        </w:tc>
        <w:tc>
          <w:tcPr>
            <w:tcW w:w="1858" w:type="dxa"/>
            <w:tcBorders>
              <w:top w:val="single" w:sz="4" w:space="0" w:color="000000"/>
              <w:left w:val="nil" w:sz="6" w:space="0" w:color="auto"/>
              <w:bottom w:val="nil" w:sz="6" w:space="0" w:color="auto"/>
              <w:right w:val="nil" w:sz="6" w:space="0" w:color="auto"/>
            </w:tcBorders>
          </w:tcPr>
          <w:p>
            <w:pPr>
              <w:pStyle w:val="TableParagraph"/>
              <w:spacing w:line="248" w:lineRule="exact"/>
              <w:ind w:right="166"/>
              <w:jc w:val="right"/>
              <w:rPr>
                <w:rFonts w:ascii="宋体" w:hAnsi="宋体" w:cs="宋体" w:eastAsia="宋体" w:hint="default"/>
                <w:sz w:val="21"/>
                <w:szCs w:val="21"/>
              </w:rPr>
            </w:pPr>
            <w:r>
              <w:rPr>
                <w:rFonts w:ascii="宋体"/>
                <w:sz w:val="21"/>
              </w:rPr>
              <w:t>0.00</w:t>
            </w:r>
          </w:p>
        </w:tc>
        <w:tc>
          <w:tcPr>
            <w:tcW w:w="1963" w:type="dxa"/>
            <w:tcBorders>
              <w:top w:val="single" w:sz="4" w:space="0" w:color="000000"/>
              <w:left w:val="nil" w:sz="6" w:space="0" w:color="auto"/>
              <w:bottom w:val="nil" w:sz="6" w:space="0" w:color="auto"/>
              <w:right w:val="nil" w:sz="6" w:space="0" w:color="auto"/>
            </w:tcBorders>
          </w:tcPr>
          <w:p>
            <w:pPr>
              <w:pStyle w:val="TableParagraph"/>
              <w:spacing w:line="248" w:lineRule="exact"/>
              <w:ind w:right="113"/>
              <w:jc w:val="right"/>
              <w:rPr>
                <w:rFonts w:ascii="宋体" w:hAnsi="宋体" w:cs="宋体" w:eastAsia="宋体" w:hint="default"/>
                <w:sz w:val="21"/>
                <w:szCs w:val="21"/>
              </w:rPr>
            </w:pPr>
            <w:r>
              <w:rPr>
                <w:rFonts w:ascii="宋体"/>
                <w:spacing w:val="-1"/>
                <w:sz w:val="21"/>
              </w:rPr>
              <w:t>4,540,469,919.11</w:t>
            </w:r>
          </w:p>
        </w:tc>
        <w:tc>
          <w:tcPr>
            <w:tcW w:w="1698" w:type="dxa"/>
            <w:tcBorders>
              <w:top w:val="single" w:sz="4" w:space="0" w:color="000000"/>
              <w:left w:val="nil" w:sz="6" w:space="0" w:color="auto"/>
              <w:bottom w:val="nil" w:sz="6" w:space="0" w:color="auto"/>
              <w:right w:val="nil" w:sz="6" w:space="0" w:color="auto"/>
            </w:tcBorders>
          </w:tcPr>
          <w:p>
            <w:pPr>
              <w:pStyle w:val="TableParagraph"/>
              <w:spacing w:line="248" w:lineRule="exact"/>
              <w:ind w:right="112"/>
              <w:jc w:val="right"/>
              <w:rPr>
                <w:rFonts w:ascii="宋体" w:hAnsi="宋体" w:cs="宋体" w:eastAsia="宋体" w:hint="default"/>
                <w:sz w:val="21"/>
                <w:szCs w:val="21"/>
              </w:rPr>
            </w:pPr>
            <w:r>
              <w:rPr>
                <w:rFonts w:ascii="宋体"/>
                <w:sz w:val="21"/>
              </w:rPr>
              <w:t>0.00</w:t>
            </w:r>
          </w:p>
        </w:tc>
        <w:tc>
          <w:tcPr>
            <w:tcW w:w="1691" w:type="dxa"/>
            <w:tcBorders>
              <w:top w:val="single" w:sz="4" w:space="0" w:color="000000"/>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r>
      <w:tr>
        <w:trPr>
          <w:trHeight w:val="288"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1"/>
                <w:szCs w:val="21"/>
              </w:rPr>
              <w:t>同方科技园有限公司</w:t>
            </w:r>
          </w:p>
        </w:tc>
        <w:tc>
          <w:tcPr>
            <w:tcW w:w="2434" w:type="dxa"/>
            <w:tcBorders>
              <w:top w:val="nil" w:sz="6" w:space="0" w:color="auto"/>
              <w:left w:val="nil" w:sz="6" w:space="0" w:color="auto"/>
              <w:bottom w:val="nil" w:sz="6" w:space="0" w:color="auto"/>
              <w:right w:val="nil" w:sz="6" w:space="0" w:color="auto"/>
            </w:tcBorders>
          </w:tcPr>
          <w:p>
            <w:pPr>
              <w:pStyle w:val="TableParagraph"/>
              <w:spacing w:line="249" w:lineRule="exact"/>
              <w:ind w:right="109"/>
              <w:jc w:val="right"/>
              <w:rPr>
                <w:rFonts w:ascii="宋体" w:hAnsi="宋体" w:cs="宋体" w:eastAsia="宋体" w:hint="default"/>
                <w:sz w:val="21"/>
                <w:szCs w:val="21"/>
              </w:rPr>
            </w:pPr>
            <w:r>
              <w:rPr>
                <w:rFonts w:ascii="宋体"/>
                <w:spacing w:val="-1"/>
                <w:sz w:val="21"/>
              </w:rPr>
              <w:t>826,310,000.00</w:t>
            </w:r>
          </w:p>
        </w:tc>
        <w:tc>
          <w:tcPr>
            <w:tcW w:w="2015" w:type="dxa"/>
            <w:tcBorders>
              <w:top w:val="nil" w:sz="6" w:space="0" w:color="auto"/>
              <w:left w:val="nil" w:sz="6" w:space="0" w:color="auto"/>
              <w:bottom w:val="nil" w:sz="6" w:space="0" w:color="auto"/>
              <w:right w:val="nil" w:sz="6" w:space="0" w:color="auto"/>
            </w:tcBorders>
          </w:tcPr>
          <w:p>
            <w:pPr>
              <w:pStyle w:val="TableParagraph"/>
              <w:spacing w:line="249" w:lineRule="exact"/>
              <w:ind w:right="218"/>
              <w:jc w:val="right"/>
              <w:rPr>
                <w:rFonts w:ascii="宋体" w:hAnsi="宋体" w:cs="宋体" w:eastAsia="宋体" w:hint="default"/>
                <w:sz w:val="21"/>
                <w:szCs w:val="21"/>
              </w:rPr>
            </w:pPr>
            <w:r>
              <w:rPr>
                <w:rFonts w:ascii="宋体"/>
                <w:spacing w:val="-1"/>
                <w:sz w:val="21"/>
              </w:rPr>
              <w:t>1,222,271,232.65</w:t>
            </w:r>
          </w:p>
        </w:tc>
        <w:tc>
          <w:tcPr>
            <w:tcW w:w="1858" w:type="dxa"/>
            <w:tcBorders>
              <w:top w:val="nil" w:sz="6" w:space="0" w:color="auto"/>
              <w:left w:val="nil" w:sz="6" w:space="0" w:color="auto"/>
              <w:bottom w:val="nil" w:sz="6" w:space="0" w:color="auto"/>
              <w:right w:val="nil" w:sz="6" w:space="0" w:color="auto"/>
            </w:tcBorders>
          </w:tcPr>
          <w:p>
            <w:pPr>
              <w:pStyle w:val="TableParagraph"/>
              <w:spacing w:line="249" w:lineRule="exact"/>
              <w:ind w:right="166"/>
              <w:jc w:val="right"/>
              <w:rPr>
                <w:rFonts w:ascii="宋体" w:hAnsi="宋体" w:cs="宋体" w:eastAsia="宋体" w:hint="default"/>
                <w:sz w:val="21"/>
                <w:szCs w:val="21"/>
              </w:rPr>
            </w:pPr>
            <w:r>
              <w:rPr>
                <w:rFonts w:ascii="宋体"/>
                <w:sz w:val="21"/>
              </w:rPr>
              <w:t>0.00</w:t>
            </w:r>
          </w:p>
        </w:tc>
        <w:tc>
          <w:tcPr>
            <w:tcW w:w="1963" w:type="dxa"/>
            <w:tcBorders>
              <w:top w:val="nil" w:sz="6" w:space="0" w:color="auto"/>
              <w:left w:val="nil" w:sz="6" w:space="0" w:color="auto"/>
              <w:bottom w:val="nil" w:sz="6" w:space="0" w:color="auto"/>
              <w:right w:val="nil" w:sz="6" w:space="0" w:color="auto"/>
            </w:tcBorders>
          </w:tcPr>
          <w:p>
            <w:pPr>
              <w:pStyle w:val="TableParagraph"/>
              <w:spacing w:line="249" w:lineRule="exact"/>
              <w:ind w:right="113"/>
              <w:jc w:val="right"/>
              <w:rPr>
                <w:rFonts w:ascii="宋体" w:hAnsi="宋体" w:cs="宋体" w:eastAsia="宋体" w:hint="default"/>
                <w:sz w:val="21"/>
                <w:szCs w:val="21"/>
              </w:rPr>
            </w:pPr>
            <w:r>
              <w:rPr>
                <w:rFonts w:ascii="宋体"/>
                <w:spacing w:val="-1"/>
                <w:sz w:val="21"/>
              </w:rPr>
              <w:t>2,048,581,232.65</w:t>
            </w:r>
          </w:p>
        </w:tc>
        <w:tc>
          <w:tcPr>
            <w:tcW w:w="1698" w:type="dxa"/>
            <w:tcBorders>
              <w:top w:val="nil" w:sz="6" w:space="0" w:color="auto"/>
              <w:left w:val="nil" w:sz="6" w:space="0" w:color="auto"/>
              <w:bottom w:val="nil" w:sz="6" w:space="0" w:color="auto"/>
              <w:right w:val="nil" w:sz="6" w:space="0" w:color="auto"/>
            </w:tcBorders>
          </w:tcPr>
          <w:p>
            <w:pPr>
              <w:pStyle w:val="TableParagraph"/>
              <w:spacing w:line="249" w:lineRule="exact"/>
              <w:ind w:right="112"/>
              <w:jc w:val="right"/>
              <w:rPr>
                <w:rFonts w:ascii="宋体" w:hAnsi="宋体" w:cs="宋体" w:eastAsia="宋体" w:hint="default"/>
                <w:sz w:val="21"/>
                <w:szCs w:val="21"/>
              </w:rPr>
            </w:pPr>
            <w:r>
              <w:rPr>
                <w:rFonts w:ascii="宋体"/>
                <w:sz w:val="21"/>
              </w:rPr>
              <w:t>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r>
      <w:tr>
        <w:trPr>
          <w:trHeight w:val="287"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1"/>
                <w:szCs w:val="21"/>
              </w:rPr>
              <w:t>同方计算机有限公司</w:t>
            </w:r>
          </w:p>
        </w:tc>
        <w:tc>
          <w:tcPr>
            <w:tcW w:w="2434" w:type="dxa"/>
            <w:tcBorders>
              <w:top w:val="nil" w:sz="6" w:space="0" w:color="auto"/>
              <w:left w:val="nil" w:sz="6" w:space="0" w:color="auto"/>
              <w:bottom w:val="nil" w:sz="6" w:space="0" w:color="auto"/>
              <w:right w:val="nil" w:sz="6" w:space="0" w:color="auto"/>
            </w:tcBorders>
          </w:tcPr>
          <w:p>
            <w:pPr>
              <w:pStyle w:val="TableParagraph"/>
              <w:spacing w:line="249" w:lineRule="exact"/>
              <w:ind w:right="112"/>
              <w:jc w:val="right"/>
              <w:rPr>
                <w:rFonts w:ascii="宋体" w:hAnsi="宋体" w:cs="宋体" w:eastAsia="宋体" w:hint="default"/>
                <w:sz w:val="21"/>
                <w:szCs w:val="21"/>
              </w:rPr>
            </w:pPr>
            <w:r>
              <w:rPr>
                <w:rFonts w:ascii="宋体"/>
                <w:spacing w:val="-1"/>
                <w:sz w:val="21"/>
              </w:rPr>
              <w:t>1,349,910,000.00</w:t>
            </w:r>
          </w:p>
        </w:tc>
        <w:tc>
          <w:tcPr>
            <w:tcW w:w="2015" w:type="dxa"/>
            <w:tcBorders>
              <w:top w:val="nil" w:sz="6" w:space="0" w:color="auto"/>
              <w:left w:val="nil" w:sz="6" w:space="0" w:color="auto"/>
              <w:bottom w:val="nil" w:sz="6" w:space="0" w:color="auto"/>
              <w:right w:val="nil" w:sz="6" w:space="0" w:color="auto"/>
            </w:tcBorders>
          </w:tcPr>
          <w:p>
            <w:pPr>
              <w:pStyle w:val="TableParagraph"/>
              <w:spacing w:line="249" w:lineRule="exact"/>
              <w:ind w:right="219"/>
              <w:jc w:val="right"/>
              <w:rPr>
                <w:rFonts w:ascii="宋体" w:hAnsi="宋体" w:cs="宋体" w:eastAsia="宋体" w:hint="default"/>
                <w:sz w:val="21"/>
                <w:szCs w:val="21"/>
              </w:rPr>
            </w:pPr>
            <w:r>
              <w:rPr>
                <w:rFonts w:ascii="宋体"/>
                <w:sz w:val="21"/>
              </w:rPr>
              <w:t>0.00</w:t>
            </w:r>
          </w:p>
        </w:tc>
        <w:tc>
          <w:tcPr>
            <w:tcW w:w="1858" w:type="dxa"/>
            <w:tcBorders>
              <w:top w:val="nil" w:sz="6" w:space="0" w:color="auto"/>
              <w:left w:val="nil" w:sz="6" w:space="0" w:color="auto"/>
              <w:bottom w:val="nil" w:sz="6" w:space="0" w:color="auto"/>
              <w:right w:val="nil" w:sz="6" w:space="0" w:color="auto"/>
            </w:tcBorders>
          </w:tcPr>
          <w:p>
            <w:pPr>
              <w:pStyle w:val="TableParagraph"/>
              <w:spacing w:line="249" w:lineRule="exact"/>
              <w:ind w:right="166"/>
              <w:jc w:val="right"/>
              <w:rPr>
                <w:rFonts w:ascii="宋体" w:hAnsi="宋体" w:cs="宋体" w:eastAsia="宋体" w:hint="default"/>
                <w:sz w:val="21"/>
                <w:szCs w:val="21"/>
              </w:rPr>
            </w:pPr>
            <w:r>
              <w:rPr>
                <w:rFonts w:ascii="宋体"/>
                <w:sz w:val="21"/>
              </w:rPr>
              <w:t>0.00</w:t>
            </w:r>
          </w:p>
        </w:tc>
        <w:tc>
          <w:tcPr>
            <w:tcW w:w="1963" w:type="dxa"/>
            <w:tcBorders>
              <w:top w:val="nil" w:sz="6" w:space="0" w:color="auto"/>
              <w:left w:val="nil" w:sz="6" w:space="0" w:color="auto"/>
              <w:bottom w:val="nil" w:sz="6" w:space="0" w:color="auto"/>
              <w:right w:val="nil" w:sz="6" w:space="0" w:color="auto"/>
            </w:tcBorders>
          </w:tcPr>
          <w:p>
            <w:pPr>
              <w:pStyle w:val="TableParagraph"/>
              <w:spacing w:line="249" w:lineRule="exact"/>
              <w:ind w:right="113"/>
              <w:jc w:val="right"/>
              <w:rPr>
                <w:rFonts w:ascii="宋体" w:hAnsi="宋体" w:cs="宋体" w:eastAsia="宋体" w:hint="default"/>
                <w:sz w:val="21"/>
                <w:szCs w:val="21"/>
              </w:rPr>
            </w:pPr>
            <w:r>
              <w:rPr>
                <w:rFonts w:ascii="宋体"/>
                <w:spacing w:val="-1"/>
                <w:sz w:val="21"/>
              </w:rPr>
              <w:t>1,349,910,000.00</w:t>
            </w:r>
          </w:p>
        </w:tc>
        <w:tc>
          <w:tcPr>
            <w:tcW w:w="1698" w:type="dxa"/>
            <w:tcBorders>
              <w:top w:val="nil" w:sz="6" w:space="0" w:color="auto"/>
              <w:left w:val="nil" w:sz="6" w:space="0" w:color="auto"/>
              <w:bottom w:val="nil" w:sz="6" w:space="0" w:color="auto"/>
              <w:right w:val="nil" w:sz="6" w:space="0" w:color="auto"/>
            </w:tcBorders>
          </w:tcPr>
          <w:p>
            <w:pPr>
              <w:pStyle w:val="TableParagraph"/>
              <w:spacing w:line="249" w:lineRule="exact"/>
              <w:ind w:right="112"/>
              <w:jc w:val="right"/>
              <w:rPr>
                <w:rFonts w:ascii="宋体" w:hAnsi="宋体" w:cs="宋体" w:eastAsia="宋体" w:hint="default"/>
                <w:sz w:val="21"/>
                <w:szCs w:val="21"/>
              </w:rPr>
            </w:pPr>
            <w:r>
              <w:rPr>
                <w:rFonts w:ascii="宋体"/>
                <w:sz w:val="21"/>
              </w:rPr>
              <w:t>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r>
      <w:tr>
        <w:trPr>
          <w:trHeight w:val="287"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沈阳同方多媒体科技有限公司</w:t>
            </w:r>
          </w:p>
        </w:tc>
        <w:tc>
          <w:tcPr>
            <w:tcW w:w="2434" w:type="dxa"/>
            <w:tcBorders>
              <w:top w:val="nil" w:sz="6" w:space="0" w:color="auto"/>
              <w:left w:val="nil" w:sz="6" w:space="0" w:color="auto"/>
              <w:bottom w:val="nil" w:sz="6" w:space="0" w:color="auto"/>
              <w:right w:val="nil" w:sz="6" w:space="0" w:color="auto"/>
            </w:tcBorders>
          </w:tcPr>
          <w:p>
            <w:pPr>
              <w:pStyle w:val="TableParagraph"/>
              <w:spacing w:line="248" w:lineRule="exact"/>
              <w:ind w:right="112"/>
              <w:jc w:val="right"/>
              <w:rPr>
                <w:rFonts w:ascii="宋体" w:hAnsi="宋体" w:cs="宋体" w:eastAsia="宋体" w:hint="default"/>
                <w:sz w:val="21"/>
                <w:szCs w:val="21"/>
              </w:rPr>
            </w:pPr>
            <w:r>
              <w:rPr>
                <w:rFonts w:ascii="宋体"/>
                <w:spacing w:val="-1"/>
                <w:sz w:val="21"/>
              </w:rPr>
              <w:t>1,315,870,970.73</w:t>
            </w:r>
          </w:p>
        </w:tc>
        <w:tc>
          <w:tcPr>
            <w:tcW w:w="2015" w:type="dxa"/>
            <w:tcBorders>
              <w:top w:val="nil" w:sz="6" w:space="0" w:color="auto"/>
              <w:left w:val="nil" w:sz="6" w:space="0" w:color="auto"/>
              <w:bottom w:val="nil" w:sz="6" w:space="0" w:color="auto"/>
              <w:right w:val="nil" w:sz="6" w:space="0" w:color="auto"/>
            </w:tcBorders>
          </w:tcPr>
          <w:p>
            <w:pPr>
              <w:pStyle w:val="TableParagraph"/>
              <w:spacing w:line="248" w:lineRule="exact"/>
              <w:ind w:right="219"/>
              <w:jc w:val="right"/>
              <w:rPr>
                <w:rFonts w:ascii="宋体" w:hAnsi="宋体" w:cs="宋体" w:eastAsia="宋体" w:hint="default"/>
                <w:sz w:val="21"/>
                <w:szCs w:val="21"/>
              </w:rPr>
            </w:pPr>
            <w:r>
              <w:rPr>
                <w:rFonts w:ascii="宋体"/>
                <w:sz w:val="21"/>
              </w:rPr>
              <w:t>0.00</w:t>
            </w:r>
          </w:p>
        </w:tc>
        <w:tc>
          <w:tcPr>
            <w:tcW w:w="1858" w:type="dxa"/>
            <w:tcBorders>
              <w:top w:val="nil" w:sz="6" w:space="0" w:color="auto"/>
              <w:left w:val="nil" w:sz="6" w:space="0" w:color="auto"/>
              <w:bottom w:val="nil" w:sz="6" w:space="0" w:color="auto"/>
              <w:right w:val="nil" w:sz="6" w:space="0" w:color="auto"/>
            </w:tcBorders>
          </w:tcPr>
          <w:p>
            <w:pPr>
              <w:pStyle w:val="TableParagraph"/>
              <w:spacing w:line="248" w:lineRule="exact"/>
              <w:ind w:right="166"/>
              <w:jc w:val="right"/>
              <w:rPr>
                <w:rFonts w:ascii="宋体" w:hAnsi="宋体" w:cs="宋体" w:eastAsia="宋体" w:hint="default"/>
                <w:sz w:val="21"/>
                <w:szCs w:val="21"/>
              </w:rPr>
            </w:pPr>
            <w:r>
              <w:rPr>
                <w:rFonts w:ascii="宋体"/>
                <w:sz w:val="21"/>
              </w:rPr>
              <w:t>0.00</w:t>
            </w:r>
          </w:p>
        </w:tc>
        <w:tc>
          <w:tcPr>
            <w:tcW w:w="1963" w:type="dxa"/>
            <w:tcBorders>
              <w:top w:val="nil" w:sz="6" w:space="0" w:color="auto"/>
              <w:left w:val="nil" w:sz="6" w:space="0" w:color="auto"/>
              <w:bottom w:val="nil" w:sz="6" w:space="0" w:color="auto"/>
              <w:right w:val="nil" w:sz="6" w:space="0" w:color="auto"/>
            </w:tcBorders>
          </w:tcPr>
          <w:p>
            <w:pPr>
              <w:pStyle w:val="TableParagraph"/>
              <w:spacing w:line="248" w:lineRule="exact"/>
              <w:ind w:right="113"/>
              <w:jc w:val="right"/>
              <w:rPr>
                <w:rFonts w:ascii="宋体" w:hAnsi="宋体" w:cs="宋体" w:eastAsia="宋体" w:hint="default"/>
                <w:sz w:val="21"/>
                <w:szCs w:val="21"/>
              </w:rPr>
            </w:pPr>
            <w:r>
              <w:rPr>
                <w:rFonts w:ascii="宋体"/>
                <w:spacing w:val="-1"/>
                <w:sz w:val="21"/>
              </w:rPr>
              <w:t>1,315,870,970.73</w:t>
            </w:r>
          </w:p>
        </w:tc>
        <w:tc>
          <w:tcPr>
            <w:tcW w:w="1698" w:type="dxa"/>
            <w:tcBorders>
              <w:top w:val="nil" w:sz="6" w:space="0" w:color="auto"/>
              <w:left w:val="nil" w:sz="6" w:space="0" w:color="auto"/>
              <w:bottom w:val="nil" w:sz="6" w:space="0" w:color="auto"/>
              <w:right w:val="nil" w:sz="6" w:space="0" w:color="auto"/>
            </w:tcBorders>
          </w:tcPr>
          <w:p>
            <w:pPr>
              <w:pStyle w:val="TableParagraph"/>
              <w:spacing w:line="248" w:lineRule="exact"/>
              <w:ind w:right="112"/>
              <w:jc w:val="right"/>
              <w:rPr>
                <w:rFonts w:ascii="宋体" w:hAnsi="宋体" w:cs="宋体" w:eastAsia="宋体" w:hint="default"/>
                <w:sz w:val="21"/>
                <w:szCs w:val="21"/>
              </w:rPr>
            </w:pPr>
            <w:r>
              <w:rPr>
                <w:rFonts w:ascii="宋体"/>
                <w:sz w:val="21"/>
              </w:rPr>
              <w:t>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r>
      <w:tr>
        <w:trPr>
          <w:trHeight w:val="287"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1"/>
                <w:szCs w:val="21"/>
              </w:rPr>
              <w:t>北京壹人壹本信息科技有限公司</w:t>
            </w:r>
          </w:p>
        </w:tc>
        <w:tc>
          <w:tcPr>
            <w:tcW w:w="2434" w:type="dxa"/>
            <w:tcBorders>
              <w:top w:val="nil" w:sz="6" w:space="0" w:color="auto"/>
              <w:left w:val="nil" w:sz="6" w:space="0" w:color="auto"/>
              <w:bottom w:val="nil" w:sz="6" w:space="0" w:color="auto"/>
              <w:right w:val="nil" w:sz="6" w:space="0" w:color="auto"/>
            </w:tcBorders>
          </w:tcPr>
          <w:p>
            <w:pPr>
              <w:pStyle w:val="TableParagraph"/>
              <w:spacing w:line="249" w:lineRule="exact"/>
              <w:ind w:right="112"/>
              <w:jc w:val="right"/>
              <w:rPr>
                <w:rFonts w:ascii="宋体" w:hAnsi="宋体" w:cs="宋体" w:eastAsia="宋体" w:hint="default"/>
                <w:sz w:val="21"/>
                <w:szCs w:val="21"/>
              </w:rPr>
            </w:pPr>
            <w:r>
              <w:rPr>
                <w:rFonts w:ascii="宋体"/>
                <w:spacing w:val="-1"/>
                <w:sz w:val="21"/>
              </w:rPr>
              <w:t>1,213,925,700.00</w:t>
            </w:r>
          </w:p>
        </w:tc>
        <w:tc>
          <w:tcPr>
            <w:tcW w:w="2015" w:type="dxa"/>
            <w:tcBorders>
              <w:top w:val="nil" w:sz="6" w:space="0" w:color="auto"/>
              <w:left w:val="nil" w:sz="6" w:space="0" w:color="auto"/>
              <w:bottom w:val="nil" w:sz="6" w:space="0" w:color="auto"/>
              <w:right w:val="nil" w:sz="6" w:space="0" w:color="auto"/>
            </w:tcBorders>
          </w:tcPr>
          <w:p>
            <w:pPr>
              <w:pStyle w:val="TableParagraph"/>
              <w:spacing w:line="249" w:lineRule="exact"/>
              <w:ind w:right="219"/>
              <w:jc w:val="right"/>
              <w:rPr>
                <w:rFonts w:ascii="宋体" w:hAnsi="宋体" w:cs="宋体" w:eastAsia="宋体" w:hint="default"/>
                <w:sz w:val="21"/>
                <w:szCs w:val="21"/>
              </w:rPr>
            </w:pPr>
            <w:r>
              <w:rPr>
                <w:rFonts w:ascii="宋体"/>
                <w:sz w:val="21"/>
              </w:rPr>
              <w:t>0.00</w:t>
            </w:r>
          </w:p>
        </w:tc>
        <w:tc>
          <w:tcPr>
            <w:tcW w:w="1858" w:type="dxa"/>
            <w:tcBorders>
              <w:top w:val="nil" w:sz="6" w:space="0" w:color="auto"/>
              <w:left w:val="nil" w:sz="6" w:space="0" w:color="auto"/>
              <w:bottom w:val="nil" w:sz="6" w:space="0" w:color="auto"/>
              <w:right w:val="nil" w:sz="6" w:space="0" w:color="auto"/>
            </w:tcBorders>
          </w:tcPr>
          <w:p>
            <w:pPr>
              <w:pStyle w:val="TableParagraph"/>
              <w:spacing w:line="249" w:lineRule="exact"/>
              <w:ind w:right="166"/>
              <w:jc w:val="right"/>
              <w:rPr>
                <w:rFonts w:ascii="宋体" w:hAnsi="宋体" w:cs="宋体" w:eastAsia="宋体" w:hint="default"/>
                <w:sz w:val="21"/>
                <w:szCs w:val="21"/>
              </w:rPr>
            </w:pPr>
            <w:r>
              <w:rPr>
                <w:rFonts w:ascii="宋体"/>
                <w:sz w:val="21"/>
              </w:rPr>
              <w:t>0.00</w:t>
            </w:r>
          </w:p>
        </w:tc>
        <w:tc>
          <w:tcPr>
            <w:tcW w:w="1963" w:type="dxa"/>
            <w:tcBorders>
              <w:top w:val="nil" w:sz="6" w:space="0" w:color="auto"/>
              <w:left w:val="nil" w:sz="6" w:space="0" w:color="auto"/>
              <w:bottom w:val="nil" w:sz="6" w:space="0" w:color="auto"/>
              <w:right w:val="nil" w:sz="6" w:space="0" w:color="auto"/>
            </w:tcBorders>
          </w:tcPr>
          <w:p>
            <w:pPr>
              <w:pStyle w:val="TableParagraph"/>
              <w:spacing w:line="249" w:lineRule="exact"/>
              <w:ind w:right="113"/>
              <w:jc w:val="right"/>
              <w:rPr>
                <w:rFonts w:ascii="宋体" w:hAnsi="宋体" w:cs="宋体" w:eastAsia="宋体" w:hint="default"/>
                <w:sz w:val="21"/>
                <w:szCs w:val="21"/>
              </w:rPr>
            </w:pPr>
            <w:r>
              <w:rPr>
                <w:rFonts w:ascii="宋体"/>
                <w:spacing w:val="-1"/>
                <w:sz w:val="21"/>
              </w:rPr>
              <w:t>1,213,925,700.00</w:t>
            </w:r>
          </w:p>
        </w:tc>
        <w:tc>
          <w:tcPr>
            <w:tcW w:w="1698" w:type="dxa"/>
            <w:tcBorders>
              <w:top w:val="nil" w:sz="6" w:space="0" w:color="auto"/>
              <w:left w:val="nil" w:sz="6" w:space="0" w:color="auto"/>
              <w:bottom w:val="nil" w:sz="6" w:space="0" w:color="auto"/>
              <w:right w:val="nil" w:sz="6" w:space="0" w:color="auto"/>
            </w:tcBorders>
          </w:tcPr>
          <w:p>
            <w:pPr>
              <w:pStyle w:val="TableParagraph"/>
              <w:spacing w:line="249" w:lineRule="exact"/>
              <w:ind w:right="109"/>
              <w:jc w:val="right"/>
              <w:rPr>
                <w:rFonts w:ascii="宋体" w:hAnsi="宋体" w:cs="宋体" w:eastAsia="宋体" w:hint="default"/>
                <w:sz w:val="21"/>
                <w:szCs w:val="21"/>
              </w:rPr>
            </w:pPr>
            <w:r>
              <w:rPr>
                <w:rFonts w:ascii="宋体"/>
                <w:spacing w:val="-1"/>
                <w:sz w:val="21"/>
              </w:rPr>
              <w:t>487,925,700.00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9" w:lineRule="exact"/>
              <w:ind w:right="103"/>
              <w:jc w:val="right"/>
              <w:rPr>
                <w:rFonts w:ascii="宋体" w:hAnsi="宋体" w:cs="宋体" w:eastAsia="宋体" w:hint="default"/>
                <w:sz w:val="21"/>
                <w:szCs w:val="21"/>
              </w:rPr>
            </w:pPr>
            <w:r>
              <w:rPr>
                <w:rFonts w:ascii="宋体"/>
                <w:spacing w:val="-1"/>
                <w:sz w:val="21"/>
              </w:rPr>
              <w:t>487,925,700.00</w:t>
            </w:r>
          </w:p>
        </w:tc>
      </w:tr>
      <w:tr>
        <w:trPr>
          <w:trHeight w:val="287"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同方威视技术股份有限公司</w:t>
            </w:r>
          </w:p>
        </w:tc>
        <w:tc>
          <w:tcPr>
            <w:tcW w:w="2434" w:type="dxa"/>
            <w:tcBorders>
              <w:top w:val="nil" w:sz="6" w:space="0" w:color="auto"/>
              <w:left w:val="nil" w:sz="6" w:space="0" w:color="auto"/>
              <w:bottom w:val="nil" w:sz="6" w:space="0" w:color="auto"/>
              <w:right w:val="nil" w:sz="6" w:space="0" w:color="auto"/>
            </w:tcBorders>
          </w:tcPr>
          <w:p>
            <w:pPr>
              <w:pStyle w:val="TableParagraph"/>
              <w:spacing w:line="248" w:lineRule="exact"/>
              <w:ind w:right="109"/>
              <w:jc w:val="right"/>
              <w:rPr>
                <w:rFonts w:ascii="宋体" w:hAnsi="宋体" w:cs="宋体" w:eastAsia="宋体" w:hint="default"/>
                <w:sz w:val="21"/>
                <w:szCs w:val="21"/>
              </w:rPr>
            </w:pPr>
            <w:r>
              <w:rPr>
                <w:rFonts w:ascii="宋体"/>
                <w:spacing w:val="-1"/>
                <w:sz w:val="21"/>
              </w:rPr>
              <w:t>858,303,660.00</w:t>
            </w:r>
          </w:p>
        </w:tc>
        <w:tc>
          <w:tcPr>
            <w:tcW w:w="2015" w:type="dxa"/>
            <w:tcBorders>
              <w:top w:val="nil" w:sz="6" w:space="0" w:color="auto"/>
              <w:left w:val="nil" w:sz="6" w:space="0" w:color="auto"/>
              <w:bottom w:val="nil" w:sz="6" w:space="0" w:color="auto"/>
              <w:right w:val="nil" w:sz="6" w:space="0" w:color="auto"/>
            </w:tcBorders>
          </w:tcPr>
          <w:p>
            <w:pPr>
              <w:pStyle w:val="TableParagraph"/>
              <w:spacing w:line="248" w:lineRule="exact"/>
              <w:ind w:right="219"/>
              <w:jc w:val="right"/>
              <w:rPr>
                <w:rFonts w:ascii="宋体" w:hAnsi="宋体" w:cs="宋体" w:eastAsia="宋体" w:hint="default"/>
                <w:sz w:val="21"/>
                <w:szCs w:val="21"/>
              </w:rPr>
            </w:pPr>
            <w:r>
              <w:rPr>
                <w:rFonts w:ascii="宋体"/>
                <w:sz w:val="21"/>
              </w:rPr>
              <w:t>0.00</w:t>
            </w:r>
          </w:p>
        </w:tc>
        <w:tc>
          <w:tcPr>
            <w:tcW w:w="1858" w:type="dxa"/>
            <w:tcBorders>
              <w:top w:val="nil" w:sz="6" w:space="0" w:color="auto"/>
              <w:left w:val="nil" w:sz="6" w:space="0" w:color="auto"/>
              <w:bottom w:val="nil" w:sz="6" w:space="0" w:color="auto"/>
              <w:right w:val="nil" w:sz="6" w:space="0" w:color="auto"/>
            </w:tcBorders>
          </w:tcPr>
          <w:p>
            <w:pPr>
              <w:pStyle w:val="TableParagraph"/>
              <w:spacing w:line="248" w:lineRule="exact"/>
              <w:ind w:right="166"/>
              <w:jc w:val="right"/>
              <w:rPr>
                <w:rFonts w:ascii="宋体" w:hAnsi="宋体" w:cs="宋体" w:eastAsia="宋体" w:hint="default"/>
                <w:sz w:val="21"/>
                <w:szCs w:val="21"/>
              </w:rPr>
            </w:pPr>
            <w:r>
              <w:rPr>
                <w:rFonts w:ascii="宋体"/>
                <w:sz w:val="21"/>
              </w:rPr>
              <w:t>0.00</w:t>
            </w:r>
          </w:p>
        </w:tc>
        <w:tc>
          <w:tcPr>
            <w:tcW w:w="1963" w:type="dxa"/>
            <w:tcBorders>
              <w:top w:val="nil" w:sz="6" w:space="0" w:color="auto"/>
              <w:left w:val="nil" w:sz="6" w:space="0" w:color="auto"/>
              <w:bottom w:val="nil" w:sz="6" w:space="0" w:color="auto"/>
              <w:right w:val="nil" w:sz="6" w:space="0" w:color="auto"/>
            </w:tcBorders>
          </w:tcPr>
          <w:p>
            <w:pPr>
              <w:pStyle w:val="TableParagraph"/>
              <w:spacing w:line="248" w:lineRule="exact"/>
              <w:ind w:right="111"/>
              <w:jc w:val="right"/>
              <w:rPr>
                <w:rFonts w:ascii="宋体" w:hAnsi="宋体" w:cs="宋体" w:eastAsia="宋体" w:hint="default"/>
                <w:sz w:val="21"/>
                <w:szCs w:val="21"/>
              </w:rPr>
            </w:pPr>
            <w:r>
              <w:rPr>
                <w:rFonts w:ascii="宋体"/>
                <w:spacing w:val="-1"/>
                <w:sz w:val="21"/>
              </w:rPr>
              <w:t>858,303,660.00</w:t>
            </w:r>
          </w:p>
        </w:tc>
        <w:tc>
          <w:tcPr>
            <w:tcW w:w="1698" w:type="dxa"/>
            <w:tcBorders>
              <w:top w:val="nil" w:sz="6" w:space="0" w:color="auto"/>
              <w:left w:val="nil" w:sz="6" w:space="0" w:color="auto"/>
              <w:bottom w:val="nil" w:sz="6" w:space="0" w:color="auto"/>
              <w:right w:val="nil" w:sz="6" w:space="0" w:color="auto"/>
            </w:tcBorders>
          </w:tcPr>
          <w:p>
            <w:pPr>
              <w:pStyle w:val="TableParagraph"/>
              <w:spacing w:line="248" w:lineRule="exact"/>
              <w:ind w:right="112"/>
              <w:jc w:val="right"/>
              <w:rPr>
                <w:rFonts w:ascii="宋体" w:hAnsi="宋体" w:cs="宋体" w:eastAsia="宋体" w:hint="default"/>
                <w:sz w:val="21"/>
                <w:szCs w:val="21"/>
              </w:rPr>
            </w:pPr>
            <w:r>
              <w:rPr>
                <w:rFonts w:ascii="宋体"/>
                <w:sz w:val="21"/>
              </w:rPr>
              <w:t>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r>
      <w:tr>
        <w:trPr>
          <w:trHeight w:val="288"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1"/>
                <w:szCs w:val="21"/>
              </w:rPr>
              <w:t>同方工业有限公司</w:t>
            </w:r>
          </w:p>
        </w:tc>
        <w:tc>
          <w:tcPr>
            <w:tcW w:w="2434" w:type="dxa"/>
            <w:tcBorders>
              <w:top w:val="nil" w:sz="6" w:space="0" w:color="auto"/>
              <w:left w:val="nil" w:sz="6" w:space="0" w:color="auto"/>
              <w:bottom w:val="nil" w:sz="6" w:space="0" w:color="auto"/>
              <w:right w:val="nil" w:sz="6" w:space="0" w:color="auto"/>
            </w:tcBorders>
          </w:tcPr>
          <w:p>
            <w:pPr>
              <w:pStyle w:val="TableParagraph"/>
              <w:spacing w:line="249" w:lineRule="exact"/>
              <w:ind w:right="109"/>
              <w:jc w:val="right"/>
              <w:rPr>
                <w:rFonts w:ascii="宋体" w:hAnsi="宋体" w:cs="宋体" w:eastAsia="宋体" w:hint="default"/>
                <w:sz w:val="21"/>
                <w:szCs w:val="21"/>
              </w:rPr>
            </w:pPr>
            <w:r>
              <w:rPr>
                <w:rFonts w:ascii="宋体"/>
                <w:spacing w:val="-1"/>
                <w:sz w:val="21"/>
              </w:rPr>
              <w:t>400,000,000.00</w:t>
            </w:r>
          </w:p>
        </w:tc>
        <w:tc>
          <w:tcPr>
            <w:tcW w:w="2015" w:type="dxa"/>
            <w:tcBorders>
              <w:top w:val="nil" w:sz="6" w:space="0" w:color="auto"/>
              <w:left w:val="nil" w:sz="6" w:space="0" w:color="auto"/>
              <w:bottom w:val="nil" w:sz="6" w:space="0" w:color="auto"/>
              <w:right w:val="nil" w:sz="6" w:space="0" w:color="auto"/>
            </w:tcBorders>
          </w:tcPr>
          <w:p>
            <w:pPr>
              <w:pStyle w:val="TableParagraph"/>
              <w:spacing w:line="249" w:lineRule="exact"/>
              <w:ind w:right="216"/>
              <w:jc w:val="right"/>
              <w:rPr>
                <w:rFonts w:ascii="宋体" w:hAnsi="宋体" w:cs="宋体" w:eastAsia="宋体" w:hint="default"/>
                <w:sz w:val="21"/>
                <w:szCs w:val="21"/>
              </w:rPr>
            </w:pPr>
            <w:r>
              <w:rPr>
                <w:rFonts w:ascii="宋体"/>
                <w:spacing w:val="-1"/>
                <w:sz w:val="21"/>
              </w:rPr>
              <w:t>200,000,000.00</w:t>
            </w:r>
          </w:p>
        </w:tc>
        <w:tc>
          <w:tcPr>
            <w:tcW w:w="1858" w:type="dxa"/>
            <w:tcBorders>
              <w:top w:val="nil" w:sz="6" w:space="0" w:color="auto"/>
              <w:left w:val="nil" w:sz="6" w:space="0" w:color="auto"/>
              <w:bottom w:val="nil" w:sz="6" w:space="0" w:color="auto"/>
              <w:right w:val="nil" w:sz="6" w:space="0" w:color="auto"/>
            </w:tcBorders>
          </w:tcPr>
          <w:p>
            <w:pPr>
              <w:pStyle w:val="TableParagraph"/>
              <w:spacing w:line="249" w:lineRule="exact"/>
              <w:ind w:right="166"/>
              <w:jc w:val="right"/>
              <w:rPr>
                <w:rFonts w:ascii="宋体" w:hAnsi="宋体" w:cs="宋体" w:eastAsia="宋体" w:hint="default"/>
                <w:sz w:val="21"/>
                <w:szCs w:val="21"/>
              </w:rPr>
            </w:pPr>
            <w:r>
              <w:rPr>
                <w:rFonts w:ascii="宋体"/>
                <w:sz w:val="21"/>
              </w:rPr>
              <w:t>0.00</w:t>
            </w:r>
          </w:p>
        </w:tc>
        <w:tc>
          <w:tcPr>
            <w:tcW w:w="1963" w:type="dxa"/>
            <w:tcBorders>
              <w:top w:val="nil" w:sz="6" w:space="0" w:color="auto"/>
              <w:left w:val="nil" w:sz="6" w:space="0" w:color="auto"/>
              <w:bottom w:val="nil" w:sz="6" w:space="0" w:color="auto"/>
              <w:right w:val="nil" w:sz="6" w:space="0" w:color="auto"/>
            </w:tcBorders>
          </w:tcPr>
          <w:p>
            <w:pPr>
              <w:pStyle w:val="TableParagraph"/>
              <w:spacing w:line="249" w:lineRule="exact"/>
              <w:ind w:right="111"/>
              <w:jc w:val="right"/>
              <w:rPr>
                <w:rFonts w:ascii="宋体" w:hAnsi="宋体" w:cs="宋体" w:eastAsia="宋体" w:hint="default"/>
                <w:sz w:val="21"/>
                <w:szCs w:val="21"/>
              </w:rPr>
            </w:pPr>
            <w:r>
              <w:rPr>
                <w:rFonts w:ascii="宋体"/>
                <w:spacing w:val="-1"/>
                <w:sz w:val="21"/>
              </w:rPr>
              <w:t>600,000,000.00</w:t>
            </w:r>
          </w:p>
        </w:tc>
        <w:tc>
          <w:tcPr>
            <w:tcW w:w="1698" w:type="dxa"/>
            <w:tcBorders>
              <w:top w:val="nil" w:sz="6" w:space="0" w:color="auto"/>
              <w:left w:val="nil" w:sz="6" w:space="0" w:color="auto"/>
              <w:bottom w:val="nil" w:sz="6" w:space="0" w:color="auto"/>
              <w:right w:val="nil" w:sz="6" w:space="0" w:color="auto"/>
            </w:tcBorders>
          </w:tcPr>
          <w:p>
            <w:pPr>
              <w:pStyle w:val="TableParagraph"/>
              <w:spacing w:line="249" w:lineRule="exact"/>
              <w:ind w:right="112"/>
              <w:jc w:val="right"/>
              <w:rPr>
                <w:rFonts w:ascii="宋体" w:hAnsi="宋体" w:cs="宋体" w:eastAsia="宋体" w:hint="default"/>
                <w:sz w:val="21"/>
                <w:szCs w:val="21"/>
              </w:rPr>
            </w:pPr>
            <w:r>
              <w:rPr>
                <w:rFonts w:ascii="宋体"/>
                <w:sz w:val="21"/>
              </w:rPr>
              <w:t>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r>
      <w:tr>
        <w:trPr>
          <w:trHeight w:val="287"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1"/>
                <w:szCs w:val="21"/>
              </w:rPr>
              <w:t>同方人工环境有限公司</w:t>
            </w:r>
          </w:p>
        </w:tc>
        <w:tc>
          <w:tcPr>
            <w:tcW w:w="2434" w:type="dxa"/>
            <w:tcBorders>
              <w:top w:val="nil" w:sz="6" w:space="0" w:color="auto"/>
              <w:left w:val="nil" w:sz="6" w:space="0" w:color="auto"/>
              <w:bottom w:val="nil" w:sz="6" w:space="0" w:color="auto"/>
              <w:right w:val="nil" w:sz="6" w:space="0" w:color="auto"/>
            </w:tcBorders>
          </w:tcPr>
          <w:p>
            <w:pPr>
              <w:pStyle w:val="TableParagraph"/>
              <w:spacing w:line="249" w:lineRule="exact"/>
              <w:ind w:right="109"/>
              <w:jc w:val="right"/>
              <w:rPr>
                <w:rFonts w:ascii="宋体" w:hAnsi="宋体" w:cs="宋体" w:eastAsia="宋体" w:hint="default"/>
                <w:sz w:val="21"/>
                <w:szCs w:val="21"/>
              </w:rPr>
            </w:pPr>
            <w:r>
              <w:rPr>
                <w:rFonts w:ascii="宋体"/>
                <w:spacing w:val="-1"/>
                <w:sz w:val="21"/>
              </w:rPr>
              <w:t>456,314,441.73</w:t>
            </w:r>
          </w:p>
        </w:tc>
        <w:tc>
          <w:tcPr>
            <w:tcW w:w="2015" w:type="dxa"/>
            <w:tcBorders>
              <w:top w:val="nil" w:sz="6" w:space="0" w:color="auto"/>
              <w:left w:val="nil" w:sz="6" w:space="0" w:color="auto"/>
              <w:bottom w:val="nil" w:sz="6" w:space="0" w:color="auto"/>
              <w:right w:val="nil" w:sz="6" w:space="0" w:color="auto"/>
            </w:tcBorders>
          </w:tcPr>
          <w:p>
            <w:pPr>
              <w:pStyle w:val="TableParagraph"/>
              <w:spacing w:line="249" w:lineRule="exact"/>
              <w:ind w:right="218"/>
              <w:jc w:val="right"/>
              <w:rPr>
                <w:rFonts w:ascii="宋体" w:hAnsi="宋体" w:cs="宋体" w:eastAsia="宋体" w:hint="default"/>
                <w:sz w:val="21"/>
                <w:szCs w:val="21"/>
              </w:rPr>
            </w:pPr>
            <w:r>
              <w:rPr>
                <w:rFonts w:ascii="宋体"/>
                <w:spacing w:val="-1"/>
                <w:sz w:val="21"/>
              </w:rPr>
              <w:t>80,000,000.00</w:t>
            </w:r>
          </w:p>
        </w:tc>
        <w:tc>
          <w:tcPr>
            <w:tcW w:w="1858" w:type="dxa"/>
            <w:tcBorders>
              <w:top w:val="nil" w:sz="6" w:space="0" w:color="auto"/>
              <w:left w:val="nil" w:sz="6" w:space="0" w:color="auto"/>
              <w:bottom w:val="nil" w:sz="6" w:space="0" w:color="auto"/>
              <w:right w:val="nil" w:sz="6" w:space="0" w:color="auto"/>
            </w:tcBorders>
          </w:tcPr>
          <w:p>
            <w:pPr>
              <w:pStyle w:val="TableParagraph"/>
              <w:spacing w:line="249" w:lineRule="exact"/>
              <w:ind w:right="166"/>
              <w:jc w:val="right"/>
              <w:rPr>
                <w:rFonts w:ascii="宋体" w:hAnsi="宋体" w:cs="宋体" w:eastAsia="宋体" w:hint="default"/>
                <w:sz w:val="21"/>
                <w:szCs w:val="21"/>
              </w:rPr>
            </w:pPr>
            <w:r>
              <w:rPr>
                <w:rFonts w:ascii="宋体"/>
                <w:sz w:val="21"/>
              </w:rPr>
              <w:t>0.00</w:t>
            </w:r>
          </w:p>
        </w:tc>
        <w:tc>
          <w:tcPr>
            <w:tcW w:w="1963" w:type="dxa"/>
            <w:tcBorders>
              <w:top w:val="nil" w:sz="6" w:space="0" w:color="auto"/>
              <w:left w:val="nil" w:sz="6" w:space="0" w:color="auto"/>
              <w:bottom w:val="nil" w:sz="6" w:space="0" w:color="auto"/>
              <w:right w:val="nil" w:sz="6" w:space="0" w:color="auto"/>
            </w:tcBorders>
          </w:tcPr>
          <w:p>
            <w:pPr>
              <w:pStyle w:val="TableParagraph"/>
              <w:spacing w:line="249" w:lineRule="exact"/>
              <w:ind w:right="111"/>
              <w:jc w:val="right"/>
              <w:rPr>
                <w:rFonts w:ascii="宋体" w:hAnsi="宋体" w:cs="宋体" w:eastAsia="宋体" w:hint="default"/>
                <w:sz w:val="21"/>
                <w:szCs w:val="21"/>
              </w:rPr>
            </w:pPr>
            <w:r>
              <w:rPr>
                <w:rFonts w:ascii="宋体"/>
                <w:spacing w:val="-1"/>
                <w:sz w:val="21"/>
              </w:rPr>
              <w:t>536,314,441.73</w:t>
            </w:r>
          </w:p>
        </w:tc>
        <w:tc>
          <w:tcPr>
            <w:tcW w:w="1698" w:type="dxa"/>
            <w:tcBorders>
              <w:top w:val="nil" w:sz="6" w:space="0" w:color="auto"/>
              <w:left w:val="nil" w:sz="6" w:space="0" w:color="auto"/>
              <w:bottom w:val="nil" w:sz="6" w:space="0" w:color="auto"/>
              <w:right w:val="nil" w:sz="6" w:space="0" w:color="auto"/>
            </w:tcBorders>
          </w:tcPr>
          <w:p>
            <w:pPr>
              <w:pStyle w:val="TableParagraph"/>
              <w:spacing w:line="249" w:lineRule="exact"/>
              <w:ind w:right="112"/>
              <w:jc w:val="right"/>
              <w:rPr>
                <w:rFonts w:ascii="宋体" w:hAnsi="宋体" w:cs="宋体" w:eastAsia="宋体" w:hint="default"/>
                <w:sz w:val="21"/>
                <w:szCs w:val="21"/>
              </w:rPr>
            </w:pPr>
            <w:r>
              <w:rPr>
                <w:rFonts w:ascii="宋体"/>
                <w:sz w:val="21"/>
              </w:rPr>
              <w:t>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r>
      <w:tr>
        <w:trPr>
          <w:trHeight w:val="287"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北京同方凌讯科技有限公司</w:t>
            </w:r>
          </w:p>
        </w:tc>
        <w:tc>
          <w:tcPr>
            <w:tcW w:w="2434" w:type="dxa"/>
            <w:tcBorders>
              <w:top w:val="nil" w:sz="6" w:space="0" w:color="auto"/>
              <w:left w:val="nil" w:sz="6" w:space="0" w:color="auto"/>
              <w:bottom w:val="nil" w:sz="6" w:space="0" w:color="auto"/>
              <w:right w:val="nil" w:sz="6" w:space="0" w:color="auto"/>
            </w:tcBorders>
          </w:tcPr>
          <w:p>
            <w:pPr>
              <w:pStyle w:val="TableParagraph"/>
              <w:spacing w:line="248" w:lineRule="exact"/>
              <w:ind w:right="109"/>
              <w:jc w:val="right"/>
              <w:rPr>
                <w:rFonts w:ascii="宋体" w:hAnsi="宋体" w:cs="宋体" w:eastAsia="宋体" w:hint="default"/>
                <w:sz w:val="21"/>
                <w:szCs w:val="21"/>
              </w:rPr>
            </w:pPr>
            <w:r>
              <w:rPr>
                <w:rFonts w:ascii="宋体"/>
                <w:spacing w:val="-1"/>
                <w:sz w:val="21"/>
              </w:rPr>
              <w:t>247,000,000.00</w:t>
            </w:r>
          </w:p>
        </w:tc>
        <w:tc>
          <w:tcPr>
            <w:tcW w:w="2015" w:type="dxa"/>
            <w:tcBorders>
              <w:top w:val="nil" w:sz="6" w:space="0" w:color="auto"/>
              <w:left w:val="nil" w:sz="6" w:space="0" w:color="auto"/>
              <w:bottom w:val="nil" w:sz="6" w:space="0" w:color="auto"/>
              <w:right w:val="nil" w:sz="6" w:space="0" w:color="auto"/>
            </w:tcBorders>
          </w:tcPr>
          <w:p>
            <w:pPr>
              <w:pStyle w:val="TableParagraph"/>
              <w:spacing w:line="248" w:lineRule="exact"/>
              <w:ind w:right="219"/>
              <w:jc w:val="right"/>
              <w:rPr>
                <w:rFonts w:ascii="宋体" w:hAnsi="宋体" w:cs="宋体" w:eastAsia="宋体" w:hint="default"/>
                <w:sz w:val="21"/>
                <w:szCs w:val="21"/>
              </w:rPr>
            </w:pPr>
            <w:r>
              <w:rPr>
                <w:rFonts w:ascii="宋体"/>
                <w:sz w:val="21"/>
              </w:rPr>
              <w:t>0.00</w:t>
            </w:r>
          </w:p>
        </w:tc>
        <w:tc>
          <w:tcPr>
            <w:tcW w:w="1858" w:type="dxa"/>
            <w:tcBorders>
              <w:top w:val="nil" w:sz="6" w:space="0" w:color="auto"/>
              <w:left w:val="nil" w:sz="6" w:space="0" w:color="auto"/>
              <w:bottom w:val="nil" w:sz="6" w:space="0" w:color="auto"/>
              <w:right w:val="nil" w:sz="6" w:space="0" w:color="auto"/>
            </w:tcBorders>
          </w:tcPr>
          <w:p>
            <w:pPr>
              <w:pStyle w:val="TableParagraph"/>
              <w:spacing w:line="248" w:lineRule="exact"/>
              <w:ind w:right="166"/>
              <w:jc w:val="right"/>
              <w:rPr>
                <w:rFonts w:ascii="宋体" w:hAnsi="宋体" w:cs="宋体" w:eastAsia="宋体" w:hint="default"/>
                <w:sz w:val="21"/>
                <w:szCs w:val="21"/>
              </w:rPr>
            </w:pPr>
            <w:r>
              <w:rPr>
                <w:rFonts w:ascii="宋体"/>
                <w:sz w:val="21"/>
              </w:rPr>
              <w:t>0.00</w:t>
            </w:r>
          </w:p>
        </w:tc>
        <w:tc>
          <w:tcPr>
            <w:tcW w:w="1963" w:type="dxa"/>
            <w:tcBorders>
              <w:top w:val="nil" w:sz="6" w:space="0" w:color="auto"/>
              <w:left w:val="nil" w:sz="6" w:space="0" w:color="auto"/>
              <w:bottom w:val="nil" w:sz="6" w:space="0" w:color="auto"/>
              <w:right w:val="nil" w:sz="6" w:space="0" w:color="auto"/>
            </w:tcBorders>
          </w:tcPr>
          <w:p>
            <w:pPr>
              <w:pStyle w:val="TableParagraph"/>
              <w:spacing w:line="248" w:lineRule="exact"/>
              <w:ind w:right="111"/>
              <w:jc w:val="right"/>
              <w:rPr>
                <w:rFonts w:ascii="宋体" w:hAnsi="宋体" w:cs="宋体" w:eastAsia="宋体" w:hint="default"/>
                <w:sz w:val="21"/>
                <w:szCs w:val="21"/>
              </w:rPr>
            </w:pPr>
            <w:r>
              <w:rPr>
                <w:rFonts w:ascii="宋体"/>
                <w:spacing w:val="-1"/>
                <w:sz w:val="21"/>
              </w:rPr>
              <w:t>247,000,000.00</w:t>
            </w:r>
          </w:p>
        </w:tc>
        <w:tc>
          <w:tcPr>
            <w:tcW w:w="1698" w:type="dxa"/>
            <w:tcBorders>
              <w:top w:val="nil" w:sz="6" w:space="0" w:color="auto"/>
              <w:left w:val="nil" w:sz="6" w:space="0" w:color="auto"/>
              <w:bottom w:val="nil" w:sz="6" w:space="0" w:color="auto"/>
              <w:right w:val="nil" w:sz="6" w:space="0" w:color="auto"/>
            </w:tcBorders>
          </w:tcPr>
          <w:p>
            <w:pPr>
              <w:pStyle w:val="TableParagraph"/>
              <w:spacing w:line="248" w:lineRule="exact"/>
              <w:ind w:right="112"/>
              <w:jc w:val="right"/>
              <w:rPr>
                <w:rFonts w:ascii="宋体" w:hAnsi="宋体" w:cs="宋体" w:eastAsia="宋体" w:hint="default"/>
                <w:sz w:val="21"/>
                <w:szCs w:val="21"/>
              </w:rPr>
            </w:pPr>
            <w:r>
              <w:rPr>
                <w:rFonts w:ascii="宋体"/>
                <w:sz w:val="21"/>
              </w:rPr>
              <w:t>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r>
      <w:tr>
        <w:trPr>
          <w:trHeight w:val="287"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1"/>
                <w:szCs w:val="21"/>
              </w:rPr>
              <w:t>南京同方水务有限公司</w:t>
            </w:r>
          </w:p>
        </w:tc>
        <w:tc>
          <w:tcPr>
            <w:tcW w:w="2434" w:type="dxa"/>
            <w:tcBorders>
              <w:top w:val="nil" w:sz="6" w:space="0" w:color="auto"/>
              <w:left w:val="nil" w:sz="6" w:space="0" w:color="auto"/>
              <w:bottom w:val="nil" w:sz="6" w:space="0" w:color="auto"/>
              <w:right w:val="nil" w:sz="6" w:space="0" w:color="auto"/>
            </w:tcBorders>
          </w:tcPr>
          <w:p>
            <w:pPr>
              <w:pStyle w:val="TableParagraph"/>
              <w:spacing w:line="249" w:lineRule="exact"/>
              <w:ind w:right="109"/>
              <w:jc w:val="right"/>
              <w:rPr>
                <w:rFonts w:ascii="宋体" w:hAnsi="宋体" w:cs="宋体" w:eastAsia="宋体" w:hint="default"/>
                <w:sz w:val="21"/>
                <w:szCs w:val="21"/>
              </w:rPr>
            </w:pPr>
            <w:r>
              <w:rPr>
                <w:rFonts w:ascii="宋体"/>
                <w:spacing w:val="-1"/>
                <w:sz w:val="21"/>
              </w:rPr>
              <w:t>147,000,000.00</w:t>
            </w:r>
          </w:p>
        </w:tc>
        <w:tc>
          <w:tcPr>
            <w:tcW w:w="2015" w:type="dxa"/>
            <w:tcBorders>
              <w:top w:val="nil" w:sz="6" w:space="0" w:color="auto"/>
              <w:left w:val="nil" w:sz="6" w:space="0" w:color="auto"/>
              <w:bottom w:val="nil" w:sz="6" w:space="0" w:color="auto"/>
              <w:right w:val="nil" w:sz="6" w:space="0" w:color="auto"/>
            </w:tcBorders>
          </w:tcPr>
          <w:p>
            <w:pPr>
              <w:pStyle w:val="TableParagraph"/>
              <w:spacing w:line="249" w:lineRule="exact"/>
              <w:ind w:right="216"/>
              <w:jc w:val="right"/>
              <w:rPr>
                <w:rFonts w:ascii="宋体" w:hAnsi="宋体" w:cs="宋体" w:eastAsia="宋体" w:hint="default"/>
                <w:sz w:val="21"/>
                <w:szCs w:val="21"/>
              </w:rPr>
            </w:pPr>
            <w:r>
              <w:rPr>
                <w:rFonts w:ascii="宋体"/>
                <w:spacing w:val="-1"/>
                <w:sz w:val="21"/>
              </w:rPr>
              <w:t>137,320,000.00</w:t>
            </w:r>
          </w:p>
        </w:tc>
        <w:tc>
          <w:tcPr>
            <w:tcW w:w="1858" w:type="dxa"/>
            <w:tcBorders>
              <w:top w:val="nil" w:sz="6" w:space="0" w:color="auto"/>
              <w:left w:val="nil" w:sz="6" w:space="0" w:color="auto"/>
              <w:bottom w:val="nil" w:sz="6" w:space="0" w:color="auto"/>
              <w:right w:val="nil" w:sz="6" w:space="0" w:color="auto"/>
            </w:tcBorders>
          </w:tcPr>
          <w:p>
            <w:pPr>
              <w:pStyle w:val="TableParagraph"/>
              <w:spacing w:line="249" w:lineRule="exact"/>
              <w:ind w:right="166"/>
              <w:jc w:val="right"/>
              <w:rPr>
                <w:rFonts w:ascii="宋体" w:hAnsi="宋体" w:cs="宋体" w:eastAsia="宋体" w:hint="default"/>
                <w:sz w:val="21"/>
                <w:szCs w:val="21"/>
              </w:rPr>
            </w:pPr>
            <w:r>
              <w:rPr>
                <w:rFonts w:ascii="宋体"/>
                <w:sz w:val="21"/>
              </w:rPr>
              <w:t>0.00</w:t>
            </w:r>
          </w:p>
        </w:tc>
        <w:tc>
          <w:tcPr>
            <w:tcW w:w="1963" w:type="dxa"/>
            <w:tcBorders>
              <w:top w:val="nil" w:sz="6" w:space="0" w:color="auto"/>
              <w:left w:val="nil" w:sz="6" w:space="0" w:color="auto"/>
              <w:bottom w:val="nil" w:sz="6" w:space="0" w:color="auto"/>
              <w:right w:val="nil" w:sz="6" w:space="0" w:color="auto"/>
            </w:tcBorders>
          </w:tcPr>
          <w:p>
            <w:pPr>
              <w:pStyle w:val="TableParagraph"/>
              <w:spacing w:line="249" w:lineRule="exact"/>
              <w:ind w:right="111"/>
              <w:jc w:val="right"/>
              <w:rPr>
                <w:rFonts w:ascii="宋体" w:hAnsi="宋体" w:cs="宋体" w:eastAsia="宋体" w:hint="default"/>
                <w:sz w:val="21"/>
                <w:szCs w:val="21"/>
              </w:rPr>
            </w:pPr>
            <w:r>
              <w:rPr>
                <w:rFonts w:ascii="宋体"/>
                <w:spacing w:val="-1"/>
                <w:sz w:val="21"/>
              </w:rPr>
              <w:t>284,320,000.00</w:t>
            </w:r>
          </w:p>
        </w:tc>
        <w:tc>
          <w:tcPr>
            <w:tcW w:w="1698" w:type="dxa"/>
            <w:tcBorders>
              <w:top w:val="nil" w:sz="6" w:space="0" w:color="auto"/>
              <w:left w:val="nil" w:sz="6" w:space="0" w:color="auto"/>
              <w:bottom w:val="nil" w:sz="6" w:space="0" w:color="auto"/>
              <w:right w:val="nil" w:sz="6" w:space="0" w:color="auto"/>
            </w:tcBorders>
          </w:tcPr>
          <w:p>
            <w:pPr>
              <w:pStyle w:val="TableParagraph"/>
              <w:spacing w:line="249" w:lineRule="exact"/>
              <w:ind w:right="112"/>
              <w:jc w:val="right"/>
              <w:rPr>
                <w:rFonts w:ascii="宋体" w:hAnsi="宋体" w:cs="宋体" w:eastAsia="宋体" w:hint="default"/>
                <w:sz w:val="21"/>
                <w:szCs w:val="21"/>
              </w:rPr>
            </w:pPr>
            <w:r>
              <w:rPr>
                <w:rFonts w:ascii="宋体"/>
                <w:sz w:val="21"/>
              </w:rPr>
              <w:t>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r>
      <w:tr>
        <w:trPr>
          <w:trHeight w:val="287"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8" w:lineRule="exact"/>
              <w:ind w:left="107" w:right="0"/>
              <w:jc w:val="left"/>
              <w:rPr>
                <w:rFonts w:ascii="宋体" w:hAnsi="宋体" w:cs="宋体" w:eastAsia="宋体" w:hint="default"/>
                <w:sz w:val="21"/>
                <w:szCs w:val="21"/>
              </w:rPr>
            </w:pPr>
            <w:r>
              <w:rPr>
                <w:rFonts w:ascii="宋体"/>
                <w:sz w:val="21"/>
              </w:rPr>
              <w:t>Resuccess Investments Limited</w:t>
            </w:r>
          </w:p>
        </w:tc>
        <w:tc>
          <w:tcPr>
            <w:tcW w:w="2434" w:type="dxa"/>
            <w:tcBorders>
              <w:top w:val="nil" w:sz="6" w:space="0" w:color="auto"/>
              <w:left w:val="nil" w:sz="6" w:space="0" w:color="auto"/>
              <w:bottom w:val="nil" w:sz="6" w:space="0" w:color="auto"/>
              <w:right w:val="nil" w:sz="6" w:space="0" w:color="auto"/>
            </w:tcBorders>
          </w:tcPr>
          <w:p>
            <w:pPr>
              <w:pStyle w:val="TableParagraph"/>
              <w:spacing w:line="248" w:lineRule="exact"/>
              <w:ind w:right="109"/>
              <w:jc w:val="right"/>
              <w:rPr>
                <w:rFonts w:ascii="宋体" w:hAnsi="宋体" w:cs="宋体" w:eastAsia="宋体" w:hint="default"/>
                <w:sz w:val="21"/>
                <w:szCs w:val="21"/>
              </w:rPr>
            </w:pPr>
            <w:r>
              <w:rPr>
                <w:rFonts w:ascii="宋体"/>
                <w:spacing w:val="-1"/>
                <w:sz w:val="21"/>
              </w:rPr>
              <w:t>140,504,808.10</w:t>
            </w:r>
          </w:p>
        </w:tc>
        <w:tc>
          <w:tcPr>
            <w:tcW w:w="2015" w:type="dxa"/>
            <w:tcBorders>
              <w:top w:val="nil" w:sz="6" w:space="0" w:color="auto"/>
              <w:left w:val="nil" w:sz="6" w:space="0" w:color="auto"/>
              <w:bottom w:val="nil" w:sz="6" w:space="0" w:color="auto"/>
              <w:right w:val="nil" w:sz="6" w:space="0" w:color="auto"/>
            </w:tcBorders>
          </w:tcPr>
          <w:p>
            <w:pPr>
              <w:pStyle w:val="TableParagraph"/>
              <w:spacing w:line="248" w:lineRule="exact"/>
              <w:ind w:right="219"/>
              <w:jc w:val="right"/>
              <w:rPr>
                <w:rFonts w:ascii="宋体" w:hAnsi="宋体" w:cs="宋体" w:eastAsia="宋体" w:hint="default"/>
                <w:sz w:val="21"/>
                <w:szCs w:val="21"/>
              </w:rPr>
            </w:pPr>
            <w:r>
              <w:rPr>
                <w:rFonts w:ascii="宋体"/>
                <w:sz w:val="21"/>
              </w:rPr>
              <w:t>0.00</w:t>
            </w:r>
          </w:p>
        </w:tc>
        <w:tc>
          <w:tcPr>
            <w:tcW w:w="1858" w:type="dxa"/>
            <w:tcBorders>
              <w:top w:val="nil" w:sz="6" w:space="0" w:color="auto"/>
              <w:left w:val="nil" w:sz="6" w:space="0" w:color="auto"/>
              <w:bottom w:val="nil" w:sz="6" w:space="0" w:color="auto"/>
              <w:right w:val="nil" w:sz="6" w:space="0" w:color="auto"/>
            </w:tcBorders>
          </w:tcPr>
          <w:p>
            <w:pPr>
              <w:pStyle w:val="TableParagraph"/>
              <w:spacing w:line="248" w:lineRule="exact"/>
              <w:ind w:right="166"/>
              <w:jc w:val="right"/>
              <w:rPr>
                <w:rFonts w:ascii="宋体" w:hAnsi="宋体" w:cs="宋体" w:eastAsia="宋体" w:hint="default"/>
                <w:sz w:val="21"/>
                <w:szCs w:val="21"/>
              </w:rPr>
            </w:pPr>
            <w:r>
              <w:rPr>
                <w:rFonts w:ascii="宋体"/>
                <w:sz w:val="21"/>
              </w:rPr>
              <w:t>0.00</w:t>
            </w:r>
          </w:p>
        </w:tc>
        <w:tc>
          <w:tcPr>
            <w:tcW w:w="1963" w:type="dxa"/>
            <w:tcBorders>
              <w:top w:val="nil" w:sz="6" w:space="0" w:color="auto"/>
              <w:left w:val="nil" w:sz="6" w:space="0" w:color="auto"/>
              <w:bottom w:val="nil" w:sz="6" w:space="0" w:color="auto"/>
              <w:right w:val="nil" w:sz="6" w:space="0" w:color="auto"/>
            </w:tcBorders>
          </w:tcPr>
          <w:p>
            <w:pPr>
              <w:pStyle w:val="TableParagraph"/>
              <w:spacing w:line="248" w:lineRule="exact"/>
              <w:ind w:right="111"/>
              <w:jc w:val="right"/>
              <w:rPr>
                <w:rFonts w:ascii="宋体" w:hAnsi="宋体" w:cs="宋体" w:eastAsia="宋体" w:hint="default"/>
                <w:sz w:val="21"/>
                <w:szCs w:val="21"/>
              </w:rPr>
            </w:pPr>
            <w:r>
              <w:rPr>
                <w:rFonts w:ascii="宋体"/>
                <w:spacing w:val="-1"/>
                <w:sz w:val="21"/>
              </w:rPr>
              <w:t>140,504,808.10</w:t>
            </w:r>
          </w:p>
        </w:tc>
        <w:tc>
          <w:tcPr>
            <w:tcW w:w="1698" w:type="dxa"/>
            <w:tcBorders>
              <w:top w:val="nil" w:sz="6" w:space="0" w:color="auto"/>
              <w:left w:val="nil" w:sz="6" w:space="0" w:color="auto"/>
              <w:bottom w:val="nil" w:sz="6" w:space="0" w:color="auto"/>
              <w:right w:val="nil" w:sz="6" w:space="0" w:color="auto"/>
            </w:tcBorders>
          </w:tcPr>
          <w:p>
            <w:pPr>
              <w:pStyle w:val="TableParagraph"/>
              <w:spacing w:line="248" w:lineRule="exact"/>
              <w:ind w:right="112"/>
              <w:jc w:val="right"/>
              <w:rPr>
                <w:rFonts w:ascii="宋体" w:hAnsi="宋体" w:cs="宋体" w:eastAsia="宋体" w:hint="default"/>
                <w:sz w:val="21"/>
                <w:szCs w:val="21"/>
              </w:rPr>
            </w:pPr>
            <w:r>
              <w:rPr>
                <w:rFonts w:ascii="宋体"/>
                <w:sz w:val="21"/>
              </w:rPr>
              <w:t>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r>
      <w:tr>
        <w:trPr>
          <w:trHeight w:val="287"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1"/>
                <w:szCs w:val="21"/>
              </w:rPr>
              <w:t>淮安同方控源截污工程有限公司</w:t>
            </w:r>
          </w:p>
        </w:tc>
        <w:tc>
          <w:tcPr>
            <w:tcW w:w="2434" w:type="dxa"/>
            <w:tcBorders>
              <w:top w:val="nil" w:sz="6" w:space="0" w:color="auto"/>
              <w:left w:val="nil" w:sz="6" w:space="0" w:color="auto"/>
              <w:bottom w:val="nil" w:sz="6" w:space="0" w:color="auto"/>
              <w:right w:val="nil" w:sz="6" w:space="0" w:color="auto"/>
            </w:tcBorders>
          </w:tcPr>
          <w:p>
            <w:pPr>
              <w:pStyle w:val="TableParagraph"/>
              <w:spacing w:line="249" w:lineRule="exact"/>
              <w:ind w:right="109"/>
              <w:jc w:val="right"/>
              <w:rPr>
                <w:rFonts w:ascii="宋体" w:hAnsi="宋体" w:cs="宋体" w:eastAsia="宋体" w:hint="default"/>
                <w:sz w:val="21"/>
                <w:szCs w:val="21"/>
              </w:rPr>
            </w:pPr>
            <w:r>
              <w:rPr>
                <w:rFonts w:ascii="宋体"/>
                <w:spacing w:val="-1"/>
                <w:sz w:val="21"/>
              </w:rPr>
              <w:t>120,000,000.00</w:t>
            </w:r>
          </w:p>
        </w:tc>
        <w:tc>
          <w:tcPr>
            <w:tcW w:w="2015" w:type="dxa"/>
            <w:tcBorders>
              <w:top w:val="nil" w:sz="6" w:space="0" w:color="auto"/>
              <w:left w:val="nil" w:sz="6" w:space="0" w:color="auto"/>
              <w:bottom w:val="nil" w:sz="6" w:space="0" w:color="auto"/>
              <w:right w:val="nil" w:sz="6" w:space="0" w:color="auto"/>
            </w:tcBorders>
          </w:tcPr>
          <w:p>
            <w:pPr>
              <w:pStyle w:val="TableParagraph"/>
              <w:spacing w:line="249" w:lineRule="exact"/>
              <w:ind w:right="219"/>
              <w:jc w:val="right"/>
              <w:rPr>
                <w:rFonts w:ascii="宋体" w:hAnsi="宋体" w:cs="宋体" w:eastAsia="宋体" w:hint="default"/>
                <w:sz w:val="21"/>
                <w:szCs w:val="21"/>
              </w:rPr>
            </w:pPr>
            <w:r>
              <w:rPr>
                <w:rFonts w:ascii="宋体"/>
                <w:sz w:val="21"/>
              </w:rPr>
              <w:t>0.00</w:t>
            </w:r>
          </w:p>
        </w:tc>
        <w:tc>
          <w:tcPr>
            <w:tcW w:w="1858" w:type="dxa"/>
            <w:tcBorders>
              <w:top w:val="nil" w:sz="6" w:space="0" w:color="auto"/>
              <w:left w:val="nil" w:sz="6" w:space="0" w:color="auto"/>
              <w:bottom w:val="nil" w:sz="6" w:space="0" w:color="auto"/>
              <w:right w:val="nil" w:sz="6" w:space="0" w:color="auto"/>
            </w:tcBorders>
          </w:tcPr>
          <w:p>
            <w:pPr>
              <w:pStyle w:val="TableParagraph"/>
              <w:spacing w:line="249" w:lineRule="exact"/>
              <w:ind w:right="166"/>
              <w:jc w:val="right"/>
              <w:rPr>
                <w:rFonts w:ascii="宋体" w:hAnsi="宋体" w:cs="宋体" w:eastAsia="宋体" w:hint="default"/>
                <w:sz w:val="21"/>
                <w:szCs w:val="21"/>
              </w:rPr>
            </w:pPr>
            <w:r>
              <w:rPr>
                <w:rFonts w:ascii="宋体"/>
                <w:sz w:val="21"/>
              </w:rPr>
              <w:t>0.00</w:t>
            </w:r>
          </w:p>
        </w:tc>
        <w:tc>
          <w:tcPr>
            <w:tcW w:w="1963" w:type="dxa"/>
            <w:tcBorders>
              <w:top w:val="nil" w:sz="6" w:space="0" w:color="auto"/>
              <w:left w:val="nil" w:sz="6" w:space="0" w:color="auto"/>
              <w:bottom w:val="nil" w:sz="6" w:space="0" w:color="auto"/>
              <w:right w:val="nil" w:sz="6" w:space="0" w:color="auto"/>
            </w:tcBorders>
          </w:tcPr>
          <w:p>
            <w:pPr>
              <w:pStyle w:val="TableParagraph"/>
              <w:spacing w:line="249" w:lineRule="exact"/>
              <w:ind w:right="111"/>
              <w:jc w:val="right"/>
              <w:rPr>
                <w:rFonts w:ascii="宋体" w:hAnsi="宋体" w:cs="宋体" w:eastAsia="宋体" w:hint="default"/>
                <w:sz w:val="21"/>
                <w:szCs w:val="21"/>
              </w:rPr>
            </w:pPr>
            <w:r>
              <w:rPr>
                <w:rFonts w:ascii="宋体"/>
                <w:spacing w:val="-1"/>
                <w:sz w:val="21"/>
              </w:rPr>
              <w:t>120,000,000.00</w:t>
            </w:r>
          </w:p>
        </w:tc>
        <w:tc>
          <w:tcPr>
            <w:tcW w:w="1698" w:type="dxa"/>
            <w:tcBorders>
              <w:top w:val="nil" w:sz="6" w:space="0" w:color="auto"/>
              <w:left w:val="nil" w:sz="6" w:space="0" w:color="auto"/>
              <w:bottom w:val="nil" w:sz="6" w:space="0" w:color="auto"/>
              <w:right w:val="nil" w:sz="6" w:space="0" w:color="auto"/>
            </w:tcBorders>
          </w:tcPr>
          <w:p>
            <w:pPr>
              <w:pStyle w:val="TableParagraph"/>
              <w:spacing w:line="249" w:lineRule="exact"/>
              <w:ind w:right="112"/>
              <w:jc w:val="right"/>
              <w:rPr>
                <w:rFonts w:ascii="宋体" w:hAnsi="宋体" w:cs="宋体" w:eastAsia="宋体" w:hint="default"/>
                <w:sz w:val="21"/>
                <w:szCs w:val="21"/>
              </w:rPr>
            </w:pPr>
            <w:r>
              <w:rPr>
                <w:rFonts w:ascii="宋体"/>
                <w:sz w:val="21"/>
              </w:rPr>
              <w:t>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r>
      <w:tr>
        <w:trPr>
          <w:trHeight w:val="287"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1"/>
                <w:szCs w:val="21"/>
              </w:rPr>
              <w:t>同方知网数字出版技术股份有限公司</w:t>
            </w:r>
          </w:p>
        </w:tc>
        <w:tc>
          <w:tcPr>
            <w:tcW w:w="2434" w:type="dxa"/>
            <w:tcBorders>
              <w:top w:val="nil" w:sz="6" w:space="0" w:color="auto"/>
              <w:left w:val="nil" w:sz="6" w:space="0" w:color="auto"/>
              <w:bottom w:val="nil" w:sz="6" w:space="0" w:color="auto"/>
              <w:right w:val="nil" w:sz="6" w:space="0" w:color="auto"/>
            </w:tcBorders>
          </w:tcPr>
          <w:p>
            <w:pPr>
              <w:pStyle w:val="TableParagraph"/>
              <w:spacing w:line="249" w:lineRule="exact"/>
              <w:ind w:right="109"/>
              <w:jc w:val="right"/>
              <w:rPr>
                <w:rFonts w:ascii="宋体" w:hAnsi="宋体" w:cs="宋体" w:eastAsia="宋体" w:hint="default"/>
                <w:sz w:val="21"/>
                <w:szCs w:val="21"/>
              </w:rPr>
            </w:pPr>
            <w:r>
              <w:rPr>
                <w:rFonts w:ascii="宋体"/>
                <w:spacing w:val="-1"/>
                <w:sz w:val="21"/>
              </w:rPr>
              <w:t>100,054,351.74</w:t>
            </w:r>
          </w:p>
        </w:tc>
        <w:tc>
          <w:tcPr>
            <w:tcW w:w="2015" w:type="dxa"/>
            <w:tcBorders>
              <w:top w:val="nil" w:sz="6" w:space="0" w:color="auto"/>
              <w:left w:val="nil" w:sz="6" w:space="0" w:color="auto"/>
              <w:bottom w:val="nil" w:sz="6" w:space="0" w:color="auto"/>
              <w:right w:val="nil" w:sz="6" w:space="0" w:color="auto"/>
            </w:tcBorders>
          </w:tcPr>
          <w:p>
            <w:pPr>
              <w:pStyle w:val="TableParagraph"/>
              <w:spacing w:line="249" w:lineRule="exact"/>
              <w:ind w:right="219"/>
              <w:jc w:val="right"/>
              <w:rPr>
                <w:rFonts w:ascii="宋体" w:hAnsi="宋体" w:cs="宋体" w:eastAsia="宋体" w:hint="default"/>
                <w:sz w:val="21"/>
                <w:szCs w:val="21"/>
              </w:rPr>
            </w:pPr>
            <w:r>
              <w:rPr>
                <w:rFonts w:ascii="宋体"/>
                <w:sz w:val="21"/>
              </w:rPr>
              <w:t>0.00</w:t>
            </w:r>
          </w:p>
        </w:tc>
        <w:tc>
          <w:tcPr>
            <w:tcW w:w="1858" w:type="dxa"/>
            <w:tcBorders>
              <w:top w:val="nil" w:sz="6" w:space="0" w:color="auto"/>
              <w:left w:val="nil" w:sz="6" w:space="0" w:color="auto"/>
              <w:bottom w:val="nil" w:sz="6" w:space="0" w:color="auto"/>
              <w:right w:val="nil" w:sz="6" w:space="0" w:color="auto"/>
            </w:tcBorders>
          </w:tcPr>
          <w:p>
            <w:pPr>
              <w:pStyle w:val="TableParagraph"/>
              <w:spacing w:line="249" w:lineRule="exact"/>
              <w:ind w:right="166"/>
              <w:jc w:val="right"/>
              <w:rPr>
                <w:rFonts w:ascii="宋体" w:hAnsi="宋体" w:cs="宋体" w:eastAsia="宋体" w:hint="default"/>
                <w:sz w:val="21"/>
                <w:szCs w:val="21"/>
              </w:rPr>
            </w:pPr>
            <w:r>
              <w:rPr>
                <w:rFonts w:ascii="宋体"/>
                <w:sz w:val="21"/>
              </w:rPr>
              <w:t>0.00</w:t>
            </w:r>
          </w:p>
        </w:tc>
        <w:tc>
          <w:tcPr>
            <w:tcW w:w="1963" w:type="dxa"/>
            <w:tcBorders>
              <w:top w:val="nil" w:sz="6" w:space="0" w:color="auto"/>
              <w:left w:val="nil" w:sz="6" w:space="0" w:color="auto"/>
              <w:bottom w:val="nil" w:sz="6" w:space="0" w:color="auto"/>
              <w:right w:val="nil" w:sz="6" w:space="0" w:color="auto"/>
            </w:tcBorders>
          </w:tcPr>
          <w:p>
            <w:pPr>
              <w:pStyle w:val="TableParagraph"/>
              <w:spacing w:line="249" w:lineRule="exact"/>
              <w:ind w:right="111"/>
              <w:jc w:val="right"/>
              <w:rPr>
                <w:rFonts w:ascii="宋体" w:hAnsi="宋体" w:cs="宋体" w:eastAsia="宋体" w:hint="default"/>
                <w:sz w:val="21"/>
                <w:szCs w:val="21"/>
              </w:rPr>
            </w:pPr>
            <w:r>
              <w:rPr>
                <w:rFonts w:ascii="宋体"/>
                <w:spacing w:val="-1"/>
                <w:sz w:val="21"/>
              </w:rPr>
              <w:t>100,054,351.74</w:t>
            </w:r>
          </w:p>
        </w:tc>
        <w:tc>
          <w:tcPr>
            <w:tcW w:w="1698" w:type="dxa"/>
            <w:tcBorders>
              <w:top w:val="nil" w:sz="6" w:space="0" w:color="auto"/>
              <w:left w:val="nil" w:sz="6" w:space="0" w:color="auto"/>
              <w:bottom w:val="nil" w:sz="6" w:space="0" w:color="auto"/>
              <w:right w:val="nil" w:sz="6" w:space="0" w:color="auto"/>
            </w:tcBorders>
          </w:tcPr>
          <w:p>
            <w:pPr>
              <w:pStyle w:val="TableParagraph"/>
              <w:spacing w:line="249" w:lineRule="exact"/>
              <w:ind w:right="112"/>
              <w:jc w:val="right"/>
              <w:rPr>
                <w:rFonts w:ascii="宋体" w:hAnsi="宋体" w:cs="宋体" w:eastAsia="宋体" w:hint="default"/>
                <w:sz w:val="21"/>
                <w:szCs w:val="21"/>
              </w:rPr>
            </w:pPr>
            <w:r>
              <w:rPr>
                <w:rFonts w:ascii="宋体"/>
                <w:sz w:val="21"/>
              </w:rPr>
              <w:t>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r>
      <w:tr>
        <w:trPr>
          <w:trHeight w:val="288"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1"/>
                <w:szCs w:val="21"/>
              </w:rPr>
              <w:t>北京同方实业有限公司</w:t>
            </w:r>
          </w:p>
        </w:tc>
        <w:tc>
          <w:tcPr>
            <w:tcW w:w="2434" w:type="dxa"/>
            <w:tcBorders>
              <w:top w:val="nil" w:sz="6" w:space="0" w:color="auto"/>
              <w:left w:val="nil" w:sz="6" w:space="0" w:color="auto"/>
              <w:bottom w:val="nil" w:sz="6" w:space="0" w:color="auto"/>
              <w:right w:val="nil" w:sz="6" w:space="0" w:color="auto"/>
            </w:tcBorders>
          </w:tcPr>
          <w:p>
            <w:pPr>
              <w:pStyle w:val="TableParagraph"/>
              <w:spacing w:line="249" w:lineRule="exact"/>
              <w:ind w:right="109"/>
              <w:jc w:val="right"/>
              <w:rPr>
                <w:rFonts w:ascii="宋体" w:hAnsi="宋体" w:cs="宋体" w:eastAsia="宋体" w:hint="default"/>
                <w:sz w:val="21"/>
                <w:szCs w:val="21"/>
              </w:rPr>
            </w:pPr>
            <w:r>
              <w:rPr>
                <w:rFonts w:ascii="宋体"/>
                <w:spacing w:val="-1"/>
                <w:sz w:val="21"/>
              </w:rPr>
              <w:t>100,000,000.00</w:t>
            </w:r>
          </w:p>
        </w:tc>
        <w:tc>
          <w:tcPr>
            <w:tcW w:w="2015" w:type="dxa"/>
            <w:tcBorders>
              <w:top w:val="nil" w:sz="6" w:space="0" w:color="auto"/>
              <w:left w:val="nil" w:sz="6" w:space="0" w:color="auto"/>
              <w:bottom w:val="nil" w:sz="6" w:space="0" w:color="auto"/>
              <w:right w:val="nil" w:sz="6" w:space="0" w:color="auto"/>
            </w:tcBorders>
          </w:tcPr>
          <w:p>
            <w:pPr>
              <w:pStyle w:val="TableParagraph"/>
              <w:spacing w:line="249" w:lineRule="exact"/>
              <w:ind w:right="219"/>
              <w:jc w:val="right"/>
              <w:rPr>
                <w:rFonts w:ascii="宋体" w:hAnsi="宋体" w:cs="宋体" w:eastAsia="宋体" w:hint="default"/>
                <w:sz w:val="21"/>
                <w:szCs w:val="21"/>
              </w:rPr>
            </w:pPr>
            <w:r>
              <w:rPr>
                <w:rFonts w:ascii="宋体"/>
                <w:sz w:val="21"/>
              </w:rPr>
              <w:t>0.00</w:t>
            </w:r>
          </w:p>
        </w:tc>
        <w:tc>
          <w:tcPr>
            <w:tcW w:w="1858" w:type="dxa"/>
            <w:tcBorders>
              <w:top w:val="nil" w:sz="6" w:space="0" w:color="auto"/>
              <w:left w:val="nil" w:sz="6" w:space="0" w:color="auto"/>
              <w:bottom w:val="nil" w:sz="6" w:space="0" w:color="auto"/>
              <w:right w:val="nil" w:sz="6" w:space="0" w:color="auto"/>
            </w:tcBorders>
          </w:tcPr>
          <w:p>
            <w:pPr>
              <w:pStyle w:val="TableParagraph"/>
              <w:spacing w:line="249" w:lineRule="exact"/>
              <w:ind w:right="166"/>
              <w:jc w:val="right"/>
              <w:rPr>
                <w:rFonts w:ascii="宋体" w:hAnsi="宋体" w:cs="宋体" w:eastAsia="宋体" w:hint="default"/>
                <w:sz w:val="21"/>
                <w:szCs w:val="21"/>
              </w:rPr>
            </w:pPr>
            <w:r>
              <w:rPr>
                <w:rFonts w:ascii="宋体"/>
                <w:sz w:val="21"/>
              </w:rPr>
              <w:t>0.00</w:t>
            </w:r>
          </w:p>
        </w:tc>
        <w:tc>
          <w:tcPr>
            <w:tcW w:w="1963" w:type="dxa"/>
            <w:tcBorders>
              <w:top w:val="nil" w:sz="6" w:space="0" w:color="auto"/>
              <w:left w:val="nil" w:sz="6" w:space="0" w:color="auto"/>
              <w:bottom w:val="nil" w:sz="6" w:space="0" w:color="auto"/>
              <w:right w:val="nil" w:sz="6" w:space="0" w:color="auto"/>
            </w:tcBorders>
          </w:tcPr>
          <w:p>
            <w:pPr>
              <w:pStyle w:val="TableParagraph"/>
              <w:spacing w:line="249" w:lineRule="exact"/>
              <w:ind w:right="111"/>
              <w:jc w:val="right"/>
              <w:rPr>
                <w:rFonts w:ascii="宋体" w:hAnsi="宋体" w:cs="宋体" w:eastAsia="宋体" w:hint="default"/>
                <w:sz w:val="21"/>
                <w:szCs w:val="21"/>
              </w:rPr>
            </w:pPr>
            <w:r>
              <w:rPr>
                <w:rFonts w:ascii="宋体"/>
                <w:spacing w:val="-1"/>
                <w:sz w:val="21"/>
              </w:rPr>
              <w:t>100,000,000.00</w:t>
            </w:r>
          </w:p>
        </w:tc>
        <w:tc>
          <w:tcPr>
            <w:tcW w:w="1698" w:type="dxa"/>
            <w:tcBorders>
              <w:top w:val="nil" w:sz="6" w:space="0" w:color="auto"/>
              <w:left w:val="nil" w:sz="6" w:space="0" w:color="auto"/>
              <w:bottom w:val="nil" w:sz="6" w:space="0" w:color="auto"/>
              <w:right w:val="nil" w:sz="6" w:space="0" w:color="auto"/>
            </w:tcBorders>
          </w:tcPr>
          <w:p>
            <w:pPr>
              <w:pStyle w:val="TableParagraph"/>
              <w:spacing w:line="249" w:lineRule="exact"/>
              <w:ind w:right="112"/>
              <w:jc w:val="right"/>
              <w:rPr>
                <w:rFonts w:ascii="宋体" w:hAnsi="宋体" w:cs="宋体" w:eastAsia="宋体" w:hint="default"/>
                <w:sz w:val="21"/>
                <w:szCs w:val="21"/>
              </w:rPr>
            </w:pPr>
            <w:r>
              <w:rPr>
                <w:rFonts w:ascii="宋体"/>
                <w:sz w:val="21"/>
              </w:rPr>
              <w:t>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r>
      <w:tr>
        <w:trPr>
          <w:trHeight w:val="287"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1"/>
                <w:szCs w:val="21"/>
              </w:rPr>
              <w:t>山东同方鲁颖电子有限公司</w:t>
            </w:r>
          </w:p>
        </w:tc>
        <w:tc>
          <w:tcPr>
            <w:tcW w:w="2434" w:type="dxa"/>
            <w:tcBorders>
              <w:top w:val="nil" w:sz="6" w:space="0" w:color="auto"/>
              <w:left w:val="nil" w:sz="6" w:space="0" w:color="auto"/>
              <w:bottom w:val="nil" w:sz="6" w:space="0" w:color="auto"/>
              <w:right w:val="nil" w:sz="6" w:space="0" w:color="auto"/>
            </w:tcBorders>
          </w:tcPr>
          <w:p>
            <w:pPr>
              <w:pStyle w:val="TableParagraph"/>
              <w:spacing w:line="249" w:lineRule="exact"/>
              <w:ind w:right="111"/>
              <w:jc w:val="right"/>
              <w:rPr>
                <w:rFonts w:ascii="宋体" w:hAnsi="宋体" w:cs="宋体" w:eastAsia="宋体" w:hint="default"/>
                <w:sz w:val="21"/>
                <w:szCs w:val="21"/>
              </w:rPr>
            </w:pPr>
            <w:r>
              <w:rPr>
                <w:rFonts w:ascii="宋体"/>
                <w:spacing w:val="-1"/>
                <w:sz w:val="21"/>
              </w:rPr>
              <w:t>98,742,430.66</w:t>
            </w:r>
          </w:p>
        </w:tc>
        <w:tc>
          <w:tcPr>
            <w:tcW w:w="2015" w:type="dxa"/>
            <w:tcBorders>
              <w:top w:val="nil" w:sz="6" w:space="0" w:color="auto"/>
              <w:left w:val="nil" w:sz="6" w:space="0" w:color="auto"/>
              <w:bottom w:val="nil" w:sz="6" w:space="0" w:color="auto"/>
              <w:right w:val="nil" w:sz="6" w:space="0" w:color="auto"/>
            </w:tcBorders>
          </w:tcPr>
          <w:p>
            <w:pPr>
              <w:pStyle w:val="TableParagraph"/>
              <w:spacing w:line="249" w:lineRule="exact"/>
              <w:ind w:right="219"/>
              <w:jc w:val="right"/>
              <w:rPr>
                <w:rFonts w:ascii="宋体" w:hAnsi="宋体" w:cs="宋体" w:eastAsia="宋体" w:hint="default"/>
                <w:sz w:val="21"/>
                <w:szCs w:val="21"/>
              </w:rPr>
            </w:pPr>
            <w:r>
              <w:rPr>
                <w:rFonts w:ascii="宋体"/>
                <w:sz w:val="21"/>
              </w:rPr>
              <w:t>0.00</w:t>
            </w:r>
          </w:p>
        </w:tc>
        <w:tc>
          <w:tcPr>
            <w:tcW w:w="1858" w:type="dxa"/>
            <w:tcBorders>
              <w:top w:val="nil" w:sz="6" w:space="0" w:color="auto"/>
              <w:left w:val="nil" w:sz="6" w:space="0" w:color="auto"/>
              <w:bottom w:val="nil" w:sz="6" w:space="0" w:color="auto"/>
              <w:right w:val="nil" w:sz="6" w:space="0" w:color="auto"/>
            </w:tcBorders>
          </w:tcPr>
          <w:p>
            <w:pPr>
              <w:pStyle w:val="TableParagraph"/>
              <w:spacing w:line="249" w:lineRule="exact"/>
              <w:ind w:right="166"/>
              <w:jc w:val="right"/>
              <w:rPr>
                <w:rFonts w:ascii="宋体" w:hAnsi="宋体" w:cs="宋体" w:eastAsia="宋体" w:hint="default"/>
                <w:sz w:val="21"/>
                <w:szCs w:val="21"/>
              </w:rPr>
            </w:pPr>
            <w:r>
              <w:rPr>
                <w:rFonts w:ascii="宋体"/>
                <w:sz w:val="21"/>
              </w:rPr>
              <w:t>0.00</w:t>
            </w:r>
          </w:p>
        </w:tc>
        <w:tc>
          <w:tcPr>
            <w:tcW w:w="1963" w:type="dxa"/>
            <w:tcBorders>
              <w:top w:val="nil" w:sz="6" w:space="0" w:color="auto"/>
              <w:left w:val="nil" w:sz="6" w:space="0" w:color="auto"/>
              <w:bottom w:val="nil" w:sz="6" w:space="0" w:color="auto"/>
              <w:right w:val="nil" w:sz="6" w:space="0" w:color="auto"/>
            </w:tcBorders>
          </w:tcPr>
          <w:p>
            <w:pPr>
              <w:pStyle w:val="TableParagraph"/>
              <w:spacing w:line="249" w:lineRule="exact"/>
              <w:ind w:right="113"/>
              <w:jc w:val="right"/>
              <w:rPr>
                <w:rFonts w:ascii="宋体" w:hAnsi="宋体" w:cs="宋体" w:eastAsia="宋体" w:hint="default"/>
                <w:sz w:val="21"/>
                <w:szCs w:val="21"/>
              </w:rPr>
            </w:pPr>
            <w:r>
              <w:rPr>
                <w:rFonts w:ascii="宋体"/>
                <w:spacing w:val="-1"/>
                <w:sz w:val="21"/>
              </w:rPr>
              <w:t>98,742,430.66</w:t>
            </w:r>
          </w:p>
        </w:tc>
        <w:tc>
          <w:tcPr>
            <w:tcW w:w="1698" w:type="dxa"/>
            <w:tcBorders>
              <w:top w:val="nil" w:sz="6" w:space="0" w:color="auto"/>
              <w:left w:val="nil" w:sz="6" w:space="0" w:color="auto"/>
              <w:bottom w:val="nil" w:sz="6" w:space="0" w:color="auto"/>
              <w:right w:val="nil" w:sz="6" w:space="0" w:color="auto"/>
            </w:tcBorders>
          </w:tcPr>
          <w:p>
            <w:pPr>
              <w:pStyle w:val="TableParagraph"/>
              <w:spacing w:line="249" w:lineRule="exact"/>
              <w:ind w:right="112"/>
              <w:jc w:val="right"/>
              <w:rPr>
                <w:rFonts w:ascii="宋体" w:hAnsi="宋体" w:cs="宋体" w:eastAsia="宋体" w:hint="default"/>
                <w:sz w:val="21"/>
                <w:szCs w:val="21"/>
              </w:rPr>
            </w:pPr>
            <w:r>
              <w:rPr>
                <w:rFonts w:ascii="宋体"/>
                <w:sz w:val="21"/>
              </w:rPr>
              <w:t>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r>
      <w:tr>
        <w:trPr>
          <w:trHeight w:val="287"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同方大健康产业有限公司</w:t>
            </w:r>
          </w:p>
        </w:tc>
        <w:tc>
          <w:tcPr>
            <w:tcW w:w="2434" w:type="dxa"/>
            <w:tcBorders>
              <w:top w:val="nil" w:sz="6" w:space="0" w:color="auto"/>
              <w:left w:val="nil" w:sz="6" w:space="0" w:color="auto"/>
              <w:bottom w:val="nil" w:sz="6" w:space="0" w:color="auto"/>
              <w:right w:val="nil" w:sz="6" w:space="0" w:color="auto"/>
            </w:tcBorders>
          </w:tcPr>
          <w:p>
            <w:pPr>
              <w:pStyle w:val="TableParagraph"/>
              <w:spacing w:line="248" w:lineRule="exact"/>
              <w:ind w:right="111"/>
              <w:jc w:val="right"/>
              <w:rPr>
                <w:rFonts w:ascii="宋体" w:hAnsi="宋体" w:cs="宋体" w:eastAsia="宋体" w:hint="default"/>
                <w:sz w:val="21"/>
                <w:szCs w:val="21"/>
              </w:rPr>
            </w:pPr>
            <w:r>
              <w:rPr>
                <w:rFonts w:ascii="宋体"/>
                <w:spacing w:val="-1"/>
                <w:sz w:val="21"/>
              </w:rPr>
              <w:t>75,240,000.00</w:t>
            </w:r>
          </w:p>
        </w:tc>
        <w:tc>
          <w:tcPr>
            <w:tcW w:w="2015" w:type="dxa"/>
            <w:tcBorders>
              <w:top w:val="nil" w:sz="6" w:space="0" w:color="auto"/>
              <w:left w:val="nil" w:sz="6" w:space="0" w:color="auto"/>
              <w:bottom w:val="nil" w:sz="6" w:space="0" w:color="auto"/>
              <w:right w:val="nil" w:sz="6" w:space="0" w:color="auto"/>
            </w:tcBorders>
          </w:tcPr>
          <w:p>
            <w:pPr>
              <w:pStyle w:val="TableParagraph"/>
              <w:spacing w:line="248" w:lineRule="exact"/>
              <w:ind w:right="219"/>
              <w:jc w:val="right"/>
              <w:rPr>
                <w:rFonts w:ascii="宋体" w:hAnsi="宋体" w:cs="宋体" w:eastAsia="宋体" w:hint="default"/>
                <w:sz w:val="21"/>
                <w:szCs w:val="21"/>
              </w:rPr>
            </w:pPr>
            <w:r>
              <w:rPr>
                <w:rFonts w:ascii="宋体"/>
                <w:sz w:val="21"/>
              </w:rPr>
              <w:t>0.00</w:t>
            </w:r>
          </w:p>
        </w:tc>
        <w:tc>
          <w:tcPr>
            <w:tcW w:w="1858" w:type="dxa"/>
            <w:tcBorders>
              <w:top w:val="nil" w:sz="6" w:space="0" w:color="auto"/>
              <w:left w:val="nil" w:sz="6" w:space="0" w:color="auto"/>
              <w:bottom w:val="nil" w:sz="6" w:space="0" w:color="auto"/>
              <w:right w:val="nil" w:sz="6" w:space="0" w:color="auto"/>
            </w:tcBorders>
          </w:tcPr>
          <w:p>
            <w:pPr>
              <w:pStyle w:val="TableParagraph"/>
              <w:spacing w:line="248" w:lineRule="exact"/>
              <w:ind w:right="166"/>
              <w:jc w:val="right"/>
              <w:rPr>
                <w:rFonts w:ascii="宋体" w:hAnsi="宋体" w:cs="宋体" w:eastAsia="宋体" w:hint="default"/>
                <w:sz w:val="21"/>
                <w:szCs w:val="21"/>
              </w:rPr>
            </w:pPr>
            <w:r>
              <w:rPr>
                <w:rFonts w:ascii="宋体"/>
                <w:sz w:val="21"/>
              </w:rPr>
              <w:t>0.00</w:t>
            </w:r>
          </w:p>
        </w:tc>
        <w:tc>
          <w:tcPr>
            <w:tcW w:w="1963" w:type="dxa"/>
            <w:tcBorders>
              <w:top w:val="nil" w:sz="6" w:space="0" w:color="auto"/>
              <w:left w:val="nil" w:sz="6" w:space="0" w:color="auto"/>
              <w:bottom w:val="nil" w:sz="6" w:space="0" w:color="auto"/>
              <w:right w:val="nil" w:sz="6" w:space="0" w:color="auto"/>
            </w:tcBorders>
          </w:tcPr>
          <w:p>
            <w:pPr>
              <w:pStyle w:val="TableParagraph"/>
              <w:spacing w:line="248" w:lineRule="exact"/>
              <w:ind w:right="113"/>
              <w:jc w:val="right"/>
              <w:rPr>
                <w:rFonts w:ascii="宋体" w:hAnsi="宋体" w:cs="宋体" w:eastAsia="宋体" w:hint="default"/>
                <w:sz w:val="21"/>
                <w:szCs w:val="21"/>
              </w:rPr>
            </w:pPr>
            <w:r>
              <w:rPr>
                <w:rFonts w:ascii="宋体"/>
                <w:spacing w:val="-1"/>
                <w:sz w:val="21"/>
              </w:rPr>
              <w:t>75,240,000.00</w:t>
            </w:r>
          </w:p>
        </w:tc>
        <w:tc>
          <w:tcPr>
            <w:tcW w:w="1698" w:type="dxa"/>
            <w:tcBorders>
              <w:top w:val="nil" w:sz="6" w:space="0" w:color="auto"/>
              <w:left w:val="nil" w:sz="6" w:space="0" w:color="auto"/>
              <w:bottom w:val="nil" w:sz="6" w:space="0" w:color="auto"/>
              <w:right w:val="nil" w:sz="6" w:space="0" w:color="auto"/>
            </w:tcBorders>
          </w:tcPr>
          <w:p>
            <w:pPr>
              <w:pStyle w:val="TableParagraph"/>
              <w:spacing w:line="248" w:lineRule="exact"/>
              <w:ind w:right="112"/>
              <w:jc w:val="right"/>
              <w:rPr>
                <w:rFonts w:ascii="宋体" w:hAnsi="宋体" w:cs="宋体" w:eastAsia="宋体" w:hint="default"/>
                <w:sz w:val="21"/>
                <w:szCs w:val="21"/>
              </w:rPr>
            </w:pPr>
            <w:r>
              <w:rPr>
                <w:rFonts w:ascii="宋体"/>
                <w:sz w:val="21"/>
              </w:rPr>
              <w:t>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r>
      <w:tr>
        <w:trPr>
          <w:trHeight w:val="287" w:hRule="exact"/>
        </w:trPr>
        <w:tc>
          <w:tcPr>
            <w:tcW w:w="4110" w:type="dxa"/>
            <w:tcBorders>
              <w:top w:val="nil" w:sz="6" w:space="0" w:color="auto"/>
              <w:left w:val="nil" w:sz="6" w:space="0" w:color="auto"/>
              <w:bottom w:val="nil" w:sz="6" w:space="0" w:color="auto"/>
              <w:right w:val="nil" w:sz="6" w:space="0" w:color="auto"/>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1"/>
                <w:szCs w:val="21"/>
              </w:rPr>
              <w:t>北京同方吉兆科技有限公司</w:t>
            </w:r>
          </w:p>
        </w:tc>
        <w:tc>
          <w:tcPr>
            <w:tcW w:w="2434" w:type="dxa"/>
            <w:tcBorders>
              <w:top w:val="nil" w:sz="6" w:space="0" w:color="auto"/>
              <w:left w:val="nil" w:sz="6" w:space="0" w:color="auto"/>
              <w:bottom w:val="nil" w:sz="6" w:space="0" w:color="auto"/>
              <w:right w:val="nil" w:sz="6" w:space="0" w:color="auto"/>
            </w:tcBorders>
          </w:tcPr>
          <w:p>
            <w:pPr>
              <w:pStyle w:val="TableParagraph"/>
              <w:spacing w:line="249" w:lineRule="exact"/>
              <w:ind w:right="109"/>
              <w:jc w:val="right"/>
              <w:rPr>
                <w:rFonts w:ascii="宋体" w:hAnsi="宋体" w:cs="宋体" w:eastAsia="宋体" w:hint="default"/>
                <w:sz w:val="21"/>
                <w:szCs w:val="21"/>
              </w:rPr>
            </w:pPr>
            <w:r>
              <w:rPr>
                <w:rFonts w:ascii="宋体"/>
                <w:spacing w:val="-1"/>
                <w:sz w:val="21"/>
              </w:rPr>
              <w:t>231,961,654.00</w:t>
            </w:r>
          </w:p>
        </w:tc>
        <w:tc>
          <w:tcPr>
            <w:tcW w:w="2015" w:type="dxa"/>
            <w:tcBorders>
              <w:top w:val="nil" w:sz="6" w:space="0" w:color="auto"/>
              <w:left w:val="nil" w:sz="6" w:space="0" w:color="auto"/>
              <w:bottom w:val="nil" w:sz="6" w:space="0" w:color="auto"/>
              <w:right w:val="nil" w:sz="6" w:space="0" w:color="auto"/>
            </w:tcBorders>
          </w:tcPr>
          <w:p>
            <w:pPr>
              <w:pStyle w:val="TableParagraph"/>
              <w:spacing w:line="249" w:lineRule="exact"/>
              <w:ind w:right="219"/>
              <w:jc w:val="right"/>
              <w:rPr>
                <w:rFonts w:ascii="宋体" w:hAnsi="宋体" w:cs="宋体" w:eastAsia="宋体" w:hint="default"/>
                <w:sz w:val="21"/>
                <w:szCs w:val="21"/>
              </w:rPr>
            </w:pPr>
            <w:r>
              <w:rPr>
                <w:rFonts w:ascii="宋体"/>
                <w:sz w:val="21"/>
              </w:rPr>
              <w:t>0.00</w:t>
            </w:r>
          </w:p>
        </w:tc>
        <w:tc>
          <w:tcPr>
            <w:tcW w:w="1858" w:type="dxa"/>
            <w:tcBorders>
              <w:top w:val="nil" w:sz="6" w:space="0" w:color="auto"/>
              <w:left w:val="nil" w:sz="6" w:space="0" w:color="auto"/>
              <w:bottom w:val="nil" w:sz="6" w:space="0" w:color="auto"/>
              <w:right w:val="nil" w:sz="6" w:space="0" w:color="auto"/>
            </w:tcBorders>
          </w:tcPr>
          <w:p>
            <w:pPr>
              <w:pStyle w:val="TableParagraph"/>
              <w:spacing w:line="249" w:lineRule="exact"/>
              <w:ind w:right="163"/>
              <w:jc w:val="right"/>
              <w:rPr>
                <w:rFonts w:ascii="宋体" w:hAnsi="宋体" w:cs="宋体" w:eastAsia="宋体" w:hint="default"/>
                <w:sz w:val="21"/>
                <w:szCs w:val="21"/>
              </w:rPr>
            </w:pPr>
            <w:r>
              <w:rPr>
                <w:rFonts w:ascii="宋体"/>
                <w:spacing w:val="-1"/>
                <w:sz w:val="21"/>
              </w:rPr>
              <w:t>165,120,000.00</w:t>
            </w:r>
          </w:p>
        </w:tc>
        <w:tc>
          <w:tcPr>
            <w:tcW w:w="1963" w:type="dxa"/>
            <w:tcBorders>
              <w:top w:val="nil" w:sz="6" w:space="0" w:color="auto"/>
              <w:left w:val="nil" w:sz="6" w:space="0" w:color="auto"/>
              <w:bottom w:val="nil" w:sz="6" w:space="0" w:color="auto"/>
              <w:right w:val="nil" w:sz="6" w:space="0" w:color="auto"/>
            </w:tcBorders>
          </w:tcPr>
          <w:p>
            <w:pPr>
              <w:pStyle w:val="TableParagraph"/>
              <w:spacing w:line="249" w:lineRule="exact"/>
              <w:ind w:right="113"/>
              <w:jc w:val="right"/>
              <w:rPr>
                <w:rFonts w:ascii="宋体" w:hAnsi="宋体" w:cs="宋体" w:eastAsia="宋体" w:hint="default"/>
                <w:sz w:val="21"/>
                <w:szCs w:val="21"/>
              </w:rPr>
            </w:pPr>
            <w:r>
              <w:rPr>
                <w:rFonts w:ascii="宋体"/>
                <w:spacing w:val="-1"/>
                <w:sz w:val="21"/>
              </w:rPr>
              <w:t>66,841,654.00</w:t>
            </w:r>
          </w:p>
        </w:tc>
        <w:tc>
          <w:tcPr>
            <w:tcW w:w="1698" w:type="dxa"/>
            <w:tcBorders>
              <w:top w:val="nil" w:sz="6" w:space="0" w:color="auto"/>
              <w:left w:val="nil" w:sz="6" w:space="0" w:color="auto"/>
              <w:bottom w:val="nil" w:sz="6" w:space="0" w:color="auto"/>
              <w:right w:val="nil" w:sz="6" w:space="0" w:color="auto"/>
            </w:tcBorders>
          </w:tcPr>
          <w:p>
            <w:pPr>
              <w:pStyle w:val="TableParagraph"/>
              <w:spacing w:line="249" w:lineRule="exact"/>
              <w:ind w:right="112"/>
              <w:jc w:val="right"/>
              <w:rPr>
                <w:rFonts w:ascii="宋体" w:hAnsi="宋体" w:cs="宋体" w:eastAsia="宋体" w:hint="default"/>
                <w:sz w:val="21"/>
                <w:szCs w:val="21"/>
              </w:rPr>
            </w:pPr>
            <w:r>
              <w:rPr>
                <w:rFonts w:ascii="宋体"/>
                <w:sz w:val="21"/>
              </w:rPr>
              <w:t>0.00</w:t>
            </w:r>
          </w:p>
        </w:tc>
        <w:tc>
          <w:tcPr>
            <w:tcW w:w="1691"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r>
      <w:tr>
        <w:trPr>
          <w:trHeight w:val="303" w:hRule="exact"/>
        </w:trPr>
        <w:tc>
          <w:tcPr>
            <w:tcW w:w="4110" w:type="dxa"/>
            <w:tcBorders>
              <w:top w:val="nil" w:sz="6" w:space="0" w:color="auto"/>
              <w:left w:val="nil" w:sz="6" w:space="0" w:color="auto"/>
              <w:bottom w:val="single" w:sz="12" w:space="0" w:color="000000"/>
              <w:right w:val="nil" w:sz="6" w:space="0" w:color="auto"/>
            </w:tcBorders>
          </w:tcPr>
          <w:p>
            <w:pPr>
              <w:pStyle w:val="TableParagraph"/>
              <w:spacing w:line="248" w:lineRule="exact"/>
              <w:ind w:left="107" w:right="0"/>
              <w:jc w:val="left"/>
              <w:rPr>
                <w:rFonts w:ascii="宋体" w:hAnsi="宋体" w:cs="宋体" w:eastAsia="宋体" w:hint="default"/>
                <w:sz w:val="21"/>
                <w:szCs w:val="21"/>
              </w:rPr>
            </w:pPr>
            <w:r>
              <w:rPr>
                <w:rFonts w:ascii="宋体"/>
                <w:sz w:val="21"/>
              </w:rPr>
              <w:t>Tongfang Global</w:t>
            </w:r>
            <w:r>
              <w:rPr>
                <w:rFonts w:ascii="宋体"/>
                <w:spacing w:val="-3"/>
                <w:sz w:val="21"/>
              </w:rPr>
              <w:t> </w:t>
            </w:r>
            <w:r>
              <w:rPr>
                <w:rFonts w:ascii="宋体"/>
                <w:sz w:val="21"/>
              </w:rPr>
              <w:t>Limited</w:t>
            </w:r>
          </w:p>
        </w:tc>
        <w:tc>
          <w:tcPr>
            <w:tcW w:w="2434" w:type="dxa"/>
            <w:tcBorders>
              <w:top w:val="nil" w:sz="6" w:space="0" w:color="auto"/>
              <w:left w:val="nil" w:sz="6" w:space="0" w:color="auto"/>
              <w:bottom w:val="single" w:sz="12" w:space="0" w:color="000000"/>
              <w:right w:val="nil" w:sz="6" w:space="0" w:color="auto"/>
            </w:tcBorders>
          </w:tcPr>
          <w:p>
            <w:pPr>
              <w:pStyle w:val="TableParagraph"/>
              <w:spacing w:line="248" w:lineRule="exact"/>
              <w:ind w:right="111"/>
              <w:jc w:val="right"/>
              <w:rPr>
                <w:rFonts w:ascii="宋体" w:hAnsi="宋体" w:cs="宋体" w:eastAsia="宋体" w:hint="default"/>
                <w:sz w:val="21"/>
                <w:szCs w:val="21"/>
              </w:rPr>
            </w:pPr>
            <w:r>
              <w:rPr>
                <w:rFonts w:ascii="宋体"/>
                <w:spacing w:val="-1"/>
                <w:sz w:val="21"/>
              </w:rPr>
              <w:t>65,228,000.00</w:t>
            </w:r>
          </w:p>
        </w:tc>
        <w:tc>
          <w:tcPr>
            <w:tcW w:w="2015" w:type="dxa"/>
            <w:tcBorders>
              <w:top w:val="nil" w:sz="6" w:space="0" w:color="auto"/>
              <w:left w:val="nil" w:sz="6" w:space="0" w:color="auto"/>
              <w:bottom w:val="single" w:sz="12" w:space="0" w:color="000000"/>
              <w:right w:val="nil" w:sz="6" w:space="0" w:color="auto"/>
            </w:tcBorders>
          </w:tcPr>
          <w:p>
            <w:pPr>
              <w:pStyle w:val="TableParagraph"/>
              <w:spacing w:line="248" w:lineRule="exact"/>
              <w:ind w:right="219"/>
              <w:jc w:val="right"/>
              <w:rPr>
                <w:rFonts w:ascii="宋体" w:hAnsi="宋体" w:cs="宋体" w:eastAsia="宋体" w:hint="default"/>
                <w:sz w:val="21"/>
                <w:szCs w:val="21"/>
              </w:rPr>
            </w:pPr>
            <w:r>
              <w:rPr>
                <w:rFonts w:ascii="宋体"/>
                <w:sz w:val="21"/>
              </w:rPr>
              <w:t>0.00</w:t>
            </w:r>
          </w:p>
        </w:tc>
        <w:tc>
          <w:tcPr>
            <w:tcW w:w="1858" w:type="dxa"/>
            <w:tcBorders>
              <w:top w:val="nil" w:sz="6" w:space="0" w:color="auto"/>
              <w:left w:val="nil" w:sz="6" w:space="0" w:color="auto"/>
              <w:bottom w:val="single" w:sz="12" w:space="0" w:color="000000"/>
              <w:right w:val="nil" w:sz="6" w:space="0" w:color="auto"/>
            </w:tcBorders>
          </w:tcPr>
          <w:p>
            <w:pPr>
              <w:pStyle w:val="TableParagraph"/>
              <w:spacing w:line="248" w:lineRule="exact"/>
              <w:ind w:right="166"/>
              <w:jc w:val="right"/>
              <w:rPr>
                <w:rFonts w:ascii="宋体" w:hAnsi="宋体" w:cs="宋体" w:eastAsia="宋体" w:hint="default"/>
                <w:sz w:val="21"/>
                <w:szCs w:val="21"/>
              </w:rPr>
            </w:pPr>
            <w:r>
              <w:rPr>
                <w:rFonts w:ascii="宋体"/>
                <w:sz w:val="21"/>
              </w:rPr>
              <w:t>0.00</w:t>
            </w:r>
          </w:p>
        </w:tc>
        <w:tc>
          <w:tcPr>
            <w:tcW w:w="1963" w:type="dxa"/>
            <w:tcBorders>
              <w:top w:val="nil" w:sz="6" w:space="0" w:color="auto"/>
              <w:left w:val="nil" w:sz="6" w:space="0" w:color="auto"/>
              <w:bottom w:val="single" w:sz="12" w:space="0" w:color="000000"/>
              <w:right w:val="nil" w:sz="6" w:space="0" w:color="auto"/>
            </w:tcBorders>
          </w:tcPr>
          <w:p>
            <w:pPr>
              <w:pStyle w:val="TableParagraph"/>
              <w:spacing w:line="248" w:lineRule="exact"/>
              <w:ind w:right="113"/>
              <w:jc w:val="right"/>
              <w:rPr>
                <w:rFonts w:ascii="宋体" w:hAnsi="宋体" w:cs="宋体" w:eastAsia="宋体" w:hint="default"/>
                <w:sz w:val="21"/>
                <w:szCs w:val="21"/>
              </w:rPr>
            </w:pPr>
            <w:r>
              <w:rPr>
                <w:rFonts w:ascii="宋体"/>
                <w:spacing w:val="-1"/>
                <w:sz w:val="21"/>
              </w:rPr>
              <w:t>65,228,000.00</w:t>
            </w:r>
          </w:p>
        </w:tc>
        <w:tc>
          <w:tcPr>
            <w:tcW w:w="1698" w:type="dxa"/>
            <w:tcBorders>
              <w:top w:val="nil" w:sz="6" w:space="0" w:color="auto"/>
              <w:left w:val="nil" w:sz="6" w:space="0" w:color="auto"/>
              <w:bottom w:val="single" w:sz="12" w:space="0" w:color="000000"/>
              <w:right w:val="nil" w:sz="6" w:space="0" w:color="auto"/>
            </w:tcBorders>
          </w:tcPr>
          <w:p>
            <w:pPr>
              <w:pStyle w:val="TableParagraph"/>
              <w:spacing w:line="248" w:lineRule="exact"/>
              <w:ind w:right="112"/>
              <w:jc w:val="right"/>
              <w:rPr>
                <w:rFonts w:ascii="宋体" w:hAnsi="宋体" w:cs="宋体" w:eastAsia="宋体" w:hint="default"/>
                <w:sz w:val="21"/>
                <w:szCs w:val="21"/>
              </w:rPr>
            </w:pPr>
            <w:r>
              <w:rPr>
                <w:rFonts w:ascii="宋体"/>
                <w:sz w:val="21"/>
              </w:rPr>
              <w:t>0.00</w:t>
            </w:r>
          </w:p>
        </w:tc>
        <w:tc>
          <w:tcPr>
            <w:tcW w:w="1691" w:type="dxa"/>
            <w:tcBorders>
              <w:top w:val="nil" w:sz="6" w:space="0" w:color="auto"/>
              <w:left w:val="nil" w:sz="6" w:space="0" w:color="auto"/>
              <w:bottom w:val="single" w:sz="12" w:space="0" w:color="000000"/>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r>
    </w:tbl>
    <w:p>
      <w:pPr>
        <w:spacing w:after="0" w:line="248" w:lineRule="exact"/>
        <w:jc w:val="right"/>
        <w:rPr>
          <w:rFonts w:ascii="宋体" w:hAnsi="宋体" w:cs="宋体" w:eastAsia="宋体" w:hint="default"/>
          <w:sz w:val="21"/>
          <w:szCs w:val="21"/>
        </w:rPr>
        <w:sectPr>
          <w:footerReference w:type="default" r:id="rId52"/>
          <w:pgSz w:w="16840" w:h="11910" w:orient="landscape"/>
          <w:pgMar w:footer="1033" w:header="0" w:top="1100" w:bottom="1220" w:left="420" w:right="420"/>
          <w:pgNumType w:start="185"/>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4523"/>
        <w:gridCol w:w="2015"/>
        <w:gridCol w:w="1908"/>
        <w:gridCol w:w="1912"/>
        <w:gridCol w:w="2016"/>
        <w:gridCol w:w="1698"/>
        <w:gridCol w:w="1697"/>
      </w:tblGrid>
      <w:tr>
        <w:trPr>
          <w:trHeight w:val="307" w:hRule="exact"/>
        </w:trPr>
        <w:tc>
          <w:tcPr>
            <w:tcW w:w="4523"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201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4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90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90"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91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93"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201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4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698"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125"/>
              <w:jc w:val="right"/>
              <w:rPr>
                <w:rFonts w:ascii="宋体" w:hAnsi="宋体" w:cs="宋体" w:eastAsia="宋体" w:hint="default"/>
                <w:sz w:val="18"/>
                <w:szCs w:val="18"/>
              </w:rPr>
            </w:pPr>
            <w:r>
              <w:rPr>
                <w:rFonts w:ascii="宋体" w:hAnsi="宋体" w:cs="宋体" w:eastAsia="宋体" w:hint="default"/>
                <w:b/>
                <w:bCs/>
                <w:w w:val="95"/>
                <w:sz w:val="18"/>
                <w:szCs w:val="18"/>
              </w:rPr>
              <w:t>本年计提减值准备</w:t>
            </w:r>
            <w:r>
              <w:rPr>
                <w:rFonts w:ascii="宋体" w:hAnsi="宋体" w:cs="宋体" w:eastAsia="宋体" w:hint="default"/>
                <w:sz w:val="18"/>
                <w:szCs w:val="18"/>
              </w:rPr>
            </w:r>
          </w:p>
        </w:tc>
        <w:tc>
          <w:tcPr>
            <w:tcW w:w="1697"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125"/>
              <w:jc w:val="right"/>
              <w:rPr>
                <w:rFonts w:ascii="宋体" w:hAnsi="宋体" w:cs="宋体" w:eastAsia="宋体" w:hint="default"/>
                <w:sz w:val="18"/>
                <w:szCs w:val="18"/>
              </w:rPr>
            </w:pPr>
            <w:r>
              <w:rPr>
                <w:rFonts w:ascii="宋体" w:hAnsi="宋体" w:cs="宋体" w:eastAsia="宋体" w:hint="default"/>
                <w:b/>
                <w:bCs/>
                <w:w w:val="95"/>
                <w:sz w:val="18"/>
                <w:szCs w:val="18"/>
              </w:rPr>
              <w:t>减值准备年末余额</w:t>
            </w:r>
            <w:r>
              <w:rPr>
                <w:rFonts w:ascii="宋体" w:hAnsi="宋体" w:cs="宋体" w:eastAsia="宋体" w:hint="default"/>
                <w:sz w:val="18"/>
                <w:szCs w:val="18"/>
              </w:rPr>
            </w:r>
          </w:p>
        </w:tc>
      </w:tr>
      <w:tr>
        <w:trPr>
          <w:trHeight w:val="291" w:hRule="exact"/>
        </w:trPr>
        <w:tc>
          <w:tcPr>
            <w:tcW w:w="4523" w:type="dxa"/>
            <w:tcBorders>
              <w:top w:val="single" w:sz="4" w:space="0" w:color="000000"/>
              <w:left w:val="nil" w:sz="6" w:space="0" w:color="auto"/>
              <w:bottom w:val="nil" w:sz="6" w:space="0" w:color="auto"/>
              <w:right w:val="nil" w:sz="6" w:space="0" w:color="auto"/>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同方锐安科技有限公司</w:t>
            </w:r>
          </w:p>
        </w:tc>
        <w:tc>
          <w:tcPr>
            <w:tcW w:w="2015" w:type="dxa"/>
            <w:tcBorders>
              <w:top w:val="single" w:sz="4" w:space="0" w:color="000000"/>
              <w:left w:val="nil" w:sz="6" w:space="0" w:color="auto"/>
              <w:bottom w:val="nil" w:sz="6" w:space="0" w:color="auto"/>
              <w:right w:val="nil" w:sz="6" w:space="0" w:color="auto"/>
            </w:tcBorders>
          </w:tcPr>
          <w:p>
            <w:pPr>
              <w:pStyle w:val="TableParagraph"/>
              <w:spacing w:line="248" w:lineRule="exact"/>
              <w:ind w:right="105"/>
              <w:jc w:val="right"/>
              <w:rPr>
                <w:rFonts w:ascii="宋体" w:hAnsi="宋体" w:cs="宋体" w:eastAsia="宋体" w:hint="default"/>
                <w:sz w:val="21"/>
                <w:szCs w:val="21"/>
              </w:rPr>
            </w:pPr>
            <w:r>
              <w:rPr>
                <w:rFonts w:ascii="宋体"/>
                <w:spacing w:val="-1"/>
                <w:sz w:val="21"/>
              </w:rPr>
              <w:t>60,000,000.00</w:t>
            </w:r>
          </w:p>
        </w:tc>
        <w:tc>
          <w:tcPr>
            <w:tcW w:w="1908" w:type="dxa"/>
            <w:tcBorders>
              <w:top w:val="single" w:sz="4" w:space="0" w:color="000000"/>
              <w:left w:val="nil" w:sz="6" w:space="0" w:color="auto"/>
              <w:bottom w:val="nil" w:sz="6" w:space="0" w:color="auto"/>
              <w:right w:val="nil" w:sz="6" w:space="0" w:color="auto"/>
            </w:tcBorders>
          </w:tcPr>
          <w:p>
            <w:pPr>
              <w:pStyle w:val="TableParagraph"/>
              <w:spacing w:line="248" w:lineRule="exact"/>
              <w:ind w:right="106"/>
              <w:jc w:val="right"/>
              <w:rPr>
                <w:rFonts w:ascii="宋体" w:hAnsi="宋体" w:cs="宋体" w:eastAsia="宋体" w:hint="default"/>
                <w:sz w:val="21"/>
                <w:szCs w:val="21"/>
              </w:rPr>
            </w:pPr>
            <w:r>
              <w:rPr>
                <w:rFonts w:ascii="宋体"/>
                <w:sz w:val="21"/>
              </w:rPr>
              <w:t>0.00</w:t>
            </w:r>
          </w:p>
        </w:tc>
        <w:tc>
          <w:tcPr>
            <w:tcW w:w="1912" w:type="dxa"/>
            <w:tcBorders>
              <w:top w:val="single" w:sz="4" w:space="0" w:color="000000"/>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c>
          <w:tcPr>
            <w:tcW w:w="2016" w:type="dxa"/>
            <w:tcBorders>
              <w:top w:val="single" w:sz="4" w:space="0" w:color="000000"/>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pacing w:val="-1"/>
                <w:sz w:val="21"/>
              </w:rPr>
              <w:t>60,000,000.00</w:t>
            </w:r>
          </w:p>
        </w:tc>
        <w:tc>
          <w:tcPr>
            <w:tcW w:w="1698" w:type="dxa"/>
            <w:tcBorders>
              <w:top w:val="single" w:sz="4" w:space="0" w:color="000000"/>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c>
          <w:tcPr>
            <w:tcW w:w="1697" w:type="dxa"/>
            <w:tcBorders>
              <w:top w:val="single" w:sz="4" w:space="0" w:color="000000"/>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r>
      <w:tr>
        <w:trPr>
          <w:trHeight w:val="28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1"/>
                <w:szCs w:val="21"/>
              </w:rPr>
              <w:t>淮安同方水务有限公司</w:t>
            </w:r>
          </w:p>
        </w:tc>
        <w:tc>
          <w:tcPr>
            <w:tcW w:w="2015" w:type="dxa"/>
            <w:tcBorders>
              <w:top w:val="nil" w:sz="6" w:space="0" w:color="auto"/>
              <w:left w:val="nil" w:sz="6" w:space="0" w:color="auto"/>
              <w:bottom w:val="nil" w:sz="6" w:space="0" w:color="auto"/>
              <w:right w:val="nil" w:sz="6" w:space="0" w:color="auto"/>
            </w:tcBorders>
          </w:tcPr>
          <w:p>
            <w:pPr>
              <w:pStyle w:val="TableParagraph"/>
              <w:spacing w:line="249" w:lineRule="exact"/>
              <w:ind w:right="105"/>
              <w:jc w:val="right"/>
              <w:rPr>
                <w:rFonts w:ascii="宋体" w:hAnsi="宋体" w:cs="宋体" w:eastAsia="宋体" w:hint="default"/>
                <w:sz w:val="21"/>
                <w:szCs w:val="21"/>
              </w:rPr>
            </w:pPr>
            <w:r>
              <w:rPr>
                <w:rFonts w:ascii="宋体"/>
                <w:spacing w:val="-1"/>
                <w:sz w:val="21"/>
              </w:rPr>
              <w:t>57,260,000.00</w:t>
            </w:r>
          </w:p>
        </w:tc>
        <w:tc>
          <w:tcPr>
            <w:tcW w:w="1908" w:type="dxa"/>
            <w:tcBorders>
              <w:top w:val="nil" w:sz="6" w:space="0" w:color="auto"/>
              <w:left w:val="nil" w:sz="6" w:space="0" w:color="auto"/>
              <w:bottom w:val="nil" w:sz="6" w:space="0" w:color="auto"/>
              <w:right w:val="nil" w:sz="6" w:space="0" w:color="auto"/>
            </w:tcBorders>
          </w:tcPr>
          <w:p>
            <w:pPr>
              <w:pStyle w:val="TableParagraph"/>
              <w:spacing w:line="249" w:lineRule="exact"/>
              <w:ind w:right="106"/>
              <w:jc w:val="right"/>
              <w:rPr>
                <w:rFonts w:ascii="宋体" w:hAnsi="宋体" w:cs="宋体" w:eastAsia="宋体" w:hint="default"/>
                <w:sz w:val="21"/>
                <w:szCs w:val="21"/>
              </w:rPr>
            </w:pPr>
            <w:r>
              <w:rPr>
                <w:rFonts w:ascii="宋体"/>
                <w:sz w:val="21"/>
              </w:rPr>
              <w:t>0.00</w:t>
            </w:r>
          </w:p>
        </w:tc>
        <w:tc>
          <w:tcPr>
            <w:tcW w:w="1912"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pacing w:val="-1"/>
                <w:sz w:val="21"/>
              </w:rPr>
              <w:t>57,260,000.00</w:t>
            </w:r>
          </w:p>
        </w:tc>
        <w:tc>
          <w:tcPr>
            <w:tcW w:w="1698"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c>
          <w:tcPr>
            <w:tcW w:w="1697"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r>
      <w:tr>
        <w:trPr>
          <w:trHeight w:val="28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8" w:lineRule="exact"/>
              <w:ind w:left="107" w:right="0"/>
              <w:jc w:val="left"/>
              <w:rPr>
                <w:rFonts w:ascii="宋体" w:hAnsi="宋体" w:cs="宋体" w:eastAsia="宋体" w:hint="default"/>
                <w:sz w:val="21"/>
                <w:szCs w:val="21"/>
              </w:rPr>
            </w:pPr>
            <w:r>
              <w:rPr>
                <w:rFonts w:ascii="宋体"/>
                <w:sz w:val="21"/>
              </w:rPr>
              <w:t>Tong fang Hong Kong</w:t>
            </w:r>
            <w:r>
              <w:rPr>
                <w:rFonts w:ascii="宋体"/>
                <w:spacing w:val="-3"/>
                <w:sz w:val="21"/>
              </w:rPr>
              <w:t> </w:t>
            </w:r>
            <w:r>
              <w:rPr>
                <w:rFonts w:ascii="宋体"/>
                <w:sz w:val="21"/>
              </w:rPr>
              <w:t>Limited</w:t>
            </w:r>
          </w:p>
        </w:tc>
        <w:tc>
          <w:tcPr>
            <w:tcW w:w="2015" w:type="dxa"/>
            <w:tcBorders>
              <w:top w:val="nil" w:sz="6" w:space="0" w:color="auto"/>
              <w:left w:val="nil" w:sz="6" w:space="0" w:color="auto"/>
              <w:bottom w:val="nil" w:sz="6" w:space="0" w:color="auto"/>
              <w:right w:val="nil" w:sz="6" w:space="0" w:color="auto"/>
            </w:tcBorders>
          </w:tcPr>
          <w:p>
            <w:pPr>
              <w:pStyle w:val="TableParagraph"/>
              <w:spacing w:line="248" w:lineRule="exact"/>
              <w:ind w:right="105"/>
              <w:jc w:val="right"/>
              <w:rPr>
                <w:rFonts w:ascii="宋体" w:hAnsi="宋体" w:cs="宋体" w:eastAsia="宋体" w:hint="default"/>
                <w:sz w:val="21"/>
                <w:szCs w:val="21"/>
              </w:rPr>
            </w:pPr>
            <w:r>
              <w:rPr>
                <w:rFonts w:ascii="宋体"/>
                <w:spacing w:val="-1"/>
                <w:sz w:val="21"/>
              </w:rPr>
              <w:t>52,708,800.00</w:t>
            </w:r>
          </w:p>
        </w:tc>
        <w:tc>
          <w:tcPr>
            <w:tcW w:w="1908" w:type="dxa"/>
            <w:tcBorders>
              <w:top w:val="nil" w:sz="6" w:space="0" w:color="auto"/>
              <w:left w:val="nil" w:sz="6" w:space="0" w:color="auto"/>
              <w:bottom w:val="nil" w:sz="6" w:space="0" w:color="auto"/>
              <w:right w:val="nil" w:sz="6" w:space="0" w:color="auto"/>
            </w:tcBorders>
          </w:tcPr>
          <w:p>
            <w:pPr>
              <w:pStyle w:val="TableParagraph"/>
              <w:spacing w:line="248" w:lineRule="exact"/>
              <w:ind w:right="106"/>
              <w:jc w:val="right"/>
              <w:rPr>
                <w:rFonts w:ascii="宋体" w:hAnsi="宋体" w:cs="宋体" w:eastAsia="宋体" w:hint="default"/>
                <w:sz w:val="21"/>
                <w:szCs w:val="21"/>
              </w:rPr>
            </w:pPr>
            <w:r>
              <w:rPr>
                <w:rFonts w:ascii="宋体"/>
                <w:sz w:val="21"/>
              </w:rPr>
              <w:t>0.00</w:t>
            </w:r>
          </w:p>
        </w:tc>
        <w:tc>
          <w:tcPr>
            <w:tcW w:w="1912"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pacing w:val="-1"/>
                <w:sz w:val="21"/>
              </w:rPr>
              <w:t>52,708,800.00</w:t>
            </w:r>
          </w:p>
        </w:tc>
        <w:tc>
          <w:tcPr>
            <w:tcW w:w="1698"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c>
          <w:tcPr>
            <w:tcW w:w="1697"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r>
      <w:tr>
        <w:trPr>
          <w:trHeight w:val="28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1"/>
                <w:szCs w:val="21"/>
              </w:rPr>
              <w:t>清芯光电有限公司</w:t>
            </w:r>
          </w:p>
        </w:tc>
        <w:tc>
          <w:tcPr>
            <w:tcW w:w="2015" w:type="dxa"/>
            <w:tcBorders>
              <w:top w:val="nil" w:sz="6" w:space="0" w:color="auto"/>
              <w:left w:val="nil" w:sz="6" w:space="0" w:color="auto"/>
              <w:bottom w:val="nil" w:sz="6" w:space="0" w:color="auto"/>
              <w:right w:val="nil" w:sz="6" w:space="0" w:color="auto"/>
            </w:tcBorders>
          </w:tcPr>
          <w:p>
            <w:pPr>
              <w:pStyle w:val="TableParagraph"/>
              <w:spacing w:line="249" w:lineRule="exact"/>
              <w:ind w:right="105"/>
              <w:jc w:val="right"/>
              <w:rPr>
                <w:rFonts w:ascii="宋体" w:hAnsi="宋体" w:cs="宋体" w:eastAsia="宋体" w:hint="default"/>
                <w:sz w:val="21"/>
                <w:szCs w:val="21"/>
              </w:rPr>
            </w:pPr>
            <w:r>
              <w:rPr>
                <w:rFonts w:ascii="宋体"/>
                <w:spacing w:val="-1"/>
                <w:sz w:val="21"/>
              </w:rPr>
              <w:t>45,757,599.40</w:t>
            </w:r>
          </w:p>
        </w:tc>
        <w:tc>
          <w:tcPr>
            <w:tcW w:w="1908" w:type="dxa"/>
            <w:tcBorders>
              <w:top w:val="nil" w:sz="6" w:space="0" w:color="auto"/>
              <w:left w:val="nil" w:sz="6" w:space="0" w:color="auto"/>
              <w:bottom w:val="nil" w:sz="6" w:space="0" w:color="auto"/>
              <w:right w:val="nil" w:sz="6" w:space="0" w:color="auto"/>
            </w:tcBorders>
          </w:tcPr>
          <w:p>
            <w:pPr>
              <w:pStyle w:val="TableParagraph"/>
              <w:spacing w:line="249" w:lineRule="exact"/>
              <w:ind w:right="106"/>
              <w:jc w:val="right"/>
              <w:rPr>
                <w:rFonts w:ascii="宋体" w:hAnsi="宋体" w:cs="宋体" w:eastAsia="宋体" w:hint="default"/>
                <w:sz w:val="21"/>
                <w:szCs w:val="21"/>
              </w:rPr>
            </w:pPr>
            <w:r>
              <w:rPr>
                <w:rFonts w:ascii="宋体"/>
                <w:sz w:val="21"/>
              </w:rPr>
              <w:t>0.00</w:t>
            </w:r>
          </w:p>
        </w:tc>
        <w:tc>
          <w:tcPr>
            <w:tcW w:w="1912"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pacing w:val="-1"/>
                <w:sz w:val="21"/>
              </w:rPr>
              <w:t>45,757,599.40</w:t>
            </w:r>
          </w:p>
        </w:tc>
        <w:tc>
          <w:tcPr>
            <w:tcW w:w="1698"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c>
          <w:tcPr>
            <w:tcW w:w="1697" w:type="dxa"/>
            <w:tcBorders>
              <w:top w:val="nil" w:sz="6" w:space="0" w:color="auto"/>
              <w:left w:val="nil" w:sz="6" w:space="0" w:color="auto"/>
              <w:bottom w:val="nil" w:sz="6" w:space="0" w:color="auto"/>
              <w:right w:val="nil" w:sz="6" w:space="0" w:color="auto"/>
            </w:tcBorders>
          </w:tcPr>
          <w:p>
            <w:pPr>
              <w:pStyle w:val="TableParagraph"/>
              <w:spacing w:line="249" w:lineRule="exact"/>
              <w:ind w:right="105"/>
              <w:jc w:val="right"/>
              <w:rPr>
                <w:rFonts w:ascii="宋体" w:hAnsi="宋体" w:cs="宋体" w:eastAsia="宋体" w:hint="default"/>
                <w:sz w:val="21"/>
                <w:szCs w:val="21"/>
              </w:rPr>
            </w:pPr>
            <w:r>
              <w:rPr>
                <w:rFonts w:ascii="宋体"/>
                <w:spacing w:val="-1"/>
                <w:sz w:val="21"/>
              </w:rPr>
              <w:t>45,757,599.40</w:t>
            </w:r>
          </w:p>
        </w:tc>
      </w:tr>
      <w:tr>
        <w:trPr>
          <w:trHeight w:val="28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8" w:lineRule="exact"/>
              <w:ind w:left="107" w:right="0"/>
              <w:jc w:val="left"/>
              <w:rPr>
                <w:rFonts w:ascii="宋体" w:hAnsi="宋体" w:cs="宋体" w:eastAsia="宋体" w:hint="default"/>
                <w:sz w:val="21"/>
                <w:szCs w:val="21"/>
              </w:rPr>
            </w:pPr>
            <w:r>
              <w:rPr>
                <w:rFonts w:ascii="宋体"/>
                <w:sz w:val="21"/>
              </w:rPr>
              <w:t>Technovator International</w:t>
            </w:r>
            <w:r>
              <w:rPr>
                <w:rFonts w:ascii="宋体"/>
                <w:spacing w:val="-3"/>
                <w:sz w:val="21"/>
              </w:rPr>
              <w:t> </w:t>
            </w:r>
            <w:r>
              <w:rPr>
                <w:rFonts w:ascii="宋体"/>
                <w:sz w:val="21"/>
              </w:rPr>
              <w:t>Limited</w:t>
            </w:r>
          </w:p>
        </w:tc>
        <w:tc>
          <w:tcPr>
            <w:tcW w:w="2015" w:type="dxa"/>
            <w:tcBorders>
              <w:top w:val="nil" w:sz="6" w:space="0" w:color="auto"/>
              <w:left w:val="nil" w:sz="6" w:space="0" w:color="auto"/>
              <w:bottom w:val="nil" w:sz="6" w:space="0" w:color="auto"/>
              <w:right w:val="nil" w:sz="6" w:space="0" w:color="auto"/>
            </w:tcBorders>
          </w:tcPr>
          <w:p>
            <w:pPr>
              <w:pStyle w:val="TableParagraph"/>
              <w:spacing w:line="248" w:lineRule="exact"/>
              <w:ind w:right="105"/>
              <w:jc w:val="right"/>
              <w:rPr>
                <w:rFonts w:ascii="宋体" w:hAnsi="宋体" w:cs="宋体" w:eastAsia="宋体" w:hint="default"/>
                <w:sz w:val="21"/>
                <w:szCs w:val="21"/>
              </w:rPr>
            </w:pPr>
            <w:r>
              <w:rPr>
                <w:rFonts w:ascii="宋体"/>
                <w:spacing w:val="-1"/>
                <w:sz w:val="21"/>
              </w:rPr>
              <w:t>43,363,900.00</w:t>
            </w:r>
          </w:p>
        </w:tc>
        <w:tc>
          <w:tcPr>
            <w:tcW w:w="1908" w:type="dxa"/>
            <w:tcBorders>
              <w:top w:val="nil" w:sz="6" w:space="0" w:color="auto"/>
              <w:left w:val="nil" w:sz="6" w:space="0" w:color="auto"/>
              <w:bottom w:val="nil" w:sz="6" w:space="0" w:color="auto"/>
              <w:right w:val="nil" w:sz="6" w:space="0" w:color="auto"/>
            </w:tcBorders>
          </w:tcPr>
          <w:p>
            <w:pPr>
              <w:pStyle w:val="TableParagraph"/>
              <w:spacing w:line="248" w:lineRule="exact"/>
              <w:ind w:right="106"/>
              <w:jc w:val="right"/>
              <w:rPr>
                <w:rFonts w:ascii="宋体" w:hAnsi="宋体" w:cs="宋体" w:eastAsia="宋体" w:hint="default"/>
                <w:sz w:val="21"/>
                <w:szCs w:val="21"/>
              </w:rPr>
            </w:pPr>
            <w:r>
              <w:rPr>
                <w:rFonts w:ascii="宋体"/>
                <w:sz w:val="21"/>
              </w:rPr>
              <w:t>0.00</w:t>
            </w:r>
          </w:p>
        </w:tc>
        <w:tc>
          <w:tcPr>
            <w:tcW w:w="1912"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pacing w:val="-1"/>
                <w:sz w:val="21"/>
              </w:rPr>
              <w:t>43,363,900.00</w:t>
            </w:r>
          </w:p>
        </w:tc>
        <w:tc>
          <w:tcPr>
            <w:tcW w:w="1698"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c>
          <w:tcPr>
            <w:tcW w:w="1697"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r>
      <w:tr>
        <w:trPr>
          <w:trHeight w:val="288"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50" w:lineRule="exact"/>
              <w:ind w:left="107" w:right="0"/>
              <w:jc w:val="left"/>
              <w:rPr>
                <w:rFonts w:ascii="宋体" w:hAnsi="宋体" w:cs="宋体" w:eastAsia="宋体" w:hint="default"/>
                <w:sz w:val="21"/>
                <w:szCs w:val="21"/>
              </w:rPr>
            </w:pPr>
            <w:r>
              <w:rPr>
                <w:rFonts w:ascii="宋体" w:hAnsi="宋体" w:cs="宋体" w:eastAsia="宋体" w:hint="default"/>
                <w:sz w:val="21"/>
                <w:szCs w:val="21"/>
              </w:rPr>
              <w:t>同方光电（香港）有限公司</w:t>
            </w:r>
          </w:p>
        </w:tc>
        <w:tc>
          <w:tcPr>
            <w:tcW w:w="2015" w:type="dxa"/>
            <w:tcBorders>
              <w:top w:val="nil" w:sz="6" w:space="0" w:color="auto"/>
              <w:left w:val="nil" w:sz="6" w:space="0" w:color="auto"/>
              <w:bottom w:val="nil" w:sz="6" w:space="0" w:color="auto"/>
              <w:right w:val="nil" w:sz="6" w:space="0" w:color="auto"/>
            </w:tcBorders>
          </w:tcPr>
          <w:p>
            <w:pPr>
              <w:pStyle w:val="TableParagraph"/>
              <w:spacing w:line="250" w:lineRule="exact"/>
              <w:ind w:right="105"/>
              <w:jc w:val="right"/>
              <w:rPr>
                <w:rFonts w:ascii="宋体" w:hAnsi="宋体" w:cs="宋体" w:eastAsia="宋体" w:hint="default"/>
                <w:sz w:val="21"/>
                <w:szCs w:val="21"/>
              </w:rPr>
            </w:pPr>
            <w:r>
              <w:rPr>
                <w:rFonts w:ascii="宋体"/>
                <w:spacing w:val="-1"/>
                <w:sz w:val="21"/>
              </w:rPr>
              <w:t>39,478,529.25</w:t>
            </w:r>
          </w:p>
        </w:tc>
        <w:tc>
          <w:tcPr>
            <w:tcW w:w="1908" w:type="dxa"/>
            <w:tcBorders>
              <w:top w:val="nil" w:sz="6" w:space="0" w:color="auto"/>
              <w:left w:val="nil" w:sz="6" w:space="0" w:color="auto"/>
              <w:bottom w:val="nil" w:sz="6" w:space="0" w:color="auto"/>
              <w:right w:val="nil" w:sz="6" w:space="0" w:color="auto"/>
            </w:tcBorders>
          </w:tcPr>
          <w:p>
            <w:pPr>
              <w:pStyle w:val="TableParagraph"/>
              <w:spacing w:line="250" w:lineRule="exact"/>
              <w:ind w:right="106"/>
              <w:jc w:val="right"/>
              <w:rPr>
                <w:rFonts w:ascii="宋体" w:hAnsi="宋体" w:cs="宋体" w:eastAsia="宋体" w:hint="default"/>
                <w:sz w:val="21"/>
                <w:szCs w:val="21"/>
              </w:rPr>
            </w:pPr>
            <w:r>
              <w:rPr>
                <w:rFonts w:ascii="宋体"/>
                <w:sz w:val="21"/>
              </w:rPr>
              <w:t>0.00</w:t>
            </w:r>
          </w:p>
        </w:tc>
        <w:tc>
          <w:tcPr>
            <w:tcW w:w="1912" w:type="dxa"/>
            <w:tcBorders>
              <w:top w:val="nil" w:sz="6" w:space="0" w:color="auto"/>
              <w:left w:val="nil" w:sz="6" w:space="0" w:color="auto"/>
              <w:bottom w:val="nil" w:sz="6" w:space="0" w:color="auto"/>
              <w:right w:val="nil" w:sz="6" w:space="0" w:color="auto"/>
            </w:tcBorders>
          </w:tcPr>
          <w:p>
            <w:pPr>
              <w:pStyle w:val="TableParagraph"/>
              <w:spacing w:line="250" w:lineRule="exact"/>
              <w:ind w:right="107"/>
              <w:jc w:val="right"/>
              <w:rPr>
                <w:rFonts w:ascii="宋体" w:hAnsi="宋体" w:cs="宋体" w:eastAsia="宋体" w:hint="default"/>
                <w:sz w:val="21"/>
                <w:szCs w:val="21"/>
              </w:rPr>
            </w:pPr>
            <w:r>
              <w:rPr>
                <w:rFonts w:ascii="宋体"/>
                <w:sz w:val="21"/>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50" w:lineRule="exact"/>
              <w:ind w:right="107"/>
              <w:jc w:val="right"/>
              <w:rPr>
                <w:rFonts w:ascii="宋体" w:hAnsi="宋体" w:cs="宋体" w:eastAsia="宋体" w:hint="default"/>
                <w:sz w:val="21"/>
                <w:szCs w:val="21"/>
              </w:rPr>
            </w:pPr>
            <w:r>
              <w:rPr>
                <w:rFonts w:ascii="宋体"/>
                <w:spacing w:val="-1"/>
                <w:sz w:val="21"/>
              </w:rPr>
              <w:t>39,478,529.25</w:t>
            </w:r>
          </w:p>
        </w:tc>
        <w:tc>
          <w:tcPr>
            <w:tcW w:w="1698" w:type="dxa"/>
            <w:tcBorders>
              <w:top w:val="nil" w:sz="6" w:space="0" w:color="auto"/>
              <w:left w:val="nil" w:sz="6" w:space="0" w:color="auto"/>
              <w:bottom w:val="nil" w:sz="6" w:space="0" w:color="auto"/>
              <w:right w:val="nil" w:sz="6" w:space="0" w:color="auto"/>
            </w:tcBorders>
          </w:tcPr>
          <w:p>
            <w:pPr>
              <w:pStyle w:val="TableParagraph"/>
              <w:spacing w:line="250" w:lineRule="exact"/>
              <w:ind w:right="107"/>
              <w:jc w:val="right"/>
              <w:rPr>
                <w:rFonts w:ascii="宋体" w:hAnsi="宋体" w:cs="宋体" w:eastAsia="宋体" w:hint="default"/>
                <w:sz w:val="21"/>
                <w:szCs w:val="21"/>
              </w:rPr>
            </w:pPr>
            <w:r>
              <w:rPr>
                <w:rFonts w:ascii="宋体"/>
                <w:sz w:val="21"/>
              </w:rPr>
              <w:t>0.00</w:t>
            </w:r>
          </w:p>
        </w:tc>
        <w:tc>
          <w:tcPr>
            <w:tcW w:w="1697" w:type="dxa"/>
            <w:tcBorders>
              <w:top w:val="nil" w:sz="6" w:space="0" w:color="auto"/>
              <w:left w:val="nil" w:sz="6" w:space="0" w:color="auto"/>
              <w:bottom w:val="nil" w:sz="6" w:space="0" w:color="auto"/>
              <w:right w:val="nil" w:sz="6" w:space="0" w:color="auto"/>
            </w:tcBorders>
          </w:tcPr>
          <w:p>
            <w:pPr>
              <w:pStyle w:val="TableParagraph"/>
              <w:spacing w:line="250" w:lineRule="exact"/>
              <w:ind w:right="107"/>
              <w:jc w:val="right"/>
              <w:rPr>
                <w:rFonts w:ascii="宋体" w:hAnsi="宋体" w:cs="宋体" w:eastAsia="宋体" w:hint="default"/>
                <w:sz w:val="21"/>
                <w:szCs w:val="21"/>
              </w:rPr>
            </w:pPr>
            <w:r>
              <w:rPr>
                <w:rFonts w:ascii="宋体"/>
                <w:sz w:val="21"/>
              </w:rPr>
              <w:t>0.00</w:t>
            </w:r>
          </w:p>
        </w:tc>
      </w:tr>
      <w:tr>
        <w:trPr>
          <w:trHeight w:val="28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1"/>
                <w:szCs w:val="21"/>
              </w:rPr>
              <w:t>北京同方软件股份有限公司</w:t>
            </w:r>
          </w:p>
        </w:tc>
        <w:tc>
          <w:tcPr>
            <w:tcW w:w="2015" w:type="dxa"/>
            <w:tcBorders>
              <w:top w:val="nil" w:sz="6" w:space="0" w:color="auto"/>
              <w:left w:val="nil" w:sz="6" w:space="0" w:color="auto"/>
              <w:bottom w:val="nil" w:sz="6" w:space="0" w:color="auto"/>
              <w:right w:val="nil" w:sz="6" w:space="0" w:color="auto"/>
            </w:tcBorders>
          </w:tcPr>
          <w:p>
            <w:pPr>
              <w:pStyle w:val="TableParagraph"/>
              <w:spacing w:line="249" w:lineRule="exact"/>
              <w:ind w:right="105"/>
              <w:jc w:val="right"/>
              <w:rPr>
                <w:rFonts w:ascii="宋体" w:hAnsi="宋体" w:cs="宋体" w:eastAsia="宋体" w:hint="default"/>
                <w:sz w:val="21"/>
                <w:szCs w:val="21"/>
              </w:rPr>
            </w:pPr>
            <w:r>
              <w:rPr>
                <w:rFonts w:ascii="宋体"/>
                <w:spacing w:val="-1"/>
                <w:sz w:val="21"/>
              </w:rPr>
              <w:t>34,864,600.00</w:t>
            </w:r>
          </w:p>
        </w:tc>
        <w:tc>
          <w:tcPr>
            <w:tcW w:w="1908" w:type="dxa"/>
            <w:tcBorders>
              <w:top w:val="nil" w:sz="6" w:space="0" w:color="auto"/>
              <w:left w:val="nil" w:sz="6" w:space="0" w:color="auto"/>
              <w:bottom w:val="nil" w:sz="6" w:space="0" w:color="auto"/>
              <w:right w:val="nil" w:sz="6" w:space="0" w:color="auto"/>
            </w:tcBorders>
          </w:tcPr>
          <w:p>
            <w:pPr>
              <w:pStyle w:val="TableParagraph"/>
              <w:spacing w:line="249" w:lineRule="exact"/>
              <w:ind w:right="106"/>
              <w:jc w:val="right"/>
              <w:rPr>
                <w:rFonts w:ascii="宋体" w:hAnsi="宋体" w:cs="宋体" w:eastAsia="宋体" w:hint="default"/>
                <w:sz w:val="21"/>
                <w:szCs w:val="21"/>
              </w:rPr>
            </w:pPr>
            <w:r>
              <w:rPr>
                <w:rFonts w:ascii="宋体"/>
                <w:sz w:val="21"/>
              </w:rPr>
              <w:t>0.00</w:t>
            </w:r>
          </w:p>
        </w:tc>
        <w:tc>
          <w:tcPr>
            <w:tcW w:w="1912"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pacing w:val="-1"/>
                <w:sz w:val="21"/>
              </w:rPr>
              <w:t>34,864,600.00</w:t>
            </w:r>
          </w:p>
        </w:tc>
        <w:tc>
          <w:tcPr>
            <w:tcW w:w="1698"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c>
          <w:tcPr>
            <w:tcW w:w="1697"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r>
      <w:tr>
        <w:trPr>
          <w:trHeight w:val="283"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北京同方华光系统科技有限公司</w:t>
            </w:r>
          </w:p>
        </w:tc>
        <w:tc>
          <w:tcPr>
            <w:tcW w:w="2015" w:type="dxa"/>
            <w:tcBorders>
              <w:top w:val="nil" w:sz="6" w:space="0" w:color="auto"/>
              <w:left w:val="nil" w:sz="6" w:space="0" w:color="auto"/>
              <w:bottom w:val="nil" w:sz="6" w:space="0" w:color="auto"/>
              <w:right w:val="nil" w:sz="6" w:space="0" w:color="auto"/>
            </w:tcBorders>
          </w:tcPr>
          <w:p>
            <w:pPr>
              <w:pStyle w:val="TableParagraph"/>
              <w:spacing w:line="248" w:lineRule="exact"/>
              <w:ind w:right="105"/>
              <w:jc w:val="right"/>
              <w:rPr>
                <w:rFonts w:ascii="宋体" w:hAnsi="宋体" w:cs="宋体" w:eastAsia="宋体" w:hint="default"/>
                <w:sz w:val="21"/>
                <w:szCs w:val="21"/>
              </w:rPr>
            </w:pPr>
            <w:r>
              <w:rPr>
                <w:rFonts w:ascii="宋体"/>
                <w:spacing w:val="-1"/>
                <w:sz w:val="21"/>
              </w:rPr>
              <w:t>33,150,000.00</w:t>
            </w:r>
          </w:p>
        </w:tc>
        <w:tc>
          <w:tcPr>
            <w:tcW w:w="1908" w:type="dxa"/>
            <w:tcBorders>
              <w:top w:val="nil" w:sz="6" w:space="0" w:color="auto"/>
              <w:left w:val="nil" w:sz="6" w:space="0" w:color="auto"/>
              <w:bottom w:val="nil" w:sz="6" w:space="0" w:color="auto"/>
              <w:right w:val="nil" w:sz="6" w:space="0" w:color="auto"/>
            </w:tcBorders>
          </w:tcPr>
          <w:p>
            <w:pPr>
              <w:pStyle w:val="TableParagraph"/>
              <w:spacing w:line="248" w:lineRule="exact"/>
              <w:ind w:right="106"/>
              <w:jc w:val="right"/>
              <w:rPr>
                <w:rFonts w:ascii="宋体" w:hAnsi="宋体" w:cs="宋体" w:eastAsia="宋体" w:hint="default"/>
                <w:sz w:val="21"/>
                <w:szCs w:val="21"/>
              </w:rPr>
            </w:pPr>
            <w:r>
              <w:rPr>
                <w:rFonts w:ascii="宋体"/>
                <w:sz w:val="21"/>
              </w:rPr>
              <w:t>0.00</w:t>
            </w:r>
          </w:p>
        </w:tc>
        <w:tc>
          <w:tcPr>
            <w:tcW w:w="1912"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pacing w:val="-1"/>
                <w:sz w:val="21"/>
              </w:rPr>
              <w:t>33,150,000.00</w:t>
            </w:r>
          </w:p>
        </w:tc>
        <w:tc>
          <w:tcPr>
            <w:tcW w:w="1698"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c>
          <w:tcPr>
            <w:tcW w:w="1697"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r>
      <w:tr>
        <w:trPr>
          <w:trHeight w:val="552"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4" w:lineRule="exact"/>
              <w:ind w:left="107" w:right="0"/>
              <w:jc w:val="left"/>
              <w:rPr>
                <w:rFonts w:ascii="宋体" w:hAnsi="宋体" w:cs="宋体" w:eastAsia="宋体" w:hint="default"/>
                <w:sz w:val="21"/>
                <w:szCs w:val="21"/>
              </w:rPr>
            </w:pPr>
            <w:r>
              <w:rPr>
                <w:rFonts w:ascii="宋体" w:hAnsi="宋体" w:cs="宋体" w:eastAsia="宋体" w:hint="default"/>
                <w:sz w:val="21"/>
                <w:szCs w:val="21"/>
              </w:rPr>
              <w:t>北京同方星阑科技有限公司</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原同方传媒（北京）有限公司）</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6"/>
              <w:jc w:val="right"/>
              <w:rPr>
                <w:rFonts w:ascii="宋体" w:hAnsi="宋体" w:cs="宋体" w:eastAsia="宋体" w:hint="default"/>
                <w:sz w:val="21"/>
                <w:szCs w:val="21"/>
              </w:rPr>
            </w:pPr>
            <w:r>
              <w:rPr>
                <w:rFonts w:ascii="宋体"/>
                <w:sz w:val="21"/>
              </w:rPr>
              <w:t>1.00</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5"/>
              <w:jc w:val="right"/>
              <w:rPr>
                <w:rFonts w:ascii="宋体" w:hAnsi="宋体" w:cs="宋体" w:eastAsia="宋体" w:hint="default"/>
                <w:sz w:val="21"/>
                <w:szCs w:val="21"/>
              </w:rPr>
            </w:pPr>
            <w:r>
              <w:rPr>
                <w:rFonts w:ascii="宋体"/>
                <w:spacing w:val="-1"/>
                <w:sz w:val="21"/>
              </w:rPr>
              <w:t>23,950,000.00</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7"/>
              <w:jc w:val="right"/>
              <w:rPr>
                <w:rFonts w:ascii="宋体" w:hAnsi="宋体" w:cs="宋体" w:eastAsia="宋体" w:hint="default"/>
                <w:sz w:val="21"/>
                <w:szCs w:val="21"/>
              </w:rPr>
            </w:pPr>
            <w:r>
              <w:rPr>
                <w:rFonts w:ascii="宋体"/>
                <w:sz w:val="21"/>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7"/>
              <w:jc w:val="right"/>
              <w:rPr>
                <w:rFonts w:ascii="宋体" w:hAnsi="宋体" w:cs="宋体" w:eastAsia="宋体" w:hint="default"/>
                <w:sz w:val="21"/>
                <w:szCs w:val="21"/>
              </w:rPr>
            </w:pPr>
            <w:r>
              <w:rPr>
                <w:rFonts w:ascii="宋体"/>
                <w:spacing w:val="-1"/>
                <w:sz w:val="21"/>
              </w:rPr>
              <w:t>23,950,001.00</w:t>
            </w:r>
          </w:p>
        </w:tc>
        <w:tc>
          <w:tcPr>
            <w:tcW w:w="169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7"/>
              <w:jc w:val="right"/>
              <w:rPr>
                <w:rFonts w:ascii="宋体" w:hAnsi="宋体" w:cs="宋体" w:eastAsia="宋体" w:hint="default"/>
                <w:sz w:val="21"/>
                <w:szCs w:val="21"/>
              </w:rPr>
            </w:pPr>
            <w:r>
              <w:rPr>
                <w:rFonts w:ascii="宋体"/>
                <w:sz w:val="21"/>
              </w:rPr>
              <w:t>0.00</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7"/>
              <w:jc w:val="right"/>
              <w:rPr>
                <w:rFonts w:ascii="宋体" w:hAnsi="宋体" w:cs="宋体" w:eastAsia="宋体" w:hint="default"/>
                <w:sz w:val="21"/>
                <w:szCs w:val="21"/>
              </w:rPr>
            </w:pPr>
            <w:r>
              <w:rPr>
                <w:rFonts w:ascii="宋体"/>
                <w:sz w:val="21"/>
              </w:rPr>
              <w:t>0.00</w:t>
            </w:r>
          </w:p>
        </w:tc>
      </w:tr>
      <w:tr>
        <w:trPr>
          <w:trHeight w:val="283"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sz w:val="21"/>
              </w:rPr>
              <w:t>Tongfang Asia Pacific(R&amp;DCenter)</w:t>
            </w:r>
            <w:r>
              <w:rPr>
                <w:rFonts w:ascii="宋体"/>
                <w:spacing w:val="-3"/>
                <w:sz w:val="21"/>
              </w:rPr>
              <w:t> </w:t>
            </w:r>
            <w:r>
              <w:rPr>
                <w:rFonts w:ascii="宋体"/>
                <w:sz w:val="21"/>
              </w:rPr>
              <w:t>Pte.Ltd.</w:t>
            </w:r>
          </w:p>
        </w:tc>
        <w:tc>
          <w:tcPr>
            <w:tcW w:w="2015" w:type="dxa"/>
            <w:tcBorders>
              <w:top w:val="nil" w:sz="6" w:space="0" w:color="auto"/>
              <w:left w:val="nil" w:sz="6" w:space="0" w:color="auto"/>
              <w:bottom w:val="nil" w:sz="6" w:space="0" w:color="auto"/>
              <w:right w:val="nil" w:sz="6" w:space="0" w:color="auto"/>
            </w:tcBorders>
          </w:tcPr>
          <w:p>
            <w:pPr>
              <w:pStyle w:val="TableParagraph"/>
              <w:spacing w:line="246" w:lineRule="exact"/>
              <w:ind w:right="105"/>
              <w:jc w:val="right"/>
              <w:rPr>
                <w:rFonts w:ascii="宋体" w:hAnsi="宋体" w:cs="宋体" w:eastAsia="宋体" w:hint="default"/>
                <w:sz w:val="21"/>
                <w:szCs w:val="21"/>
              </w:rPr>
            </w:pPr>
            <w:r>
              <w:rPr>
                <w:rFonts w:ascii="宋体"/>
                <w:spacing w:val="-1"/>
                <w:sz w:val="21"/>
              </w:rPr>
              <w:t>21,772,500.00</w:t>
            </w:r>
          </w:p>
        </w:tc>
        <w:tc>
          <w:tcPr>
            <w:tcW w:w="1908" w:type="dxa"/>
            <w:tcBorders>
              <w:top w:val="nil" w:sz="6" w:space="0" w:color="auto"/>
              <w:left w:val="nil" w:sz="6" w:space="0" w:color="auto"/>
              <w:bottom w:val="nil" w:sz="6" w:space="0" w:color="auto"/>
              <w:right w:val="nil" w:sz="6" w:space="0" w:color="auto"/>
            </w:tcBorders>
          </w:tcPr>
          <w:p>
            <w:pPr>
              <w:pStyle w:val="TableParagraph"/>
              <w:spacing w:line="246" w:lineRule="exact"/>
              <w:ind w:right="106"/>
              <w:jc w:val="right"/>
              <w:rPr>
                <w:rFonts w:ascii="宋体" w:hAnsi="宋体" w:cs="宋体" w:eastAsia="宋体" w:hint="default"/>
                <w:sz w:val="21"/>
                <w:szCs w:val="21"/>
              </w:rPr>
            </w:pPr>
            <w:r>
              <w:rPr>
                <w:rFonts w:ascii="宋体"/>
                <w:sz w:val="21"/>
              </w:rPr>
              <w:t>0.00</w:t>
            </w:r>
          </w:p>
        </w:tc>
        <w:tc>
          <w:tcPr>
            <w:tcW w:w="1912" w:type="dxa"/>
            <w:tcBorders>
              <w:top w:val="nil" w:sz="6" w:space="0" w:color="auto"/>
              <w:left w:val="nil" w:sz="6" w:space="0" w:color="auto"/>
              <w:bottom w:val="nil" w:sz="6" w:space="0" w:color="auto"/>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z w:val="21"/>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pacing w:val="-1"/>
                <w:sz w:val="21"/>
              </w:rPr>
              <w:t>21,772,500.00</w:t>
            </w:r>
          </w:p>
        </w:tc>
        <w:tc>
          <w:tcPr>
            <w:tcW w:w="1698" w:type="dxa"/>
            <w:tcBorders>
              <w:top w:val="nil" w:sz="6" w:space="0" w:color="auto"/>
              <w:left w:val="nil" w:sz="6" w:space="0" w:color="auto"/>
              <w:bottom w:val="nil" w:sz="6" w:space="0" w:color="auto"/>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z w:val="21"/>
              </w:rPr>
              <w:t>0.00</w:t>
            </w:r>
          </w:p>
        </w:tc>
        <w:tc>
          <w:tcPr>
            <w:tcW w:w="1697" w:type="dxa"/>
            <w:tcBorders>
              <w:top w:val="nil" w:sz="6" w:space="0" w:color="auto"/>
              <w:left w:val="nil" w:sz="6" w:space="0" w:color="auto"/>
              <w:bottom w:val="nil" w:sz="6" w:space="0" w:color="auto"/>
              <w:right w:val="nil" w:sz="6" w:space="0" w:color="auto"/>
            </w:tcBorders>
          </w:tcPr>
          <w:p>
            <w:pPr>
              <w:pStyle w:val="TableParagraph"/>
              <w:spacing w:line="246" w:lineRule="exact"/>
              <w:ind w:right="107"/>
              <w:jc w:val="right"/>
              <w:rPr>
                <w:rFonts w:ascii="宋体" w:hAnsi="宋体" w:cs="宋体" w:eastAsia="宋体" w:hint="default"/>
                <w:sz w:val="21"/>
                <w:szCs w:val="21"/>
              </w:rPr>
            </w:pPr>
            <w:r>
              <w:rPr>
                <w:rFonts w:ascii="宋体"/>
                <w:sz w:val="21"/>
              </w:rPr>
              <w:t>0.00</w:t>
            </w:r>
          </w:p>
        </w:tc>
      </w:tr>
      <w:tr>
        <w:trPr>
          <w:trHeight w:val="28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北京同方光盘股份有限公司</w:t>
            </w:r>
          </w:p>
        </w:tc>
        <w:tc>
          <w:tcPr>
            <w:tcW w:w="2015" w:type="dxa"/>
            <w:tcBorders>
              <w:top w:val="nil" w:sz="6" w:space="0" w:color="auto"/>
              <w:left w:val="nil" w:sz="6" w:space="0" w:color="auto"/>
              <w:bottom w:val="nil" w:sz="6" w:space="0" w:color="auto"/>
              <w:right w:val="nil" w:sz="6" w:space="0" w:color="auto"/>
            </w:tcBorders>
          </w:tcPr>
          <w:p>
            <w:pPr>
              <w:pStyle w:val="TableParagraph"/>
              <w:spacing w:line="248" w:lineRule="exact"/>
              <w:ind w:right="105"/>
              <w:jc w:val="right"/>
              <w:rPr>
                <w:rFonts w:ascii="宋体" w:hAnsi="宋体" w:cs="宋体" w:eastAsia="宋体" w:hint="default"/>
                <w:sz w:val="21"/>
                <w:szCs w:val="21"/>
              </w:rPr>
            </w:pPr>
            <w:r>
              <w:rPr>
                <w:rFonts w:ascii="宋体"/>
                <w:spacing w:val="-1"/>
                <w:sz w:val="21"/>
              </w:rPr>
              <w:t>21,479,648.26</w:t>
            </w:r>
          </w:p>
        </w:tc>
        <w:tc>
          <w:tcPr>
            <w:tcW w:w="1908" w:type="dxa"/>
            <w:tcBorders>
              <w:top w:val="nil" w:sz="6" w:space="0" w:color="auto"/>
              <w:left w:val="nil" w:sz="6" w:space="0" w:color="auto"/>
              <w:bottom w:val="nil" w:sz="6" w:space="0" w:color="auto"/>
              <w:right w:val="nil" w:sz="6" w:space="0" w:color="auto"/>
            </w:tcBorders>
          </w:tcPr>
          <w:p>
            <w:pPr>
              <w:pStyle w:val="TableParagraph"/>
              <w:spacing w:line="248" w:lineRule="exact"/>
              <w:ind w:right="106"/>
              <w:jc w:val="right"/>
              <w:rPr>
                <w:rFonts w:ascii="宋体" w:hAnsi="宋体" w:cs="宋体" w:eastAsia="宋体" w:hint="default"/>
                <w:sz w:val="21"/>
                <w:szCs w:val="21"/>
              </w:rPr>
            </w:pPr>
            <w:r>
              <w:rPr>
                <w:rFonts w:ascii="宋体"/>
                <w:sz w:val="21"/>
              </w:rPr>
              <w:t>0.00</w:t>
            </w:r>
          </w:p>
        </w:tc>
        <w:tc>
          <w:tcPr>
            <w:tcW w:w="1912"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pacing w:val="-1"/>
                <w:sz w:val="21"/>
              </w:rPr>
              <w:t>21,479,648.26</w:t>
            </w:r>
          </w:p>
        </w:tc>
        <w:tc>
          <w:tcPr>
            <w:tcW w:w="1698"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c>
          <w:tcPr>
            <w:tcW w:w="1697"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r>
      <w:tr>
        <w:trPr>
          <w:trHeight w:val="28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9" w:lineRule="exact"/>
              <w:ind w:left="107" w:right="0"/>
              <w:jc w:val="left"/>
              <w:rPr>
                <w:rFonts w:ascii="宋体" w:hAnsi="宋体" w:cs="宋体" w:eastAsia="宋体" w:hint="default"/>
                <w:sz w:val="21"/>
                <w:szCs w:val="21"/>
              </w:rPr>
            </w:pPr>
            <w:r>
              <w:rPr>
                <w:rFonts w:ascii="宋体"/>
                <w:sz w:val="21"/>
              </w:rPr>
              <w:t>THTF</w:t>
            </w:r>
            <w:r>
              <w:rPr>
                <w:rFonts w:ascii="宋体"/>
                <w:spacing w:val="1"/>
                <w:sz w:val="21"/>
              </w:rPr>
              <w:t> </w:t>
            </w:r>
            <w:r>
              <w:rPr>
                <w:rFonts w:ascii="宋体"/>
                <w:sz w:val="21"/>
              </w:rPr>
              <w:t>USA,Inc.</w:t>
            </w:r>
          </w:p>
        </w:tc>
        <w:tc>
          <w:tcPr>
            <w:tcW w:w="2015" w:type="dxa"/>
            <w:tcBorders>
              <w:top w:val="nil" w:sz="6" w:space="0" w:color="auto"/>
              <w:left w:val="nil" w:sz="6" w:space="0" w:color="auto"/>
              <w:bottom w:val="nil" w:sz="6" w:space="0" w:color="auto"/>
              <w:right w:val="nil" w:sz="6" w:space="0" w:color="auto"/>
            </w:tcBorders>
          </w:tcPr>
          <w:p>
            <w:pPr>
              <w:pStyle w:val="TableParagraph"/>
              <w:spacing w:line="249" w:lineRule="exact"/>
              <w:ind w:right="105"/>
              <w:jc w:val="right"/>
              <w:rPr>
                <w:rFonts w:ascii="宋体" w:hAnsi="宋体" w:cs="宋体" w:eastAsia="宋体" w:hint="default"/>
                <w:sz w:val="21"/>
                <w:szCs w:val="21"/>
              </w:rPr>
            </w:pPr>
            <w:r>
              <w:rPr>
                <w:rFonts w:ascii="宋体"/>
                <w:spacing w:val="-1"/>
                <w:sz w:val="21"/>
              </w:rPr>
              <w:t>20,641,105.00</w:t>
            </w:r>
          </w:p>
        </w:tc>
        <w:tc>
          <w:tcPr>
            <w:tcW w:w="1908" w:type="dxa"/>
            <w:tcBorders>
              <w:top w:val="nil" w:sz="6" w:space="0" w:color="auto"/>
              <w:left w:val="nil" w:sz="6" w:space="0" w:color="auto"/>
              <w:bottom w:val="nil" w:sz="6" w:space="0" w:color="auto"/>
              <w:right w:val="nil" w:sz="6" w:space="0" w:color="auto"/>
            </w:tcBorders>
          </w:tcPr>
          <w:p>
            <w:pPr>
              <w:pStyle w:val="TableParagraph"/>
              <w:spacing w:line="249" w:lineRule="exact"/>
              <w:ind w:right="106"/>
              <w:jc w:val="right"/>
              <w:rPr>
                <w:rFonts w:ascii="宋体" w:hAnsi="宋体" w:cs="宋体" w:eastAsia="宋体" w:hint="default"/>
                <w:sz w:val="21"/>
                <w:szCs w:val="21"/>
              </w:rPr>
            </w:pPr>
            <w:r>
              <w:rPr>
                <w:rFonts w:ascii="宋体"/>
                <w:sz w:val="21"/>
              </w:rPr>
              <w:t>0.00</w:t>
            </w:r>
          </w:p>
        </w:tc>
        <w:tc>
          <w:tcPr>
            <w:tcW w:w="1912"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pacing w:val="-1"/>
                <w:sz w:val="21"/>
              </w:rPr>
              <w:t>20,641,105.00</w:t>
            </w:r>
          </w:p>
        </w:tc>
        <w:tc>
          <w:tcPr>
            <w:tcW w:w="1698"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c>
          <w:tcPr>
            <w:tcW w:w="1697"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r>
      <w:tr>
        <w:trPr>
          <w:trHeight w:val="28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同方健康科技（北京）股份有限公司</w:t>
            </w:r>
          </w:p>
        </w:tc>
        <w:tc>
          <w:tcPr>
            <w:tcW w:w="2015" w:type="dxa"/>
            <w:tcBorders>
              <w:top w:val="nil" w:sz="6" w:space="0" w:color="auto"/>
              <w:left w:val="nil" w:sz="6" w:space="0" w:color="auto"/>
              <w:bottom w:val="nil" w:sz="6" w:space="0" w:color="auto"/>
              <w:right w:val="nil" w:sz="6" w:space="0" w:color="auto"/>
            </w:tcBorders>
          </w:tcPr>
          <w:p>
            <w:pPr>
              <w:pStyle w:val="TableParagraph"/>
              <w:spacing w:line="248" w:lineRule="exact"/>
              <w:ind w:right="105"/>
              <w:jc w:val="right"/>
              <w:rPr>
                <w:rFonts w:ascii="宋体" w:hAnsi="宋体" w:cs="宋体" w:eastAsia="宋体" w:hint="default"/>
                <w:sz w:val="21"/>
                <w:szCs w:val="21"/>
              </w:rPr>
            </w:pPr>
            <w:r>
              <w:rPr>
                <w:rFonts w:ascii="宋体"/>
                <w:spacing w:val="-1"/>
                <w:sz w:val="21"/>
              </w:rPr>
              <w:t>17,500,000.00</w:t>
            </w:r>
          </w:p>
        </w:tc>
        <w:tc>
          <w:tcPr>
            <w:tcW w:w="1908" w:type="dxa"/>
            <w:tcBorders>
              <w:top w:val="nil" w:sz="6" w:space="0" w:color="auto"/>
              <w:left w:val="nil" w:sz="6" w:space="0" w:color="auto"/>
              <w:bottom w:val="nil" w:sz="6" w:space="0" w:color="auto"/>
              <w:right w:val="nil" w:sz="6" w:space="0" w:color="auto"/>
            </w:tcBorders>
          </w:tcPr>
          <w:p>
            <w:pPr>
              <w:pStyle w:val="TableParagraph"/>
              <w:spacing w:line="248" w:lineRule="exact"/>
              <w:ind w:right="106"/>
              <w:jc w:val="right"/>
              <w:rPr>
                <w:rFonts w:ascii="宋体" w:hAnsi="宋体" w:cs="宋体" w:eastAsia="宋体" w:hint="default"/>
                <w:sz w:val="21"/>
                <w:szCs w:val="21"/>
              </w:rPr>
            </w:pPr>
            <w:r>
              <w:rPr>
                <w:rFonts w:ascii="宋体"/>
                <w:sz w:val="21"/>
              </w:rPr>
              <w:t>0.00</w:t>
            </w:r>
          </w:p>
        </w:tc>
        <w:tc>
          <w:tcPr>
            <w:tcW w:w="1912"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pacing w:val="-1"/>
                <w:sz w:val="21"/>
              </w:rPr>
              <w:t>17,500,000.00</w:t>
            </w:r>
          </w:p>
        </w:tc>
        <w:tc>
          <w:tcPr>
            <w:tcW w:w="1698"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c>
          <w:tcPr>
            <w:tcW w:w="1697"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r>
      <w:tr>
        <w:trPr>
          <w:trHeight w:val="288"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50" w:lineRule="exact"/>
              <w:ind w:left="107" w:right="0"/>
              <w:jc w:val="left"/>
              <w:rPr>
                <w:rFonts w:ascii="宋体" w:hAnsi="宋体" w:cs="宋体" w:eastAsia="宋体" w:hint="default"/>
                <w:sz w:val="21"/>
                <w:szCs w:val="21"/>
              </w:rPr>
            </w:pPr>
            <w:r>
              <w:rPr>
                <w:rFonts w:ascii="宋体" w:hAnsi="宋体" w:cs="宋体" w:eastAsia="宋体" w:hint="default"/>
                <w:sz w:val="21"/>
                <w:szCs w:val="21"/>
              </w:rPr>
              <w:t>北京同方物业管理有限公司</w:t>
            </w:r>
          </w:p>
        </w:tc>
        <w:tc>
          <w:tcPr>
            <w:tcW w:w="2015" w:type="dxa"/>
            <w:tcBorders>
              <w:top w:val="nil" w:sz="6" w:space="0" w:color="auto"/>
              <w:left w:val="nil" w:sz="6" w:space="0" w:color="auto"/>
              <w:bottom w:val="nil" w:sz="6" w:space="0" w:color="auto"/>
              <w:right w:val="nil" w:sz="6" w:space="0" w:color="auto"/>
            </w:tcBorders>
          </w:tcPr>
          <w:p>
            <w:pPr>
              <w:pStyle w:val="TableParagraph"/>
              <w:spacing w:line="250" w:lineRule="exact"/>
              <w:ind w:right="105"/>
              <w:jc w:val="right"/>
              <w:rPr>
                <w:rFonts w:ascii="宋体" w:hAnsi="宋体" w:cs="宋体" w:eastAsia="宋体" w:hint="default"/>
                <w:sz w:val="21"/>
                <w:szCs w:val="21"/>
              </w:rPr>
            </w:pPr>
            <w:r>
              <w:rPr>
                <w:rFonts w:ascii="宋体"/>
                <w:spacing w:val="-1"/>
                <w:sz w:val="21"/>
              </w:rPr>
              <w:t>9,530,000.00</w:t>
            </w:r>
          </w:p>
        </w:tc>
        <w:tc>
          <w:tcPr>
            <w:tcW w:w="1908" w:type="dxa"/>
            <w:tcBorders>
              <w:top w:val="nil" w:sz="6" w:space="0" w:color="auto"/>
              <w:left w:val="nil" w:sz="6" w:space="0" w:color="auto"/>
              <w:bottom w:val="nil" w:sz="6" w:space="0" w:color="auto"/>
              <w:right w:val="nil" w:sz="6" w:space="0" w:color="auto"/>
            </w:tcBorders>
          </w:tcPr>
          <w:p>
            <w:pPr>
              <w:pStyle w:val="TableParagraph"/>
              <w:spacing w:line="250" w:lineRule="exact"/>
              <w:ind w:right="106"/>
              <w:jc w:val="right"/>
              <w:rPr>
                <w:rFonts w:ascii="宋体" w:hAnsi="宋体" w:cs="宋体" w:eastAsia="宋体" w:hint="default"/>
                <w:sz w:val="21"/>
                <w:szCs w:val="21"/>
              </w:rPr>
            </w:pPr>
            <w:r>
              <w:rPr>
                <w:rFonts w:ascii="宋体"/>
                <w:sz w:val="21"/>
              </w:rPr>
              <w:t>0.00</w:t>
            </w:r>
          </w:p>
        </w:tc>
        <w:tc>
          <w:tcPr>
            <w:tcW w:w="1912" w:type="dxa"/>
            <w:tcBorders>
              <w:top w:val="nil" w:sz="6" w:space="0" w:color="auto"/>
              <w:left w:val="nil" w:sz="6" w:space="0" w:color="auto"/>
              <w:bottom w:val="nil" w:sz="6" w:space="0" w:color="auto"/>
              <w:right w:val="nil" w:sz="6" w:space="0" w:color="auto"/>
            </w:tcBorders>
          </w:tcPr>
          <w:p>
            <w:pPr>
              <w:pStyle w:val="TableParagraph"/>
              <w:spacing w:line="250" w:lineRule="exact"/>
              <w:ind w:right="107"/>
              <w:jc w:val="right"/>
              <w:rPr>
                <w:rFonts w:ascii="宋体" w:hAnsi="宋体" w:cs="宋体" w:eastAsia="宋体" w:hint="default"/>
                <w:sz w:val="21"/>
                <w:szCs w:val="21"/>
              </w:rPr>
            </w:pPr>
            <w:r>
              <w:rPr>
                <w:rFonts w:ascii="宋体"/>
                <w:sz w:val="21"/>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50" w:lineRule="exact"/>
              <w:ind w:right="107"/>
              <w:jc w:val="right"/>
              <w:rPr>
                <w:rFonts w:ascii="宋体" w:hAnsi="宋体" w:cs="宋体" w:eastAsia="宋体" w:hint="default"/>
                <w:sz w:val="21"/>
                <w:szCs w:val="21"/>
              </w:rPr>
            </w:pPr>
            <w:r>
              <w:rPr>
                <w:rFonts w:ascii="宋体"/>
                <w:spacing w:val="-1"/>
                <w:sz w:val="21"/>
              </w:rPr>
              <w:t>9,530,000.00</w:t>
            </w:r>
          </w:p>
        </w:tc>
        <w:tc>
          <w:tcPr>
            <w:tcW w:w="1698" w:type="dxa"/>
            <w:tcBorders>
              <w:top w:val="nil" w:sz="6" w:space="0" w:color="auto"/>
              <w:left w:val="nil" w:sz="6" w:space="0" w:color="auto"/>
              <w:bottom w:val="nil" w:sz="6" w:space="0" w:color="auto"/>
              <w:right w:val="nil" w:sz="6" w:space="0" w:color="auto"/>
            </w:tcBorders>
          </w:tcPr>
          <w:p>
            <w:pPr>
              <w:pStyle w:val="TableParagraph"/>
              <w:spacing w:line="250" w:lineRule="exact"/>
              <w:ind w:right="107"/>
              <w:jc w:val="right"/>
              <w:rPr>
                <w:rFonts w:ascii="宋体" w:hAnsi="宋体" w:cs="宋体" w:eastAsia="宋体" w:hint="default"/>
                <w:sz w:val="21"/>
                <w:szCs w:val="21"/>
              </w:rPr>
            </w:pPr>
            <w:r>
              <w:rPr>
                <w:rFonts w:ascii="宋体"/>
                <w:sz w:val="21"/>
              </w:rPr>
              <w:t>0.00</w:t>
            </w:r>
          </w:p>
        </w:tc>
        <w:tc>
          <w:tcPr>
            <w:tcW w:w="1697" w:type="dxa"/>
            <w:tcBorders>
              <w:top w:val="nil" w:sz="6" w:space="0" w:color="auto"/>
              <w:left w:val="nil" w:sz="6" w:space="0" w:color="auto"/>
              <w:bottom w:val="nil" w:sz="6" w:space="0" w:color="auto"/>
              <w:right w:val="nil" w:sz="6" w:space="0" w:color="auto"/>
            </w:tcBorders>
          </w:tcPr>
          <w:p>
            <w:pPr>
              <w:pStyle w:val="TableParagraph"/>
              <w:spacing w:line="250" w:lineRule="exact"/>
              <w:ind w:right="107"/>
              <w:jc w:val="right"/>
              <w:rPr>
                <w:rFonts w:ascii="宋体" w:hAnsi="宋体" w:cs="宋体" w:eastAsia="宋体" w:hint="default"/>
                <w:sz w:val="21"/>
                <w:szCs w:val="21"/>
              </w:rPr>
            </w:pPr>
            <w:r>
              <w:rPr>
                <w:rFonts w:ascii="宋体"/>
                <w:sz w:val="21"/>
              </w:rPr>
              <w:t>0.00</w:t>
            </w:r>
          </w:p>
        </w:tc>
      </w:tr>
      <w:tr>
        <w:trPr>
          <w:trHeight w:val="28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1"/>
                <w:szCs w:val="21"/>
              </w:rPr>
              <w:t>北京市同方教育培训学校</w:t>
            </w:r>
          </w:p>
        </w:tc>
        <w:tc>
          <w:tcPr>
            <w:tcW w:w="2015" w:type="dxa"/>
            <w:tcBorders>
              <w:top w:val="nil" w:sz="6" w:space="0" w:color="auto"/>
              <w:left w:val="nil" w:sz="6" w:space="0" w:color="auto"/>
              <w:bottom w:val="nil" w:sz="6" w:space="0" w:color="auto"/>
              <w:right w:val="nil" w:sz="6" w:space="0" w:color="auto"/>
            </w:tcBorders>
          </w:tcPr>
          <w:p>
            <w:pPr>
              <w:pStyle w:val="TableParagraph"/>
              <w:spacing w:line="249" w:lineRule="exact"/>
              <w:ind w:right="105"/>
              <w:jc w:val="right"/>
              <w:rPr>
                <w:rFonts w:ascii="宋体" w:hAnsi="宋体" w:cs="宋体" w:eastAsia="宋体" w:hint="default"/>
                <w:sz w:val="21"/>
                <w:szCs w:val="21"/>
              </w:rPr>
            </w:pPr>
            <w:r>
              <w:rPr>
                <w:rFonts w:ascii="宋体"/>
                <w:spacing w:val="-1"/>
                <w:sz w:val="21"/>
              </w:rPr>
              <w:t>1,000,000.00</w:t>
            </w:r>
          </w:p>
        </w:tc>
        <w:tc>
          <w:tcPr>
            <w:tcW w:w="1908" w:type="dxa"/>
            <w:tcBorders>
              <w:top w:val="nil" w:sz="6" w:space="0" w:color="auto"/>
              <w:left w:val="nil" w:sz="6" w:space="0" w:color="auto"/>
              <w:bottom w:val="nil" w:sz="6" w:space="0" w:color="auto"/>
              <w:right w:val="nil" w:sz="6" w:space="0" w:color="auto"/>
            </w:tcBorders>
          </w:tcPr>
          <w:p>
            <w:pPr>
              <w:pStyle w:val="TableParagraph"/>
              <w:spacing w:line="249" w:lineRule="exact"/>
              <w:ind w:right="106"/>
              <w:jc w:val="right"/>
              <w:rPr>
                <w:rFonts w:ascii="宋体" w:hAnsi="宋体" w:cs="宋体" w:eastAsia="宋体" w:hint="default"/>
                <w:sz w:val="21"/>
                <w:szCs w:val="21"/>
              </w:rPr>
            </w:pPr>
            <w:r>
              <w:rPr>
                <w:rFonts w:ascii="宋体"/>
                <w:sz w:val="21"/>
              </w:rPr>
              <w:t>0.00</w:t>
            </w:r>
          </w:p>
        </w:tc>
        <w:tc>
          <w:tcPr>
            <w:tcW w:w="1912"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pacing w:val="-1"/>
                <w:sz w:val="21"/>
              </w:rPr>
              <w:t>1,000,000.00</w:t>
            </w:r>
          </w:p>
        </w:tc>
        <w:tc>
          <w:tcPr>
            <w:tcW w:w="1698"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c>
          <w:tcPr>
            <w:tcW w:w="1697"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r>
      <w:tr>
        <w:trPr>
          <w:trHeight w:val="28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辽宁同方安全技术有限公司</w:t>
            </w:r>
          </w:p>
        </w:tc>
        <w:tc>
          <w:tcPr>
            <w:tcW w:w="2015" w:type="dxa"/>
            <w:tcBorders>
              <w:top w:val="nil" w:sz="6" w:space="0" w:color="auto"/>
              <w:left w:val="nil" w:sz="6" w:space="0" w:color="auto"/>
              <w:bottom w:val="nil" w:sz="6" w:space="0" w:color="auto"/>
              <w:right w:val="nil" w:sz="6" w:space="0" w:color="auto"/>
            </w:tcBorders>
          </w:tcPr>
          <w:p>
            <w:pPr>
              <w:pStyle w:val="TableParagraph"/>
              <w:spacing w:line="248" w:lineRule="exact"/>
              <w:ind w:right="106"/>
              <w:jc w:val="right"/>
              <w:rPr>
                <w:rFonts w:ascii="宋体" w:hAnsi="宋体" w:cs="宋体" w:eastAsia="宋体" w:hint="default"/>
                <w:sz w:val="21"/>
                <w:szCs w:val="21"/>
              </w:rPr>
            </w:pPr>
            <w:r>
              <w:rPr>
                <w:rFonts w:ascii="宋体"/>
                <w:sz w:val="21"/>
              </w:rPr>
              <w:t>1.00</w:t>
            </w:r>
          </w:p>
        </w:tc>
        <w:tc>
          <w:tcPr>
            <w:tcW w:w="1908" w:type="dxa"/>
            <w:tcBorders>
              <w:top w:val="nil" w:sz="6" w:space="0" w:color="auto"/>
              <w:left w:val="nil" w:sz="6" w:space="0" w:color="auto"/>
              <w:bottom w:val="nil" w:sz="6" w:space="0" w:color="auto"/>
              <w:right w:val="nil" w:sz="6" w:space="0" w:color="auto"/>
            </w:tcBorders>
          </w:tcPr>
          <w:p>
            <w:pPr>
              <w:pStyle w:val="TableParagraph"/>
              <w:spacing w:line="248" w:lineRule="exact"/>
              <w:ind w:right="106"/>
              <w:jc w:val="right"/>
              <w:rPr>
                <w:rFonts w:ascii="宋体" w:hAnsi="宋体" w:cs="宋体" w:eastAsia="宋体" w:hint="default"/>
                <w:sz w:val="21"/>
                <w:szCs w:val="21"/>
              </w:rPr>
            </w:pPr>
            <w:r>
              <w:rPr>
                <w:rFonts w:ascii="宋体"/>
                <w:sz w:val="21"/>
              </w:rPr>
              <w:t>0.00</w:t>
            </w:r>
          </w:p>
        </w:tc>
        <w:tc>
          <w:tcPr>
            <w:tcW w:w="1912"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1.00</w:t>
            </w:r>
          </w:p>
        </w:tc>
        <w:tc>
          <w:tcPr>
            <w:tcW w:w="1698"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c>
          <w:tcPr>
            <w:tcW w:w="1697"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r>
      <w:tr>
        <w:trPr>
          <w:trHeight w:val="28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1"/>
                <w:szCs w:val="21"/>
              </w:rPr>
              <w:t>北京同方影视传媒科技有限公司</w:t>
            </w:r>
          </w:p>
        </w:tc>
        <w:tc>
          <w:tcPr>
            <w:tcW w:w="2015" w:type="dxa"/>
            <w:tcBorders>
              <w:top w:val="nil" w:sz="6" w:space="0" w:color="auto"/>
              <w:left w:val="nil" w:sz="6" w:space="0" w:color="auto"/>
              <w:bottom w:val="nil" w:sz="6" w:space="0" w:color="auto"/>
              <w:right w:val="nil" w:sz="6" w:space="0" w:color="auto"/>
            </w:tcBorders>
          </w:tcPr>
          <w:p>
            <w:pPr>
              <w:pStyle w:val="TableParagraph"/>
              <w:spacing w:line="249" w:lineRule="exact"/>
              <w:ind w:right="106"/>
              <w:jc w:val="right"/>
              <w:rPr>
                <w:rFonts w:ascii="宋体" w:hAnsi="宋体" w:cs="宋体" w:eastAsia="宋体" w:hint="default"/>
                <w:sz w:val="21"/>
                <w:szCs w:val="21"/>
              </w:rPr>
            </w:pPr>
            <w:r>
              <w:rPr>
                <w:rFonts w:ascii="宋体"/>
                <w:sz w:val="21"/>
              </w:rPr>
              <w:t>1.00</w:t>
            </w:r>
          </w:p>
        </w:tc>
        <w:tc>
          <w:tcPr>
            <w:tcW w:w="1908" w:type="dxa"/>
            <w:tcBorders>
              <w:top w:val="nil" w:sz="6" w:space="0" w:color="auto"/>
              <w:left w:val="nil" w:sz="6" w:space="0" w:color="auto"/>
              <w:bottom w:val="nil" w:sz="6" w:space="0" w:color="auto"/>
              <w:right w:val="nil" w:sz="6" w:space="0" w:color="auto"/>
            </w:tcBorders>
          </w:tcPr>
          <w:p>
            <w:pPr>
              <w:pStyle w:val="TableParagraph"/>
              <w:spacing w:line="249" w:lineRule="exact"/>
              <w:ind w:right="106"/>
              <w:jc w:val="right"/>
              <w:rPr>
                <w:rFonts w:ascii="宋体" w:hAnsi="宋体" w:cs="宋体" w:eastAsia="宋体" w:hint="default"/>
                <w:sz w:val="21"/>
                <w:szCs w:val="21"/>
              </w:rPr>
            </w:pPr>
            <w:r>
              <w:rPr>
                <w:rFonts w:ascii="宋体"/>
                <w:sz w:val="21"/>
              </w:rPr>
              <w:t>0.00</w:t>
            </w:r>
          </w:p>
        </w:tc>
        <w:tc>
          <w:tcPr>
            <w:tcW w:w="1912"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1.00</w:t>
            </w:r>
          </w:p>
        </w:tc>
        <w:tc>
          <w:tcPr>
            <w:tcW w:w="1698"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c>
          <w:tcPr>
            <w:tcW w:w="1697" w:type="dxa"/>
            <w:tcBorders>
              <w:top w:val="nil" w:sz="6" w:space="0" w:color="auto"/>
              <w:left w:val="nil" w:sz="6" w:space="0" w:color="auto"/>
              <w:bottom w:val="nil" w:sz="6" w:space="0" w:color="auto"/>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r>
      <w:tr>
        <w:trPr>
          <w:trHeight w:val="287" w:hRule="exact"/>
        </w:trPr>
        <w:tc>
          <w:tcPr>
            <w:tcW w:w="4523" w:type="dxa"/>
            <w:tcBorders>
              <w:top w:val="nil" w:sz="6" w:space="0" w:color="auto"/>
              <w:left w:val="nil" w:sz="6" w:space="0" w:color="auto"/>
              <w:bottom w:val="nil" w:sz="6" w:space="0" w:color="auto"/>
              <w:right w:val="nil" w:sz="6" w:space="0" w:color="auto"/>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南通同方科技园有限公司</w:t>
            </w:r>
          </w:p>
        </w:tc>
        <w:tc>
          <w:tcPr>
            <w:tcW w:w="2015" w:type="dxa"/>
            <w:tcBorders>
              <w:top w:val="nil" w:sz="6" w:space="0" w:color="auto"/>
              <w:left w:val="nil" w:sz="6" w:space="0" w:color="auto"/>
              <w:bottom w:val="nil" w:sz="6" w:space="0" w:color="auto"/>
              <w:right w:val="nil" w:sz="6" w:space="0" w:color="auto"/>
            </w:tcBorders>
          </w:tcPr>
          <w:p>
            <w:pPr>
              <w:pStyle w:val="TableParagraph"/>
              <w:spacing w:line="248" w:lineRule="exact"/>
              <w:ind w:right="103"/>
              <w:jc w:val="right"/>
              <w:rPr>
                <w:rFonts w:ascii="宋体" w:hAnsi="宋体" w:cs="宋体" w:eastAsia="宋体" w:hint="default"/>
                <w:sz w:val="21"/>
                <w:szCs w:val="21"/>
              </w:rPr>
            </w:pPr>
            <w:r>
              <w:rPr>
                <w:rFonts w:ascii="宋体"/>
                <w:spacing w:val="-1"/>
                <w:sz w:val="21"/>
              </w:rPr>
              <w:t>826,000,000.00</w:t>
            </w:r>
          </w:p>
        </w:tc>
        <w:tc>
          <w:tcPr>
            <w:tcW w:w="1908" w:type="dxa"/>
            <w:tcBorders>
              <w:top w:val="nil" w:sz="6" w:space="0" w:color="auto"/>
              <w:left w:val="nil" w:sz="6" w:space="0" w:color="auto"/>
              <w:bottom w:val="nil" w:sz="6" w:space="0" w:color="auto"/>
              <w:right w:val="nil" w:sz="6" w:space="0" w:color="auto"/>
            </w:tcBorders>
          </w:tcPr>
          <w:p>
            <w:pPr>
              <w:pStyle w:val="TableParagraph"/>
              <w:spacing w:line="248" w:lineRule="exact"/>
              <w:ind w:right="106"/>
              <w:jc w:val="right"/>
              <w:rPr>
                <w:rFonts w:ascii="宋体" w:hAnsi="宋体" w:cs="宋体" w:eastAsia="宋体" w:hint="default"/>
                <w:sz w:val="21"/>
                <w:szCs w:val="21"/>
              </w:rPr>
            </w:pPr>
            <w:r>
              <w:rPr>
                <w:rFonts w:ascii="宋体"/>
                <w:sz w:val="21"/>
              </w:rPr>
              <w:t>0.00</w:t>
            </w:r>
          </w:p>
        </w:tc>
        <w:tc>
          <w:tcPr>
            <w:tcW w:w="1912" w:type="dxa"/>
            <w:tcBorders>
              <w:top w:val="nil" w:sz="6" w:space="0" w:color="auto"/>
              <w:left w:val="nil" w:sz="6" w:space="0" w:color="auto"/>
              <w:bottom w:val="nil" w:sz="6" w:space="0" w:color="auto"/>
              <w:right w:val="nil" w:sz="6" w:space="0" w:color="auto"/>
            </w:tcBorders>
          </w:tcPr>
          <w:p>
            <w:pPr>
              <w:pStyle w:val="TableParagraph"/>
              <w:spacing w:line="248" w:lineRule="exact"/>
              <w:ind w:right="104"/>
              <w:jc w:val="right"/>
              <w:rPr>
                <w:rFonts w:ascii="宋体" w:hAnsi="宋体" w:cs="宋体" w:eastAsia="宋体" w:hint="default"/>
                <w:sz w:val="21"/>
                <w:szCs w:val="21"/>
              </w:rPr>
            </w:pPr>
            <w:r>
              <w:rPr>
                <w:rFonts w:ascii="宋体"/>
                <w:spacing w:val="-1"/>
                <w:sz w:val="21"/>
              </w:rPr>
              <w:t>826,000,000.00</w:t>
            </w:r>
          </w:p>
        </w:tc>
        <w:tc>
          <w:tcPr>
            <w:tcW w:w="2016"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c>
          <w:tcPr>
            <w:tcW w:w="1698"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c>
          <w:tcPr>
            <w:tcW w:w="1697" w:type="dxa"/>
            <w:tcBorders>
              <w:top w:val="nil" w:sz="6" w:space="0" w:color="auto"/>
              <w:left w:val="nil" w:sz="6" w:space="0" w:color="auto"/>
              <w:bottom w:val="nil" w:sz="6" w:space="0" w:color="auto"/>
              <w:right w:val="nil" w:sz="6" w:space="0" w:color="auto"/>
            </w:tcBorders>
          </w:tcPr>
          <w:p>
            <w:pPr>
              <w:pStyle w:val="TableParagraph"/>
              <w:spacing w:line="248" w:lineRule="exact"/>
              <w:ind w:right="107"/>
              <w:jc w:val="right"/>
              <w:rPr>
                <w:rFonts w:ascii="宋体" w:hAnsi="宋体" w:cs="宋体" w:eastAsia="宋体" w:hint="default"/>
                <w:sz w:val="21"/>
                <w:szCs w:val="21"/>
              </w:rPr>
            </w:pPr>
            <w:r>
              <w:rPr>
                <w:rFonts w:ascii="宋体"/>
                <w:sz w:val="21"/>
              </w:rPr>
              <w:t>0.00</w:t>
            </w:r>
          </w:p>
        </w:tc>
      </w:tr>
      <w:tr>
        <w:trPr>
          <w:trHeight w:val="292" w:hRule="exact"/>
        </w:trPr>
        <w:tc>
          <w:tcPr>
            <w:tcW w:w="4523" w:type="dxa"/>
            <w:tcBorders>
              <w:top w:val="nil" w:sz="6" w:space="0" w:color="auto"/>
              <w:left w:val="nil" w:sz="6" w:space="0" w:color="auto"/>
              <w:bottom w:val="single" w:sz="4" w:space="0" w:color="000000"/>
              <w:right w:val="nil" w:sz="6" w:space="0" w:color="auto"/>
            </w:tcBorders>
          </w:tcPr>
          <w:p>
            <w:pPr>
              <w:pStyle w:val="TableParagraph"/>
              <w:spacing w:line="249" w:lineRule="exact"/>
              <w:ind w:left="107" w:right="0"/>
              <w:jc w:val="left"/>
              <w:rPr>
                <w:rFonts w:ascii="宋体" w:hAnsi="宋体" w:cs="宋体" w:eastAsia="宋体" w:hint="default"/>
                <w:sz w:val="21"/>
                <w:szCs w:val="21"/>
              </w:rPr>
            </w:pPr>
            <w:r>
              <w:rPr>
                <w:rFonts w:ascii="宋体" w:hAnsi="宋体" w:cs="宋体" w:eastAsia="宋体" w:hint="default"/>
                <w:sz w:val="21"/>
                <w:szCs w:val="21"/>
              </w:rPr>
              <w:t>沈阳同方科技园有限公司</w:t>
            </w:r>
          </w:p>
        </w:tc>
        <w:tc>
          <w:tcPr>
            <w:tcW w:w="2015" w:type="dxa"/>
            <w:tcBorders>
              <w:top w:val="nil" w:sz="6" w:space="0" w:color="auto"/>
              <w:left w:val="nil" w:sz="6" w:space="0" w:color="auto"/>
              <w:bottom w:val="single" w:sz="4" w:space="0" w:color="000000"/>
              <w:right w:val="nil" w:sz="6" w:space="0" w:color="auto"/>
            </w:tcBorders>
          </w:tcPr>
          <w:p>
            <w:pPr>
              <w:pStyle w:val="TableParagraph"/>
              <w:spacing w:line="249" w:lineRule="exact"/>
              <w:ind w:right="103"/>
              <w:jc w:val="right"/>
              <w:rPr>
                <w:rFonts w:ascii="宋体" w:hAnsi="宋体" w:cs="宋体" w:eastAsia="宋体" w:hint="default"/>
                <w:sz w:val="21"/>
                <w:szCs w:val="21"/>
              </w:rPr>
            </w:pPr>
            <w:r>
              <w:rPr>
                <w:rFonts w:ascii="宋体"/>
                <w:spacing w:val="-1"/>
                <w:sz w:val="21"/>
              </w:rPr>
              <w:t>396,271,232.65</w:t>
            </w:r>
          </w:p>
        </w:tc>
        <w:tc>
          <w:tcPr>
            <w:tcW w:w="1908" w:type="dxa"/>
            <w:tcBorders>
              <w:top w:val="nil" w:sz="6" w:space="0" w:color="auto"/>
              <w:left w:val="nil" w:sz="6" w:space="0" w:color="auto"/>
              <w:bottom w:val="single" w:sz="4" w:space="0" w:color="000000"/>
              <w:right w:val="nil" w:sz="6" w:space="0" w:color="auto"/>
            </w:tcBorders>
          </w:tcPr>
          <w:p>
            <w:pPr>
              <w:pStyle w:val="TableParagraph"/>
              <w:spacing w:line="249" w:lineRule="exact"/>
              <w:ind w:right="106"/>
              <w:jc w:val="right"/>
              <w:rPr>
                <w:rFonts w:ascii="宋体" w:hAnsi="宋体" w:cs="宋体" w:eastAsia="宋体" w:hint="default"/>
                <w:sz w:val="21"/>
                <w:szCs w:val="21"/>
              </w:rPr>
            </w:pPr>
            <w:r>
              <w:rPr>
                <w:rFonts w:ascii="宋体"/>
                <w:sz w:val="21"/>
              </w:rPr>
              <w:t>0.00</w:t>
            </w:r>
          </w:p>
        </w:tc>
        <w:tc>
          <w:tcPr>
            <w:tcW w:w="1912" w:type="dxa"/>
            <w:tcBorders>
              <w:top w:val="nil" w:sz="6" w:space="0" w:color="auto"/>
              <w:left w:val="nil" w:sz="6" w:space="0" w:color="auto"/>
              <w:bottom w:val="single" w:sz="4" w:space="0" w:color="000000"/>
              <w:right w:val="nil" w:sz="6" w:space="0" w:color="auto"/>
            </w:tcBorders>
          </w:tcPr>
          <w:p>
            <w:pPr>
              <w:pStyle w:val="TableParagraph"/>
              <w:spacing w:line="249" w:lineRule="exact"/>
              <w:ind w:right="104"/>
              <w:jc w:val="right"/>
              <w:rPr>
                <w:rFonts w:ascii="宋体" w:hAnsi="宋体" w:cs="宋体" w:eastAsia="宋体" w:hint="default"/>
                <w:sz w:val="21"/>
                <w:szCs w:val="21"/>
              </w:rPr>
            </w:pPr>
            <w:r>
              <w:rPr>
                <w:rFonts w:ascii="宋体"/>
                <w:spacing w:val="-1"/>
                <w:sz w:val="21"/>
              </w:rPr>
              <w:t>396,271,232.65</w:t>
            </w:r>
          </w:p>
        </w:tc>
        <w:tc>
          <w:tcPr>
            <w:tcW w:w="2016" w:type="dxa"/>
            <w:tcBorders>
              <w:top w:val="nil" w:sz="6" w:space="0" w:color="auto"/>
              <w:left w:val="nil" w:sz="6" w:space="0" w:color="auto"/>
              <w:bottom w:val="single" w:sz="4" w:space="0" w:color="000000"/>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c>
          <w:tcPr>
            <w:tcW w:w="1698" w:type="dxa"/>
            <w:tcBorders>
              <w:top w:val="nil" w:sz="6" w:space="0" w:color="auto"/>
              <w:left w:val="nil" w:sz="6" w:space="0" w:color="auto"/>
              <w:bottom w:val="single" w:sz="4" w:space="0" w:color="000000"/>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c>
          <w:tcPr>
            <w:tcW w:w="1697" w:type="dxa"/>
            <w:tcBorders>
              <w:top w:val="nil" w:sz="6" w:space="0" w:color="auto"/>
              <w:left w:val="nil" w:sz="6" w:space="0" w:color="auto"/>
              <w:bottom w:val="single" w:sz="4" w:space="0" w:color="000000"/>
              <w:right w:val="nil" w:sz="6" w:space="0" w:color="auto"/>
            </w:tcBorders>
          </w:tcPr>
          <w:p>
            <w:pPr>
              <w:pStyle w:val="TableParagraph"/>
              <w:spacing w:line="249" w:lineRule="exact"/>
              <w:ind w:right="107"/>
              <w:jc w:val="right"/>
              <w:rPr>
                <w:rFonts w:ascii="宋体" w:hAnsi="宋体" w:cs="宋体" w:eastAsia="宋体" w:hint="default"/>
                <w:sz w:val="21"/>
                <w:szCs w:val="21"/>
              </w:rPr>
            </w:pPr>
            <w:r>
              <w:rPr>
                <w:rFonts w:ascii="宋体"/>
                <w:sz w:val="21"/>
              </w:rPr>
              <w:t>0.00</w:t>
            </w:r>
          </w:p>
        </w:tc>
      </w:tr>
      <w:tr>
        <w:trPr>
          <w:trHeight w:val="310" w:hRule="exact"/>
        </w:trPr>
        <w:tc>
          <w:tcPr>
            <w:tcW w:w="4523" w:type="dxa"/>
            <w:tcBorders>
              <w:top w:val="single" w:sz="4" w:space="0" w:color="000000"/>
              <w:left w:val="nil" w:sz="6" w:space="0" w:color="auto"/>
              <w:bottom w:val="single" w:sz="12" w:space="0" w:color="000000"/>
              <w:right w:val="nil" w:sz="6" w:space="0" w:color="auto"/>
            </w:tcBorders>
          </w:tcPr>
          <w:p>
            <w:pPr>
              <w:pStyle w:val="TableParagraph"/>
              <w:spacing w:line="250"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15" w:type="dxa"/>
            <w:tcBorders>
              <w:top w:val="single" w:sz="4" w:space="0" w:color="000000"/>
              <w:left w:val="nil" w:sz="6" w:space="0" w:color="auto"/>
              <w:bottom w:val="single" w:sz="12" w:space="0" w:color="000000"/>
              <w:right w:val="nil" w:sz="6" w:space="0" w:color="auto"/>
            </w:tcBorders>
          </w:tcPr>
          <w:p>
            <w:pPr>
              <w:pStyle w:val="TableParagraph"/>
              <w:spacing w:line="250" w:lineRule="exact"/>
              <w:ind w:right="107"/>
              <w:jc w:val="right"/>
              <w:rPr>
                <w:rFonts w:ascii="宋体" w:hAnsi="宋体" w:cs="宋体" w:eastAsia="宋体" w:hint="default"/>
                <w:sz w:val="21"/>
                <w:szCs w:val="21"/>
              </w:rPr>
            </w:pPr>
            <w:r>
              <w:rPr>
                <w:rFonts w:ascii="宋体"/>
                <w:b/>
                <w:sz w:val="21"/>
              </w:rPr>
              <w:t>13,967,613,853.63</w:t>
            </w:r>
            <w:r>
              <w:rPr>
                <w:rFonts w:ascii="宋体"/>
                <w:sz w:val="21"/>
              </w:rPr>
            </w:r>
          </w:p>
        </w:tc>
        <w:tc>
          <w:tcPr>
            <w:tcW w:w="1908" w:type="dxa"/>
            <w:tcBorders>
              <w:top w:val="single" w:sz="4" w:space="0" w:color="000000"/>
              <w:left w:val="nil" w:sz="6" w:space="0" w:color="auto"/>
              <w:bottom w:val="single" w:sz="12" w:space="0" w:color="000000"/>
              <w:right w:val="nil" w:sz="6" w:space="0" w:color="auto"/>
            </w:tcBorders>
          </w:tcPr>
          <w:p>
            <w:pPr>
              <w:pStyle w:val="TableParagraph"/>
              <w:spacing w:line="250" w:lineRule="exact"/>
              <w:ind w:right="106"/>
              <w:jc w:val="right"/>
              <w:rPr>
                <w:rFonts w:ascii="宋体" w:hAnsi="宋体" w:cs="宋体" w:eastAsia="宋体" w:hint="default"/>
                <w:sz w:val="21"/>
                <w:szCs w:val="21"/>
              </w:rPr>
            </w:pPr>
            <w:r>
              <w:rPr>
                <w:rFonts w:ascii="宋体"/>
                <w:b/>
                <w:sz w:val="21"/>
              </w:rPr>
              <w:t>1,663,541,232.65</w:t>
            </w:r>
            <w:r>
              <w:rPr>
                <w:rFonts w:ascii="宋体"/>
                <w:sz w:val="21"/>
              </w:rPr>
            </w:r>
          </w:p>
        </w:tc>
        <w:tc>
          <w:tcPr>
            <w:tcW w:w="1912" w:type="dxa"/>
            <w:tcBorders>
              <w:top w:val="single" w:sz="4" w:space="0" w:color="000000"/>
              <w:left w:val="nil" w:sz="6" w:space="0" w:color="auto"/>
              <w:bottom w:val="single" w:sz="12" w:space="0" w:color="000000"/>
              <w:right w:val="nil" w:sz="6" w:space="0" w:color="auto"/>
            </w:tcBorders>
          </w:tcPr>
          <w:p>
            <w:pPr>
              <w:pStyle w:val="TableParagraph"/>
              <w:spacing w:line="250" w:lineRule="exact"/>
              <w:ind w:right="108"/>
              <w:jc w:val="right"/>
              <w:rPr>
                <w:rFonts w:ascii="宋体" w:hAnsi="宋体" w:cs="宋体" w:eastAsia="宋体" w:hint="default"/>
                <w:sz w:val="21"/>
                <w:szCs w:val="21"/>
              </w:rPr>
            </w:pPr>
            <w:r>
              <w:rPr>
                <w:rFonts w:ascii="宋体"/>
                <w:b/>
                <w:sz w:val="21"/>
              </w:rPr>
              <w:t>1,387,391,232.65</w:t>
            </w:r>
            <w:r>
              <w:rPr>
                <w:rFonts w:ascii="宋体"/>
                <w:sz w:val="21"/>
              </w:rPr>
            </w:r>
          </w:p>
        </w:tc>
        <w:tc>
          <w:tcPr>
            <w:tcW w:w="2016" w:type="dxa"/>
            <w:tcBorders>
              <w:top w:val="single" w:sz="4" w:space="0" w:color="000000"/>
              <w:left w:val="nil" w:sz="6" w:space="0" w:color="auto"/>
              <w:bottom w:val="single" w:sz="12" w:space="0" w:color="000000"/>
              <w:right w:val="nil" w:sz="6" w:space="0" w:color="auto"/>
            </w:tcBorders>
          </w:tcPr>
          <w:p>
            <w:pPr>
              <w:pStyle w:val="TableParagraph"/>
              <w:spacing w:line="250" w:lineRule="exact"/>
              <w:ind w:right="108"/>
              <w:jc w:val="right"/>
              <w:rPr>
                <w:rFonts w:ascii="宋体" w:hAnsi="宋体" w:cs="宋体" w:eastAsia="宋体" w:hint="default"/>
                <w:sz w:val="21"/>
                <w:szCs w:val="21"/>
              </w:rPr>
            </w:pPr>
            <w:r>
              <w:rPr>
                <w:rFonts w:ascii="宋体"/>
                <w:b/>
                <w:sz w:val="21"/>
              </w:rPr>
              <w:t>14,243,763,853.63</w:t>
            </w:r>
            <w:r>
              <w:rPr>
                <w:rFonts w:ascii="宋体"/>
                <w:sz w:val="21"/>
              </w:rPr>
            </w:r>
          </w:p>
        </w:tc>
        <w:tc>
          <w:tcPr>
            <w:tcW w:w="1698" w:type="dxa"/>
            <w:tcBorders>
              <w:top w:val="single" w:sz="4" w:space="0" w:color="000000"/>
              <w:left w:val="nil" w:sz="6" w:space="0" w:color="auto"/>
              <w:bottom w:val="single" w:sz="12" w:space="0" w:color="000000"/>
              <w:right w:val="nil" w:sz="6" w:space="0" w:color="auto"/>
            </w:tcBorders>
          </w:tcPr>
          <w:p>
            <w:pPr>
              <w:pStyle w:val="TableParagraph"/>
              <w:spacing w:line="250" w:lineRule="exact"/>
              <w:ind w:right="106"/>
              <w:jc w:val="right"/>
              <w:rPr>
                <w:rFonts w:ascii="宋体" w:hAnsi="宋体" w:cs="宋体" w:eastAsia="宋体" w:hint="default"/>
                <w:sz w:val="21"/>
                <w:szCs w:val="21"/>
              </w:rPr>
            </w:pPr>
            <w:r>
              <w:rPr>
                <w:rFonts w:ascii="宋体"/>
                <w:b/>
                <w:w w:val="95"/>
                <w:sz w:val="21"/>
              </w:rPr>
              <w:t>487,925,700.00</w:t>
            </w:r>
            <w:r>
              <w:rPr>
                <w:rFonts w:ascii="宋体"/>
                <w:sz w:val="21"/>
              </w:rPr>
            </w:r>
          </w:p>
        </w:tc>
        <w:tc>
          <w:tcPr>
            <w:tcW w:w="1697" w:type="dxa"/>
            <w:tcBorders>
              <w:top w:val="single" w:sz="4" w:space="0" w:color="000000"/>
              <w:left w:val="nil" w:sz="6" w:space="0" w:color="auto"/>
              <w:bottom w:val="single" w:sz="12" w:space="0" w:color="000000"/>
              <w:right w:val="nil" w:sz="6" w:space="0" w:color="auto"/>
            </w:tcBorders>
          </w:tcPr>
          <w:p>
            <w:pPr>
              <w:pStyle w:val="TableParagraph"/>
              <w:spacing w:line="250" w:lineRule="exact"/>
              <w:ind w:right="106"/>
              <w:jc w:val="right"/>
              <w:rPr>
                <w:rFonts w:ascii="宋体" w:hAnsi="宋体" w:cs="宋体" w:eastAsia="宋体" w:hint="default"/>
                <w:sz w:val="21"/>
                <w:szCs w:val="21"/>
              </w:rPr>
            </w:pPr>
            <w:r>
              <w:rPr>
                <w:rFonts w:ascii="宋体"/>
                <w:b/>
                <w:w w:val="95"/>
                <w:sz w:val="21"/>
              </w:rPr>
              <w:t>533,683,299.40</w:t>
            </w:r>
            <w:r>
              <w:rPr>
                <w:rFonts w:ascii="宋体"/>
                <w:sz w:val="21"/>
              </w:rPr>
            </w:r>
          </w:p>
        </w:tc>
      </w:tr>
    </w:tbl>
    <w:p>
      <w:pPr>
        <w:spacing w:after="0" w:line="250" w:lineRule="exact"/>
        <w:jc w:val="right"/>
        <w:rPr>
          <w:rFonts w:ascii="宋体" w:hAnsi="宋体" w:cs="宋体" w:eastAsia="宋体" w:hint="default"/>
          <w:sz w:val="21"/>
          <w:szCs w:val="21"/>
        </w:rPr>
        <w:sectPr>
          <w:pgSz w:w="16840" w:h="11910" w:orient="landscape"/>
          <w:pgMar w:header="0" w:footer="1033" w:top="1100" w:bottom="1220" w:left="420" w:right="4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p>
      <w:pPr>
        <w:spacing w:before="32"/>
        <w:ind w:left="1432" w:right="0" w:firstLine="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pacing w:val="-56"/>
          <w:sz w:val="22"/>
          <w:szCs w:val="22"/>
        </w:rPr>
        <w:t> </w:t>
      </w:r>
      <w:r>
        <w:rPr>
          <w:rFonts w:ascii="宋体" w:hAnsi="宋体" w:cs="宋体" w:eastAsia="宋体" w:hint="default"/>
          <w:sz w:val="22"/>
          <w:szCs w:val="22"/>
        </w:rPr>
        <w:t>对联营、合营企业投资</w:t>
      </w:r>
    </w:p>
    <w:p>
      <w:pPr>
        <w:spacing w:line="240" w:lineRule="auto" w:before="9"/>
        <w:rPr>
          <w:rFonts w:ascii="宋体" w:hAnsi="宋体" w:cs="宋体" w:eastAsia="宋体" w:hint="default"/>
          <w:sz w:val="12"/>
          <w:szCs w:val="12"/>
        </w:rPr>
      </w:pPr>
    </w:p>
    <w:p>
      <w:pPr>
        <w:spacing w:line="28" w:lineRule="exact"/>
        <w:ind w:left="114" w:right="0" w:firstLine="0"/>
        <w:rPr>
          <w:rFonts w:ascii="宋体" w:hAnsi="宋体" w:cs="宋体" w:eastAsia="宋体" w:hint="default"/>
          <w:sz w:val="2"/>
          <w:szCs w:val="2"/>
        </w:rPr>
      </w:pPr>
      <w:r>
        <w:rPr>
          <w:rFonts w:ascii="宋体" w:hAnsi="宋体" w:cs="宋体" w:eastAsia="宋体" w:hint="default"/>
          <w:position w:val="0"/>
          <w:sz w:val="2"/>
          <w:szCs w:val="2"/>
        </w:rPr>
        <w:pict>
          <v:group style="width:786.5pt;height:1.45pt;mso-position-horizontal-relative:char;mso-position-vertical-relative:line" coordorigin="0,0" coordsize="15730,29">
            <v:group style="position:absolute;left:14;top:14;width:3318;height:2" coordorigin="14,14" coordsize="3318,2">
              <v:shape style="position:absolute;left:14;top:14;width:3318;height:2" coordorigin="14,14" coordsize="3318,0" path="m14,14l3332,14e" filled="false" stroked="true" strokeweight="1.44pt" strokecolor="#000000">
                <v:path arrowok="t"/>
              </v:shape>
            </v:group>
            <v:group style="position:absolute;left:3332;top:14;width:29;height:2" coordorigin="3332,14" coordsize="29,2">
              <v:shape style="position:absolute;left:3332;top:14;width:29;height:2" coordorigin="3332,14" coordsize="29,0" path="m3332,14l3360,14e" filled="false" stroked="true" strokeweight="1.44pt" strokecolor="#000000">
                <v:path arrowok="t"/>
              </v:shape>
            </v:group>
            <v:group style="position:absolute;left:3360;top:14;width:1566;height:2" coordorigin="3360,14" coordsize="1566,2">
              <v:shape style="position:absolute;left:3360;top:14;width:1566;height:2" coordorigin="3360,14" coordsize="1566,0" path="m3360,14l4926,14e" filled="false" stroked="true" strokeweight="1.44pt" strokecolor="#000000">
                <v:path arrowok="t"/>
              </v:shape>
            </v:group>
            <v:group style="position:absolute;left:4926;top:14;width:29;height:2" coordorigin="4926,14" coordsize="29,2">
              <v:shape style="position:absolute;left:4926;top:14;width:29;height:2" coordorigin="4926,14" coordsize="29,0" path="m4926,14l4955,14e" filled="false" stroked="true" strokeweight="1.44pt" strokecolor="#000000">
                <v:path arrowok="t"/>
              </v:shape>
            </v:group>
            <v:group style="position:absolute;left:4955;top:14;width:8197;height:2" coordorigin="4955,14" coordsize="8197,2">
              <v:shape style="position:absolute;left:4955;top:14;width:8197;height:2" coordorigin="4955,14" coordsize="8197,0" path="m4955,14l13152,14e" filled="false" stroked="true" strokeweight="1.44pt" strokecolor="#000000">
                <v:path arrowok="t"/>
              </v:shape>
            </v:group>
            <v:group style="position:absolute;left:13152;top:14;width:29;height:2" coordorigin="13152,14" coordsize="29,2">
              <v:shape style="position:absolute;left:13152;top:14;width:29;height:2" coordorigin="13152,14" coordsize="29,0" path="m13152,14l13180,14e" filled="false" stroked="true" strokeweight="1.44pt" strokecolor="#000000">
                <v:path arrowok="t"/>
              </v:shape>
            </v:group>
            <v:group style="position:absolute;left:13180;top:14;width:1750;height:2" coordorigin="13180,14" coordsize="1750,2">
              <v:shape style="position:absolute;left:13180;top:14;width:1750;height:2" coordorigin="13180,14" coordsize="1750,0" path="m13180,14l14930,14e" filled="false" stroked="true" strokeweight="1.44pt" strokecolor="#000000">
                <v:path arrowok="t"/>
              </v:shape>
            </v:group>
            <v:group style="position:absolute;left:14930;top:14;width:29;height:2" coordorigin="14930,14" coordsize="29,2">
              <v:shape style="position:absolute;left:14930;top:14;width:29;height:2" coordorigin="14930,14" coordsize="29,0" path="m14930,14l14959,14e" filled="false" stroked="true" strokeweight="1.44pt" strokecolor="#000000">
                <v:path arrowok="t"/>
              </v:shape>
            </v:group>
            <v:group style="position:absolute;left:14959;top:14;width:756;height:2" coordorigin="14959,14" coordsize="756,2">
              <v:shape style="position:absolute;left:14959;top:14;width:756;height:2" coordorigin="14959,14" coordsize="756,0" path="m14959,14l15715,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6840" w:h="11910" w:orient="landscape"/>
          <w:pgMar w:header="0" w:footer="1033" w:top="1100" w:bottom="1220" w:left="440" w:right="440"/>
        </w:sectPr>
      </w:pPr>
    </w:p>
    <w:p>
      <w:pPr>
        <w:spacing w:line="240" w:lineRule="auto" w:before="9"/>
        <w:rPr>
          <w:rFonts w:ascii="宋体" w:hAnsi="宋体" w:cs="宋体" w:eastAsia="宋体" w:hint="default"/>
          <w:sz w:val="19"/>
          <w:szCs w:val="19"/>
        </w:rPr>
      </w:pPr>
    </w:p>
    <w:p>
      <w:pPr>
        <w:tabs>
          <w:tab w:pos="3918" w:val="left" w:leader="none"/>
        </w:tabs>
        <w:spacing w:before="0"/>
        <w:ind w:left="1386" w:right="-19" w:firstLine="0"/>
        <w:jc w:val="left"/>
        <w:rPr>
          <w:rFonts w:ascii="宋体" w:hAnsi="宋体" w:cs="宋体" w:eastAsia="宋体" w:hint="default"/>
          <w:sz w:val="16"/>
          <w:szCs w:val="16"/>
        </w:rPr>
      </w:pPr>
      <w:r>
        <w:rPr>
          <w:rFonts w:ascii="宋体" w:hAnsi="宋体" w:cs="宋体" w:eastAsia="宋体" w:hint="default"/>
          <w:b/>
          <w:bCs/>
          <w:sz w:val="16"/>
          <w:szCs w:val="16"/>
        </w:rPr>
        <w:t>被投资单位</w:t>
        <w:tab/>
        <w:t>年初余额</w:t>
      </w:r>
      <w:r>
        <w:rPr>
          <w:rFonts w:ascii="宋体" w:hAnsi="宋体" w:cs="宋体" w:eastAsia="宋体" w:hint="default"/>
          <w:sz w:val="16"/>
          <w:szCs w:val="16"/>
        </w:rPr>
      </w:r>
    </w:p>
    <w:p>
      <w:pPr>
        <w:spacing w:line="240" w:lineRule="auto" w:before="0"/>
        <w:rPr>
          <w:rFonts w:ascii="宋体" w:hAnsi="宋体" w:cs="宋体" w:eastAsia="宋体" w:hint="default"/>
          <w:b/>
          <w:bCs/>
          <w:sz w:val="16"/>
          <w:szCs w:val="16"/>
        </w:rPr>
      </w:pPr>
      <w:r>
        <w:rPr/>
        <w:br w:type="column"/>
      </w:r>
      <w:r>
        <w:rPr>
          <w:rFonts w:ascii="宋体"/>
          <w:b/>
          <w:sz w:val="16"/>
        </w:rPr>
      </w:r>
    </w:p>
    <w:p>
      <w:pPr>
        <w:spacing w:line="240" w:lineRule="auto" w:before="6"/>
        <w:rPr>
          <w:rFonts w:ascii="宋体" w:hAnsi="宋体" w:cs="宋体" w:eastAsia="宋体" w:hint="default"/>
          <w:b/>
          <w:bCs/>
          <w:sz w:val="17"/>
          <w:szCs w:val="17"/>
        </w:rPr>
      </w:pPr>
    </w:p>
    <w:p>
      <w:pPr>
        <w:spacing w:before="0"/>
        <w:ind w:left="855" w:right="-19" w:firstLine="0"/>
        <w:jc w:val="left"/>
        <w:rPr>
          <w:rFonts w:ascii="宋体" w:hAnsi="宋体" w:cs="宋体" w:eastAsia="宋体" w:hint="default"/>
          <w:sz w:val="16"/>
          <w:szCs w:val="16"/>
        </w:rPr>
      </w:pPr>
      <w:r>
        <w:rPr>
          <w:rFonts w:ascii="宋体" w:hAnsi="宋体" w:cs="宋体" w:eastAsia="宋体" w:hint="default"/>
          <w:b/>
          <w:bCs/>
          <w:sz w:val="16"/>
          <w:szCs w:val="16"/>
        </w:rPr>
        <w:t>追加投资</w:t>
      </w:r>
      <w:r>
        <w:rPr>
          <w:rFonts w:ascii="宋体" w:hAnsi="宋体" w:cs="宋体" w:eastAsia="宋体" w:hint="default"/>
          <w:sz w:val="16"/>
          <w:szCs w:val="16"/>
        </w:rPr>
      </w:r>
    </w:p>
    <w:p>
      <w:pPr>
        <w:spacing w:line="240" w:lineRule="auto" w:before="0"/>
        <w:rPr>
          <w:rFonts w:ascii="宋体" w:hAnsi="宋体" w:cs="宋体" w:eastAsia="宋体" w:hint="default"/>
          <w:b/>
          <w:bCs/>
          <w:sz w:val="16"/>
          <w:szCs w:val="16"/>
        </w:rPr>
      </w:pPr>
      <w:r>
        <w:rPr/>
        <w:br w:type="column"/>
      </w:r>
      <w:r>
        <w:rPr>
          <w:rFonts w:ascii="宋体"/>
          <w:b/>
          <w:sz w:val="16"/>
        </w:rPr>
      </w:r>
    </w:p>
    <w:p>
      <w:pPr>
        <w:spacing w:line="240" w:lineRule="auto" w:before="3"/>
        <w:rPr>
          <w:rFonts w:ascii="宋体" w:hAnsi="宋体" w:cs="宋体" w:eastAsia="宋体" w:hint="default"/>
          <w:b/>
          <w:bCs/>
          <w:sz w:val="11"/>
          <w:szCs w:val="11"/>
        </w:rPr>
      </w:pPr>
    </w:p>
    <w:p>
      <w:pPr>
        <w:spacing w:line="206" w:lineRule="exact" w:before="0"/>
        <w:ind w:left="701" w:right="-19" w:hanging="161"/>
        <w:jc w:val="left"/>
        <w:rPr>
          <w:rFonts w:ascii="宋体" w:hAnsi="宋体" w:cs="宋体" w:eastAsia="宋体" w:hint="default"/>
          <w:sz w:val="16"/>
          <w:szCs w:val="16"/>
        </w:rPr>
      </w:pPr>
      <w:r>
        <w:rPr>
          <w:rFonts w:ascii="宋体" w:hAnsi="宋体" w:cs="宋体" w:eastAsia="宋体" w:hint="default"/>
          <w:b/>
          <w:bCs/>
          <w:sz w:val="16"/>
          <w:szCs w:val="16"/>
        </w:rPr>
        <w:t>减少投</w:t>
      </w:r>
      <w:r>
        <w:rPr>
          <w:rFonts w:ascii="宋体" w:hAnsi="宋体" w:cs="宋体" w:eastAsia="宋体" w:hint="default"/>
          <w:b/>
          <w:bCs/>
          <w:w w:val="100"/>
          <w:sz w:val="16"/>
          <w:szCs w:val="16"/>
        </w:rPr>
        <w:t> </w:t>
      </w:r>
      <w:r>
        <w:rPr>
          <w:rFonts w:ascii="宋体" w:hAnsi="宋体" w:cs="宋体" w:eastAsia="宋体" w:hint="default"/>
          <w:b/>
          <w:bCs/>
          <w:sz w:val="16"/>
          <w:szCs w:val="16"/>
        </w:rPr>
        <w:t>资</w:t>
      </w:r>
      <w:r>
        <w:rPr>
          <w:rFonts w:ascii="宋体" w:hAnsi="宋体" w:cs="宋体" w:eastAsia="宋体" w:hint="default"/>
          <w:sz w:val="16"/>
          <w:szCs w:val="16"/>
        </w:rPr>
      </w:r>
    </w:p>
    <w:p>
      <w:pPr>
        <w:spacing w:line="240" w:lineRule="auto" w:before="0"/>
        <w:rPr>
          <w:rFonts w:ascii="宋体" w:hAnsi="宋体" w:cs="宋体" w:eastAsia="宋体" w:hint="default"/>
          <w:b/>
          <w:bCs/>
          <w:sz w:val="16"/>
          <w:szCs w:val="16"/>
        </w:rPr>
      </w:pPr>
      <w:r>
        <w:rPr/>
        <w:br w:type="column"/>
      </w:r>
      <w:r>
        <w:rPr>
          <w:rFonts w:ascii="宋体"/>
          <w:b/>
          <w:sz w:val="16"/>
        </w:rPr>
      </w:r>
    </w:p>
    <w:p>
      <w:pPr>
        <w:spacing w:line="240" w:lineRule="auto" w:before="3"/>
        <w:rPr>
          <w:rFonts w:ascii="宋体" w:hAnsi="宋体" w:cs="宋体" w:eastAsia="宋体" w:hint="default"/>
          <w:b/>
          <w:bCs/>
          <w:sz w:val="11"/>
          <w:szCs w:val="11"/>
        </w:rPr>
      </w:pPr>
    </w:p>
    <w:p>
      <w:pPr>
        <w:spacing w:line="206" w:lineRule="exact" w:before="0"/>
        <w:ind w:left="495" w:right="-18" w:hanging="243"/>
        <w:jc w:val="left"/>
        <w:rPr>
          <w:rFonts w:ascii="宋体" w:hAnsi="宋体" w:cs="宋体" w:eastAsia="宋体" w:hint="default"/>
          <w:sz w:val="16"/>
          <w:szCs w:val="16"/>
        </w:rPr>
      </w:pPr>
      <w:r>
        <w:rPr>
          <w:rFonts w:ascii="宋体" w:hAnsi="宋体" w:cs="宋体" w:eastAsia="宋体" w:hint="default"/>
          <w:b/>
          <w:bCs/>
          <w:sz w:val="16"/>
          <w:szCs w:val="16"/>
        </w:rPr>
        <w:t>权益法下确认的</w:t>
      </w:r>
      <w:r>
        <w:rPr>
          <w:rFonts w:ascii="宋体" w:hAnsi="宋体" w:cs="宋体" w:eastAsia="宋体" w:hint="default"/>
          <w:b/>
          <w:bCs/>
          <w:w w:val="100"/>
          <w:sz w:val="16"/>
          <w:szCs w:val="16"/>
        </w:rPr>
        <w:t> </w:t>
      </w:r>
      <w:r>
        <w:rPr>
          <w:rFonts w:ascii="宋体" w:hAnsi="宋体" w:cs="宋体" w:eastAsia="宋体" w:hint="default"/>
          <w:b/>
          <w:bCs/>
          <w:sz w:val="16"/>
          <w:szCs w:val="16"/>
        </w:rPr>
        <w:t>投资损益</w:t>
      </w:r>
      <w:r>
        <w:rPr>
          <w:rFonts w:ascii="宋体" w:hAnsi="宋体" w:cs="宋体" w:eastAsia="宋体" w:hint="default"/>
          <w:sz w:val="16"/>
          <w:szCs w:val="16"/>
        </w:rPr>
      </w:r>
    </w:p>
    <w:p>
      <w:pPr>
        <w:spacing w:before="37"/>
        <w:ind w:left="46" w:right="-19" w:firstLine="0"/>
        <w:jc w:val="left"/>
        <w:rPr>
          <w:rFonts w:ascii="宋体" w:hAnsi="宋体" w:cs="宋体" w:eastAsia="宋体" w:hint="default"/>
          <w:sz w:val="16"/>
          <w:szCs w:val="16"/>
        </w:rPr>
      </w:pPr>
      <w:r>
        <w:rPr/>
        <w:br w:type="column"/>
      </w:r>
      <w:r>
        <w:rPr>
          <w:rFonts w:ascii="宋体" w:hAnsi="宋体" w:cs="宋体" w:eastAsia="宋体" w:hint="default"/>
          <w:b/>
          <w:bCs/>
          <w:sz w:val="16"/>
          <w:szCs w:val="16"/>
        </w:rPr>
        <w:t>本年增减变动</w:t>
      </w:r>
      <w:r>
        <w:rPr>
          <w:rFonts w:ascii="宋体" w:hAnsi="宋体" w:cs="宋体" w:eastAsia="宋体" w:hint="default"/>
          <w:sz w:val="16"/>
          <w:szCs w:val="16"/>
        </w:rPr>
      </w:r>
    </w:p>
    <w:p>
      <w:pPr>
        <w:spacing w:line="156" w:lineRule="exact" w:before="88"/>
        <w:ind w:left="262" w:right="-19" w:firstLine="0"/>
        <w:jc w:val="left"/>
        <w:rPr>
          <w:rFonts w:ascii="宋体" w:hAnsi="宋体" w:cs="宋体" w:eastAsia="宋体" w:hint="default"/>
          <w:sz w:val="16"/>
          <w:szCs w:val="16"/>
        </w:rPr>
      </w:pPr>
      <w:r>
        <w:rPr/>
        <w:pict>
          <v:group style="position:absolute;margin-left:273.649994pt;margin-top:4.143756pt;width:412.05pt;height:.75pt;mso-position-horizontal-relative:page;mso-position-vertical-relative:paragraph;z-index:-1224400" coordorigin="5473,83" coordsize="8241,15">
            <v:group style="position:absolute;left:5480;top:90;width:1481;height:2" coordorigin="5480,90" coordsize="1481,2">
              <v:shape style="position:absolute;left:5480;top:90;width:1481;height:2" coordorigin="5480,90" coordsize="1481,0" path="m5480,90l6961,90e" filled="false" stroked="true" strokeweight=".72pt" strokecolor="#000000">
                <v:path arrowok="t"/>
              </v:shape>
            </v:group>
            <v:group style="position:absolute;left:6961;top:90;width:15;height:2" coordorigin="6961,90" coordsize="15,2">
              <v:shape style="position:absolute;left:6961;top:90;width:15;height:2" coordorigin="6961,90" coordsize="15,0" path="m6961,90l6975,90e" filled="false" stroked="true" strokeweight=".72pt" strokecolor="#000000">
                <v:path arrowok="t"/>
              </v:shape>
            </v:group>
            <v:group style="position:absolute;left:6975;top:90;width:790;height:2" coordorigin="6975,90" coordsize="790,2">
              <v:shape style="position:absolute;left:6975;top:90;width:790;height:2" coordorigin="6975,90" coordsize="790,0" path="m6975,90l7765,90e" filled="false" stroked="true" strokeweight=".72pt" strokecolor="#000000">
                <v:path arrowok="t"/>
              </v:shape>
            </v:group>
            <v:group style="position:absolute;left:7765;top:90;width:15;height:2" coordorigin="7765,90" coordsize="15,2">
              <v:shape style="position:absolute;left:7765;top:90;width:15;height:2" coordorigin="7765,90" coordsize="15,0" path="m7765,90l7779,90e" filled="false" stroked="true" strokeweight=".72pt" strokecolor="#000000">
                <v:path arrowok="t"/>
              </v:shape>
            </v:group>
            <v:group style="position:absolute;left:7779;top:90;width:1379;height:2" coordorigin="7779,90" coordsize="1379,2">
              <v:shape style="position:absolute;left:7779;top:90;width:1379;height:2" coordorigin="7779,90" coordsize="1379,0" path="m7779,90l9157,90e" filled="false" stroked="true" strokeweight=".72pt" strokecolor="#000000">
                <v:path arrowok="t"/>
              </v:shape>
            </v:group>
            <v:group style="position:absolute;left:9157;top:90;width:15;height:2" coordorigin="9157,90" coordsize="15,2">
              <v:shape style="position:absolute;left:9157;top:90;width:15;height:2" coordorigin="9157,90" coordsize="15,0" path="m9157,90l9172,90e" filled="false" stroked="true" strokeweight=".72pt" strokecolor="#000000">
                <v:path arrowok="t"/>
              </v:shape>
            </v:group>
            <v:group style="position:absolute;left:9172;top:90;width:1284;height:2" coordorigin="9172,90" coordsize="1284,2">
              <v:shape style="position:absolute;left:9172;top:90;width:1284;height:2" coordorigin="9172,90" coordsize="1284,0" path="m9172,90l10456,90e" filled="false" stroked="true" strokeweight=".72pt" strokecolor="#000000">
                <v:path arrowok="t"/>
              </v:shape>
            </v:group>
            <v:group style="position:absolute;left:10456;top:90;width:15;height:2" coordorigin="10456,90" coordsize="15,2">
              <v:shape style="position:absolute;left:10456;top:90;width:15;height:2" coordorigin="10456,90" coordsize="15,0" path="m10456,90l10470,90e" filled="false" stroked="true" strokeweight=".72pt" strokecolor="#000000">
                <v:path arrowok="t"/>
              </v:shape>
            </v:group>
            <v:group style="position:absolute;left:10470;top:90;width:1301;height:2" coordorigin="10470,90" coordsize="1301,2">
              <v:shape style="position:absolute;left:10470;top:90;width:1301;height:2" coordorigin="10470,90" coordsize="1301,0" path="m10470,90l11771,90e" filled="false" stroked="true" strokeweight=".72pt" strokecolor="#000000">
                <v:path arrowok="t"/>
              </v:shape>
            </v:group>
            <v:group style="position:absolute;left:11771;top:90;width:15;height:2" coordorigin="11771,90" coordsize="15,2">
              <v:shape style="position:absolute;left:11771;top:90;width:15;height:2" coordorigin="11771,90" coordsize="15,0" path="m11771,90l11785,90e" filled="false" stroked="true" strokeweight=".72pt" strokecolor="#000000">
                <v:path arrowok="t"/>
              </v:shape>
            </v:group>
            <v:group style="position:absolute;left:11785;top:90;width:1331;height:2" coordorigin="11785,90" coordsize="1331,2">
              <v:shape style="position:absolute;left:11785;top:90;width:1331;height:2" coordorigin="11785,90" coordsize="1331,0" path="m11785,90l13115,90e" filled="false" stroked="true" strokeweight=".72pt" strokecolor="#000000">
                <v:path arrowok="t"/>
              </v:shape>
            </v:group>
            <v:group style="position:absolute;left:13116;top:90;width:15;height:2" coordorigin="13116,90" coordsize="15,2">
              <v:shape style="position:absolute;left:13116;top:90;width:15;height:2" coordorigin="13116,90" coordsize="15,0" path="m13116,90l13130,90e" filled="false" stroked="true" strokeweight=".72pt" strokecolor="#000000">
                <v:path arrowok="t"/>
              </v:shape>
            </v:group>
            <v:group style="position:absolute;left:13130;top:90;width:576;height:2" coordorigin="13130,90" coordsize="576,2">
              <v:shape style="position:absolute;left:13130;top:90;width:576;height:2" coordorigin="13130,90" coordsize="576,0" path="m13130,90l13706,90e" filled="false" stroked="true" strokeweight=".72pt" strokecolor="#000000">
                <v:path arrowok="t"/>
              </v:shape>
            </v:group>
            <w10:wrap type="none"/>
          </v:group>
        </w:pict>
      </w:r>
      <w:r>
        <w:rPr>
          <w:rFonts w:ascii="宋体" w:hAnsi="宋体" w:cs="宋体" w:eastAsia="宋体" w:hint="default"/>
          <w:b/>
          <w:bCs/>
          <w:sz w:val="16"/>
          <w:szCs w:val="16"/>
        </w:rPr>
        <w:t>其他综合收益</w:t>
      </w:r>
      <w:r>
        <w:rPr>
          <w:rFonts w:ascii="宋体" w:hAnsi="宋体" w:cs="宋体" w:eastAsia="宋体" w:hint="default"/>
          <w:sz w:val="16"/>
          <w:szCs w:val="16"/>
        </w:rPr>
      </w:r>
    </w:p>
    <w:p>
      <w:pPr>
        <w:tabs>
          <w:tab w:pos="1568" w:val="left" w:leader="none"/>
        </w:tabs>
        <w:spacing w:line="256" w:lineRule="exact" w:before="0"/>
        <w:ind w:left="584" w:right="-19" w:firstLine="0"/>
        <w:jc w:val="left"/>
        <w:rPr>
          <w:rFonts w:ascii="宋体" w:hAnsi="宋体" w:cs="宋体" w:eastAsia="宋体" w:hint="default"/>
          <w:sz w:val="16"/>
          <w:szCs w:val="16"/>
        </w:rPr>
      </w:pPr>
      <w:r>
        <w:rPr>
          <w:rFonts w:ascii="宋体" w:hAnsi="宋体" w:cs="宋体" w:eastAsia="宋体" w:hint="default"/>
          <w:b/>
          <w:bCs/>
          <w:position w:val="-9"/>
          <w:sz w:val="16"/>
          <w:szCs w:val="16"/>
        </w:rPr>
        <w:t>调整</w:t>
        <w:tab/>
      </w:r>
      <w:r>
        <w:rPr>
          <w:rFonts w:ascii="宋体" w:hAnsi="宋体" w:cs="宋体" w:eastAsia="宋体" w:hint="default"/>
          <w:b/>
          <w:bCs/>
          <w:sz w:val="16"/>
          <w:szCs w:val="16"/>
        </w:rPr>
        <w:t>其他权益变动</w:t>
      </w:r>
      <w:r>
        <w:rPr>
          <w:rFonts w:ascii="宋体" w:hAnsi="宋体" w:cs="宋体" w:eastAsia="宋体" w:hint="default"/>
          <w:sz w:val="16"/>
          <w:szCs w:val="16"/>
        </w:rPr>
      </w:r>
    </w:p>
    <w:p>
      <w:pPr>
        <w:spacing w:line="240" w:lineRule="auto" w:before="8"/>
        <w:rPr>
          <w:rFonts w:ascii="宋体" w:hAnsi="宋体" w:cs="宋体" w:eastAsia="宋体" w:hint="default"/>
          <w:b/>
          <w:bCs/>
          <w:sz w:val="32"/>
          <w:szCs w:val="32"/>
        </w:rPr>
      </w:pPr>
      <w:r>
        <w:rPr/>
        <w:br w:type="column"/>
      </w:r>
      <w:r>
        <w:rPr>
          <w:rFonts w:ascii="宋体"/>
          <w:b/>
          <w:sz w:val="32"/>
        </w:rPr>
      </w:r>
    </w:p>
    <w:p>
      <w:pPr>
        <w:tabs>
          <w:tab w:pos="1614" w:val="left" w:leader="none"/>
        </w:tabs>
        <w:spacing w:line="122" w:lineRule="auto" w:before="0"/>
        <w:ind w:left="485" w:right="0" w:hanging="243"/>
        <w:jc w:val="left"/>
        <w:rPr>
          <w:rFonts w:ascii="宋体" w:hAnsi="宋体" w:cs="宋体" w:eastAsia="宋体" w:hint="default"/>
          <w:sz w:val="16"/>
          <w:szCs w:val="16"/>
        </w:rPr>
      </w:pPr>
      <w:r>
        <w:rPr>
          <w:rFonts w:ascii="宋体" w:hAnsi="宋体" w:cs="宋体" w:eastAsia="宋体" w:hint="default"/>
          <w:b/>
          <w:bCs/>
          <w:sz w:val="16"/>
          <w:szCs w:val="16"/>
        </w:rPr>
        <w:t>宣告发放现金股</w:t>
      </w:r>
      <w:r>
        <w:rPr>
          <w:rFonts w:ascii="宋体" w:hAnsi="宋体" w:cs="宋体" w:eastAsia="宋体" w:hint="default"/>
          <w:b/>
          <w:bCs/>
          <w:w w:val="100"/>
          <w:sz w:val="16"/>
          <w:szCs w:val="16"/>
        </w:rPr>
        <w:t> </w:t>
      </w:r>
      <w:r>
        <w:rPr>
          <w:rFonts w:ascii="宋体" w:hAnsi="宋体" w:cs="宋体" w:eastAsia="宋体" w:hint="default"/>
          <w:b/>
          <w:bCs/>
          <w:sz w:val="16"/>
          <w:szCs w:val="16"/>
        </w:rPr>
        <w:t>利或利润</w:t>
        <w:tab/>
      </w:r>
      <w:r>
        <w:rPr>
          <w:rFonts w:ascii="宋体" w:hAnsi="宋体" w:cs="宋体" w:eastAsia="宋体" w:hint="default"/>
          <w:b/>
          <w:bCs/>
          <w:position w:val="10"/>
          <w:sz w:val="16"/>
          <w:szCs w:val="16"/>
        </w:rPr>
        <w:t>其他</w:t>
      </w:r>
      <w:r>
        <w:rPr>
          <w:rFonts w:ascii="宋体" w:hAnsi="宋体" w:cs="宋体" w:eastAsia="宋体" w:hint="default"/>
          <w:sz w:val="16"/>
          <w:szCs w:val="16"/>
        </w:rPr>
      </w:r>
    </w:p>
    <w:p>
      <w:pPr>
        <w:spacing w:line="240" w:lineRule="auto" w:before="9"/>
        <w:rPr>
          <w:rFonts w:ascii="宋体" w:hAnsi="宋体" w:cs="宋体" w:eastAsia="宋体" w:hint="default"/>
          <w:b/>
          <w:bCs/>
          <w:sz w:val="19"/>
          <w:szCs w:val="19"/>
        </w:rPr>
      </w:pPr>
      <w:r>
        <w:rPr/>
        <w:br w:type="column"/>
      </w:r>
      <w:r>
        <w:rPr>
          <w:rFonts w:ascii="宋体"/>
          <w:b/>
          <w:sz w:val="19"/>
        </w:rPr>
      </w:r>
    </w:p>
    <w:p>
      <w:pPr>
        <w:spacing w:before="0"/>
        <w:ind w:left="660" w:right="-19" w:firstLine="0"/>
        <w:jc w:val="left"/>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p>
      <w:pPr>
        <w:spacing w:line="237" w:lineRule="auto" w:before="53"/>
        <w:ind w:left="677" w:right="277" w:firstLine="0"/>
        <w:jc w:val="both"/>
        <w:rPr>
          <w:rFonts w:ascii="宋体" w:hAnsi="宋体" w:cs="宋体" w:eastAsia="宋体" w:hint="default"/>
          <w:sz w:val="16"/>
          <w:szCs w:val="16"/>
        </w:rPr>
      </w:pPr>
      <w:r>
        <w:rPr/>
        <w:br w:type="column"/>
      </w:r>
      <w:r>
        <w:rPr>
          <w:rFonts w:ascii="宋体" w:hAnsi="宋体" w:cs="宋体" w:eastAsia="宋体" w:hint="default"/>
          <w:b/>
          <w:bCs/>
          <w:sz w:val="16"/>
          <w:szCs w:val="16"/>
        </w:rPr>
        <w:t>减值准</w:t>
      </w:r>
      <w:r>
        <w:rPr>
          <w:rFonts w:ascii="宋体" w:hAnsi="宋体" w:cs="宋体" w:eastAsia="宋体" w:hint="default"/>
          <w:b/>
          <w:bCs/>
          <w:w w:val="100"/>
          <w:sz w:val="16"/>
          <w:szCs w:val="16"/>
        </w:rPr>
        <w:t> </w:t>
      </w:r>
      <w:r>
        <w:rPr>
          <w:rFonts w:ascii="宋体" w:hAnsi="宋体" w:cs="宋体" w:eastAsia="宋体" w:hint="default"/>
          <w:b/>
          <w:bCs/>
          <w:sz w:val="16"/>
          <w:szCs w:val="16"/>
        </w:rPr>
        <w:t>备年末</w:t>
      </w:r>
      <w:r>
        <w:rPr>
          <w:rFonts w:ascii="宋体" w:hAnsi="宋体" w:cs="宋体" w:eastAsia="宋体" w:hint="default"/>
          <w:b/>
          <w:bCs/>
          <w:w w:val="100"/>
          <w:sz w:val="16"/>
          <w:szCs w:val="16"/>
        </w:rPr>
        <w:t> </w:t>
      </w:r>
      <w:r>
        <w:rPr>
          <w:rFonts w:ascii="宋体" w:hAnsi="宋体" w:cs="宋体" w:eastAsia="宋体" w:hint="default"/>
          <w:b/>
          <w:bCs/>
          <w:sz w:val="16"/>
          <w:szCs w:val="16"/>
        </w:rPr>
        <w:t>余额</w:t>
      </w:r>
      <w:r>
        <w:rPr>
          <w:rFonts w:ascii="宋体" w:hAnsi="宋体" w:cs="宋体" w:eastAsia="宋体" w:hint="default"/>
          <w:sz w:val="16"/>
          <w:szCs w:val="16"/>
        </w:rPr>
      </w:r>
    </w:p>
    <w:p>
      <w:pPr>
        <w:spacing w:after="0" w:line="237" w:lineRule="auto"/>
        <w:jc w:val="both"/>
        <w:rPr>
          <w:rFonts w:ascii="宋体" w:hAnsi="宋体" w:cs="宋体" w:eastAsia="宋体" w:hint="default"/>
          <w:sz w:val="16"/>
          <w:szCs w:val="16"/>
        </w:rPr>
        <w:sectPr>
          <w:type w:val="continuous"/>
          <w:pgSz w:w="16840" w:h="11910" w:orient="landscape"/>
          <w:pgMar w:top="1000" w:bottom="280" w:left="440" w:right="440"/>
          <w:cols w:num="8" w:equalWidth="0">
            <w:col w:w="4563" w:space="40"/>
            <w:col w:w="1499" w:space="40"/>
            <w:col w:w="1024" w:space="40"/>
            <w:col w:w="1379" w:space="40"/>
            <w:col w:w="2534" w:space="40"/>
            <w:col w:w="1936" w:space="40"/>
            <w:col w:w="1305" w:space="40"/>
            <w:col w:w="1440"/>
          </w:cols>
        </w:sectPr>
      </w:pPr>
    </w:p>
    <w:tbl>
      <w:tblPr>
        <w:tblW w:w="0" w:type="auto"/>
        <w:jc w:val="left"/>
        <w:tblInd w:w="128" w:type="dxa"/>
        <w:tblLayout w:type="fixed"/>
        <w:tblCellMar>
          <w:top w:w="0" w:type="dxa"/>
          <w:left w:w="0" w:type="dxa"/>
          <w:bottom w:w="0" w:type="dxa"/>
          <w:right w:w="0" w:type="dxa"/>
        </w:tblCellMar>
        <w:tblLook w:val="01E0"/>
      </w:tblPr>
      <w:tblGrid>
        <w:gridCol w:w="3169"/>
        <w:gridCol w:w="1809"/>
        <w:gridCol w:w="1546"/>
        <w:gridCol w:w="696"/>
        <w:gridCol w:w="1386"/>
        <w:gridCol w:w="1307"/>
        <w:gridCol w:w="1328"/>
        <w:gridCol w:w="1330"/>
        <w:gridCol w:w="700"/>
        <w:gridCol w:w="1764"/>
        <w:gridCol w:w="664"/>
      </w:tblGrid>
      <w:tr>
        <w:trPr>
          <w:trHeight w:val="611" w:hRule="exact"/>
        </w:trPr>
        <w:tc>
          <w:tcPr>
            <w:tcW w:w="3169" w:type="dxa"/>
            <w:tcBorders>
              <w:top w:val="single" w:sz="4" w:space="0" w:color="000000"/>
              <w:left w:val="nil" w:sz="6" w:space="0" w:color="auto"/>
              <w:bottom w:val="nil" w:sz="6" w:space="0" w:color="auto"/>
              <w:right w:val="nil" w:sz="6" w:space="0" w:color="auto"/>
            </w:tcBorders>
          </w:tcPr>
          <w:p>
            <w:pPr>
              <w:pStyle w:val="TableParagraph"/>
              <w:spacing w:line="340" w:lineRule="auto" w:before="29"/>
              <w:ind w:left="108" w:right="1137"/>
              <w:jc w:val="left"/>
              <w:rPr>
                <w:rFonts w:ascii="宋体" w:hAnsi="宋体" w:cs="宋体" w:eastAsia="宋体" w:hint="default"/>
                <w:sz w:val="16"/>
                <w:szCs w:val="16"/>
              </w:rPr>
            </w:pPr>
            <w:r>
              <w:rPr>
                <w:rFonts w:ascii="宋体" w:hAnsi="宋体" w:cs="宋体" w:eastAsia="宋体" w:hint="default"/>
                <w:sz w:val="16"/>
                <w:szCs w:val="16"/>
              </w:rPr>
              <w:t>一、合营企业</w:t>
            </w:r>
            <w:r>
              <w:rPr>
                <w:rFonts w:ascii="宋体" w:hAnsi="宋体" w:cs="宋体" w:eastAsia="宋体" w:hint="default"/>
                <w:w w:val="100"/>
                <w:sz w:val="16"/>
                <w:szCs w:val="16"/>
              </w:rPr>
              <w:t> </w:t>
            </w:r>
            <w:r>
              <w:rPr>
                <w:rFonts w:ascii="宋体" w:hAnsi="宋体" w:cs="宋体" w:eastAsia="宋体" w:hint="default"/>
                <w:spacing w:val="-1"/>
                <w:sz w:val="16"/>
                <w:szCs w:val="16"/>
              </w:rPr>
              <w:t>同方全球人寿保险有限公司</w:t>
            </w:r>
          </w:p>
        </w:tc>
        <w:tc>
          <w:tcPr>
            <w:tcW w:w="180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5"/>
              <w:ind w:right="178"/>
              <w:jc w:val="right"/>
              <w:rPr>
                <w:rFonts w:ascii="宋体" w:hAnsi="宋体" w:cs="宋体" w:eastAsia="宋体" w:hint="default"/>
                <w:sz w:val="16"/>
                <w:szCs w:val="16"/>
              </w:rPr>
            </w:pPr>
            <w:r>
              <w:rPr>
                <w:rFonts w:ascii="宋体"/>
                <w:spacing w:val="-2"/>
                <w:sz w:val="16"/>
              </w:rPr>
              <w:t>1,131,608,530.49</w:t>
            </w:r>
          </w:p>
        </w:tc>
        <w:tc>
          <w:tcPr>
            <w:tcW w:w="154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5"/>
              <w:ind w:right="239"/>
              <w:jc w:val="right"/>
              <w:rPr>
                <w:rFonts w:ascii="宋体" w:hAnsi="宋体" w:cs="宋体" w:eastAsia="宋体" w:hint="default"/>
                <w:sz w:val="16"/>
                <w:szCs w:val="16"/>
              </w:rPr>
            </w:pPr>
            <w:r>
              <w:rPr>
                <w:rFonts w:ascii="宋体"/>
                <w:spacing w:val="-1"/>
                <w:sz w:val="16"/>
              </w:rPr>
              <w:t>0.00</w:t>
            </w:r>
          </w:p>
        </w:tc>
        <w:tc>
          <w:tcPr>
            <w:tcW w:w="69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5"/>
              <w:ind w:right="131"/>
              <w:jc w:val="right"/>
              <w:rPr>
                <w:rFonts w:ascii="宋体" w:hAnsi="宋体" w:cs="宋体" w:eastAsia="宋体" w:hint="default"/>
                <w:sz w:val="16"/>
                <w:szCs w:val="16"/>
              </w:rPr>
            </w:pPr>
            <w:r>
              <w:rPr>
                <w:rFonts w:ascii="宋体"/>
                <w:spacing w:val="-1"/>
                <w:sz w:val="16"/>
              </w:rPr>
              <w:t>0.00</w:t>
            </w:r>
          </w:p>
        </w:tc>
        <w:tc>
          <w:tcPr>
            <w:tcW w:w="138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5"/>
              <w:ind w:right="126"/>
              <w:jc w:val="right"/>
              <w:rPr>
                <w:rFonts w:ascii="宋体" w:hAnsi="宋体" w:cs="宋体" w:eastAsia="宋体" w:hint="default"/>
                <w:sz w:val="16"/>
                <w:szCs w:val="16"/>
              </w:rPr>
            </w:pPr>
            <w:r>
              <w:rPr>
                <w:rFonts w:ascii="宋体"/>
                <w:spacing w:val="-2"/>
                <w:sz w:val="16"/>
              </w:rPr>
              <w:t>66,284,215.00</w:t>
            </w:r>
          </w:p>
        </w:tc>
        <w:tc>
          <w:tcPr>
            <w:tcW w:w="130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5"/>
              <w:ind w:right="132"/>
              <w:jc w:val="right"/>
              <w:rPr>
                <w:rFonts w:ascii="宋体" w:hAnsi="宋体" w:cs="宋体" w:eastAsia="宋体" w:hint="default"/>
                <w:sz w:val="16"/>
                <w:szCs w:val="16"/>
              </w:rPr>
            </w:pPr>
            <w:r>
              <w:rPr>
                <w:rFonts w:ascii="宋体"/>
                <w:spacing w:val="-2"/>
                <w:sz w:val="16"/>
              </w:rPr>
              <w:t>95,901,687.00</w:t>
            </w:r>
          </w:p>
        </w:tc>
        <w:tc>
          <w:tcPr>
            <w:tcW w:w="132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5"/>
              <w:ind w:right="147"/>
              <w:jc w:val="right"/>
              <w:rPr>
                <w:rFonts w:ascii="宋体" w:hAnsi="宋体" w:cs="宋体" w:eastAsia="宋体" w:hint="default"/>
                <w:sz w:val="16"/>
                <w:szCs w:val="16"/>
              </w:rPr>
            </w:pPr>
            <w:r>
              <w:rPr>
                <w:rFonts w:ascii="宋体"/>
                <w:spacing w:val="-1"/>
                <w:sz w:val="16"/>
              </w:rPr>
              <w:t>0.00</w:t>
            </w:r>
          </w:p>
        </w:tc>
        <w:tc>
          <w:tcPr>
            <w:tcW w:w="133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5"/>
              <w:ind w:right="133"/>
              <w:jc w:val="right"/>
              <w:rPr>
                <w:rFonts w:ascii="宋体" w:hAnsi="宋体" w:cs="宋体" w:eastAsia="宋体" w:hint="default"/>
                <w:sz w:val="16"/>
                <w:szCs w:val="16"/>
              </w:rPr>
            </w:pPr>
            <w:r>
              <w:rPr>
                <w:rFonts w:ascii="宋体"/>
                <w:spacing w:val="-1"/>
                <w:sz w:val="16"/>
              </w:rPr>
              <w:t>0.00</w:t>
            </w:r>
          </w:p>
        </w:tc>
        <w:tc>
          <w:tcPr>
            <w:tcW w:w="70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5"/>
              <w:ind w:left="135" w:right="0"/>
              <w:jc w:val="left"/>
              <w:rPr>
                <w:rFonts w:ascii="宋体" w:hAnsi="宋体" w:cs="宋体" w:eastAsia="宋体" w:hint="default"/>
                <w:sz w:val="16"/>
                <w:szCs w:val="16"/>
              </w:rPr>
            </w:pPr>
            <w:r>
              <w:rPr>
                <w:rFonts w:ascii="宋体"/>
                <w:sz w:val="16"/>
              </w:rPr>
              <w:t>0.00</w:t>
            </w:r>
          </w:p>
        </w:tc>
        <w:tc>
          <w:tcPr>
            <w:tcW w:w="176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7"/>
              <w:ind w:right="230"/>
              <w:jc w:val="right"/>
              <w:rPr>
                <w:rFonts w:ascii="宋体" w:hAnsi="宋体" w:cs="宋体" w:eastAsia="宋体" w:hint="default"/>
                <w:sz w:val="16"/>
                <w:szCs w:val="16"/>
              </w:rPr>
            </w:pPr>
            <w:r>
              <w:rPr>
                <w:rFonts w:ascii="宋体"/>
                <w:spacing w:val="-2"/>
                <w:sz w:val="16"/>
              </w:rPr>
              <w:t>1,293,794,432.49</w:t>
            </w:r>
          </w:p>
        </w:tc>
        <w:tc>
          <w:tcPr>
            <w:tcW w:w="66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17"/>
              <w:ind w:right="109"/>
              <w:jc w:val="right"/>
              <w:rPr>
                <w:rFonts w:ascii="宋体" w:hAnsi="宋体" w:cs="宋体" w:eastAsia="宋体" w:hint="default"/>
                <w:sz w:val="16"/>
                <w:szCs w:val="16"/>
              </w:rPr>
            </w:pPr>
            <w:r>
              <w:rPr>
                <w:rFonts w:ascii="宋体"/>
                <w:spacing w:val="-1"/>
                <w:sz w:val="16"/>
              </w:rPr>
              <w:t>0.00</w:t>
            </w:r>
          </w:p>
        </w:tc>
      </w:tr>
      <w:tr>
        <w:trPr>
          <w:trHeight w:val="300" w:hRule="exact"/>
        </w:trPr>
        <w:tc>
          <w:tcPr>
            <w:tcW w:w="316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6"/>
                <w:szCs w:val="16"/>
              </w:rPr>
            </w:pPr>
            <w:r>
              <w:rPr>
                <w:rFonts w:ascii="宋体" w:hAnsi="宋体" w:cs="宋体" w:eastAsia="宋体" w:hint="default"/>
                <w:sz w:val="16"/>
                <w:szCs w:val="16"/>
              </w:rPr>
              <w:t>二、联营企业</w:t>
            </w:r>
          </w:p>
        </w:tc>
        <w:tc>
          <w:tcPr>
            <w:tcW w:w="1809"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c>
          <w:tcPr>
            <w:tcW w:w="696"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c>
          <w:tcPr>
            <w:tcW w:w="1307" w:type="dxa"/>
            <w:tcBorders>
              <w:top w:val="nil" w:sz="6" w:space="0" w:color="auto"/>
              <w:left w:val="nil" w:sz="6" w:space="0" w:color="auto"/>
              <w:bottom w:val="nil" w:sz="6" w:space="0" w:color="auto"/>
              <w:right w:val="nil" w:sz="6" w:space="0" w:color="auto"/>
            </w:tcBorders>
          </w:tcPr>
          <w:p>
            <w:pPr/>
          </w:p>
        </w:tc>
        <w:tc>
          <w:tcPr>
            <w:tcW w:w="132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700"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664" w:type="dxa"/>
            <w:tcBorders>
              <w:top w:val="nil" w:sz="6" w:space="0" w:color="auto"/>
              <w:left w:val="nil" w:sz="6" w:space="0" w:color="auto"/>
              <w:bottom w:val="nil" w:sz="6" w:space="0" w:color="auto"/>
              <w:right w:val="nil" w:sz="6" w:space="0" w:color="auto"/>
            </w:tcBorders>
          </w:tcPr>
          <w:p>
            <w:pPr/>
          </w:p>
        </w:tc>
      </w:tr>
      <w:tr>
        <w:trPr>
          <w:trHeight w:val="295" w:hRule="exact"/>
        </w:trPr>
        <w:tc>
          <w:tcPr>
            <w:tcW w:w="316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8" w:right="0"/>
              <w:jc w:val="left"/>
              <w:rPr>
                <w:rFonts w:ascii="宋体" w:hAnsi="宋体" w:cs="宋体" w:eastAsia="宋体" w:hint="default"/>
                <w:sz w:val="16"/>
                <w:szCs w:val="16"/>
              </w:rPr>
            </w:pPr>
            <w:r>
              <w:rPr>
                <w:rFonts w:ascii="宋体" w:hAnsi="宋体" w:cs="宋体" w:eastAsia="宋体" w:hint="default"/>
                <w:sz w:val="16"/>
                <w:szCs w:val="16"/>
              </w:rPr>
              <w:t>泰豪科技股份有限公司</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75"/>
              <w:jc w:val="right"/>
              <w:rPr>
                <w:rFonts w:ascii="宋体" w:hAnsi="宋体" w:cs="宋体" w:eastAsia="宋体" w:hint="default"/>
                <w:sz w:val="16"/>
                <w:szCs w:val="16"/>
              </w:rPr>
            </w:pPr>
            <w:r>
              <w:rPr>
                <w:rFonts w:ascii="宋体"/>
                <w:spacing w:val="-2"/>
                <w:sz w:val="16"/>
              </w:rPr>
              <w:t>775,278,261.32</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7"/>
              <w:jc w:val="right"/>
              <w:rPr>
                <w:rFonts w:ascii="宋体" w:hAnsi="宋体" w:cs="宋体" w:eastAsia="宋体" w:hint="default"/>
                <w:sz w:val="16"/>
                <w:szCs w:val="16"/>
              </w:rPr>
            </w:pPr>
            <w:r>
              <w:rPr>
                <w:rFonts w:ascii="宋体"/>
                <w:spacing w:val="-2"/>
                <w:sz w:val="16"/>
              </w:rPr>
              <w:t>115,269,858.76</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1"/>
              <w:jc w:val="right"/>
              <w:rPr>
                <w:rFonts w:ascii="宋体" w:hAnsi="宋体" w:cs="宋体" w:eastAsia="宋体" w:hint="default"/>
                <w:sz w:val="16"/>
                <w:szCs w:val="16"/>
              </w:rPr>
            </w:pPr>
            <w:r>
              <w:rPr>
                <w:rFonts w:ascii="宋体"/>
                <w:spacing w:val="-1"/>
                <w:sz w:val="16"/>
              </w:rPr>
              <w:t>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3"/>
              <w:jc w:val="right"/>
              <w:rPr>
                <w:rFonts w:ascii="宋体" w:hAnsi="宋体" w:cs="宋体" w:eastAsia="宋体" w:hint="default"/>
                <w:sz w:val="16"/>
                <w:szCs w:val="16"/>
              </w:rPr>
            </w:pPr>
            <w:r>
              <w:rPr>
                <w:rFonts w:ascii="宋体"/>
                <w:spacing w:val="-2"/>
                <w:sz w:val="16"/>
              </w:rPr>
              <w:t>48,642,634.02</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9"/>
              <w:jc w:val="right"/>
              <w:rPr>
                <w:rFonts w:ascii="宋体" w:hAnsi="宋体" w:cs="宋体" w:eastAsia="宋体" w:hint="default"/>
                <w:sz w:val="16"/>
                <w:szCs w:val="16"/>
              </w:rPr>
            </w:pPr>
            <w:r>
              <w:rPr>
                <w:rFonts w:ascii="宋体"/>
                <w:spacing w:val="-2"/>
                <w:sz w:val="16"/>
              </w:rPr>
              <w:t>16,199.72</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5"/>
              <w:jc w:val="right"/>
              <w:rPr>
                <w:rFonts w:ascii="宋体" w:hAnsi="宋体" w:cs="宋体" w:eastAsia="宋体" w:hint="default"/>
                <w:sz w:val="16"/>
                <w:szCs w:val="16"/>
              </w:rPr>
            </w:pPr>
            <w:r>
              <w:rPr>
                <w:rFonts w:ascii="宋体"/>
                <w:spacing w:val="-2"/>
                <w:sz w:val="16"/>
              </w:rPr>
              <w:t>18,127,023.31</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3"/>
              <w:jc w:val="right"/>
              <w:rPr>
                <w:rFonts w:ascii="宋体" w:hAnsi="宋体" w:cs="宋体" w:eastAsia="宋体" w:hint="default"/>
                <w:sz w:val="16"/>
                <w:szCs w:val="16"/>
              </w:rPr>
            </w:pPr>
            <w:r>
              <w:rPr>
                <w:rFonts w:ascii="宋体"/>
                <w:spacing w:val="-2"/>
                <w:sz w:val="16"/>
              </w:rPr>
              <w:t>15,444,514.44</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35" w:right="0"/>
              <w:jc w:val="left"/>
              <w:rPr>
                <w:rFonts w:ascii="宋体" w:hAnsi="宋体" w:cs="宋体" w:eastAsia="宋体" w:hint="default"/>
                <w:sz w:val="16"/>
                <w:szCs w:val="16"/>
              </w:rPr>
            </w:pPr>
            <w:r>
              <w:rPr>
                <w:rFonts w:ascii="宋体"/>
                <w:sz w:val="16"/>
              </w:rPr>
              <w:t>0.00</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8"/>
              <w:jc w:val="right"/>
              <w:rPr>
                <w:rFonts w:ascii="宋体" w:hAnsi="宋体" w:cs="宋体" w:eastAsia="宋体" w:hint="default"/>
                <w:sz w:val="16"/>
                <w:szCs w:val="16"/>
              </w:rPr>
            </w:pPr>
            <w:r>
              <w:rPr>
                <w:rFonts w:ascii="宋体"/>
                <w:spacing w:val="-2"/>
                <w:sz w:val="16"/>
              </w:rPr>
              <w:t>941,889,462.69</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9"/>
              <w:jc w:val="right"/>
              <w:rPr>
                <w:rFonts w:ascii="宋体" w:hAnsi="宋体" w:cs="宋体" w:eastAsia="宋体" w:hint="default"/>
                <w:sz w:val="16"/>
                <w:szCs w:val="16"/>
              </w:rPr>
            </w:pPr>
            <w:r>
              <w:rPr>
                <w:rFonts w:ascii="宋体"/>
                <w:spacing w:val="-1"/>
                <w:sz w:val="16"/>
              </w:rPr>
              <w:t>0.00</w:t>
            </w:r>
          </w:p>
        </w:tc>
      </w:tr>
      <w:tr>
        <w:trPr>
          <w:trHeight w:val="292" w:hRule="exact"/>
        </w:trPr>
        <w:tc>
          <w:tcPr>
            <w:tcW w:w="316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16"/>
                <w:szCs w:val="16"/>
              </w:rPr>
            </w:pPr>
            <w:r>
              <w:rPr>
                <w:rFonts w:ascii="宋体" w:hAnsi="宋体" w:cs="宋体" w:eastAsia="宋体" w:hint="default"/>
                <w:sz w:val="16"/>
                <w:szCs w:val="16"/>
              </w:rPr>
              <w:t>同方江新造船有限公司</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5"/>
              <w:jc w:val="right"/>
              <w:rPr>
                <w:rFonts w:ascii="宋体" w:hAnsi="宋体" w:cs="宋体" w:eastAsia="宋体" w:hint="default"/>
                <w:sz w:val="16"/>
                <w:szCs w:val="16"/>
              </w:rPr>
            </w:pPr>
            <w:r>
              <w:rPr>
                <w:rFonts w:ascii="宋体"/>
                <w:spacing w:val="-2"/>
                <w:sz w:val="16"/>
              </w:rPr>
              <w:t>281,504,742.70</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9"/>
              <w:jc w:val="right"/>
              <w:rPr>
                <w:rFonts w:ascii="宋体" w:hAnsi="宋体" w:cs="宋体" w:eastAsia="宋体" w:hint="default"/>
                <w:sz w:val="16"/>
                <w:szCs w:val="16"/>
              </w:rPr>
            </w:pPr>
            <w:r>
              <w:rPr>
                <w:rFonts w:ascii="宋体"/>
                <w:spacing w:val="-1"/>
                <w:sz w:val="16"/>
              </w:rPr>
              <w:t>0.00</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1"/>
              <w:jc w:val="right"/>
              <w:rPr>
                <w:rFonts w:ascii="宋体" w:hAnsi="宋体" w:cs="宋体" w:eastAsia="宋体" w:hint="default"/>
                <w:sz w:val="16"/>
                <w:szCs w:val="16"/>
              </w:rPr>
            </w:pPr>
            <w:r>
              <w:rPr>
                <w:rFonts w:ascii="宋体"/>
                <w:spacing w:val="-1"/>
                <w:sz w:val="16"/>
              </w:rPr>
              <w:t>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6"/>
              <w:jc w:val="right"/>
              <w:rPr>
                <w:rFonts w:ascii="宋体" w:hAnsi="宋体" w:cs="宋体" w:eastAsia="宋体" w:hint="default"/>
                <w:sz w:val="16"/>
                <w:szCs w:val="16"/>
              </w:rPr>
            </w:pPr>
            <w:r>
              <w:rPr>
                <w:rFonts w:ascii="宋体"/>
                <w:spacing w:val="-2"/>
                <w:sz w:val="16"/>
              </w:rPr>
              <w:t>198,124.33</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1"/>
              <w:jc w:val="right"/>
              <w:rPr>
                <w:rFonts w:ascii="宋体" w:hAnsi="宋体" w:cs="宋体" w:eastAsia="宋体" w:hint="default"/>
                <w:sz w:val="16"/>
                <w:szCs w:val="16"/>
              </w:rPr>
            </w:pPr>
            <w:r>
              <w:rPr>
                <w:rFonts w:ascii="宋体"/>
                <w:spacing w:val="-1"/>
                <w:sz w:val="16"/>
              </w:rPr>
              <w:t>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7"/>
              <w:jc w:val="right"/>
              <w:rPr>
                <w:rFonts w:ascii="宋体" w:hAnsi="宋体" w:cs="宋体" w:eastAsia="宋体" w:hint="default"/>
                <w:sz w:val="16"/>
                <w:szCs w:val="16"/>
              </w:rPr>
            </w:pPr>
            <w:r>
              <w:rPr>
                <w:rFonts w:ascii="宋体"/>
                <w:spacing w:val="-1"/>
                <w:sz w:val="16"/>
              </w:rPr>
              <w:t>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3"/>
              <w:jc w:val="right"/>
              <w:rPr>
                <w:rFonts w:ascii="宋体" w:hAnsi="宋体" w:cs="宋体" w:eastAsia="宋体" w:hint="default"/>
                <w:sz w:val="16"/>
                <w:szCs w:val="16"/>
              </w:rPr>
            </w:pPr>
            <w:r>
              <w:rPr>
                <w:rFonts w:ascii="宋体"/>
                <w:spacing w:val="-1"/>
                <w:sz w:val="16"/>
              </w:rPr>
              <w:t>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35" w:right="0"/>
              <w:jc w:val="left"/>
              <w:rPr>
                <w:rFonts w:ascii="宋体" w:hAnsi="宋体" w:cs="宋体" w:eastAsia="宋体" w:hint="default"/>
                <w:sz w:val="16"/>
                <w:szCs w:val="16"/>
              </w:rPr>
            </w:pPr>
            <w:r>
              <w:rPr>
                <w:rFonts w:ascii="宋体"/>
                <w:sz w:val="16"/>
              </w:rPr>
              <w:t>0.00</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28"/>
              <w:jc w:val="right"/>
              <w:rPr>
                <w:rFonts w:ascii="宋体" w:hAnsi="宋体" w:cs="宋体" w:eastAsia="宋体" w:hint="default"/>
                <w:sz w:val="16"/>
                <w:szCs w:val="16"/>
              </w:rPr>
            </w:pPr>
            <w:r>
              <w:rPr>
                <w:rFonts w:ascii="宋体"/>
                <w:spacing w:val="-2"/>
                <w:sz w:val="16"/>
              </w:rPr>
              <w:t>281,702,867.03</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9"/>
              <w:jc w:val="right"/>
              <w:rPr>
                <w:rFonts w:ascii="宋体" w:hAnsi="宋体" w:cs="宋体" w:eastAsia="宋体" w:hint="default"/>
                <w:sz w:val="16"/>
                <w:szCs w:val="16"/>
              </w:rPr>
            </w:pPr>
            <w:r>
              <w:rPr>
                <w:rFonts w:ascii="宋体"/>
                <w:spacing w:val="-1"/>
                <w:sz w:val="16"/>
              </w:rPr>
              <w:t>0.00</w:t>
            </w:r>
          </w:p>
        </w:tc>
      </w:tr>
      <w:tr>
        <w:trPr>
          <w:trHeight w:val="292" w:hRule="exact"/>
        </w:trPr>
        <w:tc>
          <w:tcPr>
            <w:tcW w:w="316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8" w:right="0"/>
              <w:jc w:val="left"/>
              <w:rPr>
                <w:rFonts w:ascii="宋体" w:hAnsi="宋体" w:cs="宋体" w:eastAsia="宋体" w:hint="default"/>
                <w:sz w:val="16"/>
                <w:szCs w:val="16"/>
              </w:rPr>
            </w:pPr>
            <w:r>
              <w:rPr>
                <w:rFonts w:ascii="宋体" w:hAnsi="宋体" w:cs="宋体" w:eastAsia="宋体" w:hint="default"/>
                <w:sz w:val="16"/>
                <w:szCs w:val="16"/>
              </w:rPr>
              <w:t>玉溪市华控环境海绵城市建设有限公司</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5"/>
              <w:jc w:val="right"/>
              <w:rPr>
                <w:rFonts w:ascii="宋体" w:hAnsi="宋体" w:cs="宋体" w:eastAsia="宋体" w:hint="default"/>
                <w:sz w:val="16"/>
                <w:szCs w:val="16"/>
              </w:rPr>
            </w:pPr>
            <w:r>
              <w:rPr>
                <w:rFonts w:ascii="宋体"/>
                <w:spacing w:val="-2"/>
                <w:sz w:val="16"/>
              </w:rPr>
              <w:t>164,927,491.60</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39"/>
              <w:jc w:val="right"/>
              <w:rPr>
                <w:rFonts w:ascii="宋体" w:hAnsi="宋体" w:cs="宋体" w:eastAsia="宋体" w:hint="default"/>
                <w:sz w:val="16"/>
                <w:szCs w:val="16"/>
              </w:rPr>
            </w:pPr>
            <w:r>
              <w:rPr>
                <w:rFonts w:ascii="宋体"/>
                <w:spacing w:val="-1"/>
                <w:sz w:val="16"/>
              </w:rPr>
              <w:t>0.00</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1"/>
              <w:jc w:val="right"/>
              <w:rPr>
                <w:rFonts w:ascii="宋体" w:hAnsi="宋体" w:cs="宋体" w:eastAsia="宋体" w:hint="default"/>
                <w:sz w:val="16"/>
                <w:szCs w:val="16"/>
              </w:rPr>
            </w:pPr>
            <w:r>
              <w:rPr>
                <w:rFonts w:ascii="宋体"/>
                <w:spacing w:val="-1"/>
                <w:sz w:val="16"/>
              </w:rPr>
              <w:t>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7"/>
              <w:jc w:val="right"/>
              <w:rPr>
                <w:rFonts w:ascii="宋体" w:hAnsi="宋体" w:cs="宋体" w:eastAsia="宋体" w:hint="default"/>
                <w:sz w:val="16"/>
                <w:szCs w:val="16"/>
              </w:rPr>
            </w:pPr>
            <w:r>
              <w:rPr>
                <w:rFonts w:ascii="宋体"/>
                <w:spacing w:val="-2"/>
                <w:sz w:val="16"/>
              </w:rPr>
              <w:t>-58,500.00</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1"/>
              <w:jc w:val="right"/>
              <w:rPr>
                <w:rFonts w:ascii="宋体" w:hAnsi="宋体" w:cs="宋体" w:eastAsia="宋体" w:hint="default"/>
                <w:sz w:val="16"/>
                <w:szCs w:val="16"/>
              </w:rPr>
            </w:pPr>
            <w:r>
              <w:rPr>
                <w:rFonts w:ascii="宋体"/>
                <w:spacing w:val="-1"/>
                <w:sz w:val="16"/>
              </w:rPr>
              <w:t>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7"/>
              <w:jc w:val="right"/>
              <w:rPr>
                <w:rFonts w:ascii="宋体" w:hAnsi="宋体" w:cs="宋体" w:eastAsia="宋体" w:hint="default"/>
                <w:sz w:val="16"/>
                <w:szCs w:val="16"/>
              </w:rPr>
            </w:pPr>
            <w:r>
              <w:rPr>
                <w:rFonts w:ascii="宋体"/>
                <w:spacing w:val="-1"/>
                <w:sz w:val="16"/>
              </w:rPr>
              <w:t>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3"/>
              <w:jc w:val="right"/>
              <w:rPr>
                <w:rFonts w:ascii="宋体" w:hAnsi="宋体" w:cs="宋体" w:eastAsia="宋体" w:hint="default"/>
                <w:sz w:val="16"/>
                <w:szCs w:val="16"/>
              </w:rPr>
            </w:pPr>
            <w:r>
              <w:rPr>
                <w:rFonts w:ascii="宋体"/>
                <w:spacing w:val="-1"/>
                <w:sz w:val="16"/>
              </w:rPr>
              <w:t>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35" w:right="0"/>
              <w:jc w:val="left"/>
              <w:rPr>
                <w:rFonts w:ascii="宋体" w:hAnsi="宋体" w:cs="宋体" w:eastAsia="宋体" w:hint="default"/>
                <w:sz w:val="16"/>
                <w:szCs w:val="16"/>
              </w:rPr>
            </w:pPr>
            <w:r>
              <w:rPr>
                <w:rFonts w:ascii="宋体"/>
                <w:sz w:val="16"/>
              </w:rPr>
              <w:t>0.00</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8"/>
              <w:jc w:val="right"/>
              <w:rPr>
                <w:rFonts w:ascii="宋体" w:hAnsi="宋体" w:cs="宋体" w:eastAsia="宋体" w:hint="default"/>
                <w:sz w:val="16"/>
                <w:szCs w:val="16"/>
              </w:rPr>
            </w:pPr>
            <w:r>
              <w:rPr>
                <w:rFonts w:ascii="宋体"/>
                <w:spacing w:val="-2"/>
                <w:sz w:val="16"/>
              </w:rPr>
              <w:t>164,868,991.60</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9"/>
              <w:jc w:val="right"/>
              <w:rPr>
                <w:rFonts w:ascii="宋体" w:hAnsi="宋体" w:cs="宋体" w:eastAsia="宋体" w:hint="default"/>
                <w:sz w:val="16"/>
                <w:szCs w:val="16"/>
              </w:rPr>
            </w:pPr>
            <w:r>
              <w:rPr>
                <w:rFonts w:ascii="宋体"/>
                <w:spacing w:val="-1"/>
                <w:sz w:val="16"/>
              </w:rPr>
              <w:t>0.00</w:t>
            </w:r>
          </w:p>
        </w:tc>
      </w:tr>
      <w:tr>
        <w:trPr>
          <w:trHeight w:val="290" w:hRule="exact"/>
        </w:trPr>
        <w:tc>
          <w:tcPr>
            <w:tcW w:w="316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16"/>
                <w:szCs w:val="16"/>
              </w:rPr>
            </w:pPr>
            <w:r>
              <w:rPr>
                <w:rFonts w:ascii="宋体" w:hAnsi="宋体" w:cs="宋体" w:eastAsia="宋体" w:hint="default"/>
                <w:sz w:val="16"/>
                <w:szCs w:val="16"/>
              </w:rPr>
              <w:t>泰豪创意科技集团股份有限公司</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5"/>
              <w:jc w:val="right"/>
              <w:rPr>
                <w:rFonts w:ascii="宋体" w:hAnsi="宋体" w:cs="宋体" w:eastAsia="宋体" w:hint="default"/>
                <w:sz w:val="16"/>
                <w:szCs w:val="16"/>
              </w:rPr>
            </w:pPr>
            <w:r>
              <w:rPr>
                <w:rFonts w:ascii="宋体"/>
                <w:spacing w:val="-2"/>
                <w:sz w:val="16"/>
              </w:rPr>
              <w:t>154,515,893.78</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9"/>
              <w:jc w:val="right"/>
              <w:rPr>
                <w:rFonts w:ascii="宋体" w:hAnsi="宋体" w:cs="宋体" w:eastAsia="宋体" w:hint="default"/>
                <w:sz w:val="16"/>
                <w:szCs w:val="16"/>
              </w:rPr>
            </w:pPr>
            <w:r>
              <w:rPr>
                <w:rFonts w:ascii="宋体"/>
                <w:spacing w:val="-1"/>
                <w:sz w:val="16"/>
              </w:rPr>
              <w:t>0.00</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1"/>
              <w:jc w:val="right"/>
              <w:rPr>
                <w:rFonts w:ascii="宋体" w:hAnsi="宋体" w:cs="宋体" w:eastAsia="宋体" w:hint="default"/>
                <w:sz w:val="16"/>
                <w:szCs w:val="16"/>
              </w:rPr>
            </w:pPr>
            <w:r>
              <w:rPr>
                <w:rFonts w:ascii="宋体"/>
                <w:spacing w:val="-1"/>
                <w:sz w:val="16"/>
              </w:rPr>
              <w:t>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3"/>
              <w:jc w:val="right"/>
              <w:rPr>
                <w:rFonts w:ascii="宋体" w:hAnsi="宋体" w:cs="宋体" w:eastAsia="宋体" w:hint="default"/>
                <w:sz w:val="16"/>
                <w:szCs w:val="16"/>
              </w:rPr>
            </w:pPr>
            <w:r>
              <w:rPr>
                <w:rFonts w:ascii="宋体"/>
                <w:spacing w:val="-1"/>
                <w:sz w:val="16"/>
              </w:rPr>
              <w:t>-854,052.15</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1"/>
              <w:jc w:val="right"/>
              <w:rPr>
                <w:rFonts w:ascii="宋体" w:hAnsi="宋体" w:cs="宋体" w:eastAsia="宋体" w:hint="default"/>
                <w:sz w:val="16"/>
                <w:szCs w:val="16"/>
              </w:rPr>
            </w:pPr>
            <w:r>
              <w:rPr>
                <w:rFonts w:ascii="宋体"/>
                <w:spacing w:val="-1"/>
                <w:sz w:val="16"/>
              </w:rPr>
              <w:t>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7"/>
              <w:jc w:val="right"/>
              <w:rPr>
                <w:rFonts w:ascii="宋体" w:hAnsi="宋体" w:cs="宋体" w:eastAsia="宋体" w:hint="default"/>
                <w:sz w:val="16"/>
                <w:szCs w:val="16"/>
              </w:rPr>
            </w:pPr>
            <w:r>
              <w:rPr>
                <w:rFonts w:ascii="宋体"/>
                <w:spacing w:val="-1"/>
                <w:sz w:val="16"/>
              </w:rPr>
              <w:t>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3"/>
              <w:jc w:val="right"/>
              <w:rPr>
                <w:rFonts w:ascii="宋体" w:hAnsi="宋体" w:cs="宋体" w:eastAsia="宋体" w:hint="default"/>
                <w:sz w:val="16"/>
                <w:szCs w:val="16"/>
              </w:rPr>
            </w:pPr>
            <w:r>
              <w:rPr>
                <w:rFonts w:ascii="宋体"/>
                <w:spacing w:val="-1"/>
                <w:sz w:val="16"/>
              </w:rPr>
              <w:t>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35" w:right="0"/>
              <w:jc w:val="left"/>
              <w:rPr>
                <w:rFonts w:ascii="宋体" w:hAnsi="宋体" w:cs="宋体" w:eastAsia="宋体" w:hint="default"/>
                <w:sz w:val="16"/>
                <w:szCs w:val="16"/>
              </w:rPr>
            </w:pPr>
            <w:r>
              <w:rPr>
                <w:rFonts w:ascii="宋体"/>
                <w:sz w:val="16"/>
              </w:rPr>
              <w:t>0.00</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28"/>
              <w:jc w:val="right"/>
              <w:rPr>
                <w:rFonts w:ascii="宋体" w:hAnsi="宋体" w:cs="宋体" w:eastAsia="宋体" w:hint="default"/>
                <w:sz w:val="16"/>
                <w:szCs w:val="16"/>
              </w:rPr>
            </w:pPr>
            <w:r>
              <w:rPr>
                <w:rFonts w:ascii="宋体"/>
                <w:spacing w:val="-2"/>
                <w:sz w:val="16"/>
              </w:rPr>
              <w:t>153,661,841.63</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9"/>
              <w:jc w:val="right"/>
              <w:rPr>
                <w:rFonts w:ascii="宋体" w:hAnsi="宋体" w:cs="宋体" w:eastAsia="宋体" w:hint="default"/>
                <w:sz w:val="16"/>
                <w:szCs w:val="16"/>
              </w:rPr>
            </w:pPr>
            <w:r>
              <w:rPr>
                <w:rFonts w:ascii="宋体"/>
                <w:spacing w:val="-1"/>
                <w:sz w:val="16"/>
              </w:rPr>
              <w:t>0.00</w:t>
            </w:r>
          </w:p>
        </w:tc>
      </w:tr>
      <w:tr>
        <w:trPr>
          <w:trHeight w:val="290" w:hRule="exact"/>
        </w:trPr>
        <w:tc>
          <w:tcPr>
            <w:tcW w:w="316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16"/>
                <w:szCs w:val="16"/>
              </w:rPr>
            </w:pPr>
            <w:r>
              <w:rPr>
                <w:rFonts w:ascii="宋体" w:hAnsi="宋体" w:cs="宋体" w:eastAsia="宋体" w:hint="default"/>
                <w:sz w:val="16"/>
                <w:szCs w:val="16"/>
              </w:rPr>
              <w:t>同方环境股份有限公司</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5"/>
              <w:jc w:val="right"/>
              <w:rPr>
                <w:rFonts w:ascii="宋体" w:hAnsi="宋体" w:cs="宋体" w:eastAsia="宋体" w:hint="default"/>
                <w:sz w:val="16"/>
                <w:szCs w:val="16"/>
              </w:rPr>
            </w:pPr>
            <w:r>
              <w:rPr>
                <w:rFonts w:ascii="宋体"/>
                <w:spacing w:val="-2"/>
                <w:sz w:val="16"/>
              </w:rPr>
              <w:t>140,569,491.75</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9"/>
              <w:jc w:val="right"/>
              <w:rPr>
                <w:rFonts w:ascii="宋体" w:hAnsi="宋体" w:cs="宋体" w:eastAsia="宋体" w:hint="default"/>
                <w:sz w:val="16"/>
                <w:szCs w:val="16"/>
              </w:rPr>
            </w:pPr>
            <w:r>
              <w:rPr>
                <w:rFonts w:ascii="宋体"/>
                <w:spacing w:val="-1"/>
                <w:sz w:val="16"/>
              </w:rPr>
              <w:t>0.00</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1"/>
              <w:jc w:val="right"/>
              <w:rPr>
                <w:rFonts w:ascii="宋体" w:hAnsi="宋体" w:cs="宋体" w:eastAsia="宋体" w:hint="default"/>
                <w:sz w:val="16"/>
                <w:szCs w:val="16"/>
              </w:rPr>
            </w:pPr>
            <w:r>
              <w:rPr>
                <w:rFonts w:ascii="宋体"/>
                <w:spacing w:val="-1"/>
                <w:sz w:val="16"/>
              </w:rPr>
              <w:t>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6"/>
              <w:jc w:val="right"/>
              <w:rPr>
                <w:rFonts w:ascii="宋体" w:hAnsi="宋体" w:cs="宋体" w:eastAsia="宋体" w:hint="default"/>
                <w:sz w:val="16"/>
                <w:szCs w:val="16"/>
              </w:rPr>
            </w:pPr>
            <w:r>
              <w:rPr>
                <w:rFonts w:ascii="宋体"/>
                <w:spacing w:val="-2"/>
                <w:sz w:val="16"/>
              </w:rPr>
              <w:t>-9,059,491.43</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2"/>
              <w:jc w:val="right"/>
              <w:rPr>
                <w:rFonts w:ascii="宋体" w:hAnsi="宋体" w:cs="宋体" w:eastAsia="宋体" w:hint="default"/>
                <w:sz w:val="16"/>
                <w:szCs w:val="16"/>
              </w:rPr>
            </w:pPr>
            <w:r>
              <w:rPr>
                <w:rFonts w:ascii="宋体"/>
                <w:spacing w:val="-2"/>
                <w:sz w:val="16"/>
              </w:rPr>
              <w:t>206,330.88</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7"/>
              <w:jc w:val="right"/>
              <w:rPr>
                <w:rFonts w:ascii="宋体" w:hAnsi="宋体" w:cs="宋体" w:eastAsia="宋体" w:hint="default"/>
                <w:sz w:val="16"/>
                <w:szCs w:val="16"/>
              </w:rPr>
            </w:pPr>
            <w:r>
              <w:rPr>
                <w:rFonts w:ascii="宋体"/>
                <w:spacing w:val="-1"/>
                <w:sz w:val="16"/>
              </w:rPr>
              <w:t>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3"/>
              <w:jc w:val="right"/>
              <w:rPr>
                <w:rFonts w:ascii="宋体" w:hAnsi="宋体" w:cs="宋体" w:eastAsia="宋体" w:hint="default"/>
                <w:sz w:val="16"/>
                <w:szCs w:val="16"/>
              </w:rPr>
            </w:pPr>
            <w:r>
              <w:rPr>
                <w:rFonts w:ascii="宋体"/>
                <w:spacing w:val="-1"/>
                <w:sz w:val="16"/>
              </w:rPr>
              <w:t>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35" w:right="0"/>
              <w:jc w:val="left"/>
              <w:rPr>
                <w:rFonts w:ascii="宋体" w:hAnsi="宋体" w:cs="宋体" w:eastAsia="宋体" w:hint="default"/>
                <w:sz w:val="16"/>
                <w:szCs w:val="16"/>
              </w:rPr>
            </w:pPr>
            <w:r>
              <w:rPr>
                <w:rFonts w:ascii="宋体"/>
                <w:sz w:val="16"/>
              </w:rPr>
              <w:t>0.00</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28"/>
              <w:jc w:val="right"/>
              <w:rPr>
                <w:rFonts w:ascii="宋体" w:hAnsi="宋体" w:cs="宋体" w:eastAsia="宋体" w:hint="default"/>
                <w:sz w:val="16"/>
                <w:szCs w:val="16"/>
              </w:rPr>
            </w:pPr>
            <w:r>
              <w:rPr>
                <w:rFonts w:ascii="宋体"/>
                <w:spacing w:val="-2"/>
                <w:sz w:val="16"/>
              </w:rPr>
              <w:t>131,716,331.20</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9"/>
              <w:jc w:val="right"/>
              <w:rPr>
                <w:rFonts w:ascii="宋体" w:hAnsi="宋体" w:cs="宋体" w:eastAsia="宋体" w:hint="default"/>
                <w:sz w:val="16"/>
                <w:szCs w:val="16"/>
              </w:rPr>
            </w:pPr>
            <w:r>
              <w:rPr>
                <w:rFonts w:ascii="宋体"/>
                <w:spacing w:val="-1"/>
                <w:sz w:val="16"/>
              </w:rPr>
              <w:t>0.00</w:t>
            </w:r>
          </w:p>
        </w:tc>
      </w:tr>
      <w:tr>
        <w:trPr>
          <w:trHeight w:val="292" w:hRule="exact"/>
        </w:trPr>
        <w:tc>
          <w:tcPr>
            <w:tcW w:w="316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16"/>
                <w:szCs w:val="16"/>
              </w:rPr>
            </w:pPr>
            <w:r>
              <w:rPr>
                <w:rFonts w:ascii="宋体" w:hAnsi="宋体" w:cs="宋体" w:eastAsia="宋体" w:hint="default"/>
                <w:sz w:val="16"/>
                <w:szCs w:val="16"/>
              </w:rPr>
              <w:t>北京辰安科技股份有限公司</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8"/>
              <w:jc w:val="right"/>
              <w:rPr>
                <w:rFonts w:ascii="宋体" w:hAnsi="宋体" w:cs="宋体" w:eastAsia="宋体" w:hint="default"/>
                <w:sz w:val="16"/>
                <w:szCs w:val="16"/>
              </w:rPr>
            </w:pPr>
            <w:r>
              <w:rPr>
                <w:rFonts w:ascii="宋体"/>
                <w:spacing w:val="-2"/>
                <w:sz w:val="16"/>
              </w:rPr>
              <w:t>82,089,471.83</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9"/>
              <w:jc w:val="right"/>
              <w:rPr>
                <w:rFonts w:ascii="宋体" w:hAnsi="宋体" w:cs="宋体" w:eastAsia="宋体" w:hint="default"/>
                <w:sz w:val="16"/>
                <w:szCs w:val="16"/>
              </w:rPr>
            </w:pPr>
            <w:r>
              <w:rPr>
                <w:rFonts w:ascii="宋体"/>
                <w:spacing w:val="-1"/>
                <w:sz w:val="16"/>
              </w:rPr>
              <w:t>0.00</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1"/>
              <w:jc w:val="right"/>
              <w:rPr>
                <w:rFonts w:ascii="宋体" w:hAnsi="宋体" w:cs="宋体" w:eastAsia="宋体" w:hint="default"/>
                <w:sz w:val="16"/>
                <w:szCs w:val="16"/>
              </w:rPr>
            </w:pPr>
            <w:r>
              <w:rPr>
                <w:rFonts w:ascii="宋体"/>
                <w:spacing w:val="-1"/>
                <w:sz w:val="16"/>
              </w:rPr>
              <w:t>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6"/>
              <w:jc w:val="right"/>
              <w:rPr>
                <w:rFonts w:ascii="宋体" w:hAnsi="宋体" w:cs="宋体" w:eastAsia="宋体" w:hint="default"/>
                <w:sz w:val="16"/>
                <w:szCs w:val="16"/>
              </w:rPr>
            </w:pPr>
            <w:r>
              <w:rPr>
                <w:rFonts w:ascii="宋体"/>
                <w:spacing w:val="-2"/>
                <w:sz w:val="16"/>
              </w:rPr>
              <w:t>11,438,557.66</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9"/>
              <w:jc w:val="right"/>
              <w:rPr>
                <w:rFonts w:ascii="宋体" w:hAnsi="宋体" w:cs="宋体" w:eastAsia="宋体" w:hint="default"/>
                <w:sz w:val="16"/>
                <w:szCs w:val="16"/>
              </w:rPr>
            </w:pPr>
            <w:r>
              <w:rPr>
                <w:rFonts w:ascii="宋体"/>
                <w:spacing w:val="-1"/>
                <w:sz w:val="16"/>
              </w:rPr>
              <w:t>6,092.52</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7"/>
              <w:jc w:val="right"/>
              <w:rPr>
                <w:rFonts w:ascii="宋体" w:hAnsi="宋体" w:cs="宋体" w:eastAsia="宋体" w:hint="default"/>
                <w:sz w:val="16"/>
                <w:szCs w:val="16"/>
              </w:rPr>
            </w:pPr>
            <w:r>
              <w:rPr>
                <w:rFonts w:ascii="宋体"/>
                <w:spacing w:val="-2"/>
                <w:sz w:val="16"/>
              </w:rPr>
              <w:t>19,288,891.28</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1"/>
              <w:jc w:val="right"/>
              <w:rPr>
                <w:rFonts w:ascii="宋体" w:hAnsi="宋体" w:cs="宋体" w:eastAsia="宋体" w:hint="default"/>
                <w:sz w:val="16"/>
                <w:szCs w:val="16"/>
              </w:rPr>
            </w:pPr>
            <w:r>
              <w:rPr>
                <w:rFonts w:ascii="宋体"/>
                <w:spacing w:val="-2"/>
                <w:sz w:val="16"/>
              </w:rPr>
              <w:t>1,579,500.00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35" w:right="0"/>
              <w:jc w:val="left"/>
              <w:rPr>
                <w:rFonts w:ascii="宋体" w:hAnsi="宋体" w:cs="宋体" w:eastAsia="宋体" w:hint="default"/>
                <w:sz w:val="16"/>
                <w:szCs w:val="16"/>
              </w:rPr>
            </w:pPr>
            <w:r>
              <w:rPr>
                <w:rFonts w:ascii="宋体"/>
                <w:sz w:val="16"/>
              </w:rPr>
              <w:t>0.00</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28"/>
              <w:jc w:val="right"/>
              <w:rPr>
                <w:rFonts w:ascii="宋体" w:hAnsi="宋体" w:cs="宋体" w:eastAsia="宋体" w:hint="default"/>
                <w:sz w:val="16"/>
                <w:szCs w:val="16"/>
              </w:rPr>
            </w:pPr>
            <w:r>
              <w:rPr>
                <w:rFonts w:ascii="宋体"/>
                <w:spacing w:val="-2"/>
                <w:sz w:val="16"/>
              </w:rPr>
              <w:t>111,243,513.29</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9"/>
              <w:jc w:val="right"/>
              <w:rPr>
                <w:rFonts w:ascii="宋体" w:hAnsi="宋体" w:cs="宋体" w:eastAsia="宋体" w:hint="default"/>
                <w:sz w:val="16"/>
                <w:szCs w:val="16"/>
              </w:rPr>
            </w:pPr>
            <w:r>
              <w:rPr>
                <w:rFonts w:ascii="宋体"/>
                <w:spacing w:val="-1"/>
                <w:sz w:val="16"/>
              </w:rPr>
              <w:t>0.00</w:t>
            </w:r>
          </w:p>
        </w:tc>
      </w:tr>
      <w:tr>
        <w:trPr>
          <w:trHeight w:val="292" w:hRule="exact"/>
        </w:trPr>
        <w:tc>
          <w:tcPr>
            <w:tcW w:w="316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8" w:right="0"/>
              <w:jc w:val="left"/>
              <w:rPr>
                <w:rFonts w:ascii="宋体" w:hAnsi="宋体" w:cs="宋体" w:eastAsia="宋体" w:hint="default"/>
                <w:sz w:val="16"/>
                <w:szCs w:val="16"/>
              </w:rPr>
            </w:pPr>
            <w:r>
              <w:rPr>
                <w:rFonts w:ascii="宋体" w:hAnsi="宋体" w:cs="宋体" w:eastAsia="宋体" w:hint="default"/>
                <w:sz w:val="16"/>
                <w:szCs w:val="16"/>
              </w:rPr>
              <w:t>迁安市华控环境投资有限责任公司</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8"/>
              <w:jc w:val="right"/>
              <w:rPr>
                <w:rFonts w:ascii="宋体" w:hAnsi="宋体" w:cs="宋体" w:eastAsia="宋体" w:hint="default"/>
                <w:sz w:val="16"/>
                <w:szCs w:val="16"/>
              </w:rPr>
            </w:pPr>
            <w:r>
              <w:rPr>
                <w:rFonts w:ascii="宋体"/>
                <w:spacing w:val="-2"/>
                <w:sz w:val="16"/>
              </w:rPr>
              <w:t>91,302,821.23</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39"/>
              <w:jc w:val="right"/>
              <w:rPr>
                <w:rFonts w:ascii="宋体" w:hAnsi="宋体" w:cs="宋体" w:eastAsia="宋体" w:hint="default"/>
                <w:sz w:val="16"/>
                <w:szCs w:val="16"/>
              </w:rPr>
            </w:pPr>
            <w:r>
              <w:rPr>
                <w:rFonts w:ascii="宋体"/>
                <w:spacing w:val="-1"/>
                <w:sz w:val="16"/>
              </w:rPr>
              <w:t>0.00</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1"/>
              <w:jc w:val="right"/>
              <w:rPr>
                <w:rFonts w:ascii="宋体" w:hAnsi="宋体" w:cs="宋体" w:eastAsia="宋体" w:hint="default"/>
                <w:sz w:val="16"/>
                <w:szCs w:val="16"/>
              </w:rPr>
            </w:pPr>
            <w:r>
              <w:rPr>
                <w:rFonts w:ascii="宋体"/>
                <w:spacing w:val="-1"/>
                <w:sz w:val="16"/>
              </w:rPr>
              <w:t>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6"/>
              <w:jc w:val="right"/>
              <w:rPr>
                <w:rFonts w:ascii="宋体" w:hAnsi="宋体" w:cs="宋体" w:eastAsia="宋体" w:hint="default"/>
                <w:sz w:val="16"/>
                <w:szCs w:val="16"/>
              </w:rPr>
            </w:pPr>
            <w:r>
              <w:rPr>
                <w:rFonts w:ascii="宋体"/>
                <w:spacing w:val="-1"/>
                <w:sz w:val="16"/>
              </w:rPr>
              <w:t>0.00</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1"/>
              <w:jc w:val="right"/>
              <w:rPr>
                <w:rFonts w:ascii="宋体" w:hAnsi="宋体" w:cs="宋体" w:eastAsia="宋体" w:hint="default"/>
                <w:sz w:val="16"/>
                <w:szCs w:val="16"/>
              </w:rPr>
            </w:pPr>
            <w:r>
              <w:rPr>
                <w:rFonts w:ascii="宋体"/>
                <w:spacing w:val="-1"/>
                <w:sz w:val="16"/>
              </w:rPr>
              <w:t>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7"/>
              <w:jc w:val="right"/>
              <w:rPr>
                <w:rFonts w:ascii="宋体" w:hAnsi="宋体" w:cs="宋体" w:eastAsia="宋体" w:hint="default"/>
                <w:sz w:val="16"/>
                <w:szCs w:val="16"/>
              </w:rPr>
            </w:pPr>
            <w:r>
              <w:rPr>
                <w:rFonts w:ascii="宋体"/>
                <w:spacing w:val="-1"/>
                <w:sz w:val="16"/>
              </w:rPr>
              <w:t>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3"/>
              <w:jc w:val="right"/>
              <w:rPr>
                <w:rFonts w:ascii="宋体" w:hAnsi="宋体" w:cs="宋体" w:eastAsia="宋体" w:hint="default"/>
                <w:sz w:val="16"/>
                <w:szCs w:val="16"/>
              </w:rPr>
            </w:pPr>
            <w:r>
              <w:rPr>
                <w:rFonts w:ascii="宋体"/>
                <w:spacing w:val="-1"/>
                <w:sz w:val="16"/>
              </w:rPr>
              <w:t>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35" w:right="0"/>
              <w:jc w:val="left"/>
              <w:rPr>
                <w:rFonts w:ascii="宋体" w:hAnsi="宋体" w:cs="宋体" w:eastAsia="宋体" w:hint="default"/>
                <w:sz w:val="16"/>
                <w:szCs w:val="16"/>
              </w:rPr>
            </w:pPr>
            <w:r>
              <w:rPr>
                <w:rFonts w:ascii="宋体"/>
                <w:sz w:val="16"/>
              </w:rPr>
              <w:t>0.00</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30"/>
              <w:jc w:val="right"/>
              <w:rPr>
                <w:rFonts w:ascii="宋体" w:hAnsi="宋体" w:cs="宋体" w:eastAsia="宋体" w:hint="default"/>
                <w:sz w:val="16"/>
                <w:szCs w:val="16"/>
              </w:rPr>
            </w:pPr>
            <w:r>
              <w:rPr>
                <w:rFonts w:ascii="宋体"/>
                <w:spacing w:val="-2"/>
                <w:sz w:val="16"/>
              </w:rPr>
              <w:t>91,302,821.23</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9"/>
              <w:jc w:val="right"/>
              <w:rPr>
                <w:rFonts w:ascii="宋体" w:hAnsi="宋体" w:cs="宋体" w:eastAsia="宋体" w:hint="default"/>
                <w:sz w:val="16"/>
                <w:szCs w:val="16"/>
              </w:rPr>
            </w:pPr>
            <w:r>
              <w:rPr>
                <w:rFonts w:ascii="宋体"/>
                <w:spacing w:val="-1"/>
                <w:sz w:val="16"/>
              </w:rPr>
              <w:t>0.00</w:t>
            </w:r>
          </w:p>
        </w:tc>
      </w:tr>
      <w:tr>
        <w:trPr>
          <w:trHeight w:val="291" w:hRule="exact"/>
        </w:trPr>
        <w:tc>
          <w:tcPr>
            <w:tcW w:w="316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16"/>
                <w:szCs w:val="16"/>
              </w:rPr>
            </w:pPr>
            <w:r>
              <w:rPr>
                <w:rFonts w:ascii="宋体" w:hAnsi="宋体" w:cs="宋体" w:eastAsia="宋体" w:hint="default"/>
                <w:sz w:val="16"/>
                <w:szCs w:val="16"/>
              </w:rPr>
              <w:t>云南云电同方科技有限公司</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8"/>
              <w:jc w:val="right"/>
              <w:rPr>
                <w:rFonts w:ascii="宋体" w:hAnsi="宋体" w:cs="宋体" w:eastAsia="宋体" w:hint="default"/>
                <w:sz w:val="16"/>
                <w:szCs w:val="16"/>
              </w:rPr>
            </w:pPr>
            <w:r>
              <w:rPr>
                <w:rFonts w:ascii="宋体"/>
                <w:spacing w:val="-2"/>
                <w:sz w:val="16"/>
              </w:rPr>
              <w:t>85,079,237.17</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9"/>
              <w:jc w:val="right"/>
              <w:rPr>
                <w:rFonts w:ascii="宋体" w:hAnsi="宋体" w:cs="宋体" w:eastAsia="宋体" w:hint="default"/>
                <w:sz w:val="16"/>
                <w:szCs w:val="16"/>
              </w:rPr>
            </w:pPr>
            <w:r>
              <w:rPr>
                <w:rFonts w:ascii="宋体"/>
                <w:spacing w:val="-1"/>
                <w:sz w:val="16"/>
              </w:rPr>
              <w:t>0.00</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1"/>
              <w:jc w:val="right"/>
              <w:rPr>
                <w:rFonts w:ascii="宋体" w:hAnsi="宋体" w:cs="宋体" w:eastAsia="宋体" w:hint="default"/>
                <w:sz w:val="16"/>
                <w:szCs w:val="16"/>
              </w:rPr>
            </w:pPr>
            <w:r>
              <w:rPr>
                <w:rFonts w:ascii="宋体"/>
                <w:spacing w:val="-1"/>
                <w:sz w:val="16"/>
              </w:rPr>
              <w:t>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3"/>
              <w:jc w:val="right"/>
              <w:rPr>
                <w:rFonts w:ascii="宋体" w:hAnsi="宋体" w:cs="宋体" w:eastAsia="宋体" w:hint="default"/>
                <w:sz w:val="16"/>
                <w:szCs w:val="16"/>
              </w:rPr>
            </w:pPr>
            <w:r>
              <w:rPr>
                <w:rFonts w:ascii="宋体"/>
                <w:spacing w:val="-2"/>
                <w:sz w:val="16"/>
              </w:rPr>
              <w:t>1,771,614.93</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1"/>
              <w:jc w:val="right"/>
              <w:rPr>
                <w:rFonts w:ascii="宋体" w:hAnsi="宋体" w:cs="宋体" w:eastAsia="宋体" w:hint="default"/>
                <w:sz w:val="16"/>
                <w:szCs w:val="16"/>
              </w:rPr>
            </w:pPr>
            <w:r>
              <w:rPr>
                <w:rFonts w:ascii="宋体"/>
                <w:spacing w:val="-1"/>
                <w:sz w:val="16"/>
              </w:rPr>
              <w:t>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7"/>
              <w:jc w:val="right"/>
              <w:rPr>
                <w:rFonts w:ascii="宋体" w:hAnsi="宋体" w:cs="宋体" w:eastAsia="宋体" w:hint="default"/>
                <w:sz w:val="16"/>
                <w:szCs w:val="16"/>
              </w:rPr>
            </w:pPr>
            <w:r>
              <w:rPr>
                <w:rFonts w:ascii="宋体"/>
                <w:spacing w:val="-1"/>
                <w:sz w:val="16"/>
              </w:rPr>
              <w:t>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3"/>
              <w:jc w:val="right"/>
              <w:rPr>
                <w:rFonts w:ascii="宋体" w:hAnsi="宋体" w:cs="宋体" w:eastAsia="宋体" w:hint="default"/>
                <w:sz w:val="16"/>
                <w:szCs w:val="16"/>
              </w:rPr>
            </w:pPr>
            <w:r>
              <w:rPr>
                <w:rFonts w:ascii="宋体"/>
                <w:spacing w:val="-2"/>
                <w:sz w:val="16"/>
              </w:rPr>
              <w:t>388,299.77</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35" w:right="0"/>
              <w:jc w:val="left"/>
              <w:rPr>
                <w:rFonts w:ascii="宋体" w:hAnsi="宋体" w:cs="宋体" w:eastAsia="宋体" w:hint="default"/>
                <w:sz w:val="16"/>
                <w:szCs w:val="16"/>
              </w:rPr>
            </w:pPr>
            <w:r>
              <w:rPr>
                <w:rFonts w:ascii="宋体"/>
                <w:sz w:val="16"/>
              </w:rPr>
              <w:t>0.00</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0"/>
              <w:jc w:val="right"/>
              <w:rPr>
                <w:rFonts w:ascii="宋体" w:hAnsi="宋体" w:cs="宋体" w:eastAsia="宋体" w:hint="default"/>
                <w:sz w:val="16"/>
                <w:szCs w:val="16"/>
              </w:rPr>
            </w:pPr>
            <w:r>
              <w:rPr>
                <w:rFonts w:ascii="宋体"/>
                <w:spacing w:val="-2"/>
                <w:sz w:val="16"/>
              </w:rPr>
              <w:t>86,462,552.33</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9"/>
              <w:jc w:val="right"/>
              <w:rPr>
                <w:rFonts w:ascii="宋体" w:hAnsi="宋体" w:cs="宋体" w:eastAsia="宋体" w:hint="default"/>
                <w:sz w:val="16"/>
                <w:szCs w:val="16"/>
              </w:rPr>
            </w:pPr>
            <w:r>
              <w:rPr>
                <w:rFonts w:ascii="宋体"/>
                <w:spacing w:val="-1"/>
                <w:sz w:val="16"/>
              </w:rPr>
              <w:t>0.00</w:t>
            </w:r>
          </w:p>
        </w:tc>
      </w:tr>
      <w:tr>
        <w:trPr>
          <w:trHeight w:val="290" w:hRule="exact"/>
        </w:trPr>
        <w:tc>
          <w:tcPr>
            <w:tcW w:w="316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16"/>
                <w:szCs w:val="16"/>
              </w:rPr>
            </w:pPr>
            <w:r>
              <w:rPr>
                <w:rFonts w:ascii="宋体" w:hAnsi="宋体" w:cs="宋体" w:eastAsia="宋体" w:hint="default"/>
                <w:sz w:val="16"/>
                <w:szCs w:val="16"/>
              </w:rPr>
              <w:t>同方鼎欣科技股份有限公司</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8"/>
              <w:jc w:val="right"/>
              <w:rPr>
                <w:rFonts w:ascii="宋体" w:hAnsi="宋体" w:cs="宋体" w:eastAsia="宋体" w:hint="default"/>
                <w:sz w:val="16"/>
                <w:szCs w:val="16"/>
              </w:rPr>
            </w:pPr>
            <w:r>
              <w:rPr>
                <w:rFonts w:ascii="宋体"/>
                <w:spacing w:val="-2"/>
                <w:sz w:val="16"/>
              </w:rPr>
              <w:t>29,895,001.43</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9"/>
              <w:jc w:val="right"/>
              <w:rPr>
                <w:rFonts w:ascii="宋体" w:hAnsi="宋体" w:cs="宋体" w:eastAsia="宋体" w:hint="default"/>
                <w:sz w:val="16"/>
                <w:szCs w:val="16"/>
              </w:rPr>
            </w:pPr>
            <w:r>
              <w:rPr>
                <w:rFonts w:ascii="宋体"/>
                <w:spacing w:val="-1"/>
                <w:sz w:val="16"/>
              </w:rPr>
              <w:t>0.00</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1"/>
              <w:jc w:val="right"/>
              <w:rPr>
                <w:rFonts w:ascii="宋体" w:hAnsi="宋体" w:cs="宋体" w:eastAsia="宋体" w:hint="default"/>
                <w:sz w:val="16"/>
                <w:szCs w:val="16"/>
              </w:rPr>
            </w:pPr>
            <w:r>
              <w:rPr>
                <w:rFonts w:ascii="宋体"/>
                <w:spacing w:val="-1"/>
                <w:sz w:val="16"/>
              </w:rPr>
              <w:t>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3"/>
              <w:jc w:val="right"/>
              <w:rPr>
                <w:rFonts w:ascii="宋体" w:hAnsi="宋体" w:cs="宋体" w:eastAsia="宋体" w:hint="default"/>
                <w:sz w:val="16"/>
                <w:szCs w:val="16"/>
              </w:rPr>
            </w:pPr>
            <w:r>
              <w:rPr>
                <w:rFonts w:ascii="宋体"/>
                <w:spacing w:val="-2"/>
                <w:sz w:val="16"/>
              </w:rPr>
              <w:t>6,633,269.93</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9"/>
              <w:jc w:val="right"/>
              <w:rPr>
                <w:rFonts w:ascii="宋体" w:hAnsi="宋体" w:cs="宋体" w:eastAsia="宋体" w:hint="default"/>
                <w:sz w:val="16"/>
                <w:szCs w:val="16"/>
              </w:rPr>
            </w:pPr>
            <w:r>
              <w:rPr>
                <w:rFonts w:ascii="宋体"/>
                <w:spacing w:val="-2"/>
                <w:sz w:val="16"/>
              </w:rPr>
              <w:t>15,498.06</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7"/>
              <w:jc w:val="right"/>
              <w:rPr>
                <w:rFonts w:ascii="宋体" w:hAnsi="宋体" w:cs="宋体" w:eastAsia="宋体" w:hint="default"/>
                <w:sz w:val="16"/>
                <w:szCs w:val="16"/>
              </w:rPr>
            </w:pPr>
            <w:r>
              <w:rPr>
                <w:rFonts w:ascii="宋体"/>
                <w:spacing w:val="-2"/>
                <w:sz w:val="16"/>
              </w:rPr>
              <w:t>861,821.91</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1"/>
              <w:jc w:val="right"/>
              <w:rPr>
                <w:rFonts w:ascii="宋体" w:hAnsi="宋体" w:cs="宋体" w:eastAsia="宋体" w:hint="default"/>
                <w:sz w:val="16"/>
                <w:szCs w:val="16"/>
              </w:rPr>
            </w:pPr>
            <w:r>
              <w:rPr>
                <w:rFonts w:ascii="宋体"/>
                <w:spacing w:val="-2"/>
                <w:sz w:val="16"/>
              </w:rPr>
              <w:t>2,000,000.00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35" w:right="0"/>
              <w:jc w:val="left"/>
              <w:rPr>
                <w:rFonts w:ascii="宋体" w:hAnsi="宋体" w:cs="宋体" w:eastAsia="宋体" w:hint="default"/>
                <w:sz w:val="16"/>
                <w:szCs w:val="16"/>
              </w:rPr>
            </w:pPr>
            <w:r>
              <w:rPr>
                <w:rFonts w:ascii="宋体"/>
                <w:sz w:val="16"/>
              </w:rPr>
              <w:t>0.00</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0"/>
              <w:jc w:val="right"/>
              <w:rPr>
                <w:rFonts w:ascii="宋体" w:hAnsi="宋体" w:cs="宋体" w:eastAsia="宋体" w:hint="default"/>
                <w:sz w:val="16"/>
                <w:szCs w:val="16"/>
              </w:rPr>
            </w:pPr>
            <w:r>
              <w:rPr>
                <w:rFonts w:ascii="宋体"/>
                <w:spacing w:val="-2"/>
                <w:sz w:val="16"/>
              </w:rPr>
              <w:t>35,405,591.33</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9"/>
              <w:jc w:val="right"/>
              <w:rPr>
                <w:rFonts w:ascii="宋体" w:hAnsi="宋体" w:cs="宋体" w:eastAsia="宋体" w:hint="default"/>
                <w:sz w:val="16"/>
                <w:szCs w:val="16"/>
              </w:rPr>
            </w:pPr>
            <w:r>
              <w:rPr>
                <w:rFonts w:ascii="宋体"/>
                <w:spacing w:val="-1"/>
                <w:sz w:val="16"/>
              </w:rPr>
              <w:t>0.00</w:t>
            </w:r>
          </w:p>
        </w:tc>
      </w:tr>
      <w:tr>
        <w:trPr>
          <w:trHeight w:val="292" w:hRule="exact"/>
        </w:trPr>
        <w:tc>
          <w:tcPr>
            <w:tcW w:w="316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16"/>
                <w:szCs w:val="16"/>
              </w:rPr>
            </w:pPr>
            <w:r>
              <w:rPr>
                <w:rFonts w:ascii="宋体" w:hAnsi="宋体" w:cs="宋体" w:eastAsia="宋体" w:hint="default"/>
                <w:sz w:val="16"/>
                <w:szCs w:val="16"/>
              </w:rPr>
              <w:t>吉林同方科贸有限责任公司</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5"/>
              <w:jc w:val="right"/>
              <w:rPr>
                <w:rFonts w:ascii="宋体" w:hAnsi="宋体" w:cs="宋体" w:eastAsia="宋体" w:hint="default"/>
                <w:sz w:val="16"/>
                <w:szCs w:val="16"/>
              </w:rPr>
            </w:pPr>
            <w:r>
              <w:rPr>
                <w:rFonts w:ascii="宋体"/>
                <w:spacing w:val="-2"/>
                <w:sz w:val="16"/>
              </w:rPr>
              <w:t>1,231,534.04</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9"/>
              <w:jc w:val="right"/>
              <w:rPr>
                <w:rFonts w:ascii="宋体" w:hAnsi="宋体" w:cs="宋体" w:eastAsia="宋体" w:hint="default"/>
                <w:sz w:val="16"/>
                <w:szCs w:val="16"/>
              </w:rPr>
            </w:pPr>
            <w:r>
              <w:rPr>
                <w:rFonts w:ascii="宋体"/>
                <w:spacing w:val="-1"/>
                <w:sz w:val="16"/>
              </w:rPr>
              <w:t>0.00</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1"/>
              <w:jc w:val="right"/>
              <w:rPr>
                <w:rFonts w:ascii="宋体" w:hAnsi="宋体" w:cs="宋体" w:eastAsia="宋体" w:hint="default"/>
                <w:sz w:val="16"/>
                <w:szCs w:val="16"/>
              </w:rPr>
            </w:pPr>
            <w:r>
              <w:rPr>
                <w:rFonts w:ascii="宋体"/>
                <w:spacing w:val="-1"/>
                <w:sz w:val="16"/>
              </w:rPr>
              <w:t>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7"/>
              <w:jc w:val="right"/>
              <w:rPr>
                <w:rFonts w:ascii="宋体" w:hAnsi="宋体" w:cs="宋体" w:eastAsia="宋体" w:hint="default"/>
                <w:sz w:val="16"/>
                <w:szCs w:val="16"/>
              </w:rPr>
            </w:pPr>
            <w:r>
              <w:rPr>
                <w:rFonts w:ascii="宋体"/>
                <w:spacing w:val="-2"/>
                <w:sz w:val="16"/>
              </w:rPr>
              <w:t>-29,634.92</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1"/>
              <w:jc w:val="right"/>
              <w:rPr>
                <w:rFonts w:ascii="宋体" w:hAnsi="宋体" w:cs="宋体" w:eastAsia="宋体" w:hint="default"/>
                <w:sz w:val="16"/>
                <w:szCs w:val="16"/>
              </w:rPr>
            </w:pPr>
            <w:r>
              <w:rPr>
                <w:rFonts w:ascii="宋体"/>
                <w:spacing w:val="-1"/>
                <w:sz w:val="16"/>
              </w:rPr>
              <w:t>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7"/>
              <w:jc w:val="right"/>
              <w:rPr>
                <w:rFonts w:ascii="宋体" w:hAnsi="宋体" w:cs="宋体" w:eastAsia="宋体" w:hint="default"/>
                <w:sz w:val="16"/>
                <w:szCs w:val="16"/>
              </w:rPr>
            </w:pPr>
            <w:r>
              <w:rPr>
                <w:rFonts w:ascii="宋体"/>
                <w:spacing w:val="-1"/>
                <w:sz w:val="16"/>
              </w:rPr>
              <w:t>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3"/>
              <w:jc w:val="right"/>
              <w:rPr>
                <w:rFonts w:ascii="宋体" w:hAnsi="宋体" w:cs="宋体" w:eastAsia="宋体" w:hint="default"/>
                <w:sz w:val="16"/>
                <w:szCs w:val="16"/>
              </w:rPr>
            </w:pPr>
            <w:r>
              <w:rPr>
                <w:rFonts w:ascii="宋体"/>
                <w:spacing w:val="-1"/>
                <w:sz w:val="16"/>
              </w:rPr>
              <w:t>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35" w:right="0"/>
              <w:jc w:val="left"/>
              <w:rPr>
                <w:rFonts w:ascii="宋体" w:hAnsi="宋体" w:cs="宋体" w:eastAsia="宋体" w:hint="default"/>
                <w:sz w:val="16"/>
                <w:szCs w:val="16"/>
              </w:rPr>
            </w:pPr>
            <w:r>
              <w:rPr>
                <w:rFonts w:ascii="宋体"/>
                <w:sz w:val="16"/>
              </w:rPr>
              <w:t>0.00</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28"/>
              <w:jc w:val="right"/>
              <w:rPr>
                <w:rFonts w:ascii="宋体" w:hAnsi="宋体" w:cs="宋体" w:eastAsia="宋体" w:hint="default"/>
                <w:sz w:val="16"/>
                <w:szCs w:val="16"/>
              </w:rPr>
            </w:pPr>
            <w:r>
              <w:rPr>
                <w:rFonts w:ascii="宋体"/>
                <w:spacing w:val="-2"/>
                <w:sz w:val="16"/>
              </w:rPr>
              <w:t>1,201,899.12</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9"/>
              <w:jc w:val="right"/>
              <w:rPr>
                <w:rFonts w:ascii="宋体" w:hAnsi="宋体" w:cs="宋体" w:eastAsia="宋体" w:hint="default"/>
                <w:sz w:val="16"/>
                <w:szCs w:val="16"/>
              </w:rPr>
            </w:pPr>
            <w:r>
              <w:rPr>
                <w:rFonts w:ascii="宋体"/>
                <w:spacing w:val="-1"/>
                <w:sz w:val="16"/>
              </w:rPr>
              <w:t>0.00</w:t>
            </w:r>
          </w:p>
        </w:tc>
      </w:tr>
      <w:tr>
        <w:trPr>
          <w:trHeight w:val="295" w:hRule="exact"/>
        </w:trPr>
        <w:tc>
          <w:tcPr>
            <w:tcW w:w="316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8" w:right="0"/>
              <w:jc w:val="left"/>
              <w:rPr>
                <w:rFonts w:ascii="宋体" w:hAnsi="宋体" w:cs="宋体" w:eastAsia="宋体" w:hint="default"/>
                <w:sz w:val="16"/>
                <w:szCs w:val="16"/>
              </w:rPr>
            </w:pPr>
            <w:r>
              <w:rPr>
                <w:rFonts w:ascii="宋体" w:hAnsi="宋体" w:cs="宋体" w:eastAsia="宋体" w:hint="default"/>
                <w:sz w:val="16"/>
                <w:szCs w:val="16"/>
              </w:rPr>
              <w:t>河南同盟智慧城市科技有限公司</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5"/>
              <w:jc w:val="right"/>
              <w:rPr>
                <w:rFonts w:ascii="宋体" w:hAnsi="宋体" w:cs="宋体" w:eastAsia="宋体" w:hint="default"/>
                <w:sz w:val="16"/>
                <w:szCs w:val="16"/>
              </w:rPr>
            </w:pPr>
            <w:r>
              <w:rPr>
                <w:rFonts w:ascii="宋体"/>
                <w:spacing w:val="-1"/>
                <w:sz w:val="16"/>
              </w:rPr>
              <w:t>0.00</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37"/>
              <w:jc w:val="right"/>
              <w:rPr>
                <w:rFonts w:ascii="宋体" w:hAnsi="宋体" w:cs="宋体" w:eastAsia="宋体" w:hint="default"/>
                <w:sz w:val="16"/>
                <w:szCs w:val="16"/>
              </w:rPr>
            </w:pPr>
            <w:r>
              <w:rPr>
                <w:rFonts w:ascii="宋体"/>
                <w:spacing w:val="-2"/>
                <w:sz w:val="16"/>
              </w:rPr>
              <w:t>1,000,000.00</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9"/>
              <w:jc w:val="right"/>
              <w:rPr>
                <w:rFonts w:ascii="宋体" w:hAnsi="宋体" w:cs="宋体" w:eastAsia="宋体" w:hint="default"/>
                <w:sz w:val="16"/>
                <w:szCs w:val="16"/>
              </w:rPr>
            </w:pPr>
            <w:r>
              <w:rPr>
                <w:rFonts w:ascii="宋体"/>
                <w:spacing w:val="-1"/>
                <w:sz w:val="16"/>
              </w:rPr>
              <w:t>0.00</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3"/>
              <w:jc w:val="right"/>
              <w:rPr>
                <w:rFonts w:ascii="宋体" w:hAnsi="宋体" w:cs="宋体" w:eastAsia="宋体" w:hint="default"/>
                <w:sz w:val="16"/>
                <w:szCs w:val="16"/>
              </w:rPr>
            </w:pPr>
            <w:r>
              <w:rPr>
                <w:rFonts w:ascii="宋体"/>
                <w:spacing w:val="-1"/>
                <w:sz w:val="16"/>
              </w:rPr>
              <w:t>0.00</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9"/>
              <w:jc w:val="right"/>
              <w:rPr>
                <w:rFonts w:ascii="宋体" w:hAnsi="宋体" w:cs="宋体" w:eastAsia="宋体" w:hint="default"/>
                <w:sz w:val="16"/>
                <w:szCs w:val="16"/>
              </w:rPr>
            </w:pPr>
            <w:r>
              <w:rPr>
                <w:rFonts w:ascii="宋体"/>
                <w:spacing w:val="-1"/>
                <w:sz w:val="16"/>
              </w:rPr>
              <w:t>0.00</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5"/>
              <w:jc w:val="right"/>
              <w:rPr>
                <w:rFonts w:ascii="宋体" w:hAnsi="宋体" w:cs="宋体" w:eastAsia="宋体" w:hint="default"/>
                <w:sz w:val="16"/>
                <w:szCs w:val="16"/>
              </w:rPr>
            </w:pPr>
            <w:r>
              <w:rPr>
                <w:rFonts w:ascii="宋体"/>
                <w:spacing w:val="-1"/>
                <w:sz w:val="16"/>
              </w:rPr>
              <w:t>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0"/>
              <w:jc w:val="right"/>
              <w:rPr>
                <w:rFonts w:ascii="宋体" w:hAnsi="宋体" w:cs="宋体" w:eastAsia="宋体" w:hint="default"/>
                <w:sz w:val="16"/>
                <w:szCs w:val="16"/>
              </w:rPr>
            </w:pPr>
            <w:r>
              <w:rPr>
                <w:rFonts w:ascii="宋体"/>
                <w:spacing w:val="-1"/>
                <w:sz w:val="16"/>
              </w:rPr>
              <w:t>0.00</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37" w:right="0"/>
              <w:jc w:val="left"/>
              <w:rPr>
                <w:rFonts w:ascii="宋体" w:hAnsi="宋体" w:cs="宋体" w:eastAsia="宋体" w:hint="default"/>
                <w:sz w:val="16"/>
                <w:szCs w:val="16"/>
              </w:rPr>
            </w:pPr>
            <w:r>
              <w:rPr>
                <w:rFonts w:ascii="宋体"/>
                <w:sz w:val="16"/>
              </w:rPr>
              <w:t>0.00</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8"/>
              <w:jc w:val="right"/>
              <w:rPr>
                <w:rFonts w:ascii="宋体" w:hAnsi="宋体" w:cs="宋体" w:eastAsia="宋体" w:hint="default"/>
                <w:sz w:val="16"/>
                <w:szCs w:val="16"/>
              </w:rPr>
            </w:pPr>
            <w:r>
              <w:rPr>
                <w:rFonts w:ascii="宋体"/>
                <w:spacing w:val="-2"/>
                <w:sz w:val="16"/>
              </w:rPr>
              <w:t>1,000,000.00</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16"/>
                <w:szCs w:val="16"/>
              </w:rPr>
            </w:pPr>
            <w:r>
              <w:rPr>
                <w:rFonts w:ascii="宋体"/>
                <w:spacing w:val="-1"/>
                <w:sz w:val="16"/>
              </w:rPr>
              <w:t>0.00</w:t>
            </w:r>
          </w:p>
        </w:tc>
      </w:tr>
      <w:tr>
        <w:trPr>
          <w:trHeight w:val="310" w:hRule="exact"/>
        </w:trPr>
        <w:tc>
          <w:tcPr>
            <w:tcW w:w="3169"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108" w:right="0"/>
              <w:jc w:val="left"/>
              <w:rPr>
                <w:rFonts w:ascii="宋体" w:hAnsi="宋体" w:cs="宋体" w:eastAsia="宋体" w:hint="default"/>
                <w:sz w:val="16"/>
                <w:szCs w:val="16"/>
              </w:rPr>
            </w:pPr>
            <w:r>
              <w:rPr>
                <w:rFonts w:ascii="宋体" w:hAnsi="宋体" w:cs="宋体" w:eastAsia="宋体" w:hint="default"/>
                <w:sz w:val="16"/>
                <w:szCs w:val="16"/>
              </w:rPr>
              <w:t>北京中录同方文化传播有限公司</w:t>
            </w:r>
          </w:p>
        </w:tc>
        <w:tc>
          <w:tcPr>
            <w:tcW w:w="1809"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77"/>
              <w:jc w:val="right"/>
              <w:rPr>
                <w:rFonts w:ascii="宋体" w:hAnsi="宋体" w:cs="宋体" w:eastAsia="宋体" w:hint="default"/>
                <w:sz w:val="16"/>
                <w:szCs w:val="16"/>
              </w:rPr>
            </w:pPr>
            <w:r>
              <w:rPr>
                <w:rFonts w:ascii="宋体"/>
                <w:spacing w:val="-1"/>
                <w:sz w:val="16"/>
              </w:rPr>
              <w:t>0.00</w:t>
            </w:r>
          </w:p>
        </w:tc>
        <w:tc>
          <w:tcPr>
            <w:tcW w:w="1546"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239"/>
              <w:jc w:val="right"/>
              <w:rPr>
                <w:rFonts w:ascii="宋体" w:hAnsi="宋体" w:cs="宋体" w:eastAsia="宋体" w:hint="default"/>
                <w:sz w:val="16"/>
                <w:szCs w:val="16"/>
              </w:rPr>
            </w:pPr>
            <w:r>
              <w:rPr>
                <w:rFonts w:ascii="宋体"/>
                <w:spacing w:val="-1"/>
                <w:sz w:val="16"/>
              </w:rPr>
              <w:t>0.00</w:t>
            </w:r>
          </w:p>
        </w:tc>
        <w:tc>
          <w:tcPr>
            <w:tcW w:w="696"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31"/>
              <w:jc w:val="right"/>
              <w:rPr>
                <w:rFonts w:ascii="宋体" w:hAnsi="宋体" w:cs="宋体" w:eastAsia="宋体" w:hint="default"/>
                <w:sz w:val="16"/>
                <w:szCs w:val="16"/>
              </w:rPr>
            </w:pPr>
            <w:r>
              <w:rPr>
                <w:rFonts w:ascii="宋体"/>
                <w:spacing w:val="-1"/>
                <w:sz w:val="16"/>
              </w:rPr>
              <w:t>0.00</w:t>
            </w:r>
          </w:p>
        </w:tc>
        <w:tc>
          <w:tcPr>
            <w:tcW w:w="1386"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26"/>
              <w:jc w:val="right"/>
              <w:rPr>
                <w:rFonts w:ascii="宋体" w:hAnsi="宋体" w:cs="宋体" w:eastAsia="宋体" w:hint="default"/>
                <w:sz w:val="16"/>
                <w:szCs w:val="16"/>
              </w:rPr>
            </w:pPr>
            <w:r>
              <w:rPr>
                <w:rFonts w:ascii="宋体"/>
                <w:spacing w:val="-1"/>
                <w:sz w:val="16"/>
              </w:rPr>
              <w:t>0.00</w:t>
            </w:r>
          </w:p>
        </w:tc>
        <w:tc>
          <w:tcPr>
            <w:tcW w:w="1307"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31"/>
              <w:jc w:val="right"/>
              <w:rPr>
                <w:rFonts w:ascii="宋体" w:hAnsi="宋体" w:cs="宋体" w:eastAsia="宋体" w:hint="default"/>
                <w:sz w:val="16"/>
                <w:szCs w:val="16"/>
              </w:rPr>
            </w:pPr>
            <w:r>
              <w:rPr>
                <w:rFonts w:ascii="宋体"/>
                <w:spacing w:val="-1"/>
                <w:sz w:val="16"/>
              </w:rPr>
              <w:t>0.00</w:t>
            </w:r>
          </w:p>
        </w:tc>
        <w:tc>
          <w:tcPr>
            <w:tcW w:w="1328"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47"/>
              <w:jc w:val="right"/>
              <w:rPr>
                <w:rFonts w:ascii="宋体" w:hAnsi="宋体" w:cs="宋体" w:eastAsia="宋体" w:hint="default"/>
                <w:sz w:val="16"/>
                <w:szCs w:val="16"/>
              </w:rPr>
            </w:pPr>
            <w:r>
              <w:rPr>
                <w:rFonts w:ascii="宋体"/>
                <w:spacing w:val="-1"/>
                <w:sz w:val="16"/>
              </w:rPr>
              <w:t>0.00</w:t>
            </w: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33"/>
              <w:jc w:val="right"/>
              <w:rPr>
                <w:rFonts w:ascii="宋体" w:hAnsi="宋体" w:cs="宋体" w:eastAsia="宋体" w:hint="default"/>
                <w:sz w:val="16"/>
                <w:szCs w:val="16"/>
              </w:rPr>
            </w:pPr>
            <w:r>
              <w:rPr>
                <w:rFonts w:ascii="宋体"/>
                <w:spacing w:val="-1"/>
                <w:sz w:val="16"/>
              </w:rPr>
              <w:t>0.00</w:t>
            </w:r>
          </w:p>
        </w:tc>
        <w:tc>
          <w:tcPr>
            <w:tcW w:w="700"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135" w:right="0"/>
              <w:jc w:val="left"/>
              <w:rPr>
                <w:rFonts w:ascii="宋体" w:hAnsi="宋体" w:cs="宋体" w:eastAsia="宋体" w:hint="default"/>
                <w:sz w:val="16"/>
                <w:szCs w:val="16"/>
              </w:rPr>
            </w:pPr>
            <w:r>
              <w:rPr>
                <w:rFonts w:ascii="宋体"/>
                <w:sz w:val="16"/>
              </w:rPr>
              <w:t>0.00</w:t>
            </w:r>
          </w:p>
        </w:tc>
        <w:tc>
          <w:tcPr>
            <w:tcW w:w="1764"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230"/>
              <w:jc w:val="right"/>
              <w:rPr>
                <w:rFonts w:ascii="宋体" w:hAnsi="宋体" w:cs="宋体" w:eastAsia="宋体" w:hint="default"/>
                <w:sz w:val="16"/>
                <w:szCs w:val="16"/>
              </w:rPr>
            </w:pPr>
            <w:r>
              <w:rPr>
                <w:rFonts w:ascii="宋体"/>
                <w:spacing w:val="-1"/>
                <w:sz w:val="16"/>
              </w:rPr>
              <w:t>0.00</w:t>
            </w:r>
          </w:p>
        </w:tc>
        <w:tc>
          <w:tcPr>
            <w:tcW w:w="664"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09"/>
              <w:jc w:val="right"/>
              <w:rPr>
                <w:rFonts w:ascii="宋体" w:hAnsi="宋体" w:cs="宋体" w:eastAsia="宋体" w:hint="default"/>
                <w:sz w:val="16"/>
                <w:szCs w:val="16"/>
              </w:rPr>
            </w:pPr>
            <w:r>
              <w:rPr>
                <w:rFonts w:ascii="宋体"/>
                <w:spacing w:val="-1"/>
                <w:sz w:val="16"/>
              </w:rPr>
              <w:t>0.00</w:t>
            </w:r>
          </w:p>
        </w:tc>
      </w:tr>
      <w:tr>
        <w:trPr>
          <w:trHeight w:val="329" w:hRule="exact"/>
        </w:trPr>
        <w:tc>
          <w:tcPr>
            <w:tcW w:w="3169" w:type="dxa"/>
            <w:tcBorders>
              <w:top w:val="single" w:sz="4" w:space="0" w:color="000000"/>
              <w:left w:val="nil" w:sz="6" w:space="0" w:color="auto"/>
              <w:bottom w:val="single" w:sz="12" w:space="0" w:color="000000"/>
              <w:right w:val="nil" w:sz="6" w:space="0" w:color="auto"/>
            </w:tcBorders>
          </w:tcPr>
          <w:p>
            <w:pPr>
              <w:pStyle w:val="TableParagraph"/>
              <w:spacing w:line="240" w:lineRule="auto" w:before="24"/>
              <w:ind w:left="108"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809" w:type="dxa"/>
            <w:tcBorders>
              <w:top w:val="single" w:sz="4" w:space="0" w:color="000000"/>
              <w:left w:val="nil" w:sz="6" w:space="0" w:color="auto"/>
              <w:bottom w:val="single" w:sz="12" w:space="0" w:color="000000"/>
              <w:right w:val="nil" w:sz="6" w:space="0" w:color="auto"/>
            </w:tcBorders>
          </w:tcPr>
          <w:p>
            <w:pPr>
              <w:pStyle w:val="TableParagraph"/>
              <w:spacing w:line="240" w:lineRule="auto" w:before="24"/>
              <w:ind w:right="177"/>
              <w:jc w:val="right"/>
              <w:rPr>
                <w:rFonts w:ascii="宋体" w:hAnsi="宋体" w:cs="宋体" w:eastAsia="宋体" w:hint="default"/>
                <w:sz w:val="16"/>
                <w:szCs w:val="16"/>
              </w:rPr>
            </w:pPr>
            <w:r>
              <w:rPr>
                <w:rFonts w:ascii="宋体"/>
                <w:b/>
                <w:spacing w:val="-1"/>
                <w:sz w:val="16"/>
              </w:rPr>
              <w:t>2,938,002,477.34</w:t>
            </w:r>
            <w:r>
              <w:rPr>
                <w:rFonts w:ascii="宋体"/>
                <w:spacing w:val="-1"/>
                <w:sz w:val="16"/>
              </w:rPr>
            </w:r>
          </w:p>
        </w:tc>
        <w:tc>
          <w:tcPr>
            <w:tcW w:w="1546" w:type="dxa"/>
            <w:tcBorders>
              <w:top w:val="single" w:sz="4" w:space="0" w:color="000000"/>
              <w:left w:val="nil" w:sz="6" w:space="0" w:color="auto"/>
              <w:bottom w:val="single" w:sz="12" w:space="0" w:color="000000"/>
              <w:right w:val="nil" w:sz="6" w:space="0" w:color="auto"/>
            </w:tcBorders>
          </w:tcPr>
          <w:p>
            <w:pPr>
              <w:pStyle w:val="TableParagraph"/>
              <w:spacing w:line="240" w:lineRule="auto" w:before="24"/>
              <w:ind w:right="238"/>
              <w:jc w:val="right"/>
              <w:rPr>
                <w:rFonts w:ascii="宋体" w:hAnsi="宋体" w:cs="宋体" w:eastAsia="宋体" w:hint="default"/>
                <w:sz w:val="16"/>
                <w:szCs w:val="16"/>
              </w:rPr>
            </w:pPr>
            <w:r>
              <w:rPr>
                <w:rFonts w:ascii="宋体"/>
                <w:b/>
                <w:spacing w:val="-1"/>
                <w:sz w:val="16"/>
              </w:rPr>
              <w:t>116,269,858.76</w:t>
            </w:r>
            <w:r>
              <w:rPr>
                <w:rFonts w:ascii="宋体"/>
                <w:spacing w:val="-1"/>
                <w:sz w:val="16"/>
              </w:rPr>
            </w:r>
          </w:p>
        </w:tc>
        <w:tc>
          <w:tcPr>
            <w:tcW w:w="696" w:type="dxa"/>
            <w:tcBorders>
              <w:top w:val="single" w:sz="4" w:space="0" w:color="000000"/>
              <w:left w:val="nil" w:sz="6" w:space="0" w:color="auto"/>
              <w:bottom w:val="single" w:sz="12" w:space="0" w:color="000000"/>
              <w:right w:val="nil" w:sz="6" w:space="0" w:color="auto"/>
            </w:tcBorders>
          </w:tcPr>
          <w:p>
            <w:pPr>
              <w:pStyle w:val="TableParagraph"/>
              <w:spacing w:line="240" w:lineRule="auto" w:before="24"/>
              <w:ind w:right="132"/>
              <w:jc w:val="right"/>
              <w:rPr>
                <w:rFonts w:ascii="宋体" w:hAnsi="宋体" w:cs="宋体" w:eastAsia="宋体" w:hint="default"/>
                <w:sz w:val="16"/>
                <w:szCs w:val="16"/>
              </w:rPr>
            </w:pPr>
            <w:r>
              <w:rPr>
                <w:rFonts w:ascii="宋体"/>
                <w:b/>
                <w:spacing w:val="-1"/>
                <w:sz w:val="16"/>
              </w:rPr>
              <w:t>0.00</w:t>
            </w:r>
            <w:r>
              <w:rPr>
                <w:rFonts w:ascii="宋体"/>
                <w:spacing w:val="-1"/>
                <w:sz w:val="16"/>
              </w:rPr>
            </w:r>
          </w:p>
        </w:tc>
        <w:tc>
          <w:tcPr>
            <w:tcW w:w="1386" w:type="dxa"/>
            <w:tcBorders>
              <w:top w:val="single" w:sz="4" w:space="0" w:color="000000"/>
              <w:left w:val="nil" w:sz="6" w:space="0" w:color="auto"/>
              <w:bottom w:val="single" w:sz="12" w:space="0" w:color="000000"/>
              <w:right w:val="nil" w:sz="6" w:space="0" w:color="auto"/>
            </w:tcBorders>
          </w:tcPr>
          <w:p>
            <w:pPr>
              <w:pStyle w:val="TableParagraph"/>
              <w:spacing w:line="240" w:lineRule="auto" w:before="24"/>
              <w:ind w:right="125"/>
              <w:jc w:val="right"/>
              <w:rPr>
                <w:rFonts w:ascii="宋体" w:hAnsi="宋体" w:cs="宋体" w:eastAsia="宋体" w:hint="default"/>
                <w:sz w:val="16"/>
                <w:szCs w:val="16"/>
              </w:rPr>
            </w:pPr>
            <w:r>
              <w:rPr>
                <w:rFonts w:ascii="宋体"/>
                <w:b/>
                <w:spacing w:val="-1"/>
                <w:sz w:val="16"/>
              </w:rPr>
              <w:t>124,966,737.37</w:t>
            </w:r>
            <w:r>
              <w:rPr>
                <w:rFonts w:ascii="宋体"/>
                <w:spacing w:val="-1"/>
                <w:sz w:val="16"/>
              </w:rPr>
            </w:r>
          </w:p>
        </w:tc>
        <w:tc>
          <w:tcPr>
            <w:tcW w:w="1307" w:type="dxa"/>
            <w:tcBorders>
              <w:top w:val="single" w:sz="4" w:space="0" w:color="000000"/>
              <w:left w:val="nil" w:sz="6" w:space="0" w:color="auto"/>
              <w:bottom w:val="single" w:sz="12" w:space="0" w:color="000000"/>
              <w:right w:val="nil" w:sz="6" w:space="0" w:color="auto"/>
            </w:tcBorders>
          </w:tcPr>
          <w:p>
            <w:pPr>
              <w:pStyle w:val="TableParagraph"/>
              <w:spacing w:line="240" w:lineRule="auto" w:before="24"/>
              <w:ind w:right="130"/>
              <w:jc w:val="right"/>
              <w:rPr>
                <w:rFonts w:ascii="宋体" w:hAnsi="宋体" w:cs="宋体" w:eastAsia="宋体" w:hint="default"/>
                <w:sz w:val="16"/>
                <w:szCs w:val="16"/>
              </w:rPr>
            </w:pPr>
            <w:r>
              <w:rPr>
                <w:rFonts w:ascii="宋体"/>
                <w:b/>
                <w:spacing w:val="-1"/>
                <w:sz w:val="16"/>
              </w:rPr>
              <w:t>96,145,808.18</w:t>
            </w:r>
            <w:r>
              <w:rPr>
                <w:rFonts w:ascii="宋体"/>
                <w:spacing w:val="-1"/>
                <w:sz w:val="16"/>
              </w:rPr>
            </w:r>
          </w:p>
        </w:tc>
        <w:tc>
          <w:tcPr>
            <w:tcW w:w="1328" w:type="dxa"/>
            <w:tcBorders>
              <w:top w:val="single" w:sz="4" w:space="0" w:color="000000"/>
              <w:left w:val="nil" w:sz="6" w:space="0" w:color="auto"/>
              <w:bottom w:val="single" w:sz="12" w:space="0" w:color="000000"/>
              <w:right w:val="nil" w:sz="6" w:space="0" w:color="auto"/>
            </w:tcBorders>
          </w:tcPr>
          <w:p>
            <w:pPr>
              <w:pStyle w:val="TableParagraph"/>
              <w:spacing w:line="240" w:lineRule="auto" w:before="24"/>
              <w:ind w:right="146"/>
              <w:jc w:val="right"/>
              <w:rPr>
                <w:rFonts w:ascii="宋体" w:hAnsi="宋体" w:cs="宋体" w:eastAsia="宋体" w:hint="default"/>
                <w:sz w:val="16"/>
                <w:szCs w:val="16"/>
              </w:rPr>
            </w:pPr>
            <w:r>
              <w:rPr>
                <w:rFonts w:ascii="宋体"/>
                <w:b/>
                <w:spacing w:val="-1"/>
                <w:sz w:val="16"/>
              </w:rPr>
              <w:t>38,277,736.50</w:t>
            </w:r>
            <w:r>
              <w:rPr>
                <w:rFonts w:ascii="宋体"/>
                <w:spacing w:val="-1"/>
                <w:sz w:val="16"/>
              </w:rPr>
            </w:r>
          </w:p>
        </w:tc>
        <w:tc>
          <w:tcPr>
            <w:tcW w:w="1330" w:type="dxa"/>
            <w:tcBorders>
              <w:top w:val="single" w:sz="4" w:space="0" w:color="000000"/>
              <w:left w:val="nil" w:sz="6" w:space="0" w:color="auto"/>
              <w:bottom w:val="single" w:sz="12" w:space="0" w:color="000000"/>
              <w:right w:val="nil" w:sz="6" w:space="0" w:color="auto"/>
            </w:tcBorders>
          </w:tcPr>
          <w:p>
            <w:pPr>
              <w:pStyle w:val="TableParagraph"/>
              <w:spacing w:line="240" w:lineRule="auto" w:before="24"/>
              <w:ind w:right="132"/>
              <w:jc w:val="right"/>
              <w:rPr>
                <w:rFonts w:ascii="宋体" w:hAnsi="宋体" w:cs="宋体" w:eastAsia="宋体" w:hint="default"/>
                <w:sz w:val="16"/>
                <w:szCs w:val="16"/>
              </w:rPr>
            </w:pPr>
            <w:r>
              <w:rPr>
                <w:rFonts w:ascii="宋体"/>
                <w:b/>
                <w:spacing w:val="-1"/>
                <w:sz w:val="16"/>
              </w:rPr>
              <w:t>19,412,314.21</w:t>
            </w:r>
            <w:r>
              <w:rPr>
                <w:rFonts w:ascii="宋体"/>
                <w:spacing w:val="-1"/>
                <w:sz w:val="16"/>
              </w:rPr>
            </w:r>
          </w:p>
        </w:tc>
        <w:tc>
          <w:tcPr>
            <w:tcW w:w="700" w:type="dxa"/>
            <w:tcBorders>
              <w:top w:val="single" w:sz="4" w:space="0" w:color="000000"/>
              <w:left w:val="nil" w:sz="6" w:space="0" w:color="auto"/>
              <w:bottom w:val="single" w:sz="12" w:space="0" w:color="000000"/>
              <w:right w:val="nil" w:sz="6" w:space="0" w:color="auto"/>
            </w:tcBorders>
          </w:tcPr>
          <w:p>
            <w:pPr>
              <w:pStyle w:val="TableParagraph"/>
              <w:spacing w:line="240" w:lineRule="auto" w:before="24"/>
              <w:ind w:left="132" w:right="0"/>
              <w:jc w:val="left"/>
              <w:rPr>
                <w:rFonts w:ascii="宋体" w:hAnsi="宋体" w:cs="宋体" w:eastAsia="宋体" w:hint="default"/>
                <w:sz w:val="16"/>
                <w:szCs w:val="16"/>
              </w:rPr>
            </w:pPr>
            <w:r>
              <w:rPr>
                <w:rFonts w:ascii="宋体"/>
                <w:b/>
                <w:sz w:val="16"/>
              </w:rPr>
              <w:t>0.00</w:t>
            </w:r>
            <w:r>
              <w:rPr>
                <w:rFonts w:ascii="宋体"/>
                <w:sz w:val="16"/>
              </w:rPr>
            </w:r>
          </w:p>
        </w:tc>
        <w:tc>
          <w:tcPr>
            <w:tcW w:w="1764" w:type="dxa"/>
            <w:tcBorders>
              <w:top w:val="single" w:sz="4" w:space="0" w:color="000000"/>
              <w:left w:val="nil" w:sz="6" w:space="0" w:color="auto"/>
              <w:bottom w:val="single" w:sz="12" w:space="0" w:color="000000"/>
              <w:right w:val="nil" w:sz="6" w:space="0" w:color="auto"/>
            </w:tcBorders>
          </w:tcPr>
          <w:p>
            <w:pPr>
              <w:pStyle w:val="TableParagraph"/>
              <w:spacing w:line="240" w:lineRule="auto" w:before="24"/>
              <w:ind w:right="229"/>
              <w:jc w:val="right"/>
              <w:rPr>
                <w:rFonts w:ascii="宋体" w:hAnsi="宋体" w:cs="宋体" w:eastAsia="宋体" w:hint="default"/>
                <w:sz w:val="16"/>
                <w:szCs w:val="16"/>
              </w:rPr>
            </w:pPr>
            <w:r>
              <w:rPr>
                <w:rFonts w:ascii="宋体"/>
                <w:b/>
                <w:spacing w:val="-1"/>
                <w:sz w:val="16"/>
              </w:rPr>
              <w:t>3,294,250,303.94</w:t>
            </w:r>
            <w:r>
              <w:rPr>
                <w:rFonts w:ascii="宋体"/>
                <w:spacing w:val="-1"/>
                <w:sz w:val="16"/>
              </w:rPr>
            </w:r>
          </w:p>
        </w:tc>
        <w:tc>
          <w:tcPr>
            <w:tcW w:w="664" w:type="dxa"/>
            <w:tcBorders>
              <w:top w:val="single" w:sz="4" w:space="0" w:color="000000"/>
              <w:left w:val="nil" w:sz="6" w:space="0" w:color="auto"/>
              <w:bottom w:val="single" w:sz="12" w:space="0" w:color="000000"/>
              <w:right w:val="nil" w:sz="6" w:space="0" w:color="auto"/>
            </w:tcBorders>
          </w:tcPr>
          <w:p>
            <w:pPr>
              <w:pStyle w:val="TableParagraph"/>
              <w:spacing w:line="240" w:lineRule="auto" w:before="24"/>
              <w:ind w:right="111"/>
              <w:jc w:val="right"/>
              <w:rPr>
                <w:rFonts w:ascii="宋体" w:hAnsi="宋体" w:cs="宋体" w:eastAsia="宋体" w:hint="default"/>
                <w:sz w:val="16"/>
                <w:szCs w:val="16"/>
              </w:rPr>
            </w:pPr>
            <w:r>
              <w:rPr>
                <w:rFonts w:ascii="宋体"/>
                <w:b/>
                <w:spacing w:val="-1"/>
                <w:sz w:val="16"/>
              </w:rPr>
              <w:t>0.00</w:t>
            </w:r>
            <w:r>
              <w:rPr>
                <w:rFonts w:ascii="宋体"/>
                <w:spacing w:val="-1"/>
                <w:sz w:val="16"/>
              </w:rPr>
            </w:r>
          </w:p>
        </w:tc>
      </w:tr>
    </w:tbl>
    <w:p>
      <w:pPr>
        <w:spacing w:after="0" w:line="240" w:lineRule="auto"/>
        <w:jc w:val="right"/>
        <w:rPr>
          <w:rFonts w:ascii="宋体" w:hAnsi="宋体" w:cs="宋体" w:eastAsia="宋体" w:hint="default"/>
          <w:sz w:val="16"/>
          <w:szCs w:val="16"/>
        </w:rPr>
        <w:sectPr>
          <w:type w:val="continuous"/>
          <w:pgSz w:w="16840" w:h="11910" w:orient="landscape"/>
          <w:pgMar w:top="1000" w:bottom="280" w:left="440" w:right="440"/>
        </w:sectPr>
      </w:pPr>
    </w:p>
    <w:p>
      <w:pPr>
        <w:spacing w:before="6"/>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16"/>
          <w:sz w:val="22"/>
          <w:szCs w:val="22"/>
        </w:rPr>
        <w:t> </w:t>
      </w:r>
      <w:r>
        <w:rPr>
          <w:rFonts w:ascii="宋体" w:hAnsi="宋体" w:cs="宋体" w:eastAsia="宋体" w:hint="default"/>
          <w:sz w:val="22"/>
          <w:szCs w:val="22"/>
        </w:rPr>
        <w:t>营业收入和营业成本</w:t>
      </w:r>
    </w:p>
    <w:p>
      <w:pPr>
        <w:spacing w:line="240" w:lineRule="auto" w:before="6"/>
        <w:rPr>
          <w:rFonts w:ascii="宋体" w:hAnsi="宋体" w:cs="宋体" w:eastAsia="宋体" w:hint="default"/>
          <w:sz w:val="11"/>
          <w:szCs w:val="11"/>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1479;height:2" coordorigin="14,14" coordsize="1479,2">
              <v:shape style="position:absolute;left:14;top:14;width:1479;height:2" coordorigin="14,14" coordsize="1479,0" path="m14,14l1493,14e" filled="false" stroked="true" strokeweight="1.44pt" strokecolor="#000000">
                <v:path arrowok="t"/>
              </v:shape>
            </v:group>
            <v:group style="position:absolute;left:1493;top:14;width:29;height:2" coordorigin="1493,14" coordsize="29,2">
              <v:shape style="position:absolute;left:1493;top:14;width:29;height:2" coordorigin="1493,14" coordsize="29,0" path="m1493,14l1522,14e" filled="false" stroked="true" strokeweight="1.44pt" strokecolor="#000000">
                <v:path arrowok="t"/>
              </v:shape>
            </v:group>
            <v:group style="position:absolute;left:1522;top:14;width:3594;height:2" coordorigin="1522,14" coordsize="3594,2">
              <v:shape style="position:absolute;left:1522;top:14;width:3594;height:2" coordorigin="1522,14" coordsize="3594,0" path="m1522,14l5115,14e" filled="false" stroked="true" strokeweight="1.44pt" strokecolor="#000000">
                <v:path arrowok="t"/>
              </v:shape>
            </v:group>
            <v:group style="position:absolute;left:5115;top:14;width:29;height:2" coordorigin="5115,14" coordsize="29,2">
              <v:shape style="position:absolute;left:5115;top:14;width:29;height:2" coordorigin="5115,14" coordsize="29,0" path="m5115,14l5144,14e" filled="false" stroked="true" strokeweight="1.44pt" strokecolor="#000000">
                <v:path arrowok="t"/>
              </v:shape>
            </v:group>
            <v:group style="position:absolute;left:5144;top:14;width:3596;height:2" coordorigin="5144,14" coordsize="3596,2">
              <v:shape style="position:absolute;left:5144;top:14;width:3596;height:2" coordorigin="5144,14" coordsize="3596,0" path="m5144,14l8740,14e" filled="false" stroked="true" strokeweight="1.44pt" strokecolor="#000000">
                <v:path arrowok="t"/>
              </v:shape>
            </v:group>
          </v:group>
        </w:pict>
      </w:r>
      <w:r>
        <w:rPr>
          <w:rFonts w:ascii="宋体" w:hAnsi="宋体" w:cs="宋体" w:eastAsia="宋体" w:hint="default"/>
          <w:position w:val="0"/>
          <w:sz w:val="2"/>
          <w:szCs w:val="2"/>
        </w:rPr>
      </w:r>
    </w:p>
    <w:p>
      <w:pPr>
        <w:tabs>
          <w:tab w:pos="6593" w:val="left" w:leader="none"/>
        </w:tabs>
        <w:spacing w:line="195" w:lineRule="exact" w:before="0"/>
        <w:ind w:left="2971" w:right="0" w:firstLine="0"/>
        <w:jc w:val="left"/>
        <w:rPr>
          <w:rFonts w:ascii="宋体" w:hAnsi="宋体" w:cs="宋体" w:eastAsia="宋体" w:hint="default"/>
          <w:sz w:val="18"/>
          <w:szCs w:val="18"/>
        </w:rPr>
      </w:pPr>
      <w:r>
        <w:rPr>
          <w:rFonts w:ascii="宋体" w:hAnsi="宋体" w:cs="宋体" w:eastAsia="宋体" w:hint="default"/>
          <w:b/>
          <w:bCs/>
          <w:w w:val="95"/>
          <w:sz w:val="18"/>
          <w:szCs w:val="18"/>
        </w:rPr>
        <w:t>本年发生额</w:t>
        <w:tab/>
      </w:r>
      <w:r>
        <w:rPr>
          <w:rFonts w:ascii="宋体" w:hAnsi="宋体" w:cs="宋体" w:eastAsia="宋体" w:hint="default"/>
          <w:b/>
          <w:bCs/>
          <w:sz w:val="18"/>
          <w:szCs w:val="18"/>
        </w:rPr>
        <w:t>上年发生额</w:t>
      </w:r>
      <w:r>
        <w:rPr>
          <w:rFonts w:ascii="宋体" w:hAnsi="宋体" w:cs="宋体" w:eastAsia="宋体" w:hint="default"/>
          <w:sz w:val="18"/>
          <w:szCs w:val="18"/>
        </w:rPr>
      </w:r>
    </w:p>
    <w:p>
      <w:pPr>
        <w:spacing w:line="196" w:lineRule="exact" w:before="0"/>
        <w:ind w:left="242" w:right="0" w:firstLine="0"/>
        <w:jc w:val="left"/>
        <w:rPr>
          <w:rFonts w:ascii="宋体" w:hAnsi="宋体" w:cs="宋体" w:eastAsia="宋体" w:hint="default"/>
          <w:sz w:val="18"/>
          <w:szCs w:val="18"/>
        </w:rPr>
      </w:pPr>
      <w:r>
        <w:rPr/>
        <w:pict>
          <v:shape style="position:absolute;margin-left:79.704002pt;margin-top:4.923028pt;width:436.3pt;height:61.45pt;mso-position-horizontal-relative:page;mso-position-vertical-relative:paragraph;z-index:5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78"/>
                    <w:gridCol w:w="1885"/>
                    <w:gridCol w:w="1811"/>
                    <w:gridCol w:w="1811"/>
                    <w:gridCol w:w="1740"/>
                  </w:tblGrid>
                  <w:tr>
                    <w:trPr>
                      <w:trHeight w:val="314" w:hRule="exact"/>
                    </w:trPr>
                    <w:tc>
                      <w:tcPr>
                        <w:tcW w:w="1478" w:type="dxa"/>
                        <w:tcBorders>
                          <w:top w:val="nil" w:sz="6" w:space="0" w:color="auto"/>
                          <w:left w:val="nil" w:sz="6" w:space="0" w:color="auto"/>
                          <w:bottom w:val="single" w:sz="4" w:space="0" w:color="000000"/>
                          <w:right w:val="nil" w:sz="6" w:space="0" w:color="auto"/>
                        </w:tcBorders>
                      </w:tcPr>
                      <w:p>
                        <w:pPr/>
                      </w:p>
                    </w:tc>
                    <w:tc>
                      <w:tcPr>
                        <w:tcW w:w="1885"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67"/>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811"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38"/>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811"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141"/>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740"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67"/>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289" w:hRule="exact"/>
                    </w:trPr>
                    <w:tc>
                      <w:tcPr>
                        <w:tcW w:w="1478"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85" w:type="dxa"/>
                        <w:tcBorders>
                          <w:top w:val="single" w:sz="4" w:space="0" w:color="000000"/>
                          <w:left w:val="nil" w:sz="6" w:space="0" w:color="auto"/>
                          <w:bottom w:val="nil" w:sz="6" w:space="0" w:color="auto"/>
                          <w:right w:val="nil" w:sz="6" w:space="0" w:color="auto"/>
                        </w:tcBorders>
                      </w:tcPr>
                      <w:p>
                        <w:pPr>
                          <w:pStyle w:val="TableParagraph"/>
                          <w:spacing w:line="232" w:lineRule="exact"/>
                          <w:ind w:right="178"/>
                          <w:jc w:val="right"/>
                          <w:rPr>
                            <w:rFonts w:ascii="宋体" w:hAnsi="宋体" w:cs="宋体" w:eastAsia="宋体" w:hint="default"/>
                            <w:sz w:val="18"/>
                            <w:szCs w:val="18"/>
                          </w:rPr>
                        </w:pPr>
                        <w:r>
                          <w:rPr>
                            <w:rFonts w:ascii="宋体"/>
                            <w:spacing w:val="-1"/>
                            <w:sz w:val="18"/>
                          </w:rPr>
                          <w:t>4,951,668,098.57</w:t>
                        </w:r>
                      </w:p>
                    </w:tc>
                    <w:tc>
                      <w:tcPr>
                        <w:tcW w:w="1811" w:type="dxa"/>
                        <w:tcBorders>
                          <w:top w:val="single" w:sz="4" w:space="0" w:color="000000"/>
                          <w:left w:val="nil" w:sz="6" w:space="0" w:color="auto"/>
                          <w:bottom w:val="nil" w:sz="6" w:space="0" w:color="auto"/>
                          <w:right w:val="nil" w:sz="6" w:space="0" w:color="auto"/>
                        </w:tcBorders>
                      </w:tcPr>
                      <w:p>
                        <w:pPr>
                          <w:pStyle w:val="TableParagraph"/>
                          <w:spacing w:line="232" w:lineRule="exact"/>
                          <w:ind w:right="177"/>
                          <w:jc w:val="right"/>
                          <w:rPr>
                            <w:rFonts w:ascii="宋体" w:hAnsi="宋体" w:cs="宋体" w:eastAsia="宋体" w:hint="default"/>
                            <w:sz w:val="18"/>
                            <w:szCs w:val="18"/>
                          </w:rPr>
                        </w:pPr>
                        <w:r>
                          <w:rPr>
                            <w:rFonts w:ascii="宋体"/>
                            <w:spacing w:val="-1"/>
                            <w:sz w:val="18"/>
                          </w:rPr>
                          <w:t>4,807,242,297.05</w:t>
                        </w:r>
                      </w:p>
                    </w:tc>
                    <w:tc>
                      <w:tcPr>
                        <w:tcW w:w="1811" w:type="dxa"/>
                        <w:tcBorders>
                          <w:top w:val="single" w:sz="4" w:space="0" w:color="000000"/>
                          <w:left w:val="nil" w:sz="6" w:space="0" w:color="auto"/>
                          <w:bottom w:val="nil" w:sz="6" w:space="0" w:color="auto"/>
                          <w:right w:val="nil" w:sz="6" w:space="0" w:color="auto"/>
                        </w:tcBorders>
                      </w:tcPr>
                      <w:p>
                        <w:pPr>
                          <w:pStyle w:val="TableParagraph"/>
                          <w:spacing w:line="232" w:lineRule="exact"/>
                          <w:ind w:right="178"/>
                          <w:jc w:val="right"/>
                          <w:rPr>
                            <w:rFonts w:ascii="宋体" w:hAnsi="宋体" w:cs="宋体" w:eastAsia="宋体" w:hint="default"/>
                            <w:sz w:val="18"/>
                            <w:szCs w:val="18"/>
                          </w:rPr>
                        </w:pPr>
                        <w:r>
                          <w:rPr>
                            <w:rFonts w:ascii="宋体"/>
                            <w:spacing w:val="-1"/>
                            <w:sz w:val="18"/>
                          </w:rPr>
                          <w:t>3,372,047,744.34</w:t>
                        </w:r>
                      </w:p>
                    </w:tc>
                    <w:tc>
                      <w:tcPr>
                        <w:tcW w:w="1740" w:type="dxa"/>
                        <w:tcBorders>
                          <w:top w:val="single" w:sz="4" w:space="0" w:color="000000"/>
                          <w:left w:val="nil" w:sz="6" w:space="0" w:color="auto"/>
                          <w:bottom w:val="nil" w:sz="6" w:space="0" w:color="auto"/>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spacing w:val="-1"/>
                            <w:sz w:val="18"/>
                          </w:rPr>
                          <w:t>2,908,766,663.95</w:t>
                        </w:r>
                      </w:p>
                    </w:tc>
                  </w:tr>
                  <w:tr>
                    <w:trPr>
                      <w:trHeight w:val="291" w:hRule="exact"/>
                    </w:trPr>
                    <w:tc>
                      <w:tcPr>
                        <w:tcW w:w="1478"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85" w:type="dxa"/>
                        <w:tcBorders>
                          <w:top w:val="nil" w:sz="6" w:space="0" w:color="auto"/>
                          <w:left w:val="nil" w:sz="6" w:space="0" w:color="auto"/>
                          <w:bottom w:val="single" w:sz="4" w:space="0" w:color="000000"/>
                          <w:right w:val="nil" w:sz="6" w:space="0" w:color="auto"/>
                        </w:tcBorders>
                      </w:tcPr>
                      <w:p>
                        <w:pPr>
                          <w:pStyle w:val="TableParagraph"/>
                          <w:spacing w:line="233" w:lineRule="exact"/>
                          <w:ind w:right="177"/>
                          <w:jc w:val="right"/>
                          <w:rPr>
                            <w:rFonts w:ascii="宋体" w:hAnsi="宋体" w:cs="宋体" w:eastAsia="宋体" w:hint="default"/>
                            <w:sz w:val="18"/>
                            <w:szCs w:val="18"/>
                          </w:rPr>
                        </w:pPr>
                        <w:r>
                          <w:rPr>
                            <w:rFonts w:ascii="宋体"/>
                            <w:spacing w:val="-1"/>
                            <w:sz w:val="18"/>
                          </w:rPr>
                          <w:t>2,617,672.74</w:t>
                        </w:r>
                      </w:p>
                    </w:tc>
                    <w:tc>
                      <w:tcPr>
                        <w:tcW w:w="1811" w:type="dxa"/>
                        <w:tcBorders>
                          <w:top w:val="nil" w:sz="6" w:space="0" w:color="auto"/>
                          <w:left w:val="nil" w:sz="6" w:space="0" w:color="auto"/>
                          <w:bottom w:val="single" w:sz="4" w:space="0" w:color="000000"/>
                          <w:right w:val="nil" w:sz="6" w:space="0" w:color="auto"/>
                        </w:tcBorders>
                      </w:tcPr>
                      <w:p>
                        <w:pPr>
                          <w:pStyle w:val="TableParagraph"/>
                          <w:spacing w:line="233" w:lineRule="exact"/>
                          <w:ind w:right="176"/>
                          <w:jc w:val="right"/>
                          <w:rPr>
                            <w:rFonts w:ascii="宋体" w:hAnsi="宋体" w:cs="宋体" w:eastAsia="宋体" w:hint="default"/>
                            <w:sz w:val="18"/>
                            <w:szCs w:val="18"/>
                          </w:rPr>
                        </w:pPr>
                        <w:r>
                          <w:rPr>
                            <w:rFonts w:ascii="宋体"/>
                            <w:spacing w:val="-1"/>
                            <w:sz w:val="18"/>
                          </w:rPr>
                          <w:t>94,010.47</w:t>
                        </w:r>
                      </w:p>
                    </w:tc>
                    <w:tc>
                      <w:tcPr>
                        <w:tcW w:w="1811" w:type="dxa"/>
                        <w:tcBorders>
                          <w:top w:val="nil" w:sz="6" w:space="0" w:color="auto"/>
                          <w:left w:val="nil" w:sz="6" w:space="0" w:color="auto"/>
                          <w:bottom w:val="single" w:sz="4" w:space="0" w:color="000000"/>
                          <w:right w:val="nil" w:sz="6" w:space="0" w:color="auto"/>
                        </w:tcBorders>
                      </w:tcPr>
                      <w:p>
                        <w:pPr>
                          <w:pStyle w:val="TableParagraph"/>
                          <w:spacing w:line="233" w:lineRule="exact"/>
                          <w:ind w:right="178"/>
                          <w:jc w:val="right"/>
                          <w:rPr>
                            <w:rFonts w:ascii="宋体" w:hAnsi="宋体" w:cs="宋体" w:eastAsia="宋体" w:hint="default"/>
                            <w:sz w:val="18"/>
                            <w:szCs w:val="18"/>
                          </w:rPr>
                        </w:pPr>
                        <w:r>
                          <w:rPr>
                            <w:rFonts w:ascii="宋体"/>
                            <w:spacing w:val="-1"/>
                            <w:sz w:val="18"/>
                          </w:rPr>
                          <w:t>2,819,914.08</w:t>
                        </w:r>
                      </w:p>
                    </w:tc>
                    <w:tc>
                      <w:tcPr>
                        <w:tcW w:w="1740" w:type="dxa"/>
                        <w:tcBorders>
                          <w:top w:val="nil" w:sz="6" w:space="0" w:color="auto"/>
                          <w:left w:val="nil" w:sz="6" w:space="0" w:color="auto"/>
                          <w:bottom w:val="single" w:sz="4"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pacing w:val="-1"/>
                            <w:sz w:val="18"/>
                          </w:rPr>
                          <w:t>85,661.94</w:t>
                        </w:r>
                      </w:p>
                    </w:tc>
                  </w:tr>
                  <w:tr>
                    <w:trPr>
                      <w:trHeight w:val="305" w:hRule="exact"/>
                    </w:trPr>
                    <w:tc>
                      <w:tcPr>
                        <w:tcW w:w="1478"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8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79"/>
                          <w:jc w:val="right"/>
                          <w:rPr>
                            <w:rFonts w:ascii="宋体" w:hAnsi="宋体" w:cs="宋体" w:eastAsia="宋体" w:hint="default"/>
                            <w:sz w:val="18"/>
                            <w:szCs w:val="18"/>
                          </w:rPr>
                        </w:pPr>
                        <w:r>
                          <w:rPr>
                            <w:rFonts w:ascii="宋体"/>
                            <w:b/>
                            <w:w w:val="95"/>
                            <w:sz w:val="18"/>
                          </w:rPr>
                          <w:t>4,954,285,771.31</w:t>
                        </w:r>
                        <w:r>
                          <w:rPr>
                            <w:rFonts w:ascii="宋体"/>
                            <w:sz w:val="18"/>
                          </w:rPr>
                        </w:r>
                      </w:p>
                    </w:tc>
                    <w:tc>
                      <w:tcPr>
                        <w:tcW w:w="1811"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77"/>
                          <w:jc w:val="right"/>
                          <w:rPr>
                            <w:rFonts w:ascii="宋体" w:hAnsi="宋体" w:cs="宋体" w:eastAsia="宋体" w:hint="default"/>
                            <w:sz w:val="18"/>
                            <w:szCs w:val="18"/>
                          </w:rPr>
                        </w:pPr>
                        <w:r>
                          <w:rPr>
                            <w:rFonts w:ascii="宋体"/>
                            <w:b/>
                            <w:w w:val="95"/>
                            <w:sz w:val="18"/>
                          </w:rPr>
                          <w:t>4,807,336,307.52</w:t>
                        </w:r>
                        <w:r>
                          <w:rPr>
                            <w:rFonts w:ascii="宋体"/>
                            <w:sz w:val="18"/>
                          </w:rPr>
                        </w:r>
                      </w:p>
                    </w:tc>
                    <w:tc>
                      <w:tcPr>
                        <w:tcW w:w="1811"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78"/>
                          <w:jc w:val="right"/>
                          <w:rPr>
                            <w:rFonts w:ascii="宋体" w:hAnsi="宋体" w:cs="宋体" w:eastAsia="宋体" w:hint="default"/>
                            <w:sz w:val="18"/>
                            <w:szCs w:val="18"/>
                          </w:rPr>
                        </w:pPr>
                        <w:r>
                          <w:rPr>
                            <w:rFonts w:ascii="宋体"/>
                            <w:b/>
                            <w:w w:val="95"/>
                            <w:sz w:val="18"/>
                          </w:rPr>
                          <w:t>3,374,867,658.42</w:t>
                        </w:r>
                        <w:r>
                          <w:rPr>
                            <w:rFonts w:ascii="宋体"/>
                            <w:sz w:val="18"/>
                          </w:rPr>
                        </w:r>
                      </w:p>
                    </w:tc>
                    <w:tc>
                      <w:tcPr>
                        <w:tcW w:w="1740"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6"/>
                          <w:jc w:val="right"/>
                          <w:rPr>
                            <w:rFonts w:ascii="宋体" w:hAnsi="宋体" w:cs="宋体" w:eastAsia="宋体" w:hint="default"/>
                            <w:sz w:val="18"/>
                            <w:szCs w:val="18"/>
                          </w:rPr>
                        </w:pPr>
                        <w:r>
                          <w:rPr>
                            <w:rFonts w:ascii="宋体"/>
                            <w:b/>
                            <w:w w:val="95"/>
                            <w:sz w:val="18"/>
                          </w:rPr>
                          <w:t>2,908,852,325.89</w:t>
                        </w:r>
                        <w:r>
                          <w:rPr>
                            <w:rFonts w:ascii="宋体"/>
                            <w:sz w:val="18"/>
                          </w:rPr>
                        </w:r>
                      </w:p>
                    </w:tc>
                  </w:tr>
                </w:tbl>
                <w:p>
                  <w:pPr/>
                </w:p>
              </w:txbxContent>
            </v:textbox>
            <w10:wrap type="none"/>
          </v:shape>
        </w:pict>
      </w:r>
      <w:r>
        <w:rPr>
          <w:rFonts w:ascii="宋体" w:hAnsi="宋体" w:cs="宋体" w:eastAsia="宋体" w:hint="default"/>
          <w:b/>
          <w:bCs/>
          <w:sz w:val="18"/>
          <w:szCs w:val="18"/>
        </w:rPr>
        <w:t>项目</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9"/>
          <w:szCs w:val="29"/>
        </w:rPr>
      </w:pPr>
    </w:p>
    <w:p>
      <w:pPr>
        <w:spacing w:before="32"/>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18"/>
          <w:sz w:val="22"/>
          <w:szCs w:val="22"/>
        </w:rPr>
        <w:t> </w:t>
      </w:r>
      <w:r>
        <w:rPr>
          <w:rFonts w:ascii="宋体" w:hAnsi="宋体" w:cs="宋体" w:eastAsia="宋体" w:hint="default"/>
          <w:sz w:val="22"/>
          <w:szCs w:val="22"/>
        </w:rPr>
        <w:t>投资收益</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5250"/>
        <w:gridCol w:w="1817"/>
        <w:gridCol w:w="1658"/>
      </w:tblGrid>
      <w:tr>
        <w:trPr>
          <w:trHeight w:val="305" w:hRule="exact"/>
        </w:trPr>
        <w:tc>
          <w:tcPr>
            <w:tcW w:w="525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81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92"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65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90"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89" w:hRule="exact"/>
        </w:trPr>
        <w:tc>
          <w:tcPr>
            <w:tcW w:w="5250"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1817" w:type="dxa"/>
            <w:tcBorders>
              <w:top w:val="single" w:sz="4" w:space="0" w:color="000000"/>
              <w:left w:val="nil" w:sz="6" w:space="0" w:color="auto"/>
              <w:bottom w:val="nil" w:sz="6" w:space="0" w:color="auto"/>
              <w:right w:val="nil" w:sz="6" w:space="0" w:color="auto"/>
            </w:tcBorders>
          </w:tcPr>
          <w:p>
            <w:pPr>
              <w:pStyle w:val="TableParagraph"/>
              <w:spacing w:line="232" w:lineRule="exact"/>
              <w:ind w:left="278" w:right="0"/>
              <w:jc w:val="left"/>
              <w:rPr>
                <w:rFonts w:ascii="宋体" w:hAnsi="宋体" w:cs="宋体" w:eastAsia="宋体" w:hint="default"/>
                <w:sz w:val="18"/>
                <w:szCs w:val="18"/>
              </w:rPr>
            </w:pPr>
            <w:r>
              <w:rPr>
                <w:rFonts w:ascii="宋体"/>
                <w:sz w:val="18"/>
              </w:rPr>
              <w:t>133,556,748.00</w:t>
            </w:r>
          </w:p>
        </w:tc>
        <w:tc>
          <w:tcPr>
            <w:tcW w:w="1658" w:type="dxa"/>
            <w:tcBorders>
              <w:top w:val="single" w:sz="4" w:space="0" w:color="000000"/>
              <w:left w:val="nil" w:sz="6" w:space="0" w:color="auto"/>
              <w:bottom w:val="nil" w:sz="6" w:space="0" w:color="auto"/>
              <w:right w:val="nil" w:sz="6" w:space="0" w:color="auto"/>
            </w:tcBorders>
          </w:tcPr>
          <w:p>
            <w:pPr>
              <w:pStyle w:val="TableParagraph"/>
              <w:spacing w:line="232" w:lineRule="exact"/>
              <w:ind w:right="110"/>
              <w:jc w:val="right"/>
              <w:rPr>
                <w:rFonts w:ascii="宋体" w:hAnsi="宋体" w:cs="宋体" w:eastAsia="宋体" w:hint="default"/>
                <w:sz w:val="18"/>
                <w:szCs w:val="18"/>
              </w:rPr>
            </w:pPr>
            <w:r>
              <w:rPr>
                <w:rFonts w:ascii="宋体"/>
                <w:spacing w:val="-1"/>
                <w:sz w:val="18"/>
              </w:rPr>
              <w:t>114,000,000.00</w:t>
            </w:r>
          </w:p>
        </w:tc>
      </w:tr>
      <w:tr>
        <w:trPr>
          <w:trHeight w:val="284" w:hRule="exact"/>
        </w:trPr>
        <w:tc>
          <w:tcPr>
            <w:tcW w:w="5250"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817" w:type="dxa"/>
            <w:tcBorders>
              <w:top w:val="nil" w:sz="6" w:space="0" w:color="auto"/>
              <w:left w:val="nil" w:sz="6" w:space="0" w:color="auto"/>
              <w:bottom w:val="nil" w:sz="6" w:space="0" w:color="auto"/>
              <w:right w:val="nil" w:sz="6" w:space="0" w:color="auto"/>
            </w:tcBorders>
          </w:tcPr>
          <w:p>
            <w:pPr>
              <w:pStyle w:val="TableParagraph"/>
              <w:spacing w:line="233" w:lineRule="exact"/>
              <w:ind w:left="278" w:right="0"/>
              <w:jc w:val="left"/>
              <w:rPr>
                <w:rFonts w:ascii="宋体" w:hAnsi="宋体" w:cs="宋体" w:eastAsia="宋体" w:hint="default"/>
                <w:sz w:val="18"/>
                <w:szCs w:val="18"/>
              </w:rPr>
            </w:pPr>
            <w:r>
              <w:rPr>
                <w:rFonts w:ascii="宋体"/>
                <w:sz w:val="18"/>
              </w:rPr>
              <w:t>124,966,737.37</w:t>
            </w:r>
          </w:p>
        </w:tc>
        <w:tc>
          <w:tcPr>
            <w:tcW w:w="1658" w:type="dxa"/>
            <w:tcBorders>
              <w:top w:val="nil" w:sz="6" w:space="0" w:color="auto"/>
              <w:left w:val="nil" w:sz="6" w:space="0" w:color="auto"/>
              <w:bottom w:val="nil" w:sz="6" w:space="0" w:color="auto"/>
              <w:right w:val="nil" w:sz="6" w:space="0" w:color="auto"/>
            </w:tcBorders>
          </w:tcPr>
          <w:p>
            <w:pPr>
              <w:pStyle w:val="TableParagraph"/>
              <w:spacing w:line="233" w:lineRule="exact"/>
              <w:ind w:right="108"/>
              <w:jc w:val="right"/>
              <w:rPr>
                <w:rFonts w:ascii="宋体" w:hAnsi="宋体" w:cs="宋体" w:eastAsia="宋体" w:hint="default"/>
                <w:sz w:val="18"/>
                <w:szCs w:val="18"/>
              </w:rPr>
            </w:pPr>
            <w:r>
              <w:rPr>
                <w:rFonts w:ascii="宋体"/>
                <w:spacing w:val="-1"/>
                <w:sz w:val="18"/>
              </w:rPr>
              <w:t>55,132,123.01</w:t>
            </w:r>
          </w:p>
        </w:tc>
      </w:tr>
      <w:tr>
        <w:trPr>
          <w:trHeight w:val="271" w:hRule="exact"/>
        </w:trPr>
        <w:tc>
          <w:tcPr>
            <w:tcW w:w="5250"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1817" w:type="dxa"/>
            <w:tcBorders>
              <w:top w:val="nil" w:sz="6" w:space="0" w:color="auto"/>
              <w:left w:val="nil" w:sz="6" w:space="0" w:color="auto"/>
              <w:bottom w:val="nil" w:sz="6" w:space="0" w:color="auto"/>
              <w:right w:val="nil" w:sz="6" w:space="0" w:color="auto"/>
            </w:tcBorders>
          </w:tcPr>
          <w:p>
            <w:pPr>
              <w:pStyle w:val="TableParagraph"/>
              <w:spacing w:line="232" w:lineRule="exact"/>
              <w:ind w:right="276"/>
              <w:jc w:val="right"/>
              <w:rPr>
                <w:rFonts w:ascii="宋体" w:hAnsi="宋体" w:cs="宋体" w:eastAsia="宋体" w:hint="default"/>
                <w:sz w:val="18"/>
                <w:szCs w:val="18"/>
              </w:rPr>
            </w:pPr>
            <w:r>
              <w:rPr>
                <w:rFonts w:ascii="宋体"/>
                <w:spacing w:val="-1"/>
                <w:sz w:val="18"/>
              </w:rPr>
              <w:t>33,974,325.93</w:t>
            </w:r>
          </w:p>
        </w:tc>
        <w:tc>
          <w:tcPr>
            <w:tcW w:w="1658" w:type="dxa"/>
            <w:tcBorders>
              <w:top w:val="nil" w:sz="6" w:space="0" w:color="auto"/>
              <w:left w:val="nil" w:sz="6" w:space="0" w:color="auto"/>
              <w:bottom w:val="nil" w:sz="6" w:space="0" w:color="auto"/>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spacing w:val="-1"/>
                <w:sz w:val="18"/>
              </w:rPr>
              <w:t>19,197,897.65</w:t>
            </w:r>
          </w:p>
        </w:tc>
      </w:tr>
      <w:tr>
        <w:trPr>
          <w:trHeight w:val="482" w:hRule="exact"/>
        </w:trPr>
        <w:tc>
          <w:tcPr>
            <w:tcW w:w="5250" w:type="dxa"/>
            <w:tcBorders>
              <w:top w:val="nil" w:sz="6" w:space="0" w:color="auto"/>
              <w:left w:val="nil" w:sz="6" w:space="0" w:color="auto"/>
              <w:bottom w:val="nil" w:sz="6" w:space="0" w:color="auto"/>
              <w:right w:val="nil" w:sz="6" w:space="0" w:color="auto"/>
            </w:tcBorders>
          </w:tcPr>
          <w:p>
            <w:pPr>
              <w:pStyle w:val="TableParagraph"/>
              <w:spacing w:line="236" w:lineRule="exact" w:before="5"/>
              <w:ind w:left="108" w:right="266"/>
              <w:jc w:val="left"/>
              <w:rPr>
                <w:rFonts w:ascii="宋体" w:hAnsi="宋体" w:cs="宋体" w:eastAsia="宋体" w:hint="default"/>
                <w:sz w:val="18"/>
                <w:szCs w:val="18"/>
              </w:rPr>
            </w:pPr>
            <w:r>
              <w:rPr>
                <w:rFonts w:ascii="宋体" w:hAnsi="宋体" w:cs="宋体" w:eastAsia="宋体" w:hint="default"/>
                <w:sz w:val="18"/>
                <w:szCs w:val="18"/>
              </w:rPr>
              <w:t>持有以公允价值计量且其变动计入当期损益的金融资产期间取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得的投资收益</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76"/>
              <w:jc w:val="right"/>
              <w:rPr>
                <w:rFonts w:ascii="宋体" w:hAnsi="宋体" w:cs="宋体" w:eastAsia="宋体" w:hint="default"/>
                <w:sz w:val="18"/>
                <w:szCs w:val="18"/>
              </w:rPr>
            </w:pPr>
            <w:r>
              <w:rPr>
                <w:rFonts w:ascii="宋体"/>
                <w:spacing w:val="-1"/>
                <w:sz w:val="18"/>
              </w:rPr>
              <w:t>6,019,512.10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0"/>
              <w:jc w:val="right"/>
              <w:rPr>
                <w:rFonts w:ascii="宋体" w:hAnsi="宋体" w:cs="宋体" w:eastAsia="宋体" w:hint="default"/>
                <w:sz w:val="18"/>
                <w:szCs w:val="18"/>
              </w:rPr>
            </w:pPr>
            <w:r>
              <w:rPr>
                <w:rFonts w:ascii="宋体"/>
                <w:spacing w:val="-1"/>
                <w:sz w:val="18"/>
              </w:rPr>
              <w:t>6,702,547.77</w:t>
            </w:r>
          </w:p>
        </w:tc>
      </w:tr>
      <w:tr>
        <w:trPr>
          <w:trHeight w:val="479" w:hRule="exact"/>
        </w:trPr>
        <w:tc>
          <w:tcPr>
            <w:tcW w:w="5250" w:type="dxa"/>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处置以公允价值计量且其变动计入当期损益的金融资产取得的</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76"/>
              <w:jc w:val="right"/>
              <w:rPr>
                <w:rFonts w:ascii="宋体" w:hAnsi="宋体" w:cs="宋体" w:eastAsia="宋体" w:hint="default"/>
                <w:sz w:val="18"/>
                <w:szCs w:val="18"/>
              </w:rPr>
            </w:pPr>
            <w:r>
              <w:rPr>
                <w:rFonts w:ascii="宋体"/>
                <w:spacing w:val="-1"/>
                <w:sz w:val="18"/>
              </w:rPr>
              <w:t>5,193,718.65</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0"/>
              <w:jc w:val="right"/>
              <w:rPr>
                <w:rFonts w:ascii="宋体" w:hAnsi="宋体" w:cs="宋体" w:eastAsia="宋体" w:hint="default"/>
                <w:sz w:val="18"/>
                <w:szCs w:val="18"/>
              </w:rPr>
            </w:pPr>
            <w:r>
              <w:rPr>
                <w:rFonts w:ascii="宋体"/>
                <w:spacing w:val="-1"/>
                <w:sz w:val="18"/>
              </w:rPr>
              <w:t>127,199,621.33</w:t>
            </w:r>
          </w:p>
        </w:tc>
      </w:tr>
      <w:tr>
        <w:trPr>
          <w:trHeight w:val="272" w:hRule="exact"/>
        </w:trPr>
        <w:tc>
          <w:tcPr>
            <w:tcW w:w="5250" w:type="dxa"/>
            <w:tcBorders>
              <w:top w:val="nil" w:sz="6" w:space="0" w:color="auto"/>
              <w:left w:val="nil" w:sz="6" w:space="0" w:color="auto"/>
              <w:bottom w:val="nil" w:sz="6" w:space="0" w:color="auto"/>
              <w:right w:val="nil" w:sz="6" w:space="0" w:color="auto"/>
            </w:tcBorders>
          </w:tcPr>
          <w:p>
            <w:pPr>
              <w:pStyle w:val="TableParagraph"/>
              <w:spacing w:line="220" w:lineRule="exact"/>
              <w:ind w:left="108" w:right="0"/>
              <w:jc w:val="left"/>
              <w:rPr>
                <w:rFonts w:ascii="宋体" w:hAnsi="宋体" w:cs="宋体" w:eastAsia="宋体" w:hint="default"/>
                <w:sz w:val="18"/>
                <w:szCs w:val="18"/>
              </w:rPr>
            </w:pPr>
            <w:r>
              <w:rPr>
                <w:rFonts w:ascii="宋体" w:hAnsi="宋体" w:cs="宋体" w:eastAsia="宋体" w:hint="default"/>
                <w:sz w:val="18"/>
                <w:szCs w:val="18"/>
              </w:rPr>
              <w:t>持有可供出售金融资产期间取得的投资收益</w:t>
            </w:r>
          </w:p>
        </w:tc>
        <w:tc>
          <w:tcPr>
            <w:tcW w:w="1817" w:type="dxa"/>
            <w:tcBorders>
              <w:top w:val="nil" w:sz="6" w:space="0" w:color="auto"/>
              <w:left w:val="nil" w:sz="6" w:space="0" w:color="auto"/>
              <w:bottom w:val="nil" w:sz="6" w:space="0" w:color="auto"/>
              <w:right w:val="nil" w:sz="6" w:space="0" w:color="auto"/>
            </w:tcBorders>
          </w:tcPr>
          <w:p>
            <w:pPr>
              <w:pStyle w:val="TableParagraph"/>
              <w:spacing w:line="220" w:lineRule="exact"/>
              <w:ind w:right="276"/>
              <w:jc w:val="right"/>
              <w:rPr>
                <w:rFonts w:ascii="宋体" w:hAnsi="宋体" w:cs="宋体" w:eastAsia="宋体" w:hint="default"/>
                <w:sz w:val="18"/>
                <w:szCs w:val="18"/>
              </w:rPr>
            </w:pPr>
            <w:r>
              <w:rPr>
                <w:rFonts w:ascii="宋体"/>
                <w:spacing w:val="-1"/>
                <w:sz w:val="18"/>
              </w:rPr>
              <w:t>3,571,971.97</w:t>
            </w:r>
          </w:p>
        </w:tc>
        <w:tc>
          <w:tcPr>
            <w:tcW w:w="1658" w:type="dxa"/>
            <w:tcBorders>
              <w:top w:val="nil" w:sz="6" w:space="0" w:color="auto"/>
              <w:left w:val="nil" w:sz="6" w:space="0" w:color="auto"/>
              <w:bottom w:val="nil" w:sz="6" w:space="0" w:color="auto"/>
              <w:right w:val="nil" w:sz="6" w:space="0" w:color="auto"/>
            </w:tcBorders>
          </w:tcPr>
          <w:p>
            <w:pPr>
              <w:pStyle w:val="TableParagraph"/>
              <w:spacing w:line="220" w:lineRule="exact"/>
              <w:ind w:right="108"/>
              <w:jc w:val="right"/>
              <w:rPr>
                <w:rFonts w:ascii="宋体" w:hAnsi="宋体" w:cs="宋体" w:eastAsia="宋体" w:hint="default"/>
                <w:sz w:val="18"/>
                <w:szCs w:val="18"/>
              </w:rPr>
            </w:pPr>
            <w:r>
              <w:rPr>
                <w:rFonts w:ascii="宋体"/>
                <w:spacing w:val="-1"/>
                <w:sz w:val="18"/>
              </w:rPr>
              <w:t>14,403,514.58</w:t>
            </w:r>
          </w:p>
        </w:tc>
      </w:tr>
      <w:tr>
        <w:trPr>
          <w:trHeight w:val="291" w:hRule="exact"/>
        </w:trPr>
        <w:tc>
          <w:tcPr>
            <w:tcW w:w="5250" w:type="dxa"/>
            <w:tcBorders>
              <w:top w:val="nil" w:sz="6" w:space="0" w:color="auto"/>
              <w:left w:val="nil" w:sz="6" w:space="0" w:color="auto"/>
              <w:bottom w:val="single" w:sz="4"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817" w:type="dxa"/>
            <w:tcBorders>
              <w:top w:val="nil" w:sz="6" w:space="0" w:color="auto"/>
              <w:left w:val="nil" w:sz="6" w:space="0" w:color="auto"/>
              <w:bottom w:val="single" w:sz="4" w:space="0" w:color="000000"/>
              <w:right w:val="nil" w:sz="6" w:space="0" w:color="auto"/>
            </w:tcBorders>
          </w:tcPr>
          <w:p>
            <w:pPr>
              <w:pStyle w:val="TableParagraph"/>
              <w:spacing w:line="233" w:lineRule="exact"/>
              <w:ind w:right="276"/>
              <w:jc w:val="right"/>
              <w:rPr>
                <w:rFonts w:ascii="宋体" w:hAnsi="宋体" w:cs="宋体" w:eastAsia="宋体" w:hint="default"/>
                <w:sz w:val="18"/>
                <w:szCs w:val="18"/>
              </w:rPr>
            </w:pPr>
            <w:r>
              <w:rPr>
                <w:rFonts w:ascii="宋体"/>
                <w:spacing w:val="-1"/>
                <w:sz w:val="18"/>
              </w:rPr>
              <w:t>1,275.28</w:t>
            </w:r>
          </w:p>
        </w:tc>
        <w:tc>
          <w:tcPr>
            <w:tcW w:w="1658" w:type="dxa"/>
            <w:tcBorders>
              <w:top w:val="nil" w:sz="6" w:space="0" w:color="auto"/>
              <w:left w:val="nil" w:sz="6" w:space="0" w:color="auto"/>
              <w:bottom w:val="single" w:sz="4" w:space="0" w:color="000000"/>
              <w:right w:val="nil" w:sz="6" w:space="0" w:color="auto"/>
            </w:tcBorders>
          </w:tcPr>
          <w:p>
            <w:pPr>
              <w:pStyle w:val="TableParagraph"/>
              <w:spacing w:line="233" w:lineRule="exact"/>
              <w:ind w:right="110"/>
              <w:jc w:val="right"/>
              <w:rPr>
                <w:rFonts w:ascii="宋体" w:hAnsi="宋体" w:cs="宋体" w:eastAsia="宋体" w:hint="default"/>
                <w:sz w:val="18"/>
                <w:szCs w:val="18"/>
              </w:rPr>
            </w:pPr>
            <w:r>
              <w:rPr>
                <w:rFonts w:ascii="宋体"/>
                <w:spacing w:val="-1"/>
                <w:sz w:val="18"/>
              </w:rPr>
              <w:t>-21,932,309.78</w:t>
            </w:r>
          </w:p>
        </w:tc>
      </w:tr>
      <w:tr>
        <w:trPr>
          <w:trHeight w:val="305" w:hRule="exact"/>
        </w:trPr>
        <w:tc>
          <w:tcPr>
            <w:tcW w:w="5250"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17"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268" w:right="0"/>
              <w:jc w:val="left"/>
              <w:rPr>
                <w:rFonts w:ascii="宋体" w:hAnsi="宋体" w:cs="宋体" w:eastAsia="宋体" w:hint="default"/>
                <w:sz w:val="18"/>
                <w:szCs w:val="18"/>
              </w:rPr>
            </w:pPr>
            <w:r>
              <w:rPr>
                <w:rFonts w:ascii="宋体"/>
                <w:b/>
                <w:sz w:val="18"/>
              </w:rPr>
              <w:t>307,284,289.30</w:t>
            </w:r>
            <w:r>
              <w:rPr>
                <w:rFonts w:ascii="宋体"/>
                <w:sz w:val="18"/>
              </w:rPr>
            </w:r>
          </w:p>
        </w:tc>
        <w:tc>
          <w:tcPr>
            <w:tcW w:w="1658"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8"/>
              <w:jc w:val="right"/>
              <w:rPr>
                <w:rFonts w:ascii="宋体" w:hAnsi="宋体" w:cs="宋体" w:eastAsia="宋体" w:hint="default"/>
                <w:sz w:val="18"/>
                <w:szCs w:val="18"/>
              </w:rPr>
            </w:pPr>
            <w:r>
              <w:rPr>
                <w:rFonts w:ascii="宋体"/>
                <w:b/>
                <w:w w:val="95"/>
                <w:sz w:val="18"/>
              </w:rPr>
              <w:t>314,703,394.56</w:t>
            </w:r>
            <w:r>
              <w:rPr>
                <w:rFonts w:ascii="宋体"/>
                <w:sz w:val="18"/>
              </w:rPr>
            </w:r>
          </w:p>
        </w:tc>
      </w:tr>
    </w:tbl>
    <w:p>
      <w:pPr>
        <w:spacing w:before="86"/>
        <w:ind w:left="242" w:right="0" w:firstLine="0"/>
        <w:jc w:val="left"/>
        <w:rPr>
          <w:rFonts w:ascii="宋体" w:hAnsi="宋体" w:cs="宋体" w:eastAsia="宋体" w:hint="default"/>
          <w:sz w:val="21"/>
          <w:szCs w:val="21"/>
        </w:rPr>
      </w:pPr>
      <w:r>
        <w:rPr>
          <w:rFonts w:ascii="宋体" w:hAnsi="宋体" w:cs="宋体" w:eastAsia="宋体" w:hint="default"/>
          <w:b/>
          <w:bCs/>
          <w:sz w:val="21"/>
          <w:szCs w:val="21"/>
        </w:rPr>
        <w:t>十六、财务报告批准</w:t>
      </w:r>
      <w:r>
        <w:rPr>
          <w:rFonts w:ascii="宋体" w:hAnsi="宋体" w:cs="宋体" w:eastAsia="宋体" w:hint="default"/>
          <w:sz w:val="21"/>
          <w:szCs w:val="21"/>
        </w:rPr>
      </w:r>
    </w:p>
    <w:p>
      <w:pPr>
        <w:spacing w:before="54"/>
        <w:ind w:left="901" w:right="0" w:firstLine="0"/>
        <w:jc w:val="left"/>
        <w:rPr>
          <w:rFonts w:ascii="宋体" w:hAnsi="宋体" w:cs="宋体" w:eastAsia="宋体" w:hint="default"/>
          <w:sz w:val="22"/>
          <w:szCs w:val="22"/>
        </w:rPr>
      </w:pPr>
      <w:r>
        <w:rPr>
          <w:rFonts w:ascii="宋体" w:hAnsi="宋体" w:cs="宋体" w:eastAsia="宋体" w:hint="default"/>
          <w:sz w:val="22"/>
          <w:szCs w:val="22"/>
        </w:rPr>
        <w:t>本财务报告于</w:t>
      </w:r>
      <w:r>
        <w:rPr>
          <w:rFonts w:ascii="宋体" w:hAnsi="宋体" w:cs="宋体" w:eastAsia="宋体" w:hint="default"/>
          <w:spacing w:val="-55"/>
          <w:sz w:val="22"/>
          <w:szCs w:val="22"/>
        </w:rPr>
        <w:t> </w:t>
      </w:r>
      <w:r>
        <w:rPr>
          <w:rFonts w:ascii="宋体" w:hAnsi="宋体" w:cs="宋体" w:eastAsia="宋体" w:hint="default"/>
          <w:sz w:val="22"/>
          <w:szCs w:val="22"/>
        </w:rPr>
        <w:t>2019</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4</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24</w:t>
      </w:r>
      <w:r>
        <w:rPr>
          <w:rFonts w:ascii="宋体" w:hAnsi="宋体" w:cs="宋体" w:eastAsia="宋体" w:hint="default"/>
          <w:spacing w:val="-55"/>
          <w:sz w:val="22"/>
          <w:szCs w:val="22"/>
        </w:rPr>
        <w:t> </w:t>
      </w:r>
      <w:r>
        <w:rPr>
          <w:rFonts w:ascii="宋体" w:hAnsi="宋体" w:cs="宋体" w:eastAsia="宋体" w:hint="default"/>
          <w:sz w:val="22"/>
          <w:szCs w:val="22"/>
        </w:rPr>
        <w:t>日由本公司董事会批准报出。</w:t>
      </w:r>
    </w:p>
    <w:p>
      <w:pPr>
        <w:spacing w:after="0"/>
        <w:jc w:val="left"/>
        <w:rPr>
          <w:rFonts w:ascii="宋体" w:hAnsi="宋体" w:cs="宋体" w:eastAsia="宋体" w:hint="default"/>
          <w:sz w:val="22"/>
          <w:szCs w:val="22"/>
        </w:rPr>
        <w:sectPr>
          <w:footerReference w:type="default" r:id="rId53"/>
          <w:pgSz w:w="11910" w:h="16840"/>
          <w:pgMar w:footer="1054" w:header="0" w:top="1420" w:bottom="1240" w:left="1460" w:right="1460"/>
          <w:pgNumType w:start="188"/>
        </w:sectPr>
      </w:pPr>
    </w:p>
    <w:p>
      <w:pPr>
        <w:spacing w:before="28"/>
        <w:ind w:left="3191" w:right="320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28pt;height:.75pt;mso-position-horizontal-relative:char;mso-position-vertical-relative:line" coordorigin="0,0" coordsize="8560,15">
            <v:group style="position:absolute;left:7;top:7;width:8546;height:2" coordorigin="7,7" coordsize="8546,2">
              <v:shape style="position:absolute;left:7;top:7;width:8546;height:2" coordorigin="7,7" coordsize="8546,0" path="m7,7l8553,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8"/>
          <w:szCs w:val="18"/>
        </w:rPr>
      </w:pPr>
    </w:p>
    <w:p>
      <w:pPr>
        <w:spacing w:before="36"/>
        <w:ind w:left="162" w:right="105" w:firstLine="0"/>
        <w:jc w:val="left"/>
        <w:rPr>
          <w:rFonts w:ascii="宋体" w:hAnsi="宋体" w:cs="宋体" w:eastAsia="宋体" w:hint="default"/>
          <w:sz w:val="21"/>
          <w:szCs w:val="21"/>
        </w:rPr>
      </w:pPr>
      <w:r>
        <w:rPr>
          <w:rFonts w:ascii="宋体" w:hAnsi="宋体" w:cs="宋体" w:eastAsia="宋体" w:hint="default"/>
          <w:b/>
          <w:bCs/>
          <w:sz w:val="21"/>
          <w:szCs w:val="21"/>
        </w:rPr>
        <w:t>财务报表补充资料</w:t>
      </w:r>
      <w:r>
        <w:rPr>
          <w:rFonts w:ascii="宋体" w:hAnsi="宋体" w:cs="宋体" w:eastAsia="宋体" w:hint="default"/>
          <w:sz w:val="21"/>
          <w:szCs w:val="21"/>
        </w:rPr>
      </w:r>
    </w:p>
    <w:p>
      <w:pPr>
        <w:spacing w:before="52"/>
        <w:ind w:left="615" w:right="105"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5"/>
          <w:sz w:val="22"/>
          <w:szCs w:val="22"/>
        </w:rPr>
        <w:t> </w:t>
      </w:r>
      <w:r>
        <w:rPr>
          <w:rFonts w:ascii="宋体" w:hAnsi="宋体" w:cs="宋体" w:eastAsia="宋体" w:hint="default"/>
          <w:sz w:val="22"/>
          <w:szCs w:val="22"/>
        </w:rPr>
        <w:t>本年非经常性损益明细表</w:t>
      </w:r>
    </w:p>
    <w:p>
      <w:pPr>
        <w:spacing w:before="113"/>
        <w:ind w:left="589" w:right="105" w:firstLine="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47"/>
          <w:sz w:val="22"/>
          <w:szCs w:val="22"/>
        </w:rPr>
        <w:t> </w:t>
      </w:r>
      <w:r>
        <w:rPr>
          <w:rFonts w:ascii="宋体" w:hAnsi="宋体" w:cs="宋体" w:eastAsia="宋体" w:hint="default"/>
          <w:sz w:val="22"/>
          <w:szCs w:val="22"/>
        </w:rPr>
        <w:t>按照中国证券监督管理委员会《公开发行证券的公司信息披露解释性公告第</w:t>
      </w:r>
      <w:r>
        <w:rPr>
          <w:rFonts w:ascii="宋体" w:hAnsi="宋体" w:cs="宋体" w:eastAsia="宋体" w:hint="default"/>
          <w:spacing w:val="-64"/>
          <w:sz w:val="22"/>
          <w:szCs w:val="22"/>
        </w:rPr>
        <w:t> </w:t>
      </w:r>
      <w:r>
        <w:rPr>
          <w:rFonts w:ascii="宋体" w:hAnsi="宋体" w:cs="宋体" w:eastAsia="宋体" w:hint="default"/>
          <w:sz w:val="22"/>
          <w:szCs w:val="22"/>
        </w:rPr>
        <w:t>1</w:t>
      </w:r>
      <w:r>
        <w:rPr>
          <w:rFonts w:ascii="宋体" w:hAnsi="宋体" w:cs="宋体" w:eastAsia="宋体" w:hint="default"/>
          <w:spacing w:val="-66"/>
          <w:sz w:val="22"/>
          <w:szCs w:val="22"/>
        </w:rPr>
        <w:t> </w:t>
      </w:r>
      <w:r>
        <w:rPr>
          <w:rFonts w:ascii="宋体" w:hAnsi="宋体" w:cs="宋体" w:eastAsia="宋体" w:hint="default"/>
          <w:sz w:val="22"/>
          <w:szCs w:val="22"/>
        </w:rPr>
        <w:t>号</w:t>
      </w:r>
    </w:p>
    <w:p>
      <w:pPr>
        <w:spacing w:before="69"/>
        <w:ind w:left="162" w:right="105" w:firstLine="0"/>
        <w:jc w:val="left"/>
        <w:rPr>
          <w:rFonts w:ascii="宋体" w:hAnsi="宋体" w:cs="宋体" w:eastAsia="宋体" w:hint="default"/>
          <w:sz w:val="22"/>
          <w:szCs w:val="22"/>
        </w:rPr>
      </w:pPr>
      <w:r>
        <w:rPr>
          <w:rFonts w:ascii="宋体" w:hAnsi="宋体" w:cs="宋体" w:eastAsia="宋体" w:hint="default"/>
          <w:sz w:val="22"/>
          <w:szCs w:val="22"/>
        </w:rPr>
        <w:t>—非经常性损益（</w:t>
      </w:r>
      <w:r>
        <w:rPr>
          <w:rFonts w:ascii="宋体" w:hAnsi="宋体" w:cs="宋体" w:eastAsia="宋体" w:hint="default"/>
          <w:sz w:val="22"/>
          <w:szCs w:val="22"/>
        </w:rPr>
        <w:t>2008</w:t>
      </w:r>
      <w:r>
        <w:rPr>
          <w:rFonts w:ascii="宋体" w:hAnsi="宋体" w:cs="宋体" w:eastAsia="宋体" w:hint="default"/>
          <w:sz w:val="22"/>
          <w:szCs w:val="22"/>
        </w:rPr>
        <w:t>）》的规定，本公司</w:t>
      </w:r>
      <w:r>
        <w:rPr>
          <w:rFonts w:ascii="宋体" w:hAnsi="宋体" w:cs="宋体" w:eastAsia="宋体" w:hint="default"/>
          <w:spacing w:val="-56"/>
          <w:sz w:val="22"/>
          <w:szCs w:val="22"/>
        </w:rPr>
        <w:t> </w:t>
      </w:r>
      <w:r>
        <w:rPr>
          <w:rFonts w:ascii="宋体" w:hAnsi="宋体" w:cs="宋体" w:eastAsia="宋体" w:hint="default"/>
          <w:sz w:val="22"/>
          <w:szCs w:val="22"/>
        </w:rPr>
        <w:t>2018</w:t>
      </w:r>
      <w:r>
        <w:rPr>
          <w:rFonts w:ascii="宋体" w:hAnsi="宋体" w:cs="宋体" w:eastAsia="宋体" w:hint="default"/>
          <w:spacing w:val="-58"/>
          <w:sz w:val="22"/>
          <w:szCs w:val="22"/>
        </w:rPr>
        <w:t> </w:t>
      </w:r>
      <w:r>
        <w:rPr>
          <w:rFonts w:ascii="宋体" w:hAnsi="宋体" w:cs="宋体" w:eastAsia="宋体" w:hint="default"/>
          <w:sz w:val="22"/>
          <w:szCs w:val="22"/>
        </w:rPr>
        <w:t>年度非经常性损益如下：</w:t>
      </w:r>
    </w:p>
    <w:p>
      <w:pPr>
        <w:spacing w:line="240" w:lineRule="auto" w:before="9"/>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6665"/>
        <w:gridCol w:w="1957"/>
      </w:tblGrid>
      <w:tr>
        <w:trPr>
          <w:trHeight w:val="336" w:hRule="exact"/>
        </w:trPr>
        <w:tc>
          <w:tcPr>
            <w:tcW w:w="6665" w:type="dxa"/>
            <w:tcBorders>
              <w:top w:val="single" w:sz="12" w:space="0" w:color="000000"/>
              <w:left w:val="nil" w:sz="6" w:space="0" w:color="auto"/>
              <w:bottom w:val="single" w:sz="4" w:space="0" w:color="000000"/>
              <w:right w:val="nil" w:sz="6" w:space="0" w:color="auto"/>
            </w:tcBorders>
          </w:tcPr>
          <w:p>
            <w:pPr>
              <w:pStyle w:val="TableParagraph"/>
              <w:spacing w:line="240" w:lineRule="auto" w:before="13"/>
              <w:ind w:left="5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57" w:type="dxa"/>
            <w:tcBorders>
              <w:top w:val="single" w:sz="12" w:space="0" w:color="000000"/>
              <w:left w:val="nil" w:sz="6" w:space="0" w:color="auto"/>
              <w:bottom w:val="single" w:sz="4" w:space="0" w:color="000000"/>
              <w:right w:val="nil" w:sz="6" w:space="0" w:color="auto"/>
            </w:tcBorders>
          </w:tcPr>
          <w:p>
            <w:pPr>
              <w:pStyle w:val="TableParagraph"/>
              <w:spacing w:line="240" w:lineRule="auto" w:before="13"/>
              <w:ind w:left="431"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289" w:hRule="exact"/>
        </w:trPr>
        <w:tc>
          <w:tcPr>
            <w:tcW w:w="6665" w:type="dxa"/>
            <w:tcBorders>
              <w:top w:val="single" w:sz="4" w:space="0" w:color="000000"/>
              <w:left w:val="nil" w:sz="6" w:space="0" w:color="auto"/>
              <w:bottom w:val="nil" w:sz="6" w:space="0" w:color="auto"/>
              <w:right w:val="nil" w:sz="6" w:space="0" w:color="auto"/>
            </w:tcBorders>
          </w:tcPr>
          <w:p>
            <w:pPr>
              <w:pStyle w:val="TableParagraph"/>
              <w:spacing w:line="232" w:lineRule="exact"/>
              <w:ind w:left="57"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957" w:type="dxa"/>
            <w:tcBorders>
              <w:top w:val="single" w:sz="4" w:space="0" w:color="000000"/>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195,989,326.37</w:t>
            </w:r>
          </w:p>
        </w:tc>
      </w:tr>
      <w:tr>
        <w:trPr>
          <w:trHeight w:val="284" w:hRule="exact"/>
        </w:trPr>
        <w:tc>
          <w:tcPr>
            <w:tcW w:w="6665" w:type="dxa"/>
            <w:tcBorders>
              <w:top w:val="nil" w:sz="6" w:space="0" w:color="auto"/>
              <w:left w:val="nil" w:sz="6" w:space="0" w:color="auto"/>
              <w:bottom w:val="nil" w:sz="6" w:space="0" w:color="auto"/>
              <w:right w:val="nil" w:sz="6" w:space="0" w:color="auto"/>
            </w:tcBorders>
          </w:tcPr>
          <w:p>
            <w:pPr>
              <w:pStyle w:val="TableParagraph"/>
              <w:spacing w:line="233" w:lineRule="exact"/>
              <w:ind w:left="57"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957"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195,575,585.15</w:t>
            </w:r>
          </w:p>
        </w:tc>
      </w:tr>
      <w:tr>
        <w:trPr>
          <w:trHeight w:val="271" w:hRule="exact"/>
        </w:trPr>
        <w:tc>
          <w:tcPr>
            <w:tcW w:w="6665" w:type="dxa"/>
            <w:tcBorders>
              <w:top w:val="nil" w:sz="6" w:space="0" w:color="auto"/>
              <w:left w:val="nil" w:sz="6" w:space="0" w:color="auto"/>
              <w:bottom w:val="nil" w:sz="6" w:space="0" w:color="auto"/>
              <w:right w:val="nil" w:sz="6" w:space="0" w:color="auto"/>
            </w:tcBorders>
          </w:tcPr>
          <w:p>
            <w:pPr>
              <w:pStyle w:val="TableParagraph"/>
              <w:spacing w:line="232" w:lineRule="exact"/>
              <w:ind w:left="57"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957" w:type="dxa"/>
            <w:tcBorders>
              <w:top w:val="nil" w:sz="6" w:space="0" w:color="auto"/>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-1,558,906.91</w:t>
            </w:r>
          </w:p>
        </w:tc>
      </w:tr>
      <w:tr>
        <w:trPr>
          <w:trHeight w:val="727" w:hRule="exact"/>
        </w:trPr>
        <w:tc>
          <w:tcPr>
            <w:tcW w:w="6665" w:type="dxa"/>
            <w:tcBorders>
              <w:top w:val="nil" w:sz="6" w:space="0" w:color="auto"/>
              <w:left w:val="nil" w:sz="6" w:space="0" w:color="auto"/>
              <w:bottom w:val="nil" w:sz="6" w:space="0" w:color="auto"/>
              <w:right w:val="nil" w:sz="6" w:space="0" w:color="auto"/>
            </w:tcBorders>
          </w:tcPr>
          <w:p>
            <w:pPr>
              <w:pStyle w:val="TableParagraph"/>
              <w:spacing w:line="219" w:lineRule="exact"/>
              <w:ind w:left="57"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除同公司正常经营业务相关的有效套期保值业务外，持有交易性金融资产、交</w:t>
            </w:r>
          </w:p>
          <w:p>
            <w:pPr>
              <w:pStyle w:val="TableParagraph"/>
              <w:spacing w:line="232" w:lineRule="exact" w:before="24"/>
              <w:ind w:left="57" w:right="429"/>
              <w:jc w:val="left"/>
              <w:rPr>
                <w:rFonts w:ascii="宋体" w:hAnsi="宋体" w:cs="宋体" w:eastAsia="宋体" w:hint="default"/>
                <w:sz w:val="18"/>
                <w:szCs w:val="18"/>
              </w:rPr>
            </w:pPr>
            <w:r>
              <w:rPr>
                <w:rFonts w:ascii="宋体" w:hAnsi="宋体" w:cs="宋体" w:eastAsia="宋体" w:hint="default"/>
                <w:sz w:val="18"/>
                <w:szCs w:val="18"/>
              </w:rPr>
              <w:t>易性金融负债产生的公允价值变动损益，以及处置交易性金融资产、交易性金</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融负债和可供出售金融资产取得的投资收益</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55"/>
              <w:jc w:val="right"/>
              <w:rPr>
                <w:rFonts w:ascii="宋体" w:hAnsi="宋体" w:cs="宋体" w:eastAsia="宋体" w:hint="default"/>
                <w:sz w:val="18"/>
                <w:szCs w:val="18"/>
              </w:rPr>
            </w:pPr>
            <w:r>
              <w:rPr>
                <w:rFonts w:ascii="宋体"/>
                <w:spacing w:val="-1"/>
                <w:sz w:val="18"/>
              </w:rPr>
              <w:t>99,883,051.61</w:t>
            </w:r>
          </w:p>
        </w:tc>
      </w:tr>
      <w:tr>
        <w:trPr>
          <w:trHeight w:val="272" w:hRule="exact"/>
        </w:trPr>
        <w:tc>
          <w:tcPr>
            <w:tcW w:w="6665" w:type="dxa"/>
            <w:tcBorders>
              <w:top w:val="nil" w:sz="6" w:space="0" w:color="auto"/>
              <w:left w:val="nil" w:sz="6" w:space="0" w:color="auto"/>
              <w:bottom w:val="nil" w:sz="6" w:space="0" w:color="auto"/>
              <w:right w:val="nil" w:sz="6" w:space="0" w:color="auto"/>
            </w:tcBorders>
          </w:tcPr>
          <w:p>
            <w:pPr>
              <w:pStyle w:val="TableParagraph"/>
              <w:spacing w:line="220" w:lineRule="exact"/>
              <w:ind w:left="57"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1957" w:type="dxa"/>
            <w:tcBorders>
              <w:top w:val="nil" w:sz="6" w:space="0" w:color="auto"/>
              <w:left w:val="nil" w:sz="6" w:space="0" w:color="auto"/>
              <w:bottom w:val="nil" w:sz="6" w:space="0" w:color="auto"/>
              <w:right w:val="nil" w:sz="6" w:space="0" w:color="auto"/>
            </w:tcBorders>
          </w:tcPr>
          <w:p>
            <w:pPr>
              <w:pStyle w:val="TableParagraph"/>
              <w:spacing w:line="220" w:lineRule="exact"/>
              <w:ind w:right="55"/>
              <w:jc w:val="right"/>
              <w:rPr>
                <w:rFonts w:ascii="宋体" w:hAnsi="宋体" w:cs="宋体" w:eastAsia="宋体" w:hint="default"/>
                <w:sz w:val="18"/>
                <w:szCs w:val="18"/>
              </w:rPr>
            </w:pPr>
            <w:r>
              <w:rPr>
                <w:rFonts w:ascii="宋体"/>
                <w:spacing w:val="-1"/>
                <w:sz w:val="18"/>
              </w:rPr>
              <w:t>-7,771,994.23</w:t>
            </w:r>
          </w:p>
        </w:tc>
      </w:tr>
      <w:tr>
        <w:trPr>
          <w:trHeight w:val="288" w:hRule="exact"/>
        </w:trPr>
        <w:tc>
          <w:tcPr>
            <w:tcW w:w="6665" w:type="dxa"/>
            <w:tcBorders>
              <w:top w:val="nil" w:sz="6" w:space="0" w:color="auto"/>
              <w:left w:val="nil" w:sz="6" w:space="0" w:color="auto"/>
              <w:bottom w:val="nil" w:sz="6" w:space="0" w:color="auto"/>
              <w:right w:val="nil" w:sz="6" w:space="0" w:color="auto"/>
            </w:tcBorders>
          </w:tcPr>
          <w:p>
            <w:pPr>
              <w:pStyle w:val="TableParagraph"/>
              <w:spacing w:line="233" w:lineRule="exact"/>
              <w:ind w:left="57"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957" w:type="dxa"/>
            <w:tcBorders>
              <w:top w:val="nil" w:sz="6" w:space="0" w:color="auto"/>
              <w:left w:val="nil" w:sz="6" w:space="0" w:color="auto"/>
              <w:bottom w:val="nil" w:sz="6" w:space="0" w:color="auto"/>
              <w:right w:val="nil" w:sz="6" w:space="0" w:color="auto"/>
            </w:tcBorders>
          </w:tcPr>
          <w:p>
            <w:pPr>
              <w:pStyle w:val="TableParagraph"/>
              <w:spacing w:line="233" w:lineRule="exact"/>
              <w:ind w:right="55"/>
              <w:jc w:val="right"/>
              <w:rPr>
                <w:rFonts w:ascii="宋体" w:hAnsi="宋体" w:cs="宋体" w:eastAsia="宋体" w:hint="default"/>
                <w:sz w:val="18"/>
                <w:szCs w:val="18"/>
              </w:rPr>
            </w:pPr>
            <w:r>
              <w:rPr>
                <w:rFonts w:ascii="宋体"/>
                <w:spacing w:val="-1"/>
                <w:sz w:val="18"/>
              </w:rPr>
              <w:t>-4,534,749.34</w:t>
            </w:r>
          </w:p>
        </w:tc>
      </w:tr>
      <w:tr>
        <w:trPr>
          <w:trHeight w:val="304" w:hRule="exact"/>
        </w:trPr>
        <w:tc>
          <w:tcPr>
            <w:tcW w:w="6665" w:type="dxa"/>
            <w:tcBorders>
              <w:top w:val="nil" w:sz="6" w:space="0" w:color="auto"/>
              <w:left w:val="nil" w:sz="6" w:space="0" w:color="auto"/>
              <w:bottom w:val="single" w:sz="4" w:space="0" w:color="000000"/>
              <w:right w:val="nil" w:sz="6" w:space="0" w:color="auto"/>
            </w:tcBorders>
          </w:tcPr>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957" w:type="dxa"/>
            <w:tcBorders>
              <w:top w:val="nil" w:sz="6" w:space="0" w:color="auto"/>
              <w:left w:val="nil" w:sz="6" w:space="0" w:color="auto"/>
              <w:bottom w:val="single" w:sz="4" w:space="0" w:color="000000"/>
              <w:right w:val="nil" w:sz="6" w:space="0" w:color="auto"/>
            </w:tcBorders>
          </w:tcPr>
          <w:p>
            <w:pPr>
              <w:pStyle w:val="TableParagraph"/>
              <w:spacing w:line="240" w:lineRule="auto"/>
              <w:ind w:right="54"/>
              <w:jc w:val="right"/>
              <w:rPr>
                <w:rFonts w:ascii="宋体" w:hAnsi="宋体" w:cs="宋体" w:eastAsia="宋体" w:hint="default"/>
                <w:sz w:val="18"/>
                <w:szCs w:val="18"/>
              </w:rPr>
            </w:pPr>
            <w:r>
              <w:rPr>
                <w:rFonts w:ascii="宋体"/>
                <w:sz w:val="18"/>
              </w:rPr>
              <w:t>0.00</w:t>
            </w:r>
          </w:p>
        </w:tc>
      </w:tr>
      <w:tr>
        <w:trPr>
          <w:trHeight w:val="310" w:hRule="exact"/>
        </w:trPr>
        <w:tc>
          <w:tcPr>
            <w:tcW w:w="6665"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left="57"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957"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55"/>
              <w:jc w:val="right"/>
              <w:rPr>
                <w:rFonts w:ascii="宋体" w:hAnsi="宋体" w:cs="宋体" w:eastAsia="宋体" w:hint="default"/>
                <w:sz w:val="18"/>
                <w:szCs w:val="18"/>
              </w:rPr>
            </w:pPr>
            <w:r>
              <w:rPr>
                <w:rFonts w:ascii="宋体"/>
                <w:b/>
                <w:w w:val="95"/>
                <w:sz w:val="18"/>
              </w:rPr>
              <w:t>477,582,312.65</w:t>
            </w:r>
            <w:r>
              <w:rPr>
                <w:rFonts w:ascii="宋体"/>
                <w:sz w:val="18"/>
              </w:rPr>
            </w:r>
          </w:p>
        </w:tc>
      </w:tr>
      <w:tr>
        <w:trPr>
          <w:trHeight w:val="293" w:hRule="exact"/>
        </w:trPr>
        <w:tc>
          <w:tcPr>
            <w:tcW w:w="6665" w:type="dxa"/>
            <w:tcBorders>
              <w:top w:val="single" w:sz="4" w:space="0" w:color="000000"/>
              <w:left w:val="nil" w:sz="6" w:space="0" w:color="auto"/>
              <w:bottom w:val="nil" w:sz="6" w:space="0" w:color="auto"/>
              <w:right w:val="nil" w:sz="6" w:space="0" w:color="auto"/>
            </w:tcBorders>
          </w:tcPr>
          <w:p>
            <w:pPr>
              <w:pStyle w:val="TableParagraph"/>
              <w:spacing w:line="232" w:lineRule="exact"/>
              <w:ind w:left="57"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957" w:type="dxa"/>
            <w:tcBorders>
              <w:top w:val="single" w:sz="4" w:space="0" w:color="000000"/>
              <w:left w:val="nil" w:sz="6" w:space="0" w:color="auto"/>
              <w:bottom w:val="nil" w:sz="6" w:space="0" w:color="auto"/>
              <w:right w:val="nil" w:sz="6" w:space="0" w:color="auto"/>
            </w:tcBorders>
          </w:tcPr>
          <w:p>
            <w:pPr>
              <w:pStyle w:val="TableParagraph"/>
              <w:spacing w:line="232" w:lineRule="exact"/>
              <w:ind w:right="55"/>
              <w:jc w:val="right"/>
              <w:rPr>
                <w:rFonts w:ascii="宋体" w:hAnsi="宋体" w:cs="宋体" w:eastAsia="宋体" w:hint="default"/>
                <w:sz w:val="18"/>
                <w:szCs w:val="18"/>
              </w:rPr>
            </w:pPr>
            <w:r>
              <w:rPr>
                <w:rFonts w:ascii="宋体"/>
                <w:spacing w:val="-1"/>
                <w:sz w:val="18"/>
              </w:rPr>
              <w:t>41,706,626.50</w:t>
            </w:r>
          </w:p>
        </w:tc>
      </w:tr>
      <w:tr>
        <w:trPr>
          <w:trHeight w:val="302" w:hRule="exact"/>
        </w:trPr>
        <w:tc>
          <w:tcPr>
            <w:tcW w:w="666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57"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95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55"/>
              <w:jc w:val="right"/>
              <w:rPr>
                <w:rFonts w:ascii="宋体" w:hAnsi="宋体" w:cs="宋体" w:eastAsia="宋体" w:hint="default"/>
                <w:sz w:val="18"/>
                <w:szCs w:val="18"/>
              </w:rPr>
            </w:pPr>
            <w:r>
              <w:rPr>
                <w:rFonts w:ascii="宋体"/>
                <w:spacing w:val="-1"/>
                <w:sz w:val="18"/>
              </w:rPr>
              <w:t>103,985,406.32</w:t>
            </w:r>
          </w:p>
        </w:tc>
      </w:tr>
      <w:tr>
        <w:trPr>
          <w:trHeight w:val="319" w:hRule="exact"/>
        </w:trPr>
        <w:tc>
          <w:tcPr>
            <w:tcW w:w="6665" w:type="dxa"/>
            <w:tcBorders>
              <w:top w:val="single" w:sz="4" w:space="0" w:color="000000"/>
              <w:left w:val="nil" w:sz="6" w:space="0" w:color="auto"/>
              <w:bottom w:val="single" w:sz="12" w:space="0" w:color="000000"/>
              <w:right w:val="nil" w:sz="6" w:space="0" w:color="auto"/>
            </w:tcBorders>
          </w:tcPr>
          <w:p>
            <w:pPr>
              <w:pStyle w:val="TableParagraph"/>
              <w:spacing w:line="240" w:lineRule="auto" w:before="3"/>
              <w:ind w:left="5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57" w:type="dxa"/>
            <w:tcBorders>
              <w:top w:val="single" w:sz="4" w:space="0" w:color="000000"/>
              <w:left w:val="nil" w:sz="6" w:space="0" w:color="auto"/>
              <w:bottom w:val="single" w:sz="12" w:space="0" w:color="000000"/>
              <w:right w:val="nil" w:sz="6" w:space="0" w:color="auto"/>
            </w:tcBorders>
          </w:tcPr>
          <w:p>
            <w:pPr>
              <w:pStyle w:val="TableParagraph"/>
              <w:spacing w:line="240" w:lineRule="auto" w:before="3"/>
              <w:ind w:right="55"/>
              <w:jc w:val="right"/>
              <w:rPr>
                <w:rFonts w:ascii="宋体" w:hAnsi="宋体" w:cs="宋体" w:eastAsia="宋体" w:hint="default"/>
                <w:sz w:val="18"/>
                <w:szCs w:val="18"/>
              </w:rPr>
            </w:pPr>
            <w:r>
              <w:rPr>
                <w:rFonts w:ascii="宋体"/>
                <w:b/>
                <w:w w:val="95"/>
                <w:sz w:val="18"/>
              </w:rPr>
              <w:t>331,890,279.83</w:t>
            </w:r>
            <w:r>
              <w:rPr>
                <w:rFonts w:ascii="宋体"/>
                <w:sz w:val="18"/>
              </w:rPr>
            </w:r>
          </w:p>
        </w:tc>
      </w:tr>
    </w:tbl>
    <w:p>
      <w:pPr>
        <w:spacing w:before="21"/>
        <w:ind w:left="615" w:right="105"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15"/>
          <w:sz w:val="22"/>
          <w:szCs w:val="22"/>
        </w:rPr>
        <w:t> </w:t>
      </w:r>
      <w:r>
        <w:rPr>
          <w:rFonts w:ascii="宋体" w:hAnsi="宋体" w:cs="宋体" w:eastAsia="宋体" w:hint="default"/>
          <w:sz w:val="22"/>
          <w:szCs w:val="22"/>
        </w:rPr>
        <w:t>净资产收益率及每股收益</w:t>
      </w:r>
    </w:p>
    <w:p>
      <w:pPr>
        <w:spacing w:line="297" w:lineRule="auto" w:before="113"/>
        <w:ind w:left="162" w:right="152" w:firstLine="499"/>
        <w:jc w:val="both"/>
        <w:rPr>
          <w:rFonts w:ascii="宋体" w:hAnsi="宋体" w:cs="宋体" w:eastAsia="宋体" w:hint="default"/>
          <w:sz w:val="22"/>
          <w:szCs w:val="22"/>
        </w:rPr>
      </w:pPr>
      <w:r>
        <w:rPr/>
        <w:pict>
          <v:group style="position:absolute;margin-left:351.190002pt;margin-top:79.817642pt;width:158.450pt;height:.5pt;mso-position-horizontal-relative:page;mso-position-vertical-relative:paragraph;z-index:-1224304" coordorigin="7024,1596" coordsize="3169,10">
            <v:group style="position:absolute;left:7029;top:1601;width:1801;height:2" coordorigin="7029,1601" coordsize="1801,2">
              <v:shape style="position:absolute;left:7029;top:1601;width:1801;height:2" coordorigin="7029,1601" coordsize="1801,0" path="m7029,1601l8829,1601e" filled="false" stroked="true" strokeweight=".48001pt" strokecolor="#000000">
                <v:path arrowok="t"/>
              </v:shape>
            </v:group>
            <v:group style="position:absolute;left:8829;top:1601;width:10;height:2" coordorigin="8829,1601" coordsize="10,2">
              <v:shape style="position:absolute;left:8829;top:1601;width:10;height:2" coordorigin="8829,1601" coordsize="10,0" path="m8829,1601l8839,1601e" filled="false" stroked="true" strokeweight=".48001pt" strokecolor="#000000">
                <v:path arrowok="t"/>
              </v:shape>
            </v:group>
            <v:group style="position:absolute;left:8839;top:1601;width:1349;height:2" coordorigin="8839,1601" coordsize="1349,2">
              <v:shape style="position:absolute;left:8839;top:1601;width:1349;height:2" coordorigin="8839,1601" coordsize="1349,0" path="m8839,1601l10188,1601e" filled="false" stroked="true" strokeweight=".48001pt" strokecolor="#000000">
                <v:path arrowok="t"/>
              </v:shape>
            </v:group>
            <w10:wrap type="none"/>
          </v:group>
        </w:pict>
      </w:r>
      <w:r>
        <w:rPr>
          <w:rFonts w:ascii="宋体" w:hAnsi="宋体" w:cs="宋体" w:eastAsia="宋体" w:hint="default"/>
          <w:sz w:val="22"/>
          <w:szCs w:val="22"/>
        </w:rPr>
        <w:t>按照中国证券监督管理委员会《公开发行证券的公司信息披露编报规则第 </w:t>
      </w:r>
      <w:r>
        <w:rPr>
          <w:rFonts w:ascii="宋体" w:hAnsi="宋体" w:cs="宋体" w:eastAsia="宋体" w:hint="default"/>
          <w:sz w:val="22"/>
          <w:szCs w:val="22"/>
        </w:rPr>
        <w:t>9</w:t>
      </w:r>
      <w:r>
        <w:rPr>
          <w:rFonts w:ascii="宋体" w:hAnsi="宋体" w:cs="宋体" w:eastAsia="宋体" w:hint="default"/>
          <w:spacing w:val="-27"/>
          <w:sz w:val="22"/>
          <w:szCs w:val="22"/>
        </w:rPr>
        <w:t> </w:t>
      </w:r>
      <w:r>
        <w:rPr>
          <w:rFonts w:ascii="宋体" w:hAnsi="宋体" w:cs="宋体" w:eastAsia="宋体" w:hint="default"/>
          <w:sz w:val="22"/>
          <w:szCs w:val="22"/>
        </w:rPr>
        <w:t>号—净</w:t>
      </w:r>
      <w:r>
        <w:rPr>
          <w:rFonts w:ascii="宋体" w:hAnsi="宋体" w:cs="宋体" w:eastAsia="宋体" w:hint="default"/>
          <w:w w:val="100"/>
          <w:sz w:val="22"/>
          <w:szCs w:val="22"/>
        </w:rPr>
        <w:t> </w:t>
      </w:r>
      <w:r>
        <w:rPr>
          <w:rFonts w:ascii="宋体" w:hAnsi="宋体" w:cs="宋体" w:eastAsia="宋体" w:hint="default"/>
          <w:sz w:val="22"/>
          <w:szCs w:val="22"/>
        </w:rPr>
        <w:t>资产收益率和每股收益的计算及披露（</w:t>
      </w:r>
      <w:r>
        <w:rPr>
          <w:rFonts w:ascii="宋体" w:hAnsi="宋体" w:cs="宋体" w:eastAsia="宋体" w:hint="default"/>
          <w:sz w:val="22"/>
          <w:szCs w:val="22"/>
        </w:rPr>
        <w:t>2010</w:t>
      </w:r>
      <w:r>
        <w:rPr>
          <w:rFonts w:ascii="宋体" w:hAnsi="宋体" w:cs="宋体" w:eastAsia="宋体" w:hint="default"/>
          <w:spacing w:val="-62"/>
          <w:sz w:val="22"/>
          <w:szCs w:val="22"/>
        </w:rPr>
        <w:t> </w:t>
      </w:r>
      <w:r>
        <w:rPr>
          <w:rFonts w:ascii="宋体" w:hAnsi="宋体" w:cs="宋体" w:eastAsia="宋体" w:hint="default"/>
          <w:sz w:val="22"/>
          <w:szCs w:val="22"/>
        </w:rPr>
        <w:t>年修订）》的规定，本公司</w:t>
      </w:r>
      <w:r>
        <w:rPr>
          <w:rFonts w:ascii="宋体" w:hAnsi="宋体" w:cs="宋体" w:eastAsia="宋体" w:hint="default"/>
          <w:spacing w:val="-62"/>
          <w:sz w:val="22"/>
          <w:szCs w:val="22"/>
        </w:rPr>
        <w:t> </w:t>
      </w:r>
      <w:r>
        <w:rPr>
          <w:rFonts w:ascii="宋体" w:hAnsi="宋体" w:cs="宋体" w:eastAsia="宋体" w:hint="default"/>
          <w:sz w:val="22"/>
          <w:szCs w:val="22"/>
        </w:rPr>
        <w:t>2018</w:t>
      </w:r>
      <w:r>
        <w:rPr>
          <w:rFonts w:ascii="宋体" w:hAnsi="宋体" w:cs="宋体" w:eastAsia="宋体" w:hint="default"/>
          <w:spacing w:val="-62"/>
          <w:sz w:val="22"/>
          <w:szCs w:val="22"/>
        </w:rPr>
        <w:t> </w:t>
      </w:r>
      <w:r>
        <w:rPr>
          <w:rFonts w:ascii="宋体" w:hAnsi="宋体" w:cs="宋体" w:eastAsia="宋体" w:hint="default"/>
          <w:sz w:val="22"/>
          <w:szCs w:val="22"/>
        </w:rPr>
        <w:t>年度加权平</w:t>
      </w:r>
      <w:r>
        <w:rPr>
          <w:rFonts w:ascii="宋体" w:hAnsi="宋体" w:cs="宋体" w:eastAsia="宋体" w:hint="default"/>
          <w:w w:val="100"/>
          <w:sz w:val="22"/>
          <w:szCs w:val="22"/>
        </w:rPr>
        <w:t> </w:t>
      </w:r>
      <w:r>
        <w:rPr>
          <w:rFonts w:ascii="宋体" w:hAnsi="宋体" w:cs="宋体" w:eastAsia="宋体" w:hint="default"/>
          <w:sz w:val="22"/>
          <w:szCs w:val="22"/>
        </w:rPr>
        <w:t>均净资产收益率、基本每股收益和稀释每股收益如下：</w:t>
      </w:r>
    </w:p>
    <w:p>
      <w:pPr>
        <w:spacing w:line="240" w:lineRule="auto" w:before="1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098"/>
        <w:gridCol w:w="1381"/>
        <w:gridCol w:w="1689"/>
        <w:gridCol w:w="1346"/>
      </w:tblGrid>
      <w:tr>
        <w:trPr>
          <w:trHeight w:val="229" w:hRule="exact"/>
        </w:trPr>
        <w:tc>
          <w:tcPr>
            <w:tcW w:w="4098" w:type="dxa"/>
            <w:tcBorders>
              <w:top w:val="single" w:sz="12" w:space="0" w:color="000000"/>
              <w:left w:val="nil" w:sz="6" w:space="0" w:color="auto"/>
              <w:bottom w:val="nil" w:sz="6" w:space="0" w:color="auto"/>
              <w:right w:val="nil" w:sz="6" w:space="0" w:color="auto"/>
            </w:tcBorders>
          </w:tcPr>
          <w:p>
            <w:pPr/>
          </w:p>
        </w:tc>
        <w:tc>
          <w:tcPr>
            <w:tcW w:w="1381" w:type="dxa"/>
            <w:vMerge w:val="restart"/>
            <w:tcBorders>
              <w:top w:val="single" w:sz="12" w:space="0" w:color="000000"/>
              <w:left w:val="nil" w:sz="6" w:space="0" w:color="auto"/>
              <w:right w:val="nil" w:sz="6" w:space="0" w:color="auto"/>
            </w:tcBorders>
          </w:tcPr>
          <w:p>
            <w:pPr>
              <w:pStyle w:val="TableParagraph"/>
              <w:spacing w:line="232" w:lineRule="exact" w:before="52"/>
              <w:ind w:left="198" w:right="278"/>
              <w:jc w:val="left"/>
              <w:rPr>
                <w:rFonts w:ascii="宋体" w:hAnsi="宋体" w:cs="宋体" w:eastAsia="宋体" w:hint="default"/>
                <w:sz w:val="18"/>
                <w:szCs w:val="18"/>
              </w:rPr>
            </w:pPr>
            <w:r>
              <w:rPr>
                <w:rFonts w:ascii="宋体" w:hAnsi="宋体" w:cs="宋体" w:eastAsia="宋体" w:hint="default"/>
                <w:b/>
                <w:bCs/>
                <w:sz w:val="18"/>
                <w:szCs w:val="18"/>
              </w:rPr>
              <w:t>加权平均净</w:t>
            </w:r>
            <w:r>
              <w:rPr>
                <w:rFonts w:ascii="宋体" w:hAnsi="宋体" w:cs="宋体" w:eastAsia="宋体" w:hint="default"/>
                <w:b/>
                <w:bCs/>
                <w:w w:val="99"/>
                <w:sz w:val="18"/>
                <w:szCs w:val="18"/>
              </w:rPr>
              <w:t> </w:t>
            </w:r>
            <w:r>
              <w:rPr>
                <w:rFonts w:ascii="宋体" w:hAnsi="宋体" w:cs="宋体" w:eastAsia="宋体" w:hint="default"/>
                <w:b/>
                <w:bCs/>
                <w:sz w:val="18"/>
                <w:szCs w:val="18"/>
              </w:rPr>
              <w:t>资产收益率</w:t>
            </w:r>
            <w:r>
              <w:rPr>
                <w:rFonts w:ascii="宋体" w:hAnsi="宋体" w:cs="宋体" w:eastAsia="宋体" w:hint="default"/>
                <w:sz w:val="18"/>
                <w:szCs w:val="18"/>
              </w:rPr>
            </w:r>
          </w:p>
        </w:tc>
        <w:tc>
          <w:tcPr>
            <w:tcW w:w="3035" w:type="dxa"/>
            <w:gridSpan w:val="2"/>
            <w:tcBorders>
              <w:top w:val="single" w:sz="12" w:space="0" w:color="000000"/>
              <w:left w:val="nil" w:sz="6" w:space="0" w:color="auto"/>
              <w:bottom w:val="nil" w:sz="6" w:space="0" w:color="auto"/>
              <w:right w:val="nil" w:sz="6" w:space="0" w:color="auto"/>
            </w:tcBorders>
          </w:tcPr>
          <w:p>
            <w:pPr>
              <w:pStyle w:val="TableParagraph"/>
              <w:spacing w:line="232" w:lineRule="exact"/>
              <w:ind w:right="125"/>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148" w:hRule="exact"/>
        </w:trPr>
        <w:tc>
          <w:tcPr>
            <w:tcW w:w="4098" w:type="dxa"/>
            <w:tcBorders>
              <w:top w:val="nil" w:sz="6" w:space="0" w:color="auto"/>
              <w:left w:val="nil" w:sz="6" w:space="0" w:color="auto"/>
              <w:bottom w:val="nil" w:sz="6" w:space="0" w:color="auto"/>
              <w:right w:val="nil" w:sz="6" w:space="0" w:color="auto"/>
            </w:tcBorders>
          </w:tcPr>
          <w:p>
            <w:pPr>
              <w:pStyle w:val="TableParagraph"/>
              <w:spacing w:line="163" w:lineRule="exact"/>
              <w:ind w:left="120" w:right="0"/>
              <w:jc w:val="left"/>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1381" w:type="dxa"/>
            <w:vMerge/>
            <w:tcBorders>
              <w:left w:val="nil" w:sz="6" w:space="0" w:color="auto"/>
              <w:right w:val="nil" w:sz="6" w:space="0" w:color="auto"/>
            </w:tcBorders>
          </w:tcPr>
          <w:p>
            <w:pPr/>
          </w:p>
        </w:tc>
        <w:tc>
          <w:tcPr>
            <w:tcW w:w="1689"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
        </w:tc>
      </w:tr>
      <w:tr>
        <w:trPr>
          <w:trHeight w:val="223" w:hRule="exact"/>
        </w:trPr>
        <w:tc>
          <w:tcPr>
            <w:tcW w:w="4098" w:type="dxa"/>
            <w:tcBorders>
              <w:top w:val="nil" w:sz="6" w:space="0" w:color="auto"/>
              <w:left w:val="nil" w:sz="6" w:space="0" w:color="auto"/>
              <w:bottom w:val="single" w:sz="4" w:space="0" w:color="000000"/>
              <w:right w:val="nil" w:sz="6" w:space="0" w:color="auto"/>
            </w:tcBorders>
          </w:tcPr>
          <w:p>
            <w:pPr/>
          </w:p>
        </w:tc>
        <w:tc>
          <w:tcPr>
            <w:tcW w:w="1381" w:type="dxa"/>
            <w:vMerge/>
            <w:tcBorders>
              <w:left w:val="nil" w:sz="6" w:space="0" w:color="auto"/>
              <w:bottom w:val="single" w:sz="4" w:space="0" w:color="000000"/>
              <w:right w:val="nil" w:sz="6" w:space="0" w:color="auto"/>
            </w:tcBorders>
          </w:tcPr>
          <w:p>
            <w:pPr/>
          </w:p>
        </w:tc>
        <w:tc>
          <w:tcPr>
            <w:tcW w:w="1689" w:type="dxa"/>
            <w:tcBorders>
              <w:top w:val="nil" w:sz="6" w:space="0" w:color="auto"/>
              <w:left w:val="nil" w:sz="6" w:space="0" w:color="auto"/>
              <w:bottom w:val="single" w:sz="4" w:space="0" w:color="000000"/>
              <w:right w:val="nil" w:sz="6" w:space="0" w:color="auto"/>
            </w:tcBorders>
          </w:tcPr>
          <w:p>
            <w:pPr>
              <w:pStyle w:val="TableParagraph"/>
              <w:spacing w:line="164" w:lineRule="exact"/>
              <w:ind w:left="231"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346" w:type="dxa"/>
            <w:tcBorders>
              <w:top w:val="nil" w:sz="6" w:space="0" w:color="auto"/>
              <w:left w:val="nil" w:sz="6" w:space="0" w:color="auto"/>
              <w:bottom w:val="single" w:sz="4" w:space="0" w:color="000000"/>
              <w:right w:val="nil" w:sz="6" w:space="0" w:color="auto"/>
            </w:tcBorders>
          </w:tcPr>
          <w:p>
            <w:pPr>
              <w:pStyle w:val="TableParagraph"/>
              <w:spacing w:line="164" w:lineRule="exact"/>
              <w:ind w:right="137"/>
              <w:jc w:val="right"/>
              <w:rPr>
                <w:rFonts w:ascii="宋体" w:hAnsi="宋体" w:cs="宋体" w:eastAsia="宋体" w:hint="default"/>
                <w:sz w:val="18"/>
                <w:szCs w:val="18"/>
              </w:rPr>
            </w:pPr>
            <w:r>
              <w:rPr>
                <w:rFonts w:ascii="宋体" w:hAnsi="宋体" w:cs="宋体" w:eastAsia="宋体" w:hint="default"/>
                <w:b/>
                <w:bCs/>
                <w:w w:val="95"/>
                <w:sz w:val="18"/>
                <w:szCs w:val="18"/>
              </w:rPr>
              <w:t>稀释每股收益</w:t>
            </w:r>
            <w:r>
              <w:rPr>
                <w:rFonts w:ascii="宋体" w:hAnsi="宋体" w:cs="宋体" w:eastAsia="宋体" w:hint="default"/>
                <w:sz w:val="18"/>
                <w:szCs w:val="18"/>
              </w:rPr>
            </w:r>
          </w:p>
        </w:tc>
      </w:tr>
      <w:tr>
        <w:trPr>
          <w:trHeight w:val="289" w:hRule="exact"/>
        </w:trPr>
        <w:tc>
          <w:tcPr>
            <w:tcW w:w="4098" w:type="dxa"/>
            <w:tcBorders>
              <w:top w:val="single" w:sz="4" w:space="0" w:color="000000"/>
              <w:left w:val="nil" w:sz="6" w:space="0" w:color="auto"/>
              <w:bottom w:val="nil" w:sz="6" w:space="0" w:color="auto"/>
              <w:right w:val="nil" w:sz="6" w:space="0" w:color="auto"/>
            </w:tcBorders>
          </w:tcPr>
          <w:p>
            <w:pPr>
              <w:pStyle w:val="TableParagraph"/>
              <w:spacing w:line="232" w:lineRule="exact"/>
              <w:ind w:left="120"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381" w:type="dxa"/>
            <w:tcBorders>
              <w:top w:val="single" w:sz="4" w:space="0" w:color="000000"/>
              <w:left w:val="nil" w:sz="6" w:space="0" w:color="auto"/>
              <w:bottom w:val="nil" w:sz="6" w:space="0" w:color="auto"/>
              <w:right w:val="nil" w:sz="6" w:space="0" w:color="auto"/>
            </w:tcBorders>
          </w:tcPr>
          <w:p>
            <w:pPr>
              <w:pStyle w:val="TableParagraph"/>
              <w:spacing w:line="232" w:lineRule="exact"/>
              <w:ind w:right="229"/>
              <w:jc w:val="right"/>
              <w:rPr>
                <w:rFonts w:ascii="宋体" w:hAnsi="宋体" w:cs="宋体" w:eastAsia="宋体" w:hint="default"/>
                <w:sz w:val="18"/>
                <w:szCs w:val="18"/>
              </w:rPr>
            </w:pPr>
            <w:r>
              <w:rPr>
                <w:rFonts w:ascii="宋体"/>
                <w:sz w:val="18"/>
              </w:rPr>
              <w:t>-20.82%</w:t>
            </w:r>
          </w:p>
        </w:tc>
        <w:tc>
          <w:tcPr>
            <w:tcW w:w="1689" w:type="dxa"/>
            <w:tcBorders>
              <w:top w:val="single" w:sz="4" w:space="0" w:color="000000"/>
              <w:left w:val="nil" w:sz="6" w:space="0" w:color="auto"/>
              <w:bottom w:val="nil" w:sz="6" w:space="0" w:color="auto"/>
              <w:right w:val="nil" w:sz="6" w:space="0" w:color="auto"/>
            </w:tcBorders>
          </w:tcPr>
          <w:p>
            <w:pPr>
              <w:pStyle w:val="TableParagraph"/>
              <w:spacing w:line="232" w:lineRule="exact"/>
              <w:ind w:right="120"/>
              <w:jc w:val="right"/>
              <w:rPr>
                <w:rFonts w:ascii="宋体" w:hAnsi="宋体" w:cs="宋体" w:eastAsia="宋体" w:hint="default"/>
                <w:sz w:val="18"/>
                <w:szCs w:val="18"/>
              </w:rPr>
            </w:pPr>
            <w:r>
              <w:rPr>
                <w:rFonts w:ascii="宋体"/>
                <w:sz w:val="18"/>
              </w:rPr>
              <w:t>-1.3090</w:t>
            </w:r>
          </w:p>
        </w:tc>
        <w:tc>
          <w:tcPr>
            <w:tcW w:w="1346" w:type="dxa"/>
            <w:tcBorders>
              <w:top w:val="single" w:sz="4" w:space="0" w:color="000000"/>
              <w:left w:val="nil" w:sz="6" w:space="0" w:color="auto"/>
              <w:bottom w:val="nil" w:sz="6" w:space="0" w:color="auto"/>
              <w:right w:val="nil" w:sz="6" w:space="0" w:color="auto"/>
            </w:tcBorders>
          </w:tcPr>
          <w:p>
            <w:pPr>
              <w:pStyle w:val="TableParagraph"/>
              <w:spacing w:line="232" w:lineRule="exact"/>
              <w:ind w:right="105"/>
              <w:jc w:val="right"/>
              <w:rPr>
                <w:rFonts w:ascii="宋体" w:hAnsi="宋体" w:cs="宋体" w:eastAsia="宋体" w:hint="default"/>
                <w:sz w:val="18"/>
                <w:szCs w:val="18"/>
              </w:rPr>
            </w:pPr>
            <w:r>
              <w:rPr>
                <w:rFonts w:ascii="宋体"/>
                <w:sz w:val="18"/>
              </w:rPr>
              <w:t>-1.3090</w:t>
            </w:r>
          </w:p>
        </w:tc>
      </w:tr>
      <w:tr>
        <w:trPr>
          <w:trHeight w:val="301" w:hRule="exact"/>
        </w:trPr>
        <w:tc>
          <w:tcPr>
            <w:tcW w:w="4098" w:type="dxa"/>
            <w:tcBorders>
              <w:top w:val="nil" w:sz="6" w:space="0" w:color="auto"/>
              <w:left w:val="nil" w:sz="6" w:space="0" w:color="auto"/>
              <w:bottom w:val="single" w:sz="12" w:space="0" w:color="000000"/>
              <w:right w:val="nil" w:sz="6" w:space="0" w:color="auto"/>
            </w:tcBorders>
          </w:tcPr>
          <w:p>
            <w:pPr>
              <w:pStyle w:val="TableParagraph"/>
              <w:spacing w:line="233" w:lineRule="exact"/>
              <w:ind w:left="120"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扣除非经常性损益后归属于母公司股东的净利润</w:t>
            </w:r>
          </w:p>
        </w:tc>
        <w:tc>
          <w:tcPr>
            <w:tcW w:w="1381" w:type="dxa"/>
            <w:tcBorders>
              <w:top w:val="nil" w:sz="6" w:space="0" w:color="auto"/>
              <w:left w:val="nil" w:sz="6" w:space="0" w:color="auto"/>
              <w:bottom w:val="single" w:sz="12" w:space="0" w:color="000000"/>
              <w:right w:val="nil" w:sz="6" w:space="0" w:color="auto"/>
            </w:tcBorders>
          </w:tcPr>
          <w:p>
            <w:pPr>
              <w:pStyle w:val="TableParagraph"/>
              <w:spacing w:line="233" w:lineRule="exact"/>
              <w:ind w:right="229"/>
              <w:jc w:val="right"/>
              <w:rPr>
                <w:rFonts w:ascii="宋体" w:hAnsi="宋体" w:cs="宋体" w:eastAsia="宋体" w:hint="default"/>
                <w:sz w:val="18"/>
                <w:szCs w:val="18"/>
              </w:rPr>
            </w:pPr>
            <w:r>
              <w:rPr>
                <w:rFonts w:ascii="宋体"/>
                <w:sz w:val="18"/>
              </w:rPr>
              <w:t>-22.60%</w:t>
            </w:r>
          </w:p>
        </w:tc>
        <w:tc>
          <w:tcPr>
            <w:tcW w:w="1689" w:type="dxa"/>
            <w:tcBorders>
              <w:top w:val="nil" w:sz="6" w:space="0" w:color="auto"/>
              <w:left w:val="nil" w:sz="6" w:space="0" w:color="auto"/>
              <w:bottom w:val="single" w:sz="12" w:space="0" w:color="000000"/>
              <w:right w:val="nil" w:sz="6" w:space="0" w:color="auto"/>
            </w:tcBorders>
          </w:tcPr>
          <w:p>
            <w:pPr>
              <w:pStyle w:val="TableParagraph"/>
              <w:spacing w:line="233" w:lineRule="exact"/>
              <w:ind w:right="120"/>
              <w:jc w:val="right"/>
              <w:rPr>
                <w:rFonts w:ascii="宋体" w:hAnsi="宋体" w:cs="宋体" w:eastAsia="宋体" w:hint="default"/>
                <w:sz w:val="18"/>
                <w:szCs w:val="18"/>
              </w:rPr>
            </w:pPr>
            <w:r>
              <w:rPr>
                <w:rFonts w:ascii="宋体"/>
                <w:sz w:val="18"/>
              </w:rPr>
              <w:t>-1.4210</w:t>
            </w:r>
          </w:p>
        </w:tc>
        <w:tc>
          <w:tcPr>
            <w:tcW w:w="1346" w:type="dxa"/>
            <w:tcBorders>
              <w:top w:val="nil" w:sz="6" w:space="0" w:color="auto"/>
              <w:left w:val="nil" w:sz="6" w:space="0" w:color="auto"/>
              <w:bottom w:val="single" w:sz="12" w:space="0" w:color="000000"/>
              <w:right w:val="nil" w:sz="6" w:space="0" w:color="auto"/>
            </w:tcBorders>
          </w:tcPr>
          <w:p>
            <w:pPr>
              <w:pStyle w:val="TableParagraph"/>
              <w:spacing w:line="233" w:lineRule="exact"/>
              <w:ind w:right="105"/>
              <w:jc w:val="right"/>
              <w:rPr>
                <w:rFonts w:ascii="宋体" w:hAnsi="宋体" w:cs="宋体" w:eastAsia="宋体" w:hint="default"/>
                <w:sz w:val="18"/>
                <w:szCs w:val="18"/>
              </w:rPr>
            </w:pPr>
            <w:r>
              <w:rPr>
                <w:rFonts w:ascii="宋体"/>
                <w:sz w:val="18"/>
              </w:rPr>
              <w:t>-1.4210</w:t>
            </w:r>
          </w:p>
        </w:tc>
      </w:tr>
    </w:tbl>
    <w:p>
      <w:pPr>
        <w:spacing w:after="0" w:line="233" w:lineRule="exact"/>
        <w:jc w:val="right"/>
        <w:rPr>
          <w:rFonts w:ascii="宋体" w:hAnsi="宋体" w:cs="宋体" w:eastAsia="宋体" w:hint="default"/>
          <w:sz w:val="18"/>
          <w:szCs w:val="18"/>
        </w:rPr>
        <w:sectPr>
          <w:pgSz w:w="11910" w:h="16840"/>
          <w:pgMar w:header="0" w:footer="1054" w:top="780" w:bottom="1240" w:left="1540" w:right="1540"/>
        </w:sectPr>
      </w:pPr>
    </w:p>
    <w:p>
      <w:pPr>
        <w:spacing w:before="28"/>
        <w:ind w:left="3161" w:right="3196" w:firstLine="0"/>
        <w:jc w:val="center"/>
        <w:rPr>
          <w:rFonts w:ascii="宋体" w:hAnsi="宋体" w:cs="宋体" w:eastAsia="宋体" w:hint="default"/>
          <w:sz w:val="18"/>
          <w:szCs w:val="18"/>
        </w:rPr>
      </w:pPr>
      <w:r>
        <w:rPr>
          <w:rFonts w:ascii="Calibri" w:hAnsi="Calibri" w:cs="Calibri" w:eastAsia="Calibri" w:hint="default"/>
          <w:sz w:val="18"/>
          <w:szCs w:val="18"/>
        </w:rPr>
        <w:t>2018</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28pt;height:.75pt;mso-position-horizontal-relative:char;mso-position-vertical-relative:line" coordorigin="0,0" coordsize="8560,15">
            <v:group style="position:absolute;left:7;top:7;width:8546;height:2" coordorigin="7,7" coordsize="8546,2">
              <v:shape style="position:absolute;left:7;top:7;width:8546;height:2" coordorigin="7,7" coordsize="8546,0" path="m7,7l8553,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9"/>
          <w:szCs w:val="19"/>
        </w:rPr>
      </w:pPr>
    </w:p>
    <w:p>
      <w:pPr>
        <w:pStyle w:val="Heading1"/>
        <w:spacing w:line="240" w:lineRule="auto"/>
        <w:ind w:left="3181" w:right="3196"/>
        <w:jc w:val="center"/>
        <w:rPr>
          <w:b w:val="0"/>
          <w:bCs w:val="0"/>
        </w:rPr>
      </w:pPr>
      <w:bookmarkStart w:name="_TOC_250000" w:id="11"/>
      <w:r>
        <w:rPr/>
        <w:t>第十二节 备查文件</w:t>
      </w:r>
      <w:bookmarkEnd w:id="11"/>
      <w:r>
        <w:rPr>
          <w:b w:val="0"/>
          <w:bCs w:val="0"/>
        </w:rPr>
      </w:r>
    </w:p>
    <w:p>
      <w:pPr>
        <w:spacing w:line="240" w:lineRule="auto" w:before="8"/>
        <w:rPr>
          <w:rFonts w:ascii="黑体" w:hAnsi="黑体" w:cs="黑体" w:eastAsia="黑体" w:hint="default"/>
          <w:b/>
          <w:bCs/>
          <w:sz w:val="38"/>
          <w:szCs w:val="38"/>
        </w:rPr>
      </w:pPr>
    </w:p>
    <w:p>
      <w:pPr>
        <w:spacing w:before="0"/>
        <w:ind w:left="142" w:right="127"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、载有董事长亲笔签署的年度报告正本；</w:t>
      </w:r>
    </w:p>
    <w:p>
      <w:pPr>
        <w:spacing w:line="240" w:lineRule="auto" w:before="8"/>
        <w:rPr>
          <w:rFonts w:ascii="宋体" w:hAnsi="宋体" w:cs="宋体" w:eastAsia="宋体" w:hint="default"/>
          <w:sz w:val="20"/>
          <w:szCs w:val="20"/>
        </w:rPr>
      </w:pPr>
    </w:p>
    <w:p>
      <w:pPr>
        <w:spacing w:before="0"/>
        <w:ind w:left="142" w:right="127"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、载有法定代表人、财务负责人、会计主管亲笔签字并盖章的财务报表；</w:t>
      </w:r>
    </w:p>
    <w:p>
      <w:pPr>
        <w:spacing w:line="240" w:lineRule="auto" w:before="8"/>
        <w:rPr>
          <w:rFonts w:ascii="宋体" w:hAnsi="宋体" w:cs="宋体" w:eastAsia="宋体" w:hint="default"/>
          <w:sz w:val="20"/>
          <w:szCs w:val="20"/>
        </w:rPr>
      </w:pPr>
    </w:p>
    <w:p>
      <w:pPr>
        <w:spacing w:before="0"/>
        <w:ind w:left="142" w:right="127"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、载有会计师事务所盖章、注册会计师亲笔签字并盖章的审计报告正本；</w:t>
      </w:r>
    </w:p>
    <w:p>
      <w:pPr>
        <w:spacing w:line="240" w:lineRule="auto" w:before="8"/>
        <w:rPr>
          <w:rFonts w:ascii="宋体" w:hAnsi="宋体" w:cs="宋体" w:eastAsia="宋体" w:hint="default"/>
          <w:sz w:val="20"/>
          <w:szCs w:val="20"/>
        </w:rPr>
      </w:pPr>
    </w:p>
    <w:p>
      <w:pPr>
        <w:spacing w:before="0"/>
        <w:ind w:left="142" w:right="127"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、报告期内在中国证监会指定网站上公开披露过的所有公司文件的正本及公告的原稿。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line="272" w:lineRule="exact" w:before="0"/>
        <w:ind w:left="6332" w:right="152" w:firstLine="631"/>
        <w:jc w:val="right"/>
        <w:rPr>
          <w:rFonts w:ascii="宋体" w:hAnsi="宋体" w:cs="宋体" w:eastAsia="宋体" w:hint="default"/>
          <w:sz w:val="21"/>
          <w:szCs w:val="21"/>
        </w:rPr>
      </w:pPr>
      <w:r>
        <w:rPr>
          <w:rFonts w:ascii="宋体" w:hAnsi="宋体" w:cs="宋体" w:eastAsia="宋体" w:hint="default"/>
          <w:b/>
          <w:bCs/>
          <w:sz w:val="21"/>
          <w:szCs w:val="21"/>
        </w:rPr>
        <w:t>同方股份有限公司</w:t>
      </w:r>
      <w:r>
        <w:rPr>
          <w:rFonts w:ascii="宋体" w:hAnsi="宋体" w:cs="宋体" w:eastAsia="宋体" w:hint="default"/>
          <w:b/>
          <w:bCs/>
          <w:w w:val="100"/>
          <w:sz w:val="21"/>
          <w:szCs w:val="21"/>
        </w:rPr>
        <w:t> </w:t>
      </w:r>
      <w:r>
        <w:rPr>
          <w:rFonts w:ascii="宋体" w:hAnsi="宋体" w:cs="宋体" w:eastAsia="宋体" w:hint="default"/>
          <w:b/>
          <w:bCs/>
          <w:spacing w:val="-1"/>
          <w:sz w:val="21"/>
          <w:szCs w:val="21"/>
        </w:rPr>
        <w:t>二○一九年四月二十六日</w:t>
      </w:r>
      <w:r>
        <w:rPr>
          <w:rFonts w:ascii="宋体" w:hAnsi="宋体" w:cs="宋体" w:eastAsia="宋体" w:hint="default"/>
          <w:spacing w:val="-1"/>
          <w:sz w:val="21"/>
          <w:szCs w:val="21"/>
        </w:rPr>
      </w:r>
    </w:p>
    <w:p>
      <w:pPr>
        <w:spacing w:line="240" w:lineRule="auto" w:before="10"/>
        <w:rPr>
          <w:rFonts w:ascii="宋体" w:hAnsi="宋体" w:cs="宋体" w:eastAsia="宋体" w:hint="default"/>
          <w:b/>
          <w:bCs/>
          <w:sz w:val="18"/>
          <w:szCs w:val="18"/>
        </w:rPr>
      </w:pPr>
    </w:p>
    <w:p>
      <w:pPr>
        <w:spacing w:before="0"/>
        <w:ind w:left="142" w:right="127" w:firstLine="0"/>
        <w:jc w:val="left"/>
        <w:rPr>
          <w:rFonts w:ascii="宋体" w:hAnsi="宋体" w:cs="宋体" w:eastAsia="宋体" w:hint="default"/>
          <w:sz w:val="21"/>
          <w:szCs w:val="21"/>
        </w:rPr>
      </w:pPr>
      <w:r>
        <w:rPr>
          <w:rFonts w:ascii="宋体" w:hAnsi="宋体" w:cs="宋体" w:eastAsia="宋体" w:hint="default"/>
          <w:b/>
          <w:bCs/>
          <w:sz w:val="21"/>
          <w:szCs w:val="21"/>
        </w:rPr>
        <w:t>修订信息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tbl>
      <w:tblPr>
        <w:tblW w:w="0" w:type="auto"/>
        <w:jc w:val="left"/>
        <w:tblInd w:w="106" w:type="dxa"/>
        <w:tblLayout w:type="fixed"/>
        <w:tblCellMar>
          <w:top w:w="0" w:type="dxa"/>
          <w:left w:w="0" w:type="dxa"/>
          <w:bottom w:w="0" w:type="dxa"/>
          <w:right w:w="0" w:type="dxa"/>
        </w:tblCellMar>
        <w:tblLook w:val="01E0"/>
      </w:tblPr>
      <w:tblGrid>
        <w:gridCol w:w="2571"/>
        <w:gridCol w:w="2804"/>
        <w:gridCol w:w="3195"/>
      </w:tblGrid>
      <w:tr>
        <w:trPr>
          <w:trHeight w:val="377" w:hRule="exact"/>
        </w:trPr>
        <w:tc>
          <w:tcPr>
            <w:tcW w:w="2571" w:type="dxa"/>
            <w:tcBorders>
              <w:top w:val="single" w:sz="4" w:space="0" w:color="000000"/>
              <w:left w:val="single" w:sz="4" w:space="0" w:color="000000"/>
              <w:bottom w:val="single" w:sz="4" w:space="0" w:color="000000"/>
              <w:right w:val="single" w:sz="4" w:space="0" w:color="000000"/>
            </w:tcBorders>
          </w:tcPr>
          <w:p>
            <w:pPr/>
          </w:p>
        </w:tc>
        <w:tc>
          <w:tcPr>
            <w:tcW w:w="2804" w:type="dxa"/>
            <w:tcBorders>
              <w:top w:val="single" w:sz="4" w:space="0" w:color="000000"/>
              <w:left w:val="single" w:sz="4" w:space="0" w:color="000000"/>
              <w:bottom w:val="single" w:sz="4" w:space="0" w:color="000000"/>
              <w:right w:val="single" w:sz="4" w:space="0" w:color="000000"/>
            </w:tcBorders>
          </w:tcPr>
          <w:p>
            <w:pPr/>
          </w:p>
        </w:tc>
        <w:tc>
          <w:tcPr>
            <w:tcW w:w="3195"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2571" w:type="dxa"/>
            <w:tcBorders>
              <w:top w:val="single" w:sz="4" w:space="0" w:color="000000"/>
              <w:left w:val="single" w:sz="4" w:space="0" w:color="000000"/>
              <w:bottom w:val="single" w:sz="4" w:space="0" w:color="000000"/>
              <w:right w:val="single" w:sz="4" w:space="0" w:color="000000"/>
            </w:tcBorders>
          </w:tcPr>
          <w:p>
            <w:pPr/>
          </w:p>
        </w:tc>
        <w:tc>
          <w:tcPr>
            <w:tcW w:w="2804" w:type="dxa"/>
            <w:tcBorders>
              <w:top w:val="single" w:sz="4" w:space="0" w:color="000000"/>
              <w:left w:val="single" w:sz="4" w:space="0" w:color="000000"/>
              <w:bottom w:val="single" w:sz="4" w:space="0" w:color="000000"/>
              <w:right w:val="single" w:sz="4" w:space="0" w:color="000000"/>
            </w:tcBorders>
          </w:tcPr>
          <w:p>
            <w:pPr/>
          </w:p>
        </w:tc>
        <w:tc>
          <w:tcPr>
            <w:tcW w:w="3195" w:type="dxa"/>
            <w:tcBorders>
              <w:top w:val="single" w:sz="4" w:space="0" w:color="000000"/>
              <w:left w:val="single" w:sz="4" w:space="0" w:color="000000"/>
              <w:bottom w:val="single" w:sz="4" w:space="0" w:color="000000"/>
              <w:right w:val="single" w:sz="4" w:space="0" w:color="000000"/>
            </w:tcBorders>
          </w:tcPr>
          <w:p>
            <w:pPr/>
          </w:p>
        </w:tc>
      </w:tr>
    </w:tbl>
    <w:sectPr>
      <w:footerReference w:type="default" r:id="rId54"/>
      <w:pgSz w:w="11910" w:h="16840"/>
      <w:pgMar w:footer="1054" w:header="0" w:top="780" w:bottom="1240" w:left="156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4.170013pt;margin-top:771.277893pt;width:13.15pt;height:11pt;mso-position-horizontal-relative:page;mso-position-vertical-relative:page;z-index:-1229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10</w:t>
                </w:r>
                <w:r>
                  <w:rPr/>
                  <w:fldChar w:fldCharType="end"/>
                </w:r>
                <w:r>
                  <w:rPr>
                    <w:rFonts w:ascii="Times New Roman"/>
                    <w:b/>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7.986023pt;width:13.15pt;height:11pt;mso-position-horizontal-relative:page;mso-position-vertical-relative:page;z-index:-1229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81</w:t>
                </w:r>
                <w:r>
                  <w:rPr/>
                  <w:fldChar w:fldCharType="end"/>
                </w:r>
                <w:r>
                  <w:rPr>
                    <w:rFonts w:ascii="Calibri"/>
                    <w:spacing w:val="-1"/>
                    <w:sz w:val="18"/>
                  </w:rPr>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103996pt;margin-top:751.541016pt;width:96.7pt;height:12.6pt;mso-position-horizontal-relative:page;mso-position-vertical-relative:page;z-index:-122905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法定代表人：周立业</w:t>
                </w:r>
              </w:p>
            </w:txbxContent>
          </v:textbox>
          <w10:wrap type="none"/>
        </v:shape>
      </w:pict>
    </w:r>
    <w:r>
      <w:rPr/>
      <w:pict>
        <v:shape style="position:absolute;margin-left:241.690002pt;margin-top:751.541016pt;width:96.5pt;height:12.6pt;mso-position-horizontal-relative:page;mso-position-vertical-relative:page;z-index:-1229032"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财务负责人：周海英</w:t>
                </w:r>
              </w:p>
            </w:txbxContent>
          </v:textbox>
          <w10:wrap type="none"/>
        </v:shape>
      </w:pict>
    </w:r>
    <w:r>
      <w:rPr/>
      <w:pict>
        <v:shape style="position:absolute;margin-left:399.149994pt;margin-top:751.541016pt;width:117.7pt;height:12.6pt;mso-position-horizontal-relative:page;mso-position-vertical-relative:page;z-index:-122900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会计机构负责人：周海英</w:t>
                </w:r>
              </w:p>
            </w:txbxContent>
          </v:textbox>
          <w10:wrap type="none"/>
        </v:shape>
      </w:pict>
    </w:r>
    <w:r>
      <w:rPr/>
      <w:pict>
        <v:shape style="position:absolute;margin-left:291.209991pt;margin-top:777.986023pt;width:13.15pt;height:11pt;mso-position-horizontal-relative:page;mso-position-vertical-relative:page;z-index:-1228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82</w:t>
                </w:r>
                <w:r>
                  <w:rPr/>
                  <w:fldChar w:fldCharType="end"/>
                </w:r>
                <w:r>
                  <w:rPr>
                    <w:rFonts w:ascii="Calibri"/>
                    <w:spacing w:val="-1"/>
                    <w:sz w:val="18"/>
                  </w:rPr>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6.744003pt;margin-top:750.341003pt;width:96.7pt;height:12.6pt;mso-position-horizontal-relative:page;mso-position-vertical-relative:page;z-index:-122896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法定代表人：周立业</w:t>
                </w:r>
              </w:p>
            </w:txbxContent>
          </v:textbox>
          <w10:wrap type="none"/>
        </v:shape>
      </w:pict>
    </w:r>
    <w:r>
      <w:rPr/>
      <w:pict>
        <v:shape style="position:absolute;margin-left:244.330002pt;margin-top:750.341003pt;width:96.5pt;height:12.6pt;mso-position-horizontal-relative:page;mso-position-vertical-relative:page;z-index:-122893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财务负责人：周海英</w:t>
                </w:r>
              </w:p>
            </w:txbxContent>
          </v:textbox>
          <w10:wrap type="none"/>
        </v:shape>
      </w:pict>
    </w:r>
    <w:r>
      <w:rPr/>
      <w:pict>
        <v:shape style="position:absolute;margin-left:391.350006pt;margin-top:750.341003pt;width:117.6pt;height:12.6pt;mso-position-horizontal-relative:page;mso-position-vertical-relative:page;z-index:-1228912"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会计机构负责人：周海英</w:t>
                </w:r>
              </w:p>
            </w:txbxContent>
          </v:textbox>
          <w10:wrap type="none"/>
        </v:shape>
      </w:pict>
    </w:r>
    <w:r>
      <w:rPr/>
      <w:pict>
        <v:shape style="position:absolute;margin-left:291.209991pt;margin-top:777.986023pt;width:13.15pt;height:11pt;mso-position-horizontal-relative:page;mso-position-vertical-relative:page;z-index:-1228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84</w:t>
                </w:r>
                <w:r>
                  <w:rPr/>
                  <w:fldChar w:fldCharType="end"/>
                </w:r>
                <w:r>
                  <w:rPr>
                    <w:rFonts w:ascii="Calibri"/>
                    <w:spacing w:val="-1"/>
                    <w:sz w:val="18"/>
                  </w:rPr>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2.024002pt;margin-top:748.060974pt;width:96.7pt;height:12.6pt;mso-position-horizontal-relative:page;mso-position-vertical-relative:page;z-index:-122886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法定代表人：周立业</w:t>
                </w:r>
              </w:p>
            </w:txbxContent>
          </v:textbox>
          <w10:wrap type="none"/>
        </v:shape>
      </w:pict>
    </w:r>
    <w:r>
      <w:rPr/>
      <w:pict>
        <v:shape style="position:absolute;margin-left:249.610001pt;margin-top:748.060974pt;width:96.5pt;height:12.6pt;mso-position-horizontal-relative:page;mso-position-vertical-relative:page;z-index:-122884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财务负责人：周海英</w:t>
                </w:r>
              </w:p>
            </w:txbxContent>
          </v:textbox>
          <w10:wrap type="none"/>
        </v:shape>
      </w:pict>
    </w:r>
    <w:r>
      <w:rPr/>
      <w:pict>
        <v:shape style="position:absolute;margin-left:386.070007pt;margin-top:748.060974pt;width:117.7pt;height:12.6pt;mso-position-horizontal-relative:page;mso-position-vertical-relative:page;z-index:-122881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会计机构负责人：周海英</w:t>
                </w:r>
              </w:p>
            </w:txbxContent>
          </v:textbox>
          <w10:wrap type="none"/>
        </v:shape>
      </w:pict>
    </w:r>
    <w:r>
      <w:rPr/>
      <w:pict>
        <v:shape style="position:absolute;margin-left:291.209991pt;margin-top:777.986023pt;width:13.15pt;height:11pt;mso-position-horizontal-relative:page;mso-position-vertical-relative:page;z-index:-1228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87</w:t>
                </w:r>
                <w:r>
                  <w:rPr/>
                  <w:fldChar w:fldCharType="end"/>
                </w:r>
                <w:r>
                  <w:rPr>
                    <w:rFonts w:ascii="Calibri"/>
                    <w:spacing w:val="-1"/>
                    <w:sz w:val="18"/>
                  </w:rPr>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7.986023pt;width:11.15pt;height:11pt;mso-position-horizontal-relative:page;mso-position-vertical-relative:page;z-index:-12287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89</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29987pt;margin-top:531.770020pt;width:13.15pt;height:11pt;mso-position-horizontal-relative:page;mso-position-vertical-relative:page;z-index:-1228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90</w:t>
                </w:r>
                <w:r>
                  <w:rPr/>
                  <w:fldChar w:fldCharType="end"/>
                </w:r>
                <w:r>
                  <w:rPr>
                    <w:rFonts w:ascii="Calibri"/>
                    <w:spacing w:val="-1"/>
                    <w:sz w:val="18"/>
                  </w:rPr>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7.986023pt;width:13.15pt;height:11pt;mso-position-horizontal-relative:page;mso-position-vertical-relative:page;z-index:-1228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94</w:t>
                </w:r>
                <w:r>
                  <w:rPr/>
                  <w:fldChar w:fldCharType="end"/>
                </w:r>
                <w:r>
                  <w:rPr>
                    <w:rFonts w:ascii="Calibri"/>
                    <w:spacing w:val="-1"/>
                    <w:sz w:val="18"/>
                  </w:rPr>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9993pt;margin-top:777.986023pt;width:15.7pt;height:11pt;mso-position-horizontal-relative:page;mso-position-vertical-relative:page;z-index:-12286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77.986023pt;width:17.7pt;height:11pt;mso-position-horizontal-relative:page;mso-position-vertical-relative:page;z-index:-1228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101</w:t>
                </w:r>
                <w:r>
                  <w:rPr/>
                  <w:fldChar w:fldCharType="end"/>
                </w:r>
                <w:r>
                  <w:rPr>
                    <w:rFonts w:ascii="Calibri"/>
                    <w:spacing w:val="-1"/>
                    <w:sz w:val="18"/>
                  </w:rPr>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9993pt;margin-top:777.986023pt;width:15.7pt;height:11pt;mso-position-horizontal-relative:page;mso-position-vertical-relative:page;z-index:-12286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110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70013pt;margin-top:771.277893pt;width:13.15pt;height:11pt;mso-position-horizontal-relative:page;mso-position-vertical-relative:page;z-index:-1229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18</w:t>
                </w:r>
                <w:r>
                  <w:rPr/>
                  <w:fldChar w:fldCharType="end"/>
                </w:r>
                <w:r>
                  <w:rPr>
                    <w:rFonts w:ascii="Times New Roman"/>
                    <w:b/>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77.986023pt;width:17.7pt;height:11pt;mso-position-horizontal-relative:page;mso-position-vertical-relative:page;z-index:-1228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111</w:t>
                </w:r>
                <w:r>
                  <w:rPr/>
                  <w:fldChar w:fldCharType="end"/>
                </w:r>
                <w:r>
                  <w:rPr>
                    <w:rFonts w:ascii="Calibri"/>
                    <w:spacing w:val="-1"/>
                    <w:sz w:val="18"/>
                  </w:rPr>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9993pt;margin-top:777.986023pt;width:15.7pt;height:11pt;mso-position-horizontal-relative:page;mso-position-vertical-relative:page;z-index:-12286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120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9993pt;margin-top:777.986023pt;width:15.7pt;height:11pt;mso-position-horizontal-relative:page;mso-position-vertical-relative:page;z-index:-1228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121</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1.929993pt;margin-top:531.770020pt;width:17.7pt;height:11pt;mso-position-horizontal-relative:page;mso-position-vertical-relative:page;z-index:-1228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122</w:t>
                </w:r>
                <w:r>
                  <w:rPr/>
                  <w:fldChar w:fldCharType="end"/>
                </w:r>
                <w:r>
                  <w:rPr>
                    <w:rFonts w:ascii="Calibri"/>
                    <w:spacing w:val="-1"/>
                    <w:sz w:val="18"/>
                  </w:rPr>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77.986023pt;width:17.7pt;height:11pt;mso-position-horizontal-relative:page;mso-position-vertical-relative:page;z-index:-1228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126</w:t>
                </w:r>
                <w:r>
                  <w:rPr/>
                  <w:fldChar w:fldCharType="end"/>
                </w:r>
                <w:r>
                  <w:rPr>
                    <w:rFonts w:ascii="Calibri"/>
                    <w:spacing w:val="-1"/>
                    <w:sz w:val="18"/>
                  </w:rPr>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77.986023pt;width:16.7pt;height:11pt;mso-position-horizontal-relative:page;mso-position-vertical-relative:page;z-index:-1228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w:t>
                </w:r>
                <w:r>
                  <w:rPr/>
                  <w:fldChar w:fldCharType="end"/>
                </w:r>
                <w:r>
                  <w:rPr>
                    <w:rFonts w:ascii="Calibri"/>
                    <w:sz w:val="18"/>
                  </w:rPr>
                  <w:t>9</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77.986023pt;width:17.7pt;height:11pt;mso-position-horizontal-relative:page;mso-position-vertical-relative:page;z-index:-1228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131</w:t>
                </w:r>
                <w:r>
                  <w:rPr/>
                  <w:fldChar w:fldCharType="end"/>
                </w:r>
                <w:r>
                  <w:rPr>
                    <w:rFonts w:ascii="Calibri"/>
                    <w:spacing w:val="-1"/>
                    <w:sz w:val="18"/>
                  </w:rPr>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9993pt;margin-top:777.986023pt;width:15.7pt;height:11pt;mso-position-horizontal-relative:page;mso-position-vertical-relative:page;z-index:-12284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140</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88.929993pt;margin-top:777.986023pt;width:17.7pt;height:11pt;mso-position-horizontal-relative:page;mso-position-vertical-relative:page;z-index:-1228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142</w:t>
                </w:r>
                <w:r>
                  <w:rPr/>
                  <w:fldChar w:fldCharType="end"/>
                </w:r>
                <w:r>
                  <w:rPr>
                    <w:rFonts w:ascii="Calibri"/>
                    <w:spacing w:val="-1"/>
                    <w:sz w:val="18"/>
                  </w:rPr>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70013pt;margin-top:771.277893pt;width:13.15pt;height:11pt;mso-position-horizontal-relative:page;mso-position-vertical-relative:page;z-index:-12292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21</w:t>
                </w:r>
                <w:r>
                  <w:rPr/>
                  <w:fldChar w:fldCharType="end"/>
                </w:r>
                <w:r>
                  <w:rPr>
                    <w:rFonts w:ascii="Times New Roman"/>
                    <w:b/>
                    <w:spacing w:val="1"/>
                    <w:sz w:val="18"/>
                  </w:rPr>
                </w:r>
                <w:r>
                  <w:rPr>
                    <w:rFonts w:ascii="Times New Roman"/>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9993pt;margin-top:777.986023pt;width:15.7pt;height:11pt;mso-position-horizontal-relative:page;mso-position-vertical-relative:page;z-index:-12284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150</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77.986023pt;width:17.7pt;height:11pt;mso-position-horizontal-relative:page;mso-position-vertical-relative:page;z-index:-12283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151</w:t>
                </w:r>
                <w:r>
                  <w:rPr/>
                  <w:fldChar w:fldCharType="end"/>
                </w:r>
                <w:r>
                  <w:rPr>
                    <w:rFonts w:ascii="Calibri"/>
                    <w:spacing w:val="-1"/>
                    <w:sz w:val="18"/>
                  </w:rPr>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77.986023pt;width:17.75pt;height:11pt;mso-position-horizontal-relative:page;mso-position-vertical-relative:page;z-index:-12283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159</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88.929993pt;margin-top:777.986023pt;width:17.7pt;height:11pt;mso-position-horizontal-relative:page;mso-position-vertical-relative:page;z-index:-1228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165</w:t>
                </w:r>
                <w:r>
                  <w:rPr/>
                  <w:fldChar w:fldCharType="end"/>
                </w:r>
                <w:r>
                  <w:rPr>
                    <w:rFonts w:ascii="Calibri"/>
                    <w:spacing w:val="-1"/>
                    <w:sz w:val="18"/>
                  </w:rPr>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9993pt;margin-top:777.986023pt;width:15.7pt;height:11pt;mso-position-horizontal-relative:page;mso-position-vertical-relative:page;z-index:-12283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170</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88.929993pt;margin-top:777.986023pt;width:17.7pt;height:11pt;mso-position-horizontal-relative:page;mso-position-vertical-relative:page;z-index:-1228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176</w:t>
                </w:r>
                <w:r>
                  <w:rPr/>
                  <w:fldChar w:fldCharType="end"/>
                </w:r>
                <w:r>
                  <w:rPr>
                    <w:rFonts w:ascii="Calibri"/>
                    <w:spacing w:val="-1"/>
                    <w:sz w:val="18"/>
                  </w:rPr>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9993pt;margin-top:777.986023pt;width:15.7pt;height:11pt;mso-position-horizontal-relative:page;mso-position-vertical-relative:page;z-index:-12282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180</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77.986023pt;width:17.7pt;height:11pt;mso-position-horizontal-relative:page;mso-position-vertical-relative:page;z-index:-12282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181</w:t>
                </w:r>
                <w:r>
                  <w:rPr/>
                  <w:fldChar w:fldCharType="end"/>
                </w:r>
                <w:r>
                  <w:rPr>
                    <w:rFonts w:ascii="Calibri"/>
                    <w:spacing w:val="-1"/>
                    <w:sz w:val="18"/>
                  </w:rPr>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049988pt;margin-top:531.770020pt;width:17.7pt;height:11pt;mso-position-horizontal-relative:page;mso-position-vertical-relative:page;z-index:-1228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185</w:t>
                </w:r>
                <w:r>
                  <w:rPr/>
                  <w:fldChar w:fldCharType="end"/>
                </w:r>
                <w:r>
                  <w:rPr>
                    <w:rFonts w:ascii="Calibri"/>
                    <w:spacing w:val="-1"/>
                    <w:sz w:val="18"/>
                  </w:rPr>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77.986023pt;width:17.7pt;height:11pt;mso-position-horizontal-relative:page;mso-position-vertical-relative:page;z-index:-1228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188</w:t>
                </w:r>
                <w:r>
                  <w:rPr/>
                  <w:fldChar w:fldCharType="end"/>
                </w:r>
                <w:r>
                  <w:rPr>
                    <w:rFonts w:ascii="Calibri"/>
                    <w:spacing w:val="-1"/>
                    <w:sz w:val="18"/>
                  </w:rPr>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70013pt;margin-top:771.277893pt;width:13.15pt;height:11pt;mso-position-horizontal-relative:page;mso-position-vertical-relative:page;z-index:-1229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30</w:t>
                </w:r>
                <w:r>
                  <w:rPr/>
                  <w:fldChar w:fldCharType="end"/>
                </w:r>
                <w:r>
                  <w:rPr>
                    <w:rFonts w:ascii="Times New Roman"/>
                    <w:b/>
                    <w:spacing w:val="1"/>
                    <w:sz w:val="18"/>
                  </w:rPr>
                </w:r>
                <w:r>
                  <w:rPr>
                    <w:rFonts w:ascii="Times New Roman"/>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9993pt;margin-top:777.986023pt;width:15.7pt;height:11pt;mso-position-horizontal-relative:page;mso-position-vertical-relative:page;z-index:-12281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190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70013pt;margin-top:771.277893pt;width:13.15pt;height:11pt;mso-position-horizontal-relative:page;mso-position-vertical-relative:page;z-index:-1229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50</w:t>
                </w:r>
                <w:r>
                  <w:rPr/>
                  <w:fldChar w:fldCharType="end"/>
                </w:r>
                <w:r>
                  <w:rPr>
                    <w:rFonts w:ascii="Times New Roman"/>
                    <w:b/>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51001pt;margin-top:524.653931pt;width:13.15pt;height:11pt;mso-position-horizontal-relative:page;mso-position-vertical-relative:page;z-index:-1229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b/>
                    <w:sz w:val="18"/>
                  </w:rPr>
                </w:r>
                <w:r>
                  <w:rPr/>
                  <w:fldChar w:fldCharType="begin"/>
                </w:r>
                <w:r>
                  <w:rPr>
                    <w:rFonts w:ascii="Times New Roman"/>
                    <w:b/>
                    <w:sz w:val="18"/>
                  </w:rPr>
                  <w:instrText> PAGE </w:instrText>
                </w:r>
                <w:r>
                  <w:rPr/>
                  <w:fldChar w:fldCharType="separate"/>
                </w:r>
                <w:r>
                  <w:rPr/>
                  <w:t>63</w:t>
                </w:r>
                <w:r>
                  <w:rPr/>
                  <w:fldChar w:fldCharType="end"/>
                </w:r>
                <w:r>
                  <w:rPr>
                    <w:rFonts w:ascii="Times New Roman"/>
                    <w:b/>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7.986023pt;width:12.15pt;height:11pt;mso-position-horizontal-relative:page;mso-position-vertical-relative:page;z-index:-1229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w:t>
                </w:r>
                <w:r>
                  <w:rPr/>
                  <w:fldChar w:fldCharType="end"/>
                </w:r>
                <w:r>
                  <w:rPr>
                    <w:rFonts w:ascii="Calibri"/>
                    <w:sz w:val="18"/>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1.209991pt;margin-top:777.986023pt;width:13.15pt;height:11pt;mso-position-horizontal-relative:page;mso-position-vertical-relative:page;z-index:-1229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78</w:t>
                </w:r>
                <w:r>
                  <w:rPr/>
                  <w:fldChar w:fldCharType="end"/>
                </w:r>
                <w:r>
                  <w:rPr>
                    <w:rFonts w:ascii="Calibri"/>
                    <w:spacing w:val="-1"/>
                    <w:sz w:val="18"/>
                  </w:rPr>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7.986023pt;width:11.15pt;height:11pt;mso-position-horizontal-relative:page;mso-position-vertical-relative:page;z-index:-12291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80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4"/>
      <w:numFmt w:val="decimal"/>
      <w:lvlText w:val="%1."/>
      <w:lvlJc w:val="left"/>
      <w:pPr>
        <w:ind w:left="495" w:hanging="358"/>
        <w:jc w:val="left"/>
      </w:pPr>
      <w:rPr>
        <w:rFonts w:hint="default" w:ascii="宋体" w:hAnsi="宋体" w:eastAsia="宋体"/>
        <w:b/>
        <w:bCs/>
        <w:spacing w:val="0"/>
        <w:w w:val="99"/>
        <w:sz w:val="24"/>
        <w:szCs w:val="24"/>
      </w:rPr>
    </w:lvl>
    <w:lvl w:ilvl="1">
      <w:start w:val="1"/>
      <w:numFmt w:val="bullet"/>
      <w:lvlText w:val="•"/>
      <w:lvlJc w:val="left"/>
      <w:pPr>
        <w:ind w:left="1370" w:hanging="358"/>
      </w:pPr>
      <w:rPr>
        <w:rFonts w:hint="default"/>
      </w:rPr>
    </w:lvl>
    <w:lvl w:ilvl="2">
      <w:start w:val="1"/>
      <w:numFmt w:val="bullet"/>
      <w:lvlText w:val="•"/>
      <w:lvlJc w:val="left"/>
      <w:pPr>
        <w:ind w:left="2241" w:hanging="358"/>
      </w:pPr>
      <w:rPr>
        <w:rFonts w:hint="default"/>
      </w:rPr>
    </w:lvl>
    <w:lvl w:ilvl="3">
      <w:start w:val="1"/>
      <w:numFmt w:val="bullet"/>
      <w:lvlText w:val="•"/>
      <w:lvlJc w:val="left"/>
      <w:pPr>
        <w:ind w:left="3111" w:hanging="358"/>
      </w:pPr>
      <w:rPr>
        <w:rFonts w:hint="default"/>
      </w:rPr>
    </w:lvl>
    <w:lvl w:ilvl="4">
      <w:start w:val="1"/>
      <w:numFmt w:val="bullet"/>
      <w:lvlText w:val="•"/>
      <w:lvlJc w:val="left"/>
      <w:pPr>
        <w:ind w:left="3982" w:hanging="358"/>
      </w:pPr>
      <w:rPr>
        <w:rFonts w:hint="default"/>
      </w:rPr>
    </w:lvl>
    <w:lvl w:ilvl="5">
      <w:start w:val="1"/>
      <w:numFmt w:val="bullet"/>
      <w:lvlText w:val="•"/>
      <w:lvlJc w:val="left"/>
      <w:pPr>
        <w:ind w:left="4853" w:hanging="358"/>
      </w:pPr>
      <w:rPr>
        <w:rFonts w:hint="default"/>
      </w:rPr>
    </w:lvl>
    <w:lvl w:ilvl="6">
      <w:start w:val="1"/>
      <w:numFmt w:val="bullet"/>
      <w:lvlText w:val="•"/>
      <w:lvlJc w:val="left"/>
      <w:pPr>
        <w:ind w:left="5723" w:hanging="358"/>
      </w:pPr>
      <w:rPr>
        <w:rFonts w:hint="default"/>
      </w:rPr>
    </w:lvl>
    <w:lvl w:ilvl="7">
      <w:start w:val="1"/>
      <w:numFmt w:val="bullet"/>
      <w:lvlText w:val="•"/>
      <w:lvlJc w:val="left"/>
      <w:pPr>
        <w:ind w:left="6594" w:hanging="358"/>
      </w:pPr>
      <w:rPr>
        <w:rFonts w:hint="default"/>
      </w:rPr>
    </w:lvl>
    <w:lvl w:ilvl="8">
      <w:start w:val="1"/>
      <w:numFmt w:val="bullet"/>
      <w:lvlText w:val="•"/>
      <w:lvlJc w:val="left"/>
      <w:pPr>
        <w:ind w:left="7465" w:hanging="35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3"/>
      <w:ind w:left="138"/>
    </w:pPr>
    <w:rPr>
      <w:rFonts w:ascii="宋体" w:hAnsi="宋体" w:eastAsia="宋体"/>
      <w:sz w:val="24"/>
      <w:szCs w:val="24"/>
    </w:rPr>
  </w:style>
  <w:style w:styleId="BodyText" w:type="paragraph">
    <w:name w:val="Body Text"/>
    <w:basedOn w:val="Normal"/>
    <w:uiPriority w:val="1"/>
    <w:qFormat/>
    <w:pPr>
      <w:ind w:left="138"/>
    </w:pPr>
    <w:rPr>
      <w:rFonts w:ascii="宋体" w:hAnsi="宋体" w:eastAsia="宋体"/>
      <w:sz w:val="24"/>
      <w:szCs w:val="24"/>
    </w:rPr>
  </w:style>
  <w:style w:styleId="Heading1" w:type="paragraph">
    <w:name w:val="Heading 1"/>
    <w:basedOn w:val="Normal"/>
    <w:uiPriority w:val="1"/>
    <w:qFormat/>
    <w:pPr>
      <w:spacing w:before="14"/>
      <w:ind w:left="120"/>
      <w:outlineLvl w:val="1"/>
    </w:pPr>
    <w:rPr>
      <w:rFonts w:ascii="黑体" w:hAnsi="黑体" w:eastAsia="黑体"/>
      <w:b/>
      <w:bCs/>
      <w:sz w:val="28"/>
      <w:szCs w:val="28"/>
    </w:rPr>
  </w:style>
  <w:style w:styleId="Heading2" w:type="paragraph">
    <w:name w:val="Heading 2"/>
    <w:basedOn w:val="Normal"/>
    <w:uiPriority w:val="1"/>
    <w:qFormat/>
    <w:pPr>
      <w:ind w:left="138"/>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cnki.net/" TargetMode="External"/><Relationship Id="rId7" Type="http://schemas.openxmlformats.org/officeDocument/2006/relationships/hyperlink" Target="mailto:600100@thtf.com.cn" TargetMode="External"/><Relationship Id="rId8" Type="http://schemas.openxmlformats.org/officeDocument/2006/relationships/hyperlink" Target="http://www.thtf.com.cn/" TargetMode="External"/><Relationship Id="rId9" Type="http://schemas.openxmlformats.org/officeDocument/2006/relationships/hyperlink" Target="http://www.sse.com.cn/" TargetMode="External"/><Relationship Id="rId10"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yperlink" Target="https://bg.qianzhan.com/report/detail/b4a0e066b6e24cfc.html" TargetMode="External"/><Relationship Id="rId16" Type="http://schemas.openxmlformats.org/officeDocument/2006/relationships/footer" Target="footer5.xml"/><Relationship Id="rId17" Type="http://schemas.openxmlformats.org/officeDocument/2006/relationships/image" Target="media/image3.png"/><Relationship Id="rId18" Type="http://schemas.openxmlformats.org/officeDocument/2006/relationships/image" Target="media/image4.jpeg"/><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hyperlink" Target="http://baike.baidu.com/view/26411.htm" TargetMode="Externa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footer" Target="footer21.xml"/><Relationship Id="rId36" Type="http://schemas.openxmlformats.org/officeDocument/2006/relationships/footer" Target="footer22.xml"/><Relationship Id="rId37" Type="http://schemas.openxmlformats.org/officeDocument/2006/relationships/footer" Target="footer23.xml"/><Relationship Id="rId38" Type="http://schemas.openxmlformats.org/officeDocument/2006/relationships/footer" Target="footer24.xml"/><Relationship Id="rId39" Type="http://schemas.openxmlformats.org/officeDocument/2006/relationships/footer" Target="footer25.xml"/><Relationship Id="rId40" Type="http://schemas.openxmlformats.org/officeDocument/2006/relationships/footer" Target="footer26.xml"/><Relationship Id="rId41" Type="http://schemas.openxmlformats.org/officeDocument/2006/relationships/footer" Target="footer27.xml"/><Relationship Id="rId42" Type="http://schemas.openxmlformats.org/officeDocument/2006/relationships/footer" Target="footer28.xml"/><Relationship Id="rId43" Type="http://schemas.openxmlformats.org/officeDocument/2006/relationships/footer" Target="footer29.xml"/><Relationship Id="rId44" Type="http://schemas.openxmlformats.org/officeDocument/2006/relationships/footer" Target="footer30.xml"/><Relationship Id="rId45" Type="http://schemas.openxmlformats.org/officeDocument/2006/relationships/footer" Target="footer31.xml"/><Relationship Id="rId46" Type="http://schemas.openxmlformats.org/officeDocument/2006/relationships/footer" Target="footer32.xml"/><Relationship Id="rId47" Type="http://schemas.openxmlformats.org/officeDocument/2006/relationships/footer" Target="footer33.xml"/><Relationship Id="rId48" Type="http://schemas.openxmlformats.org/officeDocument/2006/relationships/footer" Target="footer34.xml"/><Relationship Id="rId49" Type="http://schemas.openxmlformats.org/officeDocument/2006/relationships/footer" Target="footer35.xml"/><Relationship Id="rId50" Type="http://schemas.openxmlformats.org/officeDocument/2006/relationships/footer" Target="footer36.xml"/><Relationship Id="rId51" Type="http://schemas.openxmlformats.org/officeDocument/2006/relationships/footer" Target="footer37.xml"/><Relationship Id="rId52" Type="http://schemas.openxmlformats.org/officeDocument/2006/relationships/footer" Target="footer38.xml"/><Relationship Id="rId53" Type="http://schemas.openxmlformats.org/officeDocument/2006/relationships/footer" Target="footer39.xml"/><Relationship Id="rId54" Type="http://schemas.openxmlformats.org/officeDocument/2006/relationships/footer" Target="footer40.xml"/><Relationship Id="rId5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Zhihe Fan</dc:creator>
  <dcterms:created xsi:type="dcterms:W3CDTF">2020-05-05T02:58:49Z</dcterms:created>
  <dcterms:modified xsi:type="dcterms:W3CDTF">2020-05-05T02:58:49Z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Office Word 2007</vt:lpwstr>
  </property>
  <property fmtid="{D5CDD505-2E9C-101B-9397-08002B2CF9AE}" pid="4" name="LastSaved">
    <vt:filetime>2020-05-04T00:00:00Z</vt:filetime>
  </property>
</Properties>
</file>